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485" w:rsidRDefault="00980485" w:rsidP="006E49A3">
      <w:pPr>
        <w:spacing w:after="0" w:line="240" w:lineRule="auto"/>
        <w:jc w:val="center"/>
        <w:rPr>
          <w:rFonts w:ascii="Arial" w:hAnsi="Arial" w:cs="Arial"/>
          <w:b/>
          <w:sz w:val="24"/>
          <w:szCs w:val="24"/>
        </w:rPr>
      </w:pPr>
      <w:r w:rsidRPr="006E026B">
        <w:rPr>
          <w:rFonts w:ascii="Arial" w:hAnsi="Arial" w:cs="Arial"/>
          <w:b/>
          <w:sz w:val="24"/>
          <w:szCs w:val="24"/>
        </w:rPr>
        <w:t>REPUBLIC OF NAMIBIA</w:t>
      </w:r>
      <w:r>
        <w:rPr>
          <w:rFonts w:ascii="Arial" w:hAnsi="Arial" w:cs="Arial"/>
          <w:b/>
          <w:sz w:val="24"/>
          <w:szCs w:val="24"/>
        </w:rPr>
        <w:t xml:space="preserve"> </w:t>
      </w:r>
    </w:p>
    <w:p w:rsidR="006E49A3" w:rsidRDefault="006E49A3" w:rsidP="006E49A3">
      <w:pPr>
        <w:spacing w:after="0" w:line="360" w:lineRule="auto"/>
        <w:jc w:val="both"/>
        <w:rPr>
          <w:rFonts w:ascii="Arial" w:hAnsi="Arial" w:cs="Arial"/>
          <w:sz w:val="24"/>
          <w:szCs w:val="24"/>
        </w:rPr>
      </w:pPr>
    </w:p>
    <w:p w:rsidR="00980485" w:rsidRPr="006E49A3" w:rsidRDefault="00980485" w:rsidP="00980485">
      <w:pPr>
        <w:spacing w:after="0" w:line="360" w:lineRule="auto"/>
        <w:jc w:val="center"/>
        <w:rPr>
          <w:rFonts w:ascii="Arial" w:hAnsi="Arial" w:cs="Arial"/>
          <w:sz w:val="24"/>
          <w:szCs w:val="24"/>
        </w:rPr>
      </w:pPr>
      <w:r>
        <w:rPr>
          <w:b/>
          <w:noProof/>
          <w:sz w:val="32"/>
          <w:szCs w:val="32"/>
          <w:lang w:val="en-US"/>
        </w:rPr>
        <w:drawing>
          <wp:inline distT="0" distB="0" distL="0" distR="0" wp14:anchorId="2425A816" wp14:editId="53AE16E7">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6E49A3" w:rsidRDefault="006E49A3" w:rsidP="006E49A3">
      <w:pPr>
        <w:spacing w:after="0" w:line="360" w:lineRule="auto"/>
        <w:jc w:val="center"/>
        <w:rPr>
          <w:rFonts w:ascii="Arial" w:hAnsi="Arial" w:cs="Arial"/>
          <w:b/>
          <w:sz w:val="24"/>
          <w:szCs w:val="24"/>
        </w:rPr>
      </w:pPr>
      <w:r w:rsidRPr="006E49A3">
        <w:rPr>
          <w:rFonts w:ascii="Arial" w:hAnsi="Arial" w:cs="Arial"/>
          <w:b/>
          <w:sz w:val="24"/>
          <w:szCs w:val="24"/>
        </w:rPr>
        <w:t>IN THE HIGH COURT OF NAMIBIA</w:t>
      </w:r>
      <w:r w:rsidR="00980485">
        <w:rPr>
          <w:rFonts w:ascii="Arial" w:hAnsi="Arial" w:cs="Arial"/>
          <w:b/>
          <w:sz w:val="24"/>
          <w:szCs w:val="24"/>
        </w:rPr>
        <w:t>, MAIN DIVISION, WINDHOEK</w:t>
      </w:r>
    </w:p>
    <w:p w:rsidR="00980485" w:rsidRPr="006E49A3" w:rsidRDefault="00980485" w:rsidP="006E49A3">
      <w:pPr>
        <w:spacing w:after="0" w:line="360" w:lineRule="auto"/>
        <w:jc w:val="center"/>
        <w:rPr>
          <w:rFonts w:ascii="Arial" w:hAnsi="Arial" w:cs="Arial"/>
          <w:b/>
          <w:sz w:val="24"/>
          <w:szCs w:val="24"/>
        </w:rPr>
      </w:pPr>
      <w:r>
        <w:rPr>
          <w:rFonts w:ascii="Arial" w:hAnsi="Arial" w:cs="Arial"/>
          <w:b/>
          <w:sz w:val="24"/>
          <w:szCs w:val="24"/>
        </w:rPr>
        <w:t>JUDGMENT</w:t>
      </w:r>
    </w:p>
    <w:p w:rsidR="00281FAB" w:rsidRPr="006E49A3" w:rsidRDefault="00281FAB" w:rsidP="00EB27A0">
      <w:pPr>
        <w:spacing w:after="0" w:line="360" w:lineRule="auto"/>
        <w:jc w:val="both"/>
        <w:rPr>
          <w:rFonts w:ascii="Arial" w:hAnsi="Arial" w:cs="Arial"/>
        </w:rPr>
      </w:pPr>
    </w:p>
    <w:tbl>
      <w:tblPr>
        <w:tblStyle w:val="TableGrid"/>
        <w:tblW w:w="9720" w:type="dxa"/>
        <w:tblInd w:w="-275" w:type="dxa"/>
        <w:tblLook w:val="04A0" w:firstRow="1" w:lastRow="0" w:firstColumn="1" w:lastColumn="0" w:noHBand="0" w:noVBand="1"/>
      </w:tblPr>
      <w:tblGrid>
        <w:gridCol w:w="4770"/>
        <w:gridCol w:w="627"/>
        <w:gridCol w:w="4323"/>
      </w:tblGrid>
      <w:tr w:rsidR="00C73154" w:rsidRPr="006E49A3" w:rsidTr="005403D8">
        <w:trPr>
          <w:trHeight w:val="744"/>
        </w:trPr>
        <w:tc>
          <w:tcPr>
            <w:tcW w:w="5397" w:type="dxa"/>
            <w:gridSpan w:val="2"/>
            <w:vMerge w:val="restart"/>
          </w:tcPr>
          <w:p w:rsidR="00C73154" w:rsidRPr="006E49A3" w:rsidRDefault="00C73154" w:rsidP="00EB27A0">
            <w:pPr>
              <w:spacing w:line="360" w:lineRule="auto"/>
              <w:jc w:val="both"/>
              <w:rPr>
                <w:rFonts w:ascii="Arial" w:hAnsi="Arial" w:cs="Arial"/>
              </w:rPr>
            </w:pPr>
            <w:r w:rsidRPr="006E49A3">
              <w:rPr>
                <w:rFonts w:ascii="Arial" w:hAnsi="Arial" w:cs="Arial"/>
                <w:b/>
              </w:rPr>
              <w:t>Case Title:</w:t>
            </w:r>
          </w:p>
          <w:p w:rsidR="00C73154" w:rsidRPr="00026D86" w:rsidRDefault="006C2F95" w:rsidP="006D2D84">
            <w:pPr>
              <w:spacing w:line="360" w:lineRule="auto"/>
              <w:jc w:val="both"/>
              <w:rPr>
                <w:rFonts w:ascii="Arial" w:hAnsi="Arial" w:cs="Arial"/>
              </w:rPr>
            </w:pPr>
            <w:r>
              <w:rPr>
                <w:rFonts w:ascii="Arial" w:hAnsi="Arial" w:cs="Arial"/>
              </w:rPr>
              <w:t>IMMANUEL KAULUMA ELIFAS &amp; ANOTHER</w:t>
            </w:r>
            <w:r w:rsidR="00026D86" w:rsidRPr="00026D86">
              <w:rPr>
                <w:rFonts w:ascii="Arial" w:hAnsi="Arial" w:cs="Arial"/>
                <w:shd w:val="clear" w:color="auto" w:fill="FFFFFF"/>
              </w:rPr>
              <w:t xml:space="preserve"> vs </w:t>
            </w:r>
            <w:r>
              <w:rPr>
                <w:rFonts w:ascii="Arial" w:hAnsi="Arial" w:cs="Arial"/>
                <w:shd w:val="clear" w:color="auto" w:fill="FFFFFF"/>
              </w:rPr>
              <w:t>FILLEMON SHUUMBWA NANGOLO &amp; 7 OTHERS</w:t>
            </w:r>
          </w:p>
          <w:p w:rsidR="00C73154" w:rsidRPr="006E49A3" w:rsidRDefault="00C73154" w:rsidP="006D2D84">
            <w:pPr>
              <w:spacing w:line="360" w:lineRule="auto"/>
              <w:jc w:val="both"/>
              <w:rPr>
                <w:rFonts w:ascii="Arial" w:hAnsi="Arial" w:cs="Arial"/>
              </w:rPr>
            </w:pPr>
          </w:p>
        </w:tc>
        <w:tc>
          <w:tcPr>
            <w:tcW w:w="4323" w:type="dxa"/>
          </w:tcPr>
          <w:p w:rsidR="00C73154" w:rsidRPr="006E49A3" w:rsidRDefault="00C73154" w:rsidP="00905A48">
            <w:pPr>
              <w:spacing w:line="360" w:lineRule="auto"/>
              <w:jc w:val="both"/>
              <w:rPr>
                <w:rFonts w:ascii="Arial" w:hAnsi="Arial" w:cs="Arial"/>
                <w:b/>
              </w:rPr>
            </w:pPr>
            <w:r w:rsidRPr="006E49A3">
              <w:rPr>
                <w:rFonts w:ascii="Arial" w:hAnsi="Arial" w:cs="Arial"/>
                <w:b/>
              </w:rPr>
              <w:t>Case No:</w:t>
            </w:r>
          </w:p>
          <w:p w:rsidR="00C73154" w:rsidRPr="002A06F0" w:rsidRDefault="002A06F0" w:rsidP="006C2F95">
            <w:pPr>
              <w:spacing w:line="360" w:lineRule="auto"/>
              <w:jc w:val="both"/>
              <w:rPr>
                <w:rFonts w:ascii="Arial" w:hAnsi="Arial" w:cs="Arial"/>
              </w:rPr>
            </w:pPr>
            <w:r w:rsidRPr="002A06F0">
              <w:rPr>
                <w:rFonts w:ascii="Arial" w:hAnsi="Arial" w:cs="Arial"/>
              </w:rPr>
              <w:t>HC-MD-CIV-</w:t>
            </w:r>
            <w:r w:rsidR="006C2F95">
              <w:rPr>
                <w:rFonts w:ascii="Arial" w:hAnsi="Arial" w:cs="Arial"/>
              </w:rPr>
              <w:t>MOT-GEN</w:t>
            </w:r>
            <w:r w:rsidRPr="002A06F0">
              <w:rPr>
                <w:rFonts w:ascii="Arial" w:hAnsi="Arial" w:cs="Arial"/>
              </w:rPr>
              <w:t>-201</w:t>
            </w:r>
            <w:r w:rsidR="006C2F95">
              <w:rPr>
                <w:rFonts w:ascii="Arial" w:hAnsi="Arial" w:cs="Arial"/>
              </w:rPr>
              <w:t>8</w:t>
            </w:r>
            <w:r w:rsidRPr="002A06F0">
              <w:rPr>
                <w:rFonts w:ascii="Arial" w:hAnsi="Arial" w:cs="Arial"/>
              </w:rPr>
              <w:t>/00</w:t>
            </w:r>
            <w:r w:rsidR="006C2F95">
              <w:rPr>
                <w:rFonts w:ascii="Arial" w:hAnsi="Arial" w:cs="Arial"/>
              </w:rPr>
              <w:t>187</w:t>
            </w:r>
          </w:p>
        </w:tc>
      </w:tr>
      <w:tr w:rsidR="00C73154" w:rsidRPr="006E49A3" w:rsidTr="005403D8">
        <w:trPr>
          <w:trHeight w:val="844"/>
        </w:trPr>
        <w:tc>
          <w:tcPr>
            <w:tcW w:w="5397" w:type="dxa"/>
            <w:gridSpan w:val="2"/>
            <w:vMerge/>
          </w:tcPr>
          <w:p w:rsidR="00C73154" w:rsidRPr="006E49A3" w:rsidRDefault="00C73154" w:rsidP="00EB27A0">
            <w:pPr>
              <w:spacing w:line="360" w:lineRule="auto"/>
              <w:jc w:val="both"/>
              <w:rPr>
                <w:rFonts w:ascii="Arial" w:hAnsi="Arial" w:cs="Arial"/>
              </w:rPr>
            </w:pPr>
          </w:p>
        </w:tc>
        <w:tc>
          <w:tcPr>
            <w:tcW w:w="4323" w:type="dxa"/>
          </w:tcPr>
          <w:p w:rsidR="00C73154" w:rsidRPr="006E49A3" w:rsidRDefault="00C73154" w:rsidP="00EB27A0">
            <w:pPr>
              <w:spacing w:line="360" w:lineRule="auto"/>
              <w:jc w:val="both"/>
              <w:rPr>
                <w:rFonts w:ascii="Arial" w:hAnsi="Arial" w:cs="Arial"/>
              </w:rPr>
            </w:pPr>
            <w:r w:rsidRPr="006E49A3">
              <w:rPr>
                <w:rFonts w:ascii="Arial" w:hAnsi="Arial" w:cs="Arial"/>
                <w:b/>
              </w:rPr>
              <w:t>Division of Court:</w:t>
            </w:r>
          </w:p>
          <w:p w:rsidR="00C73154" w:rsidRPr="006E49A3" w:rsidRDefault="00C73154" w:rsidP="00092FD2">
            <w:pPr>
              <w:spacing w:line="360" w:lineRule="auto"/>
              <w:jc w:val="both"/>
              <w:rPr>
                <w:rFonts w:ascii="Arial" w:hAnsi="Arial" w:cs="Arial"/>
              </w:rPr>
            </w:pPr>
            <w:r w:rsidRPr="006E49A3">
              <w:rPr>
                <w:rFonts w:ascii="Arial" w:hAnsi="Arial" w:cs="Arial"/>
              </w:rPr>
              <w:t>H</w:t>
            </w:r>
            <w:r w:rsidR="00092FD2" w:rsidRPr="006E49A3">
              <w:rPr>
                <w:rFonts w:ascii="Arial" w:hAnsi="Arial" w:cs="Arial"/>
              </w:rPr>
              <w:t>IGH COURT (MAIN DIVISION</w:t>
            </w:r>
            <w:r w:rsidR="00890143" w:rsidRPr="006E49A3">
              <w:rPr>
                <w:rFonts w:ascii="Arial" w:hAnsi="Arial" w:cs="Arial"/>
              </w:rPr>
              <w:t>)</w:t>
            </w:r>
          </w:p>
        </w:tc>
      </w:tr>
      <w:tr w:rsidR="005403D8" w:rsidRPr="006E49A3" w:rsidTr="005403D8">
        <w:trPr>
          <w:trHeight w:val="645"/>
        </w:trPr>
        <w:tc>
          <w:tcPr>
            <w:tcW w:w="5397" w:type="dxa"/>
            <w:gridSpan w:val="2"/>
            <w:vMerge w:val="restart"/>
          </w:tcPr>
          <w:p w:rsidR="005403D8" w:rsidRPr="006E49A3" w:rsidRDefault="005403D8" w:rsidP="00EB27A0">
            <w:pPr>
              <w:spacing w:line="360" w:lineRule="auto"/>
              <w:jc w:val="both"/>
              <w:rPr>
                <w:rFonts w:ascii="Arial" w:hAnsi="Arial" w:cs="Arial"/>
                <w:b/>
              </w:rPr>
            </w:pPr>
            <w:r w:rsidRPr="006E49A3">
              <w:rPr>
                <w:rFonts w:ascii="Arial" w:hAnsi="Arial" w:cs="Arial"/>
                <w:b/>
              </w:rPr>
              <w:t>Heard before:</w:t>
            </w:r>
          </w:p>
          <w:p w:rsidR="005403D8" w:rsidRPr="006E49A3" w:rsidRDefault="005403D8" w:rsidP="0009710D">
            <w:pPr>
              <w:spacing w:line="360" w:lineRule="auto"/>
              <w:jc w:val="both"/>
              <w:rPr>
                <w:rFonts w:ascii="Arial" w:hAnsi="Arial" w:cs="Arial"/>
              </w:rPr>
            </w:pPr>
            <w:r w:rsidRPr="006E49A3">
              <w:rPr>
                <w:rFonts w:ascii="Arial" w:hAnsi="Arial" w:cs="Arial"/>
              </w:rPr>
              <w:t>H</w:t>
            </w:r>
            <w:r w:rsidR="00092FD2" w:rsidRPr="006E49A3">
              <w:rPr>
                <w:rFonts w:ascii="Arial" w:hAnsi="Arial" w:cs="Arial"/>
              </w:rPr>
              <w:t xml:space="preserve">ONOURABLE MR JUSTICE </w:t>
            </w:r>
            <w:r w:rsidR="0009710D">
              <w:rPr>
                <w:rFonts w:ascii="Arial" w:hAnsi="Arial" w:cs="Arial"/>
              </w:rPr>
              <w:t>GEIER</w:t>
            </w:r>
          </w:p>
        </w:tc>
        <w:tc>
          <w:tcPr>
            <w:tcW w:w="4323" w:type="dxa"/>
          </w:tcPr>
          <w:p w:rsidR="005403D8" w:rsidRPr="006E49A3" w:rsidRDefault="005403D8" w:rsidP="00EB27A0">
            <w:pPr>
              <w:spacing w:line="360" w:lineRule="auto"/>
              <w:jc w:val="both"/>
              <w:rPr>
                <w:rFonts w:ascii="Arial" w:hAnsi="Arial" w:cs="Arial"/>
                <w:b/>
              </w:rPr>
            </w:pPr>
            <w:r w:rsidRPr="006E49A3">
              <w:rPr>
                <w:rFonts w:ascii="Arial" w:hAnsi="Arial" w:cs="Arial"/>
                <w:b/>
              </w:rPr>
              <w:t>Date of hearing:</w:t>
            </w:r>
          </w:p>
          <w:p w:rsidR="005403D8" w:rsidRPr="006E49A3" w:rsidRDefault="00F70036" w:rsidP="00F70036">
            <w:pPr>
              <w:spacing w:line="360" w:lineRule="auto"/>
              <w:rPr>
                <w:rFonts w:ascii="Arial" w:hAnsi="Arial" w:cs="Arial"/>
              </w:rPr>
            </w:pPr>
            <w:r>
              <w:rPr>
                <w:rFonts w:ascii="Arial" w:hAnsi="Arial" w:cs="Arial"/>
              </w:rPr>
              <w:t>22</w:t>
            </w:r>
            <w:r w:rsidR="0009710D">
              <w:rPr>
                <w:rFonts w:ascii="Arial" w:hAnsi="Arial" w:cs="Arial"/>
              </w:rPr>
              <w:t xml:space="preserve"> </w:t>
            </w:r>
            <w:r>
              <w:rPr>
                <w:rFonts w:ascii="Arial" w:hAnsi="Arial" w:cs="Arial"/>
              </w:rPr>
              <w:t>JULY</w:t>
            </w:r>
            <w:r w:rsidR="00F72F82" w:rsidRPr="006E49A3">
              <w:rPr>
                <w:rFonts w:ascii="Arial" w:hAnsi="Arial" w:cs="Arial"/>
              </w:rPr>
              <w:t xml:space="preserve"> </w:t>
            </w:r>
            <w:r w:rsidR="0009710D">
              <w:rPr>
                <w:rFonts w:ascii="Arial" w:hAnsi="Arial" w:cs="Arial"/>
              </w:rPr>
              <w:t>2020</w:t>
            </w:r>
          </w:p>
        </w:tc>
      </w:tr>
      <w:tr w:rsidR="005403D8" w:rsidRPr="006E49A3" w:rsidTr="00FD38C2">
        <w:trPr>
          <w:trHeight w:val="588"/>
        </w:trPr>
        <w:tc>
          <w:tcPr>
            <w:tcW w:w="5397" w:type="dxa"/>
            <w:gridSpan w:val="2"/>
            <w:vMerge/>
          </w:tcPr>
          <w:p w:rsidR="005403D8" w:rsidRPr="006E49A3" w:rsidRDefault="005403D8" w:rsidP="00EB27A0">
            <w:pPr>
              <w:spacing w:line="360" w:lineRule="auto"/>
              <w:jc w:val="both"/>
              <w:rPr>
                <w:rFonts w:ascii="Arial" w:hAnsi="Arial" w:cs="Arial"/>
                <w:b/>
              </w:rPr>
            </w:pPr>
          </w:p>
        </w:tc>
        <w:tc>
          <w:tcPr>
            <w:tcW w:w="4323" w:type="dxa"/>
          </w:tcPr>
          <w:p w:rsidR="005403D8" w:rsidRPr="006E49A3" w:rsidRDefault="005403D8" w:rsidP="005403D8">
            <w:pPr>
              <w:spacing w:line="360" w:lineRule="auto"/>
              <w:jc w:val="both"/>
              <w:rPr>
                <w:rFonts w:ascii="Arial" w:hAnsi="Arial" w:cs="Arial"/>
                <w:b/>
              </w:rPr>
            </w:pPr>
            <w:r w:rsidRPr="006E49A3">
              <w:rPr>
                <w:rFonts w:ascii="Arial" w:hAnsi="Arial" w:cs="Arial"/>
                <w:b/>
              </w:rPr>
              <w:t>Delivered on:</w:t>
            </w:r>
          </w:p>
          <w:p w:rsidR="005403D8" w:rsidRPr="005537CA" w:rsidRDefault="00F70036" w:rsidP="00F70036">
            <w:pPr>
              <w:spacing w:line="360" w:lineRule="auto"/>
              <w:jc w:val="both"/>
              <w:rPr>
                <w:rFonts w:ascii="Arial" w:hAnsi="Arial" w:cs="Arial"/>
                <w:b/>
              </w:rPr>
            </w:pPr>
            <w:r w:rsidRPr="005537CA">
              <w:rPr>
                <w:rFonts w:ascii="Arial" w:hAnsi="Arial" w:cs="Arial"/>
                <w:b/>
              </w:rPr>
              <w:t>22</w:t>
            </w:r>
            <w:r w:rsidR="00026D86" w:rsidRPr="005537CA">
              <w:rPr>
                <w:rFonts w:ascii="Arial" w:hAnsi="Arial" w:cs="Arial"/>
                <w:b/>
              </w:rPr>
              <w:t xml:space="preserve"> </w:t>
            </w:r>
            <w:r w:rsidRPr="005537CA">
              <w:rPr>
                <w:rFonts w:ascii="Arial" w:hAnsi="Arial" w:cs="Arial"/>
                <w:b/>
              </w:rPr>
              <w:t>JULY</w:t>
            </w:r>
            <w:r w:rsidR="009F24FA" w:rsidRPr="005537CA">
              <w:rPr>
                <w:rFonts w:ascii="Arial" w:hAnsi="Arial" w:cs="Arial"/>
                <w:b/>
              </w:rPr>
              <w:t xml:space="preserve"> </w:t>
            </w:r>
            <w:r w:rsidR="00F72F82" w:rsidRPr="005537CA">
              <w:rPr>
                <w:rFonts w:ascii="Arial" w:hAnsi="Arial" w:cs="Arial"/>
                <w:b/>
              </w:rPr>
              <w:t>20</w:t>
            </w:r>
            <w:r w:rsidR="0009710D" w:rsidRPr="005537CA">
              <w:rPr>
                <w:rFonts w:ascii="Arial" w:hAnsi="Arial" w:cs="Arial"/>
                <w:b/>
              </w:rPr>
              <w:t>20</w:t>
            </w:r>
          </w:p>
        </w:tc>
      </w:tr>
      <w:tr w:rsidR="005955B1" w:rsidRPr="006E49A3" w:rsidTr="00BB1E6E">
        <w:trPr>
          <w:trHeight w:val="908"/>
        </w:trPr>
        <w:tc>
          <w:tcPr>
            <w:tcW w:w="9720" w:type="dxa"/>
            <w:gridSpan w:val="3"/>
          </w:tcPr>
          <w:p w:rsidR="00F71EB9" w:rsidRPr="006E49A3" w:rsidRDefault="005955B1" w:rsidP="0044597D">
            <w:pPr>
              <w:spacing w:line="360" w:lineRule="auto"/>
              <w:jc w:val="both"/>
              <w:rPr>
                <w:rFonts w:ascii="Arial" w:hAnsi="Arial" w:cs="Arial"/>
              </w:rPr>
            </w:pPr>
            <w:r w:rsidRPr="006E49A3">
              <w:rPr>
                <w:rFonts w:ascii="Arial" w:hAnsi="Arial" w:cs="Arial"/>
                <w:b/>
              </w:rPr>
              <w:t xml:space="preserve">Neutral citation: </w:t>
            </w:r>
            <w:r w:rsidR="006C2F95">
              <w:rPr>
                <w:rFonts w:ascii="Arial" w:hAnsi="Arial" w:cs="Arial"/>
                <w:i/>
              </w:rPr>
              <w:t>Kauluma</w:t>
            </w:r>
            <w:r w:rsidR="0009710D">
              <w:rPr>
                <w:rFonts w:ascii="Arial" w:hAnsi="Arial" w:cs="Arial"/>
                <w:i/>
              </w:rPr>
              <w:t xml:space="preserve"> </w:t>
            </w:r>
            <w:r w:rsidR="00F72F82" w:rsidRPr="006E49A3">
              <w:rPr>
                <w:rFonts w:ascii="Arial" w:hAnsi="Arial" w:cs="Arial"/>
                <w:i/>
              </w:rPr>
              <w:t xml:space="preserve">v </w:t>
            </w:r>
            <w:r w:rsidR="006C2F95">
              <w:rPr>
                <w:rFonts w:ascii="Arial" w:hAnsi="Arial" w:cs="Arial"/>
                <w:i/>
              </w:rPr>
              <w:t>Nangolo</w:t>
            </w:r>
            <w:r w:rsidR="005537CA">
              <w:rPr>
                <w:rFonts w:ascii="Arial" w:hAnsi="Arial" w:cs="Arial"/>
                <w:i/>
              </w:rPr>
              <w:t xml:space="preserve"> </w:t>
            </w:r>
            <w:r w:rsidR="00026D86">
              <w:rPr>
                <w:rFonts w:ascii="Arial" w:hAnsi="Arial" w:cs="Arial"/>
                <w:i/>
              </w:rPr>
              <w:t xml:space="preserve"> </w:t>
            </w:r>
            <w:r w:rsidR="00B4625E" w:rsidRPr="006E49A3">
              <w:rPr>
                <w:rFonts w:ascii="Arial" w:hAnsi="Arial" w:cs="Arial"/>
              </w:rPr>
              <w:t>(</w:t>
            </w:r>
            <w:r w:rsidR="006C2F95" w:rsidRPr="002A06F0">
              <w:rPr>
                <w:rFonts w:ascii="Arial" w:hAnsi="Arial" w:cs="Arial"/>
              </w:rPr>
              <w:t>HC-MD-CIV-</w:t>
            </w:r>
            <w:r w:rsidR="006C2F95">
              <w:rPr>
                <w:rFonts w:ascii="Arial" w:hAnsi="Arial" w:cs="Arial"/>
              </w:rPr>
              <w:t>MOT-GEN</w:t>
            </w:r>
            <w:r w:rsidR="006C2F95" w:rsidRPr="002A06F0">
              <w:rPr>
                <w:rFonts w:ascii="Arial" w:hAnsi="Arial" w:cs="Arial"/>
              </w:rPr>
              <w:t>-201</w:t>
            </w:r>
            <w:r w:rsidR="006C2F95">
              <w:rPr>
                <w:rFonts w:ascii="Arial" w:hAnsi="Arial" w:cs="Arial"/>
              </w:rPr>
              <w:t>8</w:t>
            </w:r>
            <w:r w:rsidR="006C2F95" w:rsidRPr="002A06F0">
              <w:rPr>
                <w:rFonts w:ascii="Arial" w:hAnsi="Arial" w:cs="Arial"/>
              </w:rPr>
              <w:t>/00</w:t>
            </w:r>
            <w:r w:rsidR="006C2F95">
              <w:rPr>
                <w:rFonts w:ascii="Arial" w:hAnsi="Arial" w:cs="Arial"/>
              </w:rPr>
              <w:t>187</w:t>
            </w:r>
            <w:r w:rsidR="00B4625E" w:rsidRPr="006E49A3">
              <w:rPr>
                <w:rFonts w:ascii="Arial" w:hAnsi="Arial" w:cs="Arial"/>
              </w:rPr>
              <w:t>)</w:t>
            </w:r>
            <w:r w:rsidR="00B4625E" w:rsidRPr="006E49A3">
              <w:rPr>
                <w:rFonts w:ascii="Arial" w:hAnsi="Arial" w:cs="Arial"/>
                <w:b/>
              </w:rPr>
              <w:t xml:space="preserve"> </w:t>
            </w:r>
            <w:r w:rsidR="00B4625E" w:rsidRPr="006E49A3">
              <w:rPr>
                <w:rFonts w:ascii="Arial" w:hAnsi="Arial" w:cs="Arial"/>
              </w:rPr>
              <w:t>[20</w:t>
            </w:r>
            <w:r w:rsidR="0009710D">
              <w:rPr>
                <w:rFonts w:ascii="Arial" w:hAnsi="Arial" w:cs="Arial"/>
              </w:rPr>
              <w:t>20</w:t>
            </w:r>
            <w:r w:rsidR="00B4625E" w:rsidRPr="006E49A3">
              <w:rPr>
                <w:rFonts w:ascii="Arial" w:hAnsi="Arial" w:cs="Arial"/>
              </w:rPr>
              <w:t xml:space="preserve">] </w:t>
            </w:r>
            <w:r w:rsidRPr="006E49A3">
              <w:rPr>
                <w:rFonts w:ascii="Arial" w:hAnsi="Arial" w:cs="Arial"/>
              </w:rPr>
              <w:t xml:space="preserve">NAHCMD </w:t>
            </w:r>
            <w:r w:rsidR="0044597D">
              <w:rPr>
                <w:rFonts w:ascii="Arial" w:hAnsi="Arial" w:cs="Arial"/>
              </w:rPr>
              <w:t>411</w:t>
            </w:r>
            <w:r w:rsidR="00B4625E" w:rsidRPr="006E49A3">
              <w:rPr>
                <w:rFonts w:ascii="Arial" w:hAnsi="Arial" w:cs="Arial"/>
              </w:rPr>
              <w:t xml:space="preserve"> (</w:t>
            </w:r>
            <w:r w:rsidR="00F70036">
              <w:rPr>
                <w:rFonts w:ascii="Arial" w:hAnsi="Arial" w:cs="Arial"/>
              </w:rPr>
              <w:t>22</w:t>
            </w:r>
            <w:r w:rsidR="00026D86">
              <w:rPr>
                <w:rFonts w:ascii="Arial" w:hAnsi="Arial" w:cs="Arial"/>
              </w:rPr>
              <w:t xml:space="preserve"> </w:t>
            </w:r>
            <w:r w:rsidR="00F70036">
              <w:rPr>
                <w:rFonts w:ascii="Arial" w:hAnsi="Arial" w:cs="Arial"/>
              </w:rPr>
              <w:t>July</w:t>
            </w:r>
            <w:r w:rsidR="00F72F82" w:rsidRPr="006E49A3">
              <w:rPr>
                <w:rFonts w:ascii="Arial" w:hAnsi="Arial" w:cs="Arial"/>
              </w:rPr>
              <w:t xml:space="preserve"> 20</w:t>
            </w:r>
            <w:r w:rsidR="0009710D">
              <w:rPr>
                <w:rFonts w:ascii="Arial" w:hAnsi="Arial" w:cs="Arial"/>
              </w:rPr>
              <w:t>20</w:t>
            </w:r>
            <w:r w:rsidRPr="006E49A3">
              <w:rPr>
                <w:rFonts w:ascii="Arial" w:hAnsi="Arial" w:cs="Arial"/>
              </w:rPr>
              <w:t>)</w:t>
            </w:r>
          </w:p>
        </w:tc>
      </w:tr>
      <w:tr w:rsidR="00281FAB" w:rsidRPr="006E49A3" w:rsidTr="00EB27A0">
        <w:tc>
          <w:tcPr>
            <w:tcW w:w="9720" w:type="dxa"/>
            <w:gridSpan w:val="3"/>
          </w:tcPr>
          <w:p w:rsidR="00EB27A0" w:rsidRPr="006E49A3" w:rsidRDefault="00EB27A0" w:rsidP="00EB27A0">
            <w:pPr>
              <w:spacing w:line="360" w:lineRule="auto"/>
              <w:jc w:val="both"/>
              <w:rPr>
                <w:rFonts w:ascii="Arial" w:hAnsi="Arial" w:cs="Arial"/>
                <w:sz w:val="20"/>
                <w:szCs w:val="20"/>
              </w:rPr>
            </w:pPr>
          </w:p>
          <w:p w:rsidR="00EB27A0" w:rsidRPr="00F70036" w:rsidRDefault="00EB27A0" w:rsidP="00977346">
            <w:pPr>
              <w:spacing w:line="360" w:lineRule="auto"/>
              <w:jc w:val="both"/>
              <w:rPr>
                <w:rFonts w:ascii="Arial" w:hAnsi="Arial" w:cs="Arial"/>
                <w:b/>
                <w:sz w:val="24"/>
                <w:szCs w:val="24"/>
              </w:rPr>
            </w:pPr>
            <w:r w:rsidRPr="00F70036">
              <w:rPr>
                <w:rFonts w:ascii="Arial" w:hAnsi="Arial" w:cs="Arial"/>
                <w:b/>
                <w:sz w:val="24"/>
                <w:szCs w:val="24"/>
              </w:rPr>
              <w:t>IT IS ORDERED THAT:</w:t>
            </w:r>
          </w:p>
          <w:p w:rsidR="008D65E9" w:rsidRPr="00F70036" w:rsidRDefault="008D65E9" w:rsidP="00977346">
            <w:pPr>
              <w:spacing w:line="360" w:lineRule="auto"/>
              <w:jc w:val="both"/>
              <w:rPr>
                <w:rFonts w:ascii="Arial" w:hAnsi="Arial" w:cs="Arial"/>
                <w:sz w:val="24"/>
                <w:szCs w:val="24"/>
              </w:rPr>
            </w:pPr>
          </w:p>
          <w:p w:rsidR="007447AE" w:rsidRPr="00F70036" w:rsidRDefault="00F70036" w:rsidP="00977346">
            <w:pPr>
              <w:pStyle w:val="ListParagraph"/>
              <w:numPr>
                <w:ilvl w:val="0"/>
                <w:numId w:val="8"/>
              </w:numPr>
              <w:spacing w:line="360" w:lineRule="auto"/>
              <w:ind w:left="588" w:hanging="568"/>
              <w:jc w:val="both"/>
              <w:rPr>
                <w:rFonts w:ascii="Arial" w:hAnsi="Arial" w:cs="Arial"/>
                <w:sz w:val="24"/>
                <w:szCs w:val="24"/>
              </w:rPr>
            </w:pPr>
            <w:r w:rsidRPr="00F70036">
              <w:rPr>
                <w:rFonts w:ascii="Arial" w:hAnsi="Arial" w:cs="Arial"/>
                <w:sz w:val="24"/>
                <w:szCs w:val="24"/>
              </w:rPr>
              <w:t>There will be no order as to costs.</w:t>
            </w:r>
          </w:p>
          <w:p w:rsidR="007447AE" w:rsidRPr="00977346" w:rsidRDefault="007447AE" w:rsidP="00977346">
            <w:pPr>
              <w:spacing w:line="360" w:lineRule="auto"/>
              <w:ind w:left="588" w:hanging="568"/>
              <w:jc w:val="both"/>
              <w:rPr>
                <w:rFonts w:ascii="Arial" w:hAnsi="Arial" w:cs="Arial"/>
                <w:sz w:val="24"/>
                <w:szCs w:val="24"/>
              </w:rPr>
            </w:pPr>
          </w:p>
          <w:p w:rsidR="00977346" w:rsidRPr="00977346" w:rsidRDefault="00977346" w:rsidP="00977346">
            <w:pPr>
              <w:pStyle w:val="ListParagraph"/>
              <w:widowControl w:val="0"/>
              <w:numPr>
                <w:ilvl w:val="0"/>
                <w:numId w:val="8"/>
              </w:numPr>
              <w:autoSpaceDE w:val="0"/>
              <w:autoSpaceDN w:val="0"/>
              <w:adjustRightInd w:val="0"/>
              <w:spacing w:line="360" w:lineRule="auto"/>
              <w:ind w:left="588" w:hanging="568"/>
              <w:jc w:val="both"/>
              <w:rPr>
                <w:rFonts w:ascii="Arial" w:hAnsi="Arial" w:cs="Arial"/>
                <w:sz w:val="24"/>
                <w:szCs w:val="24"/>
              </w:rPr>
            </w:pPr>
            <w:r w:rsidRPr="00977346">
              <w:rPr>
                <w:rFonts w:ascii="Arial" w:hAnsi="Arial" w:cs="Arial"/>
                <w:sz w:val="24"/>
                <w:szCs w:val="24"/>
              </w:rPr>
              <w:t>The matter is removed from the roll: The case is to be regarded as finalised.</w:t>
            </w:r>
          </w:p>
          <w:p w:rsidR="00686B3F" w:rsidRPr="00977346" w:rsidRDefault="00686B3F" w:rsidP="00977346">
            <w:pPr>
              <w:pStyle w:val="ListParagraph"/>
              <w:spacing w:line="360" w:lineRule="auto"/>
              <w:ind w:left="446"/>
              <w:jc w:val="both"/>
              <w:rPr>
                <w:rFonts w:ascii="Arial" w:hAnsi="Arial" w:cs="Arial"/>
                <w:sz w:val="24"/>
                <w:szCs w:val="24"/>
              </w:rPr>
            </w:pPr>
          </w:p>
        </w:tc>
      </w:tr>
      <w:tr w:rsidR="00281FAB" w:rsidRPr="006E49A3" w:rsidTr="00EB27A0">
        <w:tc>
          <w:tcPr>
            <w:tcW w:w="9720" w:type="dxa"/>
            <w:gridSpan w:val="3"/>
          </w:tcPr>
          <w:p w:rsidR="00281FAB" w:rsidRPr="008E6759" w:rsidRDefault="008E6759" w:rsidP="00266B3E">
            <w:pPr>
              <w:spacing w:line="360" w:lineRule="auto"/>
              <w:jc w:val="both"/>
              <w:rPr>
                <w:rFonts w:ascii="Arial" w:hAnsi="Arial" w:cs="Arial"/>
                <w:b/>
              </w:rPr>
            </w:pPr>
            <w:r w:rsidRPr="008E6759">
              <w:rPr>
                <w:rFonts w:ascii="Arial" w:hAnsi="Arial" w:cs="Arial"/>
                <w:b/>
              </w:rPr>
              <w:t>Following below are the reasons for the above order:</w:t>
            </w:r>
          </w:p>
        </w:tc>
      </w:tr>
      <w:tr w:rsidR="00281FAB" w:rsidRPr="006E49A3" w:rsidTr="00EB27A0">
        <w:tc>
          <w:tcPr>
            <w:tcW w:w="9720" w:type="dxa"/>
            <w:gridSpan w:val="3"/>
          </w:tcPr>
          <w:p w:rsidR="00BB1E6E" w:rsidRDefault="00BB1E6E" w:rsidP="00FD38C2">
            <w:pPr>
              <w:spacing w:line="360" w:lineRule="auto"/>
              <w:jc w:val="both"/>
              <w:rPr>
                <w:rFonts w:ascii="Arial" w:hAnsi="Arial" w:cs="Arial"/>
              </w:rPr>
            </w:pPr>
          </w:p>
          <w:p w:rsidR="00977346" w:rsidRPr="00977346" w:rsidRDefault="00977346" w:rsidP="00977346">
            <w:pPr>
              <w:spacing w:line="360" w:lineRule="auto"/>
              <w:jc w:val="both"/>
              <w:rPr>
                <w:rFonts w:ascii="Arial" w:hAnsi="Arial" w:cs="Arial"/>
                <w:sz w:val="24"/>
                <w:szCs w:val="24"/>
              </w:rPr>
            </w:pPr>
            <w:r w:rsidRPr="00977346">
              <w:rPr>
                <w:rFonts w:ascii="Arial" w:hAnsi="Arial" w:cs="Arial"/>
                <w:sz w:val="24"/>
                <w:szCs w:val="24"/>
              </w:rPr>
              <w:t>[1]</w:t>
            </w:r>
            <w:r w:rsidRPr="00977346">
              <w:rPr>
                <w:rFonts w:ascii="Arial" w:hAnsi="Arial" w:cs="Arial"/>
                <w:sz w:val="24"/>
                <w:szCs w:val="24"/>
              </w:rPr>
              <w:tab/>
              <w:t>Since the court dismissed the first to seventh respondents’ quest to obtain a costs order against Mr Amalwa on the 10</w:t>
            </w:r>
            <w:r w:rsidRPr="00977346">
              <w:rPr>
                <w:rFonts w:ascii="Arial" w:hAnsi="Arial" w:cs="Arial"/>
                <w:sz w:val="24"/>
                <w:szCs w:val="24"/>
                <w:vertAlign w:val="superscript"/>
              </w:rPr>
              <w:t>th</w:t>
            </w:r>
            <w:r w:rsidRPr="00977346">
              <w:rPr>
                <w:rFonts w:ascii="Arial" w:hAnsi="Arial" w:cs="Arial"/>
                <w:sz w:val="24"/>
                <w:szCs w:val="24"/>
              </w:rPr>
              <w:t xml:space="preserve"> of June 2020, on certain technical grounds </w:t>
            </w:r>
            <w:r w:rsidR="005537CA">
              <w:rPr>
                <w:rFonts w:ascii="Arial" w:hAnsi="Arial" w:cs="Arial"/>
                <w:sz w:val="24"/>
                <w:szCs w:val="24"/>
              </w:rPr>
              <w:t>,</w:t>
            </w:r>
            <w:bookmarkStart w:id="0" w:name="_GoBack"/>
            <w:bookmarkEnd w:id="0"/>
            <w:r w:rsidRPr="00977346">
              <w:rPr>
                <w:rStyle w:val="FootnoteReference"/>
                <w:rFonts w:ascii="Arial" w:hAnsi="Arial" w:cs="Arial"/>
                <w:sz w:val="24"/>
                <w:szCs w:val="24"/>
              </w:rPr>
              <w:footnoteReference w:id="1"/>
            </w:r>
            <w:r w:rsidRPr="00977346">
              <w:rPr>
                <w:rFonts w:ascii="Arial" w:hAnsi="Arial" w:cs="Arial"/>
                <w:sz w:val="24"/>
                <w:szCs w:val="24"/>
              </w:rPr>
              <w:t xml:space="preserve"> there was a subsequent request for directions made </w:t>
            </w:r>
            <w:r w:rsidRPr="00977346">
              <w:rPr>
                <w:rStyle w:val="FootnoteReference"/>
                <w:rFonts w:ascii="Arial" w:hAnsi="Arial" w:cs="Arial"/>
                <w:sz w:val="24"/>
                <w:szCs w:val="24"/>
              </w:rPr>
              <w:footnoteReference w:id="2"/>
            </w:r>
            <w:r w:rsidRPr="00977346">
              <w:rPr>
                <w:rFonts w:ascii="Arial" w:hAnsi="Arial" w:cs="Arial"/>
                <w:sz w:val="24"/>
                <w:szCs w:val="24"/>
              </w:rPr>
              <w:t xml:space="preserve"> and that requ</w:t>
            </w:r>
            <w:r w:rsidR="00BC00BF">
              <w:rPr>
                <w:rFonts w:ascii="Arial" w:hAnsi="Arial" w:cs="Arial"/>
                <w:sz w:val="24"/>
                <w:szCs w:val="24"/>
              </w:rPr>
              <w:t xml:space="preserve">est I equated to a request for </w:t>
            </w:r>
            <w:r w:rsidRPr="00977346">
              <w:rPr>
                <w:rFonts w:ascii="Arial" w:hAnsi="Arial" w:cs="Arial"/>
                <w:sz w:val="24"/>
                <w:szCs w:val="24"/>
              </w:rPr>
              <w:t xml:space="preserve">legal advice, which I refused for the reason that, it is not for the court to advise the parties </w:t>
            </w:r>
            <w:r w:rsidRPr="00977346">
              <w:rPr>
                <w:rFonts w:ascii="Arial" w:hAnsi="Arial" w:cs="Arial"/>
                <w:sz w:val="24"/>
                <w:szCs w:val="24"/>
              </w:rPr>
              <w:lastRenderedPageBreak/>
              <w:t>on how to proceed in a particular matter</w:t>
            </w:r>
            <w:r w:rsidR="00BC00BF">
              <w:rPr>
                <w:rFonts w:ascii="Arial" w:hAnsi="Arial" w:cs="Arial"/>
                <w:sz w:val="24"/>
                <w:szCs w:val="24"/>
              </w:rPr>
              <w:t>,</w:t>
            </w:r>
            <w:r w:rsidRPr="00977346">
              <w:rPr>
                <w:rFonts w:ascii="Arial" w:hAnsi="Arial" w:cs="Arial"/>
                <w:sz w:val="24"/>
                <w:szCs w:val="24"/>
              </w:rPr>
              <w:t xml:space="preserve"> as that is an aspect, in the particular realm of the legal practitioner, seized with the task to act on behalf of a party or parties.  </w:t>
            </w:r>
          </w:p>
          <w:p w:rsidR="00977346" w:rsidRPr="00977346" w:rsidRDefault="00977346" w:rsidP="00977346">
            <w:pPr>
              <w:spacing w:line="360" w:lineRule="auto"/>
              <w:jc w:val="both"/>
              <w:rPr>
                <w:rFonts w:ascii="Arial" w:hAnsi="Arial" w:cs="Arial"/>
                <w:sz w:val="24"/>
                <w:szCs w:val="24"/>
              </w:rPr>
            </w:pPr>
          </w:p>
          <w:p w:rsidR="00977346" w:rsidRPr="00977346" w:rsidRDefault="00977346" w:rsidP="00977346">
            <w:pPr>
              <w:spacing w:line="360" w:lineRule="auto"/>
              <w:jc w:val="both"/>
              <w:rPr>
                <w:rFonts w:ascii="Arial" w:hAnsi="Arial" w:cs="Arial"/>
                <w:sz w:val="24"/>
                <w:szCs w:val="24"/>
              </w:rPr>
            </w:pPr>
            <w:r w:rsidRPr="00977346">
              <w:rPr>
                <w:rFonts w:ascii="Arial" w:hAnsi="Arial" w:cs="Arial"/>
                <w:sz w:val="24"/>
                <w:szCs w:val="24"/>
              </w:rPr>
              <w:t>[2]</w:t>
            </w:r>
            <w:r w:rsidRPr="00977346">
              <w:rPr>
                <w:rFonts w:ascii="Arial" w:hAnsi="Arial" w:cs="Arial"/>
                <w:sz w:val="24"/>
                <w:szCs w:val="24"/>
              </w:rPr>
              <w:tab/>
              <w:t xml:space="preserve">Such refusal to give directions is thus not to be equated with a refusal to determine the issue of costs. </w:t>
            </w:r>
          </w:p>
          <w:p w:rsidR="00977346" w:rsidRPr="00977346" w:rsidRDefault="00977346" w:rsidP="00977346">
            <w:pPr>
              <w:spacing w:line="360" w:lineRule="auto"/>
              <w:jc w:val="both"/>
              <w:rPr>
                <w:rFonts w:ascii="Arial" w:hAnsi="Arial" w:cs="Arial"/>
                <w:sz w:val="24"/>
                <w:szCs w:val="24"/>
              </w:rPr>
            </w:pPr>
          </w:p>
          <w:p w:rsidR="00977346" w:rsidRPr="00977346" w:rsidRDefault="00977346" w:rsidP="00977346">
            <w:pPr>
              <w:spacing w:line="360" w:lineRule="auto"/>
              <w:jc w:val="both"/>
              <w:rPr>
                <w:rFonts w:ascii="Arial" w:hAnsi="Arial" w:cs="Arial"/>
                <w:sz w:val="24"/>
                <w:szCs w:val="24"/>
              </w:rPr>
            </w:pPr>
            <w:r w:rsidRPr="00977346">
              <w:rPr>
                <w:rFonts w:ascii="Arial" w:hAnsi="Arial" w:cs="Arial"/>
                <w:sz w:val="24"/>
                <w:szCs w:val="24"/>
              </w:rPr>
              <w:t>[</w:t>
            </w:r>
            <w:r w:rsidR="00B933D1">
              <w:rPr>
                <w:rFonts w:ascii="Arial" w:hAnsi="Arial" w:cs="Arial"/>
                <w:sz w:val="24"/>
                <w:szCs w:val="24"/>
              </w:rPr>
              <w:t>3</w:t>
            </w:r>
            <w:r w:rsidRPr="00977346">
              <w:rPr>
                <w:rFonts w:ascii="Arial" w:hAnsi="Arial" w:cs="Arial"/>
                <w:sz w:val="24"/>
                <w:szCs w:val="24"/>
              </w:rPr>
              <w:t>]</w:t>
            </w:r>
            <w:r w:rsidRPr="00977346">
              <w:rPr>
                <w:rFonts w:ascii="Arial" w:hAnsi="Arial" w:cs="Arial"/>
                <w:sz w:val="24"/>
                <w:szCs w:val="24"/>
              </w:rPr>
              <w:tab/>
              <w:t xml:space="preserve">In fact there was never a refusal from the court’s side to determine this issue. The doors of the court are open, where open and </w:t>
            </w:r>
            <w:r w:rsidR="00BC00BF">
              <w:rPr>
                <w:rFonts w:ascii="Arial" w:hAnsi="Arial" w:cs="Arial"/>
                <w:sz w:val="24"/>
                <w:szCs w:val="24"/>
              </w:rPr>
              <w:t>will be</w:t>
            </w:r>
            <w:r w:rsidRPr="00977346">
              <w:rPr>
                <w:rFonts w:ascii="Arial" w:hAnsi="Arial" w:cs="Arial"/>
                <w:sz w:val="24"/>
                <w:szCs w:val="24"/>
              </w:rPr>
              <w:t xml:space="preserve"> open. It is for the parties to bring their issues to the court and it is for the court to resolve.</w:t>
            </w:r>
          </w:p>
          <w:p w:rsidR="00977346" w:rsidRPr="00977346" w:rsidRDefault="00977346" w:rsidP="00977346">
            <w:pPr>
              <w:spacing w:line="360" w:lineRule="auto"/>
              <w:jc w:val="both"/>
              <w:rPr>
                <w:rFonts w:ascii="Arial" w:hAnsi="Arial" w:cs="Arial"/>
                <w:sz w:val="24"/>
                <w:szCs w:val="24"/>
              </w:rPr>
            </w:pPr>
          </w:p>
          <w:p w:rsidR="00977346" w:rsidRPr="00977346" w:rsidRDefault="00977346" w:rsidP="00977346">
            <w:pPr>
              <w:spacing w:line="360" w:lineRule="auto"/>
              <w:jc w:val="both"/>
              <w:rPr>
                <w:rFonts w:ascii="Arial" w:hAnsi="Arial" w:cs="Arial"/>
                <w:sz w:val="24"/>
                <w:szCs w:val="24"/>
                <w:u w:val="single"/>
              </w:rPr>
            </w:pPr>
            <w:r w:rsidRPr="00977346">
              <w:rPr>
                <w:rFonts w:ascii="Arial" w:hAnsi="Arial" w:cs="Arial"/>
                <w:sz w:val="24"/>
                <w:szCs w:val="24"/>
              </w:rPr>
              <w:t>[</w:t>
            </w:r>
            <w:r w:rsidR="00B933D1">
              <w:rPr>
                <w:rFonts w:ascii="Arial" w:hAnsi="Arial" w:cs="Arial"/>
                <w:sz w:val="24"/>
                <w:szCs w:val="24"/>
              </w:rPr>
              <w:t>4</w:t>
            </w:r>
            <w:r w:rsidRPr="00977346">
              <w:rPr>
                <w:rFonts w:ascii="Arial" w:hAnsi="Arial" w:cs="Arial"/>
                <w:sz w:val="24"/>
                <w:szCs w:val="24"/>
              </w:rPr>
              <w:t>]</w:t>
            </w:r>
            <w:r w:rsidRPr="00977346">
              <w:rPr>
                <w:rFonts w:ascii="Arial" w:hAnsi="Arial" w:cs="Arial"/>
                <w:sz w:val="24"/>
                <w:szCs w:val="24"/>
              </w:rPr>
              <w:tab/>
              <w:t>Subsequent to the judgment delivered on 10 June</w:t>
            </w:r>
            <w:r w:rsidR="00BC00BF">
              <w:rPr>
                <w:rFonts w:ascii="Arial" w:hAnsi="Arial" w:cs="Arial"/>
                <w:sz w:val="24"/>
                <w:szCs w:val="24"/>
              </w:rPr>
              <w:t xml:space="preserve"> 2020</w:t>
            </w:r>
            <w:r w:rsidRPr="00977346">
              <w:rPr>
                <w:rFonts w:ascii="Arial" w:hAnsi="Arial" w:cs="Arial"/>
                <w:sz w:val="24"/>
                <w:szCs w:val="24"/>
              </w:rPr>
              <w:t xml:space="preserve"> the first to seventh respondents were given further opportunities to seek the resolution of the costs issue. In fact they have been given that opportunity since the 16</w:t>
            </w:r>
            <w:r w:rsidRPr="00977346">
              <w:rPr>
                <w:rFonts w:ascii="Arial" w:hAnsi="Arial" w:cs="Arial"/>
                <w:sz w:val="24"/>
                <w:szCs w:val="24"/>
                <w:vertAlign w:val="superscript"/>
              </w:rPr>
              <w:t>th</w:t>
            </w:r>
            <w:r w:rsidRPr="00977346">
              <w:rPr>
                <w:rFonts w:ascii="Arial" w:hAnsi="Arial" w:cs="Arial"/>
                <w:sz w:val="24"/>
                <w:szCs w:val="24"/>
              </w:rPr>
              <w:t xml:space="preserve"> of October 2019 and even further after the delivery of</w:t>
            </w:r>
            <w:r w:rsidR="00BC00BF">
              <w:rPr>
                <w:rFonts w:ascii="Arial" w:hAnsi="Arial" w:cs="Arial"/>
                <w:sz w:val="24"/>
                <w:szCs w:val="24"/>
              </w:rPr>
              <w:t xml:space="preserve"> the</w:t>
            </w:r>
            <w:r w:rsidRPr="00977346">
              <w:rPr>
                <w:rFonts w:ascii="Arial" w:hAnsi="Arial" w:cs="Arial"/>
                <w:sz w:val="24"/>
                <w:szCs w:val="24"/>
              </w:rPr>
              <w:t xml:space="preserve"> judgment on 10 June 2020, in the course of which they were also given the opportunity to consider alternative avenues for purposes of recouping- or resolving the issue of costs.</w:t>
            </w:r>
            <w:r w:rsidRPr="00977346">
              <w:rPr>
                <w:rStyle w:val="FootnoteReference"/>
                <w:rFonts w:ascii="Arial" w:hAnsi="Arial" w:cs="Arial"/>
                <w:sz w:val="24"/>
                <w:szCs w:val="24"/>
              </w:rPr>
              <w:footnoteReference w:id="3"/>
            </w:r>
            <w:r w:rsidRPr="00977346">
              <w:rPr>
                <w:rFonts w:ascii="Arial" w:hAnsi="Arial" w:cs="Arial"/>
                <w:sz w:val="24"/>
                <w:szCs w:val="24"/>
              </w:rPr>
              <w:t xml:space="preserve"> Also this invitation was declined by the respondents</w:t>
            </w:r>
            <w:r w:rsidRPr="00977346">
              <w:rPr>
                <w:rStyle w:val="FootnoteReference"/>
                <w:rFonts w:ascii="Arial" w:hAnsi="Arial" w:cs="Arial"/>
                <w:sz w:val="24"/>
                <w:szCs w:val="24"/>
              </w:rPr>
              <w:footnoteReference w:id="4"/>
            </w:r>
            <w:r w:rsidRPr="00977346">
              <w:rPr>
                <w:rFonts w:ascii="Arial" w:hAnsi="Arial" w:cs="Arial"/>
                <w:sz w:val="24"/>
                <w:szCs w:val="24"/>
              </w:rPr>
              <w:t xml:space="preserve">. Subsequently to this, there was obviously an </w:t>
            </w:r>
            <w:r w:rsidR="00BC00BF">
              <w:rPr>
                <w:rFonts w:ascii="Arial" w:hAnsi="Arial" w:cs="Arial"/>
                <w:sz w:val="24"/>
                <w:szCs w:val="24"/>
              </w:rPr>
              <w:t xml:space="preserve">express </w:t>
            </w:r>
            <w:r w:rsidRPr="00977346">
              <w:rPr>
                <w:rFonts w:ascii="Arial" w:hAnsi="Arial" w:cs="Arial"/>
                <w:sz w:val="24"/>
                <w:szCs w:val="24"/>
              </w:rPr>
              <w:t>election not to persist with the costs issue,</w:t>
            </w:r>
            <w:r w:rsidRPr="00977346">
              <w:rPr>
                <w:rStyle w:val="FootnoteReference"/>
                <w:rFonts w:ascii="Arial" w:hAnsi="Arial" w:cs="Arial"/>
                <w:sz w:val="24"/>
                <w:szCs w:val="24"/>
              </w:rPr>
              <w:footnoteReference w:id="5"/>
            </w:r>
            <w:r w:rsidRPr="00977346">
              <w:rPr>
                <w:rFonts w:ascii="Arial" w:hAnsi="Arial" w:cs="Arial"/>
                <w:sz w:val="24"/>
                <w:szCs w:val="24"/>
              </w:rPr>
              <w:t xml:space="preserve"> but th</w:t>
            </w:r>
            <w:r w:rsidR="00BC00BF">
              <w:rPr>
                <w:rFonts w:ascii="Arial" w:hAnsi="Arial" w:cs="Arial"/>
                <w:sz w:val="24"/>
                <w:szCs w:val="24"/>
              </w:rPr>
              <w:t>is decision was clearly premised</w:t>
            </w:r>
            <w:r w:rsidRPr="00977346">
              <w:rPr>
                <w:rFonts w:ascii="Arial" w:hAnsi="Arial" w:cs="Arial"/>
                <w:sz w:val="24"/>
                <w:szCs w:val="24"/>
              </w:rPr>
              <w:t xml:space="preserve"> on an incorrect basis.</w:t>
            </w:r>
          </w:p>
          <w:p w:rsidR="00977346" w:rsidRPr="00977346" w:rsidRDefault="00977346" w:rsidP="00977346">
            <w:pPr>
              <w:pStyle w:val="ListParagraph"/>
              <w:spacing w:line="360" w:lineRule="auto"/>
              <w:ind w:left="0"/>
              <w:jc w:val="both"/>
              <w:rPr>
                <w:rFonts w:ascii="Arial" w:hAnsi="Arial" w:cs="Arial"/>
                <w:sz w:val="24"/>
                <w:szCs w:val="24"/>
              </w:rPr>
            </w:pPr>
          </w:p>
          <w:p w:rsidR="00977346" w:rsidRPr="00977346" w:rsidRDefault="00977346" w:rsidP="00977346">
            <w:pPr>
              <w:pStyle w:val="ListParagraph"/>
              <w:spacing w:line="360" w:lineRule="auto"/>
              <w:ind w:left="0"/>
              <w:jc w:val="both"/>
              <w:rPr>
                <w:rFonts w:ascii="Arial" w:hAnsi="Arial" w:cs="Arial"/>
                <w:sz w:val="24"/>
                <w:szCs w:val="24"/>
              </w:rPr>
            </w:pPr>
            <w:r w:rsidRPr="00977346">
              <w:rPr>
                <w:rFonts w:ascii="Arial" w:hAnsi="Arial" w:cs="Arial"/>
                <w:sz w:val="24"/>
                <w:szCs w:val="24"/>
              </w:rPr>
              <w:t>[</w:t>
            </w:r>
            <w:r w:rsidR="00B933D1">
              <w:rPr>
                <w:rFonts w:ascii="Arial" w:hAnsi="Arial" w:cs="Arial"/>
                <w:sz w:val="24"/>
                <w:szCs w:val="24"/>
              </w:rPr>
              <w:t>5</w:t>
            </w:r>
            <w:r w:rsidR="00BC00BF">
              <w:rPr>
                <w:rFonts w:ascii="Arial" w:hAnsi="Arial" w:cs="Arial"/>
                <w:sz w:val="24"/>
                <w:szCs w:val="24"/>
              </w:rPr>
              <w:t>]</w:t>
            </w:r>
            <w:r w:rsidR="00BC00BF">
              <w:rPr>
                <w:rFonts w:ascii="Arial" w:hAnsi="Arial" w:cs="Arial"/>
                <w:sz w:val="24"/>
                <w:szCs w:val="24"/>
              </w:rPr>
              <w:tab/>
              <w:t>The real underlying reason</w:t>
            </w:r>
            <w:r w:rsidRPr="00977346">
              <w:rPr>
                <w:rFonts w:ascii="Arial" w:hAnsi="Arial" w:cs="Arial"/>
                <w:sz w:val="24"/>
                <w:szCs w:val="24"/>
              </w:rPr>
              <w:t xml:space="preserve"> for this seems to be the inability to advise their clients appropriately, that is the in ability of the respondents’ legal practitioners, to advise their clients, appropriately, on the way forward. </w:t>
            </w:r>
          </w:p>
          <w:p w:rsidR="00977346" w:rsidRPr="00977346" w:rsidRDefault="00977346" w:rsidP="00977346">
            <w:pPr>
              <w:pStyle w:val="ListParagraph"/>
              <w:spacing w:line="360" w:lineRule="auto"/>
              <w:ind w:left="0"/>
              <w:jc w:val="both"/>
              <w:rPr>
                <w:rFonts w:ascii="Arial" w:hAnsi="Arial" w:cs="Arial"/>
                <w:sz w:val="24"/>
                <w:szCs w:val="24"/>
              </w:rPr>
            </w:pPr>
          </w:p>
          <w:p w:rsidR="00977346" w:rsidRPr="00977346" w:rsidRDefault="00977346" w:rsidP="00977346">
            <w:pPr>
              <w:pStyle w:val="ListParagraph"/>
              <w:spacing w:line="360" w:lineRule="auto"/>
              <w:ind w:left="0"/>
              <w:jc w:val="both"/>
              <w:rPr>
                <w:rFonts w:ascii="Arial" w:hAnsi="Arial" w:cs="Arial"/>
                <w:sz w:val="24"/>
                <w:szCs w:val="24"/>
              </w:rPr>
            </w:pPr>
            <w:r w:rsidRPr="00977346">
              <w:rPr>
                <w:rFonts w:ascii="Arial" w:hAnsi="Arial" w:cs="Arial"/>
                <w:sz w:val="24"/>
                <w:szCs w:val="24"/>
              </w:rPr>
              <w:t>[</w:t>
            </w:r>
            <w:r w:rsidR="00B933D1">
              <w:rPr>
                <w:rFonts w:ascii="Arial" w:hAnsi="Arial" w:cs="Arial"/>
                <w:sz w:val="24"/>
                <w:szCs w:val="24"/>
              </w:rPr>
              <w:t>6</w:t>
            </w:r>
            <w:r w:rsidRPr="00977346">
              <w:rPr>
                <w:rFonts w:ascii="Arial" w:hAnsi="Arial" w:cs="Arial"/>
                <w:sz w:val="24"/>
                <w:szCs w:val="24"/>
              </w:rPr>
              <w:t>]</w:t>
            </w:r>
            <w:r w:rsidRPr="00977346">
              <w:rPr>
                <w:rFonts w:ascii="Arial" w:hAnsi="Arial" w:cs="Arial"/>
                <w:sz w:val="24"/>
                <w:szCs w:val="24"/>
              </w:rPr>
              <w:tab/>
              <w:t>In the interim these respondents had also been granted the opportunity to show cause, why, this matter should not be regarded as finalised.</w:t>
            </w:r>
            <w:r w:rsidRPr="00977346">
              <w:rPr>
                <w:rStyle w:val="FootnoteReference"/>
                <w:rFonts w:ascii="Arial" w:hAnsi="Arial" w:cs="Arial"/>
                <w:sz w:val="24"/>
                <w:szCs w:val="24"/>
              </w:rPr>
              <w:footnoteReference w:id="6"/>
            </w:r>
            <w:r w:rsidRPr="00977346">
              <w:rPr>
                <w:rFonts w:ascii="Arial" w:hAnsi="Arial" w:cs="Arial"/>
                <w:sz w:val="24"/>
                <w:szCs w:val="24"/>
              </w:rPr>
              <w:t xml:space="preserve">  </w:t>
            </w:r>
          </w:p>
          <w:p w:rsidR="00977346" w:rsidRPr="00977346" w:rsidRDefault="00977346" w:rsidP="00977346">
            <w:pPr>
              <w:pStyle w:val="ListParagraph"/>
              <w:spacing w:line="360" w:lineRule="auto"/>
              <w:ind w:left="0"/>
              <w:jc w:val="both"/>
              <w:rPr>
                <w:rFonts w:ascii="Arial" w:hAnsi="Arial" w:cs="Arial"/>
                <w:sz w:val="24"/>
                <w:szCs w:val="24"/>
              </w:rPr>
            </w:pPr>
          </w:p>
          <w:p w:rsidR="00977346" w:rsidRPr="00977346" w:rsidRDefault="00977346" w:rsidP="00977346">
            <w:pPr>
              <w:pStyle w:val="ListParagraph"/>
              <w:spacing w:line="360" w:lineRule="auto"/>
              <w:ind w:left="0"/>
              <w:jc w:val="both"/>
              <w:rPr>
                <w:rFonts w:ascii="Arial" w:hAnsi="Arial" w:cs="Arial"/>
                <w:sz w:val="24"/>
                <w:szCs w:val="24"/>
              </w:rPr>
            </w:pPr>
            <w:r w:rsidRPr="00977346">
              <w:rPr>
                <w:rFonts w:ascii="Arial" w:hAnsi="Arial" w:cs="Arial"/>
                <w:sz w:val="24"/>
                <w:szCs w:val="24"/>
              </w:rPr>
              <w:t>[</w:t>
            </w:r>
            <w:r w:rsidR="00B933D1">
              <w:rPr>
                <w:rFonts w:ascii="Arial" w:hAnsi="Arial" w:cs="Arial"/>
                <w:sz w:val="24"/>
                <w:szCs w:val="24"/>
              </w:rPr>
              <w:t>7</w:t>
            </w:r>
            <w:r w:rsidR="00BC00BF">
              <w:rPr>
                <w:rFonts w:ascii="Arial" w:hAnsi="Arial" w:cs="Arial"/>
                <w:sz w:val="24"/>
                <w:szCs w:val="24"/>
              </w:rPr>
              <w:t>]</w:t>
            </w:r>
            <w:r w:rsidR="00BC00BF">
              <w:rPr>
                <w:rFonts w:ascii="Arial" w:hAnsi="Arial" w:cs="Arial"/>
                <w:sz w:val="24"/>
                <w:szCs w:val="24"/>
              </w:rPr>
              <w:tab/>
              <w:t>They have not shown cause, why</w:t>
            </w:r>
            <w:r w:rsidRPr="00977346">
              <w:rPr>
                <w:rFonts w:ascii="Arial" w:hAnsi="Arial" w:cs="Arial"/>
                <w:sz w:val="24"/>
                <w:szCs w:val="24"/>
              </w:rPr>
              <w:t xml:space="preserve"> this matter should not be regarded as finalised. In fact, the contrary is true, as they have elected not to pursue the costs avenue any further as the Status Report of 15 July 2020 shows. </w:t>
            </w:r>
          </w:p>
          <w:p w:rsidR="00977346" w:rsidRPr="00977346" w:rsidRDefault="00977346" w:rsidP="00977346">
            <w:pPr>
              <w:pStyle w:val="ListParagraph"/>
              <w:spacing w:line="360" w:lineRule="auto"/>
              <w:ind w:left="0"/>
              <w:jc w:val="both"/>
              <w:rPr>
                <w:rFonts w:ascii="Arial" w:hAnsi="Arial" w:cs="Arial"/>
                <w:sz w:val="24"/>
                <w:szCs w:val="24"/>
              </w:rPr>
            </w:pPr>
          </w:p>
          <w:p w:rsidR="00977346" w:rsidRDefault="00977346" w:rsidP="00977346">
            <w:pPr>
              <w:pStyle w:val="ListParagraph"/>
              <w:spacing w:line="360" w:lineRule="auto"/>
              <w:ind w:left="0"/>
              <w:jc w:val="both"/>
              <w:rPr>
                <w:rFonts w:ascii="Arial" w:hAnsi="Arial" w:cs="Arial"/>
                <w:sz w:val="24"/>
                <w:szCs w:val="24"/>
              </w:rPr>
            </w:pPr>
            <w:r w:rsidRPr="00977346">
              <w:rPr>
                <w:rFonts w:ascii="Arial" w:hAnsi="Arial" w:cs="Arial"/>
                <w:sz w:val="24"/>
                <w:szCs w:val="24"/>
              </w:rPr>
              <w:t>[</w:t>
            </w:r>
            <w:r w:rsidR="00B933D1">
              <w:rPr>
                <w:rFonts w:ascii="Arial" w:hAnsi="Arial" w:cs="Arial"/>
                <w:sz w:val="24"/>
                <w:szCs w:val="24"/>
              </w:rPr>
              <w:t>8</w:t>
            </w:r>
            <w:r w:rsidRPr="00977346">
              <w:rPr>
                <w:rFonts w:ascii="Arial" w:hAnsi="Arial" w:cs="Arial"/>
                <w:sz w:val="24"/>
                <w:szCs w:val="24"/>
              </w:rPr>
              <w:t>]</w:t>
            </w:r>
            <w:r w:rsidRPr="00977346">
              <w:rPr>
                <w:rFonts w:ascii="Arial" w:hAnsi="Arial" w:cs="Arial"/>
                <w:sz w:val="24"/>
                <w:szCs w:val="24"/>
              </w:rPr>
              <w:tab/>
              <w:t>This position was also confirmed again today by Ms Angula, appearing for the first to seventh respondents, during the hearing of this matter</w:t>
            </w:r>
            <w:r w:rsidR="00B933D1">
              <w:rPr>
                <w:rFonts w:ascii="Arial" w:hAnsi="Arial" w:cs="Arial"/>
                <w:sz w:val="24"/>
                <w:szCs w:val="24"/>
              </w:rPr>
              <w:t>.</w:t>
            </w:r>
            <w:r w:rsidRPr="00977346">
              <w:rPr>
                <w:rFonts w:ascii="Arial" w:hAnsi="Arial" w:cs="Arial"/>
                <w:sz w:val="24"/>
                <w:szCs w:val="24"/>
              </w:rPr>
              <w:t xml:space="preserve"> </w:t>
            </w:r>
          </w:p>
          <w:p w:rsidR="00BC00BF" w:rsidRDefault="00BC00BF" w:rsidP="00977346">
            <w:pPr>
              <w:pStyle w:val="ListParagraph"/>
              <w:spacing w:line="360" w:lineRule="auto"/>
              <w:ind w:left="0"/>
              <w:jc w:val="both"/>
              <w:rPr>
                <w:rFonts w:ascii="Arial" w:hAnsi="Arial" w:cs="Arial"/>
                <w:sz w:val="24"/>
                <w:szCs w:val="24"/>
              </w:rPr>
            </w:pPr>
          </w:p>
          <w:p w:rsidR="00BC00BF" w:rsidRDefault="000F0F85" w:rsidP="008045C5">
            <w:pPr>
              <w:pStyle w:val="ListParagraph"/>
              <w:spacing w:line="360" w:lineRule="auto"/>
              <w:ind w:left="729" w:hanging="729"/>
              <w:jc w:val="both"/>
              <w:rPr>
                <w:rFonts w:ascii="Arial" w:hAnsi="Arial" w:cs="Arial"/>
                <w:sz w:val="24"/>
                <w:szCs w:val="24"/>
              </w:rPr>
            </w:pPr>
            <w:r>
              <w:rPr>
                <w:rFonts w:ascii="Arial" w:hAnsi="Arial" w:cs="Arial"/>
                <w:sz w:val="24"/>
                <w:szCs w:val="24"/>
              </w:rPr>
              <w:t>[9]</w:t>
            </w:r>
            <w:r w:rsidR="008045C5">
              <w:rPr>
                <w:rFonts w:ascii="Arial" w:hAnsi="Arial" w:cs="Arial"/>
                <w:sz w:val="24"/>
                <w:szCs w:val="24"/>
              </w:rPr>
              <w:t xml:space="preserve">       </w:t>
            </w:r>
            <w:r w:rsidR="00BC00BF">
              <w:rPr>
                <w:rFonts w:ascii="Arial" w:hAnsi="Arial" w:cs="Arial"/>
                <w:sz w:val="24"/>
                <w:szCs w:val="24"/>
              </w:rPr>
              <w:t>In such premises there will be no order as to costs</w:t>
            </w:r>
            <w:r w:rsidR="00D65632">
              <w:rPr>
                <w:rFonts w:ascii="Arial" w:hAnsi="Arial" w:cs="Arial"/>
                <w:sz w:val="24"/>
                <w:szCs w:val="24"/>
              </w:rPr>
              <w:t xml:space="preserve"> and the matter will be regarded as finalised</w:t>
            </w:r>
            <w:r w:rsidR="00BC00BF">
              <w:rPr>
                <w:rFonts w:ascii="Arial" w:hAnsi="Arial" w:cs="Arial"/>
                <w:sz w:val="24"/>
                <w:szCs w:val="24"/>
              </w:rPr>
              <w:t>.</w:t>
            </w:r>
          </w:p>
          <w:p w:rsidR="00977346" w:rsidRDefault="00977346" w:rsidP="00FD38C2">
            <w:pPr>
              <w:spacing w:line="360" w:lineRule="auto"/>
              <w:jc w:val="both"/>
              <w:rPr>
                <w:rFonts w:ascii="Arial" w:hAnsi="Arial" w:cs="Arial"/>
              </w:rPr>
            </w:pPr>
          </w:p>
          <w:p w:rsidR="00711F52" w:rsidRPr="006E49A3" w:rsidRDefault="00711F52" w:rsidP="006C2F95">
            <w:pPr>
              <w:suppressAutoHyphens/>
              <w:spacing w:line="360" w:lineRule="auto"/>
              <w:ind w:right="74"/>
              <w:jc w:val="both"/>
              <w:rPr>
                <w:rFonts w:ascii="Arial" w:hAnsi="Arial" w:cs="Arial"/>
              </w:rPr>
            </w:pPr>
          </w:p>
        </w:tc>
      </w:tr>
      <w:tr w:rsidR="00BE5489" w:rsidRPr="006E49A3" w:rsidTr="00C04EBD">
        <w:tc>
          <w:tcPr>
            <w:tcW w:w="4770" w:type="dxa"/>
          </w:tcPr>
          <w:p w:rsidR="00BE5489" w:rsidRPr="006E49A3" w:rsidRDefault="00EB27A0" w:rsidP="0050338C">
            <w:pPr>
              <w:spacing w:line="360" w:lineRule="auto"/>
              <w:jc w:val="center"/>
              <w:rPr>
                <w:rFonts w:ascii="Arial" w:hAnsi="Arial" w:cs="Arial"/>
                <w:b/>
              </w:rPr>
            </w:pPr>
            <w:r w:rsidRPr="006E49A3">
              <w:rPr>
                <w:rFonts w:ascii="Arial" w:hAnsi="Arial" w:cs="Arial"/>
                <w:b/>
              </w:rPr>
              <w:lastRenderedPageBreak/>
              <w:t>Judge’s signature:</w:t>
            </w:r>
          </w:p>
        </w:tc>
        <w:tc>
          <w:tcPr>
            <w:tcW w:w="4950" w:type="dxa"/>
            <w:gridSpan w:val="2"/>
          </w:tcPr>
          <w:p w:rsidR="00BE5489" w:rsidRPr="006E49A3" w:rsidRDefault="00EB27A0" w:rsidP="0050338C">
            <w:pPr>
              <w:spacing w:line="360" w:lineRule="auto"/>
              <w:jc w:val="center"/>
              <w:rPr>
                <w:rFonts w:ascii="Arial" w:hAnsi="Arial" w:cs="Arial"/>
                <w:b/>
              </w:rPr>
            </w:pPr>
            <w:r w:rsidRPr="006E49A3">
              <w:rPr>
                <w:rFonts w:ascii="Arial" w:hAnsi="Arial" w:cs="Arial"/>
                <w:b/>
              </w:rPr>
              <w:t>Note to the parties:</w:t>
            </w:r>
          </w:p>
        </w:tc>
      </w:tr>
      <w:tr w:rsidR="00BE5489" w:rsidRPr="006E49A3" w:rsidTr="0050338C">
        <w:trPr>
          <w:trHeight w:val="1114"/>
        </w:trPr>
        <w:tc>
          <w:tcPr>
            <w:tcW w:w="4770" w:type="dxa"/>
          </w:tcPr>
          <w:p w:rsidR="00BE5489" w:rsidRPr="006E49A3" w:rsidRDefault="00BE5489" w:rsidP="00EB27A0">
            <w:pPr>
              <w:spacing w:line="360" w:lineRule="auto"/>
              <w:jc w:val="both"/>
              <w:rPr>
                <w:rFonts w:ascii="Arial" w:hAnsi="Arial" w:cs="Arial"/>
              </w:rPr>
            </w:pPr>
          </w:p>
          <w:p w:rsidR="006D2D84" w:rsidRPr="006E49A3" w:rsidRDefault="006D2D84" w:rsidP="00EB27A0">
            <w:pPr>
              <w:spacing w:line="360" w:lineRule="auto"/>
              <w:jc w:val="both"/>
              <w:rPr>
                <w:rFonts w:ascii="Arial" w:hAnsi="Arial" w:cs="Arial"/>
              </w:rPr>
            </w:pPr>
          </w:p>
          <w:p w:rsidR="009F6C8B" w:rsidRPr="006E49A3" w:rsidRDefault="009F6C8B" w:rsidP="00EB27A0">
            <w:pPr>
              <w:spacing w:line="360" w:lineRule="auto"/>
              <w:jc w:val="both"/>
              <w:rPr>
                <w:rFonts w:ascii="Arial" w:hAnsi="Arial" w:cs="Arial"/>
              </w:rPr>
            </w:pPr>
          </w:p>
        </w:tc>
        <w:tc>
          <w:tcPr>
            <w:tcW w:w="4950" w:type="dxa"/>
            <w:gridSpan w:val="2"/>
          </w:tcPr>
          <w:p w:rsidR="00BE5489" w:rsidRPr="006E49A3" w:rsidRDefault="0060394A" w:rsidP="00952193">
            <w:pPr>
              <w:spacing w:line="360" w:lineRule="auto"/>
              <w:jc w:val="both"/>
              <w:rPr>
                <w:rFonts w:ascii="Arial" w:hAnsi="Arial" w:cs="Arial"/>
              </w:rPr>
            </w:pPr>
            <w:r w:rsidRPr="006E49A3">
              <w:rPr>
                <w:rFonts w:ascii="Arial" w:hAnsi="Arial" w:cs="Arial"/>
              </w:rPr>
              <w:t>Not applicable.</w:t>
            </w:r>
          </w:p>
        </w:tc>
      </w:tr>
      <w:tr w:rsidR="00A23F8A" w:rsidRPr="006E49A3" w:rsidTr="00B530B4">
        <w:tc>
          <w:tcPr>
            <w:tcW w:w="9720" w:type="dxa"/>
            <w:gridSpan w:val="3"/>
          </w:tcPr>
          <w:p w:rsidR="00A23F8A" w:rsidRPr="006E49A3" w:rsidRDefault="00A23F8A" w:rsidP="00A23F8A">
            <w:pPr>
              <w:spacing w:line="360" w:lineRule="auto"/>
              <w:jc w:val="center"/>
              <w:rPr>
                <w:rFonts w:ascii="Arial" w:hAnsi="Arial" w:cs="Arial"/>
                <w:b/>
              </w:rPr>
            </w:pPr>
            <w:r w:rsidRPr="006E49A3">
              <w:rPr>
                <w:rFonts w:ascii="Arial" w:hAnsi="Arial" w:cs="Arial"/>
                <w:b/>
              </w:rPr>
              <w:t>Counsel:</w:t>
            </w:r>
          </w:p>
        </w:tc>
      </w:tr>
      <w:tr w:rsidR="00FD38C2" w:rsidRPr="006E49A3" w:rsidTr="00FD38C2">
        <w:tc>
          <w:tcPr>
            <w:tcW w:w="4770" w:type="dxa"/>
          </w:tcPr>
          <w:p w:rsidR="00FD38C2" w:rsidRPr="006E49A3" w:rsidRDefault="00B933D1" w:rsidP="00265783">
            <w:pPr>
              <w:spacing w:line="360" w:lineRule="auto"/>
              <w:jc w:val="center"/>
              <w:rPr>
                <w:rFonts w:ascii="Arial" w:hAnsi="Arial" w:cs="Arial"/>
                <w:b/>
              </w:rPr>
            </w:pPr>
            <w:r>
              <w:rPr>
                <w:rFonts w:ascii="Arial" w:hAnsi="Arial" w:cs="Arial"/>
                <w:b/>
              </w:rPr>
              <w:t>1</w:t>
            </w:r>
            <w:r w:rsidRPr="00B933D1">
              <w:rPr>
                <w:rFonts w:ascii="Arial" w:hAnsi="Arial" w:cs="Arial"/>
                <w:b/>
                <w:vertAlign w:val="superscript"/>
              </w:rPr>
              <w:t>st</w:t>
            </w:r>
            <w:r>
              <w:rPr>
                <w:rFonts w:ascii="Arial" w:hAnsi="Arial" w:cs="Arial"/>
                <w:b/>
              </w:rPr>
              <w:t xml:space="preserve"> – 7</w:t>
            </w:r>
            <w:r w:rsidRPr="00B933D1">
              <w:rPr>
                <w:rFonts w:ascii="Arial" w:hAnsi="Arial" w:cs="Arial"/>
                <w:b/>
                <w:vertAlign w:val="superscript"/>
              </w:rPr>
              <w:t>th</w:t>
            </w:r>
            <w:r>
              <w:rPr>
                <w:rFonts w:ascii="Arial" w:hAnsi="Arial" w:cs="Arial"/>
                <w:b/>
              </w:rPr>
              <w:t xml:space="preserve"> Respondents</w:t>
            </w:r>
          </w:p>
        </w:tc>
        <w:tc>
          <w:tcPr>
            <w:tcW w:w="4950" w:type="dxa"/>
            <w:gridSpan w:val="2"/>
          </w:tcPr>
          <w:p w:rsidR="00FD38C2" w:rsidRPr="006E49A3" w:rsidRDefault="00B933D1" w:rsidP="00265783">
            <w:pPr>
              <w:spacing w:line="360" w:lineRule="auto"/>
              <w:jc w:val="center"/>
              <w:rPr>
                <w:rFonts w:ascii="Arial" w:hAnsi="Arial" w:cs="Arial"/>
                <w:b/>
              </w:rPr>
            </w:pPr>
            <w:r>
              <w:rPr>
                <w:rFonts w:ascii="Arial" w:hAnsi="Arial" w:cs="Arial"/>
                <w:b/>
              </w:rPr>
              <w:t>Mr Amalwa</w:t>
            </w:r>
          </w:p>
        </w:tc>
      </w:tr>
      <w:tr w:rsidR="00A23F8A" w:rsidRPr="006E49A3" w:rsidTr="00FD38C2">
        <w:tc>
          <w:tcPr>
            <w:tcW w:w="4770" w:type="dxa"/>
          </w:tcPr>
          <w:p w:rsidR="00B933D1" w:rsidRDefault="00B933D1" w:rsidP="008E6759">
            <w:pPr>
              <w:spacing w:line="360" w:lineRule="auto"/>
              <w:jc w:val="center"/>
              <w:rPr>
                <w:rFonts w:ascii="Arial" w:hAnsi="Arial" w:cs="Arial"/>
              </w:rPr>
            </w:pPr>
          </w:p>
          <w:p w:rsidR="008E6759" w:rsidRPr="006E49A3" w:rsidRDefault="00B933D1" w:rsidP="008E6759">
            <w:pPr>
              <w:spacing w:line="360" w:lineRule="auto"/>
              <w:jc w:val="center"/>
              <w:rPr>
                <w:rFonts w:ascii="Arial" w:hAnsi="Arial" w:cs="Arial"/>
              </w:rPr>
            </w:pPr>
            <w:r>
              <w:rPr>
                <w:rFonts w:ascii="Arial" w:hAnsi="Arial" w:cs="Arial"/>
              </w:rPr>
              <w:t>M Angula</w:t>
            </w:r>
          </w:p>
          <w:p w:rsidR="008E6759" w:rsidRPr="005537CA" w:rsidRDefault="00B933D1" w:rsidP="008E6759">
            <w:pPr>
              <w:spacing w:line="360" w:lineRule="auto"/>
              <w:jc w:val="center"/>
              <w:rPr>
                <w:rFonts w:ascii="Arial" w:hAnsi="Arial" w:cs="Arial"/>
              </w:rPr>
            </w:pPr>
            <w:r w:rsidRPr="005537CA">
              <w:rPr>
                <w:rFonts w:ascii="Arial" w:hAnsi="Arial" w:cs="Arial"/>
              </w:rPr>
              <w:t>of</w:t>
            </w:r>
          </w:p>
          <w:p w:rsidR="00B933D1" w:rsidRDefault="00B933D1" w:rsidP="00B933D1">
            <w:pPr>
              <w:spacing w:line="360" w:lineRule="auto"/>
              <w:jc w:val="center"/>
              <w:rPr>
                <w:rFonts w:ascii="Arial" w:hAnsi="Arial" w:cs="Arial"/>
              </w:rPr>
            </w:pPr>
            <w:r>
              <w:rPr>
                <w:rFonts w:ascii="Arial" w:hAnsi="Arial" w:cs="Arial"/>
              </w:rPr>
              <w:t>AngulaCo. Inc.</w:t>
            </w:r>
          </w:p>
          <w:p w:rsidR="008E6759" w:rsidRPr="006E49A3" w:rsidRDefault="008E6759" w:rsidP="008E6759">
            <w:pPr>
              <w:spacing w:line="360" w:lineRule="auto"/>
              <w:jc w:val="center"/>
              <w:rPr>
                <w:rFonts w:ascii="Arial" w:hAnsi="Arial" w:cs="Arial"/>
              </w:rPr>
            </w:pPr>
          </w:p>
        </w:tc>
        <w:tc>
          <w:tcPr>
            <w:tcW w:w="4950" w:type="dxa"/>
            <w:gridSpan w:val="2"/>
          </w:tcPr>
          <w:p w:rsidR="00B933D1" w:rsidRDefault="00B933D1" w:rsidP="008E6759">
            <w:pPr>
              <w:spacing w:line="360" w:lineRule="auto"/>
              <w:jc w:val="center"/>
              <w:rPr>
                <w:rFonts w:ascii="Arial" w:hAnsi="Arial" w:cs="Arial"/>
              </w:rPr>
            </w:pPr>
          </w:p>
          <w:p w:rsidR="008E6759" w:rsidRDefault="00B933D1" w:rsidP="008E6759">
            <w:pPr>
              <w:spacing w:line="360" w:lineRule="auto"/>
              <w:jc w:val="center"/>
              <w:rPr>
                <w:rFonts w:ascii="Arial" w:hAnsi="Arial" w:cs="Arial"/>
              </w:rPr>
            </w:pPr>
            <w:r>
              <w:rPr>
                <w:rFonts w:ascii="Arial" w:hAnsi="Arial" w:cs="Arial"/>
              </w:rPr>
              <w:t>S Miller</w:t>
            </w:r>
          </w:p>
          <w:p w:rsidR="00265783" w:rsidRPr="005537CA" w:rsidRDefault="00265783" w:rsidP="00265783">
            <w:pPr>
              <w:spacing w:line="360" w:lineRule="auto"/>
              <w:jc w:val="center"/>
              <w:rPr>
                <w:rFonts w:ascii="Arial" w:hAnsi="Arial" w:cs="Arial"/>
              </w:rPr>
            </w:pPr>
            <w:r w:rsidRPr="005537CA">
              <w:rPr>
                <w:rFonts w:ascii="Arial" w:hAnsi="Arial" w:cs="Arial"/>
              </w:rPr>
              <w:t>of</w:t>
            </w:r>
          </w:p>
          <w:p w:rsidR="00265783" w:rsidRDefault="007741AD" w:rsidP="00265783">
            <w:pPr>
              <w:spacing w:line="360" w:lineRule="auto"/>
              <w:jc w:val="center"/>
              <w:rPr>
                <w:rFonts w:ascii="Arial" w:hAnsi="Arial" w:cs="Arial"/>
              </w:rPr>
            </w:pPr>
            <w:r>
              <w:rPr>
                <w:rFonts w:ascii="Arial" w:hAnsi="Arial" w:cs="Arial"/>
              </w:rPr>
              <w:t>Shikongo Law Chambers</w:t>
            </w:r>
          </w:p>
          <w:p w:rsidR="006E49A3" w:rsidRPr="006E49A3" w:rsidRDefault="006E49A3" w:rsidP="006E49A3">
            <w:pPr>
              <w:spacing w:line="360" w:lineRule="auto"/>
              <w:jc w:val="center"/>
              <w:rPr>
                <w:rFonts w:ascii="Arial" w:hAnsi="Arial" w:cs="Arial"/>
              </w:rPr>
            </w:pPr>
          </w:p>
        </w:tc>
      </w:tr>
    </w:tbl>
    <w:p w:rsidR="009B096F" w:rsidRPr="006E49A3" w:rsidRDefault="009B096F" w:rsidP="00EB27A0">
      <w:pPr>
        <w:spacing w:after="0" w:line="360" w:lineRule="auto"/>
        <w:jc w:val="both"/>
        <w:rPr>
          <w:rFonts w:ascii="Arial" w:hAnsi="Arial" w:cs="Arial"/>
        </w:rPr>
      </w:pPr>
    </w:p>
    <w:sectPr w:rsidR="009B096F" w:rsidRPr="006E49A3" w:rsidSect="00026D86">
      <w:footerReference w:type="default" r:id="rId9"/>
      <w:pgSz w:w="11906" w:h="16838"/>
      <w:pgMar w:top="1134" w:right="1440" w:bottom="851" w:left="1440" w:header="708" w:footer="6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9EB" w:rsidRDefault="007419EB" w:rsidP="00A23F8A">
      <w:pPr>
        <w:spacing w:after="0" w:line="240" w:lineRule="auto"/>
      </w:pPr>
      <w:r>
        <w:separator/>
      </w:r>
    </w:p>
  </w:endnote>
  <w:endnote w:type="continuationSeparator" w:id="0">
    <w:p w:rsidR="007419EB" w:rsidRDefault="007419EB" w:rsidP="00A2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792931"/>
      <w:docPartObj>
        <w:docPartGallery w:val="Page Numbers (Bottom of Page)"/>
        <w:docPartUnique/>
      </w:docPartObj>
    </w:sdtPr>
    <w:sdtEndPr>
      <w:rPr>
        <w:noProof/>
      </w:rPr>
    </w:sdtEndPr>
    <w:sdtContent>
      <w:p w:rsidR="00A23F8A" w:rsidRDefault="00A23F8A">
        <w:pPr>
          <w:pStyle w:val="Footer"/>
          <w:jc w:val="right"/>
        </w:pPr>
        <w:r w:rsidRPr="00A23F8A">
          <w:rPr>
            <w:rFonts w:ascii="Arial Narrow" w:hAnsi="Arial Narrow"/>
            <w:sz w:val="18"/>
            <w:szCs w:val="18"/>
          </w:rPr>
          <w:fldChar w:fldCharType="begin"/>
        </w:r>
        <w:r w:rsidRPr="00A23F8A">
          <w:rPr>
            <w:rFonts w:ascii="Arial Narrow" w:hAnsi="Arial Narrow"/>
            <w:sz w:val="18"/>
            <w:szCs w:val="18"/>
          </w:rPr>
          <w:instrText xml:space="preserve"> PAGE   \* MERGEFORMAT </w:instrText>
        </w:r>
        <w:r w:rsidRPr="00A23F8A">
          <w:rPr>
            <w:rFonts w:ascii="Arial Narrow" w:hAnsi="Arial Narrow"/>
            <w:sz w:val="18"/>
            <w:szCs w:val="18"/>
          </w:rPr>
          <w:fldChar w:fldCharType="separate"/>
        </w:r>
        <w:r w:rsidR="005537CA">
          <w:rPr>
            <w:rFonts w:ascii="Arial Narrow" w:hAnsi="Arial Narrow"/>
            <w:noProof/>
            <w:sz w:val="18"/>
            <w:szCs w:val="18"/>
          </w:rPr>
          <w:t>3</w:t>
        </w:r>
        <w:r w:rsidRPr="00A23F8A">
          <w:rPr>
            <w:rFonts w:ascii="Arial Narrow" w:hAnsi="Arial Narrow"/>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9EB" w:rsidRDefault="007419EB" w:rsidP="00A23F8A">
      <w:pPr>
        <w:spacing w:after="0" w:line="240" w:lineRule="auto"/>
      </w:pPr>
      <w:r>
        <w:separator/>
      </w:r>
    </w:p>
  </w:footnote>
  <w:footnote w:type="continuationSeparator" w:id="0">
    <w:p w:rsidR="007419EB" w:rsidRDefault="007419EB" w:rsidP="00A23F8A">
      <w:pPr>
        <w:spacing w:after="0" w:line="240" w:lineRule="auto"/>
      </w:pPr>
      <w:r>
        <w:continuationSeparator/>
      </w:r>
    </w:p>
  </w:footnote>
  <w:footnote w:id="1">
    <w:p w:rsidR="00977346" w:rsidRPr="00B933D1" w:rsidRDefault="00977346" w:rsidP="00977346">
      <w:pPr>
        <w:pStyle w:val="FootnoteText"/>
        <w:jc w:val="both"/>
        <w:rPr>
          <w:rFonts w:ascii="Arial" w:hAnsi="Arial" w:cs="Arial"/>
          <w:lang w:val="en-US"/>
        </w:rPr>
      </w:pPr>
      <w:r w:rsidRPr="00B933D1">
        <w:rPr>
          <w:rStyle w:val="FootnoteReference"/>
          <w:rFonts w:ascii="Arial" w:hAnsi="Arial" w:cs="Arial"/>
        </w:rPr>
        <w:footnoteRef/>
      </w:r>
      <w:r w:rsidRPr="00B933D1">
        <w:rPr>
          <w:rFonts w:ascii="Arial" w:hAnsi="Arial" w:cs="Arial"/>
        </w:rPr>
        <w:t xml:space="preserve"> </w:t>
      </w:r>
      <w:r w:rsidRPr="00B933D1">
        <w:rPr>
          <w:rFonts w:ascii="Arial" w:hAnsi="Arial" w:cs="Arial"/>
          <w:lang w:val="en-US"/>
        </w:rPr>
        <w:t xml:space="preserve">See: </w:t>
      </w:r>
      <w:r w:rsidR="005537CA">
        <w:rPr>
          <w:rFonts w:ascii="Arial" w:hAnsi="Arial" w:cs="Arial"/>
          <w:i/>
        </w:rPr>
        <w:t xml:space="preserve">Kauluma v Nangolo </w:t>
      </w:r>
      <w:r w:rsidRPr="00B933D1">
        <w:rPr>
          <w:rFonts w:ascii="Arial" w:hAnsi="Arial" w:cs="Arial"/>
        </w:rPr>
        <w:t>(HC-MD-CIV-MOT-GEN-2018/00187)</w:t>
      </w:r>
      <w:r w:rsidRPr="00B933D1">
        <w:rPr>
          <w:rFonts w:ascii="Arial" w:hAnsi="Arial" w:cs="Arial"/>
          <w:b/>
        </w:rPr>
        <w:t xml:space="preserve"> </w:t>
      </w:r>
      <w:r w:rsidRPr="00B933D1">
        <w:rPr>
          <w:rFonts w:ascii="Arial" w:hAnsi="Arial" w:cs="Arial"/>
        </w:rPr>
        <w:t>[2020] NAHCMD 215 (10 June 2020)</w:t>
      </w:r>
      <w:r w:rsidR="00B933D1">
        <w:rPr>
          <w:rFonts w:ascii="Arial" w:hAnsi="Arial" w:cs="Arial"/>
        </w:rPr>
        <w:t>.</w:t>
      </w:r>
    </w:p>
  </w:footnote>
  <w:footnote w:id="2">
    <w:p w:rsidR="00977346" w:rsidRPr="00B933D1" w:rsidRDefault="00977346" w:rsidP="00977346">
      <w:pPr>
        <w:pStyle w:val="FootnoteText"/>
        <w:jc w:val="both"/>
        <w:rPr>
          <w:rFonts w:ascii="Arial" w:hAnsi="Arial" w:cs="Arial"/>
          <w:lang w:val="en-US"/>
        </w:rPr>
      </w:pPr>
      <w:r w:rsidRPr="00B933D1">
        <w:rPr>
          <w:rStyle w:val="FootnoteReference"/>
          <w:rFonts w:ascii="Arial" w:hAnsi="Arial" w:cs="Arial"/>
        </w:rPr>
        <w:footnoteRef/>
      </w:r>
      <w:r w:rsidRPr="00B933D1">
        <w:rPr>
          <w:rFonts w:ascii="Arial" w:hAnsi="Arial" w:cs="Arial"/>
        </w:rPr>
        <w:t xml:space="preserve"> </w:t>
      </w:r>
      <w:r w:rsidRPr="00B933D1">
        <w:rPr>
          <w:rFonts w:ascii="Arial" w:hAnsi="Arial" w:cs="Arial"/>
          <w:lang w:val="en-US"/>
        </w:rPr>
        <w:t>This request was made under cover of the 1</w:t>
      </w:r>
      <w:r w:rsidRPr="00B933D1">
        <w:rPr>
          <w:rFonts w:ascii="Arial" w:hAnsi="Arial" w:cs="Arial"/>
          <w:vertAlign w:val="superscript"/>
          <w:lang w:val="en-US"/>
        </w:rPr>
        <w:t>st</w:t>
      </w:r>
      <w:r w:rsidRPr="00B933D1">
        <w:rPr>
          <w:rFonts w:ascii="Arial" w:hAnsi="Arial" w:cs="Arial"/>
          <w:lang w:val="en-US"/>
        </w:rPr>
        <w:t xml:space="preserve"> to 7</w:t>
      </w:r>
      <w:r w:rsidRPr="00B933D1">
        <w:rPr>
          <w:rFonts w:ascii="Arial" w:hAnsi="Arial" w:cs="Arial"/>
          <w:vertAlign w:val="superscript"/>
          <w:lang w:val="en-US"/>
        </w:rPr>
        <w:t>th</w:t>
      </w:r>
      <w:r w:rsidRPr="00B933D1">
        <w:rPr>
          <w:rFonts w:ascii="Arial" w:hAnsi="Arial" w:cs="Arial"/>
          <w:lang w:val="en-US"/>
        </w:rPr>
        <w:t xml:space="preserve"> Respondents’ Status Report dated 16 June 2020 – at para 5</w:t>
      </w:r>
      <w:r w:rsidR="00B933D1">
        <w:rPr>
          <w:rFonts w:ascii="Arial" w:hAnsi="Arial" w:cs="Arial"/>
          <w:lang w:val="en-US"/>
        </w:rPr>
        <w:t>.</w:t>
      </w:r>
    </w:p>
  </w:footnote>
  <w:footnote w:id="3">
    <w:p w:rsidR="00977346" w:rsidRPr="00B933D1" w:rsidRDefault="00977346" w:rsidP="00977346">
      <w:pPr>
        <w:pStyle w:val="FootnoteText"/>
        <w:rPr>
          <w:rFonts w:ascii="Arial" w:hAnsi="Arial" w:cs="Arial"/>
          <w:lang w:val="en-US"/>
        </w:rPr>
      </w:pPr>
      <w:r w:rsidRPr="00B933D1">
        <w:rPr>
          <w:rStyle w:val="FootnoteReference"/>
          <w:rFonts w:ascii="Arial" w:hAnsi="Arial" w:cs="Arial"/>
        </w:rPr>
        <w:footnoteRef/>
      </w:r>
      <w:r w:rsidRPr="00B933D1">
        <w:rPr>
          <w:rFonts w:ascii="Arial" w:hAnsi="Arial" w:cs="Arial"/>
        </w:rPr>
        <w:t xml:space="preserve"> </w:t>
      </w:r>
      <w:r w:rsidRPr="00B933D1">
        <w:rPr>
          <w:rFonts w:ascii="Arial" w:hAnsi="Arial" w:cs="Arial"/>
          <w:lang w:val="en-US"/>
        </w:rPr>
        <w:t>Compare : Order dated 17 June 2020</w:t>
      </w:r>
      <w:r w:rsidR="00B933D1">
        <w:rPr>
          <w:rFonts w:ascii="Arial" w:hAnsi="Arial" w:cs="Arial"/>
          <w:lang w:val="en-US"/>
        </w:rPr>
        <w:t>.</w:t>
      </w:r>
    </w:p>
  </w:footnote>
  <w:footnote w:id="4">
    <w:p w:rsidR="00977346" w:rsidRPr="00B933D1" w:rsidRDefault="00977346" w:rsidP="00977346">
      <w:pPr>
        <w:pStyle w:val="FootnoteText"/>
        <w:rPr>
          <w:rFonts w:ascii="Arial" w:hAnsi="Arial" w:cs="Arial"/>
          <w:lang w:val="en-US"/>
        </w:rPr>
      </w:pPr>
      <w:r w:rsidRPr="00B933D1">
        <w:rPr>
          <w:rStyle w:val="FootnoteReference"/>
          <w:rFonts w:ascii="Arial" w:hAnsi="Arial" w:cs="Arial"/>
        </w:rPr>
        <w:footnoteRef/>
      </w:r>
      <w:r w:rsidRPr="00B933D1">
        <w:rPr>
          <w:rFonts w:ascii="Arial" w:hAnsi="Arial" w:cs="Arial"/>
        </w:rPr>
        <w:t xml:space="preserve"> </w:t>
      </w:r>
      <w:r w:rsidRPr="00B933D1">
        <w:rPr>
          <w:rFonts w:ascii="Arial" w:hAnsi="Arial" w:cs="Arial"/>
          <w:lang w:val="en-US"/>
        </w:rPr>
        <w:t>Compare : 1</w:t>
      </w:r>
      <w:r w:rsidRPr="00B933D1">
        <w:rPr>
          <w:rFonts w:ascii="Arial" w:hAnsi="Arial" w:cs="Arial"/>
          <w:vertAlign w:val="superscript"/>
          <w:lang w:val="en-US"/>
        </w:rPr>
        <w:t>st</w:t>
      </w:r>
      <w:r w:rsidRPr="00B933D1">
        <w:rPr>
          <w:rFonts w:ascii="Arial" w:hAnsi="Arial" w:cs="Arial"/>
          <w:lang w:val="en-US"/>
        </w:rPr>
        <w:t xml:space="preserve"> to 7</w:t>
      </w:r>
      <w:r w:rsidRPr="00B933D1">
        <w:rPr>
          <w:rFonts w:ascii="Arial" w:hAnsi="Arial" w:cs="Arial"/>
          <w:vertAlign w:val="superscript"/>
          <w:lang w:val="en-US"/>
        </w:rPr>
        <w:t>th</w:t>
      </w:r>
      <w:r w:rsidRPr="00B933D1">
        <w:rPr>
          <w:rFonts w:ascii="Arial" w:hAnsi="Arial" w:cs="Arial"/>
          <w:lang w:val="en-US"/>
        </w:rPr>
        <w:t xml:space="preserve"> Respondents’ Status Report dated 29 June 2020</w:t>
      </w:r>
      <w:r w:rsidR="00B933D1">
        <w:rPr>
          <w:rFonts w:ascii="Arial" w:hAnsi="Arial" w:cs="Arial"/>
          <w:lang w:val="en-US"/>
        </w:rPr>
        <w:t>.</w:t>
      </w:r>
    </w:p>
  </w:footnote>
  <w:footnote w:id="5">
    <w:p w:rsidR="00977346" w:rsidRPr="00B933D1" w:rsidRDefault="00977346" w:rsidP="00977346">
      <w:pPr>
        <w:pStyle w:val="FootnoteText"/>
        <w:rPr>
          <w:rFonts w:ascii="Arial" w:hAnsi="Arial" w:cs="Arial"/>
          <w:lang w:val="en-US"/>
        </w:rPr>
      </w:pPr>
      <w:r w:rsidRPr="00B933D1">
        <w:rPr>
          <w:rStyle w:val="FootnoteReference"/>
          <w:rFonts w:ascii="Arial" w:hAnsi="Arial" w:cs="Arial"/>
        </w:rPr>
        <w:footnoteRef/>
      </w:r>
      <w:r w:rsidRPr="00B933D1">
        <w:rPr>
          <w:rFonts w:ascii="Arial" w:hAnsi="Arial" w:cs="Arial"/>
        </w:rPr>
        <w:t xml:space="preserve"> </w:t>
      </w:r>
      <w:r w:rsidRPr="00B933D1">
        <w:rPr>
          <w:rFonts w:ascii="Arial" w:hAnsi="Arial" w:cs="Arial"/>
          <w:lang w:val="en-US"/>
        </w:rPr>
        <w:t>Compare : 1</w:t>
      </w:r>
      <w:r w:rsidRPr="00B933D1">
        <w:rPr>
          <w:rFonts w:ascii="Arial" w:hAnsi="Arial" w:cs="Arial"/>
          <w:vertAlign w:val="superscript"/>
          <w:lang w:val="en-US"/>
        </w:rPr>
        <w:t>st</w:t>
      </w:r>
      <w:r w:rsidRPr="00B933D1">
        <w:rPr>
          <w:rFonts w:ascii="Arial" w:hAnsi="Arial" w:cs="Arial"/>
          <w:lang w:val="en-US"/>
        </w:rPr>
        <w:t xml:space="preserve"> to 7</w:t>
      </w:r>
      <w:r w:rsidRPr="00B933D1">
        <w:rPr>
          <w:rFonts w:ascii="Arial" w:hAnsi="Arial" w:cs="Arial"/>
          <w:vertAlign w:val="superscript"/>
          <w:lang w:val="en-US"/>
        </w:rPr>
        <w:t>th</w:t>
      </w:r>
      <w:r w:rsidRPr="00B933D1">
        <w:rPr>
          <w:rFonts w:ascii="Arial" w:hAnsi="Arial" w:cs="Arial"/>
          <w:lang w:val="en-US"/>
        </w:rPr>
        <w:t xml:space="preserve"> Respondents’ Status Report dated 15 July 2020</w:t>
      </w:r>
      <w:r w:rsidR="00B933D1">
        <w:rPr>
          <w:rFonts w:ascii="Arial" w:hAnsi="Arial" w:cs="Arial"/>
          <w:lang w:val="en-US"/>
        </w:rPr>
        <w:t>.</w:t>
      </w:r>
    </w:p>
  </w:footnote>
  <w:footnote w:id="6">
    <w:p w:rsidR="00977346" w:rsidRPr="00B933D1" w:rsidRDefault="00977346" w:rsidP="00977346">
      <w:pPr>
        <w:pStyle w:val="FootnoteText"/>
        <w:rPr>
          <w:rFonts w:ascii="Arial" w:hAnsi="Arial" w:cs="Arial"/>
          <w:lang w:val="en-US"/>
        </w:rPr>
      </w:pPr>
      <w:r w:rsidRPr="00B933D1">
        <w:rPr>
          <w:rStyle w:val="FootnoteReference"/>
          <w:rFonts w:ascii="Arial" w:hAnsi="Arial" w:cs="Arial"/>
        </w:rPr>
        <w:footnoteRef/>
      </w:r>
      <w:r w:rsidRPr="00B933D1">
        <w:rPr>
          <w:rFonts w:ascii="Arial" w:hAnsi="Arial" w:cs="Arial"/>
        </w:rPr>
        <w:t xml:space="preserve"> </w:t>
      </w:r>
      <w:r w:rsidRPr="00B933D1">
        <w:rPr>
          <w:rFonts w:ascii="Arial" w:hAnsi="Arial" w:cs="Arial"/>
          <w:lang w:val="en-US"/>
        </w:rPr>
        <w:t>Compare : Order dated 1 July 2020</w:t>
      </w:r>
      <w:r w:rsidR="00B933D1">
        <w:rPr>
          <w:rFonts w:ascii="Arial" w:hAnsi="Arial" w:cs="Arial"/>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4654F"/>
    <w:multiLevelType w:val="hybridMultilevel"/>
    <w:tmpl w:val="D0980A98"/>
    <w:lvl w:ilvl="0" w:tplc="1C09000F">
      <w:start w:val="1"/>
      <w:numFmt w:val="decimal"/>
      <w:lvlText w:val="%1."/>
      <w:lvlJc w:val="left"/>
      <w:pPr>
        <w:ind w:left="5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2325C20"/>
    <w:multiLevelType w:val="hybridMultilevel"/>
    <w:tmpl w:val="08284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31676"/>
    <w:multiLevelType w:val="hybridMultilevel"/>
    <w:tmpl w:val="891C9018"/>
    <w:lvl w:ilvl="0" w:tplc="21F07688">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C750334"/>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2173781"/>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74C6E6D"/>
    <w:multiLevelType w:val="hybridMultilevel"/>
    <w:tmpl w:val="3EA22A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75816A4"/>
    <w:multiLevelType w:val="multilevel"/>
    <w:tmpl w:val="C8EA4ED8"/>
    <w:lvl w:ilvl="0">
      <w:start w:val="1"/>
      <w:numFmt w:val="decimal"/>
      <w:lvlText w:val="%1."/>
      <w:lvlJc w:val="left"/>
      <w:pPr>
        <w:ind w:left="1080" w:hanging="360"/>
      </w:pPr>
      <w:rPr>
        <w:rFonts w:hint="default"/>
      </w:rPr>
    </w:lvl>
    <w:lvl w:ilvl="1">
      <w:start w:val="1"/>
      <w:numFmt w:val="decimal"/>
      <w:isLgl/>
      <w:lvlText w:val="%1.%2"/>
      <w:lvlJc w:val="left"/>
      <w:pPr>
        <w:ind w:left="1455" w:hanging="735"/>
      </w:pPr>
      <w:rPr>
        <w:rFonts w:hint="default"/>
      </w:rPr>
    </w:lvl>
    <w:lvl w:ilvl="2">
      <w:start w:val="1"/>
      <w:numFmt w:val="decimal"/>
      <w:isLgl/>
      <w:lvlText w:val="%1.%2.%3"/>
      <w:lvlJc w:val="left"/>
      <w:pPr>
        <w:ind w:left="1455" w:hanging="73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5AF3676F"/>
    <w:multiLevelType w:val="hybridMultilevel"/>
    <w:tmpl w:val="0F5456CA"/>
    <w:lvl w:ilvl="0" w:tplc="76D411F8">
      <w:start w:val="1"/>
      <w:numFmt w:val="decimal"/>
      <w:lvlText w:val="2.%1"/>
      <w:lvlJc w:val="left"/>
      <w:pPr>
        <w:ind w:left="4897" w:hanging="360"/>
      </w:pPr>
      <w:rPr>
        <w:rFonts w:hint="default"/>
      </w:rPr>
    </w:lvl>
    <w:lvl w:ilvl="1" w:tplc="1C090019" w:tentative="1">
      <w:start w:val="1"/>
      <w:numFmt w:val="lowerLetter"/>
      <w:lvlText w:val="%2."/>
      <w:lvlJc w:val="left"/>
      <w:pPr>
        <w:ind w:left="5617" w:hanging="360"/>
      </w:pPr>
    </w:lvl>
    <w:lvl w:ilvl="2" w:tplc="1C09001B" w:tentative="1">
      <w:start w:val="1"/>
      <w:numFmt w:val="lowerRoman"/>
      <w:lvlText w:val="%3."/>
      <w:lvlJc w:val="right"/>
      <w:pPr>
        <w:ind w:left="6337" w:hanging="180"/>
      </w:pPr>
    </w:lvl>
    <w:lvl w:ilvl="3" w:tplc="1C09000F" w:tentative="1">
      <w:start w:val="1"/>
      <w:numFmt w:val="decimal"/>
      <w:lvlText w:val="%4."/>
      <w:lvlJc w:val="left"/>
      <w:pPr>
        <w:ind w:left="7057" w:hanging="360"/>
      </w:pPr>
    </w:lvl>
    <w:lvl w:ilvl="4" w:tplc="1C090019" w:tentative="1">
      <w:start w:val="1"/>
      <w:numFmt w:val="lowerLetter"/>
      <w:lvlText w:val="%5."/>
      <w:lvlJc w:val="left"/>
      <w:pPr>
        <w:ind w:left="7777" w:hanging="360"/>
      </w:pPr>
    </w:lvl>
    <w:lvl w:ilvl="5" w:tplc="1C09001B" w:tentative="1">
      <w:start w:val="1"/>
      <w:numFmt w:val="lowerRoman"/>
      <w:lvlText w:val="%6."/>
      <w:lvlJc w:val="right"/>
      <w:pPr>
        <w:ind w:left="8497" w:hanging="180"/>
      </w:pPr>
    </w:lvl>
    <w:lvl w:ilvl="6" w:tplc="1C09000F" w:tentative="1">
      <w:start w:val="1"/>
      <w:numFmt w:val="decimal"/>
      <w:lvlText w:val="%7."/>
      <w:lvlJc w:val="left"/>
      <w:pPr>
        <w:ind w:left="9217" w:hanging="360"/>
      </w:pPr>
    </w:lvl>
    <w:lvl w:ilvl="7" w:tplc="1C090019" w:tentative="1">
      <w:start w:val="1"/>
      <w:numFmt w:val="lowerLetter"/>
      <w:lvlText w:val="%8."/>
      <w:lvlJc w:val="left"/>
      <w:pPr>
        <w:ind w:left="9937" w:hanging="360"/>
      </w:pPr>
    </w:lvl>
    <w:lvl w:ilvl="8" w:tplc="1C09001B" w:tentative="1">
      <w:start w:val="1"/>
      <w:numFmt w:val="lowerRoman"/>
      <w:lvlText w:val="%9."/>
      <w:lvlJc w:val="right"/>
      <w:pPr>
        <w:ind w:left="10657" w:hanging="180"/>
      </w:pPr>
    </w:lvl>
  </w:abstractNum>
  <w:abstractNum w:abstractNumId="8" w15:restartNumberingAfterBreak="0">
    <w:nsid w:val="608400B0"/>
    <w:multiLevelType w:val="hybridMultilevel"/>
    <w:tmpl w:val="FBAE01D2"/>
    <w:lvl w:ilvl="0" w:tplc="313C2548">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7B00625"/>
    <w:multiLevelType w:val="hybridMultilevel"/>
    <w:tmpl w:val="514AE724"/>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F33512E"/>
    <w:multiLevelType w:val="hybridMultilevel"/>
    <w:tmpl w:val="F8740784"/>
    <w:lvl w:ilvl="0" w:tplc="AF90C65C">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5370A81"/>
    <w:multiLevelType w:val="hybridMultilevel"/>
    <w:tmpl w:val="F164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8"/>
  </w:num>
  <w:num w:numId="5">
    <w:abstractNumId w:val="5"/>
  </w:num>
  <w:num w:numId="6">
    <w:abstractNumId w:val="3"/>
  </w:num>
  <w:num w:numId="7">
    <w:abstractNumId w:val="11"/>
  </w:num>
  <w:num w:numId="8">
    <w:abstractNumId w:val="10"/>
  </w:num>
  <w:num w:numId="9">
    <w:abstractNumId w:val="2"/>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6F"/>
    <w:rsid w:val="00007708"/>
    <w:rsid w:val="00026D86"/>
    <w:rsid w:val="000410D4"/>
    <w:rsid w:val="00062068"/>
    <w:rsid w:val="00065CE7"/>
    <w:rsid w:val="00090783"/>
    <w:rsid w:val="00091C59"/>
    <w:rsid w:val="00092FD2"/>
    <w:rsid w:val="0009710D"/>
    <w:rsid w:val="000C0A07"/>
    <w:rsid w:val="000D5FE9"/>
    <w:rsid w:val="000E362A"/>
    <w:rsid w:val="000F0F85"/>
    <w:rsid w:val="000F1180"/>
    <w:rsid w:val="00112D50"/>
    <w:rsid w:val="00113321"/>
    <w:rsid w:val="00124EC8"/>
    <w:rsid w:val="001338C3"/>
    <w:rsid w:val="001417E6"/>
    <w:rsid w:val="00165FEE"/>
    <w:rsid w:val="0017153C"/>
    <w:rsid w:val="001804AD"/>
    <w:rsid w:val="001B23D9"/>
    <w:rsid w:val="001B710C"/>
    <w:rsid w:val="001D41D2"/>
    <w:rsid w:val="001E39EE"/>
    <w:rsid w:val="001E70F9"/>
    <w:rsid w:val="001F1ECD"/>
    <w:rsid w:val="001F4A48"/>
    <w:rsid w:val="002002FA"/>
    <w:rsid w:val="00203E3D"/>
    <w:rsid w:val="002100DF"/>
    <w:rsid w:val="002207D9"/>
    <w:rsid w:val="00223D66"/>
    <w:rsid w:val="00263A9B"/>
    <w:rsid w:val="00265783"/>
    <w:rsid w:val="00266B3E"/>
    <w:rsid w:val="002736CF"/>
    <w:rsid w:val="00281A10"/>
    <w:rsid w:val="00281FAB"/>
    <w:rsid w:val="002A06F0"/>
    <w:rsid w:val="002B1C34"/>
    <w:rsid w:val="002B3F1D"/>
    <w:rsid w:val="002C3150"/>
    <w:rsid w:val="002C6FA8"/>
    <w:rsid w:val="002D4C2A"/>
    <w:rsid w:val="002E3BFB"/>
    <w:rsid w:val="00300CF7"/>
    <w:rsid w:val="0030287B"/>
    <w:rsid w:val="00323762"/>
    <w:rsid w:val="00334EC0"/>
    <w:rsid w:val="003375D1"/>
    <w:rsid w:val="00342AC5"/>
    <w:rsid w:val="00347DBC"/>
    <w:rsid w:val="00364D3C"/>
    <w:rsid w:val="00371CD0"/>
    <w:rsid w:val="003723C3"/>
    <w:rsid w:val="0039308E"/>
    <w:rsid w:val="00393E41"/>
    <w:rsid w:val="00396AF1"/>
    <w:rsid w:val="003A0103"/>
    <w:rsid w:val="003A7E2F"/>
    <w:rsid w:val="003B0E74"/>
    <w:rsid w:val="003C4403"/>
    <w:rsid w:val="003C4613"/>
    <w:rsid w:val="003E3D0D"/>
    <w:rsid w:val="003E50E8"/>
    <w:rsid w:val="003F52A2"/>
    <w:rsid w:val="003F63E0"/>
    <w:rsid w:val="00422CA6"/>
    <w:rsid w:val="00425554"/>
    <w:rsid w:val="0044597D"/>
    <w:rsid w:val="004514DE"/>
    <w:rsid w:val="004546CC"/>
    <w:rsid w:val="00456199"/>
    <w:rsid w:val="00470B0C"/>
    <w:rsid w:val="004A355E"/>
    <w:rsid w:val="004B355E"/>
    <w:rsid w:val="004B5538"/>
    <w:rsid w:val="004B5E87"/>
    <w:rsid w:val="004E581F"/>
    <w:rsid w:val="004E7D33"/>
    <w:rsid w:val="0050338C"/>
    <w:rsid w:val="00507423"/>
    <w:rsid w:val="005234EE"/>
    <w:rsid w:val="005403D8"/>
    <w:rsid w:val="005537CA"/>
    <w:rsid w:val="005577B6"/>
    <w:rsid w:val="00560857"/>
    <w:rsid w:val="00562A14"/>
    <w:rsid w:val="0056512A"/>
    <w:rsid w:val="005955B1"/>
    <w:rsid w:val="005A66F8"/>
    <w:rsid w:val="005B7A31"/>
    <w:rsid w:val="005D0592"/>
    <w:rsid w:val="005D6172"/>
    <w:rsid w:val="005D7161"/>
    <w:rsid w:val="005E5A8F"/>
    <w:rsid w:val="0060394A"/>
    <w:rsid w:val="006039AA"/>
    <w:rsid w:val="00621EE8"/>
    <w:rsid w:val="0062225A"/>
    <w:rsid w:val="00627C26"/>
    <w:rsid w:val="006475B1"/>
    <w:rsid w:val="00647A7B"/>
    <w:rsid w:val="00652595"/>
    <w:rsid w:val="00666306"/>
    <w:rsid w:val="006809D8"/>
    <w:rsid w:val="00682468"/>
    <w:rsid w:val="00686B3F"/>
    <w:rsid w:val="006B1F56"/>
    <w:rsid w:val="006C2872"/>
    <w:rsid w:val="006C2F95"/>
    <w:rsid w:val="006D1141"/>
    <w:rsid w:val="006D22F9"/>
    <w:rsid w:val="006D2D84"/>
    <w:rsid w:val="006E2964"/>
    <w:rsid w:val="006E49A3"/>
    <w:rsid w:val="006F4A66"/>
    <w:rsid w:val="00711F52"/>
    <w:rsid w:val="00715AD2"/>
    <w:rsid w:val="00723F03"/>
    <w:rsid w:val="0072640A"/>
    <w:rsid w:val="0073012B"/>
    <w:rsid w:val="007329D4"/>
    <w:rsid w:val="007419EB"/>
    <w:rsid w:val="007447AE"/>
    <w:rsid w:val="00764071"/>
    <w:rsid w:val="00772C8E"/>
    <w:rsid w:val="007741AD"/>
    <w:rsid w:val="0078341F"/>
    <w:rsid w:val="00790E9F"/>
    <w:rsid w:val="0079456D"/>
    <w:rsid w:val="00797188"/>
    <w:rsid w:val="00797247"/>
    <w:rsid w:val="007A64D4"/>
    <w:rsid w:val="007C6B41"/>
    <w:rsid w:val="007F3578"/>
    <w:rsid w:val="008045C5"/>
    <w:rsid w:val="00805BCE"/>
    <w:rsid w:val="00806B14"/>
    <w:rsid w:val="00812E09"/>
    <w:rsid w:val="0081352A"/>
    <w:rsid w:val="00823237"/>
    <w:rsid w:val="00825474"/>
    <w:rsid w:val="00837272"/>
    <w:rsid w:val="00851B88"/>
    <w:rsid w:val="00864008"/>
    <w:rsid w:val="00864FC2"/>
    <w:rsid w:val="00867BDF"/>
    <w:rsid w:val="00890143"/>
    <w:rsid w:val="008930A5"/>
    <w:rsid w:val="008A14A9"/>
    <w:rsid w:val="008B1C23"/>
    <w:rsid w:val="008C0AC7"/>
    <w:rsid w:val="008D2B93"/>
    <w:rsid w:val="008D5B8D"/>
    <w:rsid w:val="008D65E9"/>
    <w:rsid w:val="008D79D4"/>
    <w:rsid w:val="008E6759"/>
    <w:rsid w:val="00902CE8"/>
    <w:rsid w:val="00905A48"/>
    <w:rsid w:val="00912D4E"/>
    <w:rsid w:val="00913A1D"/>
    <w:rsid w:val="00945A2F"/>
    <w:rsid w:val="00947BEE"/>
    <w:rsid w:val="00952193"/>
    <w:rsid w:val="009633A4"/>
    <w:rsid w:val="00977346"/>
    <w:rsid w:val="00980485"/>
    <w:rsid w:val="0098277A"/>
    <w:rsid w:val="00992910"/>
    <w:rsid w:val="00992A7D"/>
    <w:rsid w:val="00997334"/>
    <w:rsid w:val="009A5F60"/>
    <w:rsid w:val="009B096F"/>
    <w:rsid w:val="009C36A5"/>
    <w:rsid w:val="009C7093"/>
    <w:rsid w:val="009F24FA"/>
    <w:rsid w:val="009F6C8B"/>
    <w:rsid w:val="00A06FD8"/>
    <w:rsid w:val="00A14435"/>
    <w:rsid w:val="00A16AC6"/>
    <w:rsid w:val="00A23F8A"/>
    <w:rsid w:val="00A258AF"/>
    <w:rsid w:val="00A40097"/>
    <w:rsid w:val="00A4515E"/>
    <w:rsid w:val="00A5368E"/>
    <w:rsid w:val="00A5758F"/>
    <w:rsid w:val="00A635A8"/>
    <w:rsid w:val="00A6494E"/>
    <w:rsid w:val="00A772D3"/>
    <w:rsid w:val="00A81203"/>
    <w:rsid w:val="00A82F94"/>
    <w:rsid w:val="00AB3745"/>
    <w:rsid w:val="00AB5193"/>
    <w:rsid w:val="00AC4198"/>
    <w:rsid w:val="00AD0FCD"/>
    <w:rsid w:val="00AD1833"/>
    <w:rsid w:val="00B07B4B"/>
    <w:rsid w:val="00B160EB"/>
    <w:rsid w:val="00B1649C"/>
    <w:rsid w:val="00B30012"/>
    <w:rsid w:val="00B337FC"/>
    <w:rsid w:val="00B40BBE"/>
    <w:rsid w:val="00B4625E"/>
    <w:rsid w:val="00B53D6D"/>
    <w:rsid w:val="00B66325"/>
    <w:rsid w:val="00B76671"/>
    <w:rsid w:val="00B8518D"/>
    <w:rsid w:val="00B933D1"/>
    <w:rsid w:val="00BA213D"/>
    <w:rsid w:val="00BA3715"/>
    <w:rsid w:val="00BA48EA"/>
    <w:rsid w:val="00BB1E6E"/>
    <w:rsid w:val="00BB388A"/>
    <w:rsid w:val="00BC00BF"/>
    <w:rsid w:val="00BC4D4A"/>
    <w:rsid w:val="00BE5489"/>
    <w:rsid w:val="00BE7DE8"/>
    <w:rsid w:val="00BF539E"/>
    <w:rsid w:val="00BF6DAE"/>
    <w:rsid w:val="00C04EBD"/>
    <w:rsid w:val="00C06B39"/>
    <w:rsid w:val="00C10C58"/>
    <w:rsid w:val="00C119BC"/>
    <w:rsid w:val="00C249D9"/>
    <w:rsid w:val="00C332BE"/>
    <w:rsid w:val="00C356C5"/>
    <w:rsid w:val="00C50A1F"/>
    <w:rsid w:val="00C73154"/>
    <w:rsid w:val="00CA2B73"/>
    <w:rsid w:val="00CA4320"/>
    <w:rsid w:val="00CA7ED7"/>
    <w:rsid w:val="00CB39F0"/>
    <w:rsid w:val="00CB4CA9"/>
    <w:rsid w:val="00CC191C"/>
    <w:rsid w:val="00CC4D82"/>
    <w:rsid w:val="00CC4E7A"/>
    <w:rsid w:val="00CC5024"/>
    <w:rsid w:val="00CF3BBF"/>
    <w:rsid w:val="00CF3D16"/>
    <w:rsid w:val="00CF6287"/>
    <w:rsid w:val="00D0287E"/>
    <w:rsid w:val="00D10858"/>
    <w:rsid w:val="00D153C7"/>
    <w:rsid w:val="00D22ACF"/>
    <w:rsid w:val="00D40029"/>
    <w:rsid w:val="00D64023"/>
    <w:rsid w:val="00D65632"/>
    <w:rsid w:val="00D73FFF"/>
    <w:rsid w:val="00D862BF"/>
    <w:rsid w:val="00DC392E"/>
    <w:rsid w:val="00DD1F31"/>
    <w:rsid w:val="00E1002B"/>
    <w:rsid w:val="00E256F6"/>
    <w:rsid w:val="00E3339B"/>
    <w:rsid w:val="00E41527"/>
    <w:rsid w:val="00E41C88"/>
    <w:rsid w:val="00E44BBF"/>
    <w:rsid w:val="00E619CB"/>
    <w:rsid w:val="00E765F9"/>
    <w:rsid w:val="00EA06CF"/>
    <w:rsid w:val="00EB27A0"/>
    <w:rsid w:val="00EE19B5"/>
    <w:rsid w:val="00EF7FAF"/>
    <w:rsid w:val="00F11950"/>
    <w:rsid w:val="00F16C57"/>
    <w:rsid w:val="00F24301"/>
    <w:rsid w:val="00F3787E"/>
    <w:rsid w:val="00F53DDE"/>
    <w:rsid w:val="00F571A4"/>
    <w:rsid w:val="00F66EB8"/>
    <w:rsid w:val="00F70036"/>
    <w:rsid w:val="00F71EB9"/>
    <w:rsid w:val="00F72F82"/>
    <w:rsid w:val="00FB2069"/>
    <w:rsid w:val="00FC6577"/>
    <w:rsid w:val="00FD3814"/>
    <w:rsid w:val="00FD38C2"/>
    <w:rsid w:val="00FF56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F4E541-DE00-4FA1-AA74-B0CA5218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nhideWhenUsed/>
    <w:qFormat/>
    <w:rsid w:val="00B07B4B"/>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basedOn w:val="DefaultParagraphFont"/>
    <w:link w:val="FootnoteText"/>
    <w:rsid w:val="00B07B4B"/>
    <w:rPr>
      <w:sz w:val="20"/>
      <w:szCs w:val="20"/>
    </w:rPr>
  </w:style>
  <w:style w:type="character" w:styleId="FootnoteReference">
    <w:name w:val="footnote reference"/>
    <w:aliases w:val="Ref,de nota al pie,註腳內容,Footnotes refss,(NECG) Footnote Reference,fr,Appel note de bas de page"/>
    <w:basedOn w:val="DefaultParagraphFont"/>
    <w:unhideWhenUsed/>
    <w:qFormat/>
    <w:rsid w:val="00B07B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2020-07-21T18:30:00+00:00</Judgment_x0020_Date>
    <Year xmlns="c1afb1bd-f2fb-40fd-9abb-aea55b4d7662">2020</Year>
  </documentManagement>
</p:properties>
</file>

<file path=customXml/itemProps1.xml><?xml version="1.0" encoding="utf-8"?>
<ds:datastoreItem xmlns:ds="http://schemas.openxmlformats.org/officeDocument/2006/customXml" ds:itemID="{ADDC4EF1-F76D-499E-8157-90FA83F38744}"/>
</file>

<file path=customXml/itemProps2.xml><?xml version="1.0" encoding="utf-8"?>
<ds:datastoreItem xmlns:ds="http://schemas.openxmlformats.org/officeDocument/2006/customXml" ds:itemID="{D4E729B5-7552-45B8-80EA-E0824DBA33BD}"/>
</file>

<file path=customXml/itemProps3.xml><?xml version="1.0" encoding="utf-8"?>
<ds:datastoreItem xmlns:ds="http://schemas.openxmlformats.org/officeDocument/2006/customXml" ds:itemID="{66E44636-C2EE-4BBD-8847-D0FF1C57886A}"/>
</file>

<file path=customXml/itemProps4.xml><?xml version="1.0" encoding="utf-8"?>
<ds:datastoreItem xmlns:ds="http://schemas.openxmlformats.org/officeDocument/2006/customXml" ds:itemID="{64D8791F-6941-4E6B-B93F-015B5979331D}"/>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Kauluma v Nangolo (HC-MD-CIV-MOT-GEN-2018-00187) [2020] NAHCMD 411 (22 July 2020)</dc:title>
  <dc:subject/>
  <dc:creator>E. Kharases</dc:creator>
  <cp:keywords/>
  <dc:description/>
  <cp:lastModifiedBy>Administrator</cp:lastModifiedBy>
  <cp:revision>2</cp:revision>
  <cp:lastPrinted>2020-09-14T09:53:00Z</cp:lastPrinted>
  <dcterms:created xsi:type="dcterms:W3CDTF">2020-09-15T07:31:00Z</dcterms:created>
  <dcterms:modified xsi:type="dcterms:W3CDTF">2020-09-15T07:31:00Z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