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C6" w:rsidRDefault="00C860EA" w:rsidP="000335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3A" w:rsidRPr="00823872" w:rsidRDefault="00823872" w:rsidP="0082387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 Reportable</w:t>
                            </w:r>
                          </w:p>
                          <w:p w:rsidR="00463C3A" w:rsidRDefault="00463C3A" w:rsidP="000335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" strokecolor="white [3212]">
                <v:textbox>
                  <w:txbxContent>
                    <w:p w:rsidR="00463C3A" w:rsidRPr="00823872" w:rsidRDefault="00823872" w:rsidP="0082387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Not Reportable</w:t>
                      </w:r>
                    </w:p>
                    <w:p w:rsidR="00463C3A" w:rsidRDefault="00463C3A" w:rsidP="000335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335C6">
        <w:rPr>
          <w:rFonts w:ascii="Arial" w:hAnsi="Arial" w:cs="Arial"/>
          <w:b/>
          <w:sz w:val="24"/>
          <w:szCs w:val="24"/>
        </w:rPr>
        <w:t>REPUBLIC OF NAMIBIA</w:t>
      </w:r>
    </w:p>
    <w:p w:rsidR="000335C6" w:rsidRDefault="000335C6" w:rsidP="000335C6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1280160" cy="1327785"/>
            <wp:effectExtent l="0" t="0" r="0" b="5715"/>
            <wp:docPr id="1" name="Picture 1" descr="Description: 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at of Arms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BD" w:rsidRPr="00CD79BD" w:rsidRDefault="000335C6" w:rsidP="00CD79B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COURT OF NAMIBIA MAIN DIVISION, WINDHOEK</w:t>
      </w:r>
    </w:p>
    <w:p w:rsidR="000335C6" w:rsidRDefault="000335C6" w:rsidP="000335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JUDGMENT</w:t>
      </w:r>
    </w:p>
    <w:p w:rsidR="00CD79BD" w:rsidRPr="000335C6" w:rsidRDefault="00CD79BD" w:rsidP="000335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C73154" w:rsidRPr="00823872" w:rsidTr="005403D8">
        <w:trPr>
          <w:trHeight w:val="744"/>
        </w:trPr>
        <w:tc>
          <w:tcPr>
            <w:tcW w:w="5397" w:type="dxa"/>
            <w:gridSpan w:val="2"/>
            <w:vMerge w:val="restart"/>
          </w:tcPr>
          <w:p w:rsidR="00823872" w:rsidRPr="00823872" w:rsidRDefault="00C73154" w:rsidP="008238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872">
              <w:rPr>
                <w:rFonts w:ascii="Arial" w:hAnsi="Arial" w:cs="Arial"/>
                <w:b/>
              </w:rPr>
              <w:t>Case Title:</w:t>
            </w:r>
          </w:p>
          <w:p w:rsidR="00C73154" w:rsidRPr="00823872" w:rsidRDefault="00823872" w:rsidP="008238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872">
              <w:rPr>
                <w:rFonts w:ascii="Arial" w:hAnsi="Arial" w:cs="Arial"/>
              </w:rPr>
              <w:t>THE STATE // LORENCE HARASEB, STEFANIS KAWAXAB &amp; AUGUST WITBOOI</w:t>
            </w:r>
          </w:p>
        </w:tc>
        <w:tc>
          <w:tcPr>
            <w:tcW w:w="4323" w:type="dxa"/>
          </w:tcPr>
          <w:p w:rsidR="00823872" w:rsidRDefault="00C73154" w:rsidP="00905A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872">
              <w:rPr>
                <w:rFonts w:ascii="Arial" w:hAnsi="Arial" w:cs="Arial"/>
                <w:b/>
              </w:rPr>
              <w:t>Case No:</w:t>
            </w:r>
          </w:p>
          <w:p w:rsidR="00676F46" w:rsidRDefault="0035647A" w:rsidP="00B074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 70</w:t>
            </w:r>
            <w:r w:rsidR="000269DA" w:rsidRPr="00823872">
              <w:rPr>
                <w:rFonts w:ascii="Arial" w:hAnsi="Arial" w:cs="Arial"/>
              </w:rPr>
              <w:t>/2020</w:t>
            </w:r>
          </w:p>
          <w:p w:rsidR="0035647A" w:rsidRPr="0035647A" w:rsidRDefault="0035647A" w:rsidP="0035647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647A">
              <w:rPr>
                <w:rFonts w:ascii="Arial" w:hAnsi="Arial" w:cs="Arial"/>
              </w:rPr>
              <w:t>HIGH COURT REF</w:t>
            </w:r>
            <w:r>
              <w:rPr>
                <w:rFonts w:ascii="Arial" w:hAnsi="Arial" w:cs="Arial"/>
              </w:rPr>
              <w:t>.</w:t>
            </w:r>
            <w:r w:rsidRPr="0035647A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>.</w:t>
            </w:r>
            <w:r w:rsidRPr="0035647A">
              <w:rPr>
                <w:rFonts w:ascii="Arial" w:hAnsi="Arial" w:cs="Arial"/>
              </w:rPr>
              <w:t>: 133012</w:t>
            </w:r>
          </w:p>
          <w:p w:rsidR="0035647A" w:rsidRPr="00823872" w:rsidRDefault="0035647A" w:rsidP="0035647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5647A">
              <w:rPr>
                <w:rFonts w:ascii="Arial" w:hAnsi="Arial" w:cs="Arial"/>
              </w:rPr>
              <w:t>MAGISTRATE’S SERIAL NO</w:t>
            </w:r>
            <w:r>
              <w:rPr>
                <w:rFonts w:ascii="Arial" w:hAnsi="Arial" w:cs="Arial"/>
              </w:rPr>
              <w:t>.</w:t>
            </w:r>
            <w:r w:rsidRPr="0035647A">
              <w:rPr>
                <w:rFonts w:ascii="Arial" w:hAnsi="Arial" w:cs="Arial"/>
              </w:rPr>
              <w:t>: 116/2020</w:t>
            </w:r>
          </w:p>
        </w:tc>
      </w:tr>
      <w:tr w:rsidR="00C73154" w:rsidRPr="00823872" w:rsidTr="0035647A">
        <w:trPr>
          <w:trHeight w:val="1042"/>
        </w:trPr>
        <w:tc>
          <w:tcPr>
            <w:tcW w:w="5397" w:type="dxa"/>
            <w:gridSpan w:val="2"/>
            <w:vMerge/>
          </w:tcPr>
          <w:p w:rsidR="00C73154" w:rsidRPr="00823872" w:rsidRDefault="00C73154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C73154" w:rsidRPr="00823872" w:rsidRDefault="00C73154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872">
              <w:rPr>
                <w:rFonts w:ascii="Arial" w:hAnsi="Arial" w:cs="Arial"/>
                <w:b/>
              </w:rPr>
              <w:t>Division of Court:</w:t>
            </w:r>
          </w:p>
          <w:p w:rsidR="00C73154" w:rsidRPr="00823872" w:rsidRDefault="00823872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872">
              <w:rPr>
                <w:rFonts w:ascii="Arial" w:hAnsi="Arial" w:cs="Arial"/>
              </w:rPr>
              <w:t>HIGH COURT, MAIN DIVISION</w:t>
            </w:r>
          </w:p>
        </w:tc>
      </w:tr>
      <w:tr w:rsidR="0035647A" w:rsidRPr="00823872" w:rsidTr="0035647A">
        <w:trPr>
          <w:trHeight w:val="1256"/>
        </w:trPr>
        <w:tc>
          <w:tcPr>
            <w:tcW w:w="5397" w:type="dxa"/>
            <w:gridSpan w:val="2"/>
          </w:tcPr>
          <w:p w:rsidR="0035647A" w:rsidRPr="00823872" w:rsidRDefault="0035647A" w:rsidP="00EB27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3872">
              <w:rPr>
                <w:rFonts w:ascii="Arial" w:hAnsi="Arial" w:cs="Arial"/>
                <w:b/>
              </w:rPr>
              <w:t>Heard before:</w:t>
            </w:r>
          </w:p>
          <w:p w:rsidR="0035647A" w:rsidRPr="00823872" w:rsidRDefault="0035647A" w:rsidP="006A0DA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872">
              <w:rPr>
                <w:rFonts w:ascii="Arial" w:hAnsi="Arial" w:cs="Arial"/>
              </w:rPr>
              <w:t xml:space="preserve">HONOURABLE MR JUSTICE MILLER AJ </w:t>
            </w:r>
            <w:r>
              <w:rPr>
                <w:rFonts w:ascii="Arial" w:hAnsi="Arial" w:cs="Arial"/>
                <w:i/>
              </w:rPr>
              <w:t>et</w:t>
            </w:r>
          </w:p>
          <w:p w:rsidR="0035647A" w:rsidRPr="00823872" w:rsidRDefault="0035647A" w:rsidP="006A0DA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872">
              <w:rPr>
                <w:rFonts w:ascii="Arial" w:hAnsi="Arial" w:cs="Arial"/>
              </w:rPr>
              <w:t>HONOURABLE MR JUSTICE UNENGU AJ</w:t>
            </w:r>
          </w:p>
        </w:tc>
        <w:tc>
          <w:tcPr>
            <w:tcW w:w="4323" w:type="dxa"/>
          </w:tcPr>
          <w:p w:rsidR="0035647A" w:rsidRDefault="0035647A" w:rsidP="00B30C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3872">
              <w:rPr>
                <w:rFonts w:ascii="Arial" w:hAnsi="Arial" w:cs="Arial"/>
                <w:b/>
              </w:rPr>
              <w:t>Delivered on:</w:t>
            </w:r>
          </w:p>
          <w:p w:rsidR="0035647A" w:rsidRPr="005D3AB9" w:rsidRDefault="0035647A" w:rsidP="00B30C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D3AB9">
              <w:rPr>
                <w:rFonts w:ascii="Arial" w:hAnsi="Arial" w:cs="Arial"/>
                <w:b/>
              </w:rPr>
              <w:t>22 SEPTEMBER 2020</w:t>
            </w:r>
          </w:p>
        </w:tc>
      </w:tr>
      <w:tr w:rsidR="005955B1" w:rsidRPr="00823872" w:rsidTr="00EB27A0">
        <w:tc>
          <w:tcPr>
            <w:tcW w:w="9720" w:type="dxa"/>
            <w:gridSpan w:val="3"/>
          </w:tcPr>
          <w:p w:rsidR="00D54D4B" w:rsidRPr="00823872" w:rsidRDefault="00D54D4B" w:rsidP="00CD79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CD79BD" w:rsidRDefault="005955B1" w:rsidP="0035647A">
            <w:pPr>
              <w:spacing w:line="360" w:lineRule="auto"/>
              <w:rPr>
                <w:rFonts w:ascii="Arial" w:hAnsi="Arial" w:cs="Arial"/>
              </w:rPr>
            </w:pPr>
            <w:r w:rsidRPr="00823872">
              <w:rPr>
                <w:rFonts w:ascii="Arial" w:hAnsi="Arial" w:cs="Arial"/>
                <w:b/>
              </w:rPr>
              <w:t>Neutral citation:</w:t>
            </w:r>
            <w:r w:rsidR="00677240" w:rsidRPr="00823872">
              <w:rPr>
                <w:rFonts w:ascii="Arial" w:hAnsi="Arial" w:cs="Arial"/>
                <w:b/>
              </w:rPr>
              <w:t xml:space="preserve"> </w:t>
            </w:r>
            <w:r w:rsidR="000269DA" w:rsidRPr="00823872">
              <w:rPr>
                <w:rFonts w:ascii="Arial" w:hAnsi="Arial" w:cs="Arial"/>
                <w:i/>
              </w:rPr>
              <w:t xml:space="preserve">S v </w:t>
            </w:r>
            <w:proofErr w:type="spellStart"/>
            <w:r w:rsidR="000269DA" w:rsidRPr="00823872">
              <w:rPr>
                <w:rFonts w:ascii="Arial" w:hAnsi="Arial" w:cs="Arial"/>
                <w:i/>
              </w:rPr>
              <w:t>Haraseb</w:t>
            </w:r>
            <w:proofErr w:type="spellEnd"/>
            <w:r w:rsidR="0035647A">
              <w:rPr>
                <w:rFonts w:ascii="Arial" w:hAnsi="Arial" w:cs="Arial"/>
                <w:b/>
              </w:rPr>
              <w:t xml:space="preserve"> </w:t>
            </w:r>
            <w:r w:rsidR="000269DA" w:rsidRPr="00823872">
              <w:rPr>
                <w:rFonts w:ascii="Arial" w:hAnsi="Arial" w:cs="Arial"/>
              </w:rPr>
              <w:t>(</w:t>
            </w:r>
            <w:r w:rsidR="0035647A">
              <w:rPr>
                <w:rFonts w:ascii="Arial" w:hAnsi="Arial" w:cs="Arial"/>
              </w:rPr>
              <w:t>CR 70</w:t>
            </w:r>
            <w:r w:rsidR="000269DA" w:rsidRPr="00823872">
              <w:rPr>
                <w:rFonts w:ascii="Arial" w:hAnsi="Arial" w:cs="Arial"/>
              </w:rPr>
              <w:t>/2020)</w:t>
            </w:r>
            <w:r w:rsidR="00D54D4B" w:rsidRPr="00823872">
              <w:rPr>
                <w:rFonts w:ascii="Arial" w:hAnsi="Arial" w:cs="Arial"/>
              </w:rPr>
              <w:t xml:space="preserve"> </w:t>
            </w:r>
            <w:r w:rsidR="000269DA" w:rsidRPr="00823872">
              <w:rPr>
                <w:rFonts w:ascii="Arial" w:hAnsi="Arial" w:cs="Arial"/>
              </w:rPr>
              <w:t>[2020]</w:t>
            </w:r>
            <w:r w:rsidR="00D54D4B" w:rsidRPr="00823872">
              <w:rPr>
                <w:rFonts w:ascii="Arial" w:hAnsi="Arial" w:cs="Arial"/>
              </w:rPr>
              <w:t xml:space="preserve"> </w:t>
            </w:r>
            <w:r w:rsidR="00DB6AE9" w:rsidRPr="00823872">
              <w:rPr>
                <w:rFonts w:ascii="Arial" w:hAnsi="Arial" w:cs="Arial"/>
              </w:rPr>
              <w:t>NAHCMD 430 (22</w:t>
            </w:r>
            <w:r w:rsidR="0086377A" w:rsidRPr="00823872">
              <w:rPr>
                <w:rFonts w:ascii="Arial" w:hAnsi="Arial" w:cs="Arial"/>
              </w:rPr>
              <w:t xml:space="preserve"> </w:t>
            </w:r>
            <w:r w:rsidR="000269DA" w:rsidRPr="00823872">
              <w:rPr>
                <w:rFonts w:ascii="Arial" w:hAnsi="Arial" w:cs="Arial"/>
              </w:rPr>
              <w:t>September 2020)</w:t>
            </w:r>
          </w:p>
          <w:p w:rsidR="0035647A" w:rsidRPr="00823872" w:rsidRDefault="0035647A" w:rsidP="0035647A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281FAB" w:rsidRPr="00823872" w:rsidTr="00EB27A0">
        <w:tc>
          <w:tcPr>
            <w:tcW w:w="9720" w:type="dxa"/>
            <w:gridSpan w:val="3"/>
          </w:tcPr>
          <w:p w:rsidR="0035647A" w:rsidRPr="006E49A3" w:rsidRDefault="0035647A" w:rsidP="0035647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The order:</w:t>
            </w:r>
          </w:p>
          <w:p w:rsidR="0035647A" w:rsidRPr="00915248" w:rsidRDefault="0035647A" w:rsidP="0035647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5647A" w:rsidRPr="00915248" w:rsidRDefault="0035647A" w:rsidP="0035647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15248">
              <w:rPr>
                <w:rFonts w:ascii="Arial" w:hAnsi="Arial" w:cs="Arial"/>
                <w:i/>
                <w:color w:val="000000" w:themeColor="text1"/>
              </w:rPr>
              <w:t>In absentia</w:t>
            </w:r>
            <w:r w:rsidRPr="00915248">
              <w:rPr>
                <w:rFonts w:ascii="Arial" w:hAnsi="Arial" w:cs="Arial"/>
                <w:color w:val="000000" w:themeColor="text1"/>
              </w:rPr>
              <w:t xml:space="preserve"> of the parties and/or their legal practitioners and having read other documents filed of record:</w:t>
            </w:r>
          </w:p>
          <w:p w:rsidR="00EB27A0" w:rsidRPr="00823872" w:rsidRDefault="00EB27A0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624AB" w:rsidRPr="00823872" w:rsidRDefault="00EB27A0" w:rsidP="00B0740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3872">
              <w:rPr>
                <w:rFonts w:ascii="Arial" w:hAnsi="Arial" w:cs="Arial"/>
                <w:b/>
              </w:rPr>
              <w:t xml:space="preserve">IT IS </w:t>
            </w:r>
            <w:r w:rsidR="00CD79BD" w:rsidRPr="00823872">
              <w:rPr>
                <w:rFonts w:ascii="Arial" w:hAnsi="Arial" w:cs="Arial"/>
                <w:b/>
              </w:rPr>
              <w:t xml:space="preserve">HEREBY </w:t>
            </w:r>
            <w:r w:rsidR="00114098" w:rsidRPr="00823872">
              <w:rPr>
                <w:rFonts w:ascii="Arial" w:hAnsi="Arial" w:cs="Arial"/>
                <w:b/>
              </w:rPr>
              <w:t>ORDERED THAT:</w:t>
            </w:r>
          </w:p>
          <w:p w:rsidR="0035647A" w:rsidRDefault="0035647A" w:rsidP="0035647A">
            <w:pPr>
              <w:pStyle w:val="AS-P1"/>
              <w:spacing w:line="360" w:lineRule="auto"/>
              <w:ind w:firstLine="0"/>
              <w:rPr>
                <w:rFonts w:ascii="Arial" w:hAnsi="Arial" w:cs="Arial"/>
                <w:noProof w:val="0"/>
                <w:lang w:val="en-ZA"/>
              </w:rPr>
            </w:pPr>
          </w:p>
          <w:p w:rsidR="00B128ED" w:rsidRDefault="00B128ED" w:rsidP="0035647A">
            <w:pPr>
              <w:pStyle w:val="AS-P1"/>
              <w:numPr>
                <w:ilvl w:val="0"/>
                <w:numId w:val="12"/>
              </w:numPr>
              <w:spacing w:line="360" w:lineRule="auto"/>
              <w:ind w:left="417" w:hanging="417"/>
              <w:rPr>
                <w:rFonts w:ascii="Arial" w:hAnsi="Arial" w:cs="Arial"/>
                <w:noProof w:val="0"/>
                <w:lang w:val="en-ZA"/>
              </w:rPr>
            </w:pPr>
            <w:r w:rsidRPr="00823872">
              <w:rPr>
                <w:rFonts w:ascii="Arial" w:hAnsi="Arial" w:cs="Arial"/>
                <w:noProof w:val="0"/>
                <w:lang w:val="en-ZA"/>
              </w:rPr>
              <w:t xml:space="preserve">The conviction and sentence of each accused in count </w:t>
            </w:r>
            <w:r w:rsidR="0035647A">
              <w:rPr>
                <w:rFonts w:ascii="Arial" w:hAnsi="Arial" w:cs="Arial"/>
                <w:noProof w:val="0"/>
                <w:lang w:val="en-ZA"/>
              </w:rPr>
              <w:t>one</w:t>
            </w:r>
            <w:r w:rsidRPr="00823872">
              <w:rPr>
                <w:rFonts w:ascii="Arial" w:hAnsi="Arial" w:cs="Arial"/>
                <w:noProof w:val="0"/>
                <w:lang w:val="en-ZA"/>
              </w:rPr>
              <w:t xml:space="preserve"> is found to be in accordance with justice.</w:t>
            </w:r>
          </w:p>
          <w:p w:rsidR="0035647A" w:rsidRDefault="0035647A" w:rsidP="0035647A">
            <w:pPr>
              <w:pStyle w:val="AS-P1"/>
              <w:spacing w:line="360" w:lineRule="auto"/>
              <w:ind w:left="417" w:hanging="417"/>
              <w:rPr>
                <w:rFonts w:ascii="Arial" w:hAnsi="Arial" w:cs="Arial"/>
                <w:noProof w:val="0"/>
                <w:lang w:val="en-ZA"/>
              </w:rPr>
            </w:pPr>
          </w:p>
          <w:p w:rsidR="0035647A" w:rsidRPr="0035647A" w:rsidRDefault="0035647A" w:rsidP="0035647A">
            <w:pPr>
              <w:pStyle w:val="AS-P1"/>
              <w:numPr>
                <w:ilvl w:val="0"/>
                <w:numId w:val="12"/>
              </w:numPr>
              <w:spacing w:line="360" w:lineRule="auto"/>
              <w:ind w:left="417" w:hanging="417"/>
              <w:rPr>
                <w:rFonts w:ascii="Arial" w:hAnsi="Arial" w:cs="Arial"/>
                <w:noProof w:val="0"/>
                <w:lang w:val="en-ZA"/>
              </w:rPr>
            </w:pPr>
            <w:r w:rsidRPr="00823872">
              <w:rPr>
                <w:rFonts w:ascii="Arial" w:hAnsi="Arial" w:cs="Arial"/>
                <w:noProof w:val="0"/>
                <w:lang w:val="en-ZA"/>
              </w:rPr>
              <w:t xml:space="preserve">In count two, the conviction of each accused of contravening </w:t>
            </w:r>
            <w:r>
              <w:rPr>
                <w:rFonts w:ascii="Arial" w:hAnsi="Arial" w:cs="Arial"/>
                <w:noProof w:val="0"/>
                <w:lang w:val="en-ZA"/>
              </w:rPr>
              <w:t>section</w:t>
            </w:r>
            <w:r w:rsidRPr="00823872">
              <w:rPr>
                <w:rFonts w:ascii="Arial" w:hAnsi="Arial" w:cs="Arial"/>
              </w:rPr>
              <w:t xml:space="preserve"> 26(1) read with </w:t>
            </w:r>
            <w:r>
              <w:rPr>
                <w:rFonts w:ascii="Arial" w:hAnsi="Arial" w:cs="Arial"/>
              </w:rPr>
              <w:t>s</w:t>
            </w:r>
            <w:r w:rsidRPr="00823872">
              <w:rPr>
                <w:rFonts w:ascii="Arial" w:hAnsi="Arial" w:cs="Arial"/>
              </w:rPr>
              <w:t xml:space="preserve">ections 1, 26(2), 26(3), 85, 87, 89 and 89A of the Nature Conservation Ordinance 4 of 1975, as </w:t>
            </w:r>
            <w:r>
              <w:rPr>
                <w:rFonts w:ascii="Arial" w:hAnsi="Arial" w:cs="Arial"/>
              </w:rPr>
              <w:t>amended, and further read with s</w:t>
            </w:r>
            <w:r w:rsidRPr="00823872">
              <w:rPr>
                <w:rFonts w:ascii="Arial" w:hAnsi="Arial" w:cs="Arial"/>
              </w:rPr>
              <w:t xml:space="preserve">ections 90 and 250 of Act 51 of 1977 is set aside and substituted with conviction of contravening </w:t>
            </w:r>
            <w:r>
              <w:rPr>
                <w:rFonts w:ascii="Arial" w:hAnsi="Arial" w:cs="Arial"/>
              </w:rPr>
              <w:t>s</w:t>
            </w:r>
            <w:r w:rsidRPr="00823872">
              <w:rPr>
                <w:rFonts w:ascii="Arial" w:hAnsi="Arial" w:cs="Arial"/>
              </w:rPr>
              <w:t xml:space="preserve">ection 34(2) read with </w:t>
            </w:r>
            <w:r>
              <w:rPr>
                <w:rFonts w:ascii="Arial" w:hAnsi="Arial" w:cs="Arial"/>
              </w:rPr>
              <w:t>s</w:t>
            </w:r>
            <w:r w:rsidRPr="00823872">
              <w:rPr>
                <w:rFonts w:ascii="Arial" w:hAnsi="Arial" w:cs="Arial"/>
              </w:rPr>
              <w:t>ection 34(4) of the Nature Conservation Ordinance 4 of 1975 as amended.</w:t>
            </w:r>
          </w:p>
          <w:p w:rsidR="0035647A" w:rsidRPr="0035647A" w:rsidRDefault="0035647A" w:rsidP="0035647A">
            <w:pPr>
              <w:pStyle w:val="AS-P1"/>
              <w:spacing w:line="360" w:lineRule="auto"/>
              <w:ind w:left="417" w:hanging="417"/>
              <w:rPr>
                <w:rFonts w:ascii="Arial" w:hAnsi="Arial" w:cs="Arial"/>
                <w:noProof w:val="0"/>
                <w:lang w:val="en-ZA"/>
              </w:rPr>
            </w:pPr>
          </w:p>
          <w:p w:rsidR="003609DE" w:rsidRPr="0035647A" w:rsidRDefault="0035647A" w:rsidP="0035647A">
            <w:pPr>
              <w:pStyle w:val="AS-P1"/>
              <w:numPr>
                <w:ilvl w:val="0"/>
                <w:numId w:val="12"/>
              </w:numPr>
              <w:spacing w:line="360" w:lineRule="auto"/>
              <w:ind w:left="417" w:hanging="417"/>
              <w:rPr>
                <w:rFonts w:ascii="Arial" w:hAnsi="Arial" w:cs="Arial"/>
                <w:noProof w:val="0"/>
                <w:lang w:val="en-ZA"/>
              </w:rPr>
            </w:pPr>
            <w:r w:rsidRPr="00823872">
              <w:rPr>
                <w:rFonts w:ascii="Arial" w:hAnsi="Arial" w:cs="Arial"/>
              </w:rPr>
              <w:t>The sentence imposed upon each accused on count two is found to be competent and is confirmed</w:t>
            </w:r>
            <w:r>
              <w:rPr>
                <w:rFonts w:ascii="Arial" w:hAnsi="Arial" w:cs="Arial"/>
              </w:rPr>
              <w:t>.</w:t>
            </w:r>
          </w:p>
          <w:p w:rsidR="00B07404" w:rsidRPr="00823872" w:rsidRDefault="00B07404" w:rsidP="00B0740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1FAB" w:rsidRPr="00823872" w:rsidTr="00EB27A0">
        <w:tc>
          <w:tcPr>
            <w:tcW w:w="9720" w:type="dxa"/>
            <w:gridSpan w:val="3"/>
          </w:tcPr>
          <w:p w:rsidR="00281FAB" w:rsidRPr="00823872" w:rsidRDefault="0035647A" w:rsidP="0086400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E6759">
              <w:rPr>
                <w:rFonts w:ascii="Arial" w:hAnsi="Arial" w:cs="Arial"/>
                <w:b/>
              </w:rPr>
              <w:lastRenderedPageBreak/>
              <w:t>Following below are the reasons for the above order:</w:t>
            </w:r>
          </w:p>
        </w:tc>
      </w:tr>
      <w:tr w:rsidR="00281FAB" w:rsidRPr="00823872" w:rsidTr="00EB27A0">
        <w:tc>
          <w:tcPr>
            <w:tcW w:w="9720" w:type="dxa"/>
            <w:gridSpan w:val="3"/>
          </w:tcPr>
          <w:p w:rsidR="001C58CB" w:rsidRPr="00823872" w:rsidRDefault="001C58CB" w:rsidP="004378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378C5" w:rsidRPr="00823872" w:rsidRDefault="0086377A" w:rsidP="004378C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872">
              <w:rPr>
                <w:rFonts w:ascii="Arial" w:hAnsi="Arial" w:cs="Arial"/>
              </w:rPr>
              <w:t>MILLER AJ (UNENGU AJ concurring):</w:t>
            </w:r>
          </w:p>
          <w:p w:rsidR="001C58CB" w:rsidRPr="00823872" w:rsidRDefault="001C58CB" w:rsidP="004378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07404" w:rsidRPr="00823872" w:rsidRDefault="00720125" w:rsidP="00B074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872">
              <w:rPr>
                <w:rFonts w:ascii="Arial" w:hAnsi="Arial" w:cs="Arial"/>
              </w:rPr>
              <w:t>[1]</w:t>
            </w:r>
            <w:r w:rsidRPr="00823872">
              <w:rPr>
                <w:rFonts w:ascii="Arial" w:hAnsi="Arial" w:cs="Arial"/>
              </w:rPr>
              <w:tab/>
            </w:r>
            <w:r w:rsidR="00CD79BD" w:rsidRPr="00823872">
              <w:rPr>
                <w:rFonts w:ascii="Arial" w:hAnsi="Arial" w:cs="Arial"/>
              </w:rPr>
              <w:t xml:space="preserve">The matter was place before </w:t>
            </w:r>
            <w:r w:rsidR="002C29AA" w:rsidRPr="00823872">
              <w:rPr>
                <w:rFonts w:ascii="Arial" w:hAnsi="Arial" w:cs="Arial"/>
              </w:rPr>
              <w:t xml:space="preserve">me </w:t>
            </w:r>
            <w:r w:rsidR="006F1D50" w:rsidRPr="00823872">
              <w:rPr>
                <w:rFonts w:ascii="Arial" w:hAnsi="Arial" w:cs="Arial"/>
              </w:rPr>
              <w:t>in terms of section 302(1) and s</w:t>
            </w:r>
            <w:r w:rsidR="00F8217A" w:rsidRPr="00823872">
              <w:rPr>
                <w:rFonts w:ascii="Arial" w:hAnsi="Arial" w:cs="Arial"/>
              </w:rPr>
              <w:t>ection 303 of the Crim</w:t>
            </w:r>
            <w:r w:rsidR="0035647A">
              <w:rPr>
                <w:rFonts w:ascii="Arial" w:hAnsi="Arial" w:cs="Arial"/>
              </w:rPr>
              <w:t>inal Procedure Act 51 of 1977 (s</w:t>
            </w:r>
            <w:r w:rsidR="00F8217A" w:rsidRPr="00823872">
              <w:rPr>
                <w:rFonts w:ascii="Arial" w:hAnsi="Arial" w:cs="Arial"/>
              </w:rPr>
              <w:t>entences subject to review in the ordinary cour</w:t>
            </w:r>
            <w:r w:rsidR="0035647A">
              <w:rPr>
                <w:rFonts w:ascii="Arial" w:hAnsi="Arial" w:cs="Arial"/>
              </w:rPr>
              <w:t>se and transmission of record).</w:t>
            </w:r>
          </w:p>
          <w:p w:rsidR="00740C3F" w:rsidRPr="00823872" w:rsidRDefault="00740C3F" w:rsidP="00B0740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07404" w:rsidRPr="00823872" w:rsidRDefault="00F8217A" w:rsidP="00CD79B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872">
              <w:rPr>
                <w:rFonts w:ascii="Arial" w:hAnsi="Arial" w:cs="Arial"/>
              </w:rPr>
              <w:t>[2]</w:t>
            </w:r>
            <w:r w:rsidRPr="00823872">
              <w:rPr>
                <w:rFonts w:ascii="Arial" w:hAnsi="Arial" w:cs="Arial"/>
              </w:rPr>
              <w:tab/>
            </w:r>
            <w:r w:rsidR="006F1D50" w:rsidRPr="00823872">
              <w:rPr>
                <w:rFonts w:ascii="Arial" w:hAnsi="Arial" w:cs="Arial"/>
              </w:rPr>
              <w:t>After the court invoked s</w:t>
            </w:r>
            <w:r w:rsidR="00E03457" w:rsidRPr="00823872">
              <w:rPr>
                <w:rFonts w:ascii="Arial" w:hAnsi="Arial" w:cs="Arial"/>
              </w:rPr>
              <w:t>ection 112</w:t>
            </w:r>
            <w:r w:rsidR="004C4E26" w:rsidRPr="00823872">
              <w:rPr>
                <w:rFonts w:ascii="Arial" w:hAnsi="Arial" w:cs="Arial"/>
              </w:rPr>
              <w:t>(1)</w:t>
            </w:r>
            <w:r w:rsidR="00E03457" w:rsidRPr="0035647A">
              <w:rPr>
                <w:rFonts w:ascii="Arial" w:hAnsi="Arial" w:cs="Arial"/>
                <w:i/>
              </w:rPr>
              <w:t>(b)</w:t>
            </w:r>
            <w:r w:rsidR="00E03457" w:rsidRPr="00823872">
              <w:rPr>
                <w:rFonts w:ascii="Arial" w:hAnsi="Arial" w:cs="Arial"/>
              </w:rPr>
              <w:t xml:space="preserve"> of the Criminal Procedure Act 51 of 1977 </w:t>
            </w:r>
            <w:r w:rsidR="002C29AA" w:rsidRPr="00823872">
              <w:rPr>
                <w:rFonts w:ascii="Arial" w:hAnsi="Arial" w:cs="Arial"/>
              </w:rPr>
              <w:t xml:space="preserve">in the Gobabis Magistrate’s Court, </w:t>
            </w:r>
            <w:r w:rsidR="00E03457" w:rsidRPr="00823872">
              <w:rPr>
                <w:rFonts w:ascii="Arial" w:hAnsi="Arial" w:cs="Arial"/>
              </w:rPr>
              <w:t>each of the</w:t>
            </w:r>
            <w:r w:rsidRPr="00823872">
              <w:rPr>
                <w:rFonts w:ascii="Arial" w:hAnsi="Arial" w:cs="Arial"/>
              </w:rPr>
              <w:t xml:space="preserve"> three accused persons were convicted on two counts, namely:</w:t>
            </w:r>
          </w:p>
          <w:p w:rsidR="00E03457" w:rsidRPr="00823872" w:rsidRDefault="00E03457" w:rsidP="00CD79B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8217A" w:rsidRPr="00823872" w:rsidRDefault="00F8217A" w:rsidP="0035647A">
            <w:pPr>
              <w:tabs>
                <w:tab w:val="left" w:pos="1693"/>
              </w:tabs>
              <w:spacing w:line="360" w:lineRule="auto"/>
              <w:ind w:left="1693" w:hanging="992"/>
              <w:jc w:val="both"/>
              <w:rPr>
                <w:rFonts w:ascii="Arial" w:hAnsi="Arial" w:cs="Arial"/>
              </w:rPr>
            </w:pPr>
            <w:r w:rsidRPr="00823872">
              <w:rPr>
                <w:rFonts w:ascii="Arial" w:hAnsi="Arial" w:cs="Arial"/>
              </w:rPr>
              <w:t>Count 1:</w:t>
            </w:r>
            <w:r w:rsidR="0035647A" w:rsidRPr="00823872">
              <w:rPr>
                <w:rFonts w:ascii="Arial" w:hAnsi="Arial" w:cs="Arial"/>
              </w:rPr>
              <w:tab/>
            </w:r>
            <w:r w:rsidR="00E03457" w:rsidRPr="00823872">
              <w:rPr>
                <w:rFonts w:ascii="Arial" w:hAnsi="Arial" w:cs="Arial"/>
              </w:rPr>
              <w:t>Hunting of hun</w:t>
            </w:r>
            <w:r w:rsidR="006F1D50" w:rsidRPr="00823872">
              <w:rPr>
                <w:rFonts w:ascii="Arial" w:hAnsi="Arial" w:cs="Arial"/>
              </w:rPr>
              <w:t>table game in contravention of section 30(1)</w:t>
            </w:r>
            <w:r w:rsidR="006F1D50" w:rsidRPr="0035647A">
              <w:rPr>
                <w:rFonts w:ascii="Arial" w:hAnsi="Arial" w:cs="Arial"/>
                <w:i/>
              </w:rPr>
              <w:t>(a)</w:t>
            </w:r>
            <w:r w:rsidR="006F1D50" w:rsidRPr="00823872">
              <w:rPr>
                <w:rFonts w:ascii="Arial" w:hAnsi="Arial" w:cs="Arial"/>
              </w:rPr>
              <w:t xml:space="preserve"> read with s</w:t>
            </w:r>
            <w:r w:rsidR="0035647A">
              <w:rPr>
                <w:rFonts w:ascii="Arial" w:hAnsi="Arial" w:cs="Arial"/>
              </w:rPr>
              <w:t>ections 1, 30</w:t>
            </w:r>
            <w:r w:rsidR="00E03457" w:rsidRPr="00823872">
              <w:rPr>
                <w:rFonts w:ascii="Arial" w:hAnsi="Arial" w:cs="Arial"/>
              </w:rPr>
              <w:t>(1)</w:t>
            </w:r>
            <w:r w:rsidR="00E03457" w:rsidRPr="0035647A">
              <w:rPr>
                <w:rFonts w:ascii="Arial" w:hAnsi="Arial" w:cs="Arial"/>
                <w:i/>
              </w:rPr>
              <w:t>(b)</w:t>
            </w:r>
            <w:r w:rsidR="00E03457" w:rsidRPr="00823872">
              <w:rPr>
                <w:rFonts w:ascii="Arial" w:hAnsi="Arial" w:cs="Arial"/>
              </w:rPr>
              <w:t>, 30(1)</w:t>
            </w:r>
            <w:r w:rsidR="00E03457" w:rsidRPr="0035647A">
              <w:rPr>
                <w:rFonts w:ascii="Arial" w:hAnsi="Arial" w:cs="Arial"/>
                <w:i/>
              </w:rPr>
              <w:t>(c)</w:t>
            </w:r>
            <w:r w:rsidR="00E03457" w:rsidRPr="00823872">
              <w:rPr>
                <w:rFonts w:ascii="Arial" w:hAnsi="Arial" w:cs="Arial"/>
              </w:rPr>
              <w:t>, 85, 89 and 89 A of the Nature Conservation Ordinance 4 of 1975, as amended</w:t>
            </w:r>
            <w:r w:rsidR="006F1D50" w:rsidRPr="00823872">
              <w:rPr>
                <w:rFonts w:ascii="Arial" w:hAnsi="Arial" w:cs="Arial"/>
              </w:rPr>
              <w:t>, and further read with s</w:t>
            </w:r>
            <w:r w:rsidR="002C29AA" w:rsidRPr="00823872">
              <w:rPr>
                <w:rFonts w:ascii="Arial" w:hAnsi="Arial" w:cs="Arial"/>
              </w:rPr>
              <w:t>ections</w:t>
            </w:r>
            <w:r w:rsidR="00E03457" w:rsidRPr="00823872">
              <w:rPr>
                <w:rFonts w:ascii="Arial" w:hAnsi="Arial" w:cs="Arial"/>
              </w:rPr>
              <w:t xml:space="preserve"> 90 and 250 of Act 51 of 1977. In that</w:t>
            </w:r>
            <w:r w:rsidR="0035647A">
              <w:rPr>
                <w:rFonts w:ascii="Arial" w:hAnsi="Arial" w:cs="Arial"/>
              </w:rPr>
              <w:t>,</w:t>
            </w:r>
            <w:r w:rsidR="00E03457" w:rsidRPr="00823872">
              <w:rPr>
                <w:rFonts w:ascii="Arial" w:hAnsi="Arial" w:cs="Arial"/>
              </w:rPr>
              <w:t xml:space="preserve"> upon or about the 24</w:t>
            </w:r>
            <w:r w:rsidR="00E03457" w:rsidRPr="00823872">
              <w:rPr>
                <w:rFonts w:ascii="Arial" w:hAnsi="Arial" w:cs="Arial"/>
                <w:vertAlign w:val="superscript"/>
              </w:rPr>
              <w:t>th</w:t>
            </w:r>
            <w:r w:rsidR="00E03457" w:rsidRPr="00823872">
              <w:rPr>
                <w:rFonts w:ascii="Arial" w:hAnsi="Arial" w:cs="Arial"/>
              </w:rPr>
              <w:t xml:space="preserve"> day of July 2020 at or near Farm </w:t>
            </w:r>
            <w:proofErr w:type="spellStart"/>
            <w:r w:rsidR="00E03457" w:rsidRPr="00823872">
              <w:rPr>
                <w:rFonts w:ascii="Arial" w:hAnsi="Arial" w:cs="Arial"/>
              </w:rPr>
              <w:t>Kalk</w:t>
            </w:r>
            <w:proofErr w:type="spellEnd"/>
            <w:r w:rsidR="00E03457" w:rsidRPr="00823872">
              <w:rPr>
                <w:rFonts w:ascii="Arial" w:hAnsi="Arial" w:cs="Arial"/>
              </w:rPr>
              <w:t xml:space="preserve"> Pan in the district of Gobabis, the said accused did wrongfully and u</w:t>
            </w:r>
            <w:r w:rsidR="00825168">
              <w:rPr>
                <w:rFonts w:ascii="Arial" w:hAnsi="Arial" w:cs="Arial"/>
              </w:rPr>
              <w:t>nlawfully hunt game, to wit: 1 warthog, valued at N$</w:t>
            </w:r>
            <w:r w:rsidR="00E03457" w:rsidRPr="00823872">
              <w:rPr>
                <w:rFonts w:ascii="Arial" w:hAnsi="Arial" w:cs="Arial"/>
              </w:rPr>
              <w:t>3</w:t>
            </w:r>
            <w:r w:rsidR="00825168">
              <w:rPr>
                <w:rFonts w:ascii="Arial" w:hAnsi="Arial" w:cs="Arial"/>
              </w:rPr>
              <w:t xml:space="preserve"> </w:t>
            </w:r>
            <w:r w:rsidR="00E03457" w:rsidRPr="00823872">
              <w:rPr>
                <w:rFonts w:ascii="Arial" w:hAnsi="Arial" w:cs="Arial"/>
              </w:rPr>
              <w:t>00</w:t>
            </w:r>
            <w:r w:rsidR="00CB1C90" w:rsidRPr="00823872">
              <w:rPr>
                <w:rFonts w:ascii="Arial" w:hAnsi="Arial" w:cs="Arial"/>
              </w:rPr>
              <w:t>0 without a permit or written authority to do so.</w:t>
            </w:r>
          </w:p>
          <w:p w:rsidR="00CB1C90" w:rsidRPr="00823872" w:rsidRDefault="00CB1C90" w:rsidP="0035647A">
            <w:pPr>
              <w:spacing w:line="360" w:lineRule="auto"/>
              <w:ind w:left="701"/>
              <w:jc w:val="both"/>
              <w:rPr>
                <w:rFonts w:ascii="Arial" w:hAnsi="Arial" w:cs="Arial"/>
              </w:rPr>
            </w:pPr>
          </w:p>
          <w:p w:rsidR="00E03457" w:rsidRPr="00823872" w:rsidRDefault="00E03457" w:rsidP="0035647A">
            <w:pPr>
              <w:tabs>
                <w:tab w:val="left" w:pos="1693"/>
              </w:tabs>
              <w:spacing w:line="360" w:lineRule="auto"/>
              <w:ind w:left="1693" w:hanging="992"/>
              <w:jc w:val="both"/>
              <w:rPr>
                <w:rFonts w:ascii="Arial" w:hAnsi="Arial" w:cs="Arial"/>
              </w:rPr>
            </w:pPr>
            <w:r w:rsidRPr="00823872">
              <w:rPr>
                <w:rFonts w:ascii="Arial" w:hAnsi="Arial" w:cs="Arial"/>
              </w:rPr>
              <w:t>Count 2:</w:t>
            </w:r>
            <w:r w:rsidR="0035647A" w:rsidRPr="00823872">
              <w:rPr>
                <w:rFonts w:ascii="Arial" w:hAnsi="Arial" w:cs="Arial"/>
              </w:rPr>
              <w:t xml:space="preserve"> </w:t>
            </w:r>
            <w:r w:rsidR="0035647A" w:rsidRPr="00823872">
              <w:rPr>
                <w:rFonts w:ascii="Arial" w:hAnsi="Arial" w:cs="Arial"/>
              </w:rPr>
              <w:tab/>
            </w:r>
            <w:r w:rsidR="00CB1C90" w:rsidRPr="00823872">
              <w:rPr>
                <w:rFonts w:ascii="Arial" w:hAnsi="Arial" w:cs="Arial"/>
              </w:rPr>
              <w:t>Hunting of specially prot</w:t>
            </w:r>
            <w:r w:rsidR="006F1D50" w:rsidRPr="00823872">
              <w:rPr>
                <w:rFonts w:ascii="Arial" w:hAnsi="Arial" w:cs="Arial"/>
              </w:rPr>
              <w:t>ected game in contravention of section 26(1) read with s</w:t>
            </w:r>
            <w:r w:rsidR="00CB1C90" w:rsidRPr="00823872">
              <w:rPr>
                <w:rFonts w:ascii="Arial" w:hAnsi="Arial" w:cs="Arial"/>
              </w:rPr>
              <w:t xml:space="preserve">ections 1, 26(2), 26(3), 85, 87, 89 and 89A of the Nature Conservation Ordinance 4 of 1975, as </w:t>
            </w:r>
            <w:r w:rsidR="006F1D50" w:rsidRPr="00823872">
              <w:rPr>
                <w:rFonts w:ascii="Arial" w:hAnsi="Arial" w:cs="Arial"/>
              </w:rPr>
              <w:t>amended, and further read with s</w:t>
            </w:r>
            <w:r w:rsidR="00CB1C90" w:rsidRPr="00823872">
              <w:rPr>
                <w:rFonts w:ascii="Arial" w:hAnsi="Arial" w:cs="Arial"/>
              </w:rPr>
              <w:t>ections 90 and 250 of Act 51 of 1977. In that</w:t>
            </w:r>
            <w:r w:rsidR="00825168">
              <w:rPr>
                <w:rFonts w:ascii="Arial" w:hAnsi="Arial" w:cs="Arial"/>
              </w:rPr>
              <w:t>,</w:t>
            </w:r>
            <w:r w:rsidR="00CB1C90" w:rsidRPr="00823872">
              <w:rPr>
                <w:rFonts w:ascii="Arial" w:hAnsi="Arial" w:cs="Arial"/>
              </w:rPr>
              <w:t xml:space="preserve"> upon or about 24</w:t>
            </w:r>
            <w:r w:rsidR="00CB1C90" w:rsidRPr="00823872">
              <w:rPr>
                <w:rFonts w:ascii="Arial" w:hAnsi="Arial" w:cs="Arial"/>
                <w:vertAlign w:val="superscript"/>
              </w:rPr>
              <w:t>th</w:t>
            </w:r>
            <w:r w:rsidR="00CB1C90" w:rsidRPr="00823872">
              <w:rPr>
                <w:rFonts w:ascii="Arial" w:hAnsi="Arial" w:cs="Arial"/>
              </w:rPr>
              <w:t xml:space="preserve"> day of July 2020 at or near Farm </w:t>
            </w:r>
            <w:proofErr w:type="spellStart"/>
            <w:r w:rsidR="00CB1C90" w:rsidRPr="00823872">
              <w:rPr>
                <w:rFonts w:ascii="Arial" w:hAnsi="Arial" w:cs="Arial"/>
              </w:rPr>
              <w:t>Kalk</w:t>
            </w:r>
            <w:proofErr w:type="spellEnd"/>
            <w:r w:rsidR="00CB1C90" w:rsidRPr="00823872">
              <w:rPr>
                <w:rFonts w:ascii="Arial" w:hAnsi="Arial" w:cs="Arial"/>
              </w:rPr>
              <w:t xml:space="preserve"> Pan in the district of Gobabis, the said accused did wrongfully and unlawfully hunt speci</w:t>
            </w:r>
            <w:r w:rsidR="00825168">
              <w:rPr>
                <w:rFonts w:ascii="Arial" w:hAnsi="Arial" w:cs="Arial"/>
              </w:rPr>
              <w:t>ally protected game, to wit: 1 p</w:t>
            </w:r>
            <w:r w:rsidR="00CB1C90" w:rsidRPr="00823872">
              <w:rPr>
                <w:rFonts w:ascii="Arial" w:hAnsi="Arial" w:cs="Arial"/>
              </w:rPr>
              <w:t>orcupine, valued at N$5</w:t>
            </w:r>
            <w:r w:rsidR="00825168">
              <w:rPr>
                <w:rFonts w:ascii="Arial" w:hAnsi="Arial" w:cs="Arial"/>
              </w:rPr>
              <w:t xml:space="preserve"> </w:t>
            </w:r>
            <w:r w:rsidR="00CB1C90" w:rsidRPr="00823872">
              <w:rPr>
                <w:rFonts w:ascii="Arial" w:hAnsi="Arial" w:cs="Arial"/>
              </w:rPr>
              <w:t>000 without a permit.</w:t>
            </w:r>
          </w:p>
          <w:p w:rsidR="00944BA0" w:rsidRPr="00823872" w:rsidRDefault="00944BA0" w:rsidP="00B0740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34C9B" w:rsidRPr="00823872" w:rsidRDefault="00DB6AE9" w:rsidP="00B074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872">
              <w:rPr>
                <w:rFonts w:ascii="Arial" w:hAnsi="Arial" w:cs="Arial"/>
              </w:rPr>
              <w:t>[3</w:t>
            </w:r>
            <w:r w:rsidR="00CB1C90" w:rsidRPr="00823872">
              <w:rPr>
                <w:rFonts w:ascii="Arial" w:hAnsi="Arial" w:cs="Arial"/>
              </w:rPr>
              <w:t>]</w:t>
            </w:r>
            <w:r w:rsidR="00CB1C90" w:rsidRPr="00823872">
              <w:rPr>
                <w:rFonts w:ascii="Arial" w:hAnsi="Arial" w:cs="Arial"/>
              </w:rPr>
              <w:tab/>
            </w:r>
            <w:r w:rsidR="006F1D50" w:rsidRPr="00823872">
              <w:rPr>
                <w:rFonts w:ascii="Arial" w:hAnsi="Arial" w:cs="Arial"/>
              </w:rPr>
              <w:t>The learned m</w:t>
            </w:r>
            <w:r w:rsidR="00134C9B" w:rsidRPr="00823872">
              <w:rPr>
                <w:rFonts w:ascii="Arial" w:hAnsi="Arial" w:cs="Arial"/>
              </w:rPr>
              <w:t xml:space="preserve">agistrate wrote a covering letter in which she </w:t>
            </w:r>
            <w:r w:rsidR="00114098" w:rsidRPr="00823872">
              <w:rPr>
                <w:rFonts w:ascii="Arial" w:hAnsi="Arial" w:cs="Arial"/>
              </w:rPr>
              <w:t xml:space="preserve">brought to </w:t>
            </w:r>
            <w:r w:rsidR="00581AF2" w:rsidRPr="00823872">
              <w:rPr>
                <w:rFonts w:ascii="Arial" w:hAnsi="Arial" w:cs="Arial"/>
              </w:rPr>
              <w:t>the attention of the reviewing J</w:t>
            </w:r>
            <w:r w:rsidR="00114098" w:rsidRPr="00823872">
              <w:rPr>
                <w:rFonts w:ascii="Arial" w:hAnsi="Arial" w:cs="Arial"/>
              </w:rPr>
              <w:t>udge an explanation</w:t>
            </w:r>
            <w:r w:rsidR="00134C9B" w:rsidRPr="00823872">
              <w:rPr>
                <w:rFonts w:ascii="Arial" w:hAnsi="Arial" w:cs="Arial"/>
              </w:rPr>
              <w:t xml:space="preserve"> that she convicted the </w:t>
            </w:r>
            <w:r w:rsidR="002C29AA" w:rsidRPr="00823872">
              <w:rPr>
                <w:rFonts w:ascii="Arial" w:hAnsi="Arial" w:cs="Arial"/>
              </w:rPr>
              <w:t>three accused persons on count two</w:t>
            </w:r>
            <w:r w:rsidR="00134C9B" w:rsidRPr="00823872">
              <w:rPr>
                <w:rFonts w:ascii="Arial" w:hAnsi="Arial" w:cs="Arial"/>
              </w:rPr>
              <w:t xml:space="preserve"> as charged, but before sentencing them she re</w:t>
            </w:r>
            <w:r w:rsidR="002C29AA" w:rsidRPr="00823872">
              <w:rPr>
                <w:rFonts w:ascii="Arial" w:hAnsi="Arial" w:cs="Arial"/>
              </w:rPr>
              <w:t>alized that a porcupine is not</w:t>
            </w:r>
            <w:r w:rsidR="00134C9B" w:rsidRPr="00823872">
              <w:rPr>
                <w:rFonts w:ascii="Arial" w:hAnsi="Arial" w:cs="Arial"/>
              </w:rPr>
              <w:t xml:space="preserve"> specially </w:t>
            </w:r>
            <w:r w:rsidR="002C29AA" w:rsidRPr="00823872">
              <w:rPr>
                <w:rFonts w:ascii="Arial" w:hAnsi="Arial" w:cs="Arial"/>
              </w:rPr>
              <w:t>protected</w:t>
            </w:r>
            <w:r w:rsidR="00134C9B" w:rsidRPr="00823872">
              <w:rPr>
                <w:rFonts w:ascii="Arial" w:hAnsi="Arial" w:cs="Arial"/>
              </w:rPr>
              <w:t xml:space="preserve"> game as alleged in the charge sheet, and that it is not classified </w:t>
            </w:r>
            <w:r w:rsidR="002C29AA" w:rsidRPr="00823872">
              <w:rPr>
                <w:rFonts w:ascii="Arial" w:hAnsi="Arial" w:cs="Arial"/>
              </w:rPr>
              <w:t xml:space="preserve">as such </w:t>
            </w:r>
            <w:r w:rsidR="00581AF2" w:rsidRPr="00823872">
              <w:rPr>
                <w:rFonts w:ascii="Arial" w:hAnsi="Arial" w:cs="Arial"/>
              </w:rPr>
              <w:t>in</w:t>
            </w:r>
            <w:r w:rsidR="00134C9B" w:rsidRPr="00823872">
              <w:rPr>
                <w:rFonts w:ascii="Arial" w:hAnsi="Arial" w:cs="Arial"/>
              </w:rPr>
              <w:t xml:space="preserve"> the Nature Conservation Ordinance 4 of 1975 as amended, but would be classifie</w:t>
            </w:r>
            <w:r w:rsidR="006F1D50" w:rsidRPr="00823872">
              <w:rPr>
                <w:rFonts w:ascii="Arial" w:hAnsi="Arial" w:cs="Arial"/>
              </w:rPr>
              <w:t>d as a wild animal in terms of section 34(2) read with s</w:t>
            </w:r>
            <w:r w:rsidR="00134C9B" w:rsidRPr="00823872">
              <w:rPr>
                <w:rFonts w:ascii="Arial" w:hAnsi="Arial" w:cs="Arial"/>
              </w:rPr>
              <w:t>ection 34(4) of the Nature Conservation Ordinance 4 of 1975 as amended.</w:t>
            </w:r>
          </w:p>
          <w:p w:rsidR="00134C9B" w:rsidRPr="00823872" w:rsidRDefault="00134C9B" w:rsidP="00B0740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609DE" w:rsidRPr="00823872" w:rsidRDefault="00DB6AE9" w:rsidP="006A31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872">
              <w:rPr>
                <w:rFonts w:ascii="Arial" w:hAnsi="Arial" w:cs="Arial"/>
              </w:rPr>
              <w:t>[4</w:t>
            </w:r>
            <w:r w:rsidR="00944BA0" w:rsidRPr="00823872">
              <w:rPr>
                <w:rFonts w:ascii="Arial" w:hAnsi="Arial" w:cs="Arial"/>
              </w:rPr>
              <w:t>]</w:t>
            </w:r>
            <w:r w:rsidR="00944BA0" w:rsidRPr="00823872">
              <w:rPr>
                <w:rFonts w:ascii="Arial" w:hAnsi="Arial" w:cs="Arial"/>
              </w:rPr>
              <w:tab/>
            </w:r>
            <w:r w:rsidR="006F1D50" w:rsidRPr="00823872">
              <w:rPr>
                <w:rFonts w:ascii="Arial" w:hAnsi="Arial" w:cs="Arial"/>
              </w:rPr>
              <w:t>The learned m</w:t>
            </w:r>
            <w:r w:rsidR="00134C9B" w:rsidRPr="00823872">
              <w:rPr>
                <w:rFonts w:ascii="Arial" w:hAnsi="Arial" w:cs="Arial"/>
              </w:rPr>
              <w:t xml:space="preserve">agistrate further explained that after such a realization, she proceeded to sentence the three accused </w:t>
            </w:r>
            <w:r w:rsidR="006F1D50" w:rsidRPr="00823872">
              <w:rPr>
                <w:rFonts w:ascii="Arial" w:hAnsi="Arial" w:cs="Arial"/>
              </w:rPr>
              <w:t>persons as if they contravened section 34(2) read with s</w:t>
            </w:r>
            <w:r w:rsidR="00134C9B" w:rsidRPr="00823872">
              <w:rPr>
                <w:rFonts w:ascii="Arial" w:hAnsi="Arial" w:cs="Arial"/>
              </w:rPr>
              <w:t>ection 34(4) of the Nature Conservation Ordinance 4 of 1975 as amended, which is hunting of wild animal</w:t>
            </w:r>
            <w:r w:rsidR="00825168">
              <w:rPr>
                <w:rFonts w:ascii="Arial" w:hAnsi="Arial" w:cs="Arial"/>
              </w:rPr>
              <w:t>s</w:t>
            </w:r>
            <w:r w:rsidR="00134C9B" w:rsidRPr="00823872">
              <w:rPr>
                <w:rFonts w:ascii="Arial" w:hAnsi="Arial" w:cs="Arial"/>
              </w:rPr>
              <w:t>.</w:t>
            </w:r>
          </w:p>
          <w:p w:rsidR="00581AF2" w:rsidRPr="00823872" w:rsidRDefault="00581AF2" w:rsidP="006A31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A3148" w:rsidRPr="00823872" w:rsidRDefault="00DB6AE9" w:rsidP="006A31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872">
              <w:rPr>
                <w:rFonts w:ascii="Arial" w:hAnsi="Arial" w:cs="Arial"/>
              </w:rPr>
              <w:t>[5</w:t>
            </w:r>
            <w:r w:rsidR="00740C3F" w:rsidRPr="00823872">
              <w:rPr>
                <w:rFonts w:ascii="Arial" w:hAnsi="Arial" w:cs="Arial"/>
              </w:rPr>
              <w:t>]</w:t>
            </w:r>
            <w:r w:rsidR="00825168" w:rsidRPr="00823872">
              <w:rPr>
                <w:rFonts w:ascii="Arial" w:hAnsi="Arial" w:cs="Arial"/>
              </w:rPr>
              <w:tab/>
            </w:r>
            <w:r w:rsidR="006F1D50" w:rsidRPr="00823872">
              <w:rPr>
                <w:rFonts w:ascii="Arial" w:hAnsi="Arial" w:cs="Arial"/>
              </w:rPr>
              <w:t>The learned m</w:t>
            </w:r>
            <w:r w:rsidR="004C4E26" w:rsidRPr="00823872">
              <w:rPr>
                <w:rFonts w:ascii="Arial" w:hAnsi="Arial" w:cs="Arial"/>
              </w:rPr>
              <w:t xml:space="preserve">agistrate is correct in her </w:t>
            </w:r>
            <w:r w:rsidR="005E2A6E" w:rsidRPr="00823872">
              <w:rPr>
                <w:rFonts w:ascii="Arial" w:hAnsi="Arial" w:cs="Arial"/>
              </w:rPr>
              <w:t>conclusion</w:t>
            </w:r>
            <w:r w:rsidR="006A3148" w:rsidRPr="00823872">
              <w:rPr>
                <w:rFonts w:ascii="Arial" w:hAnsi="Arial" w:cs="Arial"/>
              </w:rPr>
              <w:t xml:space="preserve"> as explained in the covering letter</w:t>
            </w:r>
            <w:r w:rsidR="005E2A6E" w:rsidRPr="00823872">
              <w:rPr>
                <w:rFonts w:ascii="Arial" w:hAnsi="Arial" w:cs="Arial"/>
              </w:rPr>
              <w:t xml:space="preserve"> that a porcupine is not specia</w:t>
            </w:r>
            <w:r w:rsidR="006F1D50" w:rsidRPr="00823872">
              <w:rPr>
                <w:rFonts w:ascii="Arial" w:hAnsi="Arial" w:cs="Arial"/>
              </w:rPr>
              <w:t>lly protected game in terms of s</w:t>
            </w:r>
            <w:r w:rsidR="005E2A6E" w:rsidRPr="00823872">
              <w:rPr>
                <w:rFonts w:ascii="Arial" w:hAnsi="Arial" w:cs="Arial"/>
              </w:rPr>
              <w:t>ection 26 of the Nature Conservation Ordinance 4 of 1975,</w:t>
            </w:r>
            <w:r w:rsidR="006F1D50" w:rsidRPr="00823872">
              <w:rPr>
                <w:rFonts w:ascii="Arial" w:hAnsi="Arial" w:cs="Arial"/>
              </w:rPr>
              <w:t xml:space="preserve"> but a wild animal in terms of s</w:t>
            </w:r>
            <w:r w:rsidR="005E2A6E" w:rsidRPr="00823872">
              <w:rPr>
                <w:rFonts w:ascii="Arial" w:hAnsi="Arial" w:cs="Arial"/>
              </w:rPr>
              <w:t>ection 34 of the Nature Conservation Ordinance 4 of 1975, therefore the sections under which the accused persons were charged and convicted in coun</w:t>
            </w:r>
            <w:r w:rsidR="006F1D50" w:rsidRPr="00823872">
              <w:rPr>
                <w:rFonts w:ascii="Arial" w:hAnsi="Arial" w:cs="Arial"/>
              </w:rPr>
              <w:t>t two are clearly wrong as the magistrate</w:t>
            </w:r>
            <w:r w:rsidR="005E2A6E" w:rsidRPr="00823872">
              <w:rPr>
                <w:rFonts w:ascii="Arial" w:hAnsi="Arial" w:cs="Arial"/>
              </w:rPr>
              <w:t xml:space="preserve"> explained</w:t>
            </w:r>
            <w:r w:rsidR="006F1D50" w:rsidRPr="00823872">
              <w:rPr>
                <w:rFonts w:ascii="Arial" w:hAnsi="Arial" w:cs="Arial"/>
              </w:rPr>
              <w:t xml:space="preserve"> in her covering letter</w:t>
            </w:r>
            <w:r w:rsidR="005E2A6E" w:rsidRPr="00823872">
              <w:rPr>
                <w:rFonts w:ascii="Arial" w:hAnsi="Arial" w:cs="Arial"/>
              </w:rPr>
              <w:t xml:space="preserve">. In count two the accused persons should have been charged with </w:t>
            </w:r>
            <w:r w:rsidR="006A3148" w:rsidRPr="00823872">
              <w:rPr>
                <w:rFonts w:ascii="Arial" w:hAnsi="Arial" w:cs="Arial"/>
              </w:rPr>
              <w:t xml:space="preserve">hunting of a wild animal without </w:t>
            </w:r>
            <w:r w:rsidR="002C29AA" w:rsidRPr="00823872">
              <w:rPr>
                <w:rFonts w:ascii="Arial" w:hAnsi="Arial" w:cs="Arial"/>
              </w:rPr>
              <w:t xml:space="preserve">a </w:t>
            </w:r>
            <w:r w:rsidR="006A3148" w:rsidRPr="00823872">
              <w:rPr>
                <w:rFonts w:ascii="Arial" w:hAnsi="Arial" w:cs="Arial"/>
              </w:rPr>
              <w:t>written permission of the owner or lessee of</w:t>
            </w:r>
            <w:r w:rsidR="006F1D50" w:rsidRPr="00823872">
              <w:rPr>
                <w:rFonts w:ascii="Arial" w:hAnsi="Arial" w:cs="Arial"/>
              </w:rPr>
              <w:t xml:space="preserve"> such land in contravention of section 34(2) read with s</w:t>
            </w:r>
            <w:r w:rsidR="006A3148" w:rsidRPr="00823872">
              <w:rPr>
                <w:rFonts w:ascii="Arial" w:hAnsi="Arial" w:cs="Arial"/>
              </w:rPr>
              <w:t>ection 34(4) of the Nature Conservation Ordinance 4 of 1975 as amended.</w:t>
            </w:r>
            <w:r w:rsidR="009174EF" w:rsidRPr="00823872">
              <w:rPr>
                <w:rStyle w:val="FootnoteReference"/>
                <w:rFonts w:ascii="Arial" w:hAnsi="Arial" w:cs="Arial"/>
              </w:rPr>
              <w:footnoteReference w:id="1"/>
            </w:r>
          </w:p>
          <w:p w:rsidR="005E2A6E" w:rsidRPr="00823872" w:rsidRDefault="005E2A6E" w:rsidP="00134C9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34C9B" w:rsidRPr="00823872" w:rsidRDefault="00DB6AE9" w:rsidP="0018216F">
            <w:pPr>
              <w:pStyle w:val="AS-P1"/>
              <w:spacing w:line="360" w:lineRule="auto"/>
              <w:ind w:firstLine="0"/>
              <w:rPr>
                <w:rFonts w:ascii="Arial" w:hAnsi="Arial" w:cs="Arial"/>
                <w:noProof w:val="0"/>
                <w:lang w:val="en-ZA"/>
              </w:rPr>
            </w:pPr>
            <w:r w:rsidRPr="00823872">
              <w:rPr>
                <w:rFonts w:ascii="Arial" w:hAnsi="Arial" w:cs="Arial"/>
              </w:rPr>
              <w:t>[6</w:t>
            </w:r>
            <w:r w:rsidR="0018216F" w:rsidRPr="00823872">
              <w:rPr>
                <w:rFonts w:ascii="Arial" w:hAnsi="Arial" w:cs="Arial"/>
              </w:rPr>
              <w:t>]</w:t>
            </w:r>
            <w:r w:rsidR="00825168" w:rsidRPr="00823872">
              <w:rPr>
                <w:rFonts w:ascii="Arial" w:hAnsi="Arial" w:cs="Arial"/>
              </w:rPr>
              <w:tab/>
            </w:r>
            <w:r w:rsidR="006A3148" w:rsidRPr="00823872">
              <w:rPr>
                <w:rFonts w:ascii="Arial" w:hAnsi="Arial" w:cs="Arial"/>
              </w:rPr>
              <w:t>Because the accused person</w:t>
            </w:r>
            <w:r w:rsidR="009174EF" w:rsidRPr="00823872">
              <w:rPr>
                <w:rFonts w:ascii="Arial" w:hAnsi="Arial" w:cs="Arial"/>
              </w:rPr>
              <w:t>s were charged and c</w:t>
            </w:r>
            <w:r w:rsidR="006F1D50" w:rsidRPr="00823872">
              <w:rPr>
                <w:rFonts w:ascii="Arial" w:hAnsi="Arial" w:cs="Arial"/>
              </w:rPr>
              <w:t>onvicted of contravening wrong s</w:t>
            </w:r>
            <w:r w:rsidR="009174EF" w:rsidRPr="00823872">
              <w:rPr>
                <w:rFonts w:ascii="Arial" w:hAnsi="Arial" w:cs="Arial"/>
              </w:rPr>
              <w:t>ections of the applicable statue</w:t>
            </w:r>
            <w:r w:rsidR="00581AF2" w:rsidRPr="00823872">
              <w:rPr>
                <w:rFonts w:ascii="Arial" w:hAnsi="Arial" w:cs="Arial"/>
              </w:rPr>
              <w:t xml:space="preserve"> in count two</w:t>
            </w:r>
            <w:r w:rsidR="009174EF" w:rsidRPr="00823872">
              <w:rPr>
                <w:rFonts w:ascii="Arial" w:hAnsi="Arial" w:cs="Arial"/>
              </w:rPr>
              <w:t>, those convictions are not in order and cannot be allowed to stand, but the sentences imposed are</w:t>
            </w:r>
            <w:r w:rsidR="00581AF2" w:rsidRPr="00823872">
              <w:rPr>
                <w:rFonts w:ascii="Arial" w:hAnsi="Arial" w:cs="Arial"/>
              </w:rPr>
              <w:t xml:space="preserve"> found to be</w:t>
            </w:r>
            <w:r w:rsidR="006F1D50" w:rsidRPr="00823872">
              <w:rPr>
                <w:rFonts w:ascii="Arial" w:hAnsi="Arial" w:cs="Arial"/>
              </w:rPr>
              <w:t xml:space="preserve"> competent because the m</w:t>
            </w:r>
            <w:r w:rsidR="009174EF" w:rsidRPr="00823872">
              <w:rPr>
                <w:rFonts w:ascii="Arial" w:hAnsi="Arial" w:cs="Arial"/>
              </w:rPr>
              <w:t>agistrate explained that she proceeded to sentence the accused persons in terms of the correct sections of th</w:t>
            </w:r>
            <w:r w:rsidR="006F1D50" w:rsidRPr="00823872">
              <w:rPr>
                <w:rFonts w:ascii="Arial" w:hAnsi="Arial" w:cs="Arial"/>
              </w:rPr>
              <w:t>e applicable statute, which is section 34(2) read with s</w:t>
            </w:r>
            <w:r w:rsidR="009174EF" w:rsidRPr="00823872">
              <w:rPr>
                <w:rFonts w:ascii="Arial" w:hAnsi="Arial" w:cs="Arial"/>
              </w:rPr>
              <w:t xml:space="preserve">ection 34(4) of the Nature Conservation Ordinance 4 of 1975 as amended. Section 34(4) provides that </w:t>
            </w:r>
            <w:r w:rsidR="009174EF" w:rsidRPr="00823872">
              <w:rPr>
                <w:rFonts w:ascii="Arial" w:hAnsi="Arial" w:cs="Arial"/>
                <w:noProof w:val="0"/>
                <w:lang w:val="en-ZA"/>
              </w:rPr>
              <w:t>any person who contravenes or fails to comply with any provision of subsection</w:t>
            </w:r>
            <w:r w:rsidR="0018216F" w:rsidRPr="00823872">
              <w:rPr>
                <w:rFonts w:ascii="Arial" w:hAnsi="Arial" w:cs="Arial"/>
                <w:noProof w:val="0"/>
                <w:lang w:val="en-ZA"/>
              </w:rPr>
              <w:t xml:space="preserve"> 34</w:t>
            </w:r>
            <w:r w:rsidR="009174EF" w:rsidRPr="00823872">
              <w:rPr>
                <w:rFonts w:ascii="Arial" w:hAnsi="Arial" w:cs="Arial"/>
                <w:noProof w:val="0"/>
                <w:lang w:val="en-ZA"/>
              </w:rPr>
              <w:t xml:space="preserve">(1) or </w:t>
            </w:r>
            <w:r w:rsidR="00825168">
              <w:rPr>
                <w:rFonts w:ascii="Arial" w:hAnsi="Arial" w:cs="Arial"/>
                <w:noProof w:val="0"/>
                <w:lang w:val="en-ZA"/>
              </w:rPr>
              <w:t>34</w:t>
            </w:r>
            <w:r w:rsidR="009174EF" w:rsidRPr="00823872">
              <w:rPr>
                <w:rFonts w:ascii="Arial" w:hAnsi="Arial" w:cs="Arial"/>
                <w:noProof w:val="0"/>
                <w:lang w:val="en-ZA"/>
              </w:rPr>
              <w:t xml:space="preserve">(2) shall be guilty of an offence and liable on conviction to a fine not less than </w:t>
            </w:r>
            <w:r w:rsidR="00825168">
              <w:rPr>
                <w:rFonts w:ascii="Arial" w:hAnsi="Arial" w:cs="Arial"/>
                <w:noProof w:val="0"/>
                <w:lang w:val="en-ZA"/>
              </w:rPr>
              <w:t>N$750 (</w:t>
            </w:r>
            <w:r w:rsidR="009174EF" w:rsidRPr="00823872">
              <w:rPr>
                <w:rFonts w:ascii="Arial" w:hAnsi="Arial" w:cs="Arial"/>
                <w:noProof w:val="0"/>
                <w:lang w:val="en-ZA"/>
              </w:rPr>
              <w:t xml:space="preserve">seven hundred and </w:t>
            </w:r>
            <w:r w:rsidR="009174EF" w:rsidRPr="00AB51CF">
              <w:rPr>
                <w:rFonts w:ascii="Arial" w:hAnsi="Arial" w:cs="Arial"/>
                <w:noProof w:val="0"/>
                <w:lang w:val="en-ZA"/>
              </w:rPr>
              <w:t>fifty rand</w:t>
            </w:r>
            <w:r w:rsidR="00825168">
              <w:rPr>
                <w:rFonts w:ascii="Arial" w:hAnsi="Arial" w:cs="Arial"/>
                <w:noProof w:val="0"/>
                <w:lang w:val="en-ZA"/>
              </w:rPr>
              <w:t>)</w:t>
            </w:r>
            <w:r w:rsidR="009174EF" w:rsidRPr="00823872">
              <w:rPr>
                <w:rFonts w:ascii="Arial" w:hAnsi="Arial" w:cs="Arial"/>
                <w:noProof w:val="0"/>
                <w:lang w:val="en-ZA"/>
              </w:rPr>
              <w:t xml:space="preserve"> and not exceeding </w:t>
            </w:r>
            <w:r w:rsidR="00825168">
              <w:rPr>
                <w:rFonts w:ascii="Arial" w:hAnsi="Arial" w:cs="Arial"/>
                <w:noProof w:val="0"/>
                <w:lang w:val="en-ZA"/>
              </w:rPr>
              <w:t>N$1 500 (</w:t>
            </w:r>
            <w:r w:rsidR="009174EF" w:rsidRPr="00823872">
              <w:rPr>
                <w:rFonts w:ascii="Arial" w:hAnsi="Arial" w:cs="Arial"/>
                <w:noProof w:val="0"/>
                <w:lang w:val="en-ZA"/>
              </w:rPr>
              <w:t xml:space="preserve">one thousand five hundred </w:t>
            </w:r>
            <w:r w:rsidR="009174EF" w:rsidRPr="00AB51CF">
              <w:rPr>
                <w:rFonts w:ascii="Arial" w:hAnsi="Arial" w:cs="Arial"/>
                <w:noProof w:val="0"/>
                <w:lang w:val="en-ZA"/>
              </w:rPr>
              <w:t>rand</w:t>
            </w:r>
            <w:r w:rsidR="00825168">
              <w:rPr>
                <w:rFonts w:ascii="Arial" w:hAnsi="Arial" w:cs="Arial"/>
                <w:noProof w:val="0"/>
                <w:lang w:val="en-ZA"/>
              </w:rPr>
              <w:t>)</w:t>
            </w:r>
            <w:r w:rsidR="009174EF" w:rsidRPr="00823872">
              <w:rPr>
                <w:rFonts w:ascii="Arial" w:hAnsi="Arial" w:cs="Arial"/>
                <w:noProof w:val="0"/>
                <w:lang w:val="en-ZA"/>
              </w:rPr>
              <w:t xml:space="preserve"> or to imprisonment for a period of not less than twelve months and not exceeding three years or to both such fine and such imprisonment.</w:t>
            </w:r>
            <w:r w:rsidR="006F1D50" w:rsidRPr="00823872">
              <w:rPr>
                <w:rFonts w:ascii="Arial" w:hAnsi="Arial" w:cs="Arial"/>
                <w:noProof w:val="0"/>
                <w:lang w:val="en-ZA"/>
              </w:rPr>
              <w:t xml:space="preserve"> The learned m</w:t>
            </w:r>
            <w:r w:rsidR="0018216F" w:rsidRPr="00823872">
              <w:rPr>
                <w:rFonts w:ascii="Arial" w:hAnsi="Arial" w:cs="Arial"/>
                <w:noProof w:val="0"/>
                <w:lang w:val="en-ZA"/>
              </w:rPr>
              <w:t xml:space="preserve">agistrate complied with </w:t>
            </w:r>
            <w:r w:rsidR="00825168">
              <w:rPr>
                <w:rFonts w:ascii="Arial" w:hAnsi="Arial" w:cs="Arial"/>
                <w:noProof w:val="0"/>
                <w:lang w:val="en-ZA"/>
              </w:rPr>
              <w:t>s</w:t>
            </w:r>
            <w:r w:rsidR="0018216F" w:rsidRPr="00823872">
              <w:rPr>
                <w:rFonts w:ascii="Arial" w:hAnsi="Arial" w:cs="Arial"/>
                <w:noProof w:val="0"/>
                <w:lang w:val="en-ZA"/>
              </w:rPr>
              <w:t xml:space="preserve">ection 34(4) by sentencing each accused person as follows: ‘Each accused </w:t>
            </w:r>
            <w:r w:rsidR="00825168">
              <w:rPr>
                <w:rFonts w:ascii="Arial" w:hAnsi="Arial" w:cs="Arial"/>
                <w:noProof w:val="0"/>
                <w:lang w:val="en-ZA"/>
              </w:rPr>
              <w:t>is fined N$</w:t>
            </w:r>
            <w:r w:rsidR="0018216F" w:rsidRPr="00823872">
              <w:rPr>
                <w:rFonts w:ascii="Arial" w:hAnsi="Arial" w:cs="Arial"/>
                <w:noProof w:val="0"/>
                <w:lang w:val="en-ZA"/>
              </w:rPr>
              <w:t xml:space="preserve">750-00 or in default of payment 12 </w:t>
            </w:r>
            <w:r w:rsidR="00825168">
              <w:rPr>
                <w:rFonts w:ascii="Arial" w:hAnsi="Arial" w:cs="Arial"/>
                <w:noProof w:val="0"/>
                <w:lang w:val="en-ZA"/>
              </w:rPr>
              <w:t>months imprisonment.’</w:t>
            </w:r>
          </w:p>
          <w:p w:rsidR="00DB6AE9" w:rsidRPr="00823872" w:rsidRDefault="00DB6AE9" w:rsidP="0018216F">
            <w:pPr>
              <w:pStyle w:val="AS-P1"/>
              <w:spacing w:line="360" w:lineRule="auto"/>
              <w:ind w:firstLine="0"/>
              <w:rPr>
                <w:rFonts w:ascii="Arial" w:hAnsi="Arial" w:cs="Arial"/>
                <w:noProof w:val="0"/>
                <w:lang w:val="en-ZA"/>
              </w:rPr>
            </w:pPr>
          </w:p>
          <w:p w:rsidR="00DF787A" w:rsidRDefault="00DB6AE9" w:rsidP="0018216F">
            <w:pPr>
              <w:pStyle w:val="AS-P1"/>
              <w:spacing w:line="360" w:lineRule="auto"/>
              <w:ind w:firstLine="0"/>
              <w:rPr>
                <w:rFonts w:ascii="Arial" w:hAnsi="Arial" w:cs="Arial"/>
                <w:noProof w:val="0"/>
                <w:lang w:val="en-ZA"/>
              </w:rPr>
            </w:pPr>
            <w:r w:rsidRPr="00823872">
              <w:rPr>
                <w:rFonts w:ascii="Arial" w:hAnsi="Arial" w:cs="Arial"/>
                <w:noProof w:val="0"/>
                <w:lang w:val="en-ZA"/>
              </w:rPr>
              <w:t>[7</w:t>
            </w:r>
            <w:r w:rsidR="006F1D50" w:rsidRPr="00823872">
              <w:rPr>
                <w:rFonts w:ascii="Arial" w:hAnsi="Arial" w:cs="Arial"/>
                <w:noProof w:val="0"/>
                <w:lang w:val="en-ZA"/>
              </w:rPr>
              <w:t>]</w:t>
            </w:r>
            <w:r w:rsidR="00825168" w:rsidRPr="00823872">
              <w:rPr>
                <w:rFonts w:ascii="Arial" w:hAnsi="Arial" w:cs="Arial"/>
              </w:rPr>
              <w:tab/>
            </w:r>
            <w:r w:rsidR="0018216F" w:rsidRPr="00823872">
              <w:rPr>
                <w:rFonts w:ascii="Arial" w:hAnsi="Arial" w:cs="Arial"/>
                <w:noProof w:val="0"/>
                <w:lang w:val="en-ZA"/>
              </w:rPr>
              <w:t xml:space="preserve">As said afore, the conviction </w:t>
            </w:r>
            <w:r w:rsidR="00DF787A" w:rsidRPr="00823872">
              <w:rPr>
                <w:rFonts w:ascii="Arial" w:hAnsi="Arial" w:cs="Arial"/>
                <w:noProof w:val="0"/>
                <w:lang w:val="en-ZA"/>
              </w:rPr>
              <w:t>of the three accused person on count two was done under the wrong sections an</w:t>
            </w:r>
            <w:r w:rsidR="006F1D50" w:rsidRPr="00823872">
              <w:rPr>
                <w:rFonts w:ascii="Arial" w:hAnsi="Arial" w:cs="Arial"/>
                <w:noProof w:val="0"/>
                <w:lang w:val="en-ZA"/>
              </w:rPr>
              <w:t>d will not be allowed to stand. I</w:t>
            </w:r>
            <w:r w:rsidR="00DF787A" w:rsidRPr="00823872">
              <w:rPr>
                <w:rFonts w:ascii="Arial" w:hAnsi="Arial" w:cs="Arial"/>
                <w:noProof w:val="0"/>
                <w:lang w:val="en-ZA"/>
              </w:rPr>
              <w:t>n the result</w:t>
            </w:r>
            <w:r w:rsidR="00825168">
              <w:rPr>
                <w:rFonts w:ascii="Arial" w:hAnsi="Arial" w:cs="Arial"/>
                <w:noProof w:val="0"/>
                <w:lang w:val="en-ZA"/>
              </w:rPr>
              <w:t>,</w:t>
            </w:r>
            <w:r w:rsidR="00DF787A" w:rsidRPr="00823872">
              <w:rPr>
                <w:rFonts w:ascii="Arial" w:hAnsi="Arial" w:cs="Arial"/>
                <w:noProof w:val="0"/>
                <w:lang w:val="en-ZA"/>
              </w:rPr>
              <w:t xml:space="preserve"> I make the following order</w:t>
            </w:r>
            <w:r w:rsidR="00463C3A" w:rsidRPr="00823872">
              <w:rPr>
                <w:rFonts w:ascii="Arial" w:hAnsi="Arial" w:cs="Arial"/>
                <w:noProof w:val="0"/>
                <w:lang w:val="en-ZA"/>
              </w:rPr>
              <w:t xml:space="preserve"> taking into consideration the fact that the accused</w:t>
            </w:r>
            <w:r w:rsidR="00C74F50" w:rsidRPr="00823872">
              <w:rPr>
                <w:rFonts w:ascii="Arial" w:hAnsi="Arial" w:cs="Arial"/>
                <w:noProof w:val="0"/>
                <w:lang w:val="en-ZA"/>
              </w:rPr>
              <w:t xml:space="preserve"> persons</w:t>
            </w:r>
            <w:r w:rsidR="006F1D50" w:rsidRPr="00823872">
              <w:rPr>
                <w:rFonts w:ascii="Arial" w:hAnsi="Arial" w:cs="Arial"/>
                <w:noProof w:val="0"/>
                <w:lang w:val="en-ZA"/>
              </w:rPr>
              <w:t xml:space="preserve"> in terms of s</w:t>
            </w:r>
            <w:r w:rsidR="00825168">
              <w:rPr>
                <w:rFonts w:ascii="Arial" w:hAnsi="Arial" w:cs="Arial"/>
                <w:noProof w:val="0"/>
                <w:lang w:val="en-ZA"/>
              </w:rPr>
              <w:t>ection 112</w:t>
            </w:r>
            <w:r w:rsidR="00463C3A" w:rsidRPr="00823872">
              <w:rPr>
                <w:rFonts w:ascii="Arial" w:hAnsi="Arial" w:cs="Arial"/>
              </w:rPr>
              <w:t>(1)</w:t>
            </w:r>
            <w:r w:rsidR="00463C3A" w:rsidRPr="00825168">
              <w:rPr>
                <w:rFonts w:ascii="Arial" w:hAnsi="Arial" w:cs="Arial"/>
                <w:i/>
              </w:rPr>
              <w:t>(b)</w:t>
            </w:r>
            <w:r w:rsidR="00463C3A" w:rsidRPr="00823872">
              <w:rPr>
                <w:rFonts w:ascii="Arial" w:hAnsi="Arial" w:cs="Arial"/>
              </w:rPr>
              <w:t xml:space="preserve"> </w:t>
            </w:r>
            <w:r w:rsidR="002C29AA" w:rsidRPr="00823872">
              <w:rPr>
                <w:rFonts w:ascii="Arial" w:hAnsi="Arial" w:cs="Arial"/>
              </w:rPr>
              <w:t xml:space="preserve">of the Criminal Procedure Act 51 of 1977 </w:t>
            </w:r>
            <w:r w:rsidR="00C74F50" w:rsidRPr="00823872">
              <w:rPr>
                <w:rFonts w:ascii="Arial" w:hAnsi="Arial" w:cs="Arial"/>
                <w:noProof w:val="0"/>
                <w:lang w:val="en-ZA"/>
              </w:rPr>
              <w:t xml:space="preserve">admitted </w:t>
            </w:r>
            <w:r w:rsidR="00463C3A" w:rsidRPr="00823872">
              <w:rPr>
                <w:rFonts w:ascii="Arial" w:hAnsi="Arial" w:cs="Arial"/>
                <w:noProof w:val="0"/>
                <w:lang w:val="en-ZA"/>
              </w:rPr>
              <w:t xml:space="preserve">all the elements of the offence </w:t>
            </w:r>
            <w:r w:rsidR="00C74F50" w:rsidRPr="00823872">
              <w:rPr>
                <w:rFonts w:ascii="Arial" w:hAnsi="Arial" w:cs="Arial"/>
                <w:noProof w:val="0"/>
                <w:lang w:val="en-ZA"/>
              </w:rPr>
              <w:t xml:space="preserve">under </w:t>
            </w:r>
            <w:r w:rsidR="006F1D50" w:rsidRPr="00823872">
              <w:rPr>
                <w:rFonts w:ascii="Arial" w:hAnsi="Arial" w:cs="Arial"/>
              </w:rPr>
              <w:t>s</w:t>
            </w:r>
            <w:r w:rsidR="00825168">
              <w:rPr>
                <w:rFonts w:ascii="Arial" w:hAnsi="Arial" w:cs="Arial"/>
              </w:rPr>
              <w:t>ection 34</w:t>
            </w:r>
            <w:r w:rsidR="00C74F50" w:rsidRPr="00823872">
              <w:rPr>
                <w:rFonts w:ascii="Arial" w:hAnsi="Arial" w:cs="Arial"/>
              </w:rPr>
              <w:t>(2), and that they will suffer no prejudice</w:t>
            </w:r>
            <w:r w:rsidR="00C74F50" w:rsidRPr="00823872">
              <w:rPr>
                <w:rFonts w:ascii="Arial" w:hAnsi="Arial" w:cs="Arial"/>
                <w:noProof w:val="0"/>
                <w:lang w:val="en-ZA"/>
              </w:rPr>
              <w:t>:</w:t>
            </w:r>
          </w:p>
          <w:p w:rsidR="00825168" w:rsidRPr="00823872" w:rsidRDefault="00825168" w:rsidP="0018216F">
            <w:pPr>
              <w:pStyle w:val="AS-P1"/>
              <w:spacing w:line="360" w:lineRule="auto"/>
              <w:ind w:firstLine="0"/>
              <w:rPr>
                <w:rFonts w:ascii="Arial" w:hAnsi="Arial" w:cs="Arial"/>
                <w:noProof w:val="0"/>
                <w:lang w:val="en-ZA"/>
              </w:rPr>
            </w:pPr>
          </w:p>
          <w:p w:rsidR="00DF787A" w:rsidRPr="00C860EA" w:rsidRDefault="00B128ED" w:rsidP="00825168">
            <w:pPr>
              <w:pStyle w:val="AS-P1"/>
              <w:numPr>
                <w:ilvl w:val="0"/>
                <w:numId w:val="11"/>
              </w:numPr>
              <w:spacing w:line="360" w:lineRule="auto"/>
              <w:ind w:left="1268" w:hanging="567"/>
              <w:rPr>
                <w:rFonts w:ascii="Arial" w:hAnsi="Arial" w:cs="Arial"/>
                <w:noProof w:val="0"/>
                <w:lang w:val="en-ZA"/>
              </w:rPr>
            </w:pPr>
            <w:r w:rsidRPr="00823872">
              <w:rPr>
                <w:rFonts w:ascii="Arial" w:hAnsi="Arial" w:cs="Arial"/>
                <w:noProof w:val="0"/>
                <w:lang w:val="en-ZA"/>
              </w:rPr>
              <w:t>In count two, t</w:t>
            </w:r>
            <w:r w:rsidR="00463C3A" w:rsidRPr="00823872">
              <w:rPr>
                <w:rFonts w:ascii="Arial" w:hAnsi="Arial" w:cs="Arial"/>
                <w:noProof w:val="0"/>
                <w:lang w:val="en-ZA"/>
              </w:rPr>
              <w:t>he conviction</w:t>
            </w:r>
            <w:r w:rsidRPr="00823872">
              <w:rPr>
                <w:rFonts w:ascii="Arial" w:hAnsi="Arial" w:cs="Arial"/>
                <w:noProof w:val="0"/>
                <w:lang w:val="en-ZA"/>
              </w:rPr>
              <w:t xml:space="preserve"> of each accused</w:t>
            </w:r>
            <w:r w:rsidR="006F1D50" w:rsidRPr="00823872">
              <w:rPr>
                <w:rFonts w:ascii="Arial" w:hAnsi="Arial" w:cs="Arial"/>
                <w:noProof w:val="0"/>
                <w:lang w:val="en-ZA"/>
              </w:rPr>
              <w:t xml:space="preserve"> of contravening s</w:t>
            </w:r>
            <w:r w:rsidR="00463C3A" w:rsidRPr="00823872">
              <w:rPr>
                <w:rFonts w:ascii="Arial" w:hAnsi="Arial" w:cs="Arial"/>
                <w:noProof w:val="0"/>
                <w:lang w:val="en-ZA"/>
              </w:rPr>
              <w:t>ection</w:t>
            </w:r>
            <w:r w:rsidR="00C860EA">
              <w:rPr>
                <w:rFonts w:ascii="Arial" w:hAnsi="Arial" w:cs="Arial"/>
              </w:rPr>
              <w:t xml:space="preserve"> 26</w:t>
            </w:r>
            <w:r w:rsidR="006F1D50" w:rsidRPr="00823872">
              <w:rPr>
                <w:rFonts w:ascii="Arial" w:hAnsi="Arial" w:cs="Arial"/>
              </w:rPr>
              <w:t>(1) read with s</w:t>
            </w:r>
            <w:r w:rsidR="00463C3A" w:rsidRPr="00823872">
              <w:rPr>
                <w:rFonts w:ascii="Arial" w:hAnsi="Arial" w:cs="Arial"/>
              </w:rPr>
              <w:t xml:space="preserve">ections 1, 26(2), 26(3), 85, 87, 89 and 89A of the Nature Conservation Ordinance 4 of 1975, as </w:t>
            </w:r>
            <w:r w:rsidR="006F1D50" w:rsidRPr="00823872">
              <w:rPr>
                <w:rFonts w:ascii="Arial" w:hAnsi="Arial" w:cs="Arial"/>
              </w:rPr>
              <w:t>amended, and further read with s</w:t>
            </w:r>
            <w:r w:rsidR="00463C3A" w:rsidRPr="00823872">
              <w:rPr>
                <w:rFonts w:ascii="Arial" w:hAnsi="Arial" w:cs="Arial"/>
              </w:rPr>
              <w:t>ections</w:t>
            </w:r>
            <w:r w:rsidRPr="00823872">
              <w:rPr>
                <w:rFonts w:ascii="Arial" w:hAnsi="Arial" w:cs="Arial"/>
              </w:rPr>
              <w:t xml:space="preserve"> 90 and 250 of Act 51 of 1977 is</w:t>
            </w:r>
            <w:r w:rsidR="00463C3A" w:rsidRPr="00823872">
              <w:rPr>
                <w:rFonts w:ascii="Arial" w:hAnsi="Arial" w:cs="Arial"/>
              </w:rPr>
              <w:t xml:space="preserve"> </w:t>
            </w:r>
            <w:r w:rsidR="00463C3A" w:rsidRPr="00823872">
              <w:rPr>
                <w:rFonts w:ascii="Arial" w:hAnsi="Arial" w:cs="Arial"/>
              </w:rPr>
              <w:lastRenderedPageBreak/>
              <w:t xml:space="preserve">set aside and substituted with </w:t>
            </w:r>
            <w:r w:rsidR="006F1D50" w:rsidRPr="00823872">
              <w:rPr>
                <w:rFonts w:ascii="Arial" w:hAnsi="Arial" w:cs="Arial"/>
              </w:rPr>
              <w:t>the conviction of contravening s</w:t>
            </w:r>
            <w:r w:rsidR="00463C3A" w:rsidRPr="00823872">
              <w:rPr>
                <w:rFonts w:ascii="Arial" w:hAnsi="Arial" w:cs="Arial"/>
              </w:rPr>
              <w:t>ecti</w:t>
            </w:r>
            <w:r w:rsidR="006F1D50" w:rsidRPr="00823872">
              <w:rPr>
                <w:rFonts w:ascii="Arial" w:hAnsi="Arial" w:cs="Arial"/>
              </w:rPr>
              <w:t>on 34(2) read with s</w:t>
            </w:r>
            <w:r w:rsidR="00463C3A" w:rsidRPr="00823872">
              <w:rPr>
                <w:rFonts w:ascii="Arial" w:hAnsi="Arial" w:cs="Arial"/>
              </w:rPr>
              <w:t>ection 34(4) of the Nature Conservation Ordinance 4 of 1975 as amended.</w:t>
            </w:r>
          </w:p>
          <w:p w:rsidR="00C860EA" w:rsidRPr="00823872" w:rsidRDefault="00C860EA" w:rsidP="00C860EA">
            <w:pPr>
              <w:pStyle w:val="AS-P1"/>
              <w:spacing w:line="360" w:lineRule="auto"/>
              <w:ind w:firstLine="0"/>
              <w:rPr>
                <w:rFonts w:ascii="Arial" w:hAnsi="Arial" w:cs="Arial"/>
                <w:noProof w:val="0"/>
                <w:lang w:val="en-ZA"/>
              </w:rPr>
            </w:pPr>
          </w:p>
          <w:p w:rsidR="00C74F50" w:rsidRPr="00823872" w:rsidRDefault="00C74F50" w:rsidP="00825168">
            <w:pPr>
              <w:pStyle w:val="AS-P1"/>
              <w:numPr>
                <w:ilvl w:val="0"/>
                <w:numId w:val="11"/>
              </w:numPr>
              <w:spacing w:line="360" w:lineRule="auto"/>
              <w:ind w:left="1268" w:hanging="567"/>
              <w:rPr>
                <w:rFonts w:ascii="Arial" w:hAnsi="Arial" w:cs="Arial"/>
                <w:noProof w:val="0"/>
                <w:lang w:val="en-ZA"/>
              </w:rPr>
            </w:pPr>
            <w:r w:rsidRPr="00823872">
              <w:rPr>
                <w:rFonts w:ascii="Arial" w:hAnsi="Arial" w:cs="Arial"/>
              </w:rPr>
              <w:t>The sentence</w:t>
            </w:r>
            <w:r w:rsidR="00B128ED" w:rsidRPr="00823872">
              <w:rPr>
                <w:rFonts w:ascii="Arial" w:hAnsi="Arial" w:cs="Arial"/>
              </w:rPr>
              <w:t xml:space="preserve"> imposed upon each accused on count two is</w:t>
            </w:r>
            <w:r w:rsidRPr="00823872">
              <w:rPr>
                <w:rFonts w:ascii="Arial" w:hAnsi="Arial" w:cs="Arial"/>
              </w:rPr>
              <w:t xml:space="preserve"> found to be competent and </w:t>
            </w:r>
            <w:r w:rsidR="00B128ED" w:rsidRPr="00823872">
              <w:rPr>
                <w:rFonts w:ascii="Arial" w:hAnsi="Arial" w:cs="Arial"/>
              </w:rPr>
              <w:t>is</w:t>
            </w:r>
            <w:r w:rsidR="00907307" w:rsidRPr="00823872">
              <w:rPr>
                <w:rFonts w:ascii="Arial" w:hAnsi="Arial" w:cs="Arial"/>
              </w:rPr>
              <w:t xml:space="preserve"> </w:t>
            </w:r>
            <w:r w:rsidRPr="00823872">
              <w:rPr>
                <w:rFonts w:ascii="Arial" w:hAnsi="Arial" w:cs="Arial"/>
              </w:rPr>
              <w:t>confirmed.</w:t>
            </w:r>
          </w:p>
          <w:p w:rsidR="00B07404" w:rsidRPr="00823872" w:rsidRDefault="00B07404" w:rsidP="00CD79B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E5489" w:rsidRPr="00823872" w:rsidTr="00CD79BD">
        <w:trPr>
          <w:trHeight w:val="323"/>
        </w:trPr>
        <w:tc>
          <w:tcPr>
            <w:tcW w:w="4770" w:type="dxa"/>
          </w:tcPr>
          <w:p w:rsidR="00BE5489" w:rsidRPr="00823872" w:rsidRDefault="00EB27A0" w:rsidP="005033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3872">
              <w:rPr>
                <w:rFonts w:ascii="Arial" w:hAnsi="Arial" w:cs="Arial"/>
                <w:b/>
              </w:rPr>
              <w:lastRenderedPageBreak/>
              <w:t>Judge’s signature:</w:t>
            </w:r>
          </w:p>
        </w:tc>
        <w:tc>
          <w:tcPr>
            <w:tcW w:w="4950" w:type="dxa"/>
            <w:gridSpan w:val="2"/>
          </w:tcPr>
          <w:p w:rsidR="00BE5489" w:rsidRPr="00823872" w:rsidRDefault="00CD79BD" w:rsidP="005033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3872">
              <w:rPr>
                <w:rFonts w:ascii="Arial" w:hAnsi="Arial" w:cs="Arial"/>
                <w:b/>
              </w:rPr>
              <w:t>Judge’s signature</w:t>
            </w:r>
            <w:r w:rsidR="00EB27A0" w:rsidRPr="00823872">
              <w:rPr>
                <w:rFonts w:ascii="Arial" w:hAnsi="Arial" w:cs="Arial"/>
                <w:b/>
              </w:rPr>
              <w:t>:</w:t>
            </w:r>
          </w:p>
        </w:tc>
      </w:tr>
      <w:tr w:rsidR="00BE5489" w:rsidRPr="00823872" w:rsidTr="00B45D29">
        <w:trPr>
          <w:trHeight w:val="835"/>
        </w:trPr>
        <w:tc>
          <w:tcPr>
            <w:tcW w:w="4770" w:type="dxa"/>
          </w:tcPr>
          <w:p w:rsidR="00CD79BD" w:rsidRDefault="00C860EA" w:rsidP="00C860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3872">
              <w:rPr>
                <w:rFonts w:ascii="Arial" w:hAnsi="Arial" w:cs="Arial"/>
              </w:rPr>
              <w:t>K MILLER, AJ</w:t>
            </w:r>
          </w:p>
          <w:p w:rsidR="00C860EA" w:rsidRDefault="00C860EA" w:rsidP="00C860E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0EA" w:rsidRDefault="00C860EA" w:rsidP="00C860E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0EA" w:rsidRPr="00823872" w:rsidRDefault="00C860EA" w:rsidP="00C860E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2"/>
          </w:tcPr>
          <w:p w:rsidR="00BE5489" w:rsidRPr="00823872" w:rsidRDefault="00C860EA" w:rsidP="00C860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3872">
              <w:rPr>
                <w:rFonts w:ascii="Arial" w:hAnsi="Arial" w:cs="Arial"/>
              </w:rPr>
              <w:t>E P UNENGU, AJ</w:t>
            </w:r>
          </w:p>
        </w:tc>
      </w:tr>
    </w:tbl>
    <w:p w:rsidR="009B096F" w:rsidRPr="00823872" w:rsidRDefault="009B096F" w:rsidP="00B45D29">
      <w:pPr>
        <w:spacing w:after="0" w:line="360" w:lineRule="auto"/>
        <w:jc w:val="both"/>
        <w:rPr>
          <w:rFonts w:ascii="Arial" w:hAnsi="Arial" w:cs="Arial"/>
        </w:rPr>
      </w:pPr>
    </w:p>
    <w:sectPr w:rsidR="009B096F" w:rsidRPr="00823872" w:rsidSect="0035647A">
      <w:footerReference w:type="default" r:id="rId12"/>
      <w:pgSz w:w="11906" w:h="16838"/>
      <w:pgMar w:top="1080" w:right="1440" w:bottom="993" w:left="1440" w:header="708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24" w:rsidRDefault="00F45124" w:rsidP="00A23F8A">
      <w:pPr>
        <w:spacing w:after="0" w:line="240" w:lineRule="auto"/>
      </w:pPr>
      <w:r>
        <w:separator/>
      </w:r>
    </w:p>
  </w:endnote>
  <w:endnote w:type="continuationSeparator" w:id="0">
    <w:p w:rsidR="00F45124" w:rsidRDefault="00F45124" w:rsidP="00A2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852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C3A" w:rsidRDefault="002E4D94">
        <w:pPr>
          <w:pStyle w:val="Footer"/>
          <w:jc w:val="right"/>
        </w:pPr>
        <w:r w:rsidRPr="00A23F8A">
          <w:rPr>
            <w:rFonts w:ascii="Arial Narrow" w:hAnsi="Arial Narrow"/>
            <w:sz w:val="18"/>
            <w:szCs w:val="18"/>
          </w:rPr>
          <w:fldChar w:fldCharType="begin"/>
        </w:r>
        <w:r w:rsidR="00463C3A" w:rsidRPr="00A23F8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A23F8A">
          <w:rPr>
            <w:rFonts w:ascii="Arial Narrow" w:hAnsi="Arial Narrow"/>
            <w:sz w:val="18"/>
            <w:szCs w:val="18"/>
          </w:rPr>
          <w:fldChar w:fldCharType="separate"/>
        </w:r>
        <w:r w:rsidR="005D3AB9">
          <w:rPr>
            <w:rFonts w:ascii="Arial Narrow" w:hAnsi="Arial Narrow"/>
            <w:noProof/>
            <w:sz w:val="18"/>
            <w:szCs w:val="18"/>
          </w:rPr>
          <w:t>4</w:t>
        </w:r>
        <w:r w:rsidRPr="00A23F8A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24" w:rsidRDefault="00F45124" w:rsidP="00A23F8A">
      <w:pPr>
        <w:spacing w:after="0" w:line="240" w:lineRule="auto"/>
      </w:pPr>
      <w:r>
        <w:separator/>
      </w:r>
    </w:p>
  </w:footnote>
  <w:footnote w:type="continuationSeparator" w:id="0">
    <w:p w:rsidR="00F45124" w:rsidRDefault="00F45124" w:rsidP="00A23F8A">
      <w:pPr>
        <w:spacing w:after="0" w:line="240" w:lineRule="auto"/>
      </w:pPr>
      <w:r>
        <w:continuationSeparator/>
      </w:r>
    </w:p>
  </w:footnote>
  <w:footnote w:id="1">
    <w:p w:rsidR="00463C3A" w:rsidRPr="00825168" w:rsidRDefault="00463C3A" w:rsidP="00825168">
      <w:pPr>
        <w:pStyle w:val="AS-P1"/>
        <w:ind w:firstLine="0"/>
        <w:rPr>
          <w:rFonts w:ascii="Arial" w:hAnsi="Arial" w:cs="Arial"/>
          <w:noProof w:val="0"/>
          <w:sz w:val="20"/>
          <w:szCs w:val="20"/>
          <w:lang w:val="en-ZA"/>
        </w:rPr>
      </w:pPr>
      <w:r w:rsidRPr="00825168">
        <w:rPr>
          <w:rStyle w:val="FootnoteReference"/>
          <w:rFonts w:ascii="Arial" w:hAnsi="Arial" w:cs="Arial"/>
          <w:sz w:val="20"/>
          <w:szCs w:val="20"/>
        </w:rPr>
        <w:footnoteRef/>
      </w:r>
      <w:r w:rsidRPr="00825168">
        <w:rPr>
          <w:rFonts w:ascii="Arial" w:hAnsi="Arial" w:cs="Arial"/>
          <w:sz w:val="20"/>
          <w:szCs w:val="20"/>
        </w:rPr>
        <w:t xml:space="preserve"> </w:t>
      </w:r>
      <w:r w:rsidRPr="00825168">
        <w:rPr>
          <w:rFonts w:ascii="Arial" w:hAnsi="Arial" w:cs="Arial"/>
          <w:sz w:val="20"/>
          <w:szCs w:val="20"/>
          <w:lang w:val="en-US"/>
        </w:rPr>
        <w:t>Section 34(2) of the Nature Conservation Ordinance 4 of 1974 provides that ‘</w:t>
      </w:r>
      <w:r w:rsidRPr="00825168">
        <w:rPr>
          <w:rFonts w:ascii="Arial" w:hAnsi="Arial" w:cs="Arial"/>
          <w:noProof w:val="0"/>
          <w:sz w:val="20"/>
          <w:szCs w:val="20"/>
          <w:lang w:val="en-ZA"/>
        </w:rPr>
        <w:t>Save as is otherwise provided in this Ordinance, no perso</w:t>
      </w:r>
      <w:bookmarkStart w:id="0" w:name="_GoBack"/>
      <w:bookmarkEnd w:id="0"/>
      <w:r w:rsidRPr="00825168">
        <w:rPr>
          <w:rFonts w:ascii="Arial" w:hAnsi="Arial" w:cs="Arial"/>
          <w:noProof w:val="0"/>
          <w:sz w:val="20"/>
          <w:szCs w:val="20"/>
          <w:lang w:val="en-ZA"/>
        </w:rPr>
        <w:t>n shall hunt any wild animal which is not game as defined in section 1 on any land, unless he has the written permission of the owner or lessee of such land.’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6F4F"/>
    <w:multiLevelType w:val="hybridMultilevel"/>
    <w:tmpl w:val="6F9AD88A"/>
    <w:lvl w:ilvl="0" w:tplc="F18C2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654F"/>
    <w:multiLevelType w:val="hybridMultilevel"/>
    <w:tmpl w:val="D0980A98"/>
    <w:lvl w:ilvl="0" w:tplc="1C09000F">
      <w:start w:val="1"/>
      <w:numFmt w:val="decimal"/>
      <w:lvlText w:val="%1."/>
      <w:lvlJc w:val="left"/>
      <w:pPr>
        <w:ind w:left="54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1676"/>
    <w:multiLevelType w:val="hybridMultilevel"/>
    <w:tmpl w:val="DC88FBD4"/>
    <w:lvl w:ilvl="0" w:tplc="A0904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334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781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C6E6D"/>
    <w:multiLevelType w:val="hybridMultilevel"/>
    <w:tmpl w:val="3EA22A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3676F"/>
    <w:multiLevelType w:val="hybridMultilevel"/>
    <w:tmpl w:val="0F5456CA"/>
    <w:lvl w:ilvl="0" w:tplc="76D411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400B0"/>
    <w:multiLevelType w:val="hybridMultilevel"/>
    <w:tmpl w:val="FBAE01D2"/>
    <w:lvl w:ilvl="0" w:tplc="313C254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00625"/>
    <w:multiLevelType w:val="hybridMultilevel"/>
    <w:tmpl w:val="514AE724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3512E"/>
    <w:multiLevelType w:val="hybridMultilevel"/>
    <w:tmpl w:val="1E40EB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C4D68"/>
    <w:multiLevelType w:val="hybridMultilevel"/>
    <w:tmpl w:val="8B20C0E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70A81"/>
    <w:multiLevelType w:val="hybridMultilevel"/>
    <w:tmpl w:val="F164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6F"/>
    <w:rsid w:val="00002313"/>
    <w:rsid w:val="00003368"/>
    <w:rsid w:val="00007708"/>
    <w:rsid w:val="00011545"/>
    <w:rsid w:val="000269DA"/>
    <w:rsid w:val="000335C6"/>
    <w:rsid w:val="00044DE6"/>
    <w:rsid w:val="00056668"/>
    <w:rsid w:val="00067546"/>
    <w:rsid w:val="000A1611"/>
    <w:rsid w:val="000B1F69"/>
    <w:rsid w:val="000B30DE"/>
    <w:rsid w:val="000C0A07"/>
    <w:rsid w:val="000D3403"/>
    <w:rsid w:val="000D584D"/>
    <w:rsid w:val="000D5FE9"/>
    <w:rsid w:val="00111FEA"/>
    <w:rsid w:val="00112D50"/>
    <w:rsid w:val="00113321"/>
    <w:rsid w:val="00114098"/>
    <w:rsid w:val="00124EC8"/>
    <w:rsid w:val="00134C9B"/>
    <w:rsid w:val="001421EF"/>
    <w:rsid w:val="00165FEE"/>
    <w:rsid w:val="001804AD"/>
    <w:rsid w:val="0018216F"/>
    <w:rsid w:val="00186226"/>
    <w:rsid w:val="001B0920"/>
    <w:rsid w:val="001B1B81"/>
    <w:rsid w:val="001C56D6"/>
    <w:rsid w:val="001C58CB"/>
    <w:rsid w:val="001C6D59"/>
    <w:rsid w:val="001C6FDA"/>
    <w:rsid w:val="001C7C2E"/>
    <w:rsid w:val="001F1ECD"/>
    <w:rsid w:val="001F353F"/>
    <w:rsid w:val="001F4A48"/>
    <w:rsid w:val="001F6843"/>
    <w:rsid w:val="002002FA"/>
    <w:rsid w:val="00203E3D"/>
    <w:rsid w:val="002071F3"/>
    <w:rsid w:val="00210634"/>
    <w:rsid w:val="0023448C"/>
    <w:rsid w:val="0025001E"/>
    <w:rsid w:val="00252CA4"/>
    <w:rsid w:val="0025406A"/>
    <w:rsid w:val="00262FD3"/>
    <w:rsid w:val="002800E8"/>
    <w:rsid w:val="00281A10"/>
    <w:rsid w:val="00281FAB"/>
    <w:rsid w:val="0028262D"/>
    <w:rsid w:val="002830F4"/>
    <w:rsid w:val="002831B9"/>
    <w:rsid w:val="00290A19"/>
    <w:rsid w:val="00297D33"/>
    <w:rsid w:val="002A2FFB"/>
    <w:rsid w:val="002B51EF"/>
    <w:rsid w:val="002C29AA"/>
    <w:rsid w:val="002C6C89"/>
    <w:rsid w:val="002D4C2A"/>
    <w:rsid w:val="002E19E0"/>
    <w:rsid w:val="002E4D94"/>
    <w:rsid w:val="00300CF7"/>
    <w:rsid w:val="0030287B"/>
    <w:rsid w:val="00310794"/>
    <w:rsid w:val="003144D3"/>
    <w:rsid w:val="00322875"/>
    <w:rsid w:val="00323762"/>
    <w:rsid w:val="00325B5B"/>
    <w:rsid w:val="00332ABF"/>
    <w:rsid w:val="00334EC0"/>
    <w:rsid w:val="003369DE"/>
    <w:rsid w:val="00347DBC"/>
    <w:rsid w:val="0035647A"/>
    <w:rsid w:val="003609DE"/>
    <w:rsid w:val="00366BCC"/>
    <w:rsid w:val="00371CD0"/>
    <w:rsid w:val="0038725D"/>
    <w:rsid w:val="00391905"/>
    <w:rsid w:val="00396AF1"/>
    <w:rsid w:val="003A0103"/>
    <w:rsid w:val="003A7682"/>
    <w:rsid w:val="003A7B58"/>
    <w:rsid w:val="003B267A"/>
    <w:rsid w:val="003B555C"/>
    <w:rsid w:val="003C4613"/>
    <w:rsid w:val="003D3115"/>
    <w:rsid w:val="003D6EB6"/>
    <w:rsid w:val="003E09FF"/>
    <w:rsid w:val="003E3D0D"/>
    <w:rsid w:val="003E50E8"/>
    <w:rsid w:val="003F08D9"/>
    <w:rsid w:val="003F52A2"/>
    <w:rsid w:val="004005B8"/>
    <w:rsid w:val="00425554"/>
    <w:rsid w:val="00425600"/>
    <w:rsid w:val="00431BF0"/>
    <w:rsid w:val="00431CC4"/>
    <w:rsid w:val="004378C5"/>
    <w:rsid w:val="00445E89"/>
    <w:rsid w:val="0044668F"/>
    <w:rsid w:val="00447B52"/>
    <w:rsid w:val="00452F88"/>
    <w:rsid w:val="004546CC"/>
    <w:rsid w:val="00456042"/>
    <w:rsid w:val="00456199"/>
    <w:rsid w:val="0046300D"/>
    <w:rsid w:val="00463A23"/>
    <w:rsid w:val="00463C3A"/>
    <w:rsid w:val="004658D8"/>
    <w:rsid w:val="004708B1"/>
    <w:rsid w:val="004756D8"/>
    <w:rsid w:val="00490534"/>
    <w:rsid w:val="004B7E18"/>
    <w:rsid w:val="004C0E45"/>
    <w:rsid w:val="004C4E26"/>
    <w:rsid w:val="004E7A09"/>
    <w:rsid w:val="004E7D33"/>
    <w:rsid w:val="00502D0D"/>
    <w:rsid w:val="0050338C"/>
    <w:rsid w:val="005076B5"/>
    <w:rsid w:val="005234EE"/>
    <w:rsid w:val="00527732"/>
    <w:rsid w:val="0053440F"/>
    <w:rsid w:val="005403D8"/>
    <w:rsid w:val="00544E2E"/>
    <w:rsid w:val="0055240C"/>
    <w:rsid w:val="005529D7"/>
    <w:rsid w:val="00560E2E"/>
    <w:rsid w:val="00570530"/>
    <w:rsid w:val="00574A92"/>
    <w:rsid w:val="00581AF2"/>
    <w:rsid w:val="00583952"/>
    <w:rsid w:val="005955B1"/>
    <w:rsid w:val="005B4E4D"/>
    <w:rsid w:val="005D0592"/>
    <w:rsid w:val="005D0B3A"/>
    <w:rsid w:val="005D3AB9"/>
    <w:rsid w:val="005D5245"/>
    <w:rsid w:val="005D6172"/>
    <w:rsid w:val="005D7161"/>
    <w:rsid w:val="005D7355"/>
    <w:rsid w:val="005E1C51"/>
    <w:rsid w:val="005E2A6E"/>
    <w:rsid w:val="005E5A8F"/>
    <w:rsid w:val="005F1685"/>
    <w:rsid w:val="005F5616"/>
    <w:rsid w:val="005F7157"/>
    <w:rsid w:val="006039AA"/>
    <w:rsid w:val="006215A6"/>
    <w:rsid w:val="00621EE8"/>
    <w:rsid w:val="0062225A"/>
    <w:rsid w:val="00635F29"/>
    <w:rsid w:val="0064073E"/>
    <w:rsid w:val="006475B1"/>
    <w:rsid w:val="00652595"/>
    <w:rsid w:val="00655FCC"/>
    <w:rsid w:val="00675C2B"/>
    <w:rsid w:val="00676F46"/>
    <w:rsid w:val="00677240"/>
    <w:rsid w:val="00683208"/>
    <w:rsid w:val="0068560C"/>
    <w:rsid w:val="00685B9E"/>
    <w:rsid w:val="00686347"/>
    <w:rsid w:val="00686B3F"/>
    <w:rsid w:val="0068770A"/>
    <w:rsid w:val="00691101"/>
    <w:rsid w:val="006914EF"/>
    <w:rsid w:val="006A0DA3"/>
    <w:rsid w:val="006A18F2"/>
    <w:rsid w:val="006A3148"/>
    <w:rsid w:val="006B1EA0"/>
    <w:rsid w:val="006C3D3B"/>
    <w:rsid w:val="006C5F5F"/>
    <w:rsid w:val="006C6C8C"/>
    <w:rsid w:val="006D22F9"/>
    <w:rsid w:val="006D2D84"/>
    <w:rsid w:val="006D3624"/>
    <w:rsid w:val="006E1F3B"/>
    <w:rsid w:val="006E2964"/>
    <w:rsid w:val="006F1D50"/>
    <w:rsid w:val="006F4659"/>
    <w:rsid w:val="00710A15"/>
    <w:rsid w:val="00715AD2"/>
    <w:rsid w:val="00717C42"/>
    <w:rsid w:val="00720125"/>
    <w:rsid w:val="0072576E"/>
    <w:rsid w:val="0073012B"/>
    <w:rsid w:val="00736329"/>
    <w:rsid w:val="00740C3F"/>
    <w:rsid w:val="007678F0"/>
    <w:rsid w:val="0077552D"/>
    <w:rsid w:val="00777156"/>
    <w:rsid w:val="0078341F"/>
    <w:rsid w:val="0079456D"/>
    <w:rsid w:val="007A6546"/>
    <w:rsid w:val="007B5CFA"/>
    <w:rsid w:val="007B5F37"/>
    <w:rsid w:val="007C2DFE"/>
    <w:rsid w:val="007C543A"/>
    <w:rsid w:val="007E7753"/>
    <w:rsid w:val="007F00B6"/>
    <w:rsid w:val="007F7AD6"/>
    <w:rsid w:val="00801EEC"/>
    <w:rsid w:val="00806B14"/>
    <w:rsid w:val="008109CF"/>
    <w:rsid w:val="00823237"/>
    <w:rsid w:val="00823872"/>
    <w:rsid w:val="00825168"/>
    <w:rsid w:val="00844CA5"/>
    <w:rsid w:val="00851B88"/>
    <w:rsid w:val="0086377A"/>
    <w:rsid w:val="00864008"/>
    <w:rsid w:val="00864FC2"/>
    <w:rsid w:val="00866938"/>
    <w:rsid w:val="008930A5"/>
    <w:rsid w:val="00894AA3"/>
    <w:rsid w:val="008A14A9"/>
    <w:rsid w:val="008A689D"/>
    <w:rsid w:val="008C0AC7"/>
    <w:rsid w:val="008C2AA2"/>
    <w:rsid w:val="008C5DAF"/>
    <w:rsid w:val="008D153E"/>
    <w:rsid w:val="008D513D"/>
    <w:rsid w:val="008D65E9"/>
    <w:rsid w:val="008D79D4"/>
    <w:rsid w:val="008F0B13"/>
    <w:rsid w:val="008F37B5"/>
    <w:rsid w:val="00902C34"/>
    <w:rsid w:val="00905A48"/>
    <w:rsid w:val="00907307"/>
    <w:rsid w:val="00912198"/>
    <w:rsid w:val="00912D4E"/>
    <w:rsid w:val="009174EF"/>
    <w:rsid w:val="0094076B"/>
    <w:rsid w:val="00944BA0"/>
    <w:rsid w:val="00947BEE"/>
    <w:rsid w:val="00950768"/>
    <w:rsid w:val="00952193"/>
    <w:rsid w:val="00953C0B"/>
    <w:rsid w:val="0096013E"/>
    <w:rsid w:val="009624AB"/>
    <w:rsid w:val="009905E1"/>
    <w:rsid w:val="00993C44"/>
    <w:rsid w:val="009B096F"/>
    <w:rsid w:val="009B4EAA"/>
    <w:rsid w:val="009C720E"/>
    <w:rsid w:val="009D5F92"/>
    <w:rsid w:val="009D7EED"/>
    <w:rsid w:val="009E5316"/>
    <w:rsid w:val="009F6C8B"/>
    <w:rsid w:val="00A00090"/>
    <w:rsid w:val="00A059C8"/>
    <w:rsid w:val="00A06FD8"/>
    <w:rsid w:val="00A14435"/>
    <w:rsid w:val="00A174C6"/>
    <w:rsid w:val="00A17D3C"/>
    <w:rsid w:val="00A230ED"/>
    <w:rsid w:val="00A23F8A"/>
    <w:rsid w:val="00A258AF"/>
    <w:rsid w:val="00A25EF5"/>
    <w:rsid w:val="00A50B01"/>
    <w:rsid w:val="00A50D43"/>
    <w:rsid w:val="00A5758F"/>
    <w:rsid w:val="00A635A8"/>
    <w:rsid w:val="00A772D3"/>
    <w:rsid w:val="00A81203"/>
    <w:rsid w:val="00A81926"/>
    <w:rsid w:val="00A82F94"/>
    <w:rsid w:val="00A838E1"/>
    <w:rsid w:val="00AA0AB0"/>
    <w:rsid w:val="00AB0A0B"/>
    <w:rsid w:val="00AB109F"/>
    <w:rsid w:val="00AB5193"/>
    <w:rsid w:val="00AB51CF"/>
    <w:rsid w:val="00AC277C"/>
    <w:rsid w:val="00AC4198"/>
    <w:rsid w:val="00AD2963"/>
    <w:rsid w:val="00AD3571"/>
    <w:rsid w:val="00AD4BFA"/>
    <w:rsid w:val="00B06E05"/>
    <w:rsid w:val="00B07404"/>
    <w:rsid w:val="00B128ED"/>
    <w:rsid w:val="00B160EB"/>
    <w:rsid w:val="00B1649C"/>
    <w:rsid w:val="00B25D07"/>
    <w:rsid w:val="00B266EA"/>
    <w:rsid w:val="00B26D7E"/>
    <w:rsid w:val="00B30012"/>
    <w:rsid w:val="00B30CEC"/>
    <w:rsid w:val="00B318D1"/>
    <w:rsid w:val="00B32773"/>
    <w:rsid w:val="00B337FC"/>
    <w:rsid w:val="00B42F03"/>
    <w:rsid w:val="00B43195"/>
    <w:rsid w:val="00B45D29"/>
    <w:rsid w:val="00B602F0"/>
    <w:rsid w:val="00B60CF1"/>
    <w:rsid w:val="00B77A11"/>
    <w:rsid w:val="00B942B6"/>
    <w:rsid w:val="00B95D16"/>
    <w:rsid w:val="00B9794E"/>
    <w:rsid w:val="00BA213D"/>
    <w:rsid w:val="00BA3715"/>
    <w:rsid w:val="00BB0DF0"/>
    <w:rsid w:val="00BB388A"/>
    <w:rsid w:val="00BB64A1"/>
    <w:rsid w:val="00BC1EEA"/>
    <w:rsid w:val="00BC4D4A"/>
    <w:rsid w:val="00BC745A"/>
    <w:rsid w:val="00BD5D88"/>
    <w:rsid w:val="00BE50D7"/>
    <w:rsid w:val="00BE5489"/>
    <w:rsid w:val="00BE6621"/>
    <w:rsid w:val="00BE7DE8"/>
    <w:rsid w:val="00BF2258"/>
    <w:rsid w:val="00BF7576"/>
    <w:rsid w:val="00C04EBD"/>
    <w:rsid w:val="00C06B39"/>
    <w:rsid w:val="00C12BDC"/>
    <w:rsid w:val="00C14336"/>
    <w:rsid w:val="00C210B9"/>
    <w:rsid w:val="00C249D9"/>
    <w:rsid w:val="00C332BE"/>
    <w:rsid w:val="00C50A1F"/>
    <w:rsid w:val="00C55C93"/>
    <w:rsid w:val="00C72ABD"/>
    <w:rsid w:val="00C73154"/>
    <w:rsid w:val="00C74F50"/>
    <w:rsid w:val="00C80393"/>
    <w:rsid w:val="00C821A2"/>
    <w:rsid w:val="00C860EA"/>
    <w:rsid w:val="00C86149"/>
    <w:rsid w:val="00CA4320"/>
    <w:rsid w:val="00CB1C90"/>
    <w:rsid w:val="00CB7E01"/>
    <w:rsid w:val="00CC4870"/>
    <w:rsid w:val="00CC4E7A"/>
    <w:rsid w:val="00CC5024"/>
    <w:rsid w:val="00CD70AF"/>
    <w:rsid w:val="00CD79BD"/>
    <w:rsid w:val="00CF688F"/>
    <w:rsid w:val="00CF6B32"/>
    <w:rsid w:val="00CF7EDC"/>
    <w:rsid w:val="00D0042C"/>
    <w:rsid w:val="00D05BFD"/>
    <w:rsid w:val="00D06C2A"/>
    <w:rsid w:val="00D17199"/>
    <w:rsid w:val="00D217B7"/>
    <w:rsid w:val="00D22ACF"/>
    <w:rsid w:val="00D23152"/>
    <w:rsid w:val="00D40029"/>
    <w:rsid w:val="00D4475A"/>
    <w:rsid w:val="00D54D4B"/>
    <w:rsid w:val="00D56E93"/>
    <w:rsid w:val="00D60BF4"/>
    <w:rsid w:val="00D664EB"/>
    <w:rsid w:val="00D66A51"/>
    <w:rsid w:val="00D67A27"/>
    <w:rsid w:val="00D72E9E"/>
    <w:rsid w:val="00D778A7"/>
    <w:rsid w:val="00D836D6"/>
    <w:rsid w:val="00D862BF"/>
    <w:rsid w:val="00DA4E11"/>
    <w:rsid w:val="00DB31D4"/>
    <w:rsid w:val="00DB6AE9"/>
    <w:rsid w:val="00DC1307"/>
    <w:rsid w:val="00DC6069"/>
    <w:rsid w:val="00DD21FA"/>
    <w:rsid w:val="00DD2DF7"/>
    <w:rsid w:val="00DF1B73"/>
    <w:rsid w:val="00DF787A"/>
    <w:rsid w:val="00E03457"/>
    <w:rsid w:val="00E31B7D"/>
    <w:rsid w:val="00E3339B"/>
    <w:rsid w:val="00E45691"/>
    <w:rsid w:val="00E64723"/>
    <w:rsid w:val="00E70BDA"/>
    <w:rsid w:val="00E92692"/>
    <w:rsid w:val="00EB1299"/>
    <w:rsid w:val="00EB27A0"/>
    <w:rsid w:val="00ED34CB"/>
    <w:rsid w:val="00ED6041"/>
    <w:rsid w:val="00EE115C"/>
    <w:rsid w:val="00EE1849"/>
    <w:rsid w:val="00EE6120"/>
    <w:rsid w:val="00EE7DB8"/>
    <w:rsid w:val="00EF1EEC"/>
    <w:rsid w:val="00F12C96"/>
    <w:rsid w:val="00F12DAD"/>
    <w:rsid w:val="00F16C57"/>
    <w:rsid w:val="00F446CF"/>
    <w:rsid w:val="00F45124"/>
    <w:rsid w:val="00F53DDE"/>
    <w:rsid w:val="00F5564C"/>
    <w:rsid w:val="00F571A4"/>
    <w:rsid w:val="00F646E6"/>
    <w:rsid w:val="00F66EB8"/>
    <w:rsid w:val="00F7300B"/>
    <w:rsid w:val="00F8217A"/>
    <w:rsid w:val="00F84E27"/>
    <w:rsid w:val="00F85940"/>
    <w:rsid w:val="00F91CCF"/>
    <w:rsid w:val="00F96D76"/>
    <w:rsid w:val="00FA45CC"/>
    <w:rsid w:val="00FB1260"/>
    <w:rsid w:val="00FB1E18"/>
    <w:rsid w:val="00FB2B08"/>
    <w:rsid w:val="00FC2DB8"/>
    <w:rsid w:val="00FC4FAD"/>
    <w:rsid w:val="00FD3814"/>
    <w:rsid w:val="00FD38C2"/>
    <w:rsid w:val="00FE7BE9"/>
    <w:rsid w:val="00FE7D87"/>
    <w:rsid w:val="00FF561E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35D4A5-6274-478A-9A9B-A1A1D095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8A"/>
  </w:style>
  <w:style w:type="paragraph" w:styleId="Footer">
    <w:name w:val="footer"/>
    <w:basedOn w:val="Normal"/>
    <w:link w:val="Foot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8A"/>
  </w:style>
  <w:style w:type="paragraph" w:styleId="ListParagraph">
    <w:name w:val="List Paragraph"/>
    <w:basedOn w:val="Normal"/>
    <w:uiPriority w:val="34"/>
    <w:qFormat/>
    <w:rsid w:val="00A23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D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78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78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78C5"/>
    <w:rPr>
      <w:vertAlign w:val="superscript"/>
    </w:rPr>
  </w:style>
  <w:style w:type="paragraph" w:customStyle="1" w:styleId="form-control-static">
    <w:name w:val="form-control-static"/>
    <w:basedOn w:val="Normal"/>
    <w:rsid w:val="0071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5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5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55C"/>
    <w:rPr>
      <w:vertAlign w:val="superscript"/>
    </w:rPr>
  </w:style>
  <w:style w:type="paragraph" w:customStyle="1" w:styleId="AS-P1">
    <w:name w:val="AS-P(1)"/>
    <w:basedOn w:val="Normal"/>
    <w:link w:val="AS-P1Char"/>
    <w:qFormat/>
    <w:rsid w:val="006A3148"/>
    <w:pPr>
      <w:suppressAutoHyphens/>
      <w:spacing w:after="0" w:line="240" w:lineRule="auto"/>
      <w:ind w:right="-7" w:firstLine="567"/>
      <w:jc w:val="both"/>
    </w:pPr>
    <w:rPr>
      <w:rFonts w:ascii="Times New Roman" w:eastAsia="Times New Roman" w:hAnsi="Times New Roman" w:cs="Times New Roman"/>
      <w:noProof/>
      <w:lang w:val="en-GB" w:eastAsia="en-GB"/>
    </w:rPr>
  </w:style>
  <w:style w:type="character" w:customStyle="1" w:styleId="AS-P1Char">
    <w:name w:val="AS-P(1) Char"/>
    <w:basedOn w:val="DefaultParagraphFont"/>
    <w:link w:val="AS-P1"/>
    <w:rsid w:val="006A3148"/>
    <w:rPr>
      <w:rFonts w:ascii="Times New Roman" w:eastAsia="Times New Roman" w:hAnsi="Times New Roman" w:cs="Times New Roman"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98">
              <w:marLeft w:val="-195"/>
              <w:marRight w:val="-19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2020-09-21T18:30:00+00:00</Judgment_x0020_Date>
    <Year xmlns="a036617c-f1b0-4353-ab0a-456b3885ee3b">2020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5E4B5-8B6C-43D8-8A18-DC3FADB4C99A}"/>
</file>

<file path=customXml/itemProps2.xml><?xml version="1.0" encoding="utf-8"?>
<ds:datastoreItem xmlns:ds="http://schemas.openxmlformats.org/officeDocument/2006/customXml" ds:itemID="{83388C56-6221-455D-A224-8AE77E8FAAC7}"/>
</file>

<file path=customXml/itemProps3.xml><?xml version="1.0" encoding="utf-8"?>
<ds:datastoreItem xmlns:ds="http://schemas.openxmlformats.org/officeDocument/2006/customXml" ds:itemID="{43C7AE69-6C99-4EA8-8635-B7F35363D1F3}"/>
</file>

<file path=customXml/itemProps4.xml><?xml version="1.0" encoding="utf-8"?>
<ds:datastoreItem xmlns:ds="http://schemas.openxmlformats.org/officeDocument/2006/customXml" ds:itemID="{5CB68072-4060-48BD-A56E-E2E306DA4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Rouco Auto Manufacturers (Pty) Ltd v Erf Two Four Walvis Bay CC</vt:lpstr>
    </vt:vector>
  </TitlesOfParts>
  <Company>Proline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Haraseb (CR 70-2020) [2020] NAHCMD 430 (22 September  2020)</dc:title>
  <dc:creator>E. Kharases</dc:creator>
  <cp:lastModifiedBy>Administrator</cp:lastModifiedBy>
  <cp:revision>2</cp:revision>
  <cp:lastPrinted>2020-09-22T07:30:00Z</cp:lastPrinted>
  <dcterms:created xsi:type="dcterms:W3CDTF">2020-09-30T13:58:00Z</dcterms:created>
  <dcterms:modified xsi:type="dcterms:W3CDTF">2020-09-30T13:58:00Z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