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39" w:rsidRPr="00E53978" w:rsidRDefault="00BF3339" w:rsidP="00BF3339">
      <w:pPr>
        <w:spacing w:after="0" w:line="360" w:lineRule="auto"/>
        <w:jc w:val="center"/>
        <w:rPr>
          <w:rFonts w:ascii="Arial" w:eastAsia="Calibri" w:hAnsi="Arial" w:cs="Arial"/>
          <w:b/>
          <w:sz w:val="24"/>
          <w:szCs w:val="24"/>
          <w:lang w:val="en-GB"/>
        </w:rPr>
      </w:pPr>
      <w:r w:rsidRPr="00E53978">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2E63DCC4" wp14:editId="481907E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F3339" w:rsidRDefault="00BF3339" w:rsidP="00BF33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DCC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F3339" w:rsidRDefault="00BF3339" w:rsidP="00BF3339">
                      <w:pPr>
                        <w:jc w:val="center"/>
                      </w:pPr>
                    </w:p>
                  </w:txbxContent>
                </v:textbox>
              </v:shape>
            </w:pict>
          </mc:Fallback>
        </mc:AlternateContent>
      </w:r>
      <w:r w:rsidRPr="00E53978">
        <w:rPr>
          <w:rFonts w:ascii="Arial" w:eastAsia="Calibri" w:hAnsi="Arial" w:cs="Arial"/>
          <w:b/>
          <w:sz w:val="24"/>
          <w:szCs w:val="24"/>
          <w:lang w:val="en-GB"/>
        </w:rPr>
        <w:t>REPUBLIC OF NAMIBIA</w:t>
      </w:r>
    </w:p>
    <w:p w:rsidR="00BF3339" w:rsidRDefault="00BF3339" w:rsidP="00BF3339">
      <w:pPr>
        <w:spacing w:after="0" w:line="240" w:lineRule="auto"/>
        <w:jc w:val="center"/>
        <w:rPr>
          <w:rFonts w:ascii="Arial Narrow" w:hAnsi="Arial Narrow"/>
          <w:sz w:val="24"/>
          <w:szCs w:val="24"/>
        </w:rPr>
      </w:pPr>
      <w:r w:rsidRPr="00C2360F">
        <w:rPr>
          <w:rFonts w:ascii="Arial" w:hAnsi="Arial" w:cs="Arial"/>
          <w:b/>
          <w:noProof/>
          <w:sz w:val="32"/>
          <w:szCs w:val="32"/>
          <w:lang w:val="en-US"/>
        </w:rPr>
        <w:drawing>
          <wp:inline distT="0" distB="0" distL="0" distR="0" wp14:anchorId="0350BAFB" wp14:editId="4B21DA0B">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F3339" w:rsidRPr="00E53978" w:rsidRDefault="00BF3339" w:rsidP="00BF3339">
      <w:pPr>
        <w:spacing w:after="0" w:line="360" w:lineRule="auto"/>
        <w:jc w:val="center"/>
        <w:rPr>
          <w:rFonts w:ascii="Arial" w:eastAsia="Calibri" w:hAnsi="Arial" w:cs="Arial"/>
          <w:bCs/>
          <w:sz w:val="24"/>
          <w:szCs w:val="24"/>
          <w:lang w:val="en-GB"/>
        </w:rPr>
      </w:pPr>
      <w:r w:rsidRPr="00E53978">
        <w:rPr>
          <w:rFonts w:ascii="Arial" w:eastAsia="Calibri" w:hAnsi="Arial" w:cs="Arial"/>
          <w:b/>
          <w:sz w:val="24"/>
          <w:szCs w:val="24"/>
          <w:lang w:val="en-GB"/>
        </w:rPr>
        <w:t>HIGH COURT OF NAMIBIA MAIN DIVISION, WINDHOEK</w:t>
      </w:r>
    </w:p>
    <w:p w:rsidR="00BF3339" w:rsidRPr="00E53978" w:rsidRDefault="00BF3339" w:rsidP="00BF3339">
      <w:pPr>
        <w:spacing w:after="0" w:line="360" w:lineRule="auto"/>
        <w:jc w:val="center"/>
        <w:rPr>
          <w:rFonts w:ascii="Arial" w:eastAsia="Calibri" w:hAnsi="Arial" w:cs="Arial"/>
          <w:b/>
          <w:sz w:val="10"/>
          <w:szCs w:val="10"/>
          <w:lang w:val="en-GB"/>
        </w:rPr>
      </w:pPr>
    </w:p>
    <w:p w:rsidR="00BF3339" w:rsidRPr="00E53978" w:rsidRDefault="00BF3339" w:rsidP="00BF3339">
      <w:pPr>
        <w:spacing w:after="0" w:line="360" w:lineRule="auto"/>
        <w:jc w:val="center"/>
        <w:rPr>
          <w:rFonts w:ascii="Arial" w:eastAsia="Calibri" w:hAnsi="Arial" w:cs="Arial"/>
          <w:b/>
          <w:sz w:val="24"/>
          <w:szCs w:val="24"/>
          <w:lang w:val="en-GB"/>
        </w:rPr>
      </w:pPr>
      <w:r w:rsidRPr="00E53978">
        <w:rPr>
          <w:rFonts w:ascii="Arial" w:eastAsia="Calibri" w:hAnsi="Arial" w:cs="Arial"/>
          <w:b/>
          <w:sz w:val="24"/>
          <w:szCs w:val="24"/>
          <w:lang w:val="en-GB"/>
        </w:rPr>
        <w:t>JUDGMENT</w:t>
      </w:r>
    </w:p>
    <w:p w:rsidR="00D26CB5" w:rsidRPr="008E1E24" w:rsidRDefault="00BF3339" w:rsidP="00BF3339">
      <w:pPr>
        <w:spacing w:after="0" w:line="240" w:lineRule="auto"/>
        <w:jc w:val="center"/>
        <w:rPr>
          <w:rFonts w:ascii="Arial Narrow" w:hAnsi="Arial Narrow"/>
          <w:sz w:val="24"/>
          <w:szCs w:val="24"/>
        </w:rPr>
      </w:pPr>
      <w:r w:rsidRPr="008E1E24">
        <w:rPr>
          <w:rFonts w:ascii="Arial Narrow" w:hAnsi="Arial Narrow"/>
          <w:sz w:val="24"/>
          <w:szCs w:val="24"/>
        </w:rPr>
        <w:t xml:space="preserve"> </w:t>
      </w:r>
      <w:r w:rsidR="00D26CB5" w:rsidRPr="008E1E24">
        <w:rPr>
          <w:rFonts w:ascii="Arial Narrow" w:hAnsi="Arial Narrow"/>
          <w:sz w:val="24"/>
          <w:szCs w:val="24"/>
        </w:rPr>
        <w:t>“</w:t>
      </w:r>
    </w:p>
    <w:tbl>
      <w:tblPr>
        <w:tblStyle w:val="TableGrid"/>
        <w:tblW w:w="9720" w:type="dxa"/>
        <w:tblInd w:w="-275" w:type="dxa"/>
        <w:tblLook w:val="04A0" w:firstRow="1" w:lastRow="0" w:firstColumn="1" w:lastColumn="0" w:noHBand="0" w:noVBand="1"/>
      </w:tblPr>
      <w:tblGrid>
        <w:gridCol w:w="4770"/>
        <w:gridCol w:w="627"/>
        <w:gridCol w:w="4323"/>
      </w:tblGrid>
      <w:tr w:rsidR="00D26CB5" w:rsidRPr="008E1E24" w:rsidTr="0092129C">
        <w:trPr>
          <w:trHeight w:val="744"/>
        </w:trPr>
        <w:tc>
          <w:tcPr>
            <w:tcW w:w="5397" w:type="dxa"/>
            <w:gridSpan w:val="2"/>
            <w:vMerge w:val="restart"/>
          </w:tcPr>
          <w:p w:rsidR="00D26CB5" w:rsidRPr="00F97FD1" w:rsidRDefault="00D26CB5" w:rsidP="0092129C">
            <w:pPr>
              <w:spacing w:line="360" w:lineRule="auto"/>
              <w:jc w:val="both"/>
              <w:rPr>
                <w:rFonts w:ascii="Arial" w:hAnsi="Arial" w:cs="Arial"/>
                <w:sz w:val="24"/>
                <w:szCs w:val="24"/>
              </w:rPr>
            </w:pPr>
            <w:r w:rsidRPr="00F97FD1">
              <w:rPr>
                <w:rFonts w:ascii="Arial" w:hAnsi="Arial" w:cs="Arial"/>
                <w:b/>
                <w:sz w:val="24"/>
                <w:szCs w:val="24"/>
              </w:rPr>
              <w:t>Case Title:</w:t>
            </w:r>
            <w:r w:rsidR="00F97FD1">
              <w:rPr>
                <w:rFonts w:ascii="Arial" w:hAnsi="Arial" w:cs="Arial"/>
                <w:b/>
                <w:sz w:val="24"/>
                <w:szCs w:val="24"/>
              </w:rPr>
              <w:t xml:space="preserve"> </w:t>
            </w:r>
            <w:r w:rsidR="00075956" w:rsidRPr="00F97FD1">
              <w:rPr>
                <w:rFonts w:ascii="Arial" w:hAnsi="Arial" w:cs="Arial"/>
                <w:sz w:val="24"/>
                <w:szCs w:val="24"/>
              </w:rPr>
              <w:t xml:space="preserve">AGRICULTURAL BANK OF NAMIBIA vs KILLARNEY (PROPRIETARY) LIMITED &amp; TULIO VAN DER MERWE PARREIRA </w:t>
            </w:r>
          </w:p>
          <w:p w:rsidR="00D26CB5" w:rsidRPr="008E1E24" w:rsidRDefault="00D26CB5" w:rsidP="00A62C89">
            <w:pPr>
              <w:jc w:val="both"/>
              <w:rPr>
                <w:rFonts w:ascii="Arial Narrow" w:hAnsi="Arial Narrow" w:cs="Arial"/>
                <w:sz w:val="24"/>
                <w:szCs w:val="24"/>
              </w:rPr>
            </w:pPr>
          </w:p>
        </w:tc>
        <w:tc>
          <w:tcPr>
            <w:tcW w:w="4323" w:type="dxa"/>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b/>
                <w:sz w:val="24"/>
                <w:szCs w:val="24"/>
              </w:rPr>
              <w:t>Case No:</w:t>
            </w:r>
          </w:p>
          <w:p w:rsidR="00D26CB5" w:rsidRPr="008E1E24" w:rsidRDefault="00075956" w:rsidP="00575A43">
            <w:pPr>
              <w:spacing w:line="360" w:lineRule="auto"/>
              <w:jc w:val="both"/>
              <w:rPr>
                <w:rFonts w:ascii="Arial Narrow" w:hAnsi="Arial Narrow" w:cs="Arial"/>
                <w:b/>
                <w:sz w:val="24"/>
                <w:szCs w:val="24"/>
              </w:rPr>
            </w:pPr>
            <w:r w:rsidRPr="00075956">
              <w:rPr>
                <w:rFonts w:ascii="Arial" w:hAnsi="Arial" w:cs="Arial"/>
                <w:sz w:val="24"/>
                <w:szCs w:val="24"/>
              </w:rPr>
              <w:t>HC-MD-CIV-ACT-CON-2020/00282</w:t>
            </w:r>
          </w:p>
        </w:tc>
      </w:tr>
      <w:tr w:rsidR="00D26CB5" w:rsidRPr="008E1E24" w:rsidTr="0092129C">
        <w:trPr>
          <w:trHeight w:val="844"/>
        </w:trPr>
        <w:tc>
          <w:tcPr>
            <w:tcW w:w="5397" w:type="dxa"/>
            <w:gridSpan w:val="2"/>
            <w:vMerge/>
          </w:tcPr>
          <w:p w:rsidR="00D26CB5" w:rsidRPr="008E1E24" w:rsidRDefault="00D26CB5" w:rsidP="0092129C">
            <w:pPr>
              <w:spacing w:line="360" w:lineRule="auto"/>
              <w:jc w:val="both"/>
              <w:rPr>
                <w:rFonts w:ascii="Arial Narrow" w:hAnsi="Arial Narrow" w:cs="Arial"/>
                <w:sz w:val="24"/>
                <w:szCs w:val="24"/>
              </w:rPr>
            </w:pPr>
          </w:p>
        </w:tc>
        <w:tc>
          <w:tcPr>
            <w:tcW w:w="4323" w:type="dxa"/>
          </w:tcPr>
          <w:p w:rsidR="00D26CB5" w:rsidRPr="00F97FD1" w:rsidRDefault="00D26CB5" w:rsidP="0092129C">
            <w:pPr>
              <w:spacing w:line="360" w:lineRule="auto"/>
              <w:jc w:val="both"/>
              <w:rPr>
                <w:rFonts w:ascii="Arial" w:hAnsi="Arial" w:cs="Arial"/>
                <w:sz w:val="24"/>
                <w:szCs w:val="24"/>
              </w:rPr>
            </w:pPr>
            <w:r w:rsidRPr="00F97FD1">
              <w:rPr>
                <w:rFonts w:ascii="Arial" w:hAnsi="Arial" w:cs="Arial"/>
                <w:b/>
                <w:sz w:val="24"/>
                <w:szCs w:val="24"/>
              </w:rPr>
              <w:t>Division of Court:</w:t>
            </w:r>
          </w:p>
          <w:p w:rsidR="00D26CB5" w:rsidRPr="008E1E24" w:rsidRDefault="00D67EBE" w:rsidP="000A684E">
            <w:pPr>
              <w:spacing w:line="360" w:lineRule="auto"/>
              <w:jc w:val="both"/>
              <w:rPr>
                <w:rFonts w:ascii="Arial Narrow" w:hAnsi="Arial Narrow" w:cs="Arial"/>
                <w:sz w:val="24"/>
                <w:szCs w:val="24"/>
              </w:rPr>
            </w:pPr>
            <w:r w:rsidRPr="00F97FD1">
              <w:rPr>
                <w:rFonts w:ascii="Arial" w:hAnsi="Arial" w:cs="Arial"/>
                <w:sz w:val="24"/>
                <w:szCs w:val="24"/>
              </w:rPr>
              <w:t>MAIN DIVISION</w:t>
            </w:r>
          </w:p>
        </w:tc>
      </w:tr>
      <w:tr w:rsidR="00D26CB5" w:rsidRPr="008E1E24" w:rsidTr="0092129C">
        <w:trPr>
          <w:trHeight w:val="645"/>
        </w:trPr>
        <w:tc>
          <w:tcPr>
            <w:tcW w:w="5397" w:type="dxa"/>
            <w:gridSpan w:val="2"/>
            <w:vMerge w:val="restart"/>
          </w:tcPr>
          <w:p w:rsidR="00D26CB5" w:rsidRPr="008E1E24" w:rsidRDefault="00371056" w:rsidP="0092129C">
            <w:pPr>
              <w:spacing w:line="360" w:lineRule="auto"/>
              <w:jc w:val="both"/>
              <w:rPr>
                <w:rFonts w:ascii="Arial Narrow" w:hAnsi="Arial Narrow" w:cs="Arial"/>
                <w:b/>
                <w:sz w:val="24"/>
                <w:szCs w:val="24"/>
              </w:rPr>
            </w:pPr>
            <w:r w:rsidRPr="008E1E24">
              <w:rPr>
                <w:rFonts w:ascii="Arial Narrow" w:hAnsi="Arial Narrow" w:cs="Arial"/>
                <w:b/>
                <w:sz w:val="24"/>
                <w:szCs w:val="24"/>
              </w:rPr>
              <w:t>Heard before</w:t>
            </w:r>
          </w:p>
          <w:p w:rsidR="00371056" w:rsidRPr="0047532C" w:rsidRDefault="0086662D" w:rsidP="0092129C">
            <w:pPr>
              <w:spacing w:line="360" w:lineRule="auto"/>
              <w:jc w:val="both"/>
              <w:rPr>
                <w:rFonts w:ascii="Arial Narrow" w:hAnsi="Arial Narrow" w:cs="Arial"/>
                <w:sz w:val="24"/>
                <w:szCs w:val="24"/>
              </w:rPr>
            </w:pPr>
            <w:r>
              <w:rPr>
                <w:rFonts w:ascii="Arial Narrow" w:hAnsi="Arial Narrow" w:cs="Arial"/>
                <w:sz w:val="24"/>
                <w:szCs w:val="24"/>
              </w:rPr>
              <w:t>TOMMASI J</w:t>
            </w:r>
          </w:p>
        </w:tc>
        <w:tc>
          <w:tcPr>
            <w:tcW w:w="4323" w:type="dxa"/>
          </w:tcPr>
          <w:p w:rsidR="00D26CB5" w:rsidRPr="00F97FD1" w:rsidRDefault="00D26CB5" w:rsidP="0092129C">
            <w:pPr>
              <w:spacing w:line="360" w:lineRule="auto"/>
              <w:jc w:val="both"/>
              <w:rPr>
                <w:rFonts w:ascii="Arial" w:hAnsi="Arial" w:cs="Arial"/>
                <w:b/>
                <w:sz w:val="24"/>
                <w:szCs w:val="24"/>
              </w:rPr>
            </w:pPr>
            <w:r w:rsidRPr="00F97FD1">
              <w:rPr>
                <w:rFonts w:ascii="Arial" w:hAnsi="Arial" w:cs="Arial"/>
                <w:b/>
                <w:sz w:val="24"/>
                <w:szCs w:val="24"/>
              </w:rPr>
              <w:t>Date of hearing:</w:t>
            </w:r>
          </w:p>
          <w:p w:rsidR="00D26CB5" w:rsidRPr="008E1E24" w:rsidRDefault="00075956" w:rsidP="00075956">
            <w:pPr>
              <w:spacing w:line="360" w:lineRule="auto"/>
              <w:rPr>
                <w:rFonts w:ascii="Arial Narrow" w:hAnsi="Arial Narrow" w:cs="Arial"/>
                <w:sz w:val="24"/>
                <w:szCs w:val="24"/>
              </w:rPr>
            </w:pPr>
            <w:r w:rsidRPr="00F97FD1">
              <w:rPr>
                <w:rFonts w:ascii="Arial" w:hAnsi="Arial" w:cs="Arial"/>
                <w:sz w:val="24"/>
                <w:szCs w:val="24"/>
              </w:rPr>
              <w:t>02 September</w:t>
            </w:r>
            <w:r w:rsidR="00575A43" w:rsidRPr="00F97FD1">
              <w:rPr>
                <w:rFonts w:ascii="Arial" w:hAnsi="Arial" w:cs="Arial"/>
                <w:sz w:val="24"/>
                <w:szCs w:val="24"/>
              </w:rPr>
              <w:t xml:space="preserve"> 2020</w:t>
            </w:r>
          </w:p>
        </w:tc>
      </w:tr>
      <w:tr w:rsidR="00D26CB5" w:rsidRPr="008E1E24" w:rsidTr="0092129C">
        <w:trPr>
          <w:trHeight w:val="588"/>
        </w:trPr>
        <w:tc>
          <w:tcPr>
            <w:tcW w:w="5397" w:type="dxa"/>
            <w:gridSpan w:val="2"/>
            <w:vMerge/>
          </w:tcPr>
          <w:p w:rsidR="00D26CB5" w:rsidRPr="008E1E24" w:rsidRDefault="00D26CB5" w:rsidP="0092129C">
            <w:pPr>
              <w:spacing w:line="360" w:lineRule="auto"/>
              <w:jc w:val="both"/>
              <w:rPr>
                <w:rFonts w:ascii="Arial Narrow" w:hAnsi="Arial Narrow" w:cs="Arial"/>
                <w:b/>
                <w:sz w:val="24"/>
                <w:szCs w:val="24"/>
              </w:rPr>
            </w:pPr>
          </w:p>
        </w:tc>
        <w:tc>
          <w:tcPr>
            <w:tcW w:w="4323" w:type="dxa"/>
          </w:tcPr>
          <w:p w:rsidR="00D26CB5" w:rsidRPr="008E1E24" w:rsidRDefault="00D26CB5" w:rsidP="006C2F1D">
            <w:pPr>
              <w:spacing w:line="360" w:lineRule="auto"/>
              <w:jc w:val="both"/>
              <w:rPr>
                <w:rFonts w:ascii="Arial Narrow" w:hAnsi="Arial Narrow" w:cs="Arial"/>
                <w:b/>
                <w:sz w:val="24"/>
                <w:szCs w:val="24"/>
              </w:rPr>
            </w:pPr>
            <w:r w:rsidRPr="008E1E24">
              <w:rPr>
                <w:rFonts w:ascii="Arial Narrow" w:hAnsi="Arial Narrow" w:cs="Arial"/>
                <w:b/>
                <w:sz w:val="24"/>
                <w:szCs w:val="24"/>
              </w:rPr>
              <w:t>Delivered on:</w:t>
            </w:r>
          </w:p>
          <w:p w:rsidR="00371056" w:rsidRPr="00F97FD1" w:rsidRDefault="00075956" w:rsidP="00575A43">
            <w:pPr>
              <w:spacing w:line="360" w:lineRule="auto"/>
              <w:jc w:val="both"/>
              <w:rPr>
                <w:rFonts w:ascii="Arial Narrow" w:hAnsi="Arial Narrow" w:cs="Arial"/>
                <w:b/>
                <w:sz w:val="24"/>
                <w:szCs w:val="24"/>
              </w:rPr>
            </w:pPr>
            <w:r w:rsidRPr="00F97FD1">
              <w:rPr>
                <w:rFonts w:ascii="Arial Narrow" w:hAnsi="Arial Narrow" w:cs="Arial"/>
                <w:b/>
                <w:sz w:val="24"/>
                <w:szCs w:val="24"/>
              </w:rPr>
              <w:t>22 September</w:t>
            </w:r>
            <w:r w:rsidR="00575A43" w:rsidRPr="00F97FD1">
              <w:rPr>
                <w:rFonts w:ascii="Arial Narrow" w:hAnsi="Arial Narrow" w:cs="Arial"/>
                <w:b/>
                <w:sz w:val="24"/>
                <w:szCs w:val="24"/>
              </w:rPr>
              <w:t xml:space="preserve"> 2020 </w:t>
            </w:r>
          </w:p>
        </w:tc>
      </w:tr>
      <w:tr w:rsidR="00D26CB5" w:rsidRPr="008E1E24" w:rsidTr="0092129C">
        <w:tc>
          <w:tcPr>
            <w:tcW w:w="9720" w:type="dxa"/>
            <w:gridSpan w:val="3"/>
          </w:tcPr>
          <w:p w:rsidR="00D26CB5" w:rsidRPr="00F97FD1" w:rsidRDefault="0093109A" w:rsidP="006C2F1D">
            <w:pPr>
              <w:pStyle w:val="form-control-static"/>
              <w:shd w:val="clear" w:color="auto" w:fill="FFFFFF"/>
              <w:spacing w:before="0" w:beforeAutospacing="0" w:after="0" w:afterAutospacing="0"/>
              <w:rPr>
                <w:rFonts w:ascii="Arial" w:hAnsi="Arial" w:cs="Arial"/>
                <w:color w:val="333333"/>
                <w:shd w:val="clear" w:color="auto" w:fill="FFFFFF"/>
              </w:rPr>
            </w:pPr>
            <w:r w:rsidRPr="00F97FD1">
              <w:rPr>
                <w:rFonts w:ascii="Arial" w:hAnsi="Arial" w:cs="Arial"/>
                <w:b/>
              </w:rPr>
              <w:t xml:space="preserve">Neutral citation: </w:t>
            </w:r>
            <w:r w:rsidR="00075956" w:rsidRPr="00F97FD1">
              <w:rPr>
                <w:rFonts w:ascii="Arial" w:hAnsi="Arial" w:cs="Arial"/>
                <w:i/>
              </w:rPr>
              <w:t xml:space="preserve">Agricultural Bank of </w:t>
            </w:r>
            <w:r w:rsidR="00605F02" w:rsidRPr="00F97FD1">
              <w:rPr>
                <w:rFonts w:ascii="Arial" w:hAnsi="Arial" w:cs="Arial"/>
                <w:i/>
              </w:rPr>
              <w:t>Namibia</w:t>
            </w:r>
            <w:r w:rsidR="00F97FD1" w:rsidRPr="00F97FD1">
              <w:rPr>
                <w:rFonts w:ascii="Arial" w:hAnsi="Arial" w:cs="Arial"/>
                <w:i/>
              </w:rPr>
              <w:t xml:space="preserve"> v Killarney (Pty) (Ltd) </w:t>
            </w:r>
            <w:r w:rsidR="00F97FD1" w:rsidRPr="00F97FD1">
              <w:rPr>
                <w:rFonts w:ascii="Arial" w:hAnsi="Arial" w:cs="Arial"/>
              </w:rPr>
              <w:t>(</w:t>
            </w:r>
            <w:r w:rsidR="00A62C89" w:rsidRPr="00F97FD1">
              <w:rPr>
                <w:rFonts w:ascii="Arial" w:hAnsi="Arial" w:cs="Arial"/>
                <w:lang w:val="en-ZA"/>
              </w:rPr>
              <w:t>HC-MD-CIV-ACT-CON-20</w:t>
            </w:r>
            <w:r w:rsidR="00075956" w:rsidRPr="00F97FD1">
              <w:rPr>
                <w:rFonts w:ascii="Arial" w:hAnsi="Arial" w:cs="Arial"/>
                <w:lang w:val="en-ZA"/>
              </w:rPr>
              <w:t>20/00282</w:t>
            </w:r>
            <w:r w:rsidR="00075956" w:rsidRPr="00F97FD1">
              <w:rPr>
                <w:rFonts w:ascii="Arial" w:hAnsi="Arial" w:cs="Arial"/>
                <w:i/>
                <w:lang w:val="en-ZA"/>
              </w:rPr>
              <w:t xml:space="preserve"> </w:t>
            </w:r>
            <w:r w:rsidR="00575A43" w:rsidRPr="00F97FD1">
              <w:rPr>
                <w:rFonts w:ascii="Arial" w:hAnsi="Arial" w:cs="Arial"/>
                <w:lang w:val="en-ZA"/>
              </w:rPr>
              <w:t>[2020</w:t>
            </w:r>
            <w:r w:rsidRPr="00F97FD1">
              <w:rPr>
                <w:rFonts w:ascii="Arial" w:hAnsi="Arial" w:cs="Arial"/>
                <w:lang w:val="en-ZA"/>
              </w:rPr>
              <w:t xml:space="preserve">] NAHCMD </w:t>
            </w:r>
            <w:r w:rsidR="009C5803" w:rsidRPr="00F97FD1">
              <w:rPr>
                <w:rFonts w:ascii="Arial" w:hAnsi="Arial" w:cs="Arial"/>
                <w:lang w:val="en-ZA"/>
              </w:rPr>
              <w:t>431</w:t>
            </w:r>
            <w:r w:rsidR="00F44023" w:rsidRPr="00F97FD1">
              <w:rPr>
                <w:rFonts w:ascii="Arial" w:hAnsi="Arial" w:cs="Arial"/>
                <w:lang w:val="en-ZA"/>
              </w:rPr>
              <w:t xml:space="preserve"> </w:t>
            </w:r>
            <w:r w:rsidR="002B3223" w:rsidRPr="00F97FD1">
              <w:rPr>
                <w:rFonts w:ascii="Arial" w:hAnsi="Arial" w:cs="Arial"/>
                <w:lang w:val="en-ZA"/>
              </w:rPr>
              <w:t>(</w:t>
            </w:r>
            <w:r w:rsidR="00075956" w:rsidRPr="00F97FD1">
              <w:rPr>
                <w:rFonts w:ascii="Arial" w:hAnsi="Arial" w:cs="Arial"/>
                <w:lang w:val="en-ZA"/>
              </w:rPr>
              <w:t xml:space="preserve">22 September </w:t>
            </w:r>
            <w:r w:rsidR="00575A43" w:rsidRPr="00F97FD1">
              <w:rPr>
                <w:rFonts w:ascii="Arial" w:hAnsi="Arial" w:cs="Arial"/>
                <w:lang w:val="en-ZA"/>
              </w:rPr>
              <w:t>2020)</w:t>
            </w:r>
          </w:p>
          <w:p w:rsidR="00D67EBE" w:rsidRPr="008E1E24" w:rsidRDefault="00D67EBE" w:rsidP="006C2F1D">
            <w:pPr>
              <w:pStyle w:val="form-control-static"/>
              <w:shd w:val="clear" w:color="auto" w:fill="FFFFFF"/>
              <w:spacing w:before="0" w:beforeAutospacing="0" w:after="0" w:afterAutospacing="0"/>
              <w:rPr>
                <w:rFonts w:ascii="Arial Narrow" w:hAnsi="Arial Narrow" w:cs="Arial"/>
                <w:color w:val="333333"/>
              </w:rPr>
            </w:pPr>
          </w:p>
        </w:tc>
      </w:tr>
      <w:tr w:rsidR="00D26CB5" w:rsidRPr="008E1E24" w:rsidTr="0092129C">
        <w:tc>
          <w:tcPr>
            <w:tcW w:w="9720" w:type="dxa"/>
            <w:gridSpan w:val="3"/>
          </w:tcPr>
          <w:p w:rsidR="00D26CB5" w:rsidRPr="008E1E24" w:rsidRDefault="00D26CB5" w:rsidP="0092129C">
            <w:pPr>
              <w:pStyle w:val="form-control-static"/>
              <w:shd w:val="clear" w:color="auto" w:fill="FFFFFF"/>
              <w:spacing w:before="0" w:beforeAutospacing="0" w:after="0" w:afterAutospacing="0"/>
              <w:rPr>
                <w:rFonts w:ascii="Arial Narrow" w:hAnsi="Arial Narrow" w:cs="Arial"/>
                <w:b/>
              </w:rPr>
            </w:pPr>
            <w:r w:rsidRPr="008E1E24">
              <w:rPr>
                <w:rFonts w:ascii="Arial Narrow" w:hAnsi="Arial Narrow" w:cs="Arial"/>
                <w:b/>
              </w:rPr>
              <w:t>Results on merits:</w:t>
            </w:r>
          </w:p>
          <w:p w:rsidR="00D26CB5" w:rsidRPr="008E1E24" w:rsidRDefault="00D26CB5" w:rsidP="0092129C">
            <w:pPr>
              <w:pStyle w:val="form-control-static"/>
              <w:shd w:val="clear" w:color="auto" w:fill="FFFFFF"/>
              <w:spacing w:before="0" w:beforeAutospacing="0" w:after="0" w:afterAutospacing="0"/>
              <w:rPr>
                <w:rFonts w:ascii="Arial Narrow" w:hAnsi="Arial Narrow" w:cs="Arial"/>
              </w:rPr>
            </w:pPr>
            <w:r w:rsidRPr="008E1E24">
              <w:rPr>
                <w:rFonts w:ascii="Arial Narrow" w:hAnsi="Arial Narrow" w:cs="Arial"/>
              </w:rPr>
              <w:t>.</w:t>
            </w:r>
          </w:p>
        </w:tc>
      </w:tr>
      <w:tr w:rsidR="00D26CB5" w:rsidRPr="008E1E24" w:rsidTr="0092129C">
        <w:tc>
          <w:tcPr>
            <w:tcW w:w="9720" w:type="dxa"/>
            <w:gridSpan w:val="3"/>
          </w:tcPr>
          <w:p w:rsidR="00D26CB5"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The order:</w:t>
            </w:r>
          </w:p>
          <w:p w:rsidR="00294FF2" w:rsidRDefault="00294FF2" w:rsidP="0092129C">
            <w:pPr>
              <w:spacing w:line="360" w:lineRule="auto"/>
              <w:jc w:val="both"/>
              <w:rPr>
                <w:rFonts w:ascii="Arial Narrow" w:hAnsi="Arial Narrow" w:cs="Arial"/>
                <w:sz w:val="24"/>
                <w:szCs w:val="24"/>
              </w:rPr>
            </w:pPr>
            <w:r>
              <w:rPr>
                <w:rFonts w:ascii="Arial Narrow" w:hAnsi="Arial Narrow" w:cs="Arial"/>
                <w:sz w:val="24"/>
                <w:szCs w:val="24"/>
              </w:rPr>
              <w:t xml:space="preserve">Having heard </w:t>
            </w:r>
            <w:r w:rsidR="00075956" w:rsidRPr="00075956">
              <w:rPr>
                <w:rFonts w:ascii="Arial Narrow" w:hAnsi="Arial Narrow" w:cs="Arial"/>
                <w:b/>
                <w:sz w:val="24"/>
                <w:szCs w:val="24"/>
              </w:rPr>
              <w:t>MS PAULSE</w:t>
            </w:r>
            <w:r w:rsidR="00075956">
              <w:rPr>
                <w:rFonts w:ascii="Arial Narrow" w:hAnsi="Arial Narrow" w:cs="Arial"/>
                <w:b/>
                <w:sz w:val="24"/>
                <w:szCs w:val="24"/>
              </w:rPr>
              <w:t xml:space="preserve"> </w:t>
            </w:r>
            <w:r>
              <w:rPr>
                <w:rFonts w:ascii="Arial Narrow" w:hAnsi="Arial Narrow" w:cs="Arial"/>
                <w:sz w:val="24"/>
                <w:szCs w:val="24"/>
              </w:rPr>
              <w:t xml:space="preserve">on behalf of the </w:t>
            </w:r>
            <w:r w:rsidR="00575A43">
              <w:rPr>
                <w:rFonts w:ascii="Arial Narrow" w:hAnsi="Arial Narrow" w:cs="Arial"/>
                <w:sz w:val="24"/>
                <w:szCs w:val="24"/>
              </w:rPr>
              <w:t>Plaintiff</w:t>
            </w:r>
            <w:r w:rsidR="00232673">
              <w:rPr>
                <w:rFonts w:ascii="Arial Narrow" w:hAnsi="Arial Narrow" w:cs="Arial"/>
                <w:sz w:val="24"/>
                <w:szCs w:val="24"/>
              </w:rPr>
              <w:t>,</w:t>
            </w:r>
            <w:r w:rsidR="00575A43">
              <w:rPr>
                <w:rFonts w:ascii="Arial Narrow" w:hAnsi="Arial Narrow" w:cs="Arial"/>
                <w:sz w:val="24"/>
                <w:szCs w:val="24"/>
              </w:rPr>
              <w:t xml:space="preserve"> </w:t>
            </w:r>
            <w:r w:rsidR="00075956" w:rsidRPr="00075956">
              <w:rPr>
                <w:rFonts w:ascii="Arial Narrow" w:hAnsi="Arial Narrow" w:cs="Arial"/>
                <w:b/>
                <w:sz w:val="24"/>
                <w:szCs w:val="24"/>
              </w:rPr>
              <w:t>ADV JACOBS</w:t>
            </w:r>
            <w:r w:rsidR="00075956">
              <w:rPr>
                <w:rFonts w:ascii="Arial Narrow" w:hAnsi="Arial Narrow" w:cs="Arial"/>
                <w:b/>
                <w:sz w:val="24"/>
                <w:szCs w:val="24"/>
              </w:rPr>
              <w:t xml:space="preserve"> </w:t>
            </w:r>
            <w:r w:rsidR="00575A43">
              <w:rPr>
                <w:rFonts w:ascii="Arial Narrow" w:hAnsi="Arial Narrow" w:cs="Arial"/>
                <w:sz w:val="24"/>
                <w:szCs w:val="24"/>
              </w:rPr>
              <w:t>on behalf of the</w:t>
            </w:r>
            <w:r w:rsidR="00075956">
              <w:rPr>
                <w:rFonts w:ascii="Arial Narrow" w:hAnsi="Arial Narrow" w:cs="Arial"/>
                <w:sz w:val="24"/>
                <w:szCs w:val="24"/>
              </w:rPr>
              <w:t xml:space="preserve"> 1</w:t>
            </w:r>
            <w:r w:rsidR="00075956" w:rsidRPr="00075956">
              <w:rPr>
                <w:rFonts w:ascii="Arial Narrow" w:hAnsi="Arial Narrow" w:cs="Arial"/>
                <w:sz w:val="24"/>
                <w:szCs w:val="24"/>
                <w:vertAlign w:val="superscript"/>
              </w:rPr>
              <w:t>st</w:t>
            </w:r>
            <w:r w:rsidR="00075956">
              <w:rPr>
                <w:rFonts w:ascii="Arial Narrow" w:hAnsi="Arial Narrow" w:cs="Arial"/>
                <w:sz w:val="24"/>
                <w:szCs w:val="24"/>
              </w:rPr>
              <w:t xml:space="preserve"> </w:t>
            </w:r>
            <w:r w:rsidR="00575A43">
              <w:rPr>
                <w:rFonts w:ascii="Arial Narrow" w:hAnsi="Arial Narrow" w:cs="Arial"/>
                <w:sz w:val="24"/>
                <w:szCs w:val="24"/>
              </w:rPr>
              <w:t xml:space="preserve"> and </w:t>
            </w:r>
            <w:r w:rsidR="00075956">
              <w:rPr>
                <w:rFonts w:ascii="Arial Narrow" w:hAnsi="Arial Narrow" w:cs="Arial"/>
                <w:sz w:val="24"/>
                <w:szCs w:val="24"/>
              </w:rPr>
              <w:t>2</w:t>
            </w:r>
            <w:r w:rsidR="00075956" w:rsidRPr="00075956">
              <w:rPr>
                <w:rFonts w:ascii="Arial Narrow" w:hAnsi="Arial Narrow" w:cs="Arial"/>
                <w:sz w:val="24"/>
                <w:szCs w:val="24"/>
                <w:vertAlign w:val="superscript"/>
              </w:rPr>
              <w:t>nd</w:t>
            </w:r>
            <w:r w:rsidR="00075956">
              <w:rPr>
                <w:rFonts w:ascii="Arial Narrow" w:hAnsi="Arial Narrow" w:cs="Arial"/>
                <w:sz w:val="24"/>
                <w:szCs w:val="24"/>
              </w:rPr>
              <w:t xml:space="preserve"> </w:t>
            </w:r>
            <w:r w:rsidR="004A665E">
              <w:rPr>
                <w:rFonts w:ascii="Arial Narrow" w:hAnsi="Arial Narrow" w:cs="Arial"/>
                <w:sz w:val="24"/>
                <w:szCs w:val="24"/>
              </w:rPr>
              <w:t>Defendants</w:t>
            </w:r>
            <w:r>
              <w:rPr>
                <w:rFonts w:ascii="Arial Narrow" w:hAnsi="Arial Narrow" w:cs="Arial"/>
                <w:sz w:val="24"/>
                <w:szCs w:val="24"/>
              </w:rPr>
              <w:t>,</w:t>
            </w:r>
            <w:r w:rsidRPr="0006454D">
              <w:rPr>
                <w:rFonts w:ascii="Arial Narrow" w:hAnsi="Arial Narrow" w:cs="Arial"/>
                <w:sz w:val="24"/>
                <w:szCs w:val="24"/>
              </w:rPr>
              <w:t xml:space="preserve"> and having read the documents filed of record:</w:t>
            </w:r>
          </w:p>
          <w:p w:rsidR="00294FF2" w:rsidRPr="00294FF2" w:rsidRDefault="00294FF2"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IT IS ORDERED THAT:</w:t>
            </w:r>
          </w:p>
          <w:p w:rsidR="002B14B7" w:rsidRPr="00F27019" w:rsidRDefault="002B14B7" w:rsidP="002B14B7">
            <w:pPr>
              <w:pStyle w:val="ListParagraph"/>
              <w:numPr>
                <w:ilvl w:val="0"/>
                <w:numId w:val="1"/>
              </w:numPr>
              <w:spacing w:line="360" w:lineRule="auto"/>
              <w:jc w:val="both"/>
              <w:rPr>
                <w:rFonts w:ascii="Arial Narrow" w:hAnsi="Arial Narrow" w:cs="Arial"/>
                <w:sz w:val="24"/>
                <w:szCs w:val="24"/>
              </w:rPr>
            </w:pPr>
            <w:r w:rsidRPr="00D75F6B">
              <w:rPr>
                <w:rFonts w:ascii="Arial" w:hAnsi="Arial" w:cs="Arial"/>
              </w:rPr>
              <w:t xml:space="preserve">The </w:t>
            </w:r>
            <w:r>
              <w:rPr>
                <w:rFonts w:ascii="Arial" w:hAnsi="Arial" w:cs="Arial"/>
              </w:rPr>
              <w:t>application for Summary Judgment is dismissed with costs;</w:t>
            </w:r>
          </w:p>
          <w:p w:rsidR="002B14B7" w:rsidRPr="00F27019" w:rsidRDefault="002B14B7" w:rsidP="002B14B7">
            <w:pPr>
              <w:pStyle w:val="ListParagraph"/>
              <w:numPr>
                <w:ilvl w:val="0"/>
                <w:numId w:val="1"/>
              </w:numPr>
              <w:spacing w:line="360" w:lineRule="auto"/>
              <w:jc w:val="both"/>
              <w:rPr>
                <w:rFonts w:ascii="Arial Narrow" w:hAnsi="Arial Narrow" w:cs="Arial"/>
                <w:sz w:val="24"/>
                <w:szCs w:val="24"/>
              </w:rPr>
            </w:pPr>
            <w:r>
              <w:rPr>
                <w:rFonts w:ascii="Arial" w:hAnsi="Arial" w:cs="Arial"/>
              </w:rPr>
              <w:t>The cost is limited in terms of the provisions of Rule 32(11);</w:t>
            </w:r>
          </w:p>
          <w:p w:rsidR="002B14B7" w:rsidRDefault="002B14B7" w:rsidP="002B14B7">
            <w:pPr>
              <w:pStyle w:val="ListParagraph"/>
              <w:numPr>
                <w:ilvl w:val="0"/>
                <w:numId w:val="1"/>
              </w:numPr>
              <w:spacing w:line="360" w:lineRule="auto"/>
              <w:jc w:val="both"/>
              <w:rPr>
                <w:rFonts w:ascii="Arial Narrow" w:hAnsi="Arial Narrow" w:cs="Arial"/>
                <w:sz w:val="24"/>
                <w:szCs w:val="24"/>
              </w:rPr>
            </w:pPr>
            <w:r>
              <w:rPr>
                <w:rFonts w:ascii="Arial" w:hAnsi="Arial" w:cs="Arial"/>
              </w:rPr>
              <w:t>The parties must file their case plan on or before 16 October 2020</w:t>
            </w:r>
            <w:r w:rsidR="00232673">
              <w:rPr>
                <w:rFonts w:ascii="Arial" w:hAnsi="Arial" w:cs="Arial"/>
              </w:rPr>
              <w:t>;</w:t>
            </w:r>
          </w:p>
          <w:p w:rsidR="002B14B7" w:rsidRPr="00F27019" w:rsidRDefault="002B14B7" w:rsidP="002B14B7">
            <w:pPr>
              <w:pStyle w:val="ListParagraph"/>
              <w:numPr>
                <w:ilvl w:val="0"/>
                <w:numId w:val="1"/>
              </w:numPr>
              <w:spacing w:line="360" w:lineRule="auto"/>
              <w:jc w:val="both"/>
              <w:rPr>
                <w:rFonts w:ascii="Arial Narrow" w:hAnsi="Arial Narrow" w:cs="Arial"/>
                <w:sz w:val="24"/>
                <w:szCs w:val="24"/>
              </w:rPr>
            </w:pPr>
            <w:r>
              <w:rPr>
                <w:rFonts w:ascii="Arial" w:hAnsi="Arial" w:cs="Arial"/>
              </w:rPr>
              <w:t xml:space="preserve">The case is postponed to 21 October 2020 for case planning </w:t>
            </w:r>
            <w:r w:rsidR="00232673">
              <w:rPr>
                <w:rFonts w:ascii="Arial" w:hAnsi="Arial" w:cs="Arial"/>
              </w:rPr>
              <w:t>conference.</w:t>
            </w:r>
            <w:r>
              <w:rPr>
                <w:rFonts w:ascii="Arial" w:hAnsi="Arial" w:cs="Arial"/>
              </w:rPr>
              <w:t xml:space="preserve"> </w:t>
            </w:r>
          </w:p>
          <w:p w:rsidR="00D75F6B" w:rsidRPr="00D25E04" w:rsidRDefault="00D75F6B" w:rsidP="002B14B7">
            <w:pPr>
              <w:pStyle w:val="ListParagraph"/>
              <w:spacing w:line="360" w:lineRule="auto"/>
              <w:jc w:val="both"/>
              <w:rPr>
                <w:rFonts w:ascii="Arial Narrow" w:hAnsi="Arial Narrow" w:cs="Arial"/>
                <w:sz w:val="24"/>
                <w:szCs w:val="24"/>
              </w:rPr>
            </w:pPr>
          </w:p>
          <w:p w:rsidR="0086662D" w:rsidRPr="0086662D" w:rsidRDefault="0086662D" w:rsidP="00BA33A1">
            <w:pPr>
              <w:pStyle w:val="ListParagraph"/>
              <w:spacing w:line="360" w:lineRule="auto"/>
              <w:jc w:val="both"/>
              <w:rPr>
                <w:rFonts w:ascii="Arial Narrow" w:hAnsi="Arial Narrow" w:cs="Arial"/>
                <w:sz w:val="24"/>
                <w:szCs w:val="24"/>
              </w:rPr>
            </w:pPr>
          </w:p>
        </w:tc>
      </w:tr>
      <w:tr w:rsidR="00D26CB5" w:rsidRPr="008E1E24" w:rsidTr="0092129C">
        <w:tc>
          <w:tcPr>
            <w:tcW w:w="9720" w:type="dxa"/>
            <w:gridSpan w:val="3"/>
          </w:tcPr>
          <w:p w:rsidR="00D26CB5" w:rsidRPr="008E1E24" w:rsidRDefault="00D26CB5" w:rsidP="0092129C">
            <w:pPr>
              <w:spacing w:line="360" w:lineRule="auto"/>
              <w:jc w:val="both"/>
              <w:rPr>
                <w:rFonts w:ascii="Arial Narrow" w:hAnsi="Arial Narrow" w:cs="Arial"/>
                <w:b/>
                <w:sz w:val="24"/>
                <w:szCs w:val="24"/>
              </w:rPr>
            </w:pPr>
            <w:r w:rsidRPr="008E1E24">
              <w:rPr>
                <w:rFonts w:ascii="Arial Narrow" w:hAnsi="Arial Narrow" w:cs="Arial"/>
                <w:b/>
                <w:sz w:val="24"/>
                <w:szCs w:val="24"/>
              </w:rPr>
              <w:t>Reasons for orders:</w:t>
            </w:r>
          </w:p>
        </w:tc>
      </w:tr>
      <w:tr w:rsidR="00D26CB5" w:rsidRPr="008E1E24" w:rsidTr="0092129C">
        <w:tc>
          <w:tcPr>
            <w:tcW w:w="9720" w:type="dxa"/>
            <w:gridSpan w:val="3"/>
          </w:tcPr>
          <w:p w:rsidR="00A11382" w:rsidRPr="008E1E24" w:rsidRDefault="00A11382" w:rsidP="006C2F1D">
            <w:pPr>
              <w:spacing w:line="360" w:lineRule="auto"/>
              <w:jc w:val="both"/>
              <w:rPr>
                <w:rFonts w:ascii="Arial Narrow" w:hAnsi="Arial Narrow" w:cs="Arial"/>
                <w:sz w:val="24"/>
                <w:szCs w:val="24"/>
              </w:rPr>
            </w:pPr>
          </w:p>
          <w:p w:rsidR="00B35F33" w:rsidRDefault="00383388" w:rsidP="004A665E">
            <w:pPr>
              <w:spacing w:line="360" w:lineRule="auto"/>
              <w:jc w:val="both"/>
              <w:rPr>
                <w:rFonts w:ascii="Arial" w:hAnsi="Arial" w:cs="Arial"/>
                <w:sz w:val="24"/>
                <w:szCs w:val="24"/>
              </w:rPr>
            </w:pPr>
            <w:r>
              <w:rPr>
                <w:rFonts w:ascii="Arial" w:hAnsi="Arial" w:cs="Arial"/>
                <w:sz w:val="24"/>
                <w:szCs w:val="24"/>
              </w:rPr>
              <w:t xml:space="preserve">[1]   </w:t>
            </w:r>
            <w:r w:rsidR="00A62C89" w:rsidRPr="00F95418">
              <w:rPr>
                <w:rFonts w:ascii="Arial" w:hAnsi="Arial" w:cs="Arial"/>
                <w:sz w:val="24"/>
                <w:szCs w:val="24"/>
              </w:rPr>
              <w:t>Th</w:t>
            </w:r>
            <w:r w:rsidR="004A665E">
              <w:rPr>
                <w:rFonts w:ascii="Arial" w:hAnsi="Arial" w:cs="Arial"/>
                <w:sz w:val="24"/>
                <w:szCs w:val="24"/>
              </w:rPr>
              <w:t xml:space="preserve">is is an application for Summary Judgment by the Plaintiff </w:t>
            </w:r>
            <w:r w:rsidR="00B35F33">
              <w:rPr>
                <w:rFonts w:ascii="Arial" w:hAnsi="Arial" w:cs="Arial"/>
                <w:sz w:val="24"/>
                <w:szCs w:val="24"/>
              </w:rPr>
              <w:t xml:space="preserve">against the </w:t>
            </w:r>
            <w:r w:rsidR="00675761">
              <w:rPr>
                <w:rFonts w:ascii="Arial" w:hAnsi="Arial" w:cs="Arial"/>
                <w:sz w:val="24"/>
                <w:szCs w:val="24"/>
              </w:rPr>
              <w:t>D</w:t>
            </w:r>
            <w:r w:rsidR="00B35F33">
              <w:rPr>
                <w:rFonts w:ascii="Arial" w:hAnsi="Arial" w:cs="Arial"/>
                <w:sz w:val="24"/>
                <w:szCs w:val="24"/>
              </w:rPr>
              <w:t xml:space="preserve">efendants. </w:t>
            </w:r>
          </w:p>
          <w:p w:rsidR="00D25E04" w:rsidRDefault="00D25E04" w:rsidP="004A665E">
            <w:pPr>
              <w:spacing w:line="360" w:lineRule="auto"/>
              <w:jc w:val="both"/>
              <w:rPr>
                <w:rFonts w:ascii="Arial" w:hAnsi="Arial" w:cs="Arial"/>
                <w:sz w:val="24"/>
                <w:szCs w:val="24"/>
              </w:rPr>
            </w:pPr>
          </w:p>
          <w:p w:rsidR="00A62C89" w:rsidRDefault="00F97FD1" w:rsidP="004A665E">
            <w:pPr>
              <w:spacing w:line="360" w:lineRule="auto"/>
              <w:jc w:val="both"/>
              <w:rPr>
                <w:rFonts w:ascii="Arial" w:hAnsi="Arial" w:cs="Arial"/>
                <w:sz w:val="24"/>
                <w:szCs w:val="24"/>
              </w:rPr>
            </w:pPr>
            <w:r>
              <w:rPr>
                <w:rFonts w:ascii="Arial" w:hAnsi="Arial" w:cs="Arial"/>
                <w:sz w:val="24"/>
                <w:szCs w:val="24"/>
              </w:rPr>
              <w:t xml:space="preserve">[2]  </w:t>
            </w:r>
            <w:r w:rsidR="00675761">
              <w:rPr>
                <w:rFonts w:ascii="Arial" w:hAnsi="Arial" w:cs="Arial"/>
                <w:sz w:val="24"/>
                <w:szCs w:val="24"/>
              </w:rPr>
              <w:t xml:space="preserve">The Plaintiff’s </w:t>
            </w:r>
            <w:r w:rsidR="00D25E04">
              <w:rPr>
                <w:rFonts w:ascii="Arial" w:hAnsi="Arial" w:cs="Arial"/>
                <w:sz w:val="24"/>
                <w:szCs w:val="24"/>
              </w:rPr>
              <w:t xml:space="preserve">action is based on a written loan agreement which </w:t>
            </w:r>
            <w:r w:rsidR="00675761">
              <w:rPr>
                <w:rFonts w:ascii="Arial" w:hAnsi="Arial" w:cs="Arial"/>
                <w:sz w:val="24"/>
                <w:szCs w:val="24"/>
              </w:rPr>
              <w:t>1</w:t>
            </w:r>
            <w:r w:rsidR="00675761" w:rsidRPr="00675761">
              <w:rPr>
                <w:rFonts w:ascii="Arial" w:hAnsi="Arial" w:cs="Arial"/>
                <w:sz w:val="24"/>
                <w:szCs w:val="24"/>
                <w:vertAlign w:val="superscript"/>
              </w:rPr>
              <w:t>st</w:t>
            </w:r>
            <w:r w:rsidR="00675761">
              <w:rPr>
                <w:rFonts w:ascii="Arial" w:hAnsi="Arial" w:cs="Arial"/>
                <w:sz w:val="24"/>
                <w:szCs w:val="24"/>
              </w:rPr>
              <w:t xml:space="preserve"> De</w:t>
            </w:r>
            <w:r w:rsidR="00D25E04">
              <w:rPr>
                <w:rFonts w:ascii="Arial" w:hAnsi="Arial" w:cs="Arial"/>
                <w:sz w:val="24"/>
                <w:szCs w:val="24"/>
              </w:rPr>
              <w:t>fendant breached by failing to make the required payment</w:t>
            </w:r>
            <w:r w:rsidR="00675761">
              <w:rPr>
                <w:rFonts w:ascii="Arial" w:hAnsi="Arial" w:cs="Arial"/>
                <w:sz w:val="24"/>
                <w:szCs w:val="24"/>
              </w:rPr>
              <w:t>s</w:t>
            </w:r>
            <w:r w:rsidR="00D25E04">
              <w:rPr>
                <w:rFonts w:ascii="Arial" w:hAnsi="Arial" w:cs="Arial"/>
                <w:sz w:val="24"/>
                <w:szCs w:val="24"/>
              </w:rPr>
              <w:t xml:space="preserve"> in terms of the agreement. Second </w:t>
            </w:r>
            <w:r w:rsidR="00675761">
              <w:rPr>
                <w:rFonts w:ascii="Arial" w:hAnsi="Arial" w:cs="Arial"/>
                <w:sz w:val="24"/>
                <w:szCs w:val="24"/>
              </w:rPr>
              <w:t>D</w:t>
            </w:r>
            <w:r w:rsidR="00D25E04">
              <w:rPr>
                <w:rFonts w:ascii="Arial" w:hAnsi="Arial" w:cs="Arial"/>
                <w:sz w:val="24"/>
                <w:szCs w:val="24"/>
              </w:rPr>
              <w:t xml:space="preserve">efendant signed a surety agreement for the first defendant’s indebtedness. The plaintiff </w:t>
            </w:r>
            <w:r w:rsidR="004A665E">
              <w:rPr>
                <w:rFonts w:ascii="Arial" w:hAnsi="Arial" w:cs="Arial"/>
                <w:sz w:val="24"/>
                <w:szCs w:val="24"/>
              </w:rPr>
              <w:t xml:space="preserve">claims </w:t>
            </w:r>
            <w:r w:rsidR="00D25E04">
              <w:rPr>
                <w:rFonts w:ascii="Arial" w:hAnsi="Arial" w:cs="Arial"/>
                <w:sz w:val="24"/>
                <w:szCs w:val="24"/>
              </w:rPr>
              <w:t>p</w:t>
            </w:r>
            <w:r w:rsidR="00416D97">
              <w:rPr>
                <w:rFonts w:ascii="Arial" w:hAnsi="Arial" w:cs="Arial"/>
                <w:sz w:val="24"/>
                <w:szCs w:val="24"/>
              </w:rPr>
              <w:t>ayment in the sum of N$</w:t>
            </w:r>
            <w:r w:rsidR="00D25E04">
              <w:rPr>
                <w:rFonts w:ascii="Arial" w:hAnsi="Arial" w:cs="Arial"/>
                <w:sz w:val="24"/>
                <w:szCs w:val="24"/>
              </w:rPr>
              <w:t>49 149 885.40</w:t>
            </w:r>
            <w:r w:rsidR="003D7A98">
              <w:rPr>
                <w:rFonts w:ascii="Arial" w:hAnsi="Arial" w:cs="Arial"/>
                <w:sz w:val="24"/>
                <w:szCs w:val="24"/>
              </w:rPr>
              <w:t>,</w:t>
            </w:r>
            <w:r w:rsidR="00D25E04">
              <w:rPr>
                <w:rFonts w:ascii="Arial" w:hAnsi="Arial" w:cs="Arial"/>
                <w:sz w:val="24"/>
                <w:szCs w:val="24"/>
              </w:rPr>
              <w:t xml:space="preserve"> interest</w:t>
            </w:r>
            <w:r w:rsidR="007327B9">
              <w:rPr>
                <w:rFonts w:ascii="Arial" w:hAnsi="Arial" w:cs="Arial"/>
                <w:sz w:val="24"/>
                <w:szCs w:val="24"/>
              </w:rPr>
              <w:t xml:space="preserve"> of</w:t>
            </w:r>
            <w:r w:rsidR="00D25E04">
              <w:rPr>
                <w:rFonts w:ascii="Arial" w:hAnsi="Arial" w:cs="Arial"/>
                <w:sz w:val="24"/>
                <w:szCs w:val="24"/>
              </w:rPr>
              <w:t xml:space="preserve"> </w:t>
            </w:r>
            <w:r w:rsidR="003D7A98">
              <w:rPr>
                <w:rFonts w:ascii="Arial" w:hAnsi="Arial" w:cs="Arial"/>
                <w:sz w:val="24"/>
                <w:szCs w:val="24"/>
              </w:rPr>
              <w:t>(</w:t>
            </w:r>
            <w:r w:rsidR="00D25E04">
              <w:rPr>
                <w:rFonts w:ascii="Arial" w:hAnsi="Arial" w:cs="Arial"/>
                <w:sz w:val="24"/>
                <w:szCs w:val="24"/>
              </w:rPr>
              <w:t xml:space="preserve">9.25% </w:t>
            </w:r>
            <w:r w:rsidR="00D25E04" w:rsidRPr="003D7A98">
              <w:rPr>
                <w:rFonts w:ascii="Arial" w:hAnsi="Arial" w:cs="Arial"/>
                <w:i/>
                <w:sz w:val="24"/>
                <w:szCs w:val="24"/>
              </w:rPr>
              <w:t>per annum</w:t>
            </w:r>
            <w:r w:rsidR="00D25E04">
              <w:rPr>
                <w:rFonts w:ascii="Arial" w:hAnsi="Arial" w:cs="Arial"/>
                <w:sz w:val="24"/>
                <w:szCs w:val="24"/>
              </w:rPr>
              <w:t xml:space="preserve"> on the amount of N$39 108 403.40 </w:t>
            </w:r>
            <w:r w:rsidR="003D7A98">
              <w:rPr>
                <w:rFonts w:ascii="Arial" w:hAnsi="Arial" w:cs="Arial"/>
                <w:sz w:val="24"/>
                <w:szCs w:val="24"/>
              </w:rPr>
              <w:t xml:space="preserve">from 31 March 2020 calculated yearly on 31 August; </w:t>
            </w:r>
            <w:r w:rsidR="00D25E04">
              <w:rPr>
                <w:rFonts w:ascii="Arial" w:hAnsi="Arial" w:cs="Arial"/>
                <w:sz w:val="24"/>
                <w:szCs w:val="24"/>
              </w:rPr>
              <w:t xml:space="preserve">and 11.25% </w:t>
            </w:r>
            <w:r w:rsidR="00D25E04" w:rsidRPr="003D7A98">
              <w:rPr>
                <w:rFonts w:ascii="Arial" w:hAnsi="Arial" w:cs="Arial"/>
                <w:i/>
                <w:sz w:val="24"/>
                <w:szCs w:val="24"/>
              </w:rPr>
              <w:t>per annum</w:t>
            </w:r>
            <w:r w:rsidR="00D25E04">
              <w:rPr>
                <w:rFonts w:ascii="Arial" w:hAnsi="Arial" w:cs="Arial"/>
                <w:sz w:val="24"/>
                <w:szCs w:val="24"/>
              </w:rPr>
              <w:t xml:space="preserve"> </w:t>
            </w:r>
            <w:r>
              <w:rPr>
                <w:rFonts w:ascii="Arial" w:hAnsi="Arial" w:cs="Arial"/>
                <w:sz w:val="24"/>
                <w:szCs w:val="24"/>
              </w:rPr>
              <w:t>on the amount of N$10 040 972</w:t>
            </w:r>
            <w:r w:rsidR="00D25E04">
              <w:rPr>
                <w:rFonts w:ascii="Arial" w:hAnsi="Arial" w:cs="Arial"/>
                <w:sz w:val="24"/>
                <w:szCs w:val="24"/>
              </w:rPr>
              <w:t xml:space="preserve"> from 31 March 2020 </w:t>
            </w:r>
            <w:r w:rsidR="003D7A98">
              <w:rPr>
                <w:rFonts w:ascii="Arial" w:hAnsi="Arial" w:cs="Arial"/>
                <w:sz w:val="24"/>
                <w:szCs w:val="24"/>
              </w:rPr>
              <w:t xml:space="preserve">calculated monthly and added to the interest bearing sum(s)); </w:t>
            </w:r>
            <w:r w:rsidR="00BD2D08">
              <w:rPr>
                <w:rFonts w:ascii="Arial" w:hAnsi="Arial" w:cs="Arial"/>
                <w:sz w:val="24"/>
                <w:szCs w:val="24"/>
              </w:rPr>
              <w:t xml:space="preserve">an order to declare the immovable property </w:t>
            </w:r>
            <w:r w:rsidR="00675761">
              <w:rPr>
                <w:rFonts w:ascii="Arial" w:hAnsi="Arial" w:cs="Arial"/>
                <w:sz w:val="24"/>
                <w:szCs w:val="24"/>
              </w:rPr>
              <w:t xml:space="preserve">over which </w:t>
            </w:r>
            <w:r w:rsidR="00BD2D08">
              <w:rPr>
                <w:rFonts w:ascii="Arial" w:hAnsi="Arial" w:cs="Arial"/>
                <w:sz w:val="24"/>
                <w:szCs w:val="24"/>
              </w:rPr>
              <w:t xml:space="preserve">a security mortgage </w:t>
            </w:r>
            <w:r w:rsidR="00675761">
              <w:rPr>
                <w:rFonts w:ascii="Arial" w:hAnsi="Arial" w:cs="Arial"/>
                <w:sz w:val="24"/>
                <w:szCs w:val="24"/>
              </w:rPr>
              <w:t>was</w:t>
            </w:r>
            <w:r w:rsidR="00BD2D08">
              <w:rPr>
                <w:rFonts w:ascii="Arial" w:hAnsi="Arial" w:cs="Arial"/>
                <w:sz w:val="24"/>
                <w:szCs w:val="24"/>
              </w:rPr>
              <w:t xml:space="preserve"> registered</w:t>
            </w:r>
            <w:r w:rsidR="00675761">
              <w:rPr>
                <w:rFonts w:ascii="Arial" w:hAnsi="Arial" w:cs="Arial"/>
                <w:sz w:val="24"/>
                <w:szCs w:val="24"/>
              </w:rPr>
              <w:t xml:space="preserve"> in favour of plaintiff, executable; </w:t>
            </w:r>
            <w:r w:rsidR="003D7A98">
              <w:rPr>
                <w:rFonts w:ascii="Arial" w:hAnsi="Arial" w:cs="Arial"/>
                <w:sz w:val="24"/>
                <w:szCs w:val="24"/>
              </w:rPr>
              <w:t>and costs of suit</w:t>
            </w:r>
            <w:r w:rsidR="00416D97">
              <w:rPr>
                <w:rFonts w:ascii="Arial" w:hAnsi="Arial" w:cs="Arial"/>
                <w:sz w:val="24"/>
                <w:szCs w:val="24"/>
              </w:rPr>
              <w:t>.</w:t>
            </w:r>
          </w:p>
          <w:p w:rsidR="00B35F33" w:rsidRDefault="00B35F33" w:rsidP="004A665E">
            <w:pPr>
              <w:spacing w:line="360" w:lineRule="auto"/>
              <w:jc w:val="both"/>
              <w:rPr>
                <w:rFonts w:ascii="Arial" w:hAnsi="Arial" w:cs="Arial"/>
                <w:sz w:val="24"/>
                <w:szCs w:val="24"/>
              </w:rPr>
            </w:pPr>
          </w:p>
          <w:p w:rsidR="003E0C1F" w:rsidRDefault="00383388" w:rsidP="004A665E">
            <w:pPr>
              <w:spacing w:line="360" w:lineRule="auto"/>
              <w:jc w:val="both"/>
              <w:rPr>
                <w:rFonts w:ascii="Arial" w:hAnsi="Arial" w:cs="Arial"/>
                <w:sz w:val="24"/>
                <w:szCs w:val="24"/>
              </w:rPr>
            </w:pPr>
            <w:r>
              <w:rPr>
                <w:rFonts w:ascii="Arial" w:hAnsi="Arial" w:cs="Arial"/>
                <w:sz w:val="24"/>
                <w:szCs w:val="24"/>
              </w:rPr>
              <w:t xml:space="preserve">[3]  </w:t>
            </w:r>
            <w:r w:rsidR="00F97FD1">
              <w:rPr>
                <w:rFonts w:ascii="Arial" w:hAnsi="Arial" w:cs="Arial"/>
                <w:sz w:val="24"/>
                <w:szCs w:val="24"/>
              </w:rPr>
              <w:t xml:space="preserve"> </w:t>
            </w:r>
            <w:r w:rsidR="004B0EF8">
              <w:rPr>
                <w:rFonts w:ascii="Arial" w:hAnsi="Arial" w:cs="Arial"/>
                <w:sz w:val="24"/>
                <w:szCs w:val="24"/>
              </w:rPr>
              <w:t xml:space="preserve">The </w:t>
            </w:r>
            <w:r w:rsidR="003E0C1F">
              <w:rPr>
                <w:rFonts w:ascii="Arial" w:hAnsi="Arial" w:cs="Arial"/>
                <w:sz w:val="24"/>
                <w:szCs w:val="24"/>
              </w:rPr>
              <w:t>grounds upon which the defendant opposes the application for summary judgment are as follow:</w:t>
            </w:r>
          </w:p>
          <w:p w:rsidR="003E0C1F" w:rsidRDefault="003E0C1F" w:rsidP="003E0C1F">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The affidavit filed in support of the application for Summary Judgment was deposed to by the Acting Manager, Legal Services </w:t>
            </w:r>
            <w:r w:rsidR="00675761">
              <w:rPr>
                <w:rFonts w:ascii="Arial" w:hAnsi="Arial" w:cs="Arial"/>
                <w:sz w:val="24"/>
                <w:szCs w:val="24"/>
              </w:rPr>
              <w:t xml:space="preserve">who </w:t>
            </w:r>
            <w:r>
              <w:rPr>
                <w:rFonts w:ascii="Arial" w:hAnsi="Arial" w:cs="Arial"/>
                <w:sz w:val="24"/>
                <w:szCs w:val="24"/>
              </w:rPr>
              <w:t>does not have the requisite personal knowledge of the facts deposed to as she was not privy thereto;</w:t>
            </w:r>
          </w:p>
          <w:p w:rsidR="003E0C1F" w:rsidRDefault="003E0C1F" w:rsidP="003E0C1F">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deponent impermissibly attached annexures to the affidavit in support of the application for Summary Judgment as none of the documents qualify as liquid documents;</w:t>
            </w:r>
          </w:p>
          <w:p w:rsidR="003E0C1F" w:rsidRDefault="003E0C1F" w:rsidP="003E0C1F">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The </w:t>
            </w:r>
            <w:r w:rsidR="00675761">
              <w:rPr>
                <w:rFonts w:ascii="Arial" w:hAnsi="Arial" w:cs="Arial"/>
                <w:sz w:val="24"/>
                <w:szCs w:val="24"/>
              </w:rPr>
              <w:t>Certificate o</w:t>
            </w:r>
            <w:r>
              <w:rPr>
                <w:rFonts w:ascii="Arial" w:hAnsi="Arial" w:cs="Arial"/>
                <w:sz w:val="24"/>
                <w:szCs w:val="24"/>
              </w:rPr>
              <w:t xml:space="preserve">f </w:t>
            </w:r>
            <w:r w:rsidR="00675761">
              <w:rPr>
                <w:rFonts w:ascii="Arial" w:hAnsi="Arial" w:cs="Arial"/>
                <w:sz w:val="24"/>
                <w:szCs w:val="24"/>
              </w:rPr>
              <w:t>B</w:t>
            </w:r>
            <w:r>
              <w:rPr>
                <w:rFonts w:ascii="Arial" w:hAnsi="Arial" w:cs="Arial"/>
                <w:sz w:val="24"/>
                <w:szCs w:val="24"/>
              </w:rPr>
              <w:t>alance does not bear the name of the signatory thereto;</w:t>
            </w:r>
          </w:p>
          <w:p w:rsidR="003E0C1F" w:rsidRDefault="003E0C1F" w:rsidP="003E0C1F">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relief that the property be declared executable cannot be granted in an application for Summary Judgment as it does not constitute a liquid claim and it attempts to bypass the requirements of Rule 108.</w:t>
            </w:r>
          </w:p>
          <w:p w:rsidR="004A3CE4" w:rsidRDefault="004A3CE4" w:rsidP="004A665E">
            <w:pPr>
              <w:spacing w:line="360" w:lineRule="auto"/>
              <w:jc w:val="both"/>
              <w:rPr>
                <w:rFonts w:ascii="Arial" w:hAnsi="Arial" w:cs="Arial"/>
                <w:sz w:val="24"/>
                <w:szCs w:val="24"/>
              </w:rPr>
            </w:pPr>
          </w:p>
          <w:p w:rsidR="00793764" w:rsidRDefault="003E0C1F" w:rsidP="004A3CE4">
            <w:pPr>
              <w:spacing w:line="360" w:lineRule="auto"/>
              <w:jc w:val="both"/>
              <w:rPr>
                <w:rFonts w:ascii="Arial" w:hAnsi="Arial" w:cs="Arial"/>
                <w:sz w:val="24"/>
                <w:szCs w:val="24"/>
              </w:rPr>
            </w:pPr>
            <w:r>
              <w:rPr>
                <w:rFonts w:ascii="Arial" w:hAnsi="Arial" w:cs="Arial"/>
                <w:sz w:val="24"/>
                <w:szCs w:val="24"/>
              </w:rPr>
              <w:t>[</w:t>
            </w:r>
            <w:r w:rsidR="00383388">
              <w:rPr>
                <w:rFonts w:ascii="Arial" w:hAnsi="Arial" w:cs="Arial"/>
                <w:sz w:val="24"/>
                <w:szCs w:val="24"/>
              </w:rPr>
              <w:t>4</w:t>
            </w:r>
            <w:r w:rsidR="00F97FD1">
              <w:rPr>
                <w:rFonts w:ascii="Arial" w:hAnsi="Arial" w:cs="Arial"/>
                <w:sz w:val="24"/>
                <w:szCs w:val="24"/>
              </w:rPr>
              <w:t xml:space="preserve">]  </w:t>
            </w:r>
            <w:r w:rsidR="00793764">
              <w:rPr>
                <w:rFonts w:ascii="Arial" w:hAnsi="Arial" w:cs="Arial"/>
                <w:sz w:val="24"/>
                <w:szCs w:val="24"/>
              </w:rPr>
              <w:t xml:space="preserve">At the hearing of the matter the defendant </w:t>
            </w:r>
            <w:r w:rsidR="00675761">
              <w:rPr>
                <w:rFonts w:ascii="Arial" w:hAnsi="Arial" w:cs="Arial"/>
                <w:sz w:val="24"/>
                <w:szCs w:val="24"/>
              </w:rPr>
              <w:t>d</w:t>
            </w:r>
            <w:r w:rsidR="00793764">
              <w:rPr>
                <w:rFonts w:ascii="Arial" w:hAnsi="Arial" w:cs="Arial"/>
                <w:sz w:val="24"/>
                <w:szCs w:val="24"/>
              </w:rPr>
              <w:t xml:space="preserve">id not persist with </w:t>
            </w:r>
            <w:r w:rsidR="00675761">
              <w:rPr>
                <w:rFonts w:ascii="Arial" w:hAnsi="Arial" w:cs="Arial"/>
                <w:sz w:val="24"/>
                <w:szCs w:val="24"/>
              </w:rPr>
              <w:t>the o</w:t>
            </w:r>
            <w:r w:rsidR="00793764">
              <w:rPr>
                <w:rFonts w:ascii="Arial" w:hAnsi="Arial" w:cs="Arial"/>
                <w:sz w:val="24"/>
                <w:szCs w:val="24"/>
              </w:rPr>
              <w:t xml:space="preserve">bjection against non-compliance with Rule 108 and the only remaining issue </w:t>
            </w:r>
            <w:r w:rsidR="00675761">
              <w:rPr>
                <w:rFonts w:ascii="Arial" w:hAnsi="Arial" w:cs="Arial"/>
                <w:sz w:val="24"/>
                <w:szCs w:val="24"/>
              </w:rPr>
              <w:t xml:space="preserve">is whether the plaintiff has presented its case with strict compliance with the rules of court and technically correct papers.   </w:t>
            </w:r>
          </w:p>
          <w:p w:rsidR="00675761" w:rsidRDefault="00675761" w:rsidP="004A3CE4">
            <w:pPr>
              <w:spacing w:line="360" w:lineRule="auto"/>
              <w:jc w:val="both"/>
              <w:rPr>
                <w:rFonts w:ascii="Arial" w:hAnsi="Arial" w:cs="Arial"/>
                <w:sz w:val="24"/>
                <w:szCs w:val="24"/>
              </w:rPr>
            </w:pPr>
          </w:p>
          <w:p w:rsidR="004A3CE4" w:rsidRDefault="00793764" w:rsidP="004A3CE4">
            <w:pPr>
              <w:spacing w:line="360" w:lineRule="auto"/>
              <w:jc w:val="both"/>
              <w:rPr>
                <w:rFonts w:ascii="Arial" w:hAnsi="Arial" w:cs="Arial"/>
                <w:sz w:val="24"/>
                <w:szCs w:val="24"/>
                <w:lang w:val="en-US"/>
              </w:rPr>
            </w:pPr>
            <w:r>
              <w:rPr>
                <w:rFonts w:ascii="Arial" w:hAnsi="Arial" w:cs="Arial"/>
                <w:sz w:val="24"/>
                <w:szCs w:val="24"/>
              </w:rPr>
              <w:t>[</w:t>
            </w:r>
            <w:r w:rsidR="00383388">
              <w:rPr>
                <w:rFonts w:ascii="Arial" w:hAnsi="Arial" w:cs="Arial"/>
                <w:sz w:val="24"/>
                <w:szCs w:val="24"/>
              </w:rPr>
              <w:t>5</w:t>
            </w:r>
            <w:r>
              <w:rPr>
                <w:rFonts w:ascii="Arial" w:hAnsi="Arial" w:cs="Arial"/>
                <w:sz w:val="24"/>
                <w:szCs w:val="24"/>
              </w:rPr>
              <w:t xml:space="preserve">]    </w:t>
            </w:r>
            <w:r w:rsidR="00B35F33">
              <w:rPr>
                <w:rFonts w:ascii="Arial" w:hAnsi="Arial" w:cs="Arial"/>
                <w:sz w:val="24"/>
                <w:szCs w:val="24"/>
              </w:rPr>
              <w:t>Rule 60</w:t>
            </w:r>
            <w:r w:rsidR="004A3CE4">
              <w:rPr>
                <w:rFonts w:ascii="Arial" w:hAnsi="Arial" w:cs="Arial"/>
                <w:sz w:val="24"/>
                <w:szCs w:val="24"/>
                <w:lang w:val="en-US"/>
              </w:rPr>
              <w:t xml:space="preserve"> provides as follow:</w:t>
            </w:r>
          </w:p>
          <w:p w:rsidR="004A3CE4" w:rsidRPr="004A3CE4" w:rsidRDefault="008A5659" w:rsidP="00463824">
            <w:pPr>
              <w:spacing w:line="360" w:lineRule="auto"/>
              <w:jc w:val="both"/>
              <w:rPr>
                <w:rFonts w:ascii="Arial" w:hAnsi="Arial" w:cs="Arial"/>
                <w:lang w:val="en-US"/>
              </w:rPr>
            </w:pPr>
            <w:r>
              <w:rPr>
                <w:rFonts w:ascii="Arial" w:hAnsi="Arial" w:cs="Arial"/>
                <w:sz w:val="24"/>
                <w:szCs w:val="24"/>
                <w:lang w:val="en-US"/>
              </w:rPr>
              <w:t xml:space="preserve">        </w:t>
            </w:r>
            <w:r w:rsidR="004A3CE4">
              <w:rPr>
                <w:rFonts w:ascii="Arial" w:hAnsi="Arial" w:cs="Arial"/>
                <w:sz w:val="24"/>
                <w:szCs w:val="24"/>
                <w:lang w:val="en-US"/>
              </w:rPr>
              <w:t xml:space="preserve">‘(1) </w:t>
            </w:r>
            <w:r w:rsidR="004A3CE4" w:rsidRPr="004A3CE4">
              <w:rPr>
                <w:rFonts w:ascii="Arial" w:hAnsi="Arial" w:cs="Arial"/>
                <w:lang w:val="en-US"/>
              </w:rPr>
              <w:t xml:space="preserve">Where the defendant has delivered notice of intention to defend, the plaintiff may apply to court for summary judgment on each claim in the summons, together with a claim for interest and costs, so long as the claim is - </w:t>
            </w:r>
          </w:p>
          <w:p w:rsidR="004A3CE4" w:rsidRPr="004A3CE4" w:rsidRDefault="004A3CE4" w:rsidP="007245AA">
            <w:pPr>
              <w:spacing w:line="360" w:lineRule="auto"/>
              <w:ind w:left="815"/>
              <w:jc w:val="both"/>
              <w:rPr>
                <w:rFonts w:ascii="Arial" w:hAnsi="Arial" w:cs="Arial"/>
                <w:lang w:val="en-US"/>
              </w:rPr>
            </w:pPr>
            <w:r w:rsidRPr="004A3CE4">
              <w:rPr>
                <w:rFonts w:ascii="Arial" w:hAnsi="Arial" w:cs="Arial"/>
                <w:lang w:val="en-US"/>
              </w:rPr>
              <w:t xml:space="preserve">(a) on a liquid document; </w:t>
            </w:r>
          </w:p>
          <w:p w:rsidR="004A3CE4" w:rsidRPr="004A3CE4" w:rsidRDefault="004A3CE4" w:rsidP="007245AA">
            <w:pPr>
              <w:spacing w:line="360" w:lineRule="auto"/>
              <w:ind w:left="815"/>
              <w:jc w:val="both"/>
              <w:rPr>
                <w:rFonts w:ascii="Arial" w:hAnsi="Arial" w:cs="Arial"/>
                <w:lang w:val="en-US"/>
              </w:rPr>
            </w:pPr>
            <w:r w:rsidRPr="004A3CE4">
              <w:rPr>
                <w:rFonts w:ascii="Arial" w:hAnsi="Arial" w:cs="Arial"/>
                <w:lang w:val="en-US"/>
              </w:rPr>
              <w:lastRenderedPageBreak/>
              <w:t xml:space="preserve">(b) for a liquidated amount in money; </w:t>
            </w:r>
          </w:p>
          <w:p w:rsidR="004A3CE4" w:rsidRPr="004A3CE4" w:rsidRDefault="004A3CE4" w:rsidP="007245AA">
            <w:pPr>
              <w:spacing w:line="360" w:lineRule="auto"/>
              <w:ind w:left="815"/>
              <w:jc w:val="both"/>
              <w:rPr>
                <w:rFonts w:ascii="Arial" w:hAnsi="Arial" w:cs="Arial"/>
                <w:lang w:val="en-US"/>
              </w:rPr>
            </w:pPr>
            <w:r w:rsidRPr="004A3CE4">
              <w:rPr>
                <w:rFonts w:ascii="Arial" w:hAnsi="Arial" w:cs="Arial"/>
                <w:lang w:val="en-US"/>
              </w:rPr>
              <w:t xml:space="preserve">(c) for delivery of specified movable property; or </w:t>
            </w:r>
          </w:p>
          <w:p w:rsidR="004A3CE4" w:rsidRPr="004A3CE4" w:rsidRDefault="004A3CE4" w:rsidP="007245AA">
            <w:pPr>
              <w:spacing w:line="360" w:lineRule="auto"/>
              <w:ind w:left="815"/>
              <w:jc w:val="both"/>
              <w:rPr>
                <w:rFonts w:ascii="Arial" w:hAnsi="Arial" w:cs="Arial"/>
              </w:rPr>
            </w:pPr>
            <w:r w:rsidRPr="004A3CE4">
              <w:rPr>
                <w:rFonts w:ascii="Arial" w:hAnsi="Arial" w:cs="Arial"/>
                <w:lang w:val="en-US"/>
              </w:rPr>
              <w:t>(d) for ejectment.</w:t>
            </w:r>
          </w:p>
          <w:p w:rsidR="00B35F33" w:rsidRPr="00B35F33" w:rsidRDefault="00B35F33" w:rsidP="007245AA">
            <w:pPr>
              <w:spacing w:line="360" w:lineRule="auto"/>
              <w:ind w:left="815" w:hanging="815"/>
              <w:jc w:val="both"/>
              <w:rPr>
                <w:rFonts w:ascii="Arial" w:hAnsi="Arial" w:cs="Arial"/>
                <w:lang w:val="en-US"/>
              </w:rPr>
            </w:pPr>
            <w:r>
              <w:rPr>
                <w:rFonts w:ascii="Arial" w:hAnsi="Arial" w:cs="Arial"/>
                <w:sz w:val="24"/>
                <w:szCs w:val="24"/>
              </w:rPr>
              <w:t>“</w:t>
            </w:r>
            <w:r w:rsidR="004A3CE4">
              <w:rPr>
                <w:rFonts w:ascii="Arial" w:hAnsi="Arial" w:cs="Arial"/>
                <w:sz w:val="24"/>
                <w:szCs w:val="24"/>
              </w:rPr>
              <w:t>(2)</w:t>
            </w:r>
            <w:r>
              <w:rPr>
                <w:rFonts w:ascii="Arial" w:hAnsi="Arial" w:cs="Arial"/>
                <w:sz w:val="24"/>
                <w:szCs w:val="24"/>
              </w:rPr>
              <w:t xml:space="preserve"> </w:t>
            </w:r>
            <w:r w:rsidRPr="00B35F33">
              <w:rPr>
                <w:rFonts w:ascii="Arial" w:hAnsi="Arial" w:cs="Arial"/>
                <w:lang w:val="en-US"/>
              </w:rPr>
              <w:t xml:space="preserve">The plaintiff must deliver notice of the application which must be accompanied </w:t>
            </w:r>
            <w:r w:rsidRPr="00B16CB2">
              <w:rPr>
                <w:rFonts w:ascii="Arial" w:hAnsi="Arial" w:cs="Arial"/>
                <w:u w:val="single"/>
                <w:lang w:val="en-US"/>
              </w:rPr>
              <w:t>by an affidavit made by him or her or by any other person who can swear positively to the facts</w:t>
            </w:r>
            <w:r w:rsidRPr="00B35F33">
              <w:rPr>
                <w:rFonts w:ascii="Arial" w:hAnsi="Arial" w:cs="Arial"/>
                <w:lang w:val="en-US"/>
              </w:rPr>
              <w:t xml:space="preserve"> – </w:t>
            </w:r>
          </w:p>
          <w:p w:rsidR="00B35F33" w:rsidRPr="00B35F33" w:rsidRDefault="00B35F33" w:rsidP="007245AA">
            <w:pPr>
              <w:spacing w:line="360" w:lineRule="auto"/>
              <w:ind w:left="815"/>
              <w:jc w:val="both"/>
              <w:rPr>
                <w:rFonts w:ascii="Arial" w:hAnsi="Arial" w:cs="Arial"/>
                <w:lang w:val="en-US"/>
              </w:rPr>
            </w:pPr>
            <w:r w:rsidRPr="00B35F33">
              <w:rPr>
                <w:rFonts w:ascii="Arial" w:hAnsi="Arial" w:cs="Arial"/>
                <w:lang w:val="en-US"/>
              </w:rPr>
              <w:t xml:space="preserve">(a) </w:t>
            </w:r>
            <w:r w:rsidRPr="00B16CB2">
              <w:rPr>
                <w:rFonts w:ascii="Arial" w:hAnsi="Arial" w:cs="Arial"/>
                <w:u w:val="single"/>
                <w:lang w:val="en-US"/>
              </w:rPr>
              <w:t>verifying the cause of action and the amount, if any, claimed</w:t>
            </w:r>
            <w:r w:rsidRPr="00B35F33">
              <w:rPr>
                <w:rFonts w:ascii="Arial" w:hAnsi="Arial" w:cs="Arial"/>
                <w:lang w:val="en-US"/>
              </w:rPr>
              <w:t xml:space="preserve">; and </w:t>
            </w:r>
          </w:p>
          <w:p w:rsidR="00B35F33" w:rsidRPr="00B35F33" w:rsidRDefault="00B35F33" w:rsidP="007245AA">
            <w:pPr>
              <w:spacing w:line="360" w:lineRule="auto"/>
              <w:ind w:left="815"/>
              <w:jc w:val="both"/>
              <w:rPr>
                <w:rFonts w:ascii="Arial" w:hAnsi="Arial" w:cs="Arial"/>
              </w:rPr>
            </w:pPr>
            <w:r w:rsidRPr="00B35F33">
              <w:rPr>
                <w:rFonts w:ascii="Arial" w:hAnsi="Arial" w:cs="Arial"/>
                <w:lang w:val="en-US"/>
              </w:rPr>
              <w:t xml:space="preserve">(b) stating that in his or her opinion there is no </w:t>
            </w:r>
            <w:r w:rsidRPr="00B35F33">
              <w:rPr>
                <w:rFonts w:ascii="Arial" w:hAnsi="Arial" w:cs="Arial"/>
                <w:i/>
                <w:iCs/>
                <w:lang w:val="en-US"/>
              </w:rPr>
              <w:t xml:space="preserve">bona fide </w:t>
            </w:r>
            <w:r w:rsidR="00AB0DE0" w:rsidRPr="00B35F33">
              <w:rPr>
                <w:rFonts w:ascii="Arial" w:hAnsi="Arial" w:cs="Arial"/>
                <w:lang w:val="en-US"/>
              </w:rPr>
              <w:t>defense</w:t>
            </w:r>
            <w:r w:rsidRPr="00B35F33">
              <w:rPr>
                <w:rFonts w:ascii="Arial" w:hAnsi="Arial" w:cs="Arial"/>
                <w:lang w:val="en-US"/>
              </w:rPr>
              <w:t xml:space="preserve"> to the action and that notice of intention to defend has been delivered solely for the purpose of delay</w:t>
            </w:r>
            <w:r w:rsidR="00F97FD1">
              <w:rPr>
                <w:rFonts w:ascii="Arial" w:hAnsi="Arial" w:cs="Arial"/>
                <w:lang w:val="en-US"/>
              </w:rPr>
              <w:t>.</w:t>
            </w:r>
            <w:r w:rsidRPr="00B35F33">
              <w:rPr>
                <w:rFonts w:ascii="Arial" w:hAnsi="Arial" w:cs="Arial"/>
                <w:lang w:val="en-US"/>
              </w:rPr>
              <w:t>”</w:t>
            </w:r>
            <w:r w:rsidR="00675761">
              <w:rPr>
                <w:rFonts w:ascii="Arial" w:hAnsi="Arial" w:cs="Arial"/>
                <w:lang w:val="en-US"/>
              </w:rPr>
              <w:t xml:space="preserve"> [my emphasis]</w:t>
            </w:r>
          </w:p>
          <w:p w:rsidR="004B0EF8" w:rsidRPr="00B35F33" w:rsidRDefault="004B0EF8" w:rsidP="004A665E">
            <w:pPr>
              <w:spacing w:line="360" w:lineRule="auto"/>
              <w:jc w:val="both"/>
              <w:rPr>
                <w:rFonts w:ascii="Arial" w:hAnsi="Arial" w:cs="Arial"/>
              </w:rPr>
            </w:pPr>
          </w:p>
          <w:p w:rsidR="00624623" w:rsidRDefault="00A62C89" w:rsidP="00A62C89">
            <w:pPr>
              <w:spacing w:line="360" w:lineRule="auto"/>
              <w:jc w:val="both"/>
              <w:rPr>
                <w:rFonts w:ascii="Arial" w:hAnsi="Arial" w:cs="Arial"/>
                <w:sz w:val="24"/>
                <w:szCs w:val="24"/>
                <w:lang w:val="en-US"/>
              </w:rPr>
            </w:pPr>
            <w:r>
              <w:rPr>
                <w:rFonts w:ascii="Arial" w:hAnsi="Arial" w:cs="Arial"/>
                <w:sz w:val="24"/>
                <w:szCs w:val="24"/>
              </w:rPr>
              <w:t>[</w:t>
            </w:r>
            <w:r w:rsidR="00383388">
              <w:rPr>
                <w:rFonts w:ascii="Arial" w:hAnsi="Arial" w:cs="Arial"/>
                <w:sz w:val="24"/>
                <w:szCs w:val="24"/>
              </w:rPr>
              <w:t>6</w:t>
            </w:r>
            <w:r>
              <w:rPr>
                <w:rFonts w:ascii="Arial" w:hAnsi="Arial" w:cs="Arial"/>
                <w:sz w:val="24"/>
                <w:szCs w:val="24"/>
              </w:rPr>
              <w:t>]</w:t>
            </w:r>
            <w:r>
              <w:rPr>
                <w:rFonts w:ascii="Arial" w:hAnsi="Arial" w:cs="Arial"/>
                <w:sz w:val="24"/>
                <w:szCs w:val="24"/>
              </w:rPr>
              <w:tab/>
            </w:r>
            <w:r w:rsidR="0017511C">
              <w:rPr>
                <w:rFonts w:ascii="Arial" w:hAnsi="Arial" w:cs="Arial"/>
                <w:sz w:val="24"/>
                <w:szCs w:val="24"/>
              </w:rPr>
              <w:t xml:space="preserve">In </w:t>
            </w:r>
            <w:r w:rsidR="0017511C" w:rsidRPr="0023769E">
              <w:rPr>
                <w:rFonts w:ascii="Arial" w:hAnsi="Arial" w:cs="Arial"/>
                <w:i/>
                <w:sz w:val="24"/>
                <w:szCs w:val="24"/>
              </w:rPr>
              <w:t>First National Bank of Namibia Ltd v Louw</w:t>
            </w:r>
            <w:r w:rsidR="0017511C">
              <w:rPr>
                <w:rFonts w:ascii="Arial" w:hAnsi="Arial" w:cs="Arial"/>
                <w:sz w:val="24"/>
                <w:szCs w:val="24"/>
              </w:rPr>
              <w:t xml:space="preserve"> (I 1467 – 2014 [2015] NAHCM</w:t>
            </w:r>
            <w:r w:rsidR="00624623">
              <w:rPr>
                <w:rFonts w:ascii="Arial" w:hAnsi="Arial" w:cs="Arial"/>
                <w:sz w:val="24"/>
                <w:szCs w:val="24"/>
              </w:rPr>
              <w:t xml:space="preserve">AD 139 (12 June 2015) the court, referring to </w:t>
            </w:r>
            <w:r w:rsidR="00624623" w:rsidRPr="00675761">
              <w:rPr>
                <w:rFonts w:ascii="Arial" w:hAnsi="Arial" w:cs="Arial"/>
                <w:i/>
                <w:sz w:val="24"/>
                <w:szCs w:val="24"/>
                <w:lang w:val="en-US"/>
              </w:rPr>
              <w:t>Visser v De La Ray 1980 (3) SA 147</w:t>
            </w:r>
            <w:r w:rsidR="00624623">
              <w:rPr>
                <w:rFonts w:ascii="Arial" w:hAnsi="Arial" w:cs="Arial"/>
                <w:sz w:val="24"/>
                <w:szCs w:val="24"/>
                <w:lang w:val="en-US"/>
              </w:rPr>
              <w:t xml:space="preserve"> stated as follow:</w:t>
            </w:r>
          </w:p>
          <w:p w:rsidR="00F97FD1" w:rsidRDefault="00624623" w:rsidP="00A62C89">
            <w:pPr>
              <w:spacing w:line="360" w:lineRule="auto"/>
              <w:jc w:val="both"/>
              <w:rPr>
                <w:rFonts w:ascii="Arial" w:hAnsi="Arial" w:cs="Arial"/>
                <w:sz w:val="24"/>
                <w:szCs w:val="24"/>
                <w:lang w:val="en-US"/>
              </w:rPr>
            </w:pPr>
            <w:r>
              <w:rPr>
                <w:rFonts w:ascii="Arial" w:hAnsi="Arial" w:cs="Arial"/>
                <w:sz w:val="24"/>
                <w:szCs w:val="24"/>
                <w:lang w:val="en-US"/>
              </w:rPr>
              <w:t xml:space="preserve">  </w:t>
            </w:r>
            <w:r w:rsidR="00AB0DE0">
              <w:rPr>
                <w:rFonts w:ascii="Arial" w:hAnsi="Arial" w:cs="Arial"/>
                <w:sz w:val="24"/>
                <w:szCs w:val="24"/>
                <w:lang w:val="en-US"/>
              </w:rPr>
              <w:t xml:space="preserve">   </w:t>
            </w:r>
          </w:p>
          <w:p w:rsidR="00624623" w:rsidRDefault="00F97FD1" w:rsidP="00A62C89">
            <w:pPr>
              <w:spacing w:line="360" w:lineRule="auto"/>
              <w:jc w:val="both"/>
              <w:rPr>
                <w:rFonts w:ascii="Arial" w:hAnsi="Arial" w:cs="Arial"/>
                <w:sz w:val="24"/>
                <w:szCs w:val="24"/>
              </w:rPr>
            </w:pPr>
            <w:r>
              <w:rPr>
                <w:rFonts w:ascii="Arial" w:hAnsi="Arial" w:cs="Arial"/>
                <w:sz w:val="24"/>
                <w:szCs w:val="24"/>
                <w:lang w:val="en-US"/>
              </w:rPr>
              <w:t xml:space="preserve">      </w:t>
            </w:r>
            <w:r w:rsidR="00AB0DE0">
              <w:rPr>
                <w:rFonts w:ascii="Arial" w:hAnsi="Arial" w:cs="Arial"/>
                <w:sz w:val="24"/>
                <w:szCs w:val="24"/>
                <w:lang w:val="en-US"/>
              </w:rPr>
              <w:t xml:space="preserve"> </w:t>
            </w:r>
            <w:r w:rsidR="00624623">
              <w:rPr>
                <w:rFonts w:ascii="Arial" w:hAnsi="Arial" w:cs="Arial"/>
                <w:sz w:val="24"/>
                <w:szCs w:val="24"/>
                <w:lang w:val="en-US"/>
              </w:rPr>
              <w:t>‘</w:t>
            </w:r>
            <w:r w:rsidR="00624623" w:rsidRPr="00AB0DE0">
              <w:rPr>
                <w:rFonts w:ascii="Arial" w:eastAsia="Calibri" w:hAnsi="Arial" w:cs="Arial"/>
                <w:lang w:val="en-US"/>
              </w:rPr>
              <w:t>In determining summary judgment, the court is restricted to the manner in which the plaintiff has presented its case. In this regard, the court must insist on a strict compliance by the plaintiff and technically incorrect papers should see the application being refused</w:t>
            </w:r>
            <w:r w:rsidR="00624623" w:rsidRPr="00AB0DE0">
              <w:rPr>
                <w:rFonts w:ascii="Arial" w:eastAsia="Calibri" w:hAnsi="Arial" w:cs="Arial"/>
                <w:vertAlign w:val="superscript"/>
                <w:lang w:val="en-US"/>
              </w:rPr>
              <w:t>’</w:t>
            </w:r>
            <w:r w:rsidR="00624623" w:rsidRPr="00624623">
              <w:rPr>
                <w:rFonts w:ascii="Arial" w:eastAsia="Calibri" w:hAnsi="Arial" w:cs="Arial"/>
                <w:sz w:val="24"/>
                <w:szCs w:val="24"/>
                <w:lang w:val="en-US"/>
              </w:rPr>
              <w:t>.</w:t>
            </w:r>
          </w:p>
          <w:p w:rsidR="00AB0DE0" w:rsidRDefault="00AB0DE0" w:rsidP="00A62C89">
            <w:pPr>
              <w:spacing w:line="360" w:lineRule="auto"/>
              <w:jc w:val="both"/>
              <w:rPr>
                <w:rFonts w:ascii="Arial" w:hAnsi="Arial" w:cs="Arial"/>
                <w:sz w:val="24"/>
                <w:szCs w:val="24"/>
              </w:rPr>
            </w:pPr>
          </w:p>
          <w:p w:rsidR="00ED0169" w:rsidRDefault="00624623" w:rsidP="005D643C">
            <w:pPr>
              <w:spacing w:line="360" w:lineRule="auto"/>
              <w:jc w:val="both"/>
              <w:rPr>
                <w:rFonts w:ascii="Arial" w:hAnsi="Arial" w:cs="Arial"/>
                <w:sz w:val="24"/>
                <w:szCs w:val="24"/>
              </w:rPr>
            </w:pPr>
            <w:r>
              <w:rPr>
                <w:rFonts w:ascii="Arial" w:hAnsi="Arial" w:cs="Arial"/>
                <w:sz w:val="24"/>
                <w:szCs w:val="24"/>
              </w:rPr>
              <w:t>[</w:t>
            </w:r>
            <w:r w:rsidR="00383388">
              <w:rPr>
                <w:rFonts w:ascii="Arial" w:hAnsi="Arial" w:cs="Arial"/>
                <w:sz w:val="24"/>
                <w:szCs w:val="24"/>
              </w:rPr>
              <w:t>7</w:t>
            </w:r>
            <w:r>
              <w:rPr>
                <w:rFonts w:ascii="Arial" w:hAnsi="Arial" w:cs="Arial"/>
                <w:sz w:val="24"/>
                <w:szCs w:val="24"/>
              </w:rPr>
              <w:t xml:space="preserve">]    </w:t>
            </w:r>
            <w:r w:rsidR="00B16CB2">
              <w:rPr>
                <w:rFonts w:ascii="Arial" w:hAnsi="Arial" w:cs="Arial"/>
                <w:sz w:val="24"/>
                <w:szCs w:val="24"/>
              </w:rPr>
              <w:t xml:space="preserve">The </w:t>
            </w:r>
            <w:r w:rsidR="000908FC">
              <w:rPr>
                <w:rFonts w:ascii="Arial" w:hAnsi="Arial" w:cs="Arial"/>
                <w:sz w:val="24"/>
                <w:szCs w:val="24"/>
              </w:rPr>
              <w:t>founding affidavit is deposed by the plaintiff’s Acting Manager of Legal Services</w:t>
            </w:r>
            <w:r w:rsidR="00ED0169">
              <w:rPr>
                <w:rFonts w:ascii="Arial" w:hAnsi="Arial" w:cs="Arial"/>
                <w:sz w:val="24"/>
                <w:szCs w:val="24"/>
              </w:rPr>
              <w:t>, Ms Kalumbu</w:t>
            </w:r>
            <w:r w:rsidR="000908FC">
              <w:rPr>
                <w:rFonts w:ascii="Arial" w:hAnsi="Arial" w:cs="Arial"/>
                <w:sz w:val="24"/>
                <w:szCs w:val="24"/>
              </w:rPr>
              <w:t xml:space="preserve">. She states that she is able </w:t>
            </w:r>
            <w:r w:rsidR="00B36C9E">
              <w:rPr>
                <w:rFonts w:ascii="Arial" w:hAnsi="Arial" w:cs="Arial"/>
                <w:sz w:val="24"/>
                <w:szCs w:val="24"/>
              </w:rPr>
              <w:t>t</w:t>
            </w:r>
            <w:r w:rsidR="000908FC">
              <w:rPr>
                <w:rFonts w:ascii="Arial" w:hAnsi="Arial" w:cs="Arial"/>
                <w:sz w:val="24"/>
                <w:szCs w:val="24"/>
              </w:rPr>
              <w:t xml:space="preserve">o swear positively to the facts verifying the cause of action. She annexed the </w:t>
            </w:r>
            <w:r w:rsidR="00ED0169">
              <w:rPr>
                <w:rFonts w:ascii="Arial" w:hAnsi="Arial" w:cs="Arial"/>
                <w:sz w:val="24"/>
                <w:szCs w:val="24"/>
              </w:rPr>
              <w:t>following documents to the founding affidavit:</w:t>
            </w:r>
          </w:p>
          <w:p w:rsidR="00ED0169" w:rsidRDefault="00ED0169" w:rsidP="00ED0169">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The </w:t>
            </w:r>
            <w:r w:rsidR="008518EB">
              <w:rPr>
                <w:rFonts w:ascii="Arial" w:hAnsi="Arial" w:cs="Arial"/>
                <w:sz w:val="24"/>
                <w:szCs w:val="24"/>
              </w:rPr>
              <w:t>Standard Loan A</w:t>
            </w:r>
            <w:r w:rsidR="000908FC" w:rsidRPr="00ED0169">
              <w:rPr>
                <w:rFonts w:ascii="Arial" w:hAnsi="Arial" w:cs="Arial"/>
                <w:sz w:val="24"/>
                <w:szCs w:val="24"/>
              </w:rPr>
              <w:t xml:space="preserve">greement </w:t>
            </w:r>
          </w:p>
          <w:p w:rsidR="00ED0169" w:rsidRPr="00ED0169" w:rsidRDefault="00ED0169" w:rsidP="00ED0169">
            <w:pPr>
              <w:pStyle w:val="ListParagraph"/>
              <w:numPr>
                <w:ilvl w:val="0"/>
                <w:numId w:val="11"/>
              </w:numPr>
              <w:spacing w:line="360" w:lineRule="auto"/>
              <w:jc w:val="both"/>
              <w:rPr>
                <w:rFonts w:ascii="Arial" w:hAnsi="Arial" w:cs="Arial"/>
                <w:sz w:val="24"/>
                <w:szCs w:val="24"/>
              </w:rPr>
            </w:pPr>
            <w:r w:rsidRPr="00ED0169">
              <w:rPr>
                <w:rFonts w:ascii="Arial" w:hAnsi="Arial" w:cs="Arial"/>
                <w:sz w:val="24"/>
                <w:szCs w:val="24"/>
              </w:rPr>
              <w:t>A written letter of demand addressed</w:t>
            </w:r>
            <w:r>
              <w:rPr>
                <w:rFonts w:ascii="Arial" w:hAnsi="Arial" w:cs="Arial"/>
                <w:sz w:val="24"/>
                <w:szCs w:val="24"/>
              </w:rPr>
              <w:t xml:space="preserve"> to the 1</w:t>
            </w:r>
            <w:r w:rsidRPr="00ED0169">
              <w:rPr>
                <w:rFonts w:ascii="Arial" w:hAnsi="Arial" w:cs="Arial"/>
                <w:sz w:val="24"/>
                <w:szCs w:val="24"/>
                <w:vertAlign w:val="superscript"/>
              </w:rPr>
              <w:t>st</w:t>
            </w:r>
            <w:r>
              <w:rPr>
                <w:rFonts w:ascii="Arial" w:hAnsi="Arial" w:cs="Arial"/>
                <w:sz w:val="24"/>
                <w:szCs w:val="24"/>
              </w:rPr>
              <w:t xml:space="preserve"> </w:t>
            </w:r>
            <w:r w:rsidRPr="00ED0169">
              <w:rPr>
                <w:rFonts w:ascii="Arial" w:hAnsi="Arial" w:cs="Arial"/>
                <w:sz w:val="24"/>
                <w:szCs w:val="24"/>
              </w:rPr>
              <w:t>Respondent.</w:t>
            </w:r>
          </w:p>
          <w:p w:rsidR="00ED0169" w:rsidRDefault="00ED0169" w:rsidP="00ED0169">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Deed of </w:t>
            </w:r>
            <w:r w:rsidR="00F27019">
              <w:rPr>
                <w:rFonts w:ascii="Arial" w:hAnsi="Arial" w:cs="Arial"/>
                <w:sz w:val="24"/>
                <w:szCs w:val="24"/>
              </w:rPr>
              <w:t>Suretyship</w:t>
            </w:r>
            <w:r>
              <w:rPr>
                <w:rFonts w:ascii="Arial" w:hAnsi="Arial" w:cs="Arial"/>
                <w:sz w:val="24"/>
                <w:szCs w:val="24"/>
              </w:rPr>
              <w:t>;</w:t>
            </w:r>
          </w:p>
          <w:p w:rsidR="00ED0169" w:rsidRDefault="00ED0169" w:rsidP="00ED0169">
            <w:pPr>
              <w:pStyle w:val="ListParagraph"/>
              <w:numPr>
                <w:ilvl w:val="0"/>
                <w:numId w:val="11"/>
              </w:numPr>
              <w:spacing w:line="360" w:lineRule="auto"/>
              <w:jc w:val="both"/>
              <w:rPr>
                <w:rFonts w:ascii="Arial" w:hAnsi="Arial" w:cs="Arial"/>
                <w:sz w:val="24"/>
                <w:szCs w:val="24"/>
              </w:rPr>
            </w:pPr>
            <w:r>
              <w:rPr>
                <w:rFonts w:ascii="Arial" w:hAnsi="Arial" w:cs="Arial"/>
                <w:sz w:val="24"/>
                <w:szCs w:val="24"/>
              </w:rPr>
              <w:t>A written letter of demand to 2</w:t>
            </w:r>
            <w:r w:rsidRPr="00ED0169">
              <w:rPr>
                <w:rFonts w:ascii="Arial" w:hAnsi="Arial" w:cs="Arial"/>
                <w:sz w:val="24"/>
                <w:szCs w:val="24"/>
                <w:vertAlign w:val="superscript"/>
              </w:rPr>
              <w:t>nd</w:t>
            </w:r>
            <w:r>
              <w:rPr>
                <w:rFonts w:ascii="Arial" w:hAnsi="Arial" w:cs="Arial"/>
                <w:sz w:val="24"/>
                <w:szCs w:val="24"/>
              </w:rPr>
              <w:t xml:space="preserve"> Respondent;</w:t>
            </w:r>
          </w:p>
          <w:p w:rsidR="00ED0169" w:rsidRDefault="00ED0169" w:rsidP="00ED0169">
            <w:pPr>
              <w:pStyle w:val="ListParagraph"/>
              <w:numPr>
                <w:ilvl w:val="0"/>
                <w:numId w:val="11"/>
              </w:numPr>
              <w:spacing w:line="360" w:lineRule="auto"/>
              <w:jc w:val="both"/>
              <w:rPr>
                <w:rFonts w:ascii="Arial" w:hAnsi="Arial" w:cs="Arial"/>
                <w:sz w:val="24"/>
                <w:szCs w:val="24"/>
              </w:rPr>
            </w:pPr>
            <w:r>
              <w:rPr>
                <w:rFonts w:ascii="Arial" w:hAnsi="Arial" w:cs="Arial"/>
                <w:sz w:val="24"/>
                <w:szCs w:val="24"/>
              </w:rPr>
              <w:t>A Surety Mortgage bond;</w:t>
            </w:r>
          </w:p>
          <w:p w:rsidR="00ED0169" w:rsidRDefault="00ED0169" w:rsidP="00ED0169">
            <w:pPr>
              <w:pStyle w:val="ListParagraph"/>
              <w:numPr>
                <w:ilvl w:val="0"/>
                <w:numId w:val="11"/>
              </w:numPr>
              <w:spacing w:line="360" w:lineRule="auto"/>
              <w:jc w:val="both"/>
              <w:rPr>
                <w:rFonts w:ascii="Arial" w:hAnsi="Arial" w:cs="Arial"/>
                <w:sz w:val="24"/>
                <w:szCs w:val="24"/>
              </w:rPr>
            </w:pPr>
            <w:r>
              <w:rPr>
                <w:rFonts w:ascii="Arial" w:hAnsi="Arial" w:cs="Arial"/>
                <w:sz w:val="24"/>
                <w:szCs w:val="24"/>
              </w:rPr>
              <w:t>A pledge and cession agreement;</w:t>
            </w:r>
          </w:p>
          <w:p w:rsidR="00ED0169" w:rsidRDefault="00ED0169" w:rsidP="00ED0169">
            <w:pPr>
              <w:pStyle w:val="ListParagraph"/>
              <w:numPr>
                <w:ilvl w:val="0"/>
                <w:numId w:val="11"/>
              </w:numPr>
              <w:spacing w:line="360" w:lineRule="auto"/>
              <w:jc w:val="both"/>
              <w:rPr>
                <w:rFonts w:ascii="Arial" w:hAnsi="Arial" w:cs="Arial"/>
                <w:sz w:val="24"/>
                <w:szCs w:val="24"/>
              </w:rPr>
            </w:pPr>
            <w:r>
              <w:rPr>
                <w:rFonts w:ascii="Arial" w:hAnsi="Arial" w:cs="Arial"/>
                <w:sz w:val="24"/>
                <w:szCs w:val="24"/>
              </w:rPr>
              <w:t>A certificate of balance</w:t>
            </w:r>
          </w:p>
          <w:p w:rsidR="00ED0169" w:rsidRDefault="00ED0169" w:rsidP="00ED0169">
            <w:pPr>
              <w:spacing w:line="360" w:lineRule="auto"/>
              <w:jc w:val="both"/>
              <w:rPr>
                <w:rFonts w:ascii="Arial" w:hAnsi="Arial" w:cs="Arial"/>
                <w:sz w:val="24"/>
                <w:szCs w:val="24"/>
              </w:rPr>
            </w:pPr>
          </w:p>
          <w:p w:rsidR="008518EB" w:rsidRDefault="008518EB" w:rsidP="00ED0169">
            <w:pPr>
              <w:spacing w:line="360" w:lineRule="auto"/>
              <w:jc w:val="both"/>
              <w:rPr>
                <w:rFonts w:ascii="Arial" w:hAnsi="Arial" w:cs="Arial"/>
                <w:sz w:val="24"/>
                <w:szCs w:val="24"/>
              </w:rPr>
            </w:pPr>
            <w:r>
              <w:rPr>
                <w:rFonts w:ascii="Arial" w:hAnsi="Arial" w:cs="Arial"/>
                <w:sz w:val="24"/>
                <w:szCs w:val="24"/>
              </w:rPr>
              <w:t>[</w:t>
            </w:r>
            <w:r w:rsidR="00383388">
              <w:rPr>
                <w:rFonts w:ascii="Arial" w:hAnsi="Arial" w:cs="Arial"/>
                <w:sz w:val="24"/>
                <w:szCs w:val="24"/>
              </w:rPr>
              <w:t>8</w:t>
            </w:r>
            <w:r>
              <w:rPr>
                <w:rFonts w:ascii="Arial" w:hAnsi="Arial" w:cs="Arial"/>
                <w:sz w:val="24"/>
                <w:szCs w:val="24"/>
              </w:rPr>
              <w:t xml:space="preserve">]   </w:t>
            </w:r>
            <w:r w:rsidR="00F97FD1">
              <w:rPr>
                <w:rFonts w:ascii="Arial" w:hAnsi="Arial" w:cs="Arial"/>
                <w:sz w:val="24"/>
                <w:szCs w:val="24"/>
              </w:rPr>
              <w:t xml:space="preserve">  </w:t>
            </w:r>
            <w:r>
              <w:rPr>
                <w:rFonts w:ascii="Arial" w:hAnsi="Arial" w:cs="Arial"/>
                <w:sz w:val="24"/>
                <w:szCs w:val="24"/>
              </w:rPr>
              <w:t xml:space="preserve">Paragraph 4.7 of the Standard Loan Agreement stipulates that in the event that interest or capital or any part thereof at any time becomes </w:t>
            </w:r>
            <w:r w:rsidR="00F27019">
              <w:rPr>
                <w:rFonts w:ascii="Arial" w:hAnsi="Arial" w:cs="Arial"/>
                <w:sz w:val="24"/>
                <w:szCs w:val="24"/>
              </w:rPr>
              <w:t xml:space="preserve">due </w:t>
            </w:r>
            <w:r>
              <w:rPr>
                <w:rFonts w:ascii="Arial" w:hAnsi="Arial" w:cs="Arial"/>
                <w:sz w:val="24"/>
                <w:szCs w:val="24"/>
              </w:rPr>
              <w:t xml:space="preserve">immediately, a certificate by the Chief Executive Officer or any Manager of plaintiff showing the actual amount of capital and interest then outstanding in terms of the agreement, shall be conclusive evidence against the borrower of the amount of his indebtedness to the plaintiff. </w:t>
            </w:r>
          </w:p>
          <w:p w:rsidR="008518EB" w:rsidRDefault="008518EB" w:rsidP="00ED0169">
            <w:pPr>
              <w:spacing w:line="360" w:lineRule="auto"/>
              <w:jc w:val="both"/>
              <w:rPr>
                <w:rFonts w:ascii="Arial" w:hAnsi="Arial" w:cs="Arial"/>
                <w:sz w:val="24"/>
                <w:szCs w:val="24"/>
              </w:rPr>
            </w:pPr>
          </w:p>
          <w:p w:rsidR="0023769E" w:rsidRDefault="008518EB" w:rsidP="00ED0169">
            <w:pPr>
              <w:spacing w:line="360" w:lineRule="auto"/>
              <w:jc w:val="both"/>
              <w:rPr>
                <w:rFonts w:ascii="Arial" w:hAnsi="Arial" w:cs="Arial"/>
                <w:sz w:val="24"/>
                <w:szCs w:val="24"/>
              </w:rPr>
            </w:pPr>
            <w:r>
              <w:rPr>
                <w:rFonts w:ascii="Arial" w:hAnsi="Arial" w:cs="Arial"/>
                <w:sz w:val="24"/>
                <w:szCs w:val="24"/>
              </w:rPr>
              <w:lastRenderedPageBreak/>
              <w:t>[</w:t>
            </w:r>
            <w:r w:rsidR="00383388">
              <w:rPr>
                <w:rFonts w:ascii="Arial" w:hAnsi="Arial" w:cs="Arial"/>
                <w:sz w:val="24"/>
                <w:szCs w:val="24"/>
              </w:rPr>
              <w:t>9</w:t>
            </w:r>
            <w:r>
              <w:rPr>
                <w:rFonts w:ascii="Arial" w:hAnsi="Arial" w:cs="Arial"/>
                <w:sz w:val="24"/>
                <w:szCs w:val="24"/>
              </w:rPr>
              <w:t>]    The certificate of balance in this instance reflect</w:t>
            </w:r>
            <w:r w:rsidR="00B0422F">
              <w:rPr>
                <w:rFonts w:ascii="Arial" w:hAnsi="Arial" w:cs="Arial"/>
                <w:sz w:val="24"/>
                <w:szCs w:val="24"/>
              </w:rPr>
              <w:t>s</w:t>
            </w:r>
            <w:r>
              <w:rPr>
                <w:rFonts w:ascii="Arial" w:hAnsi="Arial" w:cs="Arial"/>
                <w:sz w:val="24"/>
                <w:szCs w:val="24"/>
              </w:rPr>
              <w:t xml:space="preserve"> that it was compiled by the Chief Financial Officer of the Plaintiff but the signature appended thereto is </w:t>
            </w:r>
            <w:r w:rsidR="00F27019">
              <w:rPr>
                <w:rFonts w:ascii="Arial" w:hAnsi="Arial" w:cs="Arial"/>
                <w:sz w:val="24"/>
                <w:szCs w:val="24"/>
              </w:rPr>
              <w:t xml:space="preserve">that </w:t>
            </w:r>
            <w:r>
              <w:rPr>
                <w:rFonts w:ascii="Arial" w:hAnsi="Arial" w:cs="Arial"/>
                <w:sz w:val="24"/>
                <w:szCs w:val="24"/>
              </w:rPr>
              <w:t>of someone who signed on his behalf. The identity and position</w:t>
            </w:r>
            <w:r w:rsidR="00F27019">
              <w:rPr>
                <w:rFonts w:ascii="Arial" w:hAnsi="Arial" w:cs="Arial"/>
                <w:sz w:val="24"/>
                <w:szCs w:val="24"/>
              </w:rPr>
              <w:t xml:space="preserve"> th</w:t>
            </w:r>
            <w:r w:rsidR="00675761">
              <w:rPr>
                <w:rFonts w:ascii="Arial" w:hAnsi="Arial" w:cs="Arial"/>
                <w:sz w:val="24"/>
                <w:szCs w:val="24"/>
              </w:rPr>
              <w:t xml:space="preserve">is </w:t>
            </w:r>
            <w:r w:rsidR="00F27019">
              <w:rPr>
                <w:rFonts w:ascii="Arial" w:hAnsi="Arial" w:cs="Arial"/>
                <w:sz w:val="24"/>
                <w:szCs w:val="24"/>
              </w:rPr>
              <w:t xml:space="preserve">person within the structures of plaintiff, </w:t>
            </w:r>
            <w:r>
              <w:rPr>
                <w:rFonts w:ascii="Arial" w:hAnsi="Arial" w:cs="Arial"/>
                <w:sz w:val="24"/>
                <w:szCs w:val="24"/>
              </w:rPr>
              <w:t>is not known. This certificate therefore does not comply with the provisions of th</w:t>
            </w:r>
            <w:r w:rsidR="0023769E">
              <w:rPr>
                <w:rFonts w:ascii="Arial" w:hAnsi="Arial" w:cs="Arial"/>
                <w:sz w:val="24"/>
                <w:szCs w:val="24"/>
              </w:rPr>
              <w:t>e agreement between the parties</w:t>
            </w:r>
            <w:r w:rsidR="00F27019">
              <w:rPr>
                <w:rFonts w:ascii="Arial" w:hAnsi="Arial" w:cs="Arial"/>
                <w:sz w:val="24"/>
                <w:szCs w:val="24"/>
              </w:rPr>
              <w:t>. There i</w:t>
            </w:r>
            <w:r w:rsidR="0023769E">
              <w:rPr>
                <w:rFonts w:ascii="Arial" w:hAnsi="Arial" w:cs="Arial"/>
                <w:sz w:val="24"/>
                <w:szCs w:val="24"/>
              </w:rPr>
              <w:t xml:space="preserve">s thus no conclusive evidence of the outstanding amount in terms of the agreement. </w:t>
            </w:r>
          </w:p>
          <w:p w:rsidR="002B14B7" w:rsidRDefault="002B14B7" w:rsidP="00ED0169">
            <w:pPr>
              <w:spacing w:line="360" w:lineRule="auto"/>
              <w:jc w:val="both"/>
              <w:rPr>
                <w:rFonts w:ascii="Arial" w:hAnsi="Arial" w:cs="Arial"/>
                <w:sz w:val="24"/>
                <w:szCs w:val="24"/>
              </w:rPr>
            </w:pPr>
          </w:p>
          <w:p w:rsidR="00AB0DE0" w:rsidRPr="00ED0169" w:rsidRDefault="0023769E" w:rsidP="00ED0169">
            <w:pPr>
              <w:spacing w:line="360" w:lineRule="auto"/>
              <w:jc w:val="both"/>
              <w:rPr>
                <w:rFonts w:ascii="Arial" w:hAnsi="Arial" w:cs="Arial"/>
                <w:sz w:val="24"/>
                <w:szCs w:val="24"/>
              </w:rPr>
            </w:pPr>
            <w:r>
              <w:rPr>
                <w:rFonts w:ascii="Arial" w:hAnsi="Arial" w:cs="Arial"/>
                <w:sz w:val="24"/>
                <w:szCs w:val="24"/>
              </w:rPr>
              <w:t>[1</w:t>
            </w:r>
            <w:r w:rsidR="00383388">
              <w:rPr>
                <w:rFonts w:ascii="Arial" w:hAnsi="Arial" w:cs="Arial"/>
                <w:sz w:val="24"/>
                <w:szCs w:val="24"/>
              </w:rPr>
              <w:t>0</w:t>
            </w:r>
            <w:r>
              <w:rPr>
                <w:rFonts w:ascii="Arial" w:hAnsi="Arial" w:cs="Arial"/>
                <w:sz w:val="24"/>
                <w:szCs w:val="24"/>
              </w:rPr>
              <w:t xml:space="preserve">]   The applicant </w:t>
            </w:r>
            <w:r w:rsidR="0020483C">
              <w:rPr>
                <w:rFonts w:ascii="Arial" w:hAnsi="Arial" w:cs="Arial"/>
                <w:sz w:val="24"/>
                <w:szCs w:val="24"/>
              </w:rPr>
              <w:t>must ensure that a technically correct application is brought in order to succeed with its application for Summa</w:t>
            </w:r>
            <w:r w:rsidR="002B14B7">
              <w:rPr>
                <w:rFonts w:ascii="Arial" w:hAnsi="Arial" w:cs="Arial"/>
                <w:sz w:val="24"/>
                <w:szCs w:val="24"/>
              </w:rPr>
              <w:t>ry Judgment. There has not been compliance with Rule 60 as the deponent to the affidavit filed in support of the application for Summary Judgment could not and did not verify the amount outstanding.  In the premises the application for Summary Judgment cannot succeed.</w:t>
            </w:r>
          </w:p>
          <w:p w:rsidR="00AB0DE0" w:rsidRDefault="00AB0DE0" w:rsidP="005D643C">
            <w:pPr>
              <w:spacing w:line="360" w:lineRule="auto"/>
              <w:jc w:val="both"/>
              <w:rPr>
                <w:rFonts w:ascii="Arial" w:hAnsi="Arial" w:cs="Arial"/>
                <w:sz w:val="24"/>
                <w:szCs w:val="24"/>
              </w:rPr>
            </w:pPr>
          </w:p>
          <w:p w:rsidR="00575DC3" w:rsidRDefault="00AB0DE0" w:rsidP="00F27019">
            <w:pPr>
              <w:spacing w:line="360" w:lineRule="auto"/>
              <w:jc w:val="both"/>
              <w:rPr>
                <w:rFonts w:ascii="Arial" w:hAnsi="Arial" w:cs="Arial"/>
                <w:sz w:val="24"/>
                <w:szCs w:val="24"/>
              </w:rPr>
            </w:pPr>
            <w:r>
              <w:rPr>
                <w:rFonts w:ascii="Arial" w:hAnsi="Arial" w:cs="Arial"/>
                <w:sz w:val="24"/>
                <w:szCs w:val="24"/>
              </w:rPr>
              <w:t>[1</w:t>
            </w:r>
            <w:r w:rsidR="00383388">
              <w:rPr>
                <w:rFonts w:ascii="Arial" w:hAnsi="Arial" w:cs="Arial"/>
                <w:sz w:val="24"/>
                <w:szCs w:val="24"/>
              </w:rPr>
              <w:t>1</w:t>
            </w:r>
            <w:r>
              <w:rPr>
                <w:rFonts w:ascii="Arial" w:hAnsi="Arial" w:cs="Arial"/>
                <w:sz w:val="24"/>
                <w:szCs w:val="24"/>
              </w:rPr>
              <w:t xml:space="preserve">]    </w:t>
            </w:r>
            <w:r w:rsidR="00F27019">
              <w:rPr>
                <w:rFonts w:ascii="Arial" w:hAnsi="Arial" w:cs="Arial"/>
                <w:sz w:val="24"/>
                <w:szCs w:val="24"/>
              </w:rPr>
              <w:t>The cost herein follow the result and there is no reason for this court to award cost beyond the scale provided for in terms of Rule 32 (11)</w:t>
            </w:r>
            <w:r w:rsidR="00F97FD1">
              <w:rPr>
                <w:rFonts w:ascii="Arial" w:hAnsi="Arial" w:cs="Arial"/>
                <w:sz w:val="24"/>
                <w:szCs w:val="24"/>
              </w:rPr>
              <w:t>.</w:t>
            </w:r>
          </w:p>
          <w:p w:rsidR="006800D2" w:rsidRDefault="006800D2" w:rsidP="005D643C">
            <w:pPr>
              <w:spacing w:line="360" w:lineRule="auto"/>
              <w:jc w:val="both"/>
              <w:rPr>
                <w:rFonts w:ascii="Arial" w:hAnsi="Arial" w:cs="Arial"/>
                <w:sz w:val="24"/>
                <w:szCs w:val="24"/>
              </w:rPr>
            </w:pPr>
          </w:p>
          <w:p w:rsidR="00A62C89" w:rsidRDefault="00383388" w:rsidP="00A62C89">
            <w:pPr>
              <w:spacing w:line="360" w:lineRule="auto"/>
              <w:jc w:val="both"/>
              <w:rPr>
                <w:rFonts w:ascii="Arial" w:hAnsi="Arial" w:cs="Arial"/>
                <w:sz w:val="24"/>
                <w:szCs w:val="24"/>
              </w:rPr>
            </w:pPr>
            <w:r>
              <w:rPr>
                <w:rFonts w:ascii="Arial" w:hAnsi="Arial" w:cs="Arial"/>
                <w:sz w:val="24"/>
                <w:szCs w:val="24"/>
              </w:rPr>
              <w:t xml:space="preserve">[12]      </w:t>
            </w:r>
            <w:r w:rsidR="00A62C89">
              <w:rPr>
                <w:rFonts w:ascii="Arial" w:hAnsi="Arial" w:cs="Arial"/>
                <w:sz w:val="24"/>
                <w:szCs w:val="24"/>
              </w:rPr>
              <w:t>In the result the following order is made:</w:t>
            </w:r>
          </w:p>
          <w:p w:rsidR="00F27019" w:rsidRPr="00F27019" w:rsidRDefault="00D75F6B" w:rsidP="00D75F6B">
            <w:pPr>
              <w:pStyle w:val="ListParagraph"/>
              <w:numPr>
                <w:ilvl w:val="0"/>
                <w:numId w:val="9"/>
              </w:numPr>
              <w:spacing w:line="360" w:lineRule="auto"/>
              <w:jc w:val="both"/>
              <w:rPr>
                <w:rFonts w:ascii="Arial Narrow" w:hAnsi="Arial Narrow" w:cs="Arial"/>
                <w:sz w:val="24"/>
                <w:szCs w:val="24"/>
              </w:rPr>
            </w:pPr>
            <w:r w:rsidRPr="00D75F6B">
              <w:rPr>
                <w:rFonts w:ascii="Arial" w:hAnsi="Arial" w:cs="Arial"/>
              </w:rPr>
              <w:t xml:space="preserve">The </w:t>
            </w:r>
            <w:r w:rsidR="00F27019">
              <w:rPr>
                <w:rFonts w:ascii="Arial" w:hAnsi="Arial" w:cs="Arial"/>
              </w:rPr>
              <w:t>application for Summary Judgment is dismissed with costs;</w:t>
            </w:r>
          </w:p>
          <w:p w:rsidR="00F27019" w:rsidRPr="00F27019" w:rsidRDefault="00F27019" w:rsidP="00D75F6B">
            <w:pPr>
              <w:pStyle w:val="ListParagraph"/>
              <w:numPr>
                <w:ilvl w:val="0"/>
                <w:numId w:val="9"/>
              </w:numPr>
              <w:spacing w:line="360" w:lineRule="auto"/>
              <w:jc w:val="both"/>
              <w:rPr>
                <w:rFonts w:ascii="Arial Narrow" w:hAnsi="Arial Narrow" w:cs="Arial"/>
                <w:sz w:val="24"/>
                <w:szCs w:val="24"/>
              </w:rPr>
            </w:pPr>
            <w:r>
              <w:rPr>
                <w:rFonts w:ascii="Arial" w:hAnsi="Arial" w:cs="Arial"/>
              </w:rPr>
              <w:t>The cost is limited in terms of the provisions of Rule 32(11);</w:t>
            </w:r>
            <w:bookmarkStart w:id="0" w:name="_GoBack"/>
            <w:bookmarkEnd w:id="0"/>
          </w:p>
          <w:p w:rsidR="00F27019" w:rsidRDefault="00F27019" w:rsidP="00F27019">
            <w:pPr>
              <w:pStyle w:val="ListParagraph"/>
              <w:numPr>
                <w:ilvl w:val="0"/>
                <w:numId w:val="9"/>
              </w:numPr>
              <w:spacing w:line="360" w:lineRule="auto"/>
              <w:jc w:val="both"/>
              <w:rPr>
                <w:rFonts w:ascii="Arial Narrow" w:hAnsi="Arial Narrow" w:cs="Arial"/>
                <w:sz w:val="24"/>
                <w:szCs w:val="24"/>
              </w:rPr>
            </w:pPr>
            <w:r>
              <w:rPr>
                <w:rFonts w:ascii="Arial" w:hAnsi="Arial" w:cs="Arial"/>
              </w:rPr>
              <w:t>The parties must file their case plan on or before 16 October 2020</w:t>
            </w:r>
            <w:r w:rsidR="003D77C4">
              <w:rPr>
                <w:rFonts w:ascii="Arial" w:hAnsi="Arial" w:cs="Arial"/>
              </w:rPr>
              <w:t>;</w:t>
            </w:r>
          </w:p>
          <w:p w:rsidR="00F27019" w:rsidRPr="00F27019" w:rsidRDefault="00F27019" w:rsidP="00D75F6B">
            <w:pPr>
              <w:pStyle w:val="ListParagraph"/>
              <w:numPr>
                <w:ilvl w:val="0"/>
                <w:numId w:val="9"/>
              </w:numPr>
              <w:spacing w:line="360" w:lineRule="auto"/>
              <w:jc w:val="both"/>
              <w:rPr>
                <w:rFonts w:ascii="Arial Narrow" w:hAnsi="Arial Narrow" w:cs="Arial"/>
                <w:sz w:val="24"/>
                <w:szCs w:val="24"/>
              </w:rPr>
            </w:pPr>
            <w:r>
              <w:rPr>
                <w:rFonts w:ascii="Arial" w:hAnsi="Arial" w:cs="Arial"/>
              </w:rPr>
              <w:t xml:space="preserve">The case is postponed to 21 October 2020 for case planning </w:t>
            </w:r>
            <w:r w:rsidR="003D77C4">
              <w:rPr>
                <w:rFonts w:ascii="Arial" w:hAnsi="Arial" w:cs="Arial"/>
              </w:rPr>
              <w:t>conference.</w:t>
            </w:r>
            <w:r>
              <w:rPr>
                <w:rFonts w:ascii="Arial" w:hAnsi="Arial" w:cs="Arial"/>
              </w:rPr>
              <w:t xml:space="preserve"> </w:t>
            </w:r>
          </w:p>
          <w:p w:rsidR="00226AF8" w:rsidRPr="008E1E24" w:rsidRDefault="00A62C89" w:rsidP="00F27019">
            <w:pPr>
              <w:spacing w:line="360" w:lineRule="auto"/>
              <w:jc w:val="both"/>
              <w:rPr>
                <w:rFonts w:ascii="Arial Narrow" w:hAnsi="Arial Narrow" w:cs="Arial"/>
                <w:sz w:val="24"/>
                <w:szCs w:val="24"/>
              </w:rPr>
            </w:pPr>
            <w:r>
              <w:rPr>
                <w:rFonts w:ascii="Arial" w:hAnsi="Arial" w:cs="Arial"/>
                <w:sz w:val="24"/>
                <w:szCs w:val="24"/>
              </w:rPr>
              <w:tab/>
            </w:r>
            <w:r w:rsidR="0057469F" w:rsidRPr="008E1E24">
              <w:rPr>
                <w:rFonts w:ascii="Arial Narrow" w:hAnsi="Arial Narrow" w:cs="Arial"/>
                <w:sz w:val="24"/>
                <w:szCs w:val="24"/>
              </w:rPr>
              <w:t xml:space="preserve">  </w:t>
            </w:r>
          </w:p>
        </w:tc>
      </w:tr>
      <w:tr w:rsidR="00D26CB5" w:rsidRPr="008E1E24" w:rsidTr="0092129C">
        <w:tc>
          <w:tcPr>
            <w:tcW w:w="4770" w:type="dxa"/>
          </w:tcPr>
          <w:p w:rsidR="00D26CB5" w:rsidRPr="008E1E24" w:rsidRDefault="003875C3" w:rsidP="003875C3">
            <w:pPr>
              <w:spacing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Note to the parties:</w:t>
            </w:r>
          </w:p>
        </w:tc>
      </w:tr>
      <w:tr w:rsidR="00D26CB5" w:rsidRPr="008E1E24" w:rsidTr="0092129C">
        <w:trPr>
          <w:trHeight w:val="1114"/>
        </w:trPr>
        <w:tc>
          <w:tcPr>
            <w:tcW w:w="4770" w:type="dxa"/>
          </w:tcPr>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p w:rsidR="00D26CB5" w:rsidRPr="008E1E24" w:rsidRDefault="00D26CB5" w:rsidP="0092129C">
            <w:pPr>
              <w:spacing w:line="360" w:lineRule="auto"/>
              <w:jc w:val="both"/>
              <w:rPr>
                <w:rFonts w:ascii="Arial Narrow" w:hAnsi="Arial Narrow" w:cs="Arial"/>
                <w:sz w:val="24"/>
                <w:szCs w:val="24"/>
              </w:rPr>
            </w:pPr>
          </w:p>
        </w:tc>
        <w:tc>
          <w:tcPr>
            <w:tcW w:w="4950" w:type="dxa"/>
            <w:gridSpan w:val="2"/>
          </w:tcPr>
          <w:p w:rsidR="00D26CB5" w:rsidRPr="008E1E24" w:rsidRDefault="00D26CB5" w:rsidP="0092129C">
            <w:pPr>
              <w:spacing w:line="360" w:lineRule="auto"/>
              <w:jc w:val="both"/>
              <w:rPr>
                <w:rFonts w:ascii="Arial Narrow" w:hAnsi="Arial Narrow" w:cs="Arial"/>
                <w:sz w:val="24"/>
                <w:szCs w:val="24"/>
              </w:rPr>
            </w:pPr>
            <w:r w:rsidRPr="008E1E24">
              <w:rPr>
                <w:rFonts w:ascii="Arial Narrow" w:hAnsi="Arial Narrow" w:cs="Arial"/>
                <w:sz w:val="24"/>
                <w:szCs w:val="24"/>
              </w:rPr>
              <w:t>Not applicable.</w:t>
            </w:r>
          </w:p>
        </w:tc>
      </w:tr>
      <w:tr w:rsidR="00D26CB5" w:rsidRPr="008E1E24" w:rsidTr="0092129C">
        <w:tc>
          <w:tcPr>
            <w:tcW w:w="9720" w:type="dxa"/>
            <w:gridSpan w:val="3"/>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Counsel:</w:t>
            </w:r>
          </w:p>
        </w:tc>
      </w:tr>
      <w:tr w:rsidR="00D26CB5" w:rsidRPr="008E1E24" w:rsidTr="0092129C">
        <w:tc>
          <w:tcPr>
            <w:tcW w:w="4770" w:type="dxa"/>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Applicant</w:t>
            </w:r>
          </w:p>
        </w:tc>
        <w:tc>
          <w:tcPr>
            <w:tcW w:w="4950" w:type="dxa"/>
            <w:gridSpan w:val="2"/>
          </w:tcPr>
          <w:p w:rsidR="00D26CB5" w:rsidRPr="008E1E24" w:rsidRDefault="00D26CB5" w:rsidP="0092129C">
            <w:pPr>
              <w:spacing w:line="360" w:lineRule="auto"/>
              <w:jc w:val="center"/>
              <w:rPr>
                <w:rFonts w:ascii="Arial Narrow" w:hAnsi="Arial Narrow" w:cs="Arial"/>
                <w:b/>
                <w:sz w:val="24"/>
                <w:szCs w:val="24"/>
              </w:rPr>
            </w:pPr>
            <w:r w:rsidRPr="008E1E24">
              <w:rPr>
                <w:rFonts w:ascii="Arial Narrow" w:hAnsi="Arial Narrow" w:cs="Arial"/>
                <w:b/>
                <w:sz w:val="24"/>
                <w:szCs w:val="24"/>
              </w:rPr>
              <w:t>Respondent</w:t>
            </w:r>
          </w:p>
        </w:tc>
      </w:tr>
      <w:tr w:rsidR="00D26CB5" w:rsidRPr="008E1E24" w:rsidTr="0092129C">
        <w:tc>
          <w:tcPr>
            <w:tcW w:w="4770" w:type="dxa"/>
          </w:tcPr>
          <w:p w:rsidR="003A140B" w:rsidRDefault="003A140B" w:rsidP="008E1E24">
            <w:pPr>
              <w:spacing w:line="360" w:lineRule="auto"/>
              <w:jc w:val="center"/>
              <w:rPr>
                <w:rFonts w:ascii="Arial Narrow" w:hAnsi="Arial Narrow" w:cs="Arial"/>
                <w:sz w:val="24"/>
                <w:szCs w:val="24"/>
              </w:rPr>
            </w:pPr>
          </w:p>
          <w:p w:rsidR="006003C6" w:rsidRPr="00523193" w:rsidRDefault="005E2DE3" w:rsidP="008E1E24">
            <w:pPr>
              <w:spacing w:line="360" w:lineRule="auto"/>
              <w:jc w:val="center"/>
              <w:rPr>
                <w:rFonts w:ascii="Arial" w:hAnsi="Arial" w:cs="Arial"/>
                <w:sz w:val="24"/>
                <w:szCs w:val="24"/>
              </w:rPr>
            </w:pPr>
            <w:r w:rsidRPr="00523193">
              <w:rPr>
                <w:rFonts w:ascii="Arial" w:hAnsi="Arial" w:cs="Arial"/>
                <w:sz w:val="24"/>
                <w:szCs w:val="24"/>
              </w:rPr>
              <w:t>Mr. Charles Visser</w:t>
            </w:r>
          </w:p>
          <w:p w:rsidR="003A140B" w:rsidRPr="00523193" w:rsidRDefault="003A140B" w:rsidP="008E1E24">
            <w:pPr>
              <w:spacing w:line="360" w:lineRule="auto"/>
              <w:jc w:val="center"/>
              <w:rPr>
                <w:rFonts w:ascii="Arial" w:hAnsi="Arial" w:cs="Arial"/>
                <w:sz w:val="24"/>
                <w:szCs w:val="24"/>
              </w:rPr>
            </w:pPr>
            <w:r w:rsidRPr="00523193">
              <w:rPr>
                <w:rFonts w:ascii="Arial" w:hAnsi="Arial" w:cs="Arial"/>
                <w:sz w:val="24"/>
                <w:szCs w:val="24"/>
              </w:rPr>
              <w:t>Of</w:t>
            </w:r>
          </w:p>
          <w:p w:rsidR="003A140B" w:rsidRPr="00523193" w:rsidRDefault="003A140B" w:rsidP="008E1E24">
            <w:pPr>
              <w:spacing w:line="360" w:lineRule="auto"/>
              <w:jc w:val="center"/>
              <w:rPr>
                <w:rFonts w:ascii="Arial" w:hAnsi="Arial" w:cs="Arial"/>
                <w:sz w:val="24"/>
                <w:szCs w:val="24"/>
              </w:rPr>
            </w:pPr>
            <w:r w:rsidRPr="00523193">
              <w:rPr>
                <w:rFonts w:ascii="Arial" w:hAnsi="Arial" w:cs="Arial"/>
                <w:sz w:val="24"/>
                <w:szCs w:val="24"/>
              </w:rPr>
              <w:t>LorentsAngula Inc.</w:t>
            </w:r>
          </w:p>
          <w:p w:rsidR="00F97FD1" w:rsidRPr="008E1E24" w:rsidRDefault="00F97FD1" w:rsidP="008E1E24">
            <w:pPr>
              <w:spacing w:line="360" w:lineRule="auto"/>
              <w:jc w:val="center"/>
              <w:rPr>
                <w:rFonts w:ascii="Arial Narrow" w:hAnsi="Arial Narrow" w:cs="Arial"/>
                <w:sz w:val="24"/>
                <w:szCs w:val="24"/>
              </w:rPr>
            </w:pPr>
            <w:r w:rsidRPr="00523193">
              <w:rPr>
                <w:rFonts w:ascii="Arial" w:hAnsi="Arial" w:cs="Arial"/>
                <w:sz w:val="24"/>
                <w:szCs w:val="24"/>
              </w:rPr>
              <w:t>Windhoek</w:t>
            </w:r>
          </w:p>
        </w:tc>
        <w:tc>
          <w:tcPr>
            <w:tcW w:w="4950" w:type="dxa"/>
            <w:gridSpan w:val="2"/>
          </w:tcPr>
          <w:p w:rsidR="00D67EBE" w:rsidRDefault="00D67EBE" w:rsidP="008E1E24">
            <w:pPr>
              <w:spacing w:line="360" w:lineRule="auto"/>
              <w:jc w:val="center"/>
              <w:rPr>
                <w:rFonts w:ascii="Arial Narrow" w:hAnsi="Arial Narrow" w:cs="Arial"/>
                <w:sz w:val="24"/>
                <w:szCs w:val="24"/>
              </w:rPr>
            </w:pPr>
          </w:p>
          <w:p w:rsidR="003A140B" w:rsidRPr="00523193" w:rsidRDefault="003A140B" w:rsidP="008E1E24">
            <w:pPr>
              <w:spacing w:line="360" w:lineRule="auto"/>
              <w:jc w:val="center"/>
              <w:rPr>
                <w:rFonts w:ascii="Arial" w:hAnsi="Arial" w:cs="Arial"/>
                <w:sz w:val="24"/>
                <w:szCs w:val="24"/>
              </w:rPr>
            </w:pPr>
            <w:r w:rsidRPr="00523193">
              <w:rPr>
                <w:rFonts w:ascii="Arial" w:hAnsi="Arial" w:cs="Arial"/>
                <w:sz w:val="24"/>
                <w:szCs w:val="24"/>
              </w:rPr>
              <w:t>Mr. Barend Van Der Merwe (JNR)</w:t>
            </w:r>
          </w:p>
          <w:p w:rsidR="003A140B" w:rsidRPr="00523193" w:rsidRDefault="003A140B" w:rsidP="008E1E24">
            <w:pPr>
              <w:spacing w:line="360" w:lineRule="auto"/>
              <w:jc w:val="center"/>
              <w:rPr>
                <w:rFonts w:ascii="Arial" w:hAnsi="Arial" w:cs="Arial"/>
                <w:sz w:val="24"/>
                <w:szCs w:val="24"/>
              </w:rPr>
            </w:pPr>
            <w:r w:rsidRPr="00523193">
              <w:rPr>
                <w:rFonts w:ascii="Arial" w:hAnsi="Arial" w:cs="Arial"/>
                <w:sz w:val="24"/>
                <w:szCs w:val="24"/>
              </w:rPr>
              <w:t>Of</w:t>
            </w:r>
          </w:p>
          <w:p w:rsidR="003A140B" w:rsidRPr="00523193" w:rsidRDefault="003A140B" w:rsidP="008E1E24">
            <w:pPr>
              <w:spacing w:line="360" w:lineRule="auto"/>
              <w:jc w:val="center"/>
              <w:rPr>
                <w:rFonts w:ascii="Arial" w:hAnsi="Arial" w:cs="Arial"/>
                <w:sz w:val="24"/>
                <w:szCs w:val="24"/>
              </w:rPr>
            </w:pPr>
            <w:r w:rsidRPr="00523193">
              <w:rPr>
                <w:rFonts w:ascii="Arial" w:hAnsi="Arial" w:cs="Arial"/>
                <w:sz w:val="24"/>
                <w:szCs w:val="24"/>
              </w:rPr>
              <w:t>Van Der Merwe-Greeff Andima Inc.</w:t>
            </w:r>
          </w:p>
          <w:p w:rsidR="00F97FD1" w:rsidRPr="008E1E24" w:rsidRDefault="00F97FD1" w:rsidP="008E1E24">
            <w:pPr>
              <w:spacing w:line="360" w:lineRule="auto"/>
              <w:jc w:val="center"/>
              <w:rPr>
                <w:rFonts w:ascii="Arial Narrow" w:hAnsi="Arial Narrow" w:cs="Arial"/>
                <w:sz w:val="24"/>
                <w:szCs w:val="24"/>
              </w:rPr>
            </w:pPr>
            <w:r w:rsidRPr="00523193">
              <w:rPr>
                <w:rFonts w:ascii="Arial" w:hAnsi="Arial" w:cs="Arial"/>
                <w:sz w:val="24"/>
                <w:szCs w:val="24"/>
              </w:rPr>
              <w:t>Windhoek</w:t>
            </w:r>
          </w:p>
        </w:tc>
      </w:tr>
    </w:tbl>
    <w:p w:rsidR="00012995" w:rsidRPr="008E1E24" w:rsidRDefault="00012995">
      <w:pPr>
        <w:rPr>
          <w:rFonts w:ascii="Arial Narrow" w:hAnsi="Arial Narrow"/>
          <w:sz w:val="24"/>
          <w:szCs w:val="24"/>
        </w:rPr>
      </w:pPr>
    </w:p>
    <w:sectPr w:rsidR="00012995" w:rsidRPr="008E1E24" w:rsidSect="00F97FD1">
      <w:headerReference w:type="default" r:id="rId9"/>
      <w:footerReference w:type="default" r:id="rId10"/>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FC" w:rsidRDefault="00385AFC" w:rsidP="00D01890">
      <w:pPr>
        <w:spacing w:after="0" w:line="240" w:lineRule="auto"/>
      </w:pPr>
      <w:r>
        <w:separator/>
      </w:r>
    </w:p>
  </w:endnote>
  <w:endnote w:type="continuationSeparator" w:id="0">
    <w:p w:rsidR="00385AFC" w:rsidRDefault="00385AFC"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FC" w:rsidRDefault="00385AFC" w:rsidP="00D01890">
      <w:pPr>
        <w:spacing w:after="0" w:line="240" w:lineRule="auto"/>
      </w:pPr>
      <w:r>
        <w:separator/>
      </w:r>
    </w:p>
  </w:footnote>
  <w:footnote w:type="continuationSeparator" w:id="0">
    <w:p w:rsidR="00385AFC" w:rsidRDefault="00385AFC"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103396"/>
      <w:docPartObj>
        <w:docPartGallery w:val="Page Numbers (Top of Page)"/>
        <w:docPartUnique/>
      </w:docPartObj>
    </w:sdtPr>
    <w:sdtEndPr>
      <w:rPr>
        <w:noProof/>
      </w:rPr>
    </w:sdtEndPr>
    <w:sdtContent>
      <w:p w:rsidR="005E2DE3" w:rsidRDefault="005E2DE3">
        <w:pPr>
          <w:pStyle w:val="Header"/>
          <w:jc w:val="right"/>
        </w:pPr>
        <w:r>
          <w:fldChar w:fldCharType="begin"/>
        </w:r>
        <w:r>
          <w:instrText xml:space="preserve"> PAGE   \* MERGEFORMAT </w:instrText>
        </w:r>
        <w:r>
          <w:fldChar w:fldCharType="separate"/>
        </w:r>
        <w:r w:rsidR="00523193">
          <w:rPr>
            <w:noProof/>
          </w:rPr>
          <w:t>4</w:t>
        </w:r>
        <w:r>
          <w:rPr>
            <w:noProof/>
          </w:rPr>
          <w:fldChar w:fldCharType="end"/>
        </w:r>
      </w:p>
    </w:sdtContent>
  </w:sdt>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0A5"/>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EB36A8"/>
    <w:multiLevelType w:val="hybridMultilevel"/>
    <w:tmpl w:val="16B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317DE"/>
    <w:multiLevelType w:val="hybridMultilevel"/>
    <w:tmpl w:val="B28E821A"/>
    <w:lvl w:ilvl="0" w:tplc="F86E4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B1526"/>
    <w:multiLevelType w:val="hybridMultilevel"/>
    <w:tmpl w:val="E86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3512E"/>
    <w:multiLevelType w:val="hybridMultilevel"/>
    <w:tmpl w:val="71541D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CD55A49"/>
    <w:multiLevelType w:val="hybridMultilevel"/>
    <w:tmpl w:val="17BC084C"/>
    <w:lvl w:ilvl="0" w:tplc="A1C237A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
  </w:num>
  <w:num w:numId="5">
    <w:abstractNumId w:val="1"/>
  </w:num>
  <w:num w:numId="6">
    <w:abstractNumId w:val="4"/>
  </w:num>
  <w:num w:numId="7">
    <w:abstractNumId w:val="5"/>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7C4F"/>
    <w:rsid w:val="00010FE7"/>
    <w:rsid w:val="00012995"/>
    <w:rsid w:val="00013EC0"/>
    <w:rsid w:val="000155A5"/>
    <w:rsid w:val="0002555E"/>
    <w:rsid w:val="000309E0"/>
    <w:rsid w:val="00046EFC"/>
    <w:rsid w:val="00055FA9"/>
    <w:rsid w:val="00057DE9"/>
    <w:rsid w:val="00070929"/>
    <w:rsid w:val="00075956"/>
    <w:rsid w:val="00084E58"/>
    <w:rsid w:val="000908FC"/>
    <w:rsid w:val="000A29F1"/>
    <w:rsid w:val="000A684E"/>
    <w:rsid w:val="000A6CDD"/>
    <w:rsid w:val="000B31F0"/>
    <w:rsid w:val="000D2DE9"/>
    <w:rsid w:val="000D3044"/>
    <w:rsid w:val="000D70A9"/>
    <w:rsid w:val="000D7380"/>
    <w:rsid w:val="000E043D"/>
    <w:rsid w:val="000E6395"/>
    <w:rsid w:val="000F3A0D"/>
    <w:rsid w:val="001007FF"/>
    <w:rsid w:val="001068B9"/>
    <w:rsid w:val="001108CF"/>
    <w:rsid w:val="00142BD3"/>
    <w:rsid w:val="00145ADA"/>
    <w:rsid w:val="00165A20"/>
    <w:rsid w:val="0017511C"/>
    <w:rsid w:val="0017517E"/>
    <w:rsid w:val="001773C4"/>
    <w:rsid w:val="00180154"/>
    <w:rsid w:val="001B15C5"/>
    <w:rsid w:val="001B7111"/>
    <w:rsid w:val="001E4FF0"/>
    <w:rsid w:val="002044D7"/>
    <w:rsid w:val="0020483C"/>
    <w:rsid w:val="00214E94"/>
    <w:rsid w:val="00226AF8"/>
    <w:rsid w:val="00227A33"/>
    <w:rsid w:val="00232673"/>
    <w:rsid w:val="00233466"/>
    <w:rsid w:val="0023769E"/>
    <w:rsid w:val="00240526"/>
    <w:rsid w:val="002510D0"/>
    <w:rsid w:val="002557A7"/>
    <w:rsid w:val="00267D07"/>
    <w:rsid w:val="0027100A"/>
    <w:rsid w:val="00273C50"/>
    <w:rsid w:val="002779F2"/>
    <w:rsid w:val="00277FD7"/>
    <w:rsid w:val="00280ADC"/>
    <w:rsid w:val="00285E54"/>
    <w:rsid w:val="00294FF2"/>
    <w:rsid w:val="002A3123"/>
    <w:rsid w:val="002B14B7"/>
    <w:rsid w:val="002B3223"/>
    <w:rsid w:val="002B7A85"/>
    <w:rsid w:val="002C3B08"/>
    <w:rsid w:val="002C4E37"/>
    <w:rsid w:val="002D78B1"/>
    <w:rsid w:val="00304CD2"/>
    <w:rsid w:val="00312048"/>
    <w:rsid w:val="00313CD0"/>
    <w:rsid w:val="00321AA9"/>
    <w:rsid w:val="00344481"/>
    <w:rsid w:val="00347D01"/>
    <w:rsid w:val="00352B3F"/>
    <w:rsid w:val="00370DBB"/>
    <w:rsid w:val="00371056"/>
    <w:rsid w:val="00383388"/>
    <w:rsid w:val="00385AFC"/>
    <w:rsid w:val="003875C3"/>
    <w:rsid w:val="00390E41"/>
    <w:rsid w:val="003A140B"/>
    <w:rsid w:val="003A5397"/>
    <w:rsid w:val="003C2051"/>
    <w:rsid w:val="003D77C4"/>
    <w:rsid w:val="003D7A98"/>
    <w:rsid w:val="003E0400"/>
    <w:rsid w:val="003E0C1F"/>
    <w:rsid w:val="003E1468"/>
    <w:rsid w:val="003E5C60"/>
    <w:rsid w:val="003E72CC"/>
    <w:rsid w:val="003F40BD"/>
    <w:rsid w:val="003F526F"/>
    <w:rsid w:val="0040115B"/>
    <w:rsid w:val="00404EDF"/>
    <w:rsid w:val="0041481F"/>
    <w:rsid w:val="00416D97"/>
    <w:rsid w:val="00422236"/>
    <w:rsid w:val="004262E2"/>
    <w:rsid w:val="00427466"/>
    <w:rsid w:val="0043000E"/>
    <w:rsid w:val="00443598"/>
    <w:rsid w:val="00447408"/>
    <w:rsid w:val="004502D1"/>
    <w:rsid w:val="00463102"/>
    <w:rsid w:val="00463824"/>
    <w:rsid w:val="00471607"/>
    <w:rsid w:val="0047342A"/>
    <w:rsid w:val="0047532C"/>
    <w:rsid w:val="004879DF"/>
    <w:rsid w:val="0049404B"/>
    <w:rsid w:val="004A3CE4"/>
    <w:rsid w:val="004A665E"/>
    <w:rsid w:val="004B0EF8"/>
    <w:rsid w:val="004C0404"/>
    <w:rsid w:val="004C36FF"/>
    <w:rsid w:val="004D1A1E"/>
    <w:rsid w:val="004D7E1C"/>
    <w:rsid w:val="004E3863"/>
    <w:rsid w:val="004E557F"/>
    <w:rsid w:val="004E7F24"/>
    <w:rsid w:val="004F2D2F"/>
    <w:rsid w:val="00523193"/>
    <w:rsid w:val="00543F56"/>
    <w:rsid w:val="0055737E"/>
    <w:rsid w:val="0056075D"/>
    <w:rsid w:val="00566A0E"/>
    <w:rsid w:val="005732F3"/>
    <w:rsid w:val="0057469F"/>
    <w:rsid w:val="00575A43"/>
    <w:rsid w:val="00575DC3"/>
    <w:rsid w:val="00576699"/>
    <w:rsid w:val="0057707B"/>
    <w:rsid w:val="00590640"/>
    <w:rsid w:val="005932AF"/>
    <w:rsid w:val="005946B3"/>
    <w:rsid w:val="00596D76"/>
    <w:rsid w:val="005A25A5"/>
    <w:rsid w:val="005D1985"/>
    <w:rsid w:val="005D643C"/>
    <w:rsid w:val="005D6F2A"/>
    <w:rsid w:val="005D7122"/>
    <w:rsid w:val="005E2DE3"/>
    <w:rsid w:val="005E5886"/>
    <w:rsid w:val="005F365C"/>
    <w:rsid w:val="00600394"/>
    <w:rsid w:val="006003C6"/>
    <w:rsid w:val="00605F02"/>
    <w:rsid w:val="00606780"/>
    <w:rsid w:val="006179E6"/>
    <w:rsid w:val="006202C8"/>
    <w:rsid w:val="00624623"/>
    <w:rsid w:val="00641114"/>
    <w:rsid w:val="006449FD"/>
    <w:rsid w:val="0064775D"/>
    <w:rsid w:val="006508F8"/>
    <w:rsid w:val="00651FBF"/>
    <w:rsid w:val="0065216D"/>
    <w:rsid w:val="006573AA"/>
    <w:rsid w:val="00675761"/>
    <w:rsid w:val="006800D2"/>
    <w:rsid w:val="00691B65"/>
    <w:rsid w:val="006A4EF2"/>
    <w:rsid w:val="006A782A"/>
    <w:rsid w:val="006C16F7"/>
    <w:rsid w:val="006C2F1D"/>
    <w:rsid w:val="006C6427"/>
    <w:rsid w:val="006D0903"/>
    <w:rsid w:val="006D0EF4"/>
    <w:rsid w:val="006D5B5A"/>
    <w:rsid w:val="006F1344"/>
    <w:rsid w:val="006F3863"/>
    <w:rsid w:val="00706660"/>
    <w:rsid w:val="007245AA"/>
    <w:rsid w:val="007327B9"/>
    <w:rsid w:val="00752ACC"/>
    <w:rsid w:val="00775A21"/>
    <w:rsid w:val="007777C3"/>
    <w:rsid w:val="00790373"/>
    <w:rsid w:val="00793764"/>
    <w:rsid w:val="007A6F9E"/>
    <w:rsid w:val="007A7C33"/>
    <w:rsid w:val="007B6B17"/>
    <w:rsid w:val="007C5F79"/>
    <w:rsid w:val="007C6151"/>
    <w:rsid w:val="007D58A0"/>
    <w:rsid w:val="008278F9"/>
    <w:rsid w:val="00834111"/>
    <w:rsid w:val="00835939"/>
    <w:rsid w:val="00845463"/>
    <w:rsid w:val="008518EB"/>
    <w:rsid w:val="0086662D"/>
    <w:rsid w:val="008714DD"/>
    <w:rsid w:val="00871FE0"/>
    <w:rsid w:val="00883A84"/>
    <w:rsid w:val="0089129E"/>
    <w:rsid w:val="0089511B"/>
    <w:rsid w:val="008A417A"/>
    <w:rsid w:val="008A4A52"/>
    <w:rsid w:val="008A5659"/>
    <w:rsid w:val="008B478D"/>
    <w:rsid w:val="008D0F38"/>
    <w:rsid w:val="008D563B"/>
    <w:rsid w:val="008E1E24"/>
    <w:rsid w:val="008F2B9B"/>
    <w:rsid w:val="009114FF"/>
    <w:rsid w:val="00911F3C"/>
    <w:rsid w:val="00913A93"/>
    <w:rsid w:val="00917569"/>
    <w:rsid w:val="0092129C"/>
    <w:rsid w:val="00921834"/>
    <w:rsid w:val="00924891"/>
    <w:rsid w:val="009253D3"/>
    <w:rsid w:val="0093109A"/>
    <w:rsid w:val="00940818"/>
    <w:rsid w:val="00944A7A"/>
    <w:rsid w:val="00944D2F"/>
    <w:rsid w:val="009615E3"/>
    <w:rsid w:val="00964066"/>
    <w:rsid w:val="00966ED5"/>
    <w:rsid w:val="00966FC8"/>
    <w:rsid w:val="009709AB"/>
    <w:rsid w:val="0098303D"/>
    <w:rsid w:val="00985685"/>
    <w:rsid w:val="00992E76"/>
    <w:rsid w:val="009B10A0"/>
    <w:rsid w:val="009B657F"/>
    <w:rsid w:val="009C3892"/>
    <w:rsid w:val="009C5803"/>
    <w:rsid w:val="009C7405"/>
    <w:rsid w:val="009D34D8"/>
    <w:rsid w:val="009D499A"/>
    <w:rsid w:val="009E1C5A"/>
    <w:rsid w:val="009E4890"/>
    <w:rsid w:val="009F78A6"/>
    <w:rsid w:val="00A00DF2"/>
    <w:rsid w:val="00A10933"/>
    <w:rsid w:val="00A11382"/>
    <w:rsid w:val="00A13765"/>
    <w:rsid w:val="00A22F11"/>
    <w:rsid w:val="00A27864"/>
    <w:rsid w:val="00A32333"/>
    <w:rsid w:val="00A41D49"/>
    <w:rsid w:val="00A5051A"/>
    <w:rsid w:val="00A62C89"/>
    <w:rsid w:val="00A63B44"/>
    <w:rsid w:val="00A64DBC"/>
    <w:rsid w:val="00A663D0"/>
    <w:rsid w:val="00A70BA9"/>
    <w:rsid w:val="00A71F7B"/>
    <w:rsid w:val="00A873AE"/>
    <w:rsid w:val="00A87A20"/>
    <w:rsid w:val="00A9701C"/>
    <w:rsid w:val="00AB0DE0"/>
    <w:rsid w:val="00AB2C0C"/>
    <w:rsid w:val="00AC3CFB"/>
    <w:rsid w:val="00AD33D9"/>
    <w:rsid w:val="00AD6118"/>
    <w:rsid w:val="00AE5621"/>
    <w:rsid w:val="00B0422F"/>
    <w:rsid w:val="00B04C63"/>
    <w:rsid w:val="00B122D7"/>
    <w:rsid w:val="00B16CB2"/>
    <w:rsid w:val="00B35F33"/>
    <w:rsid w:val="00B362E7"/>
    <w:rsid w:val="00B36C9E"/>
    <w:rsid w:val="00B50265"/>
    <w:rsid w:val="00B52D39"/>
    <w:rsid w:val="00B64C45"/>
    <w:rsid w:val="00B7506D"/>
    <w:rsid w:val="00B76EB9"/>
    <w:rsid w:val="00B94B61"/>
    <w:rsid w:val="00BA32A0"/>
    <w:rsid w:val="00BA33A1"/>
    <w:rsid w:val="00BA57B1"/>
    <w:rsid w:val="00BB19DE"/>
    <w:rsid w:val="00BB206A"/>
    <w:rsid w:val="00BB4ACA"/>
    <w:rsid w:val="00BC2915"/>
    <w:rsid w:val="00BD2D08"/>
    <w:rsid w:val="00BD4A1A"/>
    <w:rsid w:val="00BE23FC"/>
    <w:rsid w:val="00BF3339"/>
    <w:rsid w:val="00BF3A70"/>
    <w:rsid w:val="00BF5422"/>
    <w:rsid w:val="00C0102F"/>
    <w:rsid w:val="00C0170E"/>
    <w:rsid w:val="00C03A12"/>
    <w:rsid w:val="00C14459"/>
    <w:rsid w:val="00C17CA0"/>
    <w:rsid w:val="00C23DA7"/>
    <w:rsid w:val="00C346DC"/>
    <w:rsid w:val="00C63A2E"/>
    <w:rsid w:val="00C675C2"/>
    <w:rsid w:val="00C73AE2"/>
    <w:rsid w:val="00C95A42"/>
    <w:rsid w:val="00CB1E13"/>
    <w:rsid w:val="00CD0989"/>
    <w:rsid w:val="00CD7742"/>
    <w:rsid w:val="00CE1797"/>
    <w:rsid w:val="00CE30E4"/>
    <w:rsid w:val="00CE48FA"/>
    <w:rsid w:val="00CF4819"/>
    <w:rsid w:val="00CF6596"/>
    <w:rsid w:val="00D010A9"/>
    <w:rsid w:val="00D01890"/>
    <w:rsid w:val="00D044EC"/>
    <w:rsid w:val="00D25575"/>
    <w:rsid w:val="00D25E04"/>
    <w:rsid w:val="00D26CB5"/>
    <w:rsid w:val="00D33AAF"/>
    <w:rsid w:val="00D4210B"/>
    <w:rsid w:val="00D506E0"/>
    <w:rsid w:val="00D61E20"/>
    <w:rsid w:val="00D67EBE"/>
    <w:rsid w:val="00D75F6B"/>
    <w:rsid w:val="00D83684"/>
    <w:rsid w:val="00DA58A6"/>
    <w:rsid w:val="00DC03E6"/>
    <w:rsid w:val="00DD05DC"/>
    <w:rsid w:val="00DD2E38"/>
    <w:rsid w:val="00DD7C9A"/>
    <w:rsid w:val="00E0138B"/>
    <w:rsid w:val="00E05FFE"/>
    <w:rsid w:val="00E30CB9"/>
    <w:rsid w:val="00E469C9"/>
    <w:rsid w:val="00E51B4A"/>
    <w:rsid w:val="00E60457"/>
    <w:rsid w:val="00E611DA"/>
    <w:rsid w:val="00E7485A"/>
    <w:rsid w:val="00E757E9"/>
    <w:rsid w:val="00E80D91"/>
    <w:rsid w:val="00E85252"/>
    <w:rsid w:val="00E85763"/>
    <w:rsid w:val="00E87AB8"/>
    <w:rsid w:val="00EA35A4"/>
    <w:rsid w:val="00EB45C7"/>
    <w:rsid w:val="00EB5767"/>
    <w:rsid w:val="00EC065F"/>
    <w:rsid w:val="00ED0169"/>
    <w:rsid w:val="00ED2142"/>
    <w:rsid w:val="00EE498C"/>
    <w:rsid w:val="00EE5019"/>
    <w:rsid w:val="00EF50AC"/>
    <w:rsid w:val="00F27019"/>
    <w:rsid w:val="00F44023"/>
    <w:rsid w:val="00F46595"/>
    <w:rsid w:val="00F51FE0"/>
    <w:rsid w:val="00F520A5"/>
    <w:rsid w:val="00F55380"/>
    <w:rsid w:val="00F56E9F"/>
    <w:rsid w:val="00F77E7C"/>
    <w:rsid w:val="00F95F03"/>
    <w:rsid w:val="00F97FD1"/>
    <w:rsid w:val="00FA7352"/>
    <w:rsid w:val="00FC49E4"/>
    <w:rsid w:val="00FD29D0"/>
    <w:rsid w:val="00FD4687"/>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69D1-9738-4DD2-97D7-6EA13DB1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semiHidden/>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semiHidden/>
    <w:unhideWhenUsed/>
    <w:rsid w:val="00BB4ACA"/>
    <w:pPr>
      <w:spacing w:after="120"/>
    </w:pPr>
  </w:style>
  <w:style w:type="character" w:customStyle="1" w:styleId="BodyTextChar">
    <w:name w:val="Body Text Char"/>
    <w:basedOn w:val="DefaultParagraphFont"/>
    <w:link w:val="BodyText"/>
    <w:uiPriority w:val="99"/>
    <w:semiHidden/>
    <w:rsid w:val="00BB4AC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2020-09-21T18:30:00+00:00</Judgment_x0020_Date>
    <Year xmlns="c1afb1bd-f2fb-40fd-9abb-aea55b4d7662">2020</Year>
  </documentManagement>
</p:properties>
</file>

<file path=customXml/itemProps1.xml><?xml version="1.0" encoding="utf-8"?>
<ds:datastoreItem xmlns:ds="http://schemas.openxmlformats.org/officeDocument/2006/customXml" ds:itemID="{DDB7C783-27FB-4C02-BE19-4DEF025ADBD6}"/>
</file>

<file path=customXml/itemProps2.xml><?xml version="1.0" encoding="utf-8"?>
<ds:datastoreItem xmlns:ds="http://schemas.openxmlformats.org/officeDocument/2006/customXml" ds:itemID="{0AA6394D-C14E-441E-9793-A541C936B13B}"/>
</file>

<file path=customXml/itemProps3.xml><?xml version="1.0" encoding="utf-8"?>
<ds:datastoreItem xmlns:ds="http://schemas.openxmlformats.org/officeDocument/2006/customXml" ds:itemID="{950D4179-C94F-4331-9F6A-0FBD818682CE}"/>
</file>

<file path=customXml/itemProps4.xml><?xml version="1.0" encoding="utf-8"?>
<ds:datastoreItem xmlns:ds="http://schemas.openxmlformats.org/officeDocument/2006/customXml" ds:itemID="{EC60FC19-E7CE-4694-AF6D-87BFC3F4ED0A}"/>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 Bank of Namibia v Killarney (Pty) (Ltd) (HC-MD-CIV-ACT-CON-2020-00282) [2020] NAHCMD 431 (22 September 2020)</dc:title>
  <dc:creator>Mbeurora Karamata</dc:creator>
  <cp:lastModifiedBy>Administrator</cp:lastModifiedBy>
  <cp:revision>3</cp:revision>
  <cp:lastPrinted>2020-09-22T11:25:00Z</cp:lastPrinted>
  <dcterms:created xsi:type="dcterms:W3CDTF">2020-09-23T13:15:00Z</dcterms:created>
  <dcterms:modified xsi:type="dcterms:W3CDTF">2020-09-23T13:16:00Z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