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50" w:rsidRDefault="00803A50" w:rsidP="00803A50">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03A50" w:rsidRDefault="001B0902" w:rsidP="00803A50">
                            <w:pPr>
                              <w:jc w:val="center"/>
                            </w:pPr>
                            <w:r>
                              <w:t>REPORTABLE</w:t>
                            </w:r>
                          </w:p>
                          <w:p w:rsidR="00803A50" w:rsidRDefault="00803A50" w:rsidP="00803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03A50" w:rsidRDefault="001B0902" w:rsidP="00803A50">
                      <w:pPr>
                        <w:jc w:val="center"/>
                      </w:pPr>
                      <w:r>
                        <w:t>REPORTABLE</w:t>
                      </w:r>
                    </w:p>
                    <w:p w:rsidR="00803A50" w:rsidRDefault="00803A50" w:rsidP="00803A50">
                      <w:pPr>
                        <w:jc w:val="center"/>
                      </w:pPr>
                    </w:p>
                  </w:txbxContent>
                </v:textbox>
              </v:shape>
            </w:pict>
          </mc:Fallback>
        </mc:AlternateContent>
      </w:r>
      <w:r>
        <w:rPr>
          <w:rFonts w:ascii="Arial" w:hAnsi="Arial" w:cs="Arial"/>
          <w:b/>
          <w:sz w:val="24"/>
          <w:szCs w:val="24"/>
        </w:rPr>
        <w:t>REPUBLIC OF NAMIBIA</w:t>
      </w:r>
    </w:p>
    <w:p w:rsidR="008A0B4B" w:rsidRDefault="008A0B4B" w:rsidP="00803A50">
      <w:pPr>
        <w:spacing w:after="0" w:line="360" w:lineRule="auto"/>
        <w:jc w:val="center"/>
        <w:rPr>
          <w:rFonts w:ascii="Arial" w:hAnsi="Arial" w:cs="Arial"/>
          <w:b/>
          <w:sz w:val="24"/>
          <w:szCs w:val="24"/>
        </w:rPr>
      </w:pPr>
    </w:p>
    <w:p w:rsidR="008A0B4B" w:rsidRDefault="00803A50" w:rsidP="00C27BD8">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03A50" w:rsidRDefault="00803A50" w:rsidP="00803A50">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803A50" w:rsidRDefault="00803A50" w:rsidP="00803A50">
      <w:pPr>
        <w:spacing w:after="0" w:line="360" w:lineRule="auto"/>
        <w:jc w:val="center"/>
        <w:rPr>
          <w:rFonts w:ascii="Arial" w:hAnsi="Arial" w:cs="Arial"/>
          <w:b/>
          <w:sz w:val="24"/>
          <w:szCs w:val="24"/>
        </w:rPr>
      </w:pPr>
    </w:p>
    <w:p w:rsidR="00803A50" w:rsidRDefault="000F1EFA" w:rsidP="00803A50">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8A0B4B" w:rsidRDefault="008A0B4B" w:rsidP="00803A50">
      <w:pPr>
        <w:spacing w:after="0" w:line="360" w:lineRule="auto"/>
        <w:jc w:val="center"/>
        <w:rPr>
          <w:rFonts w:ascii="Arial" w:hAnsi="Arial" w:cs="Arial"/>
          <w:b/>
          <w:sz w:val="24"/>
          <w:szCs w:val="24"/>
        </w:rPr>
      </w:pPr>
    </w:p>
    <w:p w:rsidR="00803A50" w:rsidRDefault="00803A50" w:rsidP="00E11ECB">
      <w:pPr>
        <w:tabs>
          <w:tab w:val="right" w:pos="9000"/>
        </w:tabs>
        <w:spacing w:after="0" w:line="360" w:lineRule="auto"/>
        <w:jc w:val="center"/>
        <w:rPr>
          <w:rFonts w:ascii="Arial" w:hAnsi="Arial" w:cs="Arial"/>
          <w:sz w:val="24"/>
          <w:szCs w:val="24"/>
        </w:rPr>
      </w:pPr>
      <w:r>
        <w:rPr>
          <w:rFonts w:ascii="Arial" w:hAnsi="Arial" w:cs="Arial"/>
          <w:b/>
          <w:sz w:val="24"/>
          <w:szCs w:val="24"/>
        </w:rPr>
        <w:tab/>
      </w:r>
      <w:r w:rsidR="00A26848">
        <w:rPr>
          <w:rFonts w:ascii="Arial" w:hAnsi="Arial" w:cs="Arial"/>
          <w:sz w:val="24"/>
          <w:szCs w:val="24"/>
        </w:rPr>
        <w:t xml:space="preserve">Case no: CR </w:t>
      </w:r>
      <w:r w:rsidR="0032523E">
        <w:rPr>
          <w:rFonts w:ascii="Arial" w:hAnsi="Arial" w:cs="Arial"/>
          <w:sz w:val="24"/>
          <w:szCs w:val="24"/>
        </w:rPr>
        <w:t>71</w:t>
      </w:r>
      <w:r w:rsidR="0069666A">
        <w:rPr>
          <w:rFonts w:ascii="Arial" w:hAnsi="Arial" w:cs="Arial"/>
          <w:sz w:val="24"/>
          <w:szCs w:val="24"/>
        </w:rPr>
        <w:t>/</w:t>
      </w:r>
      <w:r w:rsidR="00C27BD8">
        <w:rPr>
          <w:rFonts w:ascii="Arial" w:hAnsi="Arial" w:cs="Arial"/>
          <w:sz w:val="24"/>
          <w:szCs w:val="24"/>
        </w:rPr>
        <w:t>2020</w:t>
      </w:r>
    </w:p>
    <w:p w:rsidR="008A0B4B" w:rsidRPr="00E11ECB" w:rsidRDefault="008A0B4B" w:rsidP="00E11ECB">
      <w:pPr>
        <w:tabs>
          <w:tab w:val="right" w:pos="9000"/>
        </w:tabs>
        <w:spacing w:after="0" w:line="360" w:lineRule="auto"/>
        <w:jc w:val="center"/>
        <w:rPr>
          <w:rFonts w:ascii="Arial" w:hAnsi="Arial" w:cs="Arial"/>
          <w:b/>
          <w:sz w:val="24"/>
          <w:szCs w:val="24"/>
        </w:rPr>
      </w:pPr>
    </w:p>
    <w:p w:rsidR="00803A50" w:rsidRDefault="00803A50" w:rsidP="00803A50">
      <w:pPr>
        <w:spacing w:after="0" w:line="360" w:lineRule="auto"/>
        <w:rPr>
          <w:rFonts w:ascii="Arial" w:hAnsi="Arial" w:cs="Arial"/>
          <w:sz w:val="24"/>
          <w:szCs w:val="24"/>
        </w:rPr>
      </w:pPr>
      <w:r>
        <w:rPr>
          <w:rFonts w:ascii="Arial" w:hAnsi="Arial" w:cs="Arial"/>
          <w:sz w:val="24"/>
          <w:szCs w:val="24"/>
        </w:rPr>
        <w:t>In the matter between:</w:t>
      </w:r>
    </w:p>
    <w:p w:rsidR="00803A50" w:rsidRDefault="00803A50" w:rsidP="00803A50">
      <w:pPr>
        <w:spacing w:after="0" w:line="360" w:lineRule="auto"/>
        <w:rPr>
          <w:rFonts w:ascii="Arial" w:hAnsi="Arial" w:cs="Arial"/>
          <w:sz w:val="24"/>
          <w:szCs w:val="24"/>
        </w:rPr>
      </w:pPr>
    </w:p>
    <w:p w:rsidR="00803A50" w:rsidRDefault="00803A50" w:rsidP="00803A50">
      <w:pPr>
        <w:spacing w:after="0"/>
        <w:rPr>
          <w:rFonts w:ascii="Arial" w:hAnsi="Arial" w:cs="Arial"/>
          <w:b/>
          <w:sz w:val="24"/>
          <w:szCs w:val="24"/>
          <w:lang w:val="en-GB"/>
        </w:rPr>
      </w:pPr>
      <w:r>
        <w:rPr>
          <w:rFonts w:ascii="Arial" w:hAnsi="Arial" w:cs="Arial"/>
          <w:b/>
          <w:sz w:val="24"/>
          <w:szCs w:val="24"/>
          <w:lang w:val="en-GB"/>
        </w:rPr>
        <w:t xml:space="preserve">THE STATE </w:t>
      </w:r>
    </w:p>
    <w:p w:rsidR="00803A50" w:rsidRDefault="00803A50" w:rsidP="00803A50">
      <w:pPr>
        <w:spacing w:after="0"/>
        <w:rPr>
          <w:rFonts w:ascii="Arial" w:hAnsi="Arial" w:cs="Arial"/>
          <w:b/>
          <w:sz w:val="24"/>
          <w:szCs w:val="24"/>
        </w:rPr>
      </w:pPr>
    </w:p>
    <w:p w:rsidR="00803A50" w:rsidRDefault="001110C5" w:rsidP="00803A50">
      <w:pPr>
        <w:spacing w:after="0"/>
        <w:jc w:val="both"/>
        <w:rPr>
          <w:rFonts w:ascii="Arial" w:hAnsi="Arial" w:cs="Arial"/>
          <w:sz w:val="24"/>
          <w:szCs w:val="24"/>
        </w:rPr>
      </w:pPr>
      <w:proofErr w:type="gramStart"/>
      <w:r>
        <w:rPr>
          <w:rFonts w:ascii="Arial" w:hAnsi="Arial" w:cs="Arial"/>
          <w:sz w:val="24"/>
          <w:szCs w:val="24"/>
        </w:rPr>
        <w:t>v</w:t>
      </w:r>
      <w:proofErr w:type="gramEnd"/>
    </w:p>
    <w:p w:rsidR="00803A50" w:rsidRDefault="00803A50" w:rsidP="00803A50">
      <w:pPr>
        <w:tabs>
          <w:tab w:val="right" w:pos="9000"/>
        </w:tabs>
        <w:spacing w:after="0"/>
        <w:jc w:val="both"/>
        <w:rPr>
          <w:rFonts w:ascii="Arial" w:hAnsi="Arial" w:cs="Arial"/>
          <w:b/>
          <w:sz w:val="24"/>
          <w:szCs w:val="24"/>
        </w:rPr>
      </w:pPr>
    </w:p>
    <w:p w:rsidR="009D78C3" w:rsidRDefault="001B0902" w:rsidP="00803A50">
      <w:pPr>
        <w:tabs>
          <w:tab w:val="right" w:pos="9000"/>
        </w:tabs>
        <w:spacing w:after="0"/>
        <w:jc w:val="both"/>
        <w:rPr>
          <w:rFonts w:ascii="Arial" w:hAnsi="Arial" w:cs="Arial"/>
          <w:b/>
          <w:sz w:val="24"/>
          <w:szCs w:val="24"/>
        </w:rPr>
      </w:pPr>
      <w:r w:rsidRPr="001B0902">
        <w:rPr>
          <w:rFonts w:ascii="Arial" w:hAnsi="Arial" w:cs="Arial"/>
          <w:b/>
          <w:sz w:val="24"/>
          <w:szCs w:val="24"/>
          <w:lang w:val="en-US"/>
        </w:rPr>
        <w:t>JULIUS SUNDAY ENDJALA</w:t>
      </w:r>
      <w:r w:rsidR="001110C5">
        <w:rPr>
          <w:rFonts w:ascii="Arial" w:hAnsi="Arial" w:cs="Arial"/>
          <w:b/>
          <w:sz w:val="24"/>
          <w:szCs w:val="24"/>
        </w:rPr>
        <w:tab/>
        <w:t>ACCUSED</w:t>
      </w:r>
    </w:p>
    <w:p w:rsidR="001110C5" w:rsidRDefault="001110C5" w:rsidP="00803A50">
      <w:pPr>
        <w:tabs>
          <w:tab w:val="right" w:pos="9000"/>
        </w:tabs>
        <w:spacing w:after="0"/>
        <w:jc w:val="center"/>
        <w:rPr>
          <w:rFonts w:ascii="Arial" w:hAnsi="Arial" w:cs="Arial"/>
          <w:b/>
          <w:sz w:val="24"/>
          <w:szCs w:val="24"/>
        </w:rPr>
      </w:pPr>
    </w:p>
    <w:p w:rsidR="00803A50" w:rsidRPr="001110C5" w:rsidRDefault="00803A50" w:rsidP="00803A50">
      <w:pPr>
        <w:tabs>
          <w:tab w:val="right" w:pos="9000"/>
        </w:tabs>
        <w:spacing w:after="0"/>
        <w:jc w:val="center"/>
        <w:rPr>
          <w:rFonts w:ascii="Arial" w:hAnsi="Arial" w:cs="Arial"/>
          <w:sz w:val="24"/>
          <w:szCs w:val="24"/>
        </w:rPr>
      </w:pPr>
      <w:r w:rsidRPr="001110C5">
        <w:rPr>
          <w:rFonts w:ascii="Arial" w:hAnsi="Arial" w:cs="Arial"/>
          <w:sz w:val="24"/>
          <w:szCs w:val="24"/>
        </w:rPr>
        <w:t xml:space="preserve">(HIGH COURT MAIN DIVISION REVIEW REF NO. </w:t>
      </w:r>
      <w:r w:rsidR="001B0902" w:rsidRPr="001B0902">
        <w:rPr>
          <w:rFonts w:ascii="Arial" w:hAnsi="Arial" w:cs="Arial"/>
          <w:sz w:val="24"/>
          <w:szCs w:val="24"/>
          <w:lang w:val="en-US"/>
        </w:rPr>
        <w:t>1136/2020</w:t>
      </w:r>
      <w:r w:rsidRPr="001110C5">
        <w:rPr>
          <w:rFonts w:ascii="Arial" w:hAnsi="Arial" w:cs="Arial"/>
          <w:sz w:val="24"/>
          <w:szCs w:val="24"/>
        </w:rPr>
        <w:t>)</w:t>
      </w:r>
    </w:p>
    <w:p w:rsidR="009D78C3" w:rsidRDefault="009D78C3" w:rsidP="00803A50">
      <w:pPr>
        <w:spacing w:after="0" w:line="360" w:lineRule="auto"/>
        <w:jc w:val="both"/>
        <w:rPr>
          <w:rFonts w:ascii="Arial" w:hAnsi="Arial" w:cs="Arial"/>
          <w:sz w:val="24"/>
          <w:szCs w:val="24"/>
        </w:rPr>
      </w:pPr>
    </w:p>
    <w:p w:rsidR="001B0902" w:rsidRPr="001B0902" w:rsidRDefault="00803A50" w:rsidP="001B0902">
      <w:pPr>
        <w:spacing w:after="160" w:line="360" w:lineRule="auto"/>
        <w:jc w:val="both"/>
        <w:rPr>
          <w:rFonts w:ascii="Arial" w:hAnsi="Arial" w:cs="Arial"/>
          <w:sz w:val="24"/>
          <w:szCs w:val="24"/>
          <w:lang w:val="en-US"/>
        </w:rPr>
      </w:pPr>
      <w:r>
        <w:rPr>
          <w:rFonts w:ascii="Arial" w:hAnsi="Arial" w:cs="Arial"/>
          <w:b/>
          <w:sz w:val="24"/>
          <w:szCs w:val="24"/>
        </w:rPr>
        <w:t>Neutral</w:t>
      </w:r>
      <w:r w:rsidR="00AA1DF6">
        <w:rPr>
          <w:rFonts w:ascii="Arial" w:hAnsi="Arial" w:cs="Arial"/>
          <w:b/>
          <w:sz w:val="24"/>
          <w:szCs w:val="24"/>
        </w:rPr>
        <w:t xml:space="preserve"> citation: </w:t>
      </w:r>
      <w:r w:rsidR="001B0902" w:rsidRPr="001B0902">
        <w:rPr>
          <w:rFonts w:ascii="Arial" w:hAnsi="Arial" w:cs="Arial"/>
          <w:i/>
          <w:sz w:val="24"/>
          <w:szCs w:val="24"/>
          <w:lang w:val="en-US"/>
        </w:rPr>
        <w:t xml:space="preserve">S v </w:t>
      </w:r>
      <w:proofErr w:type="spellStart"/>
      <w:r w:rsidR="001B0902" w:rsidRPr="001B0902">
        <w:rPr>
          <w:rFonts w:ascii="Arial" w:hAnsi="Arial" w:cs="Arial"/>
          <w:i/>
          <w:sz w:val="24"/>
          <w:szCs w:val="24"/>
          <w:lang w:val="en-US"/>
        </w:rPr>
        <w:t>Endjala</w:t>
      </w:r>
      <w:proofErr w:type="spellEnd"/>
      <w:r w:rsidR="001B0902" w:rsidRPr="001B0902">
        <w:rPr>
          <w:rFonts w:ascii="Arial" w:hAnsi="Arial" w:cs="Arial"/>
          <w:sz w:val="24"/>
          <w:szCs w:val="24"/>
          <w:lang w:val="en-US"/>
        </w:rPr>
        <w:t xml:space="preserve"> (</w:t>
      </w:r>
      <w:r w:rsidR="00AA1DF6" w:rsidRPr="001B0902">
        <w:rPr>
          <w:rFonts w:ascii="Arial" w:hAnsi="Arial" w:cs="Arial"/>
          <w:sz w:val="24"/>
          <w:szCs w:val="24"/>
          <w:lang w:val="en-US"/>
        </w:rPr>
        <w:t xml:space="preserve">CR </w:t>
      </w:r>
      <w:r w:rsidR="00AA1DF6">
        <w:rPr>
          <w:rFonts w:ascii="Arial" w:hAnsi="Arial" w:cs="Arial"/>
          <w:sz w:val="24"/>
          <w:szCs w:val="24"/>
          <w:lang w:val="en-US"/>
        </w:rPr>
        <w:t>71</w:t>
      </w:r>
      <w:r w:rsidR="001B0902" w:rsidRPr="001B0902">
        <w:rPr>
          <w:rFonts w:ascii="Arial" w:hAnsi="Arial" w:cs="Arial"/>
          <w:sz w:val="24"/>
          <w:szCs w:val="24"/>
          <w:lang w:val="en-US"/>
        </w:rPr>
        <w:t xml:space="preserve">/2020) [2020] NAHCMD </w:t>
      </w:r>
      <w:r w:rsidR="00AA1DF6">
        <w:rPr>
          <w:rFonts w:ascii="Arial" w:hAnsi="Arial" w:cs="Arial"/>
          <w:sz w:val="24"/>
          <w:szCs w:val="24"/>
          <w:lang w:val="en-US"/>
        </w:rPr>
        <w:t>432</w:t>
      </w:r>
      <w:r w:rsidR="001B0902">
        <w:rPr>
          <w:rFonts w:ascii="Arial" w:hAnsi="Arial" w:cs="Arial"/>
          <w:sz w:val="24"/>
          <w:szCs w:val="24"/>
          <w:lang w:val="en-US"/>
        </w:rPr>
        <w:t xml:space="preserve"> </w:t>
      </w:r>
      <w:r w:rsidR="001B0902" w:rsidRPr="001B0902">
        <w:rPr>
          <w:rFonts w:ascii="Arial" w:hAnsi="Arial" w:cs="Arial"/>
          <w:sz w:val="24"/>
          <w:szCs w:val="24"/>
          <w:lang w:val="en-US"/>
        </w:rPr>
        <w:t>(</w:t>
      </w:r>
      <w:r w:rsidR="00AA1DF6">
        <w:rPr>
          <w:rFonts w:ascii="Arial" w:hAnsi="Arial" w:cs="Arial"/>
          <w:sz w:val="24"/>
          <w:szCs w:val="24"/>
          <w:lang w:val="en-US"/>
        </w:rPr>
        <w:t>23</w:t>
      </w:r>
      <w:r w:rsidR="001B0902" w:rsidRPr="001B0902">
        <w:rPr>
          <w:rFonts w:ascii="Arial" w:hAnsi="Arial" w:cs="Arial"/>
          <w:sz w:val="24"/>
          <w:szCs w:val="24"/>
          <w:lang w:val="en-US"/>
        </w:rPr>
        <w:t xml:space="preserve"> September 2020)</w:t>
      </w:r>
    </w:p>
    <w:p w:rsidR="00803A50" w:rsidRDefault="00803A50" w:rsidP="00803A50">
      <w:pPr>
        <w:spacing w:after="0" w:line="360" w:lineRule="auto"/>
        <w:jc w:val="both"/>
        <w:rPr>
          <w:rFonts w:ascii="Arial" w:hAnsi="Arial" w:cs="Arial"/>
          <w:sz w:val="24"/>
          <w:szCs w:val="24"/>
        </w:rPr>
      </w:pPr>
    </w:p>
    <w:p w:rsidR="00803A50" w:rsidRDefault="00803A50" w:rsidP="000269AE">
      <w:pPr>
        <w:spacing w:after="0" w:line="24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1B0902">
        <w:rPr>
          <w:rFonts w:ascii="Arial" w:hAnsi="Arial" w:cs="Arial"/>
          <w:sz w:val="24"/>
          <w:szCs w:val="24"/>
        </w:rPr>
        <w:t>LIEBENBERG</w:t>
      </w:r>
      <w:r w:rsidR="00DF08EC">
        <w:rPr>
          <w:rFonts w:ascii="Arial" w:hAnsi="Arial" w:cs="Arial"/>
          <w:sz w:val="24"/>
          <w:szCs w:val="24"/>
        </w:rPr>
        <w:t xml:space="preserve"> </w:t>
      </w:r>
      <w:r>
        <w:rPr>
          <w:rFonts w:ascii="Arial" w:hAnsi="Arial" w:cs="Arial"/>
          <w:sz w:val="24"/>
          <w:szCs w:val="24"/>
        </w:rPr>
        <w:t>J</w:t>
      </w:r>
      <w:r w:rsidR="000269AE">
        <w:rPr>
          <w:rFonts w:ascii="Arial" w:hAnsi="Arial" w:cs="Arial"/>
          <w:sz w:val="24"/>
          <w:szCs w:val="24"/>
        </w:rPr>
        <w:t xml:space="preserve">, </w:t>
      </w:r>
      <w:proofErr w:type="gramStart"/>
      <w:r w:rsidR="000269AE">
        <w:rPr>
          <w:rFonts w:ascii="Arial" w:hAnsi="Arial" w:cs="Arial"/>
          <w:sz w:val="24"/>
          <w:szCs w:val="24"/>
        </w:rPr>
        <w:t>et</w:t>
      </w:r>
      <w:proofErr w:type="gramEnd"/>
      <w:r w:rsidR="000269AE">
        <w:rPr>
          <w:rFonts w:ascii="Arial" w:hAnsi="Arial" w:cs="Arial"/>
          <w:sz w:val="24"/>
          <w:szCs w:val="24"/>
        </w:rPr>
        <w:t xml:space="preserve"> </w:t>
      </w:r>
      <w:r w:rsidR="001B0902">
        <w:rPr>
          <w:rFonts w:ascii="Arial" w:hAnsi="Arial" w:cs="Arial"/>
          <w:sz w:val="24"/>
          <w:szCs w:val="24"/>
        </w:rPr>
        <w:t xml:space="preserve">SIBEYA </w:t>
      </w:r>
      <w:r w:rsidR="000269AE">
        <w:rPr>
          <w:rFonts w:ascii="Arial" w:hAnsi="Arial" w:cs="Arial"/>
          <w:sz w:val="24"/>
          <w:szCs w:val="24"/>
        </w:rPr>
        <w:t>J</w:t>
      </w:r>
    </w:p>
    <w:p w:rsidR="00803A50" w:rsidRDefault="00803A50" w:rsidP="000269AE">
      <w:pPr>
        <w:spacing w:after="0" w:line="240" w:lineRule="auto"/>
        <w:rPr>
          <w:rFonts w:ascii="Arial" w:hAnsi="Arial" w:cs="Arial"/>
          <w:b/>
          <w:bCs/>
          <w:sz w:val="24"/>
          <w:szCs w:val="24"/>
        </w:rPr>
      </w:pPr>
    </w:p>
    <w:p w:rsidR="00803A50" w:rsidRDefault="00803A50" w:rsidP="000269AE">
      <w:pPr>
        <w:spacing w:after="0" w:line="240" w:lineRule="auto"/>
        <w:rPr>
          <w:rFonts w:ascii="Arial" w:hAnsi="Arial" w:cs="Arial"/>
          <w:sz w:val="24"/>
          <w:szCs w:val="24"/>
        </w:rPr>
      </w:pPr>
      <w:r>
        <w:rPr>
          <w:rFonts w:ascii="Arial" w:hAnsi="Arial" w:cs="Arial"/>
          <w:b/>
          <w:bCs/>
          <w:sz w:val="24"/>
          <w:szCs w:val="24"/>
        </w:rPr>
        <w:t>Delivered</w:t>
      </w:r>
      <w:r w:rsidR="00EA11EB">
        <w:rPr>
          <w:rFonts w:ascii="Arial" w:hAnsi="Arial" w:cs="Arial"/>
          <w:sz w:val="24"/>
          <w:szCs w:val="24"/>
        </w:rPr>
        <w:t xml:space="preserve">: </w:t>
      </w:r>
      <w:r w:rsidR="00EA11EB">
        <w:rPr>
          <w:rFonts w:ascii="Arial" w:hAnsi="Arial" w:cs="Arial"/>
          <w:sz w:val="24"/>
          <w:szCs w:val="24"/>
        </w:rPr>
        <w:tab/>
      </w:r>
      <w:r w:rsidR="00AA1DF6">
        <w:rPr>
          <w:rFonts w:ascii="Arial" w:hAnsi="Arial" w:cs="Arial"/>
          <w:b/>
          <w:sz w:val="24"/>
          <w:szCs w:val="24"/>
        </w:rPr>
        <w:t>23</w:t>
      </w:r>
      <w:r w:rsidR="00FD1EDD">
        <w:rPr>
          <w:rFonts w:ascii="Arial" w:hAnsi="Arial" w:cs="Arial"/>
          <w:b/>
          <w:sz w:val="24"/>
          <w:szCs w:val="24"/>
        </w:rPr>
        <w:t xml:space="preserve"> </w:t>
      </w:r>
      <w:r w:rsidR="001B0902">
        <w:rPr>
          <w:rFonts w:ascii="Arial" w:hAnsi="Arial" w:cs="Arial"/>
          <w:b/>
          <w:sz w:val="24"/>
          <w:szCs w:val="24"/>
        </w:rPr>
        <w:t>September</w:t>
      </w:r>
      <w:r w:rsidR="00EA11EB" w:rsidRPr="001F233C">
        <w:rPr>
          <w:rFonts w:ascii="Arial" w:hAnsi="Arial" w:cs="Arial"/>
          <w:b/>
          <w:sz w:val="24"/>
          <w:szCs w:val="24"/>
        </w:rPr>
        <w:t xml:space="preserve"> </w:t>
      </w:r>
      <w:r w:rsidR="001B0902">
        <w:rPr>
          <w:rFonts w:ascii="Arial" w:hAnsi="Arial" w:cs="Arial"/>
          <w:b/>
          <w:sz w:val="24"/>
          <w:szCs w:val="24"/>
        </w:rPr>
        <w:t>2020</w:t>
      </w:r>
    </w:p>
    <w:p w:rsidR="00E94968" w:rsidRDefault="00E94968" w:rsidP="00803A50">
      <w:pPr>
        <w:spacing w:after="0" w:line="360" w:lineRule="auto"/>
        <w:rPr>
          <w:rFonts w:ascii="Arial" w:hAnsi="Arial" w:cs="Arial"/>
          <w:sz w:val="24"/>
          <w:szCs w:val="24"/>
        </w:rPr>
      </w:pPr>
    </w:p>
    <w:p w:rsidR="009239A5" w:rsidRDefault="00E94968" w:rsidP="009643B5">
      <w:pPr>
        <w:spacing w:after="0" w:line="360" w:lineRule="auto"/>
        <w:jc w:val="both"/>
        <w:rPr>
          <w:rFonts w:ascii="Arial" w:hAnsi="Arial" w:cs="Arial"/>
          <w:sz w:val="24"/>
          <w:szCs w:val="24"/>
        </w:rPr>
      </w:pPr>
      <w:proofErr w:type="spellStart"/>
      <w:r w:rsidRPr="00E94968">
        <w:rPr>
          <w:rFonts w:ascii="Arial" w:hAnsi="Arial" w:cs="Arial"/>
          <w:b/>
          <w:sz w:val="24"/>
          <w:szCs w:val="24"/>
        </w:rPr>
        <w:t>Flynote</w:t>
      </w:r>
      <w:proofErr w:type="spellEnd"/>
      <w:r w:rsidR="000808B7">
        <w:rPr>
          <w:rFonts w:ascii="Arial" w:hAnsi="Arial" w:cs="Arial"/>
          <w:sz w:val="24"/>
          <w:szCs w:val="24"/>
        </w:rPr>
        <w:t>:</w:t>
      </w:r>
      <w:r w:rsidR="00C27BD8">
        <w:rPr>
          <w:rFonts w:ascii="Arial" w:hAnsi="Arial" w:cs="Arial"/>
          <w:sz w:val="24"/>
          <w:szCs w:val="24"/>
        </w:rPr>
        <w:tab/>
      </w:r>
      <w:r w:rsidR="004D1291">
        <w:rPr>
          <w:rFonts w:ascii="Arial" w:hAnsi="Arial" w:cs="Arial"/>
          <w:sz w:val="24"/>
          <w:szCs w:val="24"/>
        </w:rPr>
        <w:t>Crimi</w:t>
      </w:r>
      <w:r w:rsidR="00AA46CE">
        <w:rPr>
          <w:rFonts w:ascii="Arial" w:hAnsi="Arial" w:cs="Arial"/>
          <w:sz w:val="24"/>
          <w:szCs w:val="24"/>
        </w:rPr>
        <w:t>nal Procedure –</w:t>
      </w:r>
      <w:r w:rsidR="00AF62F7">
        <w:rPr>
          <w:rFonts w:ascii="Arial" w:hAnsi="Arial" w:cs="Arial"/>
          <w:sz w:val="24"/>
          <w:szCs w:val="24"/>
        </w:rPr>
        <w:t xml:space="preserve"> </w:t>
      </w:r>
      <w:r w:rsidR="00AA46CE">
        <w:rPr>
          <w:rFonts w:ascii="Arial" w:hAnsi="Arial" w:cs="Arial"/>
          <w:sz w:val="24"/>
          <w:szCs w:val="24"/>
        </w:rPr>
        <w:t>Review</w:t>
      </w:r>
      <w:r w:rsidR="004D1291">
        <w:rPr>
          <w:rFonts w:ascii="Arial" w:hAnsi="Arial" w:cs="Arial"/>
          <w:sz w:val="24"/>
          <w:szCs w:val="24"/>
        </w:rPr>
        <w:t xml:space="preserve"> – </w:t>
      </w:r>
      <w:r w:rsidR="00AC35CE">
        <w:rPr>
          <w:rFonts w:ascii="Arial" w:hAnsi="Arial" w:cs="Arial"/>
          <w:sz w:val="24"/>
          <w:szCs w:val="24"/>
        </w:rPr>
        <w:t xml:space="preserve">Substitution of charge on review – When competent to do so – Accused convicted on </w:t>
      </w:r>
      <w:r w:rsidR="00AC35CE" w:rsidRPr="008E4A05">
        <w:rPr>
          <w:rFonts w:ascii="Arial" w:hAnsi="Arial" w:cs="Arial"/>
          <w:sz w:val="24"/>
          <w:szCs w:val="24"/>
          <w:lang w:val="en-GB"/>
        </w:rPr>
        <w:t>escaping from lawful custody in terms of common law</w:t>
      </w:r>
      <w:r w:rsidR="00AC35CE">
        <w:rPr>
          <w:rFonts w:ascii="Arial" w:hAnsi="Arial" w:cs="Arial"/>
          <w:sz w:val="24"/>
          <w:szCs w:val="24"/>
          <w:lang w:val="en-GB"/>
        </w:rPr>
        <w:t xml:space="preserve"> – </w:t>
      </w:r>
      <w:r w:rsidR="00AC35CE">
        <w:rPr>
          <w:rFonts w:ascii="Arial" w:hAnsi="Arial" w:cs="Arial"/>
          <w:sz w:val="24"/>
          <w:szCs w:val="24"/>
          <w:lang w:val="en-US"/>
        </w:rPr>
        <w:t>A</w:t>
      </w:r>
      <w:r w:rsidR="00AC35CE" w:rsidRPr="008E4A05">
        <w:rPr>
          <w:rFonts w:ascii="Arial" w:hAnsi="Arial" w:cs="Arial"/>
          <w:sz w:val="24"/>
          <w:szCs w:val="24"/>
          <w:lang w:val="en-US"/>
        </w:rPr>
        <w:t xml:space="preserve">ccused escaped </w:t>
      </w:r>
      <w:r w:rsidR="00AC35CE" w:rsidRPr="008E4A05">
        <w:rPr>
          <w:rFonts w:ascii="Arial" w:hAnsi="Arial" w:cs="Arial"/>
          <w:i/>
          <w:sz w:val="24"/>
          <w:szCs w:val="24"/>
          <w:lang w:val="en-US"/>
        </w:rPr>
        <w:t>before</w:t>
      </w:r>
      <w:r w:rsidR="00AC35CE" w:rsidRPr="008E4A05">
        <w:rPr>
          <w:rFonts w:ascii="Arial" w:hAnsi="Arial" w:cs="Arial"/>
          <w:sz w:val="24"/>
          <w:szCs w:val="24"/>
          <w:lang w:val="en-US"/>
        </w:rPr>
        <w:t xml:space="preserve"> being locked up in a police cell</w:t>
      </w:r>
      <w:r w:rsidR="00AC35CE">
        <w:rPr>
          <w:rFonts w:ascii="Arial" w:hAnsi="Arial" w:cs="Arial"/>
          <w:sz w:val="24"/>
          <w:szCs w:val="24"/>
          <w:lang w:val="en-US"/>
        </w:rPr>
        <w:t xml:space="preserve"> – Essential elements of the two offences not the same –</w:t>
      </w:r>
      <w:r w:rsidR="00AC35CE" w:rsidRPr="00AC35CE">
        <w:rPr>
          <w:rFonts w:ascii="Arial" w:hAnsi="Arial" w:cs="Arial"/>
          <w:sz w:val="24"/>
          <w:szCs w:val="24"/>
          <w:lang w:val="en-US"/>
        </w:rPr>
        <w:t xml:space="preserve"> </w:t>
      </w:r>
      <w:r w:rsidR="00AC35CE">
        <w:rPr>
          <w:rFonts w:ascii="Arial" w:hAnsi="Arial" w:cs="Arial"/>
          <w:sz w:val="24"/>
          <w:szCs w:val="24"/>
          <w:lang w:val="en-US"/>
        </w:rPr>
        <w:t>Review court not entitled to substitute convict</w:t>
      </w:r>
      <w:r w:rsidR="00AF62F7">
        <w:rPr>
          <w:rFonts w:ascii="Arial" w:hAnsi="Arial" w:cs="Arial"/>
          <w:sz w:val="24"/>
          <w:szCs w:val="24"/>
          <w:lang w:val="en-US"/>
        </w:rPr>
        <w:t>ion</w:t>
      </w:r>
      <w:r w:rsidR="00AC35CE">
        <w:rPr>
          <w:rFonts w:ascii="Arial" w:hAnsi="Arial" w:cs="Arial"/>
          <w:sz w:val="24"/>
          <w:szCs w:val="24"/>
          <w:lang w:val="en-US"/>
        </w:rPr>
        <w:t xml:space="preserve"> to </w:t>
      </w:r>
      <w:r w:rsidR="00AF62F7">
        <w:rPr>
          <w:rFonts w:ascii="Arial" w:hAnsi="Arial" w:cs="Arial"/>
          <w:sz w:val="24"/>
          <w:szCs w:val="24"/>
          <w:lang w:val="en-US"/>
        </w:rPr>
        <w:t xml:space="preserve">a </w:t>
      </w:r>
      <w:r w:rsidR="00AC35CE">
        <w:rPr>
          <w:rFonts w:ascii="Arial" w:hAnsi="Arial" w:cs="Arial"/>
          <w:sz w:val="24"/>
          <w:szCs w:val="24"/>
          <w:lang w:val="en-US"/>
        </w:rPr>
        <w:t xml:space="preserve">contravention of s 51 of the Criminal Procedure Act 51 of 1977 – </w:t>
      </w:r>
      <w:r w:rsidR="00AC35CE">
        <w:rPr>
          <w:rFonts w:ascii="Arial" w:hAnsi="Arial" w:cs="Arial"/>
          <w:sz w:val="24"/>
          <w:szCs w:val="24"/>
          <w:lang w:val="en-US"/>
        </w:rPr>
        <w:lastRenderedPageBreak/>
        <w:t>Substitution on review only competent where essential elements not altered by substituted offence</w:t>
      </w:r>
      <w:r w:rsidR="00AF62F7">
        <w:rPr>
          <w:rFonts w:ascii="Arial" w:hAnsi="Arial" w:cs="Arial"/>
          <w:sz w:val="24"/>
          <w:szCs w:val="24"/>
          <w:lang w:val="en-US"/>
        </w:rPr>
        <w:t xml:space="preserve"> or where wrong label attached to charge</w:t>
      </w:r>
      <w:r w:rsidR="00AC35CE">
        <w:rPr>
          <w:rFonts w:ascii="Arial" w:hAnsi="Arial" w:cs="Arial"/>
          <w:sz w:val="24"/>
          <w:szCs w:val="24"/>
          <w:lang w:val="en-US"/>
        </w:rPr>
        <w:t>.</w:t>
      </w:r>
      <w:r w:rsidR="00AF62F7">
        <w:rPr>
          <w:rFonts w:ascii="Arial" w:hAnsi="Arial" w:cs="Arial"/>
          <w:sz w:val="24"/>
          <w:szCs w:val="24"/>
          <w:lang w:val="en-US"/>
        </w:rPr>
        <w:t xml:space="preserve"> </w:t>
      </w:r>
      <w:r w:rsidR="00AC35CE">
        <w:rPr>
          <w:rFonts w:ascii="Arial" w:hAnsi="Arial" w:cs="Arial"/>
          <w:sz w:val="24"/>
          <w:szCs w:val="24"/>
          <w:lang w:val="en-US"/>
        </w:rPr>
        <w:t xml:space="preserve"> </w:t>
      </w:r>
    </w:p>
    <w:p w:rsidR="000269AE" w:rsidRDefault="000269AE" w:rsidP="009643B5">
      <w:pPr>
        <w:spacing w:after="0" w:line="360" w:lineRule="auto"/>
        <w:jc w:val="both"/>
        <w:rPr>
          <w:rFonts w:ascii="Arial" w:hAnsi="Arial" w:cs="Arial"/>
          <w:sz w:val="24"/>
          <w:szCs w:val="24"/>
        </w:rPr>
      </w:pPr>
    </w:p>
    <w:p w:rsidR="00803A50" w:rsidRDefault="00077AEE" w:rsidP="00F61DEF">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803A50" w:rsidRDefault="00803A50" w:rsidP="00F61DEF">
      <w:pPr>
        <w:spacing w:after="0" w:line="360" w:lineRule="auto"/>
        <w:jc w:val="center"/>
        <w:rPr>
          <w:rFonts w:ascii="Arial" w:hAnsi="Arial" w:cs="Arial"/>
          <w:b/>
          <w:bCs/>
          <w:sz w:val="24"/>
          <w:szCs w:val="24"/>
        </w:rPr>
      </w:pPr>
      <w:r>
        <w:rPr>
          <w:rFonts w:ascii="Arial" w:hAnsi="Arial" w:cs="Arial"/>
          <w:b/>
          <w:bCs/>
          <w:sz w:val="24"/>
          <w:szCs w:val="24"/>
        </w:rPr>
        <w:t>ORDER</w:t>
      </w:r>
    </w:p>
    <w:p w:rsidR="00803A50" w:rsidRDefault="00077AEE" w:rsidP="00F61DEF">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8A0B4B" w:rsidRDefault="008A0B4B" w:rsidP="008A0B4B">
      <w:pPr>
        <w:pStyle w:val="ListParagraph"/>
        <w:spacing w:after="0" w:line="360" w:lineRule="auto"/>
        <w:ind w:left="567"/>
        <w:jc w:val="both"/>
        <w:rPr>
          <w:rFonts w:ascii="Arial" w:hAnsi="Arial" w:cs="Arial"/>
          <w:sz w:val="24"/>
          <w:szCs w:val="24"/>
        </w:rPr>
      </w:pPr>
    </w:p>
    <w:p w:rsidR="008E4A05" w:rsidRDefault="008E4A05" w:rsidP="008E4A05">
      <w:pPr>
        <w:numPr>
          <w:ilvl w:val="0"/>
          <w:numId w:val="14"/>
        </w:numPr>
        <w:spacing w:after="0" w:line="360" w:lineRule="auto"/>
        <w:ind w:left="1797" w:right="556" w:hanging="357"/>
        <w:contextualSpacing/>
        <w:jc w:val="both"/>
        <w:rPr>
          <w:rFonts w:ascii="Arial" w:hAnsi="Arial" w:cs="Arial"/>
          <w:sz w:val="24"/>
          <w:szCs w:val="24"/>
          <w:lang w:val="en-US"/>
        </w:rPr>
      </w:pPr>
      <w:r w:rsidRPr="008E4A05">
        <w:rPr>
          <w:rFonts w:ascii="Arial" w:hAnsi="Arial" w:cs="Arial"/>
          <w:sz w:val="24"/>
          <w:szCs w:val="24"/>
          <w:lang w:val="en-US"/>
        </w:rPr>
        <w:t xml:space="preserve">The conviction and sentence are set-aside; </w:t>
      </w:r>
    </w:p>
    <w:p w:rsidR="008E4A05" w:rsidRPr="008E4A05" w:rsidRDefault="008E4A05" w:rsidP="008E4A05">
      <w:pPr>
        <w:spacing w:after="0" w:line="360" w:lineRule="auto"/>
        <w:ind w:left="1797" w:right="556"/>
        <w:contextualSpacing/>
        <w:jc w:val="both"/>
        <w:rPr>
          <w:rFonts w:ascii="Arial" w:hAnsi="Arial" w:cs="Arial"/>
          <w:sz w:val="24"/>
          <w:szCs w:val="24"/>
          <w:lang w:val="en-US"/>
        </w:rPr>
      </w:pPr>
    </w:p>
    <w:p w:rsidR="008E4A05" w:rsidRDefault="008E4A05" w:rsidP="008E4A05">
      <w:pPr>
        <w:numPr>
          <w:ilvl w:val="0"/>
          <w:numId w:val="14"/>
        </w:numPr>
        <w:spacing w:after="0" w:line="360" w:lineRule="auto"/>
        <w:ind w:left="1797" w:right="556" w:hanging="357"/>
        <w:contextualSpacing/>
        <w:jc w:val="both"/>
        <w:rPr>
          <w:rFonts w:ascii="Arial" w:hAnsi="Arial" w:cs="Arial"/>
          <w:sz w:val="24"/>
          <w:szCs w:val="24"/>
          <w:lang w:val="en-US"/>
        </w:rPr>
      </w:pPr>
      <w:r w:rsidRPr="008E4A05">
        <w:rPr>
          <w:rFonts w:ascii="Arial" w:hAnsi="Arial" w:cs="Arial"/>
          <w:sz w:val="24"/>
          <w:szCs w:val="24"/>
          <w:lang w:val="en-US"/>
        </w:rPr>
        <w:t>The matter is remitted to the court a quo to invoke the provisions of   section 113 of the CPA and to proceed to trial and to bring the matter to its natural conclusion;</w:t>
      </w:r>
    </w:p>
    <w:p w:rsidR="008E4A05" w:rsidRPr="008E4A05" w:rsidRDefault="008E4A05" w:rsidP="008E4A05">
      <w:pPr>
        <w:spacing w:after="0" w:line="360" w:lineRule="auto"/>
        <w:ind w:right="556"/>
        <w:contextualSpacing/>
        <w:jc w:val="both"/>
        <w:rPr>
          <w:rFonts w:ascii="Arial" w:hAnsi="Arial" w:cs="Arial"/>
          <w:sz w:val="24"/>
          <w:szCs w:val="24"/>
          <w:lang w:val="en-US"/>
        </w:rPr>
      </w:pPr>
    </w:p>
    <w:p w:rsidR="008E4A05" w:rsidRPr="008E4A05" w:rsidRDefault="008E4A05" w:rsidP="008E4A05">
      <w:pPr>
        <w:numPr>
          <w:ilvl w:val="0"/>
          <w:numId w:val="14"/>
        </w:numPr>
        <w:spacing w:after="0" w:line="360" w:lineRule="auto"/>
        <w:ind w:left="1797" w:right="556" w:hanging="357"/>
        <w:contextualSpacing/>
        <w:jc w:val="both"/>
        <w:rPr>
          <w:rFonts w:ascii="Arial" w:hAnsi="Arial" w:cs="Arial"/>
          <w:sz w:val="24"/>
          <w:szCs w:val="24"/>
          <w:lang w:val="en-US"/>
        </w:rPr>
      </w:pPr>
      <w:r w:rsidRPr="008E4A05">
        <w:rPr>
          <w:rFonts w:ascii="Arial" w:hAnsi="Arial" w:cs="Arial"/>
          <w:sz w:val="24"/>
          <w:szCs w:val="24"/>
          <w:lang w:val="en-US"/>
        </w:rPr>
        <w:t xml:space="preserve">Should a conviction follow; the magistrate is directed to take into consideration any time the accused already spent in custody. </w:t>
      </w:r>
    </w:p>
    <w:p w:rsidR="008A0B4B" w:rsidRPr="00E41521" w:rsidRDefault="008A0B4B" w:rsidP="008A0B4B">
      <w:pPr>
        <w:pStyle w:val="ListParagraph"/>
        <w:spacing w:after="0" w:line="360" w:lineRule="auto"/>
        <w:ind w:left="567"/>
        <w:jc w:val="both"/>
        <w:rPr>
          <w:rFonts w:ascii="Arial" w:hAnsi="Arial" w:cs="Arial"/>
          <w:sz w:val="24"/>
          <w:szCs w:val="24"/>
        </w:rPr>
      </w:pPr>
    </w:p>
    <w:p w:rsidR="00803A50" w:rsidRDefault="00077AEE" w:rsidP="00803A50">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A50" w:rsidRDefault="00696577" w:rsidP="00803A50">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803A50" w:rsidRPr="008E4A05" w:rsidRDefault="00077AEE" w:rsidP="008E4A05">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8E4A05" w:rsidRDefault="008E4A05" w:rsidP="008E4A05">
      <w:pPr>
        <w:spacing w:after="160" w:line="360" w:lineRule="auto"/>
        <w:jc w:val="both"/>
        <w:rPr>
          <w:rFonts w:ascii="Arial" w:hAnsi="Arial" w:cs="Arial"/>
          <w:sz w:val="24"/>
          <w:szCs w:val="24"/>
          <w:lang w:val="en-US"/>
        </w:rPr>
      </w:pPr>
      <w:r w:rsidRPr="008E4A05">
        <w:rPr>
          <w:rFonts w:ascii="Arial" w:hAnsi="Arial" w:cs="Arial"/>
          <w:sz w:val="24"/>
          <w:szCs w:val="24"/>
          <w:lang w:val="en-US"/>
        </w:rPr>
        <w:t>LIEBENBERG J (concurring SIBEYA J)</w:t>
      </w:r>
    </w:p>
    <w:p w:rsidR="008E4A05" w:rsidRPr="008E4A05" w:rsidRDefault="008E4A05" w:rsidP="008E4A05">
      <w:pPr>
        <w:spacing w:after="160" w:line="360" w:lineRule="auto"/>
        <w:jc w:val="both"/>
        <w:rPr>
          <w:rFonts w:ascii="Arial" w:hAnsi="Arial" w:cs="Arial"/>
          <w:sz w:val="24"/>
          <w:szCs w:val="24"/>
          <w:lang w:val="en-US"/>
        </w:rPr>
      </w:pPr>
    </w:p>
    <w:p w:rsidR="008E4A05" w:rsidRPr="008E4A05" w:rsidRDefault="008E4A05" w:rsidP="00C27BD8">
      <w:pPr>
        <w:spacing w:after="160" w:line="360" w:lineRule="auto"/>
        <w:ind w:right="553"/>
        <w:contextualSpacing/>
        <w:jc w:val="both"/>
        <w:rPr>
          <w:rFonts w:ascii="Arial" w:hAnsi="Arial" w:cs="Arial"/>
          <w:sz w:val="24"/>
          <w:szCs w:val="24"/>
          <w:lang w:val="en-GB"/>
        </w:rPr>
      </w:pPr>
      <w:r>
        <w:rPr>
          <w:rFonts w:ascii="Arial" w:hAnsi="Arial" w:cs="Arial"/>
          <w:sz w:val="24"/>
          <w:szCs w:val="24"/>
          <w:lang w:val="en-GB"/>
        </w:rPr>
        <w:t>[1</w:t>
      </w:r>
      <w:r w:rsidR="001B0902">
        <w:rPr>
          <w:rFonts w:ascii="Arial" w:hAnsi="Arial" w:cs="Arial"/>
          <w:sz w:val="24"/>
          <w:szCs w:val="24"/>
          <w:lang w:val="en-GB"/>
        </w:rPr>
        <w:t>]</w:t>
      </w:r>
      <w:r w:rsidR="001B0902">
        <w:rPr>
          <w:rFonts w:ascii="Arial" w:hAnsi="Arial" w:cs="Arial"/>
          <w:sz w:val="24"/>
          <w:szCs w:val="24"/>
          <w:lang w:val="en-GB"/>
        </w:rPr>
        <w:tab/>
      </w:r>
      <w:r w:rsidRPr="008E4A05">
        <w:rPr>
          <w:rFonts w:ascii="Arial" w:hAnsi="Arial" w:cs="Arial"/>
          <w:sz w:val="24"/>
          <w:szCs w:val="24"/>
          <w:lang w:val="en-GB"/>
        </w:rPr>
        <w:t xml:space="preserve">This is a review in terms of s 302(1) of the CPA. </w:t>
      </w:r>
    </w:p>
    <w:p w:rsidR="008E4A05" w:rsidRPr="008E4A05" w:rsidRDefault="008E4A05" w:rsidP="001B0902">
      <w:pPr>
        <w:spacing w:after="160" w:line="259" w:lineRule="auto"/>
        <w:ind w:left="720" w:right="662"/>
        <w:contextualSpacing/>
        <w:rPr>
          <w:rFonts w:ascii="Arial" w:hAnsi="Arial" w:cs="Arial"/>
          <w:sz w:val="24"/>
          <w:szCs w:val="24"/>
          <w:lang w:val="en-GB"/>
        </w:rPr>
      </w:pPr>
    </w:p>
    <w:p w:rsidR="008E4A05" w:rsidRPr="008E4A05" w:rsidRDefault="008E4A05" w:rsidP="001B0902">
      <w:pPr>
        <w:spacing w:after="160" w:line="360" w:lineRule="auto"/>
        <w:ind w:right="662"/>
        <w:contextualSpacing/>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Pr="008E4A05">
        <w:rPr>
          <w:rFonts w:ascii="Arial" w:hAnsi="Arial" w:cs="Arial"/>
          <w:sz w:val="24"/>
          <w:szCs w:val="24"/>
          <w:lang w:val="en-GB"/>
        </w:rPr>
        <w:t xml:space="preserve">The accused was charged in the magistrate’s court for the district of </w:t>
      </w:r>
      <w:proofErr w:type="spellStart"/>
      <w:r w:rsidRPr="008E4A05">
        <w:rPr>
          <w:rFonts w:ascii="Arial" w:hAnsi="Arial" w:cs="Arial"/>
          <w:sz w:val="24"/>
          <w:szCs w:val="24"/>
          <w:lang w:val="en-GB"/>
        </w:rPr>
        <w:t>Outjo</w:t>
      </w:r>
      <w:proofErr w:type="spellEnd"/>
      <w:r w:rsidRPr="008E4A05">
        <w:rPr>
          <w:rFonts w:ascii="Arial" w:hAnsi="Arial" w:cs="Arial"/>
          <w:sz w:val="24"/>
          <w:szCs w:val="24"/>
          <w:lang w:val="en-GB"/>
        </w:rPr>
        <w:t xml:space="preserve"> in respect of 1 count of escaping from lawful custody in terms of common law. The accused pleaded guilty and subsequent to the learned magistrate’s questioning in terms of section </w:t>
      </w:r>
      <w:r w:rsidR="00C27BD8">
        <w:rPr>
          <w:rFonts w:ascii="Arial" w:hAnsi="Arial" w:cs="Arial"/>
          <w:sz w:val="24"/>
          <w:szCs w:val="24"/>
          <w:lang w:val="en-GB"/>
        </w:rPr>
        <w:t>112 (1</w:t>
      </w:r>
      <w:proofErr w:type="gramStart"/>
      <w:r w:rsidR="00C27BD8">
        <w:rPr>
          <w:rFonts w:ascii="Arial" w:hAnsi="Arial" w:cs="Arial"/>
          <w:sz w:val="24"/>
          <w:szCs w:val="24"/>
          <w:lang w:val="en-GB"/>
        </w:rPr>
        <w:t>)</w:t>
      </w:r>
      <w:r w:rsidRPr="00C27BD8">
        <w:rPr>
          <w:rFonts w:ascii="Arial" w:hAnsi="Arial" w:cs="Arial"/>
          <w:i/>
          <w:sz w:val="24"/>
          <w:szCs w:val="24"/>
          <w:lang w:val="en-GB"/>
        </w:rPr>
        <w:t>(</w:t>
      </w:r>
      <w:proofErr w:type="gramEnd"/>
      <w:r w:rsidRPr="00C27BD8">
        <w:rPr>
          <w:rFonts w:ascii="Arial" w:hAnsi="Arial" w:cs="Arial"/>
          <w:i/>
          <w:sz w:val="24"/>
          <w:szCs w:val="24"/>
          <w:lang w:val="en-GB"/>
        </w:rPr>
        <w:t>b)</w:t>
      </w:r>
      <w:r w:rsidRPr="008E4A05">
        <w:rPr>
          <w:rFonts w:ascii="Arial" w:hAnsi="Arial" w:cs="Arial"/>
          <w:sz w:val="24"/>
          <w:szCs w:val="24"/>
          <w:lang w:val="en-GB"/>
        </w:rPr>
        <w:t xml:space="preserve"> of the CPA, was convicted and sentenced to 4 months’ imprisonment. </w:t>
      </w:r>
    </w:p>
    <w:p w:rsidR="008E4A05" w:rsidRPr="008E4A05" w:rsidRDefault="008E4A05" w:rsidP="00C27BD8">
      <w:pPr>
        <w:spacing w:after="160" w:line="360" w:lineRule="auto"/>
        <w:ind w:right="553"/>
        <w:contextualSpacing/>
        <w:jc w:val="both"/>
        <w:rPr>
          <w:rFonts w:ascii="Arial" w:hAnsi="Arial" w:cs="Arial"/>
          <w:sz w:val="24"/>
          <w:szCs w:val="24"/>
          <w:lang w:val="en-GB"/>
        </w:rPr>
      </w:pPr>
    </w:p>
    <w:p w:rsidR="008E4A05" w:rsidRPr="008E4A05" w:rsidRDefault="008E4A05" w:rsidP="001B0902">
      <w:pPr>
        <w:spacing w:after="160" w:line="360" w:lineRule="auto"/>
        <w:ind w:right="553"/>
        <w:contextualSpacing/>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Pr="008E4A05">
        <w:rPr>
          <w:rFonts w:ascii="Arial" w:hAnsi="Arial" w:cs="Arial"/>
          <w:sz w:val="24"/>
          <w:szCs w:val="24"/>
          <w:lang w:val="en-US"/>
        </w:rPr>
        <w:t xml:space="preserve">This court directed a query to the magistrate requesting whether in light of the fact that the accused escaped </w:t>
      </w:r>
      <w:r w:rsidRPr="008E4A05">
        <w:rPr>
          <w:rFonts w:ascii="Arial" w:hAnsi="Arial" w:cs="Arial"/>
          <w:i/>
          <w:sz w:val="24"/>
          <w:szCs w:val="24"/>
          <w:lang w:val="en-US"/>
        </w:rPr>
        <w:t>before</w:t>
      </w:r>
      <w:r w:rsidRPr="008E4A05">
        <w:rPr>
          <w:rFonts w:ascii="Arial" w:hAnsi="Arial" w:cs="Arial"/>
          <w:sz w:val="24"/>
          <w:szCs w:val="24"/>
          <w:lang w:val="en-US"/>
        </w:rPr>
        <w:t xml:space="preserve"> being locked up in a police cell, the accused was correctly charged and convicted? </w:t>
      </w:r>
    </w:p>
    <w:p w:rsidR="008E4A05" w:rsidRPr="008E4A05" w:rsidRDefault="008E4A05" w:rsidP="008E4A05">
      <w:pPr>
        <w:spacing w:after="160" w:line="360" w:lineRule="auto"/>
        <w:ind w:left="720" w:right="553"/>
        <w:contextualSpacing/>
        <w:jc w:val="both"/>
        <w:rPr>
          <w:rFonts w:ascii="Arial" w:hAnsi="Arial" w:cs="Arial"/>
          <w:sz w:val="24"/>
          <w:szCs w:val="24"/>
          <w:lang w:val="en-US"/>
        </w:rPr>
      </w:pPr>
    </w:p>
    <w:p w:rsidR="008E4A05" w:rsidRPr="008E4A05" w:rsidRDefault="008E4A05" w:rsidP="008E4A05">
      <w:pPr>
        <w:spacing w:after="160" w:line="259" w:lineRule="auto"/>
        <w:ind w:left="720" w:right="553"/>
        <w:contextualSpacing/>
        <w:rPr>
          <w:rFonts w:ascii="Arial" w:hAnsi="Arial" w:cs="Arial"/>
          <w:sz w:val="24"/>
          <w:szCs w:val="24"/>
          <w:lang w:val="en-US"/>
        </w:rPr>
      </w:pPr>
    </w:p>
    <w:p w:rsidR="00802D3F" w:rsidRPr="008E4A05" w:rsidRDefault="008E4A05" w:rsidP="001B0902">
      <w:pPr>
        <w:spacing w:after="160" w:line="360" w:lineRule="auto"/>
        <w:ind w:right="553"/>
        <w:contextualSpacing/>
        <w:jc w:val="both"/>
        <w:rPr>
          <w:rFonts w:ascii="Arial" w:hAnsi="Arial" w:cs="Arial"/>
          <w:sz w:val="24"/>
          <w:szCs w:val="24"/>
          <w:lang w:val="en-US"/>
        </w:rPr>
      </w:pPr>
      <w:r>
        <w:rPr>
          <w:rFonts w:ascii="Arial" w:hAnsi="Arial" w:cs="Arial"/>
          <w:sz w:val="24"/>
          <w:szCs w:val="24"/>
          <w:lang w:val="en-US"/>
        </w:rPr>
        <w:t>[4</w:t>
      </w:r>
      <w:r w:rsidR="001B0902">
        <w:rPr>
          <w:rFonts w:ascii="Arial" w:hAnsi="Arial" w:cs="Arial"/>
          <w:sz w:val="24"/>
          <w:szCs w:val="24"/>
          <w:lang w:val="en-US"/>
        </w:rPr>
        <w:t>]</w:t>
      </w:r>
      <w:r w:rsidR="001B0902">
        <w:rPr>
          <w:rFonts w:ascii="Arial" w:hAnsi="Arial" w:cs="Arial"/>
          <w:sz w:val="24"/>
          <w:szCs w:val="24"/>
          <w:lang w:val="en-US"/>
        </w:rPr>
        <w:tab/>
      </w:r>
      <w:r w:rsidRPr="008E4A05">
        <w:rPr>
          <w:rFonts w:ascii="Arial" w:hAnsi="Arial" w:cs="Arial"/>
          <w:sz w:val="24"/>
          <w:szCs w:val="24"/>
          <w:lang w:val="en-US"/>
        </w:rPr>
        <w:t xml:space="preserve">The magistrate replied that the accused ought to have been charged in terms of section 51 of the CPA and requested this court to substitute the conviction on escaping under common law with escaping in terms of section 51 of the CPA. According to the magistrate, the wrong label was simply attached to the charge. </w:t>
      </w:r>
    </w:p>
    <w:p w:rsidR="008E4A05" w:rsidRPr="008E4A05" w:rsidRDefault="008E4A05" w:rsidP="00C27BD8">
      <w:pPr>
        <w:spacing w:after="160" w:line="259" w:lineRule="auto"/>
        <w:contextualSpacing/>
        <w:rPr>
          <w:rFonts w:ascii="Arial" w:hAnsi="Arial" w:cs="Arial"/>
          <w:sz w:val="24"/>
          <w:szCs w:val="24"/>
          <w:lang w:val="en-US"/>
        </w:rPr>
      </w:pPr>
    </w:p>
    <w:p w:rsidR="008E4A05" w:rsidRPr="008E4A05" w:rsidRDefault="001B0902" w:rsidP="001B0902">
      <w:pPr>
        <w:spacing w:after="160" w:line="360" w:lineRule="auto"/>
        <w:ind w:right="553"/>
        <w:contextualSpacing/>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8E4A05" w:rsidRPr="008E4A05">
        <w:rPr>
          <w:rFonts w:ascii="Arial" w:hAnsi="Arial" w:cs="Arial"/>
          <w:sz w:val="24"/>
          <w:szCs w:val="24"/>
          <w:lang w:val="en-US"/>
        </w:rPr>
        <w:t>Our law recognises 3 forms of escaping, namely under common-law; under section 51 of the CPA; and contravening section 86 (1</w:t>
      </w:r>
      <w:proofErr w:type="gramStart"/>
      <w:r w:rsidR="008E4A05" w:rsidRPr="008E4A05">
        <w:rPr>
          <w:rFonts w:ascii="Arial" w:hAnsi="Arial" w:cs="Arial"/>
          <w:sz w:val="24"/>
          <w:szCs w:val="24"/>
          <w:lang w:val="en-US"/>
        </w:rPr>
        <w:t>)</w:t>
      </w:r>
      <w:r w:rsidR="008E4A05" w:rsidRPr="008E4A05">
        <w:rPr>
          <w:rFonts w:ascii="Arial" w:hAnsi="Arial" w:cs="Arial"/>
          <w:i/>
          <w:sz w:val="24"/>
          <w:szCs w:val="24"/>
          <w:lang w:val="en-US"/>
        </w:rPr>
        <w:t>(</w:t>
      </w:r>
      <w:proofErr w:type="gramEnd"/>
      <w:r w:rsidR="008E4A05" w:rsidRPr="008E4A05">
        <w:rPr>
          <w:rFonts w:ascii="Arial" w:hAnsi="Arial" w:cs="Arial"/>
          <w:i/>
          <w:sz w:val="24"/>
          <w:szCs w:val="24"/>
          <w:lang w:val="en-US"/>
        </w:rPr>
        <w:t xml:space="preserve">j) </w:t>
      </w:r>
      <w:r w:rsidR="008E4A05" w:rsidRPr="008E4A05">
        <w:rPr>
          <w:rFonts w:ascii="Arial" w:hAnsi="Arial" w:cs="Arial"/>
          <w:sz w:val="24"/>
          <w:szCs w:val="24"/>
          <w:lang w:val="en-US"/>
        </w:rPr>
        <w:t>of the Correctional Services Act 9 of 2012. For purposes of this judgment, the enquiry will be limited to first and second forms of escaping. In this regard escaping in terms of section 51 of the CPA reads as follows:</w:t>
      </w:r>
    </w:p>
    <w:p w:rsidR="00EB24A9" w:rsidRDefault="00EB24A9" w:rsidP="008E4A05">
      <w:pPr>
        <w:spacing w:after="0" w:line="360" w:lineRule="auto"/>
        <w:jc w:val="both"/>
        <w:rPr>
          <w:rFonts w:ascii="Arial" w:hAnsi="Arial" w:cs="Arial"/>
          <w:sz w:val="24"/>
          <w:szCs w:val="24"/>
        </w:rPr>
      </w:pPr>
    </w:p>
    <w:p w:rsidR="008E4A05" w:rsidRPr="008E4A05" w:rsidRDefault="008E4A05" w:rsidP="00C27BD8">
      <w:pPr>
        <w:spacing w:after="160" w:line="360" w:lineRule="auto"/>
        <w:ind w:right="411" w:firstLine="720"/>
        <w:jc w:val="both"/>
        <w:rPr>
          <w:rFonts w:ascii="Arial" w:hAnsi="Arial" w:cs="Arial"/>
          <w:lang w:val="en-US"/>
        </w:rPr>
      </w:pPr>
      <w:r w:rsidRPr="008E4A05">
        <w:rPr>
          <w:rFonts w:ascii="Arial" w:hAnsi="Arial" w:cs="Arial"/>
          <w:lang w:val="en-US"/>
        </w:rPr>
        <w:t xml:space="preserve">‘Escaping and aiding escaping before incarceration, and penalties therefor </w:t>
      </w:r>
    </w:p>
    <w:p w:rsidR="008E4A05" w:rsidRPr="008E4A05" w:rsidRDefault="008E4A05" w:rsidP="00C27BD8">
      <w:pPr>
        <w:spacing w:after="160" w:line="360" w:lineRule="auto"/>
        <w:ind w:right="411"/>
        <w:jc w:val="both"/>
        <w:rPr>
          <w:rFonts w:ascii="Arial" w:hAnsi="Arial" w:cs="Arial"/>
          <w:lang w:val="en-US"/>
        </w:rPr>
      </w:pPr>
      <w:r w:rsidRPr="008E4A05">
        <w:rPr>
          <w:rFonts w:ascii="Arial" w:hAnsi="Arial" w:cs="Arial"/>
          <w:lang w:val="en-US"/>
        </w:rPr>
        <w:t xml:space="preserve">51.  (1) Any person who escapes or attempts to escape from custody after he has been lawfully arrested and </w:t>
      </w:r>
      <w:r w:rsidRPr="008E4A05">
        <w:rPr>
          <w:rFonts w:ascii="Arial" w:hAnsi="Arial" w:cs="Arial"/>
          <w:u w:val="single"/>
          <w:lang w:val="en-US"/>
        </w:rPr>
        <w:t>before he has been lodged in any correctional facility, police-cell or lock-up,</w:t>
      </w:r>
      <w:r w:rsidRPr="008E4A05">
        <w:rPr>
          <w:rFonts w:ascii="Arial" w:hAnsi="Arial" w:cs="Arial"/>
          <w:lang w:val="en-US"/>
        </w:rPr>
        <w:t xml:space="preserve"> shall be guilty of an offence and liable on conviction to the penalties prescribed in section 91 of the Correctional Service Act, 2012 (Act No. 9 of 2012).’</w:t>
      </w:r>
    </w:p>
    <w:p w:rsidR="008E4A05" w:rsidRPr="008E4A05" w:rsidRDefault="008E4A05" w:rsidP="00C27BD8">
      <w:pPr>
        <w:spacing w:after="160" w:line="360" w:lineRule="auto"/>
        <w:ind w:right="411"/>
        <w:jc w:val="both"/>
        <w:rPr>
          <w:rFonts w:ascii="Arial" w:hAnsi="Arial" w:cs="Arial"/>
          <w:sz w:val="24"/>
          <w:szCs w:val="24"/>
          <w:lang w:val="en-US"/>
        </w:rPr>
      </w:pPr>
      <w:r w:rsidRPr="008E4A05">
        <w:rPr>
          <w:rFonts w:ascii="Arial" w:hAnsi="Arial" w:cs="Arial"/>
          <w:sz w:val="24"/>
          <w:szCs w:val="24"/>
          <w:lang w:val="en-US"/>
        </w:rPr>
        <w:t>(My emphasis)</w:t>
      </w:r>
    </w:p>
    <w:p w:rsidR="008E4A05" w:rsidRPr="008E4A05" w:rsidRDefault="008E4A05" w:rsidP="00C27BD8">
      <w:pPr>
        <w:spacing w:after="160" w:line="360" w:lineRule="auto"/>
        <w:contextualSpacing/>
        <w:jc w:val="both"/>
        <w:rPr>
          <w:rFonts w:ascii="Arial" w:hAnsi="Arial" w:cs="Arial"/>
          <w:color w:val="000000" w:themeColor="text1"/>
          <w:sz w:val="24"/>
          <w:szCs w:val="24"/>
          <w:lang w:val="en-US"/>
        </w:rPr>
      </w:pPr>
    </w:p>
    <w:p w:rsidR="008E4A05" w:rsidRPr="008E4A05" w:rsidRDefault="008E4A05" w:rsidP="00C27BD8">
      <w:pPr>
        <w:spacing w:after="160" w:line="360" w:lineRule="auto"/>
        <w:ind w:right="553"/>
        <w:contextualSpacing/>
        <w:jc w:val="both"/>
        <w:rPr>
          <w:rFonts w:ascii="Arial" w:hAnsi="Arial" w:cs="Arial"/>
          <w:color w:val="000000" w:themeColor="text1"/>
          <w:sz w:val="24"/>
          <w:szCs w:val="24"/>
          <w:lang w:val="en-US"/>
        </w:rPr>
      </w:pPr>
      <w:r>
        <w:rPr>
          <w:rFonts w:ascii="Arial" w:hAnsi="Arial" w:cs="Arial"/>
          <w:bCs/>
          <w:color w:val="000000" w:themeColor="text1"/>
          <w:sz w:val="24"/>
          <w:szCs w:val="24"/>
          <w:shd w:val="clear" w:color="auto" w:fill="FFFFFF"/>
          <w:lang w:val="en-US"/>
        </w:rPr>
        <w:t>[6]</w:t>
      </w:r>
      <w:r>
        <w:rPr>
          <w:rFonts w:ascii="Arial" w:hAnsi="Arial" w:cs="Arial"/>
          <w:bCs/>
          <w:color w:val="000000" w:themeColor="text1"/>
          <w:sz w:val="24"/>
          <w:szCs w:val="24"/>
          <w:shd w:val="clear" w:color="auto" w:fill="FFFFFF"/>
          <w:lang w:val="en-US"/>
        </w:rPr>
        <w:tab/>
      </w:r>
      <w:r w:rsidRPr="008E4A05">
        <w:rPr>
          <w:rFonts w:ascii="Arial" w:hAnsi="Arial" w:cs="Arial"/>
          <w:bCs/>
          <w:color w:val="000000" w:themeColor="text1"/>
          <w:sz w:val="24"/>
          <w:szCs w:val="24"/>
          <w:shd w:val="clear" w:color="auto" w:fill="FFFFFF"/>
          <w:lang w:val="en-US"/>
        </w:rPr>
        <w:t xml:space="preserve">However, under common law an offender must escape from </w:t>
      </w:r>
      <w:r w:rsidRPr="008E4A05">
        <w:rPr>
          <w:rFonts w:ascii="Arial" w:hAnsi="Arial" w:cs="Arial"/>
          <w:bCs/>
          <w:i/>
          <w:color w:val="000000" w:themeColor="text1"/>
          <w:sz w:val="24"/>
          <w:szCs w:val="24"/>
          <w:shd w:val="clear" w:color="auto" w:fill="FFFFFF"/>
          <w:lang w:val="en-US"/>
        </w:rPr>
        <w:t>lawful custody</w:t>
      </w:r>
      <w:r w:rsidRPr="008E4A05">
        <w:rPr>
          <w:rFonts w:ascii="Arial" w:hAnsi="Arial" w:cs="Arial"/>
          <w:bCs/>
          <w:color w:val="000000" w:themeColor="text1"/>
          <w:sz w:val="24"/>
          <w:szCs w:val="24"/>
          <w:shd w:val="clear" w:color="auto" w:fill="FFFFFF"/>
          <w:lang w:val="en-US"/>
        </w:rPr>
        <w:t>. Though lawful custody commences immediately after a lawful arrest,</w:t>
      </w:r>
      <w:r w:rsidRPr="008E4A05">
        <w:rPr>
          <w:rFonts w:ascii="Arial" w:hAnsi="Arial" w:cs="Arial"/>
          <w:bCs/>
          <w:color w:val="000000" w:themeColor="text1"/>
          <w:sz w:val="24"/>
          <w:szCs w:val="24"/>
          <w:shd w:val="clear" w:color="auto" w:fill="FFFFFF"/>
          <w:vertAlign w:val="superscript"/>
          <w:lang w:val="en-US"/>
        </w:rPr>
        <w:footnoteReference w:id="1"/>
      </w:r>
      <w:r w:rsidRPr="008E4A05">
        <w:rPr>
          <w:rFonts w:ascii="Arial" w:hAnsi="Arial" w:cs="Arial"/>
          <w:bCs/>
          <w:color w:val="000000" w:themeColor="text1"/>
          <w:sz w:val="24"/>
          <w:szCs w:val="24"/>
          <w:shd w:val="clear" w:color="auto" w:fill="FFFFFF"/>
          <w:lang w:val="en-US"/>
        </w:rPr>
        <w:t xml:space="preserve"> this offence, according to CR </w:t>
      </w:r>
      <w:proofErr w:type="spellStart"/>
      <w:r w:rsidRPr="008E4A05">
        <w:rPr>
          <w:rFonts w:ascii="Arial" w:hAnsi="Arial" w:cs="Arial"/>
          <w:bCs/>
          <w:color w:val="000000" w:themeColor="text1"/>
          <w:sz w:val="24"/>
          <w:szCs w:val="24"/>
          <w:shd w:val="clear" w:color="auto" w:fill="FFFFFF"/>
          <w:lang w:val="en-US"/>
        </w:rPr>
        <w:t>Snyman</w:t>
      </w:r>
      <w:proofErr w:type="spellEnd"/>
      <w:r w:rsidRPr="008E4A05">
        <w:rPr>
          <w:rFonts w:ascii="Arial" w:hAnsi="Arial" w:cs="Arial"/>
          <w:bCs/>
          <w:color w:val="000000" w:themeColor="text1"/>
          <w:sz w:val="24"/>
          <w:szCs w:val="24"/>
          <w:shd w:val="clear" w:color="auto" w:fill="FFFFFF"/>
          <w:vertAlign w:val="superscript"/>
          <w:lang w:val="en-US"/>
        </w:rPr>
        <w:footnoteReference w:id="2"/>
      </w:r>
      <w:r w:rsidRPr="008E4A05">
        <w:rPr>
          <w:rFonts w:ascii="Arial" w:hAnsi="Arial" w:cs="Arial"/>
          <w:bCs/>
          <w:color w:val="000000" w:themeColor="text1"/>
          <w:sz w:val="24"/>
          <w:szCs w:val="24"/>
          <w:shd w:val="clear" w:color="auto" w:fill="FFFFFF"/>
          <w:lang w:val="en-US"/>
        </w:rPr>
        <w:t xml:space="preserve"> </w:t>
      </w:r>
      <w:r w:rsidRPr="008E4A05">
        <w:rPr>
          <w:rFonts w:ascii="Arial" w:hAnsi="Arial" w:cs="Arial"/>
          <w:color w:val="000000" w:themeColor="text1"/>
          <w:sz w:val="24"/>
          <w:szCs w:val="24"/>
          <w:shd w:val="clear" w:color="auto" w:fill="FFFFFF"/>
          <w:lang w:val="en-US"/>
        </w:rPr>
        <w:t xml:space="preserve">is qualified to where an offender </w:t>
      </w:r>
      <w:r w:rsidRPr="008E4A05">
        <w:rPr>
          <w:rFonts w:ascii="Arial" w:hAnsi="Arial" w:cs="Arial"/>
          <w:color w:val="000000" w:themeColor="text1"/>
          <w:sz w:val="24"/>
          <w:szCs w:val="24"/>
          <w:lang w:val="en-US"/>
        </w:rPr>
        <w:t xml:space="preserve">escapes from a prison or other place of lawful detention. </w:t>
      </w:r>
    </w:p>
    <w:p w:rsidR="008E4A05" w:rsidRPr="008E4A05" w:rsidRDefault="008E4A05" w:rsidP="008E4A05">
      <w:pPr>
        <w:spacing w:after="160" w:line="360" w:lineRule="auto"/>
        <w:ind w:left="720" w:right="553"/>
        <w:contextualSpacing/>
        <w:jc w:val="both"/>
        <w:rPr>
          <w:rFonts w:ascii="Arial" w:hAnsi="Arial" w:cs="Arial"/>
          <w:color w:val="000000" w:themeColor="text1"/>
          <w:sz w:val="24"/>
          <w:szCs w:val="24"/>
          <w:lang w:val="en-US"/>
        </w:rPr>
      </w:pPr>
    </w:p>
    <w:p w:rsidR="008E4A05" w:rsidRDefault="008E4A05" w:rsidP="001B0902">
      <w:pPr>
        <w:spacing w:after="160" w:line="360" w:lineRule="auto"/>
        <w:ind w:right="553"/>
        <w:contextualSpacing/>
        <w:jc w:val="both"/>
        <w:rPr>
          <w:rFonts w:ascii="Arial" w:hAnsi="Arial" w:cs="Arial"/>
          <w:sz w:val="24"/>
          <w:szCs w:val="24"/>
          <w:lang w:val="en-US"/>
        </w:rPr>
      </w:pPr>
      <w:r>
        <w:rPr>
          <w:rFonts w:ascii="Arial" w:hAnsi="Arial" w:cs="Arial"/>
          <w:color w:val="000000" w:themeColor="text1"/>
          <w:sz w:val="24"/>
          <w:szCs w:val="24"/>
          <w:lang w:val="en-US"/>
        </w:rPr>
        <w:t>[7]</w:t>
      </w:r>
      <w:r>
        <w:rPr>
          <w:rFonts w:ascii="Arial" w:hAnsi="Arial" w:cs="Arial"/>
          <w:color w:val="000000" w:themeColor="text1"/>
          <w:sz w:val="24"/>
          <w:szCs w:val="24"/>
          <w:lang w:val="en-US"/>
        </w:rPr>
        <w:tab/>
      </w:r>
      <w:r w:rsidRPr="008E4A05">
        <w:rPr>
          <w:rFonts w:ascii="Arial" w:hAnsi="Arial" w:cs="Arial"/>
          <w:color w:val="000000" w:themeColor="text1"/>
          <w:sz w:val="24"/>
          <w:szCs w:val="24"/>
          <w:lang w:val="en-US"/>
        </w:rPr>
        <w:t xml:space="preserve">Therefore, it is clear from the three different forms of escaping that the definitional elements, although similar, are not the same in its nature and application. Section 51 specifically adds the element of ‘before he has been lodged in any correctional facility, police cell or lock-up’, whereas this element is not present in the common law definition, the latter requiring an escape from ‘detention’. Opposed thereto, the offence under </w:t>
      </w:r>
      <w:r w:rsidRPr="008E4A05">
        <w:rPr>
          <w:rFonts w:ascii="Arial" w:hAnsi="Arial" w:cs="Arial"/>
          <w:sz w:val="24"/>
          <w:szCs w:val="24"/>
          <w:lang w:val="en-US"/>
        </w:rPr>
        <w:t xml:space="preserve">Act 9 of 2012 is only applicable to offenders housed in a </w:t>
      </w:r>
      <w:r w:rsidRPr="008E4A05">
        <w:rPr>
          <w:rFonts w:ascii="Arial" w:hAnsi="Arial" w:cs="Arial"/>
          <w:i/>
          <w:sz w:val="24"/>
          <w:szCs w:val="24"/>
          <w:lang w:val="en-US"/>
        </w:rPr>
        <w:t>correctional facility</w:t>
      </w:r>
      <w:r w:rsidRPr="008E4A05">
        <w:rPr>
          <w:rFonts w:ascii="Arial" w:hAnsi="Arial" w:cs="Arial"/>
          <w:sz w:val="24"/>
          <w:szCs w:val="24"/>
          <w:lang w:val="en-US"/>
        </w:rPr>
        <w:t xml:space="preserve">. </w:t>
      </w:r>
    </w:p>
    <w:p w:rsidR="008A0B4B" w:rsidRDefault="008A0B4B" w:rsidP="008E4A05">
      <w:pPr>
        <w:spacing w:after="0" w:line="360" w:lineRule="auto"/>
        <w:jc w:val="both"/>
        <w:rPr>
          <w:rFonts w:ascii="Arial" w:hAnsi="Arial" w:cs="Arial"/>
          <w:sz w:val="24"/>
          <w:szCs w:val="24"/>
        </w:rPr>
      </w:pPr>
    </w:p>
    <w:p w:rsidR="00802D3F" w:rsidRPr="008E4A05" w:rsidRDefault="008E4A05" w:rsidP="001B0902">
      <w:pPr>
        <w:spacing w:after="160" w:line="360" w:lineRule="auto"/>
        <w:ind w:right="553"/>
        <w:contextualSpacing/>
        <w:jc w:val="both"/>
        <w:rPr>
          <w:rFonts w:ascii="Arial" w:hAnsi="Arial" w:cs="Arial"/>
          <w:color w:val="000000" w:themeColor="text1"/>
          <w:sz w:val="24"/>
          <w:szCs w:val="24"/>
          <w:lang w:val="en-US"/>
        </w:rPr>
      </w:pPr>
      <w:r>
        <w:rPr>
          <w:rFonts w:ascii="Arial" w:hAnsi="Arial" w:cs="Arial"/>
          <w:color w:val="000000" w:themeColor="text1"/>
          <w:sz w:val="24"/>
          <w:szCs w:val="24"/>
          <w:lang w:val="en-US"/>
        </w:rPr>
        <w:t>[8]</w:t>
      </w:r>
      <w:r>
        <w:rPr>
          <w:rFonts w:ascii="Arial" w:hAnsi="Arial" w:cs="Arial"/>
          <w:color w:val="000000" w:themeColor="text1"/>
          <w:sz w:val="24"/>
          <w:szCs w:val="24"/>
          <w:lang w:val="en-US"/>
        </w:rPr>
        <w:tab/>
      </w:r>
      <w:r w:rsidRPr="008E4A05">
        <w:rPr>
          <w:rFonts w:ascii="Arial" w:hAnsi="Arial" w:cs="Arial"/>
          <w:color w:val="000000" w:themeColor="text1"/>
          <w:sz w:val="24"/>
          <w:szCs w:val="24"/>
          <w:lang w:val="en-US"/>
        </w:rPr>
        <w:t>The learned magistrate quoted various authorities in a bid to convince this court that a simple substitution of the charges will cure the error. The first of these case</w:t>
      </w:r>
      <w:r w:rsidR="00EC0AC0">
        <w:rPr>
          <w:rFonts w:ascii="Arial" w:hAnsi="Arial" w:cs="Arial"/>
          <w:color w:val="000000" w:themeColor="text1"/>
          <w:sz w:val="24"/>
          <w:szCs w:val="24"/>
          <w:lang w:val="en-US"/>
        </w:rPr>
        <w:t>s</w:t>
      </w:r>
      <w:r w:rsidRPr="008E4A05">
        <w:rPr>
          <w:rFonts w:ascii="Arial" w:hAnsi="Arial" w:cs="Arial"/>
          <w:color w:val="000000" w:themeColor="text1"/>
          <w:sz w:val="24"/>
          <w:szCs w:val="24"/>
          <w:lang w:val="en-US"/>
        </w:rPr>
        <w:t xml:space="preserve"> is </w:t>
      </w:r>
      <w:r w:rsidRPr="008E4A05">
        <w:rPr>
          <w:rFonts w:ascii="Arial" w:hAnsi="Arial" w:cs="Arial"/>
          <w:i/>
          <w:color w:val="000000" w:themeColor="text1"/>
          <w:sz w:val="24"/>
          <w:szCs w:val="24"/>
          <w:lang w:val="en-US"/>
        </w:rPr>
        <w:t xml:space="preserve">S v </w:t>
      </w:r>
      <w:proofErr w:type="spellStart"/>
      <w:r w:rsidRPr="008E4A05">
        <w:rPr>
          <w:rFonts w:ascii="Arial" w:hAnsi="Arial" w:cs="Arial"/>
          <w:i/>
          <w:color w:val="000000" w:themeColor="text1"/>
          <w:sz w:val="24"/>
          <w:szCs w:val="24"/>
          <w:lang w:val="en-US"/>
        </w:rPr>
        <w:t>Nangombe</w:t>
      </w:r>
      <w:proofErr w:type="spellEnd"/>
      <w:r w:rsidR="00C27BD8">
        <w:rPr>
          <w:rFonts w:ascii="Arial" w:hAnsi="Arial" w:cs="Arial"/>
          <w:i/>
          <w:color w:val="000000" w:themeColor="text1"/>
          <w:sz w:val="24"/>
          <w:szCs w:val="24"/>
          <w:lang w:val="en-US"/>
        </w:rPr>
        <w:t>.</w:t>
      </w:r>
      <w:r w:rsidRPr="008E4A05">
        <w:rPr>
          <w:rFonts w:ascii="Arial" w:hAnsi="Arial" w:cs="Arial"/>
          <w:i/>
          <w:color w:val="000000" w:themeColor="text1"/>
          <w:sz w:val="24"/>
          <w:szCs w:val="24"/>
          <w:vertAlign w:val="superscript"/>
          <w:lang w:val="en-US"/>
        </w:rPr>
        <w:footnoteReference w:id="3"/>
      </w:r>
      <w:r w:rsidRPr="008E4A05">
        <w:rPr>
          <w:rFonts w:ascii="Arial" w:hAnsi="Arial" w:cs="Arial"/>
          <w:color w:val="000000" w:themeColor="text1"/>
          <w:sz w:val="24"/>
          <w:szCs w:val="24"/>
          <w:lang w:val="en-US"/>
        </w:rPr>
        <w:t xml:space="preserve"> The magistrate submitted that the accused in </w:t>
      </w:r>
      <w:r w:rsidR="00EC0AC0">
        <w:rPr>
          <w:rFonts w:ascii="Arial" w:hAnsi="Arial" w:cs="Arial"/>
          <w:color w:val="000000" w:themeColor="text1"/>
          <w:sz w:val="24"/>
          <w:szCs w:val="24"/>
          <w:lang w:val="en-US"/>
        </w:rPr>
        <w:t xml:space="preserve">the </w:t>
      </w:r>
      <w:r w:rsidRPr="008E4A05">
        <w:rPr>
          <w:rFonts w:ascii="Arial" w:hAnsi="Arial" w:cs="Arial"/>
          <w:color w:val="000000" w:themeColor="text1"/>
          <w:sz w:val="24"/>
          <w:szCs w:val="24"/>
          <w:lang w:val="en-US"/>
        </w:rPr>
        <w:t>aforementioned matter was convicted based on his plea in terms of section 112 (1)</w:t>
      </w:r>
      <w:r w:rsidRPr="008E4A05">
        <w:rPr>
          <w:rFonts w:ascii="Arial" w:hAnsi="Arial" w:cs="Arial"/>
          <w:i/>
          <w:color w:val="000000" w:themeColor="text1"/>
          <w:sz w:val="24"/>
          <w:szCs w:val="24"/>
          <w:lang w:val="en-US"/>
        </w:rPr>
        <w:t xml:space="preserve"> (b)</w:t>
      </w:r>
      <w:r w:rsidRPr="008E4A05">
        <w:rPr>
          <w:rFonts w:ascii="Arial" w:hAnsi="Arial" w:cs="Arial"/>
          <w:color w:val="000000" w:themeColor="text1"/>
          <w:sz w:val="24"/>
          <w:szCs w:val="24"/>
          <w:lang w:val="en-US"/>
        </w:rPr>
        <w:t xml:space="preserve"> contravening section 51 of the CPA, which was then altered in terms of section 270 of the CPA to the offence of escaping under common law. </w:t>
      </w:r>
    </w:p>
    <w:p w:rsidR="008E4A05" w:rsidRPr="008E4A05" w:rsidRDefault="008E4A05" w:rsidP="00C27BD8">
      <w:pPr>
        <w:spacing w:after="160" w:line="259" w:lineRule="auto"/>
        <w:ind w:right="553"/>
        <w:contextualSpacing/>
        <w:rPr>
          <w:rFonts w:ascii="Arial" w:hAnsi="Arial" w:cs="Arial"/>
          <w:color w:val="000000" w:themeColor="text1"/>
          <w:sz w:val="24"/>
          <w:szCs w:val="24"/>
          <w:lang w:val="en-US"/>
        </w:rPr>
      </w:pPr>
    </w:p>
    <w:p w:rsidR="008E4A05" w:rsidRPr="008E4A05" w:rsidRDefault="008E4A05" w:rsidP="001B0902">
      <w:pPr>
        <w:spacing w:after="0" w:line="360" w:lineRule="auto"/>
        <w:ind w:right="553"/>
        <w:contextualSpacing/>
        <w:jc w:val="both"/>
        <w:rPr>
          <w:rFonts w:ascii="Arial" w:hAnsi="Arial" w:cs="Arial"/>
          <w:color w:val="000000" w:themeColor="text1"/>
          <w:sz w:val="24"/>
          <w:szCs w:val="24"/>
        </w:rPr>
      </w:pPr>
      <w:r>
        <w:rPr>
          <w:rFonts w:ascii="Arial" w:hAnsi="Arial" w:cs="Arial"/>
          <w:color w:val="000000" w:themeColor="text1"/>
          <w:sz w:val="24"/>
          <w:szCs w:val="24"/>
          <w:lang w:val="en-US"/>
        </w:rPr>
        <w:t>[9</w:t>
      </w:r>
      <w:r w:rsidR="00802D3F">
        <w:rPr>
          <w:rFonts w:ascii="Arial" w:hAnsi="Arial" w:cs="Arial"/>
          <w:color w:val="000000" w:themeColor="text1"/>
          <w:sz w:val="24"/>
          <w:szCs w:val="24"/>
          <w:lang w:val="en-US"/>
        </w:rPr>
        <w:t>]</w:t>
      </w:r>
      <w:r w:rsidR="00802D3F">
        <w:rPr>
          <w:rFonts w:ascii="Arial" w:hAnsi="Arial" w:cs="Arial"/>
          <w:color w:val="000000" w:themeColor="text1"/>
          <w:sz w:val="24"/>
          <w:szCs w:val="24"/>
          <w:lang w:val="en-US"/>
        </w:rPr>
        <w:tab/>
      </w:r>
      <w:r w:rsidRPr="008E4A05">
        <w:rPr>
          <w:rFonts w:ascii="Arial" w:hAnsi="Arial" w:cs="Arial"/>
          <w:color w:val="000000" w:themeColor="text1"/>
          <w:sz w:val="24"/>
          <w:szCs w:val="24"/>
          <w:lang w:val="en-US"/>
        </w:rPr>
        <w:t xml:space="preserve">Firstly, on perusal of the </w:t>
      </w:r>
      <w:proofErr w:type="spellStart"/>
      <w:r w:rsidR="00090433">
        <w:rPr>
          <w:rFonts w:ascii="Arial" w:hAnsi="Arial" w:cs="Arial"/>
          <w:i/>
          <w:color w:val="000000" w:themeColor="text1"/>
          <w:sz w:val="24"/>
          <w:szCs w:val="24"/>
          <w:lang w:val="en-US"/>
        </w:rPr>
        <w:t>Nangombe</w:t>
      </w:r>
      <w:proofErr w:type="spellEnd"/>
      <w:r w:rsidRPr="008E4A05">
        <w:rPr>
          <w:rFonts w:ascii="Arial" w:hAnsi="Arial" w:cs="Arial"/>
          <w:color w:val="000000" w:themeColor="text1"/>
          <w:sz w:val="24"/>
          <w:szCs w:val="24"/>
          <w:lang w:val="en-US"/>
        </w:rPr>
        <w:t xml:space="preserve"> matter, it becomes apparent that the accused’s pleaded </w:t>
      </w:r>
      <w:r w:rsidRPr="008E4A05">
        <w:rPr>
          <w:rFonts w:ascii="Arial" w:hAnsi="Arial" w:cs="Arial"/>
          <w:i/>
          <w:color w:val="000000" w:themeColor="text1"/>
          <w:sz w:val="24"/>
          <w:szCs w:val="24"/>
          <w:lang w:val="en-US"/>
        </w:rPr>
        <w:t>not guilty</w:t>
      </w:r>
      <w:r w:rsidRPr="008E4A05">
        <w:rPr>
          <w:rFonts w:ascii="Arial" w:hAnsi="Arial" w:cs="Arial"/>
          <w:color w:val="000000" w:themeColor="text1"/>
          <w:sz w:val="24"/>
          <w:szCs w:val="24"/>
          <w:lang w:val="en-US"/>
        </w:rPr>
        <w:t xml:space="preserve"> and </w:t>
      </w:r>
      <w:r w:rsidR="00EC0AC0">
        <w:rPr>
          <w:rFonts w:ascii="Arial" w:hAnsi="Arial" w:cs="Arial"/>
          <w:color w:val="000000" w:themeColor="text1"/>
          <w:sz w:val="24"/>
          <w:szCs w:val="24"/>
          <w:lang w:val="en-US"/>
        </w:rPr>
        <w:t xml:space="preserve">the </w:t>
      </w:r>
      <w:r w:rsidRPr="008E4A05">
        <w:rPr>
          <w:rFonts w:ascii="Arial" w:hAnsi="Arial" w:cs="Arial"/>
          <w:color w:val="000000" w:themeColor="text1"/>
          <w:sz w:val="24"/>
          <w:szCs w:val="24"/>
          <w:lang w:val="en-US"/>
        </w:rPr>
        <w:t xml:space="preserve">matter proceeded to trial. To this end the magistrate clearly got it wrong </w:t>
      </w:r>
      <w:r w:rsidR="00C2685D">
        <w:rPr>
          <w:rFonts w:ascii="Arial" w:hAnsi="Arial" w:cs="Arial"/>
          <w:color w:val="000000" w:themeColor="text1"/>
          <w:sz w:val="24"/>
          <w:szCs w:val="24"/>
          <w:lang w:val="en-US"/>
        </w:rPr>
        <w:t xml:space="preserve">in her reply </w:t>
      </w:r>
      <w:r w:rsidRPr="008E4A05">
        <w:rPr>
          <w:rFonts w:ascii="Arial" w:hAnsi="Arial" w:cs="Arial"/>
          <w:color w:val="000000" w:themeColor="text1"/>
          <w:sz w:val="24"/>
          <w:szCs w:val="24"/>
          <w:lang w:val="en-US"/>
        </w:rPr>
        <w:t>when stating that the accused was convicted on his plea of guilty</w:t>
      </w:r>
      <w:r w:rsidRPr="008E4A05">
        <w:rPr>
          <w:rFonts w:ascii="Arial" w:hAnsi="Arial" w:cs="Arial"/>
          <w:color w:val="000000" w:themeColor="text1"/>
          <w:sz w:val="24"/>
          <w:szCs w:val="24"/>
        </w:rPr>
        <w:t xml:space="preserve">. Secondly, although the court in the </w:t>
      </w:r>
      <w:proofErr w:type="spellStart"/>
      <w:r w:rsidR="00090433">
        <w:rPr>
          <w:rFonts w:ascii="Arial" w:hAnsi="Arial" w:cs="Arial"/>
          <w:i/>
          <w:color w:val="000000" w:themeColor="text1"/>
          <w:sz w:val="24"/>
          <w:szCs w:val="24"/>
        </w:rPr>
        <w:t>Nangombe</w:t>
      </w:r>
      <w:proofErr w:type="spellEnd"/>
      <w:r w:rsidRPr="008E4A05">
        <w:rPr>
          <w:rFonts w:ascii="Arial" w:hAnsi="Arial" w:cs="Arial"/>
          <w:color w:val="000000" w:themeColor="text1"/>
          <w:sz w:val="24"/>
          <w:szCs w:val="24"/>
        </w:rPr>
        <w:t xml:space="preserve"> matter indeed substituted, on review, a conviction on </w:t>
      </w:r>
      <w:r w:rsidRPr="008E4A05">
        <w:rPr>
          <w:rFonts w:ascii="Arial" w:hAnsi="Arial" w:cs="Arial"/>
          <w:sz w:val="24"/>
          <w:szCs w:val="24"/>
          <w:lang w:val="en-US"/>
        </w:rPr>
        <w:t xml:space="preserve">escaping </w:t>
      </w:r>
      <w:r w:rsidR="00EC0AC0">
        <w:rPr>
          <w:rFonts w:ascii="Arial" w:hAnsi="Arial" w:cs="Arial"/>
          <w:sz w:val="24"/>
          <w:szCs w:val="24"/>
          <w:lang w:val="en-US"/>
        </w:rPr>
        <w:t>in terms of section</w:t>
      </w:r>
      <w:r w:rsidRPr="008E4A05">
        <w:rPr>
          <w:rFonts w:ascii="Arial" w:hAnsi="Arial" w:cs="Arial"/>
          <w:sz w:val="24"/>
          <w:szCs w:val="24"/>
          <w:lang w:val="en-US"/>
        </w:rPr>
        <w:t xml:space="preserve"> 51 of the CPA with a conviction of escaping from lawful custody in terms of common law, this court does not find it to be authority for substitution in t</w:t>
      </w:r>
      <w:r w:rsidR="00EC0AC0">
        <w:rPr>
          <w:rFonts w:ascii="Arial" w:hAnsi="Arial" w:cs="Arial"/>
          <w:sz w:val="24"/>
          <w:szCs w:val="24"/>
          <w:lang w:val="en-US"/>
        </w:rPr>
        <w:t>he current</w:t>
      </w:r>
      <w:r w:rsidRPr="008E4A05">
        <w:rPr>
          <w:rFonts w:ascii="Arial" w:hAnsi="Arial" w:cs="Arial"/>
          <w:sz w:val="24"/>
          <w:szCs w:val="24"/>
          <w:lang w:val="en-US"/>
        </w:rPr>
        <w:t xml:space="preserve"> matter. </w:t>
      </w:r>
    </w:p>
    <w:p w:rsidR="008E4A05" w:rsidRPr="008E4A05" w:rsidRDefault="008E4A05" w:rsidP="00C27BD8">
      <w:pPr>
        <w:spacing w:after="160" w:line="259" w:lineRule="auto"/>
        <w:ind w:right="553"/>
        <w:contextualSpacing/>
        <w:rPr>
          <w:rFonts w:ascii="Arial" w:hAnsi="Arial" w:cs="Arial"/>
          <w:color w:val="000000" w:themeColor="text1"/>
          <w:sz w:val="24"/>
          <w:szCs w:val="24"/>
          <w:lang w:val="en-US"/>
        </w:rPr>
      </w:pPr>
    </w:p>
    <w:p w:rsidR="008E4A05" w:rsidRPr="008E4A05" w:rsidRDefault="008E4A05" w:rsidP="001B0902">
      <w:pPr>
        <w:spacing w:after="160" w:line="360" w:lineRule="auto"/>
        <w:ind w:right="553"/>
        <w:contextualSpacing/>
        <w:jc w:val="both"/>
        <w:rPr>
          <w:rFonts w:ascii="Arial" w:hAnsi="Arial" w:cs="Arial"/>
          <w:color w:val="000000" w:themeColor="text1"/>
          <w:sz w:val="24"/>
          <w:szCs w:val="24"/>
          <w:lang w:val="en-US"/>
        </w:rPr>
      </w:pPr>
      <w:r>
        <w:rPr>
          <w:rFonts w:ascii="Arial" w:hAnsi="Arial" w:cs="Arial"/>
          <w:color w:val="000000" w:themeColor="text1"/>
          <w:sz w:val="24"/>
          <w:szCs w:val="24"/>
          <w:lang w:val="en-US"/>
        </w:rPr>
        <w:t>[10]</w:t>
      </w:r>
      <w:r>
        <w:rPr>
          <w:rFonts w:ascii="Arial" w:hAnsi="Arial" w:cs="Arial"/>
          <w:color w:val="000000" w:themeColor="text1"/>
          <w:sz w:val="24"/>
          <w:szCs w:val="24"/>
          <w:lang w:val="en-US"/>
        </w:rPr>
        <w:tab/>
      </w:r>
      <w:r w:rsidRPr="008E4A05">
        <w:rPr>
          <w:rFonts w:ascii="Arial" w:hAnsi="Arial" w:cs="Arial"/>
          <w:color w:val="000000" w:themeColor="text1"/>
          <w:sz w:val="24"/>
          <w:szCs w:val="24"/>
          <w:lang w:val="en-US"/>
        </w:rPr>
        <w:t xml:space="preserve">Having carefully perused the reasoning in </w:t>
      </w:r>
      <w:r w:rsidRPr="008E4A05">
        <w:rPr>
          <w:rFonts w:ascii="Arial" w:hAnsi="Arial" w:cs="Arial"/>
          <w:i/>
          <w:color w:val="000000" w:themeColor="text1"/>
          <w:sz w:val="24"/>
          <w:szCs w:val="24"/>
          <w:lang w:val="en-US"/>
        </w:rPr>
        <w:t xml:space="preserve">S v </w:t>
      </w:r>
      <w:proofErr w:type="spellStart"/>
      <w:r w:rsidRPr="008E4A05">
        <w:rPr>
          <w:rFonts w:ascii="Arial" w:hAnsi="Arial" w:cs="Arial"/>
          <w:i/>
          <w:color w:val="000000" w:themeColor="text1"/>
          <w:sz w:val="24"/>
          <w:szCs w:val="24"/>
          <w:lang w:val="en-US"/>
        </w:rPr>
        <w:t>Babiep</w:t>
      </w:r>
      <w:proofErr w:type="spellEnd"/>
      <w:r w:rsidRPr="008E4A05">
        <w:rPr>
          <w:rFonts w:ascii="Arial" w:hAnsi="Arial" w:cs="Arial"/>
          <w:i/>
          <w:color w:val="000000" w:themeColor="text1"/>
          <w:sz w:val="24"/>
          <w:szCs w:val="24"/>
          <w:lang w:val="en-US"/>
        </w:rPr>
        <w:t>,</w:t>
      </w:r>
      <w:r w:rsidRPr="008E4A05">
        <w:rPr>
          <w:rFonts w:ascii="Arial" w:hAnsi="Arial" w:cs="Arial"/>
          <w:i/>
          <w:color w:val="000000" w:themeColor="text1"/>
          <w:sz w:val="24"/>
          <w:szCs w:val="24"/>
          <w:vertAlign w:val="superscript"/>
          <w:lang w:val="en-US"/>
        </w:rPr>
        <w:footnoteReference w:id="4"/>
      </w:r>
      <w:r w:rsidRPr="008E4A05">
        <w:rPr>
          <w:rFonts w:ascii="Arial" w:hAnsi="Arial" w:cs="Arial"/>
          <w:color w:val="000000" w:themeColor="text1"/>
          <w:sz w:val="24"/>
          <w:szCs w:val="24"/>
          <w:lang w:val="en-US"/>
        </w:rPr>
        <w:t xml:space="preserve"> the authority used in the </w:t>
      </w:r>
      <w:proofErr w:type="spellStart"/>
      <w:r w:rsidR="00090433">
        <w:rPr>
          <w:rFonts w:ascii="Arial" w:hAnsi="Arial" w:cs="Arial"/>
          <w:i/>
          <w:color w:val="000000" w:themeColor="text1"/>
          <w:sz w:val="24"/>
          <w:szCs w:val="24"/>
          <w:lang w:val="en-US"/>
        </w:rPr>
        <w:t>Nangombe</w:t>
      </w:r>
      <w:proofErr w:type="spellEnd"/>
      <w:r w:rsidRPr="008E4A05">
        <w:rPr>
          <w:rFonts w:ascii="Arial" w:hAnsi="Arial" w:cs="Arial"/>
          <w:i/>
          <w:color w:val="000000" w:themeColor="text1"/>
          <w:sz w:val="24"/>
          <w:szCs w:val="24"/>
          <w:lang w:val="en-US"/>
        </w:rPr>
        <w:t xml:space="preserve"> </w:t>
      </w:r>
      <w:r w:rsidRPr="008E4A05">
        <w:rPr>
          <w:rFonts w:ascii="Arial" w:hAnsi="Arial" w:cs="Arial"/>
          <w:color w:val="000000" w:themeColor="text1"/>
          <w:sz w:val="24"/>
          <w:szCs w:val="24"/>
          <w:lang w:val="en-US"/>
        </w:rPr>
        <w:t xml:space="preserve">matter, its facts are distinguishable to this matter as well as the </w:t>
      </w:r>
      <w:proofErr w:type="spellStart"/>
      <w:r w:rsidR="00090433">
        <w:rPr>
          <w:rFonts w:ascii="Arial" w:hAnsi="Arial" w:cs="Arial"/>
          <w:i/>
          <w:color w:val="000000" w:themeColor="text1"/>
          <w:sz w:val="24"/>
          <w:szCs w:val="24"/>
          <w:lang w:val="en-US"/>
        </w:rPr>
        <w:t>Nangombe</w:t>
      </w:r>
      <w:proofErr w:type="spellEnd"/>
      <w:r w:rsidRPr="008E4A05">
        <w:rPr>
          <w:rFonts w:ascii="Arial" w:hAnsi="Arial" w:cs="Arial"/>
          <w:color w:val="000000" w:themeColor="text1"/>
          <w:sz w:val="24"/>
          <w:szCs w:val="24"/>
          <w:lang w:val="en-US"/>
        </w:rPr>
        <w:t xml:space="preserve"> matter. The facts of the </w:t>
      </w:r>
      <w:proofErr w:type="spellStart"/>
      <w:r w:rsidRPr="008E4A05">
        <w:rPr>
          <w:rFonts w:ascii="Arial" w:hAnsi="Arial" w:cs="Arial"/>
          <w:i/>
          <w:color w:val="000000" w:themeColor="text1"/>
          <w:sz w:val="24"/>
          <w:szCs w:val="24"/>
          <w:lang w:val="en-US"/>
        </w:rPr>
        <w:t>Babiep</w:t>
      </w:r>
      <w:proofErr w:type="spellEnd"/>
      <w:r w:rsidRPr="008E4A05">
        <w:rPr>
          <w:rFonts w:ascii="Arial" w:hAnsi="Arial" w:cs="Arial"/>
          <w:i/>
          <w:color w:val="000000" w:themeColor="text1"/>
          <w:sz w:val="24"/>
          <w:szCs w:val="24"/>
          <w:lang w:val="en-US"/>
        </w:rPr>
        <w:t xml:space="preserve"> </w:t>
      </w:r>
      <w:r w:rsidRPr="008E4A05">
        <w:rPr>
          <w:rFonts w:ascii="Arial" w:hAnsi="Arial" w:cs="Arial"/>
          <w:color w:val="000000" w:themeColor="text1"/>
          <w:sz w:val="24"/>
          <w:szCs w:val="24"/>
          <w:lang w:val="en-US"/>
        </w:rPr>
        <w:t>matter are briefly: The accused was convicted in the district court for escaping from custody under the erstwhile Prisons Act 17 of 1998 (hereafter referred to as the Act). The charge sheet in that matter correctly reflected the elements of the offence of escaping from custody under the said Act, but simply reflected the incorrect section, heading or label. The heading of the charges re</w:t>
      </w:r>
      <w:r w:rsidR="00C27BD8">
        <w:rPr>
          <w:rFonts w:ascii="Arial" w:hAnsi="Arial" w:cs="Arial"/>
          <w:color w:val="000000" w:themeColor="text1"/>
          <w:sz w:val="24"/>
          <w:szCs w:val="24"/>
          <w:lang w:val="en-US"/>
        </w:rPr>
        <w:t>flected contravening section 72</w:t>
      </w:r>
      <w:bookmarkStart w:id="0" w:name="_GoBack"/>
      <w:bookmarkEnd w:id="0"/>
      <w:r w:rsidRPr="00C27BD8">
        <w:rPr>
          <w:rFonts w:ascii="Arial" w:hAnsi="Arial" w:cs="Arial"/>
          <w:i/>
          <w:color w:val="000000" w:themeColor="text1"/>
          <w:sz w:val="24"/>
          <w:szCs w:val="24"/>
          <w:lang w:val="en-US"/>
        </w:rPr>
        <w:t>(a)</w:t>
      </w:r>
      <w:r w:rsidRPr="008E4A05">
        <w:rPr>
          <w:rFonts w:ascii="Arial" w:hAnsi="Arial" w:cs="Arial"/>
          <w:color w:val="000000" w:themeColor="text1"/>
          <w:sz w:val="24"/>
          <w:szCs w:val="24"/>
          <w:lang w:val="en-US"/>
        </w:rPr>
        <w:t xml:space="preserve"> of Act, whereas the correct section applicable was section 75 of the Act. The former related to the offence of assisting a prisoner to escape from enumerated places including any prison. The review court as per </w:t>
      </w:r>
      <w:proofErr w:type="spellStart"/>
      <w:r w:rsidRPr="008E4A05">
        <w:rPr>
          <w:rFonts w:ascii="Arial" w:hAnsi="Arial" w:cs="Arial"/>
          <w:i/>
          <w:color w:val="000000" w:themeColor="text1"/>
          <w:sz w:val="24"/>
          <w:szCs w:val="24"/>
          <w:lang w:val="en-US"/>
        </w:rPr>
        <w:t>Mtambanengwe</w:t>
      </w:r>
      <w:proofErr w:type="spellEnd"/>
      <w:r w:rsidRPr="008E4A05">
        <w:rPr>
          <w:rFonts w:ascii="Arial" w:hAnsi="Arial" w:cs="Arial"/>
          <w:color w:val="000000" w:themeColor="text1"/>
          <w:sz w:val="24"/>
          <w:szCs w:val="24"/>
          <w:lang w:val="en-US"/>
        </w:rPr>
        <w:t xml:space="preserve"> J and </w:t>
      </w:r>
      <w:proofErr w:type="spellStart"/>
      <w:r w:rsidRPr="008E4A05">
        <w:rPr>
          <w:rFonts w:ascii="Arial" w:hAnsi="Arial" w:cs="Arial"/>
          <w:color w:val="000000" w:themeColor="text1"/>
          <w:sz w:val="24"/>
          <w:szCs w:val="24"/>
          <w:lang w:val="en-US"/>
        </w:rPr>
        <w:t>Teek</w:t>
      </w:r>
      <w:proofErr w:type="spellEnd"/>
      <w:r w:rsidRPr="008E4A05">
        <w:rPr>
          <w:rFonts w:ascii="Arial" w:hAnsi="Arial" w:cs="Arial"/>
          <w:color w:val="000000" w:themeColor="text1"/>
          <w:sz w:val="24"/>
          <w:szCs w:val="24"/>
          <w:lang w:val="en-US"/>
        </w:rPr>
        <w:t xml:space="preserve"> J concurring, then utilized section 270 of the CPA to substitute the conviction with one under section 75 of the Act.</w:t>
      </w:r>
    </w:p>
    <w:p w:rsidR="008E4A05" w:rsidRPr="008E4A05" w:rsidRDefault="008E4A05" w:rsidP="00C27BD8">
      <w:pPr>
        <w:spacing w:after="160" w:line="360" w:lineRule="auto"/>
        <w:ind w:right="553"/>
        <w:contextualSpacing/>
        <w:jc w:val="both"/>
        <w:rPr>
          <w:rFonts w:ascii="Arial" w:hAnsi="Arial" w:cs="Arial"/>
          <w:color w:val="000000" w:themeColor="text1"/>
          <w:sz w:val="24"/>
          <w:szCs w:val="24"/>
          <w:lang w:val="en-US"/>
        </w:rPr>
      </w:pPr>
    </w:p>
    <w:p w:rsidR="008E4A05" w:rsidRPr="008E4A05" w:rsidRDefault="008E4A05" w:rsidP="001B0902">
      <w:pPr>
        <w:spacing w:after="160" w:line="360" w:lineRule="auto"/>
        <w:contextualSpacing/>
        <w:jc w:val="both"/>
        <w:rPr>
          <w:rFonts w:ascii="Arial" w:hAnsi="Arial" w:cs="Arial"/>
          <w:color w:val="000000" w:themeColor="text1"/>
          <w:sz w:val="24"/>
          <w:szCs w:val="24"/>
          <w:lang w:val="en-US"/>
        </w:rPr>
      </w:pPr>
      <w:r>
        <w:rPr>
          <w:rFonts w:ascii="Arial" w:hAnsi="Arial" w:cs="Arial"/>
          <w:sz w:val="24"/>
          <w:szCs w:val="24"/>
          <w:lang w:val="en-US"/>
        </w:rPr>
        <w:t>[11]</w:t>
      </w:r>
      <w:r>
        <w:rPr>
          <w:rFonts w:ascii="Arial" w:hAnsi="Arial" w:cs="Arial"/>
          <w:sz w:val="24"/>
          <w:szCs w:val="24"/>
          <w:lang w:val="en-US"/>
        </w:rPr>
        <w:tab/>
      </w:r>
      <w:r w:rsidRPr="008E4A05">
        <w:rPr>
          <w:rFonts w:ascii="Arial" w:hAnsi="Arial" w:cs="Arial"/>
          <w:sz w:val="24"/>
          <w:szCs w:val="24"/>
          <w:lang w:val="en-US"/>
        </w:rPr>
        <w:t>Section 270 of the CPA reads as follows:</w:t>
      </w:r>
    </w:p>
    <w:p w:rsidR="008E4A05" w:rsidRPr="008E4A05" w:rsidRDefault="008E4A05" w:rsidP="008E4A05">
      <w:pPr>
        <w:spacing w:after="160" w:line="259" w:lineRule="auto"/>
        <w:ind w:left="720"/>
        <w:contextualSpacing/>
        <w:rPr>
          <w:rFonts w:ascii="Arial" w:hAnsi="Arial" w:cs="Arial"/>
          <w:lang w:val="en-US"/>
        </w:rPr>
      </w:pPr>
    </w:p>
    <w:p w:rsidR="008E4A05" w:rsidRPr="008E4A05" w:rsidRDefault="008E4A05" w:rsidP="008E4A05">
      <w:pPr>
        <w:spacing w:after="160" w:line="360" w:lineRule="auto"/>
        <w:ind w:left="1080"/>
        <w:jc w:val="both"/>
        <w:rPr>
          <w:rFonts w:ascii="Arial" w:hAnsi="Arial" w:cs="Arial"/>
          <w:color w:val="000000" w:themeColor="text1"/>
          <w:sz w:val="24"/>
          <w:szCs w:val="24"/>
          <w:lang w:val="en-US"/>
        </w:rPr>
      </w:pPr>
      <w:r w:rsidRPr="008E4A05">
        <w:rPr>
          <w:rFonts w:ascii="Arial" w:hAnsi="Arial" w:cs="Arial"/>
          <w:lang w:val="en-US"/>
        </w:rPr>
        <w:lastRenderedPageBreak/>
        <w:t xml:space="preserve">‘Offences not specified in this Chapter </w:t>
      </w:r>
    </w:p>
    <w:p w:rsidR="008E4A05" w:rsidRPr="008E4A05" w:rsidRDefault="008E4A05" w:rsidP="008E4A05">
      <w:pPr>
        <w:spacing w:after="160" w:line="360" w:lineRule="auto"/>
        <w:ind w:left="360" w:right="411"/>
        <w:jc w:val="both"/>
        <w:rPr>
          <w:rFonts w:ascii="Arial" w:hAnsi="Arial" w:cs="Arial"/>
          <w:lang w:val="en-US"/>
        </w:rPr>
      </w:pPr>
      <w:r w:rsidRPr="008E4A05">
        <w:rPr>
          <w:rFonts w:ascii="Arial" w:hAnsi="Arial" w:cs="Arial"/>
          <w:lang w:val="en-US"/>
        </w:rPr>
        <w:t xml:space="preserve">270. If the evidence on a charge for any offence not referred to in the preceding sections of this Chapter does not prove the commission of the offence so charged but proves the commission of an offence </w:t>
      </w:r>
      <w:r w:rsidRPr="008E4A05">
        <w:rPr>
          <w:rFonts w:ascii="Arial" w:hAnsi="Arial" w:cs="Arial"/>
          <w:u w:val="single"/>
          <w:lang w:val="en-US"/>
        </w:rPr>
        <w:t>which by reason of the essential elements of that offence is included in the offence so charged</w:t>
      </w:r>
      <w:r w:rsidRPr="008E4A05">
        <w:rPr>
          <w:rFonts w:ascii="Arial" w:hAnsi="Arial" w:cs="Arial"/>
          <w:lang w:val="en-US"/>
        </w:rPr>
        <w:t>, the accused may be found guilty of the offence so proved.’</w:t>
      </w:r>
    </w:p>
    <w:p w:rsidR="008E4A05" w:rsidRDefault="008E4A05" w:rsidP="008E4A05">
      <w:pPr>
        <w:spacing w:after="160" w:line="360" w:lineRule="auto"/>
        <w:ind w:left="360" w:right="411"/>
        <w:jc w:val="both"/>
        <w:rPr>
          <w:rFonts w:ascii="Arial" w:hAnsi="Arial" w:cs="Arial"/>
          <w:sz w:val="24"/>
          <w:szCs w:val="24"/>
          <w:lang w:val="en-US"/>
        </w:rPr>
      </w:pPr>
      <w:r w:rsidRPr="008E4A05">
        <w:rPr>
          <w:rFonts w:ascii="Arial" w:hAnsi="Arial" w:cs="Arial"/>
          <w:sz w:val="24"/>
          <w:szCs w:val="24"/>
          <w:lang w:val="en-US"/>
        </w:rPr>
        <w:t>(My emphasis)</w:t>
      </w:r>
    </w:p>
    <w:p w:rsidR="008E4A05" w:rsidRPr="008E4A05" w:rsidRDefault="008E4A05" w:rsidP="008E4A05">
      <w:pPr>
        <w:spacing w:after="160" w:line="360" w:lineRule="auto"/>
        <w:ind w:left="360" w:right="411"/>
        <w:jc w:val="both"/>
        <w:rPr>
          <w:rFonts w:ascii="Arial" w:hAnsi="Arial" w:cs="Arial"/>
          <w:sz w:val="24"/>
          <w:szCs w:val="24"/>
          <w:lang w:val="en-US"/>
        </w:rPr>
      </w:pPr>
    </w:p>
    <w:p w:rsidR="008E4A05" w:rsidRPr="008E4A05" w:rsidRDefault="008E4A05" w:rsidP="00C27BD8">
      <w:pPr>
        <w:spacing w:after="160" w:line="360" w:lineRule="auto"/>
        <w:ind w:right="411"/>
        <w:contextualSpacing/>
        <w:jc w:val="both"/>
        <w:rPr>
          <w:rFonts w:ascii="Arial" w:hAnsi="Arial" w:cs="Arial"/>
          <w:color w:val="000000" w:themeColor="text1"/>
          <w:sz w:val="24"/>
          <w:szCs w:val="24"/>
          <w:lang w:val="en-US"/>
        </w:rPr>
      </w:pPr>
      <w:r>
        <w:rPr>
          <w:rFonts w:ascii="Arial" w:hAnsi="Arial" w:cs="Arial"/>
          <w:sz w:val="24"/>
          <w:szCs w:val="24"/>
          <w:lang w:val="en-US"/>
        </w:rPr>
        <w:t>[12]</w:t>
      </w:r>
      <w:r>
        <w:rPr>
          <w:rFonts w:ascii="Arial" w:hAnsi="Arial" w:cs="Arial"/>
          <w:sz w:val="24"/>
          <w:szCs w:val="24"/>
          <w:lang w:val="en-US"/>
        </w:rPr>
        <w:tab/>
      </w:r>
      <w:r w:rsidRPr="008E4A05">
        <w:rPr>
          <w:rFonts w:ascii="Arial" w:hAnsi="Arial" w:cs="Arial"/>
          <w:sz w:val="24"/>
          <w:szCs w:val="24"/>
          <w:lang w:val="en-US"/>
        </w:rPr>
        <w:t xml:space="preserve">It is clear from the quoted section that the offence for which the court may convict, which does not form part of the sections relating to competent verdicts, must be inclusive of the same essential elements of the offence so charged. The learned magistrate as well as the court in the </w:t>
      </w:r>
      <w:proofErr w:type="spellStart"/>
      <w:r w:rsidR="00090433">
        <w:rPr>
          <w:rFonts w:ascii="Arial" w:hAnsi="Arial" w:cs="Arial"/>
          <w:i/>
          <w:sz w:val="24"/>
          <w:szCs w:val="24"/>
          <w:lang w:val="en-US"/>
        </w:rPr>
        <w:t>Nangombe</w:t>
      </w:r>
      <w:proofErr w:type="spellEnd"/>
      <w:r w:rsidRPr="008E4A05">
        <w:rPr>
          <w:rFonts w:ascii="Arial" w:hAnsi="Arial" w:cs="Arial"/>
          <w:i/>
          <w:sz w:val="24"/>
          <w:szCs w:val="24"/>
          <w:lang w:val="en-US"/>
        </w:rPr>
        <w:t xml:space="preserve"> </w:t>
      </w:r>
      <w:r w:rsidRPr="008E4A05">
        <w:rPr>
          <w:rFonts w:ascii="Arial" w:hAnsi="Arial" w:cs="Arial"/>
          <w:sz w:val="24"/>
          <w:szCs w:val="24"/>
          <w:lang w:val="en-US"/>
        </w:rPr>
        <w:t xml:space="preserve">matter failed to have regard to this essential requirement under section 270 of the CPA. </w:t>
      </w:r>
    </w:p>
    <w:p w:rsidR="008E4A05" w:rsidRPr="008E4A05" w:rsidRDefault="008E4A05" w:rsidP="008E4A05">
      <w:pPr>
        <w:spacing w:after="160" w:line="259" w:lineRule="auto"/>
        <w:ind w:left="720"/>
        <w:contextualSpacing/>
        <w:rPr>
          <w:rFonts w:ascii="Arial" w:hAnsi="Arial" w:cs="Arial"/>
          <w:color w:val="000000" w:themeColor="text1"/>
          <w:sz w:val="24"/>
          <w:szCs w:val="24"/>
          <w:lang w:val="en-US"/>
        </w:rPr>
      </w:pPr>
    </w:p>
    <w:p w:rsidR="008E4A05" w:rsidRPr="00C27BD8" w:rsidRDefault="008E4A05" w:rsidP="00C27BD8">
      <w:pPr>
        <w:spacing w:after="160" w:line="360" w:lineRule="auto"/>
        <w:ind w:right="553"/>
        <w:contextualSpacing/>
        <w:jc w:val="both"/>
        <w:rPr>
          <w:rFonts w:ascii="Arial" w:hAnsi="Arial" w:cs="Arial"/>
          <w:color w:val="000000" w:themeColor="text1"/>
          <w:sz w:val="24"/>
          <w:szCs w:val="24"/>
          <w:lang w:val="en-US"/>
        </w:rPr>
      </w:pPr>
      <w:r>
        <w:rPr>
          <w:rFonts w:ascii="Arial" w:hAnsi="Arial" w:cs="Arial"/>
          <w:color w:val="000000" w:themeColor="text1"/>
          <w:sz w:val="24"/>
          <w:szCs w:val="24"/>
          <w:lang w:val="en-US"/>
        </w:rPr>
        <w:t>[13]</w:t>
      </w:r>
      <w:r>
        <w:rPr>
          <w:rFonts w:ascii="Arial" w:hAnsi="Arial" w:cs="Arial"/>
          <w:color w:val="000000" w:themeColor="text1"/>
          <w:sz w:val="24"/>
          <w:szCs w:val="24"/>
          <w:lang w:val="en-US"/>
        </w:rPr>
        <w:tab/>
      </w:r>
      <w:r w:rsidRPr="008E4A05">
        <w:rPr>
          <w:rFonts w:ascii="Arial" w:hAnsi="Arial" w:cs="Arial"/>
          <w:color w:val="000000" w:themeColor="text1"/>
          <w:sz w:val="24"/>
          <w:szCs w:val="24"/>
          <w:lang w:val="en-US"/>
        </w:rPr>
        <w:t xml:space="preserve">The essential aspect in the </w:t>
      </w:r>
      <w:proofErr w:type="spellStart"/>
      <w:r w:rsidRPr="008E4A05">
        <w:rPr>
          <w:rFonts w:ascii="Arial" w:hAnsi="Arial" w:cs="Arial"/>
          <w:i/>
          <w:color w:val="000000" w:themeColor="text1"/>
          <w:sz w:val="24"/>
          <w:szCs w:val="24"/>
          <w:lang w:val="en-US"/>
        </w:rPr>
        <w:t>Babiep</w:t>
      </w:r>
      <w:proofErr w:type="spellEnd"/>
      <w:r w:rsidRPr="008E4A05">
        <w:rPr>
          <w:rFonts w:ascii="Arial" w:hAnsi="Arial" w:cs="Arial"/>
          <w:color w:val="000000" w:themeColor="text1"/>
          <w:sz w:val="24"/>
          <w:szCs w:val="24"/>
          <w:lang w:val="en-US"/>
        </w:rPr>
        <w:t xml:space="preserve"> matter is that the elements of the offence depicted in the charge sheet to which the accused pleaded and the section which it was substituted with, bore the very same material elements of the offence.  In fact the elements of </w:t>
      </w:r>
      <w:r w:rsidRPr="008E4A05">
        <w:rPr>
          <w:rFonts w:ascii="Arial" w:hAnsi="Arial" w:cs="Arial"/>
          <w:i/>
          <w:color w:val="000000" w:themeColor="text1"/>
          <w:sz w:val="24"/>
          <w:szCs w:val="24"/>
          <w:lang w:val="en-US"/>
        </w:rPr>
        <w:t>the offence</w:t>
      </w:r>
      <w:r w:rsidRPr="008E4A05">
        <w:rPr>
          <w:rFonts w:ascii="Arial" w:hAnsi="Arial" w:cs="Arial"/>
          <w:color w:val="000000" w:themeColor="text1"/>
          <w:sz w:val="24"/>
          <w:szCs w:val="24"/>
          <w:lang w:val="en-US"/>
        </w:rPr>
        <w:t xml:space="preserve"> </w:t>
      </w:r>
      <w:r w:rsidRPr="008E4A05">
        <w:rPr>
          <w:rFonts w:ascii="Arial" w:hAnsi="Arial" w:cs="Arial"/>
          <w:i/>
          <w:color w:val="000000" w:themeColor="text1"/>
          <w:sz w:val="24"/>
          <w:szCs w:val="24"/>
          <w:lang w:val="en-US"/>
        </w:rPr>
        <w:t>was correct and remained the same</w:t>
      </w:r>
      <w:r w:rsidRPr="008E4A05">
        <w:rPr>
          <w:rFonts w:ascii="Arial" w:hAnsi="Arial" w:cs="Arial"/>
          <w:color w:val="000000" w:themeColor="text1"/>
          <w:sz w:val="24"/>
          <w:szCs w:val="24"/>
          <w:lang w:val="en-US"/>
        </w:rPr>
        <w:t xml:space="preserve">. Thereby making section 270 of the CPA applicable. In our view, section 270 of the CPA was correctly applied in the </w:t>
      </w:r>
      <w:proofErr w:type="spellStart"/>
      <w:r w:rsidRPr="008E4A05">
        <w:rPr>
          <w:rFonts w:ascii="Arial" w:hAnsi="Arial" w:cs="Arial"/>
          <w:i/>
          <w:color w:val="000000" w:themeColor="text1"/>
          <w:sz w:val="24"/>
          <w:szCs w:val="24"/>
          <w:lang w:val="en-US"/>
        </w:rPr>
        <w:t>Babiep</w:t>
      </w:r>
      <w:proofErr w:type="spellEnd"/>
      <w:r w:rsidRPr="008E4A05">
        <w:rPr>
          <w:rFonts w:ascii="Arial" w:hAnsi="Arial" w:cs="Arial"/>
          <w:i/>
          <w:color w:val="000000" w:themeColor="text1"/>
          <w:sz w:val="24"/>
          <w:szCs w:val="24"/>
          <w:lang w:val="en-US"/>
        </w:rPr>
        <w:t xml:space="preserve"> </w:t>
      </w:r>
      <w:r w:rsidRPr="008E4A05">
        <w:rPr>
          <w:rFonts w:ascii="Arial" w:hAnsi="Arial" w:cs="Arial"/>
          <w:color w:val="000000" w:themeColor="text1"/>
          <w:sz w:val="24"/>
          <w:szCs w:val="24"/>
          <w:lang w:val="en-US"/>
        </w:rPr>
        <w:t xml:space="preserve">matter as the issue was simple the incorrect label or heading of the charge. However, with respect, section 270 of the CPA was not applicable to the </w:t>
      </w:r>
      <w:proofErr w:type="spellStart"/>
      <w:r w:rsidR="00090433">
        <w:rPr>
          <w:rFonts w:ascii="Arial" w:hAnsi="Arial" w:cs="Arial"/>
          <w:i/>
          <w:color w:val="000000" w:themeColor="text1"/>
          <w:sz w:val="24"/>
          <w:szCs w:val="24"/>
          <w:lang w:val="en-US"/>
        </w:rPr>
        <w:t>Nangombe</w:t>
      </w:r>
      <w:proofErr w:type="spellEnd"/>
      <w:r w:rsidRPr="008E4A05">
        <w:rPr>
          <w:rFonts w:ascii="Arial" w:hAnsi="Arial" w:cs="Arial"/>
          <w:color w:val="000000" w:themeColor="text1"/>
          <w:sz w:val="24"/>
          <w:szCs w:val="24"/>
          <w:lang w:val="en-US"/>
        </w:rPr>
        <w:t xml:space="preserve"> matter and therefore incorrectly applied therein, as the elements of the two offences namely, </w:t>
      </w:r>
      <w:r w:rsidRPr="008E4A05">
        <w:rPr>
          <w:rFonts w:ascii="Arial" w:hAnsi="Arial" w:cs="Arial"/>
          <w:sz w:val="24"/>
          <w:szCs w:val="24"/>
          <w:lang w:val="en-US"/>
        </w:rPr>
        <w:t xml:space="preserve">escaping in terms of </w:t>
      </w:r>
      <w:r w:rsidR="00C2685D">
        <w:rPr>
          <w:rFonts w:ascii="Arial" w:hAnsi="Arial" w:cs="Arial"/>
          <w:sz w:val="24"/>
          <w:szCs w:val="24"/>
          <w:lang w:val="en-US"/>
        </w:rPr>
        <w:t xml:space="preserve">s </w:t>
      </w:r>
      <w:r w:rsidRPr="008E4A05">
        <w:rPr>
          <w:rFonts w:ascii="Arial" w:hAnsi="Arial" w:cs="Arial"/>
          <w:sz w:val="24"/>
          <w:szCs w:val="24"/>
          <w:lang w:val="en-US"/>
        </w:rPr>
        <w:t xml:space="preserve">51 of the CPA </w:t>
      </w:r>
      <w:r w:rsidR="00C2685D">
        <w:rPr>
          <w:rFonts w:ascii="Arial" w:hAnsi="Arial" w:cs="Arial"/>
          <w:sz w:val="24"/>
          <w:szCs w:val="24"/>
          <w:lang w:val="en-US"/>
        </w:rPr>
        <w:t>and</w:t>
      </w:r>
      <w:r w:rsidRPr="008E4A05">
        <w:rPr>
          <w:rFonts w:ascii="Arial" w:hAnsi="Arial" w:cs="Arial"/>
          <w:sz w:val="24"/>
          <w:szCs w:val="24"/>
          <w:lang w:val="en-US"/>
        </w:rPr>
        <w:t xml:space="preserve"> escaping from lawful custody in terms of common law, clearly differ.</w:t>
      </w:r>
    </w:p>
    <w:p w:rsidR="008E4A05" w:rsidRPr="008E4A05" w:rsidRDefault="008E4A05" w:rsidP="00C27BD8">
      <w:pPr>
        <w:tabs>
          <w:tab w:val="left" w:pos="2892"/>
        </w:tabs>
        <w:spacing w:after="160" w:line="360" w:lineRule="auto"/>
        <w:contextualSpacing/>
        <w:jc w:val="both"/>
        <w:rPr>
          <w:rFonts w:ascii="Arial" w:hAnsi="Arial" w:cs="Arial"/>
          <w:color w:val="000000" w:themeColor="text1"/>
          <w:sz w:val="24"/>
          <w:szCs w:val="24"/>
          <w:lang w:val="en-US"/>
        </w:rPr>
      </w:pPr>
    </w:p>
    <w:p w:rsidR="008E4A05" w:rsidRPr="00C27BD8" w:rsidRDefault="008E4A05" w:rsidP="00C27BD8">
      <w:pPr>
        <w:tabs>
          <w:tab w:val="left" w:pos="426"/>
        </w:tabs>
        <w:spacing w:after="0" w:line="360" w:lineRule="auto"/>
        <w:ind w:right="553"/>
        <w:contextualSpacing/>
        <w:jc w:val="both"/>
        <w:rPr>
          <w:rFonts w:ascii="Arial" w:hAnsi="Arial" w:cs="Arial"/>
          <w:color w:val="000000" w:themeColor="text1"/>
          <w:sz w:val="24"/>
          <w:szCs w:val="24"/>
        </w:rPr>
      </w:pPr>
      <w:r>
        <w:rPr>
          <w:rFonts w:ascii="Arial" w:hAnsi="Arial" w:cs="Arial"/>
          <w:color w:val="000000" w:themeColor="text1"/>
          <w:sz w:val="24"/>
          <w:szCs w:val="24"/>
          <w:lang w:val="en-US"/>
        </w:rPr>
        <w:t>[14]</w:t>
      </w:r>
      <w:r>
        <w:rPr>
          <w:rFonts w:ascii="Arial" w:hAnsi="Arial" w:cs="Arial"/>
          <w:color w:val="000000" w:themeColor="text1"/>
          <w:sz w:val="24"/>
          <w:szCs w:val="24"/>
          <w:lang w:val="en-US"/>
        </w:rPr>
        <w:tab/>
      </w:r>
      <w:r w:rsidR="001B0902">
        <w:rPr>
          <w:rFonts w:ascii="Arial" w:hAnsi="Arial" w:cs="Arial"/>
          <w:color w:val="000000" w:themeColor="text1"/>
          <w:sz w:val="24"/>
          <w:szCs w:val="24"/>
          <w:lang w:val="en-US"/>
        </w:rPr>
        <w:tab/>
      </w:r>
      <w:r w:rsidRPr="008E4A05">
        <w:rPr>
          <w:rFonts w:ascii="Arial" w:hAnsi="Arial" w:cs="Arial"/>
          <w:color w:val="000000" w:themeColor="text1"/>
          <w:sz w:val="24"/>
          <w:szCs w:val="24"/>
          <w:lang w:val="en-US"/>
        </w:rPr>
        <w:t xml:space="preserve">Suffice it to say that if we were to adhere to the magistrate’s request and substitute the </w:t>
      </w:r>
      <w:r w:rsidR="00802D3F">
        <w:rPr>
          <w:rFonts w:ascii="Arial" w:hAnsi="Arial" w:cs="Arial"/>
          <w:color w:val="000000" w:themeColor="text1"/>
          <w:sz w:val="24"/>
          <w:szCs w:val="24"/>
          <w:lang w:val="en-US"/>
        </w:rPr>
        <w:t>charge of common law escaping with</w:t>
      </w:r>
      <w:r w:rsidRPr="008E4A05">
        <w:rPr>
          <w:rFonts w:ascii="Arial" w:hAnsi="Arial" w:cs="Arial"/>
          <w:color w:val="000000" w:themeColor="text1"/>
          <w:sz w:val="24"/>
          <w:szCs w:val="24"/>
          <w:lang w:val="en-US"/>
        </w:rPr>
        <w:t xml:space="preserve"> a contravention under section 51 of the CPA, on review, it would be adding an additional element to the particulars of the charge as set out in para 7 above. Moreover, this would fall outside the ambit of section 270 of the CPA. Neither section 86 or 88 of the CPA allows for the substitution of a charge, least between statutory and common law offences. These provisions only provide for the correcting or curing of a defect of </w:t>
      </w:r>
      <w:r w:rsidRPr="008E4A05">
        <w:rPr>
          <w:rFonts w:ascii="Arial" w:hAnsi="Arial" w:cs="Arial"/>
          <w:color w:val="000000" w:themeColor="text1"/>
          <w:sz w:val="24"/>
          <w:szCs w:val="24"/>
          <w:lang w:val="en-US"/>
        </w:rPr>
        <w:lastRenderedPageBreak/>
        <w:t>an existing charge and not its substitution.</w:t>
      </w:r>
      <w:r w:rsidRPr="008E4A05">
        <w:rPr>
          <w:rFonts w:ascii="Arial" w:hAnsi="Arial" w:cs="Arial"/>
          <w:color w:val="000000" w:themeColor="text1"/>
          <w:sz w:val="24"/>
          <w:szCs w:val="24"/>
          <w:vertAlign w:val="superscript"/>
          <w:lang w:val="en-US"/>
        </w:rPr>
        <w:footnoteReference w:id="5"/>
      </w:r>
      <w:r w:rsidRPr="008E4A05">
        <w:rPr>
          <w:rFonts w:ascii="Arial" w:hAnsi="Arial" w:cs="Arial"/>
          <w:color w:val="000000" w:themeColor="text1"/>
          <w:sz w:val="24"/>
          <w:szCs w:val="24"/>
          <w:lang w:val="en-US"/>
        </w:rPr>
        <w:t xml:space="preserve">  It follows that this court has no powers</w:t>
      </w:r>
      <w:r w:rsidR="00802D3F">
        <w:rPr>
          <w:rFonts w:ascii="Arial" w:hAnsi="Arial" w:cs="Arial"/>
          <w:color w:val="000000" w:themeColor="text1"/>
          <w:sz w:val="24"/>
          <w:szCs w:val="24"/>
          <w:lang w:val="en-US"/>
        </w:rPr>
        <w:t>, on review,</w:t>
      </w:r>
      <w:r w:rsidRPr="008E4A05">
        <w:rPr>
          <w:rFonts w:ascii="Arial" w:hAnsi="Arial" w:cs="Arial"/>
          <w:color w:val="000000" w:themeColor="text1"/>
          <w:sz w:val="24"/>
          <w:szCs w:val="24"/>
          <w:lang w:val="en-US"/>
        </w:rPr>
        <w:t xml:space="preserve"> to </w:t>
      </w:r>
      <w:r w:rsidR="00802D3F" w:rsidRPr="008E4A05">
        <w:rPr>
          <w:rFonts w:ascii="Arial" w:hAnsi="Arial" w:cs="Arial"/>
          <w:color w:val="000000" w:themeColor="text1"/>
          <w:sz w:val="24"/>
          <w:szCs w:val="24"/>
          <w:lang w:val="en-US"/>
        </w:rPr>
        <w:t xml:space="preserve">substitute the charge of common law escaping </w:t>
      </w:r>
      <w:r w:rsidR="00802D3F">
        <w:rPr>
          <w:rFonts w:ascii="Arial" w:hAnsi="Arial" w:cs="Arial"/>
          <w:color w:val="000000" w:themeColor="text1"/>
          <w:sz w:val="24"/>
          <w:szCs w:val="24"/>
          <w:lang w:val="en-US"/>
        </w:rPr>
        <w:t>with</w:t>
      </w:r>
      <w:r w:rsidR="00802D3F" w:rsidRPr="008E4A05">
        <w:rPr>
          <w:rFonts w:ascii="Arial" w:hAnsi="Arial" w:cs="Arial"/>
          <w:color w:val="000000" w:themeColor="text1"/>
          <w:sz w:val="24"/>
          <w:szCs w:val="24"/>
          <w:lang w:val="en-US"/>
        </w:rPr>
        <w:t xml:space="preserve"> a contravention under section 51 of the CPA </w:t>
      </w:r>
      <w:r w:rsidRPr="008E4A05">
        <w:rPr>
          <w:rFonts w:ascii="Arial" w:hAnsi="Arial" w:cs="Arial"/>
          <w:color w:val="000000" w:themeColor="text1"/>
          <w:sz w:val="24"/>
          <w:szCs w:val="24"/>
          <w:lang w:val="en-US"/>
        </w:rPr>
        <w:t xml:space="preserve">and declines to do so. </w:t>
      </w:r>
      <w:r w:rsidR="00802D3F">
        <w:rPr>
          <w:rStyle w:val="FootnoteReference"/>
          <w:rFonts w:ascii="Arial" w:hAnsi="Arial" w:cs="Arial"/>
          <w:color w:val="000000" w:themeColor="text1"/>
          <w:sz w:val="24"/>
          <w:szCs w:val="24"/>
          <w:lang w:val="en-US"/>
        </w:rPr>
        <w:footnoteReference w:id="6"/>
      </w:r>
    </w:p>
    <w:p w:rsidR="008E4A05" w:rsidRPr="008E4A05" w:rsidRDefault="008E4A05" w:rsidP="008E4A05">
      <w:pPr>
        <w:tabs>
          <w:tab w:val="left" w:pos="2892"/>
        </w:tabs>
        <w:spacing w:after="160" w:line="259" w:lineRule="auto"/>
        <w:ind w:left="720"/>
        <w:contextualSpacing/>
        <w:rPr>
          <w:rFonts w:ascii="Arial" w:hAnsi="Arial" w:cs="Arial"/>
          <w:sz w:val="24"/>
          <w:szCs w:val="24"/>
          <w:lang w:val="en-US"/>
        </w:rPr>
      </w:pPr>
    </w:p>
    <w:p w:rsidR="008E4A05" w:rsidRDefault="008E4A05" w:rsidP="001B0902">
      <w:pPr>
        <w:tabs>
          <w:tab w:val="left" w:pos="426"/>
        </w:tabs>
        <w:spacing w:after="160" w:line="360" w:lineRule="auto"/>
        <w:ind w:right="553"/>
        <w:contextualSpacing/>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1B0902">
        <w:rPr>
          <w:rFonts w:ascii="Arial" w:hAnsi="Arial" w:cs="Arial"/>
          <w:sz w:val="24"/>
          <w:szCs w:val="24"/>
          <w:lang w:val="en-US"/>
        </w:rPr>
        <w:tab/>
      </w:r>
      <w:r w:rsidRPr="008E4A05">
        <w:rPr>
          <w:rFonts w:ascii="Arial" w:hAnsi="Arial" w:cs="Arial"/>
          <w:sz w:val="24"/>
          <w:szCs w:val="24"/>
          <w:lang w:val="en-US"/>
        </w:rPr>
        <w:t>Moreover, the two offences, albeit dealing with ‘escaping’ involve distinctive elements which may require additional evidence to be led in order to prove each offence. In other words, evidence sufficient to secure a conviction under common law may not be sufficient to secure same under section 51 of the CPA.</w:t>
      </w:r>
    </w:p>
    <w:p w:rsidR="008E4A05" w:rsidRDefault="008E4A05" w:rsidP="008E4A05">
      <w:pPr>
        <w:spacing w:after="0" w:line="360" w:lineRule="auto"/>
        <w:jc w:val="both"/>
        <w:rPr>
          <w:rFonts w:ascii="Arial" w:hAnsi="Arial" w:cs="Arial"/>
          <w:sz w:val="24"/>
          <w:szCs w:val="24"/>
        </w:rPr>
      </w:pPr>
    </w:p>
    <w:p w:rsidR="008E4A05" w:rsidRPr="008E4A05" w:rsidRDefault="008E4A05" w:rsidP="001B0902">
      <w:pPr>
        <w:spacing w:after="160" w:line="360" w:lineRule="auto"/>
        <w:ind w:right="553"/>
        <w:contextualSpacing/>
        <w:jc w:val="both"/>
        <w:rPr>
          <w:rFonts w:ascii="Arial" w:hAnsi="Arial" w:cs="Arial"/>
          <w:color w:val="000000" w:themeColor="text1"/>
          <w:sz w:val="24"/>
          <w:szCs w:val="24"/>
          <w:lang w:val="en-US"/>
        </w:rPr>
      </w:pPr>
      <w:r>
        <w:rPr>
          <w:rFonts w:ascii="Arial" w:hAnsi="Arial" w:cs="Arial"/>
          <w:color w:val="000000" w:themeColor="text1"/>
          <w:sz w:val="24"/>
          <w:szCs w:val="24"/>
          <w:lang w:val="en-US"/>
        </w:rPr>
        <w:t>[16]</w:t>
      </w:r>
      <w:r>
        <w:rPr>
          <w:rFonts w:ascii="Arial" w:hAnsi="Arial" w:cs="Arial"/>
          <w:color w:val="000000" w:themeColor="text1"/>
          <w:sz w:val="24"/>
          <w:szCs w:val="24"/>
          <w:lang w:val="en-US"/>
        </w:rPr>
        <w:tab/>
      </w:r>
      <w:r w:rsidRPr="008E4A05">
        <w:rPr>
          <w:rFonts w:ascii="Arial" w:hAnsi="Arial" w:cs="Arial"/>
          <w:color w:val="000000" w:themeColor="text1"/>
          <w:sz w:val="24"/>
          <w:szCs w:val="24"/>
          <w:lang w:val="en-US"/>
        </w:rPr>
        <w:t xml:space="preserve">The learned magistrate cited the matters of </w:t>
      </w:r>
      <w:r w:rsidRPr="008E4A05">
        <w:rPr>
          <w:rFonts w:ascii="Arial" w:hAnsi="Arial" w:cs="Arial"/>
          <w:i/>
          <w:color w:val="000000" w:themeColor="text1"/>
          <w:sz w:val="24"/>
          <w:szCs w:val="24"/>
          <w:lang w:val="en-US"/>
        </w:rPr>
        <w:t>S v Korner</w:t>
      </w:r>
      <w:r w:rsidRPr="008E4A05">
        <w:rPr>
          <w:rFonts w:ascii="Arial" w:hAnsi="Arial" w:cs="Arial"/>
          <w:color w:val="000000" w:themeColor="text1"/>
          <w:sz w:val="24"/>
          <w:szCs w:val="24"/>
          <w:lang w:val="en-US"/>
        </w:rPr>
        <w:t xml:space="preserve"> (CR 66/2019) [2019] NAHCMD 348 (18 September 2019); </w:t>
      </w:r>
      <w:r w:rsidRPr="008E4A05">
        <w:rPr>
          <w:rFonts w:ascii="Arial" w:hAnsi="Arial" w:cs="Arial"/>
          <w:i/>
          <w:color w:val="000000" w:themeColor="text1"/>
          <w:sz w:val="24"/>
          <w:szCs w:val="24"/>
          <w:lang w:val="en-US"/>
        </w:rPr>
        <w:t xml:space="preserve">S v </w:t>
      </w:r>
      <w:proofErr w:type="spellStart"/>
      <w:r w:rsidRPr="008E4A05">
        <w:rPr>
          <w:rFonts w:ascii="Arial" w:hAnsi="Arial" w:cs="Arial"/>
          <w:i/>
          <w:color w:val="000000" w:themeColor="text1"/>
          <w:sz w:val="24"/>
          <w:szCs w:val="24"/>
          <w:lang w:val="en-US"/>
        </w:rPr>
        <w:t>Kapia</w:t>
      </w:r>
      <w:proofErr w:type="spellEnd"/>
      <w:r w:rsidRPr="008E4A05">
        <w:rPr>
          <w:rFonts w:ascii="Arial" w:hAnsi="Arial" w:cs="Arial"/>
          <w:color w:val="000000" w:themeColor="text1"/>
          <w:sz w:val="24"/>
          <w:szCs w:val="24"/>
          <w:lang w:val="en-US"/>
        </w:rPr>
        <w:t xml:space="preserve"> (CR 30/2020) NAHCMD 171 (13 May 2020); </w:t>
      </w:r>
      <w:r w:rsidRPr="008E4A05">
        <w:rPr>
          <w:rFonts w:ascii="Arial" w:hAnsi="Arial" w:cs="Arial"/>
          <w:i/>
          <w:color w:val="000000" w:themeColor="text1"/>
          <w:sz w:val="24"/>
          <w:szCs w:val="24"/>
          <w:lang w:val="en-US"/>
        </w:rPr>
        <w:t xml:space="preserve">S v </w:t>
      </w:r>
      <w:proofErr w:type="spellStart"/>
      <w:r w:rsidRPr="008E4A05">
        <w:rPr>
          <w:rFonts w:ascii="Arial" w:hAnsi="Arial" w:cs="Arial"/>
          <w:i/>
          <w:color w:val="000000" w:themeColor="text1"/>
          <w:sz w:val="24"/>
          <w:szCs w:val="24"/>
          <w:lang w:val="en-US"/>
        </w:rPr>
        <w:t>Kapi</w:t>
      </w:r>
      <w:proofErr w:type="spellEnd"/>
      <w:r w:rsidRPr="008E4A05">
        <w:rPr>
          <w:rFonts w:ascii="Arial" w:hAnsi="Arial" w:cs="Arial"/>
          <w:color w:val="000000" w:themeColor="text1"/>
          <w:sz w:val="24"/>
          <w:szCs w:val="24"/>
          <w:lang w:val="en-US"/>
        </w:rPr>
        <w:t xml:space="preserve"> (CR 31/2020) [2020] NAHCNLD 68 (10 June 2020); and </w:t>
      </w:r>
      <w:r w:rsidRPr="008E4A05">
        <w:rPr>
          <w:rFonts w:ascii="Arial" w:hAnsi="Arial" w:cs="Arial"/>
          <w:i/>
          <w:color w:val="000000" w:themeColor="text1"/>
          <w:sz w:val="24"/>
          <w:szCs w:val="24"/>
          <w:lang w:val="en-US"/>
        </w:rPr>
        <w:t xml:space="preserve">S v </w:t>
      </w:r>
      <w:proofErr w:type="spellStart"/>
      <w:r w:rsidRPr="008E4A05">
        <w:rPr>
          <w:rFonts w:ascii="Arial" w:hAnsi="Arial" w:cs="Arial"/>
          <w:i/>
          <w:color w:val="000000" w:themeColor="text1"/>
          <w:sz w:val="24"/>
          <w:szCs w:val="24"/>
          <w:lang w:val="en-US"/>
        </w:rPr>
        <w:t>Cloete</w:t>
      </w:r>
      <w:proofErr w:type="spellEnd"/>
      <w:r w:rsidRPr="008E4A05">
        <w:rPr>
          <w:rFonts w:ascii="Arial" w:hAnsi="Arial" w:cs="Arial"/>
          <w:i/>
          <w:color w:val="000000" w:themeColor="text1"/>
          <w:sz w:val="24"/>
          <w:szCs w:val="24"/>
          <w:lang w:val="en-US"/>
        </w:rPr>
        <w:t xml:space="preserve"> </w:t>
      </w:r>
      <w:r w:rsidRPr="008E4A05">
        <w:rPr>
          <w:rFonts w:ascii="Arial" w:hAnsi="Arial" w:cs="Arial"/>
          <w:color w:val="000000" w:themeColor="text1"/>
          <w:sz w:val="24"/>
          <w:szCs w:val="24"/>
          <w:lang w:val="en-US"/>
        </w:rPr>
        <w:t>(CR 41/2020) [2020] NAHCMD 240 (22 June 2020). However, the learned magistrate completely misses the point as these matters do not find application and are therefore of no assistance to the review court. These matters deal with instances where the incorrec</w:t>
      </w:r>
      <w:r w:rsidR="00C2685D">
        <w:rPr>
          <w:rFonts w:ascii="Arial" w:hAnsi="Arial" w:cs="Arial"/>
          <w:color w:val="000000" w:themeColor="text1"/>
          <w:sz w:val="24"/>
          <w:szCs w:val="24"/>
          <w:lang w:val="en-US"/>
        </w:rPr>
        <w:t>t label was attached to a charge and</w:t>
      </w:r>
      <w:r w:rsidRPr="008E4A05">
        <w:rPr>
          <w:rFonts w:ascii="Arial" w:hAnsi="Arial" w:cs="Arial"/>
          <w:color w:val="000000" w:themeColor="text1"/>
          <w:sz w:val="24"/>
          <w:szCs w:val="24"/>
          <w:lang w:val="en-US"/>
        </w:rPr>
        <w:t xml:space="preserve"> where the body or description of the charge</w:t>
      </w:r>
      <w:r w:rsidR="00C2685D">
        <w:rPr>
          <w:rFonts w:ascii="Arial" w:hAnsi="Arial" w:cs="Arial"/>
          <w:color w:val="000000" w:themeColor="text1"/>
          <w:sz w:val="24"/>
          <w:szCs w:val="24"/>
          <w:lang w:val="en-US"/>
        </w:rPr>
        <w:t xml:space="preserve"> to which the accused pleaded guilty and admitted</w:t>
      </w:r>
      <w:r w:rsidRPr="008E4A05">
        <w:rPr>
          <w:rFonts w:ascii="Arial" w:hAnsi="Arial" w:cs="Arial"/>
          <w:color w:val="000000" w:themeColor="text1"/>
          <w:sz w:val="24"/>
          <w:szCs w:val="24"/>
          <w:lang w:val="en-US"/>
        </w:rPr>
        <w:t xml:space="preserve"> was clear and unambiguous. It is trite that where there is no defect in the body or description of the charge, but where there is an error merely in quoting the statutory provision by using the wrong ‘label’, this may be corrected on review, provided the court is of the opinion that it will not result in a failure of justice or prejudice the accused. </w:t>
      </w:r>
    </w:p>
    <w:p w:rsidR="008E4A05" w:rsidRPr="008E4A05" w:rsidRDefault="008E4A05" w:rsidP="001B0902">
      <w:pPr>
        <w:spacing w:after="160" w:line="360" w:lineRule="auto"/>
        <w:contextualSpacing/>
        <w:jc w:val="both"/>
        <w:rPr>
          <w:rFonts w:ascii="Arial" w:hAnsi="Arial" w:cs="Arial"/>
          <w:color w:val="000000" w:themeColor="text1"/>
          <w:sz w:val="24"/>
          <w:szCs w:val="24"/>
          <w:lang w:val="en-US"/>
        </w:rPr>
      </w:pPr>
    </w:p>
    <w:p w:rsidR="008A0B4B" w:rsidRPr="00C27BD8" w:rsidRDefault="008E4A05" w:rsidP="00C27BD8">
      <w:pPr>
        <w:spacing w:after="160" w:line="360" w:lineRule="auto"/>
        <w:ind w:right="553"/>
        <w:contextualSpacing/>
        <w:jc w:val="both"/>
        <w:rPr>
          <w:rFonts w:ascii="Arial" w:hAnsi="Arial" w:cs="Arial"/>
          <w:color w:val="000000" w:themeColor="text1"/>
          <w:sz w:val="24"/>
          <w:szCs w:val="24"/>
          <w:lang w:val="en-US"/>
        </w:rPr>
      </w:pPr>
      <w:r>
        <w:rPr>
          <w:rFonts w:ascii="Arial" w:hAnsi="Arial" w:cs="Arial"/>
          <w:color w:val="000000" w:themeColor="text1"/>
          <w:sz w:val="24"/>
          <w:szCs w:val="24"/>
          <w:lang w:val="en-US"/>
        </w:rPr>
        <w:t>[17]</w:t>
      </w:r>
      <w:r>
        <w:rPr>
          <w:rFonts w:ascii="Arial" w:hAnsi="Arial" w:cs="Arial"/>
          <w:color w:val="000000" w:themeColor="text1"/>
          <w:sz w:val="24"/>
          <w:szCs w:val="24"/>
          <w:lang w:val="en-US"/>
        </w:rPr>
        <w:tab/>
      </w:r>
      <w:r w:rsidRPr="008E4A05">
        <w:rPr>
          <w:rFonts w:ascii="Arial" w:hAnsi="Arial" w:cs="Arial"/>
          <w:color w:val="000000" w:themeColor="text1"/>
          <w:sz w:val="24"/>
          <w:szCs w:val="24"/>
          <w:lang w:val="en-US"/>
        </w:rPr>
        <w:t xml:space="preserve">Now turning to the way forward in this matter. The state preferred the charge of common law escaping. It was then incumbent on the learned magistrate during her section 112 (1) </w:t>
      </w:r>
      <w:r w:rsidRPr="008E4A05">
        <w:rPr>
          <w:rFonts w:ascii="Arial" w:hAnsi="Arial" w:cs="Arial"/>
          <w:i/>
          <w:color w:val="000000" w:themeColor="text1"/>
          <w:sz w:val="24"/>
          <w:szCs w:val="24"/>
          <w:lang w:val="en-US"/>
        </w:rPr>
        <w:t>(b)</w:t>
      </w:r>
      <w:r w:rsidRPr="008E4A05">
        <w:rPr>
          <w:rFonts w:ascii="Arial" w:hAnsi="Arial" w:cs="Arial"/>
          <w:color w:val="000000" w:themeColor="text1"/>
          <w:sz w:val="24"/>
          <w:szCs w:val="24"/>
          <w:lang w:val="en-US"/>
        </w:rPr>
        <w:t xml:space="preserve"> of the CPA questioning, when it became apparent that the accused did not admit to being in a place of lawful detention, to enter a plea of not guilty in terms of section 113 of the CPA. At the instigation of trial proceedings, it would be open to the state to either prove the charge as it stands or add an additional charge (c/s 51 of the CPA) before trial proceedings commence.</w:t>
      </w:r>
      <w:r w:rsidRPr="008E4A05">
        <w:rPr>
          <w:rFonts w:ascii="Arial" w:hAnsi="Arial" w:cs="Arial"/>
          <w:color w:val="000000" w:themeColor="text1"/>
          <w:sz w:val="24"/>
          <w:szCs w:val="24"/>
          <w:vertAlign w:val="superscript"/>
          <w:lang w:val="en-US"/>
        </w:rPr>
        <w:footnoteReference w:id="7"/>
      </w:r>
      <w:r w:rsidRPr="008E4A05">
        <w:rPr>
          <w:rFonts w:ascii="Arial" w:hAnsi="Arial" w:cs="Arial"/>
          <w:color w:val="000000" w:themeColor="text1"/>
          <w:sz w:val="24"/>
          <w:szCs w:val="24"/>
          <w:lang w:val="en-US"/>
        </w:rPr>
        <w:t xml:space="preserve">  </w:t>
      </w:r>
    </w:p>
    <w:p w:rsidR="008E4A05" w:rsidRPr="008E4A05" w:rsidRDefault="008E4A05" w:rsidP="001B0902">
      <w:pPr>
        <w:spacing w:after="160" w:line="360" w:lineRule="auto"/>
        <w:contextualSpacing/>
        <w:jc w:val="both"/>
        <w:rPr>
          <w:rFonts w:ascii="Arial" w:hAnsi="Arial" w:cs="Arial"/>
          <w:color w:val="000000" w:themeColor="text1"/>
          <w:sz w:val="24"/>
          <w:szCs w:val="24"/>
          <w:lang w:val="en-US"/>
        </w:rPr>
      </w:pPr>
      <w:r>
        <w:rPr>
          <w:rFonts w:ascii="Arial" w:hAnsi="Arial" w:cs="Arial"/>
          <w:sz w:val="24"/>
          <w:szCs w:val="24"/>
          <w:lang w:val="en-US"/>
        </w:rPr>
        <w:lastRenderedPageBreak/>
        <w:t>[18]</w:t>
      </w:r>
      <w:r>
        <w:rPr>
          <w:rFonts w:ascii="Arial" w:hAnsi="Arial" w:cs="Arial"/>
          <w:sz w:val="24"/>
          <w:szCs w:val="24"/>
          <w:lang w:val="en-US"/>
        </w:rPr>
        <w:tab/>
      </w:r>
      <w:r w:rsidRPr="008E4A05">
        <w:rPr>
          <w:rFonts w:ascii="Arial" w:hAnsi="Arial" w:cs="Arial"/>
          <w:sz w:val="24"/>
          <w:szCs w:val="24"/>
          <w:lang w:val="en-US"/>
        </w:rPr>
        <w:t>In the result it is ordered that:</w:t>
      </w:r>
    </w:p>
    <w:p w:rsidR="008E4A05" w:rsidRPr="008E4A05" w:rsidRDefault="008E4A05" w:rsidP="008E4A05">
      <w:pPr>
        <w:spacing w:after="160" w:line="360" w:lineRule="auto"/>
        <w:ind w:left="714"/>
        <w:contextualSpacing/>
        <w:jc w:val="both"/>
        <w:rPr>
          <w:rFonts w:ascii="Arial" w:hAnsi="Arial" w:cs="Arial"/>
          <w:color w:val="000000" w:themeColor="text1"/>
          <w:sz w:val="24"/>
          <w:szCs w:val="24"/>
          <w:lang w:val="en-US"/>
        </w:rPr>
      </w:pPr>
    </w:p>
    <w:p w:rsidR="008E4A05" w:rsidRPr="001B0902" w:rsidRDefault="008E4A05" w:rsidP="001B0902">
      <w:pPr>
        <w:pStyle w:val="ListParagraph"/>
        <w:numPr>
          <w:ilvl w:val="0"/>
          <w:numId w:val="19"/>
        </w:numPr>
        <w:spacing w:after="160" w:line="360" w:lineRule="auto"/>
        <w:ind w:left="1134" w:right="553"/>
        <w:jc w:val="both"/>
        <w:rPr>
          <w:rFonts w:ascii="Arial" w:hAnsi="Arial" w:cs="Arial"/>
          <w:sz w:val="24"/>
          <w:szCs w:val="24"/>
          <w:lang w:val="en-US"/>
        </w:rPr>
      </w:pPr>
      <w:r w:rsidRPr="001B0902">
        <w:rPr>
          <w:rFonts w:ascii="Arial" w:hAnsi="Arial" w:cs="Arial"/>
          <w:sz w:val="24"/>
          <w:szCs w:val="24"/>
          <w:lang w:val="en-US"/>
        </w:rPr>
        <w:t xml:space="preserve">The conviction and sentence are set-aside; </w:t>
      </w:r>
    </w:p>
    <w:p w:rsidR="008E4A05" w:rsidRPr="008E4A05" w:rsidRDefault="008E4A05" w:rsidP="001B0902">
      <w:pPr>
        <w:spacing w:after="160" w:line="360" w:lineRule="auto"/>
        <w:ind w:left="1134" w:right="553"/>
        <w:contextualSpacing/>
        <w:jc w:val="both"/>
        <w:rPr>
          <w:rFonts w:ascii="Arial" w:hAnsi="Arial" w:cs="Arial"/>
          <w:sz w:val="24"/>
          <w:szCs w:val="24"/>
          <w:lang w:val="en-US"/>
        </w:rPr>
      </w:pPr>
    </w:p>
    <w:p w:rsidR="008E4A05" w:rsidRPr="001B0902" w:rsidRDefault="008E4A05" w:rsidP="001B0902">
      <w:pPr>
        <w:pStyle w:val="ListParagraph"/>
        <w:numPr>
          <w:ilvl w:val="0"/>
          <w:numId w:val="19"/>
        </w:numPr>
        <w:spacing w:after="160" w:line="360" w:lineRule="auto"/>
        <w:ind w:left="1134" w:right="553"/>
        <w:jc w:val="both"/>
        <w:rPr>
          <w:rFonts w:ascii="Arial" w:hAnsi="Arial" w:cs="Arial"/>
          <w:sz w:val="24"/>
          <w:szCs w:val="24"/>
          <w:lang w:val="en-US"/>
        </w:rPr>
      </w:pPr>
      <w:r w:rsidRPr="001B0902">
        <w:rPr>
          <w:rFonts w:ascii="Arial" w:hAnsi="Arial" w:cs="Arial"/>
          <w:sz w:val="24"/>
          <w:szCs w:val="24"/>
          <w:lang w:val="en-US"/>
        </w:rPr>
        <w:t>The matter is remitted to the court a quo to invoke the provisions of   section 113 of the CPA and to proceed to trial and to bring the matter to its natural conclusion;</w:t>
      </w:r>
    </w:p>
    <w:p w:rsidR="008E4A05" w:rsidRPr="008E4A05" w:rsidRDefault="008E4A05" w:rsidP="001B0902">
      <w:pPr>
        <w:spacing w:after="160" w:line="360" w:lineRule="auto"/>
        <w:ind w:left="1134" w:right="553"/>
        <w:jc w:val="both"/>
        <w:rPr>
          <w:rFonts w:ascii="Arial" w:hAnsi="Arial" w:cs="Arial"/>
          <w:sz w:val="24"/>
          <w:szCs w:val="24"/>
          <w:lang w:val="en-US"/>
        </w:rPr>
      </w:pPr>
    </w:p>
    <w:p w:rsidR="008E4A05" w:rsidRPr="001B0902" w:rsidRDefault="008E4A05" w:rsidP="001B0902">
      <w:pPr>
        <w:pStyle w:val="ListParagraph"/>
        <w:numPr>
          <w:ilvl w:val="0"/>
          <w:numId w:val="19"/>
        </w:numPr>
        <w:spacing w:after="160" w:line="360" w:lineRule="auto"/>
        <w:ind w:left="1134" w:right="553"/>
        <w:jc w:val="both"/>
        <w:rPr>
          <w:rFonts w:ascii="Arial" w:hAnsi="Arial" w:cs="Arial"/>
          <w:sz w:val="24"/>
          <w:szCs w:val="24"/>
          <w:lang w:val="en-US"/>
        </w:rPr>
      </w:pPr>
      <w:r w:rsidRPr="001B0902">
        <w:rPr>
          <w:rFonts w:ascii="Arial" w:hAnsi="Arial" w:cs="Arial"/>
          <w:sz w:val="24"/>
          <w:szCs w:val="24"/>
          <w:lang w:val="en-US"/>
        </w:rPr>
        <w:t xml:space="preserve">Should a conviction follow; the magistrate is directed to take into consideration any time the accused already spent in custody. </w:t>
      </w:r>
    </w:p>
    <w:p w:rsidR="008E4A05" w:rsidRDefault="008E4A05" w:rsidP="00EB24A9">
      <w:pPr>
        <w:spacing w:after="0" w:line="360" w:lineRule="auto"/>
        <w:jc w:val="both"/>
        <w:rPr>
          <w:rFonts w:ascii="Arial" w:hAnsi="Arial" w:cs="Arial"/>
          <w:sz w:val="24"/>
          <w:szCs w:val="24"/>
        </w:rPr>
      </w:pPr>
    </w:p>
    <w:p w:rsidR="001B0902" w:rsidRDefault="001B0902" w:rsidP="00EB24A9">
      <w:pPr>
        <w:spacing w:after="0" w:line="360" w:lineRule="auto"/>
        <w:jc w:val="both"/>
        <w:rPr>
          <w:rFonts w:ascii="Arial" w:hAnsi="Arial" w:cs="Arial"/>
          <w:sz w:val="24"/>
          <w:szCs w:val="24"/>
        </w:rPr>
      </w:pPr>
    </w:p>
    <w:p w:rsidR="00C27BD8" w:rsidRDefault="00C27BD8" w:rsidP="00EB24A9">
      <w:pPr>
        <w:spacing w:after="0" w:line="360" w:lineRule="auto"/>
        <w:jc w:val="both"/>
        <w:rPr>
          <w:rFonts w:ascii="Arial" w:hAnsi="Arial" w:cs="Arial"/>
          <w:sz w:val="24"/>
          <w:szCs w:val="24"/>
        </w:rPr>
      </w:pPr>
    </w:p>
    <w:p w:rsidR="001B0902" w:rsidRDefault="001B0902" w:rsidP="00EB24A9">
      <w:pPr>
        <w:spacing w:after="0" w:line="360" w:lineRule="auto"/>
        <w:jc w:val="both"/>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1B0902" w:rsidP="00803A50">
      <w:pPr>
        <w:spacing w:after="0" w:line="360" w:lineRule="auto"/>
        <w:jc w:val="right"/>
        <w:rPr>
          <w:rFonts w:ascii="Arial" w:hAnsi="Arial" w:cs="Arial"/>
          <w:sz w:val="24"/>
          <w:szCs w:val="24"/>
        </w:rPr>
      </w:pPr>
      <w:r>
        <w:rPr>
          <w:rFonts w:ascii="Arial" w:hAnsi="Arial" w:cs="Arial"/>
          <w:sz w:val="24"/>
          <w:szCs w:val="24"/>
        </w:rPr>
        <w:t>J C LIEBENBERG</w:t>
      </w:r>
    </w:p>
    <w:p w:rsidR="004F7393" w:rsidRDefault="00803A50" w:rsidP="00E41521">
      <w:pPr>
        <w:spacing w:after="0" w:line="360" w:lineRule="auto"/>
        <w:jc w:val="right"/>
        <w:rPr>
          <w:rFonts w:ascii="Arial" w:hAnsi="Arial" w:cs="Arial"/>
          <w:sz w:val="24"/>
          <w:szCs w:val="24"/>
        </w:rPr>
      </w:pPr>
      <w:r>
        <w:rPr>
          <w:rFonts w:ascii="Arial" w:hAnsi="Arial" w:cs="Arial"/>
          <w:sz w:val="24"/>
          <w:szCs w:val="24"/>
        </w:rPr>
        <w:t>Judge</w:t>
      </w:r>
    </w:p>
    <w:p w:rsidR="00E41521" w:rsidRDefault="00E41521" w:rsidP="00E41521">
      <w:pPr>
        <w:spacing w:after="0" w:line="360" w:lineRule="auto"/>
        <w:jc w:val="right"/>
        <w:rPr>
          <w:rFonts w:ascii="Arial" w:hAnsi="Arial" w:cs="Arial"/>
          <w:sz w:val="24"/>
          <w:szCs w:val="24"/>
        </w:rPr>
      </w:pPr>
    </w:p>
    <w:p w:rsidR="008A0B4B" w:rsidRDefault="008A0B4B" w:rsidP="001110C5">
      <w:pPr>
        <w:spacing w:after="0" w:line="360" w:lineRule="auto"/>
        <w:rPr>
          <w:rFonts w:ascii="Arial" w:hAnsi="Arial" w:cs="Arial"/>
          <w:sz w:val="24"/>
          <w:szCs w:val="24"/>
        </w:rPr>
      </w:pPr>
    </w:p>
    <w:p w:rsidR="00C27BD8" w:rsidRDefault="00C27BD8" w:rsidP="001110C5">
      <w:pPr>
        <w:spacing w:after="0" w:line="360" w:lineRule="auto"/>
        <w:rPr>
          <w:rFonts w:ascii="Arial" w:hAnsi="Arial" w:cs="Arial"/>
          <w:sz w:val="24"/>
          <w:szCs w:val="24"/>
        </w:rPr>
      </w:pPr>
    </w:p>
    <w:p w:rsidR="004B2C61" w:rsidRDefault="004B2C61" w:rsidP="004B2C61">
      <w:pPr>
        <w:spacing w:after="0" w:line="360" w:lineRule="auto"/>
        <w:jc w:val="right"/>
        <w:rPr>
          <w:rFonts w:ascii="Arial" w:hAnsi="Arial" w:cs="Arial"/>
          <w:sz w:val="24"/>
          <w:szCs w:val="24"/>
        </w:rPr>
      </w:pPr>
      <w:r>
        <w:rPr>
          <w:rFonts w:ascii="Arial" w:hAnsi="Arial" w:cs="Arial"/>
          <w:sz w:val="24"/>
          <w:szCs w:val="24"/>
        </w:rPr>
        <w:t>----------------------------------</w:t>
      </w:r>
    </w:p>
    <w:p w:rsidR="004B2C61" w:rsidRDefault="00090433" w:rsidP="00C51C56">
      <w:pPr>
        <w:spacing w:after="0" w:line="360" w:lineRule="auto"/>
        <w:jc w:val="right"/>
        <w:rPr>
          <w:rFonts w:ascii="Arial" w:hAnsi="Arial" w:cs="Arial"/>
          <w:sz w:val="24"/>
          <w:szCs w:val="24"/>
        </w:rPr>
      </w:pPr>
      <w:r>
        <w:rPr>
          <w:rFonts w:ascii="Arial" w:hAnsi="Arial" w:cs="Arial"/>
          <w:sz w:val="24"/>
          <w:szCs w:val="24"/>
        </w:rPr>
        <w:t xml:space="preserve">O S </w:t>
      </w:r>
      <w:r w:rsidR="001B0902">
        <w:rPr>
          <w:rFonts w:ascii="Arial" w:hAnsi="Arial" w:cs="Arial"/>
          <w:sz w:val="24"/>
          <w:szCs w:val="24"/>
        </w:rPr>
        <w:t>SIBEYA</w:t>
      </w:r>
    </w:p>
    <w:p w:rsidR="00803A50" w:rsidRDefault="00E44A6F" w:rsidP="00E44A6F">
      <w:pPr>
        <w:spacing w:after="0" w:line="360" w:lineRule="auto"/>
        <w:jc w:val="right"/>
        <w:rPr>
          <w:rFonts w:ascii="Arial" w:hAnsi="Arial" w:cs="Arial"/>
          <w:sz w:val="24"/>
          <w:szCs w:val="24"/>
        </w:rPr>
      </w:pPr>
      <w:r>
        <w:rPr>
          <w:rFonts w:ascii="Arial" w:hAnsi="Arial" w:cs="Arial"/>
          <w:sz w:val="24"/>
          <w:szCs w:val="24"/>
        </w:rPr>
        <w:t>Judge</w:t>
      </w:r>
    </w:p>
    <w:sectPr w:rsidR="00803A50" w:rsidSect="008A0B4B">
      <w:headerReference w:type="default" r:id="rId12"/>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AEE" w:rsidRDefault="00077AEE" w:rsidP="004B5350">
      <w:pPr>
        <w:spacing w:after="0" w:line="240" w:lineRule="auto"/>
      </w:pPr>
      <w:r>
        <w:separator/>
      </w:r>
    </w:p>
  </w:endnote>
  <w:endnote w:type="continuationSeparator" w:id="0">
    <w:p w:rsidR="00077AEE" w:rsidRDefault="00077AEE" w:rsidP="004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AEE" w:rsidRDefault="00077AEE" w:rsidP="004B5350">
      <w:pPr>
        <w:spacing w:after="0" w:line="240" w:lineRule="auto"/>
      </w:pPr>
      <w:r>
        <w:separator/>
      </w:r>
    </w:p>
  </w:footnote>
  <w:footnote w:type="continuationSeparator" w:id="0">
    <w:p w:rsidR="00077AEE" w:rsidRDefault="00077AEE" w:rsidP="004B5350">
      <w:pPr>
        <w:spacing w:after="0" w:line="240" w:lineRule="auto"/>
      </w:pPr>
      <w:r>
        <w:continuationSeparator/>
      </w:r>
    </w:p>
  </w:footnote>
  <w:footnote w:id="1">
    <w:p w:rsidR="008E4A05" w:rsidRPr="00E6086A" w:rsidRDefault="008E4A05" w:rsidP="008E4A05">
      <w:pPr>
        <w:pStyle w:val="FootnoteText"/>
        <w:rPr>
          <w:rFonts w:ascii="Arial" w:hAnsi="Arial" w:cs="Arial"/>
        </w:rPr>
      </w:pPr>
      <w:r w:rsidRPr="00E6086A">
        <w:rPr>
          <w:rStyle w:val="FootnoteReference"/>
          <w:rFonts w:ascii="Arial" w:hAnsi="Arial" w:cs="Arial"/>
        </w:rPr>
        <w:footnoteRef/>
      </w:r>
      <w:r w:rsidRPr="00E6086A">
        <w:rPr>
          <w:rFonts w:ascii="Arial" w:hAnsi="Arial" w:cs="Arial"/>
        </w:rPr>
        <w:t xml:space="preserve"> Section 39 (3) of the Criminal Procedure Act.</w:t>
      </w:r>
    </w:p>
  </w:footnote>
  <w:footnote w:id="2">
    <w:p w:rsidR="008E4A05" w:rsidRPr="00E6086A" w:rsidRDefault="008E4A05" w:rsidP="008E4A05">
      <w:pPr>
        <w:pStyle w:val="FootnoteText"/>
        <w:rPr>
          <w:rFonts w:ascii="Arial" w:hAnsi="Arial" w:cs="Arial"/>
        </w:rPr>
      </w:pPr>
      <w:r w:rsidRPr="00E6086A">
        <w:rPr>
          <w:rStyle w:val="FootnoteReference"/>
          <w:rFonts w:ascii="Arial" w:hAnsi="Arial" w:cs="Arial"/>
        </w:rPr>
        <w:footnoteRef/>
      </w:r>
      <w:r w:rsidRPr="00E6086A">
        <w:rPr>
          <w:rFonts w:ascii="Arial" w:hAnsi="Arial" w:cs="Arial"/>
        </w:rPr>
        <w:t xml:space="preserve"> </w:t>
      </w:r>
      <w:proofErr w:type="spellStart"/>
      <w:r w:rsidRPr="00E6086A">
        <w:rPr>
          <w:rFonts w:ascii="Arial" w:hAnsi="Arial" w:cs="Arial"/>
          <w:bCs/>
          <w:color w:val="000000" w:themeColor="text1"/>
          <w:shd w:val="clear" w:color="auto" w:fill="FFFFFF"/>
        </w:rPr>
        <w:t>Snyman</w:t>
      </w:r>
      <w:proofErr w:type="spellEnd"/>
      <w:r w:rsidRPr="00E6086A">
        <w:rPr>
          <w:rFonts w:ascii="Arial" w:hAnsi="Arial" w:cs="Arial"/>
          <w:bCs/>
          <w:color w:val="000000" w:themeColor="text1"/>
          <w:shd w:val="clear" w:color="auto" w:fill="FFFFFF"/>
        </w:rPr>
        <w:t xml:space="preserve"> CR. </w:t>
      </w:r>
      <w:r w:rsidRPr="00E6086A">
        <w:rPr>
          <w:rFonts w:ascii="Arial" w:hAnsi="Arial" w:cs="Arial"/>
          <w:bCs/>
          <w:i/>
          <w:color w:val="000000" w:themeColor="text1"/>
          <w:shd w:val="clear" w:color="auto" w:fill="FFFFFF"/>
        </w:rPr>
        <w:t>Criminal Law</w:t>
      </w:r>
      <w:r w:rsidRPr="00E6086A">
        <w:rPr>
          <w:rFonts w:ascii="Arial" w:hAnsi="Arial" w:cs="Arial"/>
          <w:bCs/>
          <w:color w:val="000000" w:themeColor="text1"/>
          <w:shd w:val="clear" w:color="auto" w:fill="FFFFFF"/>
        </w:rPr>
        <w:t>, 6</w:t>
      </w:r>
      <w:r w:rsidRPr="00E6086A">
        <w:rPr>
          <w:rFonts w:ascii="Arial" w:hAnsi="Arial" w:cs="Arial"/>
          <w:bCs/>
          <w:color w:val="000000" w:themeColor="text1"/>
          <w:shd w:val="clear" w:color="auto" w:fill="FFFFFF"/>
          <w:vertAlign w:val="superscript"/>
        </w:rPr>
        <w:t>th</w:t>
      </w:r>
      <w:r w:rsidRPr="00E6086A">
        <w:rPr>
          <w:rFonts w:ascii="Arial" w:hAnsi="Arial" w:cs="Arial"/>
          <w:bCs/>
          <w:color w:val="000000" w:themeColor="text1"/>
          <w:shd w:val="clear" w:color="auto" w:fill="FFFFFF"/>
        </w:rPr>
        <w:t> Edition</w:t>
      </w:r>
      <w:r w:rsidRPr="00E6086A">
        <w:rPr>
          <w:rFonts w:ascii="Arial" w:hAnsi="Arial" w:cs="Arial"/>
          <w:color w:val="000000" w:themeColor="text1"/>
          <w:shd w:val="clear" w:color="auto" w:fill="FFFFFF"/>
        </w:rPr>
        <w:t>, 339.</w:t>
      </w:r>
    </w:p>
  </w:footnote>
  <w:footnote w:id="3">
    <w:p w:rsidR="008E4A05" w:rsidRPr="00FC15F2" w:rsidRDefault="008E4A05" w:rsidP="008E4A05">
      <w:pPr>
        <w:pStyle w:val="FootnoteText"/>
      </w:pPr>
      <w:r w:rsidRPr="00E6086A">
        <w:rPr>
          <w:rStyle w:val="FootnoteReference"/>
          <w:rFonts w:ascii="Arial" w:hAnsi="Arial" w:cs="Arial"/>
        </w:rPr>
        <w:footnoteRef/>
      </w:r>
      <w:r w:rsidRPr="00E6086A">
        <w:rPr>
          <w:rFonts w:ascii="Arial" w:hAnsi="Arial" w:cs="Arial"/>
        </w:rPr>
        <w:t xml:space="preserve"> </w:t>
      </w:r>
      <w:r w:rsidRPr="00E6086A">
        <w:rPr>
          <w:rFonts w:ascii="Arial" w:hAnsi="Arial" w:cs="Arial"/>
          <w:i/>
          <w:color w:val="000000" w:themeColor="text1"/>
        </w:rPr>
        <w:t xml:space="preserve">S v </w:t>
      </w:r>
      <w:proofErr w:type="spellStart"/>
      <w:r w:rsidRPr="00E6086A">
        <w:rPr>
          <w:rFonts w:ascii="Arial" w:hAnsi="Arial" w:cs="Arial"/>
          <w:i/>
          <w:color w:val="000000" w:themeColor="text1"/>
        </w:rPr>
        <w:t>Nangombe</w:t>
      </w:r>
      <w:proofErr w:type="spellEnd"/>
      <w:r w:rsidRPr="00E6086A">
        <w:rPr>
          <w:rFonts w:ascii="Arial" w:hAnsi="Arial" w:cs="Arial"/>
          <w:color w:val="000000" w:themeColor="text1"/>
        </w:rPr>
        <w:t xml:space="preserve"> (CR 13/2017) [2017] NAHCNLD 79 (10 August 2017).</w:t>
      </w:r>
    </w:p>
  </w:footnote>
  <w:footnote w:id="4">
    <w:p w:rsidR="008E4A05" w:rsidRPr="00736D54" w:rsidRDefault="008E4A05" w:rsidP="008E4A05">
      <w:pPr>
        <w:pStyle w:val="FootnoteText"/>
        <w:rPr>
          <w:rFonts w:ascii="Arial" w:hAnsi="Arial" w:cs="Arial"/>
        </w:rPr>
      </w:pPr>
      <w:r w:rsidRPr="00736D54">
        <w:rPr>
          <w:rStyle w:val="FootnoteReference"/>
          <w:rFonts w:ascii="Arial" w:hAnsi="Arial" w:cs="Arial"/>
        </w:rPr>
        <w:footnoteRef/>
      </w:r>
      <w:r w:rsidRPr="00736D54">
        <w:rPr>
          <w:rFonts w:ascii="Arial" w:hAnsi="Arial" w:cs="Arial"/>
        </w:rPr>
        <w:t xml:space="preserve"> </w:t>
      </w:r>
      <w:r w:rsidRPr="00736D54">
        <w:rPr>
          <w:rFonts w:ascii="Arial" w:hAnsi="Arial" w:cs="Arial"/>
          <w:i/>
          <w:color w:val="000000" w:themeColor="text1"/>
        </w:rPr>
        <w:t xml:space="preserve">S v </w:t>
      </w:r>
      <w:proofErr w:type="spellStart"/>
      <w:r w:rsidRPr="00736D54">
        <w:rPr>
          <w:rFonts w:ascii="Arial" w:hAnsi="Arial" w:cs="Arial"/>
          <w:i/>
          <w:color w:val="000000" w:themeColor="text1"/>
        </w:rPr>
        <w:t>Babiep</w:t>
      </w:r>
      <w:proofErr w:type="spellEnd"/>
      <w:r w:rsidRPr="00736D54">
        <w:rPr>
          <w:rFonts w:ascii="Arial" w:hAnsi="Arial" w:cs="Arial"/>
          <w:i/>
          <w:color w:val="000000" w:themeColor="text1"/>
        </w:rPr>
        <w:t xml:space="preserve"> 1999</w:t>
      </w:r>
      <w:r w:rsidRPr="00736D54">
        <w:rPr>
          <w:rFonts w:ascii="Arial" w:hAnsi="Arial" w:cs="Arial"/>
          <w:color w:val="000000" w:themeColor="text1"/>
        </w:rPr>
        <w:t xml:space="preserve"> NR 170</w:t>
      </w:r>
      <w:r>
        <w:rPr>
          <w:rFonts w:ascii="Arial" w:hAnsi="Arial" w:cs="Arial"/>
          <w:color w:val="000000" w:themeColor="text1"/>
        </w:rPr>
        <w:t>.</w:t>
      </w:r>
    </w:p>
  </w:footnote>
  <w:footnote w:id="5">
    <w:p w:rsidR="008E4A05" w:rsidRPr="00802D3F" w:rsidRDefault="008E4A05" w:rsidP="00802D3F">
      <w:pPr>
        <w:spacing w:after="0" w:line="240" w:lineRule="auto"/>
        <w:rPr>
          <w:rFonts w:ascii="Arial" w:hAnsi="Arial" w:cs="Arial"/>
          <w:sz w:val="20"/>
          <w:szCs w:val="20"/>
        </w:rPr>
      </w:pPr>
      <w:r w:rsidRPr="00802D3F">
        <w:rPr>
          <w:rStyle w:val="FootnoteReference"/>
          <w:rFonts w:ascii="Arial" w:hAnsi="Arial" w:cs="Arial"/>
          <w:sz w:val="20"/>
          <w:szCs w:val="20"/>
        </w:rPr>
        <w:footnoteRef/>
      </w:r>
      <w:r w:rsidRPr="00802D3F">
        <w:rPr>
          <w:rFonts w:ascii="Arial" w:hAnsi="Arial" w:cs="Arial"/>
          <w:sz w:val="20"/>
          <w:szCs w:val="20"/>
        </w:rPr>
        <w:t xml:space="preserve"> </w:t>
      </w:r>
      <w:r w:rsidRPr="00802D3F">
        <w:rPr>
          <w:rFonts w:ascii="Arial" w:hAnsi="Arial" w:cs="Arial"/>
          <w:i/>
          <w:sz w:val="20"/>
          <w:szCs w:val="20"/>
        </w:rPr>
        <w:t xml:space="preserve">S v </w:t>
      </w:r>
      <w:proofErr w:type="spellStart"/>
      <w:r w:rsidRPr="00802D3F">
        <w:rPr>
          <w:rFonts w:ascii="Arial" w:hAnsi="Arial" w:cs="Arial"/>
          <w:i/>
          <w:sz w:val="20"/>
          <w:szCs w:val="20"/>
        </w:rPr>
        <w:t>Nghixulifwa</w:t>
      </w:r>
      <w:proofErr w:type="spellEnd"/>
      <w:r w:rsidRPr="00802D3F">
        <w:rPr>
          <w:rFonts w:ascii="Arial" w:hAnsi="Arial" w:cs="Arial"/>
          <w:sz w:val="20"/>
          <w:szCs w:val="20"/>
        </w:rPr>
        <w:t xml:space="preserve"> (CC 02/2014) [2018] NAHCMD 326 (17 October 2018) para 11.</w:t>
      </w:r>
    </w:p>
  </w:footnote>
  <w:footnote w:id="6">
    <w:p w:rsidR="00802D3F" w:rsidRDefault="00802D3F" w:rsidP="00802D3F">
      <w:pPr>
        <w:pStyle w:val="FootnoteText"/>
      </w:pPr>
      <w:r w:rsidRPr="00802D3F">
        <w:rPr>
          <w:rStyle w:val="FootnoteReference"/>
          <w:rFonts w:ascii="Arial" w:hAnsi="Arial" w:cs="Arial"/>
        </w:rPr>
        <w:footnoteRef/>
      </w:r>
      <w:r w:rsidRPr="00802D3F">
        <w:rPr>
          <w:rFonts w:ascii="Arial" w:hAnsi="Arial" w:cs="Arial"/>
        </w:rPr>
        <w:t xml:space="preserve"> </w:t>
      </w:r>
      <w:r w:rsidRPr="00802D3F">
        <w:rPr>
          <w:rFonts w:ascii="Arial" w:hAnsi="Arial" w:cs="Arial"/>
          <w:i/>
          <w:lang w:val="en-US"/>
        </w:rPr>
        <w:t xml:space="preserve">S v </w:t>
      </w:r>
      <w:proofErr w:type="spellStart"/>
      <w:r w:rsidRPr="00802D3F">
        <w:rPr>
          <w:rFonts w:ascii="Arial" w:hAnsi="Arial" w:cs="Arial"/>
          <w:i/>
          <w:lang w:val="en-US"/>
        </w:rPr>
        <w:t>Matsuis</w:t>
      </w:r>
      <w:proofErr w:type="spellEnd"/>
      <w:r w:rsidR="00C2685D">
        <w:rPr>
          <w:rFonts w:ascii="Arial" w:hAnsi="Arial" w:cs="Arial"/>
          <w:lang w:val="en-US"/>
        </w:rPr>
        <w:t xml:space="preserve"> </w:t>
      </w:r>
      <w:r w:rsidRPr="00802D3F">
        <w:rPr>
          <w:rFonts w:ascii="Arial" w:hAnsi="Arial" w:cs="Arial"/>
          <w:lang w:val="en-US"/>
        </w:rPr>
        <w:t>1993 NR 234 (HC) at H.</w:t>
      </w:r>
      <w:r>
        <w:rPr>
          <w:rFonts w:ascii="Arial" w:hAnsi="Arial" w:cs="Arial"/>
          <w:sz w:val="24"/>
          <w:szCs w:val="24"/>
          <w:lang w:val="en-US"/>
        </w:rPr>
        <w:t xml:space="preserve"> </w:t>
      </w:r>
    </w:p>
  </w:footnote>
  <w:footnote w:id="7">
    <w:p w:rsidR="008E4A05" w:rsidRPr="00C649DF" w:rsidRDefault="008E4A05" w:rsidP="008E4A05">
      <w:pPr>
        <w:pStyle w:val="FootnoteText"/>
        <w:rPr>
          <w:rFonts w:ascii="Arial" w:hAnsi="Arial" w:cs="Arial"/>
        </w:rPr>
      </w:pPr>
      <w:r w:rsidRPr="00C649DF">
        <w:rPr>
          <w:rStyle w:val="FootnoteReference"/>
          <w:rFonts w:ascii="Arial" w:hAnsi="Arial" w:cs="Arial"/>
        </w:rPr>
        <w:footnoteRef/>
      </w:r>
      <w:r w:rsidRPr="00C649DF">
        <w:rPr>
          <w:rFonts w:ascii="Arial" w:hAnsi="Arial" w:cs="Arial"/>
        </w:rPr>
        <w:t xml:space="preserve"> Section 105 of the CPA.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676483"/>
      <w:docPartObj>
        <w:docPartGallery w:val="Page Numbers (Top of Page)"/>
        <w:docPartUnique/>
      </w:docPartObj>
    </w:sdtPr>
    <w:sdtEndPr>
      <w:rPr>
        <w:noProof/>
      </w:rPr>
    </w:sdtEndPr>
    <w:sdtContent>
      <w:p w:rsidR="004B5350" w:rsidRDefault="004B5350">
        <w:pPr>
          <w:pStyle w:val="Header"/>
          <w:jc w:val="right"/>
        </w:pPr>
        <w:r>
          <w:fldChar w:fldCharType="begin"/>
        </w:r>
        <w:r>
          <w:instrText xml:space="preserve"> PAGE   \* MERGEFORMAT </w:instrText>
        </w:r>
        <w:r>
          <w:fldChar w:fldCharType="separate"/>
        </w:r>
        <w:r w:rsidR="00C27BD8">
          <w:rPr>
            <w:noProof/>
          </w:rPr>
          <w:t>7</w:t>
        </w:r>
        <w:r>
          <w:rPr>
            <w:noProof/>
          </w:rPr>
          <w:fldChar w:fldCharType="end"/>
        </w:r>
      </w:p>
    </w:sdtContent>
  </w:sdt>
  <w:p w:rsidR="004B5350" w:rsidRDefault="004B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FED"/>
    <w:multiLevelType w:val="hybridMultilevel"/>
    <w:tmpl w:val="0C2C64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CD5CB8"/>
    <w:multiLevelType w:val="hybridMultilevel"/>
    <w:tmpl w:val="B6E85DD0"/>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B444EA8"/>
    <w:multiLevelType w:val="hybridMultilevel"/>
    <w:tmpl w:val="34609382"/>
    <w:lvl w:ilvl="0" w:tplc="D0CCBB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956F66"/>
    <w:multiLevelType w:val="hybridMultilevel"/>
    <w:tmpl w:val="F7145178"/>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179D0BE7"/>
    <w:multiLevelType w:val="hybridMultilevel"/>
    <w:tmpl w:val="381C0456"/>
    <w:lvl w:ilvl="0" w:tplc="DCD440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566F6"/>
    <w:multiLevelType w:val="hybridMultilevel"/>
    <w:tmpl w:val="557E32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0884795"/>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4B97"/>
    <w:multiLevelType w:val="hybridMultilevel"/>
    <w:tmpl w:val="7A4C56C2"/>
    <w:lvl w:ilvl="0" w:tplc="E0D62418">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81142FD"/>
    <w:multiLevelType w:val="hybridMultilevel"/>
    <w:tmpl w:val="F3AEE7A6"/>
    <w:lvl w:ilvl="0" w:tplc="36AA7500">
      <w:start w:val="1"/>
      <w:numFmt w:val="decimal"/>
      <w:lvlText w:val="%1."/>
      <w:lvlJc w:val="right"/>
      <w:pPr>
        <w:ind w:left="1800" w:hanging="360"/>
      </w:pPr>
      <w:rPr>
        <w:rFonts w:hint="default"/>
      </w:rPr>
    </w:lvl>
    <w:lvl w:ilvl="1" w:tplc="1C090019" w:tentative="1">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2C422C3B"/>
    <w:multiLevelType w:val="hybridMultilevel"/>
    <w:tmpl w:val="36E0808A"/>
    <w:lvl w:ilvl="0" w:tplc="C53620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3FE5616"/>
    <w:multiLevelType w:val="hybridMultilevel"/>
    <w:tmpl w:val="B22CF7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D1A5763"/>
    <w:multiLevelType w:val="hybridMultilevel"/>
    <w:tmpl w:val="DB168F4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DEA7F72"/>
    <w:multiLevelType w:val="hybridMultilevel"/>
    <w:tmpl w:val="9CF4E572"/>
    <w:lvl w:ilvl="0" w:tplc="1D56D0F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57430F0"/>
    <w:multiLevelType w:val="hybridMultilevel"/>
    <w:tmpl w:val="B2D8BFBE"/>
    <w:lvl w:ilvl="0" w:tplc="F522D7A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DC42746"/>
    <w:multiLevelType w:val="hybridMultilevel"/>
    <w:tmpl w:val="CA281604"/>
    <w:lvl w:ilvl="0" w:tplc="46A46A1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52B0FE5"/>
    <w:multiLevelType w:val="hybridMultilevel"/>
    <w:tmpl w:val="CF40635E"/>
    <w:lvl w:ilvl="0" w:tplc="1C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AD849A0"/>
    <w:multiLevelType w:val="hybridMultilevel"/>
    <w:tmpl w:val="BAD63C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8AE326B"/>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83F8A"/>
    <w:multiLevelType w:val="hybridMultilevel"/>
    <w:tmpl w:val="C770BCBC"/>
    <w:lvl w:ilvl="0" w:tplc="DC3C8E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7"/>
  </w:num>
  <w:num w:numId="3">
    <w:abstractNumId w:val="9"/>
  </w:num>
  <w:num w:numId="4">
    <w:abstractNumId w:val="2"/>
  </w:num>
  <w:num w:numId="5">
    <w:abstractNumId w:val="13"/>
  </w:num>
  <w:num w:numId="6">
    <w:abstractNumId w:val="12"/>
  </w:num>
  <w:num w:numId="7">
    <w:abstractNumId w:val="0"/>
  </w:num>
  <w:num w:numId="8">
    <w:abstractNumId w:val="7"/>
  </w:num>
  <w:num w:numId="9">
    <w:abstractNumId w:val="11"/>
  </w:num>
  <w:num w:numId="10">
    <w:abstractNumId w:val="16"/>
  </w:num>
  <w:num w:numId="11">
    <w:abstractNumId w:val="14"/>
  </w:num>
  <w:num w:numId="12">
    <w:abstractNumId w:val="18"/>
  </w:num>
  <w:num w:numId="13">
    <w:abstractNumId w:val="4"/>
  </w:num>
  <w:num w:numId="14">
    <w:abstractNumId w:val="15"/>
  </w:num>
  <w:num w:numId="15">
    <w:abstractNumId w:val="10"/>
  </w:num>
  <w:num w:numId="16">
    <w:abstractNumId w:val="5"/>
  </w:num>
  <w:num w:numId="17">
    <w:abstractNumId w:val="1"/>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1259B"/>
    <w:rsid w:val="00020297"/>
    <w:rsid w:val="000269AE"/>
    <w:rsid w:val="00033D49"/>
    <w:rsid w:val="00041A6D"/>
    <w:rsid w:val="00044ECF"/>
    <w:rsid w:val="00050068"/>
    <w:rsid w:val="000654B9"/>
    <w:rsid w:val="000762D8"/>
    <w:rsid w:val="00077AEE"/>
    <w:rsid w:val="000808B7"/>
    <w:rsid w:val="00087632"/>
    <w:rsid w:val="00090433"/>
    <w:rsid w:val="000A43B1"/>
    <w:rsid w:val="000F1EFA"/>
    <w:rsid w:val="001110C5"/>
    <w:rsid w:val="00116794"/>
    <w:rsid w:val="00117EEE"/>
    <w:rsid w:val="0016658F"/>
    <w:rsid w:val="00170B0F"/>
    <w:rsid w:val="00174754"/>
    <w:rsid w:val="001A271F"/>
    <w:rsid w:val="001B0902"/>
    <w:rsid w:val="001D3244"/>
    <w:rsid w:val="001E0FCE"/>
    <w:rsid w:val="001E590A"/>
    <w:rsid w:val="001F233C"/>
    <w:rsid w:val="001F3E80"/>
    <w:rsid w:val="0022779A"/>
    <w:rsid w:val="00227D9E"/>
    <w:rsid w:val="002A3875"/>
    <w:rsid w:val="002A5C31"/>
    <w:rsid w:val="002C0F68"/>
    <w:rsid w:val="002C207A"/>
    <w:rsid w:val="002C544C"/>
    <w:rsid w:val="002C7E8B"/>
    <w:rsid w:val="002E10DC"/>
    <w:rsid w:val="002F304F"/>
    <w:rsid w:val="00325159"/>
    <w:rsid w:val="0032523E"/>
    <w:rsid w:val="00342704"/>
    <w:rsid w:val="00355C9F"/>
    <w:rsid w:val="00355F62"/>
    <w:rsid w:val="003815CD"/>
    <w:rsid w:val="003B179F"/>
    <w:rsid w:val="0043563D"/>
    <w:rsid w:val="00446EAD"/>
    <w:rsid w:val="00456EE7"/>
    <w:rsid w:val="00457700"/>
    <w:rsid w:val="00461E2D"/>
    <w:rsid w:val="00472142"/>
    <w:rsid w:val="004B2C61"/>
    <w:rsid w:val="004B5350"/>
    <w:rsid w:val="004C1DC2"/>
    <w:rsid w:val="004D1291"/>
    <w:rsid w:val="004F7393"/>
    <w:rsid w:val="005106B0"/>
    <w:rsid w:val="00514B9C"/>
    <w:rsid w:val="0054606F"/>
    <w:rsid w:val="005502DD"/>
    <w:rsid w:val="00560675"/>
    <w:rsid w:val="00564317"/>
    <w:rsid w:val="005815E0"/>
    <w:rsid w:val="005E3F8C"/>
    <w:rsid w:val="005F7E3A"/>
    <w:rsid w:val="00613A8D"/>
    <w:rsid w:val="00617C7C"/>
    <w:rsid w:val="00622FE4"/>
    <w:rsid w:val="00672B65"/>
    <w:rsid w:val="006741B2"/>
    <w:rsid w:val="00682A2D"/>
    <w:rsid w:val="00684E6E"/>
    <w:rsid w:val="00686A44"/>
    <w:rsid w:val="00696577"/>
    <w:rsid w:val="0069666A"/>
    <w:rsid w:val="006B4D1B"/>
    <w:rsid w:val="006D6ADD"/>
    <w:rsid w:val="006E1034"/>
    <w:rsid w:val="006F70AB"/>
    <w:rsid w:val="007019CB"/>
    <w:rsid w:val="00722E4B"/>
    <w:rsid w:val="00727FF5"/>
    <w:rsid w:val="00747A0A"/>
    <w:rsid w:val="007926B7"/>
    <w:rsid w:val="007C2761"/>
    <w:rsid w:val="007E450C"/>
    <w:rsid w:val="007F2974"/>
    <w:rsid w:val="0080218C"/>
    <w:rsid w:val="008025C5"/>
    <w:rsid w:val="00802D3F"/>
    <w:rsid w:val="00803A50"/>
    <w:rsid w:val="00834FB4"/>
    <w:rsid w:val="00851865"/>
    <w:rsid w:val="00854CD8"/>
    <w:rsid w:val="0087174A"/>
    <w:rsid w:val="00890368"/>
    <w:rsid w:val="008A0B4B"/>
    <w:rsid w:val="008E4A05"/>
    <w:rsid w:val="009100CC"/>
    <w:rsid w:val="009239A5"/>
    <w:rsid w:val="00927FA3"/>
    <w:rsid w:val="009541A6"/>
    <w:rsid w:val="009643B5"/>
    <w:rsid w:val="00965640"/>
    <w:rsid w:val="009A2B68"/>
    <w:rsid w:val="009A682B"/>
    <w:rsid w:val="009D78C3"/>
    <w:rsid w:val="009E0D78"/>
    <w:rsid w:val="00A00B64"/>
    <w:rsid w:val="00A1730A"/>
    <w:rsid w:val="00A229D9"/>
    <w:rsid w:val="00A26848"/>
    <w:rsid w:val="00A34870"/>
    <w:rsid w:val="00A54597"/>
    <w:rsid w:val="00A7465B"/>
    <w:rsid w:val="00A90361"/>
    <w:rsid w:val="00A95048"/>
    <w:rsid w:val="00A97420"/>
    <w:rsid w:val="00AA1DF6"/>
    <w:rsid w:val="00AA46CE"/>
    <w:rsid w:val="00AB6288"/>
    <w:rsid w:val="00AC35CE"/>
    <w:rsid w:val="00AC63B6"/>
    <w:rsid w:val="00AC6770"/>
    <w:rsid w:val="00AF5891"/>
    <w:rsid w:val="00AF62F7"/>
    <w:rsid w:val="00B22FAE"/>
    <w:rsid w:val="00B43C81"/>
    <w:rsid w:val="00B867FD"/>
    <w:rsid w:val="00B95607"/>
    <w:rsid w:val="00BB1A5D"/>
    <w:rsid w:val="00BD5BE7"/>
    <w:rsid w:val="00BE2574"/>
    <w:rsid w:val="00C058EE"/>
    <w:rsid w:val="00C071EF"/>
    <w:rsid w:val="00C13194"/>
    <w:rsid w:val="00C2685D"/>
    <w:rsid w:val="00C27BD8"/>
    <w:rsid w:val="00C36A4B"/>
    <w:rsid w:val="00C44693"/>
    <w:rsid w:val="00C479F0"/>
    <w:rsid w:val="00C51C56"/>
    <w:rsid w:val="00C6100F"/>
    <w:rsid w:val="00C615BA"/>
    <w:rsid w:val="00C618F0"/>
    <w:rsid w:val="00C95903"/>
    <w:rsid w:val="00CC61AD"/>
    <w:rsid w:val="00CF537F"/>
    <w:rsid w:val="00CF76EA"/>
    <w:rsid w:val="00D06C8C"/>
    <w:rsid w:val="00D162BD"/>
    <w:rsid w:val="00D303C3"/>
    <w:rsid w:val="00D3454D"/>
    <w:rsid w:val="00D44976"/>
    <w:rsid w:val="00D471EF"/>
    <w:rsid w:val="00D5574A"/>
    <w:rsid w:val="00D90793"/>
    <w:rsid w:val="00D967A3"/>
    <w:rsid w:val="00DA3C45"/>
    <w:rsid w:val="00DB2B0F"/>
    <w:rsid w:val="00DB4E51"/>
    <w:rsid w:val="00DE182C"/>
    <w:rsid w:val="00DF08EC"/>
    <w:rsid w:val="00E11ECB"/>
    <w:rsid w:val="00E218A5"/>
    <w:rsid w:val="00E26C29"/>
    <w:rsid w:val="00E338EF"/>
    <w:rsid w:val="00E41521"/>
    <w:rsid w:val="00E44A6F"/>
    <w:rsid w:val="00E72489"/>
    <w:rsid w:val="00E94968"/>
    <w:rsid w:val="00E9497E"/>
    <w:rsid w:val="00EA11EB"/>
    <w:rsid w:val="00EB24A9"/>
    <w:rsid w:val="00EC0AC0"/>
    <w:rsid w:val="00EC4AFA"/>
    <w:rsid w:val="00EC60FD"/>
    <w:rsid w:val="00EF2858"/>
    <w:rsid w:val="00F002AA"/>
    <w:rsid w:val="00F01200"/>
    <w:rsid w:val="00F2133C"/>
    <w:rsid w:val="00F2666C"/>
    <w:rsid w:val="00F31B71"/>
    <w:rsid w:val="00F32792"/>
    <w:rsid w:val="00F61DEF"/>
    <w:rsid w:val="00F73D15"/>
    <w:rsid w:val="00FB2A3A"/>
    <w:rsid w:val="00FC5E19"/>
    <w:rsid w:val="00FD1EDD"/>
    <w:rsid w:val="00FE0F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33A34-3CE1-4146-A95A-903FC3A9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50"/>
  </w:style>
  <w:style w:type="paragraph" w:styleId="Footer">
    <w:name w:val="footer"/>
    <w:basedOn w:val="Normal"/>
    <w:link w:val="FooterChar"/>
    <w:uiPriority w:val="99"/>
    <w:unhideWhenUsed/>
    <w:rsid w:val="004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50"/>
  </w:style>
  <w:style w:type="paragraph" w:styleId="BalloonText">
    <w:name w:val="Balloon Text"/>
    <w:basedOn w:val="Normal"/>
    <w:link w:val="BalloonTextChar"/>
    <w:uiPriority w:val="99"/>
    <w:semiHidden/>
    <w:unhideWhenUsed/>
    <w:rsid w:val="00F2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C"/>
    <w:rPr>
      <w:rFonts w:ascii="Segoe UI" w:hAnsi="Segoe UI" w:cs="Segoe UI"/>
      <w:sz w:val="18"/>
      <w:szCs w:val="18"/>
    </w:rPr>
  </w:style>
  <w:style w:type="paragraph" w:styleId="ListParagraph">
    <w:name w:val="List Paragraph"/>
    <w:basedOn w:val="Normal"/>
    <w:uiPriority w:val="34"/>
    <w:qFormat/>
    <w:rsid w:val="009A682B"/>
    <w:pPr>
      <w:ind w:left="720"/>
      <w:contextualSpacing/>
    </w:pPr>
  </w:style>
  <w:style w:type="paragraph" w:styleId="FootnoteText">
    <w:name w:val="footnote text"/>
    <w:basedOn w:val="Normal"/>
    <w:link w:val="FootnoteTextChar"/>
    <w:uiPriority w:val="99"/>
    <w:semiHidden/>
    <w:unhideWhenUsed/>
    <w:rsid w:val="00CF7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6EA"/>
    <w:rPr>
      <w:sz w:val="20"/>
      <w:szCs w:val="20"/>
    </w:rPr>
  </w:style>
  <w:style w:type="character" w:styleId="FootnoteReference">
    <w:name w:val="footnote reference"/>
    <w:basedOn w:val="DefaultParagraphFont"/>
    <w:uiPriority w:val="99"/>
    <w:semiHidden/>
    <w:unhideWhenUsed/>
    <w:rsid w:val="00CF7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2020-09-22T18:30:00+00:00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F1D87-789F-402F-B42D-090A1F9D6E8A}"/>
</file>

<file path=customXml/itemProps2.xml><?xml version="1.0" encoding="utf-8"?>
<ds:datastoreItem xmlns:ds="http://schemas.openxmlformats.org/officeDocument/2006/customXml" ds:itemID="{36D912D0-C626-4313-B046-927D2740D460}"/>
</file>

<file path=customXml/itemProps3.xml><?xml version="1.0" encoding="utf-8"?>
<ds:datastoreItem xmlns:ds="http://schemas.openxmlformats.org/officeDocument/2006/customXml" ds:itemID="{C09BCD31-69A4-4DDC-89DC-A80752F4FA45}"/>
</file>

<file path=customXml/itemProps4.xml><?xml version="1.0" encoding="utf-8"?>
<ds:datastoreItem xmlns:ds="http://schemas.openxmlformats.org/officeDocument/2006/customXml" ds:itemID="{7CD8FDE3-9544-451B-B11F-DB0A5C60DC09}"/>
</file>

<file path=docProps/app.xml><?xml version="1.0" encoding="utf-8"?>
<Properties xmlns="http://schemas.openxmlformats.org/officeDocument/2006/extended-properties" xmlns:vt="http://schemas.openxmlformats.org/officeDocument/2006/docPropsVTypes">
  <Template>Normal</Template>
  <TotalTime>1</TotalTime>
  <Pages>7</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 v Dreyer (CR 23-2018) [2018] NAHCMD 78 (05 April 2018)</vt:lpstr>
    </vt:vector>
  </TitlesOfParts>
  <Company/>
  <LinksUpToDate>false</LinksUpToDate>
  <CharactersWithSpaces>10651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Endjala (CR 71-2020) [2020] NAHCMD 432 (23 September 2020)</dc:title>
  <dc:subject/>
  <dc:creator>vsem</dc:creator>
  <cp:keywords/>
  <dc:description/>
  <cp:lastModifiedBy>Administrator</cp:lastModifiedBy>
  <cp:revision>2</cp:revision>
  <cp:lastPrinted>2020-09-23T07:36:00Z</cp:lastPrinted>
  <dcterms:created xsi:type="dcterms:W3CDTF">2020-09-29T06:43:00Z</dcterms:created>
  <dcterms:modified xsi:type="dcterms:W3CDTF">2020-09-29T06:43:00Z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