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12" w:rsidRPr="009660F8" w:rsidRDefault="00947712" w:rsidP="00F25661">
      <w:pPr>
        <w:spacing w:line="360" w:lineRule="auto"/>
        <w:jc w:val="center"/>
        <w:rPr>
          <w:rFonts w:ascii="Arial" w:eastAsia="Calibri" w:hAnsi="Arial" w:cs="Arial"/>
          <w:b/>
          <w:noProof/>
          <w:lang w:val="en-US"/>
        </w:rPr>
      </w:pPr>
      <w:r w:rsidRPr="009660F8">
        <w:rPr>
          <w:rFonts w:ascii="Arial" w:eastAsia="Calibri" w:hAnsi="Arial" w:cs="Arial"/>
          <w:b/>
          <w:noProof/>
          <w:lang w:val="en-US"/>
        </w:rPr>
        <w:t>REPUBLIC OF NAMIBIA</w:t>
      </w:r>
    </w:p>
    <w:p w:rsidR="00947712" w:rsidRPr="009660F8" w:rsidRDefault="00947712" w:rsidP="00C94819">
      <w:pPr>
        <w:spacing w:line="360" w:lineRule="auto"/>
        <w:jc w:val="center"/>
        <w:rPr>
          <w:rFonts w:ascii="Arial" w:hAnsi="Arial" w:cs="Arial"/>
          <w:b/>
        </w:rPr>
      </w:pPr>
      <w:r w:rsidRPr="009660F8">
        <w:rPr>
          <w:rFonts w:ascii="Arial" w:eastAsia="Calibri" w:hAnsi="Arial" w:cs="Arial"/>
          <w:b/>
          <w:noProof/>
          <w:lang w:val="en-US"/>
        </w:rPr>
        <w:drawing>
          <wp:inline distT="0" distB="0" distL="0" distR="0" wp14:anchorId="67C641BB" wp14:editId="3BD480AB">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rsidR="00C63A0B" w:rsidRPr="009660F8" w:rsidRDefault="00C63A0B" w:rsidP="00E84E46">
      <w:pPr>
        <w:spacing w:line="360" w:lineRule="auto"/>
        <w:jc w:val="center"/>
        <w:rPr>
          <w:rFonts w:ascii="Arial" w:hAnsi="Arial" w:cs="Arial"/>
          <w:b/>
        </w:rPr>
      </w:pPr>
      <w:r w:rsidRPr="009660F8">
        <w:rPr>
          <w:rFonts w:ascii="Arial" w:hAnsi="Arial" w:cs="Arial"/>
          <w:b/>
        </w:rPr>
        <w:t>HIGH COURT OF NAMIBIA, MAIN DIVISION, WINDHOEK</w:t>
      </w:r>
    </w:p>
    <w:p w:rsidR="00C63A0B" w:rsidRPr="009660F8" w:rsidRDefault="00C63A0B" w:rsidP="00F25661">
      <w:pPr>
        <w:spacing w:line="360" w:lineRule="auto"/>
        <w:jc w:val="center"/>
        <w:rPr>
          <w:rFonts w:ascii="Arial" w:hAnsi="Arial" w:cs="Arial"/>
          <w:b/>
        </w:rPr>
      </w:pPr>
      <w:r w:rsidRPr="009660F8">
        <w:rPr>
          <w:rFonts w:ascii="Arial" w:hAnsi="Arial" w:cs="Arial"/>
          <w:b/>
        </w:rPr>
        <w:t xml:space="preserve">RULING </w:t>
      </w:r>
    </w:p>
    <w:p w:rsidR="003B7999" w:rsidRDefault="003B7999" w:rsidP="00C94819">
      <w:pPr>
        <w:spacing w:line="360" w:lineRule="auto"/>
        <w:jc w:val="right"/>
        <w:rPr>
          <w:rFonts w:ascii="Arial" w:hAnsi="Arial" w:cs="Arial"/>
        </w:rPr>
      </w:pPr>
      <w:r w:rsidRPr="009660F8">
        <w:rPr>
          <w:rFonts w:ascii="Arial" w:hAnsi="Arial" w:cs="Arial"/>
          <w:b/>
        </w:rPr>
        <w:br/>
      </w:r>
      <w:r w:rsidR="002A11FF" w:rsidRPr="009660F8">
        <w:rPr>
          <w:rFonts w:ascii="Arial" w:hAnsi="Arial" w:cs="Arial"/>
        </w:rPr>
        <w:t xml:space="preserve">                                                 </w:t>
      </w:r>
      <w:bookmarkStart w:id="0" w:name="_GoBack"/>
      <w:bookmarkEnd w:id="0"/>
      <w:r w:rsidR="002B1216" w:rsidRPr="002B1216">
        <w:rPr>
          <w:rFonts w:ascii="Arial" w:hAnsi="Arial" w:cs="Arial"/>
        </w:rPr>
        <w:t>HC-MD-CIV-MOT-GEN-2020/00236</w:t>
      </w:r>
    </w:p>
    <w:p w:rsidR="00F00E1E" w:rsidRDefault="00F00E1E" w:rsidP="00F00E1E">
      <w:pPr>
        <w:spacing w:line="360" w:lineRule="auto"/>
        <w:rPr>
          <w:rFonts w:ascii="Arial" w:hAnsi="Arial" w:cs="Arial"/>
        </w:rPr>
      </w:pPr>
      <w:r>
        <w:rPr>
          <w:rFonts w:ascii="Arial" w:hAnsi="Arial" w:cs="Arial"/>
        </w:rPr>
        <w:t>In the matter between:</w:t>
      </w:r>
    </w:p>
    <w:p w:rsidR="005B452F" w:rsidRDefault="005B452F" w:rsidP="00F00E1E">
      <w:pPr>
        <w:spacing w:line="360" w:lineRule="auto"/>
        <w:rPr>
          <w:rFonts w:ascii="Arial" w:hAnsi="Arial" w:cs="Arial"/>
        </w:rPr>
      </w:pPr>
    </w:p>
    <w:p w:rsidR="00F00E1E" w:rsidRDefault="00F00E1E" w:rsidP="00F00E1E">
      <w:pPr>
        <w:spacing w:line="360" w:lineRule="auto"/>
        <w:rPr>
          <w:rFonts w:ascii="Arial" w:hAnsi="Arial" w:cs="Arial"/>
        </w:rPr>
      </w:pPr>
      <w:r w:rsidRPr="005B452F">
        <w:rPr>
          <w:rFonts w:ascii="Arial" w:hAnsi="Arial" w:cs="Arial"/>
          <w:b/>
        </w:rPr>
        <w:t>ANDRE FRIEDEL CASTRO DAUSAB</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5B452F">
        <w:rPr>
          <w:rFonts w:ascii="Arial" w:hAnsi="Arial" w:cs="Arial"/>
        </w:rPr>
        <w:t xml:space="preserve">  </w:t>
      </w:r>
      <w:r w:rsidRPr="005B452F">
        <w:rPr>
          <w:rFonts w:ascii="Arial" w:hAnsi="Arial" w:cs="Arial"/>
          <w:b/>
        </w:rPr>
        <w:t>APPLICANT</w:t>
      </w:r>
    </w:p>
    <w:p w:rsidR="005B452F" w:rsidRDefault="005B452F" w:rsidP="00F00E1E">
      <w:pPr>
        <w:spacing w:line="360" w:lineRule="auto"/>
        <w:rPr>
          <w:rFonts w:ascii="Arial" w:hAnsi="Arial" w:cs="Arial"/>
        </w:rPr>
      </w:pPr>
    </w:p>
    <w:p w:rsidR="005B452F" w:rsidRDefault="0034157D" w:rsidP="00F00E1E">
      <w:pPr>
        <w:spacing w:line="360" w:lineRule="auto"/>
        <w:rPr>
          <w:rFonts w:ascii="Arial" w:hAnsi="Arial" w:cs="Arial"/>
        </w:rPr>
      </w:pPr>
      <w:proofErr w:type="gramStart"/>
      <w:r>
        <w:rPr>
          <w:rFonts w:ascii="Arial" w:hAnsi="Arial" w:cs="Arial"/>
        </w:rPr>
        <w:t>a</w:t>
      </w:r>
      <w:r w:rsidR="005B452F">
        <w:rPr>
          <w:rFonts w:ascii="Arial" w:hAnsi="Arial" w:cs="Arial"/>
        </w:rPr>
        <w:t>nd</w:t>
      </w:r>
      <w:proofErr w:type="gramEnd"/>
      <w:r w:rsidR="005B452F">
        <w:rPr>
          <w:rFonts w:ascii="Arial" w:hAnsi="Arial" w:cs="Arial"/>
        </w:rPr>
        <w:t xml:space="preserve"> </w:t>
      </w:r>
    </w:p>
    <w:p w:rsidR="005B452F" w:rsidRDefault="005B452F" w:rsidP="00F00E1E">
      <w:pPr>
        <w:spacing w:line="360" w:lineRule="auto"/>
        <w:rPr>
          <w:rFonts w:ascii="Arial" w:hAnsi="Arial" w:cs="Arial"/>
        </w:rPr>
      </w:pPr>
    </w:p>
    <w:p w:rsidR="005B452F" w:rsidRDefault="005B452F" w:rsidP="00F00E1E">
      <w:pPr>
        <w:spacing w:line="360" w:lineRule="auto"/>
        <w:rPr>
          <w:rFonts w:ascii="Arial" w:hAnsi="Arial" w:cs="Arial"/>
        </w:rPr>
      </w:pPr>
      <w:r w:rsidRPr="005B452F">
        <w:rPr>
          <w:rFonts w:ascii="Arial" w:hAnsi="Arial" w:cs="Arial"/>
          <w:b/>
        </w:rPr>
        <w:t>NAMIBIA CORRECTIONAL SERVICE</w:t>
      </w:r>
      <w:r w:rsidRPr="005B452F">
        <w:rPr>
          <w:rFonts w:ascii="Arial" w:hAnsi="Arial" w:cs="Arial"/>
          <w:b/>
        </w:rPr>
        <w:tab/>
      </w:r>
      <w:r>
        <w:rPr>
          <w:rFonts w:ascii="Arial" w:hAnsi="Arial" w:cs="Arial"/>
        </w:rPr>
        <w:tab/>
      </w:r>
      <w:r>
        <w:rPr>
          <w:rFonts w:ascii="Arial" w:hAnsi="Arial" w:cs="Arial"/>
        </w:rPr>
        <w:tab/>
        <w:t xml:space="preserve">        </w:t>
      </w:r>
      <w:r w:rsidRPr="005B452F">
        <w:rPr>
          <w:rFonts w:ascii="Arial" w:hAnsi="Arial" w:cs="Arial"/>
          <w:b/>
        </w:rPr>
        <w:t xml:space="preserve"> RESPONDENT</w:t>
      </w:r>
    </w:p>
    <w:p w:rsidR="003B7999" w:rsidRPr="009660F8" w:rsidRDefault="003B7999" w:rsidP="003B7999">
      <w:pPr>
        <w:spacing w:line="360" w:lineRule="auto"/>
        <w:jc w:val="both"/>
        <w:rPr>
          <w:rFonts w:ascii="Arial" w:hAnsi="Arial" w:cs="Arial"/>
          <w:b/>
        </w:rPr>
      </w:pPr>
    </w:p>
    <w:p w:rsidR="003B7999" w:rsidRDefault="003B7999" w:rsidP="003B7999">
      <w:pPr>
        <w:spacing w:line="360" w:lineRule="auto"/>
        <w:jc w:val="both"/>
        <w:rPr>
          <w:rFonts w:ascii="Arial" w:hAnsi="Arial" w:cs="Arial"/>
        </w:rPr>
      </w:pPr>
      <w:r w:rsidRPr="00C94819">
        <w:rPr>
          <w:rFonts w:ascii="Arial" w:hAnsi="Arial" w:cs="Arial"/>
          <w:b/>
        </w:rPr>
        <w:t>Neutral Citation:</w:t>
      </w:r>
      <w:r w:rsidR="00BB1FC6" w:rsidRPr="009660F8">
        <w:rPr>
          <w:rFonts w:ascii="Arial" w:hAnsi="Arial" w:cs="Arial"/>
        </w:rPr>
        <w:t xml:space="preserve">  </w:t>
      </w:r>
      <w:proofErr w:type="spellStart"/>
      <w:r w:rsidR="009660F8" w:rsidRPr="009660F8">
        <w:rPr>
          <w:rFonts w:ascii="Arial" w:hAnsi="Arial" w:cs="Arial"/>
          <w:i/>
        </w:rPr>
        <w:t>Dausab</w:t>
      </w:r>
      <w:proofErr w:type="spellEnd"/>
      <w:r w:rsidRPr="009660F8">
        <w:rPr>
          <w:rFonts w:ascii="Arial" w:hAnsi="Arial" w:cs="Arial"/>
          <w:i/>
        </w:rPr>
        <w:t xml:space="preserve"> v </w:t>
      </w:r>
      <w:r w:rsidR="009660F8" w:rsidRPr="009660F8">
        <w:rPr>
          <w:rFonts w:ascii="Arial" w:hAnsi="Arial" w:cs="Arial"/>
          <w:i/>
        </w:rPr>
        <w:t>Namibia Correctional Service</w:t>
      </w:r>
      <w:r w:rsidR="002A11FF" w:rsidRPr="009660F8">
        <w:rPr>
          <w:rFonts w:ascii="Arial" w:hAnsi="Arial" w:cs="Arial"/>
          <w:i/>
        </w:rPr>
        <w:t xml:space="preserve"> </w:t>
      </w:r>
      <w:r w:rsidRPr="009660F8">
        <w:rPr>
          <w:rFonts w:ascii="Arial" w:hAnsi="Arial" w:cs="Arial"/>
        </w:rPr>
        <w:t>(</w:t>
      </w:r>
      <w:r w:rsidR="002A11FF" w:rsidRPr="009660F8">
        <w:rPr>
          <w:rFonts w:ascii="Arial" w:hAnsi="Arial" w:cs="Arial"/>
        </w:rPr>
        <w:t>HC-MD-CIV-MOT-GEN-20</w:t>
      </w:r>
      <w:r w:rsidR="009660F8" w:rsidRPr="009660F8">
        <w:rPr>
          <w:rFonts w:ascii="Arial" w:hAnsi="Arial" w:cs="Arial"/>
        </w:rPr>
        <w:t>20/00236</w:t>
      </w:r>
      <w:r w:rsidR="002A11FF" w:rsidRPr="009660F8">
        <w:rPr>
          <w:rFonts w:ascii="Arial" w:hAnsi="Arial" w:cs="Arial"/>
        </w:rPr>
        <w:t>)</w:t>
      </w:r>
      <w:r w:rsidR="008709DB">
        <w:rPr>
          <w:rFonts w:ascii="Arial" w:hAnsi="Arial" w:cs="Arial"/>
        </w:rPr>
        <w:t xml:space="preserve"> [2020] NAHCMD 435</w:t>
      </w:r>
      <w:r w:rsidRPr="009660F8">
        <w:rPr>
          <w:rFonts w:ascii="Arial" w:hAnsi="Arial" w:cs="Arial"/>
        </w:rPr>
        <w:t xml:space="preserve"> (</w:t>
      </w:r>
      <w:r w:rsidR="009660F8" w:rsidRPr="009660F8">
        <w:rPr>
          <w:rFonts w:ascii="Arial" w:hAnsi="Arial" w:cs="Arial"/>
        </w:rPr>
        <w:t>23 September</w:t>
      </w:r>
      <w:r w:rsidRPr="009660F8">
        <w:rPr>
          <w:rFonts w:ascii="Arial" w:hAnsi="Arial" w:cs="Arial"/>
        </w:rPr>
        <w:t xml:space="preserve"> 2020)</w:t>
      </w:r>
    </w:p>
    <w:p w:rsidR="005B452F" w:rsidRDefault="005B452F" w:rsidP="003B7999">
      <w:pPr>
        <w:spacing w:line="360" w:lineRule="auto"/>
        <w:jc w:val="both"/>
        <w:rPr>
          <w:rFonts w:ascii="Arial" w:hAnsi="Arial" w:cs="Arial"/>
        </w:rPr>
      </w:pPr>
    </w:p>
    <w:p w:rsidR="001C285D" w:rsidRPr="005B452F" w:rsidRDefault="005B452F" w:rsidP="003B7999">
      <w:pPr>
        <w:spacing w:line="360" w:lineRule="auto"/>
        <w:jc w:val="both"/>
        <w:rPr>
          <w:rFonts w:ascii="Arial" w:hAnsi="Arial" w:cs="Arial"/>
        </w:rPr>
      </w:pPr>
      <w:r>
        <w:rPr>
          <w:rFonts w:ascii="Arial" w:hAnsi="Arial" w:cs="Arial"/>
        </w:rPr>
        <w:t>Coram:</w:t>
      </w:r>
      <w:r>
        <w:rPr>
          <w:rFonts w:ascii="Arial" w:hAnsi="Arial" w:cs="Arial"/>
        </w:rPr>
        <w:tab/>
      </w:r>
      <w:proofErr w:type="spellStart"/>
      <w:r>
        <w:rPr>
          <w:rFonts w:ascii="Arial" w:hAnsi="Arial" w:cs="Arial"/>
        </w:rPr>
        <w:t>Masuku</w:t>
      </w:r>
      <w:proofErr w:type="spellEnd"/>
      <w:r>
        <w:rPr>
          <w:rFonts w:ascii="Arial" w:hAnsi="Arial" w:cs="Arial"/>
        </w:rPr>
        <w:t xml:space="preserve"> J</w:t>
      </w:r>
    </w:p>
    <w:p w:rsidR="0034157D" w:rsidRDefault="0034157D" w:rsidP="00A90223">
      <w:pPr>
        <w:spacing w:line="360" w:lineRule="auto"/>
        <w:jc w:val="both"/>
        <w:rPr>
          <w:rFonts w:ascii="Arial" w:hAnsi="Arial" w:cs="Arial"/>
        </w:rPr>
      </w:pPr>
    </w:p>
    <w:p w:rsidR="001C285D" w:rsidRPr="009660F8" w:rsidRDefault="005B452F" w:rsidP="00A90223">
      <w:pPr>
        <w:spacing w:line="360" w:lineRule="auto"/>
        <w:jc w:val="both"/>
        <w:rPr>
          <w:rFonts w:ascii="Arial" w:hAnsi="Arial" w:cs="Arial"/>
        </w:rPr>
      </w:pPr>
      <w:r>
        <w:rPr>
          <w:rFonts w:ascii="Arial" w:hAnsi="Arial" w:cs="Arial"/>
        </w:rPr>
        <w:t>Heard:</w:t>
      </w:r>
      <w:r>
        <w:rPr>
          <w:rFonts w:ascii="Arial" w:hAnsi="Arial" w:cs="Arial"/>
        </w:rPr>
        <w:tab/>
      </w:r>
      <w:r w:rsidR="002B1216">
        <w:rPr>
          <w:rFonts w:ascii="Arial" w:hAnsi="Arial" w:cs="Arial"/>
        </w:rPr>
        <w:t>07 September 2020</w:t>
      </w:r>
    </w:p>
    <w:p w:rsidR="003B7999" w:rsidRPr="00C94819" w:rsidRDefault="003B7999" w:rsidP="00A90223">
      <w:pPr>
        <w:spacing w:line="360" w:lineRule="auto"/>
        <w:jc w:val="both"/>
        <w:rPr>
          <w:rFonts w:ascii="Arial" w:hAnsi="Arial" w:cs="Arial"/>
          <w:b/>
        </w:rPr>
      </w:pPr>
      <w:r w:rsidRPr="00C94819">
        <w:rPr>
          <w:rFonts w:ascii="Arial" w:hAnsi="Arial" w:cs="Arial"/>
          <w:b/>
        </w:rPr>
        <w:t>Delivered:</w:t>
      </w:r>
      <w:r w:rsidR="005B452F" w:rsidRPr="00C94819">
        <w:rPr>
          <w:rFonts w:ascii="Arial" w:hAnsi="Arial" w:cs="Arial"/>
          <w:b/>
        </w:rPr>
        <w:tab/>
      </w:r>
      <w:r w:rsidR="009660F8" w:rsidRPr="00C94819">
        <w:rPr>
          <w:rFonts w:ascii="Arial" w:hAnsi="Arial" w:cs="Arial"/>
          <w:b/>
        </w:rPr>
        <w:t>23 September 2020</w:t>
      </w:r>
    </w:p>
    <w:p w:rsidR="00FE5410" w:rsidRDefault="00FE5410" w:rsidP="00A90223">
      <w:pPr>
        <w:spacing w:line="360" w:lineRule="auto"/>
        <w:jc w:val="both"/>
        <w:rPr>
          <w:rFonts w:ascii="Arial" w:hAnsi="Arial" w:cs="Arial"/>
        </w:rPr>
      </w:pPr>
    </w:p>
    <w:p w:rsidR="00A90223" w:rsidRDefault="00FE5410" w:rsidP="00A90223">
      <w:pPr>
        <w:spacing w:line="360" w:lineRule="auto"/>
        <w:jc w:val="both"/>
        <w:rPr>
          <w:rFonts w:ascii="Arial" w:hAnsi="Arial" w:cs="Arial"/>
        </w:rPr>
      </w:pPr>
      <w:proofErr w:type="spellStart"/>
      <w:r w:rsidRPr="00C94819">
        <w:rPr>
          <w:rFonts w:ascii="Arial" w:hAnsi="Arial" w:cs="Arial"/>
          <w:b/>
        </w:rPr>
        <w:t>F</w:t>
      </w:r>
      <w:r w:rsidR="00C94819" w:rsidRPr="00C94819">
        <w:rPr>
          <w:rFonts w:ascii="Arial" w:hAnsi="Arial" w:cs="Arial"/>
          <w:b/>
        </w:rPr>
        <w:t>lynote</w:t>
      </w:r>
      <w:proofErr w:type="spellEnd"/>
      <w:r w:rsidR="00C94819" w:rsidRPr="00C94819">
        <w:rPr>
          <w:rFonts w:ascii="Arial" w:hAnsi="Arial" w:cs="Arial"/>
          <w:b/>
        </w:rPr>
        <w:t>:</w:t>
      </w:r>
      <w:r w:rsidR="00C94819">
        <w:rPr>
          <w:rFonts w:ascii="Arial" w:hAnsi="Arial" w:cs="Arial"/>
        </w:rPr>
        <w:tab/>
      </w:r>
      <w:r>
        <w:rPr>
          <w:rFonts w:ascii="Arial" w:hAnsi="Arial" w:cs="Arial"/>
        </w:rPr>
        <w:t>F</w:t>
      </w:r>
      <w:r w:rsidRPr="00FE5410">
        <w:rPr>
          <w:rFonts w:ascii="Arial" w:hAnsi="Arial" w:cs="Arial"/>
        </w:rPr>
        <w:t>oundin</w:t>
      </w:r>
      <w:r w:rsidR="00A90223">
        <w:rPr>
          <w:rFonts w:ascii="Arial" w:hAnsi="Arial" w:cs="Arial"/>
        </w:rPr>
        <w:t xml:space="preserve">g affidavit – Effect of illegible commissioner of oaths stamp - </w:t>
      </w:r>
      <w:r w:rsidRPr="00FE5410">
        <w:rPr>
          <w:rFonts w:ascii="Arial" w:hAnsi="Arial" w:cs="Arial"/>
        </w:rPr>
        <w:t>Legislation – Justices of the Peace and Commissioners of Oaths Act 16 of 1963 – Regulation</w:t>
      </w:r>
      <w:r w:rsidR="00A90223">
        <w:rPr>
          <w:rFonts w:ascii="Arial" w:hAnsi="Arial" w:cs="Arial"/>
        </w:rPr>
        <w:t>s</w:t>
      </w:r>
      <w:r w:rsidRPr="00FE5410">
        <w:rPr>
          <w:rFonts w:ascii="Arial" w:hAnsi="Arial" w:cs="Arial"/>
        </w:rPr>
        <w:t xml:space="preserve"> </w:t>
      </w:r>
      <w:r w:rsidR="00A90223">
        <w:rPr>
          <w:rFonts w:ascii="Arial" w:hAnsi="Arial" w:cs="Arial"/>
        </w:rPr>
        <w:t xml:space="preserve">1 to </w:t>
      </w:r>
      <w:r w:rsidRPr="00FE5410">
        <w:rPr>
          <w:rFonts w:ascii="Arial" w:hAnsi="Arial" w:cs="Arial"/>
        </w:rPr>
        <w:t xml:space="preserve">4 – Failure to comply with the provisions thereof – provisions merely directory and not peremptory – non-compliance cured by defaulting party tendering a reasonable explanation – where same not done, non-compliance </w:t>
      </w:r>
      <w:r w:rsidR="00A90223">
        <w:rPr>
          <w:rFonts w:ascii="Arial" w:hAnsi="Arial" w:cs="Arial"/>
        </w:rPr>
        <w:t>is fatal.</w:t>
      </w:r>
    </w:p>
    <w:p w:rsidR="0034157D" w:rsidRDefault="0034157D" w:rsidP="00A90223">
      <w:pPr>
        <w:spacing w:line="360" w:lineRule="auto"/>
        <w:jc w:val="both"/>
        <w:rPr>
          <w:rFonts w:ascii="Arial" w:hAnsi="Arial" w:cs="Arial"/>
        </w:rPr>
      </w:pPr>
    </w:p>
    <w:p w:rsidR="00A90223" w:rsidRDefault="00A90223" w:rsidP="00A90223">
      <w:pPr>
        <w:spacing w:line="360" w:lineRule="auto"/>
        <w:jc w:val="both"/>
        <w:rPr>
          <w:rFonts w:ascii="Arial" w:hAnsi="Arial" w:cs="Arial"/>
          <w:lang w:val="en-US"/>
        </w:rPr>
      </w:pPr>
      <w:r w:rsidRPr="00C94819">
        <w:rPr>
          <w:rFonts w:ascii="Arial" w:hAnsi="Arial" w:cs="Arial"/>
          <w:b/>
        </w:rPr>
        <w:t>Summary:</w:t>
      </w:r>
      <w:r w:rsidR="00C94819">
        <w:rPr>
          <w:rFonts w:ascii="Arial" w:hAnsi="Arial" w:cs="Arial"/>
          <w:lang w:val="en-US"/>
        </w:rPr>
        <w:tab/>
      </w:r>
      <w:r>
        <w:rPr>
          <w:rFonts w:ascii="Arial" w:hAnsi="Arial" w:cs="Arial"/>
          <w:lang w:val="en-US"/>
        </w:rPr>
        <w:t xml:space="preserve">The </w:t>
      </w:r>
      <w:r w:rsidRPr="00A90223">
        <w:rPr>
          <w:rFonts w:ascii="Arial" w:hAnsi="Arial" w:cs="Arial"/>
          <w:lang w:val="en-US"/>
        </w:rPr>
        <w:t xml:space="preserve">applicant deposed to a founding affidavit in support of </w:t>
      </w:r>
      <w:r>
        <w:rPr>
          <w:rFonts w:ascii="Arial" w:hAnsi="Arial" w:cs="Arial"/>
          <w:lang w:val="en-US"/>
        </w:rPr>
        <w:t>his</w:t>
      </w:r>
      <w:r w:rsidRPr="00A90223">
        <w:rPr>
          <w:rFonts w:ascii="Arial" w:hAnsi="Arial" w:cs="Arial"/>
          <w:lang w:val="en-US"/>
        </w:rPr>
        <w:t xml:space="preserve"> application which the commissioner of oaths omitted to sign</w:t>
      </w:r>
      <w:r>
        <w:rPr>
          <w:rFonts w:ascii="Arial" w:hAnsi="Arial" w:cs="Arial"/>
          <w:lang w:val="en-US"/>
        </w:rPr>
        <w:t xml:space="preserve"> at the bottom </w:t>
      </w:r>
      <w:r>
        <w:rPr>
          <w:rFonts w:ascii="Arial" w:hAnsi="Arial" w:cs="Arial"/>
          <w:lang w:val="en-US"/>
        </w:rPr>
        <w:lastRenderedPageBreak/>
        <w:t>thereof</w:t>
      </w:r>
      <w:r w:rsidRPr="00A90223">
        <w:rPr>
          <w:rFonts w:ascii="Arial" w:hAnsi="Arial" w:cs="Arial"/>
          <w:lang w:val="en-US"/>
        </w:rPr>
        <w:t>.</w:t>
      </w:r>
      <w:r>
        <w:rPr>
          <w:rFonts w:ascii="Arial" w:hAnsi="Arial" w:cs="Arial"/>
          <w:lang w:val="en-US"/>
        </w:rPr>
        <w:t xml:space="preserve"> The commissioner of oaths</w:t>
      </w:r>
      <w:r w:rsidR="008244DC">
        <w:rPr>
          <w:rFonts w:ascii="Arial" w:hAnsi="Arial" w:cs="Arial"/>
          <w:lang w:val="en-US"/>
        </w:rPr>
        <w:t xml:space="preserve"> did however append what appear</w:t>
      </w:r>
      <w:r>
        <w:rPr>
          <w:rFonts w:ascii="Arial" w:hAnsi="Arial" w:cs="Arial"/>
          <w:lang w:val="en-US"/>
        </w:rPr>
        <w:t>s to be his stamp</w:t>
      </w:r>
      <w:r w:rsidR="001F7679">
        <w:rPr>
          <w:rFonts w:ascii="Arial" w:hAnsi="Arial" w:cs="Arial"/>
          <w:lang w:val="en-US"/>
        </w:rPr>
        <w:t>, although illegible,</w:t>
      </w:r>
      <w:r>
        <w:rPr>
          <w:rFonts w:ascii="Arial" w:hAnsi="Arial" w:cs="Arial"/>
          <w:lang w:val="en-US"/>
        </w:rPr>
        <w:t xml:space="preserve"> on page two of the founding affidavit.</w:t>
      </w:r>
      <w:r w:rsidRPr="00A90223">
        <w:rPr>
          <w:rFonts w:ascii="Arial" w:hAnsi="Arial" w:cs="Arial"/>
          <w:lang w:val="en-US"/>
        </w:rPr>
        <w:t xml:space="preserve"> As a result of this omission</w:t>
      </w:r>
      <w:r w:rsidR="001F7679">
        <w:rPr>
          <w:rFonts w:ascii="Arial" w:hAnsi="Arial" w:cs="Arial"/>
          <w:lang w:val="en-US"/>
        </w:rPr>
        <w:t xml:space="preserve"> and </w:t>
      </w:r>
      <w:r w:rsidR="00E84E46">
        <w:rPr>
          <w:rFonts w:ascii="Arial" w:hAnsi="Arial" w:cs="Arial"/>
          <w:lang w:val="en-US"/>
        </w:rPr>
        <w:t xml:space="preserve">illegibility which consequently resulted in </w:t>
      </w:r>
      <w:r w:rsidR="001F7679">
        <w:rPr>
          <w:rFonts w:ascii="Arial" w:hAnsi="Arial" w:cs="Arial"/>
          <w:lang w:val="en-US"/>
        </w:rPr>
        <w:t>various other non-compliances</w:t>
      </w:r>
      <w:r w:rsidRPr="00A90223">
        <w:rPr>
          <w:rFonts w:ascii="Arial" w:hAnsi="Arial" w:cs="Arial"/>
          <w:lang w:val="en-US"/>
        </w:rPr>
        <w:t xml:space="preserve">, the respondents raised as one of its points </w:t>
      </w:r>
      <w:r w:rsidRPr="00A90223">
        <w:rPr>
          <w:rFonts w:ascii="Arial" w:hAnsi="Arial" w:cs="Arial"/>
          <w:i/>
          <w:lang w:val="en-US"/>
        </w:rPr>
        <w:t xml:space="preserve">in </w:t>
      </w:r>
      <w:proofErr w:type="spellStart"/>
      <w:r w:rsidRPr="00A90223">
        <w:rPr>
          <w:rFonts w:ascii="Arial" w:hAnsi="Arial" w:cs="Arial"/>
          <w:i/>
          <w:lang w:val="en-US"/>
        </w:rPr>
        <w:t>limine</w:t>
      </w:r>
      <w:proofErr w:type="spellEnd"/>
      <w:r w:rsidRPr="00A90223">
        <w:rPr>
          <w:rFonts w:ascii="Arial" w:hAnsi="Arial" w:cs="Arial"/>
          <w:lang w:val="en-US"/>
        </w:rPr>
        <w:t>, the non-compliance with Regulation</w:t>
      </w:r>
      <w:r w:rsidR="001F7679">
        <w:rPr>
          <w:rFonts w:ascii="Arial" w:hAnsi="Arial" w:cs="Arial"/>
          <w:lang w:val="en-US"/>
        </w:rPr>
        <w:t>s 1 to</w:t>
      </w:r>
      <w:r w:rsidRPr="00A90223">
        <w:rPr>
          <w:rFonts w:ascii="Arial" w:hAnsi="Arial" w:cs="Arial"/>
          <w:lang w:val="en-US"/>
        </w:rPr>
        <w:t xml:space="preserve"> 4 of the Justices of the Peace and Commissioners of Oaths Act</w:t>
      </w:r>
      <w:r w:rsidR="001F7679">
        <w:rPr>
          <w:rFonts w:ascii="Arial" w:hAnsi="Arial" w:cs="Arial"/>
          <w:lang w:val="en-US"/>
        </w:rPr>
        <w:t xml:space="preserve"> , 16 of 1963</w:t>
      </w:r>
      <w:r w:rsidRPr="00A90223">
        <w:rPr>
          <w:rFonts w:ascii="Arial" w:hAnsi="Arial" w:cs="Arial"/>
          <w:lang w:val="en-US"/>
        </w:rPr>
        <w:t>.</w:t>
      </w:r>
    </w:p>
    <w:p w:rsidR="001F7679" w:rsidRDefault="001F7679" w:rsidP="00A90223">
      <w:pPr>
        <w:spacing w:line="360" w:lineRule="auto"/>
        <w:jc w:val="both"/>
        <w:rPr>
          <w:rFonts w:ascii="Arial" w:hAnsi="Arial" w:cs="Arial"/>
          <w:lang w:val="en-US"/>
        </w:rPr>
      </w:pPr>
    </w:p>
    <w:p w:rsidR="001F7679" w:rsidRPr="001F7679" w:rsidRDefault="001F7679" w:rsidP="001F7679">
      <w:pPr>
        <w:pBdr>
          <w:bottom w:val="single" w:sz="6" w:space="1" w:color="auto"/>
        </w:pBdr>
        <w:spacing w:line="360" w:lineRule="auto"/>
        <w:jc w:val="both"/>
        <w:rPr>
          <w:rFonts w:ascii="Arial" w:hAnsi="Arial" w:cs="Arial"/>
        </w:rPr>
      </w:pPr>
      <w:r w:rsidRPr="001F7679">
        <w:rPr>
          <w:rFonts w:ascii="Arial" w:hAnsi="Arial" w:cs="Arial"/>
          <w:lang w:val="en-US"/>
        </w:rPr>
        <w:t xml:space="preserve">Held: </w:t>
      </w:r>
      <w:r w:rsidRPr="001F7679">
        <w:rPr>
          <w:rFonts w:ascii="Arial" w:hAnsi="Arial" w:cs="Arial"/>
        </w:rPr>
        <w:t>It is settled law that non-compliance with the said regulation is not fatal provided that there has been substantial compliance for the reason that the provisions are directory and not peremptory in nature.</w:t>
      </w:r>
    </w:p>
    <w:p w:rsidR="001F7679" w:rsidRPr="001F7679" w:rsidRDefault="001F7679" w:rsidP="001F7679">
      <w:pPr>
        <w:pBdr>
          <w:bottom w:val="single" w:sz="6" w:space="1" w:color="auto"/>
        </w:pBdr>
        <w:spacing w:line="360" w:lineRule="auto"/>
        <w:jc w:val="both"/>
        <w:rPr>
          <w:rFonts w:ascii="Arial" w:hAnsi="Arial" w:cs="Arial"/>
        </w:rPr>
      </w:pPr>
    </w:p>
    <w:p w:rsidR="001F7679" w:rsidRPr="001F7679" w:rsidRDefault="001F7679" w:rsidP="001F7679">
      <w:pPr>
        <w:pBdr>
          <w:bottom w:val="single" w:sz="6" w:space="1" w:color="auto"/>
        </w:pBdr>
        <w:spacing w:line="360" w:lineRule="auto"/>
        <w:jc w:val="both"/>
        <w:rPr>
          <w:rFonts w:ascii="Arial" w:hAnsi="Arial" w:cs="Arial"/>
        </w:rPr>
      </w:pPr>
      <w:r w:rsidRPr="001F7679">
        <w:rPr>
          <w:rFonts w:ascii="Arial" w:hAnsi="Arial" w:cs="Arial"/>
        </w:rPr>
        <w:t>Held that: The non-compliance by the commissioner of oaths with the provisions of the Regulations can be condoned by the court sitting, provided that some reasonable explanation for the non-compliance has been tendered by the defaulting party.</w:t>
      </w:r>
    </w:p>
    <w:p w:rsidR="001F7679" w:rsidRPr="001F7679" w:rsidRDefault="001F7679" w:rsidP="001F7679">
      <w:pPr>
        <w:pBdr>
          <w:bottom w:val="single" w:sz="6" w:space="1" w:color="auto"/>
        </w:pBdr>
        <w:spacing w:line="360" w:lineRule="auto"/>
        <w:jc w:val="both"/>
        <w:rPr>
          <w:rFonts w:ascii="Arial" w:hAnsi="Arial" w:cs="Arial"/>
        </w:rPr>
      </w:pPr>
    </w:p>
    <w:p w:rsidR="001F7679" w:rsidRPr="001F7679" w:rsidRDefault="001F7679" w:rsidP="001F7679">
      <w:pPr>
        <w:pBdr>
          <w:bottom w:val="single" w:sz="6" w:space="1" w:color="auto"/>
        </w:pBdr>
        <w:spacing w:line="360" w:lineRule="auto"/>
        <w:jc w:val="both"/>
        <w:rPr>
          <w:rFonts w:ascii="Arial" w:hAnsi="Arial" w:cs="Arial"/>
        </w:rPr>
      </w:pPr>
      <w:r w:rsidRPr="001F7679">
        <w:rPr>
          <w:rFonts w:ascii="Arial" w:hAnsi="Arial" w:cs="Arial"/>
        </w:rPr>
        <w:t>Held further: That had it been a</w:t>
      </w:r>
      <w:r>
        <w:rPr>
          <w:rFonts w:ascii="Arial" w:hAnsi="Arial" w:cs="Arial"/>
        </w:rPr>
        <w:t>rgued or shown by the applicant</w:t>
      </w:r>
      <w:r w:rsidRPr="001F7679">
        <w:rPr>
          <w:rFonts w:ascii="Arial" w:hAnsi="Arial" w:cs="Arial"/>
        </w:rPr>
        <w:t xml:space="preserve"> that there was substantial compliance, the court may have been in a position to exercise its discretion favourably towards </w:t>
      </w:r>
      <w:r>
        <w:rPr>
          <w:rFonts w:ascii="Arial" w:hAnsi="Arial" w:cs="Arial"/>
        </w:rPr>
        <w:t>him</w:t>
      </w:r>
      <w:r w:rsidRPr="001F7679">
        <w:rPr>
          <w:rFonts w:ascii="Arial" w:hAnsi="Arial" w:cs="Arial"/>
        </w:rPr>
        <w:t>.</w:t>
      </w:r>
    </w:p>
    <w:p w:rsidR="001F7679" w:rsidRPr="001F7679" w:rsidRDefault="001F7679" w:rsidP="001F7679">
      <w:pPr>
        <w:pBdr>
          <w:bottom w:val="single" w:sz="6" w:space="1" w:color="auto"/>
        </w:pBdr>
        <w:spacing w:line="360" w:lineRule="auto"/>
        <w:jc w:val="both"/>
        <w:rPr>
          <w:rFonts w:ascii="Arial" w:hAnsi="Arial" w:cs="Arial"/>
        </w:rPr>
      </w:pPr>
    </w:p>
    <w:p w:rsidR="001F7679" w:rsidRPr="001F7679" w:rsidRDefault="001F7679" w:rsidP="001F7679">
      <w:pPr>
        <w:pBdr>
          <w:bottom w:val="single" w:sz="6" w:space="1" w:color="auto"/>
        </w:pBdr>
        <w:spacing w:line="360" w:lineRule="auto"/>
        <w:jc w:val="both"/>
        <w:rPr>
          <w:rFonts w:ascii="Arial" w:hAnsi="Arial" w:cs="Arial"/>
        </w:rPr>
      </w:pPr>
      <w:r w:rsidRPr="001F7679">
        <w:rPr>
          <w:rFonts w:ascii="Arial" w:hAnsi="Arial" w:cs="Arial"/>
        </w:rPr>
        <w:t>Held that: The court, in these matters, does not exercise any discretion in favour of a party that has not made any case for the court’s exercise of its discretion.</w:t>
      </w:r>
    </w:p>
    <w:p w:rsidR="001F7679" w:rsidRPr="001F7679" w:rsidRDefault="001F7679" w:rsidP="001F7679">
      <w:pPr>
        <w:pBdr>
          <w:bottom w:val="single" w:sz="6" w:space="1" w:color="auto"/>
        </w:pBdr>
        <w:spacing w:line="360" w:lineRule="auto"/>
        <w:jc w:val="both"/>
        <w:rPr>
          <w:rFonts w:ascii="Arial" w:hAnsi="Arial" w:cs="Arial"/>
        </w:rPr>
      </w:pPr>
    </w:p>
    <w:p w:rsidR="00FE5410" w:rsidRPr="009660F8" w:rsidRDefault="001F7679" w:rsidP="009326A1">
      <w:pPr>
        <w:pBdr>
          <w:bottom w:val="single" w:sz="6" w:space="1" w:color="auto"/>
        </w:pBdr>
        <w:spacing w:line="360" w:lineRule="auto"/>
        <w:jc w:val="both"/>
        <w:rPr>
          <w:rFonts w:ascii="Arial" w:hAnsi="Arial" w:cs="Arial"/>
        </w:rPr>
      </w:pPr>
      <w:r w:rsidRPr="001F7679">
        <w:rPr>
          <w:rFonts w:ascii="Arial" w:hAnsi="Arial" w:cs="Arial"/>
        </w:rPr>
        <w:t>Court consequently striking the matter from the court’s roll with an order as to costs.</w:t>
      </w:r>
    </w:p>
    <w:p w:rsidR="00C63A0B" w:rsidRPr="009660F8" w:rsidRDefault="00C63A0B" w:rsidP="0034157D">
      <w:pPr>
        <w:jc w:val="both"/>
        <w:rPr>
          <w:rFonts w:ascii="Arial" w:hAnsi="Arial" w:cs="Arial"/>
        </w:rPr>
      </w:pPr>
    </w:p>
    <w:p w:rsidR="00C63A0B" w:rsidRPr="009660F8" w:rsidRDefault="00C63A0B" w:rsidP="0034157D">
      <w:pPr>
        <w:jc w:val="center"/>
        <w:rPr>
          <w:rFonts w:ascii="Arial" w:hAnsi="Arial" w:cs="Arial"/>
          <w:b/>
        </w:rPr>
      </w:pPr>
      <w:r w:rsidRPr="009660F8">
        <w:rPr>
          <w:rFonts w:ascii="Arial" w:hAnsi="Arial" w:cs="Arial"/>
          <w:b/>
        </w:rPr>
        <w:t>ORDER</w:t>
      </w:r>
    </w:p>
    <w:p w:rsidR="00C63A0B" w:rsidRPr="009660F8" w:rsidRDefault="00C63A0B" w:rsidP="0034157D">
      <w:pPr>
        <w:pBdr>
          <w:bottom w:val="single" w:sz="6" w:space="1" w:color="auto"/>
        </w:pBdr>
        <w:jc w:val="both"/>
        <w:rPr>
          <w:rFonts w:ascii="Arial" w:hAnsi="Arial" w:cs="Arial"/>
          <w:b/>
        </w:rPr>
      </w:pPr>
    </w:p>
    <w:p w:rsidR="00C63A0B" w:rsidRPr="009660F8" w:rsidRDefault="00C63A0B" w:rsidP="003B7999">
      <w:pPr>
        <w:spacing w:line="360" w:lineRule="auto"/>
        <w:jc w:val="both"/>
        <w:rPr>
          <w:rFonts w:ascii="Arial" w:hAnsi="Arial" w:cs="Arial"/>
        </w:rPr>
      </w:pPr>
    </w:p>
    <w:p w:rsidR="003D0DBA" w:rsidRPr="009660F8" w:rsidRDefault="003D0DBA" w:rsidP="003D0DBA">
      <w:pPr>
        <w:pStyle w:val="Default"/>
        <w:numPr>
          <w:ilvl w:val="0"/>
          <w:numId w:val="8"/>
        </w:numPr>
        <w:spacing w:after="157" w:line="360" w:lineRule="auto"/>
        <w:jc w:val="both"/>
        <w:rPr>
          <w:lang w:val="en-GB"/>
        </w:rPr>
      </w:pPr>
      <w:r w:rsidRPr="009660F8">
        <w:rPr>
          <w:lang w:val="en-GB"/>
        </w:rPr>
        <w:t xml:space="preserve">The application is struck from the roll for non-compliance with Regulation </w:t>
      </w:r>
      <w:r>
        <w:rPr>
          <w:lang w:val="en-GB"/>
        </w:rPr>
        <w:t xml:space="preserve">1 to </w:t>
      </w:r>
      <w:r w:rsidRPr="009660F8">
        <w:rPr>
          <w:lang w:val="en-GB"/>
        </w:rPr>
        <w:t>4 of the Justices of the Peace and Commissioners of Oaths Act 16 of 1963</w:t>
      </w:r>
      <w:r>
        <w:rPr>
          <w:lang w:val="en-GB"/>
        </w:rPr>
        <w:t>.</w:t>
      </w:r>
    </w:p>
    <w:p w:rsidR="003D0DBA" w:rsidRPr="009660F8" w:rsidRDefault="003D0DBA" w:rsidP="003D0DBA">
      <w:pPr>
        <w:pStyle w:val="Default"/>
        <w:numPr>
          <w:ilvl w:val="0"/>
          <w:numId w:val="8"/>
        </w:numPr>
        <w:spacing w:after="157" w:line="360" w:lineRule="auto"/>
        <w:jc w:val="both"/>
        <w:rPr>
          <w:lang w:val="en-GB"/>
        </w:rPr>
      </w:pPr>
      <w:r>
        <w:rPr>
          <w:lang w:val="en-GB"/>
        </w:rPr>
        <w:t>There is no order</w:t>
      </w:r>
      <w:r w:rsidRPr="009660F8">
        <w:rPr>
          <w:lang w:val="en-GB"/>
        </w:rPr>
        <w:t xml:space="preserve"> </w:t>
      </w:r>
      <w:r>
        <w:rPr>
          <w:lang w:val="en-GB"/>
        </w:rPr>
        <w:t>as to</w:t>
      </w:r>
      <w:r w:rsidRPr="009660F8">
        <w:rPr>
          <w:lang w:val="en-GB"/>
        </w:rPr>
        <w:t xml:space="preserve"> costs.</w:t>
      </w:r>
    </w:p>
    <w:p w:rsidR="003D0DBA" w:rsidRDefault="003D0DBA" w:rsidP="003D0DBA">
      <w:pPr>
        <w:pStyle w:val="Default"/>
        <w:numPr>
          <w:ilvl w:val="0"/>
          <w:numId w:val="8"/>
        </w:numPr>
        <w:spacing w:after="157" w:line="360" w:lineRule="auto"/>
        <w:jc w:val="both"/>
        <w:rPr>
          <w:lang w:val="en-GB"/>
        </w:rPr>
      </w:pPr>
      <w:r w:rsidRPr="009660F8">
        <w:rPr>
          <w:lang w:val="en-GB"/>
        </w:rPr>
        <w:t>The matter is removed from the roll and is regarded as finalised.</w:t>
      </w:r>
    </w:p>
    <w:p w:rsidR="009660F8" w:rsidRPr="009660F8" w:rsidRDefault="009660F8" w:rsidP="009660F8">
      <w:pPr>
        <w:pBdr>
          <w:bottom w:val="single" w:sz="6" w:space="1" w:color="auto"/>
        </w:pBdr>
        <w:spacing w:line="360" w:lineRule="auto"/>
        <w:jc w:val="both"/>
        <w:rPr>
          <w:rFonts w:ascii="Arial" w:eastAsia="Times New Roman" w:hAnsi="Arial" w:cs="Arial"/>
          <w:noProof/>
          <w:lang w:eastAsia="en-GB"/>
        </w:rPr>
      </w:pPr>
    </w:p>
    <w:p w:rsidR="00594074" w:rsidRPr="009660F8" w:rsidRDefault="00594074" w:rsidP="0034157D">
      <w:pPr>
        <w:jc w:val="center"/>
        <w:rPr>
          <w:rFonts w:ascii="Arial" w:hAnsi="Arial" w:cs="Arial"/>
          <w:b/>
        </w:rPr>
      </w:pPr>
    </w:p>
    <w:p w:rsidR="00C63A0B" w:rsidRPr="009660F8" w:rsidRDefault="002A11FF" w:rsidP="0034157D">
      <w:pPr>
        <w:jc w:val="center"/>
        <w:rPr>
          <w:rFonts w:ascii="Arial" w:hAnsi="Arial" w:cs="Arial"/>
          <w:b/>
        </w:rPr>
      </w:pPr>
      <w:r w:rsidRPr="009660F8">
        <w:rPr>
          <w:rFonts w:ascii="Arial" w:hAnsi="Arial" w:cs="Arial"/>
          <w:b/>
        </w:rPr>
        <w:t>RULING</w:t>
      </w:r>
    </w:p>
    <w:p w:rsidR="00C63A0B" w:rsidRPr="009660F8" w:rsidRDefault="00C63A0B" w:rsidP="0034157D">
      <w:pPr>
        <w:pBdr>
          <w:bottom w:val="single" w:sz="6" w:space="1" w:color="auto"/>
        </w:pBdr>
        <w:jc w:val="both"/>
        <w:rPr>
          <w:rFonts w:ascii="Arial" w:hAnsi="Arial" w:cs="Arial"/>
          <w:b/>
        </w:rPr>
      </w:pPr>
    </w:p>
    <w:p w:rsidR="00A01B37" w:rsidRPr="009660F8" w:rsidRDefault="00A01B37" w:rsidP="009326A1">
      <w:pPr>
        <w:spacing w:line="360" w:lineRule="auto"/>
        <w:jc w:val="both"/>
        <w:rPr>
          <w:rFonts w:ascii="Arial" w:hAnsi="Arial" w:cs="Arial"/>
        </w:rPr>
      </w:pPr>
    </w:p>
    <w:p w:rsidR="00A9451C" w:rsidRPr="0034157D" w:rsidRDefault="00C63A0B" w:rsidP="009326A1">
      <w:pPr>
        <w:spacing w:line="360" w:lineRule="auto"/>
        <w:jc w:val="both"/>
        <w:rPr>
          <w:rFonts w:ascii="Arial" w:hAnsi="Arial" w:cs="Arial"/>
          <w:b/>
        </w:rPr>
      </w:pPr>
      <w:r w:rsidRPr="0034157D">
        <w:rPr>
          <w:rFonts w:ascii="Arial" w:hAnsi="Arial" w:cs="Arial"/>
          <w:b/>
        </w:rPr>
        <w:t>MASUKU</w:t>
      </w:r>
      <w:r w:rsidR="0034157D" w:rsidRPr="0034157D">
        <w:rPr>
          <w:rFonts w:ascii="Arial" w:hAnsi="Arial" w:cs="Arial"/>
          <w:b/>
        </w:rPr>
        <w:t>,</w:t>
      </w:r>
      <w:r w:rsidRPr="0034157D">
        <w:rPr>
          <w:rFonts w:ascii="Arial" w:hAnsi="Arial" w:cs="Arial"/>
          <w:b/>
        </w:rPr>
        <w:t xml:space="preserve"> J:</w:t>
      </w:r>
    </w:p>
    <w:p w:rsidR="00A9451C" w:rsidRPr="009660F8" w:rsidRDefault="00A9451C" w:rsidP="009326A1">
      <w:pPr>
        <w:spacing w:line="360" w:lineRule="auto"/>
        <w:jc w:val="both"/>
        <w:rPr>
          <w:rFonts w:ascii="Arial" w:hAnsi="Arial" w:cs="Arial"/>
        </w:rPr>
      </w:pPr>
    </w:p>
    <w:p w:rsidR="009764B7" w:rsidRPr="009660F8" w:rsidRDefault="00ED3BFA" w:rsidP="009764B7">
      <w:pPr>
        <w:spacing w:line="360" w:lineRule="auto"/>
        <w:jc w:val="both"/>
        <w:rPr>
          <w:rFonts w:ascii="Arial" w:hAnsi="Arial" w:cs="Arial"/>
          <w:u w:val="single"/>
        </w:rPr>
      </w:pPr>
      <w:r w:rsidRPr="009660F8">
        <w:rPr>
          <w:rFonts w:ascii="Arial" w:hAnsi="Arial" w:cs="Arial"/>
          <w:u w:val="single"/>
        </w:rPr>
        <w:t>Introduction</w:t>
      </w:r>
    </w:p>
    <w:p w:rsidR="009764B7" w:rsidRPr="009660F8" w:rsidRDefault="009764B7" w:rsidP="009764B7">
      <w:pPr>
        <w:spacing w:line="360" w:lineRule="auto"/>
        <w:jc w:val="both"/>
        <w:rPr>
          <w:rFonts w:ascii="Arial" w:hAnsi="Arial" w:cs="Arial"/>
          <w:u w:val="single"/>
        </w:rPr>
      </w:pPr>
    </w:p>
    <w:p w:rsidR="006A13F9" w:rsidRPr="009660F8" w:rsidRDefault="00E74860" w:rsidP="009660F8">
      <w:pPr>
        <w:spacing w:line="360" w:lineRule="auto"/>
        <w:jc w:val="both"/>
        <w:rPr>
          <w:rFonts w:ascii="Arial" w:hAnsi="Arial" w:cs="Arial"/>
        </w:rPr>
      </w:pPr>
      <w:r w:rsidRPr="009660F8">
        <w:rPr>
          <w:rFonts w:ascii="Arial" w:hAnsi="Arial" w:cs="Arial"/>
        </w:rPr>
        <w:t>[</w:t>
      </w:r>
      <w:r w:rsidR="006D3326" w:rsidRPr="009660F8">
        <w:rPr>
          <w:rFonts w:ascii="Arial" w:hAnsi="Arial" w:cs="Arial"/>
        </w:rPr>
        <w:t>1</w:t>
      </w:r>
      <w:r w:rsidRPr="009660F8">
        <w:rPr>
          <w:rFonts w:ascii="Arial" w:hAnsi="Arial" w:cs="Arial"/>
        </w:rPr>
        <w:t>]</w:t>
      </w:r>
      <w:r w:rsidR="007C49B3" w:rsidRPr="009660F8">
        <w:rPr>
          <w:rFonts w:ascii="Arial" w:hAnsi="Arial" w:cs="Arial"/>
        </w:rPr>
        <w:tab/>
      </w:r>
      <w:r w:rsidR="009660F8" w:rsidRPr="009660F8">
        <w:rPr>
          <w:rFonts w:ascii="Arial" w:hAnsi="Arial" w:cs="Arial"/>
        </w:rPr>
        <w:t>Serving before court for determination is an urgent application brought by the applicant for the following relief:</w:t>
      </w:r>
    </w:p>
    <w:p w:rsidR="009660F8" w:rsidRPr="009660F8" w:rsidRDefault="009660F8" w:rsidP="009660F8">
      <w:pPr>
        <w:spacing w:line="360" w:lineRule="auto"/>
        <w:jc w:val="both"/>
        <w:rPr>
          <w:rFonts w:ascii="Arial" w:hAnsi="Arial" w:cs="Arial"/>
        </w:rPr>
      </w:pPr>
    </w:p>
    <w:p w:rsidR="009660F8" w:rsidRPr="009660F8" w:rsidRDefault="009660F8" w:rsidP="009660F8">
      <w:pPr>
        <w:spacing w:line="360" w:lineRule="auto"/>
        <w:ind w:firstLine="720"/>
        <w:jc w:val="both"/>
        <w:rPr>
          <w:rFonts w:ascii="Arial" w:hAnsi="Arial" w:cs="Arial"/>
          <w:sz w:val="22"/>
          <w:szCs w:val="22"/>
          <w:lang w:val="en-US"/>
        </w:rPr>
      </w:pPr>
      <w:r>
        <w:rPr>
          <w:rFonts w:ascii="Arial" w:hAnsi="Arial" w:cs="Arial"/>
          <w:sz w:val="22"/>
          <w:szCs w:val="22"/>
          <w:lang w:val="en-US"/>
        </w:rPr>
        <w:t>‘</w:t>
      </w:r>
      <w:r w:rsidRPr="009660F8">
        <w:rPr>
          <w:rFonts w:ascii="Arial" w:hAnsi="Arial" w:cs="Arial"/>
          <w:sz w:val="22"/>
          <w:szCs w:val="22"/>
          <w:lang w:val="en-US"/>
        </w:rPr>
        <w:t xml:space="preserve">1.The applicant pray for the </w:t>
      </w:r>
      <w:proofErr w:type="spellStart"/>
      <w:r w:rsidRPr="009660F8">
        <w:rPr>
          <w:rFonts w:ascii="Arial" w:hAnsi="Arial" w:cs="Arial"/>
          <w:sz w:val="22"/>
          <w:szCs w:val="22"/>
          <w:lang w:val="en-US"/>
        </w:rPr>
        <w:t>Honourable</w:t>
      </w:r>
      <w:proofErr w:type="spellEnd"/>
      <w:r w:rsidRPr="009660F8">
        <w:rPr>
          <w:rFonts w:ascii="Arial" w:hAnsi="Arial" w:cs="Arial"/>
          <w:sz w:val="22"/>
          <w:szCs w:val="22"/>
          <w:lang w:val="en-US"/>
        </w:rPr>
        <w:t xml:space="preserve"> court to kindly condone his non-compliance with the rules</w:t>
      </w:r>
      <w:r>
        <w:rPr>
          <w:rFonts w:ascii="Arial" w:hAnsi="Arial" w:cs="Arial"/>
          <w:sz w:val="22"/>
          <w:szCs w:val="22"/>
          <w:lang w:val="en-US"/>
        </w:rPr>
        <w:t xml:space="preserve"> </w:t>
      </w:r>
      <w:r w:rsidRPr="009660F8">
        <w:rPr>
          <w:rFonts w:ascii="Arial" w:hAnsi="Arial" w:cs="Arial"/>
          <w:sz w:val="22"/>
          <w:szCs w:val="22"/>
          <w:lang w:val="en-US"/>
        </w:rPr>
        <w:t>of the court; and thus also condone the approaching of the court with an application that may</w:t>
      </w:r>
      <w:r>
        <w:rPr>
          <w:rFonts w:ascii="Arial" w:hAnsi="Arial" w:cs="Arial"/>
          <w:sz w:val="22"/>
          <w:szCs w:val="22"/>
          <w:lang w:val="en-US"/>
        </w:rPr>
        <w:t xml:space="preserve"> </w:t>
      </w:r>
      <w:r w:rsidRPr="009660F8">
        <w:rPr>
          <w:rFonts w:ascii="Arial" w:hAnsi="Arial" w:cs="Arial"/>
          <w:sz w:val="22"/>
          <w:szCs w:val="22"/>
          <w:lang w:val="en-US"/>
        </w:rPr>
        <w:t>contain basic defects</w:t>
      </w:r>
    </w:p>
    <w:p w:rsidR="009660F8" w:rsidRPr="009660F8" w:rsidRDefault="009660F8" w:rsidP="009660F8">
      <w:pPr>
        <w:spacing w:line="360" w:lineRule="auto"/>
        <w:jc w:val="both"/>
        <w:rPr>
          <w:rFonts w:ascii="Arial" w:hAnsi="Arial" w:cs="Arial"/>
          <w:sz w:val="22"/>
          <w:szCs w:val="22"/>
          <w:lang w:val="en-US"/>
        </w:rPr>
      </w:pPr>
      <w:r w:rsidRPr="009660F8">
        <w:rPr>
          <w:rFonts w:ascii="Arial" w:hAnsi="Arial" w:cs="Arial"/>
          <w:sz w:val="22"/>
          <w:szCs w:val="22"/>
          <w:lang w:val="en-US"/>
        </w:rPr>
        <w:t xml:space="preserve">2 The applicant therefore pray that the </w:t>
      </w:r>
      <w:proofErr w:type="spellStart"/>
      <w:r w:rsidRPr="009660F8">
        <w:rPr>
          <w:rFonts w:ascii="Arial" w:hAnsi="Arial" w:cs="Arial"/>
          <w:sz w:val="22"/>
          <w:szCs w:val="22"/>
          <w:lang w:val="en-US"/>
        </w:rPr>
        <w:t>Honourable</w:t>
      </w:r>
      <w:proofErr w:type="spellEnd"/>
      <w:r w:rsidRPr="009660F8">
        <w:rPr>
          <w:rFonts w:ascii="Arial" w:hAnsi="Arial" w:cs="Arial"/>
          <w:sz w:val="22"/>
          <w:szCs w:val="22"/>
          <w:lang w:val="en-US"/>
        </w:rPr>
        <w:t xml:space="preserve"> Court to kindly in its discretion and within it</w:t>
      </w:r>
      <w:r>
        <w:rPr>
          <w:rFonts w:ascii="Arial" w:hAnsi="Arial" w:cs="Arial"/>
          <w:sz w:val="22"/>
          <w:szCs w:val="22"/>
          <w:lang w:val="en-US"/>
        </w:rPr>
        <w:t xml:space="preserve"> </w:t>
      </w:r>
      <w:r w:rsidRPr="009660F8">
        <w:rPr>
          <w:rFonts w:ascii="Arial" w:hAnsi="Arial" w:cs="Arial"/>
          <w:sz w:val="22"/>
          <w:szCs w:val="22"/>
          <w:lang w:val="en-US"/>
        </w:rPr>
        <w:t>capacity to hear, preside and prosecute this matter solely on the merits, due to the fact that the</w:t>
      </w:r>
      <w:r w:rsidR="007B518B">
        <w:rPr>
          <w:rFonts w:ascii="Arial" w:hAnsi="Arial" w:cs="Arial"/>
          <w:sz w:val="22"/>
          <w:szCs w:val="22"/>
          <w:lang w:val="en-US"/>
        </w:rPr>
        <w:t xml:space="preserve"> </w:t>
      </w:r>
      <w:r w:rsidRPr="009660F8">
        <w:rPr>
          <w:rFonts w:ascii="Arial" w:hAnsi="Arial" w:cs="Arial"/>
          <w:sz w:val="22"/>
          <w:szCs w:val="22"/>
          <w:lang w:val="en-US"/>
        </w:rPr>
        <w:t>applicant compiled the application without having any legal training, and is a layperson who is</w:t>
      </w:r>
      <w:r w:rsidR="007B518B">
        <w:rPr>
          <w:rFonts w:ascii="Arial" w:hAnsi="Arial" w:cs="Arial"/>
          <w:sz w:val="22"/>
          <w:szCs w:val="22"/>
          <w:lang w:val="en-US"/>
        </w:rPr>
        <w:t xml:space="preserve"> </w:t>
      </w:r>
      <w:r w:rsidRPr="009660F8">
        <w:rPr>
          <w:rFonts w:ascii="Arial" w:hAnsi="Arial" w:cs="Arial"/>
          <w:sz w:val="22"/>
          <w:szCs w:val="22"/>
          <w:lang w:val="en-US"/>
        </w:rPr>
        <w:t>incapacitated in a dreadful situation that earnestly and urgently calls for an immediate intervention</w:t>
      </w:r>
      <w:r w:rsidR="007B518B">
        <w:rPr>
          <w:rFonts w:ascii="Arial" w:hAnsi="Arial" w:cs="Arial"/>
          <w:sz w:val="22"/>
          <w:szCs w:val="22"/>
          <w:lang w:val="en-US"/>
        </w:rPr>
        <w:t xml:space="preserve"> </w:t>
      </w:r>
      <w:r w:rsidRPr="009660F8">
        <w:rPr>
          <w:rFonts w:ascii="Arial" w:hAnsi="Arial" w:cs="Arial"/>
          <w:sz w:val="22"/>
          <w:szCs w:val="22"/>
          <w:lang w:val="en-US"/>
        </w:rPr>
        <w:t xml:space="preserve">of this </w:t>
      </w:r>
      <w:proofErr w:type="spellStart"/>
      <w:r w:rsidRPr="009660F8">
        <w:rPr>
          <w:rFonts w:ascii="Arial" w:hAnsi="Arial" w:cs="Arial"/>
          <w:sz w:val="22"/>
          <w:szCs w:val="22"/>
          <w:lang w:val="en-US"/>
        </w:rPr>
        <w:t>honourable</w:t>
      </w:r>
      <w:proofErr w:type="spellEnd"/>
      <w:r w:rsidRPr="009660F8">
        <w:rPr>
          <w:rFonts w:ascii="Arial" w:hAnsi="Arial" w:cs="Arial"/>
          <w:sz w:val="22"/>
          <w:szCs w:val="22"/>
          <w:lang w:val="en-US"/>
        </w:rPr>
        <w:t xml:space="preserve"> court</w:t>
      </w:r>
    </w:p>
    <w:p w:rsidR="009660F8" w:rsidRPr="009660F8" w:rsidRDefault="009660F8" w:rsidP="009660F8">
      <w:pPr>
        <w:spacing w:line="360" w:lineRule="auto"/>
        <w:jc w:val="both"/>
        <w:rPr>
          <w:rFonts w:ascii="Arial" w:hAnsi="Arial" w:cs="Arial"/>
          <w:sz w:val="22"/>
          <w:szCs w:val="22"/>
          <w:lang w:val="en-US"/>
        </w:rPr>
      </w:pPr>
      <w:r w:rsidRPr="009660F8">
        <w:rPr>
          <w:rFonts w:ascii="Arial" w:hAnsi="Arial" w:cs="Arial"/>
          <w:sz w:val="22"/>
          <w:szCs w:val="22"/>
          <w:lang w:val="en-US"/>
        </w:rPr>
        <w:t xml:space="preserve">3 The Applicant pray that the </w:t>
      </w:r>
      <w:proofErr w:type="spellStart"/>
      <w:r w:rsidRPr="009660F8">
        <w:rPr>
          <w:rFonts w:ascii="Arial" w:hAnsi="Arial" w:cs="Arial"/>
          <w:sz w:val="22"/>
          <w:szCs w:val="22"/>
          <w:lang w:val="en-US"/>
        </w:rPr>
        <w:t>honourable</w:t>
      </w:r>
      <w:proofErr w:type="spellEnd"/>
      <w:r w:rsidRPr="009660F8">
        <w:rPr>
          <w:rFonts w:ascii="Arial" w:hAnsi="Arial" w:cs="Arial"/>
          <w:sz w:val="22"/>
          <w:szCs w:val="22"/>
          <w:lang w:val="en-US"/>
        </w:rPr>
        <w:t xml:space="preserve"> Court to kindly order the Respondent to absolutely adhere</w:t>
      </w:r>
      <w:r w:rsidR="007B518B">
        <w:rPr>
          <w:rFonts w:ascii="Arial" w:hAnsi="Arial" w:cs="Arial"/>
          <w:sz w:val="22"/>
          <w:szCs w:val="22"/>
          <w:lang w:val="en-US"/>
        </w:rPr>
        <w:t xml:space="preserve"> </w:t>
      </w:r>
      <w:r w:rsidRPr="009660F8">
        <w:rPr>
          <w:rFonts w:ascii="Arial" w:hAnsi="Arial" w:cs="Arial"/>
          <w:sz w:val="22"/>
          <w:szCs w:val="22"/>
          <w:lang w:val="en-US"/>
        </w:rPr>
        <w:t>and without delay, commit to the ORDER OF THE HONOURABLE COURT, as sought and called</w:t>
      </w:r>
      <w:r w:rsidR="007B518B">
        <w:rPr>
          <w:rFonts w:ascii="Arial" w:hAnsi="Arial" w:cs="Arial"/>
          <w:sz w:val="22"/>
          <w:szCs w:val="22"/>
          <w:lang w:val="en-US"/>
        </w:rPr>
        <w:t xml:space="preserve"> </w:t>
      </w:r>
      <w:r w:rsidRPr="009660F8">
        <w:rPr>
          <w:rFonts w:ascii="Arial" w:hAnsi="Arial" w:cs="Arial"/>
          <w:sz w:val="22"/>
          <w:szCs w:val="22"/>
          <w:lang w:val="en-US"/>
        </w:rPr>
        <w:t>for by the Applicant, as indicated within the affidavit of this application from page 13 (line 68) up to</w:t>
      </w:r>
      <w:r w:rsidR="007B518B">
        <w:rPr>
          <w:rFonts w:ascii="Arial" w:hAnsi="Arial" w:cs="Arial"/>
          <w:sz w:val="22"/>
          <w:szCs w:val="22"/>
          <w:lang w:val="en-US"/>
        </w:rPr>
        <w:t xml:space="preserve"> </w:t>
      </w:r>
      <w:r w:rsidRPr="009660F8">
        <w:rPr>
          <w:rFonts w:ascii="Arial" w:hAnsi="Arial" w:cs="Arial"/>
          <w:sz w:val="22"/>
          <w:szCs w:val="22"/>
          <w:lang w:val="en-US"/>
        </w:rPr>
        <w:t>page 16 (line 80)</w:t>
      </w:r>
    </w:p>
    <w:p w:rsidR="007B518B" w:rsidRDefault="009660F8" w:rsidP="009660F8">
      <w:pPr>
        <w:spacing w:line="360" w:lineRule="auto"/>
        <w:jc w:val="both"/>
        <w:rPr>
          <w:rFonts w:ascii="Arial" w:hAnsi="Arial" w:cs="Arial"/>
          <w:sz w:val="22"/>
          <w:szCs w:val="22"/>
          <w:lang w:val="en-US"/>
        </w:rPr>
      </w:pPr>
      <w:r w:rsidRPr="009660F8">
        <w:rPr>
          <w:rFonts w:ascii="Arial" w:hAnsi="Arial" w:cs="Arial"/>
          <w:sz w:val="22"/>
          <w:szCs w:val="22"/>
          <w:lang w:val="en-US"/>
        </w:rPr>
        <w:t xml:space="preserve">4 The Applicant pray that the </w:t>
      </w:r>
      <w:proofErr w:type="spellStart"/>
      <w:r w:rsidRPr="009660F8">
        <w:rPr>
          <w:rFonts w:ascii="Arial" w:hAnsi="Arial" w:cs="Arial"/>
          <w:sz w:val="22"/>
          <w:szCs w:val="22"/>
          <w:lang w:val="en-US"/>
        </w:rPr>
        <w:t>Honourable</w:t>
      </w:r>
      <w:proofErr w:type="spellEnd"/>
      <w:r w:rsidRPr="009660F8">
        <w:rPr>
          <w:rFonts w:ascii="Arial" w:hAnsi="Arial" w:cs="Arial"/>
          <w:sz w:val="22"/>
          <w:szCs w:val="22"/>
          <w:lang w:val="en-US"/>
        </w:rPr>
        <w:t xml:space="preserve"> Court to hear the matter on urgent basis as laid out in</w:t>
      </w:r>
      <w:r w:rsidR="007B518B">
        <w:rPr>
          <w:rFonts w:ascii="Arial" w:hAnsi="Arial" w:cs="Arial"/>
          <w:sz w:val="22"/>
          <w:szCs w:val="22"/>
          <w:lang w:val="en-US"/>
        </w:rPr>
        <w:t xml:space="preserve"> </w:t>
      </w:r>
      <w:r w:rsidRPr="009660F8">
        <w:rPr>
          <w:rFonts w:ascii="Arial" w:hAnsi="Arial" w:cs="Arial"/>
          <w:sz w:val="22"/>
          <w:szCs w:val="22"/>
          <w:lang w:val="en-US"/>
        </w:rPr>
        <w:t>Certificate of Urgency.</w:t>
      </w:r>
      <w:r w:rsidR="007B518B">
        <w:rPr>
          <w:rFonts w:ascii="Arial" w:hAnsi="Arial" w:cs="Arial"/>
          <w:sz w:val="22"/>
          <w:szCs w:val="22"/>
          <w:lang w:val="en-US"/>
        </w:rPr>
        <w:t>’</w:t>
      </w:r>
    </w:p>
    <w:p w:rsidR="007B518B" w:rsidRPr="0066385A" w:rsidRDefault="007B518B" w:rsidP="009660F8">
      <w:pPr>
        <w:spacing w:line="360" w:lineRule="auto"/>
        <w:jc w:val="both"/>
        <w:rPr>
          <w:rFonts w:ascii="Arial" w:hAnsi="Arial" w:cs="Arial"/>
          <w:lang w:val="en-US"/>
        </w:rPr>
      </w:pPr>
    </w:p>
    <w:p w:rsidR="007B518B" w:rsidRPr="0066385A" w:rsidRDefault="007B518B" w:rsidP="009660F8">
      <w:pPr>
        <w:spacing w:line="360" w:lineRule="auto"/>
        <w:jc w:val="both"/>
        <w:rPr>
          <w:rFonts w:ascii="Arial" w:hAnsi="Arial" w:cs="Arial"/>
          <w:lang w:val="en-US"/>
        </w:rPr>
      </w:pPr>
      <w:r w:rsidRPr="0066385A">
        <w:rPr>
          <w:rFonts w:ascii="Arial" w:hAnsi="Arial" w:cs="Arial"/>
          <w:lang w:val="en-US"/>
        </w:rPr>
        <w:t>[</w:t>
      </w:r>
      <w:r w:rsidR="0034157D">
        <w:rPr>
          <w:rFonts w:ascii="Arial" w:hAnsi="Arial" w:cs="Arial"/>
          <w:lang w:val="en-US"/>
        </w:rPr>
        <w:t>2</w:t>
      </w:r>
      <w:r w:rsidRPr="0066385A">
        <w:rPr>
          <w:rFonts w:ascii="Arial" w:hAnsi="Arial" w:cs="Arial"/>
          <w:lang w:val="en-US"/>
        </w:rPr>
        <w:t>]</w:t>
      </w:r>
      <w:r w:rsidRPr="0066385A">
        <w:rPr>
          <w:rFonts w:ascii="Arial" w:hAnsi="Arial" w:cs="Arial"/>
          <w:lang w:val="en-US"/>
        </w:rPr>
        <w:tab/>
        <w:t xml:space="preserve">It is evident </w:t>
      </w:r>
      <w:r w:rsidR="008244DC">
        <w:rPr>
          <w:rFonts w:ascii="Arial" w:hAnsi="Arial" w:cs="Arial"/>
          <w:lang w:val="en-US"/>
        </w:rPr>
        <w:t>from the relief set out in the notice of m</w:t>
      </w:r>
      <w:r w:rsidRPr="0066385A">
        <w:rPr>
          <w:rFonts w:ascii="Arial" w:hAnsi="Arial" w:cs="Arial"/>
          <w:lang w:val="en-US"/>
        </w:rPr>
        <w:t>otion that the applicant seeks orders that are not</w:t>
      </w:r>
      <w:r w:rsidR="00F33020" w:rsidRPr="0066385A">
        <w:rPr>
          <w:rFonts w:ascii="Arial" w:hAnsi="Arial" w:cs="Arial"/>
          <w:lang w:val="en-US"/>
        </w:rPr>
        <w:t xml:space="preserve"> particularly specific. However, from a reading of the applicant’s founding affidavit, one can deduce the specific orders sought and these range from, amongst others; compensation for discrimination; torture as well as the return of certain personal items</w:t>
      </w:r>
      <w:r w:rsidR="00953BF0" w:rsidRPr="0066385A">
        <w:rPr>
          <w:rFonts w:ascii="Arial" w:hAnsi="Arial" w:cs="Arial"/>
          <w:lang w:val="en-US"/>
        </w:rPr>
        <w:t>.</w:t>
      </w:r>
    </w:p>
    <w:p w:rsidR="00953BF0" w:rsidRPr="0066385A" w:rsidRDefault="00953BF0" w:rsidP="009660F8">
      <w:pPr>
        <w:spacing w:line="360" w:lineRule="auto"/>
        <w:jc w:val="both"/>
        <w:rPr>
          <w:rFonts w:ascii="Arial" w:hAnsi="Arial" w:cs="Arial"/>
          <w:lang w:val="en-US"/>
        </w:rPr>
      </w:pPr>
    </w:p>
    <w:p w:rsidR="00953BF0" w:rsidRPr="0066385A" w:rsidRDefault="00953BF0" w:rsidP="009660F8">
      <w:pPr>
        <w:spacing w:line="360" w:lineRule="auto"/>
        <w:jc w:val="both"/>
        <w:rPr>
          <w:rFonts w:ascii="Arial" w:hAnsi="Arial" w:cs="Arial"/>
          <w:lang w:val="en-US"/>
        </w:rPr>
      </w:pPr>
      <w:r w:rsidRPr="0066385A">
        <w:rPr>
          <w:rFonts w:ascii="Arial" w:hAnsi="Arial" w:cs="Arial"/>
          <w:lang w:val="en-US"/>
        </w:rPr>
        <w:t>[</w:t>
      </w:r>
      <w:r w:rsidR="0034157D">
        <w:rPr>
          <w:rFonts w:ascii="Arial" w:hAnsi="Arial" w:cs="Arial"/>
          <w:lang w:val="en-US"/>
        </w:rPr>
        <w:t>3</w:t>
      </w:r>
      <w:r w:rsidRPr="0066385A">
        <w:rPr>
          <w:rFonts w:ascii="Arial" w:hAnsi="Arial" w:cs="Arial"/>
          <w:lang w:val="en-US"/>
        </w:rPr>
        <w:t>]</w:t>
      </w:r>
      <w:r w:rsidRPr="0066385A">
        <w:rPr>
          <w:rFonts w:ascii="Arial" w:hAnsi="Arial" w:cs="Arial"/>
          <w:lang w:val="en-US"/>
        </w:rPr>
        <w:tab/>
        <w:t xml:space="preserve">As aforementioned, the application was brought on an urgent basis. Whether the matter is indeed urgent or not will be dependent on the court’s finding in relation to the validity of the founding affidavit which is the very </w:t>
      </w:r>
      <w:r w:rsidR="0066385A">
        <w:rPr>
          <w:rFonts w:ascii="Arial" w:hAnsi="Arial" w:cs="Arial"/>
          <w:lang w:val="en-US"/>
        </w:rPr>
        <w:t>foundation</w:t>
      </w:r>
      <w:r w:rsidRPr="0066385A">
        <w:rPr>
          <w:rFonts w:ascii="Arial" w:hAnsi="Arial" w:cs="Arial"/>
          <w:lang w:val="en-US"/>
        </w:rPr>
        <w:t xml:space="preserve"> of this application.</w:t>
      </w:r>
    </w:p>
    <w:p w:rsidR="00953BF0" w:rsidRPr="0066385A" w:rsidRDefault="00953BF0" w:rsidP="009660F8">
      <w:pPr>
        <w:spacing w:line="360" w:lineRule="auto"/>
        <w:jc w:val="both"/>
        <w:rPr>
          <w:rFonts w:ascii="Arial" w:hAnsi="Arial" w:cs="Arial"/>
          <w:lang w:val="en-US"/>
        </w:rPr>
      </w:pPr>
    </w:p>
    <w:p w:rsidR="00953BF0" w:rsidRPr="0066385A" w:rsidRDefault="00953BF0" w:rsidP="009660F8">
      <w:pPr>
        <w:spacing w:line="360" w:lineRule="auto"/>
        <w:jc w:val="both"/>
        <w:rPr>
          <w:rFonts w:ascii="Arial" w:hAnsi="Arial" w:cs="Arial"/>
          <w:lang w:val="en-US"/>
        </w:rPr>
      </w:pPr>
      <w:r w:rsidRPr="0066385A">
        <w:rPr>
          <w:rFonts w:ascii="Arial" w:hAnsi="Arial" w:cs="Arial"/>
          <w:lang w:val="en-US"/>
        </w:rPr>
        <w:t>[</w:t>
      </w:r>
      <w:r w:rsidR="0034157D">
        <w:rPr>
          <w:rFonts w:ascii="Arial" w:hAnsi="Arial" w:cs="Arial"/>
          <w:lang w:val="en-US"/>
        </w:rPr>
        <w:t>4</w:t>
      </w:r>
      <w:r w:rsidRPr="0066385A">
        <w:rPr>
          <w:rFonts w:ascii="Arial" w:hAnsi="Arial" w:cs="Arial"/>
          <w:lang w:val="en-US"/>
        </w:rPr>
        <w:t>]</w:t>
      </w:r>
      <w:r w:rsidRPr="0066385A">
        <w:rPr>
          <w:rFonts w:ascii="Arial" w:hAnsi="Arial" w:cs="Arial"/>
          <w:lang w:val="en-US"/>
        </w:rPr>
        <w:tab/>
        <w:t xml:space="preserve">The respondent opposed the application, raising various points of law </w:t>
      </w:r>
      <w:r w:rsidRPr="0066385A">
        <w:rPr>
          <w:rFonts w:ascii="Arial" w:hAnsi="Arial" w:cs="Arial"/>
          <w:i/>
          <w:lang w:val="en-US"/>
        </w:rPr>
        <w:t xml:space="preserve">in </w:t>
      </w:r>
      <w:proofErr w:type="spellStart"/>
      <w:r w:rsidRPr="0066385A">
        <w:rPr>
          <w:rFonts w:ascii="Arial" w:hAnsi="Arial" w:cs="Arial"/>
          <w:i/>
          <w:lang w:val="en-US"/>
        </w:rPr>
        <w:t>limine</w:t>
      </w:r>
      <w:proofErr w:type="spellEnd"/>
      <w:r w:rsidR="008244DC">
        <w:rPr>
          <w:rFonts w:ascii="Arial" w:hAnsi="Arial" w:cs="Arial"/>
          <w:i/>
          <w:lang w:val="en-US"/>
        </w:rPr>
        <w:t>,</w:t>
      </w:r>
      <w:r w:rsidRPr="0066385A">
        <w:rPr>
          <w:rFonts w:ascii="Arial" w:hAnsi="Arial" w:cs="Arial"/>
          <w:i/>
          <w:lang w:val="en-US"/>
        </w:rPr>
        <w:t xml:space="preserve"> </w:t>
      </w:r>
      <w:r w:rsidRPr="0066385A">
        <w:rPr>
          <w:rFonts w:ascii="Arial" w:hAnsi="Arial" w:cs="Arial"/>
          <w:lang w:val="en-US"/>
        </w:rPr>
        <w:t>including lack of urgency</w:t>
      </w:r>
      <w:r w:rsidR="00E87328" w:rsidRPr="0066385A">
        <w:rPr>
          <w:rFonts w:ascii="Arial" w:hAnsi="Arial" w:cs="Arial"/>
          <w:lang w:val="en-US"/>
        </w:rPr>
        <w:t>; misjoinder; the inappropriateness of bringing an application for a damages claim; the failure by the applicant to substantiate the amounts claimed; the form and substance of the application not being in compliance with the Rules of Court</w:t>
      </w:r>
      <w:r w:rsidR="008244DC">
        <w:rPr>
          <w:rFonts w:ascii="Arial" w:hAnsi="Arial" w:cs="Arial"/>
          <w:lang w:val="en-US"/>
        </w:rPr>
        <w:t>,</w:t>
      </w:r>
      <w:r w:rsidR="00E87328" w:rsidRPr="0066385A">
        <w:rPr>
          <w:rFonts w:ascii="Arial" w:hAnsi="Arial" w:cs="Arial"/>
          <w:lang w:val="en-US"/>
        </w:rPr>
        <w:t xml:space="preserve"> as well as the nullity of the founding affidavit and its annexures in as far as it does not comply with the</w:t>
      </w:r>
      <w:r w:rsidR="00EE2D83" w:rsidRPr="0066385A">
        <w:rPr>
          <w:rFonts w:ascii="Arial" w:hAnsi="Arial" w:cs="Arial"/>
          <w:lang w:val="en-US"/>
        </w:rPr>
        <w:t xml:space="preserve"> Regulations of the</w:t>
      </w:r>
      <w:r w:rsidR="00E87328" w:rsidRPr="0066385A">
        <w:rPr>
          <w:rFonts w:ascii="Arial" w:hAnsi="Arial" w:cs="Arial"/>
          <w:lang w:val="en-US"/>
        </w:rPr>
        <w:t xml:space="preserve"> Justices of the Peace and Commissioners of Oaths Act, 16 of 1963.</w:t>
      </w:r>
    </w:p>
    <w:p w:rsidR="00E87328" w:rsidRDefault="00E87328" w:rsidP="009660F8">
      <w:pPr>
        <w:spacing w:line="360" w:lineRule="auto"/>
        <w:jc w:val="both"/>
        <w:rPr>
          <w:rFonts w:ascii="Arial" w:hAnsi="Arial" w:cs="Arial"/>
          <w:sz w:val="22"/>
          <w:szCs w:val="22"/>
          <w:lang w:val="en-US"/>
        </w:rPr>
      </w:pPr>
    </w:p>
    <w:p w:rsidR="00E87328" w:rsidRPr="0066385A" w:rsidRDefault="00E87328" w:rsidP="009660F8">
      <w:pPr>
        <w:spacing w:line="360" w:lineRule="auto"/>
        <w:jc w:val="both"/>
        <w:rPr>
          <w:rFonts w:ascii="Arial" w:hAnsi="Arial" w:cs="Arial"/>
          <w:lang w:val="en-US"/>
        </w:rPr>
      </w:pPr>
      <w:r w:rsidRPr="0066385A">
        <w:rPr>
          <w:rFonts w:ascii="Arial" w:hAnsi="Arial" w:cs="Arial"/>
          <w:lang w:val="en-US"/>
        </w:rPr>
        <w:t>[</w:t>
      </w:r>
      <w:r w:rsidR="0034157D">
        <w:rPr>
          <w:rFonts w:ascii="Arial" w:hAnsi="Arial" w:cs="Arial"/>
          <w:lang w:val="en-US"/>
        </w:rPr>
        <w:t>5</w:t>
      </w:r>
      <w:r w:rsidRPr="0066385A">
        <w:rPr>
          <w:rFonts w:ascii="Arial" w:hAnsi="Arial" w:cs="Arial"/>
          <w:lang w:val="en-US"/>
        </w:rPr>
        <w:t>]</w:t>
      </w:r>
      <w:r w:rsidRPr="0066385A">
        <w:rPr>
          <w:rFonts w:ascii="Arial" w:hAnsi="Arial" w:cs="Arial"/>
          <w:lang w:val="en-US"/>
        </w:rPr>
        <w:tab/>
        <w:t xml:space="preserve">In order to determine whether there even is an application before court to begin with, it is wise to first deal with the </w:t>
      </w:r>
      <w:r w:rsidR="008244DC">
        <w:rPr>
          <w:rFonts w:ascii="Arial" w:hAnsi="Arial" w:cs="Arial"/>
          <w:lang w:val="en-US"/>
        </w:rPr>
        <w:t xml:space="preserve">allegations </w:t>
      </w:r>
      <w:r w:rsidRPr="0066385A">
        <w:rPr>
          <w:rFonts w:ascii="Arial" w:hAnsi="Arial" w:cs="Arial"/>
          <w:lang w:val="en-US"/>
        </w:rPr>
        <w:t>of the nullity of the founding affidavit. This is dealt with in the preceding paragraphs.</w:t>
      </w:r>
    </w:p>
    <w:p w:rsidR="00E10568" w:rsidRPr="009660F8" w:rsidRDefault="00E10568" w:rsidP="006A13F9">
      <w:pPr>
        <w:pStyle w:val="Default"/>
        <w:spacing w:after="157" w:line="360" w:lineRule="auto"/>
        <w:jc w:val="both"/>
      </w:pPr>
    </w:p>
    <w:p w:rsidR="00E10568" w:rsidRPr="009660F8" w:rsidRDefault="003D696C" w:rsidP="006A13F9">
      <w:pPr>
        <w:pStyle w:val="Default"/>
        <w:spacing w:after="157" w:line="360" w:lineRule="auto"/>
        <w:jc w:val="both"/>
        <w:rPr>
          <w:u w:val="single"/>
        </w:rPr>
      </w:pPr>
      <w:r w:rsidRPr="009660F8">
        <w:rPr>
          <w:u w:val="single"/>
        </w:rPr>
        <w:t>Non-compliance with Regulation</w:t>
      </w:r>
      <w:r w:rsidR="00EE2D83">
        <w:rPr>
          <w:u w:val="single"/>
        </w:rPr>
        <w:t>s</w:t>
      </w:r>
      <w:r w:rsidRPr="009660F8">
        <w:rPr>
          <w:u w:val="single"/>
        </w:rPr>
        <w:t xml:space="preserve"> </w:t>
      </w:r>
      <w:r w:rsidR="00EE2D83">
        <w:rPr>
          <w:u w:val="single"/>
        </w:rPr>
        <w:t xml:space="preserve">1 to </w:t>
      </w:r>
      <w:r w:rsidRPr="009660F8">
        <w:rPr>
          <w:u w:val="single"/>
        </w:rPr>
        <w:t>4 of the Justices of the Peace and Commissioners of Oaths Act</w:t>
      </w:r>
      <w:r w:rsidR="00AB0597" w:rsidRPr="009660F8">
        <w:rPr>
          <w:u w:val="single"/>
        </w:rPr>
        <w:t xml:space="preserve"> 16 of 1963</w:t>
      </w:r>
    </w:p>
    <w:p w:rsidR="001474B6" w:rsidRPr="009660F8" w:rsidRDefault="00E10568" w:rsidP="006A13F9">
      <w:pPr>
        <w:pStyle w:val="Default"/>
        <w:spacing w:after="157" w:line="360" w:lineRule="auto"/>
        <w:jc w:val="both"/>
      </w:pPr>
      <w:r w:rsidRPr="009660F8">
        <w:t>[</w:t>
      </w:r>
      <w:r w:rsidR="0034157D">
        <w:t>6</w:t>
      </w:r>
      <w:r w:rsidRPr="009660F8">
        <w:t>]</w:t>
      </w:r>
      <w:r w:rsidRPr="009660F8">
        <w:tab/>
      </w:r>
      <w:r w:rsidR="00887E4A" w:rsidRPr="009660F8">
        <w:t xml:space="preserve">A commissioner of oaths is described as a person who is competent to administer an oath. According to </w:t>
      </w:r>
      <w:proofErr w:type="spellStart"/>
      <w:r w:rsidR="00887E4A" w:rsidRPr="009660F8">
        <w:t>Herbstein</w:t>
      </w:r>
      <w:proofErr w:type="spellEnd"/>
      <w:r w:rsidR="00887E4A" w:rsidRPr="009660F8">
        <w:t xml:space="preserve"> &amp; Van </w:t>
      </w:r>
      <w:proofErr w:type="spellStart"/>
      <w:r w:rsidR="00887E4A" w:rsidRPr="009660F8">
        <w:t>Winsen</w:t>
      </w:r>
      <w:proofErr w:type="spellEnd"/>
      <w:r w:rsidR="00C94819">
        <w:t>,</w:t>
      </w:r>
      <w:r w:rsidR="00887E4A" w:rsidRPr="009660F8">
        <w:rPr>
          <w:rStyle w:val="FootnoteReference"/>
        </w:rPr>
        <w:footnoteReference w:id="1"/>
      </w:r>
      <w:r w:rsidR="00887E4A" w:rsidRPr="009660F8">
        <w:t xml:space="preserve"> a commissioner of oaths may, within the area for which he</w:t>
      </w:r>
      <w:r w:rsidR="008244DC">
        <w:t xml:space="preserve"> or she</w:t>
      </w:r>
      <w:r w:rsidR="00887E4A" w:rsidRPr="009660F8">
        <w:t xml:space="preserve"> is appointed, administer an oath or affirmation to or take a solemn or attested declaration from any person, unless prohibited from doing so in terms of regulations made under section 10 of the Justices of Peace and Commissioner</w:t>
      </w:r>
      <w:r w:rsidR="00102430" w:rsidRPr="009660F8">
        <w:t>s of Oaths Act.</w:t>
      </w:r>
    </w:p>
    <w:p w:rsidR="001474B6" w:rsidRDefault="00EE2D83" w:rsidP="006A13F9">
      <w:pPr>
        <w:pStyle w:val="Default"/>
        <w:spacing w:after="157" w:line="360" w:lineRule="auto"/>
        <w:jc w:val="both"/>
      </w:pPr>
      <w:r>
        <w:t>[</w:t>
      </w:r>
      <w:r w:rsidR="0034157D">
        <w:t>7</w:t>
      </w:r>
      <w:r>
        <w:t>]</w:t>
      </w:r>
      <w:r>
        <w:tab/>
        <w:t xml:space="preserve">The </w:t>
      </w:r>
      <w:r w:rsidR="001474B6" w:rsidRPr="009660F8">
        <w:t xml:space="preserve">applicant swore to an </w:t>
      </w:r>
      <w:r w:rsidR="008244DC" w:rsidRPr="009660F8">
        <w:t>affidavit before</w:t>
      </w:r>
      <w:r w:rsidR="001474B6" w:rsidRPr="009660F8">
        <w:t xml:space="preserve"> </w:t>
      </w:r>
      <w:r w:rsidR="00950216" w:rsidRPr="009660F8">
        <w:t>a</w:t>
      </w:r>
      <w:r w:rsidR="001474B6" w:rsidRPr="009660F8">
        <w:t xml:space="preserve"> commissioner of oaths</w:t>
      </w:r>
      <w:r w:rsidR="00950216" w:rsidRPr="009660F8">
        <w:t xml:space="preserve"> but the commissioner omitted to sign the founding affidavit which was tendered in support of this</w:t>
      </w:r>
      <w:r w:rsidR="00177BE0" w:rsidRPr="009660F8">
        <w:t xml:space="preserve"> application</w:t>
      </w:r>
      <w:r w:rsidR="008244DC">
        <w:t xml:space="preserve"> at the end thereof.</w:t>
      </w:r>
      <w:r w:rsidR="00F1560A">
        <w:t xml:space="preserve"> </w:t>
      </w:r>
      <w:r w:rsidR="008244DC">
        <w:t>F</w:t>
      </w:r>
      <w:r w:rsidR="00F1560A">
        <w:t>urther to this, all annexures attached to the affidavit are not initialed by either the deponent or the commissioner of oaths</w:t>
      </w:r>
      <w:r w:rsidR="00177BE0" w:rsidRPr="009660F8">
        <w:t>. The respondents raised a</w:t>
      </w:r>
      <w:r w:rsidR="00F1560A">
        <w:t>s a</w:t>
      </w:r>
      <w:r w:rsidR="00177BE0" w:rsidRPr="009660F8">
        <w:t xml:space="preserve"> point </w:t>
      </w:r>
      <w:r w:rsidR="00177BE0" w:rsidRPr="009660F8">
        <w:rPr>
          <w:i/>
        </w:rPr>
        <w:t xml:space="preserve">in </w:t>
      </w:r>
      <w:proofErr w:type="spellStart"/>
      <w:r w:rsidR="00177BE0" w:rsidRPr="009660F8">
        <w:rPr>
          <w:i/>
        </w:rPr>
        <w:t>limine</w:t>
      </w:r>
      <w:proofErr w:type="spellEnd"/>
      <w:r w:rsidR="00177BE0" w:rsidRPr="009660F8">
        <w:t xml:space="preserve"> that the founding affidavit was irregular in that it was no</w:t>
      </w:r>
      <w:r w:rsidR="00F1560A">
        <w:t xml:space="preserve">t in compliance with Regulations 1 to </w:t>
      </w:r>
      <w:r w:rsidR="00177BE0" w:rsidRPr="009660F8">
        <w:t>4 of the Justices of</w:t>
      </w:r>
      <w:r w:rsidR="00B37442" w:rsidRPr="009660F8">
        <w:t xml:space="preserve"> the Peace and Commissioners of Oaths Act.</w:t>
      </w:r>
    </w:p>
    <w:p w:rsidR="00F1560A" w:rsidRDefault="00F1560A" w:rsidP="006A13F9">
      <w:pPr>
        <w:pStyle w:val="Default"/>
        <w:spacing w:after="157" w:line="360" w:lineRule="auto"/>
        <w:jc w:val="both"/>
      </w:pPr>
    </w:p>
    <w:p w:rsidR="005B452F" w:rsidRDefault="00F1560A" w:rsidP="006A13F9">
      <w:pPr>
        <w:pStyle w:val="Default"/>
        <w:spacing w:after="157" w:line="360" w:lineRule="auto"/>
        <w:jc w:val="both"/>
      </w:pPr>
      <w:r>
        <w:t>[</w:t>
      </w:r>
      <w:r w:rsidR="0034157D">
        <w:t>8</w:t>
      </w:r>
      <w:r>
        <w:t>]</w:t>
      </w:r>
      <w:r>
        <w:tab/>
        <w:t>For the sake of completeness, it would be prudent to outline the provisions of the said Regulations</w:t>
      </w:r>
      <w:r w:rsidR="00BE64E6">
        <w:t xml:space="preserve"> below:</w:t>
      </w:r>
    </w:p>
    <w:p w:rsidR="00BE64E6" w:rsidRPr="00496030" w:rsidRDefault="00BE64E6" w:rsidP="006A13F9">
      <w:pPr>
        <w:pStyle w:val="Default"/>
        <w:spacing w:after="157" w:line="360" w:lineRule="auto"/>
        <w:jc w:val="both"/>
        <w:rPr>
          <w:sz w:val="22"/>
          <w:szCs w:val="22"/>
          <w:lang w:val="en-GB"/>
        </w:rPr>
      </w:pPr>
      <w:r>
        <w:lastRenderedPageBreak/>
        <w:tab/>
      </w:r>
      <w:r w:rsidRPr="00496030">
        <w:rPr>
          <w:sz w:val="22"/>
          <w:szCs w:val="22"/>
        </w:rPr>
        <w:t>‘</w:t>
      </w:r>
      <w:r w:rsidR="00D14A2F" w:rsidRPr="00496030">
        <w:rPr>
          <w:sz w:val="22"/>
          <w:szCs w:val="22"/>
          <w:lang w:val="en-GB"/>
        </w:rPr>
        <w:t xml:space="preserve">1. (1) </w:t>
      </w:r>
      <w:proofErr w:type="gramStart"/>
      <w:r w:rsidR="00D14A2F" w:rsidRPr="00496030">
        <w:rPr>
          <w:sz w:val="22"/>
          <w:szCs w:val="22"/>
          <w:lang w:val="en-GB"/>
        </w:rPr>
        <w:t>An</w:t>
      </w:r>
      <w:proofErr w:type="gramEnd"/>
      <w:r w:rsidR="00D14A2F" w:rsidRPr="00496030">
        <w:rPr>
          <w:sz w:val="22"/>
          <w:szCs w:val="22"/>
          <w:lang w:val="en-GB"/>
        </w:rPr>
        <w:t xml:space="preserve"> oath is administered by causing the deponent to utter the following words: “I swear that the contents of this declaration are true, so help me God”. (2) An affirmation is administered by causing the deponent to utter the following words: “I truly affirm that the contents of this declaration are true”. 2. (1) Before a commissioner of oaths administers to any person the oath or affirmation prescribed by regulation I he shall ask the deponent - (a) whether he knows and understands the contents of the declaration; (b) whether he has any objection to taking the prescribed oath; and</w:t>
      </w:r>
    </w:p>
    <w:p w:rsidR="00496030" w:rsidRDefault="00D14A2F" w:rsidP="006A13F9">
      <w:pPr>
        <w:pStyle w:val="Default"/>
        <w:spacing w:after="157" w:line="360" w:lineRule="auto"/>
        <w:jc w:val="both"/>
        <w:rPr>
          <w:sz w:val="22"/>
          <w:szCs w:val="22"/>
        </w:rPr>
      </w:pPr>
      <w:r w:rsidRPr="00496030">
        <w:rPr>
          <w:sz w:val="22"/>
          <w:szCs w:val="22"/>
          <w:lang w:val="en-GB"/>
        </w:rPr>
        <w:t xml:space="preserve">(c) </w:t>
      </w:r>
      <w:proofErr w:type="gramStart"/>
      <w:r w:rsidRPr="00496030">
        <w:rPr>
          <w:sz w:val="22"/>
          <w:szCs w:val="22"/>
          <w:lang w:val="en-GB"/>
        </w:rPr>
        <w:t>whether</w:t>
      </w:r>
      <w:proofErr w:type="gramEnd"/>
      <w:r w:rsidRPr="00496030">
        <w:rPr>
          <w:sz w:val="22"/>
          <w:szCs w:val="22"/>
          <w:lang w:val="en-GB"/>
        </w:rPr>
        <w:t xml:space="preserve"> he considers the prescribed oath to be binding on his conscience. (2) If the deponent acknowledges that he knows and understands the contents of the declaration and informs the commissioner of oaths that he does not have any objection to taking the oath and that he considers it to be binding on his conscience the commissioner of oaths shall administer the oath prescribed by regulation 1(1). (3) If the deponent acknowledges that he knows and understands the contents of the declaration hut objects to taking the oath or informs the commissioner of oaths that he does not consider the oath to be binding on his conscience the commissioner of oaths shall administer the affirmation prescribed by regulation 1(2). 3. (1) </w:t>
      </w:r>
      <w:proofErr w:type="gramStart"/>
      <w:r w:rsidRPr="00496030">
        <w:rPr>
          <w:sz w:val="22"/>
          <w:szCs w:val="22"/>
          <w:lang w:val="en-GB"/>
        </w:rPr>
        <w:t>The</w:t>
      </w:r>
      <w:proofErr w:type="gramEnd"/>
      <w:r w:rsidRPr="00496030">
        <w:rPr>
          <w:sz w:val="22"/>
          <w:szCs w:val="22"/>
          <w:lang w:val="en-GB"/>
        </w:rPr>
        <w:t xml:space="preserve"> deponent shall sign the declaration in the presence of the commissioner of oaths. (2) If the deponent cannot write he shall in the presence of the commissioner of oaths affix his mark at the foot of the declaration: Provided that if the commissioner of oaths has any doubt as to the deponent’s inability to write he shall require such inability to be certified at the foot of the declaration by some other trustworthy person. 4. (1) Below the deponent’s signature or mark the commissioner of oaths shall certify that the deponent has acknowledged that he knows and understands the contents of the declaration and he shall state the manner, place and date of taking the declaration. (2) The commissioner of oaths shall sign the declaration and state his designation and the area for which he holds his appointment or the office held by him if he holds his appointment ex officio.</w:t>
      </w:r>
      <w:r w:rsidR="00496030" w:rsidRPr="00496030">
        <w:rPr>
          <w:sz w:val="22"/>
          <w:szCs w:val="22"/>
          <w:lang w:val="en-GB"/>
        </w:rPr>
        <w:t>’</w:t>
      </w:r>
    </w:p>
    <w:p w:rsidR="0066385A" w:rsidRDefault="00496030" w:rsidP="006A13F9">
      <w:pPr>
        <w:pStyle w:val="Default"/>
        <w:spacing w:after="157" w:line="360" w:lineRule="auto"/>
        <w:jc w:val="both"/>
      </w:pPr>
      <w:r w:rsidRPr="0066385A">
        <w:t>[</w:t>
      </w:r>
      <w:r w:rsidR="0034157D">
        <w:t>9</w:t>
      </w:r>
      <w:r w:rsidRPr="0066385A">
        <w:t>]</w:t>
      </w:r>
      <w:r w:rsidRPr="0066385A">
        <w:tab/>
        <w:t>When regard is had to the provisions of the Regulations cited above, it is clear that the applicant</w:t>
      </w:r>
      <w:r w:rsidR="00303943" w:rsidRPr="0066385A">
        <w:t>’s founding affidavit is defective in a number of respects. The</w:t>
      </w:r>
      <w:r w:rsidR="00947CBB" w:rsidRPr="0066385A">
        <w:t>re is what purports to be a commissioner of oaths stamp at the very beginning of the affidavit</w:t>
      </w:r>
      <w:r w:rsidR="008244DC">
        <w:t xml:space="preserve"> but, same is illegible.</w:t>
      </w:r>
      <w:r w:rsidR="00947CBB" w:rsidRPr="0066385A">
        <w:t xml:space="preserve"> </w:t>
      </w:r>
      <w:r w:rsidR="008244DC">
        <w:t>I</w:t>
      </w:r>
      <w:r w:rsidR="00947CBB" w:rsidRPr="0066385A">
        <w:t xml:space="preserve">t is </w:t>
      </w:r>
      <w:r w:rsidR="008244DC">
        <w:t xml:space="preserve">thus </w:t>
      </w:r>
      <w:r w:rsidR="00947CBB" w:rsidRPr="0066385A">
        <w:t>not clear whether the words as provided for in Regulation 1 were in fact uttered, and if they were uttered, who caused them to be so uttered</w:t>
      </w:r>
      <w:r w:rsidR="0066385A" w:rsidRPr="0066385A">
        <w:t>; t</w:t>
      </w:r>
      <w:r w:rsidR="00947CBB" w:rsidRPr="0066385A">
        <w:t xml:space="preserve">he designation, amongst other things, of the commissioner </w:t>
      </w:r>
      <w:r w:rsidR="008244DC">
        <w:t>of oaths that placed the stamp o</w:t>
      </w:r>
      <w:r w:rsidR="00947CBB" w:rsidRPr="0066385A">
        <w:t>n the affidavit is no</w:t>
      </w:r>
      <w:r w:rsidR="0066385A" w:rsidRPr="0066385A">
        <w:t>t known as is required in terms of Regulation 4</w:t>
      </w:r>
      <w:r w:rsidR="0066385A">
        <w:t>.</w:t>
      </w:r>
    </w:p>
    <w:p w:rsidR="00874DCE" w:rsidRDefault="00874DCE" w:rsidP="006A13F9">
      <w:pPr>
        <w:pStyle w:val="Default"/>
        <w:spacing w:after="157" w:line="360" w:lineRule="auto"/>
        <w:jc w:val="both"/>
      </w:pPr>
    </w:p>
    <w:p w:rsidR="0066385A" w:rsidRPr="00C94819" w:rsidRDefault="0066385A" w:rsidP="006A13F9">
      <w:pPr>
        <w:pStyle w:val="Default"/>
        <w:spacing w:after="157" w:line="360" w:lineRule="auto"/>
        <w:jc w:val="both"/>
        <w:rPr>
          <w:u w:val="single"/>
        </w:rPr>
      </w:pPr>
      <w:r w:rsidRPr="0066385A">
        <w:rPr>
          <w:u w:val="single"/>
        </w:rPr>
        <w:lastRenderedPageBreak/>
        <w:t>Analysis</w:t>
      </w:r>
    </w:p>
    <w:p w:rsidR="00B23B79" w:rsidRPr="009660F8" w:rsidRDefault="00B37442" w:rsidP="006A13F9">
      <w:pPr>
        <w:pStyle w:val="Default"/>
        <w:spacing w:after="157" w:line="360" w:lineRule="auto"/>
        <w:jc w:val="both"/>
      </w:pPr>
      <w:r w:rsidRPr="009660F8">
        <w:t>[</w:t>
      </w:r>
      <w:r w:rsidR="0034157D">
        <w:t>10</w:t>
      </w:r>
      <w:r w:rsidRPr="009660F8">
        <w:t>]</w:t>
      </w:r>
      <w:r w:rsidRPr="009660F8">
        <w:tab/>
        <w:t>It is settled law that non-compliance</w:t>
      </w:r>
      <w:r w:rsidR="00762010" w:rsidRPr="009660F8">
        <w:t xml:space="preserve"> with the regulations is not fatal</w:t>
      </w:r>
      <w:r w:rsidR="008244DC">
        <w:t>,</w:t>
      </w:r>
      <w:r w:rsidR="00762010" w:rsidRPr="009660F8">
        <w:t xml:space="preserve"> provided that there has been substantial compliance for the reason that the provisions</w:t>
      </w:r>
      <w:r w:rsidR="008244DC">
        <w:t xml:space="preserve"> of the said</w:t>
      </w:r>
      <w:r w:rsidR="00762010" w:rsidRPr="009660F8">
        <w:t xml:space="preserve"> are directory and not peremptory in nature.</w:t>
      </w:r>
      <w:r w:rsidR="00762010" w:rsidRPr="009660F8">
        <w:rPr>
          <w:rStyle w:val="FootnoteReference"/>
        </w:rPr>
        <w:footnoteReference w:id="2"/>
      </w:r>
    </w:p>
    <w:p w:rsidR="00874DCE" w:rsidRPr="009660F8" w:rsidRDefault="00B23B79" w:rsidP="006A13F9">
      <w:pPr>
        <w:pStyle w:val="Default"/>
        <w:spacing w:after="157" w:line="360" w:lineRule="auto"/>
        <w:jc w:val="both"/>
      </w:pPr>
      <w:r w:rsidRPr="009660F8">
        <w:t>[</w:t>
      </w:r>
      <w:r w:rsidR="0034157D">
        <w:t>11</w:t>
      </w:r>
      <w:r w:rsidRPr="009660F8">
        <w:t>]</w:t>
      </w:r>
      <w:r w:rsidRPr="009660F8">
        <w:tab/>
        <w:t xml:space="preserve">It was held in </w:t>
      </w:r>
      <w:r w:rsidRPr="00C94819">
        <w:rPr>
          <w:i/>
        </w:rPr>
        <w:t xml:space="preserve">Cape Sheet Metal Works (Pty) Ltd v JJ </w:t>
      </w:r>
      <w:proofErr w:type="spellStart"/>
      <w:r w:rsidRPr="00C94819">
        <w:rPr>
          <w:i/>
        </w:rPr>
        <w:t>Calitz</w:t>
      </w:r>
      <w:proofErr w:type="spellEnd"/>
      <w:r w:rsidRPr="00C94819">
        <w:rPr>
          <w:i/>
        </w:rPr>
        <w:t xml:space="preserve"> Builder (Pty) Ltd</w:t>
      </w:r>
      <w:r w:rsidR="00EA3BB0">
        <w:rPr>
          <w:rStyle w:val="FootnoteReference"/>
        </w:rPr>
        <w:footnoteReference w:id="3"/>
      </w:r>
      <w:r w:rsidRPr="009660F8">
        <w:t xml:space="preserve"> that the court has a discretion, in a suitable case, to allow evidence to be produced on the question whether in reality the provisions were satisfied or not, before a decision is arrived on the information so produced.</w:t>
      </w:r>
    </w:p>
    <w:p w:rsidR="005121D7" w:rsidRPr="009660F8" w:rsidRDefault="00102430" w:rsidP="006A13F9">
      <w:pPr>
        <w:pStyle w:val="Default"/>
        <w:spacing w:after="157" w:line="360" w:lineRule="auto"/>
        <w:jc w:val="both"/>
      </w:pPr>
      <w:r w:rsidRPr="009660F8">
        <w:t>[</w:t>
      </w:r>
      <w:r w:rsidR="0034157D">
        <w:t>12</w:t>
      </w:r>
      <w:r w:rsidRPr="009660F8">
        <w:t>]</w:t>
      </w:r>
      <w:r w:rsidRPr="009660F8">
        <w:tab/>
      </w:r>
      <w:r w:rsidR="00443D36" w:rsidRPr="009660F8">
        <w:t xml:space="preserve">The learned </w:t>
      </w:r>
      <w:r w:rsidR="005121D7" w:rsidRPr="009660F8">
        <w:t xml:space="preserve">authors </w:t>
      </w:r>
      <w:proofErr w:type="spellStart"/>
      <w:r w:rsidR="005121D7" w:rsidRPr="009660F8">
        <w:t>Herbstein</w:t>
      </w:r>
      <w:proofErr w:type="spellEnd"/>
      <w:r w:rsidR="00443D36" w:rsidRPr="009660F8">
        <w:t xml:space="preserve"> &amp; Van </w:t>
      </w:r>
      <w:proofErr w:type="spellStart"/>
      <w:r w:rsidR="00443D36" w:rsidRPr="009660F8">
        <w:t>Winsen</w:t>
      </w:r>
      <w:proofErr w:type="spellEnd"/>
      <w:r w:rsidR="00443D36" w:rsidRPr="009660F8">
        <w:t xml:space="preserve"> state that the provisions of the said regulations are directory and not peremptory and therefore, the court has a discretion as to how it deals with the matter.</w:t>
      </w:r>
    </w:p>
    <w:p w:rsidR="00AA5083" w:rsidRPr="009660F8" w:rsidRDefault="00443D36" w:rsidP="006A13F9">
      <w:pPr>
        <w:pStyle w:val="Default"/>
        <w:spacing w:after="157" w:line="360" w:lineRule="auto"/>
        <w:jc w:val="both"/>
        <w:rPr>
          <w:lang w:val="en-GB"/>
        </w:rPr>
      </w:pPr>
      <w:r w:rsidRPr="009660F8">
        <w:t>[</w:t>
      </w:r>
      <w:r w:rsidR="0034157D">
        <w:t>13</w:t>
      </w:r>
      <w:r w:rsidR="00EA3BB0">
        <w:t>]</w:t>
      </w:r>
      <w:r w:rsidR="00EA3BB0">
        <w:tab/>
        <w:t xml:space="preserve">It was stated in </w:t>
      </w:r>
      <w:r w:rsidR="00EA3BB0" w:rsidRPr="00C94819">
        <w:rPr>
          <w:i/>
        </w:rPr>
        <w:t>S v Munn</w:t>
      </w:r>
      <w:r w:rsidR="00EA3BB0">
        <w:rPr>
          <w:rStyle w:val="FootnoteReference"/>
        </w:rPr>
        <w:footnoteReference w:id="4"/>
      </w:r>
      <w:r w:rsidR="00AE77D2">
        <w:t xml:space="preserve"> </w:t>
      </w:r>
      <w:r w:rsidR="00096DB2" w:rsidRPr="009660F8">
        <w:rPr>
          <w:lang w:val="en-GB"/>
        </w:rPr>
        <w:t xml:space="preserve">that: </w:t>
      </w:r>
    </w:p>
    <w:p w:rsidR="00904669" w:rsidRPr="00C94819" w:rsidRDefault="00096DB2" w:rsidP="00C94819">
      <w:pPr>
        <w:pStyle w:val="Default"/>
        <w:spacing w:after="157" w:line="360" w:lineRule="auto"/>
        <w:ind w:firstLine="720"/>
        <w:jc w:val="both"/>
        <w:rPr>
          <w:sz w:val="22"/>
          <w:szCs w:val="22"/>
          <w:lang w:val="en-GB"/>
        </w:rPr>
      </w:pPr>
      <w:r w:rsidRPr="00C94819">
        <w:rPr>
          <w:sz w:val="22"/>
          <w:szCs w:val="22"/>
          <w:lang w:val="en-GB"/>
        </w:rPr>
        <w:t>‘Compliance with the regulations provides a guarantee of acceptance in evidence of affidavits attested in accordance therewith, subject only to defences such as duress and possibly undue influence, where an affidavit has not been so attested, it may still be valid provided there has been substantial compliance with the formalities in such a way as to give effect to the purpose of the legislator as outlined above.’</w:t>
      </w:r>
    </w:p>
    <w:p w:rsidR="00630AE5" w:rsidRPr="009660F8" w:rsidRDefault="00630AE5" w:rsidP="00630AE5">
      <w:pPr>
        <w:pStyle w:val="Default"/>
        <w:spacing w:after="157" w:line="360" w:lineRule="auto"/>
        <w:jc w:val="both"/>
      </w:pPr>
      <w:r w:rsidRPr="009660F8">
        <w:rPr>
          <w:lang w:val="en-GB"/>
        </w:rPr>
        <w:t>[</w:t>
      </w:r>
      <w:r w:rsidR="0034157D">
        <w:rPr>
          <w:lang w:val="en-GB"/>
        </w:rPr>
        <w:t>14</w:t>
      </w:r>
      <w:r w:rsidRPr="009660F8">
        <w:rPr>
          <w:lang w:val="en-GB"/>
        </w:rPr>
        <w:t>]</w:t>
      </w:r>
      <w:r w:rsidRPr="009660F8">
        <w:rPr>
          <w:lang w:val="en-GB"/>
        </w:rPr>
        <w:tab/>
      </w:r>
      <w:r w:rsidRPr="009660F8">
        <w:t xml:space="preserve">In </w:t>
      </w:r>
      <w:r w:rsidRPr="00C94819">
        <w:rPr>
          <w:bCs/>
          <w:i/>
        </w:rPr>
        <w:t xml:space="preserve">S v </w:t>
      </w:r>
      <w:proofErr w:type="spellStart"/>
      <w:r w:rsidRPr="00C94819">
        <w:rPr>
          <w:bCs/>
          <w:i/>
        </w:rPr>
        <w:t>Msibi</w:t>
      </w:r>
      <w:proofErr w:type="spellEnd"/>
      <w:r w:rsidRPr="009660F8">
        <w:rPr>
          <w:bCs/>
        </w:rPr>
        <w:t xml:space="preserve"> </w:t>
      </w:r>
      <w:r w:rsidRPr="009660F8">
        <w:t xml:space="preserve">1974 (4) 821 (T) it was held that: </w:t>
      </w:r>
    </w:p>
    <w:p w:rsidR="00AA5083" w:rsidRPr="009660F8" w:rsidRDefault="00630AE5" w:rsidP="00C94819">
      <w:pPr>
        <w:pStyle w:val="Default"/>
        <w:spacing w:after="157" w:line="360" w:lineRule="auto"/>
        <w:ind w:firstLine="720"/>
        <w:jc w:val="both"/>
        <w:rPr>
          <w:lang w:val="en-GB"/>
        </w:rPr>
      </w:pPr>
      <w:r w:rsidRPr="009660F8">
        <w:rPr>
          <w:lang w:val="en-GB"/>
        </w:rPr>
        <w:t>‘In a suitable case, where the requirements have not been complied with, the court may refuse to accept the affidavit concerned as such or to give any effect to it. The question should in each case be whether there has been substantial compliance with the requirements.’</w:t>
      </w:r>
    </w:p>
    <w:p w:rsidR="00AA5083" w:rsidRPr="009660F8" w:rsidRDefault="004C4485" w:rsidP="004C4485">
      <w:pPr>
        <w:pStyle w:val="Default"/>
        <w:spacing w:after="157" w:line="360" w:lineRule="auto"/>
        <w:jc w:val="both"/>
        <w:rPr>
          <w:lang w:val="en-GB"/>
        </w:rPr>
      </w:pPr>
      <w:r w:rsidRPr="009660F8">
        <w:rPr>
          <w:lang w:val="en-GB"/>
        </w:rPr>
        <w:t>[</w:t>
      </w:r>
      <w:r w:rsidR="0034157D">
        <w:rPr>
          <w:lang w:val="en-GB"/>
        </w:rPr>
        <w:t>15</w:t>
      </w:r>
      <w:r w:rsidRPr="009660F8">
        <w:rPr>
          <w:lang w:val="en-GB"/>
        </w:rPr>
        <w:t>]</w:t>
      </w:r>
      <w:r w:rsidRPr="009660F8">
        <w:rPr>
          <w:lang w:val="en-GB"/>
        </w:rPr>
        <w:tab/>
        <w:t>A reading of the case law clearly suggests that</w:t>
      </w:r>
      <w:r w:rsidR="00874DCE">
        <w:rPr>
          <w:lang w:val="en-GB"/>
        </w:rPr>
        <w:t xml:space="preserve"> the non-compliances with the regulations </w:t>
      </w:r>
      <w:r w:rsidR="00904669" w:rsidRPr="009660F8">
        <w:rPr>
          <w:lang w:val="en-GB"/>
        </w:rPr>
        <w:t>can be overlooked by the court sitting provided of course that some reasonable explanation for the n</w:t>
      </w:r>
      <w:r w:rsidR="00872511" w:rsidRPr="009660F8">
        <w:rPr>
          <w:lang w:val="en-GB"/>
        </w:rPr>
        <w:t>on-compliance has been tendered.</w:t>
      </w:r>
    </w:p>
    <w:p w:rsidR="00C247E8" w:rsidRPr="009660F8" w:rsidRDefault="00872511" w:rsidP="00872511">
      <w:pPr>
        <w:pStyle w:val="Default"/>
        <w:spacing w:after="157" w:line="360" w:lineRule="auto"/>
        <w:jc w:val="both"/>
        <w:rPr>
          <w:lang w:val="en-GB"/>
        </w:rPr>
      </w:pPr>
      <w:r w:rsidRPr="009660F8">
        <w:rPr>
          <w:lang w:val="en-GB"/>
        </w:rPr>
        <w:t>[</w:t>
      </w:r>
      <w:r w:rsidR="0034157D">
        <w:rPr>
          <w:lang w:val="en-GB"/>
        </w:rPr>
        <w:t>16</w:t>
      </w:r>
      <w:r w:rsidRPr="009660F8">
        <w:rPr>
          <w:lang w:val="en-GB"/>
        </w:rPr>
        <w:t>]</w:t>
      </w:r>
      <w:r w:rsidRPr="009660F8">
        <w:rPr>
          <w:lang w:val="en-GB"/>
        </w:rPr>
        <w:tab/>
        <w:t>However, it is evident from the papers that the iss</w:t>
      </w:r>
      <w:r w:rsidR="00874DCE">
        <w:rPr>
          <w:lang w:val="en-GB"/>
        </w:rPr>
        <w:t>ue was raised by th</w:t>
      </w:r>
      <w:r w:rsidR="00C94819">
        <w:rPr>
          <w:lang w:val="en-GB"/>
        </w:rPr>
        <w:t>e respondent in its Rule 66 (1</w:t>
      </w:r>
      <w:proofErr w:type="gramStart"/>
      <w:r w:rsidR="00C94819">
        <w:rPr>
          <w:lang w:val="en-GB"/>
        </w:rPr>
        <w:t>)</w:t>
      </w:r>
      <w:r w:rsidR="00874DCE" w:rsidRPr="00C94819">
        <w:rPr>
          <w:i/>
          <w:lang w:val="en-GB"/>
        </w:rPr>
        <w:t>(</w:t>
      </w:r>
      <w:proofErr w:type="gramEnd"/>
      <w:r w:rsidR="00874DCE" w:rsidRPr="00C94819">
        <w:rPr>
          <w:i/>
          <w:lang w:val="en-GB"/>
        </w:rPr>
        <w:t>c)</w:t>
      </w:r>
      <w:r w:rsidR="00874DCE">
        <w:rPr>
          <w:lang w:val="en-GB"/>
        </w:rPr>
        <w:t xml:space="preserve"> </w:t>
      </w:r>
      <w:r w:rsidRPr="009660F8">
        <w:rPr>
          <w:lang w:val="en-GB"/>
        </w:rPr>
        <w:t>papers but same was not addressed by the applicants in</w:t>
      </w:r>
      <w:r w:rsidR="00874DCE">
        <w:rPr>
          <w:lang w:val="en-GB"/>
        </w:rPr>
        <w:t xml:space="preserve"> his reply. In fact, the applicant</w:t>
      </w:r>
      <w:r w:rsidRPr="009660F8">
        <w:rPr>
          <w:lang w:val="en-GB"/>
        </w:rPr>
        <w:t xml:space="preserve"> went to the extent of stating in </w:t>
      </w:r>
      <w:r w:rsidR="00874DCE">
        <w:rPr>
          <w:lang w:val="en-GB"/>
        </w:rPr>
        <w:t xml:space="preserve">his reply that the points raised by the respondent including the defective affidavit, </w:t>
      </w:r>
      <w:r w:rsidR="00874DCE">
        <w:rPr>
          <w:lang w:val="en-GB"/>
        </w:rPr>
        <w:lastRenderedPageBreak/>
        <w:t>did not have any bearing on the application at hand for the reason that he is a lay litigant and the court was duty bound to enforce its constitutional duty as well as that of the applicant, to hear the matter and not merely strike it from the roll.</w:t>
      </w:r>
    </w:p>
    <w:p w:rsidR="000A5CEA" w:rsidRPr="009660F8" w:rsidRDefault="00C247E8" w:rsidP="00872511">
      <w:pPr>
        <w:pStyle w:val="Default"/>
        <w:spacing w:after="157" w:line="360" w:lineRule="auto"/>
        <w:jc w:val="both"/>
        <w:rPr>
          <w:lang w:val="en-GB"/>
        </w:rPr>
      </w:pPr>
      <w:r w:rsidRPr="009660F8">
        <w:rPr>
          <w:lang w:val="en-GB"/>
        </w:rPr>
        <w:t>[</w:t>
      </w:r>
      <w:r w:rsidR="0034157D">
        <w:rPr>
          <w:lang w:val="en-GB"/>
        </w:rPr>
        <w:t>17</w:t>
      </w:r>
      <w:r w:rsidRPr="009660F8">
        <w:rPr>
          <w:lang w:val="en-GB"/>
        </w:rPr>
        <w:t>]</w:t>
      </w:r>
      <w:r w:rsidRPr="009660F8">
        <w:rPr>
          <w:lang w:val="en-GB"/>
        </w:rPr>
        <w:tab/>
        <w:t>It is worth noting that the issue of the non-compliance with the regulation</w:t>
      </w:r>
      <w:r w:rsidR="00735AE4">
        <w:rPr>
          <w:lang w:val="en-GB"/>
        </w:rPr>
        <w:t>s</w:t>
      </w:r>
      <w:r w:rsidRPr="009660F8">
        <w:rPr>
          <w:lang w:val="en-GB"/>
        </w:rPr>
        <w:t xml:space="preserve"> was raised in argument but the applicant</w:t>
      </w:r>
      <w:r w:rsidR="00735AE4">
        <w:rPr>
          <w:lang w:val="en-GB"/>
        </w:rPr>
        <w:t xml:space="preserve"> did not address the issue. The only reason he </w:t>
      </w:r>
      <w:r w:rsidRPr="009660F8">
        <w:rPr>
          <w:lang w:val="en-GB"/>
        </w:rPr>
        <w:t>proffered to the court</w:t>
      </w:r>
      <w:r w:rsidR="00735AE4">
        <w:rPr>
          <w:lang w:val="en-GB"/>
        </w:rPr>
        <w:t xml:space="preserve"> for the non-compliances</w:t>
      </w:r>
      <w:r w:rsidRPr="009660F8">
        <w:rPr>
          <w:lang w:val="en-GB"/>
        </w:rPr>
        <w:t xml:space="preserve"> </w:t>
      </w:r>
      <w:r w:rsidR="00735AE4">
        <w:rPr>
          <w:lang w:val="en-GB"/>
        </w:rPr>
        <w:t xml:space="preserve">was for it to take notice of the fact that he is a lay litigant and to rather deal with the merits of the applications as opposed to the preliminaries. </w:t>
      </w:r>
      <w:r w:rsidRPr="009660F8">
        <w:rPr>
          <w:lang w:val="en-GB"/>
        </w:rPr>
        <w:t>What is clear is that had</w:t>
      </w:r>
      <w:r w:rsidR="00735AE4">
        <w:rPr>
          <w:lang w:val="en-GB"/>
        </w:rPr>
        <w:t xml:space="preserve"> it been shown by the applicant</w:t>
      </w:r>
      <w:r w:rsidRPr="009660F8">
        <w:rPr>
          <w:lang w:val="en-GB"/>
        </w:rPr>
        <w:t xml:space="preserve"> that there was substantial</w:t>
      </w:r>
      <w:r w:rsidR="002D1650" w:rsidRPr="009660F8">
        <w:rPr>
          <w:lang w:val="en-GB"/>
        </w:rPr>
        <w:t xml:space="preserve"> compliance, the court would have been in a position to exercise its discretion favourably towards </w:t>
      </w:r>
      <w:r w:rsidR="00735AE4">
        <w:rPr>
          <w:lang w:val="en-GB"/>
        </w:rPr>
        <w:t>him</w:t>
      </w:r>
      <w:r w:rsidR="002D1650" w:rsidRPr="009660F8">
        <w:rPr>
          <w:lang w:val="en-GB"/>
        </w:rPr>
        <w:t>.</w:t>
      </w:r>
    </w:p>
    <w:p w:rsidR="002C0249" w:rsidRPr="009660F8" w:rsidRDefault="002C0249" w:rsidP="00872511">
      <w:pPr>
        <w:pStyle w:val="Default"/>
        <w:spacing w:after="157" w:line="360" w:lineRule="auto"/>
        <w:jc w:val="both"/>
        <w:rPr>
          <w:u w:val="single"/>
          <w:lang w:val="en-GB"/>
        </w:rPr>
      </w:pPr>
      <w:r w:rsidRPr="009660F8">
        <w:rPr>
          <w:u w:val="single"/>
          <w:lang w:val="en-GB"/>
        </w:rPr>
        <w:t>Conclusion</w:t>
      </w:r>
    </w:p>
    <w:p w:rsidR="00B00D96" w:rsidRDefault="00735AE4" w:rsidP="00872511">
      <w:pPr>
        <w:pStyle w:val="Default"/>
        <w:spacing w:after="157" w:line="360" w:lineRule="auto"/>
        <w:jc w:val="both"/>
        <w:rPr>
          <w:lang w:val="en-GB"/>
        </w:rPr>
      </w:pPr>
      <w:r>
        <w:rPr>
          <w:lang w:val="en-GB"/>
        </w:rPr>
        <w:t>[</w:t>
      </w:r>
      <w:r w:rsidR="0034157D">
        <w:rPr>
          <w:lang w:val="en-GB"/>
        </w:rPr>
        <w:t>18</w:t>
      </w:r>
      <w:r>
        <w:rPr>
          <w:lang w:val="en-GB"/>
        </w:rPr>
        <w:t>]</w:t>
      </w:r>
      <w:r>
        <w:rPr>
          <w:lang w:val="en-GB"/>
        </w:rPr>
        <w:tab/>
        <w:t>The applicant</w:t>
      </w:r>
      <w:r w:rsidR="002C0249" w:rsidRPr="009660F8">
        <w:rPr>
          <w:lang w:val="en-GB"/>
        </w:rPr>
        <w:t xml:space="preserve"> had the prerogative to</w:t>
      </w:r>
      <w:r w:rsidR="005A2E4B" w:rsidRPr="009660F8">
        <w:rPr>
          <w:lang w:val="en-GB"/>
        </w:rPr>
        <w:t xml:space="preserve"> present evidence to the court </w:t>
      </w:r>
      <w:r w:rsidR="002C0249" w:rsidRPr="009660F8">
        <w:rPr>
          <w:lang w:val="en-GB"/>
        </w:rPr>
        <w:t xml:space="preserve">that </w:t>
      </w:r>
      <w:r>
        <w:rPr>
          <w:lang w:val="en-GB"/>
        </w:rPr>
        <w:t>he</w:t>
      </w:r>
      <w:r w:rsidR="002C0249" w:rsidRPr="009660F8">
        <w:rPr>
          <w:lang w:val="en-GB"/>
        </w:rPr>
        <w:t xml:space="preserve"> had </w:t>
      </w:r>
      <w:r w:rsidR="005A2E4B" w:rsidRPr="009660F8">
        <w:rPr>
          <w:lang w:val="en-GB"/>
        </w:rPr>
        <w:t xml:space="preserve">to a certain extent, </w:t>
      </w:r>
      <w:r w:rsidR="002C0249" w:rsidRPr="009660F8">
        <w:rPr>
          <w:lang w:val="en-GB"/>
        </w:rPr>
        <w:t>complied substantially with the regulations</w:t>
      </w:r>
      <w:r w:rsidR="005A2E4B" w:rsidRPr="009660F8">
        <w:rPr>
          <w:lang w:val="en-GB"/>
        </w:rPr>
        <w:t xml:space="preserve"> seeing that they are merely directory and not peremptory in nature. It does of course suffice to state that the affidavit as it stands is irregular</w:t>
      </w:r>
      <w:r w:rsidR="008244DC">
        <w:rPr>
          <w:lang w:val="en-GB"/>
        </w:rPr>
        <w:t>. There is thus no proper application</w:t>
      </w:r>
      <w:r w:rsidR="00EA3BB0">
        <w:rPr>
          <w:lang w:val="en-GB"/>
        </w:rPr>
        <w:t xml:space="preserve"> before the court</w:t>
      </w:r>
      <w:r w:rsidR="00B00D96" w:rsidRPr="009660F8">
        <w:rPr>
          <w:lang w:val="en-GB"/>
        </w:rPr>
        <w:t>.</w:t>
      </w:r>
      <w:r w:rsidR="008244DC">
        <w:rPr>
          <w:lang w:val="en-GB"/>
        </w:rPr>
        <w:t xml:space="preserve"> The proceedings are therefor fit to </w:t>
      </w:r>
      <w:r w:rsidR="00EA3BB0">
        <w:rPr>
          <w:lang w:val="en-GB"/>
        </w:rPr>
        <w:t xml:space="preserve">be </w:t>
      </w:r>
      <w:r w:rsidR="008244DC">
        <w:rPr>
          <w:lang w:val="en-GB"/>
        </w:rPr>
        <w:t>struck from the roll.</w:t>
      </w:r>
    </w:p>
    <w:p w:rsidR="00500D8D" w:rsidRPr="009660F8" w:rsidRDefault="00500D8D" w:rsidP="00872511">
      <w:pPr>
        <w:pStyle w:val="Default"/>
        <w:spacing w:after="157" w:line="360" w:lineRule="auto"/>
        <w:jc w:val="both"/>
        <w:rPr>
          <w:lang w:val="en-GB"/>
        </w:rPr>
      </w:pPr>
    </w:p>
    <w:p w:rsidR="00B00D96" w:rsidRPr="009660F8" w:rsidRDefault="00B00D96" w:rsidP="00872511">
      <w:pPr>
        <w:pStyle w:val="Default"/>
        <w:spacing w:after="157" w:line="360" w:lineRule="auto"/>
        <w:jc w:val="both"/>
        <w:rPr>
          <w:u w:val="single"/>
          <w:lang w:val="en-GB"/>
        </w:rPr>
      </w:pPr>
      <w:r w:rsidRPr="009660F8">
        <w:rPr>
          <w:u w:val="single"/>
          <w:lang w:val="en-GB"/>
        </w:rPr>
        <w:t>Order</w:t>
      </w:r>
    </w:p>
    <w:p w:rsidR="00B00D96" w:rsidRPr="009660F8" w:rsidRDefault="00B00D96" w:rsidP="00872511">
      <w:pPr>
        <w:pStyle w:val="Default"/>
        <w:spacing w:after="157" w:line="360" w:lineRule="auto"/>
        <w:jc w:val="both"/>
        <w:rPr>
          <w:lang w:val="en-GB"/>
        </w:rPr>
      </w:pPr>
      <w:r w:rsidRPr="009660F8">
        <w:rPr>
          <w:lang w:val="en-GB"/>
        </w:rPr>
        <w:t>[</w:t>
      </w:r>
      <w:r w:rsidR="0034157D">
        <w:rPr>
          <w:lang w:val="en-GB"/>
        </w:rPr>
        <w:t>19</w:t>
      </w:r>
      <w:r w:rsidRPr="009660F8">
        <w:rPr>
          <w:lang w:val="en-GB"/>
        </w:rPr>
        <w:t>]</w:t>
      </w:r>
      <w:r w:rsidRPr="009660F8">
        <w:rPr>
          <w:lang w:val="en-GB"/>
        </w:rPr>
        <w:tab/>
        <w:t>The order that the court makes in the circumstances is the following:</w:t>
      </w:r>
    </w:p>
    <w:p w:rsidR="00B00D96" w:rsidRPr="009660F8" w:rsidRDefault="00B00D96" w:rsidP="00735AE4">
      <w:pPr>
        <w:pStyle w:val="Default"/>
        <w:numPr>
          <w:ilvl w:val="0"/>
          <w:numId w:val="8"/>
        </w:numPr>
        <w:spacing w:after="157" w:line="360" w:lineRule="auto"/>
        <w:jc w:val="both"/>
        <w:rPr>
          <w:lang w:val="en-GB"/>
        </w:rPr>
      </w:pPr>
      <w:r w:rsidRPr="009660F8">
        <w:rPr>
          <w:lang w:val="en-GB"/>
        </w:rPr>
        <w:t xml:space="preserve">The application is struck from the roll for non-compliance with Regulation </w:t>
      </w:r>
      <w:r w:rsidR="00735AE4">
        <w:rPr>
          <w:lang w:val="en-GB"/>
        </w:rPr>
        <w:t xml:space="preserve">1 to </w:t>
      </w:r>
      <w:r w:rsidRPr="009660F8">
        <w:rPr>
          <w:lang w:val="en-GB"/>
        </w:rPr>
        <w:t>4 of the Justices of the Peace and Commissioners of Oaths Act 16 of 1963</w:t>
      </w:r>
      <w:r w:rsidR="00735AE4">
        <w:rPr>
          <w:lang w:val="en-GB"/>
        </w:rPr>
        <w:t>.</w:t>
      </w:r>
    </w:p>
    <w:p w:rsidR="00B00D96" w:rsidRPr="009660F8" w:rsidRDefault="00735AE4" w:rsidP="00735AE4">
      <w:pPr>
        <w:pStyle w:val="Default"/>
        <w:numPr>
          <w:ilvl w:val="0"/>
          <w:numId w:val="8"/>
        </w:numPr>
        <w:spacing w:after="157" w:line="360" w:lineRule="auto"/>
        <w:jc w:val="both"/>
        <w:rPr>
          <w:lang w:val="en-GB"/>
        </w:rPr>
      </w:pPr>
      <w:r>
        <w:rPr>
          <w:lang w:val="en-GB"/>
        </w:rPr>
        <w:t>The</w:t>
      </w:r>
      <w:r w:rsidR="00EA3BB0">
        <w:rPr>
          <w:lang w:val="en-GB"/>
        </w:rPr>
        <w:t>re</w:t>
      </w:r>
      <w:r>
        <w:rPr>
          <w:lang w:val="en-GB"/>
        </w:rPr>
        <w:t xml:space="preserve"> is </w:t>
      </w:r>
      <w:r w:rsidR="00EA3BB0">
        <w:rPr>
          <w:lang w:val="en-GB"/>
        </w:rPr>
        <w:t>no order</w:t>
      </w:r>
      <w:r w:rsidR="00B00D96" w:rsidRPr="009660F8">
        <w:rPr>
          <w:lang w:val="en-GB"/>
        </w:rPr>
        <w:t xml:space="preserve"> </w:t>
      </w:r>
      <w:r w:rsidR="00EA3BB0">
        <w:rPr>
          <w:lang w:val="en-GB"/>
        </w:rPr>
        <w:t>as to</w:t>
      </w:r>
      <w:r w:rsidR="00B00D96" w:rsidRPr="009660F8">
        <w:rPr>
          <w:lang w:val="en-GB"/>
        </w:rPr>
        <w:t xml:space="preserve"> costs.</w:t>
      </w:r>
    </w:p>
    <w:p w:rsidR="00B00D96" w:rsidRDefault="00B00D96" w:rsidP="00E84E46">
      <w:pPr>
        <w:pStyle w:val="Default"/>
        <w:numPr>
          <w:ilvl w:val="0"/>
          <w:numId w:val="8"/>
        </w:numPr>
        <w:spacing w:after="157" w:line="360" w:lineRule="auto"/>
        <w:jc w:val="both"/>
        <w:rPr>
          <w:lang w:val="en-GB"/>
        </w:rPr>
      </w:pPr>
      <w:r w:rsidRPr="009660F8">
        <w:rPr>
          <w:lang w:val="en-GB"/>
        </w:rPr>
        <w:t>The matter is removed from the roll and is regarded as finalised.</w:t>
      </w:r>
    </w:p>
    <w:p w:rsidR="0034157D" w:rsidRDefault="0034157D" w:rsidP="0034157D">
      <w:pPr>
        <w:pStyle w:val="Default"/>
        <w:spacing w:after="157" w:line="360" w:lineRule="auto"/>
        <w:ind w:left="720"/>
        <w:jc w:val="both"/>
        <w:rPr>
          <w:lang w:val="en-GB"/>
        </w:rPr>
      </w:pPr>
    </w:p>
    <w:p w:rsidR="00C94819" w:rsidRDefault="00C94819" w:rsidP="0034157D">
      <w:pPr>
        <w:pStyle w:val="Default"/>
        <w:spacing w:after="157" w:line="360" w:lineRule="auto"/>
        <w:ind w:left="720"/>
        <w:jc w:val="both"/>
        <w:rPr>
          <w:lang w:val="en-GB"/>
        </w:rPr>
      </w:pPr>
    </w:p>
    <w:p w:rsidR="00C94819" w:rsidRPr="00E84E46" w:rsidRDefault="00C94819" w:rsidP="0034157D">
      <w:pPr>
        <w:pStyle w:val="Default"/>
        <w:spacing w:after="157" w:line="360" w:lineRule="auto"/>
        <w:ind w:left="720"/>
        <w:jc w:val="both"/>
        <w:rPr>
          <w:lang w:val="en-GB"/>
        </w:rPr>
      </w:pPr>
    </w:p>
    <w:p w:rsidR="00AA5083" w:rsidRPr="009660F8" w:rsidRDefault="0034157D" w:rsidP="00AA5083">
      <w:pPr>
        <w:pStyle w:val="Default"/>
        <w:spacing w:after="157"/>
        <w:jc w:val="right"/>
        <w:rPr>
          <w:lang w:val="en-GB"/>
        </w:rPr>
      </w:pPr>
      <w:r>
        <w:rPr>
          <w:lang w:val="en-GB"/>
        </w:rPr>
        <w:t>____________</w:t>
      </w:r>
    </w:p>
    <w:p w:rsidR="00AA5083" w:rsidRPr="009660F8" w:rsidRDefault="00AA5083" w:rsidP="00AA5083">
      <w:pPr>
        <w:pStyle w:val="Default"/>
        <w:spacing w:after="157"/>
        <w:jc w:val="right"/>
        <w:rPr>
          <w:lang w:val="en-GB"/>
        </w:rPr>
      </w:pPr>
      <w:r w:rsidRPr="009660F8">
        <w:rPr>
          <w:lang w:val="en-GB"/>
        </w:rPr>
        <w:lastRenderedPageBreak/>
        <w:t>T.S</w:t>
      </w:r>
      <w:r w:rsidR="0034157D">
        <w:rPr>
          <w:lang w:val="en-GB"/>
        </w:rPr>
        <w:t>.</w:t>
      </w:r>
      <w:r w:rsidRPr="009660F8">
        <w:rPr>
          <w:lang w:val="en-GB"/>
        </w:rPr>
        <w:t xml:space="preserve"> </w:t>
      </w:r>
      <w:proofErr w:type="spellStart"/>
      <w:r w:rsidRPr="009660F8">
        <w:rPr>
          <w:lang w:val="en-GB"/>
        </w:rPr>
        <w:t>Masuku</w:t>
      </w:r>
      <w:proofErr w:type="spellEnd"/>
    </w:p>
    <w:p w:rsidR="00735AE4" w:rsidRPr="00CD470C" w:rsidRDefault="00AA5083" w:rsidP="00CD470C">
      <w:pPr>
        <w:pStyle w:val="Default"/>
        <w:spacing w:after="157"/>
        <w:jc w:val="right"/>
        <w:rPr>
          <w:lang w:val="en-GB"/>
        </w:rPr>
      </w:pPr>
      <w:r w:rsidRPr="009660F8">
        <w:rPr>
          <w:lang w:val="en-GB"/>
        </w:rPr>
        <w:t>Judge</w:t>
      </w:r>
    </w:p>
    <w:p w:rsidR="00735AE4" w:rsidRDefault="00735AE4" w:rsidP="00AA5083">
      <w:pPr>
        <w:pStyle w:val="Default"/>
        <w:spacing w:after="157"/>
      </w:pPr>
    </w:p>
    <w:p w:rsidR="0034157D" w:rsidRDefault="0034157D">
      <w:pPr>
        <w:rPr>
          <w:rFonts w:ascii="Arial" w:hAnsi="Arial" w:cs="Arial"/>
          <w:color w:val="000000"/>
          <w:lang w:val="en-US"/>
        </w:rPr>
      </w:pPr>
      <w:r>
        <w:br w:type="page"/>
      </w:r>
    </w:p>
    <w:p w:rsidR="00217E26" w:rsidRPr="009660F8" w:rsidRDefault="00217E26" w:rsidP="00AA5083">
      <w:pPr>
        <w:pStyle w:val="Default"/>
        <w:spacing w:after="157"/>
        <w:rPr>
          <w:lang w:val="en-GB"/>
        </w:rPr>
      </w:pPr>
      <w:r w:rsidRPr="009660F8">
        <w:lastRenderedPageBreak/>
        <w:t>APPEARANCES</w:t>
      </w:r>
    </w:p>
    <w:p w:rsidR="00217E26" w:rsidRPr="009660F8" w:rsidRDefault="00217E26" w:rsidP="009326A1">
      <w:pPr>
        <w:spacing w:line="360" w:lineRule="auto"/>
        <w:jc w:val="both"/>
        <w:rPr>
          <w:rFonts w:ascii="Arial" w:hAnsi="Arial" w:cs="Arial"/>
        </w:rPr>
      </w:pPr>
    </w:p>
    <w:p w:rsidR="00217E26" w:rsidRPr="009660F8" w:rsidRDefault="00C70435" w:rsidP="009326A1">
      <w:pPr>
        <w:spacing w:line="360" w:lineRule="auto"/>
        <w:ind w:left="2880" w:hanging="2880"/>
        <w:jc w:val="both"/>
        <w:rPr>
          <w:rFonts w:ascii="Arial" w:hAnsi="Arial" w:cs="Arial"/>
        </w:rPr>
      </w:pPr>
      <w:r w:rsidRPr="009660F8">
        <w:rPr>
          <w:rFonts w:ascii="Arial" w:hAnsi="Arial" w:cs="Arial"/>
        </w:rPr>
        <w:t>APPLICANT</w:t>
      </w:r>
      <w:r w:rsidR="00217E26" w:rsidRPr="009660F8">
        <w:rPr>
          <w:rFonts w:ascii="Arial" w:hAnsi="Arial" w:cs="Arial"/>
        </w:rPr>
        <w:t>:</w:t>
      </w:r>
      <w:r w:rsidR="00217E26" w:rsidRPr="009660F8">
        <w:rPr>
          <w:rFonts w:ascii="Arial" w:hAnsi="Arial" w:cs="Arial"/>
        </w:rPr>
        <w:tab/>
      </w:r>
      <w:r w:rsidR="00735AE4">
        <w:rPr>
          <w:rFonts w:ascii="Arial" w:hAnsi="Arial" w:cs="Arial"/>
        </w:rPr>
        <w:t xml:space="preserve">A. </w:t>
      </w:r>
      <w:proofErr w:type="spellStart"/>
      <w:r w:rsidR="00735AE4">
        <w:rPr>
          <w:rFonts w:ascii="Arial" w:hAnsi="Arial" w:cs="Arial"/>
        </w:rPr>
        <w:t>Dausab</w:t>
      </w:r>
      <w:proofErr w:type="spellEnd"/>
    </w:p>
    <w:p w:rsidR="00217E26" w:rsidRPr="009660F8" w:rsidRDefault="00F25661" w:rsidP="009326A1">
      <w:pPr>
        <w:spacing w:line="360" w:lineRule="auto"/>
        <w:jc w:val="both"/>
        <w:rPr>
          <w:rFonts w:ascii="Arial" w:hAnsi="Arial" w:cs="Arial"/>
        </w:rPr>
      </w:pPr>
      <w:r w:rsidRPr="009660F8">
        <w:rPr>
          <w:rFonts w:ascii="Arial" w:hAnsi="Arial" w:cs="Arial"/>
        </w:rPr>
        <w:tab/>
      </w:r>
      <w:r w:rsidRPr="009660F8">
        <w:rPr>
          <w:rFonts w:ascii="Arial" w:hAnsi="Arial" w:cs="Arial"/>
        </w:rPr>
        <w:tab/>
      </w:r>
      <w:r w:rsidRPr="009660F8">
        <w:rPr>
          <w:rFonts w:ascii="Arial" w:hAnsi="Arial" w:cs="Arial"/>
        </w:rPr>
        <w:tab/>
      </w:r>
      <w:r w:rsidRPr="009660F8">
        <w:rPr>
          <w:rFonts w:ascii="Arial" w:hAnsi="Arial" w:cs="Arial"/>
        </w:rPr>
        <w:tab/>
      </w:r>
      <w:r w:rsidR="00C94819">
        <w:rPr>
          <w:rFonts w:ascii="Arial" w:hAnsi="Arial" w:cs="Arial"/>
        </w:rPr>
        <w:t>Applicant in person</w:t>
      </w:r>
    </w:p>
    <w:p w:rsidR="00F25661" w:rsidRPr="009660F8" w:rsidRDefault="00F25661" w:rsidP="009326A1">
      <w:pPr>
        <w:spacing w:line="360" w:lineRule="auto"/>
        <w:jc w:val="both"/>
        <w:rPr>
          <w:rFonts w:ascii="Arial" w:hAnsi="Arial" w:cs="Arial"/>
        </w:rPr>
      </w:pPr>
    </w:p>
    <w:p w:rsidR="00AA5083" w:rsidRPr="009660F8" w:rsidRDefault="00735AE4" w:rsidP="009326A1">
      <w:pPr>
        <w:spacing w:line="360" w:lineRule="auto"/>
        <w:jc w:val="both"/>
        <w:rPr>
          <w:rFonts w:ascii="Arial" w:hAnsi="Arial" w:cs="Arial"/>
        </w:rPr>
      </w:pPr>
      <w:r>
        <w:rPr>
          <w:rFonts w:ascii="Arial" w:hAnsi="Arial" w:cs="Arial"/>
        </w:rPr>
        <w:t>RESPONDENT</w:t>
      </w:r>
      <w:r w:rsidR="00217E26" w:rsidRPr="009660F8">
        <w:rPr>
          <w:rFonts w:ascii="Arial" w:hAnsi="Arial" w:cs="Arial"/>
        </w:rPr>
        <w:t>:</w:t>
      </w:r>
      <w:r w:rsidR="00217E26" w:rsidRPr="009660F8">
        <w:rPr>
          <w:rFonts w:ascii="Arial" w:hAnsi="Arial" w:cs="Arial"/>
        </w:rPr>
        <w:tab/>
      </w:r>
      <w:r>
        <w:rPr>
          <w:rFonts w:ascii="Arial" w:hAnsi="Arial" w:cs="Arial"/>
        </w:rPr>
        <w:tab/>
        <w:t xml:space="preserve">N. </w:t>
      </w:r>
      <w:proofErr w:type="spellStart"/>
      <w:r>
        <w:rPr>
          <w:rFonts w:ascii="Arial" w:hAnsi="Arial" w:cs="Arial"/>
        </w:rPr>
        <w:t>Tjahikika</w:t>
      </w:r>
      <w:proofErr w:type="spellEnd"/>
    </w:p>
    <w:p w:rsidR="00217E26" w:rsidRPr="009660F8" w:rsidRDefault="00AA5083" w:rsidP="009326A1">
      <w:pPr>
        <w:spacing w:line="360" w:lineRule="auto"/>
        <w:jc w:val="both"/>
        <w:rPr>
          <w:rFonts w:ascii="Arial" w:hAnsi="Arial" w:cs="Arial"/>
        </w:rPr>
      </w:pPr>
      <w:r w:rsidRPr="009660F8">
        <w:rPr>
          <w:rFonts w:ascii="Arial" w:hAnsi="Arial" w:cs="Arial"/>
        </w:rPr>
        <w:tab/>
      </w:r>
      <w:r w:rsidRPr="009660F8">
        <w:rPr>
          <w:rFonts w:ascii="Arial" w:hAnsi="Arial" w:cs="Arial"/>
        </w:rPr>
        <w:tab/>
      </w:r>
      <w:r w:rsidRPr="009660F8">
        <w:rPr>
          <w:rFonts w:ascii="Arial" w:hAnsi="Arial" w:cs="Arial"/>
        </w:rPr>
        <w:tab/>
      </w:r>
      <w:r w:rsidRPr="009660F8">
        <w:rPr>
          <w:rFonts w:ascii="Arial" w:hAnsi="Arial" w:cs="Arial"/>
        </w:rPr>
        <w:tab/>
        <w:t xml:space="preserve">Of </w:t>
      </w:r>
      <w:r w:rsidR="00735AE4">
        <w:rPr>
          <w:rFonts w:ascii="Arial" w:hAnsi="Arial" w:cs="Arial"/>
        </w:rPr>
        <w:t>The Of</w:t>
      </w:r>
      <w:r w:rsidR="00C94819">
        <w:rPr>
          <w:rFonts w:ascii="Arial" w:hAnsi="Arial" w:cs="Arial"/>
        </w:rPr>
        <w:t>fice of the Government Attorney</w:t>
      </w:r>
    </w:p>
    <w:p w:rsidR="00C70435" w:rsidRPr="009660F8" w:rsidRDefault="00F25661" w:rsidP="009326A1">
      <w:pPr>
        <w:spacing w:line="360" w:lineRule="auto"/>
        <w:jc w:val="both"/>
        <w:rPr>
          <w:rFonts w:ascii="Arial" w:hAnsi="Arial" w:cs="Arial"/>
        </w:rPr>
      </w:pPr>
      <w:r w:rsidRPr="009660F8">
        <w:rPr>
          <w:rFonts w:ascii="Arial" w:hAnsi="Arial" w:cs="Arial"/>
        </w:rPr>
        <w:tab/>
      </w:r>
      <w:r w:rsidRPr="009660F8">
        <w:rPr>
          <w:rFonts w:ascii="Arial" w:hAnsi="Arial" w:cs="Arial"/>
        </w:rPr>
        <w:tab/>
      </w:r>
      <w:r w:rsidR="00C70435" w:rsidRPr="009660F8">
        <w:rPr>
          <w:rFonts w:ascii="Arial" w:hAnsi="Arial" w:cs="Arial"/>
        </w:rPr>
        <w:t xml:space="preserve"> </w:t>
      </w:r>
      <w:r w:rsidR="00C94819">
        <w:rPr>
          <w:rFonts w:ascii="Arial" w:hAnsi="Arial" w:cs="Arial"/>
        </w:rPr>
        <w:tab/>
      </w:r>
      <w:r w:rsidR="00C94819">
        <w:rPr>
          <w:rFonts w:ascii="Arial" w:hAnsi="Arial" w:cs="Arial"/>
        </w:rPr>
        <w:tab/>
        <w:t xml:space="preserve">Windhoek </w:t>
      </w:r>
    </w:p>
    <w:p w:rsidR="00947712" w:rsidRPr="009660F8" w:rsidRDefault="00947712" w:rsidP="009326A1">
      <w:pPr>
        <w:spacing w:line="360" w:lineRule="auto"/>
        <w:jc w:val="both"/>
        <w:rPr>
          <w:rFonts w:ascii="Arial" w:hAnsi="Arial" w:cs="Arial"/>
        </w:rPr>
      </w:pPr>
    </w:p>
    <w:sectPr w:rsidR="00947712" w:rsidRPr="009660F8" w:rsidSect="0034157D">
      <w:headerReference w:type="even" r:id="rId9"/>
      <w:headerReference w:type="default" r:id="rId10"/>
      <w:pgSz w:w="11900" w:h="16840"/>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1C" w:rsidRDefault="004E441C" w:rsidP="00F91ED9">
      <w:r>
        <w:separator/>
      </w:r>
    </w:p>
  </w:endnote>
  <w:endnote w:type="continuationSeparator" w:id="0">
    <w:p w:rsidR="004E441C" w:rsidRDefault="004E441C" w:rsidP="00F9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1C" w:rsidRDefault="004E441C" w:rsidP="00F91ED9">
      <w:r>
        <w:separator/>
      </w:r>
    </w:p>
  </w:footnote>
  <w:footnote w:type="continuationSeparator" w:id="0">
    <w:p w:rsidR="004E441C" w:rsidRDefault="004E441C" w:rsidP="00F91ED9">
      <w:r>
        <w:continuationSeparator/>
      </w:r>
    </w:p>
  </w:footnote>
  <w:footnote w:id="1">
    <w:p w:rsidR="00887E4A" w:rsidRPr="00887E4A" w:rsidRDefault="00887E4A">
      <w:pPr>
        <w:pStyle w:val="FootnoteText"/>
        <w:rPr>
          <w:lang w:val="en-US"/>
        </w:rPr>
      </w:pPr>
      <w:r>
        <w:rPr>
          <w:rStyle w:val="FootnoteReference"/>
        </w:rPr>
        <w:footnoteRef/>
      </w:r>
      <w:r>
        <w:t xml:space="preserve"> </w:t>
      </w:r>
      <w:proofErr w:type="spellStart"/>
      <w:r w:rsidR="00E84E46" w:rsidRPr="00E84E46">
        <w:rPr>
          <w:rFonts w:ascii="Arial" w:hAnsi="Arial" w:cs="Arial"/>
        </w:rPr>
        <w:t>Herbstein</w:t>
      </w:r>
      <w:proofErr w:type="spellEnd"/>
      <w:r w:rsidR="00E84E46" w:rsidRPr="00E84E46">
        <w:rPr>
          <w:rFonts w:ascii="Arial" w:hAnsi="Arial" w:cs="Arial"/>
        </w:rPr>
        <w:t xml:space="preserve"> &amp; Van </w:t>
      </w:r>
      <w:proofErr w:type="spellStart"/>
      <w:r w:rsidR="00E84E46" w:rsidRPr="00E84E46">
        <w:rPr>
          <w:rFonts w:ascii="Arial" w:hAnsi="Arial" w:cs="Arial"/>
        </w:rPr>
        <w:t>Winsen</w:t>
      </w:r>
      <w:proofErr w:type="spellEnd"/>
      <w:r w:rsidR="00E84E46" w:rsidRPr="00E84E46">
        <w:rPr>
          <w:rFonts w:ascii="Arial" w:hAnsi="Arial" w:cs="Arial"/>
        </w:rPr>
        <w:t xml:space="preserve">, </w:t>
      </w:r>
      <w:r w:rsidR="00E84E46" w:rsidRPr="00E84E46">
        <w:rPr>
          <w:rFonts w:ascii="Arial" w:hAnsi="Arial" w:cs="Arial"/>
          <w:u w:val="single"/>
        </w:rPr>
        <w:t>The Civil Practice of the High Courts of South Africa</w:t>
      </w:r>
      <w:r w:rsidR="00E84E46" w:rsidRPr="00E84E46">
        <w:rPr>
          <w:rFonts w:ascii="Arial" w:hAnsi="Arial" w:cs="Arial"/>
        </w:rPr>
        <w:t>, Vol 1 p449.</w:t>
      </w:r>
    </w:p>
  </w:footnote>
  <w:footnote w:id="2">
    <w:p w:rsidR="00762010" w:rsidRPr="00762010" w:rsidRDefault="00762010">
      <w:pPr>
        <w:pStyle w:val="FootnoteText"/>
        <w:rPr>
          <w:lang w:val="en-US"/>
        </w:rPr>
      </w:pPr>
      <w:r>
        <w:rPr>
          <w:rStyle w:val="FootnoteReference"/>
        </w:rPr>
        <w:footnoteRef/>
      </w:r>
      <w:r>
        <w:t xml:space="preserve"> </w:t>
      </w:r>
      <w:proofErr w:type="spellStart"/>
      <w:r w:rsidR="00E84E46" w:rsidRPr="00AE77D2">
        <w:rPr>
          <w:rFonts w:ascii="Arial" w:hAnsi="Arial" w:cs="Arial"/>
          <w:i/>
          <w:lang w:val="en-US"/>
        </w:rPr>
        <w:t>Herbstein</w:t>
      </w:r>
      <w:proofErr w:type="spellEnd"/>
      <w:r w:rsidR="00E84E46" w:rsidRPr="00AE77D2">
        <w:rPr>
          <w:rFonts w:ascii="Arial" w:hAnsi="Arial" w:cs="Arial"/>
          <w:i/>
          <w:lang w:val="en-US"/>
        </w:rPr>
        <w:t xml:space="preserve"> &amp; Van </w:t>
      </w:r>
      <w:proofErr w:type="spellStart"/>
      <w:r w:rsidR="00E84E46" w:rsidRPr="00AE77D2">
        <w:rPr>
          <w:rFonts w:ascii="Arial" w:hAnsi="Arial" w:cs="Arial"/>
          <w:i/>
          <w:lang w:val="en-US"/>
        </w:rPr>
        <w:t>Winsen</w:t>
      </w:r>
      <w:proofErr w:type="spellEnd"/>
      <w:r w:rsidR="00E84E46" w:rsidRPr="00E84E46">
        <w:rPr>
          <w:rFonts w:ascii="Arial" w:hAnsi="Arial" w:cs="Arial"/>
          <w:lang w:val="en-US"/>
        </w:rPr>
        <w:t xml:space="preserve"> </w:t>
      </w:r>
      <w:r w:rsidR="00E84E46" w:rsidRPr="00E84E46">
        <w:rPr>
          <w:rFonts w:ascii="Arial" w:hAnsi="Arial" w:cs="Arial"/>
          <w:i/>
          <w:lang w:val="en-US"/>
        </w:rPr>
        <w:t xml:space="preserve">ibid </w:t>
      </w:r>
      <w:r w:rsidR="00E84E46" w:rsidRPr="00E84E46">
        <w:rPr>
          <w:rFonts w:ascii="Arial" w:hAnsi="Arial" w:cs="Arial"/>
          <w:lang w:val="en-US"/>
        </w:rPr>
        <w:t>p 451.</w:t>
      </w:r>
    </w:p>
  </w:footnote>
  <w:footnote w:id="3">
    <w:p w:rsidR="00EA3BB0" w:rsidRPr="00EA3BB0" w:rsidRDefault="00EA3BB0">
      <w:pPr>
        <w:pStyle w:val="FootnoteText"/>
        <w:rPr>
          <w:lang w:val="en-ZA"/>
        </w:rPr>
      </w:pPr>
      <w:r>
        <w:rPr>
          <w:rStyle w:val="FootnoteReference"/>
        </w:rPr>
        <w:footnoteRef/>
      </w:r>
      <w:r>
        <w:t xml:space="preserve"> </w:t>
      </w:r>
      <w:r w:rsidRPr="00EA3BB0">
        <w:rPr>
          <w:rFonts w:ascii="Arial" w:hAnsi="Arial" w:cs="Arial"/>
          <w:lang w:val="en-ZA"/>
        </w:rPr>
        <w:t>1981 (1) SA 697 (O) at 699 A-D.</w:t>
      </w:r>
    </w:p>
  </w:footnote>
  <w:footnote w:id="4">
    <w:p w:rsidR="00EA3BB0" w:rsidRPr="00AE77D2" w:rsidRDefault="00EA3BB0">
      <w:pPr>
        <w:pStyle w:val="FootnoteText"/>
        <w:rPr>
          <w:rFonts w:ascii="Arial" w:hAnsi="Arial" w:cs="Arial"/>
          <w:lang w:val="en-ZA"/>
        </w:rPr>
      </w:pPr>
      <w:r w:rsidRPr="00AE77D2">
        <w:rPr>
          <w:rStyle w:val="FootnoteReference"/>
          <w:rFonts w:ascii="Arial" w:hAnsi="Arial" w:cs="Arial"/>
        </w:rPr>
        <w:footnoteRef/>
      </w:r>
      <w:r w:rsidRPr="00AE77D2">
        <w:rPr>
          <w:rFonts w:ascii="Arial" w:hAnsi="Arial" w:cs="Arial"/>
        </w:rPr>
        <w:t xml:space="preserve"> </w:t>
      </w:r>
      <w:r w:rsidRPr="00AE77D2">
        <w:rPr>
          <w:rFonts w:ascii="Arial" w:hAnsi="Arial" w:cs="Arial"/>
          <w:lang w:val="en-ZA"/>
        </w:rPr>
        <w:t>1973 (3)</w:t>
      </w:r>
      <w:r w:rsidR="00AE77D2" w:rsidRPr="00AE77D2">
        <w:rPr>
          <w:rFonts w:ascii="Arial" w:hAnsi="Arial" w:cs="Arial"/>
          <w:lang w:val="en-ZA"/>
        </w:rPr>
        <w:t xml:space="preserve"> 734 (NC) at 737H.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95" w:rsidRDefault="007B7295" w:rsidP="007C1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295" w:rsidRDefault="007B7295" w:rsidP="00F91E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95" w:rsidRDefault="007B7295" w:rsidP="007C1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819">
      <w:rPr>
        <w:rStyle w:val="PageNumber"/>
        <w:noProof/>
      </w:rPr>
      <w:t>9</w:t>
    </w:r>
    <w:r>
      <w:rPr>
        <w:rStyle w:val="PageNumber"/>
      </w:rPr>
      <w:fldChar w:fldCharType="end"/>
    </w:r>
  </w:p>
  <w:p w:rsidR="007B7295" w:rsidRDefault="007B7295" w:rsidP="00F91E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4DF"/>
    <w:multiLevelType w:val="hybridMultilevel"/>
    <w:tmpl w:val="03D4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000D"/>
    <w:multiLevelType w:val="hybridMultilevel"/>
    <w:tmpl w:val="546C4232"/>
    <w:lvl w:ilvl="0" w:tplc="25548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C3514"/>
    <w:multiLevelType w:val="hybridMultilevel"/>
    <w:tmpl w:val="3E9C3D84"/>
    <w:lvl w:ilvl="0" w:tplc="877C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814C2"/>
    <w:multiLevelType w:val="hybridMultilevel"/>
    <w:tmpl w:val="EAD2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07FC7"/>
    <w:multiLevelType w:val="hybridMultilevel"/>
    <w:tmpl w:val="74AA21B4"/>
    <w:lvl w:ilvl="0" w:tplc="E662DEB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16C29DE"/>
    <w:multiLevelType w:val="hybridMultilevel"/>
    <w:tmpl w:val="912A9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325F8"/>
    <w:multiLevelType w:val="hybridMultilevel"/>
    <w:tmpl w:val="0FFC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E4149"/>
    <w:multiLevelType w:val="hybridMultilevel"/>
    <w:tmpl w:val="6DCA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0B"/>
    <w:rsid w:val="00002B3D"/>
    <w:rsid w:val="00030BEC"/>
    <w:rsid w:val="00034BD8"/>
    <w:rsid w:val="00073BD9"/>
    <w:rsid w:val="00095BEC"/>
    <w:rsid w:val="00096DB2"/>
    <w:rsid w:val="000A5CEA"/>
    <w:rsid w:val="000B029F"/>
    <w:rsid w:val="000C4DEA"/>
    <w:rsid w:val="000E289D"/>
    <w:rsid w:val="000E785F"/>
    <w:rsid w:val="00101DA8"/>
    <w:rsid w:val="00102430"/>
    <w:rsid w:val="00110ACD"/>
    <w:rsid w:val="001143E1"/>
    <w:rsid w:val="00117A15"/>
    <w:rsid w:val="00121F17"/>
    <w:rsid w:val="001220A3"/>
    <w:rsid w:val="0013458D"/>
    <w:rsid w:val="0014243A"/>
    <w:rsid w:val="001474B6"/>
    <w:rsid w:val="00177BE0"/>
    <w:rsid w:val="001A0A21"/>
    <w:rsid w:val="001A111D"/>
    <w:rsid w:val="001B578D"/>
    <w:rsid w:val="001C285D"/>
    <w:rsid w:val="001D0219"/>
    <w:rsid w:val="001D4427"/>
    <w:rsid w:val="001F7679"/>
    <w:rsid w:val="00203525"/>
    <w:rsid w:val="00217E26"/>
    <w:rsid w:val="00252350"/>
    <w:rsid w:val="00267548"/>
    <w:rsid w:val="00275D76"/>
    <w:rsid w:val="0028348F"/>
    <w:rsid w:val="0029764E"/>
    <w:rsid w:val="002A11FF"/>
    <w:rsid w:val="002B1216"/>
    <w:rsid w:val="002B7BC5"/>
    <w:rsid w:val="002C0249"/>
    <w:rsid w:val="002C2411"/>
    <w:rsid w:val="002C3921"/>
    <w:rsid w:val="002C77A8"/>
    <w:rsid w:val="002D1650"/>
    <w:rsid w:val="002D34E7"/>
    <w:rsid w:val="002E563E"/>
    <w:rsid w:val="002F0656"/>
    <w:rsid w:val="00303943"/>
    <w:rsid w:val="0034157D"/>
    <w:rsid w:val="00354FD4"/>
    <w:rsid w:val="00370B7F"/>
    <w:rsid w:val="0037482A"/>
    <w:rsid w:val="00377404"/>
    <w:rsid w:val="0038310D"/>
    <w:rsid w:val="0038326C"/>
    <w:rsid w:val="00390004"/>
    <w:rsid w:val="003A72A0"/>
    <w:rsid w:val="003B433E"/>
    <w:rsid w:val="003B7999"/>
    <w:rsid w:val="003D0DBA"/>
    <w:rsid w:val="003D0DDE"/>
    <w:rsid w:val="003D696C"/>
    <w:rsid w:val="003E10C2"/>
    <w:rsid w:val="003E7616"/>
    <w:rsid w:val="003F4595"/>
    <w:rsid w:val="0041223C"/>
    <w:rsid w:val="004352F0"/>
    <w:rsid w:val="00443D36"/>
    <w:rsid w:val="00446B4A"/>
    <w:rsid w:val="004622FB"/>
    <w:rsid w:val="004779A4"/>
    <w:rsid w:val="00484BDD"/>
    <w:rsid w:val="0049135D"/>
    <w:rsid w:val="00496030"/>
    <w:rsid w:val="004A767C"/>
    <w:rsid w:val="004B5734"/>
    <w:rsid w:val="004C0075"/>
    <w:rsid w:val="004C2E69"/>
    <w:rsid w:val="004C4485"/>
    <w:rsid w:val="004C6E22"/>
    <w:rsid w:val="004E441C"/>
    <w:rsid w:val="00500D8D"/>
    <w:rsid w:val="0051100C"/>
    <w:rsid w:val="005121D7"/>
    <w:rsid w:val="00516817"/>
    <w:rsid w:val="005200C0"/>
    <w:rsid w:val="005249C9"/>
    <w:rsid w:val="00550449"/>
    <w:rsid w:val="005640EA"/>
    <w:rsid w:val="00566C4D"/>
    <w:rsid w:val="005745E3"/>
    <w:rsid w:val="00583C11"/>
    <w:rsid w:val="00590C4E"/>
    <w:rsid w:val="00594074"/>
    <w:rsid w:val="005A2E4B"/>
    <w:rsid w:val="005B452F"/>
    <w:rsid w:val="005C6CE1"/>
    <w:rsid w:val="006060D0"/>
    <w:rsid w:val="00616CC7"/>
    <w:rsid w:val="00627ED8"/>
    <w:rsid w:val="00630AE5"/>
    <w:rsid w:val="0065001D"/>
    <w:rsid w:val="0066385A"/>
    <w:rsid w:val="006803F5"/>
    <w:rsid w:val="006832D5"/>
    <w:rsid w:val="006A13F9"/>
    <w:rsid w:val="006D135F"/>
    <w:rsid w:val="006D2630"/>
    <w:rsid w:val="006D3326"/>
    <w:rsid w:val="006D51C6"/>
    <w:rsid w:val="006E486A"/>
    <w:rsid w:val="00720E44"/>
    <w:rsid w:val="00723950"/>
    <w:rsid w:val="00735AE4"/>
    <w:rsid w:val="0074632D"/>
    <w:rsid w:val="00762010"/>
    <w:rsid w:val="00765A5F"/>
    <w:rsid w:val="0076674C"/>
    <w:rsid w:val="00797DA9"/>
    <w:rsid w:val="007A3848"/>
    <w:rsid w:val="007A6162"/>
    <w:rsid w:val="007B518B"/>
    <w:rsid w:val="007B7295"/>
    <w:rsid w:val="007C0825"/>
    <w:rsid w:val="007C16BD"/>
    <w:rsid w:val="007C390C"/>
    <w:rsid w:val="007C49B3"/>
    <w:rsid w:val="007C7215"/>
    <w:rsid w:val="007E55E9"/>
    <w:rsid w:val="007F637A"/>
    <w:rsid w:val="008103F2"/>
    <w:rsid w:val="008244DC"/>
    <w:rsid w:val="00841F25"/>
    <w:rsid w:val="008454C3"/>
    <w:rsid w:val="0086337C"/>
    <w:rsid w:val="008709DB"/>
    <w:rsid w:val="00872511"/>
    <w:rsid w:val="00874DCE"/>
    <w:rsid w:val="00881580"/>
    <w:rsid w:val="00887E4A"/>
    <w:rsid w:val="008B6136"/>
    <w:rsid w:val="008B63EA"/>
    <w:rsid w:val="008D7C6D"/>
    <w:rsid w:val="008F2815"/>
    <w:rsid w:val="008F3B97"/>
    <w:rsid w:val="008F462D"/>
    <w:rsid w:val="00904669"/>
    <w:rsid w:val="009103D6"/>
    <w:rsid w:val="009177F2"/>
    <w:rsid w:val="00921FAC"/>
    <w:rsid w:val="009326A1"/>
    <w:rsid w:val="00947712"/>
    <w:rsid w:val="00947CBB"/>
    <w:rsid w:val="00950216"/>
    <w:rsid w:val="00953BF0"/>
    <w:rsid w:val="009660F8"/>
    <w:rsid w:val="00967FDC"/>
    <w:rsid w:val="009764B7"/>
    <w:rsid w:val="0098373B"/>
    <w:rsid w:val="009A5936"/>
    <w:rsid w:val="009D2ED0"/>
    <w:rsid w:val="009E43FE"/>
    <w:rsid w:val="009E5EED"/>
    <w:rsid w:val="00A01B37"/>
    <w:rsid w:val="00A23058"/>
    <w:rsid w:val="00A3206A"/>
    <w:rsid w:val="00A34FF7"/>
    <w:rsid w:val="00A478DD"/>
    <w:rsid w:val="00A47E20"/>
    <w:rsid w:val="00A660E4"/>
    <w:rsid w:val="00A90223"/>
    <w:rsid w:val="00A9451C"/>
    <w:rsid w:val="00AA5083"/>
    <w:rsid w:val="00AB0597"/>
    <w:rsid w:val="00AB0A1E"/>
    <w:rsid w:val="00AD5B01"/>
    <w:rsid w:val="00AE3A7C"/>
    <w:rsid w:val="00AE70A8"/>
    <w:rsid w:val="00AE77D2"/>
    <w:rsid w:val="00B00D96"/>
    <w:rsid w:val="00B031AA"/>
    <w:rsid w:val="00B23B79"/>
    <w:rsid w:val="00B37442"/>
    <w:rsid w:val="00B92D1D"/>
    <w:rsid w:val="00BA4801"/>
    <w:rsid w:val="00BB1FC6"/>
    <w:rsid w:val="00BB3E1B"/>
    <w:rsid w:val="00BE5AA9"/>
    <w:rsid w:val="00BE64E6"/>
    <w:rsid w:val="00BF4543"/>
    <w:rsid w:val="00C14202"/>
    <w:rsid w:val="00C247E8"/>
    <w:rsid w:val="00C24FA2"/>
    <w:rsid w:val="00C33E13"/>
    <w:rsid w:val="00C34A92"/>
    <w:rsid w:val="00C42D41"/>
    <w:rsid w:val="00C63A0B"/>
    <w:rsid w:val="00C70435"/>
    <w:rsid w:val="00C81945"/>
    <w:rsid w:val="00C94819"/>
    <w:rsid w:val="00CB5F14"/>
    <w:rsid w:val="00CC0AEE"/>
    <w:rsid w:val="00CD2FBD"/>
    <w:rsid w:val="00CD470C"/>
    <w:rsid w:val="00CD5AE6"/>
    <w:rsid w:val="00CD6B78"/>
    <w:rsid w:val="00CE6220"/>
    <w:rsid w:val="00CF3DA8"/>
    <w:rsid w:val="00D14A2F"/>
    <w:rsid w:val="00D17C18"/>
    <w:rsid w:val="00D45D8F"/>
    <w:rsid w:val="00D7320F"/>
    <w:rsid w:val="00D8511F"/>
    <w:rsid w:val="00D9649A"/>
    <w:rsid w:val="00DA1035"/>
    <w:rsid w:val="00DC22DF"/>
    <w:rsid w:val="00DD2B09"/>
    <w:rsid w:val="00DF78EC"/>
    <w:rsid w:val="00E02CE1"/>
    <w:rsid w:val="00E045E0"/>
    <w:rsid w:val="00E10568"/>
    <w:rsid w:val="00E17867"/>
    <w:rsid w:val="00E231C9"/>
    <w:rsid w:val="00E47C09"/>
    <w:rsid w:val="00E55212"/>
    <w:rsid w:val="00E57124"/>
    <w:rsid w:val="00E60B96"/>
    <w:rsid w:val="00E71880"/>
    <w:rsid w:val="00E73249"/>
    <w:rsid w:val="00E74860"/>
    <w:rsid w:val="00E83BF3"/>
    <w:rsid w:val="00E84E46"/>
    <w:rsid w:val="00E862BF"/>
    <w:rsid w:val="00E87328"/>
    <w:rsid w:val="00E87B5E"/>
    <w:rsid w:val="00E90C25"/>
    <w:rsid w:val="00EA3BB0"/>
    <w:rsid w:val="00ED2445"/>
    <w:rsid w:val="00ED3BFA"/>
    <w:rsid w:val="00EE2D83"/>
    <w:rsid w:val="00F00E1E"/>
    <w:rsid w:val="00F06324"/>
    <w:rsid w:val="00F117E0"/>
    <w:rsid w:val="00F1560A"/>
    <w:rsid w:val="00F1560D"/>
    <w:rsid w:val="00F20617"/>
    <w:rsid w:val="00F25661"/>
    <w:rsid w:val="00F319EB"/>
    <w:rsid w:val="00F33020"/>
    <w:rsid w:val="00F67CA9"/>
    <w:rsid w:val="00F70096"/>
    <w:rsid w:val="00F816A1"/>
    <w:rsid w:val="00F87F44"/>
    <w:rsid w:val="00F91ED9"/>
    <w:rsid w:val="00FB4CEE"/>
    <w:rsid w:val="00FC139E"/>
    <w:rsid w:val="00FE5410"/>
    <w:rsid w:val="00FE7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A9F9B57-8C9A-499E-B40A-4B58556B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0B"/>
    <w:pPr>
      <w:ind w:left="720"/>
      <w:contextualSpacing/>
    </w:pPr>
  </w:style>
  <w:style w:type="paragraph" w:styleId="Header">
    <w:name w:val="header"/>
    <w:basedOn w:val="Normal"/>
    <w:link w:val="HeaderChar"/>
    <w:uiPriority w:val="99"/>
    <w:unhideWhenUsed/>
    <w:rsid w:val="00F91ED9"/>
    <w:pPr>
      <w:tabs>
        <w:tab w:val="center" w:pos="4320"/>
        <w:tab w:val="right" w:pos="8640"/>
      </w:tabs>
    </w:pPr>
  </w:style>
  <w:style w:type="character" w:customStyle="1" w:styleId="HeaderChar">
    <w:name w:val="Header Char"/>
    <w:basedOn w:val="DefaultParagraphFont"/>
    <w:link w:val="Header"/>
    <w:uiPriority w:val="99"/>
    <w:rsid w:val="00F91ED9"/>
  </w:style>
  <w:style w:type="character" w:styleId="PageNumber">
    <w:name w:val="page number"/>
    <w:basedOn w:val="DefaultParagraphFont"/>
    <w:uiPriority w:val="99"/>
    <w:semiHidden/>
    <w:unhideWhenUsed/>
    <w:rsid w:val="00F91ED9"/>
  </w:style>
  <w:style w:type="paragraph" w:styleId="BalloonText">
    <w:name w:val="Balloon Text"/>
    <w:basedOn w:val="Normal"/>
    <w:link w:val="BalloonTextChar"/>
    <w:uiPriority w:val="99"/>
    <w:semiHidden/>
    <w:unhideWhenUsed/>
    <w:rsid w:val="00947712"/>
    <w:rPr>
      <w:rFonts w:ascii="Tahoma" w:hAnsi="Tahoma" w:cs="Tahoma"/>
      <w:sz w:val="16"/>
      <w:szCs w:val="16"/>
    </w:rPr>
  </w:style>
  <w:style w:type="character" w:customStyle="1" w:styleId="BalloonTextChar">
    <w:name w:val="Balloon Text Char"/>
    <w:basedOn w:val="DefaultParagraphFont"/>
    <w:link w:val="BalloonText"/>
    <w:uiPriority w:val="99"/>
    <w:semiHidden/>
    <w:rsid w:val="00947712"/>
    <w:rPr>
      <w:rFonts w:ascii="Tahoma" w:hAnsi="Tahoma" w:cs="Tahoma"/>
      <w:sz w:val="16"/>
      <w:szCs w:val="16"/>
    </w:rPr>
  </w:style>
  <w:style w:type="paragraph" w:styleId="Footer">
    <w:name w:val="footer"/>
    <w:basedOn w:val="Normal"/>
    <w:link w:val="FooterChar"/>
    <w:uiPriority w:val="99"/>
    <w:unhideWhenUsed/>
    <w:rsid w:val="00947712"/>
    <w:pPr>
      <w:tabs>
        <w:tab w:val="center" w:pos="4680"/>
        <w:tab w:val="right" w:pos="9360"/>
      </w:tabs>
    </w:pPr>
  </w:style>
  <w:style w:type="character" w:customStyle="1" w:styleId="FooterChar">
    <w:name w:val="Footer Char"/>
    <w:basedOn w:val="DefaultParagraphFont"/>
    <w:link w:val="Footer"/>
    <w:uiPriority w:val="99"/>
    <w:rsid w:val="00947712"/>
  </w:style>
  <w:style w:type="paragraph" w:styleId="FootnoteText">
    <w:name w:val="footnote text"/>
    <w:basedOn w:val="Normal"/>
    <w:link w:val="FootnoteTextChar"/>
    <w:uiPriority w:val="99"/>
    <w:unhideWhenUsed/>
    <w:rsid w:val="00797DA9"/>
    <w:rPr>
      <w:sz w:val="20"/>
      <w:szCs w:val="20"/>
    </w:rPr>
  </w:style>
  <w:style w:type="character" w:customStyle="1" w:styleId="FootnoteTextChar">
    <w:name w:val="Footnote Text Char"/>
    <w:basedOn w:val="DefaultParagraphFont"/>
    <w:link w:val="FootnoteText"/>
    <w:uiPriority w:val="99"/>
    <w:rsid w:val="00797DA9"/>
    <w:rPr>
      <w:sz w:val="20"/>
      <w:szCs w:val="20"/>
    </w:rPr>
  </w:style>
  <w:style w:type="character" w:styleId="FootnoteReference">
    <w:name w:val="footnote reference"/>
    <w:basedOn w:val="DefaultParagraphFont"/>
    <w:uiPriority w:val="99"/>
    <w:unhideWhenUsed/>
    <w:rsid w:val="00797DA9"/>
    <w:rPr>
      <w:vertAlign w:val="superscript"/>
    </w:rPr>
  </w:style>
  <w:style w:type="paragraph" w:customStyle="1" w:styleId="AS-P0">
    <w:name w:val="AS-P(0)"/>
    <w:basedOn w:val="Normal"/>
    <w:link w:val="AS-P0Char"/>
    <w:qFormat/>
    <w:rsid w:val="00CD2FBD"/>
    <w:pPr>
      <w:tabs>
        <w:tab w:val="left" w:pos="567"/>
      </w:tabs>
      <w:jc w:val="both"/>
    </w:pPr>
    <w:rPr>
      <w:rFonts w:ascii="Times New Roman" w:eastAsia="Times New Roman" w:hAnsi="Times New Roman" w:cs="Times New Roman"/>
      <w:noProof/>
      <w:sz w:val="22"/>
      <w:szCs w:val="22"/>
      <w:lang w:eastAsia="en-GB"/>
    </w:rPr>
  </w:style>
  <w:style w:type="character" w:customStyle="1" w:styleId="AS-P0Char">
    <w:name w:val="AS-P(0) Char"/>
    <w:basedOn w:val="DefaultParagraphFont"/>
    <w:link w:val="AS-P0"/>
    <w:rsid w:val="00CD2FBD"/>
    <w:rPr>
      <w:rFonts w:ascii="Times New Roman" w:eastAsia="Times New Roman" w:hAnsi="Times New Roman" w:cs="Times New Roman"/>
      <w:noProof/>
      <w:sz w:val="22"/>
      <w:szCs w:val="22"/>
      <w:lang w:eastAsia="en-GB"/>
    </w:rPr>
  </w:style>
  <w:style w:type="paragraph" w:customStyle="1" w:styleId="Default">
    <w:name w:val="Default"/>
    <w:rsid w:val="00881580"/>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058">
      <w:bodyDiv w:val="1"/>
      <w:marLeft w:val="0"/>
      <w:marRight w:val="0"/>
      <w:marTop w:val="0"/>
      <w:marBottom w:val="0"/>
      <w:divBdr>
        <w:top w:val="none" w:sz="0" w:space="0" w:color="auto"/>
        <w:left w:val="none" w:sz="0" w:space="0" w:color="auto"/>
        <w:bottom w:val="none" w:sz="0" w:space="0" w:color="auto"/>
        <w:right w:val="none" w:sz="0" w:space="0" w:color="auto"/>
      </w:divBdr>
      <w:divsChild>
        <w:div w:id="970021047">
          <w:marLeft w:val="0"/>
          <w:marRight w:val="0"/>
          <w:marTop w:val="0"/>
          <w:marBottom w:val="0"/>
          <w:divBdr>
            <w:top w:val="none" w:sz="0" w:space="0" w:color="auto"/>
            <w:left w:val="none" w:sz="0" w:space="0" w:color="auto"/>
            <w:bottom w:val="none" w:sz="0" w:space="0" w:color="auto"/>
            <w:right w:val="none" w:sz="0" w:space="0" w:color="auto"/>
          </w:divBdr>
          <w:divsChild>
            <w:div w:id="1664158592">
              <w:marLeft w:val="-195"/>
              <w:marRight w:val="-195"/>
              <w:marTop w:val="0"/>
              <w:marBottom w:val="225"/>
              <w:divBdr>
                <w:top w:val="none" w:sz="0" w:space="0" w:color="auto"/>
                <w:left w:val="none" w:sz="0" w:space="0" w:color="auto"/>
                <w:bottom w:val="none" w:sz="0" w:space="0" w:color="auto"/>
                <w:right w:val="none" w:sz="0" w:space="0" w:color="auto"/>
              </w:divBdr>
              <w:divsChild>
                <w:div w:id="15166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2567">
      <w:bodyDiv w:val="1"/>
      <w:marLeft w:val="0"/>
      <w:marRight w:val="0"/>
      <w:marTop w:val="0"/>
      <w:marBottom w:val="0"/>
      <w:divBdr>
        <w:top w:val="none" w:sz="0" w:space="0" w:color="auto"/>
        <w:left w:val="none" w:sz="0" w:space="0" w:color="auto"/>
        <w:bottom w:val="none" w:sz="0" w:space="0" w:color="auto"/>
        <w:right w:val="none" w:sz="0" w:space="0" w:color="auto"/>
      </w:divBdr>
    </w:div>
    <w:div w:id="1809786225">
      <w:bodyDiv w:val="1"/>
      <w:marLeft w:val="0"/>
      <w:marRight w:val="0"/>
      <w:marTop w:val="0"/>
      <w:marBottom w:val="0"/>
      <w:divBdr>
        <w:top w:val="none" w:sz="0" w:space="0" w:color="auto"/>
        <w:left w:val="none" w:sz="0" w:space="0" w:color="auto"/>
        <w:bottom w:val="none" w:sz="0" w:space="0" w:color="auto"/>
        <w:right w:val="none" w:sz="0" w:space="0" w:color="auto"/>
      </w:divBdr>
    </w:div>
    <w:div w:id="1900049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2020-09-22T18:30:00+00:00</Judgment_x0020_Date>
    <Year xmlns="c1afb1bd-f2fb-40fd-9abb-aea55b4d7662">2020</Year>
  </documentManagement>
</p:properties>
</file>

<file path=customXml/itemProps1.xml><?xml version="1.0" encoding="utf-8"?>
<ds:datastoreItem xmlns:ds="http://schemas.openxmlformats.org/officeDocument/2006/customXml" ds:itemID="{3D345D44-D8C9-46F8-BF78-579B48884770}"/>
</file>

<file path=customXml/itemProps2.xml><?xml version="1.0" encoding="utf-8"?>
<ds:datastoreItem xmlns:ds="http://schemas.openxmlformats.org/officeDocument/2006/customXml" ds:itemID="{E47C3706-970E-4C64-A4F2-2EB4E8BCEB4C}"/>
</file>

<file path=customXml/itemProps3.xml><?xml version="1.0" encoding="utf-8"?>
<ds:datastoreItem xmlns:ds="http://schemas.openxmlformats.org/officeDocument/2006/customXml" ds:itemID="{EB042E88-06C7-4D08-81AC-ED8CE139CAD9}"/>
</file>

<file path=customXml/itemProps4.xml><?xml version="1.0" encoding="utf-8"?>
<ds:datastoreItem xmlns:ds="http://schemas.openxmlformats.org/officeDocument/2006/customXml" ds:itemID="{CAB3EAA2-68CC-4A9D-BD17-B0EACEB221EF}"/>
</file>

<file path=docProps/app.xml><?xml version="1.0" encoding="utf-8"?>
<Properties xmlns="http://schemas.openxmlformats.org/officeDocument/2006/extended-properties" xmlns:vt="http://schemas.openxmlformats.org/officeDocument/2006/docPropsVTypes">
  <Template>Normal</Template>
  <TotalTime>0</TotalTime>
  <Pages>9</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Dausab v NCS (HC-MD-CIV-MOT-GEN-2020-00236) [2020] NAHCMD 435 (23 September 2020)</dc:title>
  <dc:creator>Prisca Nandu</dc:creator>
  <cp:lastModifiedBy>Administrator</cp:lastModifiedBy>
  <cp:revision>2</cp:revision>
  <cp:lastPrinted>2019-05-03T13:58:00Z</cp:lastPrinted>
  <dcterms:created xsi:type="dcterms:W3CDTF">2020-09-24T12:30:00Z</dcterms:created>
  <dcterms:modified xsi:type="dcterms:W3CDTF">2020-09-24T12:30:00Z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