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F74D3" w14:textId="77777777" w:rsidR="006766F5" w:rsidRPr="000942A3" w:rsidRDefault="006766F5" w:rsidP="006766F5">
      <w:pPr>
        <w:tabs>
          <w:tab w:val="center" w:pos="4513"/>
          <w:tab w:val="right" w:pos="9027"/>
        </w:tabs>
        <w:spacing w:after="0" w:line="360" w:lineRule="auto"/>
        <w:jc w:val="center"/>
        <w:rPr>
          <w:rFonts w:ascii="Arial" w:hAnsi="Arial" w:cs="Arial"/>
          <w:b/>
          <w:sz w:val="24"/>
          <w:szCs w:val="24"/>
        </w:rPr>
      </w:pPr>
      <w:r w:rsidRPr="000942A3">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4CE3A63A" wp14:editId="546CE0ED">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68CD5C52" w14:textId="77777777" w:rsidR="006766F5" w:rsidRPr="00F36EA1" w:rsidRDefault="006766F5" w:rsidP="006766F5">
                            <w:pPr>
                              <w:tabs>
                                <w:tab w:val="center" w:pos="4513"/>
                                <w:tab w:val="right" w:pos="9027"/>
                              </w:tabs>
                              <w:spacing w:after="0" w:line="360" w:lineRule="auto"/>
                              <w:jc w:val="right"/>
                              <w:rPr>
                                <w:rFonts w:ascii="Arial" w:hAnsi="Arial" w:cs="Arial"/>
                              </w:rPr>
                            </w:pPr>
                            <w:r w:rsidRPr="00F36EA1">
                              <w:rPr>
                                <w:rFonts w:ascii="Arial" w:hAnsi="Arial" w:cs="Arial"/>
                              </w:rPr>
                              <w:t>NOT REPORTABLE</w:t>
                            </w:r>
                          </w:p>
                          <w:p w14:paraId="295B9DDE" w14:textId="77777777" w:rsidR="006766F5" w:rsidRPr="005713BA" w:rsidRDefault="006766F5" w:rsidP="006766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3A63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14:paraId="68CD5C52" w14:textId="77777777" w:rsidR="006766F5" w:rsidRPr="00F36EA1" w:rsidRDefault="006766F5" w:rsidP="006766F5">
                      <w:pPr>
                        <w:tabs>
                          <w:tab w:val="center" w:pos="4513"/>
                          <w:tab w:val="right" w:pos="9027"/>
                        </w:tabs>
                        <w:spacing w:after="0" w:line="360" w:lineRule="auto"/>
                        <w:jc w:val="right"/>
                        <w:rPr>
                          <w:rFonts w:ascii="Arial" w:hAnsi="Arial" w:cs="Arial"/>
                        </w:rPr>
                      </w:pPr>
                      <w:r w:rsidRPr="00F36EA1">
                        <w:rPr>
                          <w:rFonts w:ascii="Arial" w:hAnsi="Arial" w:cs="Arial"/>
                        </w:rPr>
                        <w:t>NOT REPORTABLE</w:t>
                      </w:r>
                    </w:p>
                    <w:p w14:paraId="295B9DDE" w14:textId="77777777" w:rsidR="006766F5" w:rsidRPr="005713BA" w:rsidRDefault="006766F5" w:rsidP="006766F5">
                      <w:pPr>
                        <w:jc w:val="center"/>
                      </w:pPr>
                    </w:p>
                  </w:txbxContent>
                </v:textbox>
              </v:shape>
            </w:pict>
          </mc:Fallback>
        </mc:AlternateContent>
      </w:r>
      <w:r w:rsidRPr="000942A3">
        <w:rPr>
          <w:rFonts w:ascii="Arial" w:hAnsi="Arial" w:cs="Arial"/>
          <w:b/>
          <w:sz w:val="24"/>
          <w:szCs w:val="24"/>
        </w:rPr>
        <w:t>REPUBLIC OF NAMIBIA</w:t>
      </w:r>
    </w:p>
    <w:p w14:paraId="59B1B118" w14:textId="77777777" w:rsidR="006766F5" w:rsidRPr="000942A3" w:rsidRDefault="006766F5" w:rsidP="006766F5">
      <w:pPr>
        <w:spacing w:after="0" w:line="360" w:lineRule="auto"/>
        <w:jc w:val="center"/>
        <w:rPr>
          <w:rFonts w:ascii="Arial" w:hAnsi="Arial" w:cs="Arial"/>
          <w:b/>
          <w:sz w:val="32"/>
          <w:szCs w:val="32"/>
        </w:rPr>
      </w:pPr>
      <w:r w:rsidRPr="000942A3">
        <w:rPr>
          <w:rFonts w:ascii="Arial" w:hAnsi="Arial" w:cs="Arial"/>
          <w:b/>
          <w:noProof/>
          <w:sz w:val="32"/>
          <w:szCs w:val="32"/>
          <w:lang w:eastAsia="en-ZA"/>
        </w:rPr>
        <w:drawing>
          <wp:inline distT="0" distB="0" distL="0" distR="0" wp14:anchorId="6FFDC67A" wp14:editId="75B4231D">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14:paraId="10E3DBE2" w14:textId="77777777" w:rsidR="006766F5" w:rsidRPr="000942A3" w:rsidRDefault="006766F5" w:rsidP="006766F5">
      <w:pPr>
        <w:spacing w:after="0" w:line="360" w:lineRule="auto"/>
        <w:jc w:val="center"/>
        <w:rPr>
          <w:rFonts w:ascii="Arial" w:hAnsi="Arial" w:cs="Arial"/>
          <w:b/>
          <w:sz w:val="24"/>
          <w:szCs w:val="24"/>
        </w:rPr>
      </w:pPr>
      <w:r w:rsidRPr="000942A3">
        <w:rPr>
          <w:rFonts w:ascii="Arial" w:hAnsi="Arial" w:cs="Arial"/>
          <w:b/>
          <w:sz w:val="24"/>
          <w:szCs w:val="24"/>
        </w:rPr>
        <w:t>HIGH COURT OF NAMIBIA MAIN DIVISION, WINDHOEK</w:t>
      </w:r>
    </w:p>
    <w:p w14:paraId="107731BD" w14:textId="77777777" w:rsidR="006766F5" w:rsidRPr="000942A3" w:rsidRDefault="006766F5" w:rsidP="006766F5">
      <w:pPr>
        <w:spacing w:after="0" w:line="360" w:lineRule="auto"/>
        <w:jc w:val="center"/>
        <w:rPr>
          <w:rFonts w:ascii="Arial" w:hAnsi="Arial" w:cs="Arial"/>
          <w:bCs/>
          <w:sz w:val="24"/>
          <w:szCs w:val="24"/>
        </w:rPr>
      </w:pPr>
    </w:p>
    <w:p w14:paraId="47BBE1D2" w14:textId="57B1B467" w:rsidR="006766F5" w:rsidRPr="000942A3" w:rsidRDefault="006766F5" w:rsidP="006766F5">
      <w:pPr>
        <w:spacing w:after="0" w:line="360" w:lineRule="auto"/>
        <w:jc w:val="center"/>
        <w:rPr>
          <w:rFonts w:ascii="Arial" w:hAnsi="Arial" w:cs="Arial"/>
          <w:b/>
          <w:sz w:val="24"/>
          <w:szCs w:val="24"/>
        </w:rPr>
      </w:pPr>
      <w:r w:rsidRPr="000942A3">
        <w:rPr>
          <w:rFonts w:ascii="Arial" w:hAnsi="Arial" w:cs="Arial"/>
          <w:b/>
          <w:sz w:val="24"/>
          <w:szCs w:val="24"/>
        </w:rPr>
        <w:t>JUDGMENT</w:t>
      </w:r>
      <w:r w:rsidR="005E0316">
        <w:rPr>
          <w:rFonts w:ascii="Arial" w:hAnsi="Arial" w:cs="Arial"/>
          <w:b/>
          <w:sz w:val="24"/>
          <w:szCs w:val="24"/>
        </w:rPr>
        <w:t xml:space="preserve"> </w:t>
      </w:r>
      <w:r w:rsidR="005E0316" w:rsidRPr="00CA2F22">
        <w:rPr>
          <w:rFonts w:ascii="Arial" w:hAnsi="Arial" w:cs="Arial"/>
          <w:b/>
          <w:sz w:val="24"/>
          <w:szCs w:val="24"/>
        </w:rPr>
        <w:t>REVIEW</w:t>
      </w:r>
    </w:p>
    <w:p w14:paraId="0DD31E0B" w14:textId="69BDE4E5" w:rsidR="006766F5" w:rsidRPr="000942A3" w:rsidRDefault="006766F5" w:rsidP="006766F5">
      <w:pPr>
        <w:tabs>
          <w:tab w:val="right" w:pos="9000"/>
        </w:tabs>
        <w:spacing w:after="0" w:line="360" w:lineRule="auto"/>
        <w:jc w:val="both"/>
        <w:rPr>
          <w:rFonts w:ascii="Arial" w:hAnsi="Arial" w:cs="Arial"/>
          <w:b/>
          <w:sz w:val="24"/>
          <w:szCs w:val="24"/>
        </w:rPr>
      </w:pPr>
      <w:r w:rsidRPr="000942A3">
        <w:rPr>
          <w:rFonts w:ascii="Arial" w:hAnsi="Arial" w:cs="Arial"/>
          <w:b/>
          <w:sz w:val="24"/>
          <w:szCs w:val="24"/>
        </w:rPr>
        <w:tab/>
      </w:r>
      <w:r w:rsidRPr="000942A3">
        <w:rPr>
          <w:rFonts w:ascii="Arial" w:hAnsi="Arial" w:cs="Arial"/>
          <w:sz w:val="24"/>
          <w:szCs w:val="24"/>
        </w:rPr>
        <w:t xml:space="preserve">Case no:   </w:t>
      </w:r>
      <w:r w:rsidRPr="000942A3">
        <w:rPr>
          <w:rFonts w:ascii="Arial" w:eastAsia="Calibri" w:hAnsi="Arial" w:cs="Arial"/>
          <w:spacing w:val="-3"/>
          <w:sz w:val="24"/>
          <w:szCs w:val="24"/>
          <w:lang w:val="en-GB"/>
        </w:rPr>
        <w:t xml:space="preserve"> </w:t>
      </w:r>
      <w:r w:rsidR="00CF6D9D" w:rsidRPr="000942A3">
        <w:rPr>
          <w:rFonts w:ascii="Arial" w:eastAsia="Calibri" w:hAnsi="Arial" w:cs="Arial"/>
          <w:b/>
          <w:spacing w:val="-3"/>
          <w:sz w:val="24"/>
          <w:szCs w:val="24"/>
        </w:rPr>
        <w:t xml:space="preserve">CR </w:t>
      </w:r>
      <w:r w:rsidR="006F0170">
        <w:rPr>
          <w:rFonts w:ascii="Arial" w:eastAsia="Calibri" w:hAnsi="Arial" w:cs="Arial"/>
          <w:b/>
          <w:spacing w:val="-3"/>
          <w:sz w:val="24"/>
          <w:szCs w:val="24"/>
        </w:rPr>
        <w:t>10</w:t>
      </w:r>
      <w:r w:rsidR="00CF6D9D" w:rsidRPr="006F0170">
        <w:rPr>
          <w:rFonts w:ascii="Arial" w:eastAsia="Calibri" w:hAnsi="Arial" w:cs="Arial"/>
          <w:b/>
          <w:spacing w:val="-3"/>
          <w:sz w:val="24"/>
          <w:szCs w:val="24"/>
        </w:rPr>
        <w:t xml:space="preserve"> /20</w:t>
      </w:r>
      <w:r w:rsidR="002862E8" w:rsidRPr="006F0170">
        <w:rPr>
          <w:rFonts w:ascii="Arial" w:eastAsia="Calibri" w:hAnsi="Arial" w:cs="Arial"/>
          <w:b/>
          <w:spacing w:val="-3"/>
          <w:sz w:val="24"/>
          <w:szCs w:val="24"/>
        </w:rPr>
        <w:t>20</w:t>
      </w:r>
    </w:p>
    <w:p w14:paraId="77343CEC" w14:textId="77777777" w:rsidR="006766F5" w:rsidRPr="000942A3" w:rsidRDefault="006766F5" w:rsidP="006766F5">
      <w:pPr>
        <w:spacing w:after="0" w:line="360" w:lineRule="auto"/>
        <w:jc w:val="both"/>
        <w:rPr>
          <w:rFonts w:ascii="Arial" w:hAnsi="Arial" w:cs="Arial"/>
          <w:sz w:val="24"/>
          <w:szCs w:val="24"/>
        </w:rPr>
      </w:pPr>
      <w:r w:rsidRPr="000942A3">
        <w:rPr>
          <w:rFonts w:ascii="Arial" w:hAnsi="Arial" w:cs="Arial"/>
          <w:sz w:val="24"/>
          <w:szCs w:val="24"/>
        </w:rPr>
        <w:t>In the matter between:</w:t>
      </w:r>
    </w:p>
    <w:p w14:paraId="2A121B07" w14:textId="77777777" w:rsidR="006766F5" w:rsidRPr="000942A3" w:rsidRDefault="006766F5" w:rsidP="006766F5">
      <w:pPr>
        <w:spacing w:after="0" w:line="360" w:lineRule="auto"/>
        <w:jc w:val="both"/>
        <w:rPr>
          <w:rFonts w:ascii="Arial" w:hAnsi="Arial" w:cs="Arial"/>
          <w:sz w:val="24"/>
          <w:szCs w:val="24"/>
        </w:rPr>
      </w:pPr>
    </w:p>
    <w:p w14:paraId="13A3A799" w14:textId="7AD6898C" w:rsidR="006766F5" w:rsidRPr="000942A3" w:rsidRDefault="00CF6D9D" w:rsidP="006766F5">
      <w:pPr>
        <w:spacing w:after="0" w:line="360" w:lineRule="auto"/>
        <w:jc w:val="both"/>
        <w:rPr>
          <w:rFonts w:ascii="Arial" w:eastAsia="Times New Roman" w:hAnsi="Arial" w:cs="Arial"/>
          <w:b/>
          <w:sz w:val="24"/>
          <w:szCs w:val="24"/>
          <w:lang w:val="en-GB"/>
        </w:rPr>
      </w:pPr>
      <w:r w:rsidRPr="000942A3">
        <w:rPr>
          <w:rFonts w:ascii="Arial" w:eastAsia="Times New Roman" w:hAnsi="Arial" w:cs="Arial"/>
          <w:b/>
          <w:sz w:val="24"/>
          <w:szCs w:val="24"/>
          <w:lang w:val="en-GB"/>
        </w:rPr>
        <w:t xml:space="preserve">THE STATE </w:t>
      </w:r>
    </w:p>
    <w:p w14:paraId="1367C529" w14:textId="77777777" w:rsidR="00CF6D9D" w:rsidRPr="000942A3" w:rsidRDefault="00CF6D9D" w:rsidP="006766F5">
      <w:pPr>
        <w:spacing w:after="0" w:line="360" w:lineRule="auto"/>
        <w:jc w:val="both"/>
        <w:rPr>
          <w:rFonts w:ascii="Arial" w:eastAsia="Times New Roman" w:hAnsi="Arial" w:cs="Arial"/>
          <w:sz w:val="24"/>
          <w:szCs w:val="24"/>
          <w:lang w:val="en-GB"/>
        </w:rPr>
      </w:pPr>
    </w:p>
    <w:p w14:paraId="08615A13" w14:textId="360E410B" w:rsidR="006766F5" w:rsidRDefault="00262EEF" w:rsidP="006766F5">
      <w:pPr>
        <w:spacing w:after="0" w:line="360" w:lineRule="auto"/>
        <w:jc w:val="both"/>
        <w:rPr>
          <w:rFonts w:ascii="Arial" w:eastAsia="Times New Roman" w:hAnsi="Arial" w:cs="Arial"/>
          <w:sz w:val="24"/>
          <w:szCs w:val="24"/>
          <w:lang w:val="en-GB"/>
        </w:rPr>
      </w:pPr>
      <w:r w:rsidRPr="000942A3">
        <w:rPr>
          <w:rFonts w:ascii="Arial" w:eastAsia="Times New Roman" w:hAnsi="Arial" w:cs="Arial"/>
          <w:sz w:val="24"/>
          <w:szCs w:val="24"/>
          <w:lang w:val="en-GB"/>
        </w:rPr>
        <w:t>A</w:t>
      </w:r>
      <w:r w:rsidR="006766F5" w:rsidRPr="000942A3">
        <w:rPr>
          <w:rFonts w:ascii="Arial" w:eastAsia="Times New Roman" w:hAnsi="Arial" w:cs="Arial"/>
          <w:sz w:val="24"/>
          <w:szCs w:val="24"/>
          <w:lang w:val="en-GB"/>
        </w:rPr>
        <w:t>nd</w:t>
      </w:r>
    </w:p>
    <w:p w14:paraId="06029BFA" w14:textId="77777777" w:rsidR="00262EEF" w:rsidRPr="000942A3" w:rsidRDefault="00262EEF" w:rsidP="006766F5">
      <w:pPr>
        <w:spacing w:after="0" w:line="360" w:lineRule="auto"/>
        <w:jc w:val="both"/>
        <w:rPr>
          <w:rFonts w:ascii="Arial" w:eastAsia="Times New Roman" w:hAnsi="Arial" w:cs="Arial"/>
          <w:sz w:val="24"/>
          <w:szCs w:val="24"/>
          <w:lang w:val="en-GB"/>
        </w:rPr>
      </w:pPr>
    </w:p>
    <w:p w14:paraId="6F535CE8" w14:textId="06CF3A24" w:rsidR="00CF6D9D" w:rsidRDefault="002862E8" w:rsidP="006766F5">
      <w:pPr>
        <w:tabs>
          <w:tab w:val="right" w:pos="9000"/>
        </w:tabs>
        <w:spacing w:after="0" w:line="480" w:lineRule="auto"/>
        <w:jc w:val="both"/>
        <w:rPr>
          <w:rFonts w:ascii="Arial" w:eastAsia="Times New Roman" w:hAnsi="Arial" w:cs="Arial"/>
          <w:b/>
          <w:sz w:val="24"/>
          <w:szCs w:val="24"/>
          <w:lang w:val="en-GB"/>
        </w:rPr>
      </w:pPr>
      <w:r w:rsidRPr="000942A3">
        <w:rPr>
          <w:rFonts w:ascii="Arial" w:eastAsia="Times New Roman" w:hAnsi="Arial" w:cs="Arial"/>
          <w:b/>
          <w:sz w:val="24"/>
          <w:szCs w:val="24"/>
          <w:lang w:val="en-US"/>
        </w:rPr>
        <w:t xml:space="preserve">CONRAD NDIVAOVE </w:t>
      </w:r>
      <w:r w:rsidR="00CF6D9D" w:rsidRPr="000942A3">
        <w:rPr>
          <w:rFonts w:ascii="Arial" w:eastAsia="Times New Roman" w:hAnsi="Arial" w:cs="Arial"/>
          <w:b/>
          <w:sz w:val="24"/>
          <w:szCs w:val="24"/>
          <w:lang w:val="en-GB"/>
        </w:rPr>
        <w:t>ZAUISOMWE</w:t>
      </w:r>
    </w:p>
    <w:p w14:paraId="1A30EEC5" w14:textId="77777777" w:rsidR="00D56183" w:rsidRPr="000942A3" w:rsidRDefault="00D56183" w:rsidP="006766F5">
      <w:pPr>
        <w:tabs>
          <w:tab w:val="right" w:pos="9000"/>
        </w:tabs>
        <w:spacing w:after="0" w:line="480" w:lineRule="auto"/>
        <w:jc w:val="both"/>
        <w:rPr>
          <w:rFonts w:ascii="Arial" w:eastAsia="Times New Roman" w:hAnsi="Arial" w:cs="Arial"/>
          <w:b/>
          <w:sz w:val="24"/>
          <w:szCs w:val="24"/>
          <w:lang w:val="en-GB"/>
        </w:rPr>
      </w:pPr>
    </w:p>
    <w:p w14:paraId="509B05CF" w14:textId="30733DA9" w:rsidR="006766F5" w:rsidRPr="00CA2F22" w:rsidRDefault="00CF6D9D" w:rsidP="00CF6D9D">
      <w:pPr>
        <w:tabs>
          <w:tab w:val="right" w:pos="9000"/>
        </w:tabs>
        <w:spacing w:after="0" w:line="480" w:lineRule="auto"/>
        <w:jc w:val="center"/>
        <w:rPr>
          <w:rFonts w:ascii="Arial" w:hAnsi="Arial" w:cs="Arial"/>
          <w:sz w:val="24"/>
          <w:szCs w:val="24"/>
        </w:rPr>
      </w:pPr>
      <w:r w:rsidRPr="00CA2F22">
        <w:rPr>
          <w:rFonts w:ascii="Arial" w:eastAsia="Times New Roman" w:hAnsi="Arial" w:cs="Arial"/>
          <w:sz w:val="24"/>
          <w:szCs w:val="24"/>
          <w:lang w:val="en-GB"/>
        </w:rPr>
        <w:t>HIG</w:t>
      </w:r>
      <w:r w:rsidR="002862E8" w:rsidRPr="00CA2F22">
        <w:rPr>
          <w:rFonts w:ascii="Arial" w:eastAsia="Times New Roman" w:hAnsi="Arial" w:cs="Arial"/>
          <w:sz w:val="24"/>
          <w:szCs w:val="24"/>
          <w:lang w:val="en-GB"/>
        </w:rPr>
        <w:t xml:space="preserve">H COURT </w:t>
      </w:r>
      <w:r w:rsidR="005E0316" w:rsidRPr="00CA2F22">
        <w:rPr>
          <w:rFonts w:ascii="Arial" w:eastAsia="Times New Roman" w:hAnsi="Arial" w:cs="Arial"/>
          <w:sz w:val="24"/>
          <w:szCs w:val="24"/>
          <w:lang w:val="en-GB"/>
        </w:rPr>
        <w:t xml:space="preserve">MAIN DIVISION REF </w:t>
      </w:r>
      <w:r w:rsidR="002862E8" w:rsidRPr="00CA2F22">
        <w:rPr>
          <w:rFonts w:ascii="Arial" w:eastAsia="Times New Roman" w:hAnsi="Arial" w:cs="Arial"/>
          <w:sz w:val="24"/>
          <w:szCs w:val="24"/>
          <w:lang w:val="en-GB"/>
        </w:rPr>
        <w:t>NO. 2301/2019</w:t>
      </w:r>
    </w:p>
    <w:p w14:paraId="663AC1F2" w14:textId="77777777" w:rsidR="006766F5" w:rsidRPr="00CA2F22" w:rsidRDefault="006766F5" w:rsidP="006766F5">
      <w:pPr>
        <w:spacing w:after="0" w:line="360" w:lineRule="auto"/>
        <w:jc w:val="both"/>
        <w:rPr>
          <w:rFonts w:ascii="Arial" w:eastAsia="Times New Roman" w:hAnsi="Arial" w:cs="Arial"/>
          <w:sz w:val="24"/>
          <w:szCs w:val="24"/>
          <w:lang w:val="en-GB"/>
        </w:rPr>
      </w:pPr>
    </w:p>
    <w:p w14:paraId="6B130297" w14:textId="53AF5FEA" w:rsidR="006766F5" w:rsidRPr="00CA2F22" w:rsidRDefault="002862E8" w:rsidP="00CF6D9D">
      <w:pPr>
        <w:spacing w:after="0" w:line="360" w:lineRule="auto"/>
        <w:jc w:val="both"/>
        <w:rPr>
          <w:rFonts w:ascii="Arial" w:hAnsi="Arial" w:cs="Arial"/>
          <w:sz w:val="24"/>
          <w:szCs w:val="24"/>
        </w:rPr>
      </w:pPr>
      <w:r w:rsidRPr="00CA2F22">
        <w:rPr>
          <w:rFonts w:ascii="Arial" w:hAnsi="Arial" w:cs="Arial"/>
          <w:b/>
          <w:sz w:val="24"/>
          <w:szCs w:val="24"/>
        </w:rPr>
        <w:t>Neutral citation:</w:t>
      </w:r>
      <w:r w:rsidR="005C59A2" w:rsidRPr="00CA2F22">
        <w:rPr>
          <w:rFonts w:ascii="Arial" w:hAnsi="Arial" w:cs="Arial"/>
          <w:sz w:val="24"/>
          <w:szCs w:val="24"/>
        </w:rPr>
        <w:t xml:space="preserve"> </w:t>
      </w:r>
      <w:r w:rsidR="005C59A2" w:rsidRPr="00CA2F22">
        <w:rPr>
          <w:rFonts w:ascii="Arial" w:hAnsi="Arial" w:cs="Arial"/>
          <w:i/>
          <w:sz w:val="24"/>
          <w:szCs w:val="24"/>
        </w:rPr>
        <w:t>S v</w:t>
      </w:r>
      <w:r w:rsidRPr="00CA2F22">
        <w:rPr>
          <w:rFonts w:ascii="Arial" w:hAnsi="Arial" w:cs="Arial"/>
          <w:i/>
          <w:sz w:val="24"/>
          <w:szCs w:val="24"/>
        </w:rPr>
        <w:t xml:space="preserve"> </w:t>
      </w:r>
      <w:proofErr w:type="spellStart"/>
      <w:r w:rsidRPr="00CA2F22">
        <w:rPr>
          <w:rFonts w:ascii="Arial" w:hAnsi="Arial" w:cs="Arial"/>
          <w:i/>
          <w:sz w:val="24"/>
          <w:szCs w:val="24"/>
        </w:rPr>
        <w:t>Zauisomwe</w:t>
      </w:r>
      <w:proofErr w:type="spellEnd"/>
      <w:r w:rsidRPr="00CA2F22">
        <w:rPr>
          <w:rFonts w:ascii="Arial" w:hAnsi="Arial" w:cs="Arial"/>
          <w:i/>
          <w:sz w:val="24"/>
          <w:szCs w:val="24"/>
        </w:rPr>
        <w:t xml:space="preserve"> </w:t>
      </w:r>
      <w:r w:rsidRPr="00CA2F22">
        <w:rPr>
          <w:rFonts w:ascii="Arial" w:hAnsi="Arial" w:cs="Arial"/>
          <w:sz w:val="24"/>
          <w:szCs w:val="24"/>
        </w:rPr>
        <w:t xml:space="preserve">(CR </w:t>
      </w:r>
      <w:r w:rsidR="006F0170">
        <w:rPr>
          <w:rFonts w:ascii="Arial" w:hAnsi="Arial" w:cs="Arial"/>
          <w:sz w:val="24"/>
          <w:szCs w:val="24"/>
        </w:rPr>
        <w:t>10/</w:t>
      </w:r>
      <w:r w:rsidRPr="00CA2F22">
        <w:rPr>
          <w:rFonts w:ascii="Arial" w:hAnsi="Arial" w:cs="Arial"/>
          <w:sz w:val="24"/>
          <w:szCs w:val="24"/>
        </w:rPr>
        <w:t xml:space="preserve">2020 </w:t>
      </w:r>
      <w:r w:rsidR="006F0170" w:rsidRPr="00CA2F22">
        <w:rPr>
          <w:rFonts w:ascii="Arial" w:hAnsi="Arial" w:cs="Arial"/>
          <w:sz w:val="24"/>
          <w:szCs w:val="24"/>
        </w:rPr>
        <w:t>[2020</w:t>
      </w:r>
      <w:r w:rsidRPr="00CA2F22">
        <w:rPr>
          <w:rFonts w:ascii="Arial" w:hAnsi="Arial" w:cs="Arial"/>
          <w:sz w:val="24"/>
          <w:szCs w:val="24"/>
        </w:rPr>
        <w:t xml:space="preserve">] NAHCMD </w:t>
      </w:r>
      <w:r w:rsidR="006F0170">
        <w:rPr>
          <w:rFonts w:ascii="Arial" w:hAnsi="Arial" w:cs="Arial"/>
          <w:sz w:val="24"/>
          <w:szCs w:val="24"/>
        </w:rPr>
        <w:t xml:space="preserve">44 </w:t>
      </w:r>
      <w:r w:rsidR="006F0170" w:rsidRPr="00CA2F22">
        <w:rPr>
          <w:rFonts w:ascii="Arial" w:hAnsi="Arial" w:cs="Arial"/>
          <w:sz w:val="24"/>
          <w:szCs w:val="24"/>
        </w:rPr>
        <w:t>(11</w:t>
      </w:r>
      <w:r w:rsidR="000D7A57">
        <w:rPr>
          <w:rFonts w:ascii="Arial" w:hAnsi="Arial" w:cs="Arial"/>
          <w:sz w:val="24"/>
          <w:szCs w:val="24"/>
        </w:rPr>
        <w:t xml:space="preserve"> </w:t>
      </w:r>
      <w:r w:rsidRPr="00CA2F22">
        <w:rPr>
          <w:rFonts w:ascii="Arial" w:hAnsi="Arial" w:cs="Arial"/>
          <w:sz w:val="24"/>
          <w:szCs w:val="24"/>
        </w:rPr>
        <w:t>February 2020)</w:t>
      </w:r>
    </w:p>
    <w:p w14:paraId="04963EA9" w14:textId="77777777" w:rsidR="002862E8" w:rsidRPr="000942A3" w:rsidRDefault="002862E8" w:rsidP="00CF6D9D">
      <w:pPr>
        <w:spacing w:after="0" w:line="360" w:lineRule="auto"/>
        <w:jc w:val="both"/>
        <w:rPr>
          <w:rFonts w:ascii="Arial" w:hAnsi="Arial" w:cs="Arial"/>
          <w:sz w:val="24"/>
          <w:szCs w:val="24"/>
        </w:rPr>
      </w:pPr>
    </w:p>
    <w:p w14:paraId="597B1E20" w14:textId="4ED018D6" w:rsidR="006766F5" w:rsidRPr="000942A3" w:rsidRDefault="006766F5" w:rsidP="006766F5">
      <w:pPr>
        <w:spacing w:after="0" w:line="360" w:lineRule="auto"/>
        <w:ind w:left="1440" w:hanging="1440"/>
        <w:jc w:val="both"/>
        <w:rPr>
          <w:rFonts w:ascii="Arial" w:hAnsi="Arial" w:cs="Arial"/>
          <w:sz w:val="24"/>
          <w:szCs w:val="24"/>
        </w:rPr>
      </w:pPr>
      <w:r w:rsidRPr="000942A3">
        <w:rPr>
          <w:rFonts w:ascii="Arial" w:hAnsi="Arial" w:cs="Arial"/>
          <w:b/>
          <w:sz w:val="24"/>
          <w:szCs w:val="24"/>
        </w:rPr>
        <w:t>Coram:</w:t>
      </w:r>
      <w:r w:rsidR="002C0750" w:rsidRPr="000942A3">
        <w:rPr>
          <w:rFonts w:ascii="Arial" w:hAnsi="Arial" w:cs="Arial"/>
          <w:sz w:val="24"/>
          <w:szCs w:val="24"/>
        </w:rPr>
        <w:tab/>
        <w:t>CLAASEN</w:t>
      </w:r>
      <w:r w:rsidR="00D56183">
        <w:rPr>
          <w:rFonts w:ascii="Arial" w:hAnsi="Arial" w:cs="Arial"/>
          <w:sz w:val="24"/>
          <w:szCs w:val="24"/>
        </w:rPr>
        <w:t>,</w:t>
      </w:r>
      <w:r w:rsidR="00CF6D9D" w:rsidRPr="000942A3">
        <w:rPr>
          <w:rFonts w:ascii="Arial" w:hAnsi="Arial" w:cs="Arial"/>
          <w:sz w:val="24"/>
          <w:szCs w:val="24"/>
        </w:rPr>
        <w:t xml:space="preserve"> </w:t>
      </w:r>
      <w:r w:rsidRPr="000942A3">
        <w:rPr>
          <w:rFonts w:ascii="Arial" w:hAnsi="Arial" w:cs="Arial"/>
          <w:sz w:val="24"/>
          <w:szCs w:val="24"/>
        </w:rPr>
        <w:t>J</w:t>
      </w:r>
      <w:r w:rsidR="00850DED" w:rsidRPr="000942A3">
        <w:rPr>
          <w:rFonts w:ascii="Arial" w:hAnsi="Arial" w:cs="Arial"/>
          <w:sz w:val="24"/>
          <w:szCs w:val="24"/>
        </w:rPr>
        <w:t xml:space="preserve"> and UNENGU</w:t>
      </w:r>
      <w:r w:rsidR="00D56183">
        <w:rPr>
          <w:rFonts w:ascii="Arial" w:hAnsi="Arial" w:cs="Arial"/>
          <w:sz w:val="24"/>
          <w:szCs w:val="24"/>
        </w:rPr>
        <w:t>,</w:t>
      </w:r>
      <w:r w:rsidR="00850DED" w:rsidRPr="000942A3">
        <w:rPr>
          <w:rFonts w:ascii="Arial" w:hAnsi="Arial" w:cs="Arial"/>
          <w:sz w:val="24"/>
          <w:szCs w:val="24"/>
        </w:rPr>
        <w:t xml:space="preserve"> AJ</w:t>
      </w:r>
    </w:p>
    <w:p w14:paraId="0F02750E" w14:textId="0B09D556" w:rsidR="006766F5" w:rsidRPr="000942A3" w:rsidRDefault="006766F5" w:rsidP="006766F5">
      <w:pPr>
        <w:spacing w:after="0" w:line="360" w:lineRule="auto"/>
        <w:jc w:val="both"/>
        <w:rPr>
          <w:rFonts w:ascii="Arial" w:hAnsi="Arial" w:cs="Arial"/>
          <w:b/>
          <w:sz w:val="24"/>
          <w:szCs w:val="24"/>
        </w:rPr>
      </w:pPr>
      <w:r w:rsidRPr="000942A3">
        <w:rPr>
          <w:rFonts w:ascii="Arial" w:hAnsi="Arial" w:cs="Arial"/>
          <w:b/>
          <w:bCs/>
          <w:sz w:val="24"/>
          <w:szCs w:val="24"/>
        </w:rPr>
        <w:t>Delivered</w:t>
      </w:r>
      <w:r w:rsidR="00EC2656">
        <w:rPr>
          <w:rFonts w:ascii="Arial" w:hAnsi="Arial" w:cs="Arial"/>
          <w:sz w:val="24"/>
          <w:szCs w:val="24"/>
        </w:rPr>
        <w:t>:</w:t>
      </w:r>
      <w:r w:rsidR="00EC2656">
        <w:rPr>
          <w:rFonts w:ascii="Arial" w:hAnsi="Arial" w:cs="Arial"/>
          <w:sz w:val="24"/>
          <w:szCs w:val="24"/>
        </w:rPr>
        <w:tab/>
      </w:r>
      <w:r w:rsidR="000D7A57">
        <w:rPr>
          <w:rFonts w:ascii="Arial" w:hAnsi="Arial" w:cs="Arial"/>
          <w:sz w:val="24"/>
          <w:szCs w:val="24"/>
        </w:rPr>
        <w:t xml:space="preserve">11 </w:t>
      </w:r>
      <w:r w:rsidR="00A515D0" w:rsidRPr="000942A3">
        <w:rPr>
          <w:rFonts w:ascii="Arial" w:hAnsi="Arial" w:cs="Arial"/>
          <w:sz w:val="24"/>
          <w:szCs w:val="24"/>
        </w:rPr>
        <w:t>February 2020</w:t>
      </w:r>
    </w:p>
    <w:p w14:paraId="6C514BC3" w14:textId="77777777" w:rsidR="006766F5" w:rsidRPr="000942A3" w:rsidRDefault="006766F5" w:rsidP="006766F5">
      <w:pPr>
        <w:spacing w:after="0" w:line="360" w:lineRule="auto"/>
        <w:jc w:val="both"/>
        <w:rPr>
          <w:rFonts w:ascii="Arial" w:hAnsi="Arial" w:cs="Arial"/>
          <w:sz w:val="24"/>
          <w:szCs w:val="24"/>
        </w:rPr>
      </w:pPr>
    </w:p>
    <w:p w14:paraId="24067519" w14:textId="171DB327" w:rsidR="00850DED" w:rsidRPr="000942A3" w:rsidRDefault="006766F5" w:rsidP="006766F5">
      <w:pPr>
        <w:spacing w:line="360" w:lineRule="auto"/>
        <w:jc w:val="both"/>
        <w:rPr>
          <w:rFonts w:ascii="Arial" w:hAnsi="Arial" w:cs="Arial"/>
          <w:sz w:val="24"/>
          <w:szCs w:val="24"/>
          <w:lang w:val="en-GB"/>
        </w:rPr>
      </w:pPr>
      <w:proofErr w:type="spellStart"/>
      <w:r w:rsidRPr="000942A3">
        <w:rPr>
          <w:rFonts w:ascii="Arial" w:hAnsi="Arial" w:cs="Arial"/>
          <w:b/>
          <w:sz w:val="24"/>
          <w:szCs w:val="24"/>
        </w:rPr>
        <w:t>Flynote</w:t>
      </w:r>
      <w:proofErr w:type="spellEnd"/>
      <w:r w:rsidR="00D56183">
        <w:rPr>
          <w:rFonts w:ascii="Arial" w:hAnsi="Arial" w:cs="Arial"/>
          <w:sz w:val="24"/>
          <w:szCs w:val="24"/>
        </w:rPr>
        <w:t>:</w:t>
      </w:r>
      <w:r w:rsidR="00D56183">
        <w:rPr>
          <w:rFonts w:ascii="Arial" w:hAnsi="Arial" w:cs="Arial"/>
          <w:sz w:val="24"/>
          <w:szCs w:val="24"/>
        </w:rPr>
        <w:tab/>
      </w:r>
      <w:r w:rsidR="00E4226D" w:rsidRPr="000942A3">
        <w:rPr>
          <w:rFonts w:ascii="Arial" w:hAnsi="Arial" w:cs="Arial"/>
          <w:sz w:val="24"/>
          <w:szCs w:val="24"/>
        </w:rPr>
        <w:t xml:space="preserve">Criminal </w:t>
      </w:r>
      <w:r w:rsidRPr="000942A3">
        <w:rPr>
          <w:rFonts w:ascii="Arial" w:hAnsi="Arial" w:cs="Arial"/>
          <w:sz w:val="24"/>
          <w:szCs w:val="24"/>
        </w:rPr>
        <w:t>Pr</w:t>
      </w:r>
      <w:r w:rsidR="00E4226D" w:rsidRPr="000942A3">
        <w:rPr>
          <w:rFonts w:ascii="Arial" w:hAnsi="Arial" w:cs="Arial"/>
          <w:sz w:val="24"/>
          <w:szCs w:val="24"/>
        </w:rPr>
        <w:t>ocedure</w:t>
      </w:r>
      <w:r w:rsidR="00850DED" w:rsidRPr="000942A3">
        <w:rPr>
          <w:rFonts w:ascii="Arial" w:hAnsi="Arial" w:cs="Arial"/>
          <w:sz w:val="24"/>
          <w:szCs w:val="24"/>
        </w:rPr>
        <w:t xml:space="preserve"> </w:t>
      </w:r>
      <w:r w:rsidRPr="000942A3">
        <w:rPr>
          <w:rFonts w:ascii="Arial" w:hAnsi="Arial" w:cs="Arial"/>
          <w:sz w:val="24"/>
          <w:szCs w:val="24"/>
        </w:rPr>
        <w:t xml:space="preserve">– </w:t>
      </w:r>
      <w:r w:rsidR="00E4226D" w:rsidRPr="000942A3">
        <w:rPr>
          <w:rFonts w:ascii="Arial" w:hAnsi="Arial" w:cs="Arial"/>
          <w:sz w:val="24"/>
          <w:szCs w:val="24"/>
        </w:rPr>
        <w:t>Guilty Plea</w:t>
      </w:r>
      <w:r w:rsidR="00F72EBB" w:rsidRPr="000942A3">
        <w:rPr>
          <w:rFonts w:ascii="Arial" w:hAnsi="Arial" w:cs="Arial"/>
          <w:sz w:val="24"/>
          <w:szCs w:val="24"/>
        </w:rPr>
        <w:t xml:space="preserve"> – </w:t>
      </w:r>
      <w:r w:rsidR="00E4226D" w:rsidRPr="000942A3">
        <w:rPr>
          <w:rFonts w:ascii="Arial" w:hAnsi="Arial" w:cs="Arial"/>
          <w:sz w:val="24"/>
          <w:szCs w:val="24"/>
        </w:rPr>
        <w:t xml:space="preserve">Section 112(1)(a) of the Criminal Procedure Act as amended </w:t>
      </w:r>
      <w:r w:rsidRPr="000942A3">
        <w:rPr>
          <w:rFonts w:ascii="Arial" w:hAnsi="Arial" w:cs="Arial"/>
          <w:sz w:val="24"/>
          <w:szCs w:val="24"/>
        </w:rPr>
        <w:t>–</w:t>
      </w:r>
      <w:r w:rsidR="00F72EBB" w:rsidRPr="000942A3">
        <w:rPr>
          <w:rFonts w:ascii="Arial" w:hAnsi="Arial" w:cs="Arial"/>
          <w:sz w:val="24"/>
          <w:szCs w:val="24"/>
        </w:rPr>
        <w:t xml:space="preserve"> </w:t>
      </w:r>
      <w:r w:rsidR="00A515D0" w:rsidRPr="000942A3">
        <w:rPr>
          <w:rFonts w:ascii="Arial" w:hAnsi="Arial" w:cs="Arial"/>
          <w:sz w:val="24"/>
          <w:szCs w:val="24"/>
          <w:lang w:val="en-GB"/>
        </w:rPr>
        <w:t>Increase in</w:t>
      </w:r>
      <w:r w:rsidR="00E4226D" w:rsidRPr="000942A3">
        <w:rPr>
          <w:rFonts w:ascii="Arial" w:hAnsi="Arial" w:cs="Arial"/>
          <w:sz w:val="24"/>
          <w:szCs w:val="24"/>
          <w:lang w:val="en-GB"/>
        </w:rPr>
        <w:t xml:space="preserve"> the monetary limit to fine not exceeding </w:t>
      </w:r>
      <w:r w:rsidR="00CF7BF0" w:rsidRPr="000942A3">
        <w:rPr>
          <w:rFonts w:ascii="Arial" w:hAnsi="Arial" w:cs="Arial"/>
          <w:sz w:val="24"/>
          <w:szCs w:val="24"/>
          <w:lang w:val="en-GB"/>
        </w:rPr>
        <w:br/>
      </w:r>
      <w:r w:rsidR="00E4226D" w:rsidRPr="000942A3">
        <w:rPr>
          <w:rFonts w:ascii="Arial" w:hAnsi="Arial" w:cs="Arial"/>
          <w:sz w:val="24"/>
          <w:szCs w:val="24"/>
          <w:lang w:val="en-GB"/>
        </w:rPr>
        <w:t xml:space="preserve">N$ 6 000.00 </w:t>
      </w:r>
      <w:r w:rsidR="00A515D0" w:rsidRPr="000942A3">
        <w:rPr>
          <w:rFonts w:ascii="Arial" w:hAnsi="Arial" w:cs="Arial"/>
          <w:sz w:val="24"/>
          <w:szCs w:val="24"/>
          <w:lang w:val="en-GB"/>
        </w:rPr>
        <w:t xml:space="preserve">did not alter </w:t>
      </w:r>
      <w:r w:rsidR="00850DED" w:rsidRPr="000942A3">
        <w:rPr>
          <w:rFonts w:ascii="Arial" w:hAnsi="Arial" w:cs="Arial"/>
          <w:sz w:val="24"/>
          <w:szCs w:val="24"/>
          <w:lang w:val="en-GB"/>
        </w:rPr>
        <w:t xml:space="preserve">the basic </w:t>
      </w:r>
      <w:r w:rsidR="00E4226D" w:rsidRPr="000942A3">
        <w:rPr>
          <w:rFonts w:ascii="Arial" w:hAnsi="Arial" w:cs="Arial"/>
          <w:sz w:val="24"/>
          <w:szCs w:val="24"/>
          <w:lang w:val="en-GB"/>
        </w:rPr>
        <w:t xml:space="preserve">principle </w:t>
      </w:r>
      <w:r w:rsidR="00850DED" w:rsidRPr="000942A3">
        <w:rPr>
          <w:rFonts w:ascii="Arial" w:hAnsi="Arial" w:cs="Arial"/>
          <w:sz w:val="24"/>
          <w:szCs w:val="24"/>
          <w:lang w:val="en-GB"/>
        </w:rPr>
        <w:t xml:space="preserve">that the section is reserved for minor offenses </w:t>
      </w:r>
      <w:r w:rsidR="00850DED" w:rsidRPr="000942A3">
        <w:rPr>
          <w:rFonts w:ascii="Arial" w:hAnsi="Arial" w:cs="Arial"/>
          <w:sz w:val="24"/>
          <w:szCs w:val="24"/>
        </w:rPr>
        <w:t>– A lengthy term of imprisonment term irreconcilable with nature of the provision.</w:t>
      </w:r>
    </w:p>
    <w:p w14:paraId="52C00CD1" w14:textId="77777777" w:rsidR="00C356AF" w:rsidRDefault="00C356AF">
      <w:pPr>
        <w:rPr>
          <w:rFonts w:ascii="Arial" w:hAnsi="Arial" w:cs="Arial"/>
          <w:b/>
          <w:sz w:val="24"/>
          <w:szCs w:val="24"/>
        </w:rPr>
      </w:pPr>
      <w:r>
        <w:rPr>
          <w:rFonts w:ascii="Arial" w:hAnsi="Arial" w:cs="Arial"/>
          <w:b/>
          <w:sz w:val="24"/>
          <w:szCs w:val="24"/>
        </w:rPr>
        <w:br w:type="page"/>
      </w:r>
    </w:p>
    <w:p w14:paraId="7D6163E8" w14:textId="696E97BD" w:rsidR="00ED68F3" w:rsidRPr="000942A3" w:rsidRDefault="006766F5" w:rsidP="006766F5">
      <w:pPr>
        <w:spacing w:after="0" w:line="360" w:lineRule="auto"/>
        <w:jc w:val="both"/>
        <w:rPr>
          <w:rFonts w:ascii="Arial" w:hAnsi="Arial" w:cs="Arial"/>
          <w:sz w:val="24"/>
          <w:szCs w:val="24"/>
        </w:rPr>
      </w:pPr>
      <w:r w:rsidRPr="000942A3">
        <w:rPr>
          <w:rFonts w:ascii="Arial" w:hAnsi="Arial" w:cs="Arial"/>
          <w:b/>
          <w:sz w:val="24"/>
          <w:szCs w:val="24"/>
        </w:rPr>
        <w:lastRenderedPageBreak/>
        <w:t>Summary</w:t>
      </w:r>
      <w:r w:rsidRPr="000942A3">
        <w:rPr>
          <w:rFonts w:ascii="Arial" w:hAnsi="Arial" w:cs="Arial"/>
          <w:sz w:val="24"/>
          <w:szCs w:val="24"/>
        </w:rPr>
        <w:t>:</w:t>
      </w:r>
      <w:r w:rsidRPr="000942A3">
        <w:rPr>
          <w:rFonts w:ascii="Arial" w:hAnsi="Arial" w:cs="Arial"/>
          <w:sz w:val="24"/>
          <w:szCs w:val="24"/>
        </w:rPr>
        <w:tab/>
      </w:r>
      <w:r w:rsidR="00ED68F3" w:rsidRPr="000942A3">
        <w:rPr>
          <w:rFonts w:ascii="Arial" w:hAnsi="Arial" w:cs="Arial"/>
          <w:sz w:val="24"/>
          <w:szCs w:val="24"/>
        </w:rPr>
        <w:t>The accused was charged with a traffic violation. He pleaded guilty at his first appearance at court and was convicted under section 112(1</w:t>
      </w:r>
      <w:proofErr w:type="gramStart"/>
      <w:r w:rsidR="00ED68F3" w:rsidRPr="000942A3">
        <w:rPr>
          <w:rFonts w:ascii="Arial" w:hAnsi="Arial" w:cs="Arial"/>
          <w:sz w:val="24"/>
          <w:szCs w:val="24"/>
        </w:rPr>
        <w:t>)(</w:t>
      </w:r>
      <w:proofErr w:type="gramEnd"/>
      <w:r w:rsidR="00ED68F3" w:rsidRPr="000942A3">
        <w:rPr>
          <w:rFonts w:ascii="Arial" w:hAnsi="Arial" w:cs="Arial"/>
          <w:sz w:val="24"/>
          <w:szCs w:val="24"/>
        </w:rPr>
        <w:t xml:space="preserve">a) of the Criminal Procedure Act as amended. In sentencing the court treated the </w:t>
      </w:r>
      <w:r w:rsidR="00630E40" w:rsidRPr="000942A3">
        <w:rPr>
          <w:rFonts w:ascii="Arial" w:hAnsi="Arial" w:cs="Arial"/>
          <w:sz w:val="24"/>
          <w:szCs w:val="24"/>
        </w:rPr>
        <w:t xml:space="preserve">matter as a serious offense and </w:t>
      </w:r>
      <w:r w:rsidR="00ED68F3" w:rsidRPr="000942A3">
        <w:rPr>
          <w:rFonts w:ascii="Arial" w:hAnsi="Arial" w:cs="Arial"/>
          <w:sz w:val="24"/>
          <w:szCs w:val="24"/>
        </w:rPr>
        <w:t xml:space="preserve">imposed a fine of N$ 3000.00 or 12 months imprisonment. </w:t>
      </w:r>
    </w:p>
    <w:p w14:paraId="1DB47FA5" w14:textId="77777777" w:rsidR="00ED68F3" w:rsidRPr="000942A3" w:rsidRDefault="00ED68F3" w:rsidP="006766F5">
      <w:pPr>
        <w:spacing w:after="0" w:line="360" w:lineRule="auto"/>
        <w:jc w:val="both"/>
        <w:rPr>
          <w:rFonts w:ascii="Arial" w:hAnsi="Arial" w:cs="Arial"/>
          <w:sz w:val="24"/>
          <w:szCs w:val="24"/>
        </w:rPr>
      </w:pPr>
    </w:p>
    <w:p w14:paraId="1755B041" w14:textId="20527BBC" w:rsidR="00ED68F3" w:rsidRPr="000942A3" w:rsidRDefault="00ED68F3" w:rsidP="00ED68F3">
      <w:pPr>
        <w:spacing w:after="160" w:line="360" w:lineRule="auto"/>
        <w:jc w:val="both"/>
        <w:rPr>
          <w:rFonts w:ascii="Arial" w:hAnsi="Arial" w:cs="Arial"/>
          <w:sz w:val="24"/>
          <w:szCs w:val="24"/>
          <w:lang w:val="en-GB"/>
        </w:rPr>
      </w:pPr>
      <w:r w:rsidRPr="00262EEF">
        <w:rPr>
          <w:rFonts w:ascii="Arial" w:hAnsi="Arial" w:cs="Arial"/>
          <w:i/>
          <w:sz w:val="24"/>
          <w:szCs w:val="24"/>
        </w:rPr>
        <w:t xml:space="preserve">Held </w:t>
      </w:r>
      <w:r w:rsidRPr="000942A3">
        <w:rPr>
          <w:rFonts w:ascii="Arial" w:hAnsi="Arial" w:cs="Arial"/>
          <w:sz w:val="24"/>
          <w:szCs w:val="24"/>
        </w:rPr>
        <w:t>– I</w:t>
      </w:r>
      <w:r w:rsidRPr="000942A3">
        <w:rPr>
          <w:rFonts w:ascii="Arial" w:hAnsi="Arial" w:cs="Arial"/>
          <w:sz w:val="24"/>
          <w:szCs w:val="24"/>
          <w:lang w:val="en-GB"/>
        </w:rPr>
        <w:t>t is implicit in section 112(1</w:t>
      </w:r>
      <w:proofErr w:type="gramStart"/>
      <w:r w:rsidRPr="000942A3">
        <w:rPr>
          <w:rFonts w:ascii="Arial" w:hAnsi="Arial" w:cs="Arial"/>
          <w:sz w:val="24"/>
          <w:szCs w:val="24"/>
          <w:lang w:val="en-GB"/>
        </w:rPr>
        <w:t>)(</w:t>
      </w:r>
      <w:proofErr w:type="gramEnd"/>
      <w:r w:rsidRPr="000942A3">
        <w:rPr>
          <w:rFonts w:ascii="Arial" w:hAnsi="Arial" w:cs="Arial"/>
          <w:sz w:val="24"/>
          <w:szCs w:val="24"/>
          <w:lang w:val="en-GB"/>
        </w:rPr>
        <w:t xml:space="preserve">a) of the CPA  that the sentence to be imposed must be commensurate to a minor offence. Therefore a lengthy imprisonment term, even as an alternative to a fine, is irreconcilable with the </w:t>
      </w:r>
      <w:r w:rsidR="00850DED" w:rsidRPr="000942A3">
        <w:rPr>
          <w:rFonts w:ascii="Arial" w:hAnsi="Arial" w:cs="Arial"/>
          <w:sz w:val="24"/>
          <w:szCs w:val="24"/>
          <w:lang w:val="en-GB"/>
        </w:rPr>
        <w:t xml:space="preserve">nature </w:t>
      </w:r>
      <w:r w:rsidRPr="000942A3">
        <w:rPr>
          <w:rFonts w:ascii="Arial" w:hAnsi="Arial" w:cs="Arial"/>
          <w:sz w:val="24"/>
          <w:szCs w:val="24"/>
          <w:lang w:val="en-GB"/>
        </w:rPr>
        <w:t xml:space="preserve">of the provision.   </w:t>
      </w:r>
    </w:p>
    <w:p w14:paraId="176F393E" w14:textId="04CA029A" w:rsidR="00ED68F3" w:rsidRPr="000942A3" w:rsidRDefault="00ED68F3" w:rsidP="00ED68F3">
      <w:pPr>
        <w:spacing w:after="160" w:line="360" w:lineRule="auto"/>
        <w:jc w:val="both"/>
        <w:rPr>
          <w:rFonts w:ascii="Arial" w:hAnsi="Arial" w:cs="Arial"/>
          <w:sz w:val="24"/>
          <w:szCs w:val="24"/>
          <w:lang w:val="en-GB"/>
        </w:rPr>
      </w:pPr>
      <w:r w:rsidRPr="00262EEF">
        <w:rPr>
          <w:rFonts w:ascii="Arial" w:hAnsi="Arial" w:cs="Arial"/>
          <w:i/>
          <w:sz w:val="24"/>
          <w:szCs w:val="24"/>
          <w:lang w:val="en-GB"/>
        </w:rPr>
        <w:t xml:space="preserve">Held </w:t>
      </w:r>
      <w:r w:rsidRPr="000942A3">
        <w:rPr>
          <w:rFonts w:ascii="Arial" w:hAnsi="Arial" w:cs="Arial"/>
          <w:sz w:val="24"/>
          <w:szCs w:val="24"/>
          <w:lang w:val="en-GB"/>
        </w:rPr>
        <w:t>– It is prudent that magistrates do not accelerate</w:t>
      </w:r>
      <w:r w:rsidR="00CF6D9D" w:rsidRPr="000942A3">
        <w:rPr>
          <w:rFonts w:ascii="Arial" w:hAnsi="Arial" w:cs="Arial"/>
          <w:sz w:val="24"/>
          <w:szCs w:val="24"/>
          <w:lang w:val="en-GB"/>
        </w:rPr>
        <w:t xml:space="preserve"> </w:t>
      </w:r>
      <w:r w:rsidRPr="000942A3">
        <w:rPr>
          <w:rFonts w:ascii="Arial" w:hAnsi="Arial" w:cs="Arial"/>
          <w:sz w:val="24"/>
          <w:szCs w:val="24"/>
          <w:lang w:val="en-GB"/>
        </w:rPr>
        <w:t xml:space="preserve"> </w:t>
      </w:r>
      <w:r w:rsidR="00630E40" w:rsidRPr="000942A3">
        <w:rPr>
          <w:rFonts w:ascii="Arial" w:hAnsi="Arial" w:cs="Arial"/>
          <w:sz w:val="24"/>
          <w:szCs w:val="24"/>
          <w:lang w:val="en-GB"/>
        </w:rPr>
        <w:t xml:space="preserve">into section 112(1)(a) of the Criminal Procedure Act as amended </w:t>
      </w:r>
      <w:r w:rsidRPr="000942A3">
        <w:rPr>
          <w:rFonts w:ascii="Arial" w:hAnsi="Arial" w:cs="Arial"/>
          <w:sz w:val="24"/>
          <w:szCs w:val="24"/>
          <w:lang w:val="en-GB"/>
        </w:rPr>
        <w:t xml:space="preserve">without </w:t>
      </w:r>
      <w:r w:rsidR="00630E40" w:rsidRPr="000942A3">
        <w:rPr>
          <w:rFonts w:ascii="Arial" w:hAnsi="Arial" w:cs="Arial"/>
          <w:sz w:val="24"/>
          <w:szCs w:val="24"/>
          <w:lang w:val="en-GB"/>
        </w:rPr>
        <w:t>considering whether it is sensible in the particular circumstances of the case.</w:t>
      </w:r>
    </w:p>
    <w:p w14:paraId="2055AAED" w14:textId="77777777" w:rsidR="00733A23" w:rsidRDefault="00630E40" w:rsidP="00630E40">
      <w:pPr>
        <w:spacing w:after="160" w:line="360" w:lineRule="auto"/>
        <w:jc w:val="both"/>
        <w:rPr>
          <w:rFonts w:ascii="Arial" w:hAnsi="Arial" w:cs="Arial"/>
          <w:sz w:val="24"/>
          <w:szCs w:val="24"/>
          <w:lang w:val="en-GB"/>
        </w:rPr>
      </w:pPr>
      <w:r w:rsidRPr="00262EEF">
        <w:rPr>
          <w:rFonts w:ascii="Arial" w:hAnsi="Arial" w:cs="Arial"/>
          <w:i/>
          <w:sz w:val="24"/>
          <w:szCs w:val="24"/>
          <w:lang w:val="en-GB"/>
        </w:rPr>
        <w:t>Held –</w:t>
      </w:r>
      <w:r w:rsidRPr="000942A3">
        <w:rPr>
          <w:rFonts w:ascii="Arial" w:hAnsi="Arial" w:cs="Arial"/>
          <w:sz w:val="24"/>
          <w:szCs w:val="24"/>
          <w:lang w:val="en-GB"/>
        </w:rPr>
        <w:t xml:space="preserve"> On review the sentence was set aside and replaced with a fine of N$ 30</w:t>
      </w:r>
      <w:r w:rsidR="00C356AF">
        <w:rPr>
          <w:rFonts w:ascii="Arial" w:hAnsi="Arial" w:cs="Arial"/>
          <w:sz w:val="24"/>
          <w:szCs w:val="24"/>
          <w:lang w:val="en-GB"/>
        </w:rPr>
        <w:t>00.00 or 3 months imprisonment.</w:t>
      </w:r>
    </w:p>
    <w:p w14:paraId="78053E58" w14:textId="118B1021" w:rsidR="006766F5" w:rsidRPr="000942A3" w:rsidRDefault="00E54405" w:rsidP="00630E40">
      <w:pPr>
        <w:spacing w:after="160" w:line="360" w:lineRule="auto"/>
        <w:jc w:val="both"/>
        <w:rPr>
          <w:rFonts w:ascii="Arial" w:hAnsi="Arial" w:cs="Arial"/>
          <w:bCs/>
          <w:sz w:val="24"/>
          <w:szCs w:val="24"/>
        </w:rPr>
      </w:pPr>
      <w:r>
        <w:rPr>
          <w:rFonts w:ascii="Arial" w:hAnsi="Arial" w:cs="Arial"/>
        </w:rPr>
        <w:pict w14:anchorId="1AB405D9">
          <v:rect id="_x0000_i1025" style="width:0;height:1.5pt" o:hralign="center" o:hrstd="t" o:hr="t" fillcolor="#a0a0a0" stroked="f"/>
        </w:pict>
      </w:r>
    </w:p>
    <w:p w14:paraId="7C35B27F" w14:textId="77777777" w:rsidR="006766F5" w:rsidRPr="000942A3" w:rsidRDefault="006766F5" w:rsidP="006766F5">
      <w:pPr>
        <w:spacing w:after="0" w:line="360" w:lineRule="auto"/>
        <w:jc w:val="center"/>
        <w:rPr>
          <w:rFonts w:ascii="Arial" w:hAnsi="Arial" w:cs="Arial"/>
          <w:b/>
          <w:bCs/>
          <w:sz w:val="24"/>
          <w:szCs w:val="24"/>
        </w:rPr>
      </w:pPr>
      <w:r w:rsidRPr="000942A3">
        <w:rPr>
          <w:rFonts w:ascii="Arial" w:hAnsi="Arial" w:cs="Arial"/>
          <w:b/>
          <w:bCs/>
          <w:sz w:val="24"/>
          <w:szCs w:val="24"/>
        </w:rPr>
        <w:t>ORDER</w:t>
      </w:r>
    </w:p>
    <w:p w14:paraId="330DAE25" w14:textId="77777777" w:rsidR="006766F5" w:rsidRPr="000942A3" w:rsidRDefault="00E54405" w:rsidP="006766F5">
      <w:pPr>
        <w:spacing w:after="0" w:line="360" w:lineRule="auto"/>
        <w:jc w:val="both"/>
        <w:rPr>
          <w:rFonts w:ascii="Arial" w:hAnsi="Arial" w:cs="Arial"/>
          <w:b/>
          <w:bCs/>
          <w:sz w:val="24"/>
          <w:szCs w:val="24"/>
        </w:rPr>
      </w:pPr>
      <w:r>
        <w:rPr>
          <w:rFonts w:ascii="Arial" w:hAnsi="Arial" w:cs="Arial"/>
          <w:bCs/>
          <w:sz w:val="24"/>
          <w:szCs w:val="24"/>
        </w:rPr>
        <w:pict w14:anchorId="0751287B">
          <v:rect id="_x0000_i1026" style="width:0;height:1.5pt" o:hralign="center" o:hrstd="t" o:hr="t" fillcolor="#a0a0a0" stroked="f"/>
        </w:pict>
      </w:r>
    </w:p>
    <w:p w14:paraId="5D2DC3E8" w14:textId="54FE9C67" w:rsidR="00E4226D" w:rsidRPr="000942A3" w:rsidRDefault="00E4226D" w:rsidP="000942A3">
      <w:pPr>
        <w:pStyle w:val="ListParagraph"/>
        <w:spacing w:after="160" w:line="360" w:lineRule="auto"/>
        <w:ind w:left="1134" w:hanging="567"/>
        <w:jc w:val="both"/>
        <w:rPr>
          <w:rFonts w:ascii="Arial" w:hAnsi="Arial" w:cs="Arial"/>
          <w:sz w:val="24"/>
          <w:szCs w:val="24"/>
          <w:lang w:val="en-GB"/>
        </w:rPr>
      </w:pPr>
    </w:p>
    <w:p w14:paraId="7AEB1C94" w14:textId="46C2F6E8" w:rsidR="00464708" w:rsidRPr="000D7A57" w:rsidRDefault="00464708" w:rsidP="000942A3">
      <w:pPr>
        <w:pStyle w:val="ListParagraph"/>
        <w:numPr>
          <w:ilvl w:val="0"/>
          <w:numId w:val="6"/>
        </w:numPr>
        <w:spacing w:after="160" w:line="360" w:lineRule="auto"/>
        <w:ind w:left="1134" w:hanging="567"/>
        <w:jc w:val="both"/>
        <w:rPr>
          <w:rFonts w:ascii="Arial" w:hAnsi="Arial" w:cs="Arial"/>
          <w:sz w:val="24"/>
          <w:szCs w:val="24"/>
          <w:lang w:val="en-GB"/>
        </w:rPr>
      </w:pPr>
      <w:r w:rsidRPr="000D7A57">
        <w:rPr>
          <w:rFonts w:ascii="Arial" w:hAnsi="Arial" w:cs="Arial"/>
          <w:sz w:val="24"/>
          <w:szCs w:val="24"/>
          <w:lang w:val="en-GB"/>
        </w:rPr>
        <w:t>The conviction is confirmed.</w:t>
      </w:r>
    </w:p>
    <w:p w14:paraId="27458671" w14:textId="77777777" w:rsidR="00474779" w:rsidRPr="000942A3" w:rsidRDefault="00474779" w:rsidP="000942A3">
      <w:pPr>
        <w:pStyle w:val="ListParagraph"/>
        <w:numPr>
          <w:ilvl w:val="0"/>
          <w:numId w:val="6"/>
        </w:numPr>
        <w:spacing w:after="160" w:line="360" w:lineRule="auto"/>
        <w:ind w:left="1134" w:hanging="567"/>
        <w:jc w:val="both"/>
        <w:rPr>
          <w:rFonts w:ascii="Arial" w:hAnsi="Arial" w:cs="Arial"/>
          <w:sz w:val="24"/>
          <w:szCs w:val="24"/>
          <w:lang w:val="en-GB"/>
        </w:rPr>
      </w:pPr>
      <w:r w:rsidRPr="000942A3">
        <w:rPr>
          <w:rFonts w:ascii="Arial" w:hAnsi="Arial" w:cs="Arial"/>
          <w:sz w:val="24"/>
          <w:szCs w:val="24"/>
          <w:lang w:val="en-GB"/>
        </w:rPr>
        <w:t>The sentence is set aside and substituted as follows: Accused to pay a fine of N$ 3000.00 or 3 months imprisonment.</w:t>
      </w:r>
    </w:p>
    <w:p w14:paraId="31437252" w14:textId="77777777" w:rsidR="00474779" w:rsidRPr="000942A3" w:rsidRDefault="00474779" w:rsidP="000942A3">
      <w:pPr>
        <w:pStyle w:val="ListParagraph"/>
        <w:numPr>
          <w:ilvl w:val="0"/>
          <w:numId w:val="6"/>
        </w:numPr>
        <w:spacing w:after="160" w:line="360" w:lineRule="auto"/>
        <w:ind w:left="1134" w:hanging="567"/>
        <w:jc w:val="both"/>
        <w:rPr>
          <w:rFonts w:ascii="Arial" w:hAnsi="Arial" w:cs="Arial"/>
          <w:sz w:val="24"/>
          <w:szCs w:val="24"/>
          <w:lang w:val="en-GB"/>
        </w:rPr>
      </w:pPr>
      <w:r w:rsidRPr="000942A3">
        <w:rPr>
          <w:rFonts w:ascii="Arial" w:hAnsi="Arial" w:cs="Arial"/>
          <w:sz w:val="24"/>
          <w:szCs w:val="24"/>
          <w:lang w:val="en-GB"/>
        </w:rPr>
        <w:t>The sentence is antedated to 25 October 2019.</w:t>
      </w:r>
    </w:p>
    <w:p w14:paraId="2EDE8C99" w14:textId="77777777" w:rsidR="00977BDF" w:rsidRPr="000942A3" w:rsidRDefault="00977BDF" w:rsidP="000E234F">
      <w:pPr>
        <w:spacing w:after="0" w:line="360" w:lineRule="auto"/>
        <w:rPr>
          <w:rFonts w:ascii="Arial" w:hAnsi="Arial" w:cs="Arial"/>
          <w:bCs/>
          <w:sz w:val="24"/>
          <w:szCs w:val="24"/>
        </w:rPr>
      </w:pPr>
    </w:p>
    <w:p w14:paraId="2AC4842D" w14:textId="77777777" w:rsidR="006766F5" w:rsidRPr="000942A3" w:rsidRDefault="00E54405" w:rsidP="000E234F">
      <w:pPr>
        <w:spacing w:after="0" w:line="360" w:lineRule="auto"/>
        <w:rPr>
          <w:rFonts w:ascii="Arial" w:hAnsi="Arial" w:cs="Arial"/>
          <w:bCs/>
          <w:sz w:val="24"/>
          <w:szCs w:val="24"/>
        </w:rPr>
      </w:pPr>
      <w:r>
        <w:rPr>
          <w:rFonts w:ascii="Arial" w:hAnsi="Arial" w:cs="Arial"/>
        </w:rPr>
        <w:pict w14:anchorId="4F8AB792">
          <v:rect id="_x0000_i1027" style="width:0;height:1.5pt" o:hrstd="t" o:hr="t" fillcolor="#a0a0a0" stroked="f"/>
        </w:pict>
      </w:r>
    </w:p>
    <w:p w14:paraId="500F8DD6" w14:textId="4B271531" w:rsidR="006766F5" w:rsidRPr="000942A3" w:rsidRDefault="00EC2656" w:rsidP="006766F5">
      <w:pPr>
        <w:spacing w:after="0" w:line="360" w:lineRule="auto"/>
        <w:jc w:val="center"/>
        <w:rPr>
          <w:rFonts w:ascii="Arial" w:hAnsi="Arial" w:cs="Arial"/>
          <w:b/>
          <w:sz w:val="24"/>
          <w:szCs w:val="24"/>
        </w:rPr>
      </w:pPr>
      <w:r w:rsidRPr="000D7A57">
        <w:rPr>
          <w:rFonts w:ascii="Arial" w:hAnsi="Arial" w:cs="Arial"/>
          <w:b/>
          <w:sz w:val="24"/>
          <w:szCs w:val="24"/>
        </w:rPr>
        <w:t xml:space="preserve">REVIEW </w:t>
      </w:r>
      <w:r w:rsidR="006766F5" w:rsidRPr="000942A3">
        <w:rPr>
          <w:rFonts w:ascii="Arial" w:hAnsi="Arial" w:cs="Arial"/>
          <w:b/>
          <w:sz w:val="24"/>
          <w:szCs w:val="24"/>
        </w:rPr>
        <w:t>JUDGMENT</w:t>
      </w:r>
    </w:p>
    <w:p w14:paraId="7FC11C43" w14:textId="77777777" w:rsidR="006766F5" w:rsidRPr="000942A3" w:rsidRDefault="00E54405" w:rsidP="006766F5">
      <w:pPr>
        <w:spacing w:after="0" w:line="360" w:lineRule="auto"/>
        <w:rPr>
          <w:rFonts w:ascii="Arial" w:hAnsi="Arial" w:cs="Arial"/>
          <w:b/>
          <w:sz w:val="24"/>
          <w:szCs w:val="24"/>
        </w:rPr>
      </w:pPr>
      <w:r>
        <w:rPr>
          <w:rFonts w:ascii="Arial" w:hAnsi="Arial" w:cs="Arial"/>
          <w:bCs/>
          <w:sz w:val="24"/>
          <w:szCs w:val="24"/>
        </w:rPr>
        <w:pict w14:anchorId="17B1416B">
          <v:rect id="_x0000_i1028" style="width:0;height:1.5pt" o:hrstd="t" o:hr="t" fillcolor="#a0a0a0" stroked="f"/>
        </w:pict>
      </w:r>
    </w:p>
    <w:p w14:paraId="201F5D13" w14:textId="769A3CF7" w:rsidR="00977BDF" w:rsidRPr="000942A3" w:rsidRDefault="00977BDF" w:rsidP="00977BDF">
      <w:pPr>
        <w:spacing w:line="360" w:lineRule="auto"/>
        <w:jc w:val="both"/>
        <w:rPr>
          <w:rFonts w:ascii="Arial" w:hAnsi="Arial" w:cs="Arial"/>
          <w:b/>
          <w:sz w:val="24"/>
          <w:szCs w:val="24"/>
        </w:rPr>
      </w:pPr>
      <w:proofErr w:type="spellStart"/>
      <w:r w:rsidRPr="000942A3">
        <w:rPr>
          <w:rFonts w:ascii="Arial" w:hAnsi="Arial" w:cs="Arial"/>
          <w:b/>
          <w:sz w:val="24"/>
          <w:szCs w:val="24"/>
        </w:rPr>
        <w:t>Claasen</w:t>
      </w:r>
      <w:proofErr w:type="spellEnd"/>
      <w:r w:rsidR="000942A3" w:rsidRPr="000942A3">
        <w:rPr>
          <w:rFonts w:ascii="Arial" w:hAnsi="Arial" w:cs="Arial"/>
          <w:b/>
          <w:sz w:val="24"/>
          <w:szCs w:val="24"/>
        </w:rPr>
        <w:t>,</w:t>
      </w:r>
      <w:r w:rsidRPr="000942A3">
        <w:rPr>
          <w:rFonts w:ascii="Arial" w:hAnsi="Arial" w:cs="Arial"/>
          <w:b/>
          <w:sz w:val="24"/>
          <w:szCs w:val="24"/>
        </w:rPr>
        <w:t xml:space="preserve"> J (</w:t>
      </w:r>
      <w:proofErr w:type="spellStart"/>
      <w:r w:rsidRPr="000942A3">
        <w:rPr>
          <w:rFonts w:ascii="Arial" w:hAnsi="Arial" w:cs="Arial"/>
          <w:b/>
          <w:sz w:val="24"/>
          <w:szCs w:val="24"/>
        </w:rPr>
        <w:t>Unengu</w:t>
      </w:r>
      <w:proofErr w:type="spellEnd"/>
      <w:r w:rsidR="000942A3" w:rsidRPr="000942A3">
        <w:rPr>
          <w:rFonts w:ascii="Arial" w:hAnsi="Arial" w:cs="Arial"/>
          <w:b/>
          <w:sz w:val="24"/>
          <w:szCs w:val="24"/>
        </w:rPr>
        <w:t>, AJ</w:t>
      </w:r>
      <w:r w:rsidR="00E05999" w:rsidRPr="00E05999">
        <w:rPr>
          <w:rFonts w:ascii="Arial" w:hAnsi="Arial" w:cs="Arial"/>
          <w:b/>
          <w:sz w:val="24"/>
          <w:szCs w:val="24"/>
        </w:rPr>
        <w:t xml:space="preserve"> </w:t>
      </w:r>
      <w:r w:rsidR="00E05999" w:rsidRPr="00ED645E">
        <w:rPr>
          <w:rFonts w:ascii="Arial" w:hAnsi="Arial" w:cs="Arial"/>
          <w:b/>
          <w:sz w:val="24"/>
          <w:szCs w:val="24"/>
        </w:rPr>
        <w:t>concurring</w:t>
      </w:r>
      <w:r w:rsidRPr="000942A3">
        <w:rPr>
          <w:rFonts w:ascii="Arial" w:hAnsi="Arial" w:cs="Arial"/>
          <w:b/>
          <w:sz w:val="24"/>
          <w:szCs w:val="24"/>
        </w:rPr>
        <w:t>)</w:t>
      </w:r>
    </w:p>
    <w:p w14:paraId="06642747" w14:textId="4034F5BB" w:rsidR="00977BDF" w:rsidRDefault="00571519" w:rsidP="00571519">
      <w:pPr>
        <w:spacing w:after="160"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977BDF" w:rsidRPr="00571519">
        <w:rPr>
          <w:rFonts w:ascii="Arial" w:hAnsi="Arial" w:cs="Arial"/>
          <w:sz w:val="24"/>
          <w:szCs w:val="24"/>
          <w:lang w:val="en-GB"/>
        </w:rPr>
        <w:t xml:space="preserve">The accused herein appeared before the Magistrate Court of </w:t>
      </w:r>
      <w:proofErr w:type="spellStart"/>
      <w:r w:rsidR="00977BDF" w:rsidRPr="00571519">
        <w:rPr>
          <w:rFonts w:ascii="Arial" w:hAnsi="Arial" w:cs="Arial"/>
          <w:sz w:val="24"/>
          <w:szCs w:val="24"/>
          <w:lang w:val="en-GB"/>
        </w:rPr>
        <w:t>Outjo</w:t>
      </w:r>
      <w:proofErr w:type="spellEnd"/>
      <w:r w:rsidR="00977BDF" w:rsidRPr="00571519">
        <w:rPr>
          <w:rFonts w:ascii="Arial" w:hAnsi="Arial" w:cs="Arial"/>
          <w:sz w:val="24"/>
          <w:szCs w:val="24"/>
          <w:lang w:val="en-GB"/>
        </w:rPr>
        <w:t xml:space="preserve"> on a charge of contraven</w:t>
      </w:r>
      <w:r w:rsidR="00850DED" w:rsidRPr="00571519">
        <w:rPr>
          <w:rFonts w:ascii="Arial" w:hAnsi="Arial" w:cs="Arial"/>
          <w:sz w:val="24"/>
          <w:szCs w:val="24"/>
          <w:lang w:val="en-GB"/>
        </w:rPr>
        <w:t>ing regulation 50(3)(a) of the Road Traffic and Transportation R</w:t>
      </w:r>
      <w:r w:rsidR="00977BDF" w:rsidRPr="00571519">
        <w:rPr>
          <w:rFonts w:ascii="Arial" w:hAnsi="Arial" w:cs="Arial"/>
          <w:sz w:val="24"/>
          <w:szCs w:val="24"/>
          <w:lang w:val="en-GB"/>
        </w:rPr>
        <w:t xml:space="preserve">egulations as promulgated in GN 53 of 30 March 2001 (GG No. 2503). The charge particulars were that on 25 October 2019 on a public road to wit C35-C40 at </w:t>
      </w:r>
      <w:proofErr w:type="spellStart"/>
      <w:r w:rsidR="00977BDF" w:rsidRPr="00571519">
        <w:rPr>
          <w:rFonts w:ascii="Arial" w:hAnsi="Arial" w:cs="Arial"/>
          <w:sz w:val="24"/>
          <w:szCs w:val="24"/>
          <w:lang w:val="en-GB"/>
        </w:rPr>
        <w:t>Kamamjab</w:t>
      </w:r>
      <w:proofErr w:type="spellEnd"/>
      <w:r w:rsidR="00977BDF" w:rsidRPr="00571519">
        <w:rPr>
          <w:rFonts w:ascii="Arial" w:hAnsi="Arial" w:cs="Arial"/>
          <w:sz w:val="24"/>
          <w:szCs w:val="24"/>
          <w:lang w:val="en-GB"/>
        </w:rPr>
        <w:t xml:space="preserve"> in the district of </w:t>
      </w:r>
      <w:proofErr w:type="spellStart"/>
      <w:r w:rsidR="00977BDF" w:rsidRPr="00571519">
        <w:rPr>
          <w:rFonts w:ascii="Arial" w:hAnsi="Arial" w:cs="Arial"/>
          <w:sz w:val="24"/>
          <w:szCs w:val="24"/>
          <w:lang w:val="en-GB"/>
        </w:rPr>
        <w:t>Outjo</w:t>
      </w:r>
      <w:proofErr w:type="spellEnd"/>
      <w:r w:rsidR="00977BDF" w:rsidRPr="00571519">
        <w:rPr>
          <w:rFonts w:ascii="Arial" w:hAnsi="Arial" w:cs="Arial"/>
          <w:sz w:val="24"/>
          <w:szCs w:val="24"/>
          <w:lang w:val="en-GB"/>
        </w:rPr>
        <w:t xml:space="preserve"> the accused wrongfully and unlawfully operated a silver Isuzu motor vehicle </w:t>
      </w:r>
      <w:r w:rsidR="00977BDF" w:rsidRPr="00571519">
        <w:rPr>
          <w:rFonts w:ascii="Arial" w:hAnsi="Arial" w:cs="Arial"/>
          <w:sz w:val="24"/>
          <w:szCs w:val="24"/>
          <w:lang w:val="en-GB"/>
        </w:rPr>
        <w:lastRenderedPageBreak/>
        <w:t>displaying a license disk N 24346 WB whilst that license disk was not applicable</w:t>
      </w:r>
      <w:r w:rsidR="005E0316">
        <w:rPr>
          <w:rFonts w:ascii="Arial" w:hAnsi="Arial" w:cs="Arial"/>
          <w:sz w:val="24"/>
          <w:szCs w:val="24"/>
          <w:lang w:val="en-GB"/>
        </w:rPr>
        <w:t xml:space="preserve"> to the specific motor vehicle.</w:t>
      </w:r>
    </w:p>
    <w:p w14:paraId="4AC3E711" w14:textId="77777777" w:rsidR="005E0316" w:rsidRPr="00571519" w:rsidRDefault="005E0316" w:rsidP="00571519">
      <w:pPr>
        <w:spacing w:after="160" w:line="360" w:lineRule="auto"/>
        <w:jc w:val="both"/>
        <w:rPr>
          <w:rFonts w:ascii="Arial" w:hAnsi="Arial" w:cs="Arial"/>
          <w:sz w:val="24"/>
          <w:szCs w:val="24"/>
          <w:lang w:val="en-GB"/>
        </w:rPr>
      </w:pPr>
    </w:p>
    <w:p w14:paraId="797610E3" w14:textId="55050DB6" w:rsidR="00977BDF" w:rsidRPr="00571519" w:rsidRDefault="00571519" w:rsidP="00571519">
      <w:pPr>
        <w:spacing w:after="160"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977BDF" w:rsidRPr="00571519">
        <w:rPr>
          <w:rFonts w:ascii="Arial" w:hAnsi="Arial" w:cs="Arial"/>
          <w:sz w:val="24"/>
          <w:szCs w:val="24"/>
          <w:lang w:val="en-GB"/>
        </w:rPr>
        <w:t xml:space="preserve">The accused conducted his own </w:t>
      </w:r>
      <w:proofErr w:type="spellStart"/>
      <w:r w:rsidR="00977BDF" w:rsidRPr="00571519">
        <w:rPr>
          <w:rFonts w:ascii="Arial" w:hAnsi="Arial" w:cs="Arial"/>
          <w:sz w:val="24"/>
          <w:szCs w:val="24"/>
          <w:lang w:val="en-GB"/>
        </w:rPr>
        <w:t>defense</w:t>
      </w:r>
      <w:proofErr w:type="spellEnd"/>
      <w:r w:rsidR="00977BDF" w:rsidRPr="00571519">
        <w:rPr>
          <w:rFonts w:ascii="Arial" w:hAnsi="Arial" w:cs="Arial"/>
          <w:sz w:val="24"/>
          <w:szCs w:val="24"/>
          <w:lang w:val="en-GB"/>
        </w:rPr>
        <w:t xml:space="preserve"> and he elected to plead guilty. The court applied section 112(1</w:t>
      </w:r>
      <w:proofErr w:type="gramStart"/>
      <w:r w:rsidR="00977BDF" w:rsidRPr="00571519">
        <w:rPr>
          <w:rFonts w:ascii="Arial" w:hAnsi="Arial" w:cs="Arial"/>
          <w:sz w:val="24"/>
          <w:szCs w:val="24"/>
          <w:lang w:val="en-GB"/>
        </w:rPr>
        <w:t>)(</w:t>
      </w:r>
      <w:proofErr w:type="gramEnd"/>
      <w:r w:rsidR="00977BDF" w:rsidRPr="00571519">
        <w:rPr>
          <w:rFonts w:ascii="Arial" w:hAnsi="Arial" w:cs="Arial"/>
          <w:sz w:val="24"/>
          <w:szCs w:val="24"/>
          <w:lang w:val="en-GB"/>
        </w:rPr>
        <w:t>a) of the Criminal Procedure Act as amended, (hereinaf</w:t>
      </w:r>
      <w:r w:rsidR="00673297">
        <w:rPr>
          <w:rFonts w:ascii="Arial" w:hAnsi="Arial" w:cs="Arial"/>
          <w:sz w:val="24"/>
          <w:szCs w:val="24"/>
          <w:lang w:val="en-GB"/>
        </w:rPr>
        <w:t>ter referred to as the CPA) and</w:t>
      </w:r>
      <w:r w:rsidR="00977BDF" w:rsidRPr="00571519">
        <w:rPr>
          <w:rFonts w:ascii="Arial" w:hAnsi="Arial" w:cs="Arial"/>
          <w:sz w:val="24"/>
          <w:szCs w:val="24"/>
          <w:lang w:val="en-GB"/>
        </w:rPr>
        <w:t xml:space="preserve"> imposed a fine of N$ 3000.00 or 12 months imprisonment.</w:t>
      </w:r>
    </w:p>
    <w:p w14:paraId="4172DAF6" w14:textId="77777777" w:rsidR="00977BDF" w:rsidRPr="000942A3" w:rsidRDefault="00977BDF" w:rsidP="000942A3">
      <w:pPr>
        <w:pStyle w:val="ListParagraph"/>
        <w:ind w:left="567" w:hanging="567"/>
        <w:rPr>
          <w:rFonts w:ascii="Arial" w:hAnsi="Arial" w:cs="Arial"/>
          <w:sz w:val="24"/>
          <w:szCs w:val="24"/>
          <w:lang w:val="en-GB"/>
        </w:rPr>
      </w:pPr>
    </w:p>
    <w:p w14:paraId="6E46EB01" w14:textId="525B0018" w:rsidR="00977BDF" w:rsidRPr="00571519" w:rsidRDefault="00571519" w:rsidP="00571519">
      <w:pPr>
        <w:spacing w:after="0"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977BDF" w:rsidRPr="00571519">
        <w:rPr>
          <w:rFonts w:ascii="Arial" w:hAnsi="Arial" w:cs="Arial"/>
          <w:sz w:val="24"/>
          <w:szCs w:val="24"/>
          <w:lang w:val="en-GB"/>
        </w:rPr>
        <w:t xml:space="preserve">The matter came before me on automatic review. I addressed a query to the magistrate on whether the 12 months imprisonment was appropriate in the circumstances. </w:t>
      </w:r>
    </w:p>
    <w:p w14:paraId="31B264D3" w14:textId="77777777" w:rsidR="00977BDF" w:rsidRPr="000942A3" w:rsidRDefault="00977BDF" w:rsidP="000942A3">
      <w:pPr>
        <w:pStyle w:val="ListParagraph"/>
        <w:spacing w:line="360" w:lineRule="auto"/>
        <w:ind w:left="567" w:hanging="567"/>
        <w:jc w:val="both"/>
        <w:rPr>
          <w:rFonts w:ascii="Arial" w:hAnsi="Arial" w:cs="Arial"/>
          <w:sz w:val="24"/>
          <w:szCs w:val="24"/>
          <w:lang w:val="en-GB"/>
        </w:rPr>
      </w:pPr>
    </w:p>
    <w:p w14:paraId="23D2B604" w14:textId="2973CF6A" w:rsidR="00977BDF" w:rsidRPr="00571519" w:rsidRDefault="00571519" w:rsidP="00571519">
      <w:pPr>
        <w:spacing w:after="160"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977BDF" w:rsidRPr="00571519">
        <w:rPr>
          <w:rFonts w:ascii="Arial" w:hAnsi="Arial" w:cs="Arial"/>
          <w:sz w:val="24"/>
          <w:szCs w:val="24"/>
          <w:lang w:val="en-GB"/>
        </w:rPr>
        <w:t>The learned magistrate replied promptly and suggested 6 months imprisonment as more suitable as an alternative sentence to the fine.</w:t>
      </w:r>
    </w:p>
    <w:p w14:paraId="659D763E" w14:textId="77777777" w:rsidR="00977BDF" w:rsidRPr="000942A3" w:rsidRDefault="00977BDF" w:rsidP="000942A3">
      <w:pPr>
        <w:pStyle w:val="ListParagraph"/>
        <w:ind w:left="567" w:hanging="567"/>
        <w:rPr>
          <w:rFonts w:ascii="Arial" w:hAnsi="Arial" w:cs="Arial"/>
          <w:sz w:val="24"/>
          <w:szCs w:val="24"/>
          <w:lang w:val="en-GB"/>
        </w:rPr>
      </w:pPr>
    </w:p>
    <w:p w14:paraId="64CE0A9A" w14:textId="06E29EBC" w:rsidR="00977BDF" w:rsidRPr="00571519" w:rsidRDefault="00571519" w:rsidP="00571519">
      <w:pPr>
        <w:spacing w:after="160"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977BDF" w:rsidRPr="00571519">
        <w:rPr>
          <w:rFonts w:ascii="Arial" w:hAnsi="Arial" w:cs="Arial"/>
          <w:sz w:val="24"/>
          <w:szCs w:val="24"/>
          <w:lang w:val="en-GB"/>
        </w:rPr>
        <w:t>The provision applicable to sentence under section 112(1</w:t>
      </w:r>
      <w:proofErr w:type="gramStart"/>
      <w:r w:rsidR="00977BDF" w:rsidRPr="00571519">
        <w:rPr>
          <w:rFonts w:ascii="Arial" w:hAnsi="Arial" w:cs="Arial"/>
          <w:sz w:val="24"/>
          <w:szCs w:val="24"/>
          <w:lang w:val="en-GB"/>
        </w:rPr>
        <w:t>)(</w:t>
      </w:r>
      <w:proofErr w:type="gramEnd"/>
      <w:r w:rsidR="00977BDF" w:rsidRPr="00571519">
        <w:rPr>
          <w:rFonts w:ascii="Arial" w:hAnsi="Arial" w:cs="Arial"/>
          <w:sz w:val="24"/>
          <w:szCs w:val="24"/>
          <w:lang w:val="en-GB"/>
        </w:rPr>
        <w:t>a) of the CPA reads as follows:</w:t>
      </w:r>
    </w:p>
    <w:p w14:paraId="4F79AD3B" w14:textId="50855D0B" w:rsidR="00977BDF" w:rsidRPr="000111BA" w:rsidRDefault="00977BDF" w:rsidP="005E0316">
      <w:pPr>
        <w:spacing w:line="360" w:lineRule="auto"/>
        <w:ind w:firstLine="567"/>
        <w:jc w:val="both"/>
        <w:rPr>
          <w:rFonts w:ascii="Arial" w:hAnsi="Arial" w:cs="Arial"/>
          <w:lang w:val="en-GB"/>
        </w:rPr>
      </w:pPr>
      <w:r w:rsidRPr="000111BA">
        <w:rPr>
          <w:rFonts w:ascii="Arial" w:hAnsi="Arial" w:cs="Arial"/>
          <w:lang w:val="en-GB"/>
        </w:rPr>
        <w:t>‘(a) the presiding judge, regional magistrate or magistrate may, if he or she is of the opinion that the offense does not merit punishment of imprisonment or any other form of detention without the option of a fine or of a fine exceeding N$ 6000, convict the accused in respect of the offense to wh</w:t>
      </w:r>
      <w:r w:rsidR="000942A3" w:rsidRPr="000111BA">
        <w:rPr>
          <w:rFonts w:ascii="Arial" w:hAnsi="Arial" w:cs="Arial"/>
          <w:lang w:val="en-GB"/>
        </w:rPr>
        <w:t>i</w:t>
      </w:r>
      <w:r w:rsidRPr="000111BA">
        <w:rPr>
          <w:rFonts w:ascii="Arial" w:hAnsi="Arial" w:cs="Arial"/>
          <w:lang w:val="en-GB"/>
        </w:rPr>
        <w:t xml:space="preserve">ch he or she has pleaded guilty on his or her plea of guilty only and; </w:t>
      </w:r>
    </w:p>
    <w:p w14:paraId="09F790DF" w14:textId="77777777" w:rsidR="00977BDF" w:rsidRPr="000111BA" w:rsidRDefault="00977BDF" w:rsidP="005E0316">
      <w:pPr>
        <w:pStyle w:val="ListParagraph"/>
        <w:numPr>
          <w:ilvl w:val="0"/>
          <w:numId w:val="7"/>
        </w:numPr>
        <w:spacing w:after="160" w:line="360" w:lineRule="auto"/>
        <w:ind w:left="567" w:hanging="567"/>
        <w:jc w:val="both"/>
        <w:rPr>
          <w:rFonts w:ascii="Arial" w:hAnsi="Arial" w:cs="Arial"/>
        </w:rPr>
      </w:pPr>
      <w:r w:rsidRPr="000111BA">
        <w:rPr>
          <w:rFonts w:ascii="Arial" w:hAnsi="Arial" w:cs="Arial"/>
          <w:lang w:val="en-GB"/>
        </w:rPr>
        <w:t xml:space="preserve">impose any competent sentence, other than imprisonment or any other form of detention without the option of a fine or a fine exceeding N$ 6000; or </w:t>
      </w:r>
    </w:p>
    <w:p w14:paraId="797D65B8" w14:textId="6D68FA9F" w:rsidR="00977BDF" w:rsidRPr="000111BA" w:rsidRDefault="00977BDF" w:rsidP="005E0316">
      <w:pPr>
        <w:pStyle w:val="ListParagraph"/>
        <w:numPr>
          <w:ilvl w:val="0"/>
          <w:numId w:val="7"/>
        </w:numPr>
        <w:spacing w:after="160" w:line="360" w:lineRule="auto"/>
        <w:ind w:left="567" w:hanging="567"/>
        <w:jc w:val="both"/>
        <w:rPr>
          <w:rFonts w:ascii="Arial" w:hAnsi="Arial" w:cs="Arial"/>
        </w:rPr>
      </w:pPr>
      <w:r w:rsidRPr="000111BA">
        <w:rPr>
          <w:rFonts w:ascii="Arial" w:hAnsi="Arial" w:cs="Arial"/>
          <w:lang w:val="en-GB"/>
        </w:rPr>
        <w:t>deal with the accused otherwise in accordance with the law</w:t>
      </w:r>
      <w:r w:rsidR="00635375" w:rsidRPr="000111BA">
        <w:rPr>
          <w:rFonts w:ascii="Arial" w:hAnsi="Arial" w:cs="Arial"/>
          <w:lang w:val="en-GB"/>
        </w:rPr>
        <w:t>’</w:t>
      </w:r>
    </w:p>
    <w:p w14:paraId="5AB43236" w14:textId="77777777" w:rsidR="00977BDF" w:rsidRPr="000942A3" w:rsidRDefault="00977BDF" w:rsidP="000942A3">
      <w:pPr>
        <w:pStyle w:val="ListParagraph"/>
        <w:spacing w:line="360" w:lineRule="auto"/>
        <w:ind w:left="567" w:hanging="567"/>
        <w:jc w:val="both"/>
        <w:rPr>
          <w:rFonts w:ascii="Arial" w:hAnsi="Arial" w:cs="Arial"/>
          <w:sz w:val="24"/>
          <w:szCs w:val="24"/>
          <w:lang w:val="en-GB"/>
        </w:rPr>
      </w:pPr>
    </w:p>
    <w:p w14:paraId="4DF730E3" w14:textId="4E058850" w:rsidR="00977BDF" w:rsidRPr="00571519" w:rsidRDefault="00571519" w:rsidP="00571519">
      <w:pPr>
        <w:spacing w:after="160"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977BDF" w:rsidRPr="00571519">
        <w:rPr>
          <w:rFonts w:ascii="Arial" w:hAnsi="Arial" w:cs="Arial"/>
          <w:sz w:val="24"/>
          <w:szCs w:val="24"/>
          <w:lang w:val="en-GB"/>
        </w:rPr>
        <w:t xml:space="preserve">The increase of the monetary limit from </w:t>
      </w:r>
      <w:r w:rsidR="00A515D0" w:rsidRPr="00571519">
        <w:rPr>
          <w:rFonts w:ascii="Arial" w:hAnsi="Arial" w:cs="Arial"/>
          <w:sz w:val="24"/>
          <w:szCs w:val="24"/>
          <w:lang w:val="en-GB"/>
        </w:rPr>
        <w:t xml:space="preserve">a fine of </w:t>
      </w:r>
      <w:r w:rsidR="00635375" w:rsidRPr="00571519">
        <w:rPr>
          <w:rFonts w:ascii="Arial" w:hAnsi="Arial" w:cs="Arial"/>
          <w:sz w:val="24"/>
          <w:szCs w:val="24"/>
          <w:lang w:val="en-GB"/>
        </w:rPr>
        <w:t xml:space="preserve">not </w:t>
      </w:r>
      <w:r w:rsidR="00977BDF" w:rsidRPr="00571519">
        <w:rPr>
          <w:rFonts w:ascii="Arial" w:hAnsi="Arial" w:cs="Arial"/>
          <w:sz w:val="24"/>
          <w:szCs w:val="24"/>
          <w:lang w:val="en-GB"/>
        </w:rPr>
        <w:t xml:space="preserve">more than N$ 300.00 to </w:t>
      </w:r>
      <w:r w:rsidR="00A515D0" w:rsidRPr="00571519">
        <w:rPr>
          <w:rFonts w:ascii="Arial" w:hAnsi="Arial" w:cs="Arial"/>
          <w:sz w:val="24"/>
          <w:szCs w:val="24"/>
          <w:lang w:val="en-GB"/>
        </w:rPr>
        <w:t xml:space="preserve">a </w:t>
      </w:r>
      <w:r w:rsidR="00977BDF" w:rsidRPr="00571519">
        <w:rPr>
          <w:rFonts w:ascii="Arial" w:hAnsi="Arial" w:cs="Arial"/>
          <w:sz w:val="24"/>
          <w:szCs w:val="24"/>
          <w:lang w:val="en-GB"/>
        </w:rPr>
        <w:t xml:space="preserve">fine not exceeding N$ 6 000.00 </w:t>
      </w:r>
      <w:r w:rsidR="00A515D0" w:rsidRPr="00571519">
        <w:rPr>
          <w:rFonts w:ascii="Arial" w:hAnsi="Arial" w:cs="Arial"/>
          <w:sz w:val="24"/>
          <w:szCs w:val="24"/>
          <w:lang w:val="en-GB"/>
        </w:rPr>
        <w:t xml:space="preserve">did not alter </w:t>
      </w:r>
      <w:r w:rsidR="00977BDF" w:rsidRPr="00571519">
        <w:rPr>
          <w:rFonts w:ascii="Arial" w:hAnsi="Arial" w:cs="Arial"/>
          <w:sz w:val="24"/>
          <w:szCs w:val="24"/>
          <w:lang w:val="en-GB"/>
        </w:rPr>
        <w:t xml:space="preserve">a basic principle regarding the nature of section 112(1)(a) of the CPA, i.e. that </w:t>
      </w:r>
      <w:r w:rsidR="00A515D0" w:rsidRPr="00571519">
        <w:rPr>
          <w:rFonts w:ascii="Arial" w:hAnsi="Arial" w:cs="Arial"/>
          <w:sz w:val="24"/>
          <w:szCs w:val="24"/>
          <w:lang w:val="en-GB"/>
        </w:rPr>
        <w:t xml:space="preserve">it contemplates convictions in respect of </w:t>
      </w:r>
      <w:r w:rsidR="00D56183">
        <w:rPr>
          <w:rFonts w:ascii="Arial" w:hAnsi="Arial" w:cs="Arial"/>
          <w:sz w:val="24"/>
          <w:szCs w:val="24"/>
          <w:lang w:val="en-GB"/>
        </w:rPr>
        <w:t>minor offenses. This tenet</w:t>
      </w:r>
      <w:r w:rsidR="00673297">
        <w:rPr>
          <w:rFonts w:ascii="Arial" w:hAnsi="Arial" w:cs="Arial"/>
          <w:sz w:val="24"/>
          <w:szCs w:val="24"/>
          <w:lang w:val="en-GB"/>
        </w:rPr>
        <w:t xml:space="preserve"> was eloquently expressed in</w:t>
      </w:r>
      <w:r w:rsidR="00977BDF" w:rsidRPr="00571519">
        <w:rPr>
          <w:rFonts w:ascii="Arial" w:hAnsi="Arial" w:cs="Arial"/>
          <w:sz w:val="24"/>
          <w:szCs w:val="24"/>
          <w:lang w:val="en-GB"/>
        </w:rPr>
        <w:t xml:space="preserve"> </w:t>
      </w:r>
      <w:r w:rsidR="00977BDF" w:rsidRPr="00673297">
        <w:rPr>
          <w:rFonts w:ascii="Arial" w:hAnsi="Arial" w:cs="Arial"/>
          <w:i/>
          <w:sz w:val="24"/>
          <w:szCs w:val="24"/>
          <w:lang w:val="en-GB"/>
        </w:rPr>
        <w:t xml:space="preserve">S v </w:t>
      </w:r>
      <w:proofErr w:type="spellStart"/>
      <w:r w:rsidR="00977BDF" w:rsidRPr="00673297">
        <w:rPr>
          <w:rFonts w:ascii="Arial" w:hAnsi="Arial" w:cs="Arial"/>
          <w:i/>
          <w:sz w:val="24"/>
          <w:szCs w:val="24"/>
          <w:lang w:val="en-GB"/>
        </w:rPr>
        <w:t>Aniseb</w:t>
      </w:r>
      <w:proofErr w:type="spellEnd"/>
      <w:r w:rsidR="00977BDF" w:rsidRPr="000942A3">
        <w:rPr>
          <w:rStyle w:val="FootnoteReference"/>
          <w:rFonts w:ascii="Arial" w:hAnsi="Arial" w:cs="Arial"/>
          <w:sz w:val="24"/>
          <w:szCs w:val="24"/>
          <w:lang w:val="en-GB"/>
        </w:rPr>
        <w:footnoteReference w:id="1"/>
      </w:r>
      <w:r w:rsidR="00977BDF" w:rsidRPr="00571519">
        <w:rPr>
          <w:rFonts w:ascii="Arial" w:hAnsi="Arial" w:cs="Arial"/>
          <w:sz w:val="24"/>
          <w:szCs w:val="24"/>
          <w:lang w:val="en-GB"/>
        </w:rPr>
        <w:t xml:space="preserve"> as follows:  </w:t>
      </w:r>
    </w:p>
    <w:p w14:paraId="1F1B4431" w14:textId="16A3AE3E" w:rsidR="00977BDF" w:rsidRPr="000942A3" w:rsidRDefault="00A515D0" w:rsidP="00602283">
      <w:pPr>
        <w:pStyle w:val="ListParagraph"/>
        <w:spacing w:line="360" w:lineRule="auto"/>
        <w:ind w:left="0" w:firstLine="567"/>
        <w:jc w:val="both"/>
        <w:rPr>
          <w:rFonts w:ascii="Arial" w:hAnsi="Arial" w:cs="Arial"/>
          <w:sz w:val="24"/>
          <w:szCs w:val="24"/>
          <w:lang w:val="en-GB"/>
        </w:rPr>
      </w:pPr>
      <w:r w:rsidRPr="000111BA">
        <w:rPr>
          <w:rFonts w:ascii="Arial" w:hAnsi="Arial" w:cs="Arial"/>
          <w:lang w:val="en-GB"/>
        </w:rPr>
        <w:lastRenderedPageBreak/>
        <w:t>‘</w:t>
      </w:r>
      <w:r w:rsidR="00977BDF" w:rsidRPr="000111BA">
        <w:rPr>
          <w:rFonts w:ascii="Arial" w:hAnsi="Arial" w:cs="Arial"/>
          <w:lang w:val="en-GB"/>
        </w:rPr>
        <w:t>The policy behind section 112(1</w:t>
      </w:r>
      <w:proofErr w:type="gramStart"/>
      <w:r w:rsidR="00977BDF" w:rsidRPr="000111BA">
        <w:rPr>
          <w:rFonts w:ascii="Arial" w:hAnsi="Arial" w:cs="Arial"/>
          <w:lang w:val="en-GB"/>
        </w:rPr>
        <w:t>)(</w:t>
      </w:r>
      <w:proofErr w:type="gramEnd"/>
      <w:r w:rsidR="00977BDF" w:rsidRPr="000111BA">
        <w:rPr>
          <w:rFonts w:ascii="Arial" w:hAnsi="Arial" w:cs="Arial"/>
          <w:lang w:val="en-GB"/>
        </w:rPr>
        <w:t>a) is clear. The legislature has provided machinery for the swift and expeditious disposal of minor criminal cases where the accused pleads guilty. The trial court is not obliged to satisfy itself that an offense was actually committed by the accused but accepts his plea at face value. The accused thus loses the protection afforded by the procedure envisaged in section 112(1)(b), but he is not exposed to any really serious form of punishment…’</w:t>
      </w:r>
    </w:p>
    <w:p w14:paraId="7413C977" w14:textId="77777777" w:rsidR="00977BDF" w:rsidRPr="000942A3" w:rsidRDefault="00977BDF" w:rsidP="000942A3">
      <w:pPr>
        <w:pStyle w:val="ListParagraph"/>
        <w:spacing w:line="360" w:lineRule="auto"/>
        <w:ind w:left="567" w:hanging="567"/>
        <w:jc w:val="both"/>
        <w:rPr>
          <w:rFonts w:ascii="Arial" w:hAnsi="Arial" w:cs="Arial"/>
          <w:sz w:val="24"/>
          <w:szCs w:val="24"/>
          <w:lang w:val="en-GB"/>
        </w:rPr>
      </w:pPr>
    </w:p>
    <w:p w14:paraId="3624C6E1" w14:textId="7E53CD92" w:rsidR="00977BDF" w:rsidRPr="00571519" w:rsidRDefault="00571519" w:rsidP="00571519">
      <w:pPr>
        <w:spacing w:after="160"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sidR="00977BDF" w:rsidRPr="00571519">
        <w:rPr>
          <w:rFonts w:ascii="Arial" w:hAnsi="Arial" w:cs="Arial"/>
          <w:sz w:val="24"/>
          <w:szCs w:val="24"/>
          <w:lang w:val="en-GB"/>
        </w:rPr>
        <w:t xml:space="preserve">Although a court has a range of options within the </w:t>
      </w:r>
      <w:r w:rsidR="00624185" w:rsidRPr="00571519">
        <w:rPr>
          <w:rFonts w:ascii="Arial" w:hAnsi="Arial" w:cs="Arial"/>
          <w:sz w:val="24"/>
          <w:szCs w:val="24"/>
          <w:lang w:val="en-GB"/>
        </w:rPr>
        <w:t xml:space="preserve">sentencing margins of </w:t>
      </w:r>
      <w:r w:rsidR="00182010" w:rsidRPr="00571519">
        <w:rPr>
          <w:rFonts w:ascii="Arial" w:hAnsi="Arial" w:cs="Arial"/>
          <w:sz w:val="24"/>
          <w:szCs w:val="24"/>
          <w:lang w:val="en-GB"/>
        </w:rPr>
        <w:t>section 112(1</w:t>
      </w:r>
      <w:proofErr w:type="gramStart"/>
      <w:r w:rsidR="00182010" w:rsidRPr="00571519">
        <w:rPr>
          <w:rFonts w:ascii="Arial" w:hAnsi="Arial" w:cs="Arial"/>
          <w:sz w:val="24"/>
          <w:szCs w:val="24"/>
          <w:lang w:val="en-GB"/>
        </w:rPr>
        <w:t>)(</w:t>
      </w:r>
      <w:proofErr w:type="gramEnd"/>
      <w:r w:rsidR="00182010" w:rsidRPr="00571519">
        <w:rPr>
          <w:rFonts w:ascii="Arial" w:hAnsi="Arial" w:cs="Arial"/>
          <w:sz w:val="24"/>
          <w:szCs w:val="24"/>
          <w:lang w:val="en-GB"/>
        </w:rPr>
        <w:t>a) of the CPA</w:t>
      </w:r>
      <w:r w:rsidR="00EE72A4" w:rsidRPr="00571519">
        <w:rPr>
          <w:rFonts w:ascii="Arial" w:hAnsi="Arial" w:cs="Arial"/>
          <w:sz w:val="24"/>
          <w:szCs w:val="24"/>
          <w:lang w:val="en-GB"/>
        </w:rPr>
        <w:t xml:space="preserve">, </w:t>
      </w:r>
      <w:r w:rsidR="00182010" w:rsidRPr="00571519">
        <w:rPr>
          <w:rFonts w:ascii="Arial" w:hAnsi="Arial" w:cs="Arial"/>
          <w:sz w:val="24"/>
          <w:szCs w:val="24"/>
          <w:lang w:val="en-GB"/>
        </w:rPr>
        <w:t xml:space="preserve">care must be taken </w:t>
      </w:r>
      <w:r w:rsidR="007C6F5D" w:rsidRPr="00571519">
        <w:rPr>
          <w:rFonts w:ascii="Arial" w:hAnsi="Arial" w:cs="Arial"/>
          <w:sz w:val="24"/>
          <w:szCs w:val="24"/>
          <w:lang w:val="en-GB"/>
        </w:rPr>
        <w:t xml:space="preserve">that the sentence </w:t>
      </w:r>
      <w:r w:rsidR="00EE72A4" w:rsidRPr="00571519">
        <w:rPr>
          <w:rFonts w:ascii="Arial" w:hAnsi="Arial" w:cs="Arial"/>
          <w:sz w:val="24"/>
          <w:szCs w:val="24"/>
          <w:lang w:val="en-GB"/>
        </w:rPr>
        <w:t xml:space="preserve">is </w:t>
      </w:r>
      <w:r w:rsidR="007C6F5D" w:rsidRPr="00571519">
        <w:rPr>
          <w:rFonts w:ascii="Arial" w:hAnsi="Arial" w:cs="Arial"/>
          <w:sz w:val="24"/>
          <w:szCs w:val="24"/>
          <w:lang w:val="en-GB"/>
        </w:rPr>
        <w:t xml:space="preserve">commensurate with a minor offense. </w:t>
      </w:r>
      <w:r w:rsidR="00977BDF" w:rsidRPr="00571519">
        <w:rPr>
          <w:rFonts w:ascii="Arial" w:hAnsi="Arial" w:cs="Arial"/>
          <w:sz w:val="24"/>
          <w:szCs w:val="24"/>
          <w:lang w:val="en-GB"/>
        </w:rPr>
        <w:t xml:space="preserve">Therefore a lengthy imprisonment term, even as an alternative to a fine, is irreconcilable with the character of the provision.   </w:t>
      </w:r>
    </w:p>
    <w:p w14:paraId="217D5DF5" w14:textId="77777777" w:rsidR="007C6F5D" w:rsidRPr="000942A3" w:rsidRDefault="007C6F5D" w:rsidP="000942A3">
      <w:pPr>
        <w:pStyle w:val="ListParagraph"/>
        <w:spacing w:after="160" w:line="360" w:lineRule="auto"/>
        <w:ind w:left="567" w:hanging="567"/>
        <w:jc w:val="both"/>
        <w:rPr>
          <w:rFonts w:ascii="Arial" w:hAnsi="Arial" w:cs="Arial"/>
          <w:sz w:val="24"/>
          <w:szCs w:val="24"/>
          <w:lang w:val="en-GB"/>
        </w:rPr>
      </w:pPr>
    </w:p>
    <w:p w14:paraId="3BEE67E7" w14:textId="1009C80C" w:rsidR="00977BDF" w:rsidRPr="00571519" w:rsidRDefault="00571519" w:rsidP="00571519">
      <w:pPr>
        <w:tabs>
          <w:tab w:val="left" w:pos="540"/>
        </w:tabs>
        <w:spacing w:after="16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795AB7" w:rsidRPr="00571519">
        <w:rPr>
          <w:rFonts w:ascii="Arial" w:hAnsi="Arial" w:cs="Arial"/>
          <w:sz w:val="24"/>
          <w:szCs w:val="24"/>
          <w:lang w:val="en-GB"/>
        </w:rPr>
        <w:t xml:space="preserve">In light of the offense in question being a traffic violation there is no issue that section 112(1)(a) of the CPA was applied.  The issue of concern was whether the 12 months imprisonment was appropriate in the circumstances. </w:t>
      </w:r>
    </w:p>
    <w:p w14:paraId="3592D955" w14:textId="77777777" w:rsidR="00D028FD" w:rsidRPr="000942A3" w:rsidRDefault="00D028FD" w:rsidP="00D56183">
      <w:pPr>
        <w:pStyle w:val="ListParagraph"/>
        <w:tabs>
          <w:tab w:val="left" w:pos="540"/>
        </w:tabs>
        <w:spacing w:after="160" w:line="360" w:lineRule="auto"/>
        <w:ind w:left="567" w:hanging="567"/>
        <w:jc w:val="both"/>
        <w:rPr>
          <w:rFonts w:ascii="Arial" w:hAnsi="Arial" w:cs="Arial"/>
          <w:sz w:val="24"/>
          <w:szCs w:val="24"/>
          <w:lang w:val="en-GB"/>
        </w:rPr>
      </w:pPr>
    </w:p>
    <w:p w14:paraId="4414CB4E" w14:textId="216572B1" w:rsidR="00977BDF" w:rsidRPr="00571519" w:rsidRDefault="00571519" w:rsidP="00D56183">
      <w:pPr>
        <w:tabs>
          <w:tab w:val="left" w:pos="567"/>
        </w:tabs>
        <w:spacing w:after="16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F02AC8" w:rsidRPr="00571519">
        <w:rPr>
          <w:rFonts w:ascii="Arial" w:hAnsi="Arial" w:cs="Arial"/>
          <w:sz w:val="24"/>
          <w:szCs w:val="24"/>
          <w:lang w:val="en-GB"/>
        </w:rPr>
        <w:t xml:space="preserve">In considering the information </w:t>
      </w:r>
      <w:r w:rsidR="00624185" w:rsidRPr="00571519">
        <w:rPr>
          <w:rFonts w:ascii="Arial" w:hAnsi="Arial" w:cs="Arial"/>
          <w:sz w:val="24"/>
          <w:szCs w:val="24"/>
          <w:lang w:val="en-GB"/>
        </w:rPr>
        <w:t xml:space="preserve">relevant for sentencing, </w:t>
      </w:r>
      <w:r w:rsidR="00F02AC8" w:rsidRPr="00571519">
        <w:rPr>
          <w:rFonts w:ascii="Arial" w:hAnsi="Arial" w:cs="Arial"/>
          <w:sz w:val="24"/>
          <w:szCs w:val="24"/>
          <w:lang w:val="en-GB"/>
        </w:rPr>
        <w:t>the starting point is the p</w:t>
      </w:r>
      <w:r w:rsidR="00977BDF" w:rsidRPr="00571519">
        <w:rPr>
          <w:rFonts w:ascii="Arial" w:hAnsi="Arial" w:cs="Arial"/>
          <w:sz w:val="24"/>
          <w:szCs w:val="24"/>
          <w:lang w:val="en-GB"/>
        </w:rPr>
        <w:t xml:space="preserve">rescribed maximum penalty </w:t>
      </w:r>
      <w:r w:rsidR="00F02AC8" w:rsidRPr="00571519">
        <w:rPr>
          <w:rFonts w:ascii="Arial" w:hAnsi="Arial" w:cs="Arial"/>
          <w:sz w:val="24"/>
          <w:szCs w:val="24"/>
          <w:lang w:val="en-GB"/>
        </w:rPr>
        <w:t xml:space="preserve">for </w:t>
      </w:r>
      <w:r w:rsidR="00977BDF" w:rsidRPr="00571519">
        <w:rPr>
          <w:rFonts w:ascii="Arial" w:hAnsi="Arial" w:cs="Arial"/>
          <w:sz w:val="24"/>
          <w:szCs w:val="24"/>
          <w:lang w:val="en-GB"/>
        </w:rPr>
        <w:t xml:space="preserve">the offense </w:t>
      </w:r>
      <w:r w:rsidR="00F02AC8" w:rsidRPr="00571519">
        <w:rPr>
          <w:rFonts w:ascii="Arial" w:hAnsi="Arial" w:cs="Arial"/>
          <w:sz w:val="24"/>
          <w:szCs w:val="24"/>
          <w:lang w:val="en-GB"/>
        </w:rPr>
        <w:t xml:space="preserve">in question which </w:t>
      </w:r>
      <w:r w:rsidR="00977BDF" w:rsidRPr="00571519">
        <w:rPr>
          <w:rFonts w:ascii="Arial" w:hAnsi="Arial" w:cs="Arial"/>
          <w:sz w:val="24"/>
          <w:szCs w:val="24"/>
          <w:lang w:val="en-GB"/>
        </w:rPr>
        <w:t>is a fine of N$ 4000.00 or one year impr</w:t>
      </w:r>
      <w:r w:rsidR="00F02AC8" w:rsidRPr="00571519">
        <w:rPr>
          <w:rFonts w:ascii="Arial" w:hAnsi="Arial" w:cs="Arial"/>
          <w:sz w:val="24"/>
          <w:szCs w:val="24"/>
          <w:lang w:val="en-GB"/>
        </w:rPr>
        <w:t xml:space="preserve">isonment or both. </w:t>
      </w:r>
    </w:p>
    <w:p w14:paraId="09288314" w14:textId="77777777" w:rsidR="00F02AC8" w:rsidRPr="000942A3" w:rsidRDefault="00F02AC8" w:rsidP="000942A3">
      <w:pPr>
        <w:pStyle w:val="ListParagraph"/>
        <w:ind w:left="567" w:hanging="567"/>
        <w:rPr>
          <w:rFonts w:ascii="Arial" w:hAnsi="Arial" w:cs="Arial"/>
          <w:sz w:val="24"/>
          <w:szCs w:val="24"/>
          <w:lang w:val="en-GB"/>
        </w:rPr>
      </w:pPr>
    </w:p>
    <w:p w14:paraId="6B362A95" w14:textId="765C4BAF" w:rsidR="00977BDF" w:rsidRPr="00571519" w:rsidRDefault="00571519" w:rsidP="00262EEF">
      <w:pPr>
        <w:spacing w:after="16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r>
      <w:r w:rsidR="00977BDF" w:rsidRPr="00571519">
        <w:rPr>
          <w:rFonts w:ascii="Arial" w:hAnsi="Arial" w:cs="Arial"/>
          <w:sz w:val="24"/>
          <w:szCs w:val="24"/>
          <w:lang w:val="en-GB"/>
        </w:rPr>
        <w:t>In mitigation of sentence the accused person informed the court that he is 34 years old and unemployed. He explained that the vehicle was repaired a</w:t>
      </w:r>
      <w:r w:rsidR="00624185" w:rsidRPr="00571519">
        <w:rPr>
          <w:rFonts w:ascii="Arial" w:hAnsi="Arial" w:cs="Arial"/>
          <w:sz w:val="24"/>
          <w:szCs w:val="24"/>
          <w:lang w:val="en-GB"/>
        </w:rPr>
        <w:t xml:space="preserve">fter having been in an accident and that he did not collect the disc yet as he travelled over the weekend. </w:t>
      </w:r>
      <w:r w:rsidR="00977BDF" w:rsidRPr="00571519">
        <w:rPr>
          <w:rFonts w:ascii="Arial" w:hAnsi="Arial" w:cs="Arial"/>
          <w:sz w:val="24"/>
          <w:szCs w:val="24"/>
          <w:lang w:val="en-GB"/>
        </w:rPr>
        <w:t>This information stood unchallenged as the prosecutor placed no aggravating factors before the cou</w:t>
      </w:r>
      <w:r w:rsidR="00673297">
        <w:rPr>
          <w:rFonts w:ascii="Arial" w:hAnsi="Arial" w:cs="Arial"/>
          <w:sz w:val="24"/>
          <w:szCs w:val="24"/>
          <w:lang w:val="en-GB"/>
        </w:rPr>
        <w:t xml:space="preserve">rt. </w:t>
      </w:r>
      <w:r w:rsidR="00977BDF" w:rsidRPr="00571519">
        <w:rPr>
          <w:rFonts w:ascii="Arial" w:hAnsi="Arial" w:cs="Arial"/>
          <w:sz w:val="24"/>
          <w:szCs w:val="24"/>
          <w:lang w:val="en-GB"/>
        </w:rPr>
        <w:t xml:space="preserve">Additional considerations that </w:t>
      </w:r>
      <w:r w:rsidR="00624185" w:rsidRPr="00571519">
        <w:rPr>
          <w:rFonts w:ascii="Arial" w:hAnsi="Arial" w:cs="Arial"/>
          <w:sz w:val="24"/>
          <w:szCs w:val="24"/>
          <w:lang w:val="en-GB"/>
        </w:rPr>
        <w:t xml:space="preserve">ought to have been considered as factors in favour of the </w:t>
      </w:r>
      <w:r w:rsidR="00977BDF" w:rsidRPr="00571519">
        <w:rPr>
          <w:rFonts w:ascii="Arial" w:hAnsi="Arial" w:cs="Arial"/>
          <w:sz w:val="24"/>
          <w:szCs w:val="24"/>
          <w:lang w:val="en-GB"/>
        </w:rPr>
        <w:t>accused is that he is a first offender and offered a guilty plea during his first appearance at court.</w:t>
      </w:r>
    </w:p>
    <w:p w14:paraId="180C8D0B" w14:textId="77777777" w:rsidR="00977BDF" w:rsidRPr="000942A3" w:rsidRDefault="00977BDF" w:rsidP="000942A3">
      <w:pPr>
        <w:pStyle w:val="ListParagraph"/>
        <w:ind w:left="567" w:hanging="567"/>
        <w:rPr>
          <w:rFonts w:ascii="Arial" w:hAnsi="Arial" w:cs="Arial"/>
          <w:sz w:val="24"/>
          <w:szCs w:val="24"/>
          <w:lang w:val="en-GB"/>
        </w:rPr>
      </w:pPr>
    </w:p>
    <w:p w14:paraId="348B9CAA" w14:textId="52581BA7" w:rsidR="00977BDF" w:rsidRPr="00571519" w:rsidRDefault="00571519" w:rsidP="00571519">
      <w:pPr>
        <w:spacing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r>
      <w:r w:rsidR="00F02AC8" w:rsidRPr="00571519">
        <w:rPr>
          <w:rFonts w:ascii="Arial" w:hAnsi="Arial" w:cs="Arial"/>
          <w:sz w:val="24"/>
          <w:szCs w:val="24"/>
          <w:lang w:val="en-GB"/>
        </w:rPr>
        <w:t>The cou</w:t>
      </w:r>
      <w:r w:rsidR="00C2220D" w:rsidRPr="00571519">
        <w:rPr>
          <w:rFonts w:ascii="Arial" w:hAnsi="Arial" w:cs="Arial"/>
          <w:sz w:val="24"/>
          <w:szCs w:val="24"/>
          <w:lang w:val="en-GB"/>
        </w:rPr>
        <w:t xml:space="preserve">rt in its reasons for sentence came to the conclusion that </w:t>
      </w:r>
      <w:r w:rsidR="0071212B" w:rsidRPr="00571519">
        <w:rPr>
          <w:rFonts w:ascii="Arial" w:hAnsi="Arial" w:cs="Arial"/>
          <w:sz w:val="24"/>
          <w:szCs w:val="24"/>
          <w:lang w:val="en-GB"/>
        </w:rPr>
        <w:t xml:space="preserve">he considers </w:t>
      </w:r>
      <w:r w:rsidR="00F02AC8" w:rsidRPr="00571519">
        <w:rPr>
          <w:rFonts w:ascii="Arial" w:hAnsi="Arial" w:cs="Arial"/>
          <w:sz w:val="24"/>
          <w:szCs w:val="24"/>
          <w:lang w:val="en-GB"/>
        </w:rPr>
        <w:t>the offense is a serious one and ultimately imposed a fine of N$ 3000.00 or 12 months imprisonment.</w:t>
      </w:r>
    </w:p>
    <w:p w14:paraId="174ADC8A" w14:textId="0AE1A9B6" w:rsidR="00977BDF" w:rsidRPr="00571519" w:rsidRDefault="00571519" w:rsidP="00571519">
      <w:pPr>
        <w:spacing w:line="360" w:lineRule="auto"/>
        <w:jc w:val="both"/>
        <w:rPr>
          <w:rFonts w:ascii="Arial" w:hAnsi="Arial" w:cs="Arial"/>
          <w:sz w:val="24"/>
          <w:szCs w:val="24"/>
          <w:lang w:val="en-GB"/>
        </w:rPr>
      </w:pPr>
      <w:r>
        <w:rPr>
          <w:rFonts w:ascii="Arial" w:hAnsi="Arial" w:cs="Arial"/>
          <w:sz w:val="24"/>
          <w:szCs w:val="24"/>
          <w:lang w:val="en-GB"/>
        </w:rPr>
        <w:lastRenderedPageBreak/>
        <w:t>[12]</w:t>
      </w:r>
      <w:r>
        <w:rPr>
          <w:rFonts w:ascii="Arial" w:hAnsi="Arial" w:cs="Arial"/>
          <w:sz w:val="24"/>
          <w:szCs w:val="24"/>
          <w:lang w:val="en-GB"/>
        </w:rPr>
        <w:tab/>
      </w:r>
      <w:r w:rsidR="00977BDF" w:rsidRPr="00571519">
        <w:rPr>
          <w:rFonts w:ascii="Arial" w:hAnsi="Arial" w:cs="Arial"/>
          <w:sz w:val="24"/>
          <w:szCs w:val="24"/>
          <w:lang w:val="en-GB"/>
        </w:rPr>
        <w:t>I have no qualm that driving a vehicle that was not yet certified as roadworthy after having been in an accident may be regarded in a more serious light, but then the court should not have applied the provision for minor offense</w:t>
      </w:r>
      <w:r w:rsidR="00C2220D" w:rsidRPr="00571519">
        <w:rPr>
          <w:rFonts w:ascii="Arial" w:hAnsi="Arial" w:cs="Arial"/>
          <w:sz w:val="24"/>
          <w:szCs w:val="24"/>
          <w:lang w:val="en-GB"/>
        </w:rPr>
        <w:t>s</w:t>
      </w:r>
      <w:r w:rsidR="00977BDF" w:rsidRPr="00571519">
        <w:rPr>
          <w:rFonts w:ascii="Arial" w:hAnsi="Arial" w:cs="Arial"/>
          <w:sz w:val="24"/>
          <w:szCs w:val="24"/>
          <w:lang w:val="en-GB"/>
        </w:rPr>
        <w:t xml:space="preserve">.  </w:t>
      </w:r>
    </w:p>
    <w:p w14:paraId="6C9A538A" w14:textId="77777777" w:rsidR="00F02AC8" w:rsidRPr="000942A3" w:rsidRDefault="00F02AC8" w:rsidP="000942A3">
      <w:pPr>
        <w:pStyle w:val="ListParagraph"/>
        <w:ind w:left="567" w:hanging="567"/>
        <w:rPr>
          <w:rFonts w:ascii="Arial" w:hAnsi="Arial" w:cs="Arial"/>
          <w:sz w:val="24"/>
          <w:szCs w:val="24"/>
          <w:lang w:val="en-GB"/>
        </w:rPr>
      </w:pPr>
    </w:p>
    <w:p w14:paraId="6164723F" w14:textId="4DD07FD2" w:rsidR="00F406C2" w:rsidRPr="00571519" w:rsidRDefault="00571519" w:rsidP="00571519">
      <w:pPr>
        <w:spacing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r>
      <w:r w:rsidR="00F02AC8" w:rsidRPr="00571519">
        <w:rPr>
          <w:rFonts w:ascii="Arial" w:hAnsi="Arial" w:cs="Arial"/>
          <w:sz w:val="24"/>
          <w:szCs w:val="24"/>
          <w:lang w:val="en-GB"/>
        </w:rPr>
        <w:t>The anomaly in the matter lies in the fact that the provision of minor offenses was used to convict the accused whereas in sentencing the matter was treated as serious</w:t>
      </w:r>
      <w:r w:rsidR="00F406C2" w:rsidRPr="00571519">
        <w:rPr>
          <w:rFonts w:ascii="Arial" w:hAnsi="Arial" w:cs="Arial"/>
          <w:sz w:val="24"/>
          <w:szCs w:val="24"/>
          <w:lang w:val="en-GB"/>
        </w:rPr>
        <w:t>. The reclassification of the matter as serious resulted in the imposition of a rather heavy</w:t>
      </w:r>
      <w:r w:rsidR="0071212B" w:rsidRPr="00571519">
        <w:rPr>
          <w:rFonts w:ascii="Arial" w:hAnsi="Arial" w:cs="Arial"/>
          <w:sz w:val="24"/>
          <w:szCs w:val="24"/>
          <w:lang w:val="en-GB"/>
        </w:rPr>
        <w:t xml:space="preserve"> custodial sentence, which </w:t>
      </w:r>
      <w:r w:rsidR="00F406C2" w:rsidRPr="00571519">
        <w:rPr>
          <w:rFonts w:ascii="Arial" w:hAnsi="Arial" w:cs="Arial"/>
          <w:sz w:val="24"/>
          <w:szCs w:val="24"/>
          <w:lang w:val="en-GB"/>
        </w:rPr>
        <w:t>as I said earlier cannot be mentioned in the same breath as section 112(1</w:t>
      </w:r>
      <w:proofErr w:type="gramStart"/>
      <w:r w:rsidR="00F406C2" w:rsidRPr="00571519">
        <w:rPr>
          <w:rFonts w:ascii="Arial" w:hAnsi="Arial" w:cs="Arial"/>
          <w:sz w:val="24"/>
          <w:szCs w:val="24"/>
          <w:lang w:val="en-GB"/>
        </w:rPr>
        <w:t>)(</w:t>
      </w:r>
      <w:proofErr w:type="gramEnd"/>
      <w:r w:rsidR="00F406C2" w:rsidRPr="00571519">
        <w:rPr>
          <w:rFonts w:ascii="Arial" w:hAnsi="Arial" w:cs="Arial"/>
          <w:sz w:val="24"/>
          <w:szCs w:val="24"/>
          <w:lang w:val="en-GB"/>
        </w:rPr>
        <w:t xml:space="preserve">a) of the CPA. </w:t>
      </w:r>
      <w:r w:rsidR="007B2219" w:rsidRPr="00571519">
        <w:rPr>
          <w:rFonts w:ascii="Arial" w:hAnsi="Arial" w:cs="Arial"/>
          <w:sz w:val="24"/>
          <w:szCs w:val="24"/>
          <w:lang w:val="en-GB"/>
        </w:rPr>
        <w:t xml:space="preserve">The approach to sentence in guilty pleas under section 112(1)(a) of the CPA is succinctly captured in the headnote of </w:t>
      </w:r>
      <w:r w:rsidR="00ED68F3" w:rsidRPr="00571519">
        <w:rPr>
          <w:rFonts w:ascii="Arial" w:hAnsi="Arial" w:cs="Arial"/>
          <w:sz w:val="24"/>
          <w:szCs w:val="24"/>
          <w:lang w:val="en-GB"/>
        </w:rPr>
        <w:t xml:space="preserve">a recent review matter </w:t>
      </w:r>
      <w:r w:rsidR="00ED68F3" w:rsidRPr="00673297">
        <w:rPr>
          <w:rFonts w:ascii="Arial" w:hAnsi="Arial" w:cs="Arial"/>
          <w:i/>
          <w:sz w:val="24"/>
          <w:szCs w:val="24"/>
          <w:lang w:val="en-GB"/>
        </w:rPr>
        <w:t>S</w:t>
      </w:r>
      <w:r w:rsidR="00E4226D" w:rsidRPr="00673297">
        <w:rPr>
          <w:rFonts w:ascii="Arial" w:hAnsi="Arial" w:cs="Arial"/>
          <w:i/>
          <w:sz w:val="24"/>
          <w:szCs w:val="24"/>
          <w:lang w:val="en-GB"/>
        </w:rPr>
        <w:t xml:space="preserve"> v </w:t>
      </w:r>
      <w:proofErr w:type="spellStart"/>
      <w:r w:rsidR="00E4226D" w:rsidRPr="00673297">
        <w:rPr>
          <w:rFonts w:ascii="Arial" w:hAnsi="Arial" w:cs="Arial"/>
          <w:i/>
          <w:sz w:val="24"/>
          <w:szCs w:val="24"/>
          <w:lang w:val="en-GB"/>
        </w:rPr>
        <w:t>Nuyumba</w:t>
      </w:r>
      <w:proofErr w:type="spellEnd"/>
      <w:r w:rsidR="00E4226D" w:rsidRPr="000942A3">
        <w:rPr>
          <w:rStyle w:val="FootnoteReference"/>
          <w:rFonts w:ascii="Arial" w:hAnsi="Arial" w:cs="Arial"/>
          <w:sz w:val="24"/>
          <w:szCs w:val="24"/>
          <w:lang w:val="en-GB"/>
        </w:rPr>
        <w:footnoteReference w:id="2"/>
      </w:r>
      <w:r w:rsidR="00E4226D" w:rsidRPr="00571519">
        <w:rPr>
          <w:rFonts w:ascii="Arial" w:hAnsi="Arial" w:cs="Arial"/>
          <w:sz w:val="24"/>
          <w:szCs w:val="24"/>
          <w:lang w:val="en-GB"/>
        </w:rPr>
        <w:t xml:space="preserve"> </w:t>
      </w:r>
      <w:r w:rsidR="007B2219" w:rsidRPr="00571519">
        <w:rPr>
          <w:rFonts w:ascii="Arial" w:hAnsi="Arial" w:cs="Arial"/>
          <w:sz w:val="24"/>
          <w:szCs w:val="24"/>
          <w:lang w:val="en-GB"/>
        </w:rPr>
        <w:t>that it</w:t>
      </w:r>
      <w:r w:rsidR="000B2EB0" w:rsidRPr="00571519">
        <w:rPr>
          <w:rFonts w:ascii="Arial" w:hAnsi="Arial" w:cs="Arial"/>
          <w:sz w:val="24"/>
          <w:szCs w:val="24"/>
          <w:lang w:val="en-GB"/>
        </w:rPr>
        <w:t xml:space="preserve"> is not intended for excessive fines or lengthy custodial sentences. </w:t>
      </w:r>
    </w:p>
    <w:p w14:paraId="532DAAF4" w14:textId="77777777" w:rsidR="00ED68F3" w:rsidRPr="000942A3" w:rsidRDefault="00ED68F3" w:rsidP="000942A3">
      <w:pPr>
        <w:pStyle w:val="ListParagraph"/>
        <w:spacing w:line="360" w:lineRule="auto"/>
        <w:ind w:left="567" w:hanging="567"/>
        <w:jc w:val="both"/>
        <w:rPr>
          <w:rFonts w:ascii="Arial" w:hAnsi="Arial" w:cs="Arial"/>
          <w:sz w:val="24"/>
          <w:szCs w:val="24"/>
          <w:lang w:val="en-GB"/>
        </w:rPr>
      </w:pPr>
    </w:p>
    <w:p w14:paraId="1FA60B46" w14:textId="1AFA94A9" w:rsidR="00977BDF" w:rsidRPr="00571519" w:rsidRDefault="00571519" w:rsidP="00571519">
      <w:pPr>
        <w:spacing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r>
      <w:r w:rsidR="00977BDF" w:rsidRPr="00571519">
        <w:rPr>
          <w:rFonts w:ascii="Arial" w:hAnsi="Arial" w:cs="Arial"/>
          <w:sz w:val="24"/>
          <w:szCs w:val="24"/>
          <w:lang w:val="en-GB"/>
        </w:rPr>
        <w:t xml:space="preserve">It is prudent that magistrates do not accelerate into </w:t>
      </w:r>
      <w:r w:rsidR="0071212B" w:rsidRPr="00571519">
        <w:rPr>
          <w:rFonts w:ascii="Arial" w:hAnsi="Arial" w:cs="Arial"/>
          <w:sz w:val="24"/>
          <w:szCs w:val="24"/>
          <w:lang w:val="en-GB"/>
        </w:rPr>
        <w:t>section 112(1</w:t>
      </w:r>
      <w:proofErr w:type="gramStart"/>
      <w:r w:rsidR="0071212B" w:rsidRPr="00571519">
        <w:rPr>
          <w:rFonts w:ascii="Arial" w:hAnsi="Arial" w:cs="Arial"/>
          <w:sz w:val="24"/>
          <w:szCs w:val="24"/>
          <w:lang w:val="en-GB"/>
        </w:rPr>
        <w:t>)(</w:t>
      </w:r>
      <w:proofErr w:type="gramEnd"/>
      <w:r w:rsidR="0071212B" w:rsidRPr="00571519">
        <w:rPr>
          <w:rFonts w:ascii="Arial" w:hAnsi="Arial" w:cs="Arial"/>
          <w:sz w:val="24"/>
          <w:szCs w:val="24"/>
          <w:lang w:val="en-GB"/>
        </w:rPr>
        <w:t xml:space="preserve">a) of the CPA </w:t>
      </w:r>
      <w:r w:rsidR="00977BDF" w:rsidRPr="00571519">
        <w:rPr>
          <w:rFonts w:ascii="Arial" w:hAnsi="Arial" w:cs="Arial"/>
          <w:sz w:val="24"/>
          <w:szCs w:val="24"/>
          <w:lang w:val="en-GB"/>
        </w:rPr>
        <w:t xml:space="preserve"> without taking a moment to consider whether it is the sensible path to follow in the particular circumstances of a case.  It is apposite to refer to the matter of </w:t>
      </w:r>
      <w:r w:rsidR="00977BDF" w:rsidRPr="00673297">
        <w:rPr>
          <w:rFonts w:ascii="Arial" w:hAnsi="Arial" w:cs="Arial"/>
          <w:i/>
          <w:sz w:val="24"/>
          <w:szCs w:val="24"/>
          <w:lang w:val="en-GB"/>
        </w:rPr>
        <w:t xml:space="preserve">S v </w:t>
      </w:r>
      <w:proofErr w:type="spellStart"/>
      <w:r w:rsidR="00977BDF" w:rsidRPr="00673297">
        <w:rPr>
          <w:rFonts w:ascii="Arial" w:hAnsi="Arial" w:cs="Arial"/>
          <w:i/>
          <w:sz w:val="24"/>
          <w:szCs w:val="24"/>
          <w:lang w:val="en-GB"/>
        </w:rPr>
        <w:t>Onesmus</w:t>
      </w:r>
      <w:proofErr w:type="spellEnd"/>
      <w:r w:rsidR="00977BDF" w:rsidRPr="00571519">
        <w:rPr>
          <w:rFonts w:ascii="Arial" w:hAnsi="Arial" w:cs="Arial"/>
          <w:sz w:val="24"/>
          <w:szCs w:val="24"/>
          <w:lang w:val="en-GB"/>
        </w:rPr>
        <w:t xml:space="preserve">, </w:t>
      </w:r>
      <w:r w:rsidR="00977BDF" w:rsidRPr="00673297">
        <w:rPr>
          <w:rFonts w:ascii="Arial" w:hAnsi="Arial" w:cs="Arial"/>
          <w:i/>
          <w:sz w:val="24"/>
          <w:szCs w:val="24"/>
          <w:lang w:val="en-GB"/>
        </w:rPr>
        <w:t xml:space="preserve">S v </w:t>
      </w:r>
      <w:proofErr w:type="spellStart"/>
      <w:r w:rsidR="00977BDF" w:rsidRPr="00673297">
        <w:rPr>
          <w:rFonts w:ascii="Arial" w:hAnsi="Arial" w:cs="Arial"/>
          <w:i/>
          <w:sz w:val="24"/>
          <w:szCs w:val="24"/>
          <w:lang w:val="en-GB"/>
        </w:rPr>
        <w:t>Amukoto</w:t>
      </w:r>
      <w:proofErr w:type="spellEnd"/>
      <w:r w:rsidR="00977BDF" w:rsidRPr="00673297">
        <w:rPr>
          <w:rFonts w:ascii="Arial" w:hAnsi="Arial" w:cs="Arial"/>
          <w:i/>
          <w:sz w:val="24"/>
          <w:szCs w:val="24"/>
          <w:lang w:val="en-GB"/>
        </w:rPr>
        <w:t xml:space="preserve">, S  v </w:t>
      </w:r>
      <w:proofErr w:type="spellStart"/>
      <w:r w:rsidR="00977BDF" w:rsidRPr="00673297">
        <w:rPr>
          <w:rFonts w:ascii="Arial" w:hAnsi="Arial" w:cs="Arial"/>
          <w:i/>
          <w:sz w:val="24"/>
          <w:szCs w:val="24"/>
          <w:lang w:val="en-GB"/>
        </w:rPr>
        <w:t>Shipange</w:t>
      </w:r>
      <w:proofErr w:type="spellEnd"/>
      <w:r w:rsidR="00977BDF" w:rsidRPr="000942A3">
        <w:rPr>
          <w:rStyle w:val="FootnoteReference"/>
          <w:rFonts w:ascii="Arial" w:hAnsi="Arial" w:cs="Arial"/>
          <w:sz w:val="24"/>
          <w:szCs w:val="24"/>
          <w:lang w:val="en-GB"/>
        </w:rPr>
        <w:footnoteReference w:id="3"/>
      </w:r>
      <w:r w:rsidR="00977BDF" w:rsidRPr="00571519">
        <w:rPr>
          <w:rFonts w:ascii="Arial" w:hAnsi="Arial" w:cs="Arial"/>
          <w:sz w:val="24"/>
          <w:szCs w:val="24"/>
          <w:lang w:val="en-GB"/>
        </w:rPr>
        <w:t xml:space="preserve"> where the point is made that if a presiding officer is hampered by information to decide whether to apply section 112(1)(a) or section 112(1)(b) a short summary of the</w:t>
      </w:r>
      <w:r w:rsidR="005E0316">
        <w:rPr>
          <w:rFonts w:ascii="Arial" w:hAnsi="Arial" w:cs="Arial"/>
          <w:sz w:val="24"/>
          <w:szCs w:val="24"/>
          <w:lang w:val="en-GB"/>
        </w:rPr>
        <w:t xml:space="preserve"> State’s case may be requested.</w:t>
      </w:r>
    </w:p>
    <w:p w14:paraId="0A3951F0" w14:textId="77777777" w:rsidR="00977BDF" w:rsidRPr="000942A3" w:rsidRDefault="00977BDF" w:rsidP="000942A3">
      <w:pPr>
        <w:pStyle w:val="ListParagraph"/>
        <w:ind w:left="567" w:hanging="567"/>
        <w:rPr>
          <w:rFonts w:ascii="Arial" w:hAnsi="Arial" w:cs="Arial"/>
          <w:sz w:val="24"/>
          <w:szCs w:val="24"/>
          <w:lang w:val="en-GB"/>
        </w:rPr>
      </w:pPr>
    </w:p>
    <w:p w14:paraId="08782B2D" w14:textId="3AE110C6" w:rsidR="007B2219" w:rsidRPr="00571519" w:rsidRDefault="00571519" w:rsidP="00571519">
      <w:pPr>
        <w:spacing w:after="160"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r>
      <w:r w:rsidR="00F406C2" w:rsidRPr="00571519">
        <w:rPr>
          <w:rFonts w:ascii="Arial" w:hAnsi="Arial" w:cs="Arial"/>
          <w:sz w:val="24"/>
          <w:szCs w:val="24"/>
          <w:lang w:val="en-GB"/>
        </w:rPr>
        <w:t xml:space="preserve">It is for these reasons that the alternative part of the sentence, i.e. the </w:t>
      </w:r>
      <w:r w:rsidR="00977BDF" w:rsidRPr="00571519">
        <w:rPr>
          <w:rFonts w:ascii="Arial" w:hAnsi="Arial" w:cs="Arial"/>
          <w:sz w:val="24"/>
          <w:szCs w:val="24"/>
          <w:lang w:val="en-GB"/>
        </w:rPr>
        <w:t>12 mont</w:t>
      </w:r>
      <w:r w:rsidR="00F406C2" w:rsidRPr="00571519">
        <w:rPr>
          <w:rFonts w:ascii="Arial" w:hAnsi="Arial" w:cs="Arial"/>
          <w:sz w:val="24"/>
          <w:szCs w:val="24"/>
          <w:lang w:val="en-GB"/>
        </w:rPr>
        <w:t xml:space="preserve">hs imprisonment </w:t>
      </w:r>
      <w:r w:rsidR="00977BDF" w:rsidRPr="00571519">
        <w:rPr>
          <w:rFonts w:ascii="Arial" w:hAnsi="Arial" w:cs="Arial"/>
          <w:sz w:val="24"/>
          <w:szCs w:val="24"/>
          <w:lang w:val="en-GB"/>
        </w:rPr>
        <w:t xml:space="preserve">is disproportionate to the </w:t>
      </w:r>
      <w:r w:rsidR="00F406C2" w:rsidRPr="00571519">
        <w:rPr>
          <w:rFonts w:ascii="Arial" w:hAnsi="Arial" w:cs="Arial"/>
          <w:sz w:val="24"/>
          <w:szCs w:val="24"/>
          <w:lang w:val="en-GB"/>
        </w:rPr>
        <w:t>ci</w:t>
      </w:r>
      <w:r w:rsidR="005E0316">
        <w:rPr>
          <w:rFonts w:ascii="Arial" w:hAnsi="Arial" w:cs="Arial"/>
          <w:sz w:val="24"/>
          <w:szCs w:val="24"/>
          <w:lang w:val="en-GB"/>
        </w:rPr>
        <w:t>rcumstances of the matter.</w:t>
      </w:r>
    </w:p>
    <w:p w14:paraId="60C52940" w14:textId="77777777" w:rsidR="002862E8" w:rsidRPr="000942A3" w:rsidRDefault="002862E8" w:rsidP="000942A3">
      <w:pPr>
        <w:pStyle w:val="ListParagraph"/>
        <w:ind w:left="567" w:hanging="567"/>
        <w:rPr>
          <w:rFonts w:ascii="Arial" w:hAnsi="Arial" w:cs="Arial"/>
          <w:sz w:val="24"/>
          <w:szCs w:val="24"/>
          <w:lang w:val="en-GB"/>
        </w:rPr>
      </w:pPr>
    </w:p>
    <w:p w14:paraId="6FFB3473" w14:textId="77777777" w:rsidR="00EF770D" w:rsidRDefault="00EF770D">
      <w:pPr>
        <w:rPr>
          <w:rFonts w:ascii="Arial" w:hAnsi="Arial" w:cs="Arial"/>
          <w:sz w:val="24"/>
          <w:szCs w:val="24"/>
          <w:lang w:val="en-GB"/>
        </w:rPr>
      </w:pPr>
      <w:r>
        <w:rPr>
          <w:rFonts w:ascii="Arial" w:hAnsi="Arial" w:cs="Arial"/>
          <w:sz w:val="24"/>
          <w:szCs w:val="24"/>
          <w:lang w:val="en-GB"/>
        </w:rPr>
        <w:br w:type="page"/>
      </w:r>
    </w:p>
    <w:p w14:paraId="369282C9" w14:textId="3C06E7E6" w:rsidR="00977BDF" w:rsidRPr="00571519" w:rsidRDefault="00571519" w:rsidP="00571519">
      <w:pPr>
        <w:tabs>
          <w:tab w:val="left" w:pos="709"/>
        </w:tabs>
        <w:spacing w:after="160" w:line="360" w:lineRule="auto"/>
        <w:jc w:val="both"/>
        <w:rPr>
          <w:rFonts w:ascii="Arial" w:hAnsi="Arial" w:cs="Arial"/>
          <w:sz w:val="24"/>
          <w:szCs w:val="24"/>
          <w:lang w:val="en-GB"/>
        </w:rPr>
      </w:pPr>
      <w:r>
        <w:rPr>
          <w:rFonts w:ascii="Arial" w:hAnsi="Arial" w:cs="Arial"/>
          <w:sz w:val="24"/>
          <w:szCs w:val="24"/>
          <w:lang w:val="en-GB"/>
        </w:rPr>
        <w:lastRenderedPageBreak/>
        <w:t>[16]</w:t>
      </w:r>
      <w:r>
        <w:rPr>
          <w:rFonts w:ascii="Arial" w:hAnsi="Arial" w:cs="Arial"/>
          <w:sz w:val="24"/>
          <w:szCs w:val="24"/>
          <w:lang w:val="en-GB"/>
        </w:rPr>
        <w:tab/>
      </w:r>
      <w:r w:rsidR="00977BDF" w:rsidRPr="00571519">
        <w:rPr>
          <w:rFonts w:ascii="Arial" w:hAnsi="Arial" w:cs="Arial"/>
          <w:sz w:val="24"/>
          <w:szCs w:val="24"/>
          <w:lang w:val="en-GB"/>
        </w:rPr>
        <w:t xml:space="preserve">In the result it is ordered: </w:t>
      </w:r>
    </w:p>
    <w:p w14:paraId="2DB03435" w14:textId="77777777" w:rsidR="00977BDF" w:rsidRPr="000942A3" w:rsidRDefault="00977BDF" w:rsidP="00977BDF">
      <w:pPr>
        <w:pStyle w:val="ListParagraph"/>
        <w:rPr>
          <w:rFonts w:ascii="Arial" w:hAnsi="Arial" w:cs="Arial"/>
          <w:sz w:val="24"/>
          <w:szCs w:val="24"/>
          <w:lang w:val="en-GB"/>
        </w:rPr>
      </w:pPr>
    </w:p>
    <w:p w14:paraId="3BC418AD" w14:textId="77777777" w:rsidR="00EF770D" w:rsidRPr="00EF770D" w:rsidRDefault="00EF770D" w:rsidP="00EF770D">
      <w:pPr>
        <w:pStyle w:val="ListParagraph"/>
        <w:numPr>
          <w:ilvl w:val="0"/>
          <w:numId w:val="9"/>
        </w:numPr>
        <w:spacing w:after="160" w:line="360" w:lineRule="auto"/>
        <w:ind w:hanging="513"/>
        <w:jc w:val="both"/>
        <w:rPr>
          <w:rFonts w:ascii="Arial" w:hAnsi="Arial" w:cs="Arial"/>
          <w:sz w:val="24"/>
          <w:szCs w:val="24"/>
          <w:lang w:val="en-GB"/>
        </w:rPr>
      </w:pPr>
      <w:r w:rsidRPr="00EF770D">
        <w:rPr>
          <w:rFonts w:ascii="Arial" w:hAnsi="Arial" w:cs="Arial"/>
          <w:sz w:val="24"/>
          <w:szCs w:val="24"/>
          <w:lang w:val="en-GB"/>
        </w:rPr>
        <w:t>The conviction is confirmed.</w:t>
      </w:r>
    </w:p>
    <w:p w14:paraId="5BCFB144" w14:textId="615FB3DD" w:rsidR="00977BDF" w:rsidRDefault="00977BDF" w:rsidP="00D56183">
      <w:pPr>
        <w:pStyle w:val="ListParagraph"/>
        <w:numPr>
          <w:ilvl w:val="0"/>
          <w:numId w:val="9"/>
        </w:numPr>
        <w:spacing w:after="160" w:line="360" w:lineRule="auto"/>
        <w:ind w:left="1134" w:hanging="567"/>
        <w:jc w:val="both"/>
        <w:rPr>
          <w:rFonts w:ascii="Arial" w:hAnsi="Arial" w:cs="Arial"/>
          <w:sz w:val="24"/>
          <w:szCs w:val="24"/>
          <w:lang w:val="en-GB"/>
        </w:rPr>
      </w:pPr>
      <w:r w:rsidRPr="00464708">
        <w:rPr>
          <w:rFonts w:ascii="Arial" w:hAnsi="Arial" w:cs="Arial"/>
          <w:sz w:val="24"/>
          <w:szCs w:val="24"/>
          <w:lang w:val="en-GB"/>
        </w:rPr>
        <w:t>The sentence is set aside and substituted as follows: Accused to pay a fine of N$ 3000.00 or 3 months imprisonment.</w:t>
      </w:r>
    </w:p>
    <w:p w14:paraId="49D059A4" w14:textId="7CAB2B04" w:rsidR="00977BDF" w:rsidRDefault="00977BDF" w:rsidP="00464708">
      <w:pPr>
        <w:pStyle w:val="ListParagraph"/>
        <w:numPr>
          <w:ilvl w:val="0"/>
          <w:numId w:val="9"/>
        </w:numPr>
        <w:spacing w:after="160" w:line="360" w:lineRule="auto"/>
        <w:ind w:left="1134" w:hanging="567"/>
        <w:jc w:val="both"/>
        <w:rPr>
          <w:rFonts w:ascii="Arial" w:hAnsi="Arial" w:cs="Arial"/>
          <w:sz w:val="24"/>
          <w:szCs w:val="24"/>
          <w:lang w:val="en-GB"/>
        </w:rPr>
      </w:pPr>
      <w:r w:rsidRPr="00464708">
        <w:rPr>
          <w:rFonts w:ascii="Arial" w:hAnsi="Arial" w:cs="Arial"/>
          <w:sz w:val="24"/>
          <w:szCs w:val="24"/>
          <w:lang w:val="en-GB"/>
        </w:rPr>
        <w:t>The sentence is antedated to 25 October 2019.</w:t>
      </w:r>
    </w:p>
    <w:p w14:paraId="0F5E0C82" w14:textId="77777777" w:rsidR="00622914" w:rsidRDefault="00622914" w:rsidP="00622914">
      <w:pPr>
        <w:spacing w:after="160" w:line="360" w:lineRule="auto"/>
        <w:jc w:val="both"/>
        <w:rPr>
          <w:rFonts w:ascii="Arial" w:hAnsi="Arial" w:cs="Arial"/>
          <w:sz w:val="24"/>
          <w:szCs w:val="24"/>
          <w:lang w:val="en-GB"/>
        </w:rPr>
      </w:pPr>
    </w:p>
    <w:p w14:paraId="60BBF094" w14:textId="77777777" w:rsidR="00622914" w:rsidRDefault="00622914" w:rsidP="00622914">
      <w:pPr>
        <w:spacing w:after="160" w:line="360" w:lineRule="auto"/>
        <w:jc w:val="both"/>
        <w:rPr>
          <w:rFonts w:ascii="Arial" w:hAnsi="Arial" w:cs="Arial"/>
          <w:sz w:val="24"/>
          <w:szCs w:val="24"/>
          <w:lang w:val="en-GB"/>
        </w:rPr>
      </w:pPr>
    </w:p>
    <w:p w14:paraId="25095248" w14:textId="77777777" w:rsidR="00622914" w:rsidRPr="00622914" w:rsidRDefault="00622914" w:rsidP="00622914">
      <w:pPr>
        <w:spacing w:after="160" w:line="360" w:lineRule="auto"/>
        <w:jc w:val="both"/>
        <w:rPr>
          <w:rFonts w:ascii="Arial" w:hAnsi="Arial" w:cs="Arial"/>
          <w:sz w:val="24"/>
          <w:szCs w:val="24"/>
          <w:lang w:val="en-GB"/>
        </w:rPr>
      </w:pPr>
    </w:p>
    <w:p w14:paraId="6A306611" w14:textId="6E65BCE5" w:rsidR="006766F5" w:rsidRPr="000942A3" w:rsidRDefault="00F406C2" w:rsidP="00F406C2">
      <w:pPr>
        <w:tabs>
          <w:tab w:val="left" w:pos="7230"/>
        </w:tabs>
        <w:spacing w:after="0" w:line="360" w:lineRule="auto"/>
        <w:jc w:val="both"/>
        <w:rPr>
          <w:rFonts w:ascii="Arial" w:hAnsi="Arial" w:cs="Arial"/>
          <w:sz w:val="24"/>
          <w:szCs w:val="24"/>
        </w:rPr>
      </w:pPr>
      <w:r w:rsidRPr="000942A3">
        <w:rPr>
          <w:rFonts w:ascii="Arial" w:hAnsi="Arial" w:cs="Arial"/>
          <w:sz w:val="24"/>
          <w:szCs w:val="24"/>
        </w:rPr>
        <w:tab/>
        <w:t>_____________</w:t>
      </w:r>
    </w:p>
    <w:p w14:paraId="71422AA7" w14:textId="71606534" w:rsidR="006766F5" w:rsidRPr="000942A3" w:rsidRDefault="006766F5" w:rsidP="006766F5">
      <w:pPr>
        <w:spacing w:after="0" w:line="360" w:lineRule="auto"/>
        <w:jc w:val="right"/>
        <w:rPr>
          <w:rFonts w:ascii="Arial" w:hAnsi="Arial" w:cs="Arial"/>
          <w:sz w:val="24"/>
          <w:szCs w:val="24"/>
          <w:lang w:val="en-US"/>
        </w:rPr>
      </w:pPr>
      <w:r w:rsidRPr="000942A3">
        <w:rPr>
          <w:rFonts w:ascii="Arial" w:hAnsi="Arial" w:cs="Arial"/>
          <w:sz w:val="24"/>
          <w:szCs w:val="24"/>
          <w:lang w:val="en-US"/>
        </w:rPr>
        <w:t>C</w:t>
      </w:r>
      <w:r w:rsidR="008C4E1A">
        <w:rPr>
          <w:rFonts w:ascii="Arial" w:hAnsi="Arial" w:cs="Arial"/>
          <w:sz w:val="24"/>
          <w:szCs w:val="24"/>
          <w:lang w:val="en-US"/>
        </w:rPr>
        <w:t xml:space="preserve"> </w:t>
      </w:r>
      <w:r w:rsidRPr="000942A3">
        <w:rPr>
          <w:rFonts w:ascii="Arial" w:hAnsi="Arial" w:cs="Arial"/>
          <w:sz w:val="24"/>
          <w:szCs w:val="24"/>
          <w:lang w:val="en-US"/>
        </w:rPr>
        <w:t xml:space="preserve"> CLAASEN</w:t>
      </w:r>
    </w:p>
    <w:p w14:paraId="04235C41" w14:textId="30489CC3" w:rsidR="00F406C2" w:rsidRPr="000942A3" w:rsidRDefault="006766F5" w:rsidP="006766F5">
      <w:pPr>
        <w:spacing w:after="0" w:line="360" w:lineRule="auto"/>
        <w:jc w:val="right"/>
        <w:rPr>
          <w:rFonts w:ascii="Arial" w:hAnsi="Arial" w:cs="Arial"/>
          <w:sz w:val="24"/>
          <w:szCs w:val="24"/>
          <w:lang w:val="en-US"/>
        </w:rPr>
      </w:pPr>
      <w:r w:rsidRPr="000942A3">
        <w:rPr>
          <w:rFonts w:ascii="Arial" w:hAnsi="Arial" w:cs="Arial"/>
          <w:sz w:val="24"/>
          <w:szCs w:val="24"/>
          <w:lang w:val="en-US"/>
        </w:rPr>
        <w:t xml:space="preserve">                                                                   </w:t>
      </w:r>
      <w:r w:rsidR="00622914">
        <w:rPr>
          <w:rFonts w:ascii="Arial" w:hAnsi="Arial" w:cs="Arial"/>
          <w:sz w:val="24"/>
          <w:szCs w:val="24"/>
          <w:lang w:val="en-US"/>
        </w:rPr>
        <w:t>JUDGE</w:t>
      </w:r>
    </w:p>
    <w:p w14:paraId="2798A585" w14:textId="77777777" w:rsidR="0071212B" w:rsidRDefault="0071212B" w:rsidP="006766F5">
      <w:pPr>
        <w:spacing w:after="0" w:line="360" w:lineRule="auto"/>
        <w:jc w:val="right"/>
        <w:rPr>
          <w:rFonts w:ascii="Arial" w:hAnsi="Arial" w:cs="Arial"/>
          <w:sz w:val="24"/>
          <w:szCs w:val="24"/>
          <w:lang w:val="en-US"/>
        </w:rPr>
      </w:pPr>
    </w:p>
    <w:p w14:paraId="71A658F0" w14:textId="77777777" w:rsidR="00622914" w:rsidRDefault="00622914" w:rsidP="006766F5">
      <w:pPr>
        <w:spacing w:after="0" w:line="360" w:lineRule="auto"/>
        <w:jc w:val="right"/>
        <w:rPr>
          <w:rFonts w:ascii="Arial" w:hAnsi="Arial" w:cs="Arial"/>
          <w:sz w:val="24"/>
          <w:szCs w:val="24"/>
          <w:lang w:val="en-US"/>
        </w:rPr>
      </w:pPr>
    </w:p>
    <w:p w14:paraId="15AEE5A7" w14:textId="77777777" w:rsidR="00622914" w:rsidRPr="000942A3" w:rsidRDefault="00622914" w:rsidP="006766F5">
      <w:pPr>
        <w:spacing w:after="0" w:line="360" w:lineRule="auto"/>
        <w:jc w:val="right"/>
        <w:rPr>
          <w:rFonts w:ascii="Arial" w:hAnsi="Arial" w:cs="Arial"/>
          <w:sz w:val="24"/>
          <w:szCs w:val="24"/>
          <w:lang w:val="en-US"/>
        </w:rPr>
      </w:pPr>
    </w:p>
    <w:p w14:paraId="4D0FA20B" w14:textId="1DB7A880" w:rsidR="00F406C2" w:rsidRPr="000942A3" w:rsidRDefault="00F406C2" w:rsidP="00F406C2">
      <w:pPr>
        <w:spacing w:after="0" w:line="360" w:lineRule="auto"/>
        <w:jc w:val="right"/>
        <w:rPr>
          <w:rFonts w:ascii="Arial" w:hAnsi="Arial" w:cs="Arial"/>
          <w:sz w:val="24"/>
          <w:szCs w:val="24"/>
        </w:rPr>
      </w:pPr>
      <w:r w:rsidRPr="000942A3">
        <w:rPr>
          <w:rFonts w:ascii="Arial" w:hAnsi="Arial" w:cs="Arial"/>
          <w:sz w:val="24"/>
          <w:szCs w:val="24"/>
        </w:rPr>
        <w:t>_____________</w:t>
      </w:r>
      <w:r w:rsidR="00622914">
        <w:rPr>
          <w:rFonts w:ascii="Arial" w:hAnsi="Arial" w:cs="Arial"/>
          <w:sz w:val="24"/>
          <w:szCs w:val="24"/>
        </w:rPr>
        <w:t>__</w:t>
      </w:r>
    </w:p>
    <w:p w14:paraId="6BC8588F" w14:textId="6CB2AD85" w:rsidR="00F406C2" w:rsidRPr="000942A3" w:rsidRDefault="00F406C2" w:rsidP="00F406C2">
      <w:pPr>
        <w:spacing w:after="0" w:line="360" w:lineRule="auto"/>
        <w:jc w:val="right"/>
        <w:rPr>
          <w:rFonts w:ascii="Arial" w:hAnsi="Arial" w:cs="Arial"/>
          <w:sz w:val="24"/>
          <w:szCs w:val="24"/>
          <w:lang w:val="en-US"/>
        </w:rPr>
      </w:pPr>
      <w:r w:rsidRPr="000942A3">
        <w:rPr>
          <w:rFonts w:ascii="Arial" w:hAnsi="Arial" w:cs="Arial"/>
          <w:sz w:val="24"/>
          <w:szCs w:val="24"/>
          <w:lang w:val="en-US"/>
        </w:rPr>
        <w:t xml:space="preserve">E </w:t>
      </w:r>
      <w:proofErr w:type="gramStart"/>
      <w:r w:rsidRPr="000942A3">
        <w:rPr>
          <w:rFonts w:ascii="Arial" w:hAnsi="Arial" w:cs="Arial"/>
          <w:sz w:val="24"/>
          <w:szCs w:val="24"/>
          <w:lang w:val="en-US"/>
        </w:rPr>
        <w:t xml:space="preserve">P </w:t>
      </w:r>
      <w:r w:rsidR="000942A3" w:rsidRPr="000942A3">
        <w:rPr>
          <w:rFonts w:ascii="Arial" w:hAnsi="Arial" w:cs="Arial"/>
          <w:sz w:val="24"/>
          <w:szCs w:val="24"/>
          <w:lang w:val="en-US"/>
        </w:rPr>
        <w:t xml:space="preserve"> </w:t>
      </w:r>
      <w:r w:rsidRPr="000942A3">
        <w:rPr>
          <w:rFonts w:ascii="Arial" w:hAnsi="Arial" w:cs="Arial"/>
          <w:sz w:val="24"/>
          <w:szCs w:val="24"/>
          <w:lang w:val="en-US"/>
        </w:rPr>
        <w:t>UNGENGU</w:t>
      </w:r>
      <w:proofErr w:type="gramEnd"/>
    </w:p>
    <w:p w14:paraId="12C8707A" w14:textId="77777777" w:rsidR="00622914" w:rsidRDefault="00F406C2" w:rsidP="00F406C2">
      <w:pPr>
        <w:spacing w:after="0" w:line="360" w:lineRule="auto"/>
        <w:jc w:val="right"/>
        <w:rPr>
          <w:rFonts w:ascii="Arial" w:hAnsi="Arial" w:cs="Arial"/>
          <w:sz w:val="24"/>
          <w:szCs w:val="24"/>
          <w:lang w:val="en-US"/>
        </w:rPr>
      </w:pPr>
      <w:r w:rsidRPr="000942A3">
        <w:rPr>
          <w:rFonts w:ascii="Arial" w:hAnsi="Arial" w:cs="Arial"/>
          <w:sz w:val="24"/>
          <w:szCs w:val="24"/>
          <w:lang w:val="en-US"/>
        </w:rPr>
        <w:t xml:space="preserve">                                                              </w:t>
      </w:r>
      <w:proofErr w:type="gramStart"/>
      <w:r w:rsidRPr="000942A3">
        <w:rPr>
          <w:rFonts w:ascii="Arial" w:hAnsi="Arial" w:cs="Arial"/>
          <w:sz w:val="24"/>
          <w:szCs w:val="24"/>
          <w:lang w:val="en-US"/>
        </w:rPr>
        <w:t>ACTING  JUDGE</w:t>
      </w:r>
      <w:proofErr w:type="gramEnd"/>
    </w:p>
    <w:p w14:paraId="5A95ED92" w14:textId="77777777" w:rsidR="00622914" w:rsidRDefault="00622914" w:rsidP="00F406C2">
      <w:pPr>
        <w:spacing w:after="0" w:line="360" w:lineRule="auto"/>
        <w:jc w:val="right"/>
        <w:rPr>
          <w:rFonts w:ascii="Arial" w:hAnsi="Arial" w:cs="Arial"/>
          <w:sz w:val="24"/>
          <w:szCs w:val="24"/>
          <w:lang w:val="en-US"/>
        </w:rPr>
      </w:pPr>
    </w:p>
    <w:p w14:paraId="71ACF1E2" w14:textId="77777777" w:rsidR="00622914" w:rsidRDefault="00622914" w:rsidP="00F406C2">
      <w:pPr>
        <w:spacing w:after="0" w:line="360" w:lineRule="auto"/>
        <w:jc w:val="right"/>
        <w:rPr>
          <w:rFonts w:ascii="Arial" w:hAnsi="Arial" w:cs="Arial"/>
          <w:sz w:val="24"/>
          <w:szCs w:val="24"/>
          <w:lang w:val="en-US"/>
        </w:rPr>
      </w:pPr>
    </w:p>
    <w:p w14:paraId="44C7E21D" w14:textId="77777777" w:rsidR="00622914" w:rsidRPr="000942A3" w:rsidRDefault="00622914" w:rsidP="00F406C2">
      <w:pPr>
        <w:spacing w:after="0" w:line="360" w:lineRule="auto"/>
        <w:jc w:val="right"/>
        <w:rPr>
          <w:rFonts w:ascii="Arial" w:hAnsi="Arial" w:cs="Arial"/>
          <w:sz w:val="24"/>
          <w:szCs w:val="24"/>
          <w:lang w:val="en-US"/>
        </w:rPr>
      </w:pPr>
    </w:p>
    <w:sectPr w:rsidR="00622914" w:rsidRPr="000942A3" w:rsidSect="00015869">
      <w:headerReference w:type="default" r:id="rId9"/>
      <w:pgSz w:w="11906" w:h="16838"/>
      <w:pgMar w:top="1440" w:right="1274"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FF7E1" w14:textId="77777777" w:rsidR="00E54405" w:rsidRDefault="00E54405" w:rsidP="00CF2371">
      <w:pPr>
        <w:spacing w:after="0" w:line="240" w:lineRule="auto"/>
      </w:pPr>
      <w:r>
        <w:separator/>
      </w:r>
    </w:p>
  </w:endnote>
  <w:endnote w:type="continuationSeparator" w:id="0">
    <w:p w14:paraId="32226EC8" w14:textId="77777777" w:rsidR="00E54405" w:rsidRDefault="00E54405" w:rsidP="00CF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54E6B" w14:textId="77777777" w:rsidR="00E54405" w:rsidRDefault="00E54405" w:rsidP="00CF2371">
      <w:pPr>
        <w:spacing w:after="0" w:line="240" w:lineRule="auto"/>
      </w:pPr>
      <w:r>
        <w:separator/>
      </w:r>
    </w:p>
  </w:footnote>
  <w:footnote w:type="continuationSeparator" w:id="0">
    <w:p w14:paraId="7684E3D5" w14:textId="77777777" w:rsidR="00E54405" w:rsidRDefault="00E54405" w:rsidP="00CF2371">
      <w:pPr>
        <w:spacing w:after="0" w:line="240" w:lineRule="auto"/>
      </w:pPr>
      <w:r>
        <w:continuationSeparator/>
      </w:r>
    </w:p>
  </w:footnote>
  <w:footnote w:id="1">
    <w:p w14:paraId="639BA1A3" w14:textId="77777777" w:rsidR="00977BDF" w:rsidRPr="009B260E" w:rsidRDefault="00977BDF" w:rsidP="009B260E">
      <w:pPr>
        <w:pStyle w:val="FootnoteText"/>
        <w:jc w:val="both"/>
        <w:rPr>
          <w:rFonts w:ascii="Arial" w:hAnsi="Arial" w:cs="Arial"/>
        </w:rPr>
      </w:pPr>
      <w:r w:rsidRPr="009B260E">
        <w:rPr>
          <w:rStyle w:val="FootnoteReference"/>
          <w:rFonts w:ascii="Arial" w:hAnsi="Arial" w:cs="Arial"/>
        </w:rPr>
        <w:footnoteRef/>
      </w:r>
      <w:r w:rsidRPr="009B260E">
        <w:rPr>
          <w:rFonts w:ascii="Arial" w:hAnsi="Arial" w:cs="Arial"/>
        </w:rPr>
        <w:t xml:space="preserve"> </w:t>
      </w:r>
      <w:r w:rsidRPr="009B260E">
        <w:rPr>
          <w:rFonts w:ascii="Arial" w:hAnsi="Arial" w:cs="Arial"/>
          <w:color w:val="262626" w:themeColor="text1" w:themeTint="D9"/>
          <w:lang w:val="en-GB"/>
        </w:rPr>
        <w:t>1991 NR 203 (HC)</w:t>
      </w:r>
    </w:p>
  </w:footnote>
  <w:footnote w:id="2">
    <w:p w14:paraId="508B3D73" w14:textId="558EB037" w:rsidR="00E4226D" w:rsidRPr="009B260E" w:rsidRDefault="00E4226D" w:rsidP="009B260E">
      <w:pPr>
        <w:pStyle w:val="FootnoteText"/>
        <w:jc w:val="both"/>
        <w:rPr>
          <w:rFonts w:ascii="Arial" w:hAnsi="Arial" w:cs="Arial"/>
          <w:lang w:val="en-US"/>
        </w:rPr>
      </w:pPr>
      <w:r w:rsidRPr="009B260E">
        <w:rPr>
          <w:rStyle w:val="FootnoteReference"/>
          <w:rFonts w:ascii="Arial" w:hAnsi="Arial" w:cs="Arial"/>
        </w:rPr>
        <w:footnoteRef/>
      </w:r>
      <w:r w:rsidRPr="009B260E">
        <w:rPr>
          <w:rFonts w:ascii="Arial" w:hAnsi="Arial" w:cs="Arial"/>
        </w:rPr>
        <w:t xml:space="preserve"> (</w:t>
      </w:r>
      <w:r w:rsidRPr="009B260E">
        <w:rPr>
          <w:rFonts w:ascii="Arial" w:hAnsi="Arial" w:cs="Arial"/>
          <w:lang w:val="en-US"/>
        </w:rPr>
        <w:t>CR 31/2019) [2019] NAHCMD 97 (12 April 2019)</w:t>
      </w:r>
      <w:bookmarkStart w:id="0" w:name="_GoBack"/>
      <w:bookmarkEnd w:id="0"/>
    </w:p>
  </w:footnote>
  <w:footnote w:id="3">
    <w:p w14:paraId="6494C939" w14:textId="77777777" w:rsidR="00977BDF" w:rsidRPr="009B260E" w:rsidRDefault="00977BDF" w:rsidP="009B260E">
      <w:pPr>
        <w:pStyle w:val="FootnoteText"/>
        <w:jc w:val="both"/>
        <w:rPr>
          <w:rFonts w:ascii="Arial" w:hAnsi="Arial" w:cs="Arial"/>
        </w:rPr>
      </w:pPr>
      <w:r w:rsidRPr="009B260E">
        <w:rPr>
          <w:rStyle w:val="FootnoteReference"/>
          <w:rFonts w:ascii="Arial" w:hAnsi="Arial" w:cs="Arial"/>
        </w:rPr>
        <w:footnoteRef/>
      </w:r>
      <w:r w:rsidRPr="009B260E">
        <w:rPr>
          <w:rFonts w:ascii="Arial" w:hAnsi="Arial" w:cs="Arial"/>
        </w:rPr>
        <w:t xml:space="preserve"> </w:t>
      </w:r>
      <w:r w:rsidRPr="009B260E">
        <w:rPr>
          <w:rFonts w:ascii="Arial" w:hAnsi="Arial" w:cs="Arial"/>
          <w:color w:val="262626" w:themeColor="text1" w:themeTint="D9"/>
          <w:lang w:val="en-GB"/>
        </w:rPr>
        <w:t>2011 (2) NR 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130942"/>
      <w:docPartObj>
        <w:docPartGallery w:val="Page Numbers (Top of Page)"/>
        <w:docPartUnique/>
      </w:docPartObj>
    </w:sdtPr>
    <w:sdtEndPr>
      <w:rPr>
        <w:noProof/>
      </w:rPr>
    </w:sdtEndPr>
    <w:sdtContent>
      <w:p w14:paraId="3EC0C4B6" w14:textId="77777777" w:rsidR="00186830" w:rsidRDefault="00E54405">
        <w:pPr>
          <w:pStyle w:val="Header"/>
          <w:jc w:val="right"/>
        </w:pPr>
      </w:p>
      <w:p w14:paraId="04475456" w14:textId="77777777" w:rsidR="00186830" w:rsidRDefault="002B7756">
        <w:pPr>
          <w:pStyle w:val="Header"/>
          <w:jc w:val="right"/>
        </w:pPr>
        <w:r>
          <w:fldChar w:fldCharType="begin"/>
        </w:r>
        <w:r>
          <w:instrText xml:space="preserve"> PAGE   \* MERGEFORMAT </w:instrText>
        </w:r>
        <w:r>
          <w:fldChar w:fldCharType="separate"/>
        </w:r>
        <w:r w:rsidR="009B260E">
          <w:rPr>
            <w:noProof/>
          </w:rPr>
          <w:t>6</w:t>
        </w:r>
        <w:r>
          <w:rPr>
            <w:noProof/>
          </w:rPr>
          <w:fldChar w:fldCharType="end"/>
        </w:r>
      </w:p>
    </w:sdtContent>
  </w:sdt>
  <w:p w14:paraId="3F7B0F08" w14:textId="77777777" w:rsidR="0018255E" w:rsidRDefault="00E54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32CF"/>
    <w:multiLevelType w:val="hybridMultilevel"/>
    <w:tmpl w:val="AFE68700"/>
    <w:lvl w:ilvl="0" w:tplc="04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935648F"/>
    <w:multiLevelType w:val="hybridMultilevel"/>
    <w:tmpl w:val="229C39EE"/>
    <w:lvl w:ilvl="0" w:tplc="07EE729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A37B5"/>
    <w:multiLevelType w:val="hybridMultilevel"/>
    <w:tmpl w:val="30AEECFE"/>
    <w:lvl w:ilvl="0" w:tplc="A434DD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3A15C24"/>
    <w:multiLevelType w:val="hybridMultilevel"/>
    <w:tmpl w:val="47A6027E"/>
    <w:lvl w:ilvl="0" w:tplc="2BBA0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2A1BC2"/>
    <w:multiLevelType w:val="hybridMultilevel"/>
    <w:tmpl w:val="D584CF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B3148"/>
    <w:multiLevelType w:val="hybridMultilevel"/>
    <w:tmpl w:val="F3B067A4"/>
    <w:lvl w:ilvl="0" w:tplc="AA840D00">
      <w:start w:val="1"/>
      <w:numFmt w:val="lowerRoman"/>
      <w:lvlText w:val="(%1)"/>
      <w:lvlJc w:val="left"/>
      <w:pPr>
        <w:ind w:left="1440" w:hanging="720"/>
      </w:pPr>
      <w:rPr>
        <w:rFonts w:ascii="Arial Narrow" w:hAnsi="Arial Narrow"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375EFD"/>
    <w:multiLevelType w:val="hybridMultilevel"/>
    <w:tmpl w:val="8F705408"/>
    <w:lvl w:ilvl="0" w:tplc="7D6C23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D7406"/>
    <w:multiLevelType w:val="hybridMultilevel"/>
    <w:tmpl w:val="730E824A"/>
    <w:lvl w:ilvl="0" w:tplc="38AED77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6E655B58"/>
    <w:multiLevelType w:val="hybridMultilevel"/>
    <w:tmpl w:val="730E824A"/>
    <w:lvl w:ilvl="0" w:tplc="38AED77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8"/>
  </w:num>
  <w:num w:numId="3">
    <w:abstractNumId w:val="0"/>
  </w:num>
  <w:num w:numId="4">
    <w:abstractNumId w:val="1"/>
  </w:num>
  <w:num w:numId="5">
    <w:abstractNumId w:val="4"/>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F5"/>
    <w:rsid w:val="000111BA"/>
    <w:rsid w:val="00075732"/>
    <w:rsid w:val="000942A3"/>
    <w:rsid w:val="000B2EB0"/>
    <w:rsid w:val="000D7A57"/>
    <w:rsid w:val="000E234F"/>
    <w:rsid w:val="00155C02"/>
    <w:rsid w:val="0017353C"/>
    <w:rsid w:val="00182010"/>
    <w:rsid w:val="001B4219"/>
    <w:rsid w:val="00262EEF"/>
    <w:rsid w:val="002862E8"/>
    <w:rsid w:val="002B7756"/>
    <w:rsid w:val="002C0750"/>
    <w:rsid w:val="002C7E80"/>
    <w:rsid w:val="002D7109"/>
    <w:rsid w:val="003D516C"/>
    <w:rsid w:val="003F0224"/>
    <w:rsid w:val="00421354"/>
    <w:rsid w:val="00464708"/>
    <w:rsid w:val="00474779"/>
    <w:rsid w:val="004A7186"/>
    <w:rsid w:val="004C0B87"/>
    <w:rsid w:val="004C206B"/>
    <w:rsid w:val="004C4061"/>
    <w:rsid w:val="004D08C1"/>
    <w:rsid w:val="00504179"/>
    <w:rsid w:val="00542504"/>
    <w:rsid w:val="005621BF"/>
    <w:rsid w:val="00571519"/>
    <w:rsid w:val="005779B2"/>
    <w:rsid w:val="0058796C"/>
    <w:rsid w:val="005C59A2"/>
    <w:rsid w:val="005D1A6E"/>
    <w:rsid w:val="005E0316"/>
    <w:rsid w:val="00602283"/>
    <w:rsid w:val="00622556"/>
    <w:rsid w:val="00622914"/>
    <w:rsid w:val="00624185"/>
    <w:rsid w:val="00630E40"/>
    <w:rsid w:val="00635375"/>
    <w:rsid w:val="00673297"/>
    <w:rsid w:val="006766F5"/>
    <w:rsid w:val="006E13F2"/>
    <w:rsid w:val="006F0170"/>
    <w:rsid w:val="006F4541"/>
    <w:rsid w:val="0071212B"/>
    <w:rsid w:val="00733A11"/>
    <w:rsid w:val="00733A23"/>
    <w:rsid w:val="00771627"/>
    <w:rsid w:val="00795AB7"/>
    <w:rsid w:val="007B2219"/>
    <w:rsid w:val="007C6F5D"/>
    <w:rsid w:val="008109C3"/>
    <w:rsid w:val="00850DED"/>
    <w:rsid w:val="008707B9"/>
    <w:rsid w:val="008C4E1A"/>
    <w:rsid w:val="008D455D"/>
    <w:rsid w:val="00971B6D"/>
    <w:rsid w:val="00977BDF"/>
    <w:rsid w:val="009B260E"/>
    <w:rsid w:val="00A4142C"/>
    <w:rsid w:val="00A515D0"/>
    <w:rsid w:val="00A51769"/>
    <w:rsid w:val="00A8156E"/>
    <w:rsid w:val="00A95B66"/>
    <w:rsid w:val="00AD33D7"/>
    <w:rsid w:val="00AE79A4"/>
    <w:rsid w:val="00B21E34"/>
    <w:rsid w:val="00B23E98"/>
    <w:rsid w:val="00B7337C"/>
    <w:rsid w:val="00B92760"/>
    <w:rsid w:val="00BA4BB0"/>
    <w:rsid w:val="00BE0FD6"/>
    <w:rsid w:val="00BF42AC"/>
    <w:rsid w:val="00C16BE6"/>
    <w:rsid w:val="00C2220D"/>
    <w:rsid w:val="00C23DDC"/>
    <w:rsid w:val="00C333C5"/>
    <w:rsid w:val="00C356AF"/>
    <w:rsid w:val="00C86CDD"/>
    <w:rsid w:val="00CA2F22"/>
    <w:rsid w:val="00CC59C6"/>
    <w:rsid w:val="00CE045B"/>
    <w:rsid w:val="00CF2371"/>
    <w:rsid w:val="00CF6D9D"/>
    <w:rsid w:val="00CF7BF0"/>
    <w:rsid w:val="00D028FD"/>
    <w:rsid w:val="00D36A04"/>
    <w:rsid w:val="00D56183"/>
    <w:rsid w:val="00D62F2D"/>
    <w:rsid w:val="00D7075D"/>
    <w:rsid w:val="00DC0ED4"/>
    <w:rsid w:val="00E01E6C"/>
    <w:rsid w:val="00E05999"/>
    <w:rsid w:val="00E05EE4"/>
    <w:rsid w:val="00E36B46"/>
    <w:rsid w:val="00E4226D"/>
    <w:rsid w:val="00E54405"/>
    <w:rsid w:val="00E75D37"/>
    <w:rsid w:val="00EA0E23"/>
    <w:rsid w:val="00EC2656"/>
    <w:rsid w:val="00EC76B8"/>
    <w:rsid w:val="00ED645E"/>
    <w:rsid w:val="00ED68F3"/>
    <w:rsid w:val="00EE1E25"/>
    <w:rsid w:val="00EE72A4"/>
    <w:rsid w:val="00EF770D"/>
    <w:rsid w:val="00F02AC8"/>
    <w:rsid w:val="00F07E3B"/>
    <w:rsid w:val="00F27A08"/>
    <w:rsid w:val="00F406C2"/>
    <w:rsid w:val="00F443E4"/>
    <w:rsid w:val="00F6398E"/>
    <w:rsid w:val="00F72EBB"/>
    <w:rsid w:val="00F76472"/>
    <w:rsid w:val="00F76568"/>
    <w:rsid w:val="00FA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C5B3"/>
  <w15:docId w15:val="{986B0E42-2701-432F-9237-64DB511C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F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6F5"/>
    <w:pPr>
      <w:ind w:left="720"/>
      <w:contextualSpacing/>
    </w:pPr>
  </w:style>
  <w:style w:type="paragraph" w:styleId="Header">
    <w:name w:val="header"/>
    <w:basedOn w:val="Normal"/>
    <w:link w:val="HeaderChar"/>
    <w:uiPriority w:val="99"/>
    <w:unhideWhenUsed/>
    <w:rsid w:val="00676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6F5"/>
    <w:rPr>
      <w:lang w:val="en-ZA"/>
    </w:rPr>
  </w:style>
  <w:style w:type="paragraph" w:styleId="BalloonText">
    <w:name w:val="Balloon Text"/>
    <w:basedOn w:val="Normal"/>
    <w:link w:val="BalloonTextChar"/>
    <w:uiPriority w:val="99"/>
    <w:semiHidden/>
    <w:unhideWhenUsed/>
    <w:rsid w:val="0067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6F5"/>
    <w:rPr>
      <w:rFonts w:ascii="Tahoma" w:hAnsi="Tahoma" w:cs="Tahoma"/>
      <w:sz w:val="16"/>
      <w:szCs w:val="16"/>
      <w:lang w:val="en-ZA"/>
    </w:rPr>
  </w:style>
  <w:style w:type="paragraph" w:styleId="FootnoteText">
    <w:name w:val="footnote text"/>
    <w:basedOn w:val="Normal"/>
    <w:link w:val="FootnoteTextChar"/>
    <w:uiPriority w:val="99"/>
    <w:semiHidden/>
    <w:unhideWhenUsed/>
    <w:rsid w:val="00CF23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371"/>
    <w:rPr>
      <w:sz w:val="20"/>
      <w:szCs w:val="20"/>
      <w:lang w:val="en-ZA"/>
    </w:rPr>
  </w:style>
  <w:style w:type="character" w:styleId="FootnoteReference">
    <w:name w:val="footnote reference"/>
    <w:basedOn w:val="DefaultParagraphFont"/>
    <w:uiPriority w:val="99"/>
    <w:semiHidden/>
    <w:unhideWhenUsed/>
    <w:rsid w:val="00CF2371"/>
    <w:rPr>
      <w:vertAlign w:val="superscript"/>
    </w:rPr>
  </w:style>
  <w:style w:type="character" w:styleId="CommentReference">
    <w:name w:val="annotation reference"/>
    <w:basedOn w:val="DefaultParagraphFont"/>
    <w:uiPriority w:val="99"/>
    <w:semiHidden/>
    <w:unhideWhenUsed/>
    <w:rsid w:val="00977BDF"/>
    <w:rPr>
      <w:sz w:val="16"/>
      <w:szCs w:val="16"/>
    </w:rPr>
  </w:style>
  <w:style w:type="paragraph" w:styleId="CommentText">
    <w:name w:val="annotation text"/>
    <w:basedOn w:val="Normal"/>
    <w:link w:val="CommentTextChar"/>
    <w:uiPriority w:val="99"/>
    <w:semiHidden/>
    <w:unhideWhenUsed/>
    <w:rsid w:val="00977BDF"/>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977B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2020-02-10T18:30:00+00:00</Judgment_x0020_Date>
  </documentManagement>
</p:properties>
</file>

<file path=customXml/itemProps1.xml><?xml version="1.0" encoding="utf-8"?>
<ds:datastoreItem xmlns:ds="http://schemas.openxmlformats.org/officeDocument/2006/customXml" ds:itemID="{3F5A3C30-1812-42C0-AE7C-E3271D8918E1}"/>
</file>

<file path=customXml/itemProps2.xml><?xml version="1.0" encoding="utf-8"?>
<ds:datastoreItem xmlns:ds="http://schemas.openxmlformats.org/officeDocument/2006/customXml" ds:itemID="{C6297B60-9329-4E9D-BEAC-2DDE8CFC110E}"/>
</file>

<file path=customXml/itemProps3.xml><?xml version="1.0" encoding="utf-8"?>
<ds:datastoreItem xmlns:ds="http://schemas.openxmlformats.org/officeDocument/2006/customXml" ds:itemID="{04554687-3072-4344-ADC2-23835B072288}"/>
</file>

<file path=customXml/itemProps4.xml><?xml version="1.0" encoding="utf-8"?>
<ds:datastoreItem xmlns:ds="http://schemas.openxmlformats.org/officeDocument/2006/customXml" ds:itemID="{839BAA07-36E0-421C-A988-42598F07B233}"/>
</file>

<file path=docProps/app.xml><?xml version="1.0" encoding="utf-8"?>
<Properties xmlns="http://schemas.openxmlformats.org/officeDocument/2006/extended-properties" xmlns:vt="http://schemas.openxmlformats.org/officeDocument/2006/docPropsVTypes">
  <Template>Normal</Template>
  <TotalTime>4</TotalTime>
  <Pages>6</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Lotta N. Ambunda</cp:lastModifiedBy>
  <cp:revision>5</cp:revision>
  <cp:lastPrinted>2020-02-10T07:30:00Z</cp:lastPrinted>
  <dcterms:created xsi:type="dcterms:W3CDTF">2020-02-14T13:48:00Z</dcterms:created>
  <dcterms:modified xsi:type="dcterms:W3CDTF">2020-02-17T09:19:00Z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