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40" w:rsidRPr="003B3443" w:rsidRDefault="00397E40" w:rsidP="006918E4">
      <w:pPr>
        <w:spacing w:after="0" w:line="360" w:lineRule="auto"/>
        <w:jc w:val="center"/>
        <w:rPr>
          <w:rFonts w:ascii="Arial" w:hAnsi="Arial" w:cs="Arial"/>
          <w:b/>
          <w:sz w:val="24"/>
          <w:szCs w:val="24"/>
        </w:rPr>
      </w:pPr>
      <w:r w:rsidRPr="003B3443">
        <w:rPr>
          <w:rFonts w:ascii="Arial" w:hAnsi="Arial" w:cs="Arial"/>
          <w:b/>
          <w:sz w:val="24"/>
          <w:szCs w:val="24"/>
        </w:rPr>
        <w:t>REPUBLIC OF NAMIBIA</w:t>
      </w:r>
    </w:p>
    <w:p w:rsidR="00397E40" w:rsidRPr="007A140E" w:rsidRDefault="00397E40" w:rsidP="006918E4">
      <w:pPr>
        <w:spacing w:after="0" w:line="360" w:lineRule="auto"/>
        <w:jc w:val="center"/>
        <w:rPr>
          <w:rFonts w:ascii="Arial Narrow" w:hAnsi="Arial Narrow" w:cs="Arial"/>
          <w:b/>
          <w:noProof/>
          <w:sz w:val="24"/>
          <w:szCs w:val="24"/>
        </w:rPr>
      </w:pPr>
      <w:r w:rsidRPr="007A140E">
        <w:rPr>
          <w:rFonts w:ascii="Arial Narrow" w:hAnsi="Arial Narrow" w:cs="Arial"/>
          <w:b/>
          <w:noProof/>
          <w:sz w:val="24"/>
          <w:szCs w:val="24"/>
          <w:lang w:val="en-US"/>
        </w:rPr>
        <w:drawing>
          <wp:inline distT="0" distB="0" distL="0" distR="0" wp14:anchorId="746AEAC4" wp14:editId="44BD6920">
            <wp:extent cx="1276350" cy="1323975"/>
            <wp:effectExtent l="0" t="0" r="0"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743308" name="Picture 1"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76350" cy="1323975"/>
                    </a:xfrm>
                    <a:prstGeom prst="rect">
                      <a:avLst/>
                    </a:prstGeom>
                    <a:noFill/>
                    <a:ln>
                      <a:noFill/>
                    </a:ln>
                  </pic:spPr>
                </pic:pic>
              </a:graphicData>
            </a:graphic>
          </wp:inline>
        </w:drawing>
      </w:r>
    </w:p>
    <w:p w:rsidR="00397E40" w:rsidRPr="003B3443" w:rsidRDefault="00397E40" w:rsidP="006918E4">
      <w:pPr>
        <w:spacing w:after="0" w:line="360" w:lineRule="auto"/>
        <w:jc w:val="center"/>
        <w:rPr>
          <w:rFonts w:ascii="Arial" w:hAnsi="Arial" w:cs="Arial"/>
          <w:b/>
          <w:bCs/>
          <w:sz w:val="24"/>
          <w:szCs w:val="24"/>
        </w:rPr>
      </w:pPr>
      <w:r w:rsidRPr="003B3443">
        <w:rPr>
          <w:rFonts w:ascii="Arial" w:hAnsi="Arial" w:cs="Arial"/>
          <w:b/>
          <w:sz w:val="24"/>
          <w:szCs w:val="24"/>
        </w:rPr>
        <w:t>HIGH COURT OF NAMIBIA MAIN DIVISION, WINDHOEK</w:t>
      </w:r>
    </w:p>
    <w:p w:rsidR="00D26CB5" w:rsidRPr="003B3443" w:rsidRDefault="00397E40" w:rsidP="006918E4">
      <w:pPr>
        <w:spacing w:after="0" w:line="360" w:lineRule="auto"/>
        <w:jc w:val="center"/>
        <w:rPr>
          <w:rFonts w:ascii="Arial" w:hAnsi="Arial" w:cs="Arial"/>
          <w:sz w:val="24"/>
          <w:szCs w:val="24"/>
        </w:rPr>
      </w:pPr>
      <w:r w:rsidRPr="003B3443">
        <w:rPr>
          <w:rFonts w:ascii="Arial" w:hAnsi="Arial" w:cs="Arial"/>
          <w:b/>
          <w:sz w:val="24"/>
          <w:szCs w:val="24"/>
        </w:rPr>
        <w:t>RULING</w:t>
      </w:r>
    </w:p>
    <w:tbl>
      <w:tblPr>
        <w:tblStyle w:val="TableGrid"/>
        <w:tblW w:w="9720" w:type="dxa"/>
        <w:tblInd w:w="-275" w:type="dxa"/>
        <w:tblLook w:val="04A0" w:firstRow="1" w:lastRow="0" w:firstColumn="1" w:lastColumn="0" w:noHBand="0" w:noVBand="1"/>
      </w:tblPr>
      <w:tblGrid>
        <w:gridCol w:w="4770"/>
        <w:gridCol w:w="627"/>
        <w:gridCol w:w="4323"/>
      </w:tblGrid>
      <w:tr w:rsidR="00D26CB5" w:rsidRPr="007A140E" w:rsidTr="0092129C">
        <w:trPr>
          <w:trHeight w:val="744"/>
        </w:trPr>
        <w:tc>
          <w:tcPr>
            <w:tcW w:w="5397" w:type="dxa"/>
            <w:gridSpan w:val="2"/>
            <w:vMerge w:val="restart"/>
          </w:tcPr>
          <w:p w:rsidR="00D26CB5" w:rsidRPr="00E018FB" w:rsidRDefault="00D26CB5" w:rsidP="007A140E">
            <w:pPr>
              <w:spacing w:line="360" w:lineRule="auto"/>
              <w:jc w:val="both"/>
              <w:rPr>
                <w:rFonts w:ascii="Arial Narrow" w:hAnsi="Arial Narrow" w:cs="Arial"/>
                <w:sz w:val="24"/>
                <w:szCs w:val="24"/>
              </w:rPr>
            </w:pPr>
            <w:r w:rsidRPr="00E018FB">
              <w:rPr>
                <w:rFonts w:ascii="Arial Narrow" w:hAnsi="Arial Narrow" w:cs="Arial"/>
                <w:b/>
                <w:sz w:val="24"/>
                <w:szCs w:val="24"/>
              </w:rPr>
              <w:t>Case Title:</w:t>
            </w:r>
          </w:p>
          <w:p w:rsidR="00D26CB5" w:rsidRPr="00E018FB" w:rsidRDefault="00BE29A1" w:rsidP="007A140E">
            <w:pPr>
              <w:spacing w:line="360" w:lineRule="auto"/>
              <w:jc w:val="both"/>
              <w:rPr>
                <w:rFonts w:ascii="Arial Narrow" w:hAnsi="Arial Narrow" w:cs="Arial"/>
                <w:sz w:val="24"/>
                <w:szCs w:val="24"/>
              </w:rPr>
            </w:pPr>
            <w:r w:rsidRPr="00E018FB">
              <w:rPr>
                <w:rFonts w:ascii="Arial Narrow" w:hAnsi="Arial Narrow" w:cs="Arial"/>
                <w:sz w:val="24"/>
                <w:szCs w:val="24"/>
                <w:shd w:val="clear" w:color="auto" w:fill="FFFFFF"/>
              </w:rPr>
              <w:t>KISHI SHAKUMU &amp; CO INC v</w:t>
            </w:r>
            <w:r w:rsidR="007F2C89" w:rsidRPr="00E018FB">
              <w:rPr>
                <w:rFonts w:ascii="Arial Narrow" w:hAnsi="Arial Narrow" w:cs="Arial"/>
                <w:sz w:val="24"/>
                <w:szCs w:val="24"/>
                <w:shd w:val="clear" w:color="auto" w:fill="FFFFFF"/>
              </w:rPr>
              <w:t xml:space="preserve"> PERISA NISAVIC</w:t>
            </w:r>
          </w:p>
        </w:tc>
        <w:tc>
          <w:tcPr>
            <w:tcW w:w="4323" w:type="dxa"/>
          </w:tcPr>
          <w:p w:rsidR="00D26CB5" w:rsidRPr="00E018FB" w:rsidRDefault="00D26CB5" w:rsidP="007A140E">
            <w:pPr>
              <w:spacing w:line="360" w:lineRule="auto"/>
              <w:jc w:val="both"/>
              <w:rPr>
                <w:rFonts w:ascii="Arial Narrow" w:hAnsi="Arial Narrow" w:cs="Arial"/>
                <w:sz w:val="24"/>
                <w:szCs w:val="24"/>
              </w:rPr>
            </w:pPr>
            <w:r w:rsidRPr="00E018FB">
              <w:rPr>
                <w:rFonts w:ascii="Arial Narrow" w:hAnsi="Arial Narrow" w:cs="Arial"/>
                <w:b/>
                <w:sz w:val="24"/>
                <w:szCs w:val="24"/>
              </w:rPr>
              <w:t>Case No:</w:t>
            </w:r>
          </w:p>
          <w:p w:rsidR="00D26CB5" w:rsidRPr="00E018FB" w:rsidRDefault="007F2C89" w:rsidP="007A140E">
            <w:pPr>
              <w:spacing w:line="360" w:lineRule="auto"/>
              <w:jc w:val="both"/>
              <w:rPr>
                <w:rFonts w:ascii="Arial Narrow" w:hAnsi="Arial Narrow" w:cs="Arial"/>
                <w:sz w:val="24"/>
                <w:szCs w:val="24"/>
              </w:rPr>
            </w:pPr>
            <w:r w:rsidRPr="00E018FB">
              <w:rPr>
                <w:rFonts w:ascii="Arial Narrow" w:hAnsi="Arial Narrow" w:cs="Arial"/>
                <w:sz w:val="24"/>
                <w:szCs w:val="24"/>
                <w:shd w:val="clear" w:color="auto" w:fill="FFFFFF"/>
              </w:rPr>
              <w:t>HC-MD-CIV-ACT-CON-2020/01784</w:t>
            </w:r>
          </w:p>
        </w:tc>
      </w:tr>
      <w:tr w:rsidR="00D26CB5" w:rsidRPr="007A140E" w:rsidTr="0019302E">
        <w:trPr>
          <w:trHeight w:val="737"/>
        </w:trPr>
        <w:tc>
          <w:tcPr>
            <w:tcW w:w="5397" w:type="dxa"/>
            <w:gridSpan w:val="2"/>
            <w:vMerge/>
          </w:tcPr>
          <w:p w:rsidR="00D26CB5" w:rsidRPr="00E018FB" w:rsidRDefault="00D26CB5" w:rsidP="007A140E">
            <w:pPr>
              <w:spacing w:line="360" w:lineRule="auto"/>
              <w:jc w:val="both"/>
              <w:rPr>
                <w:rFonts w:ascii="Arial Narrow" w:hAnsi="Arial Narrow" w:cs="Arial"/>
                <w:sz w:val="24"/>
                <w:szCs w:val="24"/>
              </w:rPr>
            </w:pPr>
          </w:p>
        </w:tc>
        <w:tc>
          <w:tcPr>
            <w:tcW w:w="4323" w:type="dxa"/>
          </w:tcPr>
          <w:p w:rsidR="00D26CB5" w:rsidRPr="00E018FB" w:rsidRDefault="00D26CB5" w:rsidP="007A140E">
            <w:pPr>
              <w:spacing w:line="360" w:lineRule="auto"/>
              <w:jc w:val="both"/>
              <w:rPr>
                <w:rFonts w:ascii="Arial Narrow" w:hAnsi="Arial Narrow" w:cs="Arial"/>
                <w:sz w:val="24"/>
                <w:szCs w:val="24"/>
              </w:rPr>
            </w:pPr>
            <w:r w:rsidRPr="00E018FB">
              <w:rPr>
                <w:rFonts w:ascii="Arial Narrow" w:hAnsi="Arial Narrow" w:cs="Arial"/>
                <w:b/>
                <w:sz w:val="24"/>
                <w:szCs w:val="24"/>
              </w:rPr>
              <w:t>Division of Court:</w:t>
            </w:r>
          </w:p>
          <w:p w:rsidR="00D26CB5" w:rsidRPr="00E018FB" w:rsidRDefault="00D67EBE" w:rsidP="007A140E">
            <w:pPr>
              <w:spacing w:line="360" w:lineRule="auto"/>
              <w:jc w:val="both"/>
              <w:rPr>
                <w:rFonts w:ascii="Arial Narrow" w:hAnsi="Arial Narrow" w:cs="Arial"/>
                <w:sz w:val="24"/>
                <w:szCs w:val="24"/>
              </w:rPr>
            </w:pPr>
            <w:r w:rsidRPr="00E018FB">
              <w:rPr>
                <w:rFonts w:ascii="Arial Narrow" w:hAnsi="Arial Narrow" w:cs="Arial"/>
                <w:sz w:val="24"/>
                <w:szCs w:val="24"/>
              </w:rPr>
              <w:t>MAIN DIVISION</w:t>
            </w:r>
          </w:p>
        </w:tc>
      </w:tr>
      <w:tr w:rsidR="00D26CB5" w:rsidRPr="007A140E" w:rsidTr="0019302E">
        <w:trPr>
          <w:trHeight w:val="728"/>
        </w:trPr>
        <w:tc>
          <w:tcPr>
            <w:tcW w:w="5397" w:type="dxa"/>
            <w:gridSpan w:val="2"/>
            <w:vMerge w:val="restart"/>
          </w:tcPr>
          <w:p w:rsidR="00D26CB5" w:rsidRPr="00E018FB" w:rsidRDefault="00371056" w:rsidP="007A140E">
            <w:pPr>
              <w:spacing w:line="360" w:lineRule="auto"/>
              <w:jc w:val="both"/>
              <w:rPr>
                <w:rFonts w:ascii="Arial Narrow" w:hAnsi="Arial Narrow" w:cs="Arial"/>
                <w:b/>
                <w:sz w:val="24"/>
                <w:szCs w:val="24"/>
              </w:rPr>
            </w:pPr>
            <w:r w:rsidRPr="00E018FB">
              <w:rPr>
                <w:rFonts w:ascii="Arial Narrow" w:hAnsi="Arial Narrow" w:cs="Arial"/>
                <w:b/>
                <w:sz w:val="24"/>
                <w:szCs w:val="24"/>
              </w:rPr>
              <w:t>Heard before</w:t>
            </w:r>
          </w:p>
          <w:p w:rsidR="00371056" w:rsidRPr="00E018FB" w:rsidRDefault="00CE700B" w:rsidP="007A140E">
            <w:pPr>
              <w:spacing w:line="360" w:lineRule="auto"/>
              <w:jc w:val="both"/>
              <w:rPr>
                <w:rFonts w:ascii="Arial Narrow" w:hAnsi="Arial Narrow" w:cs="Arial"/>
                <w:sz w:val="24"/>
                <w:szCs w:val="24"/>
              </w:rPr>
            </w:pPr>
            <w:r w:rsidRPr="00E018FB">
              <w:rPr>
                <w:rFonts w:ascii="Arial Narrow" w:hAnsi="Arial Narrow" w:cs="Arial"/>
                <w:sz w:val="24"/>
                <w:szCs w:val="24"/>
              </w:rPr>
              <w:t>HONOURABLE LADY JUSTICE PRINSLOO, JUDGE</w:t>
            </w:r>
          </w:p>
        </w:tc>
        <w:tc>
          <w:tcPr>
            <w:tcW w:w="4323" w:type="dxa"/>
          </w:tcPr>
          <w:p w:rsidR="00D26CB5" w:rsidRPr="00E018FB" w:rsidRDefault="00D26CB5" w:rsidP="007A140E">
            <w:pPr>
              <w:spacing w:line="360" w:lineRule="auto"/>
              <w:jc w:val="both"/>
              <w:rPr>
                <w:rFonts w:ascii="Arial Narrow" w:hAnsi="Arial Narrow" w:cs="Arial"/>
                <w:b/>
                <w:sz w:val="24"/>
                <w:szCs w:val="24"/>
              </w:rPr>
            </w:pPr>
            <w:r w:rsidRPr="00E018FB">
              <w:rPr>
                <w:rFonts w:ascii="Arial Narrow" w:hAnsi="Arial Narrow" w:cs="Arial"/>
                <w:b/>
                <w:sz w:val="24"/>
                <w:szCs w:val="24"/>
              </w:rPr>
              <w:t>Date of hearing:</w:t>
            </w:r>
          </w:p>
          <w:p w:rsidR="00D26CB5" w:rsidRPr="00E018FB" w:rsidRDefault="00CD0FD2" w:rsidP="007A140E">
            <w:pPr>
              <w:spacing w:line="360" w:lineRule="auto"/>
              <w:jc w:val="both"/>
              <w:rPr>
                <w:rFonts w:ascii="Arial Narrow" w:hAnsi="Arial Narrow" w:cs="Arial"/>
                <w:sz w:val="24"/>
                <w:szCs w:val="24"/>
              </w:rPr>
            </w:pPr>
            <w:r w:rsidRPr="00E018FB">
              <w:rPr>
                <w:rFonts w:ascii="Arial Narrow" w:hAnsi="Arial Narrow" w:cs="Arial"/>
                <w:sz w:val="24"/>
                <w:szCs w:val="24"/>
              </w:rPr>
              <w:t>2</w:t>
            </w:r>
            <w:r w:rsidR="007F2C89" w:rsidRPr="00E018FB">
              <w:rPr>
                <w:rFonts w:ascii="Arial Narrow" w:hAnsi="Arial Narrow" w:cs="Arial"/>
                <w:sz w:val="24"/>
                <w:szCs w:val="24"/>
              </w:rPr>
              <w:t>8</w:t>
            </w:r>
            <w:r w:rsidRPr="00E018FB">
              <w:rPr>
                <w:rFonts w:ascii="Arial Narrow" w:hAnsi="Arial Narrow" w:cs="Arial"/>
                <w:sz w:val="24"/>
                <w:szCs w:val="24"/>
              </w:rPr>
              <w:t xml:space="preserve"> September</w:t>
            </w:r>
            <w:r w:rsidR="00D67EBE" w:rsidRPr="00E018FB">
              <w:rPr>
                <w:rFonts w:ascii="Arial Narrow" w:hAnsi="Arial Narrow" w:cs="Arial"/>
                <w:sz w:val="24"/>
                <w:szCs w:val="24"/>
              </w:rPr>
              <w:t xml:space="preserve"> 20</w:t>
            </w:r>
            <w:r w:rsidR="00C5049E" w:rsidRPr="00E018FB">
              <w:rPr>
                <w:rFonts w:ascii="Arial Narrow" w:hAnsi="Arial Narrow" w:cs="Arial"/>
                <w:sz w:val="24"/>
                <w:szCs w:val="24"/>
              </w:rPr>
              <w:t>20</w:t>
            </w:r>
          </w:p>
        </w:tc>
      </w:tr>
      <w:tr w:rsidR="00D26CB5" w:rsidRPr="007A140E" w:rsidTr="0019302E">
        <w:trPr>
          <w:trHeight w:val="593"/>
        </w:trPr>
        <w:tc>
          <w:tcPr>
            <w:tcW w:w="5397" w:type="dxa"/>
            <w:gridSpan w:val="2"/>
            <w:vMerge/>
          </w:tcPr>
          <w:p w:rsidR="00D26CB5" w:rsidRPr="00E018FB" w:rsidRDefault="00D26CB5" w:rsidP="007A140E">
            <w:pPr>
              <w:spacing w:line="360" w:lineRule="auto"/>
              <w:jc w:val="both"/>
              <w:rPr>
                <w:rFonts w:ascii="Arial Narrow" w:hAnsi="Arial Narrow" w:cs="Arial"/>
                <w:b/>
                <w:sz w:val="24"/>
                <w:szCs w:val="24"/>
              </w:rPr>
            </w:pPr>
          </w:p>
        </w:tc>
        <w:tc>
          <w:tcPr>
            <w:tcW w:w="4323" w:type="dxa"/>
          </w:tcPr>
          <w:p w:rsidR="00D26CB5" w:rsidRPr="00E018FB" w:rsidRDefault="00701DE4" w:rsidP="007A140E">
            <w:pPr>
              <w:spacing w:line="360" w:lineRule="auto"/>
              <w:jc w:val="both"/>
              <w:rPr>
                <w:rFonts w:ascii="Arial Narrow" w:hAnsi="Arial Narrow" w:cs="Arial"/>
                <w:b/>
                <w:sz w:val="24"/>
                <w:szCs w:val="24"/>
              </w:rPr>
            </w:pPr>
            <w:r w:rsidRPr="00E018FB">
              <w:rPr>
                <w:rFonts w:ascii="Arial Narrow" w:hAnsi="Arial Narrow" w:cs="Arial"/>
                <w:b/>
                <w:sz w:val="24"/>
                <w:szCs w:val="24"/>
              </w:rPr>
              <w:t>Delivered</w:t>
            </w:r>
            <w:r w:rsidR="00D26CB5" w:rsidRPr="00E018FB">
              <w:rPr>
                <w:rFonts w:ascii="Arial Narrow" w:hAnsi="Arial Narrow" w:cs="Arial"/>
                <w:b/>
                <w:sz w:val="24"/>
                <w:szCs w:val="24"/>
              </w:rPr>
              <w:t>:</w:t>
            </w:r>
          </w:p>
          <w:p w:rsidR="005B5CFB" w:rsidRPr="003B3443" w:rsidRDefault="007F2C89" w:rsidP="007A140E">
            <w:pPr>
              <w:spacing w:line="360" w:lineRule="auto"/>
              <w:jc w:val="both"/>
              <w:rPr>
                <w:rFonts w:ascii="Arial Narrow" w:hAnsi="Arial Narrow" w:cs="Arial"/>
                <w:b/>
                <w:sz w:val="24"/>
                <w:szCs w:val="24"/>
              </w:rPr>
            </w:pPr>
            <w:r w:rsidRPr="003B3443">
              <w:rPr>
                <w:rFonts w:ascii="Arial Narrow" w:hAnsi="Arial Narrow" w:cs="Arial"/>
                <w:b/>
                <w:sz w:val="24"/>
                <w:szCs w:val="24"/>
              </w:rPr>
              <w:t>1</w:t>
            </w:r>
            <w:r w:rsidR="00C5049E" w:rsidRPr="003B3443">
              <w:rPr>
                <w:rFonts w:ascii="Arial Narrow" w:hAnsi="Arial Narrow" w:cs="Arial"/>
                <w:b/>
                <w:sz w:val="24"/>
                <w:szCs w:val="24"/>
              </w:rPr>
              <w:t xml:space="preserve"> </w:t>
            </w:r>
            <w:r w:rsidRPr="003B3443">
              <w:rPr>
                <w:rFonts w:ascii="Arial Narrow" w:hAnsi="Arial Narrow" w:cs="Arial"/>
                <w:b/>
                <w:sz w:val="24"/>
                <w:szCs w:val="24"/>
              </w:rPr>
              <w:t>October</w:t>
            </w:r>
            <w:r w:rsidR="00CD0FD2" w:rsidRPr="003B3443">
              <w:rPr>
                <w:rFonts w:ascii="Arial Narrow" w:hAnsi="Arial Narrow" w:cs="Arial"/>
                <w:b/>
                <w:sz w:val="24"/>
                <w:szCs w:val="24"/>
              </w:rPr>
              <w:t xml:space="preserve"> </w:t>
            </w:r>
            <w:r w:rsidR="00371056" w:rsidRPr="003B3443">
              <w:rPr>
                <w:rFonts w:ascii="Arial Narrow" w:hAnsi="Arial Narrow" w:cs="Arial"/>
                <w:b/>
                <w:sz w:val="24"/>
                <w:szCs w:val="24"/>
              </w:rPr>
              <w:t>20</w:t>
            </w:r>
            <w:r w:rsidR="005B5CFB" w:rsidRPr="003B3443">
              <w:rPr>
                <w:rFonts w:ascii="Arial Narrow" w:hAnsi="Arial Narrow" w:cs="Arial"/>
                <w:b/>
                <w:sz w:val="24"/>
                <w:szCs w:val="24"/>
              </w:rPr>
              <w:t>20</w:t>
            </w:r>
          </w:p>
        </w:tc>
      </w:tr>
      <w:tr w:rsidR="00D26CB5" w:rsidRPr="007A140E" w:rsidTr="0092129C">
        <w:tc>
          <w:tcPr>
            <w:tcW w:w="9720" w:type="dxa"/>
            <w:gridSpan w:val="3"/>
          </w:tcPr>
          <w:p w:rsidR="00D67EBE" w:rsidRPr="007A140E" w:rsidRDefault="0093109A" w:rsidP="007A140E">
            <w:pPr>
              <w:pStyle w:val="form-control-static"/>
              <w:shd w:val="clear" w:color="auto" w:fill="FFFFFF"/>
              <w:spacing w:before="0" w:beforeAutospacing="0" w:after="0" w:afterAutospacing="0" w:line="360" w:lineRule="auto"/>
              <w:jc w:val="both"/>
              <w:rPr>
                <w:rFonts w:ascii="Arial Narrow" w:hAnsi="Arial Narrow" w:cs="Arial"/>
                <w:color w:val="333333"/>
                <w:shd w:val="clear" w:color="auto" w:fill="FFFFFF"/>
              </w:rPr>
            </w:pPr>
            <w:r w:rsidRPr="007A140E">
              <w:rPr>
                <w:rFonts w:ascii="Arial Narrow" w:hAnsi="Arial Narrow" w:cs="Arial"/>
                <w:b/>
              </w:rPr>
              <w:t>Neutral citation</w:t>
            </w:r>
            <w:r w:rsidRPr="00C80DEC">
              <w:rPr>
                <w:rFonts w:ascii="Arial Narrow" w:hAnsi="Arial Narrow" w:cs="Arial"/>
                <w:b/>
              </w:rPr>
              <w:t xml:space="preserve">: </w:t>
            </w:r>
            <w:proofErr w:type="spellStart"/>
            <w:r w:rsidR="007F2C89" w:rsidRPr="00C80DEC">
              <w:rPr>
                <w:rFonts w:ascii="Arial Narrow" w:hAnsi="Arial Narrow" w:cs="Arial"/>
                <w:i/>
                <w:shd w:val="clear" w:color="auto" w:fill="FFFFFF"/>
              </w:rPr>
              <w:t>Kishi</w:t>
            </w:r>
            <w:proofErr w:type="spellEnd"/>
            <w:r w:rsidR="007F2C89" w:rsidRPr="00C80DEC">
              <w:rPr>
                <w:rFonts w:ascii="Arial Narrow" w:hAnsi="Arial Narrow" w:cs="Arial"/>
                <w:i/>
                <w:shd w:val="clear" w:color="auto" w:fill="FFFFFF"/>
              </w:rPr>
              <w:t xml:space="preserve"> </w:t>
            </w:r>
            <w:proofErr w:type="spellStart"/>
            <w:r w:rsidR="007F2C89" w:rsidRPr="00C80DEC">
              <w:rPr>
                <w:rFonts w:ascii="Arial Narrow" w:hAnsi="Arial Narrow" w:cs="Arial"/>
                <w:i/>
                <w:shd w:val="clear" w:color="auto" w:fill="FFFFFF"/>
              </w:rPr>
              <w:t>Shakumu</w:t>
            </w:r>
            <w:proofErr w:type="spellEnd"/>
            <w:r w:rsidR="007F2C89" w:rsidRPr="00C80DEC">
              <w:rPr>
                <w:rFonts w:ascii="Arial Narrow" w:hAnsi="Arial Narrow" w:cs="Arial"/>
                <w:i/>
                <w:shd w:val="clear" w:color="auto" w:fill="FFFFFF"/>
              </w:rPr>
              <w:t xml:space="preserve"> &amp; Co </w:t>
            </w:r>
            <w:proofErr w:type="spellStart"/>
            <w:r w:rsidR="007F2C89" w:rsidRPr="00C80DEC">
              <w:rPr>
                <w:rFonts w:ascii="Arial Narrow" w:hAnsi="Arial Narrow" w:cs="Arial"/>
                <w:i/>
                <w:shd w:val="clear" w:color="auto" w:fill="FFFFFF"/>
              </w:rPr>
              <w:t>Inc</w:t>
            </w:r>
            <w:proofErr w:type="spellEnd"/>
            <w:r w:rsidR="007F2C89" w:rsidRPr="00C80DEC">
              <w:rPr>
                <w:rFonts w:ascii="Arial Narrow" w:hAnsi="Arial Narrow" w:cs="Arial"/>
                <w:i/>
                <w:shd w:val="clear" w:color="auto" w:fill="FFFFFF"/>
              </w:rPr>
              <w:t xml:space="preserve"> </w:t>
            </w:r>
            <w:r w:rsidR="00C5049E" w:rsidRPr="00C80DEC">
              <w:rPr>
                <w:rFonts w:ascii="Arial Narrow" w:hAnsi="Arial Narrow" w:cs="Arial"/>
                <w:i/>
              </w:rPr>
              <w:t xml:space="preserve">v </w:t>
            </w:r>
            <w:proofErr w:type="spellStart"/>
            <w:r w:rsidR="007F2C89" w:rsidRPr="00C80DEC">
              <w:rPr>
                <w:rFonts w:ascii="Arial Narrow" w:hAnsi="Arial Narrow" w:cs="Arial"/>
                <w:i/>
                <w:shd w:val="clear" w:color="auto" w:fill="FFFFFF"/>
              </w:rPr>
              <w:t>Nisavic</w:t>
            </w:r>
            <w:proofErr w:type="spellEnd"/>
            <w:r w:rsidR="007F2C89" w:rsidRPr="00C80DEC">
              <w:rPr>
                <w:rFonts w:ascii="Arial Narrow" w:hAnsi="Arial Narrow" w:cs="Arial"/>
                <w:lang w:val="en-ZA"/>
              </w:rPr>
              <w:t xml:space="preserve"> </w:t>
            </w:r>
            <w:r w:rsidR="00701DE4" w:rsidRPr="00C80DEC">
              <w:rPr>
                <w:rFonts w:ascii="Arial Narrow" w:hAnsi="Arial Narrow" w:cs="Arial"/>
                <w:lang w:val="en-ZA"/>
              </w:rPr>
              <w:t>(</w:t>
            </w:r>
            <w:r w:rsidR="007F2C89" w:rsidRPr="00C80DEC">
              <w:rPr>
                <w:rFonts w:ascii="Arial Narrow" w:hAnsi="Arial Narrow" w:cs="Arial"/>
                <w:shd w:val="clear" w:color="auto" w:fill="FFFFFF"/>
              </w:rPr>
              <w:t>HC-MD-CIV-ACT-CON-2020/01784</w:t>
            </w:r>
            <w:r w:rsidR="00701DE4" w:rsidRPr="00C80DEC">
              <w:rPr>
                <w:rFonts w:ascii="Arial Narrow" w:hAnsi="Arial Narrow" w:cs="Arial"/>
              </w:rPr>
              <w:t>)</w:t>
            </w:r>
            <w:r w:rsidR="00C5049E" w:rsidRPr="00C80DEC">
              <w:rPr>
                <w:rFonts w:ascii="Arial Narrow" w:hAnsi="Arial Narrow" w:cs="Arial"/>
                <w:lang w:val="en-ZA"/>
              </w:rPr>
              <w:t xml:space="preserve"> </w:t>
            </w:r>
            <w:r w:rsidRPr="00C80DEC">
              <w:rPr>
                <w:rFonts w:ascii="Arial Narrow" w:hAnsi="Arial Narrow" w:cs="Arial"/>
                <w:lang w:val="en-ZA"/>
              </w:rPr>
              <w:t>[20</w:t>
            </w:r>
            <w:r w:rsidR="00C5049E" w:rsidRPr="00C80DEC">
              <w:rPr>
                <w:rFonts w:ascii="Arial Narrow" w:hAnsi="Arial Narrow" w:cs="Arial"/>
                <w:lang w:val="en-ZA"/>
              </w:rPr>
              <w:t>20</w:t>
            </w:r>
            <w:r w:rsidR="00701DE4" w:rsidRPr="00C80DEC">
              <w:rPr>
                <w:rFonts w:ascii="Arial Narrow" w:hAnsi="Arial Narrow" w:cs="Arial"/>
                <w:lang w:val="en-ZA"/>
              </w:rPr>
              <w:t xml:space="preserve">] NAHCMD </w:t>
            </w:r>
            <w:r w:rsidR="005D6876">
              <w:rPr>
                <w:rFonts w:ascii="Arial Narrow" w:hAnsi="Arial Narrow" w:cs="Arial"/>
                <w:lang w:val="en-ZA"/>
              </w:rPr>
              <w:t>450</w:t>
            </w:r>
            <w:r w:rsidR="00701DE4" w:rsidRPr="00C80DEC">
              <w:rPr>
                <w:rFonts w:ascii="Arial Narrow" w:hAnsi="Arial Narrow" w:cs="Arial"/>
                <w:lang w:val="en-ZA"/>
              </w:rPr>
              <w:t xml:space="preserve"> </w:t>
            </w:r>
            <w:r w:rsidR="002B3223" w:rsidRPr="00C80DEC">
              <w:rPr>
                <w:rFonts w:ascii="Arial Narrow" w:hAnsi="Arial Narrow" w:cs="Arial"/>
                <w:lang w:val="en-ZA"/>
              </w:rPr>
              <w:t>(</w:t>
            </w:r>
            <w:r w:rsidR="007F2C89" w:rsidRPr="00C80DEC">
              <w:rPr>
                <w:rFonts w:ascii="Arial Narrow" w:hAnsi="Arial Narrow" w:cs="Arial"/>
                <w:lang w:val="en-ZA"/>
              </w:rPr>
              <w:t>1 October</w:t>
            </w:r>
            <w:r w:rsidR="00C5049E" w:rsidRPr="00C80DEC">
              <w:rPr>
                <w:rFonts w:ascii="Arial Narrow" w:hAnsi="Arial Narrow" w:cs="Arial"/>
                <w:lang w:val="en-ZA"/>
              </w:rPr>
              <w:t xml:space="preserve"> </w:t>
            </w:r>
            <w:r w:rsidR="00C5049E" w:rsidRPr="00C80DEC">
              <w:rPr>
                <w:rFonts w:ascii="Arial Narrow" w:hAnsi="Arial Narrow" w:cs="Arial"/>
              </w:rPr>
              <w:t>2020</w:t>
            </w:r>
            <w:r w:rsidR="00294FF2" w:rsidRPr="00C80DEC">
              <w:rPr>
                <w:rFonts w:ascii="Arial Narrow" w:hAnsi="Arial Narrow" w:cs="Arial"/>
                <w:lang w:val="en-ZA"/>
              </w:rPr>
              <w:t>)</w:t>
            </w:r>
          </w:p>
        </w:tc>
      </w:tr>
      <w:tr w:rsidR="00D26CB5" w:rsidRPr="007A140E" w:rsidTr="0019302E">
        <w:trPr>
          <w:trHeight w:val="602"/>
        </w:trPr>
        <w:tc>
          <w:tcPr>
            <w:tcW w:w="9720" w:type="dxa"/>
            <w:gridSpan w:val="3"/>
          </w:tcPr>
          <w:p w:rsidR="00D26CB5" w:rsidRPr="007A140E" w:rsidRDefault="00D26CB5" w:rsidP="007A140E">
            <w:pPr>
              <w:pStyle w:val="form-control-static"/>
              <w:shd w:val="clear" w:color="auto" w:fill="FFFFFF"/>
              <w:spacing w:before="0" w:beforeAutospacing="0" w:after="0" w:afterAutospacing="0" w:line="360" w:lineRule="auto"/>
              <w:jc w:val="both"/>
              <w:rPr>
                <w:rFonts w:ascii="Arial Narrow" w:hAnsi="Arial Narrow" w:cs="Arial"/>
                <w:b/>
              </w:rPr>
            </w:pPr>
            <w:r w:rsidRPr="007A140E">
              <w:rPr>
                <w:rFonts w:ascii="Arial Narrow" w:hAnsi="Arial Narrow" w:cs="Arial"/>
                <w:b/>
              </w:rPr>
              <w:t>Results on merits:</w:t>
            </w:r>
          </w:p>
          <w:p w:rsidR="00D26CB5" w:rsidRPr="00C80DEC" w:rsidRDefault="00FE69D0" w:rsidP="007A140E">
            <w:pPr>
              <w:pStyle w:val="form-control-static"/>
              <w:shd w:val="clear" w:color="auto" w:fill="FFFFFF"/>
              <w:spacing w:before="0" w:beforeAutospacing="0" w:after="0" w:afterAutospacing="0" w:line="360" w:lineRule="auto"/>
              <w:jc w:val="both"/>
              <w:rPr>
                <w:rFonts w:ascii="Arial Narrow" w:hAnsi="Arial Narrow" w:cs="Arial"/>
              </w:rPr>
            </w:pPr>
            <w:r w:rsidRPr="007A140E">
              <w:rPr>
                <w:rFonts w:ascii="Arial Narrow" w:hAnsi="Arial Narrow" w:cs="Arial"/>
              </w:rPr>
              <w:t>Not on</w:t>
            </w:r>
            <w:r w:rsidR="00D26CB5" w:rsidRPr="007A140E">
              <w:rPr>
                <w:rFonts w:ascii="Arial Narrow" w:hAnsi="Arial Narrow" w:cs="Arial"/>
              </w:rPr>
              <w:t xml:space="preserve"> the merits.</w:t>
            </w:r>
            <w:r w:rsidR="00BE29A1" w:rsidRPr="007A140E">
              <w:rPr>
                <w:rFonts w:ascii="Arial Narrow" w:hAnsi="Arial Narrow" w:cs="Arial"/>
              </w:rPr>
              <w:t xml:space="preserve"> </w:t>
            </w:r>
            <w:r w:rsidR="00DF25AB" w:rsidRPr="005D0740">
              <w:rPr>
                <w:rFonts w:ascii="Arial Narrow" w:hAnsi="Arial Narrow" w:cs="Arial"/>
              </w:rPr>
              <w:t>Application for S</w:t>
            </w:r>
            <w:r w:rsidR="00BE29A1" w:rsidRPr="005D0740">
              <w:rPr>
                <w:rFonts w:ascii="Arial Narrow" w:hAnsi="Arial Narrow" w:cs="Arial"/>
              </w:rPr>
              <w:t>ummar</w:t>
            </w:r>
            <w:r w:rsidR="00DF25AB" w:rsidRPr="005D0740">
              <w:rPr>
                <w:rFonts w:ascii="Arial Narrow" w:hAnsi="Arial Narrow" w:cs="Arial"/>
              </w:rPr>
              <w:t>y Judgment</w:t>
            </w:r>
            <w:r w:rsidR="003B3443">
              <w:rPr>
                <w:rFonts w:ascii="Arial Narrow" w:hAnsi="Arial Narrow" w:cs="Arial"/>
              </w:rPr>
              <w:t>.</w:t>
            </w:r>
          </w:p>
        </w:tc>
      </w:tr>
      <w:tr w:rsidR="00D26CB5" w:rsidRPr="007A140E" w:rsidTr="0092129C">
        <w:tc>
          <w:tcPr>
            <w:tcW w:w="9720" w:type="dxa"/>
            <w:gridSpan w:val="3"/>
          </w:tcPr>
          <w:p w:rsidR="00D26CB5" w:rsidRPr="007A140E" w:rsidRDefault="00D26CB5" w:rsidP="007A140E">
            <w:pPr>
              <w:spacing w:line="360" w:lineRule="auto"/>
              <w:jc w:val="both"/>
              <w:rPr>
                <w:rFonts w:ascii="Arial Narrow" w:hAnsi="Arial Narrow" w:cs="Arial"/>
                <w:b/>
                <w:sz w:val="24"/>
                <w:szCs w:val="24"/>
              </w:rPr>
            </w:pPr>
            <w:r w:rsidRPr="007A140E">
              <w:rPr>
                <w:rFonts w:ascii="Arial Narrow" w:hAnsi="Arial Narrow" w:cs="Arial"/>
                <w:b/>
                <w:sz w:val="24"/>
                <w:szCs w:val="24"/>
              </w:rPr>
              <w:t>The order:</w:t>
            </w:r>
          </w:p>
          <w:p w:rsidR="00294FF2" w:rsidRDefault="00294FF2" w:rsidP="007A140E">
            <w:pPr>
              <w:spacing w:line="360" w:lineRule="auto"/>
              <w:jc w:val="both"/>
              <w:rPr>
                <w:rFonts w:ascii="Arial Narrow" w:hAnsi="Arial Narrow" w:cs="Arial"/>
                <w:sz w:val="24"/>
                <w:szCs w:val="24"/>
              </w:rPr>
            </w:pPr>
            <w:r w:rsidRPr="007A140E">
              <w:rPr>
                <w:rFonts w:ascii="Arial Narrow" w:hAnsi="Arial Narrow" w:cs="Arial"/>
                <w:sz w:val="24"/>
                <w:szCs w:val="24"/>
              </w:rPr>
              <w:t xml:space="preserve">Having </w:t>
            </w:r>
            <w:r w:rsidR="00CD0FD2" w:rsidRPr="007A140E">
              <w:rPr>
                <w:rFonts w:ascii="Arial Narrow" w:hAnsi="Arial Narrow" w:cs="Arial"/>
                <w:sz w:val="24"/>
                <w:szCs w:val="24"/>
              </w:rPr>
              <w:t>heard</w:t>
            </w:r>
            <w:r w:rsidR="00BD2785">
              <w:rPr>
                <w:rFonts w:ascii="Arial Narrow" w:hAnsi="Arial Narrow" w:cs="Arial"/>
                <w:sz w:val="24"/>
                <w:szCs w:val="24"/>
              </w:rPr>
              <w:t xml:space="preserve"> </w:t>
            </w:r>
            <w:r w:rsidR="00BD2785" w:rsidRPr="00BD2785">
              <w:rPr>
                <w:rFonts w:ascii="Arial Narrow" w:hAnsi="Arial Narrow" w:cs="Arial"/>
                <w:b/>
                <w:bCs/>
                <w:sz w:val="24"/>
                <w:szCs w:val="24"/>
              </w:rPr>
              <w:t>WOLFGANG PFEIFFER</w:t>
            </w:r>
            <w:r w:rsidRPr="007A140E">
              <w:rPr>
                <w:rFonts w:ascii="Arial Narrow" w:hAnsi="Arial Narrow" w:cs="Arial"/>
                <w:sz w:val="24"/>
                <w:szCs w:val="24"/>
              </w:rPr>
              <w:t xml:space="preserve">, </w:t>
            </w:r>
            <w:r w:rsidR="007D2B14" w:rsidRPr="007A140E">
              <w:rPr>
                <w:rFonts w:ascii="Arial Narrow" w:hAnsi="Arial Narrow" w:cs="Arial"/>
                <w:sz w:val="24"/>
                <w:szCs w:val="24"/>
              </w:rPr>
              <w:t xml:space="preserve">on behalf of the Defendant </w:t>
            </w:r>
            <w:r w:rsidRPr="007A140E">
              <w:rPr>
                <w:rFonts w:ascii="Arial Narrow" w:hAnsi="Arial Narrow" w:cs="Arial"/>
                <w:sz w:val="24"/>
                <w:szCs w:val="24"/>
              </w:rPr>
              <w:t>and having read the documents filed of record:</w:t>
            </w:r>
          </w:p>
          <w:p w:rsidR="00BD2785" w:rsidRPr="007A140E" w:rsidRDefault="00BD2785" w:rsidP="007A140E">
            <w:pPr>
              <w:spacing w:line="360" w:lineRule="auto"/>
              <w:jc w:val="both"/>
              <w:rPr>
                <w:rFonts w:ascii="Arial Narrow" w:hAnsi="Arial Narrow" w:cs="Arial"/>
                <w:sz w:val="24"/>
                <w:szCs w:val="24"/>
              </w:rPr>
            </w:pPr>
          </w:p>
          <w:p w:rsidR="00311F65" w:rsidRPr="007A140E" w:rsidRDefault="00D26CB5" w:rsidP="007A140E">
            <w:pPr>
              <w:spacing w:line="360" w:lineRule="auto"/>
              <w:jc w:val="both"/>
              <w:rPr>
                <w:rFonts w:ascii="Arial Narrow" w:hAnsi="Arial Narrow" w:cs="Arial"/>
                <w:b/>
                <w:sz w:val="24"/>
                <w:szCs w:val="24"/>
              </w:rPr>
            </w:pPr>
            <w:r w:rsidRPr="007A140E">
              <w:rPr>
                <w:rFonts w:ascii="Arial Narrow" w:hAnsi="Arial Narrow" w:cs="Arial"/>
                <w:b/>
                <w:sz w:val="24"/>
                <w:szCs w:val="24"/>
              </w:rPr>
              <w:t xml:space="preserve">IT IS </w:t>
            </w:r>
            <w:r w:rsidR="00701DE4" w:rsidRPr="007A140E">
              <w:rPr>
                <w:rFonts w:ascii="Arial Narrow" w:hAnsi="Arial Narrow" w:cs="Arial"/>
                <w:b/>
                <w:sz w:val="24"/>
                <w:szCs w:val="24"/>
              </w:rPr>
              <w:t xml:space="preserve">HEREBY </w:t>
            </w:r>
            <w:r w:rsidRPr="007A140E">
              <w:rPr>
                <w:rFonts w:ascii="Arial Narrow" w:hAnsi="Arial Narrow" w:cs="Arial"/>
                <w:b/>
                <w:sz w:val="24"/>
                <w:szCs w:val="24"/>
              </w:rPr>
              <w:t>ORDERED THAT:</w:t>
            </w:r>
          </w:p>
          <w:p w:rsidR="00311F65" w:rsidRPr="007A140E" w:rsidRDefault="00311F65" w:rsidP="007A140E">
            <w:pPr>
              <w:pStyle w:val="ListParagraph"/>
              <w:numPr>
                <w:ilvl w:val="0"/>
                <w:numId w:val="10"/>
              </w:numPr>
              <w:spacing w:line="360" w:lineRule="auto"/>
              <w:jc w:val="both"/>
              <w:rPr>
                <w:rFonts w:ascii="Arial Narrow" w:hAnsi="Arial Narrow" w:cs="Arial"/>
                <w:sz w:val="24"/>
                <w:szCs w:val="24"/>
              </w:rPr>
            </w:pPr>
            <w:r w:rsidRPr="007A140E">
              <w:rPr>
                <w:rFonts w:ascii="Arial Narrow" w:hAnsi="Arial Narrow" w:cs="Arial"/>
                <w:sz w:val="24"/>
                <w:szCs w:val="24"/>
              </w:rPr>
              <w:t xml:space="preserve">The application for </w:t>
            </w:r>
            <w:r w:rsidR="00C746A8" w:rsidRPr="007A140E">
              <w:rPr>
                <w:rFonts w:ascii="Arial Narrow" w:hAnsi="Arial Narrow" w:cs="Arial"/>
                <w:sz w:val="24"/>
                <w:szCs w:val="24"/>
              </w:rPr>
              <w:t>summary judgment</w:t>
            </w:r>
            <w:r w:rsidRPr="007A140E">
              <w:rPr>
                <w:rFonts w:ascii="Arial Narrow" w:hAnsi="Arial Narrow" w:cs="Arial"/>
                <w:sz w:val="24"/>
                <w:szCs w:val="24"/>
              </w:rPr>
              <w:t xml:space="preserve"> is </w:t>
            </w:r>
            <w:r w:rsidR="00CD0FD2" w:rsidRPr="007A140E">
              <w:rPr>
                <w:rFonts w:ascii="Arial Narrow" w:hAnsi="Arial Narrow" w:cs="Arial"/>
                <w:sz w:val="24"/>
                <w:szCs w:val="24"/>
              </w:rPr>
              <w:t>refused.</w:t>
            </w:r>
          </w:p>
          <w:p w:rsidR="006C05AC" w:rsidRPr="007A140E" w:rsidRDefault="00311F65" w:rsidP="007A140E">
            <w:pPr>
              <w:pStyle w:val="ListParagraph"/>
              <w:numPr>
                <w:ilvl w:val="0"/>
                <w:numId w:val="10"/>
              </w:numPr>
              <w:spacing w:line="360" w:lineRule="auto"/>
              <w:jc w:val="both"/>
              <w:rPr>
                <w:rFonts w:ascii="Arial Narrow" w:eastAsia="Times New Roman" w:hAnsi="Arial Narrow" w:cs="Times New Roman"/>
                <w:color w:val="000000"/>
                <w:sz w:val="24"/>
                <w:szCs w:val="24"/>
                <w:lang w:eastAsia="en-ZA"/>
              </w:rPr>
            </w:pPr>
            <w:r w:rsidRPr="007A140E">
              <w:rPr>
                <w:rFonts w:ascii="Arial Narrow" w:hAnsi="Arial Narrow" w:cs="Arial"/>
                <w:sz w:val="24"/>
                <w:szCs w:val="24"/>
              </w:rPr>
              <w:t xml:space="preserve">The defendant </w:t>
            </w:r>
            <w:r w:rsidR="00C746A8" w:rsidRPr="007A140E">
              <w:rPr>
                <w:rFonts w:ascii="Arial Narrow" w:hAnsi="Arial Narrow" w:cs="Arial"/>
                <w:sz w:val="24"/>
                <w:szCs w:val="24"/>
              </w:rPr>
              <w:t>is granted leave to defend the action.</w:t>
            </w:r>
          </w:p>
          <w:p w:rsidR="00C746A8" w:rsidRPr="007A140E" w:rsidRDefault="0019302E" w:rsidP="007A140E">
            <w:pPr>
              <w:pStyle w:val="ListParagraph"/>
              <w:numPr>
                <w:ilvl w:val="0"/>
                <w:numId w:val="10"/>
              </w:numPr>
              <w:spacing w:line="360" w:lineRule="auto"/>
              <w:jc w:val="both"/>
              <w:rPr>
                <w:rFonts w:ascii="Arial Narrow" w:eastAsia="Times New Roman" w:hAnsi="Arial Narrow" w:cs="Times New Roman"/>
                <w:sz w:val="24"/>
                <w:szCs w:val="24"/>
                <w:lang w:eastAsia="en-ZA"/>
              </w:rPr>
            </w:pPr>
            <w:r w:rsidRPr="007A140E">
              <w:rPr>
                <w:rFonts w:ascii="Arial Narrow" w:eastAsia="Times New Roman" w:hAnsi="Arial Narrow" w:cs="Times New Roman"/>
                <w:sz w:val="24"/>
                <w:szCs w:val="24"/>
                <w:lang w:eastAsia="en-ZA"/>
              </w:rPr>
              <w:t xml:space="preserve">The matter is postponed to </w:t>
            </w:r>
            <w:r w:rsidR="00C746A8" w:rsidRPr="004F05FA">
              <w:rPr>
                <w:rFonts w:ascii="Arial Narrow" w:eastAsia="Times New Roman" w:hAnsi="Arial Narrow" w:cs="Times New Roman"/>
                <w:b/>
                <w:sz w:val="24"/>
                <w:szCs w:val="24"/>
                <w:lang w:eastAsia="en-ZA"/>
              </w:rPr>
              <w:t>22</w:t>
            </w:r>
            <w:r w:rsidRPr="004F05FA">
              <w:rPr>
                <w:rFonts w:ascii="Arial Narrow" w:eastAsia="Times New Roman" w:hAnsi="Arial Narrow" w:cs="Times New Roman"/>
                <w:b/>
                <w:sz w:val="24"/>
                <w:szCs w:val="24"/>
                <w:lang w:eastAsia="en-ZA"/>
              </w:rPr>
              <w:t xml:space="preserve"> October 2020</w:t>
            </w:r>
            <w:r w:rsidRPr="004F05FA">
              <w:rPr>
                <w:rFonts w:ascii="Arial Narrow" w:eastAsia="Times New Roman" w:hAnsi="Arial Narrow" w:cs="Times New Roman"/>
                <w:sz w:val="24"/>
                <w:szCs w:val="24"/>
                <w:lang w:eastAsia="en-ZA"/>
              </w:rPr>
              <w:t xml:space="preserve"> at </w:t>
            </w:r>
            <w:r w:rsidRPr="004F05FA">
              <w:rPr>
                <w:rFonts w:ascii="Arial Narrow" w:eastAsia="Times New Roman" w:hAnsi="Arial Narrow" w:cs="Times New Roman"/>
                <w:b/>
                <w:sz w:val="24"/>
                <w:szCs w:val="24"/>
                <w:lang w:eastAsia="en-ZA"/>
              </w:rPr>
              <w:t>15h00</w:t>
            </w:r>
            <w:r w:rsidRPr="004F05FA">
              <w:rPr>
                <w:rFonts w:ascii="Arial Narrow" w:eastAsia="Times New Roman" w:hAnsi="Arial Narrow" w:cs="Times New Roman"/>
                <w:sz w:val="24"/>
                <w:szCs w:val="24"/>
                <w:lang w:eastAsia="en-ZA"/>
              </w:rPr>
              <w:t xml:space="preserve"> </w:t>
            </w:r>
            <w:r w:rsidR="00C746A8" w:rsidRPr="007A140E">
              <w:rPr>
                <w:rFonts w:ascii="Arial Narrow" w:eastAsia="Times New Roman" w:hAnsi="Arial Narrow" w:cs="Times New Roman"/>
                <w:sz w:val="24"/>
                <w:szCs w:val="24"/>
                <w:lang w:eastAsia="en-ZA"/>
              </w:rPr>
              <w:t xml:space="preserve">for further case planning conference. </w:t>
            </w:r>
          </w:p>
          <w:p w:rsidR="0086662D" w:rsidRPr="005A3159" w:rsidRDefault="00C746A8" w:rsidP="004F05FA">
            <w:pPr>
              <w:pStyle w:val="ListParagraph"/>
              <w:numPr>
                <w:ilvl w:val="0"/>
                <w:numId w:val="10"/>
              </w:numPr>
              <w:spacing w:line="360" w:lineRule="auto"/>
              <w:jc w:val="both"/>
              <w:rPr>
                <w:rFonts w:ascii="Arial Narrow" w:eastAsia="Times New Roman" w:hAnsi="Arial Narrow" w:cs="Times New Roman"/>
                <w:color w:val="000000"/>
                <w:sz w:val="24"/>
                <w:szCs w:val="24"/>
                <w:lang w:eastAsia="en-ZA"/>
              </w:rPr>
            </w:pPr>
            <w:r w:rsidRPr="007A140E">
              <w:rPr>
                <w:rFonts w:ascii="Arial Narrow" w:eastAsia="Times New Roman" w:hAnsi="Arial Narrow" w:cs="Times New Roman"/>
                <w:sz w:val="24"/>
                <w:szCs w:val="24"/>
                <w:lang w:eastAsia="en-ZA"/>
              </w:rPr>
              <w:t xml:space="preserve">The parties must file a </w:t>
            </w:r>
            <w:r w:rsidR="004F05FA">
              <w:rPr>
                <w:rFonts w:ascii="Arial Narrow" w:eastAsia="Times New Roman" w:hAnsi="Arial Narrow" w:cs="Times New Roman"/>
                <w:sz w:val="24"/>
                <w:szCs w:val="24"/>
                <w:lang w:eastAsia="en-ZA"/>
              </w:rPr>
              <w:t xml:space="preserve">further </w:t>
            </w:r>
            <w:r w:rsidRPr="007A140E">
              <w:rPr>
                <w:rFonts w:ascii="Arial Narrow" w:eastAsia="Times New Roman" w:hAnsi="Arial Narrow" w:cs="Times New Roman"/>
                <w:sz w:val="24"/>
                <w:szCs w:val="24"/>
                <w:lang w:eastAsia="en-ZA"/>
              </w:rPr>
              <w:t>joint case plan on or before 19 October 2020.</w:t>
            </w:r>
          </w:p>
          <w:p w:rsidR="005A3159" w:rsidRPr="007A140E" w:rsidRDefault="005A3159" w:rsidP="005A3159">
            <w:pPr>
              <w:pStyle w:val="ListParagraph"/>
              <w:spacing w:line="360" w:lineRule="auto"/>
              <w:jc w:val="both"/>
              <w:rPr>
                <w:rFonts w:ascii="Arial Narrow" w:eastAsia="Times New Roman" w:hAnsi="Arial Narrow" w:cs="Times New Roman"/>
                <w:color w:val="000000"/>
                <w:sz w:val="24"/>
                <w:szCs w:val="24"/>
                <w:lang w:eastAsia="en-ZA"/>
              </w:rPr>
            </w:pPr>
          </w:p>
        </w:tc>
      </w:tr>
      <w:tr w:rsidR="00D26CB5" w:rsidRPr="007A140E" w:rsidTr="0092129C">
        <w:tc>
          <w:tcPr>
            <w:tcW w:w="9720" w:type="dxa"/>
            <w:gridSpan w:val="3"/>
          </w:tcPr>
          <w:p w:rsidR="00D26CB5" w:rsidRPr="007A140E" w:rsidRDefault="00D26CB5" w:rsidP="007A140E">
            <w:pPr>
              <w:spacing w:line="360" w:lineRule="auto"/>
              <w:jc w:val="both"/>
              <w:rPr>
                <w:rFonts w:ascii="Arial Narrow" w:hAnsi="Arial Narrow" w:cs="Arial"/>
                <w:b/>
                <w:sz w:val="24"/>
                <w:szCs w:val="24"/>
              </w:rPr>
            </w:pPr>
            <w:r w:rsidRPr="007A140E">
              <w:rPr>
                <w:rFonts w:ascii="Arial Narrow" w:hAnsi="Arial Narrow" w:cs="Arial"/>
                <w:b/>
                <w:sz w:val="24"/>
                <w:szCs w:val="24"/>
              </w:rPr>
              <w:t>Reasons for orders:</w:t>
            </w:r>
          </w:p>
        </w:tc>
      </w:tr>
      <w:tr w:rsidR="00D26CB5" w:rsidRPr="007A140E" w:rsidTr="0092129C">
        <w:tc>
          <w:tcPr>
            <w:tcW w:w="9720" w:type="dxa"/>
            <w:gridSpan w:val="3"/>
          </w:tcPr>
          <w:p w:rsidR="0019302E" w:rsidRPr="007A140E" w:rsidRDefault="0019302E" w:rsidP="007A140E">
            <w:pPr>
              <w:spacing w:line="360" w:lineRule="auto"/>
              <w:jc w:val="both"/>
              <w:rPr>
                <w:rFonts w:ascii="Arial Narrow" w:hAnsi="Arial Narrow" w:cs="Arial"/>
                <w:sz w:val="24"/>
                <w:szCs w:val="24"/>
              </w:rPr>
            </w:pPr>
          </w:p>
          <w:p w:rsidR="00FB26AF" w:rsidRDefault="00CE700B" w:rsidP="007A140E">
            <w:pPr>
              <w:spacing w:line="360" w:lineRule="auto"/>
              <w:jc w:val="both"/>
              <w:rPr>
                <w:rFonts w:ascii="Arial Narrow" w:hAnsi="Arial Narrow" w:cs="Arial"/>
                <w:sz w:val="24"/>
                <w:szCs w:val="24"/>
              </w:rPr>
            </w:pPr>
            <w:r w:rsidRPr="007A140E">
              <w:rPr>
                <w:rFonts w:ascii="Arial Narrow" w:hAnsi="Arial Narrow" w:cs="Arial"/>
                <w:sz w:val="24"/>
                <w:szCs w:val="24"/>
              </w:rPr>
              <w:t>PRINSLOO J</w:t>
            </w:r>
          </w:p>
          <w:p w:rsidR="005A3159" w:rsidRDefault="005A3159" w:rsidP="007A140E">
            <w:pPr>
              <w:spacing w:line="360" w:lineRule="auto"/>
              <w:jc w:val="both"/>
              <w:rPr>
                <w:rFonts w:ascii="Arial Narrow" w:hAnsi="Arial Narrow" w:cs="Arial"/>
                <w:sz w:val="24"/>
                <w:szCs w:val="24"/>
              </w:rPr>
            </w:pPr>
          </w:p>
          <w:p w:rsidR="007A140E" w:rsidRPr="005D0740" w:rsidRDefault="005A3159" w:rsidP="007A140E">
            <w:pPr>
              <w:spacing w:line="360" w:lineRule="auto"/>
              <w:jc w:val="both"/>
              <w:rPr>
                <w:rFonts w:ascii="Arial Narrow" w:hAnsi="Arial Narrow" w:cs="Arial"/>
                <w:sz w:val="24"/>
                <w:szCs w:val="24"/>
              </w:rPr>
            </w:pPr>
            <w:r>
              <w:rPr>
                <w:rFonts w:ascii="Arial Narrow" w:hAnsi="Arial Narrow" w:cs="Arial"/>
                <w:sz w:val="24"/>
                <w:szCs w:val="24"/>
                <w:u w:val="single"/>
              </w:rPr>
              <w:lastRenderedPageBreak/>
              <w:t>Introduction</w:t>
            </w:r>
          </w:p>
          <w:p w:rsidR="00814DD7" w:rsidRDefault="00814DD7" w:rsidP="007A140E">
            <w:pPr>
              <w:spacing w:line="360" w:lineRule="auto"/>
              <w:jc w:val="both"/>
              <w:rPr>
                <w:rFonts w:ascii="Arial Narrow" w:hAnsi="Arial Narrow" w:cs="Arial"/>
                <w:sz w:val="24"/>
                <w:szCs w:val="24"/>
              </w:rPr>
            </w:pPr>
          </w:p>
          <w:p w:rsidR="00E018FB" w:rsidRPr="005D0740" w:rsidRDefault="003B3443" w:rsidP="007A140E">
            <w:pPr>
              <w:spacing w:line="360" w:lineRule="auto"/>
              <w:jc w:val="both"/>
              <w:rPr>
                <w:rFonts w:ascii="Arial Narrow" w:hAnsi="Arial Narrow" w:cs="Arial"/>
                <w:sz w:val="24"/>
                <w:szCs w:val="24"/>
              </w:rPr>
            </w:pPr>
            <w:r>
              <w:rPr>
                <w:rFonts w:ascii="Arial Narrow" w:hAnsi="Arial Narrow" w:cs="Arial"/>
                <w:sz w:val="24"/>
                <w:szCs w:val="24"/>
              </w:rPr>
              <w:t xml:space="preserve">[1]      </w:t>
            </w:r>
            <w:r w:rsidR="00344819" w:rsidRPr="005D0740">
              <w:rPr>
                <w:rFonts w:ascii="Arial Narrow" w:hAnsi="Arial Narrow" w:cs="Arial"/>
                <w:sz w:val="24"/>
                <w:szCs w:val="24"/>
              </w:rPr>
              <w:t>The applicant is moving an application for summary judgment for payment of the amount of N$ 74 750 plus interest from the defendant for professional services rendered.</w:t>
            </w:r>
          </w:p>
          <w:p w:rsidR="00EF4D59" w:rsidRPr="00EF4D59" w:rsidRDefault="00EF4D59" w:rsidP="007A140E">
            <w:pPr>
              <w:spacing w:line="360" w:lineRule="auto"/>
              <w:jc w:val="both"/>
              <w:rPr>
                <w:rFonts w:ascii="Arial Narrow" w:hAnsi="Arial Narrow" w:cs="Arial"/>
                <w:sz w:val="24"/>
                <w:szCs w:val="24"/>
              </w:rPr>
            </w:pPr>
          </w:p>
          <w:p w:rsidR="00301868" w:rsidRPr="00EF4D59" w:rsidRDefault="00301868" w:rsidP="007A140E">
            <w:pPr>
              <w:spacing w:line="360" w:lineRule="auto"/>
              <w:jc w:val="both"/>
              <w:rPr>
                <w:rFonts w:ascii="Arial Narrow" w:hAnsi="Arial Narrow" w:cs="Arial"/>
                <w:sz w:val="24"/>
                <w:szCs w:val="24"/>
                <w:u w:val="single"/>
              </w:rPr>
            </w:pPr>
            <w:r w:rsidRPr="00EF4D59">
              <w:rPr>
                <w:rFonts w:ascii="Arial Narrow" w:hAnsi="Arial Narrow" w:cs="Arial"/>
                <w:sz w:val="24"/>
                <w:szCs w:val="24"/>
                <w:u w:val="single"/>
              </w:rPr>
              <w:t>Particulars of claim</w:t>
            </w:r>
          </w:p>
          <w:p w:rsidR="00E018FB" w:rsidRPr="00E018FB" w:rsidRDefault="00E018FB" w:rsidP="007A140E">
            <w:pPr>
              <w:spacing w:line="360" w:lineRule="auto"/>
              <w:jc w:val="both"/>
              <w:rPr>
                <w:rFonts w:ascii="Arial Narrow" w:hAnsi="Arial Narrow" w:cs="Arial"/>
                <w:sz w:val="24"/>
                <w:szCs w:val="24"/>
              </w:rPr>
            </w:pPr>
          </w:p>
          <w:p w:rsidR="00301868" w:rsidRPr="007A140E"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w:t>
            </w:r>
            <w:r w:rsidR="006C12FA">
              <w:rPr>
                <w:rFonts w:ascii="Arial Narrow" w:hAnsi="Arial Narrow" w:cs="Arial"/>
                <w:sz w:val="24"/>
                <w:szCs w:val="24"/>
              </w:rPr>
              <w:t>2</w:t>
            </w:r>
            <w:r w:rsidRPr="007A140E">
              <w:rPr>
                <w:rFonts w:ascii="Arial Narrow" w:hAnsi="Arial Narrow" w:cs="Arial"/>
                <w:sz w:val="24"/>
                <w:szCs w:val="24"/>
              </w:rPr>
              <w:t>]</w:t>
            </w:r>
            <w:r w:rsidRPr="007A140E">
              <w:rPr>
                <w:rFonts w:ascii="Arial Narrow" w:hAnsi="Arial Narrow" w:cs="Arial"/>
                <w:sz w:val="24"/>
                <w:szCs w:val="24"/>
              </w:rPr>
              <w:tab/>
              <w:t>According to the part</w:t>
            </w:r>
            <w:r w:rsidR="002D2F9E">
              <w:rPr>
                <w:rFonts w:ascii="Arial Narrow" w:hAnsi="Arial Narrow" w:cs="Arial"/>
                <w:sz w:val="24"/>
                <w:szCs w:val="24"/>
              </w:rPr>
              <w:t xml:space="preserve">iculars of claim the </w:t>
            </w:r>
            <w:r w:rsidRPr="007A140E">
              <w:rPr>
                <w:rFonts w:ascii="Arial Narrow" w:hAnsi="Arial Narrow" w:cs="Arial"/>
                <w:sz w:val="24"/>
                <w:szCs w:val="24"/>
              </w:rPr>
              <w:t xml:space="preserve">defendant approached the plaintiff’s director, Mr </w:t>
            </w:r>
            <w:proofErr w:type="spellStart"/>
            <w:r w:rsidRPr="007A140E">
              <w:rPr>
                <w:rFonts w:ascii="Arial Narrow" w:hAnsi="Arial Narrow" w:cs="Arial"/>
                <w:sz w:val="24"/>
                <w:szCs w:val="24"/>
              </w:rPr>
              <w:t>Shakumu</w:t>
            </w:r>
            <w:proofErr w:type="spellEnd"/>
            <w:r w:rsidR="00BA4685" w:rsidRPr="007A140E">
              <w:rPr>
                <w:rFonts w:ascii="Arial Narrow" w:hAnsi="Arial Narrow" w:cs="Arial"/>
                <w:sz w:val="24"/>
                <w:szCs w:val="24"/>
              </w:rPr>
              <w:t xml:space="preserve"> (acting on behalf of the plaintiff),</w:t>
            </w:r>
            <w:r w:rsidRPr="007A140E">
              <w:rPr>
                <w:rFonts w:ascii="Arial Narrow" w:hAnsi="Arial Narrow" w:cs="Arial"/>
                <w:sz w:val="24"/>
                <w:szCs w:val="24"/>
              </w:rPr>
              <w:t xml:space="preserve"> on 10 January 2020 to engage legal services in order to secure bail in a criminal matter. </w:t>
            </w:r>
            <w:r w:rsidR="00BA4685" w:rsidRPr="007A140E">
              <w:rPr>
                <w:rFonts w:ascii="Arial Narrow" w:hAnsi="Arial Narrow" w:cs="Arial"/>
                <w:sz w:val="24"/>
                <w:szCs w:val="24"/>
              </w:rPr>
              <w:t xml:space="preserve">The plaintiff rendered professional legal services to the defendant on an urgent </w:t>
            </w:r>
            <w:r w:rsidR="007A140E" w:rsidRPr="007A140E">
              <w:rPr>
                <w:rFonts w:ascii="Arial Narrow" w:hAnsi="Arial Narrow" w:cs="Arial"/>
                <w:sz w:val="24"/>
                <w:szCs w:val="24"/>
              </w:rPr>
              <w:t>basis from</w:t>
            </w:r>
            <w:r w:rsidR="00BA4685" w:rsidRPr="007A140E">
              <w:rPr>
                <w:rFonts w:ascii="Arial Narrow" w:hAnsi="Arial Narrow" w:cs="Arial"/>
                <w:sz w:val="24"/>
                <w:szCs w:val="24"/>
              </w:rPr>
              <w:t xml:space="preserve"> 10 January 2020 until 13 January 2020 when bail was secured for the defendant.</w:t>
            </w:r>
          </w:p>
          <w:p w:rsidR="00BA4685" w:rsidRPr="007A140E" w:rsidRDefault="00BA4685" w:rsidP="007A140E">
            <w:pPr>
              <w:spacing w:line="360" w:lineRule="auto"/>
              <w:jc w:val="both"/>
              <w:rPr>
                <w:rFonts w:ascii="Arial Narrow" w:hAnsi="Arial Narrow" w:cs="Arial"/>
                <w:sz w:val="24"/>
                <w:szCs w:val="24"/>
              </w:rPr>
            </w:pPr>
          </w:p>
          <w:p w:rsidR="00301868" w:rsidRPr="007A140E"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w:t>
            </w:r>
            <w:r w:rsidR="006C12FA">
              <w:rPr>
                <w:rFonts w:ascii="Arial Narrow" w:hAnsi="Arial Narrow" w:cs="Arial"/>
                <w:sz w:val="24"/>
                <w:szCs w:val="24"/>
              </w:rPr>
              <w:t>3</w:t>
            </w:r>
            <w:r w:rsidRPr="007A140E">
              <w:rPr>
                <w:rFonts w:ascii="Arial Narrow" w:hAnsi="Arial Narrow" w:cs="Arial"/>
                <w:sz w:val="24"/>
                <w:szCs w:val="24"/>
              </w:rPr>
              <w:t>]</w:t>
            </w:r>
            <w:r w:rsidRPr="007A140E">
              <w:rPr>
                <w:rFonts w:ascii="Arial Narrow" w:hAnsi="Arial Narrow" w:cs="Arial"/>
                <w:sz w:val="24"/>
                <w:szCs w:val="24"/>
              </w:rPr>
              <w:tab/>
              <w:t>The plaintiff pleaded that the material terms of the agreement (express alternatively implied) was the following:</w:t>
            </w:r>
          </w:p>
          <w:p w:rsidR="007A140E" w:rsidRPr="007A140E" w:rsidRDefault="007A140E" w:rsidP="007A140E">
            <w:pPr>
              <w:spacing w:line="360" w:lineRule="auto"/>
              <w:jc w:val="both"/>
              <w:rPr>
                <w:rFonts w:ascii="Arial Narrow" w:hAnsi="Arial Narrow" w:cs="Arial"/>
                <w:sz w:val="24"/>
                <w:szCs w:val="24"/>
              </w:rPr>
            </w:pPr>
          </w:p>
          <w:p w:rsidR="00301868" w:rsidRPr="007A140E" w:rsidRDefault="00301868" w:rsidP="007A140E">
            <w:pPr>
              <w:pStyle w:val="ListParagraph"/>
              <w:numPr>
                <w:ilvl w:val="0"/>
                <w:numId w:val="14"/>
              </w:numPr>
              <w:spacing w:line="360" w:lineRule="auto"/>
              <w:jc w:val="both"/>
              <w:rPr>
                <w:rFonts w:ascii="Arial Narrow" w:hAnsi="Arial Narrow" w:cs="Arial"/>
                <w:sz w:val="24"/>
                <w:szCs w:val="24"/>
              </w:rPr>
            </w:pPr>
            <w:r w:rsidRPr="007A140E">
              <w:rPr>
                <w:rFonts w:ascii="Arial Narrow" w:hAnsi="Arial Narrow" w:cs="Arial"/>
                <w:sz w:val="24"/>
                <w:szCs w:val="24"/>
              </w:rPr>
              <w:t xml:space="preserve">That the plaintiff would render legal services to the defendant in terms of securing bail in a criminal matter for the defendant; </w:t>
            </w:r>
          </w:p>
          <w:p w:rsidR="00301868" w:rsidRPr="007A140E" w:rsidRDefault="00301868" w:rsidP="007A140E">
            <w:pPr>
              <w:pStyle w:val="ListParagraph"/>
              <w:numPr>
                <w:ilvl w:val="0"/>
                <w:numId w:val="14"/>
              </w:numPr>
              <w:spacing w:line="360" w:lineRule="auto"/>
              <w:jc w:val="both"/>
              <w:rPr>
                <w:rFonts w:ascii="Arial Narrow" w:hAnsi="Arial Narrow" w:cs="Arial"/>
                <w:sz w:val="24"/>
                <w:szCs w:val="24"/>
              </w:rPr>
            </w:pPr>
            <w:r w:rsidRPr="007A140E">
              <w:rPr>
                <w:rFonts w:ascii="Arial Narrow" w:hAnsi="Arial Narrow" w:cs="Arial"/>
                <w:sz w:val="24"/>
                <w:szCs w:val="24"/>
              </w:rPr>
              <w:t>That the plaintiff would charge its fees at a rate of N$ 30 000 (excluding VAT and administration costs) per day for services rendered on an urgent basis;</w:t>
            </w:r>
          </w:p>
          <w:p w:rsidR="00301868" w:rsidRPr="007A140E" w:rsidRDefault="00301868" w:rsidP="007A140E">
            <w:pPr>
              <w:pStyle w:val="ListParagraph"/>
              <w:numPr>
                <w:ilvl w:val="0"/>
                <w:numId w:val="14"/>
              </w:numPr>
              <w:spacing w:line="360" w:lineRule="auto"/>
              <w:jc w:val="both"/>
              <w:rPr>
                <w:rFonts w:ascii="Arial Narrow" w:hAnsi="Arial Narrow" w:cs="Arial"/>
                <w:sz w:val="24"/>
                <w:szCs w:val="24"/>
              </w:rPr>
            </w:pPr>
            <w:r w:rsidRPr="007A140E">
              <w:rPr>
                <w:rFonts w:ascii="Arial Narrow" w:hAnsi="Arial Narrow" w:cs="Arial"/>
                <w:sz w:val="24"/>
                <w:szCs w:val="24"/>
              </w:rPr>
              <w:t>That the defendant would be liable for all the ensuing costs e</w:t>
            </w:r>
            <w:r w:rsidR="00EC6F5D">
              <w:rPr>
                <w:rFonts w:ascii="Arial Narrow" w:hAnsi="Arial Narrow" w:cs="Arial"/>
                <w:sz w:val="24"/>
                <w:szCs w:val="24"/>
              </w:rPr>
              <w:t xml:space="preserve">manating from his instructions </w:t>
            </w:r>
            <w:r w:rsidR="005E1208" w:rsidRPr="00935EAE">
              <w:rPr>
                <w:rFonts w:ascii="Arial Narrow" w:hAnsi="Arial Narrow" w:cs="Arial"/>
                <w:sz w:val="24"/>
                <w:szCs w:val="24"/>
              </w:rPr>
              <w:t>to</w:t>
            </w:r>
            <w:r w:rsidR="005E1208">
              <w:rPr>
                <w:rFonts w:ascii="Arial Narrow" w:hAnsi="Arial Narrow" w:cs="Arial"/>
                <w:color w:val="FF0000"/>
                <w:sz w:val="24"/>
                <w:szCs w:val="24"/>
              </w:rPr>
              <w:t xml:space="preserve"> </w:t>
            </w:r>
            <w:r w:rsidRPr="007A140E">
              <w:rPr>
                <w:rFonts w:ascii="Arial Narrow" w:hAnsi="Arial Narrow" w:cs="Arial"/>
                <w:sz w:val="24"/>
                <w:szCs w:val="24"/>
              </w:rPr>
              <w:t xml:space="preserve">the plaintiff on an urgent basis; and </w:t>
            </w:r>
          </w:p>
          <w:p w:rsidR="00301868" w:rsidRPr="007A140E" w:rsidRDefault="00301868" w:rsidP="007A140E">
            <w:pPr>
              <w:pStyle w:val="ListParagraph"/>
              <w:numPr>
                <w:ilvl w:val="0"/>
                <w:numId w:val="14"/>
              </w:numPr>
              <w:spacing w:line="360" w:lineRule="auto"/>
              <w:jc w:val="both"/>
              <w:rPr>
                <w:rFonts w:ascii="Arial Narrow" w:hAnsi="Arial Narrow" w:cs="Arial"/>
                <w:sz w:val="24"/>
                <w:szCs w:val="24"/>
              </w:rPr>
            </w:pPr>
            <w:r w:rsidRPr="007A140E">
              <w:rPr>
                <w:rFonts w:ascii="Arial Narrow" w:hAnsi="Arial Narrow" w:cs="Arial"/>
                <w:sz w:val="24"/>
                <w:szCs w:val="24"/>
              </w:rPr>
              <w:t xml:space="preserve">That the defendant would pay its costs immediately upon receipt of </w:t>
            </w:r>
            <w:r w:rsidR="005E1208">
              <w:rPr>
                <w:rFonts w:ascii="Arial Narrow" w:hAnsi="Arial Narrow" w:cs="Arial"/>
                <w:sz w:val="24"/>
                <w:szCs w:val="24"/>
              </w:rPr>
              <w:t>the invoice from the plaintiff.</w:t>
            </w:r>
          </w:p>
          <w:p w:rsidR="00BA4685" w:rsidRPr="007A140E" w:rsidRDefault="00BA4685" w:rsidP="007A140E">
            <w:pPr>
              <w:spacing w:line="360" w:lineRule="auto"/>
              <w:jc w:val="both"/>
              <w:rPr>
                <w:rFonts w:ascii="Arial Narrow" w:hAnsi="Arial Narrow" w:cs="Arial"/>
                <w:sz w:val="24"/>
                <w:szCs w:val="24"/>
              </w:rPr>
            </w:pPr>
          </w:p>
          <w:p w:rsidR="00301868" w:rsidRPr="007A140E"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w:t>
            </w:r>
            <w:r w:rsidR="006C12FA">
              <w:rPr>
                <w:rFonts w:ascii="Arial Narrow" w:hAnsi="Arial Narrow" w:cs="Arial"/>
                <w:sz w:val="24"/>
                <w:szCs w:val="24"/>
              </w:rPr>
              <w:t>4</w:t>
            </w:r>
            <w:r w:rsidRPr="007A140E">
              <w:rPr>
                <w:rFonts w:ascii="Arial Narrow" w:hAnsi="Arial Narrow" w:cs="Arial"/>
                <w:sz w:val="24"/>
                <w:szCs w:val="24"/>
              </w:rPr>
              <w:t>]</w:t>
            </w:r>
            <w:r w:rsidRPr="007A140E">
              <w:rPr>
                <w:rFonts w:ascii="Arial Narrow" w:hAnsi="Arial Narrow" w:cs="Arial"/>
                <w:sz w:val="24"/>
                <w:szCs w:val="24"/>
              </w:rPr>
              <w:tab/>
            </w:r>
            <w:r w:rsidR="005E1208" w:rsidRPr="005D0740">
              <w:rPr>
                <w:rFonts w:ascii="Arial Narrow" w:hAnsi="Arial Narrow" w:cs="Arial"/>
                <w:sz w:val="24"/>
                <w:szCs w:val="24"/>
              </w:rPr>
              <w:t xml:space="preserve">It is the </w:t>
            </w:r>
            <w:r w:rsidRPr="005D0740">
              <w:rPr>
                <w:rFonts w:ascii="Arial Narrow" w:hAnsi="Arial Narrow" w:cs="Arial"/>
                <w:sz w:val="24"/>
                <w:szCs w:val="24"/>
              </w:rPr>
              <w:t>plaintiff</w:t>
            </w:r>
            <w:r w:rsidR="005E1208" w:rsidRPr="005D0740">
              <w:rPr>
                <w:rFonts w:ascii="Arial Narrow" w:hAnsi="Arial Narrow" w:cs="Arial"/>
                <w:sz w:val="24"/>
                <w:szCs w:val="24"/>
              </w:rPr>
              <w:t>’s case that it</w:t>
            </w:r>
            <w:r w:rsidRPr="005D0740">
              <w:rPr>
                <w:rFonts w:ascii="Arial Narrow" w:hAnsi="Arial Narrow" w:cs="Arial"/>
                <w:sz w:val="24"/>
                <w:szCs w:val="24"/>
              </w:rPr>
              <w:t xml:space="preserve"> </w:t>
            </w:r>
            <w:r w:rsidRPr="007A140E">
              <w:rPr>
                <w:rFonts w:ascii="Arial Narrow" w:hAnsi="Arial Narrow" w:cs="Arial"/>
                <w:sz w:val="24"/>
                <w:szCs w:val="24"/>
              </w:rPr>
              <w:t xml:space="preserve">rendered the professional legal services to the defendant on an urgent basis and subsequently presented the defendant with the invoice for the sum of N$ 74 750, however the defendant breached the agreement by filing or refusing to make good </w:t>
            </w:r>
            <w:r w:rsidR="005E1208">
              <w:rPr>
                <w:rFonts w:ascii="Arial Narrow" w:hAnsi="Arial Narrow" w:cs="Arial"/>
                <w:sz w:val="24"/>
                <w:szCs w:val="24"/>
              </w:rPr>
              <w:t>on the invoice.</w:t>
            </w:r>
          </w:p>
          <w:p w:rsidR="00301868" w:rsidRPr="006C12FA" w:rsidRDefault="00301868" w:rsidP="007A140E">
            <w:pPr>
              <w:spacing w:line="360" w:lineRule="auto"/>
              <w:jc w:val="both"/>
              <w:rPr>
                <w:rFonts w:ascii="Arial Narrow" w:hAnsi="Arial Narrow" w:cs="Arial"/>
                <w:sz w:val="24"/>
                <w:szCs w:val="24"/>
              </w:rPr>
            </w:pPr>
          </w:p>
          <w:p w:rsidR="00301868" w:rsidRPr="005E1208" w:rsidRDefault="00301868" w:rsidP="007A140E">
            <w:pPr>
              <w:spacing w:line="360" w:lineRule="auto"/>
              <w:jc w:val="both"/>
              <w:rPr>
                <w:rFonts w:ascii="Arial Narrow" w:hAnsi="Arial Narrow" w:cs="Arial"/>
                <w:sz w:val="24"/>
                <w:szCs w:val="24"/>
                <w:u w:val="single"/>
              </w:rPr>
            </w:pPr>
            <w:r w:rsidRPr="005E1208">
              <w:rPr>
                <w:rFonts w:ascii="Arial Narrow" w:hAnsi="Arial Narrow" w:cs="Arial"/>
                <w:sz w:val="24"/>
                <w:szCs w:val="24"/>
                <w:u w:val="single"/>
              </w:rPr>
              <w:t>The application</w:t>
            </w:r>
          </w:p>
          <w:p w:rsidR="005D0740" w:rsidRDefault="005D0740" w:rsidP="007A140E">
            <w:pPr>
              <w:spacing w:line="360" w:lineRule="auto"/>
              <w:jc w:val="both"/>
              <w:rPr>
                <w:rFonts w:ascii="Arial Narrow" w:hAnsi="Arial Narrow" w:cs="Arial"/>
                <w:sz w:val="24"/>
                <w:szCs w:val="24"/>
              </w:rPr>
            </w:pPr>
          </w:p>
          <w:p w:rsidR="00301868" w:rsidRPr="007A140E"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w:t>
            </w:r>
            <w:r w:rsidR="006C12FA">
              <w:rPr>
                <w:rFonts w:ascii="Arial Narrow" w:hAnsi="Arial Narrow" w:cs="Arial"/>
                <w:sz w:val="24"/>
                <w:szCs w:val="24"/>
              </w:rPr>
              <w:t>5</w:t>
            </w:r>
            <w:r w:rsidRPr="007A140E">
              <w:rPr>
                <w:rFonts w:ascii="Arial Narrow" w:hAnsi="Arial Narrow" w:cs="Arial"/>
                <w:sz w:val="24"/>
                <w:szCs w:val="24"/>
              </w:rPr>
              <w:t>]</w:t>
            </w:r>
            <w:r w:rsidRPr="007A140E">
              <w:rPr>
                <w:rFonts w:ascii="Arial Narrow" w:hAnsi="Arial Narrow" w:cs="Arial"/>
                <w:sz w:val="24"/>
                <w:szCs w:val="24"/>
              </w:rPr>
              <w:tab/>
              <w:t xml:space="preserve">Mr </w:t>
            </w:r>
            <w:proofErr w:type="spellStart"/>
            <w:r w:rsidRPr="007A140E">
              <w:rPr>
                <w:rFonts w:ascii="Arial Narrow" w:hAnsi="Arial Narrow" w:cs="Arial"/>
                <w:sz w:val="24"/>
                <w:szCs w:val="24"/>
              </w:rPr>
              <w:t>Shakumu</w:t>
            </w:r>
            <w:proofErr w:type="spellEnd"/>
            <w:r w:rsidRPr="007A140E">
              <w:rPr>
                <w:rFonts w:ascii="Arial Narrow" w:hAnsi="Arial Narrow" w:cs="Arial"/>
                <w:sz w:val="24"/>
                <w:szCs w:val="24"/>
              </w:rPr>
              <w:t xml:space="preserve"> deposed to the founding affidavit wherein he confirmed the amount claim</w:t>
            </w:r>
            <w:r w:rsidR="00BA4685" w:rsidRPr="007A140E">
              <w:rPr>
                <w:rFonts w:ascii="Arial Narrow" w:hAnsi="Arial Narrow" w:cs="Arial"/>
                <w:sz w:val="24"/>
                <w:szCs w:val="24"/>
              </w:rPr>
              <w:t>ed</w:t>
            </w:r>
            <w:r w:rsidRPr="007A140E">
              <w:rPr>
                <w:rFonts w:ascii="Arial Narrow" w:hAnsi="Arial Narrow" w:cs="Arial"/>
                <w:sz w:val="24"/>
                <w:szCs w:val="24"/>
              </w:rPr>
              <w:t xml:space="preserve">. He further stated that in his opinion there is no </w:t>
            </w:r>
            <w:r w:rsidRPr="007A140E">
              <w:rPr>
                <w:rFonts w:ascii="Arial Narrow" w:hAnsi="Arial Narrow" w:cs="Arial"/>
                <w:i/>
                <w:sz w:val="24"/>
                <w:szCs w:val="24"/>
              </w:rPr>
              <w:t>bona fide</w:t>
            </w:r>
            <w:r w:rsidRPr="007A140E">
              <w:rPr>
                <w:rFonts w:ascii="Arial Narrow" w:hAnsi="Arial Narrow" w:cs="Arial"/>
                <w:sz w:val="24"/>
                <w:szCs w:val="24"/>
              </w:rPr>
              <w:t xml:space="preserve"> defence to the action and that the notice of intention to defend was delivered solely for the pu</w:t>
            </w:r>
            <w:r w:rsidR="005E1208">
              <w:rPr>
                <w:rFonts w:ascii="Arial Narrow" w:hAnsi="Arial Narrow" w:cs="Arial"/>
                <w:sz w:val="24"/>
                <w:szCs w:val="24"/>
              </w:rPr>
              <w:t>rposes of delaying the action.</w:t>
            </w:r>
          </w:p>
          <w:p w:rsidR="007A140E" w:rsidRPr="007A140E" w:rsidRDefault="007A140E" w:rsidP="007A140E">
            <w:pPr>
              <w:spacing w:line="360" w:lineRule="auto"/>
              <w:jc w:val="both"/>
              <w:rPr>
                <w:rFonts w:ascii="Arial Narrow" w:hAnsi="Arial Narrow" w:cs="Arial"/>
                <w:sz w:val="24"/>
                <w:szCs w:val="24"/>
              </w:rPr>
            </w:pPr>
          </w:p>
          <w:p w:rsidR="00301868" w:rsidRPr="005D0740" w:rsidRDefault="00301868" w:rsidP="007A140E">
            <w:pPr>
              <w:spacing w:line="360" w:lineRule="auto"/>
              <w:jc w:val="both"/>
              <w:rPr>
                <w:rFonts w:ascii="Arial Narrow" w:hAnsi="Arial Narrow" w:cs="Arial"/>
                <w:sz w:val="24"/>
                <w:szCs w:val="24"/>
              </w:rPr>
            </w:pPr>
            <w:r w:rsidRPr="005D0740">
              <w:rPr>
                <w:rFonts w:ascii="Arial Narrow" w:hAnsi="Arial Narrow" w:cs="Arial"/>
                <w:sz w:val="24"/>
                <w:szCs w:val="24"/>
              </w:rPr>
              <w:lastRenderedPageBreak/>
              <w:t>[</w:t>
            </w:r>
            <w:r w:rsidR="00200A52" w:rsidRPr="005D0740">
              <w:rPr>
                <w:rFonts w:ascii="Arial Narrow" w:hAnsi="Arial Narrow" w:cs="Arial"/>
                <w:sz w:val="24"/>
                <w:szCs w:val="24"/>
              </w:rPr>
              <w:t>6</w:t>
            </w:r>
            <w:r w:rsidRPr="005D0740">
              <w:rPr>
                <w:rFonts w:ascii="Arial Narrow" w:hAnsi="Arial Narrow" w:cs="Arial"/>
                <w:sz w:val="24"/>
                <w:szCs w:val="24"/>
              </w:rPr>
              <w:t>]</w:t>
            </w:r>
            <w:r w:rsidRPr="005D0740">
              <w:rPr>
                <w:rFonts w:ascii="Arial Narrow" w:hAnsi="Arial Narrow" w:cs="Arial"/>
                <w:sz w:val="24"/>
                <w:szCs w:val="24"/>
              </w:rPr>
              <w:tab/>
              <w:t xml:space="preserve">The </w:t>
            </w:r>
            <w:r w:rsidR="00867A56" w:rsidRPr="005D0740">
              <w:rPr>
                <w:rFonts w:ascii="Arial Narrow" w:hAnsi="Arial Narrow" w:cs="Arial"/>
                <w:sz w:val="24"/>
                <w:szCs w:val="24"/>
              </w:rPr>
              <w:t xml:space="preserve">defendant </w:t>
            </w:r>
            <w:r w:rsidRPr="005D0740">
              <w:rPr>
                <w:rFonts w:ascii="Arial Narrow" w:hAnsi="Arial Narrow" w:cs="Arial"/>
                <w:sz w:val="24"/>
                <w:szCs w:val="24"/>
              </w:rPr>
              <w:t>opposed the summary judgment application on various ground</w:t>
            </w:r>
            <w:r w:rsidR="00BA4685" w:rsidRPr="005D0740">
              <w:rPr>
                <w:rFonts w:ascii="Arial Narrow" w:hAnsi="Arial Narrow" w:cs="Arial"/>
                <w:sz w:val="24"/>
                <w:szCs w:val="24"/>
              </w:rPr>
              <w:t>s</w:t>
            </w:r>
            <w:r w:rsidRPr="005D0740">
              <w:rPr>
                <w:rFonts w:ascii="Arial Narrow" w:hAnsi="Arial Narrow" w:cs="Arial"/>
                <w:sz w:val="24"/>
                <w:szCs w:val="24"/>
              </w:rPr>
              <w:t xml:space="preserve">, which can be set out </w:t>
            </w:r>
            <w:r w:rsidR="00DF61FA" w:rsidRPr="005D0740">
              <w:rPr>
                <w:rFonts w:ascii="Arial Narrow" w:hAnsi="Arial Narrow" w:cs="Arial"/>
                <w:sz w:val="24"/>
                <w:szCs w:val="24"/>
              </w:rPr>
              <w:t xml:space="preserve">in summary </w:t>
            </w:r>
            <w:r w:rsidRPr="005D0740">
              <w:rPr>
                <w:rFonts w:ascii="Arial Narrow" w:hAnsi="Arial Narrow" w:cs="Arial"/>
                <w:sz w:val="24"/>
                <w:szCs w:val="24"/>
              </w:rPr>
              <w:t>as follows:</w:t>
            </w:r>
          </w:p>
          <w:p w:rsidR="00610157" w:rsidRPr="007A140E" w:rsidRDefault="00610157" w:rsidP="007A140E">
            <w:pPr>
              <w:spacing w:line="360" w:lineRule="auto"/>
              <w:jc w:val="both"/>
              <w:rPr>
                <w:rFonts w:ascii="Arial Narrow" w:hAnsi="Arial Narrow" w:cs="Arial"/>
                <w:sz w:val="24"/>
                <w:szCs w:val="24"/>
              </w:rPr>
            </w:pPr>
          </w:p>
          <w:p w:rsidR="00301868" w:rsidRPr="005D0740" w:rsidRDefault="00301868" w:rsidP="007A140E">
            <w:pPr>
              <w:pStyle w:val="ListParagraph"/>
              <w:numPr>
                <w:ilvl w:val="0"/>
                <w:numId w:val="13"/>
              </w:numPr>
              <w:spacing w:line="360" w:lineRule="auto"/>
              <w:jc w:val="both"/>
              <w:rPr>
                <w:rFonts w:ascii="Arial Narrow" w:hAnsi="Arial Narrow" w:cs="Arial"/>
                <w:sz w:val="24"/>
                <w:szCs w:val="24"/>
              </w:rPr>
            </w:pPr>
            <w:r w:rsidRPr="005D0740">
              <w:rPr>
                <w:rFonts w:ascii="Arial Narrow" w:hAnsi="Arial Narrow" w:cs="Arial"/>
                <w:sz w:val="24"/>
                <w:szCs w:val="24"/>
              </w:rPr>
              <w:t xml:space="preserve">The </w:t>
            </w:r>
            <w:r w:rsidR="00867A56" w:rsidRPr="005D0740">
              <w:rPr>
                <w:rFonts w:ascii="Arial Narrow" w:hAnsi="Arial Narrow" w:cs="Arial"/>
                <w:sz w:val="24"/>
                <w:szCs w:val="24"/>
              </w:rPr>
              <w:t xml:space="preserve">defendant </w:t>
            </w:r>
            <w:r w:rsidRPr="005D0740">
              <w:rPr>
                <w:rFonts w:ascii="Arial Narrow" w:hAnsi="Arial Narrow" w:cs="Arial"/>
                <w:sz w:val="24"/>
                <w:szCs w:val="24"/>
              </w:rPr>
              <w:t>denies that the parties agreed on a fee structure in the amount of N$ 30 000 per day as pleaded (the defendant further denies the reasonableness of the fee structure or that the fee structure was ever discussed with him)</w:t>
            </w:r>
            <w:r w:rsidR="0024206D" w:rsidRPr="005D0740">
              <w:rPr>
                <w:rFonts w:ascii="Arial Narrow" w:hAnsi="Arial Narrow" w:cs="Arial"/>
                <w:sz w:val="24"/>
                <w:szCs w:val="24"/>
              </w:rPr>
              <w:t>.</w:t>
            </w:r>
          </w:p>
          <w:p w:rsidR="00301868" w:rsidRPr="005D0740" w:rsidRDefault="00301868" w:rsidP="007A140E">
            <w:pPr>
              <w:pStyle w:val="ListParagraph"/>
              <w:numPr>
                <w:ilvl w:val="0"/>
                <w:numId w:val="13"/>
              </w:numPr>
              <w:spacing w:line="360" w:lineRule="auto"/>
              <w:jc w:val="both"/>
              <w:rPr>
                <w:rFonts w:ascii="Arial Narrow" w:hAnsi="Arial Narrow" w:cs="Arial"/>
                <w:sz w:val="24"/>
                <w:szCs w:val="24"/>
              </w:rPr>
            </w:pPr>
            <w:r w:rsidRPr="005D0740">
              <w:rPr>
                <w:rFonts w:ascii="Arial Narrow" w:hAnsi="Arial Narrow" w:cs="Arial"/>
                <w:sz w:val="24"/>
                <w:szCs w:val="24"/>
              </w:rPr>
              <w:t xml:space="preserve">The </w:t>
            </w:r>
            <w:r w:rsidR="00867A56" w:rsidRPr="005D0740">
              <w:rPr>
                <w:rFonts w:ascii="Arial Narrow" w:hAnsi="Arial Narrow" w:cs="Arial"/>
                <w:sz w:val="24"/>
                <w:szCs w:val="24"/>
              </w:rPr>
              <w:t xml:space="preserve">defendant </w:t>
            </w:r>
            <w:r w:rsidRPr="005D0740">
              <w:rPr>
                <w:rFonts w:ascii="Arial Narrow" w:hAnsi="Arial Narrow" w:cs="Arial"/>
                <w:sz w:val="24"/>
                <w:szCs w:val="24"/>
              </w:rPr>
              <w:t>is entitled to receive an it</w:t>
            </w:r>
            <w:r w:rsidR="00867A56" w:rsidRPr="005D0740">
              <w:rPr>
                <w:rFonts w:ascii="Arial Narrow" w:hAnsi="Arial Narrow" w:cs="Arial"/>
                <w:sz w:val="24"/>
                <w:szCs w:val="24"/>
              </w:rPr>
              <w:t>emize</w:t>
            </w:r>
            <w:r w:rsidR="006E44AD" w:rsidRPr="005D0740">
              <w:rPr>
                <w:rFonts w:ascii="Arial Narrow" w:hAnsi="Arial Narrow" w:cs="Arial"/>
                <w:sz w:val="24"/>
                <w:szCs w:val="24"/>
              </w:rPr>
              <w:t>d</w:t>
            </w:r>
            <w:r w:rsidR="0024206D" w:rsidRPr="005D0740">
              <w:rPr>
                <w:rFonts w:ascii="Arial Narrow" w:hAnsi="Arial Narrow" w:cs="Arial"/>
                <w:sz w:val="24"/>
                <w:szCs w:val="24"/>
              </w:rPr>
              <w:t xml:space="preserve"> bill and have same taxed.</w:t>
            </w:r>
          </w:p>
          <w:p w:rsidR="00301868" w:rsidRPr="005D0740" w:rsidRDefault="00301868" w:rsidP="007A140E">
            <w:pPr>
              <w:pStyle w:val="ListParagraph"/>
              <w:numPr>
                <w:ilvl w:val="0"/>
                <w:numId w:val="13"/>
              </w:numPr>
              <w:spacing w:line="360" w:lineRule="auto"/>
              <w:jc w:val="both"/>
              <w:rPr>
                <w:rFonts w:ascii="Arial Narrow" w:hAnsi="Arial Narrow" w:cs="Arial"/>
                <w:sz w:val="24"/>
                <w:szCs w:val="24"/>
                <w:u w:val="single"/>
              </w:rPr>
            </w:pPr>
            <w:r w:rsidRPr="005D0740">
              <w:rPr>
                <w:rFonts w:ascii="Arial Narrow" w:hAnsi="Arial Narrow" w:cs="Arial"/>
                <w:sz w:val="24"/>
                <w:szCs w:val="24"/>
              </w:rPr>
              <w:t>The</w:t>
            </w:r>
            <w:r w:rsidR="0024206D" w:rsidRPr="005D0740">
              <w:rPr>
                <w:rFonts w:ascii="Arial Narrow" w:hAnsi="Arial Narrow" w:cs="Arial"/>
                <w:sz w:val="24"/>
                <w:szCs w:val="24"/>
              </w:rPr>
              <w:t xml:space="preserve"> defendant</w:t>
            </w:r>
            <w:r w:rsidRPr="005D0740">
              <w:rPr>
                <w:rFonts w:ascii="Arial Narrow" w:hAnsi="Arial Narrow" w:cs="Arial"/>
                <w:sz w:val="24"/>
                <w:szCs w:val="24"/>
              </w:rPr>
              <w:t xml:space="preserve"> denies that he engaged the service of the plaintiff for bail proceedings or for any other proceedings for that matter. The </w:t>
            </w:r>
            <w:r w:rsidR="0024206D" w:rsidRPr="005D0740">
              <w:rPr>
                <w:rFonts w:ascii="Arial Narrow" w:hAnsi="Arial Narrow" w:cs="Arial"/>
                <w:sz w:val="24"/>
                <w:szCs w:val="24"/>
              </w:rPr>
              <w:t xml:space="preserve">defendant </w:t>
            </w:r>
            <w:r w:rsidRPr="005D0740">
              <w:rPr>
                <w:rFonts w:ascii="Arial Narrow" w:hAnsi="Arial Narrow" w:cs="Arial"/>
                <w:sz w:val="24"/>
                <w:szCs w:val="24"/>
              </w:rPr>
              <w:t>denies that criminal proceedings were instituted against him of any nature.</w:t>
            </w:r>
          </w:p>
          <w:p w:rsidR="00301868" w:rsidRPr="005D0740" w:rsidRDefault="00301868" w:rsidP="007A140E">
            <w:pPr>
              <w:pStyle w:val="ListParagraph"/>
              <w:numPr>
                <w:ilvl w:val="0"/>
                <w:numId w:val="13"/>
              </w:numPr>
              <w:spacing w:line="360" w:lineRule="auto"/>
              <w:jc w:val="both"/>
              <w:rPr>
                <w:rFonts w:ascii="Arial Narrow" w:hAnsi="Arial Narrow" w:cs="Arial"/>
                <w:sz w:val="24"/>
                <w:szCs w:val="24"/>
              </w:rPr>
            </w:pPr>
            <w:r w:rsidRPr="005D0740">
              <w:rPr>
                <w:rFonts w:ascii="Arial Narrow" w:hAnsi="Arial Narrow" w:cs="Arial"/>
                <w:sz w:val="24"/>
                <w:szCs w:val="24"/>
              </w:rPr>
              <w:t xml:space="preserve">The </w:t>
            </w:r>
            <w:r w:rsidR="0024206D" w:rsidRPr="005D0740">
              <w:rPr>
                <w:rFonts w:ascii="Arial Narrow" w:hAnsi="Arial Narrow" w:cs="Arial"/>
                <w:sz w:val="24"/>
                <w:szCs w:val="24"/>
              </w:rPr>
              <w:t xml:space="preserve">defendant </w:t>
            </w:r>
            <w:r w:rsidRPr="005D0740">
              <w:rPr>
                <w:rFonts w:ascii="Arial Narrow" w:hAnsi="Arial Narrow" w:cs="Arial"/>
                <w:sz w:val="24"/>
                <w:szCs w:val="24"/>
              </w:rPr>
              <w:t>conceded that he was detained on a warrant of detention issued by the Ministry of Home Affairs in terms of s 42 of Act 7 of 1993 but stated that when he was taken to the Ministry of Home Affairs on 13 January 2020 he was required to pay an amount of N$ 2000 as a guarantee in terms of the said Act an</w:t>
            </w:r>
            <w:r w:rsidR="0024206D" w:rsidRPr="005D0740">
              <w:rPr>
                <w:rFonts w:ascii="Arial Narrow" w:hAnsi="Arial Narrow" w:cs="Arial"/>
                <w:sz w:val="24"/>
                <w:szCs w:val="24"/>
              </w:rPr>
              <w:t>d he was released from custody.</w:t>
            </w:r>
          </w:p>
          <w:p w:rsidR="007A140E" w:rsidRPr="007A140E" w:rsidRDefault="007A140E" w:rsidP="007A140E">
            <w:pPr>
              <w:spacing w:line="360" w:lineRule="auto"/>
              <w:jc w:val="both"/>
              <w:rPr>
                <w:rFonts w:ascii="Arial Narrow" w:hAnsi="Arial Narrow" w:cs="Arial"/>
                <w:sz w:val="24"/>
                <w:szCs w:val="24"/>
                <w:u w:val="single"/>
              </w:rPr>
            </w:pPr>
          </w:p>
          <w:p w:rsidR="00301868" w:rsidRDefault="00301868" w:rsidP="007A140E">
            <w:pPr>
              <w:spacing w:line="360" w:lineRule="auto"/>
              <w:jc w:val="both"/>
              <w:rPr>
                <w:rFonts w:ascii="Arial Narrow" w:hAnsi="Arial Narrow" w:cs="Arial"/>
                <w:sz w:val="24"/>
                <w:szCs w:val="24"/>
                <w:u w:val="single"/>
              </w:rPr>
            </w:pPr>
            <w:r w:rsidRPr="007A140E">
              <w:rPr>
                <w:rFonts w:ascii="Arial Narrow" w:hAnsi="Arial Narrow" w:cs="Arial"/>
                <w:sz w:val="24"/>
                <w:szCs w:val="24"/>
                <w:u w:val="single"/>
              </w:rPr>
              <w:t>The applicable rule</w:t>
            </w:r>
          </w:p>
          <w:p w:rsidR="00B13AF1" w:rsidRPr="007A140E" w:rsidRDefault="00B13AF1" w:rsidP="007A140E">
            <w:pPr>
              <w:spacing w:line="360" w:lineRule="auto"/>
              <w:jc w:val="both"/>
              <w:rPr>
                <w:rFonts w:ascii="Arial Narrow" w:hAnsi="Arial Narrow" w:cs="Arial"/>
                <w:sz w:val="24"/>
                <w:szCs w:val="24"/>
                <w:u w:val="single"/>
              </w:rPr>
            </w:pPr>
          </w:p>
          <w:p w:rsidR="00301868" w:rsidRPr="007A140E"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w:t>
            </w:r>
            <w:r w:rsidR="00200A52" w:rsidRPr="007A140E">
              <w:rPr>
                <w:rFonts w:ascii="Arial Narrow" w:hAnsi="Arial Narrow" w:cs="Arial"/>
                <w:sz w:val="24"/>
                <w:szCs w:val="24"/>
              </w:rPr>
              <w:t>7</w:t>
            </w:r>
            <w:r w:rsidRPr="007A140E">
              <w:rPr>
                <w:rFonts w:ascii="Arial Narrow" w:hAnsi="Arial Narrow" w:cs="Arial"/>
                <w:sz w:val="24"/>
                <w:szCs w:val="24"/>
              </w:rPr>
              <w:t>]</w:t>
            </w:r>
            <w:r w:rsidRPr="007A140E">
              <w:rPr>
                <w:rFonts w:ascii="Arial Narrow" w:hAnsi="Arial Narrow" w:cs="Arial"/>
                <w:sz w:val="24"/>
                <w:szCs w:val="24"/>
              </w:rPr>
              <w:tab/>
              <w:t>Summary judgment application is regulated by rule 60(1) of the Rules of the High Court of Namibia, which provides as follows:</w:t>
            </w:r>
          </w:p>
          <w:p w:rsidR="007A140E" w:rsidRPr="007A140E" w:rsidRDefault="007A140E" w:rsidP="007A140E">
            <w:pPr>
              <w:spacing w:line="360" w:lineRule="auto"/>
              <w:jc w:val="both"/>
              <w:rPr>
                <w:rFonts w:ascii="Arial Narrow" w:hAnsi="Arial Narrow" w:cs="Arial"/>
                <w:sz w:val="24"/>
                <w:szCs w:val="24"/>
              </w:rPr>
            </w:pPr>
          </w:p>
          <w:p w:rsidR="00301868" w:rsidRPr="00104539" w:rsidRDefault="00200A52" w:rsidP="007A140E">
            <w:pPr>
              <w:spacing w:line="360" w:lineRule="auto"/>
              <w:jc w:val="both"/>
              <w:rPr>
                <w:rFonts w:ascii="Arial Narrow" w:hAnsi="Arial Narrow" w:cs="Arial"/>
              </w:rPr>
            </w:pPr>
            <w:r w:rsidRPr="007A140E">
              <w:rPr>
                <w:rFonts w:ascii="Arial Narrow" w:hAnsi="Arial Narrow" w:cs="Arial"/>
                <w:sz w:val="24"/>
                <w:szCs w:val="24"/>
              </w:rPr>
              <w:t xml:space="preserve">              </w:t>
            </w:r>
            <w:r w:rsidR="005D0740" w:rsidRPr="00104539">
              <w:rPr>
                <w:rFonts w:ascii="Arial Narrow" w:hAnsi="Arial Narrow" w:cs="Arial"/>
              </w:rPr>
              <w:t>‘</w:t>
            </w:r>
            <w:r w:rsidR="00301868" w:rsidRPr="00104539">
              <w:rPr>
                <w:rFonts w:ascii="Arial Narrow" w:hAnsi="Arial Narrow" w:cs="Arial"/>
              </w:rPr>
              <w:t>60. (1) Where the defendant has delivered notice of intention to defend, the plaintiff may apply to court for summary judgment on each claim in the summons, together with a claim for interest and costs, so long as the claim is – (a) on a liquid document; (b) for a liquidated amount in money; (c) for delivery of specified movable property; or (d) for ejectment.</w:t>
            </w:r>
            <w:r w:rsidR="005D0740" w:rsidRPr="00104539">
              <w:rPr>
                <w:rFonts w:ascii="Arial Narrow" w:hAnsi="Arial Narrow" w:cs="Arial"/>
              </w:rPr>
              <w:t>’</w:t>
            </w:r>
          </w:p>
          <w:p w:rsidR="007A140E" w:rsidRPr="007A140E" w:rsidRDefault="007A140E" w:rsidP="007A140E">
            <w:pPr>
              <w:spacing w:line="360" w:lineRule="auto"/>
              <w:jc w:val="both"/>
              <w:rPr>
                <w:rFonts w:ascii="Arial Narrow" w:hAnsi="Arial Narrow" w:cs="Arial"/>
                <w:sz w:val="24"/>
                <w:szCs w:val="24"/>
                <w:u w:val="single"/>
              </w:rPr>
            </w:pPr>
          </w:p>
          <w:p w:rsidR="00301868" w:rsidRPr="007A140E" w:rsidRDefault="00301868" w:rsidP="007A140E">
            <w:pPr>
              <w:spacing w:line="360" w:lineRule="auto"/>
              <w:jc w:val="both"/>
              <w:rPr>
                <w:rFonts w:ascii="Arial Narrow" w:hAnsi="Arial Narrow" w:cs="Arial"/>
                <w:sz w:val="24"/>
                <w:szCs w:val="24"/>
                <w:u w:val="single"/>
              </w:rPr>
            </w:pPr>
            <w:r w:rsidRPr="007A140E">
              <w:rPr>
                <w:rFonts w:ascii="Arial Narrow" w:hAnsi="Arial Narrow" w:cs="Arial"/>
                <w:sz w:val="24"/>
                <w:szCs w:val="24"/>
                <w:u w:val="single"/>
              </w:rPr>
              <w:t>Discussion</w:t>
            </w:r>
          </w:p>
          <w:p w:rsidR="007A140E" w:rsidRPr="00CF59DB" w:rsidRDefault="007A140E" w:rsidP="007A140E">
            <w:pPr>
              <w:spacing w:line="360" w:lineRule="auto"/>
              <w:jc w:val="both"/>
              <w:rPr>
                <w:rFonts w:ascii="Arial Narrow" w:hAnsi="Arial Narrow" w:cs="Arial"/>
                <w:sz w:val="24"/>
                <w:szCs w:val="24"/>
              </w:rPr>
            </w:pPr>
          </w:p>
          <w:p w:rsidR="00301868" w:rsidRPr="007A140E" w:rsidRDefault="00301868" w:rsidP="007A140E">
            <w:pPr>
              <w:spacing w:line="360" w:lineRule="auto"/>
              <w:jc w:val="both"/>
              <w:rPr>
                <w:rFonts w:ascii="Arial Narrow" w:hAnsi="Arial Narrow" w:cs="Arial"/>
                <w:i/>
                <w:sz w:val="24"/>
                <w:szCs w:val="24"/>
              </w:rPr>
            </w:pPr>
            <w:r w:rsidRPr="007A140E">
              <w:rPr>
                <w:rFonts w:ascii="Arial Narrow" w:hAnsi="Arial Narrow" w:cs="Arial"/>
                <w:i/>
                <w:sz w:val="24"/>
                <w:szCs w:val="24"/>
              </w:rPr>
              <w:t>General principles of summary judgment application</w:t>
            </w:r>
          </w:p>
          <w:p w:rsidR="007A140E" w:rsidRPr="007A140E" w:rsidRDefault="007A140E" w:rsidP="007A140E">
            <w:pPr>
              <w:spacing w:line="360" w:lineRule="auto"/>
              <w:jc w:val="both"/>
              <w:rPr>
                <w:rFonts w:ascii="Arial Narrow" w:hAnsi="Arial Narrow" w:cs="Arial"/>
                <w:sz w:val="24"/>
                <w:szCs w:val="24"/>
              </w:rPr>
            </w:pPr>
          </w:p>
          <w:p w:rsidR="00301868" w:rsidRDefault="00301868" w:rsidP="007A140E">
            <w:pPr>
              <w:spacing w:line="360" w:lineRule="auto"/>
              <w:jc w:val="both"/>
              <w:rPr>
                <w:rFonts w:ascii="Arial Narrow" w:hAnsi="Arial Narrow" w:cs="Arial"/>
                <w:bCs/>
                <w:iCs/>
                <w:color w:val="000000"/>
                <w:sz w:val="24"/>
                <w:szCs w:val="24"/>
                <w:shd w:val="clear" w:color="auto" w:fill="FFFFFF"/>
              </w:rPr>
            </w:pPr>
            <w:r w:rsidRPr="007A140E">
              <w:rPr>
                <w:rFonts w:ascii="Arial Narrow" w:hAnsi="Arial Narrow" w:cs="Arial"/>
                <w:sz w:val="24"/>
                <w:szCs w:val="24"/>
              </w:rPr>
              <w:t>[</w:t>
            </w:r>
            <w:r w:rsidR="00200A52" w:rsidRPr="007A140E">
              <w:rPr>
                <w:rFonts w:ascii="Arial Narrow" w:hAnsi="Arial Narrow" w:cs="Arial"/>
                <w:sz w:val="24"/>
                <w:szCs w:val="24"/>
              </w:rPr>
              <w:t>8</w:t>
            </w:r>
            <w:r w:rsidRPr="007A140E">
              <w:rPr>
                <w:rFonts w:ascii="Arial Narrow" w:hAnsi="Arial Narrow" w:cs="Arial"/>
                <w:sz w:val="24"/>
                <w:szCs w:val="24"/>
              </w:rPr>
              <w:t>]</w:t>
            </w:r>
            <w:r w:rsidRPr="007A140E">
              <w:rPr>
                <w:rFonts w:ascii="Arial Narrow" w:hAnsi="Arial Narrow" w:cs="Arial"/>
                <w:sz w:val="24"/>
                <w:szCs w:val="24"/>
              </w:rPr>
              <w:tab/>
            </w:r>
            <w:r w:rsidRPr="007A140E">
              <w:rPr>
                <w:rFonts w:ascii="Arial Narrow" w:hAnsi="Arial Narrow" w:cs="Arial"/>
                <w:bCs/>
                <w:color w:val="000000"/>
                <w:sz w:val="24"/>
                <w:szCs w:val="24"/>
                <w:shd w:val="clear" w:color="auto" w:fill="FFFFFF"/>
              </w:rPr>
              <w:t xml:space="preserve">Van </w:t>
            </w:r>
            <w:proofErr w:type="spellStart"/>
            <w:r w:rsidRPr="007A140E">
              <w:rPr>
                <w:rFonts w:ascii="Arial Narrow" w:hAnsi="Arial Narrow" w:cs="Arial"/>
                <w:bCs/>
                <w:color w:val="000000"/>
                <w:sz w:val="24"/>
                <w:szCs w:val="24"/>
                <w:shd w:val="clear" w:color="auto" w:fill="FFFFFF"/>
              </w:rPr>
              <w:t>Niekerk</w:t>
            </w:r>
            <w:proofErr w:type="spellEnd"/>
            <w:r w:rsidRPr="007A140E">
              <w:rPr>
                <w:rFonts w:ascii="Arial Narrow" w:hAnsi="Arial Narrow" w:cs="Arial"/>
                <w:bCs/>
                <w:color w:val="000000"/>
                <w:sz w:val="24"/>
                <w:szCs w:val="24"/>
                <w:shd w:val="clear" w:color="auto" w:fill="FFFFFF"/>
              </w:rPr>
              <w:t xml:space="preserve"> et al in </w:t>
            </w:r>
            <w:r w:rsidRPr="007A140E">
              <w:rPr>
                <w:rFonts w:ascii="Arial Narrow" w:hAnsi="Arial Narrow" w:cs="Arial"/>
                <w:bCs/>
                <w:i/>
                <w:color w:val="000000"/>
                <w:sz w:val="24"/>
                <w:szCs w:val="24"/>
                <w:shd w:val="clear" w:color="auto" w:fill="FFFFFF"/>
              </w:rPr>
              <w:t>Summary Judgment- A Practical Guide</w:t>
            </w:r>
            <w:r w:rsidRPr="007A140E">
              <w:rPr>
                <w:rStyle w:val="FootnoteReference"/>
                <w:rFonts w:ascii="Arial Narrow" w:hAnsi="Arial Narrow" w:cs="Arial"/>
                <w:bCs/>
                <w:i/>
                <w:iCs/>
                <w:color w:val="000000"/>
                <w:sz w:val="24"/>
                <w:szCs w:val="24"/>
                <w:shd w:val="clear" w:color="auto" w:fill="FFFFFF"/>
              </w:rPr>
              <w:footnoteReference w:id="1"/>
            </w:r>
            <w:r w:rsidRPr="007A140E">
              <w:rPr>
                <w:rFonts w:ascii="Arial Narrow" w:hAnsi="Arial Narrow" w:cs="Arial"/>
                <w:b/>
                <w:bCs/>
                <w:i/>
                <w:iCs/>
                <w:color w:val="000000"/>
                <w:sz w:val="24"/>
                <w:szCs w:val="24"/>
                <w:shd w:val="clear" w:color="auto" w:fill="FFFFFF"/>
              </w:rPr>
              <w:t> </w:t>
            </w:r>
            <w:r w:rsidRPr="007A140E">
              <w:rPr>
                <w:rFonts w:ascii="Arial Narrow" w:hAnsi="Arial Narrow" w:cs="Arial"/>
                <w:bCs/>
                <w:iCs/>
                <w:color w:val="000000"/>
                <w:sz w:val="24"/>
                <w:szCs w:val="24"/>
                <w:shd w:val="clear" w:color="auto" w:fill="FFFFFF"/>
              </w:rPr>
              <w:t>stated as follows regarding the nature of</w:t>
            </w:r>
            <w:r w:rsidR="00183680">
              <w:rPr>
                <w:rFonts w:ascii="Arial Narrow" w:hAnsi="Arial Narrow" w:cs="Arial"/>
                <w:bCs/>
                <w:iCs/>
                <w:color w:val="000000"/>
                <w:sz w:val="24"/>
                <w:szCs w:val="24"/>
                <w:shd w:val="clear" w:color="auto" w:fill="FFFFFF"/>
              </w:rPr>
              <w:t xml:space="preserve"> summary judgment applications:</w:t>
            </w:r>
          </w:p>
          <w:p w:rsidR="007A140E" w:rsidRPr="007A140E" w:rsidRDefault="007A140E" w:rsidP="007A140E">
            <w:pPr>
              <w:spacing w:line="360" w:lineRule="auto"/>
              <w:jc w:val="both"/>
              <w:rPr>
                <w:rFonts w:ascii="Arial Narrow" w:hAnsi="Arial Narrow" w:cs="Arial"/>
                <w:bCs/>
                <w:iCs/>
                <w:color w:val="000000"/>
                <w:sz w:val="24"/>
                <w:szCs w:val="24"/>
                <w:shd w:val="clear" w:color="auto" w:fill="FFFFFF"/>
              </w:rPr>
            </w:pPr>
          </w:p>
          <w:p w:rsidR="00301868" w:rsidRPr="00183680" w:rsidRDefault="00301868" w:rsidP="007A140E">
            <w:pPr>
              <w:spacing w:line="360" w:lineRule="auto"/>
              <w:ind w:firstLine="720"/>
              <w:jc w:val="both"/>
              <w:rPr>
                <w:rFonts w:ascii="Arial Narrow" w:hAnsi="Arial Narrow" w:cs="Arial"/>
              </w:rPr>
            </w:pPr>
            <w:r w:rsidRPr="00183680">
              <w:rPr>
                <w:rFonts w:ascii="Arial Narrow" w:hAnsi="Arial Narrow" w:cs="Arial"/>
                <w:bCs/>
                <w:iCs/>
                <w:color w:val="000000"/>
                <w:shd w:val="clear" w:color="auto" w:fill="FFFFFF"/>
              </w:rPr>
              <w:lastRenderedPageBreak/>
              <w:t>‘S</w:t>
            </w:r>
            <w:r w:rsidRPr="00183680">
              <w:rPr>
                <w:rFonts w:ascii="Arial Narrow" w:hAnsi="Arial Narrow" w:cs="Arial"/>
              </w:rPr>
              <w:t>ummary judgment has never had as its object the resolution of factual disputes between a plaintiff and defendant. It is an interlocutory procedure and is not intended to be as comprehensive as an opposed action</w:t>
            </w:r>
            <w:r w:rsidR="00C746A8" w:rsidRPr="00183680">
              <w:rPr>
                <w:rFonts w:ascii="Arial Narrow" w:hAnsi="Arial Narrow" w:cs="Arial"/>
              </w:rPr>
              <w:t xml:space="preserve"> or rule 6 application</w:t>
            </w:r>
            <w:r w:rsidRPr="00183680">
              <w:rPr>
                <w:rFonts w:ascii="Arial Narrow" w:hAnsi="Arial Narrow" w:cs="Arial"/>
              </w:rPr>
              <w:t>.</w:t>
            </w:r>
            <w:r w:rsidR="00183680" w:rsidRPr="00183680">
              <w:rPr>
                <w:rFonts w:ascii="Arial Narrow" w:hAnsi="Arial Narrow" w:cs="Arial"/>
              </w:rPr>
              <w:t>’</w:t>
            </w:r>
            <w:r w:rsidRPr="00183680">
              <w:rPr>
                <w:rStyle w:val="FootnoteReference"/>
                <w:rFonts w:ascii="Arial Narrow" w:hAnsi="Arial Narrow" w:cs="Arial"/>
              </w:rPr>
              <w:footnoteReference w:id="2"/>
            </w:r>
          </w:p>
          <w:p w:rsidR="007A140E" w:rsidRDefault="007A140E" w:rsidP="007A140E">
            <w:pPr>
              <w:spacing w:line="360" w:lineRule="auto"/>
              <w:jc w:val="both"/>
              <w:rPr>
                <w:rFonts w:ascii="Arial Narrow" w:hAnsi="Arial Narrow" w:cs="Arial"/>
                <w:sz w:val="24"/>
                <w:szCs w:val="24"/>
              </w:rPr>
            </w:pPr>
          </w:p>
          <w:p w:rsidR="00301868" w:rsidRPr="00120BF5" w:rsidRDefault="00301868" w:rsidP="007A140E">
            <w:pPr>
              <w:spacing w:line="360" w:lineRule="auto"/>
              <w:jc w:val="both"/>
              <w:rPr>
                <w:rFonts w:ascii="Arial Narrow" w:hAnsi="Arial Narrow" w:cs="Arial"/>
                <w:sz w:val="24"/>
                <w:szCs w:val="24"/>
              </w:rPr>
            </w:pPr>
            <w:r w:rsidRPr="00120BF5">
              <w:rPr>
                <w:rFonts w:ascii="Arial Narrow" w:hAnsi="Arial Narrow" w:cs="Arial"/>
                <w:sz w:val="24"/>
                <w:szCs w:val="24"/>
              </w:rPr>
              <w:t>[</w:t>
            </w:r>
            <w:r w:rsidR="00200A52" w:rsidRPr="00120BF5">
              <w:rPr>
                <w:rFonts w:ascii="Arial Narrow" w:hAnsi="Arial Narrow" w:cs="Arial"/>
                <w:sz w:val="24"/>
                <w:szCs w:val="24"/>
              </w:rPr>
              <w:t>9</w:t>
            </w:r>
            <w:r w:rsidRPr="00120BF5">
              <w:rPr>
                <w:rFonts w:ascii="Arial Narrow" w:hAnsi="Arial Narrow" w:cs="Arial"/>
                <w:sz w:val="24"/>
                <w:szCs w:val="24"/>
              </w:rPr>
              <w:t>]</w:t>
            </w:r>
            <w:r w:rsidRPr="00120BF5">
              <w:rPr>
                <w:rFonts w:ascii="Arial Narrow" w:hAnsi="Arial Narrow" w:cs="Arial"/>
                <w:sz w:val="24"/>
                <w:szCs w:val="24"/>
              </w:rPr>
              <w:tab/>
              <w:t xml:space="preserve"> Further to this the learned author indicates:</w:t>
            </w:r>
          </w:p>
          <w:p w:rsidR="00183680" w:rsidRPr="007A140E" w:rsidRDefault="00183680" w:rsidP="007A140E">
            <w:pPr>
              <w:spacing w:line="360" w:lineRule="auto"/>
              <w:jc w:val="both"/>
              <w:rPr>
                <w:rFonts w:ascii="Arial Narrow" w:hAnsi="Arial Narrow" w:cs="Arial"/>
                <w:sz w:val="24"/>
                <w:szCs w:val="24"/>
              </w:rPr>
            </w:pPr>
          </w:p>
          <w:p w:rsidR="00301868" w:rsidRPr="00672826" w:rsidRDefault="00301868" w:rsidP="007A140E">
            <w:pPr>
              <w:spacing w:line="360" w:lineRule="auto"/>
              <w:ind w:firstLine="720"/>
              <w:jc w:val="both"/>
              <w:rPr>
                <w:rFonts w:ascii="Arial Narrow" w:hAnsi="Arial Narrow" w:cs="Arial"/>
              </w:rPr>
            </w:pPr>
            <w:r w:rsidRPr="00672826">
              <w:rPr>
                <w:rFonts w:ascii="Arial Narrow" w:hAnsi="Arial Narrow" w:cs="Arial"/>
              </w:rPr>
              <w:t xml:space="preserve">‘Summary judgment is a </w:t>
            </w:r>
            <w:r w:rsidRPr="00672826">
              <w:rPr>
                <w:rFonts w:ascii="Arial Narrow" w:hAnsi="Arial Narrow" w:cs="Arial"/>
                <w:i/>
              </w:rPr>
              <w:t>sui generis</w:t>
            </w:r>
            <w:r w:rsidRPr="00672826">
              <w:rPr>
                <w:rFonts w:ascii="Arial Narrow" w:hAnsi="Arial Narrow" w:cs="Arial"/>
              </w:rPr>
              <w:t xml:space="preserve"> procedure with its own basis in principle, its own requirements, rules and unique advantages and shortcomings. It is unremarkable, therefore, that the adjudication of such an application differs fundamentally from the adjudication of opposed motions in terms of rule 6, opposed applications for provisional sentence and opposed actions.</w:t>
            </w:r>
            <w:r w:rsidR="00F672DB">
              <w:rPr>
                <w:rFonts w:ascii="Arial Narrow" w:hAnsi="Arial Narrow" w:cs="Arial"/>
              </w:rPr>
              <w:t>’</w:t>
            </w:r>
            <w:r w:rsidRPr="00672826">
              <w:rPr>
                <w:rStyle w:val="FootnoteReference"/>
                <w:rFonts w:ascii="Arial Narrow" w:hAnsi="Arial Narrow" w:cs="Arial"/>
              </w:rPr>
              <w:footnoteReference w:id="3"/>
            </w:r>
          </w:p>
          <w:p w:rsidR="00672826" w:rsidRDefault="00672826" w:rsidP="007A140E">
            <w:pPr>
              <w:spacing w:line="360" w:lineRule="auto"/>
              <w:jc w:val="both"/>
              <w:rPr>
                <w:rFonts w:ascii="Arial Narrow" w:hAnsi="Arial Narrow" w:cs="Arial"/>
                <w:sz w:val="24"/>
                <w:szCs w:val="24"/>
              </w:rPr>
            </w:pPr>
          </w:p>
          <w:p w:rsidR="007A140E"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w:t>
            </w:r>
            <w:r w:rsidR="00200A52" w:rsidRPr="007A140E">
              <w:rPr>
                <w:rFonts w:ascii="Arial Narrow" w:hAnsi="Arial Narrow" w:cs="Arial"/>
                <w:sz w:val="24"/>
                <w:szCs w:val="24"/>
              </w:rPr>
              <w:t>10</w:t>
            </w:r>
            <w:r w:rsidRPr="007A140E">
              <w:rPr>
                <w:rFonts w:ascii="Arial Narrow" w:hAnsi="Arial Narrow" w:cs="Arial"/>
                <w:sz w:val="24"/>
                <w:szCs w:val="24"/>
              </w:rPr>
              <w:t>]</w:t>
            </w:r>
            <w:r w:rsidRPr="007A140E">
              <w:rPr>
                <w:rFonts w:ascii="Arial Narrow" w:hAnsi="Arial Narrow" w:cs="Arial"/>
                <w:sz w:val="24"/>
                <w:szCs w:val="24"/>
              </w:rPr>
              <w:tab/>
              <w:t>The learned author also makes it clear that summary judgment proceedings are not and never have been intended as a forum for the resolution of factual disputes. A trial is a proper forum for the resolution of factual disputes</w:t>
            </w:r>
            <w:r w:rsidR="00445600">
              <w:rPr>
                <w:rFonts w:ascii="Arial Narrow" w:hAnsi="Arial Narrow" w:cs="Arial"/>
                <w:sz w:val="24"/>
                <w:szCs w:val="24"/>
              </w:rPr>
              <w:t>.</w:t>
            </w:r>
            <w:r w:rsidRPr="007A140E">
              <w:rPr>
                <w:rStyle w:val="FootnoteReference"/>
                <w:rFonts w:ascii="Arial Narrow" w:hAnsi="Arial Narrow" w:cs="Arial"/>
                <w:sz w:val="24"/>
                <w:szCs w:val="24"/>
              </w:rPr>
              <w:footnoteReference w:id="4"/>
            </w:r>
          </w:p>
          <w:p w:rsidR="00301868" w:rsidRPr="007A140E"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 xml:space="preserve">                                                                                                                                                                                                                                                                                                                                                                                                                                                                                                                                                         </w:t>
            </w:r>
          </w:p>
          <w:p w:rsidR="00301868" w:rsidRPr="007A140E" w:rsidRDefault="00301868" w:rsidP="007A140E">
            <w:pPr>
              <w:spacing w:line="360" w:lineRule="auto"/>
              <w:jc w:val="both"/>
              <w:rPr>
                <w:rFonts w:ascii="Arial Narrow" w:hAnsi="Arial Narrow" w:cs="Arial"/>
                <w:i/>
                <w:sz w:val="24"/>
                <w:szCs w:val="24"/>
              </w:rPr>
            </w:pPr>
            <w:r w:rsidRPr="007A140E">
              <w:rPr>
                <w:rFonts w:ascii="Arial Narrow" w:hAnsi="Arial Narrow" w:cs="Arial"/>
                <w:i/>
                <w:sz w:val="24"/>
                <w:szCs w:val="24"/>
              </w:rPr>
              <w:t>Untaxed professional fees</w:t>
            </w:r>
          </w:p>
          <w:p w:rsidR="007A140E" w:rsidRDefault="007A140E" w:rsidP="007A140E">
            <w:pPr>
              <w:spacing w:line="360" w:lineRule="auto"/>
              <w:jc w:val="both"/>
              <w:rPr>
                <w:rFonts w:ascii="Arial Narrow" w:hAnsi="Arial Narrow" w:cs="Arial"/>
                <w:sz w:val="24"/>
                <w:szCs w:val="24"/>
              </w:rPr>
            </w:pPr>
          </w:p>
          <w:p w:rsidR="00301868" w:rsidRPr="007A140E" w:rsidRDefault="00301868" w:rsidP="007A140E">
            <w:pPr>
              <w:spacing w:line="360" w:lineRule="auto"/>
              <w:jc w:val="both"/>
              <w:rPr>
                <w:rFonts w:ascii="Arial Narrow" w:hAnsi="Arial Narrow" w:cs="Arial"/>
                <w:color w:val="000000"/>
                <w:sz w:val="24"/>
                <w:szCs w:val="24"/>
                <w:shd w:val="clear" w:color="auto" w:fill="FFFFFF"/>
              </w:rPr>
            </w:pPr>
            <w:r w:rsidRPr="007A140E">
              <w:rPr>
                <w:rFonts w:ascii="Arial Narrow" w:hAnsi="Arial Narrow" w:cs="Arial"/>
                <w:sz w:val="24"/>
                <w:szCs w:val="24"/>
              </w:rPr>
              <w:t>[</w:t>
            </w:r>
            <w:r w:rsidR="00200A52" w:rsidRPr="007A140E">
              <w:rPr>
                <w:rFonts w:ascii="Arial Narrow" w:hAnsi="Arial Narrow" w:cs="Arial"/>
                <w:sz w:val="24"/>
                <w:szCs w:val="24"/>
              </w:rPr>
              <w:t>11</w:t>
            </w:r>
            <w:r w:rsidRPr="007A140E">
              <w:rPr>
                <w:rFonts w:ascii="Arial Narrow" w:hAnsi="Arial Narrow" w:cs="Arial"/>
                <w:sz w:val="24"/>
                <w:szCs w:val="24"/>
              </w:rPr>
              <w:t>]</w:t>
            </w:r>
            <w:r w:rsidRPr="007A140E">
              <w:rPr>
                <w:rFonts w:ascii="Arial Narrow" w:hAnsi="Arial Narrow" w:cs="Arial"/>
                <w:sz w:val="24"/>
                <w:szCs w:val="24"/>
              </w:rPr>
              <w:tab/>
              <w:t>Generally a liquidated amount in money is an amount either agreed upon or which is capable of speedy and prompt ascertainment or, put differently, where ascertain</w:t>
            </w:r>
            <w:r w:rsidR="00A106AC">
              <w:rPr>
                <w:rFonts w:ascii="Arial Narrow" w:hAnsi="Arial Narrow" w:cs="Arial"/>
                <w:sz w:val="24"/>
                <w:szCs w:val="24"/>
              </w:rPr>
              <w:t>ment of the amount in issue is ‘</w:t>
            </w:r>
            <w:r w:rsidRPr="007A140E">
              <w:rPr>
                <w:rFonts w:ascii="Arial Narrow" w:hAnsi="Arial Narrow" w:cs="Arial"/>
                <w:i/>
                <w:sz w:val="24"/>
                <w:szCs w:val="24"/>
              </w:rPr>
              <w:t>a mere matter of calculation</w:t>
            </w:r>
            <w:r w:rsidR="00A106AC">
              <w:rPr>
                <w:rFonts w:ascii="Arial Narrow" w:hAnsi="Arial Narrow" w:cs="Arial"/>
                <w:sz w:val="24"/>
                <w:szCs w:val="24"/>
              </w:rPr>
              <w:t>’</w:t>
            </w:r>
            <w:r w:rsidR="00445600">
              <w:rPr>
                <w:rFonts w:ascii="Arial Narrow" w:hAnsi="Arial Narrow" w:cs="Arial"/>
                <w:sz w:val="24"/>
                <w:szCs w:val="24"/>
              </w:rPr>
              <w:t>.</w:t>
            </w:r>
            <w:bookmarkStart w:id="0" w:name="_GoBack"/>
            <w:bookmarkEnd w:id="0"/>
            <w:r w:rsidRPr="007A140E">
              <w:rPr>
                <w:rStyle w:val="FootnoteReference"/>
                <w:rFonts w:ascii="Arial Narrow" w:hAnsi="Arial Narrow" w:cs="Arial"/>
                <w:color w:val="000000"/>
                <w:sz w:val="24"/>
                <w:szCs w:val="24"/>
                <w:shd w:val="clear" w:color="auto" w:fill="FFFFFF"/>
              </w:rPr>
              <w:footnoteReference w:id="5"/>
            </w:r>
          </w:p>
          <w:p w:rsidR="00301868" w:rsidRPr="007A140E" w:rsidRDefault="00301868" w:rsidP="007A140E">
            <w:pPr>
              <w:spacing w:line="360" w:lineRule="auto"/>
              <w:jc w:val="both"/>
              <w:rPr>
                <w:rFonts w:ascii="Arial Narrow" w:hAnsi="Arial Narrow" w:cs="Arial"/>
                <w:color w:val="000000"/>
                <w:sz w:val="24"/>
                <w:szCs w:val="24"/>
                <w:shd w:val="clear" w:color="auto" w:fill="FFFFFF"/>
              </w:rPr>
            </w:pPr>
          </w:p>
          <w:p w:rsidR="00301868" w:rsidRDefault="00301868" w:rsidP="007A140E">
            <w:pPr>
              <w:spacing w:line="360" w:lineRule="auto"/>
              <w:jc w:val="both"/>
              <w:rPr>
                <w:rFonts w:ascii="Arial Narrow" w:hAnsi="Arial Narrow" w:cs="Arial"/>
                <w:color w:val="000000"/>
                <w:sz w:val="24"/>
                <w:szCs w:val="24"/>
                <w:shd w:val="clear" w:color="auto" w:fill="FFFFFF"/>
              </w:rPr>
            </w:pPr>
            <w:r w:rsidRPr="007A140E">
              <w:rPr>
                <w:rFonts w:ascii="Arial Narrow" w:hAnsi="Arial Narrow" w:cs="Arial"/>
                <w:color w:val="000000"/>
                <w:sz w:val="24"/>
                <w:szCs w:val="24"/>
                <w:shd w:val="clear" w:color="auto" w:fill="FFFFFF"/>
              </w:rPr>
              <w:t>[</w:t>
            </w:r>
            <w:r w:rsidR="00200A52" w:rsidRPr="007A140E">
              <w:rPr>
                <w:rFonts w:ascii="Arial Narrow" w:hAnsi="Arial Narrow" w:cs="Arial"/>
                <w:color w:val="000000"/>
                <w:sz w:val="24"/>
                <w:szCs w:val="24"/>
                <w:shd w:val="clear" w:color="auto" w:fill="FFFFFF"/>
              </w:rPr>
              <w:t>12</w:t>
            </w:r>
            <w:r w:rsidRPr="007A140E">
              <w:rPr>
                <w:rFonts w:ascii="Arial Narrow" w:hAnsi="Arial Narrow" w:cs="Arial"/>
                <w:color w:val="000000"/>
                <w:sz w:val="24"/>
                <w:szCs w:val="24"/>
                <w:shd w:val="clear" w:color="auto" w:fill="FFFFFF"/>
              </w:rPr>
              <w:t>]</w:t>
            </w:r>
            <w:r w:rsidRPr="007A140E">
              <w:rPr>
                <w:rFonts w:ascii="Arial Narrow" w:hAnsi="Arial Narrow" w:cs="Arial"/>
                <w:color w:val="000000"/>
                <w:sz w:val="24"/>
                <w:szCs w:val="24"/>
                <w:shd w:val="clear" w:color="auto" w:fill="FFFFFF"/>
              </w:rPr>
              <w:tab/>
            </w:r>
            <w:r w:rsidRPr="00FD7248">
              <w:rPr>
                <w:rFonts w:ascii="Arial Narrow" w:hAnsi="Arial Narrow" w:cs="Arial"/>
                <w:color w:val="000000"/>
                <w:sz w:val="24"/>
                <w:szCs w:val="24"/>
                <w:shd w:val="clear" w:color="auto" w:fill="FFFFFF"/>
              </w:rPr>
              <w:t>‘Liquidated’</w:t>
            </w:r>
            <w:r w:rsidRPr="007A140E">
              <w:rPr>
                <w:rFonts w:ascii="Arial Narrow" w:hAnsi="Arial Narrow" w:cs="Arial"/>
                <w:color w:val="000000"/>
                <w:sz w:val="24"/>
                <w:szCs w:val="24"/>
                <w:shd w:val="clear" w:color="auto" w:fill="FFFFFF"/>
              </w:rPr>
              <w:t xml:space="preserve"> is described by </w:t>
            </w:r>
            <w:proofErr w:type="spellStart"/>
            <w:r w:rsidRPr="00651067">
              <w:rPr>
                <w:rFonts w:ascii="Arial Narrow" w:hAnsi="Arial Narrow" w:cs="Arial"/>
                <w:i/>
                <w:color w:val="000000"/>
                <w:sz w:val="24"/>
                <w:szCs w:val="24"/>
                <w:shd w:val="clear" w:color="auto" w:fill="FFFFFF"/>
              </w:rPr>
              <w:t>Wille’s</w:t>
            </w:r>
            <w:proofErr w:type="spellEnd"/>
            <w:r w:rsidRPr="00651067">
              <w:rPr>
                <w:rFonts w:ascii="Arial Narrow" w:hAnsi="Arial Narrow" w:cs="Arial"/>
                <w:i/>
                <w:color w:val="000000"/>
                <w:sz w:val="24"/>
                <w:szCs w:val="24"/>
                <w:shd w:val="clear" w:color="auto" w:fill="FFFFFF"/>
              </w:rPr>
              <w:t xml:space="preserve"> Principles of South African Law</w:t>
            </w:r>
            <w:r w:rsidRPr="007A140E">
              <w:rPr>
                <w:rStyle w:val="FootnoteReference"/>
                <w:rFonts w:ascii="Arial Narrow" w:hAnsi="Arial Narrow" w:cs="Arial"/>
                <w:color w:val="000000"/>
                <w:sz w:val="24"/>
                <w:szCs w:val="24"/>
                <w:shd w:val="clear" w:color="auto" w:fill="FFFFFF"/>
              </w:rPr>
              <w:footnoteReference w:id="6"/>
            </w:r>
            <w:r w:rsidR="007A140E">
              <w:rPr>
                <w:rFonts w:ascii="Arial Narrow" w:hAnsi="Arial Narrow" w:cs="Arial"/>
                <w:color w:val="000000"/>
                <w:sz w:val="24"/>
                <w:szCs w:val="24"/>
                <w:shd w:val="clear" w:color="auto" w:fill="FFFFFF"/>
              </w:rPr>
              <w:t xml:space="preserve"> as follows:</w:t>
            </w:r>
          </w:p>
          <w:p w:rsidR="007A140E" w:rsidRPr="007A140E" w:rsidRDefault="007A140E" w:rsidP="007A140E">
            <w:pPr>
              <w:spacing w:line="360" w:lineRule="auto"/>
              <w:jc w:val="both"/>
              <w:rPr>
                <w:rFonts w:ascii="Arial Narrow" w:hAnsi="Arial Narrow" w:cs="Arial"/>
                <w:color w:val="000000"/>
                <w:sz w:val="24"/>
                <w:szCs w:val="24"/>
                <w:shd w:val="clear" w:color="auto" w:fill="FFFFFF"/>
              </w:rPr>
            </w:pPr>
          </w:p>
          <w:p w:rsidR="00301868" w:rsidRPr="007A140E" w:rsidRDefault="00301868" w:rsidP="007A140E">
            <w:pPr>
              <w:spacing w:line="360" w:lineRule="auto"/>
              <w:jc w:val="both"/>
              <w:rPr>
                <w:rFonts w:ascii="Arial Narrow" w:hAnsi="Arial Narrow" w:cs="Arial"/>
                <w:color w:val="000000"/>
                <w:shd w:val="clear" w:color="auto" w:fill="FFFFFF"/>
              </w:rPr>
            </w:pPr>
            <w:r w:rsidRPr="007A140E">
              <w:rPr>
                <w:rFonts w:ascii="Arial Narrow" w:hAnsi="Arial Narrow" w:cs="Arial"/>
                <w:color w:val="000000"/>
                <w:sz w:val="24"/>
                <w:szCs w:val="24"/>
                <w:shd w:val="clear" w:color="auto" w:fill="FFFFFF"/>
              </w:rPr>
              <w:tab/>
            </w:r>
            <w:r w:rsidRPr="007A140E">
              <w:rPr>
                <w:rFonts w:ascii="Arial Narrow" w:hAnsi="Arial Narrow" w:cs="Arial"/>
                <w:color w:val="000000"/>
                <w:shd w:val="clear" w:color="auto" w:fill="FFFFFF"/>
              </w:rPr>
              <w:t>‘</w:t>
            </w:r>
            <w:r w:rsidRPr="007A140E">
              <w:rPr>
                <w:rFonts w:ascii="Arial Narrow" w:hAnsi="Arial Narrow" w:cs="Arial"/>
              </w:rPr>
              <w:t xml:space="preserve">A debt is liquidated when its exact money value is certain or when the amount is admitted by the debtor, or even if the claim be disputed by the debtor, it is of such a nature that the accuracy of the amount can be clearly and promptly established by proof in court; e.g. an amount due under a judgment, or </w:t>
            </w:r>
            <w:r w:rsidRPr="007A140E">
              <w:rPr>
                <w:rFonts w:ascii="Arial Narrow" w:hAnsi="Arial Narrow" w:cs="Arial"/>
                <w:u w:val="single"/>
              </w:rPr>
              <w:t>a taxed bill of costs</w:t>
            </w:r>
            <w:r w:rsidRPr="007A140E">
              <w:rPr>
                <w:rFonts w:ascii="Arial Narrow" w:hAnsi="Arial Narrow" w:cs="Arial"/>
              </w:rPr>
              <w:t>, or a liquid document signed by the debtor, or a claim for goods sold and delivered, or for salary, or for commission for an agreed amount, or upon an agreed basis.’</w:t>
            </w:r>
            <w:r w:rsidR="00200A52" w:rsidRPr="007A140E">
              <w:rPr>
                <w:rFonts w:ascii="Arial Narrow" w:hAnsi="Arial Narrow" w:cs="Arial"/>
              </w:rPr>
              <w:t xml:space="preserve"> (my underlining)</w:t>
            </w:r>
          </w:p>
          <w:p w:rsidR="00301868" w:rsidRPr="007A140E" w:rsidRDefault="00301868" w:rsidP="007A140E">
            <w:pPr>
              <w:spacing w:line="360" w:lineRule="auto"/>
              <w:jc w:val="both"/>
              <w:rPr>
                <w:rFonts w:ascii="Arial Narrow" w:hAnsi="Arial Narrow" w:cs="Arial"/>
                <w:color w:val="000000"/>
                <w:sz w:val="24"/>
                <w:szCs w:val="24"/>
                <w:shd w:val="clear" w:color="auto" w:fill="FFFFFF"/>
              </w:rPr>
            </w:pPr>
          </w:p>
          <w:p w:rsidR="00301868" w:rsidRPr="007A140E" w:rsidRDefault="00301868" w:rsidP="007A140E">
            <w:pPr>
              <w:spacing w:line="360" w:lineRule="auto"/>
              <w:jc w:val="both"/>
              <w:rPr>
                <w:rFonts w:ascii="Arial Narrow" w:hAnsi="Arial Narrow" w:cs="Arial"/>
                <w:b/>
                <w:snapToGrid w:val="0"/>
                <w:sz w:val="24"/>
                <w:szCs w:val="24"/>
              </w:rPr>
            </w:pPr>
            <w:r w:rsidRPr="007A140E">
              <w:rPr>
                <w:rFonts w:ascii="Arial Narrow" w:hAnsi="Arial Narrow" w:cs="Arial"/>
                <w:color w:val="000000"/>
                <w:sz w:val="24"/>
                <w:szCs w:val="24"/>
                <w:shd w:val="clear" w:color="auto" w:fill="FFFFFF"/>
              </w:rPr>
              <w:t>[</w:t>
            </w:r>
            <w:r w:rsidR="00200A52" w:rsidRPr="007A140E">
              <w:rPr>
                <w:rFonts w:ascii="Arial Narrow" w:hAnsi="Arial Narrow" w:cs="Arial"/>
                <w:color w:val="000000"/>
                <w:sz w:val="24"/>
                <w:szCs w:val="24"/>
                <w:shd w:val="clear" w:color="auto" w:fill="FFFFFF"/>
              </w:rPr>
              <w:t>13</w:t>
            </w:r>
            <w:r w:rsidRPr="007A140E">
              <w:rPr>
                <w:rFonts w:ascii="Arial Narrow" w:hAnsi="Arial Narrow" w:cs="Arial"/>
                <w:color w:val="000000"/>
                <w:sz w:val="24"/>
                <w:szCs w:val="24"/>
                <w:shd w:val="clear" w:color="auto" w:fill="FFFFFF"/>
              </w:rPr>
              <w:t>]</w:t>
            </w:r>
            <w:r w:rsidRPr="007A140E">
              <w:rPr>
                <w:rFonts w:ascii="Arial Narrow" w:hAnsi="Arial Narrow" w:cs="Arial"/>
                <w:color w:val="000000"/>
                <w:sz w:val="24"/>
                <w:szCs w:val="24"/>
                <w:shd w:val="clear" w:color="auto" w:fill="FFFFFF"/>
              </w:rPr>
              <w:tab/>
              <w:t xml:space="preserve">In </w:t>
            </w:r>
            <w:proofErr w:type="spellStart"/>
            <w:r w:rsidRPr="007A140E">
              <w:rPr>
                <w:rFonts w:ascii="Arial Narrow" w:hAnsi="Arial Narrow" w:cs="Arial"/>
                <w:i/>
                <w:snapToGrid w:val="0"/>
                <w:sz w:val="24"/>
                <w:szCs w:val="24"/>
              </w:rPr>
              <w:t>Blakes</w:t>
            </w:r>
            <w:proofErr w:type="spellEnd"/>
            <w:r w:rsidRPr="007A140E">
              <w:rPr>
                <w:rFonts w:ascii="Arial Narrow" w:hAnsi="Arial Narrow" w:cs="Arial"/>
                <w:i/>
                <w:snapToGrid w:val="0"/>
                <w:sz w:val="24"/>
                <w:szCs w:val="24"/>
              </w:rPr>
              <w:t xml:space="preserve"> </w:t>
            </w:r>
            <w:proofErr w:type="spellStart"/>
            <w:r w:rsidRPr="007A140E">
              <w:rPr>
                <w:rFonts w:ascii="Arial Narrow" w:hAnsi="Arial Narrow" w:cs="Arial"/>
                <w:i/>
                <w:snapToGrid w:val="0"/>
                <w:sz w:val="24"/>
                <w:szCs w:val="24"/>
              </w:rPr>
              <w:t>Maphanga</w:t>
            </w:r>
            <w:proofErr w:type="spellEnd"/>
            <w:r w:rsidRPr="007A140E">
              <w:rPr>
                <w:rFonts w:ascii="Arial Narrow" w:hAnsi="Arial Narrow" w:cs="Arial"/>
                <w:i/>
                <w:snapToGrid w:val="0"/>
                <w:sz w:val="24"/>
                <w:szCs w:val="24"/>
              </w:rPr>
              <w:t xml:space="preserve"> </w:t>
            </w:r>
            <w:proofErr w:type="spellStart"/>
            <w:r w:rsidRPr="007A140E">
              <w:rPr>
                <w:rFonts w:ascii="Arial Narrow" w:hAnsi="Arial Narrow" w:cs="Arial"/>
                <w:i/>
                <w:snapToGrid w:val="0"/>
                <w:sz w:val="24"/>
                <w:szCs w:val="24"/>
              </w:rPr>
              <w:t>Inc</w:t>
            </w:r>
            <w:proofErr w:type="spellEnd"/>
            <w:r w:rsidRPr="007A140E">
              <w:rPr>
                <w:rFonts w:ascii="Arial Narrow" w:hAnsi="Arial Narrow" w:cs="Arial"/>
                <w:i/>
                <w:snapToGrid w:val="0"/>
                <w:sz w:val="24"/>
                <w:szCs w:val="24"/>
              </w:rPr>
              <w:t xml:space="preserve"> v </w:t>
            </w:r>
            <w:proofErr w:type="spellStart"/>
            <w:r w:rsidRPr="007A140E">
              <w:rPr>
                <w:rFonts w:ascii="Arial Narrow" w:hAnsi="Arial Narrow" w:cs="Arial"/>
                <w:i/>
                <w:snapToGrid w:val="0"/>
                <w:sz w:val="24"/>
                <w:szCs w:val="24"/>
              </w:rPr>
              <w:t>Outsurance</w:t>
            </w:r>
            <w:proofErr w:type="spellEnd"/>
            <w:r w:rsidRPr="007A140E">
              <w:rPr>
                <w:rStyle w:val="FootnoteReference"/>
                <w:rFonts w:ascii="Arial Narrow" w:hAnsi="Arial Narrow" w:cs="Arial"/>
                <w:i/>
                <w:snapToGrid w:val="0"/>
                <w:sz w:val="24"/>
                <w:szCs w:val="24"/>
              </w:rPr>
              <w:footnoteReference w:id="7"/>
            </w:r>
            <w:r w:rsidRPr="007A140E">
              <w:rPr>
                <w:rFonts w:ascii="Arial Narrow" w:hAnsi="Arial Narrow" w:cs="Arial"/>
                <w:i/>
                <w:snapToGrid w:val="0"/>
                <w:sz w:val="24"/>
                <w:szCs w:val="24"/>
              </w:rPr>
              <w:t xml:space="preserve"> </w:t>
            </w:r>
            <w:r w:rsidRPr="007A140E">
              <w:rPr>
                <w:rFonts w:ascii="Arial Narrow" w:hAnsi="Arial Narrow" w:cs="Arial"/>
                <w:snapToGrid w:val="0"/>
                <w:sz w:val="24"/>
                <w:szCs w:val="24"/>
              </w:rPr>
              <w:t xml:space="preserve">Malan JA </w:t>
            </w:r>
            <w:r w:rsidR="001C72BC" w:rsidRPr="007A140E">
              <w:rPr>
                <w:rFonts w:ascii="Arial Narrow" w:hAnsi="Arial Narrow" w:cs="Arial"/>
                <w:snapToGrid w:val="0"/>
                <w:sz w:val="24"/>
                <w:szCs w:val="24"/>
              </w:rPr>
              <w:t>seems to accept the</w:t>
            </w:r>
            <w:r w:rsidR="00200A52" w:rsidRPr="007A140E">
              <w:rPr>
                <w:rFonts w:ascii="Arial Narrow" w:hAnsi="Arial Narrow" w:cs="Arial"/>
                <w:snapToGrid w:val="0"/>
                <w:sz w:val="24"/>
                <w:szCs w:val="24"/>
              </w:rPr>
              <w:t xml:space="preserve"> aforementioned proposition and </w:t>
            </w:r>
            <w:r w:rsidRPr="007A140E">
              <w:rPr>
                <w:rFonts w:ascii="Arial Narrow" w:hAnsi="Arial Narrow" w:cs="Arial"/>
                <w:snapToGrid w:val="0"/>
                <w:sz w:val="24"/>
                <w:szCs w:val="24"/>
              </w:rPr>
              <w:t>stated as follows:</w:t>
            </w:r>
          </w:p>
          <w:p w:rsidR="00301868" w:rsidRPr="007A140E" w:rsidRDefault="00301868" w:rsidP="007A140E">
            <w:pPr>
              <w:spacing w:line="360" w:lineRule="auto"/>
              <w:jc w:val="both"/>
              <w:rPr>
                <w:rFonts w:ascii="Arial Narrow" w:hAnsi="Arial Narrow"/>
                <w:sz w:val="24"/>
                <w:szCs w:val="24"/>
              </w:rPr>
            </w:pPr>
          </w:p>
          <w:p w:rsidR="00301868" w:rsidRPr="007A140E" w:rsidRDefault="00301868" w:rsidP="007A140E">
            <w:pPr>
              <w:spacing w:line="360" w:lineRule="auto"/>
              <w:ind w:firstLine="720"/>
              <w:jc w:val="both"/>
              <w:rPr>
                <w:rFonts w:ascii="Arial Narrow" w:hAnsi="Arial Narrow" w:cs="Arial"/>
              </w:rPr>
            </w:pPr>
            <w:r w:rsidRPr="007A140E">
              <w:rPr>
                <w:rFonts w:ascii="Arial Narrow" w:hAnsi="Arial Narrow" w:cs="Arial"/>
              </w:rPr>
              <w:t>[17]</w:t>
            </w:r>
            <w:r w:rsidRPr="007A140E">
              <w:rPr>
                <w:rFonts w:ascii="Arial Narrow" w:hAnsi="Arial Narrow" w:cs="Arial"/>
              </w:rPr>
              <w:tab/>
              <w:t xml:space="preserve">A client is entitled to taxation of his or her attorney’s account. It follows that the amount of </w:t>
            </w:r>
            <w:r w:rsidRPr="007A140E">
              <w:rPr>
                <w:rFonts w:ascii="Arial Narrow" w:hAnsi="Arial Narrow" w:cs="Arial"/>
                <w:u w:val="single"/>
              </w:rPr>
              <w:t>a disputed bill of costs is not liquidated</w:t>
            </w:r>
            <w:r w:rsidRPr="007A140E">
              <w:rPr>
                <w:rFonts w:ascii="Arial Narrow" w:hAnsi="Arial Narrow" w:cs="Arial"/>
              </w:rPr>
              <w:t xml:space="preserve">. It is not capable of ‘easy and speedy proof’. </w:t>
            </w:r>
            <w:r w:rsidR="00E95F86">
              <w:rPr>
                <w:rFonts w:ascii="Arial Narrow" w:hAnsi="Arial Narrow" w:cs="Arial"/>
              </w:rPr>
              <w:t xml:space="preserve">This was decided in so many words in </w:t>
            </w:r>
            <w:proofErr w:type="spellStart"/>
            <w:r w:rsidR="00E95F86" w:rsidRPr="00454C8A">
              <w:rPr>
                <w:rFonts w:ascii="Arial Narrow" w:hAnsi="Arial Narrow" w:cs="Arial"/>
                <w:i/>
              </w:rPr>
              <w:t>Arie</w:t>
            </w:r>
            <w:proofErr w:type="spellEnd"/>
            <w:r w:rsidR="00E95F86" w:rsidRPr="00454C8A">
              <w:rPr>
                <w:rFonts w:ascii="Arial Narrow" w:hAnsi="Arial Narrow" w:cs="Arial"/>
                <w:i/>
              </w:rPr>
              <w:t xml:space="preserve"> Kgosi v Kgosi Aaron </w:t>
            </w:r>
            <w:proofErr w:type="spellStart"/>
            <w:r w:rsidR="00E95F86" w:rsidRPr="00454C8A">
              <w:rPr>
                <w:rFonts w:ascii="Arial Narrow" w:hAnsi="Arial Narrow" w:cs="Arial"/>
                <w:i/>
              </w:rPr>
              <w:t>Moshette</w:t>
            </w:r>
            <w:proofErr w:type="spellEnd"/>
            <w:r w:rsidR="00E95F86" w:rsidRPr="00454C8A">
              <w:rPr>
                <w:rFonts w:ascii="Arial Narrow" w:hAnsi="Arial Narrow" w:cs="Arial"/>
                <w:i/>
              </w:rPr>
              <w:t xml:space="preserve"> &amp; Others where </w:t>
            </w:r>
            <w:proofErr w:type="spellStart"/>
            <w:r w:rsidR="00E95F86" w:rsidRPr="00454C8A">
              <w:rPr>
                <w:rFonts w:ascii="Arial Narrow" w:hAnsi="Arial Narrow" w:cs="Arial"/>
                <w:i/>
              </w:rPr>
              <w:t>Wessels</w:t>
            </w:r>
            <w:proofErr w:type="spellEnd"/>
            <w:r w:rsidR="00E95F86">
              <w:rPr>
                <w:rFonts w:ascii="Arial Narrow" w:hAnsi="Arial Narrow" w:cs="Arial"/>
              </w:rPr>
              <w:t xml:space="preserve"> JP said:</w:t>
            </w:r>
          </w:p>
          <w:p w:rsidR="00301868" w:rsidRPr="007A140E" w:rsidRDefault="00301868" w:rsidP="007A140E">
            <w:pPr>
              <w:spacing w:line="360" w:lineRule="auto"/>
              <w:jc w:val="both"/>
              <w:rPr>
                <w:rFonts w:ascii="Arial Narrow" w:hAnsi="Arial Narrow" w:cs="Arial"/>
              </w:rPr>
            </w:pPr>
          </w:p>
          <w:p w:rsidR="00301868" w:rsidRPr="006C12FA" w:rsidRDefault="007A140E" w:rsidP="007A140E">
            <w:pPr>
              <w:spacing w:line="360" w:lineRule="auto"/>
              <w:ind w:left="702"/>
              <w:jc w:val="both"/>
              <w:rPr>
                <w:rFonts w:ascii="Arial Narrow" w:hAnsi="Arial Narrow" w:cs="Arial"/>
              </w:rPr>
            </w:pPr>
            <w:r w:rsidRPr="007A140E">
              <w:rPr>
                <w:rFonts w:ascii="Arial Narrow" w:hAnsi="Arial Narrow" w:cs="Arial"/>
              </w:rPr>
              <w:t>“</w:t>
            </w:r>
            <w:r w:rsidR="00301868" w:rsidRPr="007A140E">
              <w:rPr>
                <w:rFonts w:ascii="Arial Narrow" w:hAnsi="Arial Narrow" w:cs="Arial"/>
              </w:rPr>
              <w:t xml:space="preserve">An untaxed bill of costs is not an absolute and present debt, for it is one the exact amount of which is still to be ascertained, as it depends on the </w:t>
            </w:r>
            <w:proofErr w:type="spellStart"/>
            <w:r w:rsidR="00301868" w:rsidRPr="007A140E">
              <w:rPr>
                <w:rFonts w:ascii="Arial Narrow" w:hAnsi="Arial Narrow" w:cs="Arial"/>
              </w:rPr>
              <w:t>arbitrarium</w:t>
            </w:r>
            <w:proofErr w:type="spellEnd"/>
            <w:r w:rsidR="00301868" w:rsidRPr="007A140E">
              <w:rPr>
                <w:rFonts w:ascii="Arial Narrow" w:hAnsi="Arial Narrow" w:cs="Arial"/>
              </w:rPr>
              <w:t xml:space="preserve"> of the Taxing Master. It cannot, therefore, be set off</w:t>
            </w:r>
            <w:r w:rsidRPr="007A140E">
              <w:rPr>
                <w:rFonts w:ascii="Arial Narrow" w:hAnsi="Arial Narrow" w:cs="Arial"/>
              </w:rPr>
              <w:t xml:space="preserve"> as against a liquidated </w:t>
            </w:r>
            <w:r w:rsidRPr="006C12FA">
              <w:rPr>
                <w:rFonts w:ascii="Arial Narrow" w:hAnsi="Arial Narrow" w:cs="Arial"/>
              </w:rPr>
              <w:t>debt.”</w:t>
            </w:r>
          </w:p>
          <w:p w:rsidR="00301868" w:rsidRPr="006C12FA" w:rsidRDefault="00301868" w:rsidP="007A140E">
            <w:pPr>
              <w:spacing w:line="360" w:lineRule="auto"/>
              <w:jc w:val="both"/>
              <w:rPr>
                <w:rFonts w:ascii="Arial Narrow" w:hAnsi="Arial Narrow" w:cs="Arial"/>
              </w:rPr>
            </w:pPr>
          </w:p>
          <w:p w:rsidR="00301868" w:rsidRPr="006C12FA" w:rsidRDefault="00301868" w:rsidP="007A140E">
            <w:pPr>
              <w:spacing w:line="360" w:lineRule="auto"/>
              <w:jc w:val="both"/>
              <w:rPr>
                <w:rFonts w:ascii="Arial Narrow" w:hAnsi="Arial Narrow" w:cs="Arial"/>
              </w:rPr>
            </w:pPr>
            <w:r w:rsidRPr="006C12FA">
              <w:rPr>
                <w:rFonts w:ascii="Arial Narrow" w:hAnsi="Arial Narrow" w:cs="Arial"/>
              </w:rPr>
              <w:t xml:space="preserve">In </w:t>
            </w:r>
            <w:proofErr w:type="spellStart"/>
            <w:r w:rsidRPr="006C12FA">
              <w:rPr>
                <w:rFonts w:ascii="Arial Narrow" w:hAnsi="Arial Narrow" w:cs="Arial"/>
                <w:i/>
              </w:rPr>
              <w:t>Tredoux</w:t>
            </w:r>
            <w:proofErr w:type="spellEnd"/>
            <w:r w:rsidRPr="006C12FA">
              <w:rPr>
                <w:rFonts w:ascii="Arial Narrow" w:hAnsi="Arial Narrow" w:cs="Arial"/>
                <w:i/>
              </w:rPr>
              <w:t xml:space="preserve"> v Kellerman</w:t>
            </w:r>
            <w:r w:rsidRPr="006C12FA">
              <w:rPr>
                <w:rStyle w:val="FootnoteReference"/>
                <w:rFonts w:ascii="Arial Narrow" w:hAnsi="Arial Narrow" w:cs="Arial"/>
              </w:rPr>
              <w:footnoteReference w:id="8"/>
            </w:r>
            <w:r w:rsidRPr="006C12FA">
              <w:rPr>
                <w:rFonts w:ascii="Arial Narrow" w:hAnsi="Arial Narrow" w:cs="Arial"/>
                <w:i/>
              </w:rPr>
              <w:t xml:space="preserve"> </w:t>
            </w:r>
            <w:r w:rsidRPr="006C12FA">
              <w:rPr>
                <w:rFonts w:ascii="Arial Narrow" w:hAnsi="Arial Narrow" w:cs="Arial"/>
              </w:rPr>
              <w:t>Griesel J dealt with an application for summary judgment for the amount of the fees of an attorney and counsel. He had to consider whether the amounts claimed were ‘liquidated’ as required by rule 32 of the Uniform Rules of Court. He said:</w:t>
            </w:r>
          </w:p>
          <w:p w:rsidR="00301868" w:rsidRPr="007A140E" w:rsidRDefault="00301868" w:rsidP="007A140E">
            <w:pPr>
              <w:spacing w:line="360" w:lineRule="auto"/>
              <w:jc w:val="both"/>
              <w:rPr>
                <w:rFonts w:ascii="Arial Narrow" w:hAnsi="Arial Narrow" w:cs="Arial"/>
                <w:sz w:val="24"/>
                <w:szCs w:val="24"/>
              </w:rPr>
            </w:pPr>
          </w:p>
          <w:p w:rsidR="00301868" w:rsidRPr="006918E4" w:rsidRDefault="00301868" w:rsidP="006C12FA">
            <w:pPr>
              <w:spacing w:line="360" w:lineRule="auto"/>
              <w:ind w:left="702"/>
              <w:jc w:val="both"/>
              <w:rPr>
                <w:rFonts w:ascii="Arial Narrow" w:hAnsi="Arial Narrow" w:cs="Arial"/>
                <w:b/>
                <w:snapToGrid w:val="0"/>
              </w:rPr>
            </w:pPr>
            <w:r w:rsidRPr="006918E4">
              <w:rPr>
                <w:rFonts w:ascii="Arial Narrow" w:hAnsi="Arial Narrow" w:cs="Arial"/>
                <w:b/>
                <w:snapToGrid w:val="0"/>
              </w:rPr>
              <w:t>‘</w:t>
            </w:r>
            <w:r w:rsidRPr="006918E4">
              <w:rPr>
                <w:rFonts w:ascii="Arial Narrow" w:hAnsi="Arial Narrow" w:cs="Arial"/>
                <w:snapToGrid w:val="0"/>
              </w:rPr>
              <w:t>A liquidated amount of money is an amount which is either agreed upon or which is capable of “speedy and prompt ascertainment” or, put differently, where ascertainment of the amount in issue is “a mere matter of calculation”. In my view the plaintiffs’ claims in question do not fall in this category: they involve an enquiry into the nature and extent of the professional services rendered, the reasonableness of fees charged, and so on. These are not mere matters of calculation; they are matters for taxation, which fall within the compass of duties of the taxing master. It is that official, and not the court, who must determine the reasonableness of professional fees charged</w:t>
            </w:r>
            <w:r w:rsidR="001C133C">
              <w:rPr>
                <w:rFonts w:ascii="Arial Narrow" w:hAnsi="Arial Narrow" w:cs="Arial"/>
                <w:snapToGrid w:val="0"/>
              </w:rPr>
              <w:t xml:space="preserve"> by legal practitioners  . . . </w:t>
            </w:r>
          </w:p>
          <w:p w:rsidR="00301868" w:rsidRPr="006918E4" w:rsidRDefault="00301868" w:rsidP="006C12FA">
            <w:pPr>
              <w:spacing w:line="360" w:lineRule="auto"/>
              <w:ind w:left="702"/>
              <w:jc w:val="both"/>
              <w:rPr>
                <w:rFonts w:ascii="Arial Narrow" w:hAnsi="Arial Narrow" w:cs="Arial"/>
                <w:b/>
                <w:snapToGrid w:val="0"/>
              </w:rPr>
            </w:pPr>
            <w:r w:rsidRPr="006918E4">
              <w:rPr>
                <w:rFonts w:ascii="Arial Narrow" w:hAnsi="Arial Narrow" w:cs="Arial"/>
                <w:snapToGrid w:val="0"/>
              </w:rPr>
              <w:t xml:space="preserve">In any event, there is authority for the proposition that an </w:t>
            </w:r>
            <w:r w:rsidRPr="006918E4">
              <w:rPr>
                <w:rFonts w:ascii="Arial Narrow" w:hAnsi="Arial Narrow" w:cs="Arial"/>
                <w:snapToGrid w:val="0"/>
                <w:u w:val="single"/>
              </w:rPr>
              <w:t>untaxed bill of costs does not constitute a liquidated amount in money – at least in circumstances, as here, where the bill is being disputed</w:t>
            </w:r>
            <w:r w:rsidRPr="006918E4">
              <w:rPr>
                <w:rStyle w:val="FootnoteReference"/>
                <w:rFonts w:ascii="Arial Narrow" w:hAnsi="Arial Narrow" w:cs="Arial"/>
                <w:snapToGrid w:val="0"/>
              </w:rPr>
              <w:footnoteReference w:id="9"/>
            </w:r>
            <w:r w:rsidRPr="006918E4">
              <w:rPr>
                <w:rFonts w:ascii="Arial Narrow" w:hAnsi="Arial Narrow" w:cs="Arial"/>
                <w:snapToGrid w:val="0"/>
              </w:rPr>
              <w:t xml:space="preserve"> . . . .</w:t>
            </w:r>
          </w:p>
          <w:p w:rsidR="00301868" w:rsidRPr="007A140E" w:rsidRDefault="00301868" w:rsidP="006C12FA">
            <w:pPr>
              <w:spacing w:line="360" w:lineRule="auto"/>
              <w:ind w:left="702"/>
              <w:jc w:val="both"/>
              <w:rPr>
                <w:rFonts w:ascii="Arial Narrow" w:hAnsi="Arial Narrow" w:cs="Arial"/>
                <w:b/>
                <w:snapToGrid w:val="0"/>
                <w:sz w:val="24"/>
                <w:szCs w:val="24"/>
              </w:rPr>
            </w:pPr>
            <w:r w:rsidRPr="006918E4">
              <w:rPr>
                <w:rFonts w:ascii="Arial Narrow" w:hAnsi="Arial Narrow" w:cs="Arial"/>
                <w:snapToGrid w:val="0"/>
              </w:rPr>
              <w:t>Even if I were to err in coming to this conclusion, and even if the plaintiff’s claims were to be regarded as liquidated amounts, it has authoritatively been held that a party cannot recover his or her costs in the absence of prior agreement or taxation . . . .’</w:t>
            </w:r>
            <w:r w:rsidR="00200A52" w:rsidRPr="006918E4">
              <w:rPr>
                <w:rFonts w:ascii="Arial Narrow" w:hAnsi="Arial Narrow" w:cs="Arial"/>
                <w:snapToGrid w:val="0"/>
              </w:rPr>
              <w:t xml:space="preserve"> (my underlining)</w:t>
            </w:r>
          </w:p>
          <w:p w:rsidR="00301868" w:rsidRPr="007A140E" w:rsidRDefault="00301868" w:rsidP="007A140E">
            <w:pPr>
              <w:spacing w:line="360" w:lineRule="auto"/>
              <w:jc w:val="both"/>
              <w:rPr>
                <w:rFonts w:ascii="Arial Narrow" w:hAnsi="Arial Narrow" w:cs="Arial"/>
                <w:color w:val="000000"/>
                <w:sz w:val="24"/>
                <w:szCs w:val="24"/>
                <w:shd w:val="clear" w:color="auto" w:fill="FFFFFF"/>
              </w:rPr>
            </w:pPr>
          </w:p>
          <w:p w:rsidR="00301868" w:rsidRPr="007A140E" w:rsidRDefault="00301868" w:rsidP="007A140E">
            <w:pPr>
              <w:spacing w:line="360" w:lineRule="auto"/>
              <w:jc w:val="both"/>
              <w:rPr>
                <w:rFonts w:ascii="Arial Narrow" w:eastAsiaTheme="minorEastAsia" w:hAnsi="Arial Narrow" w:cs="Arial"/>
                <w:sz w:val="24"/>
                <w:szCs w:val="24"/>
                <w:lang w:eastAsia="en-ZA"/>
              </w:rPr>
            </w:pPr>
            <w:r w:rsidRPr="007A140E">
              <w:rPr>
                <w:rFonts w:ascii="Arial Narrow" w:eastAsiaTheme="minorEastAsia" w:hAnsi="Arial Narrow" w:cs="Arial"/>
                <w:sz w:val="24"/>
                <w:szCs w:val="24"/>
                <w:lang w:eastAsia="en-ZA"/>
              </w:rPr>
              <w:t>[</w:t>
            </w:r>
            <w:r w:rsidR="00200A52" w:rsidRPr="007A140E">
              <w:rPr>
                <w:rFonts w:ascii="Arial Narrow" w:eastAsiaTheme="minorEastAsia" w:hAnsi="Arial Narrow" w:cs="Arial"/>
                <w:sz w:val="24"/>
                <w:szCs w:val="24"/>
                <w:lang w:eastAsia="en-ZA"/>
              </w:rPr>
              <w:t>14</w:t>
            </w:r>
            <w:r w:rsidRPr="007A140E">
              <w:rPr>
                <w:rFonts w:ascii="Arial Narrow" w:eastAsiaTheme="minorEastAsia" w:hAnsi="Arial Narrow" w:cs="Arial"/>
                <w:sz w:val="24"/>
                <w:szCs w:val="24"/>
                <w:lang w:eastAsia="en-ZA"/>
              </w:rPr>
              <w:t>]</w:t>
            </w:r>
            <w:r w:rsidRPr="007A140E">
              <w:rPr>
                <w:rFonts w:ascii="Arial Narrow" w:eastAsiaTheme="minorEastAsia" w:hAnsi="Arial Narrow"/>
                <w:sz w:val="24"/>
                <w:szCs w:val="24"/>
                <w:lang w:eastAsia="en-ZA"/>
              </w:rPr>
              <w:tab/>
            </w:r>
            <w:r w:rsidRPr="007A140E">
              <w:rPr>
                <w:rFonts w:ascii="Arial Narrow" w:eastAsiaTheme="minorEastAsia" w:hAnsi="Arial Narrow" w:cs="Arial"/>
                <w:sz w:val="24"/>
                <w:szCs w:val="24"/>
                <w:lang w:eastAsia="en-ZA"/>
              </w:rPr>
              <w:t xml:space="preserve">In the </w:t>
            </w:r>
            <w:proofErr w:type="spellStart"/>
            <w:r w:rsidRPr="007A140E">
              <w:rPr>
                <w:rFonts w:ascii="Arial Narrow" w:hAnsi="Arial Narrow" w:cs="Arial"/>
                <w:i/>
                <w:sz w:val="24"/>
                <w:szCs w:val="24"/>
              </w:rPr>
              <w:t>Arie</w:t>
            </w:r>
            <w:proofErr w:type="spellEnd"/>
            <w:r w:rsidRPr="007A140E">
              <w:rPr>
                <w:rFonts w:ascii="Arial Narrow" w:hAnsi="Arial Narrow" w:cs="Arial"/>
                <w:i/>
                <w:sz w:val="24"/>
                <w:szCs w:val="24"/>
              </w:rPr>
              <w:t xml:space="preserve"> Kgosi </w:t>
            </w:r>
            <w:r w:rsidRPr="007A140E">
              <w:rPr>
                <w:rFonts w:ascii="Arial Narrow" w:hAnsi="Arial Narrow" w:cs="Arial"/>
                <w:sz w:val="24"/>
                <w:szCs w:val="24"/>
              </w:rPr>
              <w:t>matter</w:t>
            </w:r>
            <w:r w:rsidRPr="007A140E">
              <w:rPr>
                <w:rStyle w:val="FootnoteReference"/>
                <w:rFonts w:ascii="Arial Narrow" w:hAnsi="Arial Narrow" w:cs="Arial"/>
                <w:sz w:val="24"/>
                <w:szCs w:val="24"/>
              </w:rPr>
              <w:footnoteReference w:id="10"/>
            </w:r>
            <w:r w:rsidRPr="007A140E">
              <w:rPr>
                <w:rFonts w:ascii="Arial Narrow" w:hAnsi="Arial Narrow" w:cs="Arial"/>
                <w:i/>
                <w:sz w:val="24"/>
                <w:szCs w:val="24"/>
              </w:rPr>
              <w:t xml:space="preserve">  </w:t>
            </w:r>
            <w:r w:rsidRPr="007A140E">
              <w:rPr>
                <w:rFonts w:ascii="Arial Narrow" w:eastAsiaTheme="minorEastAsia" w:hAnsi="Arial Narrow" w:cs="Arial"/>
                <w:sz w:val="24"/>
                <w:szCs w:val="24"/>
                <w:lang w:eastAsia="en-ZA"/>
              </w:rPr>
              <w:t xml:space="preserve">Mason J </w:t>
            </w:r>
            <w:r w:rsidR="001C72BC" w:rsidRPr="007A140E">
              <w:rPr>
                <w:rFonts w:ascii="Arial Narrow" w:eastAsiaTheme="minorEastAsia" w:hAnsi="Arial Narrow" w:cs="Arial"/>
                <w:sz w:val="24"/>
                <w:szCs w:val="24"/>
                <w:lang w:eastAsia="en-ZA"/>
              </w:rPr>
              <w:t xml:space="preserve">further </w:t>
            </w:r>
            <w:r w:rsidRPr="007A140E">
              <w:rPr>
                <w:rFonts w:ascii="Arial Narrow" w:eastAsiaTheme="minorEastAsia" w:hAnsi="Arial Narrow" w:cs="Arial"/>
                <w:sz w:val="24"/>
                <w:szCs w:val="24"/>
                <w:lang w:eastAsia="en-ZA"/>
              </w:rPr>
              <w:t>added at 526 that ‘as soon as the client says I am not ready to pay, the attorney must have his bill taxed; and as soon as the question of taxation arises, the amount depends in nearly every instance on the discretion of the taxing officer.’</w:t>
            </w:r>
          </w:p>
          <w:p w:rsidR="00301868" w:rsidRPr="007A140E" w:rsidRDefault="00301868" w:rsidP="007A140E">
            <w:pPr>
              <w:spacing w:line="360" w:lineRule="auto"/>
              <w:jc w:val="both"/>
              <w:rPr>
                <w:rFonts w:ascii="Arial Narrow" w:hAnsi="Arial Narrow" w:cs="Arial"/>
                <w:color w:val="000000"/>
                <w:sz w:val="24"/>
                <w:szCs w:val="24"/>
                <w:shd w:val="clear" w:color="auto" w:fill="FFFFFF"/>
              </w:rPr>
            </w:pPr>
          </w:p>
          <w:p w:rsidR="00301868" w:rsidRPr="007A140E" w:rsidRDefault="00301868" w:rsidP="007A140E">
            <w:pPr>
              <w:spacing w:line="360" w:lineRule="auto"/>
              <w:jc w:val="both"/>
              <w:rPr>
                <w:rFonts w:ascii="Arial Narrow" w:hAnsi="Arial Narrow" w:cs="Arial"/>
                <w:i/>
                <w:sz w:val="24"/>
                <w:szCs w:val="24"/>
              </w:rPr>
            </w:pPr>
            <w:r w:rsidRPr="007A140E">
              <w:rPr>
                <w:rFonts w:ascii="Arial Narrow" w:hAnsi="Arial Narrow" w:cs="Arial"/>
                <w:color w:val="000000"/>
                <w:sz w:val="24"/>
                <w:szCs w:val="24"/>
                <w:shd w:val="clear" w:color="auto" w:fill="FFFFFF"/>
              </w:rPr>
              <w:t>[</w:t>
            </w:r>
            <w:r w:rsidR="00200A52" w:rsidRPr="007A140E">
              <w:rPr>
                <w:rFonts w:ascii="Arial Narrow" w:hAnsi="Arial Narrow" w:cs="Arial"/>
                <w:color w:val="000000"/>
                <w:sz w:val="24"/>
                <w:szCs w:val="24"/>
                <w:shd w:val="clear" w:color="auto" w:fill="FFFFFF"/>
              </w:rPr>
              <w:t>15</w:t>
            </w:r>
            <w:r w:rsidR="006918E4">
              <w:rPr>
                <w:rFonts w:ascii="Arial Narrow" w:hAnsi="Arial Narrow" w:cs="Arial"/>
                <w:color w:val="000000"/>
                <w:sz w:val="24"/>
                <w:szCs w:val="24"/>
                <w:shd w:val="clear" w:color="auto" w:fill="FFFFFF"/>
              </w:rPr>
              <w:t>]</w:t>
            </w:r>
            <w:r w:rsidRPr="007A140E">
              <w:rPr>
                <w:rFonts w:ascii="Arial Narrow" w:hAnsi="Arial Narrow" w:cs="Arial"/>
                <w:color w:val="000000"/>
                <w:sz w:val="24"/>
                <w:szCs w:val="24"/>
                <w:shd w:val="clear" w:color="auto" w:fill="FFFFFF"/>
              </w:rPr>
              <w:tab/>
              <w:t xml:space="preserve">The position as set out in the </w:t>
            </w:r>
            <w:proofErr w:type="spellStart"/>
            <w:r w:rsidRPr="007A140E">
              <w:rPr>
                <w:rFonts w:ascii="Arial Narrow" w:hAnsi="Arial Narrow" w:cs="Arial"/>
                <w:i/>
                <w:snapToGrid w:val="0"/>
                <w:sz w:val="24"/>
                <w:szCs w:val="24"/>
              </w:rPr>
              <w:t>Blakes</w:t>
            </w:r>
            <w:proofErr w:type="spellEnd"/>
            <w:r w:rsidRPr="007A140E">
              <w:rPr>
                <w:rFonts w:ascii="Arial Narrow" w:hAnsi="Arial Narrow" w:cs="Arial"/>
                <w:i/>
                <w:snapToGrid w:val="0"/>
                <w:sz w:val="24"/>
                <w:szCs w:val="24"/>
              </w:rPr>
              <w:t xml:space="preserve"> </w:t>
            </w:r>
            <w:proofErr w:type="spellStart"/>
            <w:r w:rsidRPr="007A140E">
              <w:rPr>
                <w:rFonts w:ascii="Arial Narrow" w:hAnsi="Arial Narrow" w:cs="Arial"/>
                <w:i/>
                <w:snapToGrid w:val="0"/>
                <w:sz w:val="24"/>
                <w:szCs w:val="24"/>
              </w:rPr>
              <w:t>Maphanga</w:t>
            </w:r>
            <w:proofErr w:type="spellEnd"/>
            <w:r w:rsidR="001C72BC" w:rsidRPr="007A140E">
              <w:rPr>
                <w:rStyle w:val="FootnoteReference"/>
                <w:rFonts w:ascii="Arial Narrow" w:hAnsi="Arial Narrow" w:cs="Arial"/>
                <w:i/>
                <w:snapToGrid w:val="0"/>
                <w:sz w:val="24"/>
                <w:szCs w:val="24"/>
              </w:rPr>
              <w:footnoteReference w:id="11"/>
            </w:r>
            <w:r w:rsidRPr="007A140E">
              <w:rPr>
                <w:rFonts w:ascii="Arial Narrow" w:hAnsi="Arial Narrow" w:cs="Arial"/>
                <w:i/>
                <w:snapToGrid w:val="0"/>
                <w:sz w:val="24"/>
                <w:szCs w:val="24"/>
              </w:rPr>
              <w:t xml:space="preserve"> </w:t>
            </w:r>
            <w:r w:rsidRPr="007A140E">
              <w:rPr>
                <w:rFonts w:ascii="Arial Narrow" w:hAnsi="Arial Narrow" w:cs="Arial"/>
                <w:snapToGrid w:val="0"/>
                <w:sz w:val="24"/>
                <w:szCs w:val="24"/>
              </w:rPr>
              <w:t>matter ha</w:t>
            </w:r>
            <w:r w:rsidR="007623CD" w:rsidRPr="007A140E">
              <w:rPr>
                <w:rFonts w:ascii="Arial Narrow" w:hAnsi="Arial Narrow" w:cs="Arial"/>
                <w:snapToGrid w:val="0"/>
                <w:sz w:val="24"/>
                <w:szCs w:val="24"/>
              </w:rPr>
              <w:t>s</w:t>
            </w:r>
            <w:r w:rsidRPr="007A140E">
              <w:rPr>
                <w:rFonts w:ascii="Arial Narrow" w:hAnsi="Arial Narrow" w:cs="Arial"/>
                <w:snapToGrid w:val="0"/>
                <w:sz w:val="24"/>
                <w:szCs w:val="24"/>
              </w:rPr>
              <w:t xml:space="preserve"> been adopted and applied in our jurisdiction in </w:t>
            </w:r>
            <w:r w:rsidRPr="007A140E">
              <w:rPr>
                <w:rFonts w:ascii="Arial Narrow" w:hAnsi="Arial Narrow" w:cs="Arial"/>
                <w:i/>
                <w:sz w:val="24"/>
                <w:szCs w:val="24"/>
              </w:rPr>
              <w:t>Friedrich Christian Brandt T/A Chris Brandt Attorneys</w:t>
            </w:r>
            <w:r w:rsidRPr="005D0740">
              <w:rPr>
                <w:rFonts w:ascii="Arial Narrow" w:hAnsi="Arial Narrow" w:cs="Arial"/>
                <w:i/>
                <w:sz w:val="24"/>
                <w:szCs w:val="24"/>
              </w:rPr>
              <w:t xml:space="preserve"> </w:t>
            </w:r>
            <w:r w:rsidR="00B05E16" w:rsidRPr="005D0740">
              <w:rPr>
                <w:rFonts w:ascii="Arial Narrow" w:hAnsi="Arial Narrow" w:cs="Arial"/>
                <w:i/>
                <w:sz w:val="24"/>
                <w:szCs w:val="24"/>
              </w:rPr>
              <w:t>v</w:t>
            </w:r>
            <w:r w:rsidRPr="005D0740">
              <w:rPr>
                <w:rFonts w:ascii="Arial Narrow" w:hAnsi="Arial Narrow" w:cs="Arial"/>
                <w:i/>
                <w:sz w:val="24"/>
                <w:szCs w:val="24"/>
              </w:rPr>
              <w:t xml:space="preserve"> </w:t>
            </w:r>
            <w:r w:rsidRPr="007A140E">
              <w:rPr>
                <w:rFonts w:ascii="Arial Narrow" w:hAnsi="Arial Narrow" w:cs="Arial"/>
                <w:i/>
                <w:sz w:val="24"/>
                <w:szCs w:val="24"/>
              </w:rPr>
              <w:t xml:space="preserve">Windhoek Truck &amp; </w:t>
            </w:r>
            <w:proofErr w:type="spellStart"/>
            <w:r w:rsidRPr="007A140E">
              <w:rPr>
                <w:rFonts w:ascii="Arial Narrow" w:hAnsi="Arial Narrow" w:cs="Arial"/>
                <w:i/>
                <w:sz w:val="24"/>
                <w:szCs w:val="24"/>
              </w:rPr>
              <w:t>Bakkie</w:t>
            </w:r>
            <w:proofErr w:type="spellEnd"/>
            <w:r w:rsidRPr="007A140E">
              <w:rPr>
                <w:rFonts w:ascii="Arial Narrow" w:hAnsi="Arial Narrow" w:cs="Arial"/>
                <w:i/>
                <w:sz w:val="24"/>
                <w:szCs w:val="24"/>
              </w:rPr>
              <w:t xml:space="preserve"> CC</w:t>
            </w:r>
            <w:r w:rsidRPr="007A140E">
              <w:rPr>
                <w:rStyle w:val="FootnoteReference"/>
                <w:rFonts w:ascii="Arial Narrow" w:hAnsi="Arial Narrow" w:cs="Arial"/>
                <w:i/>
                <w:sz w:val="24"/>
                <w:szCs w:val="24"/>
              </w:rPr>
              <w:footnoteReference w:id="12"/>
            </w:r>
            <w:r w:rsidRPr="007A140E">
              <w:rPr>
                <w:rFonts w:ascii="Arial Narrow" w:hAnsi="Arial Narrow" w:cs="Arial"/>
                <w:i/>
                <w:sz w:val="24"/>
                <w:szCs w:val="24"/>
              </w:rPr>
              <w:t xml:space="preserve"> </w:t>
            </w:r>
            <w:r w:rsidRPr="007A140E">
              <w:rPr>
                <w:rFonts w:ascii="Arial Narrow" w:hAnsi="Arial Narrow" w:cs="Arial"/>
                <w:sz w:val="24"/>
                <w:szCs w:val="24"/>
              </w:rPr>
              <w:t>and</w:t>
            </w:r>
            <w:r w:rsidRPr="007A140E">
              <w:rPr>
                <w:rFonts w:ascii="Arial Narrow" w:hAnsi="Arial Narrow" w:cs="Arial"/>
                <w:i/>
                <w:sz w:val="24"/>
                <w:szCs w:val="24"/>
              </w:rPr>
              <w:t xml:space="preserve"> MB De Klerk &amp; Associates v </w:t>
            </w:r>
            <w:proofErr w:type="spellStart"/>
            <w:r w:rsidRPr="007A140E">
              <w:rPr>
                <w:rFonts w:ascii="Arial Narrow" w:hAnsi="Arial Narrow" w:cs="Arial"/>
                <w:i/>
                <w:sz w:val="24"/>
                <w:szCs w:val="24"/>
              </w:rPr>
              <w:t>Eggerschweiler</w:t>
            </w:r>
            <w:proofErr w:type="spellEnd"/>
            <w:r w:rsidRPr="007A140E">
              <w:rPr>
                <w:rFonts w:ascii="Arial Narrow" w:hAnsi="Arial Narrow" w:cs="Arial"/>
                <w:i/>
                <w:sz w:val="24"/>
                <w:szCs w:val="24"/>
              </w:rPr>
              <w:t xml:space="preserve"> and Another</w:t>
            </w:r>
            <w:r w:rsidR="003B3443">
              <w:rPr>
                <w:rFonts w:ascii="Arial Narrow" w:hAnsi="Arial Narrow" w:cs="Arial"/>
                <w:i/>
                <w:sz w:val="24"/>
                <w:szCs w:val="24"/>
              </w:rPr>
              <w:t>.</w:t>
            </w:r>
            <w:r w:rsidRPr="007A140E">
              <w:rPr>
                <w:rStyle w:val="FootnoteReference"/>
                <w:rFonts w:ascii="Arial Narrow" w:hAnsi="Arial Narrow" w:cs="Arial"/>
                <w:i/>
                <w:sz w:val="24"/>
                <w:szCs w:val="24"/>
              </w:rPr>
              <w:footnoteReference w:id="13"/>
            </w:r>
          </w:p>
          <w:p w:rsidR="00301868" w:rsidRPr="007A140E" w:rsidRDefault="00301868" w:rsidP="007A140E">
            <w:pPr>
              <w:spacing w:line="360" w:lineRule="auto"/>
              <w:jc w:val="both"/>
              <w:rPr>
                <w:rFonts w:ascii="Arial Narrow" w:hAnsi="Arial Narrow" w:cs="Arial"/>
                <w:i/>
                <w:sz w:val="24"/>
                <w:szCs w:val="24"/>
              </w:rPr>
            </w:pPr>
          </w:p>
          <w:p w:rsidR="00301868"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w:t>
            </w:r>
            <w:r w:rsidR="00200A52" w:rsidRPr="007A140E">
              <w:rPr>
                <w:rFonts w:ascii="Arial Narrow" w:hAnsi="Arial Narrow" w:cs="Arial"/>
                <w:sz w:val="24"/>
                <w:szCs w:val="24"/>
              </w:rPr>
              <w:t>16</w:t>
            </w:r>
            <w:r w:rsidRPr="007A140E">
              <w:rPr>
                <w:rFonts w:ascii="Arial Narrow" w:hAnsi="Arial Narrow" w:cs="Arial"/>
                <w:sz w:val="24"/>
                <w:szCs w:val="24"/>
              </w:rPr>
              <w:t>]</w:t>
            </w:r>
            <w:r w:rsidRPr="007A140E">
              <w:rPr>
                <w:rFonts w:ascii="Arial Narrow" w:hAnsi="Arial Narrow" w:cs="Arial"/>
                <w:sz w:val="24"/>
                <w:szCs w:val="24"/>
              </w:rPr>
              <w:tab/>
              <w:t xml:space="preserve">In </w:t>
            </w:r>
            <w:r w:rsidRPr="007A140E">
              <w:rPr>
                <w:rFonts w:ascii="Arial Narrow" w:hAnsi="Arial Narrow" w:cs="Arial"/>
                <w:i/>
                <w:sz w:val="24"/>
                <w:szCs w:val="24"/>
              </w:rPr>
              <w:t xml:space="preserve">MB De Klerk &amp; Associates v </w:t>
            </w:r>
            <w:proofErr w:type="spellStart"/>
            <w:r w:rsidRPr="007A140E">
              <w:rPr>
                <w:rFonts w:ascii="Arial Narrow" w:hAnsi="Arial Narrow" w:cs="Arial"/>
                <w:i/>
                <w:sz w:val="24"/>
                <w:szCs w:val="24"/>
              </w:rPr>
              <w:t>Eggerschweiler</w:t>
            </w:r>
            <w:proofErr w:type="spellEnd"/>
            <w:r w:rsidRPr="007A140E">
              <w:rPr>
                <w:rFonts w:ascii="Arial Narrow" w:hAnsi="Arial Narrow" w:cs="Arial"/>
                <w:i/>
                <w:sz w:val="24"/>
                <w:szCs w:val="24"/>
              </w:rPr>
              <w:t xml:space="preserve"> and Another</w:t>
            </w:r>
            <w:r w:rsidRPr="007A140E">
              <w:rPr>
                <w:rFonts w:ascii="Arial Narrow" w:hAnsi="Arial Narrow" w:cs="Arial"/>
                <w:sz w:val="24"/>
                <w:szCs w:val="24"/>
              </w:rPr>
              <w:t xml:space="preserve"> </w:t>
            </w:r>
            <w:proofErr w:type="spellStart"/>
            <w:r w:rsidRPr="007A140E">
              <w:rPr>
                <w:rFonts w:ascii="Arial Narrow" w:hAnsi="Arial Narrow" w:cs="Arial"/>
                <w:sz w:val="24"/>
                <w:szCs w:val="24"/>
              </w:rPr>
              <w:t>Damaseb</w:t>
            </w:r>
            <w:proofErr w:type="spellEnd"/>
            <w:r w:rsidRPr="007A140E">
              <w:rPr>
                <w:rFonts w:ascii="Arial Narrow" w:hAnsi="Arial Narrow" w:cs="Arial"/>
                <w:sz w:val="24"/>
                <w:szCs w:val="24"/>
              </w:rPr>
              <w:t xml:space="preserve"> JP stated as follows</w:t>
            </w:r>
            <w:r w:rsidR="007623CD" w:rsidRPr="007A140E">
              <w:rPr>
                <w:rFonts w:ascii="Arial Narrow" w:hAnsi="Arial Narrow" w:cs="Arial"/>
                <w:sz w:val="24"/>
                <w:szCs w:val="24"/>
              </w:rPr>
              <w:t>:</w:t>
            </w:r>
          </w:p>
          <w:p w:rsidR="006918E4" w:rsidRPr="007A140E" w:rsidRDefault="006918E4" w:rsidP="007A140E">
            <w:pPr>
              <w:spacing w:line="360" w:lineRule="auto"/>
              <w:jc w:val="both"/>
              <w:rPr>
                <w:rFonts w:ascii="Arial Narrow" w:hAnsi="Arial Narrow" w:cs="Arial"/>
                <w:color w:val="000000"/>
                <w:sz w:val="24"/>
                <w:szCs w:val="24"/>
                <w:shd w:val="clear" w:color="auto" w:fill="FFFFFF"/>
              </w:rPr>
            </w:pPr>
          </w:p>
          <w:p w:rsidR="00301868" w:rsidRPr="006918E4" w:rsidRDefault="007623CD" w:rsidP="007A140E">
            <w:pPr>
              <w:spacing w:line="360" w:lineRule="auto"/>
              <w:ind w:firstLine="720"/>
              <w:jc w:val="both"/>
              <w:rPr>
                <w:rFonts w:ascii="Arial Narrow" w:hAnsi="Arial Narrow" w:cs="Arial"/>
                <w:color w:val="000000"/>
                <w:shd w:val="clear" w:color="auto" w:fill="FFFFFF"/>
              </w:rPr>
            </w:pPr>
            <w:r w:rsidRPr="006918E4">
              <w:rPr>
                <w:rFonts w:ascii="Arial Narrow" w:hAnsi="Arial Narrow" w:cs="Arial"/>
                <w:color w:val="000000"/>
                <w:shd w:val="clear" w:color="auto" w:fill="FFFFFF"/>
              </w:rPr>
              <w:t>‘</w:t>
            </w:r>
            <w:r w:rsidR="00301868" w:rsidRPr="006918E4">
              <w:rPr>
                <w:rFonts w:ascii="Arial Narrow" w:hAnsi="Arial Narrow" w:cs="Arial"/>
                <w:color w:val="000000"/>
                <w:shd w:val="clear" w:color="auto" w:fill="FFFFFF"/>
              </w:rPr>
              <w:t>[64] It is settled that a client is entitled to have an account of a legal practitioner taxed before payment.</w:t>
            </w:r>
            <w:r w:rsidR="006C12FA">
              <w:rPr>
                <w:rFonts w:ascii="Arial Narrow" w:hAnsi="Arial Narrow" w:cs="Arial"/>
              </w:rPr>
              <w:t xml:space="preserve"> </w:t>
            </w:r>
            <w:r w:rsidR="00301868" w:rsidRPr="006918E4">
              <w:rPr>
                <w:rFonts w:ascii="Arial Narrow" w:hAnsi="Arial Narrow" w:cs="Arial"/>
                <w:color w:val="000000"/>
                <w:shd w:val="clear" w:color="auto" w:fill="FFFFFF"/>
              </w:rPr>
              <w:t>Malan JA in </w:t>
            </w:r>
            <w:r w:rsidR="00301868" w:rsidRPr="006918E4">
              <w:rPr>
                <w:rFonts w:ascii="Arial Narrow" w:hAnsi="Arial Narrow" w:cs="Arial"/>
                <w:i/>
                <w:iCs/>
                <w:color w:val="000000"/>
                <w:shd w:val="clear" w:color="auto" w:fill="FFFFFF"/>
              </w:rPr>
              <w:t xml:space="preserve">Blake </w:t>
            </w:r>
            <w:proofErr w:type="spellStart"/>
            <w:r w:rsidR="00301868" w:rsidRPr="006918E4">
              <w:rPr>
                <w:rFonts w:ascii="Arial Narrow" w:hAnsi="Arial Narrow" w:cs="Arial"/>
                <w:i/>
                <w:iCs/>
                <w:color w:val="000000"/>
                <w:shd w:val="clear" w:color="auto" w:fill="FFFFFF"/>
              </w:rPr>
              <w:t>Maphanga</w:t>
            </w:r>
            <w:proofErr w:type="spellEnd"/>
            <w:r w:rsidR="00301868" w:rsidRPr="006918E4">
              <w:rPr>
                <w:rFonts w:ascii="Arial Narrow" w:hAnsi="Arial Narrow" w:cs="Arial"/>
                <w:i/>
                <w:iCs/>
                <w:color w:val="000000"/>
                <w:shd w:val="clear" w:color="auto" w:fill="FFFFFF"/>
              </w:rPr>
              <w:t xml:space="preserve"> Inc. v </w:t>
            </w:r>
            <w:proofErr w:type="spellStart"/>
            <w:r w:rsidR="00301868" w:rsidRPr="006918E4">
              <w:rPr>
                <w:rFonts w:ascii="Arial Narrow" w:hAnsi="Arial Narrow" w:cs="Arial"/>
                <w:i/>
                <w:iCs/>
                <w:color w:val="000000"/>
                <w:shd w:val="clear" w:color="auto" w:fill="FFFFFF"/>
              </w:rPr>
              <w:t>Outsurance</w:t>
            </w:r>
            <w:proofErr w:type="spellEnd"/>
            <w:r w:rsidR="00301868" w:rsidRPr="006918E4">
              <w:rPr>
                <w:rFonts w:ascii="Arial Narrow" w:hAnsi="Arial Narrow" w:cs="Arial"/>
                <w:i/>
                <w:iCs/>
                <w:color w:val="000000"/>
                <w:shd w:val="clear" w:color="auto" w:fill="FFFFFF"/>
              </w:rPr>
              <w:t xml:space="preserve"> Insurance Co Ltd</w:t>
            </w:r>
            <w:r w:rsidR="00301868" w:rsidRPr="006918E4">
              <w:rPr>
                <w:rFonts w:ascii="Arial Narrow" w:hAnsi="Arial Narrow" w:cs="Arial"/>
                <w:color w:val="000000"/>
                <w:shd w:val="clear" w:color="auto" w:fill="FFFFFF"/>
              </w:rPr>
              <w:t> at 239 held that the purpose of such taxation is to determine the extent of the indebtedness as an untaxed bill of costs does not constitute a liquid amount in money, especially where the bill is being disputed. Although it has also been held that an attorney may sue on an untaxed bill if the client is satisfied with the </w:t>
            </w:r>
            <w:r w:rsidR="00301868" w:rsidRPr="006918E4">
              <w:rPr>
                <w:rFonts w:ascii="Arial Narrow" w:hAnsi="Arial Narrow" w:cs="Arial"/>
                <w:i/>
                <w:iCs/>
                <w:color w:val="000000"/>
                <w:shd w:val="clear" w:color="auto" w:fill="FFFFFF"/>
              </w:rPr>
              <w:t>quantum,</w:t>
            </w:r>
            <w:r w:rsidR="00301868" w:rsidRPr="006918E4">
              <w:rPr>
                <w:rFonts w:ascii="Arial Narrow" w:hAnsi="Arial Narrow" w:cs="Arial"/>
                <w:color w:val="000000"/>
                <w:shd w:val="clear" w:color="auto" w:fill="FFFFFF"/>
              </w:rPr>
              <w:t> it is an established practice that the courts assume discretion to order a bill to be taxed. In such circumstances, the taxing master must determine whether the costs have been incurred or increased through over-caution, negligence or mistake, or by payment of a special fee.</w:t>
            </w:r>
          </w:p>
          <w:p w:rsidR="00301868" w:rsidRPr="006918E4" w:rsidRDefault="00301868" w:rsidP="007A140E">
            <w:pPr>
              <w:spacing w:line="360" w:lineRule="auto"/>
              <w:jc w:val="both"/>
              <w:rPr>
                <w:rFonts w:ascii="Arial Narrow" w:hAnsi="Arial Narrow" w:cs="Arial"/>
                <w:color w:val="000000"/>
                <w:shd w:val="clear" w:color="auto" w:fill="FFFFFF"/>
              </w:rPr>
            </w:pPr>
          </w:p>
          <w:p w:rsidR="00301868" w:rsidRPr="007A140E" w:rsidRDefault="00301868" w:rsidP="00B05E16">
            <w:pPr>
              <w:spacing w:line="360" w:lineRule="auto"/>
              <w:ind w:hanging="18"/>
              <w:jc w:val="both"/>
              <w:rPr>
                <w:rFonts w:ascii="Arial Narrow" w:hAnsi="Arial Narrow" w:cs="Arial"/>
                <w:color w:val="000000"/>
                <w:sz w:val="24"/>
                <w:szCs w:val="24"/>
                <w:shd w:val="clear" w:color="auto" w:fill="FFFFFF"/>
              </w:rPr>
            </w:pPr>
            <w:r w:rsidRPr="006918E4">
              <w:rPr>
                <w:rFonts w:ascii="Arial Narrow" w:hAnsi="Arial Narrow" w:cs="Arial"/>
                <w:color w:val="000000"/>
                <w:shd w:val="clear" w:color="auto" w:fill="FFFFFF"/>
              </w:rPr>
              <w:t>[65] The court also held that the taxing master’s duty to tax is not ousted by an agreement between an attorney and a client and that even in such circumstances the taxing master must satisfy himself/herself that the fees charged are justified by the work done and are reasonable.</w:t>
            </w:r>
            <w:bookmarkStart w:id="1" w:name="sdfootnote32anc"/>
            <w:r w:rsidRPr="006918E4">
              <w:rPr>
                <w:rFonts w:ascii="Arial Narrow" w:hAnsi="Arial Narrow" w:cs="Arial"/>
                <w:color w:val="000000"/>
                <w:shd w:val="clear" w:color="auto" w:fill="FFFFFF"/>
                <w:vertAlign w:val="superscript"/>
              </w:rPr>
              <w:fldChar w:fldCharType="begin"/>
            </w:r>
            <w:r w:rsidRPr="006918E4">
              <w:rPr>
                <w:rFonts w:ascii="Arial Narrow" w:hAnsi="Arial Narrow" w:cs="Arial"/>
                <w:color w:val="000000"/>
                <w:shd w:val="clear" w:color="auto" w:fill="FFFFFF"/>
                <w:vertAlign w:val="superscript"/>
              </w:rPr>
              <w:instrText xml:space="preserve"> HYPERLINK "https://namiblii.org/na/judgment/high-court-main-division/2013-280" \l "sdfootnote32sym" </w:instrText>
            </w:r>
            <w:r w:rsidRPr="006918E4">
              <w:rPr>
                <w:rFonts w:ascii="Arial Narrow" w:hAnsi="Arial Narrow" w:cs="Arial"/>
                <w:color w:val="000000"/>
                <w:shd w:val="clear" w:color="auto" w:fill="FFFFFF"/>
                <w:vertAlign w:val="superscript"/>
              </w:rPr>
              <w:fldChar w:fldCharType="end"/>
            </w:r>
            <w:bookmarkEnd w:id="1"/>
            <w:r w:rsidRPr="006918E4">
              <w:rPr>
                <w:rFonts w:ascii="Arial Narrow" w:hAnsi="Arial Narrow" w:cs="Arial"/>
                <w:color w:val="000000"/>
                <w:shd w:val="clear" w:color="auto" w:fill="FFFFFF"/>
              </w:rPr>
              <w:t> I see no reason either in principle or logic why an instrument acknowledging personal indebtedness to the plaintiff by directors of a company who would not otherwise be but for such acknowledgement of debt, would deny them the right that the legal practitioner justifies how that amount was made up. In my view the situation is no different from a client agreeing to an agreed fee, which must still be reasonable and borne out by the work actually performed.</w:t>
            </w:r>
            <w:r w:rsidR="00624EFA" w:rsidRPr="006918E4">
              <w:rPr>
                <w:rFonts w:ascii="Arial Narrow" w:hAnsi="Arial Narrow" w:cs="Arial"/>
                <w:color w:val="000000"/>
                <w:shd w:val="clear" w:color="auto" w:fill="FFFFFF"/>
              </w:rPr>
              <w:t>’</w:t>
            </w:r>
          </w:p>
          <w:p w:rsidR="00301868" w:rsidRPr="007A140E" w:rsidRDefault="00301868" w:rsidP="007A140E">
            <w:pPr>
              <w:spacing w:line="360" w:lineRule="auto"/>
              <w:jc w:val="both"/>
              <w:rPr>
                <w:rFonts w:ascii="Arial Narrow" w:hAnsi="Arial Narrow" w:cs="Arial"/>
                <w:color w:val="000000"/>
                <w:sz w:val="24"/>
                <w:szCs w:val="24"/>
                <w:shd w:val="clear" w:color="auto" w:fill="FFFFFF"/>
              </w:rPr>
            </w:pPr>
          </w:p>
          <w:p w:rsidR="00301868" w:rsidRPr="007A140E" w:rsidRDefault="00301868" w:rsidP="007A140E">
            <w:pPr>
              <w:spacing w:line="360" w:lineRule="auto"/>
              <w:jc w:val="both"/>
              <w:rPr>
                <w:rFonts w:ascii="Arial Narrow" w:hAnsi="Arial Narrow" w:cs="Arial"/>
                <w:sz w:val="24"/>
                <w:szCs w:val="24"/>
              </w:rPr>
            </w:pPr>
            <w:r w:rsidRPr="007A140E">
              <w:rPr>
                <w:rFonts w:ascii="Arial Narrow" w:hAnsi="Arial Narrow" w:cs="Arial"/>
                <w:color w:val="000000"/>
                <w:sz w:val="24"/>
                <w:szCs w:val="24"/>
                <w:shd w:val="clear" w:color="auto" w:fill="FFFFFF"/>
              </w:rPr>
              <w:t>[</w:t>
            </w:r>
            <w:r w:rsidR="00200A52" w:rsidRPr="007A140E">
              <w:rPr>
                <w:rFonts w:ascii="Arial Narrow" w:hAnsi="Arial Narrow" w:cs="Arial"/>
                <w:color w:val="000000"/>
                <w:sz w:val="24"/>
                <w:szCs w:val="24"/>
                <w:shd w:val="clear" w:color="auto" w:fill="FFFFFF"/>
              </w:rPr>
              <w:t>17</w:t>
            </w:r>
            <w:r w:rsidRPr="007A140E">
              <w:rPr>
                <w:rFonts w:ascii="Arial Narrow" w:hAnsi="Arial Narrow" w:cs="Arial"/>
                <w:color w:val="000000"/>
                <w:sz w:val="24"/>
                <w:szCs w:val="24"/>
                <w:shd w:val="clear" w:color="auto" w:fill="FFFFFF"/>
              </w:rPr>
              <w:t>]</w:t>
            </w:r>
            <w:r w:rsidRPr="007A140E">
              <w:rPr>
                <w:rFonts w:ascii="Arial Narrow" w:hAnsi="Arial Narrow" w:cs="Arial"/>
                <w:color w:val="000000"/>
                <w:sz w:val="24"/>
                <w:szCs w:val="24"/>
                <w:shd w:val="clear" w:color="auto" w:fill="FFFFFF"/>
              </w:rPr>
              <w:tab/>
            </w:r>
            <w:r w:rsidRPr="007A140E">
              <w:rPr>
                <w:rFonts w:ascii="Arial Narrow" w:hAnsi="Arial Narrow" w:cs="Arial"/>
                <w:sz w:val="24"/>
                <w:szCs w:val="24"/>
              </w:rPr>
              <w:t xml:space="preserve">Having considered the papers and the arguments advanced by the respective counsel it is clear that the court is not only presented with a dispute on the contents of the alleged agreement to render professional legal services (and whether such an agreement existed at all), but also with a dispute as to the billing and quantum of the fees charged in the absence of taxation. An enquiry into the nature and extend of the professional services rendered and the reasonableness of the fees charged </w:t>
            </w:r>
            <w:r w:rsidR="00E939DA">
              <w:rPr>
                <w:rFonts w:ascii="Arial Narrow" w:hAnsi="Arial Narrow" w:cs="Arial"/>
                <w:sz w:val="24"/>
                <w:szCs w:val="24"/>
              </w:rPr>
              <w:t>was called for by the defendant</w:t>
            </w:r>
            <w:r w:rsidRPr="007A140E">
              <w:rPr>
                <w:rFonts w:ascii="Arial Narrow" w:hAnsi="Arial Narrow" w:cs="Arial"/>
                <w:sz w:val="24"/>
                <w:szCs w:val="24"/>
              </w:rPr>
              <w:t xml:space="preserve">. </w:t>
            </w:r>
          </w:p>
          <w:p w:rsidR="00301868" w:rsidRPr="007A140E" w:rsidRDefault="001C72BC" w:rsidP="007A140E">
            <w:pPr>
              <w:tabs>
                <w:tab w:val="left" w:pos="5895"/>
              </w:tabs>
              <w:spacing w:line="360" w:lineRule="auto"/>
              <w:jc w:val="both"/>
              <w:rPr>
                <w:rFonts w:ascii="Arial Narrow" w:hAnsi="Arial Narrow" w:cs="Arial"/>
                <w:color w:val="000000"/>
                <w:sz w:val="24"/>
                <w:szCs w:val="24"/>
                <w:shd w:val="clear" w:color="auto" w:fill="FFFFFF"/>
              </w:rPr>
            </w:pPr>
            <w:r w:rsidRPr="007A140E">
              <w:rPr>
                <w:rFonts w:ascii="Arial Narrow" w:hAnsi="Arial Narrow" w:cs="Arial"/>
                <w:color w:val="000000"/>
                <w:sz w:val="24"/>
                <w:szCs w:val="24"/>
                <w:shd w:val="clear" w:color="auto" w:fill="FFFFFF"/>
              </w:rPr>
              <w:tab/>
            </w:r>
          </w:p>
          <w:p w:rsidR="00301868" w:rsidRPr="007A140E" w:rsidRDefault="00301868" w:rsidP="007A140E">
            <w:pPr>
              <w:spacing w:line="360" w:lineRule="auto"/>
              <w:jc w:val="both"/>
              <w:rPr>
                <w:rFonts w:ascii="Arial Narrow" w:hAnsi="Arial Narrow" w:cs="Arial"/>
                <w:color w:val="000000"/>
                <w:sz w:val="24"/>
                <w:szCs w:val="24"/>
                <w:shd w:val="clear" w:color="auto" w:fill="FFFFFF"/>
              </w:rPr>
            </w:pPr>
            <w:r w:rsidRPr="007A140E">
              <w:rPr>
                <w:rFonts w:ascii="Arial Narrow" w:hAnsi="Arial Narrow" w:cs="Arial"/>
                <w:color w:val="000000"/>
                <w:sz w:val="24"/>
                <w:szCs w:val="24"/>
                <w:shd w:val="clear" w:color="auto" w:fill="FFFFFF"/>
              </w:rPr>
              <w:lastRenderedPageBreak/>
              <w:t>[</w:t>
            </w:r>
            <w:r w:rsidR="00200A52" w:rsidRPr="007A140E">
              <w:rPr>
                <w:rFonts w:ascii="Arial Narrow" w:hAnsi="Arial Narrow" w:cs="Arial"/>
                <w:color w:val="000000"/>
                <w:sz w:val="24"/>
                <w:szCs w:val="24"/>
                <w:shd w:val="clear" w:color="auto" w:fill="FFFFFF"/>
              </w:rPr>
              <w:t>18</w:t>
            </w:r>
            <w:r w:rsidRPr="007A140E">
              <w:rPr>
                <w:rFonts w:ascii="Arial Narrow" w:hAnsi="Arial Narrow" w:cs="Arial"/>
                <w:color w:val="000000"/>
                <w:sz w:val="24"/>
                <w:szCs w:val="24"/>
                <w:shd w:val="clear" w:color="auto" w:fill="FFFFFF"/>
              </w:rPr>
              <w:t>]</w:t>
            </w:r>
            <w:r w:rsidRPr="007A140E">
              <w:rPr>
                <w:rFonts w:ascii="Arial Narrow" w:hAnsi="Arial Narrow" w:cs="Arial"/>
                <w:color w:val="000000"/>
                <w:sz w:val="24"/>
                <w:szCs w:val="24"/>
                <w:shd w:val="clear" w:color="auto" w:fill="FFFFFF"/>
              </w:rPr>
              <w:tab/>
              <w:t xml:space="preserve">I am not convinced that the </w:t>
            </w:r>
            <w:r w:rsidR="001C72BC" w:rsidRPr="007A140E">
              <w:rPr>
                <w:rFonts w:ascii="Arial Narrow" w:hAnsi="Arial Narrow" w:cs="Arial"/>
                <w:color w:val="000000"/>
                <w:sz w:val="24"/>
                <w:szCs w:val="24"/>
                <w:shd w:val="clear" w:color="auto" w:fill="FFFFFF"/>
              </w:rPr>
              <w:t xml:space="preserve">plaintiff’s claim is </w:t>
            </w:r>
            <w:r w:rsidRPr="007A140E">
              <w:rPr>
                <w:rFonts w:ascii="Arial Narrow" w:hAnsi="Arial Narrow" w:cs="Arial"/>
                <w:snapToGrid w:val="0"/>
                <w:sz w:val="24"/>
                <w:szCs w:val="24"/>
              </w:rPr>
              <w:t xml:space="preserve">capable of speedy </w:t>
            </w:r>
            <w:r w:rsidRPr="00E939DA">
              <w:rPr>
                <w:rFonts w:ascii="Arial Narrow" w:hAnsi="Arial Narrow" w:cs="Arial"/>
                <w:snapToGrid w:val="0"/>
                <w:sz w:val="24"/>
                <w:szCs w:val="24"/>
              </w:rPr>
              <w:t>ascertainment</w:t>
            </w:r>
            <w:r w:rsidR="006061EE" w:rsidRPr="00E939DA">
              <w:rPr>
                <w:rFonts w:ascii="Arial Narrow" w:hAnsi="Arial Narrow" w:cs="Arial"/>
                <w:snapToGrid w:val="0"/>
                <w:sz w:val="24"/>
                <w:szCs w:val="24"/>
              </w:rPr>
              <w:t>.</w:t>
            </w:r>
            <w:r w:rsidRPr="00E939DA">
              <w:rPr>
                <w:rFonts w:ascii="Arial Narrow" w:hAnsi="Arial Narrow" w:cs="Arial"/>
                <w:snapToGrid w:val="0"/>
                <w:sz w:val="24"/>
                <w:szCs w:val="24"/>
              </w:rPr>
              <w:t xml:space="preserve"> </w:t>
            </w:r>
            <w:r w:rsidR="006061EE" w:rsidRPr="00E939DA">
              <w:rPr>
                <w:rFonts w:ascii="Arial Narrow" w:hAnsi="Arial Narrow" w:cs="Arial"/>
                <w:snapToGrid w:val="0"/>
                <w:sz w:val="24"/>
                <w:szCs w:val="24"/>
              </w:rPr>
              <w:t>T</w:t>
            </w:r>
            <w:r w:rsidRPr="00E939DA">
              <w:rPr>
                <w:rFonts w:ascii="Arial Narrow" w:hAnsi="Arial Narrow" w:cs="Arial"/>
                <w:snapToGrid w:val="0"/>
                <w:sz w:val="24"/>
                <w:szCs w:val="24"/>
              </w:rPr>
              <w:t xml:space="preserve">herefor </w:t>
            </w:r>
            <w:r w:rsidRPr="007A140E">
              <w:rPr>
                <w:rFonts w:ascii="Arial Narrow" w:hAnsi="Arial Narrow" w:cs="Arial"/>
                <w:snapToGrid w:val="0"/>
                <w:sz w:val="24"/>
                <w:szCs w:val="24"/>
              </w:rPr>
              <w:t xml:space="preserve">the plaintiff’s claim does not fall </w:t>
            </w:r>
            <w:r w:rsidR="00F57DC9">
              <w:rPr>
                <w:rFonts w:ascii="Arial Narrow" w:hAnsi="Arial Narrow" w:cs="Arial"/>
                <w:snapToGrid w:val="0"/>
                <w:sz w:val="24"/>
                <w:szCs w:val="24"/>
              </w:rPr>
              <w:t xml:space="preserve">within the ambit of rule 60 and </w:t>
            </w:r>
            <w:r w:rsidRPr="007A140E">
              <w:rPr>
                <w:rFonts w:ascii="Arial Narrow" w:hAnsi="Arial Narrow" w:cs="Arial"/>
                <w:snapToGrid w:val="0"/>
                <w:sz w:val="24"/>
                <w:szCs w:val="24"/>
              </w:rPr>
              <w:t>as a result</w:t>
            </w:r>
            <w:r w:rsidR="001C72BC" w:rsidRPr="007A140E">
              <w:rPr>
                <w:rFonts w:ascii="Arial Narrow" w:hAnsi="Arial Narrow" w:cs="Arial"/>
                <w:snapToGrid w:val="0"/>
                <w:sz w:val="24"/>
                <w:szCs w:val="24"/>
              </w:rPr>
              <w:t xml:space="preserve"> the plaintiff is not</w:t>
            </w:r>
            <w:r w:rsidRPr="007A140E">
              <w:rPr>
                <w:rFonts w:ascii="Arial Narrow" w:hAnsi="Arial Narrow" w:cs="Arial"/>
                <w:snapToGrid w:val="0"/>
                <w:sz w:val="24"/>
                <w:szCs w:val="24"/>
              </w:rPr>
              <w:t xml:space="preserve"> entitled to summary judgment.</w:t>
            </w:r>
          </w:p>
          <w:p w:rsidR="00301868" w:rsidRPr="007A140E" w:rsidRDefault="00301868" w:rsidP="007A140E">
            <w:pPr>
              <w:spacing w:line="360" w:lineRule="auto"/>
              <w:jc w:val="both"/>
              <w:rPr>
                <w:rFonts w:ascii="Arial Narrow" w:hAnsi="Arial Narrow" w:cs="Arial"/>
                <w:sz w:val="24"/>
                <w:szCs w:val="24"/>
              </w:rPr>
            </w:pPr>
          </w:p>
          <w:p w:rsidR="00301868" w:rsidRPr="007A140E" w:rsidRDefault="00301868" w:rsidP="007A140E">
            <w:pPr>
              <w:spacing w:line="360" w:lineRule="auto"/>
              <w:jc w:val="both"/>
              <w:rPr>
                <w:rFonts w:ascii="Arial Narrow" w:hAnsi="Arial Narrow" w:cs="Arial"/>
                <w:sz w:val="24"/>
                <w:szCs w:val="24"/>
              </w:rPr>
            </w:pPr>
            <w:r w:rsidRPr="007A140E">
              <w:rPr>
                <w:rFonts w:ascii="Arial Narrow" w:hAnsi="Arial Narrow" w:cs="Arial"/>
                <w:sz w:val="24"/>
                <w:szCs w:val="24"/>
              </w:rPr>
              <w:t>[</w:t>
            </w:r>
            <w:r w:rsidR="00200A52" w:rsidRPr="007A140E">
              <w:rPr>
                <w:rFonts w:ascii="Arial Narrow" w:hAnsi="Arial Narrow" w:cs="Arial"/>
                <w:sz w:val="24"/>
                <w:szCs w:val="24"/>
              </w:rPr>
              <w:t>19</w:t>
            </w:r>
            <w:r w:rsidR="007A140E">
              <w:rPr>
                <w:rFonts w:ascii="Arial Narrow" w:hAnsi="Arial Narrow" w:cs="Arial"/>
                <w:sz w:val="24"/>
                <w:szCs w:val="24"/>
              </w:rPr>
              <w:t>]</w:t>
            </w:r>
            <w:r w:rsidRPr="007A140E">
              <w:rPr>
                <w:rFonts w:ascii="Arial Narrow" w:hAnsi="Arial Narrow" w:cs="Arial"/>
                <w:sz w:val="24"/>
                <w:szCs w:val="24"/>
              </w:rPr>
              <w:tab/>
            </w:r>
            <w:r w:rsidRPr="007A140E">
              <w:rPr>
                <w:rFonts w:ascii="Arial Narrow" w:hAnsi="Arial Narrow"/>
                <w:sz w:val="24"/>
                <w:szCs w:val="24"/>
              </w:rPr>
              <w:t>My order is as</w:t>
            </w:r>
            <w:r w:rsidRPr="007A140E">
              <w:rPr>
                <w:rFonts w:ascii="Arial Narrow" w:hAnsi="Arial Narrow"/>
                <w:color w:val="FF0000"/>
                <w:sz w:val="24"/>
                <w:szCs w:val="24"/>
              </w:rPr>
              <w:t xml:space="preserve"> </w:t>
            </w:r>
            <w:r w:rsidRPr="007A140E">
              <w:rPr>
                <w:rFonts w:ascii="Arial Narrow" w:hAnsi="Arial Narrow"/>
                <w:sz w:val="24"/>
                <w:szCs w:val="24"/>
              </w:rPr>
              <w:t>set out above.</w:t>
            </w:r>
          </w:p>
          <w:p w:rsidR="00226AF8" w:rsidRPr="007A140E" w:rsidRDefault="00226AF8" w:rsidP="007A140E">
            <w:pPr>
              <w:spacing w:line="360" w:lineRule="auto"/>
              <w:jc w:val="both"/>
              <w:rPr>
                <w:rFonts w:ascii="Arial Narrow" w:hAnsi="Arial Narrow" w:cs="Arial"/>
                <w:sz w:val="24"/>
                <w:szCs w:val="24"/>
                <w:lang w:val="en-US"/>
              </w:rPr>
            </w:pPr>
          </w:p>
        </w:tc>
      </w:tr>
      <w:tr w:rsidR="00D26CB5" w:rsidRPr="007A140E" w:rsidTr="0092129C">
        <w:tc>
          <w:tcPr>
            <w:tcW w:w="4770" w:type="dxa"/>
          </w:tcPr>
          <w:p w:rsidR="00D26CB5" w:rsidRPr="007A140E" w:rsidRDefault="0039037D" w:rsidP="007A140E">
            <w:pPr>
              <w:spacing w:line="360" w:lineRule="auto"/>
              <w:jc w:val="center"/>
              <w:rPr>
                <w:rFonts w:ascii="Arial Narrow" w:hAnsi="Arial Narrow" w:cs="Arial"/>
                <w:b/>
                <w:sz w:val="24"/>
                <w:szCs w:val="24"/>
              </w:rPr>
            </w:pPr>
            <w:r w:rsidRPr="007A140E">
              <w:rPr>
                <w:rFonts w:ascii="Arial Narrow" w:hAnsi="Arial Narrow" w:cs="Arial"/>
                <w:b/>
                <w:sz w:val="24"/>
                <w:szCs w:val="24"/>
              </w:rPr>
              <w:lastRenderedPageBreak/>
              <w:t>J</w:t>
            </w:r>
            <w:r w:rsidR="003875C3" w:rsidRPr="007A140E">
              <w:rPr>
                <w:rFonts w:ascii="Arial Narrow" w:hAnsi="Arial Narrow" w:cs="Arial"/>
                <w:b/>
                <w:sz w:val="24"/>
                <w:szCs w:val="24"/>
              </w:rPr>
              <w:t>udge’s signature:</w:t>
            </w:r>
          </w:p>
        </w:tc>
        <w:tc>
          <w:tcPr>
            <w:tcW w:w="4950" w:type="dxa"/>
            <w:gridSpan w:val="2"/>
          </w:tcPr>
          <w:p w:rsidR="00D26CB5" w:rsidRPr="007A140E" w:rsidRDefault="00D26CB5" w:rsidP="007A140E">
            <w:pPr>
              <w:spacing w:line="360" w:lineRule="auto"/>
              <w:jc w:val="center"/>
              <w:rPr>
                <w:rFonts w:ascii="Arial Narrow" w:hAnsi="Arial Narrow" w:cs="Arial"/>
                <w:b/>
                <w:sz w:val="24"/>
                <w:szCs w:val="24"/>
              </w:rPr>
            </w:pPr>
            <w:r w:rsidRPr="007A140E">
              <w:rPr>
                <w:rFonts w:ascii="Arial Narrow" w:hAnsi="Arial Narrow" w:cs="Arial"/>
                <w:b/>
                <w:sz w:val="24"/>
                <w:szCs w:val="24"/>
              </w:rPr>
              <w:t>Note to the parties:</w:t>
            </w:r>
          </w:p>
        </w:tc>
      </w:tr>
      <w:tr w:rsidR="00D26CB5" w:rsidRPr="007A140E" w:rsidTr="0092129C">
        <w:trPr>
          <w:trHeight w:val="1114"/>
        </w:trPr>
        <w:tc>
          <w:tcPr>
            <w:tcW w:w="4770" w:type="dxa"/>
          </w:tcPr>
          <w:p w:rsidR="00D26CB5" w:rsidRPr="007A140E" w:rsidRDefault="00D26CB5" w:rsidP="007A140E">
            <w:pPr>
              <w:spacing w:line="360" w:lineRule="auto"/>
              <w:jc w:val="both"/>
              <w:rPr>
                <w:rFonts w:ascii="Arial Narrow" w:hAnsi="Arial Narrow" w:cs="Arial"/>
                <w:sz w:val="24"/>
                <w:szCs w:val="24"/>
              </w:rPr>
            </w:pPr>
          </w:p>
          <w:p w:rsidR="00FB26AF" w:rsidRPr="007A140E" w:rsidRDefault="00FB26AF" w:rsidP="007A140E">
            <w:pPr>
              <w:spacing w:line="360" w:lineRule="auto"/>
              <w:jc w:val="both"/>
              <w:rPr>
                <w:rFonts w:ascii="Arial Narrow" w:hAnsi="Arial Narrow" w:cs="Arial"/>
                <w:sz w:val="24"/>
                <w:szCs w:val="24"/>
              </w:rPr>
            </w:pPr>
          </w:p>
          <w:p w:rsidR="00D26CB5" w:rsidRPr="007A140E" w:rsidRDefault="00D26CB5" w:rsidP="007A140E">
            <w:pPr>
              <w:spacing w:line="360" w:lineRule="auto"/>
              <w:jc w:val="both"/>
              <w:rPr>
                <w:rFonts w:ascii="Arial Narrow" w:hAnsi="Arial Narrow" w:cs="Arial"/>
                <w:sz w:val="24"/>
                <w:szCs w:val="24"/>
              </w:rPr>
            </w:pPr>
          </w:p>
          <w:p w:rsidR="00D26CB5" w:rsidRPr="007A140E" w:rsidRDefault="00D26CB5" w:rsidP="007A140E">
            <w:pPr>
              <w:spacing w:line="360" w:lineRule="auto"/>
              <w:jc w:val="both"/>
              <w:rPr>
                <w:rFonts w:ascii="Arial Narrow" w:hAnsi="Arial Narrow" w:cs="Arial"/>
                <w:sz w:val="24"/>
                <w:szCs w:val="24"/>
              </w:rPr>
            </w:pPr>
          </w:p>
        </w:tc>
        <w:tc>
          <w:tcPr>
            <w:tcW w:w="4950" w:type="dxa"/>
            <w:gridSpan w:val="2"/>
          </w:tcPr>
          <w:p w:rsidR="00D26CB5" w:rsidRPr="007A140E" w:rsidRDefault="00D26CB5" w:rsidP="007A140E">
            <w:pPr>
              <w:spacing w:line="360" w:lineRule="auto"/>
              <w:jc w:val="both"/>
              <w:rPr>
                <w:rFonts w:ascii="Arial Narrow" w:hAnsi="Arial Narrow" w:cs="Arial"/>
                <w:sz w:val="24"/>
                <w:szCs w:val="24"/>
              </w:rPr>
            </w:pPr>
            <w:r w:rsidRPr="007A140E">
              <w:rPr>
                <w:rFonts w:ascii="Arial Narrow" w:hAnsi="Arial Narrow" w:cs="Arial"/>
                <w:sz w:val="24"/>
                <w:szCs w:val="24"/>
              </w:rPr>
              <w:t>Not applicable.</w:t>
            </w:r>
          </w:p>
        </w:tc>
      </w:tr>
      <w:tr w:rsidR="00D26CB5" w:rsidRPr="007A140E" w:rsidTr="0092129C">
        <w:tc>
          <w:tcPr>
            <w:tcW w:w="9720" w:type="dxa"/>
            <w:gridSpan w:val="3"/>
          </w:tcPr>
          <w:p w:rsidR="00D26CB5" w:rsidRPr="007A140E" w:rsidRDefault="00D26CB5" w:rsidP="007A140E">
            <w:pPr>
              <w:spacing w:line="360" w:lineRule="auto"/>
              <w:jc w:val="center"/>
              <w:rPr>
                <w:rFonts w:ascii="Arial Narrow" w:hAnsi="Arial Narrow" w:cs="Arial"/>
                <w:b/>
                <w:sz w:val="24"/>
                <w:szCs w:val="24"/>
              </w:rPr>
            </w:pPr>
            <w:r w:rsidRPr="007A140E">
              <w:rPr>
                <w:rFonts w:ascii="Arial Narrow" w:hAnsi="Arial Narrow" w:cs="Arial"/>
                <w:b/>
                <w:sz w:val="24"/>
                <w:szCs w:val="24"/>
              </w:rPr>
              <w:t>Counsel:</w:t>
            </w:r>
          </w:p>
        </w:tc>
      </w:tr>
      <w:tr w:rsidR="00D26CB5" w:rsidRPr="007A140E" w:rsidTr="0092129C">
        <w:tc>
          <w:tcPr>
            <w:tcW w:w="4770" w:type="dxa"/>
          </w:tcPr>
          <w:p w:rsidR="00D26CB5" w:rsidRPr="007A140E" w:rsidRDefault="009F3726" w:rsidP="007A140E">
            <w:pPr>
              <w:spacing w:line="360" w:lineRule="auto"/>
              <w:jc w:val="center"/>
              <w:rPr>
                <w:rFonts w:ascii="Arial Narrow" w:hAnsi="Arial Narrow" w:cs="Arial"/>
                <w:b/>
                <w:sz w:val="24"/>
                <w:szCs w:val="24"/>
              </w:rPr>
            </w:pPr>
            <w:r w:rsidRPr="007A140E">
              <w:rPr>
                <w:rFonts w:ascii="Arial Narrow" w:hAnsi="Arial Narrow" w:cs="Arial"/>
                <w:b/>
                <w:sz w:val="24"/>
                <w:szCs w:val="24"/>
              </w:rPr>
              <w:t>Plaintiff</w:t>
            </w:r>
          </w:p>
        </w:tc>
        <w:tc>
          <w:tcPr>
            <w:tcW w:w="4950" w:type="dxa"/>
            <w:gridSpan w:val="2"/>
          </w:tcPr>
          <w:p w:rsidR="00D26CB5" w:rsidRPr="007A140E" w:rsidRDefault="009F3726" w:rsidP="007A140E">
            <w:pPr>
              <w:spacing w:line="360" w:lineRule="auto"/>
              <w:jc w:val="center"/>
              <w:rPr>
                <w:rFonts w:ascii="Arial Narrow" w:hAnsi="Arial Narrow" w:cs="Arial"/>
                <w:b/>
                <w:sz w:val="24"/>
                <w:szCs w:val="24"/>
              </w:rPr>
            </w:pPr>
            <w:r w:rsidRPr="007A140E">
              <w:rPr>
                <w:rFonts w:ascii="Arial Narrow" w:hAnsi="Arial Narrow" w:cs="Arial"/>
                <w:b/>
                <w:sz w:val="24"/>
                <w:szCs w:val="24"/>
              </w:rPr>
              <w:t>Defendant</w:t>
            </w:r>
          </w:p>
        </w:tc>
      </w:tr>
      <w:tr w:rsidR="00D26CB5" w:rsidRPr="007A140E" w:rsidTr="0092129C">
        <w:tc>
          <w:tcPr>
            <w:tcW w:w="4770" w:type="dxa"/>
          </w:tcPr>
          <w:p w:rsidR="00C63E23" w:rsidRPr="007A140E" w:rsidRDefault="00C746A8" w:rsidP="007A140E">
            <w:pPr>
              <w:spacing w:line="360" w:lineRule="auto"/>
              <w:jc w:val="center"/>
              <w:rPr>
                <w:rFonts w:ascii="Arial Narrow" w:hAnsi="Arial Narrow" w:cs="Arial"/>
                <w:sz w:val="24"/>
                <w:szCs w:val="24"/>
              </w:rPr>
            </w:pPr>
            <w:r w:rsidRPr="007A140E">
              <w:rPr>
                <w:rFonts w:ascii="Arial Narrow" w:hAnsi="Arial Narrow" w:cs="Arial"/>
                <w:sz w:val="24"/>
                <w:szCs w:val="24"/>
              </w:rPr>
              <w:t>S K</w:t>
            </w:r>
            <w:r w:rsidR="00301868" w:rsidRPr="007A140E">
              <w:rPr>
                <w:rFonts w:ascii="Arial Narrow" w:hAnsi="Arial Narrow" w:cs="Arial"/>
                <w:sz w:val="24"/>
                <w:szCs w:val="24"/>
              </w:rPr>
              <w:t xml:space="preserve"> </w:t>
            </w:r>
            <w:proofErr w:type="spellStart"/>
            <w:r w:rsidR="00301868" w:rsidRPr="007A140E">
              <w:rPr>
                <w:rFonts w:ascii="Arial Narrow" w:hAnsi="Arial Narrow" w:cs="Arial"/>
                <w:sz w:val="24"/>
                <w:szCs w:val="24"/>
              </w:rPr>
              <w:t>Shakumu</w:t>
            </w:r>
            <w:proofErr w:type="spellEnd"/>
          </w:p>
          <w:p w:rsidR="00F57CD6" w:rsidRPr="007A140E" w:rsidRDefault="00C63E23" w:rsidP="007A140E">
            <w:pPr>
              <w:spacing w:line="360" w:lineRule="auto"/>
              <w:jc w:val="center"/>
              <w:rPr>
                <w:rFonts w:ascii="Arial Narrow" w:hAnsi="Arial Narrow" w:cs="Arial"/>
                <w:sz w:val="24"/>
                <w:szCs w:val="24"/>
              </w:rPr>
            </w:pPr>
            <w:r w:rsidRPr="007A140E">
              <w:rPr>
                <w:rFonts w:ascii="Arial Narrow" w:hAnsi="Arial Narrow" w:cs="Arial"/>
                <w:sz w:val="24"/>
                <w:szCs w:val="24"/>
              </w:rPr>
              <w:t>from</w:t>
            </w:r>
          </w:p>
          <w:p w:rsidR="00301868" w:rsidRPr="007A140E" w:rsidRDefault="00301868" w:rsidP="007A140E">
            <w:pPr>
              <w:spacing w:line="360" w:lineRule="auto"/>
              <w:jc w:val="center"/>
              <w:rPr>
                <w:rFonts w:ascii="Arial Narrow" w:hAnsi="Arial Narrow" w:cs="Arial"/>
                <w:color w:val="333333"/>
                <w:sz w:val="24"/>
                <w:szCs w:val="24"/>
                <w:shd w:val="clear" w:color="auto" w:fill="FFFFFF"/>
              </w:rPr>
            </w:pPr>
            <w:proofErr w:type="spellStart"/>
            <w:r w:rsidRPr="007A140E">
              <w:rPr>
                <w:rFonts w:ascii="Arial Narrow" w:hAnsi="Arial Narrow" w:cs="Arial"/>
                <w:color w:val="333333"/>
                <w:sz w:val="24"/>
                <w:szCs w:val="24"/>
                <w:shd w:val="clear" w:color="auto" w:fill="FFFFFF"/>
              </w:rPr>
              <w:t>Kishi</w:t>
            </w:r>
            <w:proofErr w:type="spellEnd"/>
            <w:r w:rsidRPr="007A140E">
              <w:rPr>
                <w:rFonts w:ascii="Arial Narrow" w:hAnsi="Arial Narrow" w:cs="Arial"/>
                <w:color w:val="333333"/>
                <w:sz w:val="24"/>
                <w:szCs w:val="24"/>
                <w:shd w:val="clear" w:color="auto" w:fill="FFFFFF"/>
              </w:rPr>
              <w:t xml:space="preserve"> </w:t>
            </w:r>
            <w:proofErr w:type="spellStart"/>
            <w:r w:rsidRPr="007A140E">
              <w:rPr>
                <w:rFonts w:ascii="Arial Narrow" w:hAnsi="Arial Narrow" w:cs="Arial"/>
                <w:color w:val="333333"/>
                <w:sz w:val="24"/>
                <w:szCs w:val="24"/>
                <w:shd w:val="clear" w:color="auto" w:fill="FFFFFF"/>
              </w:rPr>
              <w:t>Shakumu</w:t>
            </w:r>
            <w:proofErr w:type="spellEnd"/>
            <w:r w:rsidRPr="007A140E">
              <w:rPr>
                <w:rFonts w:ascii="Arial Narrow" w:hAnsi="Arial Narrow" w:cs="Arial"/>
                <w:color w:val="333333"/>
                <w:sz w:val="24"/>
                <w:szCs w:val="24"/>
                <w:shd w:val="clear" w:color="auto" w:fill="FFFFFF"/>
              </w:rPr>
              <w:t xml:space="preserve"> &amp; Co </w:t>
            </w:r>
            <w:proofErr w:type="spellStart"/>
            <w:r w:rsidRPr="007A140E">
              <w:rPr>
                <w:rFonts w:ascii="Arial Narrow" w:hAnsi="Arial Narrow" w:cs="Arial"/>
                <w:color w:val="333333"/>
                <w:sz w:val="24"/>
                <w:szCs w:val="24"/>
                <w:shd w:val="clear" w:color="auto" w:fill="FFFFFF"/>
              </w:rPr>
              <w:t>Inc</w:t>
            </w:r>
            <w:proofErr w:type="spellEnd"/>
          </w:p>
          <w:p w:rsidR="006003C6" w:rsidRPr="007A140E" w:rsidRDefault="00EA5E0C" w:rsidP="007A140E">
            <w:pPr>
              <w:spacing w:line="360" w:lineRule="auto"/>
              <w:jc w:val="center"/>
              <w:rPr>
                <w:rFonts w:ascii="Arial Narrow" w:hAnsi="Arial Narrow" w:cs="Arial"/>
                <w:sz w:val="24"/>
                <w:szCs w:val="24"/>
              </w:rPr>
            </w:pPr>
            <w:r w:rsidRPr="007A140E">
              <w:rPr>
                <w:rFonts w:ascii="Arial Narrow" w:hAnsi="Arial Narrow" w:cs="Arial"/>
                <w:sz w:val="24"/>
                <w:szCs w:val="24"/>
              </w:rPr>
              <w:t>Windhoek</w:t>
            </w:r>
          </w:p>
        </w:tc>
        <w:tc>
          <w:tcPr>
            <w:tcW w:w="4950" w:type="dxa"/>
            <w:gridSpan w:val="2"/>
          </w:tcPr>
          <w:p w:rsidR="00D26CB5" w:rsidRPr="007A140E" w:rsidRDefault="00301868" w:rsidP="007A140E">
            <w:pPr>
              <w:spacing w:line="360" w:lineRule="auto"/>
              <w:jc w:val="center"/>
              <w:rPr>
                <w:rFonts w:ascii="Arial Narrow" w:hAnsi="Arial Narrow" w:cs="Arial"/>
                <w:sz w:val="24"/>
                <w:szCs w:val="24"/>
              </w:rPr>
            </w:pPr>
            <w:r w:rsidRPr="007A140E">
              <w:rPr>
                <w:rFonts w:ascii="Arial Narrow" w:hAnsi="Arial Narrow" w:cs="Arial"/>
                <w:sz w:val="24"/>
                <w:szCs w:val="24"/>
              </w:rPr>
              <w:t>W</w:t>
            </w:r>
            <w:r w:rsidR="00C746A8" w:rsidRPr="007A140E">
              <w:rPr>
                <w:rFonts w:ascii="Arial Narrow" w:hAnsi="Arial Narrow" w:cs="Arial"/>
                <w:sz w:val="24"/>
                <w:szCs w:val="24"/>
              </w:rPr>
              <w:t xml:space="preserve"> H</w:t>
            </w:r>
            <w:r w:rsidRPr="007A140E">
              <w:rPr>
                <w:rFonts w:ascii="Arial Narrow" w:hAnsi="Arial Narrow" w:cs="Arial"/>
                <w:sz w:val="24"/>
                <w:szCs w:val="24"/>
              </w:rPr>
              <w:t xml:space="preserve"> Pf</w:t>
            </w:r>
            <w:r w:rsidR="00C746A8" w:rsidRPr="007A140E">
              <w:rPr>
                <w:rFonts w:ascii="Arial Narrow" w:hAnsi="Arial Narrow" w:cs="Arial"/>
                <w:sz w:val="24"/>
                <w:szCs w:val="24"/>
              </w:rPr>
              <w:t>eiffer</w:t>
            </w:r>
          </w:p>
          <w:p w:rsidR="00EA5E0C" w:rsidRPr="007A140E" w:rsidRDefault="00EA5E0C" w:rsidP="007A140E">
            <w:pPr>
              <w:spacing w:line="360" w:lineRule="auto"/>
              <w:jc w:val="center"/>
              <w:rPr>
                <w:rFonts w:ascii="Arial Narrow" w:hAnsi="Arial Narrow" w:cs="Arial"/>
                <w:sz w:val="24"/>
                <w:szCs w:val="24"/>
              </w:rPr>
            </w:pPr>
            <w:r w:rsidRPr="007A140E">
              <w:rPr>
                <w:rFonts w:ascii="Arial Narrow" w:hAnsi="Arial Narrow" w:cs="Arial"/>
                <w:sz w:val="24"/>
                <w:szCs w:val="24"/>
              </w:rPr>
              <w:t>from</w:t>
            </w:r>
          </w:p>
          <w:p w:rsidR="00D67EBE" w:rsidRPr="007A140E" w:rsidRDefault="00C746A8" w:rsidP="007A140E">
            <w:pPr>
              <w:spacing w:line="360" w:lineRule="auto"/>
              <w:jc w:val="center"/>
              <w:rPr>
                <w:rFonts w:ascii="Arial Narrow" w:hAnsi="Arial Narrow" w:cs="Arial"/>
                <w:sz w:val="24"/>
                <w:szCs w:val="24"/>
              </w:rPr>
            </w:pPr>
            <w:r w:rsidRPr="007A140E">
              <w:rPr>
                <w:rFonts w:ascii="Arial Narrow" w:hAnsi="Arial Narrow" w:cs="Arial"/>
                <w:sz w:val="24"/>
                <w:szCs w:val="24"/>
              </w:rPr>
              <w:t xml:space="preserve">Behrens &amp; </w:t>
            </w:r>
            <w:proofErr w:type="spellStart"/>
            <w:r w:rsidRPr="007A140E">
              <w:rPr>
                <w:rFonts w:ascii="Arial Narrow" w:hAnsi="Arial Narrow" w:cs="Arial"/>
                <w:sz w:val="24"/>
                <w:szCs w:val="24"/>
              </w:rPr>
              <w:t>Pheiffer</w:t>
            </w:r>
            <w:proofErr w:type="spellEnd"/>
          </w:p>
          <w:p w:rsidR="00EA5E0C" w:rsidRPr="007A140E" w:rsidRDefault="00EA5E0C" w:rsidP="007A140E">
            <w:pPr>
              <w:spacing w:line="360" w:lineRule="auto"/>
              <w:jc w:val="center"/>
              <w:rPr>
                <w:rFonts w:ascii="Arial Narrow" w:hAnsi="Arial Narrow" w:cs="Arial"/>
                <w:sz w:val="24"/>
                <w:szCs w:val="24"/>
              </w:rPr>
            </w:pPr>
            <w:r w:rsidRPr="007A140E">
              <w:rPr>
                <w:rFonts w:ascii="Arial Narrow" w:hAnsi="Arial Narrow" w:cs="Arial"/>
                <w:sz w:val="24"/>
                <w:szCs w:val="24"/>
              </w:rPr>
              <w:t>Windhoek</w:t>
            </w:r>
          </w:p>
        </w:tc>
      </w:tr>
    </w:tbl>
    <w:p w:rsidR="00012995" w:rsidRPr="007A140E" w:rsidRDefault="00012995" w:rsidP="006918E4">
      <w:pPr>
        <w:spacing w:after="0" w:line="360" w:lineRule="auto"/>
        <w:jc w:val="both"/>
        <w:rPr>
          <w:rFonts w:ascii="Arial Narrow" w:hAnsi="Arial Narrow"/>
          <w:sz w:val="24"/>
          <w:szCs w:val="24"/>
        </w:rPr>
      </w:pPr>
    </w:p>
    <w:sectPr w:rsidR="00012995" w:rsidRPr="007A140E" w:rsidSect="00C63E23">
      <w:headerReference w:type="default" r:id="rId12"/>
      <w:footerReference w:type="default" r:id="rId13"/>
      <w:pgSz w:w="11906" w:h="16838"/>
      <w:pgMar w:top="1080" w:right="1440" w:bottom="1134" w:left="1440" w:header="708" w:footer="7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285" w:rsidRDefault="00047285" w:rsidP="00D01890">
      <w:pPr>
        <w:spacing w:after="0" w:line="240" w:lineRule="auto"/>
      </w:pPr>
      <w:r>
        <w:separator/>
      </w:r>
    </w:p>
  </w:endnote>
  <w:endnote w:type="continuationSeparator" w:id="0">
    <w:p w:rsidR="00047285" w:rsidRDefault="00047285" w:rsidP="00D0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3F" w:rsidRDefault="00352B3F">
    <w:pPr>
      <w:pStyle w:val="Footer"/>
      <w:jc w:val="right"/>
    </w:pPr>
  </w:p>
  <w:p w:rsidR="00352B3F" w:rsidRDefault="00352B3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285" w:rsidRDefault="00047285" w:rsidP="00D01890">
      <w:pPr>
        <w:spacing w:after="0" w:line="240" w:lineRule="auto"/>
      </w:pPr>
      <w:r>
        <w:separator/>
      </w:r>
    </w:p>
  </w:footnote>
  <w:footnote w:type="continuationSeparator" w:id="0">
    <w:p w:rsidR="00047285" w:rsidRDefault="00047285" w:rsidP="00D01890">
      <w:pPr>
        <w:spacing w:after="0" w:line="240" w:lineRule="auto"/>
      </w:pPr>
      <w:r>
        <w:continuationSeparator/>
      </w:r>
    </w:p>
  </w:footnote>
  <w:footnote w:id="1">
    <w:p w:rsidR="00301868" w:rsidRPr="006918E4" w:rsidRDefault="00301868" w:rsidP="00301868">
      <w:pPr>
        <w:pStyle w:val="FootnoteText"/>
        <w:rPr>
          <w:rFonts w:ascii="Arial Narrow" w:hAnsi="Arial Narrow"/>
          <w:lang w:val="af-ZA"/>
        </w:rPr>
      </w:pPr>
      <w:r w:rsidRPr="006918E4">
        <w:rPr>
          <w:rStyle w:val="FootnoteReference"/>
          <w:rFonts w:ascii="Arial Narrow" w:hAnsi="Arial Narrow"/>
        </w:rPr>
        <w:footnoteRef/>
      </w:r>
      <w:r w:rsidRPr="006918E4">
        <w:rPr>
          <w:rFonts w:ascii="Arial Narrow" w:hAnsi="Arial Narrow"/>
        </w:rPr>
        <w:t xml:space="preserve"> Service issue 11</w:t>
      </w:r>
      <w:r w:rsidR="00BD6E77" w:rsidRPr="006918E4">
        <w:rPr>
          <w:rFonts w:ascii="Arial Narrow" w:hAnsi="Arial Narrow"/>
        </w:rPr>
        <w:t xml:space="preserve"> April</w:t>
      </w:r>
      <w:r w:rsidRPr="006918E4">
        <w:rPr>
          <w:rFonts w:ascii="Arial Narrow" w:hAnsi="Arial Narrow"/>
        </w:rPr>
        <w:t xml:space="preserve"> 2012.</w:t>
      </w:r>
    </w:p>
  </w:footnote>
  <w:footnote w:id="2">
    <w:p w:rsidR="00301868" w:rsidRPr="006918E4" w:rsidRDefault="00301868" w:rsidP="00301868">
      <w:pPr>
        <w:pStyle w:val="FootnoteText"/>
        <w:rPr>
          <w:rFonts w:ascii="Arial Narrow" w:hAnsi="Arial Narrow"/>
        </w:rPr>
      </w:pPr>
      <w:r w:rsidRPr="006918E4">
        <w:rPr>
          <w:rStyle w:val="FootnoteReference"/>
          <w:rFonts w:ascii="Arial Narrow" w:hAnsi="Arial Narrow"/>
        </w:rPr>
        <w:footnoteRef/>
      </w:r>
      <w:r w:rsidRPr="006918E4">
        <w:rPr>
          <w:rFonts w:ascii="Arial Narrow" w:hAnsi="Arial Narrow"/>
        </w:rPr>
        <w:t xml:space="preserve"> Para 4.1</w:t>
      </w:r>
      <w:r w:rsidR="00F672DB">
        <w:rPr>
          <w:rFonts w:ascii="Arial Narrow" w:hAnsi="Arial Narrow"/>
        </w:rPr>
        <w:t>.</w:t>
      </w:r>
    </w:p>
  </w:footnote>
  <w:footnote w:id="3">
    <w:p w:rsidR="00301868" w:rsidRPr="006918E4" w:rsidRDefault="00301868" w:rsidP="00301868">
      <w:pPr>
        <w:pStyle w:val="FootnoteText"/>
        <w:rPr>
          <w:rFonts w:ascii="Arial Narrow" w:hAnsi="Arial Narrow"/>
        </w:rPr>
      </w:pPr>
      <w:r w:rsidRPr="006918E4">
        <w:rPr>
          <w:rStyle w:val="FootnoteReference"/>
          <w:rFonts w:ascii="Arial Narrow" w:hAnsi="Arial Narrow"/>
        </w:rPr>
        <w:footnoteRef/>
      </w:r>
      <w:r w:rsidRPr="006918E4">
        <w:rPr>
          <w:rFonts w:ascii="Arial Narrow" w:hAnsi="Arial Narrow"/>
        </w:rPr>
        <w:t xml:space="preserve"> Para 11.1</w:t>
      </w:r>
      <w:r w:rsidR="00F672DB">
        <w:rPr>
          <w:rFonts w:ascii="Arial Narrow" w:hAnsi="Arial Narrow"/>
        </w:rPr>
        <w:t>.</w:t>
      </w:r>
    </w:p>
  </w:footnote>
  <w:footnote w:id="4">
    <w:p w:rsidR="00301868" w:rsidRPr="006918E4" w:rsidRDefault="00301868" w:rsidP="00301868">
      <w:pPr>
        <w:pStyle w:val="FootnoteText"/>
        <w:rPr>
          <w:rFonts w:ascii="Arial Narrow" w:hAnsi="Arial Narrow"/>
        </w:rPr>
      </w:pPr>
      <w:r w:rsidRPr="006918E4">
        <w:rPr>
          <w:rStyle w:val="FootnoteReference"/>
          <w:rFonts w:ascii="Arial Narrow" w:hAnsi="Arial Narrow"/>
        </w:rPr>
        <w:footnoteRef/>
      </w:r>
      <w:r w:rsidRPr="006918E4">
        <w:rPr>
          <w:rFonts w:ascii="Arial Narrow" w:hAnsi="Arial Narrow"/>
        </w:rPr>
        <w:t xml:space="preserve"> Para 11.2.2</w:t>
      </w:r>
      <w:r w:rsidR="00F672DB">
        <w:rPr>
          <w:rFonts w:ascii="Arial Narrow" w:hAnsi="Arial Narrow"/>
        </w:rPr>
        <w:t>.</w:t>
      </w:r>
    </w:p>
  </w:footnote>
  <w:footnote w:id="5">
    <w:p w:rsidR="00301868" w:rsidRPr="006918E4" w:rsidRDefault="00301868" w:rsidP="00301868">
      <w:pPr>
        <w:pStyle w:val="FootnoteText"/>
        <w:rPr>
          <w:rFonts w:ascii="Arial Narrow" w:hAnsi="Arial Narrow"/>
          <w:lang w:val="af-ZA"/>
        </w:rPr>
      </w:pPr>
      <w:r w:rsidRPr="006918E4">
        <w:rPr>
          <w:rStyle w:val="FootnoteReference"/>
          <w:rFonts w:ascii="Arial Narrow" w:hAnsi="Arial Narrow"/>
        </w:rPr>
        <w:footnoteRef/>
      </w:r>
      <w:r w:rsidRPr="006918E4">
        <w:rPr>
          <w:rFonts w:ascii="Arial Narrow" w:hAnsi="Arial Narrow"/>
        </w:rPr>
        <w:t xml:space="preserve"> </w:t>
      </w:r>
      <w:r w:rsidRPr="006918E4">
        <w:rPr>
          <w:rFonts w:ascii="Arial Narrow" w:hAnsi="Arial Narrow"/>
          <w:bCs/>
          <w:color w:val="000000"/>
          <w:shd w:val="clear" w:color="auto" w:fill="FFFFFF"/>
        </w:rPr>
        <w:t>Erasmus </w:t>
      </w:r>
      <w:r w:rsidR="00200A52" w:rsidRPr="006918E4">
        <w:rPr>
          <w:rFonts w:ascii="Arial Narrow" w:hAnsi="Arial Narrow" w:cs="Arial"/>
          <w:i/>
        </w:rPr>
        <w:t>Superior Court Practice</w:t>
      </w:r>
      <w:r w:rsidR="00200A52" w:rsidRPr="006918E4">
        <w:rPr>
          <w:rFonts w:ascii="Arial Narrow" w:hAnsi="Arial Narrow"/>
          <w:bCs/>
          <w:color w:val="000000"/>
          <w:shd w:val="clear" w:color="auto" w:fill="FFFFFF"/>
        </w:rPr>
        <w:t xml:space="preserve"> </w:t>
      </w:r>
      <w:r w:rsidRPr="006918E4">
        <w:rPr>
          <w:rFonts w:ascii="Arial Narrow" w:hAnsi="Arial Narrow"/>
          <w:bCs/>
          <w:color w:val="000000"/>
          <w:shd w:val="clear" w:color="auto" w:fill="FFFFFF"/>
        </w:rPr>
        <w:t>at B1-210 and the cases cited in footnote 2</w:t>
      </w:r>
      <w:r w:rsidR="003B3443">
        <w:rPr>
          <w:rFonts w:ascii="Arial Narrow" w:hAnsi="Arial Narrow"/>
          <w:bCs/>
          <w:color w:val="000000"/>
          <w:shd w:val="clear" w:color="auto" w:fill="FFFFFF"/>
        </w:rPr>
        <w:t>.</w:t>
      </w:r>
    </w:p>
  </w:footnote>
  <w:footnote w:id="6">
    <w:p w:rsidR="00301868" w:rsidRPr="006918E4" w:rsidRDefault="00301868" w:rsidP="00301868">
      <w:pPr>
        <w:pStyle w:val="FootnoteText"/>
        <w:rPr>
          <w:rFonts w:ascii="Arial Narrow" w:hAnsi="Arial Narrow"/>
        </w:rPr>
      </w:pPr>
      <w:r w:rsidRPr="006918E4">
        <w:rPr>
          <w:rStyle w:val="FootnoteReference"/>
          <w:rFonts w:ascii="Arial Narrow" w:hAnsi="Arial Narrow"/>
        </w:rPr>
        <w:footnoteRef/>
      </w:r>
      <w:r w:rsidRPr="006918E4">
        <w:rPr>
          <w:rFonts w:ascii="Arial Narrow" w:hAnsi="Arial Narrow"/>
        </w:rPr>
        <w:t xml:space="preserve"> 9</w:t>
      </w:r>
      <w:r w:rsidRPr="006918E4">
        <w:rPr>
          <w:rFonts w:ascii="Arial Narrow" w:hAnsi="Arial Narrow"/>
          <w:vertAlign w:val="superscript"/>
        </w:rPr>
        <w:t>th</w:t>
      </w:r>
      <w:r w:rsidRPr="006918E4">
        <w:rPr>
          <w:rFonts w:ascii="Arial Narrow" w:hAnsi="Arial Narrow"/>
        </w:rPr>
        <w:t xml:space="preserve"> </w:t>
      </w:r>
      <w:proofErr w:type="spellStart"/>
      <w:proofErr w:type="gramStart"/>
      <w:r w:rsidRPr="006918E4">
        <w:rPr>
          <w:rFonts w:ascii="Arial Narrow" w:hAnsi="Arial Narrow"/>
        </w:rPr>
        <w:t>ed</w:t>
      </w:r>
      <w:proofErr w:type="spellEnd"/>
      <w:proofErr w:type="gramEnd"/>
      <w:r w:rsidRPr="006918E4">
        <w:rPr>
          <w:rFonts w:ascii="Arial Narrow" w:hAnsi="Arial Narrow"/>
        </w:rPr>
        <w:t xml:space="preserve"> at 833</w:t>
      </w:r>
      <w:r w:rsidR="00F672DB">
        <w:rPr>
          <w:rFonts w:ascii="Arial Narrow" w:hAnsi="Arial Narrow"/>
        </w:rPr>
        <w:t>.</w:t>
      </w:r>
    </w:p>
  </w:footnote>
  <w:footnote w:id="7">
    <w:p w:rsidR="00301868" w:rsidRPr="006918E4" w:rsidRDefault="00301868" w:rsidP="00301868">
      <w:pPr>
        <w:pStyle w:val="FootnoteText"/>
        <w:rPr>
          <w:rFonts w:ascii="Arial Narrow" w:hAnsi="Arial Narrow"/>
        </w:rPr>
      </w:pPr>
      <w:r w:rsidRPr="006918E4">
        <w:rPr>
          <w:rStyle w:val="FootnoteReference"/>
          <w:rFonts w:ascii="Arial Narrow" w:hAnsi="Arial Narrow"/>
        </w:rPr>
        <w:footnoteRef/>
      </w:r>
      <w:r w:rsidRPr="006918E4">
        <w:rPr>
          <w:rFonts w:ascii="Arial Narrow" w:hAnsi="Arial Narrow"/>
        </w:rPr>
        <w:t xml:space="preserve"> </w:t>
      </w:r>
      <w:r w:rsidRPr="006918E4">
        <w:rPr>
          <w:rFonts w:ascii="Arial Narrow" w:hAnsi="Arial Narrow" w:cs="Arial"/>
          <w:snapToGrid w:val="0"/>
        </w:rPr>
        <w:t>(144/09) [2010] ZASCA 19 (19 March</w:t>
      </w:r>
      <w:r w:rsidR="00F672DB" w:rsidRPr="006918E4">
        <w:rPr>
          <w:rFonts w:ascii="Arial Narrow" w:hAnsi="Arial Narrow" w:cs="Arial"/>
          <w:snapToGrid w:val="0"/>
        </w:rPr>
        <w:t> 2010</w:t>
      </w:r>
      <w:r w:rsidRPr="006918E4">
        <w:rPr>
          <w:rFonts w:ascii="Arial Narrow" w:hAnsi="Arial Narrow" w:cs="Arial"/>
          <w:snapToGrid w:val="0"/>
        </w:rPr>
        <w:t>)</w:t>
      </w:r>
      <w:r w:rsidR="00F672DB">
        <w:rPr>
          <w:rFonts w:ascii="Arial Narrow" w:hAnsi="Arial Narrow" w:cs="Arial"/>
          <w:snapToGrid w:val="0"/>
        </w:rPr>
        <w:t>.</w:t>
      </w:r>
    </w:p>
  </w:footnote>
  <w:footnote w:id="8">
    <w:p w:rsidR="00301868" w:rsidRPr="006918E4" w:rsidRDefault="00301868" w:rsidP="00301868">
      <w:pPr>
        <w:pStyle w:val="FootnoteText"/>
        <w:jc w:val="both"/>
        <w:rPr>
          <w:rFonts w:ascii="Arial Narrow" w:eastAsiaTheme="minorEastAsia" w:hAnsi="Arial Narrow"/>
          <w:lang w:eastAsia="en-ZA"/>
        </w:rPr>
      </w:pPr>
      <w:r w:rsidRPr="006918E4">
        <w:rPr>
          <w:rStyle w:val="FootnoteReference"/>
          <w:rFonts w:ascii="Arial Narrow" w:hAnsi="Arial Narrow"/>
        </w:rPr>
        <w:footnoteRef/>
      </w:r>
      <w:r w:rsidR="00F57DC9">
        <w:rPr>
          <w:rFonts w:ascii="Arial Narrow" w:eastAsiaTheme="minorEastAsia" w:hAnsi="Arial Narrow"/>
          <w:lang w:eastAsia="en-ZA"/>
        </w:rPr>
        <w:t xml:space="preserve"> Paras 18-23</w:t>
      </w:r>
      <w:r w:rsidRPr="006918E4">
        <w:rPr>
          <w:rFonts w:ascii="Arial Narrow" w:eastAsiaTheme="minorEastAsia" w:hAnsi="Arial Narrow"/>
          <w:lang w:eastAsia="en-ZA"/>
        </w:rPr>
        <w:t xml:space="preserve">. </w:t>
      </w:r>
      <w:proofErr w:type="spellStart"/>
      <w:r w:rsidRPr="006918E4">
        <w:rPr>
          <w:rFonts w:ascii="Arial Narrow" w:eastAsiaTheme="minorEastAsia" w:hAnsi="Arial Narrow"/>
          <w:lang w:eastAsia="en-ZA"/>
        </w:rPr>
        <w:t>Cf</w:t>
      </w:r>
      <w:proofErr w:type="spellEnd"/>
      <w:r w:rsidRPr="006918E4">
        <w:rPr>
          <w:rFonts w:ascii="Arial Narrow" w:eastAsiaTheme="minorEastAsia" w:hAnsi="Arial Narrow"/>
          <w:lang w:eastAsia="en-ZA"/>
        </w:rPr>
        <w:t xml:space="preserve"> </w:t>
      </w:r>
      <w:proofErr w:type="spellStart"/>
      <w:r w:rsidRPr="006918E4">
        <w:rPr>
          <w:rFonts w:ascii="Arial Narrow" w:eastAsiaTheme="minorEastAsia" w:hAnsi="Arial Narrow"/>
          <w:i/>
          <w:lang w:eastAsia="en-ZA"/>
        </w:rPr>
        <w:t>Santam</w:t>
      </w:r>
      <w:proofErr w:type="spellEnd"/>
      <w:r w:rsidRPr="006918E4">
        <w:rPr>
          <w:rFonts w:ascii="Arial Narrow" w:eastAsiaTheme="minorEastAsia" w:hAnsi="Arial Narrow"/>
          <w:i/>
          <w:lang w:eastAsia="en-ZA"/>
        </w:rPr>
        <w:t xml:space="preserve"> Ltd v </w:t>
      </w:r>
      <w:proofErr w:type="spellStart"/>
      <w:r w:rsidRPr="006918E4">
        <w:rPr>
          <w:rFonts w:ascii="Arial Narrow" w:eastAsiaTheme="minorEastAsia" w:hAnsi="Arial Narrow"/>
          <w:i/>
          <w:lang w:eastAsia="en-ZA"/>
        </w:rPr>
        <w:t>Ethwar</w:t>
      </w:r>
      <w:proofErr w:type="spellEnd"/>
      <w:r w:rsidRPr="006918E4">
        <w:rPr>
          <w:rFonts w:ascii="Arial Narrow" w:eastAsiaTheme="minorEastAsia" w:hAnsi="Arial Narrow"/>
          <w:lang w:eastAsia="en-ZA"/>
        </w:rPr>
        <w:t xml:space="preserve"> 1999 (2) SA 244 (SCA) at 253B-D.</w:t>
      </w:r>
    </w:p>
  </w:footnote>
  <w:footnote w:id="9">
    <w:p w:rsidR="00301868" w:rsidRPr="006918E4" w:rsidRDefault="00301868" w:rsidP="00301868">
      <w:pPr>
        <w:pStyle w:val="FootnoteText"/>
        <w:rPr>
          <w:rFonts w:ascii="Arial Narrow" w:hAnsi="Arial Narrow"/>
        </w:rPr>
      </w:pPr>
      <w:r w:rsidRPr="006918E4">
        <w:rPr>
          <w:rStyle w:val="FootnoteReference"/>
          <w:rFonts w:ascii="Arial Narrow" w:hAnsi="Arial Narrow"/>
        </w:rPr>
        <w:footnoteRef/>
      </w:r>
      <w:r w:rsidRPr="006918E4">
        <w:rPr>
          <w:rFonts w:ascii="Arial Narrow" w:hAnsi="Arial Narrow"/>
        </w:rPr>
        <w:t xml:space="preserve"> Also see </w:t>
      </w:r>
      <w:r w:rsidRPr="006918E4">
        <w:rPr>
          <w:rFonts w:ascii="Arial Narrow" w:hAnsi="Arial Narrow"/>
          <w:bCs/>
          <w:color w:val="000000"/>
          <w:shd w:val="clear" w:color="auto" w:fill="FFFFFF"/>
        </w:rPr>
        <w:t>Erasmus </w:t>
      </w:r>
      <w:r w:rsidRPr="006918E4">
        <w:rPr>
          <w:rFonts w:ascii="Arial Narrow" w:hAnsi="Arial Narrow"/>
          <w:bCs/>
          <w:i/>
          <w:iCs/>
          <w:color w:val="000000"/>
          <w:shd w:val="clear" w:color="auto" w:fill="FFFFFF"/>
        </w:rPr>
        <w:t xml:space="preserve">op </w:t>
      </w:r>
      <w:proofErr w:type="spellStart"/>
      <w:r w:rsidRPr="006918E4">
        <w:rPr>
          <w:rFonts w:ascii="Arial Narrow" w:hAnsi="Arial Narrow"/>
          <w:bCs/>
          <w:i/>
          <w:iCs/>
          <w:color w:val="000000"/>
          <w:shd w:val="clear" w:color="auto" w:fill="FFFFFF"/>
        </w:rPr>
        <w:t>cit</w:t>
      </w:r>
      <w:proofErr w:type="spellEnd"/>
      <w:r w:rsidRPr="006918E4">
        <w:rPr>
          <w:rFonts w:ascii="Arial Narrow" w:hAnsi="Arial Narrow"/>
          <w:bCs/>
          <w:i/>
          <w:iCs/>
          <w:color w:val="000000"/>
          <w:shd w:val="clear" w:color="auto" w:fill="FFFFFF"/>
        </w:rPr>
        <w:t> </w:t>
      </w:r>
      <w:r w:rsidRPr="006918E4">
        <w:rPr>
          <w:rFonts w:ascii="Arial Narrow" w:hAnsi="Arial Narrow"/>
          <w:bCs/>
          <w:color w:val="000000"/>
          <w:shd w:val="clear" w:color="auto" w:fill="FFFFFF"/>
        </w:rPr>
        <w:t>at B1-213</w:t>
      </w:r>
      <w:r w:rsidR="006C12FA">
        <w:rPr>
          <w:rFonts w:ascii="Arial Narrow" w:hAnsi="Arial Narrow"/>
          <w:bCs/>
          <w:color w:val="000000"/>
          <w:shd w:val="clear" w:color="auto" w:fill="FFFFFF"/>
        </w:rPr>
        <w:t>.</w:t>
      </w:r>
    </w:p>
  </w:footnote>
  <w:footnote w:id="10">
    <w:p w:rsidR="00301868" w:rsidRPr="006918E4" w:rsidRDefault="00301868" w:rsidP="00301868">
      <w:pPr>
        <w:pStyle w:val="FootnoteText"/>
        <w:jc w:val="both"/>
        <w:rPr>
          <w:rFonts w:ascii="Arial Narrow" w:hAnsi="Arial Narrow"/>
        </w:rPr>
      </w:pPr>
      <w:r w:rsidRPr="006918E4">
        <w:rPr>
          <w:rStyle w:val="FootnoteReference"/>
          <w:rFonts w:ascii="Arial Narrow" w:hAnsi="Arial Narrow"/>
        </w:rPr>
        <w:footnoteRef/>
      </w:r>
      <w:r w:rsidRPr="006918E4">
        <w:rPr>
          <w:rFonts w:ascii="Arial Narrow" w:hAnsi="Arial Narrow"/>
        </w:rPr>
        <w:t xml:space="preserve"> Supra at footnote 8 at 526. </w:t>
      </w:r>
      <w:r w:rsidRPr="006918E4">
        <w:rPr>
          <w:rFonts w:ascii="Arial Narrow" w:eastAsiaTheme="minorEastAsia" w:hAnsi="Arial Narrow"/>
          <w:lang w:eastAsia="en-ZA"/>
        </w:rPr>
        <w:t xml:space="preserve">This approach has been followed consistently:  </w:t>
      </w:r>
      <w:proofErr w:type="spellStart"/>
      <w:r w:rsidRPr="006918E4">
        <w:rPr>
          <w:rFonts w:ascii="Arial Narrow" w:eastAsiaTheme="minorEastAsia" w:hAnsi="Arial Narrow"/>
          <w:i/>
          <w:lang w:eastAsia="en-ZA"/>
        </w:rPr>
        <w:t>Dumah</w:t>
      </w:r>
      <w:proofErr w:type="spellEnd"/>
      <w:r w:rsidRPr="006918E4">
        <w:rPr>
          <w:rFonts w:ascii="Arial Narrow" w:eastAsiaTheme="minorEastAsia" w:hAnsi="Arial Narrow"/>
          <w:i/>
          <w:lang w:eastAsia="en-ZA"/>
        </w:rPr>
        <w:t xml:space="preserve"> v </w:t>
      </w:r>
      <w:proofErr w:type="spellStart"/>
      <w:r w:rsidRPr="006918E4">
        <w:rPr>
          <w:rFonts w:ascii="Arial Narrow" w:eastAsiaTheme="minorEastAsia" w:hAnsi="Arial Narrow"/>
          <w:i/>
          <w:lang w:eastAsia="en-ZA"/>
        </w:rPr>
        <w:t>KlerksdorpTown</w:t>
      </w:r>
      <w:proofErr w:type="spellEnd"/>
      <w:r w:rsidRPr="006918E4">
        <w:rPr>
          <w:rFonts w:ascii="Arial Narrow" w:eastAsiaTheme="minorEastAsia" w:hAnsi="Arial Narrow"/>
          <w:i/>
          <w:lang w:eastAsia="en-ZA"/>
        </w:rPr>
        <w:t xml:space="preserve"> Council </w:t>
      </w:r>
      <w:r w:rsidRPr="006918E4">
        <w:rPr>
          <w:rFonts w:ascii="Arial Narrow" w:eastAsiaTheme="minorEastAsia" w:hAnsi="Arial Narrow"/>
          <w:lang w:eastAsia="en-ZA"/>
        </w:rPr>
        <w:t xml:space="preserve">1951 (4) SA 519 (T) where Price J said at 521G-H: ‘It was common cause between counsel that until these costs had been taxed, set off could not operate. It is unnecessary to quote authority for this proposition. There is no lack of such authority.’ Further </w:t>
      </w:r>
      <w:proofErr w:type="spellStart"/>
      <w:r w:rsidRPr="006918E4">
        <w:rPr>
          <w:rFonts w:ascii="Arial Narrow" w:eastAsiaTheme="minorEastAsia" w:hAnsi="Arial Narrow"/>
          <w:i/>
          <w:lang w:eastAsia="en-ZA"/>
        </w:rPr>
        <w:t>Haine</w:t>
      </w:r>
      <w:proofErr w:type="spellEnd"/>
      <w:r w:rsidRPr="006918E4">
        <w:rPr>
          <w:rFonts w:ascii="Arial Narrow" w:eastAsiaTheme="minorEastAsia" w:hAnsi="Arial Narrow"/>
          <w:i/>
          <w:lang w:eastAsia="en-ZA"/>
        </w:rPr>
        <w:t xml:space="preserve"> v </w:t>
      </w:r>
      <w:proofErr w:type="spellStart"/>
      <w:r w:rsidRPr="006918E4">
        <w:rPr>
          <w:rFonts w:ascii="Arial Narrow" w:eastAsiaTheme="minorEastAsia" w:hAnsi="Arial Narrow"/>
          <w:i/>
          <w:lang w:eastAsia="en-ZA"/>
        </w:rPr>
        <w:t>Podlashuc</w:t>
      </w:r>
      <w:proofErr w:type="spellEnd"/>
      <w:r w:rsidRPr="006918E4">
        <w:rPr>
          <w:rFonts w:ascii="Arial Narrow" w:eastAsiaTheme="minorEastAsia" w:hAnsi="Arial Narrow"/>
          <w:i/>
          <w:lang w:eastAsia="en-ZA"/>
        </w:rPr>
        <w:t xml:space="preserve"> and Nicolson </w:t>
      </w:r>
      <w:r w:rsidRPr="006918E4">
        <w:rPr>
          <w:rFonts w:ascii="Arial Narrow" w:eastAsiaTheme="minorEastAsia" w:hAnsi="Arial Narrow"/>
          <w:lang w:eastAsia="en-ZA"/>
        </w:rPr>
        <w:t xml:space="preserve">1933 AD 104 at 111; </w:t>
      </w:r>
      <w:r w:rsidRPr="006918E4">
        <w:rPr>
          <w:rFonts w:ascii="Arial Narrow" w:eastAsiaTheme="minorEastAsia" w:hAnsi="Arial Narrow"/>
          <w:i/>
          <w:lang w:eastAsia="en-ZA"/>
        </w:rPr>
        <w:t xml:space="preserve">Van </w:t>
      </w:r>
      <w:proofErr w:type="spellStart"/>
      <w:r w:rsidRPr="006918E4">
        <w:rPr>
          <w:rFonts w:ascii="Arial Narrow" w:eastAsiaTheme="minorEastAsia" w:hAnsi="Arial Narrow"/>
          <w:i/>
          <w:lang w:eastAsia="en-ZA"/>
        </w:rPr>
        <w:t>Aswegen</w:t>
      </w:r>
      <w:proofErr w:type="spellEnd"/>
      <w:r w:rsidRPr="006918E4">
        <w:rPr>
          <w:rFonts w:ascii="Arial Narrow" w:eastAsiaTheme="minorEastAsia" w:hAnsi="Arial Narrow"/>
          <w:i/>
          <w:lang w:eastAsia="en-ZA"/>
        </w:rPr>
        <w:t xml:space="preserve"> v </w:t>
      </w:r>
      <w:proofErr w:type="spellStart"/>
      <w:r w:rsidRPr="006918E4">
        <w:rPr>
          <w:rFonts w:ascii="Arial Narrow" w:eastAsiaTheme="minorEastAsia" w:hAnsi="Arial Narrow"/>
          <w:i/>
          <w:lang w:eastAsia="en-ZA"/>
        </w:rPr>
        <w:t>Pienaar</w:t>
      </w:r>
      <w:proofErr w:type="spellEnd"/>
      <w:r w:rsidRPr="006918E4">
        <w:rPr>
          <w:rFonts w:ascii="Arial Narrow" w:eastAsiaTheme="minorEastAsia" w:hAnsi="Arial Narrow"/>
          <w:i/>
          <w:lang w:eastAsia="en-ZA"/>
        </w:rPr>
        <w:t xml:space="preserve"> &amp; </w:t>
      </w:r>
      <w:proofErr w:type="spellStart"/>
      <w:r w:rsidRPr="006918E4">
        <w:rPr>
          <w:rFonts w:ascii="Arial Narrow" w:eastAsiaTheme="minorEastAsia" w:hAnsi="Arial Narrow"/>
          <w:i/>
          <w:lang w:eastAsia="en-ZA"/>
        </w:rPr>
        <w:t>andere</w:t>
      </w:r>
      <w:proofErr w:type="spellEnd"/>
      <w:r w:rsidRPr="006918E4">
        <w:rPr>
          <w:rFonts w:ascii="Arial Narrow" w:eastAsiaTheme="minorEastAsia" w:hAnsi="Arial Narrow"/>
          <w:i/>
          <w:lang w:eastAsia="en-ZA"/>
        </w:rPr>
        <w:t xml:space="preserve">  </w:t>
      </w:r>
      <w:r w:rsidRPr="006918E4">
        <w:rPr>
          <w:rFonts w:ascii="Arial Narrow" w:eastAsiaTheme="minorEastAsia" w:hAnsi="Arial Narrow"/>
          <w:lang w:eastAsia="en-ZA"/>
        </w:rPr>
        <w:t xml:space="preserve"> 1967 (3) SA 677 (O) at 678G-H; </w:t>
      </w:r>
      <w:proofErr w:type="spellStart"/>
      <w:r w:rsidRPr="006918E4">
        <w:rPr>
          <w:rFonts w:ascii="Arial Narrow" w:eastAsiaTheme="minorEastAsia" w:hAnsi="Arial Narrow"/>
          <w:i/>
          <w:lang w:eastAsia="en-ZA"/>
        </w:rPr>
        <w:t>Gramowsky</w:t>
      </w:r>
      <w:proofErr w:type="spellEnd"/>
      <w:r w:rsidRPr="006918E4">
        <w:rPr>
          <w:rFonts w:ascii="Arial Narrow" w:eastAsiaTheme="minorEastAsia" w:hAnsi="Arial Narrow"/>
          <w:i/>
          <w:lang w:eastAsia="en-ZA"/>
        </w:rPr>
        <w:t xml:space="preserve"> v Steyn </w:t>
      </w:r>
      <w:r w:rsidRPr="006918E4">
        <w:rPr>
          <w:rFonts w:ascii="Arial Narrow" w:eastAsiaTheme="minorEastAsia" w:hAnsi="Arial Narrow"/>
          <w:lang w:eastAsia="en-ZA"/>
        </w:rPr>
        <w:t xml:space="preserve">1922 SWA 48 at 55-56; </w:t>
      </w:r>
      <w:r w:rsidRPr="006918E4">
        <w:rPr>
          <w:rFonts w:ascii="Arial Narrow" w:eastAsiaTheme="minorEastAsia" w:hAnsi="Arial Narrow"/>
          <w:i/>
          <w:lang w:eastAsia="en-ZA"/>
        </w:rPr>
        <w:t xml:space="preserve">Baskin &amp; Barnett v Barnard </w:t>
      </w:r>
      <w:r w:rsidRPr="006918E4">
        <w:rPr>
          <w:rFonts w:ascii="Arial Narrow" w:eastAsiaTheme="minorEastAsia" w:hAnsi="Arial Narrow"/>
          <w:lang w:eastAsia="en-ZA"/>
        </w:rPr>
        <w:t xml:space="preserve"> 1928 CPD 58 at 60; </w:t>
      </w:r>
      <w:r w:rsidRPr="006918E4">
        <w:rPr>
          <w:rFonts w:ascii="Arial Narrow" w:eastAsiaTheme="minorEastAsia" w:hAnsi="Arial Narrow"/>
          <w:i/>
          <w:lang w:eastAsia="en-ZA"/>
        </w:rPr>
        <w:t xml:space="preserve">National Bank v Marks &amp; Aaronson </w:t>
      </w:r>
      <w:r w:rsidRPr="006918E4">
        <w:rPr>
          <w:rFonts w:ascii="Arial Narrow" w:eastAsiaTheme="minorEastAsia" w:hAnsi="Arial Narrow"/>
          <w:lang w:eastAsia="en-ZA"/>
        </w:rPr>
        <w:t xml:space="preserve"> 1923 TPD 69 at 71; </w:t>
      </w:r>
      <w:r w:rsidRPr="006918E4">
        <w:rPr>
          <w:rFonts w:ascii="Arial Narrow" w:eastAsiaTheme="minorEastAsia" w:hAnsi="Arial Narrow"/>
          <w:i/>
          <w:lang w:eastAsia="en-ZA"/>
        </w:rPr>
        <w:t xml:space="preserve">Lovell v </w:t>
      </w:r>
      <w:proofErr w:type="spellStart"/>
      <w:r w:rsidRPr="006918E4">
        <w:rPr>
          <w:rFonts w:ascii="Arial Narrow" w:eastAsiaTheme="minorEastAsia" w:hAnsi="Arial Narrow"/>
          <w:i/>
          <w:lang w:eastAsia="en-ZA"/>
        </w:rPr>
        <w:t>Paxinos</w:t>
      </w:r>
      <w:proofErr w:type="spellEnd"/>
      <w:r w:rsidRPr="006918E4">
        <w:rPr>
          <w:rFonts w:ascii="Arial Narrow" w:eastAsiaTheme="minorEastAsia" w:hAnsi="Arial Narrow"/>
          <w:i/>
          <w:lang w:eastAsia="en-ZA"/>
        </w:rPr>
        <w:t xml:space="preserve"> &amp; </w:t>
      </w:r>
      <w:proofErr w:type="spellStart"/>
      <w:r w:rsidRPr="006918E4">
        <w:rPr>
          <w:rFonts w:ascii="Arial Narrow" w:eastAsiaTheme="minorEastAsia" w:hAnsi="Arial Narrow"/>
          <w:i/>
          <w:lang w:eastAsia="en-ZA"/>
        </w:rPr>
        <w:t>Plotkin</w:t>
      </w:r>
      <w:proofErr w:type="spellEnd"/>
      <w:r w:rsidRPr="006918E4">
        <w:rPr>
          <w:rFonts w:ascii="Arial Narrow" w:eastAsiaTheme="minorEastAsia" w:hAnsi="Arial Narrow"/>
          <w:i/>
          <w:lang w:eastAsia="en-ZA"/>
        </w:rPr>
        <w:t xml:space="preserve">; In re Union </w:t>
      </w:r>
      <w:proofErr w:type="spellStart"/>
      <w:r w:rsidRPr="006918E4">
        <w:rPr>
          <w:rFonts w:ascii="Arial Narrow" w:eastAsiaTheme="minorEastAsia" w:hAnsi="Arial Narrow"/>
          <w:i/>
          <w:lang w:eastAsia="en-ZA"/>
        </w:rPr>
        <w:t>Shopfitters</w:t>
      </w:r>
      <w:proofErr w:type="spellEnd"/>
      <w:r w:rsidRPr="006918E4">
        <w:rPr>
          <w:rFonts w:ascii="Arial Narrow" w:eastAsiaTheme="minorEastAsia" w:hAnsi="Arial Narrow"/>
          <w:i/>
          <w:lang w:eastAsia="en-ZA"/>
        </w:rPr>
        <w:t xml:space="preserve"> v Hansen </w:t>
      </w:r>
      <w:r w:rsidRPr="006918E4">
        <w:rPr>
          <w:rFonts w:ascii="Arial Narrow" w:eastAsiaTheme="minorEastAsia" w:hAnsi="Arial Narrow"/>
          <w:lang w:eastAsia="en-ZA"/>
        </w:rPr>
        <w:t xml:space="preserve">1937 WLD 84 at 86; </w:t>
      </w:r>
      <w:proofErr w:type="spellStart"/>
      <w:r w:rsidRPr="006918E4">
        <w:rPr>
          <w:rFonts w:ascii="Arial Narrow" w:eastAsiaTheme="minorEastAsia" w:hAnsi="Arial Narrow"/>
          <w:i/>
          <w:lang w:eastAsia="en-ZA"/>
        </w:rPr>
        <w:t>Wolhuterskop</w:t>
      </w:r>
      <w:proofErr w:type="spellEnd"/>
      <w:r w:rsidRPr="006918E4">
        <w:rPr>
          <w:rFonts w:ascii="Arial Narrow" w:eastAsiaTheme="minorEastAsia" w:hAnsi="Arial Narrow"/>
          <w:i/>
          <w:lang w:eastAsia="en-ZA"/>
        </w:rPr>
        <w:t xml:space="preserve"> </w:t>
      </w:r>
      <w:proofErr w:type="spellStart"/>
      <w:r w:rsidRPr="006918E4">
        <w:rPr>
          <w:rFonts w:ascii="Arial Narrow" w:eastAsiaTheme="minorEastAsia" w:hAnsi="Arial Narrow"/>
          <w:i/>
          <w:lang w:eastAsia="en-ZA"/>
        </w:rPr>
        <w:t>Beleggings</w:t>
      </w:r>
      <w:proofErr w:type="spellEnd"/>
      <w:r w:rsidRPr="006918E4">
        <w:rPr>
          <w:rFonts w:ascii="Arial Narrow" w:eastAsiaTheme="minorEastAsia" w:hAnsi="Arial Narrow"/>
          <w:i/>
          <w:lang w:eastAsia="en-ZA"/>
        </w:rPr>
        <w:t xml:space="preserve"> (</w:t>
      </w:r>
      <w:proofErr w:type="spellStart"/>
      <w:r w:rsidRPr="006918E4">
        <w:rPr>
          <w:rFonts w:ascii="Arial Narrow" w:eastAsiaTheme="minorEastAsia" w:hAnsi="Arial Narrow"/>
          <w:i/>
          <w:lang w:eastAsia="en-ZA"/>
        </w:rPr>
        <w:t>Edms</w:t>
      </w:r>
      <w:proofErr w:type="spellEnd"/>
      <w:r w:rsidRPr="006918E4">
        <w:rPr>
          <w:rFonts w:ascii="Arial Narrow" w:eastAsiaTheme="minorEastAsia" w:hAnsi="Arial Narrow"/>
          <w:i/>
          <w:lang w:eastAsia="en-ZA"/>
        </w:rPr>
        <w:t xml:space="preserve">) </w:t>
      </w:r>
      <w:proofErr w:type="spellStart"/>
      <w:r w:rsidRPr="006918E4">
        <w:rPr>
          <w:rFonts w:ascii="Arial Narrow" w:eastAsiaTheme="minorEastAsia" w:hAnsi="Arial Narrow"/>
          <w:i/>
          <w:lang w:eastAsia="en-ZA"/>
        </w:rPr>
        <w:t>Bpk</w:t>
      </w:r>
      <w:proofErr w:type="spellEnd"/>
      <w:r w:rsidRPr="006918E4">
        <w:rPr>
          <w:rFonts w:ascii="Arial Narrow" w:eastAsiaTheme="minorEastAsia" w:hAnsi="Arial Narrow"/>
          <w:i/>
          <w:lang w:eastAsia="en-ZA"/>
        </w:rPr>
        <w:t xml:space="preserve"> v Bloemfontein Engineering Works (Pty) Ltd </w:t>
      </w:r>
      <w:r w:rsidRPr="006918E4">
        <w:rPr>
          <w:rFonts w:ascii="Arial Narrow" w:eastAsiaTheme="minorEastAsia" w:hAnsi="Arial Narrow"/>
          <w:lang w:eastAsia="en-ZA"/>
        </w:rPr>
        <w:t xml:space="preserve">1965 (2) SA 122 (O) at 123H; </w:t>
      </w:r>
      <w:proofErr w:type="spellStart"/>
      <w:r w:rsidRPr="006918E4">
        <w:rPr>
          <w:rFonts w:ascii="Arial Narrow" w:eastAsiaTheme="minorEastAsia" w:hAnsi="Arial Narrow"/>
          <w:i/>
          <w:lang w:eastAsia="en-ZA"/>
        </w:rPr>
        <w:t>Tredoux</w:t>
      </w:r>
      <w:proofErr w:type="spellEnd"/>
      <w:r w:rsidRPr="006918E4">
        <w:rPr>
          <w:rFonts w:ascii="Arial Narrow" w:eastAsiaTheme="minorEastAsia" w:hAnsi="Arial Narrow"/>
          <w:i/>
          <w:lang w:eastAsia="en-ZA"/>
        </w:rPr>
        <w:t xml:space="preserve"> v Kellerman</w:t>
      </w:r>
      <w:r w:rsidRPr="006918E4">
        <w:rPr>
          <w:rFonts w:ascii="Arial Narrow" w:eastAsiaTheme="minorEastAsia" w:hAnsi="Arial Narrow"/>
          <w:lang w:eastAsia="en-ZA"/>
        </w:rPr>
        <w:t xml:space="preserve"> 2010 (1) SA 160 (C) paras 18-21. See further RH Christie </w:t>
      </w:r>
      <w:r w:rsidRPr="006918E4">
        <w:rPr>
          <w:rFonts w:ascii="Arial Narrow" w:eastAsiaTheme="minorEastAsia" w:hAnsi="Arial Narrow"/>
          <w:i/>
          <w:lang w:eastAsia="en-ZA"/>
        </w:rPr>
        <w:t xml:space="preserve">The Law of Contract in South Africa </w:t>
      </w:r>
      <w:r w:rsidRPr="006918E4">
        <w:rPr>
          <w:rFonts w:ascii="Arial Narrow" w:eastAsiaTheme="minorEastAsia" w:hAnsi="Arial Narrow"/>
          <w:lang w:eastAsia="en-ZA"/>
        </w:rPr>
        <w:t xml:space="preserve">5 </w:t>
      </w:r>
      <w:proofErr w:type="spellStart"/>
      <w:r w:rsidRPr="006918E4">
        <w:rPr>
          <w:rFonts w:ascii="Arial Narrow" w:eastAsiaTheme="minorEastAsia" w:hAnsi="Arial Narrow"/>
          <w:lang w:eastAsia="en-ZA"/>
        </w:rPr>
        <w:t>ed</w:t>
      </w:r>
      <w:proofErr w:type="spellEnd"/>
      <w:r w:rsidRPr="006918E4">
        <w:rPr>
          <w:rFonts w:ascii="Arial Narrow" w:eastAsiaTheme="minorEastAsia" w:hAnsi="Arial Narrow"/>
          <w:lang w:eastAsia="en-ZA"/>
        </w:rPr>
        <w:t xml:space="preserve"> 478; M Jacobs, N E J Ehlers </w:t>
      </w:r>
      <w:r w:rsidRPr="006918E4">
        <w:rPr>
          <w:rFonts w:ascii="Arial Narrow" w:eastAsiaTheme="minorEastAsia" w:hAnsi="Arial Narrow"/>
          <w:i/>
          <w:lang w:eastAsia="en-ZA"/>
        </w:rPr>
        <w:t>Law of Attorneys’ Costs and Taxation Thereof</w:t>
      </w:r>
      <w:r w:rsidRPr="006918E4">
        <w:rPr>
          <w:rFonts w:ascii="Arial Narrow" w:eastAsiaTheme="minorEastAsia" w:hAnsi="Arial Narrow"/>
          <w:lang w:eastAsia="en-ZA"/>
        </w:rPr>
        <w:t xml:space="preserve"> (1979) p 29; H J Erasmus </w:t>
      </w:r>
      <w:r w:rsidRPr="006918E4">
        <w:rPr>
          <w:rFonts w:ascii="Arial Narrow" w:eastAsiaTheme="minorEastAsia" w:hAnsi="Arial Narrow"/>
          <w:i/>
          <w:lang w:eastAsia="en-ZA"/>
        </w:rPr>
        <w:t xml:space="preserve">Superior Court Practice </w:t>
      </w:r>
      <w:r w:rsidRPr="006918E4">
        <w:rPr>
          <w:rFonts w:ascii="Arial Narrow" w:eastAsiaTheme="minorEastAsia" w:hAnsi="Arial Narrow"/>
          <w:lang w:eastAsia="en-ZA"/>
        </w:rPr>
        <w:t xml:space="preserve">p B1-213 n 4; E A L Lewis </w:t>
      </w:r>
      <w:r w:rsidRPr="006918E4">
        <w:rPr>
          <w:rFonts w:ascii="Arial Narrow" w:eastAsiaTheme="minorEastAsia" w:hAnsi="Arial Narrow"/>
          <w:i/>
          <w:lang w:eastAsia="en-ZA"/>
        </w:rPr>
        <w:t>Legal Ethics</w:t>
      </w:r>
      <w:r w:rsidRPr="006918E4">
        <w:rPr>
          <w:rFonts w:ascii="Arial Narrow" w:eastAsiaTheme="minorEastAsia" w:hAnsi="Arial Narrow"/>
          <w:lang w:eastAsia="en-ZA"/>
        </w:rPr>
        <w:t xml:space="preserve"> p 276; D H Sampson </w:t>
      </w:r>
      <w:r w:rsidRPr="006918E4">
        <w:rPr>
          <w:rFonts w:ascii="Arial Narrow" w:eastAsiaTheme="minorEastAsia" w:hAnsi="Arial Narrow"/>
          <w:i/>
          <w:lang w:eastAsia="en-ZA"/>
        </w:rPr>
        <w:t xml:space="preserve">Randell and </w:t>
      </w:r>
      <w:proofErr w:type="spellStart"/>
      <w:r w:rsidRPr="006918E4">
        <w:rPr>
          <w:rFonts w:ascii="Arial Narrow" w:eastAsiaTheme="minorEastAsia" w:hAnsi="Arial Narrow"/>
          <w:i/>
          <w:lang w:eastAsia="en-ZA"/>
        </w:rPr>
        <w:t>Bax</w:t>
      </w:r>
      <w:proofErr w:type="spellEnd"/>
      <w:r w:rsidRPr="006918E4">
        <w:rPr>
          <w:rFonts w:ascii="Arial Narrow" w:eastAsiaTheme="minorEastAsia" w:hAnsi="Arial Narrow"/>
          <w:i/>
          <w:lang w:eastAsia="en-ZA"/>
        </w:rPr>
        <w:t xml:space="preserve"> The South African Attorneys Handbook </w:t>
      </w:r>
      <w:r w:rsidRPr="006918E4">
        <w:rPr>
          <w:rFonts w:ascii="Arial Narrow" w:eastAsiaTheme="minorEastAsia" w:hAnsi="Arial Narrow"/>
          <w:lang w:eastAsia="en-ZA"/>
        </w:rPr>
        <w:t xml:space="preserve">3 </w:t>
      </w:r>
      <w:proofErr w:type="spellStart"/>
      <w:r w:rsidRPr="006918E4">
        <w:rPr>
          <w:rFonts w:ascii="Arial Narrow" w:eastAsiaTheme="minorEastAsia" w:hAnsi="Arial Narrow"/>
          <w:lang w:eastAsia="en-ZA"/>
        </w:rPr>
        <w:t>ed</w:t>
      </w:r>
      <w:proofErr w:type="spellEnd"/>
      <w:r w:rsidRPr="006918E4">
        <w:rPr>
          <w:rFonts w:ascii="Arial Narrow" w:eastAsiaTheme="minorEastAsia" w:hAnsi="Arial Narrow"/>
          <w:lang w:eastAsia="en-ZA"/>
        </w:rPr>
        <w:t xml:space="preserve"> (1983) p 159. The only authority to the contrary is J C de Wet and A H van </w:t>
      </w:r>
      <w:proofErr w:type="spellStart"/>
      <w:r w:rsidRPr="006918E4">
        <w:rPr>
          <w:rFonts w:ascii="Arial Narrow" w:eastAsiaTheme="minorEastAsia" w:hAnsi="Arial Narrow"/>
          <w:lang w:eastAsia="en-ZA"/>
        </w:rPr>
        <w:t>Wyk</w:t>
      </w:r>
      <w:proofErr w:type="spellEnd"/>
      <w:r w:rsidRPr="006918E4">
        <w:rPr>
          <w:rFonts w:ascii="Arial Narrow" w:eastAsiaTheme="minorEastAsia" w:hAnsi="Arial Narrow"/>
          <w:lang w:eastAsia="en-ZA"/>
        </w:rPr>
        <w:t xml:space="preserve"> </w:t>
      </w:r>
      <w:proofErr w:type="spellStart"/>
      <w:r w:rsidRPr="006918E4">
        <w:rPr>
          <w:rFonts w:ascii="Arial Narrow" w:eastAsiaTheme="minorEastAsia" w:hAnsi="Arial Narrow"/>
          <w:i/>
          <w:lang w:eastAsia="en-ZA"/>
        </w:rPr>
        <w:t>Wyk</w:t>
      </w:r>
      <w:proofErr w:type="spellEnd"/>
      <w:r w:rsidRPr="006918E4">
        <w:rPr>
          <w:rFonts w:ascii="Arial Narrow" w:eastAsiaTheme="minorEastAsia" w:hAnsi="Arial Narrow"/>
          <w:i/>
          <w:lang w:eastAsia="en-ZA"/>
        </w:rPr>
        <w:t xml:space="preserve"> Die </w:t>
      </w:r>
      <w:proofErr w:type="spellStart"/>
      <w:r w:rsidRPr="006918E4">
        <w:rPr>
          <w:rFonts w:ascii="Arial Narrow" w:eastAsiaTheme="minorEastAsia" w:hAnsi="Arial Narrow"/>
          <w:i/>
          <w:lang w:eastAsia="en-ZA"/>
        </w:rPr>
        <w:t>Suid-Afrikaanse</w:t>
      </w:r>
      <w:proofErr w:type="spellEnd"/>
      <w:r w:rsidRPr="006918E4">
        <w:rPr>
          <w:rFonts w:ascii="Arial Narrow" w:eastAsiaTheme="minorEastAsia" w:hAnsi="Arial Narrow"/>
          <w:i/>
          <w:lang w:eastAsia="en-ZA"/>
        </w:rPr>
        <w:t xml:space="preserve"> </w:t>
      </w:r>
      <w:proofErr w:type="spellStart"/>
      <w:r w:rsidRPr="006918E4">
        <w:rPr>
          <w:rFonts w:ascii="Arial Narrow" w:eastAsiaTheme="minorEastAsia" w:hAnsi="Arial Narrow"/>
          <w:i/>
          <w:lang w:eastAsia="en-ZA"/>
        </w:rPr>
        <w:t>Kontraktereg</w:t>
      </w:r>
      <w:proofErr w:type="spellEnd"/>
      <w:r w:rsidRPr="006918E4">
        <w:rPr>
          <w:rFonts w:ascii="Arial Narrow" w:eastAsiaTheme="minorEastAsia" w:hAnsi="Arial Narrow"/>
          <w:i/>
          <w:lang w:eastAsia="en-ZA"/>
        </w:rPr>
        <w:t xml:space="preserve"> </w:t>
      </w:r>
      <w:proofErr w:type="spellStart"/>
      <w:r w:rsidRPr="006918E4">
        <w:rPr>
          <w:rFonts w:ascii="Arial Narrow" w:eastAsiaTheme="minorEastAsia" w:hAnsi="Arial Narrow"/>
          <w:i/>
          <w:lang w:eastAsia="en-ZA"/>
        </w:rPr>
        <w:t>en</w:t>
      </w:r>
      <w:proofErr w:type="spellEnd"/>
      <w:r w:rsidRPr="006918E4">
        <w:rPr>
          <w:rFonts w:ascii="Arial Narrow" w:eastAsiaTheme="minorEastAsia" w:hAnsi="Arial Narrow"/>
          <w:i/>
          <w:lang w:eastAsia="en-ZA"/>
        </w:rPr>
        <w:t xml:space="preserve"> </w:t>
      </w:r>
      <w:proofErr w:type="spellStart"/>
      <w:r w:rsidRPr="006918E4">
        <w:rPr>
          <w:rFonts w:ascii="Arial Narrow" w:eastAsiaTheme="minorEastAsia" w:hAnsi="Arial Narrow"/>
          <w:i/>
          <w:lang w:eastAsia="en-ZA"/>
        </w:rPr>
        <w:t>Handelsreg</w:t>
      </w:r>
      <w:proofErr w:type="spellEnd"/>
      <w:r w:rsidRPr="006918E4">
        <w:rPr>
          <w:rFonts w:ascii="Arial Narrow" w:eastAsiaTheme="minorEastAsia" w:hAnsi="Arial Narrow"/>
          <w:i/>
          <w:lang w:eastAsia="en-ZA"/>
        </w:rPr>
        <w:t xml:space="preserve"> </w:t>
      </w:r>
      <w:r w:rsidRPr="006918E4">
        <w:rPr>
          <w:rFonts w:ascii="Arial Narrow" w:eastAsiaTheme="minorEastAsia" w:hAnsi="Arial Narrow"/>
          <w:lang w:eastAsia="en-ZA"/>
        </w:rPr>
        <w:t xml:space="preserve">5 </w:t>
      </w:r>
      <w:proofErr w:type="spellStart"/>
      <w:r w:rsidRPr="006918E4">
        <w:rPr>
          <w:rFonts w:ascii="Arial Narrow" w:eastAsiaTheme="minorEastAsia" w:hAnsi="Arial Narrow"/>
          <w:lang w:eastAsia="en-ZA"/>
        </w:rPr>
        <w:t>ed</w:t>
      </w:r>
      <w:proofErr w:type="spellEnd"/>
      <w:r w:rsidRPr="006918E4">
        <w:rPr>
          <w:rFonts w:ascii="Arial Narrow" w:eastAsiaTheme="minorEastAsia" w:hAnsi="Arial Narrow"/>
          <w:lang w:eastAsia="en-ZA"/>
        </w:rPr>
        <w:t xml:space="preserve"> (1992) p 279 n 148 who remark with reference to some of the above cases that it seems ‘tog of </w:t>
      </w:r>
      <w:proofErr w:type="spellStart"/>
      <w:r w:rsidRPr="006918E4">
        <w:rPr>
          <w:rFonts w:ascii="Arial Narrow" w:eastAsiaTheme="minorEastAsia" w:hAnsi="Arial Narrow"/>
          <w:lang w:eastAsia="en-ZA"/>
        </w:rPr>
        <w:t>koste</w:t>
      </w:r>
      <w:proofErr w:type="spellEnd"/>
      <w:r w:rsidRPr="006918E4">
        <w:rPr>
          <w:rFonts w:ascii="Arial Narrow" w:eastAsiaTheme="minorEastAsia" w:hAnsi="Arial Narrow"/>
          <w:lang w:eastAsia="en-ZA"/>
        </w:rPr>
        <w:t xml:space="preserve"> </w:t>
      </w:r>
      <w:proofErr w:type="spellStart"/>
      <w:r w:rsidRPr="006918E4">
        <w:rPr>
          <w:rFonts w:ascii="Arial Narrow" w:eastAsiaTheme="minorEastAsia" w:hAnsi="Arial Narrow"/>
          <w:lang w:eastAsia="en-ZA"/>
        </w:rPr>
        <w:t>danig</w:t>
      </w:r>
      <w:proofErr w:type="spellEnd"/>
      <w:r w:rsidRPr="006918E4">
        <w:rPr>
          <w:rFonts w:ascii="Arial Narrow" w:eastAsiaTheme="minorEastAsia" w:hAnsi="Arial Narrow"/>
          <w:lang w:eastAsia="en-ZA"/>
        </w:rPr>
        <w:t xml:space="preserve"> </w:t>
      </w:r>
      <w:proofErr w:type="spellStart"/>
      <w:r w:rsidRPr="006918E4">
        <w:rPr>
          <w:rFonts w:ascii="Arial Narrow" w:eastAsiaTheme="minorEastAsia" w:hAnsi="Arial Narrow"/>
          <w:lang w:eastAsia="en-ZA"/>
        </w:rPr>
        <w:t>gou</w:t>
      </w:r>
      <w:proofErr w:type="spellEnd"/>
      <w:r w:rsidRPr="006918E4">
        <w:rPr>
          <w:rFonts w:ascii="Arial Narrow" w:eastAsiaTheme="minorEastAsia" w:hAnsi="Arial Narrow"/>
          <w:lang w:eastAsia="en-ZA"/>
        </w:rPr>
        <w:t xml:space="preserve"> </w:t>
      </w:r>
      <w:proofErr w:type="spellStart"/>
      <w:r w:rsidRPr="006918E4">
        <w:rPr>
          <w:rFonts w:ascii="Arial Narrow" w:eastAsiaTheme="minorEastAsia" w:hAnsi="Arial Narrow"/>
          <w:lang w:eastAsia="en-ZA"/>
        </w:rPr>
        <w:t>getakseer</w:t>
      </w:r>
      <w:proofErr w:type="spellEnd"/>
      <w:r w:rsidRPr="006918E4">
        <w:rPr>
          <w:rFonts w:ascii="Arial Narrow" w:eastAsiaTheme="minorEastAsia" w:hAnsi="Arial Narrow"/>
          <w:lang w:eastAsia="en-ZA"/>
        </w:rPr>
        <w:t xml:space="preserve"> </w:t>
      </w:r>
      <w:proofErr w:type="spellStart"/>
      <w:r w:rsidRPr="006918E4">
        <w:rPr>
          <w:rFonts w:ascii="Arial Narrow" w:eastAsiaTheme="minorEastAsia" w:hAnsi="Arial Narrow"/>
          <w:lang w:eastAsia="en-ZA"/>
        </w:rPr>
        <w:t>kan</w:t>
      </w:r>
      <w:proofErr w:type="spellEnd"/>
      <w:r w:rsidRPr="006918E4">
        <w:rPr>
          <w:rFonts w:ascii="Arial Narrow" w:eastAsiaTheme="minorEastAsia" w:hAnsi="Arial Narrow"/>
          <w:lang w:eastAsia="en-ZA"/>
        </w:rPr>
        <w:t xml:space="preserve"> word as </w:t>
      </w:r>
      <w:proofErr w:type="spellStart"/>
      <w:r w:rsidRPr="006918E4">
        <w:rPr>
          <w:rFonts w:ascii="Arial Narrow" w:eastAsiaTheme="minorEastAsia" w:hAnsi="Arial Narrow"/>
          <w:lang w:eastAsia="en-ZA"/>
        </w:rPr>
        <w:t>dit</w:t>
      </w:r>
      <w:proofErr w:type="spellEnd"/>
      <w:r w:rsidRPr="006918E4">
        <w:rPr>
          <w:rFonts w:ascii="Arial Narrow" w:eastAsiaTheme="minorEastAsia" w:hAnsi="Arial Narrow"/>
          <w:lang w:eastAsia="en-ZA"/>
        </w:rPr>
        <w:t xml:space="preserve"> </w:t>
      </w:r>
      <w:proofErr w:type="spellStart"/>
      <w:r w:rsidRPr="006918E4">
        <w:rPr>
          <w:rFonts w:ascii="Arial Narrow" w:eastAsiaTheme="minorEastAsia" w:hAnsi="Arial Narrow"/>
          <w:lang w:eastAsia="en-ZA"/>
        </w:rPr>
        <w:t>nodig</w:t>
      </w:r>
      <w:proofErr w:type="spellEnd"/>
      <w:r w:rsidRPr="006918E4">
        <w:rPr>
          <w:rFonts w:ascii="Arial Narrow" w:eastAsiaTheme="minorEastAsia" w:hAnsi="Arial Narrow"/>
          <w:lang w:eastAsia="en-ZA"/>
        </w:rPr>
        <w:t xml:space="preserve"> is</w:t>
      </w:r>
      <w:r w:rsidR="00F57DC9">
        <w:rPr>
          <w:rFonts w:ascii="Arial Narrow" w:eastAsiaTheme="minorEastAsia" w:hAnsi="Arial Narrow"/>
          <w:lang w:eastAsia="en-ZA"/>
        </w:rPr>
        <w:t>.</w:t>
      </w:r>
    </w:p>
  </w:footnote>
  <w:footnote w:id="11">
    <w:p w:rsidR="001C72BC" w:rsidRPr="006918E4" w:rsidRDefault="001C72BC">
      <w:pPr>
        <w:pStyle w:val="FootnoteText"/>
        <w:rPr>
          <w:rFonts w:ascii="Arial Narrow" w:hAnsi="Arial Narrow"/>
          <w:lang w:val="af-ZA"/>
        </w:rPr>
      </w:pPr>
      <w:r w:rsidRPr="006918E4">
        <w:rPr>
          <w:rStyle w:val="FootnoteReference"/>
          <w:rFonts w:ascii="Arial Narrow" w:hAnsi="Arial Narrow"/>
        </w:rPr>
        <w:footnoteRef/>
      </w:r>
      <w:r w:rsidRPr="006918E4">
        <w:rPr>
          <w:rFonts w:ascii="Arial Narrow" w:hAnsi="Arial Narrow"/>
        </w:rPr>
        <w:t xml:space="preserve"> </w:t>
      </w:r>
      <w:r w:rsidRPr="006918E4">
        <w:rPr>
          <w:rFonts w:ascii="Arial Narrow" w:hAnsi="Arial Narrow"/>
          <w:lang w:val="af-ZA"/>
        </w:rPr>
        <w:t>See footnote 7.</w:t>
      </w:r>
    </w:p>
  </w:footnote>
  <w:footnote w:id="12">
    <w:p w:rsidR="00301868" w:rsidRPr="006918E4" w:rsidRDefault="00301868" w:rsidP="00301868">
      <w:pPr>
        <w:pStyle w:val="FootnoteText"/>
        <w:rPr>
          <w:rFonts w:ascii="Arial Narrow" w:hAnsi="Arial Narrow"/>
        </w:rPr>
      </w:pPr>
      <w:r w:rsidRPr="006918E4">
        <w:rPr>
          <w:rStyle w:val="FootnoteReference"/>
          <w:rFonts w:ascii="Arial Narrow" w:hAnsi="Arial Narrow"/>
        </w:rPr>
        <w:footnoteRef/>
      </w:r>
      <w:r w:rsidRPr="006918E4">
        <w:rPr>
          <w:rFonts w:ascii="Arial Narrow" w:hAnsi="Arial Narrow"/>
        </w:rPr>
        <w:t xml:space="preserve"> </w:t>
      </w:r>
      <w:r w:rsidRPr="006918E4">
        <w:rPr>
          <w:rFonts w:ascii="Arial Narrow" w:hAnsi="Arial Narrow" w:cs="Arial"/>
        </w:rPr>
        <w:t>Case NO. I 1762/2011 delivered 5 April 2012</w:t>
      </w:r>
      <w:r w:rsidR="00F57DC9">
        <w:rPr>
          <w:rFonts w:ascii="Arial Narrow" w:hAnsi="Arial Narrow" w:cs="Arial"/>
        </w:rPr>
        <w:t>.</w:t>
      </w:r>
    </w:p>
  </w:footnote>
  <w:footnote w:id="13">
    <w:p w:rsidR="00301868" w:rsidRPr="006918E4" w:rsidRDefault="00301868" w:rsidP="00301868">
      <w:pPr>
        <w:jc w:val="both"/>
        <w:rPr>
          <w:rFonts w:ascii="Arial Narrow" w:hAnsi="Arial Narrow" w:cs="Arial"/>
          <w:bCs/>
          <w:color w:val="000000"/>
          <w:sz w:val="20"/>
          <w:szCs w:val="20"/>
          <w:shd w:val="clear" w:color="auto" w:fill="FFFFFF"/>
        </w:rPr>
      </w:pPr>
      <w:r w:rsidRPr="006918E4">
        <w:rPr>
          <w:rStyle w:val="FootnoteReference"/>
          <w:rFonts w:ascii="Arial Narrow" w:hAnsi="Arial Narrow"/>
          <w:sz w:val="20"/>
          <w:szCs w:val="20"/>
        </w:rPr>
        <w:footnoteRef/>
      </w:r>
      <w:r w:rsidRPr="006918E4">
        <w:rPr>
          <w:rFonts w:ascii="Arial Narrow" w:hAnsi="Arial Narrow"/>
          <w:sz w:val="20"/>
          <w:szCs w:val="20"/>
        </w:rPr>
        <w:t xml:space="preserve"> </w:t>
      </w:r>
      <w:r w:rsidRPr="006918E4">
        <w:rPr>
          <w:rFonts w:ascii="Arial Narrow" w:hAnsi="Arial Narrow" w:cs="Arial"/>
          <w:sz w:val="20"/>
          <w:szCs w:val="20"/>
        </w:rPr>
        <w:t>2014 (3) NR 609 (HC) 626 D –H as follows on pa</w:t>
      </w:r>
      <w:r w:rsidRPr="00F57DC9">
        <w:rPr>
          <w:rFonts w:ascii="Arial Narrow" w:hAnsi="Arial Narrow" w:cs="Arial"/>
          <w:sz w:val="20"/>
          <w:szCs w:val="20"/>
        </w:rPr>
        <w:t>r</w:t>
      </w:r>
      <w:r w:rsidR="006918E4" w:rsidRPr="00F57DC9">
        <w:rPr>
          <w:rFonts w:ascii="Arial Narrow" w:hAnsi="Arial Narrow" w:cs="Arial"/>
          <w:sz w:val="20"/>
          <w:szCs w:val="20"/>
        </w:rPr>
        <w:t>a</w:t>
      </w:r>
      <w:r w:rsidRPr="00F57DC9">
        <w:rPr>
          <w:rFonts w:ascii="Arial Narrow" w:hAnsi="Arial Narrow" w:cs="Arial"/>
          <w:sz w:val="20"/>
          <w:szCs w:val="20"/>
        </w:rPr>
        <w:t xml:space="preserve"> </w:t>
      </w:r>
      <w:r w:rsidRPr="006918E4">
        <w:rPr>
          <w:rFonts w:ascii="Arial Narrow" w:hAnsi="Arial Narrow" w:cs="Arial"/>
          <w:sz w:val="20"/>
          <w:szCs w:val="20"/>
        </w:rPr>
        <w:t>64 and 65</w:t>
      </w:r>
      <w:r w:rsidR="00F57DC9">
        <w:rPr>
          <w:rFonts w:ascii="Arial Narrow" w:hAnsi="Arial Narrow" w:cs="Arial"/>
          <w:sz w:val="20"/>
          <w:szCs w:val="20"/>
        </w:rPr>
        <w:t>.</w:t>
      </w:r>
    </w:p>
    <w:p w:rsidR="00301868" w:rsidRPr="006918E4" w:rsidRDefault="00301868" w:rsidP="00301868">
      <w:pPr>
        <w:pStyle w:val="FootnoteText"/>
        <w:rPr>
          <w:rFonts w:ascii="Arial Narrow" w:hAnsi="Arial Narrow"/>
          <w:lang w:val="af-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180278"/>
      <w:docPartObj>
        <w:docPartGallery w:val="Page Numbers (Top of Page)"/>
        <w:docPartUnique/>
      </w:docPartObj>
    </w:sdtPr>
    <w:sdtEndPr>
      <w:rPr>
        <w:noProof/>
      </w:rPr>
    </w:sdtEndPr>
    <w:sdtContent>
      <w:p w:rsidR="009624CC" w:rsidRDefault="009624CC">
        <w:pPr>
          <w:pStyle w:val="Header"/>
          <w:jc w:val="right"/>
        </w:pPr>
        <w:r>
          <w:fldChar w:fldCharType="begin"/>
        </w:r>
        <w:r>
          <w:instrText xml:space="preserve"> PAGE   \* MERGEFORMAT </w:instrText>
        </w:r>
        <w:r>
          <w:fldChar w:fldCharType="separate"/>
        </w:r>
        <w:r w:rsidR="00445600">
          <w:rPr>
            <w:noProof/>
          </w:rPr>
          <w:t>7</w:t>
        </w:r>
        <w:r>
          <w:rPr>
            <w:noProof/>
          </w:rPr>
          <w:fldChar w:fldCharType="end"/>
        </w:r>
      </w:p>
    </w:sdtContent>
  </w:sdt>
  <w:p w:rsidR="00352B3F" w:rsidRDefault="00352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6DD7"/>
    <w:multiLevelType w:val="hybridMultilevel"/>
    <w:tmpl w:val="D07CA0F0"/>
    <w:lvl w:ilvl="0" w:tplc="523E95B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E195823"/>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B0574A"/>
    <w:multiLevelType w:val="multilevel"/>
    <w:tmpl w:val="FA3C8866"/>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2E7C001C"/>
    <w:multiLevelType w:val="hybridMultilevel"/>
    <w:tmpl w:val="CB203B58"/>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53A4036"/>
    <w:multiLevelType w:val="hybridMultilevel"/>
    <w:tmpl w:val="4E2C810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7207469"/>
    <w:multiLevelType w:val="hybridMultilevel"/>
    <w:tmpl w:val="D78EE574"/>
    <w:lvl w:ilvl="0" w:tplc="E55C92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A952AEB"/>
    <w:multiLevelType w:val="hybridMultilevel"/>
    <w:tmpl w:val="688AD760"/>
    <w:lvl w:ilvl="0" w:tplc="229E730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A207125"/>
    <w:multiLevelType w:val="multilevel"/>
    <w:tmpl w:val="EEA48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B402C4"/>
    <w:multiLevelType w:val="hybridMultilevel"/>
    <w:tmpl w:val="14DCA2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DE75459"/>
    <w:multiLevelType w:val="hybridMultilevel"/>
    <w:tmpl w:val="0FAEE4B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329C6"/>
    <w:multiLevelType w:val="hybridMultilevel"/>
    <w:tmpl w:val="B082E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C06708E"/>
    <w:multiLevelType w:val="hybridMultilevel"/>
    <w:tmpl w:val="18F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33512E"/>
    <w:multiLevelType w:val="hybridMultilevel"/>
    <w:tmpl w:val="1E40EB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D3D6625"/>
    <w:multiLevelType w:val="hybridMultilevel"/>
    <w:tmpl w:val="B6AC5C68"/>
    <w:lvl w:ilvl="0" w:tplc="8C5404E0">
      <w:start w:val="1"/>
      <w:numFmt w:val="lowerLetter"/>
      <w:lvlText w:val="(%1)"/>
      <w:lvlJc w:val="left"/>
      <w:pPr>
        <w:ind w:left="108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8"/>
  </w:num>
  <w:num w:numId="5">
    <w:abstractNumId w:val="1"/>
  </w:num>
  <w:num w:numId="6">
    <w:abstractNumId w:val="9"/>
  </w:num>
  <w:num w:numId="7">
    <w:abstractNumId w:val="7"/>
  </w:num>
  <w:num w:numId="8">
    <w:abstractNumId w:val="10"/>
  </w:num>
  <w:num w:numId="9">
    <w:abstractNumId w:val="3"/>
  </w:num>
  <w:num w:numId="10">
    <w:abstractNumId w:val="4"/>
  </w:num>
  <w:num w:numId="11">
    <w:abstractNumId w:val="2"/>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5"/>
    <w:rsid w:val="00010FE7"/>
    <w:rsid w:val="00012995"/>
    <w:rsid w:val="00013EC0"/>
    <w:rsid w:val="000155A5"/>
    <w:rsid w:val="0002555E"/>
    <w:rsid w:val="000309E0"/>
    <w:rsid w:val="00047285"/>
    <w:rsid w:val="00055FA9"/>
    <w:rsid w:val="00057DE9"/>
    <w:rsid w:val="00070929"/>
    <w:rsid w:val="00082470"/>
    <w:rsid w:val="00084E58"/>
    <w:rsid w:val="000A29F1"/>
    <w:rsid w:val="000A684E"/>
    <w:rsid w:val="000A6CDD"/>
    <w:rsid w:val="000B31F0"/>
    <w:rsid w:val="000D05F2"/>
    <w:rsid w:val="000D2DE9"/>
    <w:rsid w:val="000D3044"/>
    <w:rsid w:val="000D70A9"/>
    <w:rsid w:val="000D7380"/>
    <w:rsid w:val="000E043D"/>
    <w:rsid w:val="000E6395"/>
    <w:rsid w:val="000F3A0D"/>
    <w:rsid w:val="001007FF"/>
    <w:rsid w:val="0010260D"/>
    <w:rsid w:val="00104539"/>
    <w:rsid w:val="001068B9"/>
    <w:rsid w:val="001108CF"/>
    <w:rsid w:val="00120BF5"/>
    <w:rsid w:val="00142231"/>
    <w:rsid w:val="00142BD3"/>
    <w:rsid w:val="00145ADA"/>
    <w:rsid w:val="00165A20"/>
    <w:rsid w:val="0017517E"/>
    <w:rsid w:val="001773C4"/>
    <w:rsid w:val="0018310A"/>
    <w:rsid w:val="00183680"/>
    <w:rsid w:val="0019302E"/>
    <w:rsid w:val="001A494F"/>
    <w:rsid w:val="001B15C5"/>
    <w:rsid w:val="001B19AC"/>
    <w:rsid w:val="001B7111"/>
    <w:rsid w:val="001C133C"/>
    <w:rsid w:val="001C72BC"/>
    <w:rsid w:val="001E3672"/>
    <w:rsid w:val="001E4FF0"/>
    <w:rsid w:val="00200A52"/>
    <w:rsid w:val="002044D7"/>
    <w:rsid w:val="00214E94"/>
    <w:rsid w:val="00215D03"/>
    <w:rsid w:val="00226AF8"/>
    <w:rsid w:val="00233466"/>
    <w:rsid w:val="00240526"/>
    <w:rsid w:val="0024206D"/>
    <w:rsid w:val="002510D0"/>
    <w:rsid w:val="002557A7"/>
    <w:rsid w:val="00267D07"/>
    <w:rsid w:val="0027100A"/>
    <w:rsid w:val="00273C50"/>
    <w:rsid w:val="002779F2"/>
    <w:rsid w:val="00277FD7"/>
    <w:rsid w:val="00280ADC"/>
    <w:rsid w:val="00285E54"/>
    <w:rsid w:val="00294FF2"/>
    <w:rsid w:val="002A3123"/>
    <w:rsid w:val="002B3223"/>
    <w:rsid w:val="002B7A85"/>
    <w:rsid w:val="002C06EC"/>
    <w:rsid w:val="002C3B08"/>
    <w:rsid w:val="002C4E37"/>
    <w:rsid w:val="002D2F9E"/>
    <w:rsid w:val="002D78B1"/>
    <w:rsid w:val="00301868"/>
    <w:rsid w:val="00304CD2"/>
    <w:rsid w:val="00311F65"/>
    <w:rsid w:val="00312048"/>
    <w:rsid w:val="00313CD0"/>
    <w:rsid w:val="00321AA9"/>
    <w:rsid w:val="00344481"/>
    <w:rsid w:val="00344819"/>
    <w:rsid w:val="00347D01"/>
    <w:rsid w:val="00352B3F"/>
    <w:rsid w:val="0036605C"/>
    <w:rsid w:val="00371056"/>
    <w:rsid w:val="003813D5"/>
    <w:rsid w:val="003875C3"/>
    <w:rsid w:val="0039037D"/>
    <w:rsid w:val="00390E41"/>
    <w:rsid w:val="00397E40"/>
    <w:rsid w:val="003A5397"/>
    <w:rsid w:val="003B3443"/>
    <w:rsid w:val="003C2051"/>
    <w:rsid w:val="003E0400"/>
    <w:rsid w:val="003E1468"/>
    <w:rsid w:val="003E5C60"/>
    <w:rsid w:val="003E72CC"/>
    <w:rsid w:val="003F40BD"/>
    <w:rsid w:val="003F526F"/>
    <w:rsid w:val="0040115B"/>
    <w:rsid w:val="00404EDF"/>
    <w:rsid w:val="0041481F"/>
    <w:rsid w:val="0041627F"/>
    <w:rsid w:val="00421EFE"/>
    <w:rsid w:val="00422236"/>
    <w:rsid w:val="004262E2"/>
    <w:rsid w:val="00427466"/>
    <w:rsid w:val="0043000E"/>
    <w:rsid w:val="00443598"/>
    <w:rsid w:val="00445600"/>
    <w:rsid w:val="00447408"/>
    <w:rsid w:val="004502D1"/>
    <w:rsid w:val="00454C8A"/>
    <w:rsid w:val="00457763"/>
    <w:rsid w:val="00462BC8"/>
    <w:rsid w:val="00463102"/>
    <w:rsid w:val="004705BA"/>
    <w:rsid w:val="00471607"/>
    <w:rsid w:val="0047342A"/>
    <w:rsid w:val="0047532C"/>
    <w:rsid w:val="00481A5C"/>
    <w:rsid w:val="004879DF"/>
    <w:rsid w:val="00487B40"/>
    <w:rsid w:val="0049404B"/>
    <w:rsid w:val="004A1891"/>
    <w:rsid w:val="004A1EE0"/>
    <w:rsid w:val="004C0404"/>
    <w:rsid w:val="004D7E1C"/>
    <w:rsid w:val="004E3863"/>
    <w:rsid w:val="004E7F24"/>
    <w:rsid w:val="004F05FA"/>
    <w:rsid w:val="004F23DA"/>
    <w:rsid w:val="004F2D2F"/>
    <w:rsid w:val="00543F56"/>
    <w:rsid w:val="005452A0"/>
    <w:rsid w:val="00556F4A"/>
    <w:rsid w:val="0055737E"/>
    <w:rsid w:val="0056075D"/>
    <w:rsid w:val="00566A0E"/>
    <w:rsid w:val="00572D4E"/>
    <w:rsid w:val="005732F3"/>
    <w:rsid w:val="0057469F"/>
    <w:rsid w:val="00576699"/>
    <w:rsid w:val="0057685B"/>
    <w:rsid w:val="0057707B"/>
    <w:rsid w:val="00590640"/>
    <w:rsid w:val="005932AF"/>
    <w:rsid w:val="005946B3"/>
    <w:rsid w:val="005A25A5"/>
    <w:rsid w:val="005A3159"/>
    <w:rsid w:val="005B5CFB"/>
    <w:rsid w:val="005D0740"/>
    <w:rsid w:val="005D1985"/>
    <w:rsid w:val="005D6876"/>
    <w:rsid w:val="005D6F2A"/>
    <w:rsid w:val="005D7122"/>
    <w:rsid w:val="005E1208"/>
    <w:rsid w:val="005E5886"/>
    <w:rsid w:val="005F365C"/>
    <w:rsid w:val="00600394"/>
    <w:rsid w:val="006003C6"/>
    <w:rsid w:val="006061EE"/>
    <w:rsid w:val="00606780"/>
    <w:rsid w:val="00610157"/>
    <w:rsid w:val="006202C8"/>
    <w:rsid w:val="00624EFA"/>
    <w:rsid w:val="00626922"/>
    <w:rsid w:val="00636B8C"/>
    <w:rsid w:val="00641114"/>
    <w:rsid w:val="006449FD"/>
    <w:rsid w:val="0064775D"/>
    <w:rsid w:val="006508F8"/>
    <w:rsid w:val="00651067"/>
    <w:rsid w:val="00651FBF"/>
    <w:rsid w:val="00672826"/>
    <w:rsid w:val="006918E4"/>
    <w:rsid w:val="00691B65"/>
    <w:rsid w:val="006A498E"/>
    <w:rsid w:val="006A4EF2"/>
    <w:rsid w:val="006A782A"/>
    <w:rsid w:val="006C05AC"/>
    <w:rsid w:val="006C12FA"/>
    <w:rsid w:val="006C16F7"/>
    <w:rsid w:val="006C2F1D"/>
    <w:rsid w:val="006C6427"/>
    <w:rsid w:val="006D0903"/>
    <w:rsid w:val="006D0EF4"/>
    <w:rsid w:val="006D5B5A"/>
    <w:rsid w:val="006E44AD"/>
    <w:rsid w:val="006F1344"/>
    <w:rsid w:val="006F3863"/>
    <w:rsid w:val="006F7620"/>
    <w:rsid w:val="00701DE4"/>
    <w:rsid w:val="00706660"/>
    <w:rsid w:val="00706721"/>
    <w:rsid w:val="007145A5"/>
    <w:rsid w:val="007317CD"/>
    <w:rsid w:val="007521D1"/>
    <w:rsid w:val="00752ACC"/>
    <w:rsid w:val="007623CD"/>
    <w:rsid w:val="00775A21"/>
    <w:rsid w:val="007777C3"/>
    <w:rsid w:val="00790373"/>
    <w:rsid w:val="007A140E"/>
    <w:rsid w:val="007A6F9E"/>
    <w:rsid w:val="007A7C33"/>
    <w:rsid w:val="007B551C"/>
    <w:rsid w:val="007C50AC"/>
    <w:rsid w:val="007C5F79"/>
    <w:rsid w:val="007C6151"/>
    <w:rsid w:val="007D2B14"/>
    <w:rsid w:val="007D58A0"/>
    <w:rsid w:val="007F2C89"/>
    <w:rsid w:val="00807B87"/>
    <w:rsid w:val="0081198A"/>
    <w:rsid w:val="00814DD7"/>
    <w:rsid w:val="0082601E"/>
    <w:rsid w:val="008278F9"/>
    <w:rsid w:val="00834111"/>
    <w:rsid w:val="008414A6"/>
    <w:rsid w:val="00845463"/>
    <w:rsid w:val="0086662D"/>
    <w:rsid w:val="00867A56"/>
    <w:rsid w:val="008714DD"/>
    <w:rsid w:val="00871FE0"/>
    <w:rsid w:val="00883A84"/>
    <w:rsid w:val="00883F7D"/>
    <w:rsid w:val="00886E3C"/>
    <w:rsid w:val="0089129E"/>
    <w:rsid w:val="0089511B"/>
    <w:rsid w:val="008A417A"/>
    <w:rsid w:val="008A4A52"/>
    <w:rsid w:val="008B478D"/>
    <w:rsid w:val="008D0F38"/>
    <w:rsid w:val="008D563B"/>
    <w:rsid w:val="008E1E24"/>
    <w:rsid w:val="008F2B2F"/>
    <w:rsid w:val="008F2B9B"/>
    <w:rsid w:val="00910923"/>
    <w:rsid w:val="009114FF"/>
    <w:rsid w:val="00911F3C"/>
    <w:rsid w:val="00913A93"/>
    <w:rsid w:val="00917569"/>
    <w:rsid w:val="0092129C"/>
    <w:rsid w:val="00924891"/>
    <w:rsid w:val="009253D3"/>
    <w:rsid w:val="0093109A"/>
    <w:rsid w:val="00935EAE"/>
    <w:rsid w:val="00944A7A"/>
    <w:rsid w:val="00944D2F"/>
    <w:rsid w:val="00947052"/>
    <w:rsid w:val="009615E3"/>
    <w:rsid w:val="009624CC"/>
    <w:rsid w:val="00964066"/>
    <w:rsid w:val="00966FC8"/>
    <w:rsid w:val="009709AB"/>
    <w:rsid w:val="0098303D"/>
    <w:rsid w:val="00985685"/>
    <w:rsid w:val="00992E76"/>
    <w:rsid w:val="009B0DBB"/>
    <w:rsid w:val="009B10A0"/>
    <w:rsid w:val="009B657F"/>
    <w:rsid w:val="009C3892"/>
    <w:rsid w:val="009C7405"/>
    <w:rsid w:val="009D34D8"/>
    <w:rsid w:val="009D499A"/>
    <w:rsid w:val="009E1C5A"/>
    <w:rsid w:val="009E4890"/>
    <w:rsid w:val="009F3726"/>
    <w:rsid w:val="009F78A6"/>
    <w:rsid w:val="00A00DF2"/>
    <w:rsid w:val="00A04E29"/>
    <w:rsid w:val="00A106AC"/>
    <w:rsid w:val="00A10933"/>
    <w:rsid w:val="00A11382"/>
    <w:rsid w:val="00A13765"/>
    <w:rsid w:val="00A22F11"/>
    <w:rsid w:val="00A32333"/>
    <w:rsid w:val="00A41D49"/>
    <w:rsid w:val="00A5051A"/>
    <w:rsid w:val="00A63B44"/>
    <w:rsid w:val="00A64DBC"/>
    <w:rsid w:val="00A70BA9"/>
    <w:rsid w:val="00A71F7B"/>
    <w:rsid w:val="00A873AE"/>
    <w:rsid w:val="00A87A20"/>
    <w:rsid w:val="00A9701C"/>
    <w:rsid w:val="00AB2C0C"/>
    <w:rsid w:val="00AC3CFB"/>
    <w:rsid w:val="00AD33D9"/>
    <w:rsid w:val="00AD6118"/>
    <w:rsid w:val="00AE5621"/>
    <w:rsid w:val="00B0366C"/>
    <w:rsid w:val="00B04C63"/>
    <w:rsid w:val="00B05E16"/>
    <w:rsid w:val="00B122D7"/>
    <w:rsid w:val="00B13AF1"/>
    <w:rsid w:val="00B362E7"/>
    <w:rsid w:val="00B50265"/>
    <w:rsid w:val="00B52D39"/>
    <w:rsid w:val="00B550AC"/>
    <w:rsid w:val="00B7506D"/>
    <w:rsid w:val="00B76EB9"/>
    <w:rsid w:val="00B94B61"/>
    <w:rsid w:val="00BA32A0"/>
    <w:rsid w:val="00BA33A1"/>
    <w:rsid w:val="00BA4685"/>
    <w:rsid w:val="00BA57B1"/>
    <w:rsid w:val="00BB19DE"/>
    <w:rsid w:val="00BB206A"/>
    <w:rsid w:val="00BB4ACA"/>
    <w:rsid w:val="00BC2915"/>
    <w:rsid w:val="00BD236B"/>
    <w:rsid w:val="00BD2785"/>
    <w:rsid w:val="00BD4A1A"/>
    <w:rsid w:val="00BD6E77"/>
    <w:rsid w:val="00BE23FC"/>
    <w:rsid w:val="00BE29A1"/>
    <w:rsid w:val="00BE690D"/>
    <w:rsid w:val="00BF3A70"/>
    <w:rsid w:val="00BF3B1E"/>
    <w:rsid w:val="00BF5422"/>
    <w:rsid w:val="00C0102F"/>
    <w:rsid w:val="00C0170E"/>
    <w:rsid w:val="00C03A12"/>
    <w:rsid w:val="00C14459"/>
    <w:rsid w:val="00C17CA0"/>
    <w:rsid w:val="00C21109"/>
    <w:rsid w:val="00C23DA7"/>
    <w:rsid w:val="00C346DC"/>
    <w:rsid w:val="00C5049E"/>
    <w:rsid w:val="00C53811"/>
    <w:rsid w:val="00C63A2E"/>
    <w:rsid w:val="00C63E23"/>
    <w:rsid w:val="00C66311"/>
    <w:rsid w:val="00C675C2"/>
    <w:rsid w:val="00C746A8"/>
    <w:rsid w:val="00C80DEC"/>
    <w:rsid w:val="00C95A42"/>
    <w:rsid w:val="00CB1E13"/>
    <w:rsid w:val="00CB3F10"/>
    <w:rsid w:val="00CD0FD2"/>
    <w:rsid w:val="00CD56F8"/>
    <w:rsid w:val="00CE1797"/>
    <w:rsid w:val="00CE30E4"/>
    <w:rsid w:val="00CE48FA"/>
    <w:rsid w:val="00CE700B"/>
    <w:rsid w:val="00CF18B9"/>
    <w:rsid w:val="00CF4819"/>
    <w:rsid w:val="00CF59DB"/>
    <w:rsid w:val="00CF6596"/>
    <w:rsid w:val="00D010A9"/>
    <w:rsid w:val="00D01890"/>
    <w:rsid w:val="00D044EC"/>
    <w:rsid w:val="00D21579"/>
    <w:rsid w:val="00D25575"/>
    <w:rsid w:val="00D26CB5"/>
    <w:rsid w:val="00D33AAF"/>
    <w:rsid w:val="00D506E0"/>
    <w:rsid w:val="00D61E20"/>
    <w:rsid w:val="00D67EBE"/>
    <w:rsid w:val="00D83684"/>
    <w:rsid w:val="00DA58A6"/>
    <w:rsid w:val="00DC03E6"/>
    <w:rsid w:val="00DD05DC"/>
    <w:rsid w:val="00DF25AB"/>
    <w:rsid w:val="00DF5E1C"/>
    <w:rsid w:val="00DF61FA"/>
    <w:rsid w:val="00E0138B"/>
    <w:rsid w:val="00E018FB"/>
    <w:rsid w:val="00E05FFE"/>
    <w:rsid w:val="00E30CB9"/>
    <w:rsid w:val="00E32A70"/>
    <w:rsid w:val="00E469C9"/>
    <w:rsid w:val="00E51B4A"/>
    <w:rsid w:val="00E60457"/>
    <w:rsid w:val="00E611DA"/>
    <w:rsid w:val="00E7485A"/>
    <w:rsid w:val="00E757E9"/>
    <w:rsid w:val="00E80D91"/>
    <w:rsid w:val="00E85252"/>
    <w:rsid w:val="00E85763"/>
    <w:rsid w:val="00E87AB8"/>
    <w:rsid w:val="00E939DA"/>
    <w:rsid w:val="00E95F86"/>
    <w:rsid w:val="00EA35A4"/>
    <w:rsid w:val="00EA5E0C"/>
    <w:rsid w:val="00EB45C7"/>
    <w:rsid w:val="00EB5767"/>
    <w:rsid w:val="00EC065F"/>
    <w:rsid w:val="00EC0F39"/>
    <w:rsid w:val="00EC5B04"/>
    <w:rsid w:val="00EC6F5D"/>
    <w:rsid w:val="00EE498C"/>
    <w:rsid w:val="00EE5019"/>
    <w:rsid w:val="00EF4D59"/>
    <w:rsid w:val="00EF50AC"/>
    <w:rsid w:val="00F11D94"/>
    <w:rsid w:val="00F2059A"/>
    <w:rsid w:val="00F43D08"/>
    <w:rsid w:val="00F44023"/>
    <w:rsid w:val="00F4464F"/>
    <w:rsid w:val="00F45B3D"/>
    <w:rsid w:val="00F46595"/>
    <w:rsid w:val="00F4753D"/>
    <w:rsid w:val="00F51FE0"/>
    <w:rsid w:val="00F520A5"/>
    <w:rsid w:val="00F55380"/>
    <w:rsid w:val="00F56E9F"/>
    <w:rsid w:val="00F57CD6"/>
    <w:rsid w:val="00F57DC9"/>
    <w:rsid w:val="00F672DB"/>
    <w:rsid w:val="00F77E7C"/>
    <w:rsid w:val="00F82BD6"/>
    <w:rsid w:val="00F93D7A"/>
    <w:rsid w:val="00F95F03"/>
    <w:rsid w:val="00FA0499"/>
    <w:rsid w:val="00FA7352"/>
    <w:rsid w:val="00FB26AF"/>
    <w:rsid w:val="00FC49E4"/>
    <w:rsid w:val="00FD29D0"/>
    <w:rsid w:val="00FD2B6D"/>
    <w:rsid w:val="00FD4687"/>
    <w:rsid w:val="00FD7248"/>
    <w:rsid w:val="00FD78FF"/>
    <w:rsid w:val="00FE1D6F"/>
    <w:rsid w:val="00FE67C8"/>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0007F-EF15-4F47-9DF4-E4688728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CB5"/>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6C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26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B5"/>
    <w:rPr>
      <w:lang w:val="en-ZA"/>
    </w:rPr>
  </w:style>
  <w:style w:type="paragraph" w:styleId="ListParagraph">
    <w:name w:val="List Paragraph"/>
    <w:basedOn w:val="Normal"/>
    <w:uiPriority w:val="34"/>
    <w:qFormat/>
    <w:rsid w:val="00D26CB5"/>
    <w:pPr>
      <w:ind w:left="720"/>
      <w:contextualSpacing/>
    </w:pPr>
  </w:style>
  <w:style w:type="paragraph" w:customStyle="1" w:styleId="form-control-static">
    <w:name w:val="form-control-static"/>
    <w:basedOn w:val="Normal"/>
    <w:rsid w:val="00D26CB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2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CB5"/>
    <w:rPr>
      <w:lang w:val="en-ZA"/>
    </w:rPr>
  </w:style>
  <w:style w:type="paragraph" w:styleId="FootnoteText">
    <w:name w:val="footnote text"/>
    <w:basedOn w:val="Normal"/>
    <w:link w:val="FootnoteTextChar"/>
    <w:uiPriority w:val="99"/>
    <w:unhideWhenUsed/>
    <w:rsid w:val="00D01890"/>
    <w:pPr>
      <w:spacing w:after="0" w:line="240" w:lineRule="auto"/>
    </w:pPr>
    <w:rPr>
      <w:sz w:val="20"/>
      <w:szCs w:val="20"/>
    </w:rPr>
  </w:style>
  <w:style w:type="character" w:customStyle="1" w:styleId="FootnoteTextChar">
    <w:name w:val="Footnote Text Char"/>
    <w:basedOn w:val="DefaultParagraphFont"/>
    <w:link w:val="FootnoteText"/>
    <w:uiPriority w:val="99"/>
    <w:rsid w:val="00D01890"/>
    <w:rPr>
      <w:sz w:val="20"/>
      <w:szCs w:val="20"/>
      <w:lang w:val="en-ZA"/>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D01890"/>
    <w:rPr>
      <w:vertAlign w:val="superscript"/>
    </w:rPr>
  </w:style>
  <w:style w:type="paragraph" w:styleId="BalloonText">
    <w:name w:val="Balloon Text"/>
    <w:basedOn w:val="Normal"/>
    <w:link w:val="BalloonTextChar"/>
    <w:uiPriority w:val="99"/>
    <w:semiHidden/>
    <w:unhideWhenUsed/>
    <w:rsid w:val="00911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4FF"/>
    <w:rPr>
      <w:rFonts w:ascii="Segoe UI" w:hAnsi="Segoe UI" w:cs="Segoe UI"/>
      <w:sz w:val="18"/>
      <w:szCs w:val="18"/>
      <w:lang w:val="en-ZA"/>
    </w:rPr>
  </w:style>
  <w:style w:type="paragraph" w:styleId="BodyText">
    <w:name w:val="Body Text"/>
    <w:basedOn w:val="Normal"/>
    <w:link w:val="BodyTextChar"/>
    <w:uiPriority w:val="99"/>
    <w:unhideWhenUsed/>
    <w:rsid w:val="00BB4ACA"/>
    <w:pPr>
      <w:spacing w:after="120"/>
    </w:pPr>
  </w:style>
  <w:style w:type="character" w:customStyle="1" w:styleId="BodyTextChar">
    <w:name w:val="Body Text Char"/>
    <w:basedOn w:val="DefaultParagraphFont"/>
    <w:link w:val="BodyText"/>
    <w:uiPriority w:val="99"/>
    <w:rsid w:val="00BB4ACA"/>
    <w:rPr>
      <w:lang w:val="en-ZA"/>
    </w:rPr>
  </w:style>
  <w:style w:type="character" w:styleId="Hyperlink">
    <w:name w:val="Hyperlink"/>
    <w:basedOn w:val="DefaultParagraphFont"/>
    <w:uiPriority w:val="99"/>
    <w:semiHidden/>
    <w:unhideWhenUsed/>
    <w:rsid w:val="00301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2020-09-30T18:30:00+00:00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78232-25E0-4940-93AD-16C210353EBF}"/>
</file>

<file path=customXml/itemProps2.xml><?xml version="1.0" encoding="utf-8"?>
<ds:datastoreItem xmlns:ds="http://schemas.openxmlformats.org/officeDocument/2006/customXml" ds:itemID="{4FA638C5-2495-4302-A192-104163B31BA1}"/>
</file>

<file path=customXml/itemProps3.xml><?xml version="1.0" encoding="utf-8"?>
<ds:datastoreItem xmlns:ds="http://schemas.openxmlformats.org/officeDocument/2006/customXml" ds:itemID="{275B0A7A-86CE-4BD1-BD5A-3D2A7670531F}"/>
</file>

<file path=customXml/itemProps4.xml><?xml version="1.0" encoding="utf-8"?>
<ds:datastoreItem xmlns:ds="http://schemas.openxmlformats.org/officeDocument/2006/customXml" ds:itemID="{60EA3D8E-602D-466E-9FAC-F65D2E1D2D56}"/>
</file>

<file path=docProps/app.xml><?xml version="1.0" encoding="utf-8"?>
<Properties xmlns="http://schemas.openxmlformats.org/officeDocument/2006/extended-properties" xmlns:vt="http://schemas.openxmlformats.org/officeDocument/2006/docPropsVTypes">
  <Template>Normal</Template>
  <TotalTime>2</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ishi Shakumu Co Inc. v Nisavic (HC-MD-CIV-ACT-CON-2020-01784) [2020] NAHCMD 450 (1 October 2020)</dc:title>
  <dc:creator>Mbeurora Karamata</dc:creator>
  <cp:lastModifiedBy>Administrator</cp:lastModifiedBy>
  <cp:revision>3</cp:revision>
  <cp:lastPrinted>2020-10-01T13:51:00Z</cp:lastPrinted>
  <dcterms:created xsi:type="dcterms:W3CDTF">2020-10-01T14:06:00Z</dcterms:created>
  <dcterms:modified xsi:type="dcterms:W3CDTF">2020-10-01T14:07:00Z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