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1F" w:rsidRPr="005E4491" w:rsidRDefault="00505D1F" w:rsidP="005E4491">
      <w:pPr>
        <w:spacing w:after="0" w:line="360" w:lineRule="auto"/>
        <w:jc w:val="center"/>
        <w:rPr>
          <w:rFonts w:ascii="Arial" w:hAnsi="Arial" w:cs="Arial"/>
          <w:b/>
          <w:sz w:val="24"/>
          <w:szCs w:val="24"/>
        </w:rPr>
      </w:pPr>
      <w:r w:rsidRPr="005E4491">
        <w:rPr>
          <w:rFonts w:ascii="Arial" w:hAnsi="Arial" w:cs="Arial"/>
          <w:b/>
          <w:sz w:val="24"/>
          <w:szCs w:val="24"/>
        </w:rPr>
        <w:t>REPUBLIC OF NAMIBIA</w:t>
      </w:r>
      <w:r w:rsidRPr="005E4491">
        <w:rPr>
          <w:rFonts w:ascii="Arial" w:hAnsi="Arial" w:cs="Arial"/>
          <w:b/>
          <w:noProof/>
          <w:sz w:val="24"/>
          <w:szCs w:val="24"/>
          <w:lang w:val="en-US"/>
        </w:rPr>
        <w:drawing>
          <wp:anchor distT="0" distB="0" distL="114300" distR="114300" simplePos="0" relativeHeight="251660288" behindDoc="0" locked="0" layoutInCell="1" allowOverlap="1" wp14:anchorId="0D7E7F03" wp14:editId="48DB5DF2">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p>
    <w:p w:rsidR="00505D1F" w:rsidRPr="005E4491" w:rsidRDefault="00505D1F" w:rsidP="005E4491">
      <w:pPr>
        <w:spacing w:after="0" w:line="360" w:lineRule="auto"/>
        <w:jc w:val="center"/>
        <w:rPr>
          <w:rFonts w:ascii="Arial" w:hAnsi="Arial" w:cs="Arial"/>
          <w:b/>
          <w:sz w:val="24"/>
          <w:szCs w:val="24"/>
        </w:rPr>
      </w:pPr>
      <w:r w:rsidRPr="005E4491">
        <w:rPr>
          <w:rFonts w:ascii="Arial" w:hAnsi="Arial" w:cs="Arial"/>
          <w:b/>
          <w:sz w:val="24"/>
          <w:szCs w:val="24"/>
        </w:rPr>
        <w:t>HIGH COURT OF NAMIBIA, MAIN DIVISION, WINDHOEK</w:t>
      </w:r>
    </w:p>
    <w:p w:rsidR="00505D1F" w:rsidRPr="005E4491" w:rsidRDefault="00505D1F" w:rsidP="005E4491">
      <w:pPr>
        <w:spacing w:after="0" w:line="360" w:lineRule="auto"/>
        <w:jc w:val="center"/>
        <w:rPr>
          <w:rFonts w:ascii="Arial" w:hAnsi="Arial" w:cs="Arial"/>
          <w:b/>
          <w:sz w:val="24"/>
          <w:szCs w:val="24"/>
        </w:rPr>
      </w:pPr>
    </w:p>
    <w:p w:rsidR="00505D1F" w:rsidRPr="005E4491" w:rsidRDefault="003D1980" w:rsidP="005E4491">
      <w:pPr>
        <w:spacing w:after="0" w:line="360" w:lineRule="auto"/>
        <w:jc w:val="center"/>
        <w:rPr>
          <w:rFonts w:ascii="Arial" w:hAnsi="Arial" w:cs="Arial"/>
          <w:sz w:val="24"/>
          <w:szCs w:val="24"/>
        </w:rPr>
      </w:pPr>
      <w:r w:rsidRPr="005E4491">
        <w:rPr>
          <w:rFonts w:ascii="Arial" w:hAnsi="Arial" w:cs="Arial"/>
          <w:b/>
          <w:sz w:val="24"/>
          <w:szCs w:val="24"/>
        </w:rPr>
        <w:t>RULING: EXCEPTION</w:t>
      </w:r>
    </w:p>
    <w:p w:rsidR="00505D1F" w:rsidRPr="005E4491" w:rsidRDefault="00505D1F" w:rsidP="005E4491">
      <w:pPr>
        <w:spacing w:after="0" w:line="360" w:lineRule="auto"/>
        <w:jc w:val="both"/>
        <w:rPr>
          <w:rFonts w:ascii="Arial" w:hAnsi="Arial" w:cs="Arial"/>
          <w:sz w:val="24"/>
          <w:szCs w:val="24"/>
        </w:rPr>
      </w:pPr>
    </w:p>
    <w:p w:rsidR="00505D1F" w:rsidRPr="005E4491" w:rsidRDefault="00505D1F" w:rsidP="005E4491">
      <w:pPr>
        <w:spacing w:after="0" w:line="360" w:lineRule="auto"/>
        <w:jc w:val="right"/>
        <w:rPr>
          <w:rFonts w:ascii="Arial" w:hAnsi="Arial" w:cs="Arial"/>
          <w:sz w:val="24"/>
          <w:szCs w:val="24"/>
        </w:rPr>
      </w:pPr>
      <w:r w:rsidRPr="005E4491">
        <w:rPr>
          <w:rFonts w:ascii="Arial" w:hAnsi="Arial" w:cs="Arial"/>
          <w:sz w:val="24"/>
          <w:szCs w:val="24"/>
        </w:rPr>
        <w:t xml:space="preserve">Case No: </w:t>
      </w:r>
      <w:r w:rsidR="00EB5BE5">
        <w:rPr>
          <w:rFonts w:ascii="Arial" w:hAnsi="Arial" w:cs="Arial"/>
          <w:sz w:val="24"/>
          <w:szCs w:val="24"/>
          <w:lang w:val="en-US"/>
        </w:rPr>
        <w:t>HC-MD-CIV-ACT-OTH-2019/01370</w:t>
      </w:r>
    </w:p>
    <w:p w:rsidR="00D35A5C" w:rsidRDefault="00D35A5C" w:rsidP="005E4491">
      <w:pPr>
        <w:spacing w:after="0" w:line="360" w:lineRule="auto"/>
        <w:jc w:val="both"/>
        <w:rPr>
          <w:rFonts w:ascii="Arial" w:hAnsi="Arial" w:cs="Arial"/>
          <w:sz w:val="24"/>
          <w:szCs w:val="24"/>
        </w:rPr>
      </w:pPr>
    </w:p>
    <w:p w:rsidR="00505D1F" w:rsidRPr="005E4491" w:rsidRDefault="00505D1F" w:rsidP="005E4491">
      <w:pPr>
        <w:spacing w:after="0" w:line="360" w:lineRule="auto"/>
        <w:jc w:val="both"/>
        <w:rPr>
          <w:rFonts w:ascii="Arial" w:hAnsi="Arial" w:cs="Arial"/>
          <w:sz w:val="24"/>
          <w:szCs w:val="24"/>
        </w:rPr>
      </w:pPr>
      <w:r w:rsidRPr="005E4491">
        <w:rPr>
          <w:rFonts w:ascii="Arial" w:hAnsi="Arial" w:cs="Arial"/>
          <w:sz w:val="24"/>
          <w:szCs w:val="24"/>
        </w:rPr>
        <w:t>In the matter between:</w:t>
      </w:r>
    </w:p>
    <w:p w:rsidR="00505D1F" w:rsidRPr="005E4491" w:rsidRDefault="00505D1F" w:rsidP="005E4491">
      <w:pPr>
        <w:spacing w:after="0" w:line="360" w:lineRule="auto"/>
        <w:jc w:val="both"/>
        <w:rPr>
          <w:rFonts w:ascii="Arial" w:hAnsi="Arial" w:cs="Arial"/>
          <w:sz w:val="24"/>
          <w:szCs w:val="24"/>
        </w:rPr>
      </w:pPr>
    </w:p>
    <w:p w:rsidR="005A7609" w:rsidRPr="005E4491" w:rsidRDefault="003D1980" w:rsidP="005E4491">
      <w:pPr>
        <w:tabs>
          <w:tab w:val="right" w:pos="9356"/>
        </w:tabs>
        <w:spacing w:after="0" w:line="360" w:lineRule="auto"/>
        <w:jc w:val="both"/>
        <w:rPr>
          <w:rFonts w:ascii="Arial" w:hAnsi="Arial" w:cs="Arial"/>
          <w:b/>
          <w:sz w:val="24"/>
          <w:szCs w:val="24"/>
        </w:rPr>
      </w:pPr>
      <w:r w:rsidRPr="005E4491">
        <w:rPr>
          <w:rFonts w:ascii="Arial" w:hAnsi="Arial" w:cs="Arial"/>
          <w:b/>
          <w:sz w:val="24"/>
          <w:szCs w:val="24"/>
          <w:lang w:val="en-US"/>
        </w:rPr>
        <w:t>COMMUNICATIONS REGULATORY AUTHORITY OF NAMIBIA</w:t>
      </w:r>
      <w:r w:rsidRPr="005E4491">
        <w:rPr>
          <w:rFonts w:ascii="Arial" w:hAnsi="Arial" w:cs="Arial"/>
          <w:b/>
          <w:sz w:val="24"/>
          <w:szCs w:val="24"/>
        </w:rPr>
        <w:tab/>
      </w:r>
      <w:r w:rsidR="005A7609" w:rsidRPr="005E4491">
        <w:rPr>
          <w:rFonts w:ascii="Arial" w:hAnsi="Arial" w:cs="Arial"/>
          <w:b/>
          <w:sz w:val="24"/>
          <w:szCs w:val="24"/>
        </w:rPr>
        <w:t>PLAINTIFF</w:t>
      </w:r>
    </w:p>
    <w:p w:rsidR="005A7609" w:rsidRPr="005E4491" w:rsidRDefault="005A7609" w:rsidP="005E4491">
      <w:pPr>
        <w:tabs>
          <w:tab w:val="right" w:pos="9356"/>
        </w:tabs>
        <w:spacing w:after="0" w:line="360" w:lineRule="auto"/>
        <w:jc w:val="both"/>
        <w:rPr>
          <w:rFonts w:ascii="Arial" w:hAnsi="Arial" w:cs="Arial"/>
          <w:b/>
          <w:sz w:val="24"/>
          <w:szCs w:val="24"/>
          <w:lang w:val="en-GB"/>
        </w:rPr>
      </w:pPr>
    </w:p>
    <w:p w:rsidR="005A7609" w:rsidRPr="00A86914" w:rsidRDefault="00AC7E41" w:rsidP="005E4491">
      <w:pPr>
        <w:tabs>
          <w:tab w:val="right" w:pos="9356"/>
        </w:tabs>
        <w:spacing w:after="0" w:line="360" w:lineRule="auto"/>
        <w:jc w:val="both"/>
        <w:rPr>
          <w:rFonts w:ascii="Arial" w:hAnsi="Arial" w:cs="Arial"/>
          <w:sz w:val="24"/>
          <w:szCs w:val="24"/>
          <w:lang w:val="en-GB"/>
        </w:rPr>
      </w:pPr>
      <w:r w:rsidRPr="00A86914">
        <w:rPr>
          <w:rFonts w:ascii="Arial" w:hAnsi="Arial" w:cs="Arial"/>
          <w:sz w:val="24"/>
          <w:szCs w:val="24"/>
          <w:lang w:val="en-GB"/>
        </w:rPr>
        <w:t>a</w:t>
      </w:r>
      <w:r w:rsidR="005A7609" w:rsidRPr="00A86914">
        <w:rPr>
          <w:rFonts w:ascii="Arial" w:hAnsi="Arial" w:cs="Arial"/>
          <w:sz w:val="24"/>
          <w:szCs w:val="24"/>
          <w:lang w:val="en-GB"/>
        </w:rPr>
        <w:t>nd</w:t>
      </w:r>
    </w:p>
    <w:p w:rsidR="005A7609" w:rsidRPr="005E4491" w:rsidRDefault="005A7609" w:rsidP="005E4491">
      <w:pPr>
        <w:tabs>
          <w:tab w:val="right" w:pos="9356"/>
        </w:tabs>
        <w:spacing w:after="0" w:line="360" w:lineRule="auto"/>
        <w:jc w:val="both"/>
        <w:rPr>
          <w:rFonts w:ascii="Arial" w:hAnsi="Arial" w:cs="Arial"/>
          <w:b/>
          <w:sz w:val="24"/>
          <w:szCs w:val="24"/>
          <w:lang w:val="en-GB"/>
        </w:rPr>
      </w:pPr>
    </w:p>
    <w:p w:rsidR="00EF1A7D" w:rsidRPr="005E4491" w:rsidRDefault="003D1980" w:rsidP="005E4491">
      <w:pPr>
        <w:tabs>
          <w:tab w:val="right" w:pos="9356"/>
        </w:tabs>
        <w:spacing w:after="0" w:line="360" w:lineRule="auto"/>
        <w:jc w:val="both"/>
        <w:rPr>
          <w:rFonts w:ascii="Arial" w:hAnsi="Arial" w:cs="Arial"/>
          <w:b/>
          <w:sz w:val="24"/>
          <w:szCs w:val="24"/>
        </w:rPr>
      </w:pPr>
      <w:r w:rsidRPr="005E4491">
        <w:rPr>
          <w:rFonts w:ascii="Arial" w:hAnsi="Arial" w:cs="Arial"/>
          <w:b/>
          <w:sz w:val="24"/>
          <w:szCs w:val="24"/>
          <w:lang w:val="en-US"/>
        </w:rPr>
        <w:t>TELECOM NAMIBIA LTD</w:t>
      </w:r>
      <w:r w:rsidR="00E45AA5" w:rsidRPr="005E4491">
        <w:rPr>
          <w:rFonts w:ascii="Arial" w:hAnsi="Arial" w:cs="Arial"/>
          <w:b/>
          <w:sz w:val="24"/>
          <w:szCs w:val="24"/>
        </w:rPr>
        <w:t> </w:t>
      </w:r>
      <w:r w:rsidR="00E45AA5" w:rsidRPr="005E4491">
        <w:rPr>
          <w:rFonts w:ascii="Arial" w:hAnsi="Arial" w:cs="Arial"/>
          <w:b/>
          <w:sz w:val="24"/>
          <w:szCs w:val="24"/>
        </w:rPr>
        <w:tab/>
      </w:r>
      <w:r w:rsidR="005A7609" w:rsidRPr="005E4491">
        <w:rPr>
          <w:rFonts w:ascii="Arial" w:hAnsi="Arial" w:cs="Arial"/>
          <w:b/>
          <w:sz w:val="24"/>
          <w:szCs w:val="24"/>
        </w:rPr>
        <w:t>DEFENDANT</w:t>
      </w:r>
    </w:p>
    <w:p w:rsidR="00845F82" w:rsidRPr="005E4491" w:rsidRDefault="00845F82" w:rsidP="005E4491">
      <w:pPr>
        <w:tabs>
          <w:tab w:val="right" w:pos="9356"/>
        </w:tabs>
        <w:spacing w:after="0" w:line="360" w:lineRule="auto"/>
        <w:jc w:val="both"/>
        <w:rPr>
          <w:rFonts w:ascii="Arial" w:hAnsi="Arial" w:cs="Arial"/>
          <w:b/>
          <w:sz w:val="24"/>
          <w:szCs w:val="24"/>
        </w:rPr>
      </w:pPr>
    </w:p>
    <w:p w:rsidR="00505D1F" w:rsidRDefault="00845F82" w:rsidP="00365A6E">
      <w:pPr>
        <w:tabs>
          <w:tab w:val="left" w:pos="2160"/>
          <w:tab w:val="right" w:pos="9356"/>
        </w:tabs>
        <w:spacing w:after="0" w:line="360" w:lineRule="auto"/>
        <w:jc w:val="both"/>
        <w:rPr>
          <w:rFonts w:ascii="Arial" w:hAnsi="Arial" w:cs="Arial"/>
          <w:b/>
          <w:sz w:val="24"/>
          <w:szCs w:val="24"/>
        </w:rPr>
      </w:pPr>
      <w:r w:rsidRPr="005E4491">
        <w:rPr>
          <w:rFonts w:ascii="Arial" w:hAnsi="Arial" w:cs="Arial"/>
          <w:b/>
          <w:sz w:val="24"/>
          <w:szCs w:val="24"/>
        </w:rPr>
        <w:t>Neutral Citation</w:t>
      </w:r>
      <w:r w:rsidR="00F07E6D">
        <w:rPr>
          <w:rFonts w:ascii="Arial" w:hAnsi="Arial" w:cs="Arial"/>
          <w:sz w:val="24"/>
          <w:szCs w:val="24"/>
        </w:rPr>
        <w:t>:</w:t>
      </w:r>
      <w:r w:rsidR="00F07E6D">
        <w:rPr>
          <w:rFonts w:ascii="Arial" w:hAnsi="Arial" w:cs="Arial"/>
          <w:sz w:val="24"/>
          <w:szCs w:val="24"/>
        </w:rPr>
        <w:tab/>
      </w:r>
      <w:r w:rsidR="003D1980" w:rsidRPr="005E4491">
        <w:rPr>
          <w:rFonts w:ascii="Arial" w:hAnsi="Arial" w:cs="Arial"/>
          <w:i/>
          <w:sz w:val="24"/>
          <w:szCs w:val="24"/>
          <w:lang w:val="en-US"/>
        </w:rPr>
        <w:t xml:space="preserve">Communications Regulatory Authority of Namibia v Telecom Namibia Ltd </w:t>
      </w:r>
      <w:r w:rsidR="003D1980" w:rsidRPr="005E4491">
        <w:rPr>
          <w:rFonts w:ascii="Arial" w:hAnsi="Arial" w:cs="Arial"/>
          <w:sz w:val="24"/>
          <w:szCs w:val="24"/>
          <w:lang w:val="en-US"/>
        </w:rPr>
        <w:t>(HC-MD-CIV-ACT-O</w:t>
      </w:r>
      <w:r w:rsidR="000818AD">
        <w:rPr>
          <w:rFonts w:ascii="Arial" w:hAnsi="Arial" w:cs="Arial"/>
          <w:sz w:val="24"/>
          <w:szCs w:val="24"/>
          <w:lang w:val="en-US"/>
        </w:rPr>
        <w:t>TH-2019/01370) [2020] NAHCMD 452</w:t>
      </w:r>
      <w:r w:rsidR="003D1980" w:rsidRPr="005E4491">
        <w:rPr>
          <w:rFonts w:ascii="Arial" w:hAnsi="Arial" w:cs="Arial"/>
          <w:sz w:val="24"/>
          <w:szCs w:val="24"/>
          <w:lang w:val="en-US"/>
        </w:rPr>
        <w:t xml:space="preserve"> (2 October 2020)</w:t>
      </w:r>
    </w:p>
    <w:p w:rsidR="00825090" w:rsidRPr="005E4491" w:rsidRDefault="00825090" w:rsidP="00365A6E">
      <w:pPr>
        <w:tabs>
          <w:tab w:val="left" w:pos="2160"/>
          <w:tab w:val="right" w:pos="9356"/>
        </w:tabs>
        <w:spacing w:after="0" w:line="360" w:lineRule="auto"/>
        <w:jc w:val="both"/>
        <w:rPr>
          <w:rFonts w:ascii="Arial" w:hAnsi="Arial" w:cs="Arial"/>
          <w:b/>
          <w:sz w:val="24"/>
          <w:szCs w:val="24"/>
        </w:rPr>
      </w:pPr>
    </w:p>
    <w:p w:rsidR="00505D1F" w:rsidRPr="005E4491" w:rsidRDefault="00505D1F" w:rsidP="005E4491">
      <w:pPr>
        <w:spacing w:after="0" w:line="360" w:lineRule="auto"/>
        <w:jc w:val="both"/>
        <w:rPr>
          <w:rFonts w:ascii="Arial" w:hAnsi="Arial" w:cs="Arial"/>
          <w:b/>
          <w:sz w:val="24"/>
          <w:szCs w:val="24"/>
        </w:rPr>
      </w:pPr>
      <w:r w:rsidRPr="00825090">
        <w:rPr>
          <w:rFonts w:ascii="Arial" w:hAnsi="Arial" w:cs="Arial"/>
          <w:b/>
          <w:sz w:val="24"/>
          <w:szCs w:val="24"/>
        </w:rPr>
        <w:t>CORAM</w:t>
      </w:r>
      <w:r w:rsidRPr="005E4491">
        <w:rPr>
          <w:rFonts w:ascii="Arial" w:hAnsi="Arial" w:cs="Arial"/>
          <w:sz w:val="24"/>
          <w:szCs w:val="24"/>
        </w:rPr>
        <w:t>:</w:t>
      </w:r>
      <w:r w:rsidRPr="005E4491">
        <w:rPr>
          <w:rFonts w:ascii="Arial" w:hAnsi="Arial" w:cs="Arial"/>
          <w:b/>
          <w:sz w:val="24"/>
          <w:szCs w:val="24"/>
        </w:rPr>
        <w:tab/>
        <w:t>PRINSLOO J</w:t>
      </w:r>
    </w:p>
    <w:p w:rsidR="00505D1F" w:rsidRPr="005E4491" w:rsidRDefault="00505D1F" w:rsidP="005E4491">
      <w:pPr>
        <w:spacing w:after="0" w:line="360" w:lineRule="auto"/>
        <w:jc w:val="both"/>
        <w:rPr>
          <w:rFonts w:ascii="Arial" w:hAnsi="Arial" w:cs="Arial"/>
          <w:sz w:val="24"/>
          <w:szCs w:val="24"/>
        </w:rPr>
      </w:pPr>
      <w:r w:rsidRPr="00825090">
        <w:rPr>
          <w:rFonts w:ascii="Arial" w:hAnsi="Arial" w:cs="Arial"/>
          <w:b/>
          <w:sz w:val="24"/>
          <w:szCs w:val="24"/>
        </w:rPr>
        <w:t>Heard:</w:t>
      </w:r>
      <w:r w:rsidRPr="005E4491">
        <w:rPr>
          <w:rFonts w:ascii="Arial" w:hAnsi="Arial" w:cs="Arial"/>
          <w:sz w:val="24"/>
          <w:szCs w:val="24"/>
        </w:rPr>
        <w:t xml:space="preserve"> </w:t>
      </w:r>
      <w:r w:rsidRPr="005E4491">
        <w:rPr>
          <w:rFonts w:ascii="Arial" w:hAnsi="Arial" w:cs="Arial"/>
          <w:sz w:val="24"/>
          <w:szCs w:val="24"/>
        </w:rPr>
        <w:tab/>
      </w:r>
      <w:r w:rsidR="003D1980" w:rsidRPr="005E4491">
        <w:rPr>
          <w:rFonts w:ascii="Arial" w:hAnsi="Arial" w:cs="Arial"/>
          <w:sz w:val="24"/>
          <w:szCs w:val="24"/>
          <w:lang w:val="en-US"/>
        </w:rPr>
        <w:t>4 September 2020</w:t>
      </w:r>
    </w:p>
    <w:p w:rsidR="00505D1F" w:rsidRPr="00825090" w:rsidRDefault="00825090" w:rsidP="005E4491">
      <w:pPr>
        <w:spacing w:after="0" w:line="36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t>2</w:t>
      </w:r>
      <w:r w:rsidR="003D1980" w:rsidRPr="00825090">
        <w:rPr>
          <w:rFonts w:ascii="Arial" w:hAnsi="Arial" w:cs="Arial"/>
          <w:b/>
          <w:sz w:val="24"/>
          <w:szCs w:val="24"/>
        </w:rPr>
        <w:t xml:space="preserve"> October 2020</w:t>
      </w:r>
    </w:p>
    <w:p w:rsidR="003E2E10" w:rsidRPr="00825090" w:rsidRDefault="00F024A9" w:rsidP="005E4491">
      <w:pPr>
        <w:spacing w:after="0" w:line="360" w:lineRule="auto"/>
        <w:jc w:val="both"/>
        <w:rPr>
          <w:rFonts w:ascii="Arial" w:hAnsi="Arial" w:cs="Arial"/>
          <w:b/>
          <w:sz w:val="24"/>
          <w:szCs w:val="24"/>
        </w:rPr>
      </w:pPr>
      <w:r w:rsidRPr="00825090">
        <w:rPr>
          <w:rFonts w:ascii="Arial" w:hAnsi="Arial" w:cs="Arial"/>
          <w:b/>
          <w:sz w:val="24"/>
          <w:szCs w:val="24"/>
        </w:rPr>
        <w:t>Reasons:</w:t>
      </w:r>
      <w:r w:rsidRPr="00825090">
        <w:rPr>
          <w:rFonts w:ascii="Arial" w:hAnsi="Arial" w:cs="Arial"/>
          <w:b/>
          <w:sz w:val="24"/>
          <w:szCs w:val="24"/>
        </w:rPr>
        <w:tab/>
        <w:t>6</w:t>
      </w:r>
      <w:r w:rsidR="003E2E10" w:rsidRPr="00825090">
        <w:rPr>
          <w:rFonts w:ascii="Arial" w:hAnsi="Arial" w:cs="Arial"/>
          <w:b/>
          <w:sz w:val="24"/>
          <w:szCs w:val="24"/>
        </w:rPr>
        <w:t xml:space="preserve"> October 2020</w:t>
      </w:r>
    </w:p>
    <w:p w:rsidR="00C5111C" w:rsidRPr="005E4491" w:rsidRDefault="00C5111C" w:rsidP="005E4491">
      <w:pPr>
        <w:spacing w:after="0" w:line="360" w:lineRule="auto"/>
        <w:jc w:val="both"/>
        <w:rPr>
          <w:rFonts w:ascii="Arial" w:hAnsi="Arial" w:cs="Arial"/>
          <w:sz w:val="24"/>
          <w:szCs w:val="24"/>
        </w:rPr>
      </w:pPr>
    </w:p>
    <w:p w:rsidR="00523D18" w:rsidRPr="0055565B" w:rsidRDefault="00C5111C" w:rsidP="005E4491">
      <w:pPr>
        <w:spacing w:after="0" w:line="360" w:lineRule="auto"/>
        <w:jc w:val="both"/>
        <w:rPr>
          <w:rFonts w:ascii="Arial" w:hAnsi="Arial" w:cs="Arial"/>
          <w:sz w:val="24"/>
          <w:szCs w:val="24"/>
          <w:lang w:val="af-ZA"/>
        </w:rPr>
      </w:pPr>
      <w:r w:rsidRPr="005E4491">
        <w:rPr>
          <w:rFonts w:ascii="Arial" w:hAnsi="Arial" w:cs="Arial"/>
          <w:b/>
          <w:sz w:val="24"/>
          <w:szCs w:val="24"/>
        </w:rPr>
        <w:t>Flynote:</w:t>
      </w:r>
      <w:r w:rsidRPr="005E4491">
        <w:rPr>
          <w:rFonts w:ascii="Arial" w:hAnsi="Arial" w:cs="Arial"/>
          <w:sz w:val="24"/>
          <w:szCs w:val="24"/>
        </w:rPr>
        <w:tab/>
      </w:r>
      <w:r w:rsidR="000E4D45">
        <w:rPr>
          <w:rFonts w:ascii="Arial" w:hAnsi="Arial" w:cs="Arial"/>
          <w:sz w:val="24"/>
          <w:szCs w:val="24"/>
        </w:rPr>
        <w:t xml:space="preserve">Interpretation of </w:t>
      </w:r>
      <w:r w:rsidR="0055565B">
        <w:rPr>
          <w:rFonts w:ascii="Arial" w:hAnsi="Arial" w:cs="Arial"/>
          <w:sz w:val="24"/>
          <w:szCs w:val="24"/>
        </w:rPr>
        <w:t>c</w:t>
      </w:r>
      <w:r w:rsidR="000E4D45">
        <w:rPr>
          <w:rFonts w:ascii="Arial" w:hAnsi="Arial" w:cs="Arial"/>
          <w:sz w:val="24"/>
          <w:szCs w:val="24"/>
        </w:rPr>
        <w:t>ourt</w:t>
      </w:r>
      <w:r w:rsidR="0049459F">
        <w:rPr>
          <w:rFonts w:ascii="Arial" w:hAnsi="Arial" w:cs="Arial"/>
          <w:sz w:val="24"/>
          <w:szCs w:val="24"/>
        </w:rPr>
        <w:t>’s judgment or</w:t>
      </w:r>
      <w:r w:rsidR="000E4D45">
        <w:rPr>
          <w:rFonts w:ascii="Arial" w:hAnsi="Arial" w:cs="Arial"/>
          <w:sz w:val="24"/>
          <w:szCs w:val="24"/>
        </w:rPr>
        <w:t xml:space="preserve"> </w:t>
      </w:r>
      <w:r w:rsidR="0049459F">
        <w:rPr>
          <w:rFonts w:ascii="Arial" w:hAnsi="Arial" w:cs="Arial"/>
          <w:sz w:val="24"/>
          <w:szCs w:val="24"/>
        </w:rPr>
        <w:t>Order</w:t>
      </w:r>
      <w:r w:rsidR="00F07E6D">
        <w:rPr>
          <w:rFonts w:ascii="Arial" w:hAnsi="Arial" w:cs="Arial"/>
          <w:sz w:val="24"/>
          <w:szCs w:val="24"/>
        </w:rPr>
        <w:t xml:space="preserve"> – </w:t>
      </w:r>
      <w:r w:rsidR="00F07E6D">
        <w:rPr>
          <w:rFonts w:ascii="Arial" w:hAnsi="Arial" w:cs="Arial"/>
          <w:sz w:val="24"/>
          <w:szCs w:val="24"/>
          <w:lang w:val="af-ZA"/>
        </w:rPr>
        <w:t>B</w:t>
      </w:r>
      <w:r w:rsidR="00F07E6D" w:rsidRPr="00F07E6D">
        <w:rPr>
          <w:rFonts w:ascii="Arial" w:hAnsi="Arial" w:cs="Arial"/>
          <w:sz w:val="24"/>
          <w:szCs w:val="24"/>
          <w:lang w:val="af-ZA"/>
        </w:rPr>
        <w:t xml:space="preserve">asic principles applicable to construing documents also apply to the constructions </w:t>
      </w:r>
      <w:r w:rsidR="007C4888">
        <w:rPr>
          <w:rFonts w:ascii="Arial" w:hAnsi="Arial" w:cs="Arial"/>
          <w:sz w:val="24"/>
          <w:szCs w:val="24"/>
          <w:lang w:val="af-ZA"/>
        </w:rPr>
        <w:t xml:space="preserve">of a court’s judgment or order – </w:t>
      </w:r>
      <w:r w:rsidR="007C4888">
        <w:rPr>
          <w:rFonts w:ascii="Arial" w:hAnsi="Arial" w:cs="Arial"/>
          <w:sz w:val="24"/>
          <w:szCs w:val="24"/>
          <w:lang w:val="af-ZA"/>
        </w:rPr>
        <w:lastRenderedPageBreak/>
        <w:t>C</w:t>
      </w:r>
      <w:r w:rsidR="00F07E6D" w:rsidRPr="00F07E6D">
        <w:rPr>
          <w:rFonts w:ascii="Arial" w:hAnsi="Arial" w:cs="Arial"/>
          <w:sz w:val="24"/>
          <w:szCs w:val="24"/>
          <w:lang w:val="af-ZA"/>
        </w:rPr>
        <w:t xml:space="preserve">ourt’s </w:t>
      </w:r>
      <w:r w:rsidR="00DC5735">
        <w:rPr>
          <w:rFonts w:ascii="Arial" w:hAnsi="Arial" w:cs="Arial"/>
          <w:sz w:val="24"/>
          <w:szCs w:val="24"/>
          <w:lang w:val="af-ZA"/>
        </w:rPr>
        <w:t>intention</w:t>
      </w:r>
      <w:r w:rsidR="00F07E6D" w:rsidRPr="00F07E6D">
        <w:rPr>
          <w:rFonts w:ascii="Arial" w:hAnsi="Arial" w:cs="Arial"/>
          <w:sz w:val="24"/>
          <w:szCs w:val="24"/>
          <w:lang w:val="af-ZA"/>
        </w:rPr>
        <w:t xml:space="preserve"> to be ascertained primarily from the language of the judgment or order as construed according to the usual, well-known rule</w:t>
      </w:r>
      <w:r w:rsidR="0055565B">
        <w:rPr>
          <w:rFonts w:ascii="Arial" w:hAnsi="Arial" w:cs="Arial"/>
          <w:sz w:val="24"/>
          <w:szCs w:val="24"/>
          <w:lang w:val="af-ZA"/>
        </w:rPr>
        <w:t xml:space="preserve"> – T</w:t>
      </w:r>
      <w:r w:rsidR="00F07E6D" w:rsidRPr="00F07E6D">
        <w:rPr>
          <w:rFonts w:ascii="Arial" w:hAnsi="Arial" w:cs="Arial"/>
          <w:sz w:val="24"/>
          <w:szCs w:val="24"/>
          <w:lang w:val="af-ZA"/>
        </w:rPr>
        <w:t>he judgment or order and the court’s reasons for giving it must be read as a whole in order to ascertain its intention</w:t>
      </w:r>
      <w:r w:rsidR="004B0551">
        <w:rPr>
          <w:rFonts w:ascii="Arial" w:hAnsi="Arial" w:cs="Arial"/>
          <w:sz w:val="24"/>
          <w:szCs w:val="24"/>
          <w:lang w:val="af-ZA"/>
        </w:rPr>
        <w:t xml:space="preserve"> – </w:t>
      </w:r>
      <w:r w:rsidR="00F07E6D" w:rsidRPr="00F07E6D">
        <w:rPr>
          <w:rFonts w:ascii="Arial" w:hAnsi="Arial" w:cs="Arial"/>
          <w:sz w:val="24"/>
          <w:szCs w:val="24"/>
          <w:lang w:val="af-ZA"/>
        </w:rPr>
        <w:t>If, on such a reading, the meaning of the judgment or order is clear and unambigious, no extrinsic fact or evidence is admissible to contradict, vary, qualify, or supplement it.</w:t>
      </w:r>
    </w:p>
    <w:p w:rsidR="004E70D1" w:rsidRPr="005E4491" w:rsidRDefault="004E70D1" w:rsidP="005E4491">
      <w:pPr>
        <w:spacing w:after="0" w:line="360" w:lineRule="auto"/>
        <w:jc w:val="both"/>
        <w:rPr>
          <w:rFonts w:ascii="Arial" w:hAnsi="Arial" w:cs="Arial"/>
          <w:sz w:val="24"/>
          <w:szCs w:val="24"/>
          <w:lang w:val="en-US" w:bidi="en-US"/>
        </w:rPr>
      </w:pPr>
    </w:p>
    <w:p w:rsidR="00725CEA" w:rsidRDefault="00725CEA" w:rsidP="00725CEA">
      <w:pPr>
        <w:spacing w:after="0" w:line="360" w:lineRule="auto"/>
        <w:jc w:val="both"/>
        <w:rPr>
          <w:rFonts w:ascii="Arial" w:hAnsi="Arial" w:cs="Arial"/>
          <w:sz w:val="24"/>
          <w:szCs w:val="24"/>
          <w:lang w:val="af-ZA" w:bidi="en-US"/>
        </w:rPr>
      </w:pPr>
      <w:r>
        <w:rPr>
          <w:rFonts w:ascii="Arial" w:hAnsi="Arial" w:cs="Arial"/>
          <w:b/>
          <w:sz w:val="24"/>
          <w:szCs w:val="24"/>
          <w:lang w:bidi="en-US"/>
        </w:rPr>
        <w:t>Summary:</w:t>
      </w:r>
      <w:r>
        <w:rPr>
          <w:rFonts w:ascii="Arial" w:hAnsi="Arial" w:cs="Arial"/>
          <w:sz w:val="24"/>
          <w:szCs w:val="24"/>
          <w:lang w:bidi="en-US"/>
        </w:rPr>
        <w:tab/>
      </w:r>
      <w:r w:rsidRPr="00725CEA">
        <w:rPr>
          <w:rFonts w:ascii="Arial" w:hAnsi="Arial" w:cs="Arial"/>
          <w:sz w:val="24"/>
          <w:szCs w:val="24"/>
          <w:lang w:val="af-ZA" w:bidi="en-US"/>
        </w:rPr>
        <w:t>During 2013 the defendant instituted proceedings in the High Court against the plaintiff, Minister of Information, Communication and Technology, the Government of Namibia and the Attorney General seeking an order declaring s 23(2)</w:t>
      </w:r>
      <w:r w:rsidRPr="00825090">
        <w:rPr>
          <w:rFonts w:ascii="Arial" w:hAnsi="Arial" w:cs="Arial"/>
          <w:i/>
          <w:sz w:val="24"/>
          <w:szCs w:val="24"/>
          <w:lang w:val="af-ZA" w:bidi="en-US"/>
        </w:rPr>
        <w:t>(a)</w:t>
      </w:r>
      <w:r w:rsidRPr="00725CEA">
        <w:rPr>
          <w:rFonts w:ascii="Arial" w:hAnsi="Arial" w:cs="Arial"/>
          <w:sz w:val="24"/>
          <w:szCs w:val="24"/>
          <w:lang w:val="af-ZA" w:bidi="en-US"/>
        </w:rPr>
        <w:t xml:space="preserve"> of the Communications Act</w:t>
      </w:r>
      <w:r>
        <w:rPr>
          <w:rFonts w:ascii="Arial" w:hAnsi="Arial" w:cs="Arial"/>
          <w:sz w:val="24"/>
          <w:szCs w:val="24"/>
          <w:lang w:val="af-ZA" w:bidi="en-US"/>
        </w:rPr>
        <w:t xml:space="preserve"> 8 of 2009</w:t>
      </w:r>
      <w:r>
        <w:rPr>
          <w:rFonts w:ascii="Arial" w:hAnsi="Arial" w:cs="Arial"/>
          <w:sz w:val="24"/>
          <w:szCs w:val="24"/>
          <w:vertAlign w:val="superscript"/>
          <w:lang w:val="af-ZA" w:bidi="en-US"/>
        </w:rPr>
        <w:t xml:space="preserve"> </w:t>
      </w:r>
      <w:r w:rsidRPr="00725CEA">
        <w:rPr>
          <w:rFonts w:ascii="Arial" w:hAnsi="Arial" w:cs="Arial"/>
          <w:sz w:val="24"/>
          <w:szCs w:val="24"/>
          <w:lang w:val="af-ZA" w:bidi="en-US"/>
        </w:rPr>
        <w:t>as unconstitutional as it constituted the imposition of tax by the plaintiff as opposed to regulatory levies for defraying its expenses.</w:t>
      </w:r>
      <w:r>
        <w:rPr>
          <w:rFonts w:ascii="Arial" w:hAnsi="Arial" w:cs="Arial"/>
          <w:sz w:val="24"/>
          <w:szCs w:val="24"/>
          <w:lang w:val="af-ZA" w:bidi="en-US"/>
        </w:rPr>
        <w:t xml:space="preserve"> </w:t>
      </w:r>
      <w:r w:rsidRPr="00725CEA">
        <w:rPr>
          <w:rFonts w:ascii="Arial" w:hAnsi="Arial" w:cs="Arial"/>
          <w:sz w:val="24"/>
          <w:szCs w:val="24"/>
          <w:lang w:val="af-ZA" w:bidi="en-US"/>
        </w:rPr>
        <w:t>On 29 September 2016 the High Court made an order to the effect that s 23(2)</w:t>
      </w:r>
      <w:r w:rsidRPr="00825090">
        <w:rPr>
          <w:rFonts w:ascii="Arial" w:hAnsi="Arial" w:cs="Arial"/>
          <w:i/>
          <w:sz w:val="24"/>
          <w:szCs w:val="24"/>
          <w:lang w:val="af-ZA" w:bidi="en-US"/>
        </w:rPr>
        <w:t>(a)</w:t>
      </w:r>
      <w:r w:rsidRPr="00725CEA">
        <w:rPr>
          <w:rFonts w:ascii="Arial" w:hAnsi="Arial" w:cs="Arial"/>
          <w:sz w:val="24"/>
          <w:szCs w:val="24"/>
          <w:lang w:val="af-ZA" w:bidi="en-US"/>
        </w:rPr>
        <w:t xml:space="preserve"> of the Act and the regulations made thereunder was unconstitutional and invalid. The plaintiff appealed to the Supreme Court against the judgme</w:t>
      </w:r>
      <w:r>
        <w:rPr>
          <w:rFonts w:ascii="Arial" w:hAnsi="Arial" w:cs="Arial"/>
          <w:sz w:val="24"/>
          <w:szCs w:val="24"/>
          <w:lang w:val="af-ZA" w:bidi="en-US"/>
        </w:rPr>
        <w:t xml:space="preserve">nt and order of the High Court. </w:t>
      </w:r>
      <w:r w:rsidRPr="00725CEA">
        <w:rPr>
          <w:rFonts w:ascii="Arial" w:hAnsi="Arial" w:cs="Arial"/>
          <w:sz w:val="24"/>
          <w:szCs w:val="24"/>
          <w:lang w:val="af-ZA" w:bidi="en-US"/>
        </w:rPr>
        <w:t>The appeal was heard and the Supreme Court delivered its judgment on 11 June 2018</w:t>
      </w:r>
      <w:r>
        <w:rPr>
          <w:rFonts w:ascii="Arial" w:hAnsi="Arial" w:cs="Arial"/>
          <w:sz w:val="24"/>
          <w:szCs w:val="24"/>
          <w:vertAlign w:val="superscript"/>
          <w:lang w:val="af-ZA" w:bidi="en-US"/>
        </w:rPr>
        <w:t xml:space="preserve"> </w:t>
      </w:r>
      <w:r w:rsidRPr="00725CEA">
        <w:rPr>
          <w:rFonts w:ascii="Arial" w:hAnsi="Arial" w:cs="Arial"/>
          <w:sz w:val="24"/>
          <w:szCs w:val="24"/>
          <w:lang w:val="af-ZA" w:bidi="en-US"/>
        </w:rPr>
        <w:t>wherein it found that the levy imposed by the plaintiff did not constitute imposition of taxation. The Court further proceeded to consider whether or not s 23(2)</w:t>
      </w:r>
      <w:r w:rsidRPr="00825090">
        <w:rPr>
          <w:rFonts w:ascii="Arial" w:hAnsi="Arial" w:cs="Arial"/>
          <w:i/>
          <w:sz w:val="24"/>
          <w:szCs w:val="24"/>
          <w:lang w:val="af-ZA" w:bidi="en-US"/>
        </w:rPr>
        <w:t>(a)</w:t>
      </w:r>
      <w:r w:rsidRPr="00725CEA">
        <w:rPr>
          <w:rFonts w:ascii="Arial" w:hAnsi="Arial" w:cs="Arial"/>
          <w:sz w:val="24"/>
          <w:szCs w:val="24"/>
          <w:lang w:val="af-ZA" w:bidi="en-US"/>
        </w:rPr>
        <w:t xml:space="preserve"> of the Act and regulations was unconstitutional and  and found that it was unconstitutionarl on the basis that it delegates uncircumscribed discretion and powers to the plaintiff. Section 23(2)</w:t>
      </w:r>
      <w:r w:rsidRPr="00825090">
        <w:rPr>
          <w:rFonts w:ascii="Arial" w:hAnsi="Arial" w:cs="Arial"/>
          <w:i/>
          <w:sz w:val="24"/>
          <w:szCs w:val="24"/>
          <w:lang w:val="af-ZA" w:bidi="en-US"/>
        </w:rPr>
        <w:t>(a)</w:t>
      </w:r>
      <w:r w:rsidRPr="00725CEA">
        <w:rPr>
          <w:rFonts w:ascii="Arial" w:hAnsi="Arial" w:cs="Arial"/>
          <w:sz w:val="24"/>
          <w:szCs w:val="24"/>
          <w:lang w:val="af-ZA" w:bidi="en-US"/>
        </w:rPr>
        <w:t xml:space="preserve"> was accordingly struck down. The Supreme Court also dealt with the consequences arising from the order it made in respect of the unconstitutional nature and invalidity of the related provisions of the A</w:t>
      </w:r>
      <w:r>
        <w:rPr>
          <w:rFonts w:ascii="Arial" w:hAnsi="Arial" w:cs="Arial"/>
          <w:sz w:val="24"/>
          <w:szCs w:val="24"/>
          <w:lang w:val="af-ZA" w:bidi="en-US"/>
        </w:rPr>
        <w:t>ct and regulations.</w:t>
      </w:r>
    </w:p>
    <w:p w:rsidR="00725CEA" w:rsidRPr="00725CEA" w:rsidRDefault="00725CEA" w:rsidP="00725CEA">
      <w:pPr>
        <w:spacing w:after="0" w:line="360" w:lineRule="auto"/>
        <w:jc w:val="both"/>
        <w:rPr>
          <w:rFonts w:ascii="Arial" w:hAnsi="Arial" w:cs="Arial"/>
          <w:sz w:val="24"/>
          <w:szCs w:val="24"/>
          <w:lang w:val="af-ZA" w:bidi="en-US"/>
        </w:rPr>
      </w:pPr>
    </w:p>
    <w:p w:rsidR="00725CEA" w:rsidRDefault="00725CEA" w:rsidP="00725CEA">
      <w:pPr>
        <w:spacing w:after="0" w:line="360" w:lineRule="auto"/>
        <w:jc w:val="both"/>
        <w:rPr>
          <w:rFonts w:ascii="Arial" w:hAnsi="Arial" w:cs="Arial"/>
          <w:sz w:val="24"/>
          <w:szCs w:val="24"/>
          <w:lang w:val="af-ZA" w:bidi="en-US"/>
        </w:rPr>
      </w:pPr>
      <w:r w:rsidRPr="00725CEA">
        <w:rPr>
          <w:rFonts w:ascii="Arial" w:hAnsi="Arial" w:cs="Arial"/>
          <w:sz w:val="24"/>
          <w:szCs w:val="24"/>
          <w:lang w:val="af-ZA" w:bidi="en-US"/>
        </w:rPr>
        <w:t xml:space="preserve">However, subsequent to the Supreme Court’s order a dispute arose between the parties with regard to the meaning and the import of the order read </w:t>
      </w:r>
      <w:r w:rsidR="00031013">
        <w:rPr>
          <w:rFonts w:ascii="Arial" w:hAnsi="Arial" w:cs="Arial"/>
          <w:sz w:val="24"/>
          <w:szCs w:val="24"/>
          <w:lang w:val="af-ZA" w:bidi="en-US"/>
        </w:rPr>
        <w:t xml:space="preserve">together with certain paras </w:t>
      </w:r>
      <w:r w:rsidRPr="00725CEA">
        <w:rPr>
          <w:rFonts w:ascii="Arial" w:hAnsi="Arial" w:cs="Arial"/>
          <w:sz w:val="24"/>
          <w:szCs w:val="24"/>
          <w:lang w:val="af-ZA" w:bidi="en-US"/>
        </w:rPr>
        <w:t>of the judgment.</w:t>
      </w:r>
      <w:r w:rsidR="00031013">
        <w:rPr>
          <w:rFonts w:ascii="Arial" w:hAnsi="Arial" w:cs="Arial"/>
          <w:sz w:val="24"/>
          <w:szCs w:val="24"/>
          <w:lang w:val="af-ZA" w:bidi="en-US"/>
        </w:rPr>
        <w:t xml:space="preserve"> </w:t>
      </w:r>
      <w:r w:rsidRPr="00725CEA">
        <w:rPr>
          <w:rFonts w:ascii="Arial" w:hAnsi="Arial" w:cs="Arial"/>
          <w:sz w:val="24"/>
          <w:szCs w:val="24"/>
          <w:lang w:val="af-ZA" w:bidi="en-US"/>
        </w:rPr>
        <w:t xml:space="preserve">Based on its understanding of the Supreme Court order, the plaintiff then proceeded to institute action against the defendant on 29 March 2019 for payment of levies and related charges in an amount of N$ 66 559 010, which comprises of regulatory levy due as at 31 March 2016, 31 March 2017 and 31 March 2018. The defendant however filed an exception on 23 May 2019 on the ground that the plaintiff’s particulars of claim discloses no cause of action and is accrodingly excipiable. </w:t>
      </w:r>
    </w:p>
    <w:p w:rsidR="00031013" w:rsidRDefault="00031013" w:rsidP="00725CEA">
      <w:pPr>
        <w:spacing w:after="0" w:line="360" w:lineRule="auto"/>
        <w:jc w:val="both"/>
        <w:rPr>
          <w:rFonts w:ascii="Arial" w:hAnsi="Arial" w:cs="Arial"/>
          <w:sz w:val="24"/>
          <w:szCs w:val="24"/>
          <w:lang w:val="af-ZA" w:bidi="en-US"/>
        </w:rPr>
      </w:pPr>
    </w:p>
    <w:p w:rsidR="00031013" w:rsidRDefault="00031013" w:rsidP="00031013">
      <w:pPr>
        <w:spacing w:after="0" w:line="360" w:lineRule="auto"/>
        <w:jc w:val="both"/>
        <w:rPr>
          <w:rFonts w:ascii="Arial" w:hAnsi="Arial" w:cs="Arial"/>
          <w:sz w:val="24"/>
          <w:szCs w:val="24"/>
          <w:lang w:val="af-ZA" w:bidi="en-US"/>
        </w:rPr>
      </w:pPr>
      <w:r w:rsidRPr="00031013">
        <w:rPr>
          <w:rFonts w:ascii="Arial" w:hAnsi="Arial" w:cs="Arial"/>
          <w:sz w:val="24"/>
          <w:szCs w:val="24"/>
          <w:lang w:val="af-ZA" w:bidi="en-US"/>
        </w:rPr>
        <w:t>According to the plaintiff’s interpretation, the order of the Supreme Court replaced the order made by the High Court on 29 September 2016 with the clear intention to ensure that s 23(2)</w:t>
      </w:r>
      <w:r w:rsidRPr="00825090">
        <w:rPr>
          <w:rFonts w:ascii="Arial" w:hAnsi="Arial" w:cs="Arial"/>
          <w:i/>
          <w:sz w:val="24"/>
          <w:szCs w:val="24"/>
          <w:lang w:val="af-ZA" w:bidi="en-US"/>
        </w:rPr>
        <w:t>(a)</w:t>
      </w:r>
      <w:r w:rsidRPr="00031013">
        <w:rPr>
          <w:rFonts w:ascii="Arial" w:hAnsi="Arial" w:cs="Arial"/>
          <w:sz w:val="24"/>
          <w:szCs w:val="24"/>
          <w:lang w:val="af-ZA" w:bidi="en-US"/>
        </w:rPr>
        <w:t xml:space="preserve"> of the Act was declared unconstitutional with effect from 11 June 2018, </w:t>
      </w:r>
      <w:r>
        <w:rPr>
          <w:rFonts w:ascii="Arial" w:hAnsi="Arial" w:cs="Arial"/>
          <w:sz w:val="24"/>
          <w:szCs w:val="24"/>
          <w:lang w:val="af-ZA" w:bidi="en-US"/>
        </w:rPr>
        <w:t>being the date</w:t>
      </w:r>
      <w:r w:rsidRPr="00031013">
        <w:rPr>
          <w:rFonts w:ascii="Arial" w:hAnsi="Arial" w:cs="Arial"/>
          <w:sz w:val="24"/>
          <w:szCs w:val="24"/>
          <w:lang w:val="af-ZA" w:bidi="en-US"/>
        </w:rPr>
        <w:t xml:space="preserve"> the Supreme Court confirmed</w:t>
      </w:r>
      <w:r>
        <w:rPr>
          <w:rFonts w:ascii="Arial" w:hAnsi="Arial" w:cs="Arial"/>
          <w:sz w:val="24"/>
          <w:szCs w:val="24"/>
          <w:lang w:val="af-ZA" w:bidi="en-US"/>
        </w:rPr>
        <w:t xml:space="preserve"> the</w:t>
      </w:r>
      <w:r w:rsidRPr="00031013">
        <w:rPr>
          <w:rFonts w:ascii="Arial" w:hAnsi="Arial" w:cs="Arial"/>
          <w:sz w:val="24"/>
          <w:szCs w:val="24"/>
          <w:lang w:val="af-ZA" w:bidi="en-US"/>
        </w:rPr>
        <w:t xml:space="preserve"> unconstitutionality of the concerned section. The conflicting interpretation by the defendant is that the judgment date of the substituted order of the Supreme Court is 29 September 2016, which is the date of the High Court order for which it was substituted. According to the defendant </w:t>
      </w:r>
      <w:r>
        <w:rPr>
          <w:rFonts w:ascii="Arial" w:hAnsi="Arial" w:cs="Arial"/>
          <w:sz w:val="24"/>
          <w:szCs w:val="24"/>
          <w:lang w:val="af-ZA" w:bidi="en-US"/>
        </w:rPr>
        <w:t>the order of inva</w:t>
      </w:r>
      <w:r w:rsidRPr="00031013">
        <w:rPr>
          <w:rFonts w:ascii="Arial" w:hAnsi="Arial" w:cs="Arial"/>
          <w:sz w:val="24"/>
          <w:szCs w:val="24"/>
          <w:lang w:val="af-ZA" w:bidi="en-US"/>
        </w:rPr>
        <w:t>lidity of s 23(2)</w:t>
      </w:r>
      <w:r w:rsidRPr="00825090">
        <w:rPr>
          <w:rFonts w:ascii="Arial" w:hAnsi="Arial" w:cs="Arial"/>
          <w:i/>
          <w:sz w:val="24"/>
          <w:szCs w:val="24"/>
          <w:lang w:val="af-ZA" w:bidi="en-US"/>
        </w:rPr>
        <w:t>(a)</w:t>
      </w:r>
      <w:r w:rsidRPr="00031013">
        <w:rPr>
          <w:rFonts w:ascii="Arial" w:hAnsi="Arial" w:cs="Arial"/>
          <w:sz w:val="24"/>
          <w:szCs w:val="24"/>
          <w:lang w:val="af-ZA" w:bidi="en-US"/>
        </w:rPr>
        <w:t xml:space="preserve"> of the Act is thus 29 September 2016, which in turn causes</w:t>
      </w:r>
      <w:r>
        <w:rPr>
          <w:rFonts w:ascii="Arial" w:hAnsi="Arial" w:cs="Arial"/>
          <w:sz w:val="24"/>
          <w:szCs w:val="24"/>
          <w:lang w:val="af-ZA" w:bidi="en-US"/>
        </w:rPr>
        <w:t xml:space="preserve"> s </w:t>
      </w:r>
      <w:r w:rsidRPr="00031013">
        <w:rPr>
          <w:rFonts w:ascii="Arial" w:hAnsi="Arial" w:cs="Arial"/>
          <w:sz w:val="24"/>
          <w:szCs w:val="24"/>
          <w:lang w:val="af-ZA" w:bidi="en-US"/>
        </w:rPr>
        <w:t>23(2)</w:t>
      </w:r>
      <w:r w:rsidR="00825090">
        <w:rPr>
          <w:rFonts w:ascii="Arial" w:hAnsi="Arial" w:cs="Arial"/>
          <w:sz w:val="24"/>
          <w:szCs w:val="24"/>
          <w:lang w:val="af-ZA" w:bidi="en-US"/>
        </w:rPr>
        <w:t xml:space="preserve"> </w:t>
      </w:r>
      <w:r w:rsidRPr="00825090">
        <w:rPr>
          <w:rFonts w:ascii="Arial" w:hAnsi="Arial" w:cs="Arial"/>
          <w:i/>
          <w:sz w:val="24"/>
          <w:szCs w:val="24"/>
          <w:lang w:val="af-ZA" w:bidi="en-US"/>
        </w:rPr>
        <w:t>(a)</w:t>
      </w:r>
      <w:r w:rsidRPr="00031013">
        <w:rPr>
          <w:rFonts w:ascii="Arial" w:hAnsi="Arial" w:cs="Arial"/>
          <w:sz w:val="24"/>
          <w:szCs w:val="24"/>
          <w:lang w:val="af-ZA" w:bidi="en-US"/>
        </w:rPr>
        <w:t xml:space="preserve"> and the regulation, which was made thereunder, to be null and void since the substituted order dated 29 September 2016 and therefore any charge of regulatory levies for the period from 29 September 2016 premised on the s 23(2)</w:t>
      </w:r>
      <w:r w:rsidRPr="00825090">
        <w:rPr>
          <w:rFonts w:ascii="Arial" w:hAnsi="Arial" w:cs="Arial"/>
          <w:i/>
          <w:sz w:val="24"/>
          <w:szCs w:val="24"/>
          <w:lang w:val="af-ZA" w:bidi="en-US"/>
        </w:rPr>
        <w:t>(a)</w:t>
      </w:r>
      <w:r w:rsidRPr="00031013">
        <w:rPr>
          <w:rFonts w:ascii="Arial" w:hAnsi="Arial" w:cs="Arial"/>
          <w:sz w:val="24"/>
          <w:szCs w:val="24"/>
          <w:lang w:val="af-ZA" w:bidi="en-US"/>
        </w:rPr>
        <w:t xml:space="preserve"> of the Act and Regulations is unenforceable.</w:t>
      </w:r>
    </w:p>
    <w:p w:rsidR="00031013" w:rsidRDefault="00031013" w:rsidP="00031013">
      <w:pPr>
        <w:spacing w:after="0" w:line="360" w:lineRule="auto"/>
        <w:jc w:val="both"/>
        <w:rPr>
          <w:rFonts w:ascii="Arial" w:hAnsi="Arial" w:cs="Arial"/>
          <w:sz w:val="24"/>
          <w:szCs w:val="24"/>
          <w:lang w:val="af-ZA" w:bidi="en-US"/>
        </w:rPr>
      </w:pPr>
    </w:p>
    <w:p w:rsidR="00725CEA" w:rsidRPr="00725CEA" w:rsidRDefault="00031013" w:rsidP="00725CEA">
      <w:pPr>
        <w:spacing w:after="0" w:line="360" w:lineRule="auto"/>
        <w:jc w:val="both"/>
        <w:rPr>
          <w:rFonts w:ascii="Arial" w:hAnsi="Arial" w:cs="Arial"/>
          <w:sz w:val="24"/>
          <w:szCs w:val="24"/>
          <w:lang w:val="af-ZA" w:bidi="en-US"/>
        </w:rPr>
      </w:pPr>
      <w:r w:rsidRPr="00761060">
        <w:rPr>
          <w:rFonts w:ascii="Arial" w:hAnsi="Arial" w:cs="Arial"/>
          <w:i/>
          <w:sz w:val="24"/>
          <w:szCs w:val="24"/>
          <w:lang w:val="af-ZA" w:bidi="en-US"/>
        </w:rPr>
        <w:t>Held</w:t>
      </w:r>
      <w:r w:rsidRPr="00761060">
        <w:rPr>
          <w:rFonts w:ascii="Arial" w:hAnsi="Arial" w:cs="Arial"/>
          <w:sz w:val="24"/>
          <w:szCs w:val="24"/>
          <w:lang w:val="af-ZA" w:bidi="en-US"/>
        </w:rPr>
        <w:t xml:space="preserve"> that </w:t>
      </w:r>
      <w:r w:rsidR="00D4760F" w:rsidRPr="00761060">
        <w:rPr>
          <w:rFonts w:ascii="Arial" w:hAnsi="Arial" w:cs="Arial"/>
          <w:sz w:val="24"/>
          <w:szCs w:val="24"/>
          <w:lang w:val="af-ZA" w:bidi="en-US"/>
        </w:rPr>
        <w:t>the</w:t>
      </w:r>
      <w:r w:rsidR="00DD0085" w:rsidRPr="00761060">
        <w:rPr>
          <w:rFonts w:ascii="Arial" w:hAnsi="Arial" w:cs="Arial"/>
          <w:sz w:val="24"/>
          <w:szCs w:val="24"/>
          <w:lang w:val="af-ZA" w:bidi="en-US"/>
        </w:rPr>
        <w:t xml:space="preserve"> basic principles applicable to </w:t>
      </w:r>
      <w:r w:rsidR="00D4760F" w:rsidRPr="00761060">
        <w:rPr>
          <w:rFonts w:ascii="Arial" w:hAnsi="Arial" w:cs="Arial"/>
          <w:sz w:val="24"/>
          <w:szCs w:val="24"/>
          <w:lang w:val="af-ZA" w:bidi="en-US"/>
        </w:rPr>
        <w:t>construing documents also apply to the constructions</w:t>
      </w:r>
      <w:r w:rsidR="00761060" w:rsidRPr="00761060">
        <w:rPr>
          <w:rFonts w:ascii="Arial" w:hAnsi="Arial" w:cs="Arial"/>
          <w:sz w:val="24"/>
          <w:szCs w:val="24"/>
          <w:lang w:val="af-ZA" w:bidi="en-US"/>
        </w:rPr>
        <w:t xml:space="preserve"> of a court’s judgment or order. T</w:t>
      </w:r>
      <w:r w:rsidR="00D4760F" w:rsidRPr="00761060">
        <w:rPr>
          <w:rFonts w:ascii="Arial" w:hAnsi="Arial" w:cs="Arial"/>
          <w:sz w:val="24"/>
          <w:szCs w:val="24"/>
          <w:lang w:val="af-ZA" w:bidi="en-US"/>
        </w:rPr>
        <w:t>he court’s intention is to be ascertained primarily from the language of the judgment or order as construed according to the usual, well-known rule</w:t>
      </w:r>
      <w:r w:rsidR="00B9743B">
        <w:rPr>
          <w:rFonts w:ascii="Arial" w:hAnsi="Arial" w:cs="Arial"/>
          <w:sz w:val="24"/>
          <w:szCs w:val="24"/>
          <w:lang w:val="af-ZA" w:bidi="en-US"/>
        </w:rPr>
        <w:t xml:space="preserve">. </w:t>
      </w:r>
      <w:r w:rsidR="003836D7">
        <w:rPr>
          <w:rFonts w:ascii="Arial" w:hAnsi="Arial" w:cs="Arial"/>
          <w:sz w:val="24"/>
          <w:szCs w:val="24"/>
          <w:lang w:val="af-ZA" w:bidi="en-US"/>
        </w:rPr>
        <w:t>A</w:t>
      </w:r>
      <w:r w:rsidR="00B9743B" w:rsidRPr="00B9743B">
        <w:rPr>
          <w:rFonts w:ascii="Arial" w:hAnsi="Arial" w:cs="Arial"/>
          <w:sz w:val="24"/>
          <w:szCs w:val="24"/>
          <w:lang w:val="af-ZA" w:bidi="en-US"/>
        </w:rPr>
        <w:t>s in the case of a document, the judgment or order and the court’s reasons for giving it must be read as a whole in order to ascertain its intention. If, on such a reading, the meaning of the judgment or order is clear and unambigious, no extrinsic fact or evidence is admissible to contradict, vary, qualify, or supplement it.</w:t>
      </w:r>
    </w:p>
    <w:p w:rsidR="006A6C33" w:rsidRDefault="006A6C33" w:rsidP="005E4491">
      <w:pPr>
        <w:spacing w:after="0" w:line="360" w:lineRule="auto"/>
        <w:jc w:val="both"/>
        <w:rPr>
          <w:rFonts w:ascii="Arial" w:hAnsi="Arial" w:cs="Arial"/>
          <w:sz w:val="24"/>
          <w:szCs w:val="24"/>
        </w:rPr>
      </w:pPr>
    </w:p>
    <w:p w:rsidR="008F6064" w:rsidRDefault="008F6064" w:rsidP="005E4491">
      <w:pPr>
        <w:spacing w:after="0" w:line="360" w:lineRule="auto"/>
        <w:jc w:val="both"/>
        <w:rPr>
          <w:rFonts w:ascii="Arial" w:hAnsi="Arial" w:cs="Arial"/>
          <w:sz w:val="24"/>
          <w:szCs w:val="24"/>
          <w:lang w:val="en-GB"/>
        </w:rPr>
      </w:pPr>
      <w:r w:rsidRPr="008F6064">
        <w:rPr>
          <w:rFonts w:ascii="Arial" w:hAnsi="Arial" w:cs="Arial"/>
          <w:i/>
          <w:sz w:val="24"/>
          <w:szCs w:val="24"/>
        </w:rPr>
        <w:t xml:space="preserve">Held </w:t>
      </w:r>
      <w:r>
        <w:rPr>
          <w:rFonts w:ascii="Arial" w:hAnsi="Arial" w:cs="Arial"/>
          <w:sz w:val="24"/>
          <w:szCs w:val="24"/>
        </w:rPr>
        <w:t xml:space="preserve">that </w:t>
      </w:r>
      <w:r>
        <w:rPr>
          <w:rFonts w:ascii="Arial" w:hAnsi="Arial" w:cs="Arial"/>
          <w:sz w:val="24"/>
          <w:szCs w:val="24"/>
          <w:lang w:val="en-GB"/>
        </w:rPr>
        <w:t>f</w:t>
      </w:r>
      <w:r w:rsidRPr="008F6064">
        <w:rPr>
          <w:rFonts w:ascii="Arial" w:hAnsi="Arial" w:cs="Arial"/>
          <w:sz w:val="24"/>
          <w:szCs w:val="24"/>
          <w:lang w:val="en-US"/>
        </w:rPr>
        <w:t xml:space="preserve">rom reading the </w:t>
      </w:r>
      <w:r w:rsidR="00263F22">
        <w:rPr>
          <w:rFonts w:ascii="Arial" w:hAnsi="Arial" w:cs="Arial"/>
          <w:sz w:val="24"/>
          <w:szCs w:val="24"/>
          <w:lang w:val="en-US"/>
        </w:rPr>
        <w:t>reasoning</w:t>
      </w:r>
      <w:r w:rsidR="00F233BE">
        <w:rPr>
          <w:rFonts w:ascii="Arial" w:hAnsi="Arial" w:cs="Arial"/>
          <w:sz w:val="24"/>
          <w:szCs w:val="24"/>
          <w:lang w:val="en-US"/>
        </w:rPr>
        <w:t xml:space="preserve"> of the Supreme Court’s judgment</w:t>
      </w:r>
      <w:r w:rsidRPr="008F6064">
        <w:rPr>
          <w:rFonts w:ascii="Arial" w:hAnsi="Arial" w:cs="Arial"/>
          <w:sz w:val="24"/>
          <w:szCs w:val="24"/>
          <w:lang w:val="en-US"/>
        </w:rPr>
        <w:t xml:space="preserve"> </w:t>
      </w:r>
      <w:r w:rsidR="00F76A6C">
        <w:rPr>
          <w:rFonts w:ascii="Arial" w:hAnsi="Arial" w:cs="Arial"/>
          <w:sz w:val="24"/>
          <w:szCs w:val="24"/>
          <w:lang w:val="en-US"/>
        </w:rPr>
        <w:t>t</w:t>
      </w:r>
      <w:r w:rsidRPr="008F6064">
        <w:rPr>
          <w:rFonts w:ascii="Arial" w:hAnsi="Arial" w:cs="Arial"/>
          <w:sz w:val="24"/>
          <w:szCs w:val="24"/>
          <w:lang w:val="en-GB"/>
        </w:rPr>
        <w:t xml:space="preserve">he words that were used </w:t>
      </w:r>
      <w:r w:rsidR="00F233BE">
        <w:rPr>
          <w:rFonts w:ascii="Arial" w:hAnsi="Arial" w:cs="Arial"/>
          <w:sz w:val="24"/>
          <w:szCs w:val="24"/>
          <w:lang w:val="en-GB"/>
        </w:rPr>
        <w:t xml:space="preserve">by the </w:t>
      </w:r>
      <w:r w:rsidRPr="008F6064">
        <w:rPr>
          <w:rFonts w:ascii="Arial" w:hAnsi="Arial" w:cs="Arial"/>
          <w:sz w:val="24"/>
          <w:szCs w:val="24"/>
          <w:lang w:val="en-GB"/>
        </w:rPr>
        <w:t xml:space="preserve">Court were ordinary English dictionary words and do not appear to be of such a complicated nature to create ambiguity. </w:t>
      </w:r>
      <w:r w:rsidR="00B6182F">
        <w:rPr>
          <w:rFonts w:ascii="Arial" w:hAnsi="Arial" w:cs="Arial"/>
          <w:sz w:val="24"/>
          <w:szCs w:val="24"/>
          <w:lang w:val="en-GB"/>
        </w:rPr>
        <w:t>They should</w:t>
      </w:r>
      <w:r w:rsidRPr="008F6064">
        <w:rPr>
          <w:rFonts w:ascii="Arial" w:hAnsi="Arial" w:cs="Arial"/>
          <w:sz w:val="24"/>
          <w:szCs w:val="24"/>
          <w:lang w:val="en-GB"/>
        </w:rPr>
        <w:t xml:space="preserve"> be given the</w:t>
      </w:r>
      <w:r w:rsidR="00263F22">
        <w:rPr>
          <w:rFonts w:ascii="Arial" w:hAnsi="Arial" w:cs="Arial"/>
          <w:sz w:val="24"/>
          <w:szCs w:val="24"/>
          <w:lang w:val="en-GB"/>
        </w:rPr>
        <w:t>ir ordinary grammatical meaning</w:t>
      </w:r>
      <w:r w:rsidR="00F76A6C" w:rsidRPr="00F76A6C">
        <w:rPr>
          <w:rFonts w:ascii="Arial" w:hAnsi="Arial" w:cs="Arial"/>
          <w:sz w:val="24"/>
          <w:szCs w:val="24"/>
          <w:lang w:val="en-GB"/>
        </w:rPr>
        <w:t>.</w:t>
      </w:r>
      <w:r w:rsidR="00B6182F">
        <w:rPr>
          <w:rFonts w:ascii="Arial" w:hAnsi="Arial" w:cs="Arial"/>
          <w:sz w:val="24"/>
          <w:szCs w:val="24"/>
          <w:lang w:val="en-GB"/>
        </w:rPr>
        <w:t xml:space="preserve"> The </w:t>
      </w:r>
      <w:r w:rsidR="00F76A6C" w:rsidRPr="00F76A6C">
        <w:rPr>
          <w:rFonts w:ascii="Arial" w:hAnsi="Arial" w:cs="Arial"/>
          <w:sz w:val="24"/>
          <w:szCs w:val="24"/>
          <w:lang w:val="en-GB"/>
        </w:rPr>
        <w:t>words such as ‘confirmed by this court’, ‘from now’, ‘immediate effect after this judgment’ are direct and unmistakable and that the defendant’s interpretation would render the choice and use of words by the Supreme Court redundant.</w:t>
      </w:r>
    </w:p>
    <w:p w:rsidR="00380EC0" w:rsidRDefault="00380EC0" w:rsidP="005E4491">
      <w:pPr>
        <w:spacing w:after="0" w:line="360" w:lineRule="auto"/>
        <w:jc w:val="both"/>
        <w:rPr>
          <w:rFonts w:ascii="Arial" w:hAnsi="Arial" w:cs="Arial"/>
          <w:sz w:val="24"/>
          <w:szCs w:val="24"/>
          <w:lang w:val="en-GB"/>
        </w:rPr>
      </w:pPr>
    </w:p>
    <w:p w:rsidR="00380EC0" w:rsidRDefault="00380EC0" w:rsidP="005E4491">
      <w:pPr>
        <w:spacing w:after="0" w:line="360" w:lineRule="auto"/>
        <w:jc w:val="both"/>
        <w:rPr>
          <w:rFonts w:ascii="Arial" w:hAnsi="Arial" w:cs="Arial"/>
          <w:sz w:val="24"/>
          <w:szCs w:val="24"/>
          <w:lang w:val="en-GB"/>
        </w:rPr>
      </w:pPr>
    </w:p>
    <w:p w:rsidR="00365A6E" w:rsidRPr="005E4491" w:rsidRDefault="00365A6E" w:rsidP="005E4491">
      <w:pPr>
        <w:spacing w:after="0" w:line="360" w:lineRule="auto"/>
        <w:jc w:val="both"/>
        <w:rPr>
          <w:rFonts w:ascii="Arial" w:hAnsi="Arial" w:cs="Arial"/>
          <w:sz w:val="24"/>
          <w:szCs w:val="24"/>
        </w:rPr>
      </w:pPr>
    </w:p>
    <w:p w:rsidR="005A7609" w:rsidRPr="005E4491" w:rsidRDefault="005A7609" w:rsidP="005E4491">
      <w:pPr>
        <w:pBdr>
          <w:bottom w:val="single" w:sz="6" w:space="1" w:color="auto"/>
        </w:pBdr>
        <w:spacing w:after="0" w:line="360" w:lineRule="auto"/>
        <w:jc w:val="both"/>
        <w:rPr>
          <w:rFonts w:ascii="Arial" w:hAnsi="Arial" w:cs="Arial"/>
          <w:b/>
          <w:sz w:val="24"/>
          <w:szCs w:val="24"/>
        </w:rPr>
      </w:pPr>
    </w:p>
    <w:p w:rsidR="00505D1F" w:rsidRPr="005E4491" w:rsidRDefault="00505D1F" w:rsidP="00536DB1">
      <w:pPr>
        <w:spacing w:after="0" w:line="240" w:lineRule="auto"/>
        <w:jc w:val="both"/>
        <w:rPr>
          <w:rFonts w:ascii="Arial" w:hAnsi="Arial" w:cs="Arial"/>
          <w:b/>
          <w:sz w:val="24"/>
          <w:szCs w:val="24"/>
        </w:rPr>
      </w:pPr>
    </w:p>
    <w:p w:rsidR="00505D1F" w:rsidRPr="005E4491" w:rsidRDefault="00505D1F" w:rsidP="00536DB1">
      <w:pPr>
        <w:spacing w:after="0" w:line="240" w:lineRule="auto"/>
        <w:jc w:val="center"/>
        <w:rPr>
          <w:rFonts w:ascii="Arial" w:hAnsi="Arial" w:cs="Arial"/>
          <w:b/>
          <w:sz w:val="24"/>
          <w:szCs w:val="24"/>
        </w:rPr>
      </w:pPr>
      <w:r w:rsidRPr="005E4491">
        <w:rPr>
          <w:rFonts w:ascii="Arial" w:hAnsi="Arial" w:cs="Arial"/>
          <w:b/>
          <w:sz w:val="24"/>
          <w:szCs w:val="24"/>
        </w:rPr>
        <w:t>ORDER</w:t>
      </w:r>
    </w:p>
    <w:p w:rsidR="00505D1F" w:rsidRPr="005E4491" w:rsidRDefault="00505D1F" w:rsidP="00536DB1">
      <w:pPr>
        <w:pBdr>
          <w:bottom w:val="single" w:sz="6" w:space="1" w:color="auto"/>
        </w:pBdr>
        <w:spacing w:after="0" w:line="240" w:lineRule="auto"/>
        <w:jc w:val="both"/>
        <w:rPr>
          <w:rFonts w:ascii="Arial" w:hAnsi="Arial" w:cs="Arial"/>
          <w:b/>
          <w:sz w:val="24"/>
          <w:szCs w:val="24"/>
        </w:rPr>
      </w:pPr>
    </w:p>
    <w:p w:rsidR="00120982" w:rsidRPr="005E4491" w:rsidRDefault="00120982" w:rsidP="005E4491">
      <w:pPr>
        <w:tabs>
          <w:tab w:val="left" w:pos="4110"/>
        </w:tabs>
        <w:spacing w:after="0" w:line="360" w:lineRule="auto"/>
        <w:jc w:val="both"/>
        <w:rPr>
          <w:rFonts w:ascii="Arial" w:hAnsi="Arial" w:cs="Arial"/>
          <w:b/>
          <w:sz w:val="24"/>
          <w:szCs w:val="24"/>
        </w:rPr>
      </w:pPr>
    </w:p>
    <w:p w:rsidR="003D1980" w:rsidRPr="005E4491" w:rsidRDefault="003D1980" w:rsidP="003736C3">
      <w:pPr>
        <w:pStyle w:val="ListParagraph"/>
        <w:numPr>
          <w:ilvl w:val="0"/>
          <w:numId w:val="15"/>
        </w:numPr>
        <w:spacing w:after="0" w:line="360" w:lineRule="auto"/>
        <w:jc w:val="both"/>
        <w:rPr>
          <w:rFonts w:ascii="Arial" w:hAnsi="Arial" w:cs="Arial"/>
          <w:sz w:val="24"/>
          <w:szCs w:val="24"/>
        </w:rPr>
      </w:pPr>
      <w:r w:rsidRPr="005E4491">
        <w:rPr>
          <w:rFonts w:ascii="Arial" w:hAnsi="Arial" w:cs="Arial"/>
          <w:sz w:val="24"/>
          <w:szCs w:val="24"/>
        </w:rPr>
        <w:t>The second ground of exception raised by the excipient</w:t>
      </w:r>
      <w:r w:rsidR="00ED788D">
        <w:rPr>
          <w:rFonts w:ascii="Arial" w:hAnsi="Arial" w:cs="Arial"/>
          <w:sz w:val="24"/>
          <w:szCs w:val="24"/>
        </w:rPr>
        <w:t>/defendant</w:t>
      </w:r>
      <w:r w:rsidRPr="005E4491">
        <w:rPr>
          <w:rFonts w:ascii="Arial" w:hAnsi="Arial" w:cs="Arial"/>
          <w:sz w:val="24"/>
          <w:szCs w:val="24"/>
        </w:rPr>
        <w:t xml:space="preserve"> is dismissed with costs.</w:t>
      </w:r>
      <w:r w:rsidR="00697EF1">
        <w:rPr>
          <w:rFonts w:ascii="Arial" w:hAnsi="Arial" w:cs="Arial"/>
          <w:sz w:val="24"/>
          <w:szCs w:val="24"/>
        </w:rPr>
        <w:t xml:space="preserve"> Such costs </w:t>
      </w:r>
      <w:r w:rsidR="006E2E99">
        <w:rPr>
          <w:rFonts w:ascii="Arial" w:hAnsi="Arial" w:cs="Arial"/>
          <w:sz w:val="24"/>
          <w:szCs w:val="24"/>
        </w:rPr>
        <w:t>to include</w:t>
      </w:r>
      <w:r w:rsidR="00697EF1">
        <w:rPr>
          <w:rFonts w:ascii="Arial" w:hAnsi="Arial" w:cs="Arial"/>
          <w:sz w:val="24"/>
          <w:szCs w:val="24"/>
        </w:rPr>
        <w:t xml:space="preserve"> the costs</w:t>
      </w:r>
      <w:r w:rsidRPr="005E4491">
        <w:rPr>
          <w:rFonts w:ascii="Arial" w:hAnsi="Arial" w:cs="Arial"/>
          <w:sz w:val="24"/>
          <w:szCs w:val="24"/>
        </w:rPr>
        <w:t xml:space="preserve"> of two instructing counsel</w:t>
      </w:r>
      <w:r w:rsidR="003E2E10">
        <w:rPr>
          <w:rFonts w:ascii="Arial" w:hAnsi="Arial" w:cs="Arial"/>
          <w:sz w:val="24"/>
          <w:szCs w:val="24"/>
        </w:rPr>
        <w:t xml:space="preserve">, which is </w:t>
      </w:r>
      <w:r w:rsidRPr="005E4491">
        <w:rPr>
          <w:rFonts w:ascii="Arial" w:hAnsi="Arial" w:cs="Arial"/>
          <w:sz w:val="24"/>
          <w:szCs w:val="24"/>
        </w:rPr>
        <w:t>capped and limited to Rule 32(11).</w:t>
      </w:r>
    </w:p>
    <w:p w:rsidR="003D1980" w:rsidRPr="005E4491" w:rsidRDefault="003D1980" w:rsidP="003736C3">
      <w:pPr>
        <w:pStyle w:val="ListParagraph"/>
        <w:numPr>
          <w:ilvl w:val="0"/>
          <w:numId w:val="15"/>
        </w:numPr>
        <w:spacing w:after="0" w:line="360" w:lineRule="auto"/>
        <w:jc w:val="both"/>
        <w:rPr>
          <w:rFonts w:ascii="Arial" w:hAnsi="Arial" w:cs="Arial"/>
          <w:sz w:val="24"/>
          <w:szCs w:val="24"/>
        </w:rPr>
      </w:pPr>
      <w:r w:rsidRPr="005E4491">
        <w:rPr>
          <w:rFonts w:ascii="Arial" w:hAnsi="Arial" w:cs="Arial"/>
          <w:sz w:val="24"/>
          <w:szCs w:val="24"/>
        </w:rPr>
        <w:t xml:space="preserve">The matter is postponed </w:t>
      </w:r>
      <w:r w:rsidRPr="00DB27A1">
        <w:rPr>
          <w:rFonts w:ascii="Arial" w:hAnsi="Arial" w:cs="Arial"/>
          <w:sz w:val="24"/>
          <w:szCs w:val="24"/>
        </w:rPr>
        <w:t>to 29 October 2020 at 15h00 for further</w:t>
      </w:r>
      <w:r w:rsidRPr="005E4491">
        <w:rPr>
          <w:rFonts w:ascii="Arial" w:hAnsi="Arial" w:cs="Arial"/>
          <w:sz w:val="24"/>
          <w:szCs w:val="24"/>
        </w:rPr>
        <w:t xml:space="preserve"> Case Planning Conference.</w:t>
      </w:r>
    </w:p>
    <w:p w:rsidR="00120982" w:rsidRPr="005E4491" w:rsidRDefault="003D1980" w:rsidP="003736C3">
      <w:pPr>
        <w:pStyle w:val="ListParagraph"/>
        <w:numPr>
          <w:ilvl w:val="0"/>
          <w:numId w:val="15"/>
        </w:numPr>
        <w:spacing w:after="0" w:line="360" w:lineRule="auto"/>
        <w:jc w:val="both"/>
        <w:rPr>
          <w:rFonts w:ascii="Arial" w:hAnsi="Arial" w:cs="Arial"/>
          <w:sz w:val="24"/>
          <w:szCs w:val="24"/>
        </w:rPr>
      </w:pPr>
      <w:r w:rsidRPr="005E4491">
        <w:rPr>
          <w:rFonts w:ascii="Arial" w:hAnsi="Arial" w:cs="Arial"/>
          <w:sz w:val="24"/>
          <w:szCs w:val="24"/>
          <w:lang w:val="en-ZA"/>
        </w:rPr>
        <w:t>Further joint case plan must be filed on or before 26 October 2020.</w:t>
      </w:r>
    </w:p>
    <w:p w:rsidR="00505D1F" w:rsidRPr="005E4491" w:rsidRDefault="00505D1F" w:rsidP="00536DB1">
      <w:pPr>
        <w:spacing w:after="0" w:line="240" w:lineRule="auto"/>
        <w:jc w:val="both"/>
        <w:rPr>
          <w:rFonts w:ascii="Arial" w:hAnsi="Arial" w:cs="Arial"/>
        </w:rPr>
      </w:pPr>
      <w:r w:rsidRPr="005E4491">
        <w:rPr>
          <w:rFonts w:ascii="Arial" w:hAnsi="Arial" w:cs="Arial"/>
        </w:rPr>
        <w:t>_____________________________________________________</w:t>
      </w:r>
      <w:r w:rsidR="005150B4" w:rsidRPr="005E4491">
        <w:rPr>
          <w:rFonts w:ascii="Arial" w:hAnsi="Arial" w:cs="Arial"/>
        </w:rPr>
        <w:t>_______________________</w:t>
      </w:r>
    </w:p>
    <w:p w:rsidR="00E04F3D" w:rsidRPr="005E4491" w:rsidRDefault="00E04F3D" w:rsidP="00536DB1">
      <w:pPr>
        <w:spacing w:after="0" w:line="240" w:lineRule="auto"/>
        <w:jc w:val="both"/>
        <w:rPr>
          <w:rFonts w:ascii="Arial" w:hAnsi="Arial" w:cs="Arial"/>
          <w:b/>
          <w:sz w:val="24"/>
          <w:szCs w:val="24"/>
        </w:rPr>
      </w:pPr>
    </w:p>
    <w:p w:rsidR="00505D1F" w:rsidRPr="005E4491" w:rsidRDefault="004934D5" w:rsidP="00536DB1">
      <w:pPr>
        <w:spacing w:after="0" w:line="240" w:lineRule="auto"/>
        <w:jc w:val="center"/>
        <w:rPr>
          <w:rFonts w:ascii="Arial" w:hAnsi="Arial" w:cs="Arial"/>
          <w:b/>
          <w:sz w:val="24"/>
          <w:szCs w:val="24"/>
        </w:rPr>
      </w:pPr>
      <w:r w:rsidRPr="005E4491">
        <w:rPr>
          <w:rFonts w:ascii="Arial" w:hAnsi="Arial" w:cs="Arial"/>
          <w:b/>
          <w:sz w:val="24"/>
          <w:szCs w:val="24"/>
        </w:rPr>
        <w:t>RULING</w:t>
      </w:r>
    </w:p>
    <w:p w:rsidR="00E04F3D" w:rsidRPr="005E4491" w:rsidRDefault="00505D1F" w:rsidP="00536DB1">
      <w:pPr>
        <w:spacing w:after="0" w:line="240" w:lineRule="auto"/>
        <w:jc w:val="both"/>
        <w:rPr>
          <w:rFonts w:ascii="Arial" w:hAnsi="Arial" w:cs="Arial"/>
        </w:rPr>
      </w:pPr>
      <w:r w:rsidRPr="005E4491">
        <w:rPr>
          <w:rFonts w:ascii="Arial" w:hAnsi="Arial" w:cs="Arial"/>
        </w:rPr>
        <w:t>_____________________________________________________</w:t>
      </w:r>
      <w:r w:rsidR="005150B4" w:rsidRPr="005E4491">
        <w:rPr>
          <w:rFonts w:ascii="Arial" w:hAnsi="Arial" w:cs="Arial"/>
        </w:rPr>
        <w:t>_______________________</w:t>
      </w:r>
    </w:p>
    <w:p w:rsidR="007A627B" w:rsidRPr="005E4491" w:rsidRDefault="007A627B" w:rsidP="005E4491">
      <w:pPr>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PRINSLOO J</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t>The Parties</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w:t>
      </w:r>
      <w:r w:rsidRPr="005E4491">
        <w:rPr>
          <w:rFonts w:ascii="Arial" w:hAnsi="Arial" w:cs="Arial"/>
          <w:sz w:val="24"/>
          <w:szCs w:val="24"/>
          <w:lang w:val="af-ZA"/>
        </w:rPr>
        <w:tab/>
        <w:t>The plaintiff/respondent in this matter is the Communications Regulatory Authority of Namibia, established in terms of s 4(1) read with s 4(2) of the Communication Act 8 of 2009. The defendant/excipient is Telecom Namibia Ltd, a state-owned enterprise established in terms of s 2(1)</w:t>
      </w:r>
      <w:r w:rsidRPr="00825090">
        <w:rPr>
          <w:rFonts w:ascii="Arial" w:hAnsi="Arial" w:cs="Arial"/>
          <w:i/>
          <w:sz w:val="24"/>
          <w:szCs w:val="24"/>
          <w:lang w:val="af-ZA"/>
        </w:rPr>
        <w:t>(b)</w:t>
      </w:r>
      <w:r w:rsidRPr="005E4491">
        <w:rPr>
          <w:rFonts w:ascii="Arial" w:hAnsi="Arial" w:cs="Arial"/>
          <w:sz w:val="24"/>
          <w:szCs w:val="24"/>
          <w:lang w:val="af-ZA"/>
        </w:rPr>
        <w:t xml:space="preserve"> of the Post and Telecommunications Companies Establishment Act 17 of 1992.</w:t>
      </w:r>
      <w:r w:rsidRPr="005E4491">
        <w:rPr>
          <w:rFonts w:ascii="Arial" w:hAnsi="Arial" w:cs="Arial"/>
          <w:sz w:val="24"/>
          <w:szCs w:val="24"/>
          <w:vertAlign w:val="superscript"/>
          <w:lang w:val="af-ZA"/>
        </w:rPr>
        <w:footnoteReference w:id="1"/>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t>Background</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[2]</w:t>
      </w:r>
      <w:r w:rsidRPr="005E4491">
        <w:rPr>
          <w:rFonts w:ascii="Arial" w:hAnsi="Arial" w:cs="Arial"/>
          <w:sz w:val="24"/>
          <w:szCs w:val="24"/>
          <w:lang w:val="af-ZA"/>
        </w:rPr>
        <w:tab/>
        <w:t>During 2013 the defendant instituted proceedings in the High Court against the plaintiff</w:t>
      </w:r>
      <w:r w:rsidR="00825090">
        <w:rPr>
          <w:rFonts w:ascii="Arial" w:hAnsi="Arial" w:cs="Arial"/>
          <w:sz w:val="24"/>
          <w:szCs w:val="24"/>
          <w:lang w:val="af-ZA"/>
        </w:rPr>
        <w:t>,</w:t>
      </w:r>
      <w:r w:rsidRPr="005E4491">
        <w:rPr>
          <w:rFonts w:ascii="Arial" w:hAnsi="Arial" w:cs="Arial"/>
          <w:sz w:val="24"/>
          <w:szCs w:val="24"/>
          <w:vertAlign w:val="superscript"/>
          <w:lang w:val="af-ZA"/>
        </w:rPr>
        <w:footnoteReference w:id="2"/>
      </w:r>
      <w:r w:rsidRPr="005E4491">
        <w:rPr>
          <w:rFonts w:ascii="Arial" w:hAnsi="Arial" w:cs="Arial"/>
          <w:sz w:val="24"/>
          <w:szCs w:val="24"/>
          <w:lang w:val="af-ZA"/>
        </w:rPr>
        <w:t xml:space="preserve"> Minister of Information, Communication and Technology, the Government of Namibia and the Attorney General seeking an order declaring s 23(</w:t>
      </w:r>
      <w:r w:rsidR="006B7106">
        <w:rPr>
          <w:rFonts w:ascii="Arial" w:hAnsi="Arial" w:cs="Arial"/>
          <w:sz w:val="24"/>
          <w:szCs w:val="24"/>
          <w:lang w:val="af-ZA"/>
        </w:rPr>
        <w:t>2)</w:t>
      </w:r>
      <w:r w:rsidR="006B7106" w:rsidRPr="00825090">
        <w:rPr>
          <w:rFonts w:ascii="Arial" w:hAnsi="Arial" w:cs="Arial"/>
          <w:i/>
          <w:sz w:val="24"/>
          <w:szCs w:val="24"/>
          <w:lang w:val="af-ZA"/>
        </w:rPr>
        <w:t>(a)</w:t>
      </w:r>
      <w:r w:rsidR="006B7106">
        <w:rPr>
          <w:rFonts w:ascii="Arial" w:hAnsi="Arial" w:cs="Arial"/>
          <w:sz w:val="24"/>
          <w:szCs w:val="24"/>
          <w:lang w:val="af-ZA"/>
        </w:rPr>
        <w:t xml:space="preserve"> of the </w:t>
      </w:r>
      <w:r w:rsidR="006B7106">
        <w:rPr>
          <w:rFonts w:ascii="Arial" w:hAnsi="Arial" w:cs="Arial"/>
          <w:sz w:val="24"/>
          <w:szCs w:val="24"/>
          <w:lang w:val="af-ZA"/>
        </w:rPr>
        <w:lastRenderedPageBreak/>
        <w:t>Communications Act</w:t>
      </w:r>
      <w:r w:rsidR="006B7106">
        <w:rPr>
          <w:rStyle w:val="FootnoteReference"/>
          <w:rFonts w:ascii="Arial" w:hAnsi="Arial" w:cs="Arial"/>
          <w:sz w:val="24"/>
          <w:szCs w:val="24"/>
          <w:lang w:val="af-ZA"/>
        </w:rPr>
        <w:footnoteReference w:id="3"/>
      </w:r>
      <w:r w:rsidRPr="005E4491">
        <w:rPr>
          <w:rFonts w:ascii="Arial" w:hAnsi="Arial" w:cs="Arial"/>
          <w:sz w:val="24"/>
          <w:szCs w:val="24"/>
          <w:lang w:val="af-ZA"/>
        </w:rPr>
        <w:t xml:space="preserve"> (the Act) as unconstitutional as it constituted the imposition of tax by the plaintiff as opposed to regulatory levies for defraying its expenses.</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[3]</w:t>
      </w:r>
      <w:r w:rsidRPr="005E4491">
        <w:rPr>
          <w:rFonts w:ascii="Arial" w:hAnsi="Arial" w:cs="Arial"/>
          <w:sz w:val="24"/>
          <w:szCs w:val="24"/>
          <w:lang w:val="af-ZA"/>
        </w:rPr>
        <w:tab/>
        <w:t>On 29 September 2016 the High Court made an order to the effect that s 23(2)</w:t>
      </w:r>
      <w:r w:rsidRPr="00825090">
        <w:rPr>
          <w:rFonts w:ascii="Arial" w:hAnsi="Arial" w:cs="Arial"/>
          <w:i/>
          <w:sz w:val="24"/>
          <w:szCs w:val="24"/>
          <w:lang w:val="af-ZA"/>
        </w:rPr>
        <w:t>(a)</w:t>
      </w:r>
      <w:r w:rsidRPr="005E4491">
        <w:rPr>
          <w:rFonts w:ascii="Arial" w:hAnsi="Arial" w:cs="Arial"/>
          <w:sz w:val="24"/>
          <w:szCs w:val="24"/>
          <w:lang w:val="af-ZA"/>
        </w:rPr>
        <w:t xml:space="preserve"> of the Act and the regulations made thereunder was unconstitutional and invalid</w:t>
      </w:r>
      <w:r w:rsidR="00825090">
        <w:rPr>
          <w:rFonts w:ascii="Arial" w:hAnsi="Arial" w:cs="Arial"/>
          <w:sz w:val="24"/>
          <w:szCs w:val="24"/>
          <w:lang w:val="af-ZA"/>
        </w:rPr>
        <w:t>.</w:t>
      </w:r>
      <w:r w:rsidRPr="005E4491">
        <w:rPr>
          <w:rFonts w:ascii="Arial" w:hAnsi="Arial" w:cs="Arial"/>
          <w:sz w:val="24"/>
          <w:szCs w:val="24"/>
          <w:vertAlign w:val="superscript"/>
          <w:lang w:val="af-ZA"/>
        </w:rPr>
        <w:footnoteReference w:id="4"/>
      </w:r>
      <w:r w:rsidRPr="005E4491">
        <w:rPr>
          <w:rFonts w:ascii="Arial" w:hAnsi="Arial" w:cs="Arial"/>
          <w:sz w:val="24"/>
          <w:szCs w:val="24"/>
          <w:lang w:val="af-ZA"/>
        </w:rPr>
        <w:t xml:space="preserve"> The plaintiff appealed to the Supreme Court against the judgment and order of the High Court. Subsequent to this judgment </w:t>
      </w:r>
      <w:r w:rsidRPr="005E4491">
        <w:rPr>
          <w:rFonts w:ascii="Arial" w:hAnsi="Arial" w:cs="Arial"/>
          <w:sz w:val="24"/>
          <w:szCs w:val="24"/>
          <w:lang w:val="en-US"/>
        </w:rPr>
        <w:t>Mobile Telecommunications Limited</w:t>
      </w:r>
      <w:r w:rsidRPr="005E4491">
        <w:rPr>
          <w:rFonts w:ascii="Arial" w:hAnsi="Arial" w:cs="Arial"/>
          <w:sz w:val="24"/>
          <w:szCs w:val="24"/>
          <w:lang w:val="af-ZA"/>
        </w:rPr>
        <w:t xml:space="preserve"> (herein referred to as MTC), who was not a party to the defendant’s constitutional challenge in the High Court joined the proceedings in the Supreme Court. </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[4]</w:t>
      </w:r>
      <w:r w:rsidRPr="005E4491">
        <w:rPr>
          <w:rFonts w:ascii="Arial" w:hAnsi="Arial" w:cs="Arial"/>
          <w:sz w:val="24"/>
          <w:szCs w:val="24"/>
          <w:lang w:val="af-ZA"/>
        </w:rPr>
        <w:tab/>
        <w:t>The appeal was heard and the Supreme Court delivered its judgment on 11 June 2018</w:t>
      </w:r>
      <w:r w:rsidRPr="005E4491">
        <w:rPr>
          <w:rFonts w:ascii="Arial" w:hAnsi="Arial" w:cs="Arial"/>
          <w:sz w:val="24"/>
          <w:szCs w:val="24"/>
          <w:vertAlign w:val="superscript"/>
          <w:lang w:val="af-ZA"/>
        </w:rPr>
        <w:footnoteReference w:id="5"/>
      </w:r>
      <w:r w:rsidRPr="005E4491">
        <w:rPr>
          <w:rFonts w:ascii="Arial" w:hAnsi="Arial" w:cs="Arial"/>
          <w:sz w:val="24"/>
          <w:szCs w:val="24"/>
          <w:lang w:val="af-ZA"/>
        </w:rPr>
        <w:t xml:space="preserve"> wherein it found that the levy imposed by the plaintiff did not constitute imposition of taxation. The Court further proceeded to consider whether or not s 23(2)</w:t>
      </w:r>
      <w:r w:rsidRPr="00825090">
        <w:rPr>
          <w:rFonts w:ascii="Arial" w:hAnsi="Arial" w:cs="Arial"/>
          <w:i/>
          <w:sz w:val="24"/>
          <w:szCs w:val="24"/>
          <w:lang w:val="af-ZA"/>
        </w:rPr>
        <w:t>(a)</w:t>
      </w:r>
      <w:r w:rsidRPr="005E4491">
        <w:rPr>
          <w:rFonts w:ascii="Arial" w:hAnsi="Arial" w:cs="Arial"/>
          <w:sz w:val="24"/>
          <w:szCs w:val="24"/>
          <w:lang w:val="af-ZA"/>
        </w:rPr>
        <w:t xml:space="preserve"> of the Act and regulations was unconstitutional and  and found that it was unconstitutionarl on the basis that it delegates uncircumscribed discretion and powers to the plaintiff. Section 23(2)</w:t>
      </w:r>
      <w:r w:rsidRPr="00825090">
        <w:rPr>
          <w:rFonts w:ascii="Arial" w:hAnsi="Arial" w:cs="Arial"/>
          <w:i/>
          <w:sz w:val="24"/>
          <w:szCs w:val="24"/>
          <w:lang w:val="af-ZA"/>
        </w:rPr>
        <w:t>(a)</w:t>
      </w:r>
      <w:r w:rsidRPr="005E4491">
        <w:rPr>
          <w:rFonts w:ascii="Arial" w:hAnsi="Arial" w:cs="Arial"/>
          <w:sz w:val="24"/>
          <w:szCs w:val="24"/>
          <w:lang w:val="af-ZA"/>
        </w:rPr>
        <w:t xml:space="preserve"> was accordingly struck down. The Supreme Court also dealt with the consequences arising from the order it made in respect of the unconstitutional nature and invalidity of the related provisions of the Act and regulations under paras 94 to 112 of the judgment.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[5]</w:t>
      </w:r>
      <w:r w:rsidRPr="005E4491">
        <w:rPr>
          <w:rFonts w:ascii="Arial" w:hAnsi="Arial" w:cs="Arial"/>
          <w:sz w:val="24"/>
          <w:szCs w:val="24"/>
          <w:lang w:val="af-ZA"/>
        </w:rPr>
        <w:tab/>
        <w:t>The order made by the Supreme Court reads as follow:</w:t>
      </w:r>
      <w:r w:rsidRPr="005E4491">
        <w:rPr>
          <w:rFonts w:ascii="Arial" w:hAnsi="Arial" w:cs="Arial"/>
          <w:sz w:val="24"/>
          <w:szCs w:val="24"/>
          <w:vertAlign w:val="superscript"/>
          <w:lang w:val="af-ZA"/>
        </w:rPr>
        <w:footnoteReference w:id="6"/>
      </w:r>
      <w:r w:rsidRPr="005E4491">
        <w:rPr>
          <w:rFonts w:ascii="Arial" w:hAnsi="Arial" w:cs="Arial"/>
          <w:sz w:val="24"/>
          <w:szCs w:val="24"/>
          <w:lang w:val="af-ZA"/>
        </w:rPr>
        <w:t xml:space="preserve"> </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FD54D6">
      <w:pPr>
        <w:numPr>
          <w:ilvl w:val="0"/>
          <w:numId w:val="27"/>
        </w:numPr>
        <w:tabs>
          <w:tab w:val="left" w:pos="720"/>
          <w:tab w:val="left" w:pos="1080"/>
        </w:tabs>
        <w:spacing w:after="0" w:line="360" w:lineRule="auto"/>
        <w:ind w:left="720" w:firstLine="360"/>
        <w:jc w:val="both"/>
        <w:rPr>
          <w:rFonts w:ascii="Arial" w:hAnsi="Arial" w:cs="Arial"/>
          <w:lang w:val="af-ZA"/>
        </w:rPr>
      </w:pPr>
      <w:r w:rsidRPr="005E4491">
        <w:rPr>
          <w:rFonts w:ascii="Arial" w:hAnsi="Arial" w:cs="Arial"/>
          <w:lang w:val="af-ZA"/>
        </w:rPr>
        <w:t>‘The appeal succeeds and the order of the High Court is set aside and substituted for the following:</w:t>
      </w:r>
    </w:p>
    <w:p w:rsidR="003D1980" w:rsidRPr="005E4491" w:rsidRDefault="003D1980" w:rsidP="005E4491">
      <w:pPr>
        <w:tabs>
          <w:tab w:val="left" w:pos="720"/>
          <w:tab w:val="left" w:pos="1380"/>
        </w:tabs>
        <w:spacing w:after="0" w:line="360" w:lineRule="auto"/>
        <w:jc w:val="both"/>
        <w:rPr>
          <w:rFonts w:ascii="Arial" w:hAnsi="Arial" w:cs="Arial"/>
          <w:lang w:val="af-ZA"/>
        </w:rPr>
      </w:pPr>
    </w:p>
    <w:p w:rsidR="003D1980" w:rsidRPr="005E4491" w:rsidRDefault="003D1980" w:rsidP="005E4491">
      <w:pPr>
        <w:numPr>
          <w:ilvl w:val="0"/>
          <w:numId w:val="26"/>
        </w:numPr>
        <w:tabs>
          <w:tab w:val="left" w:pos="720"/>
          <w:tab w:val="left" w:pos="1380"/>
        </w:tabs>
        <w:spacing w:after="0" w:line="360" w:lineRule="auto"/>
        <w:jc w:val="both"/>
        <w:rPr>
          <w:rFonts w:ascii="Arial" w:hAnsi="Arial" w:cs="Arial"/>
          <w:lang w:val="af-ZA"/>
        </w:rPr>
      </w:pPr>
      <w:r w:rsidRPr="005E4491">
        <w:rPr>
          <w:rFonts w:ascii="Arial" w:hAnsi="Arial" w:cs="Arial"/>
          <w:lang w:val="af-ZA"/>
        </w:rPr>
        <w:t>“Section 23(2)(a) of the Communications Act 8 of 2009 is declared unconstitutional and is hereby struck down;</w:t>
      </w:r>
    </w:p>
    <w:p w:rsidR="003D1980" w:rsidRPr="005E4491" w:rsidRDefault="003D1980" w:rsidP="005E4491">
      <w:pPr>
        <w:numPr>
          <w:ilvl w:val="0"/>
          <w:numId w:val="26"/>
        </w:numPr>
        <w:tabs>
          <w:tab w:val="left" w:pos="720"/>
          <w:tab w:val="left" w:pos="1380"/>
        </w:tabs>
        <w:spacing w:after="0" w:line="360" w:lineRule="auto"/>
        <w:jc w:val="both"/>
        <w:rPr>
          <w:rFonts w:ascii="Arial" w:hAnsi="Arial" w:cs="Arial"/>
          <w:lang w:val="af-ZA"/>
        </w:rPr>
      </w:pPr>
      <w:r w:rsidRPr="005E4491">
        <w:rPr>
          <w:rFonts w:ascii="Arial" w:hAnsi="Arial" w:cs="Arial"/>
          <w:lang w:val="af-ZA"/>
        </w:rPr>
        <w:lastRenderedPageBreak/>
        <w:t>Subject to para (c) below, the order of invalidity in para (a)  will take effect from the date of this judgment and shall have no retrospective effect in respect of anything done pursuant thereto prior to the said date.</w:t>
      </w:r>
    </w:p>
    <w:p w:rsidR="003D1980" w:rsidRPr="005E4491" w:rsidRDefault="003D1980" w:rsidP="005E4491">
      <w:pPr>
        <w:numPr>
          <w:ilvl w:val="0"/>
          <w:numId w:val="26"/>
        </w:numPr>
        <w:tabs>
          <w:tab w:val="left" w:pos="720"/>
          <w:tab w:val="left" w:pos="1380"/>
        </w:tabs>
        <w:spacing w:after="0" w:line="360" w:lineRule="auto"/>
        <w:jc w:val="both"/>
        <w:rPr>
          <w:rFonts w:ascii="Arial" w:hAnsi="Arial" w:cs="Arial"/>
          <w:lang w:val="af-ZA"/>
        </w:rPr>
      </w:pPr>
      <w:r w:rsidRPr="005E4491">
        <w:rPr>
          <w:rFonts w:ascii="Arial" w:hAnsi="Arial" w:cs="Arial"/>
          <w:lang w:val="af-ZA"/>
        </w:rPr>
        <w:t>Telecom shall not be liable to pay any levy imposed covering a period before the coming into force of Item 6 of the Regulations Regarding Administrative and Licence Fees for Service Licences, published as GN 311 in GG 5037 on 13 September 2012.</w:t>
      </w:r>
    </w:p>
    <w:p w:rsidR="003D1980" w:rsidRPr="005E4491" w:rsidRDefault="003D1980" w:rsidP="005E4491">
      <w:pPr>
        <w:numPr>
          <w:ilvl w:val="0"/>
          <w:numId w:val="26"/>
        </w:numPr>
        <w:tabs>
          <w:tab w:val="left" w:pos="720"/>
          <w:tab w:val="left" w:pos="1380"/>
        </w:tabs>
        <w:spacing w:after="0" w:line="360" w:lineRule="auto"/>
        <w:jc w:val="both"/>
        <w:rPr>
          <w:rFonts w:ascii="Arial" w:hAnsi="Arial" w:cs="Arial"/>
          <w:lang w:val="af-ZA"/>
        </w:rPr>
      </w:pPr>
      <w:r w:rsidRPr="005E4491">
        <w:rPr>
          <w:rFonts w:ascii="Arial" w:hAnsi="Arial" w:cs="Arial"/>
          <w:lang w:val="af-ZA"/>
        </w:rPr>
        <w:t>There i</w:t>
      </w:r>
      <w:r w:rsidR="00825090">
        <w:rPr>
          <w:rFonts w:ascii="Arial" w:hAnsi="Arial" w:cs="Arial"/>
          <w:lang w:val="af-ZA"/>
        </w:rPr>
        <w:t>s no order in respect of costs.”</w:t>
      </w:r>
    </w:p>
    <w:p w:rsidR="003D1980" w:rsidRPr="005E4491" w:rsidRDefault="003D1980" w:rsidP="005E4491">
      <w:pPr>
        <w:tabs>
          <w:tab w:val="left" w:pos="720"/>
          <w:tab w:val="left" w:pos="1380"/>
        </w:tabs>
        <w:spacing w:after="0" w:line="360" w:lineRule="auto"/>
        <w:jc w:val="both"/>
        <w:rPr>
          <w:rFonts w:ascii="Arial" w:hAnsi="Arial" w:cs="Arial"/>
          <w:lang w:val="af-ZA"/>
        </w:rPr>
      </w:pPr>
    </w:p>
    <w:p w:rsidR="003D1980" w:rsidRPr="00825090" w:rsidRDefault="003D1980" w:rsidP="00825090">
      <w:pPr>
        <w:pStyle w:val="ListParagraph"/>
        <w:numPr>
          <w:ilvl w:val="0"/>
          <w:numId w:val="27"/>
        </w:numPr>
        <w:tabs>
          <w:tab w:val="left" w:pos="720"/>
          <w:tab w:val="left" w:pos="1380"/>
        </w:tabs>
        <w:spacing w:after="0" w:line="360" w:lineRule="auto"/>
        <w:jc w:val="both"/>
        <w:rPr>
          <w:rFonts w:ascii="Arial" w:hAnsi="Arial" w:cs="Arial"/>
          <w:lang w:val="af-ZA"/>
        </w:rPr>
      </w:pPr>
      <w:r w:rsidRPr="00825090">
        <w:rPr>
          <w:rFonts w:ascii="Arial" w:hAnsi="Arial" w:cs="Arial"/>
          <w:lang w:val="af-ZA"/>
        </w:rPr>
        <w:t xml:space="preserve">There shall be no order as to costs in the appeal and each </w:t>
      </w:r>
      <w:r w:rsidR="00DA02D3" w:rsidRPr="00825090">
        <w:rPr>
          <w:rFonts w:ascii="Arial" w:hAnsi="Arial" w:cs="Arial"/>
          <w:lang w:val="af-ZA"/>
        </w:rPr>
        <w:t>party shall bear its own costs.</w:t>
      </w:r>
      <w:r w:rsidRPr="00825090">
        <w:rPr>
          <w:rFonts w:ascii="Arial" w:hAnsi="Arial" w:cs="Arial"/>
          <w:lang w:val="af-ZA"/>
        </w:rPr>
        <w: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[6]</w:t>
      </w:r>
      <w:r w:rsidRPr="005E4491">
        <w:rPr>
          <w:rFonts w:ascii="Arial" w:hAnsi="Arial" w:cs="Arial"/>
          <w:sz w:val="24"/>
          <w:szCs w:val="24"/>
          <w:lang w:val="af-ZA"/>
        </w:rPr>
        <w:tab/>
        <w:t>However, subsequent to the Supreme Court’s order a dispute arose between the parties with regard to the meaning and the import of the order read with paras 94 to 112 of the judgment.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[7]</w:t>
      </w:r>
      <w:r w:rsidRPr="005E4491">
        <w:rPr>
          <w:rFonts w:ascii="Arial" w:hAnsi="Arial" w:cs="Arial"/>
          <w:sz w:val="24"/>
          <w:szCs w:val="24"/>
          <w:lang w:val="af-ZA"/>
        </w:rPr>
        <w:tab/>
        <w:t xml:space="preserve">Based on its understanding of the Supreme Court order, the plaintiff then proceeded to institute action against the defendant on 29 March 2019 for payment of levies and related charges in an amount of N$ 66 559 010, which comprises of regulatory levy due as at 31 March 2016, 31 March 2017 and 31 March 2018. The defendant however filed an exception on 23 May 2019 on the ground that the plaintiff’s particulars of claim discloses no cause of action and is accrodingly excipiable. The execption could however not be heard at the time as the plaintiff filed an application at the Supreme Court requesting the Court to interpret and make the order clear for the parties if found ambiguous, however the Supreme Court declined to entertain the application. </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825090" w:rsidP="005E4491">
      <w:pPr>
        <w:tabs>
          <w:tab w:val="left" w:pos="720"/>
          <w:tab w:val="left" w:pos="1380"/>
        </w:tabs>
        <w:spacing w:after="0" w:line="360" w:lineRule="auto"/>
        <w:jc w:val="both"/>
        <w:rPr>
          <w:rFonts w:ascii="Arial" w:hAnsi="Arial" w:cs="Arial"/>
          <w:sz w:val="24"/>
          <w:szCs w:val="24"/>
          <w:lang w:val="af-ZA"/>
        </w:rPr>
      </w:pPr>
      <w:r>
        <w:rPr>
          <w:rFonts w:ascii="Arial" w:hAnsi="Arial" w:cs="Arial"/>
          <w:sz w:val="24"/>
          <w:szCs w:val="24"/>
          <w:lang w:val="af-ZA"/>
        </w:rPr>
        <w:t>[8]</w:t>
      </w:r>
      <w:r>
        <w:rPr>
          <w:rFonts w:ascii="Arial" w:hAnsi="Arial" w:cs="Arial"/>
          <w:sz w:val="24"/>
          <w:szCs w:val="24"/>
          <w:lang w:val="af-ZA"/>
        </w:rPr>
        <w:tab/>
      </w:r>
      <w:r w:rsidR="003D1980" w:rsidRPr="005E4491">
        <w:rPr>
          <w:rFonts w:ascii="Arial" w:hAnsi="Arial" w:cs="Arial"/>
          <w:sz w:val="24"/>
          <w:szCs w:val="24"/>
          <w:lang w:val="af-ZA"/>
        </w:rPr>
        <w:t xml:space="preserve">After the Supreme Court’s decision to decline to interepret the order , the plaintiff filed a stay of poceedings applicaton, pending the oucome of the decison of the stated </w:t>
      </w:r>
      <w:r w:rsidR="003D1980" w:rsidRPr="005E4491">
        <w:rPr>
          <w:rFonts w:ascii="Arial" w:hAnsi="Arial" w:cs="Arial"/>
          <w:sz w:val="24"/>
          <w:szCs w:val="24"/>
          <w:lang w:val="af-ZA"/>
        </w:rPr>
        <w:lastRenderedPageBreak/>
        <w:t>case filed between the plaintiff and MTC</w:t>
      </w:r>
      <w:r>
        <w:rPr>
          <w:rFonts w:ascii="Arial" w:hAnsi="Arial" w:cs="Arial"/>
          <w:sz w:val="24"/>
          <w:szCs w:val="24"/>
          <w:lang w:val="af-ZA"/>
        </w:rPr>
        <w:t>,</w:t>
      </w:r>
      <w:r w:rsidR="003D1980" w:rsidRPr="005E4491">
        <w:rPr>
          <w:rFonts w:ascii="Arial" w:hAnsi="Arial" w:cs="Arial"/>
          <w:sz w:val="24"/>
          <w:szCs w:val="24"/>
          <w:vertAlign w:val="superscript"/>
          <w:lang w:val="af-ZA"/>
        </w:rPr>
        <w:footnoteReference w:id="7"/>
      </w:r>
      <w:r w:rsidR="00B47E63">
        <w:rPr>
          <w:rFonts w:ascii="Arial" w:hAnsi="Arial" w:cs="Arial"/>
          <w:sz w:val="24"/>
          <w:szCs w:val="24"/>
          <w:lang w:val="af-ZA"/>
        </w:rPr>
        <w:t xml:space="preserve"> </w:t>
      </w:r>
      <w:r w:rsidR="003D1980" w:rsidRPr="005E4491">
        <w:rPr>
          <w:rFonts w:ascii="Arial" w:hAnsi="Arial" w:cs="Arial"/>
          <w:sz w:val="24"/>
          <w:szCs w:val="24"/>
          <w:lang w:val="af-ZA"/>
        </w:rPr>
        <w:t>which application  was refused by this court on 16 June 2020</w:t>
      </w:r>
      <w:r>
        <w:rPr>
          <w:rFonts w:ascii="Arial" w:hAnsi="Arial" w:cs="Arial"/>
          <w:sz w:val="24"/>
          <w:szCs w:val="24"/>
          <w:lang w:val="af-ZA"/>
        </w:rPr>
        <w:t>.</w:t>
      </w:r>
      <w:r w:rsidR="003D1980" w:rsidRPr="005E4491">
        <w:rPr>
          <w:rFonts w:ascii="Arial" w:hAnsi="Arial" w:cs="Arial"/>
          <w:sz w:val="24"/>
          <w:szCs w:val="24"/>
          <w:vertAlign w:val="superscript"/>
          <w:lang w:val="af-ZA"/>
        </w:rPr>
        <w:footnoteReference w:id="8"/>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t>The application in casu</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[9]</w:t>
      </w:r>
      <w:r w:rsidRPr="005E4491">
        <w:rPr>
          <w:rFonts w:ascii="Arial" w:hAnsi="Arial" w:cs="Arial"/>
          <w:sz w:val="24"/>
          <w:szCs w:val="24"/>
          <w:lang w:val="af-ZA"/>
        </w:rPr>
        <w:tab/>
        <w:t>The defendant raised two grounds of exception, the first being that the plaintiff relies on s 23(1) of the Act which authorises the plaintiff to impose a levy by regulation, after having followed a rule making procedure, the latter being prescribed for pur</w:t>
      </w:r>
      <w:r w:rsidR="00C00C17">
        <w:rPr>
          <w:rFonts w:ascii="Arial" w:hAnsi="Arial" w:cs="Arial"/>
          <w:sz w:val="24"/>
          <w:szCs w:val="24"/>
          <w:lang w:val="af-ZA"/>
        </w:rPr>
        <w:t>poses of making</w:t>
      </w:r>
      <w:r w:rsidRPr="005E4491">
        <w:rPr>
          <w:rFonts w:ascii="Arial" w:hAnsi="Arial" w:cs="Arial"/>
          <w:sz w:val="24"/>
          <w:szCs w:val="24"/>
          <w:lang w:val="af-ZA"/>
        </w:rPr>
        <w:t xml:space="preserve"> regulations to impse regulatory levy. </w:t>
      </w:r>
      <w:r w:rsidR="00C00C17">
        <w:rPr>
          <w:rFonts w:ascii="Arial" w:hAnsi="Arial" w:cs="Arial"/>
          <w:sz w:val="24"/>
          <w:szCs w:val="24"/>
          <w:lang w:val="af-ZA"/>
        </w:rPr>
        <w:t>Defendant h</w:t>
      </w:r>
      <w:r w:rsidRPr="005E4491">
        <w:rPr>
          <w:rFonts w:ascii="Arial" w:hAnsi="Arial" w:cs="Arial"/>
          <w:sz w:val="24"/>
          <w:szCs w:val="24"/>
          <w:lang w:val="af-ZA"/>
        </w:rPr>
        <w:t>owever</w:t>
      </w:r>
      <w:r w:rsidR="00C00C17">
        <w:rPr>
          <w:rFonts w:ascii="Arial" w:hAnsi="Arial" w:cs="Arial"/>
          <w:sz w:val="24"/>
          <w:szCs w:val="24"/>
          <w:lang w:val="af-ZA"/>
        </w:rPr>
        <w:t xml:space="preserve"> argues that</w:t>
      </w:r>
      <w:r w:rsidRPr="005E4491">
        <w:rPr>
          <w:rFonts w:ascii="Arial" w:hAnsi="Arial" w:cs="Arial"/>
          <w:sz w:val="24"/>
          <w:szCs w:val="24"/>
          <w:lang w:val="af-ZA"/>
        </w:rPr>
        <w:t xml:space="preserve"> no rule making procedure as defined was published in the Government Gazette or follwed for purposes of making regulations to impose the regulatory levy claimed b</w:t>
      </w:r>
      <w:r w:rsidR="00972F62">
        <w:rPr>
          <w:rFonts w:ascii="Arial" w:hAnsi="Arial" w:cs="Arial"/>
          <w:sz w:val="24"/>
          <w:szCs w:val="24"/>
          <w:lang w:val="af-ZA"/>
        </w:rPr>
        <w:t>y the plaintiff nor does the</w:t>
      </w:r>
      <w:r w:rsidRPr="005E4491">
        <w:rPr>
          <w:rFonts w:ascii="Arial" w:hAnsi="Arial" w:cs="Arial"/>
          <w:sz w:val="24"/>
          <w:szCs w:val="24"/>
          <w:lang w:val="af-ZA"/>
        </w:rPr>
        <w:t xml:space="preserve"> plaintiff allege that such a rule making procedure was published in the </w:t>
      </w:r>
      <w:r w:rsidR="00972F62">
        <w:rPr>
          <w:rFonts w:ascii="Arial" w:hAnsi="Arial" w:cs="Arial"/>
          <w:sz w:val="24"/>
          <w:szCs w:val="24"/>
          <w:lang w:val="af-ZA"/>
        </w:rPr>
        <w:t>Government Gazette or followed.</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[10]</w:t>
      </w:r>
      <w:r w:rsidRPr="005E4491">
        <w:rPr>
          <w:rFonts w:ascii="Arial" w:hAnsi="Arial" w:cs="Arial"/>
          <w:sz w:val="24"/>
          <w:szCs w:val="24"/>
          <w:lang w:val="af-ZA"/>
        </w:rPr>
        <w:tab/>
        <w:t xml:space="preserve">The above ground, although argued extensively in oral by defendant’s counsel, was abondoned subsuquent to the hearing after plaintiff’s counsel handed up in court the rule making procedure as defined in the Act published in Government Gazette 4839 of 2011. The defendant’s counsl filed a status report </w:t>
      </w:r>
      <w:r w:rsidR="00E525EF">
        <w:rPr>
          <w:rFonts w:ascii="Arial" w:hAnsi="Arial" w:cs="Arial"/>
          <w:sz w:val="24"/>
          <w:szCs w:val="24"/>
          <w:lang w:val="af-ZA"/>
        </w:rPr>
        <w:t>after the hearing wherein he in</w:t>
      </w:r>
      <w:r w:rsidRPr="005E4491">
        <w:rPr>
          <w:rFonts w:ascii="Arial" w:hAnsi="Arial" w:cs="Arial"/>
          <w:sz w:val="24"/>
          <w:szCs w:val="24"/>
          <w:lang w:val="af-ZA"/>
        </w:rPr>
        <w:t>d</w:t>
      </w:r>
      <w:r w:rsidR="00E525EF">
        <w:rPr>
          <w:rFonts w:ascii="Arial" w:hAnsi="Arial" w:cs="Arial"/>
          <w:sz w:val="24"/>
          <w:szCs w:val="24"/>
          <w:lang w:val="af-ZA"/>
        </w:rPr>
        <w:t>i</w:t>
      </w:r>
      <w:r w:rsidRPr="005E4491">
        <w:rPr>
          <w:rFonts w:ascii="Arial" w:hAnsi="Arial" w:cs="Arial"/>
          <w:sz w:val="24"/>
          <w:szCs w:val="24"/>
          <w:lang w:val="af-ZA"/>
        </w:rPr>
        <w:t>cated that the defendant withdraws the first ground of exception, i.e the rule making procedure exception and costs in relation to the the said exception is t</w:t>
      </w:r>
      <w:r w:rsidR="00E525EF">
        <w:rPr>
          <w:rFonts w:ascii="Arial" w:hAnsi="Arial" w:cs="Arial"/>
          <w:sz w:val="24"/>
          <w:szCs w:val="24"/>
          <w:lang w:val="af-ZA"/>
        </w:rPr>
        <w:t xml:space="preserve">o stand over for determination. </w:t>
      </w:r>
      <w:r w:rsidRPr="005E4491">
        <w:rPr>
          <w:rFonts w:ascii="Arial" w:hAnsi="Arial" w:cs="Arial"/>
          <w:sz w:val="24"/>
          <w:szCs w:val="24"/>
          <w:lang w:val="af-ZA"/>
        </w:rPr>
        <w:t>The court was therefore only required to deal with the second exception.</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[11]</w:t>
      </w:r>
      <w:r w:rsidRPr="005E4491">
        <w:rPr>
          <w:rFonts w:ascii="Arial" w:hAnsi="Arial" w:cs="Arial"/>
          <w:sz w:val="24"/>
          <w:szCs w:val="24"/>
          <w:lang w:val="af-ZA"/>
        </w:rPr>
        <w:tab/>
        <w:t>The second exception relates to the judgment date (a</w:t>
      </w:r>
      <w:r w:rsidR="00C83875">
        <w:rPr>
          <w:rFonts w:ascii="Arial" w:hAnsi="Arial" w:cs="Arial"/>
          <w:sz w:val="24"/>
          <w:szCs w:val="24"/>
          <w:lang w:val="af-ZA"/>
        </w:rPr>
        <w:t>s Mr Heathcote puts it) which I</w:t>
      </w:r>
      <w:r w:rsidRPr="005E4491">
        <w:rPr>
          <w:rFonts w:ascii="Arial" w:hAnsi="Arial" w:cs="Arial"/>
          <w:sz w:val="24"/>
          <w:szCs w:val="24"/>
          <w:lang w:val="af-ZA"/>
        </w:rPr>
        <w:t xml:space="preserve"> will deal with below.</w:t>
      </w:r>
    </w:p>
    <w:p w:rsidR="003D1980" w:rsidRDefault="003D1980" w:rsidP="005E4491">
      <w:pPr>
        <w:tabs>
          <w:tab w:val="left" w:pos="720"/>
          <w:tab w:val="left" w:pos="1380"/>
        </w:tabs>
        <w:spacing w:after="0" w:line="360" w:lineRule="auto"/>
        <w:jc w:val="both"/>
        <w:rPr>
          <w:rFonts w:ascii="Arial" w:hAnsi="Arial" w:cs="Arial"/>
          <w:sz w:val="24"/>
          <w:szCs w:val="24"/>
          <w:lang w:val="af-ZA"/>
        </w:rPr>
      </w:pPr>
    </w:p>
    <w:p w:rsidR="00825090" w:rsidRDefault="00825090" w:rsidP="005E4491">
      <w:pPr>
        <w:tabs>
          <w:tab w:val="left" w:pos="720"/>
          <w:tab w:val="left" w:pos="1380"/>
        </w:tabs>
        <w:spacing w:after="0" w:line="360" w:lineRule="auto"/>
        <w:jc w:val="both"/>
        <w:rPr>
          <w:rFonts w:ascii="Arial" w:hAnsi="Arial" w:cs="Arial"/>
          <w:sz w:val="24"/>
          <w:szCs w:val="24"/>
          <w:lang w:val="af-ZA"/>
        </w:rPr>
      </w:pPr>
    </w:p>
    <w:p w:rsidR="00825090" w:rsidRPr="005E4491" w:rsidRDefault="0082509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lastRenderedPageBreak/>
        <w:t>The defendant’s argument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[12]</w:t>
      </w:r>
      <w:r w:rsidRPr="005E4491">
        <w:rPr>
          <w:rFonts w:ascii="Arial" w:hAnsi="Arial" w:cs="Arial"/>
          <w:sz w:val="24"/>
          <w:szCs w:val="24"/>
          <w:lang w:val="af-ZA"/>
        </w:rPr>
        <w:tab/>
        <w:t>Mr Heathcote, in a nutshell, argued that the invalidity of s 23(2)</w:t>
      </w:r>
      <w:r w:rsidRPr="00825090">
        <w:rPr>
          <w:rFonts w:ascii="Arial" w:hAnsi="Arial" w:cs="Arial"/>
          <w:i/>
          <w:sz w:val="24"/>
          <w:szCs w:val="24"/>
          <w:lang w:val="af-ZA"/>
        </w:rPr>
        <w:t>(a)</w:t>
      </w:r>
      <w:r w:rsidRPr="005E4491">
        <w:rPr>
          <w:rFonts w:ascii="Arial" w:hAnsi="Arial" w:cs="Arial"/>
          <w:sz w:val="24"/>
          <w:szCs w:val="24"/>
          <w:lang w:val="af-ZA"/>
        </w:rPr>
        <w:t xml:space="preserve"> of the Act is from the High Court order, which is 29 September 2016 and accordingly s 23(2)</w:t>
      </w:r>
      <w:r w:rsidRPr="00825090">
        <w:rPr>
          <w:rFonts w:ascii="Arial" w:hAnsi="Arial" w:cs="Arial"/>
          <w:i/>
          <w:sz w:val="24"/>
          <w:szCs w:val="24"/>
          <w:lang w:val="af-ZA"/>
        </w:rPr>
        <w:t>(a)</w:t>
      </w:r>
      <w:r w:rsidRPr="005E4491">
        <w:rPr>
          <w:rFonts w:ascii="Arial" w:hAnsi="Arial" w:cs="Arial"/>
          <w:sz w:val="24"/>
          <w:szCs w:val="24"/>
          <w:lang w:val="af-ZA"/>
        </w:rPr>
        <w:t xml:space="preserve"> of t</w:t>
      </w:r>
      <w:r w:rsidR="00EC6115">
        <w:rPr>
          <w:rFonts w:ascii="Arial" w:hAnsi="Arial" w:cs="Arial"/>
          <w:sz w:val="24"/>
          <w:szCs w:val="24"/>
          <w:lang w:val="af-ZA"/>
        </w:rPr>
        <w:t>he Act</w:t>
      </w:r>
      <w:r w:rsidRPr="005E4491">
        <w:rPr>
          <w:rFonts w:ascii="Arial" w:hAnsi="Arial" w:cs="Arial"/>
          <w:sz w:val="24"/>
          <w:szCs w:val="24"/>
          <w:lang w:val="af-ZA"/>
        </w:rPr>
        <w:t xml:space="preserve"> and as a consequence the regulation which was made thereunder, were null and void since 29 September 2016. The charge of regulatory levies for the period from 29 September 2016 and premised on the said s 23(2)</w:t>
      </w:r>
      <w:r w:rsidRPr="00825090">
        <w:rPr>
          <w:rFonts w:ascii="Arial" w:hAnsi="Arial" w:cs="Arial"/>
          <w:i/>
          <w:sz w:val="24"/>
          <w:szCs w:val="24"/>
          <w:lang w:val="af-ZA"/>
        </w:rPr>
        <w:t>(a)</w:t>
      </w:r>
      <w:r w:rsidRPr="005E4491">
        <w:rPr>
          <w:rFonts w:ascii="Arial" w:hAnsi="Arial" w:cs="Arial"/>
          <w:sz w:val="24"/>
          <w:szCs w:val="24"/>
          <w:lang w:val="af-ZA"/>
        </w:rPr>
        <w:t xml:space="preserve"> of the Act and the regulation is unenforceable. It therefore follows that the plaintiff’s particulars of claim, as a consequence, does not disclose a cause of action, alternatively the particulars of claim do not contain averments necessary to sustain a cause of action against the defendant.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E525EF" w:rsidP="005E4491">
      <w:pPr>
        <w:tabs>
          <w:tab w:val="left" w:pos="720"/>
          <w:tab w:val="left" w:pos="1380"/>
        </w:tabs>
        <w:spacing w:after="0" w:line="360" w:lineRule="auto"/>
        <w:jc w:val="both"/>
        <w:rPr>
          <w:rFonts w:ascii="Arial" w:hAnsi="Arial" w:cs="Arial"/>
          <w:sz w:val="24"/>
          <w:szCs w:val="24"/>
          <w:lang w:val="af-ZA"/>
        </w:rPr>
      </w:pPr>
      <w:r>
        <w:rPr>
          <w:rFonts w:ascii="Arial" w:hAnsi="Arial" w:cs="Arial"/>
          <w:sz w:val="24"/>
          <w:szCs w:val="24"/>
          <w:lang w:val="af-ZA"/>
        </w:rPr>
        <w:t>[13]</w:t>
      </w:r>
      <w:r>
        <w:rPr>
          <w:rFonts w:ascii="Arial" w:hAnsi="Arial" w:cs="Arial"/>
          <w:sz w:val="24"/>
          <w:szCs w:val="24"/>
          <w:lang w:val="af-ZA"/>
        </w:rPr>
        <w:tab/>
      </w:r>
      <w:r w:rsidR="003D1980" w:rsidRPr="005E4491">
        <w:rPr>
          <w:rFonts w:ascii="Arial" w:hAnsi="Arial" w:cs="Arial"/>
          <w:sz w:val="24"/>
          <w:szCs w:val="24"/>
          <w:lang w:val="af-ZA"/>
        </w:rPr>
        <w:t>Mr Hea</w:t>
      </w:r>
      <w:r w:rsidR="009D57F3">
        <w:rPr>
          <w:rFonts w:ascii="Arial" w:hAnsi="Arial" w:cs="Arial"/>
          <w:sz w:val="24"/>
          <w:szCs w:val="24"/>
          <w:lang w:val="af-ZA"/>
        </w:rPr>
        <w:t xml:space="preserve">thcote submitted </w:t>
      </w:r>
      <w:r w:rsidR="003D1980" w:rsidRPr="005E4491">
        <w:rPr>
          <w:rFonts w:ascii="Arial" w:hAnsi="Arial" w:cs="Arial"/>
          <w:sz w:val="24"/>
          <w:szCs w:val="24"/>
          <w:lang w:val="af-ZA"/>
        </w:rPr>
        <w:t xml:space="preserve">that the default position when an Act is declared unconstitutional is that the said Act is null and void since inception. He argued that the court </w:t>
      </w:r>
      <w:r w:rsidR="009C0848">
        <w:rPr>
          <w:rFonts w:ascii="Arial" w:hAnsi="Arial" w:cs="Arial"/>
          <w:sz w:val="24"/>
          <w:szCs w:val="24"/>
          <w:lang w:val="af-ZA"/>
        </w:rPr>
        <w:t xml:space="preserve">howver </w:t>
      </w:r>
      <w:r w:rsidR="003D1980" w:rsidRPr="005E4491">
        <w:rPr>
          <w:rFonts w:ascii="Arial" w:hAnsi="Arial" w:cs="Arial"/>
          <w:sz w:val="24"/>
          <w:szCs w:val="24"/>
          <w:lang w:val="af-ZA"/>
        </w:rPr>
        <w:t>has the power to provide a different date from which the unconstitutional order operates, which the Supreme Court did in this matter by substituting the High Court’s oder with effect from the High Court order’s date which declared the section unconstituti</w:t>
      </w:r>
      <w:r w:rsidR="003E1741">
        <w:rPr>
          <w:rFonts w:ascii="Arial" w:hAnsi="Arial" w:cs="Arial"/>
          <w:sz w:val="24"/>
          <w:szCs w:val="24"/>
          <w:lang w:val="af-ZA"/>
        </w:rPr>
        <w:t xml:space="preserve">onal. </w:t>
      </w:r>
      <w:r w:rsidR="00F73FCB">
        <w:rPr>
          <w:rFonts w:ascii="Arial" w:hAnsi="Arial" w:cs="Arial"/>
          <w:sz w:val="24"/>
          <w:szCs w:val="24"/>
          <w:lang w:val="af-ZA"/>
        </w:rPr>
        <w:t>He argued that t</w:t>
      </w:r>
      <w:r w:rsidR="003E1741">
        <w:rPr>
          <w:rFonts w:ascii="Arial" w:hAnsi="Arial" w:cs="Arial"/>
          <w:sz w:val="24"/>
          <w:szCs w:val="24"/>
          <w:lang w:val="af-ZA"/>
        </w:rPr>
        <w:t xml:space="preserve">he Supreme Court did </w:t>
      </w:r>
      <w:r w:rsidR="003D1980" w:rsidRPr="005E4491">
        <w:rPr>
          <w:rFonts w:ascii="Arial" w:hAnsi="Arial" w:cs="Arial"/>
          <w:sz w:val="24"/>
          <w:szCs w:val="24"/>
          <w:lang w:val="af-ZA"/>
        </w:rPr>
        <w:t>not alter the date of the</w:t>
      </w:r>
      <w:r w:rsidR="00F73FCB">
        <w:rPr>
          <w:rFonts w:ascii="Arial" w:hAnsi="Arial" w:cs="Arial"/>
          <w:sz w:val="24"/>
          <w:szCs w:val="24"/>
          <w:lang w:val="af-ZA"/>
        </w:rPr>
        <w:t xml:space="preserve"> High Court judgment and</w:t>
      </w:r>
      <w:r w:rsidR="003D1980" w:rsidRPr="005E4491">
        <w:rPr>
          <w:rFonts w:ascii="Arial" w:hAnsi="Arial" w:cs="Arial"/>
          <w:sz w:val="24"/>
          <w:szCs w:val="24"/>
          <w:lang w:val="af-ZA"/>
        </w:rPr>
        <w:t xml:space="preserve"> that the High Court’s order is quite clear an</w:t>
      </w:r>
      <w:r w:rsidR="009C0848">
        <w:rPr>
          <w:rFonts w:ascii="Arial" w:hAnsi="Arial" w:cs="Arial"/>
          <w:sz w:val="24"/>
          <w:szCs w:val="24"/>
          <w:lang w:val="af-ZA"/>
        </w:rPr>
        <w:t>d effect must be given to it. He</w:t>
      </w:r>
      <w:r w:rsidR="003D1980" w:rsidRPr="005E4491">
        <w:rPr>
          <w:rFonts w:ascii="Arial" w:hAnsi="Arial" w:cs="Arial"/>
          <w:sz w:val="24"/>
          <w:szCs w:val="24"/>
          <w:lang w:val="af-ZA"/>
        </w:rPr>
        <w:t xml:space="preserve"> referred the court to the case of </w:t>
      </w:r>
      <w:r w:rsidR="003D1980" w:rsidRPr="005E4491">
        <w:rPr>
          <w:rFonts w:ascii="Arial" w:hAnsi="Arial" w:cs="Arial"/>
          <w:i/>
          <w:sz w:val="24"/>
          <w:szCs w:val="24"/>
          <w:lang w:val="af-ZA"/>
        </w:rPr>
        <w:t>Handl v Handl</w:t>
      </w:r>
      <w:r w:rsidR="003D1980" w:rsidRPr="005E4491">
        <w:rPr>
          <w:rFonts w:ascii="Arial" w:hAnsi="Arial" w:cs="Arial"/>
          <w:sz w:val="24"/>
          <w:szCs w:val="24"/>
          <w:vertAlign w:val="superscript"/>
          <w:lang w:val="af-ZA"/>
        </w:rPr>
        <w:footnoteReference w:id="9"/>
      </w:r>
      <w:r w:rsidR="003D1980" w:rsidRPr="005E4491">
        <w:rPr>
          <w:rFonts w:ascii="Arial" w:hAnsi="Arial" w:cs="Arial"/>
          <w:sz w:val="24"/>
          <w:szCs w:val="24"/>
          <w:lang w:val="af-ZA"/>
        </w:rPr>
        <w:t xml:space="preserve"> and </w:t>
      </w:r>
      <w:r w:rsidR="003D1980" w:rsidRPr="005E4491">
        <w:rPr>
          <w:rFonts w:ascii="Arial" w:hAnsi="Arial" w:cs="Arial"/>
          <w:i/>
          <w:sz w:val="24"/>
          <w:szCs w:val="24"/>
          <w:lang w:val="af-ZA"/>
        </w:rPr>
        <w:t>Fish Orange Mining Consortium (Pty) Ltd v !Goaseb</w:t>
      </w:r>
      <w:r w:rsidR="00825090">
        <w:rPr>
          <w:rFonts w:ascii="Arial" w:hAnsi="Arial" w:cs="Arial"/>
          <w:i/>
          <w:sz w:val="24"/>
          <w:szCs w:val="24"/>
          <w:lang w:val="af-ZA"/>
        </w:rPr>
        <w:t>.</w:t>
      </w:r>
      <w:r w:rsidR="003D1980" w:rsidRPr="005E4491">
        <w:rPr>
          <w:rFonts w:ascii="Arial" w:hAnsi="Arial" w:cs="Arial"/>
          <w:sz w:val="24"/>
          <w:szCs w:val="24"/>
          <w:vertAlign w:val="superscript"/>
          <w:lang w:val="af-ZA"/>
        </w:rPr>
        <w:footnoteReference w:id="10"/>
      </w:r>
      <w:r w:rsidR="003D1980" w:rsidRPr="005E4491">
        <w:rPr>
          <w:rFonts w:ascii="Arial" w:hAnsi="Arial" w:cs="Arial"/>
          <w:sz w:val="24"/>
          <w:szCs w:val="24"/>
          <w:lang w:val="af-ZA"/>
        </w:rPr>
        <w:t xml:space="preserve"> Counsel argued that if an order is clear in light of the ordinary grammatical meaning of the words used, then no further enquiry arises, as the Supreme Court confirmed in the </w:t>
      </w:r>
      <w:r w:rsidR="003D1980" w:rsidRPr="005E4491">
        <w:rPr>
          <w:rFonts w:ascii="Arial" w:hAnsi="Arial" w:cs="Arial"/>
          <w:i/>
          <w:sz w:val="24"/>
          <w:szCs w:val="24"/>
          <w:lang w:val="af-ZA"/>
        </w:rPr>
        <w:t>Handl</w:t>
      </w:r>
      <w:r w:rsidR="003D1980" w:rsidRPr="005E4491">
        <w:rPr>
          <w:rFonts w:ascii="Arial" w:hAnsi="Arial" w:cs="Arial"/>
          <w:sz w:val="24"/>
          <w:szCs w:val="24"/>
          <w:lang w:val="af-ZA"/>
        </w:rPr>
        <w:t xml:space="preserve"> matter. In such an instance effect must be given to the ordinary grammatical meaning of the order itself. He argued that</w:t>
      </w:r>
      <w:r w:rsidR="00B44B25">
        <w:rPr>
          <w:rFonts w:ascii="Arial" w:hAnsi="Arial" w:cs="Arial"/>
          <w:sz w:val="24"/>
          <w:szCs w:val="24"/>
          <w:lang w:val="af-ZA"/>
        </w:rPr>
        <w:t>:</w:t>
      </w:r>
      <w:r w:rsidR="003D1980" w:rsidRPr="005E4491">
        <w:rPr>
          <w:rFonts w:ascii="Arial" w:hAnsi="Arial" w:cs="Arial"/>
          <w:sz w:val="24"/>
          <w:szCs w:val="24"/>
          <w:lang w:val="af-ZA"/>
        </w:rPr>
        <w:t xml:space="preserve"> ‘nothing </w:t>
      </w:r>
      <w:r w:rsidR="00FE62FD">
        <w:rPr>
          <w:rFonts w:ascii="Arial" w:hAnsi="Arial" w:cs="Arial"/>
          <w:sz w:val="24"/>
          <w:szCs w:val="24"/>
          <w:lang w:val="af-ZA"/>
        </w:rPr>
        <w:t>is vague about the date of the High C</w:t>
      </w:r>
      <w:r w:rsidR="003D1980" w:rsidRPr="005E4491">
        <w:rPr>
          <w:rFonts w:ascii="Arial" w:hAnsi="Arial" w:cs="Arial"/>
          <w:sz w:val="24"/>
          <w:szCs w:val="24"/>
          <w:lang w:val="af-ZA"/>
        </w:rPr>
        <w:t>ourt judgment. It is simply the date, nothing esle. . . No amount of evidence or interpretation will ever move the date of the judg</w:t>
      </w:r>
      <w:r w:rsidR="00B44B25">
        <w:rPr>
          <w:rFonts w:ascii="Arial" w:hAnsi="Arial" w:cs="Arial"/>
          <w:sz w:val="24"/>
          <w:szCs w:val="24"/>
          <w:lang w:val="af-ZA"/>
        </w:rPr>
        <w:t>m</w:t>
      </w:r>
      <w:r w:rsidR="003D1980" w:rsidRPr="005E4491">
        <w:rPr>
          <w:rFonts w:ascii="Arial" w:hAnsi="Arial" w:cs="Arial"/>
          <w:sz w:val="24"/>
          <w:szCs w:val="24"/>
          <w:lang w:val="af-ZA"/>
        </w:rPr>
        <w:t>ent of the High Court. It is and will always remain 29 September 2016. It is fixed, and unalterable. No evidence, and argument, however ingenious, can alter that . . . .’</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BF7A87" w:rsidRDefault="003D1980" w:rsidP="00BF7A87">
      <w:pPr>
        <w:tabs>
          <w:tab w:val="left" w:pos="720"/>
          <w:tab w:val="left" w:pos="1380"/>
        </w:tabs>
        <w:spacing w:line="360" w:lineRule="auto"/>
        <w:jc w:val="both"/>
        <w:rPr>
          <w:rFonts w:ascii="Arial" w:hAnsi="Arial" w:cs="Arial"/>
          <w:i/>
          <w:sz w:val="24"/>
          <w:szCs w:val="24"/>
          <w:lang w:val="en-US"/>
        </w:rPr>
      </w:pPr>
      <w:r w:rsidRPr="005E4491">
        <w:rPr>
          <w:rFonts w:ascii="Arial" w:hAnsi="Arial" w:cs="Arial"/>
          <w:sz w:val="24"/>
          <w:szCs w:val="24"/>
          <w:lang w:val="af-ZA"/>
        </w:rPr>
        <w:lastRenderedPageBreak/>
        <w:t>[14]</w:t>
      </w:r>
      <w:r w:rsidRPr="005E4491">
        <w:rPr>
          <w:rFonts w:ascii="Arial" w:hAnsi="Arial" w:cs="Arial"/>
          <w:sz w:val="24"/>
          <w:szCs w:val="24"/>
          <w:lang w:val="af-ZA"/>
        </w:rPr>
        <w:tab/>
        <w:t xml:space="preserve">Counsel further referred the court to the case of </w:t>
      </w:r>
      <w:r w:rsidR="00BF7A87" w:rsidRPr="00BF7A87">
        <w:rPr>
          <w:rFonts w:ascii="Arial" w:hAnsi="Arial" w:cs="Arial"/>
          <w:i/>
          <w:sz w:val="24"/>
          <w:szCs w:val="24"/>
          <w:lang w:val="en-US"/>
        </w:rPr>
        <w:t>Medical Association of Namibia Ltd and Another v Minister of Health and Social Services and Others</w:t>
      </w:r>
      <w:r w:rsidRPr="005E4491">
        <w:rPr>
          <w:rFonts w:ascii="Arial" w:hAnsi="Arial" w:cs="Arial"/>
          <w:sz w:val="24"/>
          <w:szCs w:val="24"/>
          <w:vertAlign w:val="superscript"/>
          <w:lang w:val="af-ZA"/>
        </w:rPr>
        <w:footnoteReference w:id="11"/>
      </w:r>
      <w:r w:rsidRPr="005E4491">
        <w:rPr>
          <w:rFonts w:ascii="Arial" w:hAnsi="Arial" w:cs="Arial"/>
          <w:sz w:val="24"/>
          <w:szCs w:val="24"/>
          <w:lang w:val="af-ZA"/>
        </w:rPr>
        <w:t xml:space="preserve"> wherein it was stated that: ‘</w:t>
      </w:r>
      <w:r w:rsidRPr="005E4491">
        <w:rPr>
          <w:rFonts w:ascii="Arial" w:hAnsi="Arial" w:cs="Arial"/>
          <w:sz w:val="24"/>
          <w:szCs w:val="24"/>
          <w:lang w:val="en-GB"/>
        </w:rPr>
        <w:t>the application of this test</w:t>
      </w:r>
      <w:r w:rsidR="00825090">
        <w:rPr>
          <w:rFonts w:ascii="Arial" w:hAnsi="Arial" w:cs="Arial"/>
          <w:sz w:val="24"/>
          <w:szCs w:val="24"/>
          <w:lang w:val="en-GB"/>
        </w:rPr>
        <w:t>,</w:t>
      </w:r>
      <w:r w:rsidRPr="005E4491">
        <w:rPr>
          <w:rFonts w:ascii="Arial" w:hAnsi="Arial" w:cs="Arial"/>
          <w:sz w:val="24"/>
          <w:szCs w:val="24"/>
          <w:vertAlign w:val="superscript"/>
          <w:lang w:val="en-GB"/>
        </w:rPr>
        <w:footnoteReference w:id="12"/>
      </w:r>
      <w:r w:rsidRPr="005E4491">
        <w:rPr>
          <w:rFonts w:ascii="Arial" w:hAnsi="Arial" w:cs="Arial"/>
          <w:sz w:val="24"/>
          <w:szCs w:val="24"/>
          <w:lang w:val="en-GB"/>
        </w:rPr>
        <w:t xml:space="preserve"> the point of departure, also in this instance, will be to consider the language and the court reasons used in those portions of the judgment which are relevant to the part of the order which is sought to be rectified in order to ascertain from a reading thereof whether or not they are clear and unambiguous or not and whether same requires clarification’.</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[15]</w:t>
      </w:r>
      <w:r w:rsidRPr="005E4491">
        <w:rPr>
          <w:rFonts w:ascii="Arial" w:hAnsi="Arial" w:cs="Arial"/>
          <w:sz w:val="24"/>
          <w:szCs w:val="24"/>
          <w:lang w:val="af-ZA"/>
        </w:rPr>
        <w:tab/>
        <w:t>In conclusion counsel prayed that the exception be upheld and the plaintiff’s claim be dismissed because the general rule providing for an opportunity for an amendment cannot find application in this case as no amendment will be able to rectify the ground of exception raised. He further submitted that costs should be awarded in the defendant’s favour, including costs of one instructing counsel and two instructed counsel.</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t>The plaintiff’s argument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[16]</w:t>
      </w:r>
      <w:r w:rsidRPr="005E4491">
        <w:rPr>
          <w:rFonts w:ascii="Arial" w:hAnsi="Arial" w:cs="Arial"/>
          <w:sz w:val="24"/>
          <w:szCs w:val="24"/>
          <w:lang w:val="af-ZA"/>
        </w:rPr>
        <w:tab/>
        <w:t>According to the plaintiff’s interpretation, the order of the Supreme Court replaced the order made by the High Court on 29 September 2016 with the clear intention to ensure that s 23(2)</w:t>
      </w:r>
      <w:r w:rsidRPr="00825090">
        <w:rPr>
          <w:rFonts w:ascii="Arial" w:hAnsi="Arial" w:cs="Arial"/>
          <w:i/>
          <w:sz w:val="24"/>
          <w:szCs w:val="24"/>
          <w:lang w:val="af-ZA"/>
        </w:rPr>
        <w:t>(a)</w:t>
      </w:r>
      <w:r w:rsidRPr="005E4491">
        <w:rPr>
          <w:rFonts w:ascii="Arial" w:hAnsi="Arial" w:cs="Arial"/>
          <w:sz w:val="24"/>
          <w:szCs w:val="24"/>
          <w:lang w:val="af-ZA"/>
        </w:rPr>
        <w:t xml:space="preserve"> of the Act was declared unconstitutional with effect from 11 June 2018, being the date of the Supreme Court confirming the unconstitutionality of the concerned section.</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[17]</w:t>
      </w:r>
      <w:r w:rsidRPr="005E4491">
        <w:rPr>
          <w:rFonts w:ascii="Arial" w:hAnsi="Arial" w:cs="Arial"/>
          <w:sz w:val="24"/>
          <w:szCs w:val="24"/>
          <w:lang w:val="af-ZA"/>
        </w:rPr>
        <w:tab/>
        <w:t xml:space="preserve">Mr Namandje, counsel for the plaintiff, submitted that defendant’s ground of exception of no cause of action </w:t>
      </w:r>
      <w:r w:rsidR="00705632">
        <w:rPr>
          <w:rFonts w:ascii="Arial" w:hAnsi="Arial" w:cs="Arial"/>
          <w:sz w:val="24"/>
          <w:szCs w:val="24"/>
          <w:lang w:val="af-ZA"/>
        </w:rPr>
        <w:t xml:space="preserve">with reagrd to </w:t>
      </w:r>
      <w:r w:rsidRPr="005E4491">
        <w:rPr>
          <w:rFonts w:ascii="Arial" w:hAnsi="Arial" w:cs="Arial"/>
          <w:sz w:val="24"/>
          <w:szCs w:val="24"/>
          <w:lang w:val="af-ZA"/>
        </w:rPr>
        <w:t xml:space="preserve">the interpretation of the Supreme Court order is premised on its wrong interpretation and understanding of the court’s reasoning and order. He argued that the Supreme Court was unequivocal in its stance when it made its order that the invalidity of the provision under dispute will operate from the date the Supreme Court confimred the invalidity – </w:t>
      </w:r>
      <w:r w:rsidR="00223195">
        <w:rPr>
          <w:rFonts w:ascii="Arial" w:hAnsi="Arial" w:cs="Arial"/>
          <w:sz w:val="24"/>
          <w:szCs w:val="24"/>
          <w:lang w:val="af-ZA"/>
        </w:rPr>
        <w:t>he referred this court to para 94 to</w:t>
      </w:r>
      <w:r w:rsidRPr="005E4491">
        <w:rPr>
          <w:rFonts w:ascii="Arial" w:hAnsi="Arial" w:cs="Arial"/>
          <w:sz w:val="24"/>
          <w:szCs w:val="24"/>
          <w:lang w:val="af-ZA"/>
        </w:rPr>
        <w:t>112</w:t>
      </w:r>
      <w:r w:rsidR="00223195">
        <w:rPr>
          <w:rFonts w:ascii="Arial" w:hAnsi="Arial" w:cs="Arial"/>
          <w:sz w:val="24"/>
          <w:szCs w:val="24"/>
          <w:lang w:val="af-ZA"/>
        </w:rPr>
        <w:t xml:space="preserve"> of the </w:t>
      </w:r>
      <w:r w:rsidR="00223195">
        <w:rPr>
          <w:rFonts w:ascii="Arial" w:hAnsi="Arial" w:cs="Arial"/>
          <w:sz w:val="24"/>
          <w:szCs w:val="24"/>
          <w:lang w:val="af-ZA"/>
        </w:rPr>
        <w:lastRenderedPageBreak/>
        <w:t>Supreme Court’s judgment</w:t>
      </w:r>
      <w:r w:rsidR="00EB721C">
        <w:rPr>
          <w:rFonts w:ascii="Arial" w:hAnsi="Arial" w:cs="Arial"/>
          <w:sz w:val="24"/>
          <w:szCs w:val="24"/>
          <w:lang w:val="af-ZA"/>
        </w:rPr>
        <w:t>. Counsel</w:t>
      </w:r>
      <w:r w:rsidRPr="005E4491">
        <w:rPr>
          <w:rFonts w:ascii="Arial" w:hAnsi="Arial" w:cs="Arial"/>
          <w:sz w:val="24"/>
          <w:szCs w:val="24"/>
          <w:lang w:val="af-ZA"/>
        </w:rPr>
        <w:t xml:space="preserve"> referred the court to the case of </w:t>
      </w:r>
      <w:r w:rsidRPr="005E4491">
        <w:rPr>
          <w:rFonts w:ascii="Arial" w:hAnsi="Arial" w:cs="Arial"/>
          <w:i/>
          <w:sz w:val="24"/>
          <w:szCs w:val="24"/>
          <w:lang w:val="af-ZA"/>
        </w:rPr>
        <w:t>ABSA Bank Ltd t/a Volkskas Bank v Page and Another</w:t>
      </w:r>
      <w:r w:rsidRPr="005E4491">
        <w:rPr>
          <w:rFonts w:ascii="Arial" w:hAnsi="Arial" w:cs="Arial"/>
          <w:sz w:val="24"/>
          <w:szCs w:val="24"/>
          <w:vertAlign w:val="superscript"/>
          <w:lang w:val="af-ZA"/>
        </w:rPr>
        <w:footnoteReference w:id="13"/>
      </w:r>
      <w:r w:rsidRPr="005E4491">
        <w:rPr>
          <w:rFonts w:ascii="Arial" w:hAnsi="Arial" w:cs="Arial"/>
          <w:sz w:val="24"/>
          <w:szCs w:val="24"/>
          <w:lang w:val="af-ZA"/>
        </w:rPr>
        <w:t xml:space="preserve"> which dealt with the legal principles on intrpretation of court orders wherein the court stated that: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lang w:val="af-ZA"/>
        </w:rPr>
      </w:pPr>
      <w:r w:rsidRPr="005E4491">
        <w:rPr>
          <w:rFonts w:ascii="Arial" w:hAnsi="Arial" w:cs="Arial"/>
          <w:sz w:val="24"/>
          <w:szCs w:val="24"/>
          <w:lang w:val="af-ZA"/>
        </w:rPr>
        <w:t xml:space="preserve">            </w:t>
      </w:r>
      <w:r w:rsidRPr="005E4491">
        <w:rPr>
          <w:rFonts w:ascii="Arial" w:hAnsi="Arial" w:cs="Arial"/>
          <w:lang w:val="af-ZA"/>
        </w:rPr>
        <w:t xml:space="preserve"> ‘. . . . The manner in which ambiguities in an order of court are to be dealt with is explained in </w:t>
      </w:r>
      <w:r w:rsidRPr="005E4491">
        <w:rPr>
          <w:rFonts w:ascii="Arial" w:hAnsi="Arial" w:cs="Arial"/>
          <w:i/>
          <w:lang w:val="af-ZA"/>
        </w:rPr>
        <w:t>Firestone South Africa (Pty) Ltd v Gentiruco</w:t>
      </w:r>
      <w:r w:rsidRPr="005E4491">
        <w:rPr>
          <w:rFonts w:ascii="Arial" w:hAnsi="Arial" w:cs="Arial"/>
          <w:lang w:val="af-ZA"/>
        </w:rPr>
        <w:t xml:space="preserve"> (case number 105/2000, judgment delivered on 28 September 2001). The order and the court’s reason for giving it must be read as a whole. If uncertainty on the meaning of the o</w:t>
      </w:r>
      <w:r w:rsidR="00EB721C">
        <w:rPr>
          <w:rFonts w:ascii="Arial" w:hAnsi="Arial" w:cs="Arial"/>
          <w:lang w:val="af-ZA"/>
        </w:rPr>
        <w:t>rder still exists extrinsic circ</w:t>
      </w:r>
      <w:r w:rsidRPr="005E4491">
        <w:rPr>
          <w:rFonts w:ascii="Arial" w:hAnsi="Arial" w:cs="Arial"/>
          <w:lang w:val="af-ZA"/>
        </w:rPr>
        <w:t xml:space="preserve">umstances leading up to the court’s judgment may be investigated in order </w:t>
      </w:r>
      <w:r w:rsidR="000D4F5D">
        <w:rPr>
          <w:rFonts w:ascii="Arial" w:hAnsi="Arial" w:cs="Arial"/>
          <w:lang w:val="af-ZA"/>
        </w:rPr>
        <w:t>to</w:t>
      </w:r>
      <w:r w:rsidRPr="005E4491">
        <w:rPr>
          <w:rFonts w:ascii="Arial" w:hAnsi="Arial" w:cs="Arial"/>
          <w:lang w:val="af-ZA"/>
        </w:rPr>
        <w:t xml:space="preserve"> clarify it’.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7E6F6C" w:rsidP="005E4491">
      <w:pPr>
        <w:tabs>
          <w:tab w:val="left" w:pos="720"/>
          <w:tab w:val="left" w:pos="1380"/>
        </w:tabs>
        <w:spacing w:after="0" w:line="360" w:lineRule="auto"/>
        <w:jc w:val="both"/>
        <w:rPr>
          <w:rFonts w:ascii="Arial" w:hAnsi="Arial" w:cs="Arial"/>
          <w:sz w:val="24"/>
          <w:szCs w:val="24"/>
          <w:lang w:val="af-ZA"/>
        </w:rPr>
      </w:pPr>
      <w:r>
        <w:rPr>
          <w:rFonts w:ascii="Arial" w:hAnsi="Arial" w:cs="Arial"/>
          <w:sz w:val="24"/>
          <w:szCs w:val="24"/>
          <w:lang w:val="af-ZA"/>
        </w:rPr>
        <w:t>[18]</w:t>
      </w:r>
      <w:r>
        <w:rPr>
          <w:rFonts w:ascii="Arial" w:hAnsi="Arial" w:cs="Arial"/>
          <w:sz w:val="24"/>
          <w:szCs w:val="24"/>
          <w:lang w:val="af-ZA"/>
        </w:rPr>
        <w:tab/>
        <w:t>Mr Namandje referred the c</w:t>
      </w:r>
      <w:r w:rsidR="003D1980" w:rsidRPr="005E4491">
        <w:rPr>
          <w:rFonts w:ascii="Arial" w:hAnsi="Arial" w:cs="Arial"/>
          <w:sz w:val="24"/>
          <w:szCs w:val="24"/>
          <w:lang w:val="af-ZA"/>
        </w:rPr>
        <w:t>ourt to some of the important parts of the</w:t>
      </w:r>
      <w:r w:rsidR="00E85D4F">
        <w:rPr>
          <w:rFonts w:ascii="Arial" w:hAnsi="Arial" w:cs="Arial"/>
          <w:sz w:val="24"/>
          <w:szCs w:val="24"/>
          <w:lang w:val="af-ZA"/>
        </w:rPr>
        <w:t xml:space="preserve"> Supreme Court’s</w:t>
      </w:r>
      <w:r w:rsidR="003D1980" w:rsidRPr="005E4491">
        <w:rPr>
          <w:rFonts w:ascii="Arial" w:hAnsi="Arial" w:cs="Arial"/>
          <w:sz w:val="24"/>
          <w:szCs w:val="24"/>
          <w:lang w:val="af-ZA"/>
        </w:rPr>
        <w:t xml:space="preserve"> judgment and the language used to support the plaintiff’s case that the invalidity oper</w:t>
      </w:r>
      <w:r w:rsidR="0038247E">
        <w:rPr>
          <w:rFonts w:ascii="Arial" w:hAnsi="Arial" w:cs="Arial"/>
          <w:sz w:val="24"/>
          <w:szCs w:val="24"/>
          <w:lang w:val="af-ZA"/>
        </w:rPr>
        <w:t>at</w:t>
      </w:r>
      <w:r w:rsidR="003D1980" w:rsidRPr="005E4491">
        <w:rPr>
          <w:rFonts w:ascii="Arial" w:hAnsi="Arial" w:cs="Arial"/>
          <w:sz w:val="24"/>
          <w:szCs w:val="24"/>
          <w:lang w:val="af-ZA"/>
        </w:rPr>
        <w:t>es from 11 June 2018.</w:t>
      </w:r>
      <w:r w:rsidR="00610120" w:rsidRPr="005E4491">
        <w:rPr>
          <w:rFonts w:ascii="Arial" w:hAnsi="Arial" w:cs="Arial"/>
          <w:sz w:val="24"/>
          <w:szCs w:val="24"/>
          <w:lang w:val="af-ZA"/>
        </w:rPr>
        <w:t xml:space="preserve"> For purposes of completeness I will quote the plaintiff’s interpretation and understanding of the Supreme Court’s order as appearing in its heads of argument. Mr Namandje submitted and argu</w:t>
      </w:r>
      <w:r w:rsidR="00C7118A" w:rsidRPr="005E4491">
        <w:rPr>
          <w:rFonts w:ascii="Arial" w:hAnsi="Arial" w:cs="Arial"/>
          <w:sz w:val="24"/>
          <w:szCs w:val="24"/>
          <w:lang w:val="af-ZA"/>
        </w:rPr>
        <w:t>e</w:t>
      </w:r>
      <w:r w:rsidR="00610120" w:rsidRPr="005E4491">
        <w:rPr>
          <w:rFonts w:ascii="Arial" w:hAnsi="Arial" w:cs="Arial"/>
          <w:sz w:val="24"/>
          <w:szCs w:val="24"/>
          <w:lang w:val="af-ZA"/>
        </w:rPr>
        <w:t>d as follows:</w:t>
      </w:r>
    </w:p>
    <w:p w:rsidR="00610120" w:rsidRPr="005E4491" w:rsidRDefault="00610120" w:rsidP="005E4491">
      <w:pPr>
        <w:tabs>
          <w:tab w:val="left" w:pos="720"/>
          <w:tab w:val="left" w:pos="1380"/>
        </w:tabs>
        <w:spacing w:after="0" w:line="360" w:lineRule="auto"/>
        <w:jc w:val="both"/>
        <w:rPr>
          <w:rFonts w:ascii="Arial" w:hAnsi="Arial" w:cs="Arial"/>
          <w:sz w:val="24"/>
          <w:szCs w:val="24"/>
          <w:lang w:val="af-ZA"/>
        </w:rPr>
      </w:pPr>
    </w:p>
    <w:p w:rsidR="00610120" w:rsidRPr="005E4491" w:rsidRDefault="00610120" w:rsidP="005E4491">
      <w:pPr>
        <w:tabs>
          <w:tab w:val="left" w:pos="720"/>
          <w:tab w:val="left" w:pos="1380"/>
        </w:tabs>
        <w:spacing w:after="0" w:line="360" w:lineRule="auto"/>
        <w:jc w:val="both"/>
        <w:rPr>
          <w:rFonts w:ascii="Arial" w:hAnsi="Arial" w:cs="Arial"/>
          <w:lang w:val="af-ZA"/>
        </w:rPr>
      </w:pPr>
      <w:r w:rsidRPr="005E4491">
        <w:rPr>
          <w:rFonts w:ascii="Arial" w:hAnsi="Arial" w:cs="Arial"/>
          <w:sz w:val="24"/>
          <w:szCs w:val="24"/>
          <w:lang w:val="af-ZA"/>
        </w:rPr>
        <w:tab/>
      </w:r>
      <w:r w:rsidRPr="005E4491">
        <w:rPr>
          <w:rFonts w:ascii="Arial" w:hAnsi="Arial" w:cs="Arial"/>
          <w:lang w:val="af-ZA"/>
        </w:rPr>
        <w:t>’23.1</w:t>
      </w:r>
      <w:r w:rsidRPr="005E4491">
        <w:rPr>
          <w:rFonts w:ascii="Arial" w:hAnsi="Arial" w:cs="Arial"/>
          <w:lang w:val="af-ZA"/>
        </w:rPr>
        <w:tab/>
        <w:t xml:space="preserve">Under para 95 of the judgment the Supreme Court started off by referring to Article 25(1)(a) of the Namibian Constitution which, </w:t>
      </w:r>
      <w:r w:rsidRPr="005E4491">
        <w:rPr>
          <w:rFonts w:ascii="Arial" w:hAnsi="Arial" w:cs="Arial"/>
          <w:i/>
          <w:lang w:val="af-ZA"/>
        </w:rPr>
        <w:t>in contra</w:t>
      </w:r>
      <w:r w:rsidR="00EF6402" w:rsidRPr="005E4491">
        <w:rPr>
          <w:rFonts w:ascii="Arial" w:hAnsi="Arial" w:cs="Arial"/>
          <w:lang w:val="af-ZA"/>
        </w:rPr>
        <w:t xml:space="preserve"> to the ordinary de</w:t>
      </w:r>
      <w:r w:rsidRPr="005E4491">
        <w:rPr>
          <w:rFonts w:ascii="Arial" w:hAnsi="Arial" w:cs="Arial"/>
          <w:lang w:val="af-ZA"/>
        </w:rPr>
        <w:t>f</w:t>
      </w:r>
      <w:r w:rsidR="00EF6402" w:rsidRPr="005E4491">
        <w:rPr>
          <w:rFonts w:ascii="Arial" w:hAnsi="Arial" w:cs="Arial"/>
          <w:lang w:val="af-ZA"/>
        </w:rPr>
        <w:t>a</w:t>
      </w:r>
      <w:r w:rsidRPr="005E4491">
        <w:rPr>
          <w:rFonts w:ascii="Arial" w:hAnsi="Arial" w:cs="Arial"/>
          <w:lang w:val="af-ZA"/>
        </w:rPr>
        <w:t>ult postion referred to above, empowers the C</w:t>
      </w:r>
      <w:r w:rsidR="00FF348C">
        <w:rPr>
          <w:rFonts w:ascii="Arial" w:hAnsi="Arial" w:cs="Arial"/>
          <w:lang w:val="af-ZA"/>
        </w:rPr>
        <w:t>ourt to suspend the order of in</w:t>
      </w:r>
      <w:r w:rsidRPr="005E4491">
        <w:rPr>
          <w:rFonts w:ascii="Arial" w:hAnsi="Arial" w:cs="Arial"/>
          <w:lang w:val="af-ZA"/>
        </w:rPr>
        <w:t>validity and af</w:t>
      </w:r>
      <w:r w:rsidR="00EF6402" w:rsidRPr="005E4491">
        <w:rPr>
          <w:rFonts w:ascii="Arial" w:hAnsi="Arial" w:cs="Arial"/>
          <w:lang w:val="af-ZA"/>
        </w:rPr>
        <w:t>ford the Legislature the opportu</w:t>
      </w:r>
      <w:r w:rsidR="00FF348C">
        <w:rPr>
          <w:rFonts w:ascii="Arial" w:hAnsi="Arial" w:cs="Arial"/>
          <w:lang w:val="af-ZA"/>
        </w:rPr>
        <w:t>nity to correct the defect i</w:t>
      </w:r>
      <w:r w:rsidRPr="005E4491">
        <w:rPr>
          <w:rFonts w:ascii="Arial" w:hAnsi="Arial" w:cs="Arial"/>
          <w:lang w:val="af-ZA"/>
        </w:rPr>
        <w:t>dentified by it. During the period of suspension, the implicate</w:t>
      </w:r>
      <w:r w:rsidR="00EF6402" w:rsidRPr="005E4491">
        <w:rPr>
          <w:rFonts w:ascii="Arial" w:hAnsi="Arial" w:cs="Arial"/>
          <w:lang w:val="af-ZA"/>
        </w:rPr>
        <w:t>d provision would continue to ha</w:t>
      </w:r>
      <w:r w:rsidRPr="005E4491">
        <w:rPr>
          <w:rFonts w:ascii="Arial" w:hAnsi="Arial" w:cs="Arial"/>
          <w:lang w:val="af-ZA"/>
        </w:rPr>
        <w:t>ve the full forc</w:t>
      </w:r>
      <w:r w:rsidR="00EF6402" w:rsidRPr="005E4491">
        <w:rPr>
          <w:rFonts w:ascii="Arial" w:hAnsi="Arial" w:cs="Arial"/>
          <w:lang w:val="af-ZA"/>
        </w:rPr>
        <w:t xml:space="preserve">e despite the </w:t>
      </w:r>
      <w:r w:rsidRPr="005E4491">
        <w:rPr>
          <w:rFonts w:ascii="Arial" w:hAnsi="Arial" w:cs="Arial"/>
          <w:lang w:val="af-ZA"/>
        </w:rPr>
        <w:t>inv</w:t>
      </w:r>
      <w:r w:rsidR="00EF6402" w:rsidRPr="005E4491">
        <w:rPr>
          <w:rFonts w:ascii="Arial" w:hAnsi="Arial" w:cs="Arial"/>
          <w:lang w:val="af-ZA"/>
        </w:rPr>
        <w:t>a</w:t>
      </w:r>
      <w:r w:rsidR="007A36C5">
        <w:rPr>
          <w:rFonts w:ascii="Arial" w:hAnsi="Arial" w:cs="Arial"/>
          <w:lang w:val="af-ZA"/>
        </w:rPr>
        <w:t>lidity confirmed.</w:t>
      </w:r>
    </w:p>
    <w:p w:rsidR="00EF6402" w:rsidRPr="005E4491" w:rsidRDefault="00EF6402" w:rsidP="005E4491">
      <w:pPr>
        <w:tabs>
          <w:tab w:val="left" w:pos="720"/>
          <w:tab w:val="left" w:pos="1380"/>
        </w:tabs>
        <w:spacing w:after="0" w:line="360" w:lineRule="auto"/>
        <w:jc w:val="both"/>
        <w:rPr>
          <w:rFonts w:ascii="Arial" w:hAnsi="Arial" w:cs="Arial"/>
          <w:lang w:val="af-ZA"/>
        </w:rPr>
      </w:pPr>
    </w:p>
    <w:p w:rsidR="00EF6402" w:rsidRPr="005E4491" w:rsidRDefault="00EF6402" w:rsidP="005E4491">
      <w:pPr>
        <w:tabs>
          <w:tab w:val="left" w:pos="720"/>
          <w:tab w:val="left" w:pos="1380"/>
        </w:tabs>
        <w:spacing w:after="0" w:line="360" w:lineRule="auto"/>
        <w:jc w:val="both"/>
        <w:rPr>
          <w:rFonts w:ascii="Arial" w:hAnsi="Arial" w:cs="Arial"/>
          <w:lang w:val="af-ZA"/>
        </w:rPr>
      </w:pPr>
      <w:r w:rsidRPr="005E4491">
        <w:rPr>
          <w:rFonts w:ascii="Arial" w:hAnsi="Arial" w:cs="Arial"/>
          <w:lang w:val="af-ZA"/>
        </w:rPr>
        <w:t>23.2</w:t>
      </w:r>
      <w:r w:rsidRPr="005E4491">
        <w:rPr>
          <w:rFonts w:ascii="Arial" w:hAnsi="Arial" w:cs="Arial"/>
          <w:lang w:val="af-ZA"/>
        </w:rPr>
        <w:tab/>
        <w:t xml:space="preserve">In response to Telecom’s counsel during the hearing urging the Court not to apply its constitutional discretion in respect of remedy under Articel 25(1)(a), the Supreme </w:t>
      </w:r>
      <w:r w:rsidR="008901F4" w:rsidRPr="005E4491">
        <w:rPr>
          <w:rFonts w:ascii="Arial" w:hAnsi="Arial" w:cs="Arial"/>
          <w:lang w:val="af-ZA"/>
        </w:rPr>
        <w:t>Court, with reference to Article</w:t>
      </w:r>
      <w:r w:rsidRPr="005E4491">
        <w:rPr>
          <w:rFonts w:ascii="Arial" w:hAnsi="Arial" w:cs="Arial"/>
          <w:lang w:val="af-ZA"/>
        </w:rPr>
        <w:t xml:space="preserve"> 80(2), discussed the discretion the High Court has when dealing with consequences of dec</w:t>
      </w:r>
      <w:r w:rsidR="008901F4" w:rsidRPr="005E4491">
        <w:rPr>
          <w:rFonts w:ascii="Arial" w:hAnsi="Arial" w:cs="Arial"/>
          <w:lang w:val="af-ZA"/>
        </w:rPr>
        <w:t>la</w:t>
      </w:r>
      <w:r w:rsidRPr="005E4491">
        <w:rPr>
          <w:rFonts w:ascii="Arial" w:hAnsi="Arial" w:cs="Arial"/>
          <w:lang w:val="af-ZA"/>
        </w:rPr>
        <w:t>ring Acts of Parliament as invalid.</w:t>
      </w:r>
    </w:p>
    <w:p w:rsidR="00EF6402" w:rsidRPr="005E4491" w:rsidRDefault="00EF6402" w:rsidP="005E4491">
      <w:pPr>
        <w:tabs>
          <w:tab w:val="left" w:pos="720"/>
          <w:tab w:val="left" w:pos="1380"/>
        </w:tabs>
        <w:spacing w:after="0" w:line="360" w:lineRule="auto"/>
        <w:jc w:val="both"/>
        <w:rPr>
          <w:rFonts w:ascii="Arial" w:hAnsi="Arial" w:cs="Arial"/>
          <w:lang w:val="af-ZA"/>
        </w:rPr>
      </w:pPr>
    </w:p>
    <w:p w:rsidR="00EF6402" w:rsidRPr="005E4491" w:rsidRDefault="00EF6402" w:rsidP="005E4491">
      <w:pPr>
        <w:tabs>
          <w:tab w:val="left" w:pos="720"/>
          <w:tab w:val="left" w:pos="1380"/>
        </w:tabs>
        <w:spacing w:after="0" w:line="360" w:lineRule="auto"/>
        <w:jc w:val="both"/>
        <w:rPr>
          <w:rFonts w:ascii="Arial" w:hAnsi="Arial" w:cs="Arial"/>
          <w:lang w:val="af-ZA"/>
        </w:rPr>
      </w:pPr>
      <w:r w:rsidRPr="005E4491">
        <w:rPr>
          <w:rFonts w:ascii="Arial" w:hAnsi="Arial" w:cs="Arial"/>
          <w:lang w:val="af-ZA"/>
        </w:rPr>
        <w:t>23.3</w:t>
      </w:r>
      <w:r w:rsidRPr="005E4491">
        <w:rPr>
          <w:rFonts w:ascii="Arial" w:hAnsi="Arial" w:cs="Arial"/>
          <w:lang w:val="af-ZA"/>
        </w:rPr>
        <w:tab/>
        <w:t>After discusssing cases from comparative jurisdicti</w:t>
      </w:r>
      <w:r w:rsidR="008901F4" w:rsidRPr="005E4491">
        <w:rPr>
          <w:rFonts w:ascii="Arial" w:hAnsi="Arial" w:cs="Arial"/>
          <w:lang w:val="af-ZA"/>
        </w:rPr>
        <w:t>o</w:t>
      </w:r>
      <w:r w:rsidRPr="005E4491">
        <w:rPr>
          <w:rFonts w:ascii="Arial" w:hAnsi="Arial" w:cs="Arial"/>
          <w:lang w:val="af-ZA"/>
        </w:rPr>
        <w:t>ns in respect of discretionary powers of Courts when dealing with consequences of invalidity, the Supreme Court under para. 104 found that the High Court has jurisdiction to de</w:t>
      </w:r>
      <w:r w:rsidR="005C5A13">
        <w:rPr>
          <w:rFonts w:ascii="Arial" w:hAnsi="Arial" w:cs="Arial"/>
          <w:lang w:val="af-ZA"/>
        </w:rPr>
        <w:t>la</w:t>
      </w:r>
      <w:r w:rsidRPr="005E4491">
        <w:rPr>
          <w:rFonts w:ascii="Arial" w:hAnsi="Arial" w:cs="Arial"/>
          <w:lang w:val="af-ZA"/>
        </w:rPr>
        <w:t>y the order of invalidity if it found, as it did, that section 23(2)(a) an</w:t>
      </w:r>
      <w:r w:rsidR="00FF348C">
        <w:rPr>
          <w:rFonts w:ascii="Arial" w:hAnsi="Arial" w:cs="Arial"/>
          <w:lang w:val="af-ZA"/>
        </w:rPr>
        <w:t>d Item 6 were unconstitutional.</w:t>
      </w:r>
    </w:p>
    <w:p w:rsidR="00EF6402" w:rsidRPr="005E4491" w:rsidRDefault="00EF6402" w:rsidP="005E4491">
      <w:pPr>
        <w:tabs>
          <w:tab w:val="left" w:pos="720"/>
          <w:tab w:val="left" w:pos="1380"/>
        </w:tabs>
        <w:spacing w:after="0" w:line="360" w:lineRule="auto"/>
        <w:jc w:val="both"/>
        <w:rPr>
          <w:rFonts w:ascii="Arial" w:hAnsi="Arial" w:cs="Arial"/>
          <w:lang w:val="af-ZA"/>
        </w:rPr>
      </w:pPr>
    </w:p>
    <w:p w:rsidR="00EF6402" w:rsidRPr="005E4491" w:rsidRDefault="00EF6402" w:rsidP="005E4491">
      <w:pPr>
        <w:tabs>
          <w:tab w:val="left" w:pos="720"/>
          <w:tab w:val="left" w:pos="1380"/>
        </w:tabs>
        <w:spacing w:after="0" w:line="360" w:lineRule="auto"/>
        <w:jc w:val="both"/>
        <w:rPr>
          <w:rFonts w:ascii="Arial" w:hAnsi="Arial" w:cs="Arial"/>
          <w:i/>
          <w:lang w:val="af-ZA"/>
        </w:rPr>
      </w:pPr>
      <w:r w:rsidRPr="005E4491">
        <w:rPr>
          <w:rFonts w:ascii="Arial" w:hAnsi="Arial" w:cs="Arial"/>
          <w:lang w:val="af-ZA"/>
        </w:rPr>
        <w:t>23.4</w:t>
      </w:r>
      <w:r w:rsidRPr="005E4491">
        <w:rPr>
          <w:rFonts w:ascii="Arial" w:hAnsi="Arial" w:cs="Arial"/>
          <w:lang w:val="af-ZA"/>
        </w:rPr>
        <w:tab/>
        <w:t xml:space="preserve"> </w:t>
      </w:r>
      <w:r w:rsidR="008901F4" w:rsidRPr="005E4491">
        <w:rPr>
          <w:rFonts w:ascii="Arial" w:hAnsi="Arial" w:cs="Arial"/>
          <w:lang w:val="af-ZA"/>
        </w:rPr>
        <w:t>The Supreme Court then, in the last sentence under para. 104 stated that: “</w:t>
      </w:r>
      <w:r w:rsidR="008901F4" w:rsidRPr="005E4491">
        <w:rPr>
          <w:rFonts w:ascii="Arial" w:hAnsi="Arial" w:cs="Arial"/>
          <w:i/>
          <w:u w:val="single"/>
          <w:lang w:val="af-ZA"/>
        </w:rPr>
        <w:t xml:space="preserve">The question arises whether </w:t>
      </w:r>
      <w:r w:rsidR="00AC75AE" w:rsidRPr="005E4491">
        <w:rPr>
          <w:rFonts w:ascii="Arial" w:hAnsi="Arial" w:cs="Arial"/>
          <w:i/>
          <w:u w:val="single"/>
          <w:lang w:val="af-ZA"/>
        </w:rPr>
        <w:t>the order of invalidity should be delayed</w:t>
      </w:r>
      <w:r w:rsidR="00AC75AE" w:rsidRPr="005E4491">
        <w:rPr>
          <w:rFonts w:ascii="Arial" w:hAnsi="Arial" w:cs="Arial"/>
          <w:i/>
          <w:lang w:val="af-ZA"/>
        </w:rPr>
        <w:t>.”</w:t>
      </w:r>
      <w:r w:rsidR="00924D93" w:rsidRPr="005E4491">
        <w:rPr>
          <w:rFonts w:ascii="Arial" w:hAnsi="Arial" w:cs="Arial"/>
          <w:i/>
          <w:lang w:val="af-ZA"/>
        </w:rPr>
        <w:t xml:space="preserve"> After posi</w:t>
      </w:r>
      <w:r w:rsidR="00AC75AE" w:rsidRPr="005E4491">
        <w:rPr>
          <w:rFonts w:ascii="Arial" w:hAnsi="Arial" w:cs="Arial"/>
          <w:i/>
          <w:lang w:val="af-ZA"/>
        </w:rPr>
        <w:t>ng such a question, it remarkably stated under paras. 105 and 106 that:</w:t>
      </w:r>
    </w:p>
    <w:p w:rsidR="00AC75AE" w:rsidRPr="005E4491" w:rsidRDefault="00AC75AE" w:rsidP="005E4491">
      <w:pPr>
        <w:tabs>
          <w:tab w:val="left" w:pos="720"/>
          <w:tab w:val="left" w:pos="1380"/>
        </w:tabs>
        <w:spacing w:after="0" w:line="360" w:lineRule="auto"/>
        <w:jc w:val="both"/>
        <w:rPr>
          <w:rFonts w:ascii="Arial" w:hAnsi="Arial" w:cs="Arial"/>
          <w:i/>
          <w:lang w:val="af-ZA"/>
        </w:rPr>
      </w:pPr>
    </w:p>
    <w:p w:rsidR="00AC75AE" w:rsidRPr="005E4491" w:rsidRDefault="00AC75AE" w:rsidP="005E4491">
      <w:pPr>
        <w:tabs>
          <w:tab w:val="left" w:pos="720"/>
          <w:tab w:val="left" w:pos="1380"/>
        </w:tabs>
        <w:spacing w:after="0" w:line="360" w:lineRule="auto"/>
        <w:ind w:left="810" w:hanging="810"/>
        <w:jc w:val="both"/>
        <w:rPr>
          <w:rFonts w:ascii="Arial" w:hAnsi="Arial" w:cs="Arial"/>
          <w:i/>
          <w:lang w:val="af-ZA"/>
        </w:rPr>
      </w:pPr>
      <w:r w:rsidRPr="005E4491">
        <w:rPr>
          <w:rFonts w:ascii="Arial" w:hAnsi="Arial" w:cs="Arial"/>
          <w:i/>
          <w:lang w:val="af-ZA"/>
        </w:rPr>
        <w:tab/>
        <w:t>“[105] The levy of 1.5% on annual turnover is not per se an unconstitutional exercise of discretionary powers it is well within the international norm as demonstrated in CRAN’s answering papers and Canadian Broadcasting Assn v Canad</w:t>
      </w:r>
      <w:r w:rsidR="00924D93" w:rsidRPr="005E4491">
        <w:rPr>
          <w:rFonts w:ascii="Arial" w:hAnsi="Arial" w:cs="Arial"/>
          <w:i/>
          <w:lang w:val="af-ZA"/>
        </w:rPr>
        <w:t>a</w:t>
      </w:r>
      <w:r w:rsidRPr="005E4491">
        <w:rPr>
          <w:rFonts w:ascii="Arial" w:hAnsi="Arial" w:cs="Arial"/>
          <w:i/>
          <w:lang w:val="af-ZA"/>
        </w:rPr>
        <w:t xml:space="preserve">. In fact, as demonstrated by CRAN in the opposing affidavit, Telecom considered that to be the case. </w:t>
      </w:r>
      <w:r w:rsidRPr="005E4491">
        <w:rPr>
          <w:rFonts w:ascii="Arial" w:hAnsi="Arial" w:cs="Arial"/>
          <w:i/>
          <w:u w:val="single"/>
          <w:lang w:val="af-ZA"/>
        </w:rPr>
        <w:t>That is a compelling reason for not making the order of invalidity operate ex tunc</w:t>
      </w:r>
      <w:r w:rsidRPr="005E4491">
        <w:rPr>
          <w:rFonts w:ascii="Arial" w:hAnsi="Arial" w:cs="Arial"/>
          <w:i/>
          <w:lang w:val="af-ZA"/>
        </w:rPr>
        <w:t xml:space="preserve"> however, the rule of law dictates that care should be </w:t>
      </w:r>
      <w:r w:rsidR="00B22EB8" w:rsidRPr="005E4491">
        <w:rPr>
          <w:rFonts w:ascii="Arial" w:hAnsi="Arial" w:cs="Arial"/>
          <w:i/>
          <w:lang w:val="af-ZA"/>
        </w:rPr>
        <w:t>exercised so that the effect of the order of invalidity is not rendered meaningless and that those who have suffered its existence are not made to endure it any longer than the circumstances justify.</w:t>
      </w:r>
    </w:p>
    <w:p w:rsidR="00B22EB8" w:rsidRPr="005E4491" w:rsidRDefault="00B22EB8" w:rsidP="005E4491">
      <w:pPr>
        <w:tabs>
          <w:tab w:val="left" w:pos="720"/>
          <w:tab w:val="left" w:pos="1380"/>
        </w:tabs>
        <w:spacing w:after="0" w:line="360" w:lineRule="auto"/>
        <w:jc w:val="both"/>
        <w:rPr>
          <w:rFonts w:ascii="Arial" w:hAnsi="Arial" w:cs="Arial"/>
          <w:i/>
          <w:lang w:val="af-ZA"/>
        </w:rPr>
      </w:pPr>
    </w:p>
    <w:p w:rsidR="00B22EB8" w:rsidRPr="005E4491" w:rsidRDefault="00924D93" w:rsidP="005E4491">
      <w:pPr>
        <w:tabs>
          <w:tab w:val="left" w:pos="720"/>
          <w:tab w:val="left" w:pos="1380"/>
        </w:tabs>
        <w:spacing w:after="0" w:line="360" w:lineRule="auto"/>
        <w:ind w:left="720"/>
        <w:jc w:val="both"/>
        <w:rPr>
          <w:rFonts w:ascii="Arial" w:hAnsi="Arial" w:cs="Arial"/>
          <w:lang w:val="af-ZA"/>
        </w:rPr>
      </w:pPr>
      <w:r w:rsidRPr="005E4491">
        <w:rPr>
          <w:rFonts w:ascii="Arial" w:hAnsi="Arial" w:cs="Arial"/>
          <w:i/>
          <w:lang w:val="af-ZA"/>
        </w:rPr>
        <w:t>[106] I wou</w:t>
      </w:r>
      <w:r w:rsidR="00B22EB8" w:rsidRPr="005E4491">
        <w:rPr>
          <w:rFonts w:ascii="Arial" w:hAnsi="Arial" w:cs="Arial"/>
          <w:i/>
          <w:lang w:val="af-ZA"/>
        </w:rPr>
        <w:t xml:space="preserve">ld therefore </w:t>
      </w:r>
      <w:r w:rsidR="00B22EB8" w:rsidRPr="005E4491">
        <w:rPr>
          <w:rFonts w:ascii="Arial" w:hAnsi="Arial" w:cs="Arial"/>
          <w:i/>
          <w:u w:val="single"/>
          <w:lang w:val="af-ZA"/>
        </w:rPr>
        <w:t>validate</w:t>
      </w:r>
      <w:r w:rsidR="00B22EB8" w:rsidRPr="005E4491">
        <w:rPr>
          <w:rFonts w:ascii="Arial" w:hAnsi="Arial" w:cs="Arial"/>
          <w:i/>
          <w:lang w:val="af-ZA"/>
        </w:rPr>
        <w:t xml:space="preserve"> s 23(2)(a) of the Act and Item 6 only </w:t>
      </w:r>
      <w:r w:rsidR="00B22EB8" w:rsidRPr="005E4491">
        <w:rPr>
          <w:rFonts w:ascii="Arial" w:hAnsi="Arial" w:cs="Arial"/>
          <w:i/>
          <w:u w:val="single"/>
          <w:lang w:val="af-ZA"/>
        </w:rPr>
        <w:t xml:space="preserve">up to the point that its </w:t>
      </w:r>
      <w:r w:rsidR="0046319C">
        <w:rPr>
          <w:rFonts w:ascii="Arial" w:hAnsi="Arial" w:cs="Arial"/>
          <w:i/>
          <w:u w:val="single"/>
          <w:lang w:val="af-ZA"/>
        </w:rPr>
        <w:t>in</w:t>
      </w:r>
      <w:r w:rsidR="00B22EB8" w:rsidRPr="005E4491">
        <w:rPr>
          <w:rFonts w:ascii="Arial" w:hAnsi="Arial" w:cs="Arial"/>
          <w:i/>
          <w:u w:val="single"/>
          <w:lang w:val="af-ZA"/>
        </w:rPr>
        <w:t xml:space="preserve">validity has been </w:t>
      </w:r>
      <w:r w:rsidR="00B22EB8" w:rsidRPr="005E4491">
        <w:rPr>
          <w:rFonts w:ascii="Arial" w:hAnsi="Arial" w:cs="Arial"/>
          <w:b/>
          <w:i/>
          <w:u w:val="single"/>
          <w:lang w:val="af-ZA"/>
        </w:rPr>
        <w:t>confirmed</w:t>
      </w:r>
      <w:r w:rsidR="00B22EB8" w:rsidRPr="00914BA6">
        <w:rPr>
          <w:rFonts w:ascii="Arial" w:hAnsi="Arial" w:cs="Arial"/>
          <w:i/>
          <w:u w:val="single"/>
          <w:lang w:val="af-ZA"/>
        </w:rPr>
        <w:t xml:space="preserve"> </w:t>
      </w:r>
      <w:r w:rsidR="00B22EB8" w:rsidRPr="005E4491">
        <w:rPr>
          <w:rFonts w:ascii="Arial" w:hAnsi="Arial" w:cs="Arial"/>
          <w:i/>
          <w:u w:val="single"/>
          <w:lang w:val="af-ZA"/>
        </w:rPr>
        <w:t xml:space="preserve">by </w:t>
      </w:r>
      <w:r w:rsidR="00B22EB8" w:rsidRPr="005E4491">
        <w:rPr>
          <w:rFonts w:ascii="Arial" w:hAnsi="Arial" w:cs="Arial"/>
          <w:b/>
          <w:i/>
          <w:u w:val="single"/>
          <w:lang w:val="af-ZA"/>
        </w:rPr>
        <w:t>this</w:t>
      </w:r>
      <w:r w:rsidR="00B22EB8" w:rsidRPr="005E4491">
        <w:rPr>
          <w:rFonts w:ascii="Arial" w:hAnsi="Arial" w:cs="Arial"/>
          <w:i/>
          <w:u w:val="single"/>
          <w:lang w:val="af-ZA"/>
        </w:rPr>
        <w:t xml:space="preserve"> court:</w:t>
      </w:r>
      <w:r w:rsidR="00B22EB8" w:rsidRPr="005E4491">
        <w:rPr>
          <w:rStyle w:val="FootnoteReference"/>
          <w:rFonts w:ascii="Arial" w:hAnsi="Arial" w:cs="Arial"/>
          <w:i/>
          <w:lang w:val="af-ZA"/>
        </w:rPr>
        <w:footnoteReference w:id="14"/>
      </w:r>
      <w:r w:rsidR="00B22EB8" w:rsidRPr="005E4491">
        <w:rPr>
          <w:rFonts w:ascii="Arial" w:hAnsi="Arial" w:cs="Arial"/>
          <w:i/>
          <w:lang w:val="af-ZA"/>
        </w:rPr>
        <w:t xml:space="preserve"> In other words, the order of invalidity will operate ex nunc. </w:t>
      </w:r>
      <w:r w:rsidR="00B22EB8" w:rsidRPr="005E4491">
        <w:rPr>
          <w:rFonts w:ascii="Arial" w:hAnsi="Arial" w:cs="Arial"/>
          <w:lang w:val="af-ZA"/>
        </w:rPr>
        <w:t>(own emphasis)</w:t>
      </w:r>
      <w:r w:rsidR="00FA7C0C" w:rsidRPr="005E4491">
        <w:rPr>
          <w:rFonts w:ascii="Arial" w:hAnsi="Arial" w:cs="Arial"/>
          <w:lang w:val="af-ZA"/>
        </w:rPr>
        <w:t>”</w:t>
      </w:r>
    </w:p>
    <w:p w:rsidR="00B22EB8" w:rsidRPr="005E4491" w:rsidRDefault="00B22EB8" w:rsidP="005E4491">
      <w:pPr>
        <w:tabs>
          <w:tab w:val="left" w:pos="720"/>
          <w:tab w:val="left" w:pos="1380"/>
        </w:tabs>
        <w:spacing w:after="0" w:line="360" w:lineRule="auto"/>
        <w:jc w:val="both"/>
        <w:rPr>
          <w:rFonts w:ascii="Arial" w:hAnsi="Arial" w:cs="Arial"/>
          <w:lang w:val="af-ZA"/>
        </w:rPr>
      </w:pPr>
    </w:p>
    <w:p w:rsidR="00B22EB8" w:rsidRPr="005E4491" w:rsidRDefault="00B22EB8" w:rsidP="005E4491">
      <w:pPr>
        <w:tabs>
          <w:tab w:val="left" w:pos="720"/>
          <w:tab w:val="left" w:pos="1380"/>
        </w:tabs>
        <w:spacing w:after="0" w:line="360" w:lineRule="auto"/>
        <w:jc w:val="both"/>
        <w:rPr>
          <w:rFonts w:ascii="Arial" w:hAnsi="Arial" w:cs="Arial"/>
          <w:lang w:val="af-ZA"/>
        </w:rPr>
      </w:pPr>
      <w:r w:rsidRPr="005E4491">
        <w:rPr>
          <w:rFonts w:ascii="Arial" w:hAnsi="Arial" w:cs="Arial"/>
          <w:lang w:val="af-ZA"/>
        </w:rPr>
        <w:t>23.5</w:t>
      </w:r>
      <w:r w:rsidRPr="005E4491">
        <w:rPr>
          <w:rFonts w:ascii="Arial" w:hAnsi="Arial" w:cs="Arial"/>
          <w:lang w:val="af-ZA"/>
        </w:rPr>
        <w:tab/>
      </w:r>
      <w:r w:rsidR="00924D93" w:rsidRPr="005E4491">
        <w:rPr>
          <w:rFonts w:ascii="Arial" w:hAnsi="Arial" w:cs="Arial"/>
          <w:lang w:val="af-ZA"/>
        </w:rPr>
        <w:t>From the above two quoted paragraphs of the Supreme Court’s judgment the follwong is plainly clear:</w:t>
      </w:r>
    </w:p>
    <w:p w:rsidR="00924D93" w:rsidRPr="005E4491" w:rsidRDefault="00924D93" w:rsidP="005E4491">
      <w:pPr>
        <w:tabs>
          <w:tab w:val="left" w:pos="720"/>
          <w:tab w:val="left" w:pos="2160"/>
        </w:tabs>
        <w:spacing w:after="0" w:line="360" w:lineRule="auto"/>
        <w:ind w:left="2160" w:hanging="2160"/>
        <w:jc w:val="both"/>
        <w:rPr>
          <w:rFonts w:ascii="Arial" w:hAnsi="Arial" w:cs="Arial"/>
          <w:lang w:val="af-ZA"/>
        </w:rPr>
      </w:pPr>
      <w:r w:rsidRPr="005E4491">
        <w:rPr>
          <w:rFonts w:ascii="Arial" w:hAnsi="Arial" w:cs="Arial"/>
          <w:lang w:val="af-ZA"/>
        </w:rPr>
        <w:tab/>
        <w:t>23.5.1</w:t>
      </w:r>
      <w:r w:rsidRPr="005E4491">
        <w:rPr>
          <w:rFonts w:ascii="Arial" w:hAnsi="Arial" w:cs="Arial"/>
          <w:lang w:val="af-ZA"/>
        </w:rPr>
        <w:tab/>
        <w:t xml:space="preserve">The Court found that the levy of 1.5% on annual turnover is not </w:t>
      </w:r>
      <w:r w:rsidRPr="005E4491">
        <w:rPr>
          <w:rFonts w:ascii="Arial" w:hAnsi="Arial" w:cs="Arial"/>
          <w:i/>
          <w:lang w:val="af-ZA"/>
        </w:rPr>
        <w:t>per se</w:t>
      </w:r>
      <w:r w:rsidRPr="005E4491">
        <w:rPr>
          <w:rFonts w:ascii="Arial" w:hAnsi="Arial" w:cs="Arial"/>
          <w:lang w:val="af-ZA"/>
        </w:rPr>
        <w:t xml:space="preserve"> an unconstitutional exercise of discretionary power as it was well within the international norm. It found that because of such a fact same was a compelling reason </w:t>
      </w:r>
      <w:r w:rsidRPr="005E4491">
        <w:rPr>
          <w:rFonts w:ascii="Arial" w:hAnsi="Arial" w:cs="Arial"/>
          <w:i/>
          <w:lang w:val="af-ZA"/>
        </w:rPr>
        <w:t>“for not making the order of invalidity operate ex tunc”</w:t>
      </w:r>
      <w:r w:rsidRPr="005E4491">
        <w:rPr>
          <w:rFonts w:ascii="Arial" w:hAnsi="Arial" w:cs="Arial"/>
          <w:lang w:val="af-ZA"/>
        </w:rPr>
        <w:t>.</w:t>
      </w:r>
    </w:p>
    <w:p w:rsidR="0043205D" w:rsidRPr="005E4491" w:rsidRDefault="0043205D" w:rsidP="005E4491">
      <w:pPr>
        <w:tabs>
          <w:tab w:val="left" w:pos="720"/>
          <w:tab w:val="left" w:pos="2160"/>
        </w:tabs>
        <w:spacing w:after="0" w:line="360" w:lineRule="auto"/>
        <w:ind w:left="2160" w:hanging="2160"/>
        <w:jc w:val="both"/>
        <w:rPr>
          <w:rFonts w:ascii="Arial" w:hAnsi="Arial" w:cs="Arial"/>
          <w:lang w:val="af-ZA"/>
        </w:rPr>
      </w:pPr>
    </w:p>
    <w:p w:rsidR="00924D93" w:rsidRPr="005E4491" w:rsidRDefault="00924D93" w:rsidP="005E4491">
      <w:pPr>
        <w:tabs>
          <w:tab w:val="left" w:pos="720"/>
          <w:tab w:val="left" w:pos="2160"/>
        </w:tabs>
        <w:spacing w:after="0" w:line="360" w:lineRule="auto"/>
        <w:ind w:left="2160" w:hanging="2160"/>
        <w:jc w:val="both"/>
        <w:rPr>
          <w:rFonts w:ascii="Arial" w:hAnsi="Arial" w:cs="Arial"/>
          <w:lang w:val="af-ZA"/>
        </w:rPr>
      </w:pPr>
      <w:r w:rsidRPr="005E4491">
        <w:rPr>
          <w:rFonts w:ascii="Arial" w:hAnsi="Arial" w:cs="Arial"/>
          <w:lang w:val="af-ZA"/>
        </w:rPr>
        <w:tab/>
        <w:t>23.5.2</w:t>
      </w:r>
      <w:r w:rsidRPr="005E4491">
        <w:rPr>
          <w:rFonts w:ascii="Arial" w:hAnsi="Arial" w:cs="Arial"/>
          <w:lang w:val="af-ZA"/>
        </w:rPr>
        <w:tab/>
        <w:t xml:space="preserve">Under para. 106 the Court, after setting out the reasons why it should delay the invalidity so that such would not operate </w:t>
      </w:r>
      <w:r w:rsidRPr="005E4491">
        <w:rPr>
          <w:rFonts w:ascii="Arial" w:hAnsi="Arial" w:cs="Arial"/>
          <w:i/>
          <w:lang w:val="af-ZA"/>
        </w:rPr>
        <w:t>ex tunc</w:t>
      </w:r>
      <w:r w:rsidRPr="005E4491">
        <w:rPr>
          <w:rFonts w:ascii="Arial" w:hAnsi="Arial" w:cs="Arial"/>
          <w:lang w:val="af-ZA"/>
        </w:rPr>
        <w:t xml:space="preserve">, decided to validate section 23(2)(a) of the Act and Item 6 </w:t>
      </w:r>
      <w:r w:rsidRPr="005E4491">
        <w:rPr>
          <w:rFonts w:ascii="Arial" w:hAnsi="Arial" w:cs="Arial"/>
          <w:b/>
          <w:u w:val="single"/>
          <w:lang w:val="af-ZA"/>
        </w:rPr>
        <w:t>up to</w:t>
      </w:r>
      <w:r w:rsidRPr="005E4491">
        <w:rPr>
          <w:rFonts w:ascii="Arial" w:hAnsi="Arial" w:cs="Arial"/>
          <w:lang w:val="af-ZA"/>
        </w:rPr>
        <w:t xml:space="preserve"> the point that the invalidity of section 23(2(a) and section 6 was </w:t>
      </w:r>
      <w:r w:rsidRPr="005E4491">
        <w:rPr>
          <w:rFonts w:ascii="Arial" w:hAnsi="Arial" w:cs="Arial"/>
          <w:u w:val="single"/>
          <w:lang w:val="af-ZA"/>
        </w:rPr>
        <w:t>confirmed</w:t>
      </w:r>
      <w:r w:rsidRPr="005E4491">
        <w:rPr>
          <w:rStyle w:val="FootnoteReference"/>
          <w:rFonts w:ascii="Arial" w:hAnsi="Arial" w:cs="Arial"/>
          <w:lang w:val="af-ZA"/>
        </w:rPr>
        <w:footnoteReference w:id="15"/>
      </w:r>
      <w:r w:rsidR="00A243B4" w:rsidRPr="005E4491">
        <w:rPr>
          <w:rFonts w:ascii="Arial" w:hAnsi="Arial" w:cs="Arial"/>
          <w:lang w:val="af-ZA"/>
        </w:rPr>
        <w:t xml:space="preserve"> </w:t>
      </w:r>
      <w:r w:rsidR="00A243B4" w:rsidRPr="005E4491">
        <w:rPr>
          <w:rFonts w:ascii="Arial" w:hAnsi="Arial" w:cs="Arial"/>
          <w:i/>
          <w:lang w:val="af-ZA"/>
        </w:rPr>
        <w:t>“</w:t>
      </w:r>
      <w:r w:rsidR="00A243B4" w:rsidRPr="005E4491">
        <w:rPr>
          <w:rFonts w:ascii="Arial" w:hAnsi="Arial" w:cs="Arial"/>
          <w:i/>
          <w:u w:val="single"/>
          <w:lang w:val="af-ZA"/>
        </w:rPr>
        <w:t>by this court</w:t>
      </w:r>
      <w:r w:rsidR="00A243B4" w:rsidRPr="005E4491">
        <w:rPr>
          <w:rFonts w:ascii="Arial" w:hAnsi="Arial" w:cs="Arial"/>
          <w:i/>
          <w:lang w:val="af-ZA"/>
        </w:rPr>
        <w:t>” (</w:t>
      </w:r>
      <w:r w:rsidR="00A243B4" w:rsidRPr="005E4491">
        <w:rPr>
          <w:rFonts w:ascii="Arial" w:hAnsi="Arial" w:cs="Arial"/>
          <w:b/>
          <w:i/>
          <w:lang w:val="af-ZA"/>
        </w:rPr>
        <w:t>Supreme Court</w:t>
      </w:r>
      <w:r w:rsidR="00A243B4" w:rsidRPr="005E4491">
        <w:rPr>
          <w:rFonts w:ascii="Arial" w:hAnsi="Arial" w:cs="Arial"/>
          <w:i/>
          <w:lang w:val="af-ZA"/>
        </w:rPr>
        <w:t>)</w:t>
      </w:r>
    </w:p>
    <w:p w:rsidR="00376F30" w:rsidRPr="005E4491" w:rsidRDefault="00376F30" w:rsidP="005E4491">
      <w:pPr>
        <w:tabs>
          <w:tab w:val="left" w:pos="720"/>
          <w:tab w:val="left" w:pos="2160"/>
        </w:tabs>
        <w:spacing w:after="0" w:line="360" w:lineRule="auto"/>
        <w:ind w:left="2160" w:hanging="2160"/>
        <w:jc w:val="both"/>
        <w:rPr>
          <w:rFonts w:ascii="Arial" w:hAnsi="Arial" w:cs="Arial"/>
          <w:lang w:val="af-ZA"/>
        </w:rPr>
      </w:pPr>
    </w:p>
    <w:p w:rsidR="00376F30" w:rsidRPr="005E4491" w:rsidRDefault="00832719"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lastRenderedPageBreak/>
        <w:t>23.6</w:t>
      </w:r>
      <w:r w:rsidRPr="005E4491">
        <w:rPr>
          <w:rFonts w:ascii="Arial" w:hAnsi="Arial" w:cs="Arial"/>
          <w:lang w:val="af-ZA"/>
        </w:rPr>
        <w:tab/>
      </w:r>
      <w:r w:rsidR="00AA18F4">
        <w:rPr>
          <w:rFonts w:ascii="Arial" w:hAnsi="Arial" w:cs="Arial"/>
          <w:lang w:val="af-ZA"/>
        </w:rPr>
        <w:t xml:space="preserve">We submit </w:t>
      </w:r>
      <w:r w:rsidR="00376F30" w:rsidRPr="005E4491">
        <w:rPr>
          <w:rFonts w:ascii="Arial" w:hAnsi="Arial" w:cs="Arial"/>
          <w:lang w:val="af-ZA"/>
        </w:rPr>
        <w:t>that in fact the interpretation by the Defendant would render the whole para. 106 of the Supr</w:t>
      </w:r>
      <w:r w:rsidR="00775B18">
        <w:rPr>
          <w:rFonts w:ascii="Arial" w:hAnsi="Arial" w:cs="Arial"/>
          <w:lang w:val="af-ZA"/>
        </w:rPr>
        <w:t>eme Court’s nugatory</w:t>
      </w:r>
      <w:r w:rsidR="00C33D70" w:rsidRPr="005E4491">
        <w:rPr>
          <w:rFonts w:ascii="Arial" w:hAnsi="Arial" w:cs="Arial"/>
          <w:lang w:val="af-ZA"/>
        </w:rPr>
        <w:t xml:space="preserve"> . . . </w:t>
      </w:r>
      <w:r w:rsidR="00D6209D" w:rsidRPr="005E4491">
        <w:rPr>
          <w:rFonts w:ascii="Arial" w:hAnsi="Arial" w:cs="Arial"/>
          <w:lang w:val="af-ZA"/>
        </w:rPr>
        <w:t>.</w:t>
      </w:r>
    </w:p>
    <w:p w:rsidR="005069F1" w:rsidRPr="005E4491" w:rsidRDefault="005069F1" w:rsidP="005E4491">
      <w:pPr>
        <w:tabs>
          <w:tab w:val="left" w:pos="720"/>
        </w:tabs>
        <w:spacing w:after="0" w:line="360" w:lineRule="auto"/>
        <w:ind w:left="720" w:hanging="720"/>
        <w:jc w:val="both"/>
        <w:rPr>
          <w:rFonts w:ascii="Arial" w:hAnsi="Arial" w:cs="Arial"/>
          <w:lang w:val="af-ZA"/>
        </w:rPr>
      </w:pPr>
    </w:p>
    <w:p w:rsidR="005069F1" w:rsidRPr="005E4491" w:rsidRDefault="005069F1"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23.7</w:t>
      </w:r>
      <w:r w:rsidRPr="005E4491">
        <w:rPr>
          <w:rFonts w:ascii="Arial" w:hAnsi="Arial" w:cs="Arial"/>
          <w:lang w:val="af-ZA"/>
        </w:rPr>
        <w:tab/>
        <w:t xml:space="preserve">Such kind of </w:t>
      </w:r>
      <w:r w:rsidR="00D05550" w:rsidRPr="005E4491">
        <w:rPr>
          <w:rFonts w:ascii="Arial" w:hAnsi="Arial" w:cs="Arial"/>
          <w:lang w:val="af-ZA"/>
        </w:rPr>
        <w:t xml:space="preserve">an </w:t>
      </w:r>
      <w:r w:rsidRPr="005E4491">
        <w:rPr>
          <w:rFonts w:ascii="Arial" w:hAnsi="Arial" w:cs="Arial"/>
          <w:lang w:val="af-ZA"/>
        </w:rPr>
        <w:t>interpretation of a Court order or a statute which render some part of a statute or Court order nugatory is inappropriate</w:t>
      </w:r>
      <w:r w:rsidR="00C33D70" w:rsidRPr="005E4491">
        <w:rPr>
          <w:rFonts w:ascii="Arial" w:hAnsi="Arial" w:cs="Arial"/>
          <w:lang w:val="af-ZA"/>
        </w:rPr>
        <w:t xml:space="preserve"> . . . . </w:t>
      </w:r>
    </w:p>
    <w:p w:rsidR="00D6209D" w:rsidRPr="005E4491" w:rsidRDefault="00D6209D" w:rsidP="005E4491">
      <w:pPr>
        <w:tabs>
          <w:tab w:val="left" w:pos="720"/>
        </w:tabs>
        <w:spacing w:after="0" w:line="360" w:lineRule="auto"/>
        <w:ind w:left="720" w:hanging="720"/>
        <w:jc w:val="both"/>
        <w:rPr>
          <w:rFonts w:ascii="Arial" w:hAnsi="Arial" w:cs="Arial"/>
          <w:lang w:val="af-ZA"/>
        </w:rPr>
      </w:pPr>
    </w:p>
    <w:p w:rsidR="00D6209D" w:rsidRPr="005E4491" w:rsidRDefault="00D6209D"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23.8</w:t>
      </w:r>
      <w:r w:rsidRPr="005E4491">
        <w:rPr>
          <w:rFonts w:ascii="Arial" w:hAnsi="Arial" w:cs="Arial"/>
          <w:lang w:val="af-ZA"/>
        </w:rPr>
        <w:tab/>
      </w:r>
      <w:r w:rsidR="00DE52EE" w:rsidRPr="005E4491">
        <w:rPr>
          <w:rFonts w:ascii="Arial" w:hAnsi="Arial" w:cs="Arial"/>
          <w:lang w:val="af-ZA"/>
        </w:rPr>
        <w:t xml:space="preserve">The Supreme Court after </w:t>
      </w:r>
      <w:r w:rsidR="00AB077F" w:rsidRPr="005E4491">
        <w:rPr>
          <w:rFonts w:ascii="Arial" w:hAnsi="Arial" w:cs="Arial"/>
          <w:lang w:val="af-ZA"/>
        </w:rPr>
        <w:t xml:space="preserve">making remarks under para. 106 quoted above further stated that: </w:t>
      </w:r>
      <w:r w:rsidR="00AB077F" w:rsidRPr="005E4491">
        <w:rPr>
          <w:rFonts w:ascii="Arial" w:hAnsi="Arial" w:cs="Arial"/>
          <w:i/>
          <w:lang w:val="af-ZA"/>
        </w:rPr>
        <w:t>In other words, the order of invalidity will operate ex nunc</w:t>
      </w:r>
      <w:r w:rsidR="00AB077F" w:rsidRPr="005E4491">
        <w:rPr>
          <w:rFonts w:ascii="Arial" w:hAnsi="Arial" w:cs="Arial"/>
          <w:lang w:val="af-ZA"/>
        </w:rPr>
        <w:t xml:space="preserve">.” </w:t>
      </w:r>
      <w:r w:rsidR="00AB077F" w:rsidRPr="005E4491">
        <w:rPr>
          <w:rFonts w:ascii="Arial" w:hAnsi="Arial" w:cs="Arial"/>
          <w:i/>
          <w:lang w:val="af-ZA"/>
        </w:rPr>
        <w:t>Ex nunc</w:t>
      </w:r>
      <w:r w:rsidR="00AB077F" w:rsidRPr="005E4491">
        <w:rPr>
          <w:rFonts w:ascii="Arial" w:hAnsi="Arial" w:cs="Arial"/>
          <w:lang w:val="af-ZA"/>
        </w:rPr>
        <w:t xml:space="preserve">, as opposed to </w:t>
      </w:r>
      <w:r w:rsidR="00AB077F" w:rsidRPr="005E4491">
        <w:rPr>
          <w:rFonts w:ascii="Arial" w:hAnsi="Arial" w:cs="Arial"/>
          <w:i/>
          <w:lang w:val="af-ZA"/>
        </w:rPr>
        <w:t>ex tunc</w:t>
      </w:r>
      <w:r w:rsidR="00AB077F" w:rsidRPr="005E4491">
        <w:rPr>
          <w:rFonts w:ascii="Arial" w:hAnsi="Arial" w:cs="Arial"/>
          <w:lang w:val="af-ZA"/>
        </w:rPr>
        <w:t>, would mean that the Supreme Court decided to delay the invalidity of section 23(2)(a) and Item 6 until the date that its invalidity was “</w:t>
      </w:r>
      <w:r w:rsidR="00AB077F" w:rsidRPr="005E4491">
        <w:rPr>
          <w:rFonts w:ascii="Arial" w:hAnsi="Arial" w:cs="Arial"/>
          <w:i/>
          <w:u w:val="single"/>
          <w:lang w:val="af-ZA"/>
        </w:rPr>
        <w:t>confirmed</w:t>
      </w:r>
      <w:r w:rsidR="00AB077F" w:rsidRPr="005E4491">
        <w:rPr>
          <w:rFonts w:ascii="Arial" w:hAnsi="Arial" w:cs="Arial"/>
          <w:lang w:val="af-ZA"/>
        </w:rPr>
        <w:t>’</w:t>
      </w:r>
      <w:r w:rsidR="005F7CD6" w:rsidRPr="005E4491">
        <w:rPr>
          <w:rFonts w:ascii="Arial" w:hAnsi="Arial" w:cs="Arial"/>
          <w:lang w:val="af-ZA"/>
        </w:rPr>
        <w:t xml:space="preserve"> by</w:t>
      </w:r>
      <w:r w:rsidR="00AB077F" w:rsidRPr="005E4491">
        <w:rPr>
          <w:rFonts w:ascii="Arial" w:hAnsi="Arial" w:cs="Arial"/>
          <w:lang w:val="af-ZA"/>
        </w:rPr>
        <w:t xml:space="preserve"> (</w:t>
      </w:r>
      <w:r w:rsidR="00AA18F4">
        <w:rPr>
          <w:rFonts w:ascii="Arial" w:hAnsi="Arial" w:cs="Arial"/>
          <w:lang w:val="af-ZA"/>
        </w:rPr>
        <w:t>this Court) the Supreme Court.</w:t>
      </w:r>
    </w:p>
    <w:p w:rsidR="004464BF" w:rsidRPr="005E4491" w:rsidRDefault="004464BF" w:rsidP="005E4491">
      <w:pPr>
        <w:tabs>
          <w:tab w:val="left" w:pos="720"/>
        </w:tabs>
        <w:spacing w:after="0" w:line="360" w:lineRule="auto"/>
        <w:ind w:left="720" w:hanging="720"/>
        <w:jc w:val="both"/>
        <w:rPr>
          <w:rFonts w:ascii="Arial" w:hAnsi="Arial" w:cs="Arial"/>
          <w:lang w:val="af-ZA"/>
        </w:rPr>
      </w:pPr>
    </w:p>
    <w:p w:rsidR="004464BF" w:rsidRPr="005E4491" w:rsidRDefault="004464BF"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23.9</w:t>
      </w:r>
      <w:r w:rsidRPr="005E4491">
        <w:rPr>
          <w:rFonts w:ascii="Arial" w:hAnsi="Arial" w:cs="Arial"/>
          <w:lang w:val="af-ZA"/>
        </w:rPr>
        <w:tab/>
      </w:r>
      <w:r w:rsidR="004A4C69" w:rsidRPr="005E4491">
        <w:rPr>
          <w:rFonts w:ascii="Arial" w:hAnsi="Arial" w:cs="Arial"/>
          <w:lang w:val="af-ZA"/>
        </w:rPr>
        <w:t>W</w:t>
      </w:r>
      <w:r w:rsidR="00E73D7C" w:rsidRPr="005E4491">
        <w:rPr>
          <w:rFonts w:ascii="Arial" w:hAnsi="Arial" w:cs="Arial"/>
          <w:lang w:val="af-ZA"/>
        </w:rPr>
        <w:t xml:space="preserve">e submit that the above becomes </w:t>
      </w:r>
      <w:r w:rsidR="00EA25D4" w:rsidRPr="005E4491">
        <w:rPr>
          <w:rFonts w:ascii="Arial" w:hAnsi="Arial" w:cs="Arial"/>
          <w:lang w:val="af-ZA"/>
        </w:rPr>
        <w:t>e</w:t>
      </w:r>
      <w:r w:rsidR="00E73D7C" w:rsidRPr="005E4491">
        <w:rPr>
          <w:rFonts w:ascii="Arial" w:hAnsi="Arial" w:cs="Arial"/>
          <w:lang w:val="af-ZA"/>
        </w:rPr>
        <w:t>ven more clearer when one, in</w:t>
      </w:r>
      <w:r w:rsidR="00EA25D4" w:rsidRPr="005E4491">
        <w:rPr>
          <w:rFonts w:ascii="Arial" w:hAnsi="Arial" w:cs="Arial"/>
          <w:lang w:val="af-ZA"/>
        </w:rPr>
        <w:t xml:space="preserve"> context, reads the first sente</w:t>
      </w:r>
      <w:r w:rsidR="00E73D7C" w:rsidRPr="005E4491">
        <w:rPr>
          <w:rFonts w:ascii="Arial" w:hAnsi="Arial" w:cs="Arial"/>
          <w:lang w:val="af-ZA"/>
        </w:rPr>
        <w:t>n</w:t>
      </w:r>
      <w:r w:rsidR="00EA25D4" w:rsidRPr="005E4491">
        <w:rPr>
          <w:rFonts w:ascii="Arial" w:hAnsi="Arial" w:cs="Arial"/>
          <w:lang w:val="af-ZA"/>
        </w:rPr>
        <w:t>c</w:t>
      </w:r>
      <w:r w:rsidR="00E73D7C" w:rsidRPr="005E4491">
        <w:rPr>
          <w:rFonts w:ascii="Arial" w:hAnsi="Arial" w:cs="Arial"/>
          <w:lang w:val="af-ZA"/>
        </w:rPr>
        <w:t>e of para. 107 of the judgment, which read as follows:</w:t>
      </w:r>
    </w:p>
    <w:p w:rsidR="00E73D7C" w:rsidRPr="005E4491" w:rsidRDefault="00E73D7C" w:rsidP="005E4491">
      <w:pPr>
        <w:tabs>
          <w:tab w:val="left" w:pos="720"/>
        </w:tabs>
        <w:spacing w:after="0" w:line="360" w:lineRule="auto"/>
        <w:ind w:left="720" w:hanging="720"/>
        <w:jc w:val="both"/>
        <w:rPr>
          <w:rFonts w:ascii="Arial" w:hAnsi="Arial" w:cs="Arial"/>
          <w:lang w:val="af-ZA"/>
        </w:rPr>
      </w:pPr>
    </w:p>
    <w:p w:rsidR="00E73D7C" w:rsidRPr="005E4491" w:rsidRDefault="00E73D7C"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ab/>
        <w:t>”</w:t>
      </w:r>
      <w:r w:rsidRPr="005E4491">
        <w:rPr>
          <w:rFonts w:ascii="Arial" w:hAnsi="Arial" w:cs="Arial"/>
          <w:i/>
          <w:lang w:val="af-ZA"/>
        </w:rPr>
        <w:t>[107]</w:t>
      </w:r>
      <w:r w:rsidRPr="005E4491">
        <w:rPr>
          <w:rFonts w:ascii="Arial" w:hAnsi="Arial" w:cs="Arial"/>
          <w:i/>
          <w:lang w:val="af-ZA"/>
        </w:rPr>
        <w:tab/>
        <w:t xml:space="preserve">No </w:t>
      </w:r>
      <w:r w:rsidR="00592AD8" w:rsidRPr="005E4491">
        <w:rPr>
          <w:rFonts w:ascii="Arial" w:hAnsi="Arial" w:cs="Arial"/>
          <w:i/>
          <w:lang w:val="af-ZA"/>
        </w:rPr>
        <w:t>doubt the order of invalidity ta</w:t>
      </w:r>
      <w:r w:rsidRPr="005E4491">
        <w:rPr>
          <w:rFonts w:ascii="Arial" w:hAnsi="Arial" w:cs="Arial"/>
          <w:i/>
          <w:lang w:val="af-ZA"/>
        </w:rPr>
        <w:t xml:space="preserve">king </w:t>
      </w:r>
      <w:r w:rsidRPr="005E4491">
        <w:rPr>
          <w:rFonts w:ascii="Arial" w:hAnsi="Arial" w:cs="Arial"/>
          <w:i/>
          <w:u w:val="single"/>
          <w:lang w:val="af-ZA"/>
        </w:rPr>
        <w:t>immedite effect after this judgment</w:t>
      </w:r>
      <w:r w:rsidRPr="005E4491">
        <w:rPr>
          <w:rStyle w:val="FootnoteReference"/>
          <w:rFonts w:ascii="Arial" w:hAnsi="Arial" w:cs="Arial"/>
          <w:i/>
          <w:lang w:val="af-ZA"/>
        </w:rPr>
        <w:footnoteReference w:id="16"/>
      </w:r>
      <w:r w:rsidRPr="005E4491">
        <w:rPr>
          <w:rFonts w:ascii="Arial" w:hAnsi="Arial" w:cs="Arial"/>
          <w:i/>
          <w:lang w:val="af-ZA"/>
        </w:rPr>
        <w:t xml:space="preserve"> creates a l</w:t>
      </w:r>
      <w:r w:rsidR="00857372">
        <w:rPr>
          <w:rFonts w:ascii="Arial" w:hAnsi="Arial" w:cs="Arial"/>
          <w:i/>
          <w:lang w:val="af-ZA"/>
        </w:rPr>
        <w:t>egal vacuum in the levy regime.</w:t>
      </w:r>
      <w:r w:rsidRPr="005E4491">
        <w:rPr>
          <w:rFonts w:ascii="Arial" w:hAnsi="Arial" w:cs="Arial"/>
          <w:i/>
          <w:lang w:val="af-ZA"/>
        </w:rPr>
        <w:t xml:space="preserve"> </w:t>
      </w:r>
      <w:r w:rsidRPr="005E4491">
        <w:rPr>
          <w:rFonts w:ascii="Arial" w:hAnsi="Arial" w:cs="Arial"/>
          <w:lang w:val="af-ZA"/>
        </w:rPr>
        <w:t>(own emphasis)”</w:t>
      </w:r>
    </w:p>
    <w:p w:rsidR="00592AD8" w:rsidRPr="005E4491" w:rsidRDefault="00592AD8" w:rsidP="005E4491">
      <w:pPr>
        <w:tabs>
          <w:tab w:val="left" w:pos="720"/>
        </w:tabs>
        <w:spacing w:after="0" w:line="360" w:lineRule="auto"/>
        <w:ind w:left="720" w:hanging="720"/>
        <w:jc w:val="both"/>
        <w:rPr>
          <w:rFonts w:ascii="Arial" w:hAnsi="Arial" w:cs="Arial"/>
          <w:lang w:val="af-ZA"/>
        </w:rPr>
      </w:pPr>
    </w:p>
    <w:p w:rsidR="00592AD8" w:rsidRPr="005E4491" w:rsidRDefault="00592AD8"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23.10</w:t>
      </w:r>
      <w:r w:rsidRPr="005E4491">
        <w:rPr>
          <w:rFonts w:ascii="Arial" w:hAnsi="Arial" w:cs="Arial"/>
          <w:lang w:val="af-ZA"/>
        </w:rPr>
        <w:tab/>
        <w:t>The Supreme Court, in relation to Item 6 (regulation) then remarked under para. 111 of its judgment as follows:</w:t>
      </w:r>
    </w:p>
    <w:p w:rsidR="00592AD8" w:rsidRPr="005E4491" w:rsidRDefault="00592AD8" w:rsidP="005E4491">
      <w:pPr>
        <w:tabs>
          <w:tab w:val="left" w:pos="720"/>
        </w:tabs>
        <w:spacing w:after="0" w:line="360" w:lineRule="auto"/>
        <w:ind w:left="720" w:hanging="720"/>
        <w:jc w:val="both"/>
        <w:rPr>
          <w:rFonts w:ascii="Arial" w:hAnsi="Arial" w:cs="Arial"/>
          <w:lang w:val="af-ZA"/>
        </w:rPr>
      </w:pPr>
    </w:p>
    <w:p w:rsidR="00592AD8" w:rsidRPr="005E4491" w:rsidRDefault="00592AD8"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ab/>
      </w:r>
      <w:r w:rsidRPr="005E4491">
        <w:rPr>
          <w:rFonts w:ascii="Arial" w:hAnsi="Arial" w:cs="Arial"/>
          <w:i/>
          <w:lang w:val="af-ZA"/>
        </w:rPr>
        <w:t xml:space="preserve">“[111] . . . . the order of invalidity will not have retroactive effect and will have legal consequences only </w:t>
      </w:r>
      <w:r w:rsidRPr="005E4491">
        <w:rPr>
          <w:rFonts w:ascii="Arial" w:hAnsi="Arial" w:cs="Arial"/>
          <w:b/>
          <w:i/>
          <w:u w:val="single"/>
          <w:lang w:val="af-ZA"/>
        </w:rPr>
        <w:t>from now</w:t>
      </w:r>
      <w:r w:rsidRPr="005E4491">
        <w:rPr>
          <w:rFonts w:ascii="Arial" w:hAnsi="Arial" w:cs="Arial"/>
          <w:i/>
          <w:lang w:val="af-ZA"/>
        </w:rPr>
        <w:t xml:space="preserve"> </w:t>
      </w:r>
      <w:r w:rsidR="00105520">
        <w:rPr>
          <w:rFonts w:ascii="Arial" w:hAnsi="Arial" w:cs="Arial"/>
          <w:i/>
          <w:lang w:val="af-ZA"/>
        </w:rPr>
        <w:t>a</w:t>
      </w:r>
      <w:r w:rsidRPr="005E4491">
        <w:rPr>
          <w:rFonts w:ascii="Arial" w:hAnsi="Arial" w:cs="Arial"/>
          <w:i/>
          <w:lang w:val="af-ZA"/>
        </w:rPr>
        <w:t xml:space="preserve">nd into the future. That does not detract from the fact that Telecom will only be required to pay a part of the levy which operated retroactively, and it will also not be liable for any levy after the order of invalidity. On the other hand, Telecom, which has to date refused to pay the levy, </w:t>
      </w:r>
      <w:r w:rsidRPr="005E4491">
        <w:rPr>
          <w:rFonts w:ascii="Arial" w:hAnsi="Arial" w:cs="Arial"/>
          <w:i/>
          <w:u w:val="single"/>
          <w:lang w:val="af-ZA"/>
        </w:rPr>
        <w:t>will from the date the levy was gazetted until the date of invalidity be liable to CRAN for the payment of the levy imposed by Item 6</w:t>
      </w:r>
      <w:r w:rsidRPr="005E4491">
        <w:rPr>
          <w:rFonts w:ascii="Arial" w:hAnsi="Arial" w:cs="Arial"/>
          <w:i/>
          <w:lang w:val="af-ZA"/>
        </w:rPr>
        <w:t xml:space="preserve">.” </w:t>
      </w:r>
      <w:r w:rsidRPr="005E4491">
        <w:rPr>
          <w:rFonts w:ascii="Arial" w:hAnsi="Arial" w:cs="Arial"/>
          <w:lang w:val="af-ZA"/>
        </w:rPr>
        <w:t>(own imphasis)”</w:t>
      </w:r>
    </w:p>
    <w:p w:rsidR="003057B5" w:rsidRPr="005E4491" w:rsidRDefault="003057B5" w:rsidP="005E4491">
      <w:pPr>
        <w:tabs>
          <w:tab w:val="left" w:pos="720"/>
        </w:tabs>
        <w:spacing w:after="0" w:line="360" w:lineRule="auto"/>
        <w:ind w:left="720" w:hanging="720"/>
        <w:jc w:val="both"/>
        <w:rPr>
          <w:rFonts w:ascii="Arial" w:hAnsi="Arial" w:cs="Arial"/>
          <w:u w:val="single"/>
          <w:lang w:val="af-ZA"/>
        </w:rPr>
      </w:pPr>
    </w:p>
    <w:p w:rsidR="003057B5" w:rsidRPr="005E4491" w:rsidRDefault="003057B5" w:rsidP="005E4491">
      <w:pPr>
        <w:tabs>
          <w:tab w:val="left" w:pos="720"/>
        </w:tabs>
        <w:spacing w:after="0" w:line="360" w:lineRule="auto"/>
        <w:ind w:left="720" w:hanging="720"/>
        <w:jc w:val="both"/>
        <w:rPr>
          <w:rFonts w:ascii="Arial" w:hAnsi="Arial" w:cs="Arial"/>
          <w:lang w:val="af-ZA"/>
        </w:rPr>
      </w:pPr>
      <w:r w:rsidRPr="005E4491">
        <w:rPr>
          <w:rFonts w:ascii="Arial" w:hAnsi="Arial" w:cs="Arial"/>
          <w:lang w:val="af-ZA"/>
        </w:rPr>
        <w:t>23.11</w:t>
      </w:r>
      <w:r w:rsidRPr="005E4491">
        <w:rPr>
          <w:rFonts w:ascii="Arial" w:hAnsi="Arial" w:cs="Arial"/>
          <w:lang w:val="af-ZA"/>
        </w:rPr>
        <w:tab/>
        <w:t xml:space="preserve">It appears that because of the phrasing of the Supreme Court orders to the effect that the “appeal succeeds and the order of the High Court is set aside and substituted”  and, “subject to paragraph (c) the order of invalidity in paragraph (a) will take effect from the </w:t>
      </w:r>
      <w:r w:rsidRPr="005E4491">
        <w:rPr>
          <w:rFonts w:ascii="Arial" w:hAnsi="Arial" w:cs="Arial"/>
          <w:lang w:val="af-ZA"/>
        </w:rPr>
        <w:lastRenderedPageBreak/>
        <w:t>date of this judgment”, the Defendant without regard to the Court’s reasoning under paras. 94 – 112 argues that the invalidity of sections 23(2)(a) operates from the date of the High Court order not from the date of the Suprene Court. The fallacy of the Defendant’s argument in this respec</w:t>
      </w:r>
      <w:r w:rsidR="00DB3206">
        <w:rPr>
          <w:rFonts w:ascii="Arial" w:hAnsi="Arial" w:cs="Arial"/>
          <w:lang w:val="af-ZA"/>
        </w:rPr>
        <w:t>t is, with respect, bottomless.</w:t>
      </w:r>
      <w:r w:rsidR="009F0B6F">
        <w:rPr>
          <w:rFonts w:ascii="Arial" w:hAnsi="Arial" w:cs="Arial"/>
          <w:lang w:val="af-ZA"/>
        </w:rPr>
        <w:t>’</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[19]</w:t>
      </w:r>
      <w:r w:rsidRPr="005E4491">
        <w:rPr>
          <w:rFonts w:ascii="Arial" w:hAnsi="Arial" w:cs="Arial"/>
          <w:sz w:val="24"/>
          <w:szCs w:val="24"/>
          <w:lang w:val="af-ZA"/>
        </w:rPr>
        <w:tab/>
      </w:r>
      <w:r w:rsidR="00332573">
        <w:rPr>
          <w:rFonts w:ascii="Arial" w:hAnsi="Arial" w:cs="Arial"/>
          <w:sz w:val="24"/>
          <w:szCs w:val="24"/>
          <w:lang w:val="af-ZA"/>
        </w:rPr>
        <w:t>The above was</w:t>
      </w:r>
      <w:r w:rsidR="001D22C9" w:rsidRPr="005E4491">
        <w:rPr>
          <w:rFonts w:ascii="Arial" w:hAnsi="Arial" w:cs="Arial"/>
          <w:sz w:val="24"/>
          <w:szCs w:val="24"/>
          <w:lang w:val="af-ZA"/>
        </w:rPr>
        <w:t xml:space="preserve"> the argument advanced by </w:t>
      </w:r>
      <w:r w:rsidR="007B61E5">
        <w:rPr>
          <w:rFonts w:ascii="Arial" w:hAnsi="Arial" w:cs="Arial"/>
          <w:sz w:val="24"/>
          <w:szCs w:val="24"/>
          <w:lang w:val="af-ZA"/>
        </w:rPr>
        <w:t xml:space="preserve">Mr </w:t>
      </w:r>
      <w:r w:rsidR="00DB3206">
        <w:rPr>
          <w:rFonts w:ascii="Arial" w:hAnsi="Arial" w:cs="Arial"/>
          <w:sz w:val="24"/>
          <w:szCs w:val="24"/>
          <w:lang w:val="af-ZA"/>
        </w:rPr>
        <w:t>Namandje with regard to the plaintiff’s contention</w:t>
      </w:r>
      <w:r w:rsidR="001D22C9" w:rsidRPr="005E4491">
        <w:rPr>
          <w:rFonts w:ascii="Arial" w:hAnsi="Arial" w:cs="Arial"/>
          <w:sz w:val="24"/>
          <w:szCs w:val="24"/>
          <w:lang w:val="af-ZA"/>
        </w:rPr>
        <w:t xml:space="preserve"> that the invalidy operates from 11 June 2018, b</w:t>
      </w:r>
      <w:r w:rsidR="00DB3206">
        <w:rPr>
          <w:rFonts w:ascii="Arial" w:hAnsi="Arial" w:cs="Arial"/>
          <w:sz w:val="24"/>
          <w:szCs w:val="24"/>
          <w:lang w:val="af-ZA"/>
        </w:rPr>
        <w:t>eing the Supreme Court’s order.</w:t>
      </w:r>
    </w:p>
    <w:p w:rsidR="001D22C9" w:rsidRPr="005E4491" w:rsidRDefault="001D22C9" w:rsidP="005E4491">
      <w:pPr>
        <w:tabs>
          <w:tab w:val="left" w:pos="720"/>
          <w:tab w:val="left" w:pos="1380"/>
        </w:tabs>
        <w:spacing w:after="0" w:line="360" w:lineRule="auto"/>
        <w:jc w:val="both"/>
        <w:rPr>
          <w:rFonts w:ascii="Arial" w:hAnsi="Arial" w:cs="Arial"/>
          <w:sz w:val="24"/>
          <w:szCs w:val="24"/>
          <w:lang w:val="af-ZA"/>
        </w:rPr>
      </w:pPr>
    </w:p>
    <w:p w:rsidR="003D1980" w:rsidRPr="005E4491" w:rsidRDefault="001D22C9"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[20]</w:t>
      </w:r>
      <w:r w:rsidRPr="005E4491">
        <w:rPr>
          <w:rFonts w:ascii="Arial" w:hAnsi="Arial" w:cs="Arial"/>
          <w:sz w:val="24"/>
          <w:szCs w:val="24"/>
          <w:lang w:val="af-ZA"/>
        </w:rPr>
        <w:tab/>
      </w:r>
      <w:r w:rsidR="00540C10">
        <w:rPr>
          <w:rFonts w:ascii="Arial" w:hAnsi="Arial" w:cs="Arial"/>
          <w:sz w:val="24"/>
          <w:szCs w:val="24"/>
          <w:lang w:val="af-ZA"/>
        </w:rPr>
        <w:t>On</w:t>
      </w:r>
      <w:r w:rsidRPr="005E4491">
        <w:rPr>
          <w:rFonts w:ascii="Arial" w:hAnsi="Arial" w:cs="Arial"/>
          <w:sz w:val="24"/>
          <w:szCs w:val="24"/>
          <w:lang w:val="af-ZA"/>
        </w:rPr>
        <w:t xml:space="preserve"> the issue of costs counsel argued that the defendant’s exception is bad in law and must be dismissed wit</w:t>
      </w:r>
      <w:r w:rsidR="00945A38" w:rsidRPr="005E4491">
        <w:rPr>
          <w:rFonts w:ascii="Arial" w:hAnsi="Arial" w:cs="Arial"/>
          <w:sz w:val="24"/>
          <w:szCs w:val="24"/>
          <w:lang w:val="af-ZA"/>
        </w:rPr>
        <w:t>h</w:t>
      </w:r>
      <w:r w:rsidRPr="005E4491">
        <w:rPr>
          <w:rFonts w:ascii="Arial" w:hAnsi="Arial" w:cs="Arial"/>
          <w:sz w:val="24"/>
          <w:szCs w:val="24"/>
          <w:lang w:val="af-ZA"/>
        </w:rPr>
        <w:t xml:space="preserve"> cost</w:t>
      </w:r>
      <w:r w:rsidR="00DB3206">
        <w:rPr>
          <w:rFonts w:ascii="Arial" w:hAnsi="Arial" w:cs="Arial"/>
          <w:sz w:val="24"/>
          <w:szCs w:val="24"/>
          <w:lang w:val="af-ZA"/>
        </w:rPr>
        <w:t>s not capped under rule 32(11).</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u w:val="single"/>
          <w:lang w:val="af-ZA"/>
        </w:rPr>
      </w:pPr>
      <w:r w:rsidRPr="005E4491">
        <w:rPr>
          <w:rFonts w:ascii="Arial" w:hAnsi="Arial" w:cs="Arial"/>
          <w:sz w:val="24"/>
          <w:szCs w:val="24"/>
          <w:u w:val="single"/>
          <w:lang w:val="af-ZA"/>
        </w:rPr>
        <w:t>The applicable law and its application to the facts</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E371B4" w:rsidRPr="005E4491" w:rsidRDefault="00E371B4"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t>[</w:t>
      </w:r>
      <w:r w:rsidR="00646B58">
        <w:rPr>
          <w:rFonts w:ascii="Arial" w:hAnsi="Arial" w:cs="Arial"/>
          <w:sz w:val="24"/>
          <w:szCs w:val="24"/>
          <w:lang w:val="af-ZA"/>
        </w:rPr>
        <w:t>21</w:t>
      </w:r>
      <w:r w:rsidRPr="005E4491">
        <w:rPr>
          <w:rFonts w:ascii="Arial" w:hAnsi="Arial" w:cs="Arial"/>
          <w:sz w:val="24"/>
          <w:szCs w:val="24"/>
          <w:lang w:val="af-ZA"/>
        </w:rPr>
        <w:t>]</w:t>
      </w:r>
      <w:r w:rsidRPr="005E4491">
        <w:rPr>
          <w:rFonts w:ascii="Arial" w:hAnsi="Arial" w:cs="Arial"/>
          <w:sz w:val="24"/>
          <w:szCs w:val="24"/>
          <w:lang w:val="af-ZA"/>
        </w:rPr>
        <w:tab/>
        <w:t xml:space="preserve">The </w:t>
      </w:r>
      <w:r w:rsidR="005E4491">
        <w:rPr>
          <w:rFonts w:ascii="Arial" w:hAnsi="Arial" w:cs="Arial"/>
          <w:sz w:val="24"/>
          <w:szCs w:val="24"/>
          <w:lang w:val="af-ZA"/>
        </w:rPr>
        <w:t xml:space="preserve">well known </w:t>
      </w:r>
      <w:r w:rsidRPr="005E4491">
        <w:rPr>
          <w:rFonts w:ascii="Arial" w:hAnsi="Arial" w:cs="Arial"/>
          <w:sz w:val="24"/>
          <w:szCs w:val="24"/>
          <w:lang w:val="af-ZA"/>
        </w:rPr>
        <w:t xml:space="preserve">case of </w:t>
      </w:r>
      <w:r w:rsidRPr="005E4491">
        <w:rPr>
          <w:rFonts w:ascii="Arial" w:hAnsi="Arial" w:cs="Arial"/>
          <w:i/>
          <w:sz w:val="24"/>
          <w:szCs w:val="24"/>
          <w:lang w:val="en-US"/>
        </w:rPr>
        <w:t>Van Straten N.O and Another v Namibia Financial Institutions and Another</w:t>
      </w:r>
      <w:r w:rsidRPr="005E4491">
        <w:rPr>
          <w:rStyle w:val="FootnoteReference"/>
          <w:rFonts w:ascii="Arial" w:hAnsi="Arial" w:cs="Arial"/>
          <w:sz w:val="24"/>
          <w:szCs w:val="24"/>
          <w:lang w:val="en-US"/>
        </w:rPr>
        <w:footnoteReference w:id="17"/>
      </w:r>
      <w:r w:rsidR="005E4491" w:rsidRPr="005E4491">
        <w:rPr>
          <w:rFonts w:ascii="Arial" w:hAnsi="Arial" w:cs="Arial"/>
          <w:sz w:val="24"/>
          <w:szCs w:val="24"/>
          <w:lang w:val="af-ZA"/>
        </w:rPr>
        <w:t xml:space="preserve"> e</w:t>
      </w:r>
      <w:r w:rsidRPr="005E4491">
        <w:rPr>
          <w:rFonts w:ascii="Arial" w:hAnsi="Arial" w:cs="Arial"/>
          <w:sz w:val="24"/>
          <w:szCs w:val="24"/>
          <w:lang w:val="af-ZA"/>
        </w:rPr>
        <w:t xml:space="preserve">lucidated the principles </w:t>
      </w:r>
      <w:r w:rsidR="005E4491" w:rsidRPr="005E4491">
        <w:rPr>
          <w:rFonts w:ascii="Arial" w:hAnsi="Arial" w:cs="Arial"/>
          <w:sz w:val="24"/>
          <w:szCs w:val="24"/>
          <w:lang w:val="af-ZA"/>
        </w:rPr>
        <w:t>of deter</w:t>
      </w:r>
      <w:r w:rsidR="00DB3206">
        <w:rPr>
          <w:rFonts w:ascii="Arial" w:hAnsi="Arial" w:cs="Arial"/>
          <w:sz w:val="24"/>
          <w:szCs w:val="24"/>
          <w:lang w:val="af-ZA"/>
        </w:rPr>
        <w:t>mining an exception as follows:</w:t>
      </w:r>
    </w:p>
    <w:p w:rsidR="005E4491" w:rsidRPr="005E4491" w:rsidRDefault="005E4491" w:rsidP="005E4491">
      <w:pPr>
        <w:tabs>
          <w:tab w:val="left" w:pos="720"/>
          <w:tab w:val="left" w:pos="1380"/>
        </w:tabs>
        <w:spacing w:after="0" w:line="360" w:lineRule="auto"/>
        <w:jc w:val="both"/>
        <w:rPr>
          <w:rFonts w:ascii="Arial" w:hAnsi="Arial" w:cs="Arial"/>
          <w:sz w:val="24"/>
          <w:szCs w:val="24"/>
          <w:lang w:val="af-ZA"/>
        </w:rPr>
      </w:pPr>
    </w:p>
    <w:p w:rsidR="005E4491" w:rsidRPr="00D91C7C" w:rsidRDefault="005E4491" w:rsidP="005E4491">
      <w:pPr>
        <w:tabs>
          <w:tab w:val="left" w:pos="720"/>
          <w:tab w:val="left" w:pos="1380"/>
        </w:tabs>
        <w:spacing w:after="0" w:line="360" w:lineRule="auto"/>
        <w:jc w:val="both"/>
        <w:rPr>
          <w:rFonts w:ascii="Arial" w:hAnsi="Arial" w:cs="Arial"/>
          <w:lang w:val="en-US"/>
        </w:rPr>
      </w:pPr>
      <w:r w:rsidRPr="005E4491">
        <w:rPr>
          <w:rFonts w:ascii="Arial" w:hAnsi="Arial" w:cs="Arial"/>
          <w:sz w:val="24"/>
          <w:szCs w:val="24"/>
          <w:lang w:val="af-ZA"/>
        </w:rPr>
        <w:tab/>
      </w:r>
      <w:r w:rsidR="00D91C7C" w:rsidRPr="00D91C7C">
        <w:rPr>
          <w:rFonts w:ascii="Arial" w:hAnsi="Arial" w:cs="Arial"/>
          <w:lang w:val="af-ZA"/>
        </w:rPr>
        <w:t>‘</w:t>
      </w:r>
      <w:r w:rsidR="00D91C7C" w:rsidRPr="00D91C7C">
        <w:rPr>
          <w:rFonts w:ascii="Arial" w:hAnsi="Arial" w:cs="Arial"/>
        </w:rPr>
        <w:t>[18] Where an exception is taken on the grounds that no cause of action is disclosed or is sustainable on the particulars of claim, two aspects are to be emphasised. Firstly, for the purpose of deciding the exception, the facts as alleged in the plaintiff’s pleadings are taken as correct. In the second place, it is incumbent upon an excipient to persuade this court that upon every interpretation which the pleading can reasonably bear, n</w:t>
      </w:r>
      <w:r w:rsidR="00E52E71">
        <w:rPr>
          <w:rFonts w:ascii="Arial" w:hAnsi="Arial" w:cs="Arial"/>
        </w:rPr>
        <w:t>o cause of action is disclosed.</w:t>
      </w:r>
      <w:r w:rsidR="00D91C7C" w:rsidRPr="00D91C7C">
        <w:rPr>
          <w:rFonts w:ascii="Arial" w:hAnsi="Arial" w:cs="Arial"/>
        </w:rPr>
        <w:t xml:space="preserve"> Stated otherwise, only if no possible evidence led on the pleadings can disclose a cause of action, will the particulars of claim be found to be excipiable.’</w:t>
      </w:r>
    </w:p>
    <w:p w:rsidR="00E371B4" w:rsidRPr="005E4491" w:rsidRDefault="00E371B4" w:rsidP="005E4491">
      <w:pPr>
        <w:tabs>
          <w:tab w:val="left" w:pos="720"/>
          <w:tab w:val="left" w:pos="1380"/>
        </w:tabs>
        <w:spacing w:after="0" w:line="360" w:lineRule="auto"/>
        <w:jc w:val="both"/>
        <w:rPr>
          <w:rFonts w:ascii="Arial" w:hAnsi="Arial" w:cs="Arial"/>
          <w:sz w:val="24"/>
          <w:szCs w:val="24"/>
          <w:lang w:val="af-ZA"/>
        </w:rPr>
      </w:pPr>
    </w:p>
    <w:p w:rsidR="00526831" w:rsidRDefault="00526831" w:rsidP="005E4491">
      <w:pPr>
        <w:tabs>
          <w:tab w:val="left" w:pos="720"/>
          <w:tab w:val="left" w:pos="1380"/>
        </w:tabs>
        <w:spacing w:after="0" w:line="360" w:lineRule="auto"/>
        <w:jc w:val="both"/>
        <w:rPr>
          <w:rFonts w:ascii="Arial" w:hAnsi="Arial" w:cs="Arial"/>
          <w:sz w:val="24"/>
          <w:szCs w:val="24"/>
          <w:lang w:val="af-ZA"/>
        </w:rPr>
      </w:pPr>
      <w:r>
        <w:rPr>
          <w:rFonts w:ascii="Arial" w:hAnsi="Arial" w:cs="Arial"/>
          <w:sz w:val="24"/>
          <w:szCs w:val="24"/>
          <w:lang w:val="af-ZA"/>
        </w:rPr>
        <w:t>[</w:t>
      </w:r>
      <w:r w:rsidR="00646B58">
        <w:rPr>
          <w:rFonts w:ascii="Arial" w:hAnsi="Arial" w:cs="Arial"/>
          <w:sz w:val="24"/>
          <w:szCs w:val="24"/>
          <w:lang w:val="af-ZA"/>
        </w:rPr>
        <w:t>22</w:t>
      </w:r>
      <w:r>
        <w:rPr>
          <w:rFonts w:ascii="Arial" w:hAnsi="Arial" w:cs="Arial"/>
          <w:sz w:val="24"/>
          <w:szCs w:val="24"/>
          <w:lang w:val="af-ZA"/>
        </w:rPr>
        <w:t>]</w:t>
      </w:r>
      <w:r>
        <w:rPr>
          <w:rFonts w:ascii="Arial" w:hAnsi="Arial" w:cs="Arial"/>
          <w:sz w:val="24"/>
          <w:szCs w:val="24"/>
          <w:lang w:val="af-ZA"/>
        </w:rPr>
        <w:tab/>
      </w:r>
      <w:r w:rsidR="00BB6EEE">
        <w:rPr>
          <w:rFonts w:ascii="Arial" w:hAnsi="Arial" w:cs="Arial"/>
          <w:sz w:val="24"/>
          <w:szCs w:val="24"/>
          <w:lang w:val="af-ZA"/>
        </w:rPr>
        <w:t>The court therefore has to take the facts as alleged by the plaintiff’s pleadings as correct in determining an exception taken on the ground that n</w:t>
      </w:r>
      <w:r w:rsidR="00FE117E">
        <w:rPr>
          <w:rFonts w:ascii="Arial" w:hAnsi="Arial" w:cs="Arial"/>
          <w:sz w:val="24"/>
          <w:szCs w:val="24"/>
          <w:lang w:val="af-ZA"/>
        </w:rPr>
        <w:t>o cause of action is disclosed.</w:t>
      </w:r>
    </w:p>
    <w:p w:rsidR="00526831" w:rsidRDefault="00526831" w:rsidP="005E4491">
      <w:pPr>
        <w:tabs>
          <w:tab w:val="left" w:pos="720"/>
          <w:tab w:val="left" w:pos="1380"/>
        </w:tabs>
        <w:spacing w:after="0" w:line="360" w:lineRule="auto"/>
        <w:jc w:val="both"/>
        <w:rPr>
          <w:rFonts w:ascii="Arial" w:hAnsi="Arial" w:cs="Arial"/>
          <w:sz w:val="24"/>
          <w:szCs w:val="24"/>
          <w:lang w:val="af-ZA"/>
        </w:rPr>
      </w:pP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r w:rsidRPr="005E4491">
        <w:rPr>
          <w:rFonts w:ascii="Arial" w:hAnsi="Arial" w:cs="Arial"/>
          <w:sz w:val="24"/>
          <w:szCs w:val="24"/>
          <w:lang w:val="af-ZA"/>
        </w:rPr>
        <w:lastRenderedPageBreak/>
        <w:t>[</w:t>
      </w:r>
      <w:r w:rsidR="00646B58">
        <w:rPr>
          <w:rFonts w:ascii="Arial" w:hAnsi="Arial" w:cs="Arial"/>
          <w:sz w:val="24"/>
          <w:szCs w:val="24"/>
          <w:lang w:val="af-ZA"/>
        </w:rPr>
        <w:t>23</w:t>
      </w:r>
      <w:r w:rsidRPr="005E4491">
        <w:rPr>
          <w:rFonts w:ascii="Arial" w:hAnsi="Arial" w:cs="Arial"/>
          <w:sz w:val="24"/>
          <w:szCs w:val="24"/>
          <w:lang w:val="af-ZA"/>
        </w:rPr>
        <w:t>]</w:t>
      </w:r>
      <w:r w:rsidRPr="005E4491">
        <w:rPr>
          <w:rFonts w:ascii="Arial" w:hAnsi="Arial" w:cs="Arial"/>
          <w:sz w:val="24"/>
          <w:szCs w:val="24"/>
          <w:lang w:val="af-ZA"/>
        </w:rPr>
        <w:tab/>
      </w:r>
      <w:r w:rsidR="00122407">
        <w:rPr>
          <w:rFonts w:ascii="Arial" w:hAnsi="Arial" w:cs="Arial"/>
          <w:sz w:val="24"/>
          <w:szCs w:val="24"/>
          <w:lang w:val="af-ZA"/>
        </w:rPr>
        <w:t>Turning to the issue at hand w</w:t>
      </w:r>
      <w:r w:rsidR="00095055">
        <w:rPr>
          <w:rFonts w:ascii="Arial" w:hAnsi="Arial" w:cs="Arial"/>
          <w:sz w:val="24"/>
          <w:szCs w:val="24"/>
          <w:lang w:val="af-ZA"/>
        </w:rPr>
        <w:t xml:space="preserve">ith regard to the ground of </w:t>
      </w:r>
      <w:r w:rsidR="00122407">
        <w:rPr>
          <w:rFonts w:ascii="Arial" w:hAnsi="Arial" w:cs="Arial"/>
          <w:sz w:val="24"/>
          <w:szCs w:val="24"/>
          <w:lang w:val="af-ZA"/>
        </w:rPr>
        <w:t>exception</w:t>
      </w:r>
      <w:r w:rsidR="00E93BEF">
        <w:rPr>
          <w:rFonts w:ascii="Arial" w:hAnsi="Arial" w:cs="Arial"/>
          <w:sz w:val="24"/>
          <w:szCs w:val="24"/>
          <w:lang w:val="af-ZA"/>
        </w:rPr>
        <w:t xml:space="preserve"> raised</w:t>
      </w:r>
      <w:r w:rsidR="00122407">
        <w:rPr>
          <w:rFonts w:ascii="Arial" w:hAnsi="Arial" w:cs="Arial"/>
          <w:sz w:val="24"/>
          <w:szCs w:val="24"/>
          <w:lang w:val="af-ZA"/>
        </w:rPr>
        <w:t xml:space="preserve"> </w:t>
      </w:r>
      <w:r w:rsidR="004A0279">
        <w:rPr>
          <w:rFonts w:ascii="Arial" w:hAnsi="Arial" w:cs="Arial"/>
          <w:sz w:val="24"/>
          <w:szCs w:val="24"/>
          <w:lang w:val="af-ZA"/>
        </w:rPr>
        <w:t xml:space="preserve">by the defendant </w:t>
      </w:r>
      <w:r w:rsidR="00122407">
        <w:rPr>
          <w:rFonts w:ascii="Arial" w:hAnsi="Arial" w:cs="Arial"/>
          <w:sz w:val="24"/>
          <w:szCs w:val="24"/>
          <w:lang w:val="af-ZA"/>
        </w:rPr>
        <w:t>that</w:t>
      </w:r>
      <w:r w:rsidR="00095055">
        <w:rPr>
          <w:rFonts w:ascii="Arial" w:hAnsi="Arial" w:cs="Arial"/>
          <w:sz w:val="24"/>
          <w:szCs w:val="24"/>
          <w:lang w:val="af-ZA"/>
        </w:rPr>
        <w:t xml:space="preserve"> </w:t>
      </w:r>
      <w:r w:rsidR="00A1161A">
        <w:rPr>
          <w:rFonts w:ascii="Arial" w:hAnsi="Arial" w:cs="Arial"/>
          <w:sz w:val="24"/>
          <w:szCs w:val="24"/>
          <w:lang w:val="af-ZA"/>
        </w:rPr>
        <w:t xml:space="preserve">due to the fact that </w:t>
      </w:r>
      <w:r w:rsidR="00095055">
        <w:rPr>
          <w:rFonts w:ascii="Arial" w:hAnsi="Arial" w:cs="Arial"/>
          <w:sz w:val="24"/>
          <w:szCs w:val="24"/>
          <w:lang w:val="af-ZA"/>
        </w:rPr>
        <w:t>the invalidity of s 23(2)</w:t>
      </w:r>
      <w:r w:rsidR="00095055" w:rsidRPr="00B83351">
        <w:rPr>
          <w:rFonts w:ascii="Arial" w:hAnsi="Arial" w:cs="Arial"/>
          <w:i/>
          <w:sz w:val="24"/>
          <w:szCs w:val="24"/>
          <w:lang w:val="af-ZA"/>
        </w:rPr>
        <w:t>(a)</w:t>
      </w:r>
      <w:r w:rsidR="00095055">
        <w:rPr>
          <w:rFonts w:ascii="Arial" w:hAnsi="Arial" w:cs="Arial"/>
          <w:sz w:val="24"/>
          <w:szCs w:val="24"/>
          <w:lang w:val="af-ZA"/>
        </w:rPr>
        <w:t xml:space="preserve"> starts running from the High Court order and not the Supreme Court</w:t>
      </w:r>
      <w:r w:rsidR="00EE3211">
        <w:rPr>
          <w:rFonts w:ascii="Arial" w:hAnsi="Arial" w:cs="Arial"/>
          <w:sz w:val="24"/>
          <w:szCs w:val="24"/>
          <w:lang w:val="af-ZA"/>
        </w:rPr>
        <w:t xml:space="preserve"> order</w:t>
      </w:r>
      <w:r w:rsidR="00A1161A">
        <w:rPr>
          <w:rFonts w:ascii="Arial" w:hAnsi="Arial" w:cs="Arial"/>
          <w:sz w:val="24"/>
          <w:szCs w:val="24"/>
          <w:lang w:val="af-ZA"/>
        </w:rPr>
        <w:t xml:space="preserve"> no caue of action exists,</w:t>
      </w:r>
      <w:r w:rsidR="00095055">
        <w:rPr>
          <w:rFonts w:ascii="Arial" w:hAnsi="Arial" w:cs="Arial"/>
          <w:sz w:val="24"/>
          <w:szCs w:val="24"/>
          <w:lang w:val="af-ZA"/>
        </w:rPr>
        <w:t xml:space="preserve"> t</w:t>
      </w:r>
      <w:r w:rsidRPr="005E4491">
        <w:rPr>
          <w:rFonts w:ascii="Arial" w:hAnsi="Arial" w:cs="Arial"/>
          <w:sz w:val="24"/>
          <w:szCs w:val="24"/>
          <w:lang w:val="af-ZA"/>
        </w:rPr>
        <w:t xml:space="preserve">he legal principles of interpreting a court’s jugdment or oder was well pronounced in the case of </w:t>
      </w:r>
      <w:r w:rsidRPr="005E4491">
        <w:rPr>
          <w:rFonts w:ascii="Arial" w:hAnsi="Arial" w:cs="Arial"/>
          <w:i/>
          <w:sz w:val="24"/>
          <w:szCs w:val="24"/>
          <w:lang w:val="af-ZA"/>
        </w:rPr>
        <w:t xml:space="preserve">Firestone South </w:t>
      </w:r>
      <w:r w:rsidR="00EE3211">
        <w:rPr>
          <w:rFonts w:ascii="Arial" w:hAnsi="Arial" w:cs="Arial"/>
          <w:i/>
          <w:sz w:val="24"/>
          <w:szCs w:val="24"/>
          <w:lang w:val="af-ZA"/>
        </w:rPr>
        <w:t xml:space="preserve">Africa (Pty) Ltd v Genticuro </w:t>
      </w:r>
      <w:r w:rsidR="00EE3211" w:rsidRPr="00EE3211">
        <w:rPr>
          <w:rFonts w:ascii="Arial" w:hAnsi="Arial" w:cs="Arial"/>
          <w:sz w:val="24"/>
          <w:szCs w:val="24"/>
          <w:lang w:val="af-ZA"/>
        </w:rPr>
        <w:t>AG</w:t>
      </w:r>
      <w:r w:rsidR="00EE3211">
        <w:rPr>
          <w:rFonts w:ascii="Arial" w:hAnsi="Arial" w:cs="Arial"/>
          <w:sz w:val="24"/>
          <w:szCs w:val="24"/>
          <w:lang w:val="af-ZA"/>
        </w:rPr>
        <w:t xml:space="preserve"> </w:t>
      </w:r>
      <w:r w:rsidRPr="00EE3211">
        <w:rPr>
          <w:rFonts w:ascii="Arial" w:hAnsi="Arial" w:cs="Arial"/>
          <w:sz w:val="24"/>
          <w:szCs w:val="24"/>
          <w:lang w:val="af-ZA"/>
        </w:rPr>
        <w:t>where</w:t>
      </w:r>
      <w:r w:rsidRPr="005E4491">
        <w:rPr>
          <w:rFonts w:ascii="Arial" w:hAnsi="Arial" w:cs="Arial"/>
          <w:sz w:val="24"/>
          <w:szCs w:val="24"/>
          <w:lang w:val="af-ZA"/>
        </w:rPr>
        <w:t xml:space="preserve"> the court held as follows:</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666BC7" w:rsidP="005E4491">
      <w:pPr>
        <w:tabs>
          <w:tab w:val="left" w:pos="720"/>
          <w:tab w:val="left" w:pos="1380"/>
        </w:tabs>
        <w:spacing w:after="0" w:line="360" w:lineRule="auto"/>
        <w:jc w:val="both"/>
        <w:rPr>
          <w:rFonts w:ascii="Arial" w:hAnsi="Arial" w:cs="Arial"/>
          <w:lang w:val="af-ZA"/>
        </w:rPr>
      </w:pPr>
      <w:r w:rsidRPr="005E4491">
        <w:rPr>
          <w:rFonts w:ascii="Arial" w:hAnsi="Arial" w:cs="Arial"/>
          <w:sz w:val="24"/>
          <w:szCs w:val="24"/>
          <w:lang w:val="af-ZA"/>
        </w:rPr>
        <w:tab/>
      </w:r>
      <w:r w:rsidR="003D1980" w:rsidRPr="005E4491">
        <w:rPr>
          <w:rFonts w:ascii="Arial" w:hAnsi="Arial" w:cs="Arial"/>
          <w:lang w:val="af-ZA"/>
        </w:rPr>
        <w:t>‘First, some general observations about the relevant rules of interpreting a cou</w:t>
      </w:r>
      <w:r w:rsidR="00423E2F">
        <w:rPr>
          <w:rFonts w:ascii="Arial" w:hAnsi="Arial" w:cs="Arial"/>
          <w:lang w:val="af-ZA"/>
        </w:rPr>
        <w:t>r</w:t>
      </w:r>
      <w:r w:rsidR="003D1980" w:rsidRPr="005E4491">
        <w:rPr>
          <w:rFonts w:ascii="Arial" w:hAnsi="Arial" w:cs="Arial"/>
          <w:lang w:val="af-ZA"/>
        </w:rPr>
        <w:t xml:space="preserve">t’s judgment or order. </w:t>
      </w:r>
      <w:r w:rsidR="003D1980" w:rsidRPr="000125F6">
        <w:rPr>
          <w:rFonts w:ascii="Arial" w:hAnsi="Arial" w:cs="Arial"/>
          <w:u w:val="single"/>
          <w:lang w:val="af-ZA"/>
        </w:rPr>
        <w:t>The basic principles applicable to construing documents also apply to the constructions of a court’s judgment or order: the court’s intention is to be ascertained primarily from the language of the judgment or order as construed according to the usual, well-known rules</w:t>
      </w:r>
      <w:r w:rsidR="003D1980" w:rsidRPr="005E4491">
        <w:rPr>
          <w:rFonts w:ascii="Arial" w:hAnsi="Arial" w:cs="Arial"/>
          <w:lang w:val="af-ZA"/>
        </w:rPr>
        <w:t xml:space="preserve">. See </w:t>
      </w:r>
      <w:r w:rsidR="003D1980" w:rsidRPr="005E4491">
        <w:rPr>
          <w:rFonts w:ascii="Arial" w:hAnsi="Arial" w:cs="Arial"/>
          <w:i/>
          <w:lang w:val="af-ZA"/>
        </w:rPr>
        <w:t>Garlick v. Smartt and Another</w:t>
      </w:r>
      <w:r w:rsidR="003D1980" w:rsidRPr="005E4491">
        <w:rPr>
          <w:rFonts w:ascii="Arial" w:hAnsi="Arial" w:cs="Arial"/>
          <w:lang w:val="af-ZA"/>
        </w:rPr>
        <w:t xml:space="preserve">, 1928 A.D 82 at p. 87; </w:t>
      </w:r>
      <w:r w:rsidR="003D1980" w:rsidRPr="005E4491">
        <w:rPr>
          <w:rFonts w:ascii="Arial" w:hAnsi="Arial" w:cs="Arial"/>
          <w:i/>
          <w:lang w:val="af-ZA"/>
        </w:rPr>
        <w:t>West Rand Estates Ltd. v. New Zealand Insurance Co. Ltd.,</w:t>
      </w:r>
      <w:r w:rsidR="003D1980" w:rsidRPr="005E4491">
        <w:rPr>
          <w:rFonts w:ascii="Arial" w:hAnsi="Arial" w:cs="Arial"/>
          <w:lang w:val="af-ZA"/>
        </w:rPr>
        <w:t xml:space="preserve"> 1926 A.D. 173 at p. 188. </w:t>
      </w:r>
      <w:r w:rsidR="003D1980" w:rsidRPr="00D830D2">
        <w:rPr>
          <w:rFonts w:ascii="Arial" w:hAnsi="Arial" w:cs="Arial"/>
          <w:u w:val="single"/>
          <w:lang w:val="af-ZA"/>
        </w:rPr>
        <w:t>Thus, as in the case of a document, the judgment or order and the court’s reasons for giving it must be read as a whole in order to ascertain its intention</w:t>
      </w:r>
      <w:r w:rsidR="003D1980" w:rsidRPr="005E4491">
        <w:rPr>
          <w:rFonts w:ascii="Arial" w:hAnsi="Arial" w:cs="Arial"/>
          <w:lang w:val="af-ZA"/>
        </w:rPr>
        <w:t xml:space="preserve">. </w:t>
      </w:r>
      <w:r w:rsidR="003D1980" w:rsidRPr="00BA7DF8">
        <w:rPr>
          <w:rFonts w:ascii="Arial" w:hAnsi="Arial" w:cs="Arial"/>
          <w:u w:val="single"/>
          <w:lang w:val="af-ZA"/>
        </w:rPr>
        <w:t>If, on such a reading, the meaning of the judgment or order is clear and unambigious, no extrinsi</w:t>
      </w:r>
      <w:r w:rsidR="00BA7DF8" w:rsidRPr="00BA7DF8">
        <w:rPr>
          <w:rFonts w:ascii="Arial" w:hAnsi="Arial" w:cs="Arial"/>
          <w:u w:val="single"/>
          <w:lang w:val="af-ZA"/>
        </w:rPr>
        <w:t>c fact</w:t>
      </w:r>
      <w:r w:rsidR="003D1980" w:rsidRPr="00BA7DF8">
        <w:rPr>
          <w:rFonts w:ascii="Arial" w:hAnsi="Arial" w:cs="Arial"/>
          <w:u w:val="single"/>
          <w:lang w:val="af-ZA"/>
        </w:rPr>
        <w:t xml:space="preserve"> or evidence is admissible to contradict, vary, qualify, </w:t>
      </w:r>
      <w:r w:rsidR="00BA7DF8" w:rsidRPr="00BA7DF8">
        <w:rPr>
          <w:rFonts w:ascii="Arial" w:hAnsi="Arial" w:cs="Arial"/>
          <w:u w:val="single"/>
          <w:lang w:val="af-ZA"/>
        </w:rPr>
        <w:t>or supplement</w:t>
      </w:r>
      <w:r w:rsidR="003D1980" w:rsidRPr="00BA7DF8">
        <w:rPr>
          <w:rFonts w:ascii="Arial" w:hAnsi="Arial" w:cs="Arial"/>
          <w:u w:val="single"/>
          <w:lang w:val="af-ZA"/>
        </w:rPr>
        <w:t xml:space="preserve"> it</w:t>
      </w:r>
      <w:r w:rsidR="003D1980" w:rsidRPr="005E4491">
        <w:rPr>
          <w:rFonts w:ascii="Arial" w:hAnsi="Arial" w:cs="Arial"/>
          <w:lang w:val="af-ZA"/>
        </w:rPr>
        <w:t xml:space="preserve">. Indeed, it was common cause that in such a case not even the court that gave the judgment or order can be asked to state what its subjective intention was in giving it (cf. </w:t>
      </w:r>
      <w:r w:rsidR="003D1980" w:rsidRPr="005E4491">
        <w:rPr>
          <w:rFonts w:ascii="Arial" w:hAnsi="Arial" w:cs="Arial"/>
          <w:i/>
          <w:lang w:val="af-ZA"/>
        </w:rPr>
        <w:t>Postmasburg Motors (Edms.) Bpk. v. Peens en Andere</w:t>
      </w:r>
      <w:r w:rsidR="003D1980" w:rsidRPr="005E4491">
        <w:rPr>
          <w:rFonts w:ascii="Arial" w:hAnsi="Arial" w:cs="Arial"/>
          <w:lang w:val="af-ZA"/>
        </w:rPr>
        <w:t>, 1970 (2) S.A. 35 (N.C.) at p. 39F-H).’</w:t>
      </w:r>
      <w:r w:rsidR="0066766E">
        <w:rPr>
          <w:rFonts w:ascii="Arial" w:hAnsi="Arial" w:cs="Arial"/>
          <w:lang w:val="af-ZA"/>
        </w:rPr>
        <w:t xml:space="preserve"> (own emphasis)</w:t>
      </w:r>
    </w:p>
    <w:p w:rsidR="003D1980" w:rsidRPr="005E4491" w:rsidRDefault="003D1980" w:rsidP="005E4491">
      <w:pPr>
        <w:tabs>
          <w:tab w:val="left" w:pos="720"/>
          <w:tab w:val="left" w:pos="1380"/>
        </w:tabs>
        <w:spacing w:after="0" w:line="360" w:lineRule="auto"/>
        <w:jc w:val="both"/>
        <w:rPr>
          <w:rFonts w:ascii="Arial" w:hAnsi="Arial" w:cs="Arial"/>
          <w:sz w:val="24"/>
          <w:szCs w:val="24"/>
          <w:lang w:val="af-ZA"/>
        </w:rPr>
      </w:pPr>
    </w:p>
    <w:p w:rsidR="003D1980" w:rsidRPr="005E4491" w:rsidRDefault="00646B58" w:rsidP="005E4491">
      <w:pPr>
        <w:tabs>
          <w:tab w:val="left" w:pos="720"/>
          <w:tab w:val="left" w:pos="1380"/>
        </w:tabs>
        <w:spacing w:after="0" w:line="360" w:lineRule="auto"/>
        <w:jc w:val="both"/>
        <w:rPr>
          <w:rFonts w:ascii="Arial" w:hAnsi="Arial" w:cs="Arial"/>
          <w:sz w:val="24"/>
          <w:szCs w:val="24"/>
          <w:lang w:val="en-US"/>
        </w:rPr>
      </w:pPr>
      <w:r>
        <w:rPr>
          <w:rFonts w:ascii="Arial" w:hAnsi="Arial" w:cs="Arial"/>
          <w:sz w:val="24"/>
          <w:szCs w:val="24"/>
          <w:lang w:val="af-ZA"/>
        </w:rPr>
        <w:t>[24</w:t>
      </w:r>
      <w:r w:rsidR="003D1980" w:rsidRPr="005E4491">
        <w:rPr>
          <w:rFonts w:ascii="Arial" w:hAnsi="Arial" w:cs="Arial"/>
          <w:sz w:val="24"/>
          <w:szCs w:val="24"/>
          <w:lang w:val="af-ZA"/>
        </w:rPr>
        <w:t>]</w:t>
      </w:r>
      <w:r w:rsidR="003D1980" w:rsidRPr="005E4491">
        <w:rPr>
          <w:rFonts w:ascii="Arial" w:hAnsi="Arial" w:cs="Arial"/>
          <w:sz w:val="24"/>
          <w:szCs w:val="24"/>
          <w:lang w:val="af-ZA"/>
        </w:rPr>
        <w:tab/>
        <w:t xml:space="preserve">The Supreme Court’s reasons, having in mind the above principle that the orders and judgment of a court must be read </w:t>
      </w:r>
      <w:r w:rsidR="00F07E6D">
        <w:rPr>
          <w:rFonts w:ascii="Arial" w:hAnsi="Arial" w:cs="Arial"/>
          <w:sz w:val="24"/>
          <w:szCs w:val="24"/>
          <w:lang w:val="af-ZA"/>
        </w:rPr>
        <w:t>as a whole, dealing with the in</w:t>
      </w:r>
      <w:r w:rsidR="003D1980" w:rsidRPr="005E4491">
        <w:rPr>
          <w:rFonts w:ascii="Arial" w:hAnsi="Arial" w:cs="Arial"/>
          <w:sz w:val="24"/>
          <w:szCs w:val="24"/>
          <w:lang w:val="af-ZA"/>
        </w:rPr>
        <w:t>v</w:t>
      </w:r>
      <w:r w:rsidR="00F07E6D">
        <w:rPr>
          <w:rFonts w:ascii="Arial" w:hAnsi="Arial" w:cs="Arial"/>
          <w:sz w:val="24"/>
          <w:szCs w:val="24"/>
          <w:lang w:val="af-ZA"/>
        </w:rPr>
        <w:t>a</w:t>
      </w:r>
      <w:r w:rsidR="003D1980" w:rsidRPr="005E4491">
        <w:rPr>
          <w:rFonts w:ascii="Arial" w:hAnsi="Arial" w:cs="Arial"/>
          <w:sz w:val="24"/>
          <w:szCs w:val="24"/>
          <w:lang w:val="af-ZA"/>
        </w:rPr>
        <w:t>lidity must be considered in order to det</w:t>
      </w:r>
      <w:r w:rsidR="00F07E6D">
        <w:rPr>
          <w:rFonts w:ascii="Arial" w:hAnsi="Arial" w:cs="Arial"/>
          <w:sz w:val="24"/>
          <w:szCs w:val="24"/>
          <w:lang w:val="af-ZA"/>
        </w:rPr>
        <w:t>e</w:t>
      </w:r>
      <w:r w:rsidR="003D1980" w:rsidRPr="005E4491">
        <w:rPr>
          <w:rFonts w:ascii="Arial" w:hAnsi="Arial" w:cs="Arial"/>
          <w:sz w:val="24"/>
          <w:szCs w:val="24"/>
          <w:lang w:val="af-ZA"/>
        </w:rPr>
        <w:t>rmine whether the operation of t</w:t>
      </w:r>
      <w:r w:rsidR="00DA0F0F">
        <w:rPr>
          <w:rFonts w:ascii="Arial" w:hAnsi="Arial" w:cs="Arial"/>
          <w:sz w:val="24"/>
          <w:szCs w:val="24"/>
          <w:lang w:val="af-ZA"/>
        </w:rPr>
        <w:t>h</w:t>
      </w:r>
      <w:r w:rsidR="003D1980" w:rsidRPr="005E4491">
        <w:rPr>
          <w:rFonts w:ascii="Arial" w:hAnsi="Arial" w:cs="Arial"/>
          <w:sz w:val="24"/>
          <w:szCs w:val="24"/>
          <w:lang w:val="af-ZA"/>
        </w:rPr>
        <w:t>e invalidity starts running from 29 September 2016 (date of High Court order) or from 11 June 20018 ( date of Supreme Court order).</w:t>
      </w:r>
    </w:p>
    <w:p w:rsidR="003D1980" w:rsidRPr="005E4491" w:rsidRDefault="003D1980" w:rsidP="005E4491">
      <w:pPr>
        <w:tabs>
          <w:tab w:val="left" w:pos="720"/>
          <w:tab w:val="left" w:pos="1380"/>
        </w:tabs>
        <w:spacing w:after="0" w:line="360" w:lineRule="auto"/>
        <w:jc w:val="both"/>
        <w:rPr>
          <w:rFonts w:ascii="Arial" w:hAnsi="Arial" w:cs="Arial"/>
          <w:sz w:val="24"/>
          <w:szCs w:val="24"/>
          <w:lang w:val="en-US"/>
        </w:rPr>
      </w:pPr>
    </w:p>
    <w:p w:rsidR="007059CC" w:rsidRPr="00E37879" w:rsidRDefault="003D1980" w:rsidP="005E4491">
      <w:pPr>
        <w:tabs>
          <w:tab w:val="left" w:pos="720"/>
          <w:tab w:val="left" w:pos="1380"/>
        </w:tabs>
        <w:spacing w:after="0" w:line="360" w:lineRule="auto"/>
        <w:jc w:val="both"/>
        <w:rPr>
          <w:rFonts w:ascii="Arial" w:hAnsi="Arial" w:cs="Arial"/>
          <w:sz w:val="24"/>
          <w:szCs w:val="24"/>
          <w:lang w:val="en-US"/>
        </w:rPr>
      </w:pPr>
      <w:r w:rsidRPr="005E4491">
        <w:rPr>
          <w:rFonts w:ascii="Arial" w:hAnsi="Arial" w:cs="Arial"/>
          <w:sz w:val="24"/>
          <w:szCs w:val="24"/>
          <w:lang w:val="en-US"/>
        </w:rPr>
        <w:t>[</w:t>
      </w:r>
      <w:r w:rsidR="00646B58">
        <w:rPr>
          <w:rFonts w:ascii="Arial" w:hAnsi="Arial" w:cs="Arial"/>
          <w:sz w:val="24"/>
          <w:szCs w:val="24"/>
          <w:lang w:val="en-US"/>
        </w:rPr>
        <w:t>25</w:t>
      </w:r>
      <w:r w:rsidRPr="005E4491">
        <w:rPr>
          <w:rFonts w:ascii="Arial" w:hAnsi="Arial" w:cs="Arial"/>
          <w:sz w:val="24"/>
          <w:szCs w:val="24"/>
          <w:lang w:val="en-US"/>
        </w:rPr>
        <w:t>]</w:t>
      </w:r>
      <w:r w:rsidRPr="005E4491">
        <w:rPr>
          <w:rFonts w:ascii="Arial" w:hAnsi="Arial" w:cs="Arial"/>
          <w:sz w:val="24"/>
          <w:szCs w:val="24"/>
          <w:lang w:val="en-US"/>
        </w:rPr>
        <w:tab/>
      </w:r>
      <w:r w:rsidR="00980810" w:rsidRPr="00980810">
        <w:rPr>
          <w:rFonts w:ascii="Arial" w:hAnsi="Arial" w:cs="Arial"/>
          <w:sz w:val="24"/>
          <w:szCs w:val="24"/>
          <w:lang w:val="en-GB"/>
        </w:rPr>
        <w:t xml:space="preserve">To </w:t>
      </w:r>
      <w:r w:rsidR="00980810">
        <w:rPr>
          <w:rFonts w:ascii="Arial" w:hAnsi="Arial" w:cs="Arial"/>
          <w:sz w:val="24"/>
          <w:szCs w:val="24"/>
          <w:lang w:val="en-GB"/>
        </w:rPr>
        <w:t>assist in</w:t>
      </w:r>
      <w:r w:rsidR="00980810" w:rsidRPr="00980810">
        <w:rPr>
          <w:rFonts w:ascii="Arial" w:hAnsi="Arial" w:cs="Arial"/>
          <w:sz w:val="24"/>
          <w:szCs w:val="24"/>
          <w:lang w:val="en-GB"/>
        </w:rPr>
        <w:t xml:space="preserve"> understand</w:t>
      </w:r>
      <w:r w:rsidR="00980810">
        <w:rPr>
          <w:rFonts w:ascii="Arial" w:hAnsi="Arial" w:cs="Arial"/>
          <w:sz w:val="24"/>
          <w:szCs w:val="24"/>
          <w:lang w:val="en-GB"/>
        </w:rPr>
        <w:t>ing</w:t>
      </w:r>
      <w:r w:rsidR="00980810" w:rsidRPr="00980810">
        <w:rPr>
          <w:rFonts w:ascii="Arial" w:hAnsi="Arial" w:cs="Arial"/>
          <w:sz w:val="24"/>
          <w:szCs w:val="24"/>
          <w:lang w:val="en-GB"/>
        </w:rPr>
        <w:t xml:space="preserve"> the context in which the order was made and the expression</w:t>
      </w:r>
      <w:r w:rsidR="00980810">
        <w:rPr>
          <w:rFonts w:ascii="Arial" w:hAnsi="Arial" w:cs="Arial"/>
          <w:sz w:val="24"/>
          <w:szCs w:val="24"/>
          <w:lang w:val="en-GB"/>
        </w:rPr>
        <w:t xml:space="preserve"> used in paras 94 to 112 of the Supreme Court judgment it is necessary to resort to the reasoning of the judgment itself that preceded the order.</w:t>
      </w:r>
      <w:r w:rsidR="00E37879">
        <w:rPr>
          <w:rFonts w:ascii="Arial" w:hAnsi="Arial" w:cs="Arial"/>
          <w:sz w:val="24"/>
          <w:szCs w:val="24"/>
          <w:lang w:val="en-US"/>
        </w:rPr>
        <w:t xml:space="preserve"> </w:t>
      </w:r>
      <w:r w:rsidR="00980810">
        <w:rPr>
          <w:rFonts w:ascii="Arial" w:hAnsi="Arial" w:cs="Arial"/>
          <w:sz w:val="24"/>
          <w:szCs w:val="24"/>
          <w:lang w:val="en-US"/>
        </w:rPr>
        <w:t xml:space="preserve">From reading the </w:t>
      </w:r>
      <w:r w:rsidR="00F07E6D">
        <w:rPr>
          <w:rFonts w:ascii="Arial" w:hAnsi="Arial" w:cs="Arial"/>
          <w:sz w:val="24"/>
          <w:szCs w:val="24"/>
          <w:lang w:val="en-US"/>
        </w:rPr>
        <w:t>reasoning</w:t>
      </w:r>
      <w:r w:rsidR="00750B20">
        <w:rPr>
          <w:rFonts w:ascii="Arial" w:hAnsi="Arial" w:cs="Arial"/>
          <w:sz w:val="24"/>
          <w:szCs w:val="24"/>
          <w:lang w:val="en-US"/>
        </w:rPr>
        <w:t xml:space="preserve"> and</w:t>
      </w:r>
      <w:r w:rsidR="00980810">
        <w:rPr>
          <w:rFonts w:ascii="Arial" w:hAnsi="Arial" w:cs="Arial"/>
          <w:sz w:val="24"/>
          <w:szCs w:val="24"/>
          <w:lang w:val="en-US"/>
        </w:rPr>
        <w:t xml:space="preserve"> </w:t>
      </w:r>
      <w:r w:rsidR="00980810">
        <w:rPr>
          <w:rFonts w:ascii="Arial" w:hAnsi="Arial" w:cs="Arial"/>
          <w:sz w:val="24"/>
          <w:szCs w:val="24"/>
          <w:lang w:val="en-GB"/>
        </w:rPr>
        <w:t>a</w:t>
      </w:r>
      <w:r w:rsidR="00980810" w:rsidRPr="00980810">
        <w:rPr>
          <w:rFonts w:ascii="Arial" w:hAnsi="Arial" w:cs="Arial"/>
          <w:sz w:val="24"/>
          <w:szCs w:val="24"/>
          <w:lang w:val="en-GB"/>
        </w:rPr>
        <w:t>s far as I was able to establish, the word</w:t>
      </w:r>
      <w:r w:rsidR="00E37879">
        <w:rPr>
          <w:rFonts w:ascii="Arial" w:hAnsi="Arial" w:cs="Arial"/>
          <w:sz w:val="24"/>
          <w:szCs w:val="24"/>
          <w:lang w:val="en-GB"/>
        </w:rPr>
        <w:t>s</w:t>
      </w:r>
      <w:r w:rsidR="00980810" w:rsidRPr="00980810">
        <w:rPr>
          <w:rFonts w:ascii="Arial" w:hAnsi="Arial" w:cs="Arial"/>
          <w:sz w:val="24"/>
          <w:szCs w:val="24"/>
          <w:lang w:val="en-GB"/>
        </w:rPr>
        <w:t xml:space="preserve"> </w:t>
      </w:r>
      <w:r w:rsidR="00FA7DE2">
        <w:rPr>
          <w:rFonts w:ascii="Arial" w:hAnsi="Arial" w:cs="Arial"/>
          <w:sz w:val="24"/>
          <w:szCs w:val="24"/>
          <w:lang w:val="en-GB"/>
        </w:rPr>
        <w:t xml:space="preserve">that were used </w:t>
      </w:r>
      <w:r w:rsidR="00A809FA">
        <w:rPr>
          <w:rFonts w:ascii="Arial" w:hAnsi="Arial" w:cs="Arial"/>
          <w:sz w:val="24"/>
          <w:szCs w:val="24"/>
          <w:lang w:val="en-GB"/>
        </w:rPr>
        <w:t>by the Supreme Court were ordinary</w:t>
      </w:r>
      <w:r w:rsidR="00FA7DE2">
        <w:rPr>
          <w:rFonts w:ascii="Arial" w:hAnsi="Arial" w:cs="Arial"/>
          <w:sz w:val="24"/>
          <w:szCs w:val="24"/>
          <w:lang w:val="en-GB"/>
        </w:rPr>
        <w:t xml:space="preserve"> English dictionary words and do no</w:t>
      </w:r>
      <w:r w:rsidR="007059CC">
        <w:rPr>
          <w:rFonts w:ascii="Arial" w:hAnsi="Arial" w:cs="Arial"/>
          <w:sz w:val="24"/>
          <w:szCs w:val="24"/>
          <w:lang w:val="en-GB"/>
        </w:rPr>
        <w:t>t</w:t>
      </w:r>
      <w:r w:rsidR="00FA7DE2">
        <w:rPr>
          <w:rFonts w:ascii="Arial" w:hAnsi="Arial" w:cs="Arial"/>
          <w:sz w:val="24"/>
          <w:szCs w:val="24"/>
          <w:lang w:val="en-GB"/>
        </w:rPr>
        <w:t xml:space="preserve"> appear to be of such a complicated nature to create ambiguity. </w:t>
      </w:r>
      <w:r w:rsidR="007059CC">
        <w:rPr>
          <w:rFonts w:ascii="Arial" w:hAnsi="Arial" w:cs="Arial"/>
          <w:sz w:val="24"/>
          <w:szCs w:val="24"/>
          <w:lang w:val="en-GB"/>
        </w:rPr>
        <w:t>They should therefore be given their ordinary grammatical meaning.</w:t>
      </w:r>
    </w:p>
    <w:p w:rsidR="007059CC" w:rsidRDefault="007059CC" w:rsidP="005E4491">
      <w:pPr>
        <w:tabs>
          <w:tab w:val="left" w:pos="720"/>
          <w:tab w:val="left" w:pos="1380"/>
        </w:tabs>
        <w:spacing w:after="0" w:line="360" w:lineRule="auto"/>
        <w:jc w:val="both"/>
        <w:rPr>
          <w:rFonts w:ascii="Arial" w:hAnsi="Arial" w:cs="Arial"/>
          <w:sz w:val="24"/>
          <w:szCs w:val="24"/>
          <w:lang w:val="en-GB"/>
        </w:rPr>
      </w:pPr>
    </w:p>
    <w:p w:rsidR="00625390" w:rsidRDefault="00625390"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26</w:t>
      </w:r>
      <w:r>
        <w:rPr>
          <w:rFonts w:ascii="Arial" w:hAnsi="Arial" w:cs="Arial"/>
          <w:sz w:val="24"/>
          <w:szCs w:val="24"/>
          <w:lang w:val="en-GB"/>
        </w:rPr>
        <w:t>]</w:t>
      </w:r>
      <w:r>
        <w:rPr>
          <w:rFonts w:ascii="Arial" w:hAnsi="Arial" w:cs="Arial"/>
          <w:sz w:val="24"/>
          <w:szCs w:val="24"/>
          <w:lang w:val="en-GB"/>
        </w:rPr>
        <w:tab/>
        <w:t>If one has regard to para 106 of the judgment, the Honourable Damaseb DCJ used the words ‘</w:t>
      </w:r>
      <w:r w:rsidRPr="00625390">
        <w:rPr>
          <w:rFonts w:ascii="Arial" w:hAnsi="Arial" w:cs="Arial"/>
          <w:b/>
          <w:sz w:val="24"/>
          <w:szCs w:val="24"/>
          <w:lang w:val="en-GB"/>
        </w:rPr>
        <w:t>confirmed by this court</w:t>
      </w:r>
      <w:r>
        <w:rPr>
          <w:rFonts w:ascii="Arial" w:hAnsi="Arial" w:cs="Arial"/>
          <w:sz w:val="24"/>
          <w:szCs w:val="24"/>
          <w:lang w:val="en-GB"/>
        </w:rPr>
        <w:t>’. The 4</w:t>
      </w:r>
      <w:r w:rsidRPr="00625390">
        <w:rPr>
          <w:rFonts w:ascii="Arial" w:hAnsi="Arial" w:cs="Arial"/>
          <w:sz w:val="24"/>
          <w:szCs w:val="24"/>
          <w:vertAlign w:val="superscript"/>
          <w:lang w:val="en-GB"/>
        </w:rPr>
        <w:t>th</w:t>
      </w:r>
      <w:r>
        <w:rPr>
          <w:rFonts w:ascii="Arial" w:hAnsi="Arial" w:cs="Arial"/>
          <w:sz w:val="24"/>
          <w:szCs w:val="24"/>
          <w:lang w:val="en-GB"/>
        </w:rPr>
        <w:t xml:space="preserve"> ed of the </w:t>
      </w:r>
      <w:r w:rsidRPr="006C2398">
        <w:rPr>
          <w:rFonts w:ascii="Arial" w:hAnsi="Arial" w:cs="Arial"/>
          <w:i/>
          <w:sz w:val="24"/>
          <w:szCs w:val="24"/>
          <w:lang w:val="en-GB"/>
        </w:rPr>
        <w:t>Cambridge Advanced Learner’s Dictionary</w:t>
      </w:r>
      <w:r w:rsidR="008F6064">
        <w:rPr>
          <w:rStyle w:val="FootnoteReference"/>
          <w:rFonts w:ascii="Arial" w:hAnsi="Arial" w:cs="Arial"/>
          <w:i/>
          <w:sz w:val="24"/>
          <w:szCs w:val="24"/>
          <w:lang w:val="en-GB"/>
        </w:rPr>
        <w:footnoteReference w:id="18"/>
      </w:r>
      <w:r>
        <w:rPr>
          <w:rFonts w:ascii="Arial" w:hAnsi="Arial" w:cs="Arial"/>
          <w:sz w:val="24"/>
          <w:szCs w:val="24"/>
          <w:lang w:val="en-GB"/>
        </w:rPr>
        <w:t xml:space="preserve"> defines the word ‘</w:t>
      </w:r>
      <w:r>
        <w:rPr>
          <w:rFonts w:ascii="Arial" w:hAnsi="Arial" w:cs="Arial"/>
          <w:b/>
          <w:sz w:val="24"/>
          <w:szCs w:val="24"/>
          <w:lang w:val="en-GB"/>
        </w:rPr>
        <w:t>this</w:t>
      </w:r>
      <w:r>
        <w:rPr>
          <w:rFonts w:ascii="Arial" w:hAnsi="Arial" w:cs="Arial"/>
          <w:sz w:val="24"/>
          <w:szCs w:val="24"/>
          <w:lang w:val="en-GB"/>
        </w:rPr>
        <w:t>’ as follows:</w:t>
      </w:r>
    </w:p>
    <w:p w:rsidR="00625390" w:rsidRDefault="00625390" w:rsidP="005E4491">
      <w:pPr>
        <w:tabs>
          <w:tab w:val="left" w:pos="720"/>
          <w:tab w:val="left" w:pos="1380"/>
        </w:tabs>
        <w:spacing w:after="0" w:line="360" w:lineRule="auto"/>
        <w:jc w:val="both"/>
        <w:rPr>
          <w:rFonts w:ascii="Arial" w:hAnsi="Arial" w:cs="Arial"/>
          <w:sz w:val="24"/>
          <w:szCs w:val="24"/>
          <w:lang w:val="en-GB"/>
        </w:rPr>
      </w:pPr>
    </w:p>
    <w:p w:rsidR="007059CC" w:rsidRPr="00625390" w:rsidRDefault="00625390" w:rsidP="005E4491">
      <w:pPr>
        <w:tabs>
          <w:tab w:val="left" w:pos="720"/>
          <w:tab w:val="left" w:pos="1380"/>
        </w:tabs>
        <w:spacing w:after="0" w:line="360" w:lineRule="auto"/>
        <w:jc w:val="both"/>
        <w:rPr>
          <w:rFonts w:ascii="Arial" w:hAnsi="Arial" w:cs="Arial"/>
          <w:lang w:val="en-GB"/>
        </w:rPr>
      </w:pPr>
      <w:r>
        <w:rPr>
          <w:rFonts w:ascii="Arial" w:hAnsi="Arial" w:cs="Arial"/>
          <w:sz w:val="24"/>
          <w:szCs w:val="24"/>
          <w:lang w:val="en-GB"/>
        </w:rPr>
        <w:tab/>
      </w:r>
      <w:r w:rsidR="009F0B6F">
        <w:rPr>
          <w:rFonts w:ascii="Arial" w:hAnsi="Arial" w:cs="Arial"/>
          <w:lang w:val="en-GB"/>
        </w:rPr>
        <w:t>‘U</w:t>
      </w:r>
      <w:r w:rsidRPr="00625390">
        <w:rPr>
          <w:rFonts w:ascii="Arial" w:hAnsi="Arial" w:cs="Arial"/>
          <w:lang w:val="en-GB"/>
        </w:rPr>
        <w:t>sed for a person, object, idea, etc. to show which one is referred to. For example: Can you sign this form here for me? This is the one I want. What’s this? Is this what you’re looking for?’</w:t>
      </w:r>
    </w:p>
    <w:p w:rsidR="007059CC" w:rsidRDefault="007059CC" w:rsidP="005E4491">
      <w:pPr>
        <w:tabs>
          <w:tab w:val="left" w:pos="720"/>
          <w:tab w:val="left" w:pos="1380"/>
        </w:tabs>
        <w:spacing w:after="0" w:line="360" w:lineRule="auto"/>
        <w:jc w:val="both"/>
        <w:rPr>
          <w:rFonts w:ascii="Arial" w:hAnsi="Arial" w:cs="Arial"/>
          <w:sz w:val="24"/>
          <w:szCs w:val="24"/>
          <w:lang w:val="en-GB"/>
        </w:rPr>
      </w:pPr>
    </w:p>
    <w:p w:rsidR="00625390" w:rsidRDefault="00625390"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27</w:t>
      </w:r>
      <w:r>
        <w:rPr>
          <w:rFonts w:ascii="Arial" w:hAnsi="Arial" w:cs="Arial"/>
          <w:sz w:val="24"/>
          <w:szCs w:val="24"/>
          <w:lang w:val="en-GB"/>
        </w:rPr>
        <w:t>]</w:t>
      </w:r>
      <w:r>
        <w:rPr>
          <w:rFonts w:ascii="Arial" w:hAnsi="Arial" w:cs="Arial"/>
          <w:sz w:val="24"/>
          <w:szCs w:val="24"/>
          <w:lang w:val="en-GB"/>
        </w:rPr>
        <w:tab/>
      </w:r>
      <w:r w:rsidR="00A809FA">
        <w:rPr>
          <w:rFonts w:ascii="Arial" w:hAnsi="Arial" w:cs="Arial"/>
          <w:sz w:val="24"/>
          <w:szCs w:val="24"/>
          <w:lang w:val="en-GB"/>
        </w:rPr>
        <w:t xml:space="preserve">Considering </w:t>
      </w:r>
      <w:r w:rsidR="00D330E1">
        <w:rPr>
          <w:rFonts w:ascii="Arial" w:hAnsi="Arial" w:cs="Arial"/>
          <w:sz w:val="24"/>
          <w:szCs w:val="24"/>
          <w:lang w:val="en-GB"/>
        </w:rPr>
        <w:t>para 106</w:t>
      </w:r>
      <w:r w:rsidR="00505A3E">
        <w:rPr>
          <w:rFonts w:ascii="Arial" w:hAnsi="Arial" w:cs="Arial"/>
          <w:sz w:val="24"/>
          <w:szCs w:val="24"/>
          <w:lang w:val="en-GB"/>
        </w:rPr>
        <w:t xml:space="preserve"> </w:t>
      </w:r>
      <w:r>
        <w:rPr>
          <w:rFonts w:ascii="Arial" w:hAnsi="Arial" w:cs="Arial"/>
          <w:sz w:val="24"/>
          <w:szCs w:val="24"/>
          <w:lang w:val="en-GB"/>
        </w:rPr>
        <w:t xml:space="preserve">it would appear that the </w:t>
      </w:r>
      <w:r w:rsidR="00505A3E">
        <w:rPr>
          <w:rFonts w:ascii="Arial" w:hAnsi="Arial" w:cs="Arial"/>
          <w:sz w:val="24"/>
          <w:szCs w:val="24"/>
          <w:lang w:val="en-GB"/>
        </w:rPr>
        <w:t>Supreme C</w:t>
      </w:r>
      <w:r>
        <w:rPr>
          <w:rFonts w:ascii="Arial" w:hAnsi="Arial" w:cs="Arial"/>
          <w:sz w:val="24"/>
          <w:szCs w:val="24"/>
          <w:lang w:val="en-GB"/>
        </w:rPr>
        <w:t xml:space="preserve">ourt was referring to the </w:t>
      </w:r>
      <w:r w:rsidR="00D330E1">
        <w:rPr>
          <w:rFonts w:ascii="Arial" w:hAnsi="Arial" w:cs="Arial"/>
          <w:sz w:val="24"/>
          <w:szCs w:val="24"/>
          <w:lang w:val="en-GB"/>
        </w:rPr>
        <w:t xml:space="preserve">section as invalidated by </w:t>
      </w:r>
      <w:r w:rsidR="00505A3E">
        <w:rPr>
          <w:rFonts w:ascii="Arial" w:hAnsi="Arial" w:cs="Arial"/>
          <w:sz w:val="24"/>
          <w:szCs w:val="24"/>
          <w:lang w:val="en-GB"/>
        </w:rPr>
        <w:t>it</w:t>
      </w:r>
      <w:r w:rsidR="00D330E1">
        <w:rPr>
          <w:rFonts w:ascii="Arial" w:hAnsi="Arial" w:cs="Arial"/>
          <w:sz w:val="24"/>
          <w:szCs w:val="24"/>
          <w:lang w:val="en-GB"/>
        </w:rPr>
        <w:t xml:space="preserve"> and not </w:t>
      </w:r>
      <w:r w:rsidR="006C2398">
        <w:rPr>
          <w:rFonts w:ascii="Arial" w:hAnsi="Arial" w:cs="Arial"/>
          <w:sz w:val="24"/>
          <w:szCs w:val="24"/>
          <w:lang w:val="en-GB"/>
        </w:rPr>
        <w:t xml:space="preserve">by </w:t>
      </w:r>
      <w:r w:rsidR="00D330E1">
        <w:rPr>
          <w:rFonts w:ascii="Arial" w:hAnsi="Arial" w:cs="Arial"/>
          <w:sz w:val="24"/>
          <w:szCs w:val="24"/>
          <w:lang w:val="en-GB"/>
        </w:rPr>
        <w:t xml:space="preserve">the High </w:t>
      </w:r>
      <w:r w:rsidR="00646B58">
        <w:rPr>
          <w:rFonts w:ascii="Arial" w:hAnsi="Arial" w:cs="Arial"/>
          <w:sz w:val="24"/>
          <w:szCs w:val="24"/>
          <w:lang w:val="en-GB"/>
        </w:rPr>
        <w:t xml:space="preserve">Court. </w:t>
      </w:r>
      <w:r w:rsidR="00505A3E">
        <w:rPr>
          <w:rFonts w:ascii="Arial" w:hAnsi="Arial" w:cs="Arial"/>
          <w:sz w:val="24"/>
          <w:szCs w:val="24"/>
          <w:lang w:val="en-GB"/>
        </w:rPr>
        <w:t xml:space="preserve">If it was the court’s intention to refer to the High Court order, the Supreme Court would have referred to it in unequivocal terms and specifically </w:t>
      </w:r>
      <w:r w:rsidR="00E10F72">
        <w:rPr>
          <w:rFonts w:ascii="Arial" w:hAnsi="Arial" w:cs="Arial"/>
          <w:sz w:val="24"/>
          <w:szCs w:val="24"/>
          <w:lang w:val="en-GB"/>
        </w:rPr>
        <w:t>state</w:t>
      </w:r>
      <w:r w:rsidR="00505A3E">
        <w:rPr>
          <w:rFonts w:ascii="Arial" w:hAnsi="Arial" w:cs="Arial"/>
          <w:sz w:val="24"/>
          <w:szCs w:val="24"/>
          <w:lang w:val="en-GB"/>
        </w:rPr>
        <w:t xml:space="preserve"> ‘High Court’ </w:t>
      </w:r>
      <w:r w:rsidR="00D330E1">
        <w:rPr>
          <w:rFonts w:ascii="Arial" w:hAnsi="Arial" w:cs="Arial"/>
          <w:sz w:val="24"/>
          <w:szCs w:val="24"/>
          <w:lang w:val="en-GB"/>
        </w:rPr>
        <w:t>as opposed to ‘this court’. The court clearly made reference to ‘this court</w:t>
      </w:r>
      <w:r w:rsidR="00C14594">
        <w:rPr>
          <w:rFonts w:ascii="Arial" w:hAnsi="Arial" w:cs="Arial"/>
          <w:sz w:val="24"/>
          <w:szCs w:val="24"/>
          <w:lang w:val="en-GB"/>
        </w:rPr>
        <w:t>’. In other words the Supreme Court’s invalidation of the section.</w:t>
      </w:r>
    </w:p>
    <w:p w:rsidR="00625390" w:rsidRDefault="00625390" w:rsidP="005E4491">
      <w:pPr>
        <w:tabs>
          <w:tab w:val="left" w:pos="720"/>
          <w:tab w:val="left" w:pos="1380"/>
        </w:tabs>
        <w:spacing w:after="0" w:line="360" w:lineRule="auto"/>
        <w:jc w:val="both"/>
        <w:rPr>
          <w:rFonts w:ascii="Arial" w:hAnsi="Arial" w:cs="Arial"/>
          <w:sz w:val="24"/>
          <w:szCs w:val="24"/>
          <w:lang w:val="en-GB"/>
        </w:rPr>
      </w:pPr>
    </w:p>
    <w:p w:rsidR="00D8662B" w:rsidRDefault="00806996" w:rsidP="005E4491">
      <w:pPr>
        <w:tabs>
          <w:tab w:val="left" w:pos="720"/>
          <w:tab w:val="left" w:pos="1380"/>
        </w:tabs>
        <w:spacing w:after="0" w:line="360" w:lineRule="auto"/>
        <w:jc w:val="both"/>
        <w:rPr>
          <w:rFonts w:ascii="Arial" w:hAnsi="Arial" w:cs="Arial"/>
          <w:sz w:val="24"/>
          <w:szCs w:val="24"/>
        </w:rPr>
      </w:pPr>
      <w:r>
        <w:rPr>
          <w:rFonts w:ascii="Arial" w:hAnsi="Arial" w:cs="Arial"/>
          <w:sz w:val="24"/>
          <w:szCs w:val="24"/>
          <w:lang w:val="en-GB"/>
        </w:rPr>
        <w:t>[</w:t>
      </w:r>
      <w:r w:rsidR="00646B58">
        <w:rPr>
          <w:rFonts w:ascii="Arial" w:hAnsi="Arial" w:cs="Arial"/>
          <w:sz w:val="24"/>
          <w:szCs w:val="24"/>
          <w:lang w:val="en-GB"/>
        </w:rPr>
        <w:t>28</w:t>
      </w:r>
      <w:r>
        <w:rPr>
          <w:rFonts w:ascii="Arial" w:hAnsi="Arial" w:cs="Arial"/>
          <w:sz w:val="24"/>
          <w:szCs w:val="24"/>
          <w:lang w:val="en-GB"/>
        </w:rPr>
        <w:t>]</w:t>
      </w:r>
      <w:r>
        <w:rPr>
          <w:rFonts w:ascii="Arial" w:hAnsi="Arial" w:cs="Arial"/>
          <w:sz w:val="24"/>
          <w:szCs w:val="24"/>
          <w:lang w:val="en-GB"/>
        </w:rPr>
        <w:tab/>
      </w:r>
      <w:r w:rsidR="00D8662B">
        <w:rPr>
          <w:rFonts w:ascii="Arial" w:hAnsi="Arial" w:cs="Arial"/>
          <w:sz w:val="24"/>
          <w:szCs w:val="24"/>
          <w:lang w:val="en-GB"/>
        </w:rPr>
        <w:t xml:space="preserve">The word ‘ex nunc’ used in para 106 is a Latin phrase which means </w:t>
      </w:r>
      <w:r w:rsidR="00D8662B">
        <w:rPr>
          <w:rFonts w:ascii="Arial" w:hAnsi="Arial" w:cs="Arial"/>
          <w:sz w:val="24"/>
          <w:szCs w:val="24"/>
        </w:rPr>
        <w:t>‘</w:t>
      </w:r>
      <w:r w:rsidR="00D8662B" w:rsidRPr="00D8662B">
        <w:rPr>
          <w:rFonts w:ascii="Arial" w:hAnsi="Arial" w:cs="Arial"/>
          <w:b/>
          <w:sz w:val="24"/>
          <w:szCs w:val="24"/>
        </w:rPr>
        <w:t>from now on</w:t>
      </w:r>
      <w:r w:rsidR="00D8662B">
        <w:rPr>
          <w:rFonts w:ascii="Arial" w:hAnsi="Arial" w:cs="Arial"/>
          <w:sz w:val="24"/>
          <w:szCs w:val="24"/>
        </w:rPr>
        <w:t>’</w:t>
      </w:r>
      <w:r w:rsidR="00D8662B" w:rsidRPr="00D8662B">
        <w:rPr>
          <w:rFonts w:ascii="Arial" w:hAnsi="Arial" w:cs="Arial"/>
          <w:sz w:val="24"/>
          <w:szCs w:val="24"/>
        </w:rPr>
        <w:t>. It is used as a legal term to signify that something is valid</w:t>
      </w:r>
      <w:r w:rsidR="00D8662B">
        <w:rPr>
          <w:rFonts w:ascii="Arial" w:hAnsi="Arial" w:cs="Arial"/>
          <w:sz w:val="24"/>
          <w:szCs w:val="24"/>
        </w:rPr>
        <w:t xml:space="preserve"> and/or invalid</w:t>
      </w:r>
      <w:r w:rsidR="00D8662B" w:rsidRPr="00D8662B">
        <w:rPr>
          <w:rFonts w:ascii="Arial" w:hAnsi="Arial" w:cs="Arial"/>
          <w:sz w:val="24"/>
          <w:szCs w:val="24"/>
        </w:rPr>
        <w:t xml:space="preserve"> only </w:t>
      </w:r>
      <w:r w:rsidR="00D8662B">
        <w:rPr>
          <w:rFonts w:ascii="Arial" w:hAnsi="Arial" w:cs="Arial"/>
          <w:sz w:val="24"/>
          <w:szCs w:val="24"/>
        </w:rPr>
        <w:t>from now on and into</w:t>
      </w:r>
      <w:r w:rsidR="002A7E26">
        <w:rPr>
          <w:rFonts w:ascii="Arial" w:hAnsi="Arial" w:cs="Arial"/>
          <w:sz w:val="24"/>
          <w:szCs w:val="24"/>
        </w:rPr>
        <w:t xml:space="preserve"> the future, </w:t>
      </w:r>
      <w:r w:rsidR="00D8662B" w:rsidRPr="00D8662B">
        <w:rPr>
          <w:rFonts w:ascii="Arial" w:hAnsi="Arial" w:cs="Arial"/>
          <w:sz w:val="24"/>
          <w:szCs w:val="24"/>
        </w:rPr>
        <w:t xml:space="preserve">not the past. </w:t>
      </w:r>
      <w:r w:rsidR="00D8662B">
        <w:rPr>
          <w:rFonts w:ascii="Arial" w:hAnsi="Arial" w:cs="Arial"/>
          <w:sz w:val="24"/>
          <w:szCs w:val="24"/>
        </w:rPr>
        <w:t>And if one have regard to the ordina</w:t>
      </w:r>
      <w:r w:rsidR="00E10F72">
        <w:rPr>
          <w:rFonts w:ascii="Arial" w:hAnsi="Arial" w:cs="Arial"/>
          <w:sz w:val="24"/>
          <w:szCs w:val="24"/>
        </w:rPr>
        <w:t>ry meaning of the words used they mean what they say</w:t>
      </w:r>
      <w:r w:rsidR="00D8662B">
        <w:rPr>
          <w:rFonts w:ascii="Arial" w:hAnsi="Arial" w:cs="Arial"/>
          <w:sz w:val="24"/>
          <w:szCs w:val="24"/>
        </w:rPr>
        <w:t xml:space="preserve">, </w:t>
      </w:r>
      <w:r w:rsidR="006A350E">
        <w:rPr>
          <w:rFonts w:ascii="Arial" w:hAnsi="Arial" w:cs="Arial"/>
          <w:sz w:val="24"/>
          <w:szCs w:val="24"/>
        </w:rPr>
        <w:t xml:space="preserve">in </w:t>
      </w:r>
      <w:r w:rsidR="00D8662B">
        <w:rPr>
          <w:rFonts w:ascii="Arial" w:hAnsi="Arial" w:cs="Arial"/>
          <w:sz w:val="24"/>
          <w:szCs w:val="24"/>
        </w:rPr>
        <w:t>other words ‘from that very moment’</w:t>
      </w:r>
      <w:r w:rsidR="008F3E0A">
        <w:rPr>
          <w:rFonts w:ascii="Arial" w:hAnsi="Arial" w:cs="Arial"/>
          <w:sz w:val="24"/>
          <w:szCs w:val="24"/>
        </w:rPr>
        <w:t xml:space="preserve"> and into the future, n</w:t>
      </w:r>
      <w:r w:rsidR="00D8662B">
        <w:rPr>
          <w:rFonts w:ascii="Arial" w:hAnsi="Arial" w:cs="Arial"/>
          <w:sz w:val="24"/>
          <w:szCs w:val="24"/>
        </w:rPr>
        <w:t xml:space="preserve">ot the past. </w:t>
      </w:r>
      <w:r w:rsidR="00D8662B" w:rsidRPr="00D8662B">
        <w:rPr>
          <w:rFonts w:ascii="Arial" w:hAnsi="Arial" w:cs="Arial"/>
          <w:sz w:val="24"/>
          <w:szCs w:val="24"/>
        </w:rPr>
        <w:t xml:space="preserve">The opposite </w:t>
      </w:r>
      <w:r w:rsidR="00D8662B">
        <w:rPr>
          <w:rFonts w:ascii="Arial" w:hAnsi="Arial" w:cs="Arial"/>
          <w:sz w:val="24"/>
          <w:szCs w:val="24"/>
        </w:rPr>
        <w:t xml:space="preserve">of ex nunc </w:t>
      </w:r>
      <w:r w:rsidR="00D8662B" w:rsidRPr="00D8662B">
        <w:rPr>
          <w:rFonts w:ascii="Arial" w:hAnsi="Arial" w:cs="Arial"/>
          <w:sz w:val="24"/>
          <w:szCs w:val="24"/>
        </w:rPr>
        <w:t>is</w:t>
      </w:r>
      <w:r w:rsidR="00D8662B">
        <w:rPr>
          <w:rFonts w:ascii="Arial" w:hAnsi="Arial" w:cs="Arial"/>
          <w:sz w:val="24"/>
          <w:szCs w:val="24"/>
        </w:rPr>
        <w:t xml:space="preserve"> ‘</w:t>
      </w:r>
      <w:r w:rsidR="00D8662B" w:rsidRPr="00D8662B">
        <w:rPr>
          <w:rFonts w:ascii="Arial" w:hAnsi="Arial" w:cs="Arial"/>
          <w:bCs/>
          <w:sz w:val="24"/>
          <w:szCs w:val="24"/>
        </w:rPr>
        <w:t>ex tunc</w:t>
      </w:r>
      <w:r w:rsidR="00D8662B">
        <w:rPr>
          <w:rFonts w:ascii="Arial" w:hAnsi="Arial" w:cs="Arial"/>
          <w:bCs/>
          <w:sz w:val="24"/>
          <w:szCs w:val="24"/>
        </w:rPr>
        <w:t>’ which means ‘</w:t>
      </w:r>
      <w:r w:rsidR="00D8662B" w:rsidRPr="00D8662B">
        <w:rPr>
          <w:rFonts w:ascii="Arial" w:hAnsi="Arial" w:cs="Arial"/>
          <w:b/>
          <w:bCs/>
          <w:sz w:val="24"/>
          <w:szCs w:val="24"/>
        </w:rPr>
        <w:t>from the outset</w:t>
      </w:r>
      <w:r w:rsidR="00D8662B">
        <w:rPr>
          <w:rFonts w:ascii="Arial" w:hAnsi="Arial" w:cs="Arial"/>
          <w:bCs/>
          <w:sz w:val="24"/>
          <w:szCs w:val="24"/>
        </w:rPr>
        <w:t>’</w:t>
      </w:r>
      <w:r w:rsidR="00D8662B" w:rsidRPr="00D8662B">
        <w:rPr>
          <w:rFonts w:ascii="Arial" w:hAnsi="Arial" w:cs="Arial"/>
          <w:sz w:val="24"/>
          <w:szCs w:val="24"/>
        </w:rPr>
        <w:t>.</w:t>
      </w:r>
      <w:r w:rsidR="00D8662B">
        <w:rPr>
          <w:rFonts w:ascii="Arial" w:hAnsi="Arial" w:cs="Arial"/>
          <w:sz w:val="24"/>
          <w:szCs w:val="24"/>
        </w:rPr>
        <w:t xml:space="preserve"> In other words </w:t>
      </w:r>
      <w:r w:rsidR="000C0201">
        <w:rPr>
          <w:rFonts w:ascii="Arial" w:hAnsi="Arial" w:cs="Arial"/>
          <w:sz w:val="24"/>
          <w:szCs w:val="24"/>
        </w:rPr>
        <w:t xml:space="preserve">from </w:t>
      </w:r>
      <w:r w:rsidR="00D8662B">
        <w:rPr>
          <w:rFonts w:ascii="Arial" w:hAnsi="Arial" w:cs="Arial"/>
          <w:sz w:val="24"/>
          <w:szCs w:val="24"/>
        </w:rPr>
        <w:t>‘the beginning’</w:t>
      </w:r>
      <w:r w:rsidR="008F3E0A">
        <w:rPr>
          <w:rFonts w:ascii="Arial" w:hAnsi="Arial" w:cs="Arial"/>
          <w:sz w:val="24"/>
          <w:szCs w:val="24"/>
        </w:rPr>
        <w:t>.</w:t>
      </w:r>
    </w:p>
    <w:p w:rsidR="00806996" w:rsidRDefault="00806996" w:rsidP="005E4491">
      <w:pPr>
        <w:tabs>
          <w:tab w:val="left" w:pos="720"/>
          <w:tab w:val="left" w:pos="1380"/>
        </w:tabs>
        <w:spacing w:after="0" w:line="360" w:lineRule="auto"/>
        <w:jc w:val="both"/>
        <w:rPr>
          <w:rFonts w:ascii="Arial" w:hAnsi="Arial" w:cs="Arial"/>
          <w:sz w:val="24"/>
          <w:szCs w:val="24"/>
          <w:lang w:val="en-GB"/>
        </w:rPr>
      </w:pPr>
    </w:p>
    <w:p w:rsidR="00625390" w:rsidRDefault="006C2398"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29</w:t>
      </w:r>
      <w:r>
        <w:rPr>
          <w:rFonts w:ascii="Arial" w:hAnsi="Arial" w:cs="Arial"/>
          <w:sz w:val="24"/>
          <w:szCs w:val="24"/>
          <w:lang w:val="en-GB"/>
        </w:rPr>
        <w:t>]</w:t>
      </w:r>
      <w:r>
        <w:rPr>
          <w:rFonts w:ascii="Arial" w:hAnsi="Arial" w:cs="Arial"/>
          <w:sz w:val="24"/>
          <w:szCs w:val="24"/>
          <w:lang w:val="en-GB"/>
        </w:rPr>
        <w:tab/>
      </w:r>
      <w:r w:rsidR="00805C58">
        <w:rPr>
          <w:rFonts w:ascii="Arial" w:hAnsi="Arial" w:cs="Arial"/>
          <w:sz w:val="24"/>
          <w:szCs w:val="24"/>
          <w:lang w:val="en-GB"/>
        </w:rPr>
        <w:t xml:space="preserve">As held by </w:t>
      </w:r>
      <w:r w:rsidR="00805C58" w:rsidRPr="00805C58">
        <w:rPr>
          <w:rFonts w:ascii="Arial" w:hAnsi="Arial" w:cs="Arial"/>
          <w:i/>
          <w:sz w:val="24"/>
          <w:szCs w:val="24"/>
          <w:lang w:val="en-GB"/>
        </w:rPr>
        <w:t>Administrator, Cape, and Another v Ntshwaqela and Others</w:t>
      </w:r>
      <w:r w:rsidR="00805C58">
        <w:rPr>
          <w:rStyle w:val="FootnoteReference"/>
          <w:rFonts w:ascii="Arial" w:hAnsi="Arial" w:cs="Arial"/>
          <w:i/>
          <w:sz w:val="24"/>
          <w:szCs w:val="24"/>
          <w:lang w:val="en-GB"/>
        </w:rPr>
        <w:footnoteReference w:id="19"/>
      </w:r>
      <w:r w:rsidR="00805C58" w:rsidRPr="00805C58">
        <w:rPr>
          <w:rFonts w:ascii="Arial" w:hAnsi="Arial" w:cs="Arial"/>
          <w:i/>
          <w:sz w:val="24"/>
          <w:szCs w:val="24"/>
          <w:lang w:val="en-GB"/>
        </w:rPr>
        <w:t xml:space="preserve"> </w:t>
      </w:r>
    </w:p>
    <w:p w:rsidR="006C2398" w:rsidRDefault="006C2398" w:rsidP="005E4491">
      <w:pPr>
        <w:tabs>
          <w:tab w:val="left" w:pos="720"/>
          <w:tab w:val="left" w:pos="1380"/>
        </w:tabs>
        <w:spacing w:after="0" w:line="360" w:lineRule="auto"/>
        <w:jc w:val="both"/>
        <w:rPr>
          <w:rFonts w:ascii="Arial" w:hAnsi="Arial" w:cs="Arial"/>
          <w:sz w:val="24"/>
          <w:szCs w:val="24"/>
          <w:lang w:val="en-GB"/>
        </w:rPr>
      </w:pPr>
    </w:p>
    <w:p w:rsidR="006C2398" w:rsidRPr="006C2398" w:rsidRDefault="006C2398" w:rsidP="005E4491">
      <w:pPr>
        <w:tabs>
          <w:tab w:val="left" w:pos="720"/>
          <w:tab w:val="left" w:pos="1380"/>
        </w:tabs>
        <w:spacing w:after="0" w:line="360" w:lineRule="auto"/>
        <w:jc w:val="both"/>
        <w:rPr>
          <w:rFonts w:ascii="Arial" w:hAnsi="Arial" w:cs="Arial"/>
          <w:lang w:val="en-GB"/>
        </w:rPr>
      </w:pPr>
      <w:r>
        <w:rPr>
          <w:rFonts w:ascii="Arial" w:hAnsi="Arial" w:cs="Arial"/>
          <w:lang w:val="en-GB"/>
        </w:rPr>
        <w:tab/>
      </w:r>
      <w:r w:rsidRPr="006C2398">
        <w:rPr>
          <w:rFonts w:ascii="Arial" w:hAnsi="Arial" w:cs="Arial"/>
          <w:lang w:val="en-GB"/>
        </w:rPr>
        <w:t>‘</w:t>
      </w:r>
      <w:r w:rsidR="00AE40D3">
        <w:rPr>
          <w:rFonts w:ascii="Arial" w:hAnsi="Arial" w:cs="Arial"/>
        </w:rPr>
        <w:t>The Court’</w:t>
      </w:r>
      <w:r w:rsidR="00AE40D3" w:rsidRPr="00AE40D3">
        <w:rPr>
          <w:rFonts w:ascii="Arial" w:hAnsi="Arial" w:cs="Arial"/>
        </w:rPr>
        <w:t xml:space="preserve">s intension is to be ascertained primarily from the language of the judgment or order as construed according to the usual well-known rules. As in the case of any document, the </w:t>
      </w:r>
      <w:r w:rsidR="00AE40D3">
        <w:rPr>
          <w:rFonts w:ascii="Arial" w:hAnsi="Arial" w:cs="Arial"/>
        </w:rPr>
        <w:t>judgment or order and the Court’</w:t>
      </w:r>
      <w:r w:rsidR="00AE40D3" w:rsidRPr="00AE40D3">
        <w:rPr>
          <w:rFonts w:ascii="Arial" w:hAnsi="Arial" w:cs="Arial"/>
        </w:rPr>
        <w:t>s</w:t>
      </w:r>
      <w:r w:rsidR="00AE40D3" w:rsidRPr="00AE40D3">
        <w:t xml:space="preserve"> </w:t>
      </w:r>
      <w:r w:rsidR="00AE40D3" w:rsidRPr="00AE40D3">
        <w:rPr>
          <w:rFonts w:ascii="Arial" w:hAnsi="Arial" w:cs="Arial"/>
        </w:rPr>
        <w:t xml:space="preserve">reasoning for giving it must be read as a whole order to ascertain its intention. If on such reading, the meaning of the judgment or order is clear and unambiguous, no extrinsic fact or evidence is admissible to contradict, vary, qualify, or supplement it. Indeed, in such a case even the Court that gave the judgment or order can be </w:t>
      </w:r>
      <w:r w:rsidR="00AE40D3" w:rsidRPr="00AE40D3">
        <w:rPr>
          <w:rFonts w:ascii="Arial" w:hAnsi="Arial" w:cs="Arial"/>
        </w:rPr>
        <w:lastRenderedPageBreak/>
        <w:t>asked to state what its subjective intention was in giving it. But if any uncertainty in meaning does emerge, the extrinsic circumstances surr</w:t>
      </w:r>
      <w:r w:rsidR="00AE40D3">
        <w:rPr>
          <w:rFonts w:ascii="Arial" w:hAnsi="Arial" w:cs="Arial"/>
        </w:rPr>
        <w:t>ounding or leading to the Court’</w:t>
      </w:r>
      <w:r w:rsidR="00AE40D3" w:rsidRPr="00AE40D3">
        <w:rPr>
          <w:rFonts w:ascii="Arial" w:hAnsi="Arial" w:cs="Arial"/>
        </w:rPr>
        <w:t>s granting the judgment or order may be investigated and regarded in order to clarify it.</w:t>
      </w:r>
      <w:r w:rsidR="00AE40D3">
        <w:rPr>
          <w:rFonts w:ascii="Arial" w:hAnsi="Arial" w:cs="Arial"/>
        </w:rPr>
        <w:t>’</w:t>
      </w:r>
    </w:p>
    <w:p w:rsidR="00805C58" w:rsidRDefault="00805C58" w:rsidP="005E4491">
      <w:pPr>
        <w:tabs>
          <w:tab w:val="left" w:pos="720"/>
          <w:tab w:val="left" w:pos="1380"/>
        </w:tabs>
        <w:spacing w:after="0" w:line="360" w:lineRule="auto"/>
        <w:jc w:val="both"/>
        <w:rPr>
          <w:rFonts w:ascii="Arial" w:hAnsi="Arial" w:cs="Arial"/>
          <w:sz w:val="24"/>
          <w:szCs w:val="24"/>
          <w:lang w:val="en-GB"/>
        </w:rPr>
      </w:pPr>
    </w:p>
    <w:p w:rsidR="002D221B" w:rsidRDefault="00806996"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t xml:space="preserve">I am of the opinion that </w:t>
      </w:r>
      <w:r w:rsidR="00D80D52">
        <w:rPr>
          <w:rFonts w:ascii="Arial" w:hAnsi="Arial" w:cs="Arial"/>
          <w:sz w:val="24"/>
          <w:szCs w:val="24"/>
          <w:lang w:val="en-GB"/>
        </w:rPr>
        <w:t>t</w:t>
      </w:r>
      <w:r w:rsidR="00D80D52" w:rsidRPr="00D80D52">
        <w:rPr>
          <w:rFonts w:ascii="Arial" w:hAnsi="Arial" w:cs="Arial"/>
          <w:sz w:val="24"/>
          <w:szCs w:val="24"/>
          <w:lang w:val="en-GB"/>
        </w:rPr>
        <w:t xml:space="preserve">he </w:t>
      </w:r>
      <w:r w:rsidR="00D80D52">
        <w:rPr>
          <w:rFonts w:ascii="Arial" w:hAnsi="Arial" w:cs="Arial"/>
          <w:sz w:val="24"/>
          <w:szCs w:val="24"/>
          <w:lang w:val="en-GB"/>
        </w:rPr>
        <w:t xml:space="preserve">Supreme Court’s </w:t>
      </w:r>
      <w:r w:rsidR="00D80D52" w:rsidRPr="00D80D52">
        <w:rPr>
          <w:rFonts w:ascii="Arial" w:hAnsi="Arial" w:cs="Arial"/>
          <w:sz w:val="24"/>
          <w:szCs w:val="24"/>
          <w:lang w:val="en-GB"/>
        </w:rPr>
        <w:t xml:space="preserve">order was clear and unambiguous and nothing </w:t>
      </w:r>
      <w:r w:rsidR="00D80D52">
        <w:rPr>
          <w:rFonts w:ascii="Arial" w:hAnsi="Arial" w:cs="Arial"/>
          <w:sz w:val="24"/>
          <w:szCs w:val="24"/>
          <w:lang w:val="en-GB"/>
        </w:rPr>
        <w:t xml:space="preserve">more </w:t>
      </w:r>
      <w:r w:rsidR="00D80D52" w:rsidRPr="00D80D52">
        <w:rPr>
          <w:rFonts w:ascii="Arial" w:hAnsi="Arial" w:cs="Arial"/>
          <w:sz w:val="24"/>
          <w:szCs w:val="24"/>
          <w:lang w:val="en-GB"/>
        </w:rPr>
        <w:t xml:space="preserve">need </w:t>
      </w:r>
      <w:r w:rsidR="00D80D52">
        <w:rPr>
          <w:rFonts w:ascii="Arial" w:hAnsi="Arial" w:cs="Arial"/>
          <w:sz w:val="24"/>
          <w:szCs w:val="24"/>
          <w:lang w:val="en-GB"/>
        </w:rPr>
        <w:t xml:space="preserve">to </w:t>
      </w:r>
      <w:r w:rsidR="00D80D52" w:rsidRPr="00D80D52">
        <w:rPr>
          <w:rFonts w:ascii="Arial" w:hAnsi="Arial" w:cs="Arial"/>
          <w:sz w:val="24"/>
          <w:szCs w:val="24"/>
          <w:lang w:val="en-GB"/>
        </w:rPr>
        <w:t xml:space="preserve">be said about it. </w:t>
      </w:r>
      <w:r w:rsidR="00D80D52">
        <w:rPr>
          <w:rFonts w:ascii="Arial" w:hAnsi="Arial" w:cs="Arial"/>
          <w:sz w:val="24"/>
          <w:szCs w:val="24"/>
          <w:lang w:val="en-GB"/>
        </w:rPr>
        <w:t>This position becomes even clearer when you read the first sentence of para 107 which states that: ‘No doubt the order of invalidity taking immediate effect after this judgment creates a legal vacuum in the levy regime.’ From the reading of this sentence it is clear that the Supreme Court intended for the invalidity to take effect as from the date of the Supreme Court’s order by using words such as ‘</w:t>
      </w:r>
      <w:r w:rsidR="00D80D52">
        <w:rPr>
          <w:rFonts w:ascii="Arial" w:hAnsi="Arial" w:cs="Arial"/>
          <w:b/>
          <w:sz w:val="24"/>
          <w:szCs w:val="24"/>
          <w:lang w:val="en-GB"/>
        </w:rPr>
        <w:t xml:space="preserve">immediate effect after </w:t>
      </w:r>
      <w:r w:rsidR="00D80D52" w:rsidRPr="00D80D52">
        <w:rPr>
          <w:rFonts w:ascii="Arial" w:hAnsi="Arial" w:cs="Arial"/>
          <w:b/>
          <w:i/>
          <w:sz w:val="24"/>
          <w:szCs w:val="24"/>
          <w:lang w:val="en-GB"/>
        </w:rPr>
        <w:t>this</w:t>
      </w:r>
      <w:r w:rsidR="00D80D52">
        <w:rPr>
          <w:rFonts w:ascii="Arial" w:hAnsi="Arial" w:cs="Arial"/>
          <w:b/>
          <w:sz w:val="24"/>
          <w:szCs w:val="24"/>
          <w:lang w:val="en-GB"/>
        </w:rPr>
        <w:t xml:space="preserve"> judgment’</w:t>
      </w:r>
      <w:r w:rsidR="00D80D52">
        <w:rPr>
          <w:rFonts w:ascii="Arial" w:hAnsi="Arial" w:cs="Arial"/>
          <w:sz w:val="24"/>
          <w:szCs w:val="24"/>
          <w:lang w:val="en-GB"/>
        </w:rPr>
        <w:t xml:space="preserve">. </w:t>
      </w:r>
    </w:p>
    <w:p w:rsidR="002D221B" w:rsidRDefault="002D221B" w:rsidP="005E4491">
      <w:pPr>
        <w:tabs>
          <w:tab w:val="left" w:pos="720"/>
          <w:tab w:val="left" w:pos="1380"/>
        </w:tabs>
        <w:spacing w:after="0" w:line="360" w:lineRule="auto"/>
        <w:jc w:val="both"/>
        <w:rPr>
          <w:rFonts w:ascii="Arial" w:hAnsi="Arial" w:cs="Arial"/>
          <w:sz w:val="24"/>
          <w:szCs w:val="24"/>
          <w:lang w:val="en-GB"/>
        </w:rPr>
      </w:pPr>
    </w:p>
    <w:p w:rsidR="00D80D52" w:rsidRDefault="002D221B"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31</w:t>
      </w:r>
      <w:r>
        <w:rPr>
          <w:rFonts w:ascii="Arial" w:hAnsi="Arial" w:cs="Arial"/>
          <w:sz w:val="24"/>
          <w:szCs w:val="24"/>
          <w:lang w:val="en-GB"/>
        </w:rPr>
        <w:t>]</w:t>
      </w:r>
      <w:r>
        <w:rPr>
          <w:rFonts w:ascii="Arial" w:hAnsi="Arial" w:cs="Arial"/>
          <w:sz w:val="24"/>
          <w:szCs w:val="24"/>
          <w:lang w:val="en-GB"/>
        </w:rPr>
        <w:tab/>
        <w:t>My argument is cemented more when regard is had to para 1</w:t>
      </w:r>
      <w:r w:rsidR="00B21F83">
        <w:rPr>
          <w:rFonts w:ascii="Arial" w:hAnsi="Arial" w:cs="Arial"/>
          <w:sz w:val="24"/>
          <w:szCs w:val="24"/>
          <w:lang w:val="en-GB"/>
        </w:rPr>
        <w:t>09</w:t>
      </w:r>
      <w:r>
        <w:rPr>
          <w:rFonts w:ascii="Arial" w:hAnsi="Arial" w:cs="Arial"/>
          <w:sz w:val="24"/>
          <w:szCs w:val="24"/>
          <w:lang w:val="en-GB"/>
        </w:rPr>
        <w:t xml:space="preserve"> </w:t>
      </w:r>
      <w:r w:rsidR="00AA7997">
        <w:rPr>
          <w:rFonts w:ascii="Arial" w:hAnsi="Arial" w:cs="Arial"/>
          <w:sz w:val="24"/>
          <w:szCs w:val="24"/>
          <w:lang w:val="en-GB"/>
        </w:rPr>
        <w:t xml:space="preserve">and 111 </w:t>
      </w:r>
      <w:r>
        <w:rPr>
          <w:rFonts w:ascii="Arial" w:hAnsi="Arial" w:cs="Arial"/>
          <w:sz w:val="24"/>
          <w:szCs w:val="24"/>
          <w:lang w:val="en-GB"/>
        </w:rPr>
        <w:t>of the judgment which reads that</w:t>
      </w:r>
      <w:r w:rsidR="00B21F83">
        <w:rPr>
          <w:rFonts w:ascii="Arial" w:hAnsi="Arial" w:cs="Arial"/>
          <w:sz w:val="24"/>
          <w:szCs w:val="24"/>
          <w:lang w:val="en-GB"/>
        </w:rPr>
        <w:t>:</w:t>
      </w:r>
    </w:p>
    <w:p w:rsidR="00B21F83" w:rsidRDefault="00B21F83" w:rsidP="005E4491">
      <w:pPr>
        <w:tabs>
          <w:tab w:val="left" w:pos="720"/>
          <w:tab w:val="left" w:pos="1380"/>
        </w:tabs>
        <w:spacing w:after="0" w:line="360" w:lineRule="auto"/>
        <w:jc w:val="both"/>
        <w:rPr>
          <w:rFonts w:ascii="Arial" w:hAnsi="Arial" w:cs="Arial"/>
          <w:sz w:val="24"/>
          <w:szCs w:val="24"/>
          <w:lang w:val="en-GB"/>
        </w:rPr>
      </w:pPr>
    </w:p>
    <w:p w:rsidR="00AA7997" w:rsidRDefault="00B21F83" w:rsidP="005E4491">
      <w:pPr>
        <w:tabs>
          <w:tab w:val="left" w:pos="720"/>
          <w:tab w:val="left" w:pos="1380"/>
        </w:tabs>
        <w:spacing w:after="0" w:line="360" w:lineRule="auto"/>
        <w:jc w:val="both"/>
        <w:rPr>
          <w:rFonts w:ascii="Arial" w:hAnsi="Arial" w:cs="Arial"/>
          <w:lang w:val="en-GB"/>
        </w:rPr>
      </w:pPr>
      <w:r>
        <w:rPr>
          <w:rFonts w:ascii="Arial" w:hAnsi="Arial" w:cs="Arial"/>
          <w:lang w:val="en-GB"/>
        </w:rPr>
        <w:tab/>
        <w:t>‘</w:t>
      </w:r>
      <w:r w:rsidR="00092702">
        <w:rPr>
          <w:rFonts w:ascii="Arial" w:hAnsi="Arial" w:cs="Arial"/>
          <w:lang w:val="en-GB"/>
        </w:rPr>
        <w:t>[109]</w:t>
      </w:r>
      <w:r w:rsidR="00092702">
        <w:rPr>
          <w:rFonts w:ascii="Arial" w:hAnsi="Arial" w:cs="Arial"/>
          <w:lang w:val="en-GB"/>
        </w:rPr>
        <w:tab/>
      </w:r>
      <w:r>
        <w:rPr>
          <w:rFonts w:ascii="Arial" w:hAnsi="Arial" w:cs="Arial"/>
          <w:lang w:val="en-GB"/>
        </w:rPr>
        <w:t>Telecom pleaded in its founding affidavit that in the event that the court finds th</w:t>
      </w:r>
      <w:r w:rsidR="00092702">
        <w:rPr>
          <w:rFonts w:ascii="Arial" w:hAnsi="Arial" w:cs="Arial"/>
          <w:lang w:val="en-GB"/>
        </w:rPr>
        <w:t>e impugned regulation to be valid</w:t>
      </w:r>
      <w:r>
        <w:rPr>
          <w:rFonts w:ascii="Arial" w:hAnsi="Arial" w:cs="Arial"/>
          <w:lang w:val="en-GB"/>
        </w:rPr>
        <w:t xml:space="preserve">, it be declared that it should only apply prospectively. Although that ground was not canvassed by Mr Heathcote in the written heads of argument, the relief was not abandoned and must be considered </w:t>
      </w:r>
      <w:r>
        <w:rPr>
          <w:rFonts w:ascii="Arial" w:hAnsi="Arial" w:cs="Arial"/>
          <w:u w:val="single"/>
          <w:lang w:val="en-GB"/>
        </w:rPr>
        <w:t xml:space="preserve">especially because the order of invalidity will operate </w:t>
      </w:r>
      <w:r>
        <w:rPr>
          <w:rFonts w:ascii="Arial" w:hAnsi="Arial" w:cs="Arial"/>
          <w:i/>
          <w:u w:val="single"/>
          <w:lang w:val="en-GB"/>
        </w:rPr>
        <w:t>ex nunc</w:t>
      </w:r>
      <w:r w:rsidRPr="00092702">
        <w:rPr>
          <w:rFonts w:ascii="Arial" w:hAnsi="Arial" w:cs="Arial"/>
          <w:lang w:val="en-GB"/>
        </w:rPr>
        <w:t xml:space="preserve"> and Telecom will be expected to honour its liability under the impugned regulation up to the point it is no longer of any force and effect</w:t>
      </w:r>
      <w:r>
        <w:rPr>
          <w:rFonts w:ascii="Arial" w:hAnsi="Arial" w:cs="Arial"/>
          <w:lang w:val="en-GB"/>
        </w:rPr>
        <w:t>.</w:t>
      </w:r>
    </w:p>
    <w:p w:rsidR="007C5663" w:rsidRDefault="007C5663" w:rsidP="005E4491">
      <w:pPr>
        <w:tabs>
          <w:tab w:val="left" w:pos="720"/>
          <w:tab w:val="left" w:pos="1380"/>
        </w:tabs>
        <w:spacing w:after="0" w:line="360" w:lineRule="auto"/>
        <w:jc w:val="both"/>
        <w:rPr>
          <w:rFonts w:ascii="Arial" w:hAnsi="Arial" w:cs="Arial"/>
          <w:lang w:val="en-GB"/>
        </w:rPr>
      </w:pPr>
    </w:p>
    <w:p w:rsidR="00AA7997" w:rsidRDefault="00AA7997" w:rsidP="005E4491">
      <w:pPr>
        <w:tabs>
          <w:tab w:val="left" w:pos="720"/>
          <w:tab w:val="left" w:pos="1380"/>
        </w:tabs>
        <w:spacing w:after="0" w:line="360" w:lineRule="auto"/>
        <w:jc w:val="both"/>
        <w:rPr>
          <w:rFonts w:ascii="Arial" w:hAnsi="Arial" w:cs="Arial"/>
          <w:lang w:val="en-GB"/>
        </w:rPr>
      </w:pPr>
      <w:r>
        <w:rPr>
          <w:rFonts w:ascii="Arial" w:hAnsi="Arial" w:cs="Arial"/>
          <w:lang w:val="en-GB"/>
        </w:rPr>
        <w:t xml:space="preserve"> . . .</w:t>
      </w:r>
    </w:p>
    <w:p w:rsidR="007C5663" w:rsidRDefault="007C5663" w:rsidP="005E4491">
      <w:pPr>
        <w:tabs>
          <w:tab w:val="left" w:pos="720"/>
          <w:tab w:val="left" w:pos="1380"/>
        </w:tabs>
        <w:spacing w:after="0" w:line="360" w:lineRule="auto"/>
        <w:jc w:val="both"/>
        <w:rPr>
          <w:rFonts w:ascii="Arial" w:hAnsi="Arial" w:cs="Arial"/>
          <w:lang w:val="en-GB"/>
        </w:rPr>
      </w:pPr>
    </w:p>
    <w:p w:rsidR="00AA7997" w:rsidRDefault="00AA7997" w:rsidP="005E4491">
      <w:pPr>
        <w:tabs>
          <w:tab w:val="left" w:pos="720"/>
          <w:tab w:val="left" w:pos="1380"/>
        </w:tabs>
        <w:spacing w:after="0" w:line="360" w:lineRule="auto"/>
        <w:jc w:val="both"/>
        <w:rPr>
          <w:rFonts w:ascii="Arial" w:hAnsi="Arial" w:cs="Arial"/>
          <w:lang w:val="en-GB"/>
        </w:rPr>
      </w:pPr>
      <w:r>
        <w:rPr>
          <w:rFonts w:ascii="Arial" w:hAnsi="Arial" w:cs="Arial"/>
          <w:lang w:val="en-GB"/>
        </w:rPr>
        <w:t>[111]</w:t>
      </w:r>
      <w:r>
        <w:rPr>
          <w:rFonts w:ascii="Arial" w:hAnsi="Arial" w:cs="Arial"/>
          <w:lang w:val="en-GB"/>
        </w:rPr>
        <w:tab/>
        <w:t xml:space="preserve">. . . the order of invalidity will not have retroactive effect and will have legal consequences </w:t>
      </w:r>
      <w:r>
        <w:rPr>
          <w:rFonts w:ascii="Arial" w:hAnsi="Arial" w:cs="Arial"/>
          <w:u w:val="single"/>
          <w:lang w:val="en-GB"/>
        </w:rPr>
        <w:t>only from now and into the future</w:t>
      </w:r>
      <w:r>
        <w:rPr>
          <w:rFonts w:ascii="Arial" w:hAnsi="Arial" w:cs="Arial"/>
          <w:lang w:val="en-GB"/>
        </w:rPr>
        <w:t>.’ (</w:t>
      </w:r>
      <w:r w:rsidR="007C5663">
        <w:rPr>
          <w:rFonts w:ascii="Arial" w:hAnsi="Arial" w:cs="Arial"/>
          <w:lang w:val="en-GB"/>
        </w:rPr>
        <w:t>Own</w:t>
      </w:r>
      <w:r>
        <w:rPr>
          <w:rFonts w:ascii="Arial" w:hAnsi="Arial" w:cs="Arial"/>
          <w:lang w:val="en-GB"/>
        </w:rPr>
        <w:t xml:space="preserve"> emphasis).</w:t>
      </w:r>
    </w:p>
    <w:p w:rsidR="00AA7997" w:rsidRDefault="00AA7997" w:rsidP="005E4491">
      <w:pPr>
        <w:tabs>
          <w:tab w:val="left" w:pos="720"/>
          <w:tab w:val="left" w:pos="1380"/>
        </w:tabs>
        <w:spacing w:after="0" w:line="360" w:lineRule="auto"/>
        <w:jc w:val="both"/>
        <w:rPr>
          <w:rFonts w:ascii="Arial" w:hAnsi="Arial" w:cs="Arial"/>
          <w:sz w:val="24"/>
          <w:szCs w:val="24"/>
          <w:lang w:val="en-GB"/>
        </w:rPr>
      </w:pPr>
    </w:p>
    <w:p w:rsidR="00816A85" w:rsidRPr="00646B58" w:rsidRDefault="00AA7997" w:rsidP="005E4491">
      <w:pPr>
        <w:tabs>
          <w:tab w:val="left" w:pos="720"/>
          <w:tab w:val="left" w:pos="1380"/>
        </w:tabs>
        <w:spacing w:after="0" w:line="360" w:lineRule="auto"/>
        <w:jc w:val="both"/>
        <w:rPr>
          <w:rFonts w:ascii="Arial" w:hAnsi="Arial" w:cs="Arial"/>
          <w:sz w:val="24"/>
          <w:szCs w:val="24"/>
          <w:lang w:val="en-GB"/>
        </w:rPr>
      </w:pPr>
      <w:r>
        <w:rPr>
          <w:rFonts w:ascii="Arial" w:hAnsi="Arial" w:cs="Arial"/>
          <w:sz w:val="24"/>
          <w:szCs w:val="24"/>
          <w:lang w:val="en-GB"/>
        </w:rPr>
        <w:t>[</w:t>
      </w:r>
      <w:r w:rsidR="00646B58">
        <w:rPr>
          <w:rFonts w:ascii="Arial" w:hAnsi="Arial" w:cs="Arial"/>
          <w:sz w:val="24"/>
          <w:szCs w:val="24"/>
          <w:lang w:val="en-GB"/>
        </w:rPr>
        <w:t>32</w:t>
      </w:r>
      <w:r>
        <w:rPr>
          <w:rFonts w:ascii="Arial" w:hAnsi="Arial" w:cs="Arial"/>
          <w:sz w:val="24"/>
          <w:szCs w:val="24"/>
          <w:lang w:val="en-GB"/>
        </w:rPr>
        <w:t>]</w:t>
      </w:r>
      <w:r>
        <w:rPr>
          <w:rFonts w:ascii="Arial" w:hAnsi="Arial" w:cs="Arial"/>
          <w:sz w:val="24"/>
          <w:szCs w:val="24"/>
          <w:lang w:val="en-GB"/>
        </w:rPr>
        <w:tab/>
        <w:t>T</w:t>
      </w:r>
      <w:r w:rsidR="00806996">
        <w:rPr>
          <w:rFonts w:ascii="Arial" w:hAnsi="Arial" w:cs="Arial"/>
          <w:sz w:val="24"/>
          <w:szCs w:val="24"/>
          <w:lang w:val="en-GB"/>
        </w:rPr>
        <w:t xml:space="preserve">here is </w:t>
      </w:r>
      <w:r>
        <w:rPr>
          <w:rFonts w:ascii="Arial" w:hAnsi="Arial" w:cs="Arial"/>
          <w:sz w:val="24"/>
          <w:szCs w:val="24"/>
          <w:lang w:val="en-GB"/>
        </w:rPr>
        <w:t>therefore no ambiguity in</w:t>
      </w:r>
      <w:r w:rsidR="00806996">
        <w:rPr>
          <w:rFonts w:ascii="Arial" w:hAnsi="Arial" w:cs="Arial"/>
          <w:sz w:val="24"/>
          <w:szCs w:val="24"/>
          <w:lang w:val="en-GB"/>
        </w:rPr>
        <w:t xml:space="preserve"> any of the terms used by the Supreme Court. </w:t>
      </w:r>
      <w:r>
        <w:rPr>
          <w:rFonts w:ascii="Arial" w:hAnsi="Arial" w:cs="Arial"/>
          <w:sz w:val="24"/>
          <w:szCs w:val="24"/>
          <w:lang w:val="en-GB"/>
        </w:rPr>
        <w:t>The words used do</w:t>
      </w:r>
      <w:r w:rsidR="00980810" w:rsidRPr="00980810">
        <w:rPr>
          <w:rFonts w:ascii="Arial" w:hAnsi="Arial" w:cs="Arial"/>
          <w:sz w:val="24"/>
          <w:szCs w:val="24"/>
          <w:lang w:val="en-GB"/>
        </w:rPr>
        <w:t xml:space="preserve"> not appear </w:t>
      </w:r>
      <w:r>
        <w:rPr>
          <w:rFonts w:ascii="Arial" w:hAnsi="Arial" w:cs="Arial"/>
          <w:sz w:val="24"/>
          <w:szCs w:val="24"/>
          <w:lang w:val="en-GB"/>
        </w:rPr>
        <w:t>to be complicated terms and so they should be given their</w:t>
      </w:r>
      <w:r w:rsidR="00980810" w:rsidRPr="00980810">
        <w:rPr>
          <w:rFonts w:ascii="Arial" w:hAnsi="Arial" w:cs="Arial"/>
          <w:sz w:val="24"/>
          <w:szCs w:val="24"/>
          <w:lang w:val="en-GB"/>
        </w:rPr>
        <w:t xml:space="preserve"> ordinary meaning</w:t>
      </w:r>
      <w:r>
        <w:rPr>
          <w:rFonts w:ascii="Arial" w:hAnsi="Arial" w:cs="Arial"/>
          <w:sz w:val="24"/>
          <w:szCs w:val="24"/>
          <w:lang w:val="en-GB"/>
        </w:rPr>
        <w:t>.</w:t>
      </w:r>
      <w:r w:rsidR="00F024A9">
        <w:rPr>
          <w:rFonts w:ascii="Arial" w:hAnsi="Arial" w:cs="Arial"/>
          <w:sz w:val="24"/>
          <w:szCs w:val="24"/>
          <w:lang w:val="en-GB"/>
        </w:rPr>
        <w:t xml:space="preserve"> I agree with Mr Namandje that </w:t>
      </w:r>
      <w:bookmarkStart w:id="0" w:name="_GoBack"/>
      <w:bookmarkEnd w:id="0"/>
      <w:r w:rsidR="00F024A9">
        <w:rPr>
          <w:rFonts w:ascii="Arial" w:hAnsi="Arial" w:cs="Arial"/>
          <w:sz w:val="24"/>
          <w:szCs w:val="24"/>
          <w:lang w:val="en-GB"/>
        </w:rPr>
        <w:t xml:space="preserve">words such as ‘confirmed by this court’, ‘from now’, ‘immediate effect after this judgment’ are direct and unmistakable and that the </w:t>
      </w:r>
      <w:r w:rsidR="00F024A9">
        <w:rPr>
          <w:rFonts w:ascii="Arial" w:hAnsi="Arial" w:cs="Arial"/>
          <w:sz w:val="24"/>
          <w:szCs w:val="24"/>
          <w:lang w:val="en-GB"/>
        </w:rPr>
        <w:lastRenderedPageBreak/>
        <w:t xml:space="preserve">defendant’s interpretation would render the choice and use of words by the Supreme Court redundant. </w:t>
      </w:r>
    </w:p>
    <w:p w:rsidR="00816A85" w:rsidRPr="005E4491" w:rsidRDefault="00816A85" w:rsidP="005E4491">
      <w:pPr>
        <w:tabs>
          <w:tab w:val="left" w:pos="720"/>
          <w:tab w:val="left" w:pos="1380"/>
        </w:tabs>
        <w:spacing w:after="0" w:line="360" w:lineRule="auto"/>
        <w:jc w:val="both"/>
        <w:rPr>
          <w:rFonts w:ascii="Arial" w:hAnsi="Arial" w:cs="Arial"/>
          <w:sz w:val="24"/>
          <w:szCs w:val="24"/>
        </w:rPr>
      </w:pPr>
    </w:p>
    <w:p w:rsidR="00F71AEF" w:rsidRPr="005E4491" w:rsidRDefault="0056093A" w:rsidP="005E4491">
      <w:pPr>
        <w:tabs>
          <w:tab w:val="left" w:pos="720"/>
          <w:tab w:val="left" w:pos="1380"/>
        </w:tabs>
        <w:spacing w:after="0" w:line="360" w:lineRule="auto"/>
        <w:jc w:val="both"/>
        <w:rPr>
          <w:rFonts w:ascii="Arial" w:hAnsi="Arial" w:cs="Arial"/>
          <w:sz w:val="24"/>
          <w:szCs w:val="24"/>
          <w:u w:val="single"/>
        </w:rPr>
      </w:pPr>
      <w:r>
        <w:rPr>
          <w:rFonts w:ascii="Arial" w:hAnsi="Arial" w:cs="Arial"/>
          <w:sz w:val="24"/>
          <w:szCs w:val="24"/>
          <w:u w:val="single"/>
        </w:rPr>
        <w:t>Costs</w:t>
      </w:r>
    </w:p>
    <w:p w:rsidR="00F71AEF" w:rsidRPr="005E4491" w:rsidRDefault="00F71AEF" w:rsidP="005E4491">
      <w:pPr>
        <w:tabs>
          <w:tab w:val="left" w:pos="720"/>
          <w:tab w:val="left" w:pos="1380"/>
        </w:tabs>
        <w:spacing w:after="0" w:line="360" w:lineRule="auto"/>
        <w:jc w:val="both"/>
        <w:rPr>
          <w:rFonts w:ascii="Arial" w:hAnsi="Arial" w:cs="Arial"/>
          <w:sz w:val="24"/>
          <w:szCs w:val="24"/>
        </w:rPr>
      </w:pPr>
    </w:p>
    <w:p w:rsidR="00322152" w:rsidRPr="005E4491" w:rsidRDefault="003D1980" w:rsidP="005E4491">
      <w:pPr>
        <w:tabs>
          <w:tab w:val="left" w:pos="720"/>
          <w:tab w:val="left" w:pos="1380"/>
        </w:tabs>
        <w:spacing w:after="0" w:line="360" w:lineRule="auto"/>
        <w:jc w:val="both"/>
        <w:rPr>
          <w:rFonts w:ascii="Arial" w:hAnsi="Arial" w:cs="Arial"/>
          <w:sz w:val="24"/>
          <w:szCs w:val="24"/>
        </w:rPr>
      </w:pPr>
      <w:r w:rsidRPr="005E4491">
        <w:rPr>
          <w:rFonts w:ascii="Arial" w:hAnsi="Arial" w:cs="Arial"/>
          <w:sz w:val="24"/>
          <w:szCs w:val="24"/>
        </w:rPr>
        <w:t>[</w:t>
      </w:r>
      <w:r w:rsidR="00646B58">
        <w:rPr>
          <w:rFonts w:ascii="Arial" w:hAnsi="Arial" w:cs="Arial"/>
          <w:sz w:val="24"/>
          <w:szCs w:val="24"/>
        </w:rPr>
        <w:t>33</w:t>
      </w:r>
      <w:r w:rsidR="00F71AEF" w:rsidRPr="005E4491">
        <w:rPr>
          <w:rFonts w:ascii="Arial" w:hAnsi="Arial" w:cs="Arial"/>
          <w:sz w:val="24"/>
          <w:szCs w:val="24"/>
        </w:rPr>
        <w:t>]</w:t>
      </w:r>
      <w:r w:rsidR="00F71AEF" w:rsidRPr="005E4491">
        <w:rPr>
          <w:rFonts w:ascii="Arial" w:hAnsi="Arial" w:cs="Arial"/>
          <w:sz w:val="24"/>
          <w:szCs w:val="24"/>
        </w:rPr>
        <w:tab/>
      </w:r>
      <w:r w:rsidR="00060B7C" w:rsidRPr="005E4491">
        <w:rPr>
          <w:rFonts w:ascii="Arial" w:hAnsi="Arial" w:cs="Arial"/>
          <w:sz w:val="24"/>
          <w:szCs w:val="24"/>
        </w:rPr>
        <w:t>The issue of c</w:t>
      </w:r>
      <w:r w:rsidR="00322152" w:rsidRPr="005E4491">
        <w:rPr>
          <w:rFonts w:ascii="Arial" w:hAnsi="Arial" w:cs="Arial"/>
          <w:sz w:val="24"/>
          <w:szCs w:val="24"/>
        </w:rPr>
        <w:t>ost is ultimately</w:t>
      </w:r>
      <w:r w:rsidR="00060B7C" w:rsidRPr="005E4491">
        <w:rPr>
          <w:rFonts w:ascii="Arial" w:hAnsi="Arial" w:cs="Arial"/>
          <w:sz w:val="24"/>
          <w:szCs w:val="24"/>
        </w:rPr>
        <w:t xml:space="preserve"> in</w:t>
      </w:r>
      <w:r w:rsidR="00322152" w:rsidRPr="005E4491">
        <w:rPr>
          <w:rFonts w:ascii="Arial" w:hAnsi="Arial" w:cs="Arial"/>
          <w:sz w:val="24"/>
          <w:szCs w:val="24"/>
        </w:rPr>
        <w:t xml:space="preserve"> the discretion of the court</w:t>
      </w:r>
      <w:r w:rsidR="00060B7C" w:rsidRPr="005E4491">
        <w:rPr>
          <w:rFonts w:ascii="Arial" w:hAnsi="Arial" w:cs="Arial"/>
          <w:sz w:val="24"/>
          <w:szCs w:val="24"/>
        </w:rPr>
        <w:t xml:space="preserve">. </w:t>
      </w:r>
      <w:r w:rsidR="003B009D" w:rsidRPr="005E4491">
        <w:rPr>
          <w:rFonts w:ascii="Arial" w:hAnsi="Arial" w:cs="Arial"/>
          <w:sz w:val="24"/>
          <w:szCs w:val="24"/>
        </w:rPr>
        <w:t xml:space="preserve">The general rule is that cost follows the event and that the successful party should be awarded his or her costs. The rule of cost to follow the event is normally only departed from when there are good grounds for doing so. </w:t>
      </w:r>
      <w:r w:rsidR="00BF00B7">
        <w:rPr>
          <w:rFonts w:ascii="Arial" w:hAnsi="Arial" w:cs="Arial"/>
          <w:sz w:val="24"/>
          <w:szCs w:val="24"/>
        </w:rPr>
        <w:t>In t</w:t>
      </w:r>
      <w:r w:rsidR="00231CBB">
        <w:rPr>
          <w:rFonts w:ascii="Arial" w:hAnsi="Arial" w:cs="Arial"/>
          <w:sz w:val="24"/>
          <w:szCs w:val="24"/>
        </w:rPr>
        <w:t>his current matter there are no</w:t>
      </w:r>
      <w:r w:rsidR="0037294C">
        <w:rPr>
          <w:rFonts w:ascii="Arial" w:hAnsi="Arial" w:cs="Arial"/>
          <w:sz w:val="24"/>
          <w:szCs w:val="24"/>
        </w:rPr>
        <w:t xml:space="preserve"> </w:t>
      </w:r>
      <w:r w:rsidR="00BF00B7">
        <w:rPr>
          <w:rFonts w:ascii="Arial" w:hAnsi="Arial" w:cs="Arial"/>
          <w:sz w:val="24"/>
          <w:szCs w:val="24"/>
        </w:rPr>
        <w:t xml:space="preserve">grounds that exists for me to depart from the general </w:t>
      </w:r>
      <w:r w:rsidR="004B36B1">
        <w:rPr>
          <w:rFonts w:ascii="Arial" w:hAnsi="Arial" w:cs="Arial"/>
          <w:sz w:val="24"/>
          <w:szCs w:val="24"/>
        </w:rPr>
        <w:t>rule</w:t>
      </w:r>
      <w:r w:rsidR="000925D7">
        <w:rPr>
          <w:rFonts w:ascii="Arial" w:hAnsi="Arial" w:cs="Arial"/>
          <w:sz w:val="24"/>
          <w:szCs w:val="24"/>
        </w:rPr>
        <w:t xml:space="preserve"> nor was the case complicated to warrant </w:t>
      </w:r>
      <w:r w:rsidR="00D92B21">
        <w:rPr>
          <w:rFonts w:ascii="Arial" w:hAnsi="Arial" w:cs="Arial"/>
          <w:sz w:val="24"/>
          <w:szCs w:val="24"/>
        </w:rPr>
        <w:t>such departure</w:t>
      </w:r>
      <w:r w:rsidR="000925D7">
        <w:rPr>
          <w:rFonts w:ascii="Arial" w:hAnsi="Arial" w:cs="Arial"/>
          <w:sz w:val="24"/>
          <w:szCs w:val="24"/>
        </w:rPr>
        <w:t>.</w:t>
      </w:r>
      <w:r w:rsidR="004B36B1">
        <w:rPr>
          <w:rFonts w:ascii="Arial" w:hAnsi="Arial" w:cs="Arial"/>
          <w:sz w:val="24"/>
          <w:szCs w:val="24"/>
        </w:rPr>
        <w:t xml:space="preserve"> </w:t>
      </w:r>
      <w:r w:rsidR="00322152" w:rsidRPr="005E4491">
        <w:rPr>
          <w:rFonts w:ascii="Arial" w:hAnsi="Arial" w:cs="Arial"/>
          <w:sz w:val="24"/>
          <w:szCs w:val="24"/>
          <w:lang w:val="en-US"/>
        </w:rPr>
        <w:t>I therefor</w:t>
      </w:r>
      <w:r w:rsidR="003B009D" w:rsidRPr="005E4491">
        <w:rPr>
          <w:rFonts w:ascii="Arial" w:hAnsi="Arial" w:cs="Arial"/>
          <w:sz w:val="24"/>
          <w:szCs w:val="24"/>
          <w:lang w:val="en-US"/>
        </w:rPr>
        <w:t>e</w:t>
      </w:r>
      <w:r w:rsidR="00322152" w:rsidRPr="005E4491">
        <w:rPr>
          <w:rFonts w:ascii="Arial" w:hAnsi="Arial" w:cs="Arial"/>
          <w:sz w:val="24"/>
          <w:szCs w:val="24"/>
          <w:lang w:val="en-US"/>
        </w:rPr>
        <w:t xml:space="preserve"> see no reason why</w:t>
      </w:r>
      <w:r w:rsidR="003B009D" w:rsidRPr="005E4491">
        <w:rPr>
          <w:rFonts w:ascii="Arial" w:hAnsi="Arial" w:cs="Arial"/>
          <w:sz w:val="24"/>
          <w:szCs w:val="24"/>
          <w:lang w:val="en-US"/>
        </w:rPr>
        <w:t xml:space="preserve"> the court should not order </w:t>
      </w:r>
      <w:r w:rsidR="00322152" w:rsidRPr="005E4491">
        <w:rPr>
          <w:rFonts w:ascii="Arial" w:hAnsi="Arial" w:cs="Arial"/>
          <w:sz w:val="24"/>
          <w:szCs w:val="24"/>
          <w:lang w:val="en-US"/>
        </w:rPr>
        <w:t>costs</w:t>
      </w:r>
      <w:r w:rsidR="004B36B1">
        <w:rPr>
          <w:rFonts w:ascii="Arial" w:hAnsi="Arial" w:cs="Arial"/>
          <w:sz w:val="24"/>
          <w:szCs w:val="24"/>
          <w:lang w:val="en-US"/>
        </w:rPr>
        <w:t xml:space="preserve"> against the </w:t>
      </w:r>
      <w:r w:rsidR="003B009D" w:rsidRPr="005E4491">
        <w:rPr>
          <w:rFonts w:ascii="Arial" w:hAnsi="Arial" w:cs="Arial"/>
          <w:sz w:val="24"/>
          <w:szCs w:val="24"/>
          <w:lang w:val="en-US"/>
        </w:rPr>
        <w:t>defendant limited to Rule 3</w:t>
      </w:r>
      <w:r w:rsidR="004B36B1">
        <w:rPr>
          <w:rFonts w:ascii="Arial" w:hAnsi="Arial" w:cs="Arial"/>
          <w:sz w:val="24"/>
          <w:szCs w:val="24"/>
          <w:lang w:val="en-US"/>
        </w:rPr>
        <w:t>2</w:t>
      </w:r>
      <w:r w:rsidR="003B009D" w:rsidRPr="005E4491">
        <w:rPr>
          <w:rFonts w:ascii="Arial" w:hAnsi="Arial" w:cs="Arial"/>
          <w:sz w:val="24"/>
          <w:szCs w:val="24"/>
          <w:lang w:val="en-US"/>
        </w:rPr>
        <w:t>(11).</w:t>
      </w:r>
      <w:r w:rsidR="00322152" w:rsidRPr="005E4491">
        <w:rPr>
          <w:rFonts w:ascii="Arial" w:hAnsi="Arial" w:cs="Arial"/>
          <w:sz w:val="24"/>
          <w:szCs w:val="24"/>
          <w:lang w:val="en-US"/>
        </w:rPr>
        <w:t xml:space="preserve"> </w:t>
      </w:r>
    </w:p>
    <w:p w:rsidR="00E45AA5" w:rsidRPr="005E4491" w:rsidRDefault="00E45AA5" w:rsidP="005E4491">
      <w:pPr>
        <w:spacing w:after="0" w:line="360" w:lineRule="auto"/>
        <w:jc w:val="both"/>
        <w:rPr>
          <w:rFonts w:ascii="Arial" w:hAnsi="Arial" w:cs="Arial"/>
          <w:sz w:val="24"/>
          <w:szCs w:val="24"/>
        </w:rPr>
      </w:pPr>
    </w:p>
    <w:p w:rsidR="005150B4" w:rsidRPr="005E4491" w:rsidRDefault="00E45AA5" w:rsidP="005E4491">
      <w:pPr>
        <w:spacing w:after="0" w:line="360" w:lineRule="auto"/>
        <w:jc w:val="both"/>
        <w:rPr>
          <w:rFonts w:ascii="Arial" w:hAnsi="Arial" w:cs="Arial"/>
          <w:sz w:val="24"/>
          <w:szCs w:val="24"/>
        </w:rPr>
      </w:pPr>
      <w:r w:rsidRPr="005E4491">
        <w:rPr>
          <w:rFonts w:ascii="Arial" w:hAnsi="Arial" w:cs="Arial"/>
          <w:sz w:val="24"/>
          <w:szCs w:val="24"/>
        </w:rPr>
        <w:t>[</w:t>
      </w:r>
      <w:r w:rsidR="00646B58">
        <w:rPr>
          <w:rFonts w:ascii="Arial" w:hAnsi="Arial" w:cs="Arial"/>
          <w:sz w:val="24"/>
          <w:szCs w:val="24"/>
        </w:rPr>
        <w:t>34</w:t>
      </w:r>
      <w:r w:rsidR="00352690" w:rsidRPr="005E4491">
        <w:rPr>
          <w:rFonts w:ascii="Arial" w:hAnsi="Arial" w:cs="Arial"/>
          <w:sz w:val="24"/>
          <w:szCs w:val="24"/>
        </w:rPr>
        <w:t>]</w:t>
      </w:r>
      <w:r w:rsidR="00352690" w:rsidRPr="005E4491">
        <w:rPr>
          <w:rFonts w:ascii="Arial" w:hAnsi="Arial" w:cs="Arial"/>
          <w:sz w:val="24"/>
          <w:szCs w:val="24"/>
        </w:rPr>
        <w:tab/>
      </w:r>
      <w:r w:rsidRPr="005E4491">
        <w:rPr>
          <w:rFonts w:ascii="Arial" w:hAnsi="Arial" w:cs="Arial"/>
          <w:sz w:val="24"/>
          <w:szCs w:val="24"/>
        </w:rPr>
        <w:t>My ord</w:t>
      </w:r>
      <w:r w:rsidR="00DA03E8" w:rsidRPr="005E4491">
        <w:rPr>
          <w:rFonts w:ascii="Arial" w:hAnsi="Arial" w:cs="Arial"/>
          <w:sz w:val="24"/>
          <w:szCs w:val="24"/>
        </w:rPr>
        <w:t>er is therefore as follows:</w:t>
      </w:r>
    </w:p>
    <w:p w:rsidR="00DA03E8" w:rsidRPr="005E4491" w:rsidRDefault="00DA03E8" w:rsidP="005E4491">
      <w:pPr>
        <w:spacing w:after="0" w:line="360" w:lineRule="auto"/>
        <w:jc w:val="both"/>
        <w:rPr>
          <w:rFonts w:ascii="Arial" w:hAnsi="Arial" w:cs="Arial"/>
          <w:sz w:val="24"/>
          <w:szCs w:val="24"/>
        </w:rPr>
      </w:pPr>
    </w:p>
    <w:p w:rsidR="00D01202" w:rsidRPr="005E4491" w:rsidRDefault="00D01202" w:rsidP="00D01202">
      <w:pPr>
        <w:pStyle w:val="ListParagraph"/>
        <w:numPr>
          <w:ilvl w:val="0"/>
          <w:numId w:val="31"/>
        </w:numPr>
        <w:spacing w:after="0" w:line="360" w:lineRule="auto"/>
        <w:jc w:val="both"/>
        <w:rPr>
          <w:rFonts w:ascii="Arial" w:hAnsi="Arial" w:cs="Arial"/>
          <w:sz w:val="24"/>
          <w:szCs w:val="24"/>
        </w:rPr>
      </w:pPr>
      <w:r w:rsidRPr="005E4491">
        <w:rPr>
          <w:rFonts w:ascii="Arial" w:hAnsi="Arial" w:cs="Arial"/>
          <w:sz w:val="24"/>
          <w:szCs w:val="24"/>
        </w:rPr>
        <w:t>The second ground of exception raised by the excipient is dismissed with costs.</w:t>
      </w:r>
      <w:r>
        <w:rPr>
          <w:rFonts w:ascii="Arial" w:hAnsi="Arial" w:cs="Arial"/>
          <w:sz w:val="24"/>
          <w:szCs w:val="24"/>
        </w:rPr>
        <w:t xml:space="preserve"> Such costs to include the costs</w:t>
      </w:r>
      <w:r w:rsidRPr="005E4491">
        <w:rPr>
          <w:rFonts w:ascii="Arial" w:hAnsi="Arial" w:cs="Arial"/>
          <w:sz w:val="24"/>
          <w:szCs w:val="24"/>
        </w:rPr>
        <w:t xml:space="preserve"> of two instructing counsel. Such cost</w:t>
      </w:r>
      <w:r w:rsidR="009F0B6F">
        <w:rPr>
          <w:rFonts w:ascii="Arial" w:hAnsi="Arial" w:cs="Arial"/>
          <w:sz w:val="24"/>
          <w:szCs w:val="24"/>
        </w:rPr>
        <w:t>s</w:t>
      </w:r>
      <w:r w:rsidRPr="005E4491">
        <w:rPr>
          <w:rFonts w:ascii="Arial" w:hAnsi="Arial" w:cs="Arial"/>
          <w:sz w:val="24"/>
          <w:szCs w:val="24"/>
        </w:rPr>
        <w:t xml:space="preserve"> to be capped and limited to Rule 32(11).</w:t>
      </w:r>
    </w:p>
    <w:p w:rsidR="00D01202" w:rsidRPr="005E4491" w:rsidRDefault="00D01202" w:rsidP="00D01202">
      <w:pPr>
        <w:pStyle w:val="ListParagraph"/>
        <w:numPr>
          <w:ilvl w:val="0"/>
          <w:numId w:val="31"/>
        </w:numPr>
        <w:spacing w:after="0" w:line="360" w:lineRule="auto"/>
        <w:jc w:val="both"/>
        <w:rPr>
          <w:rFonts w:ascii="Arial" w:hAnsi="Arial" w:cs="Arial"/>
          <w:sz w:val="24"/>
          <w:szCs w:val="24"/>
        </w:rPr>
      </w:pPr>
      <w:r w:rsidRPr="005E4491">
        <w:rPr>
          <w:rFonts w:ascii="Arial" w:hAnsi="Arial" w:cs="Arial"/>
          <w:sz w:val="24"/>
          <w:szCs w:val="24"/>
        </w:rPr>
        <w:t xml:space="preserve">The matter is postponed to </w:t>
      </w:r>
      <w:r w:rsidRPr="005E4491">
        <w:rPr>
          <w:rFonts w:ascii="Arial" w:hAnsi="Arial" w:cs="Arial"/>
          <w:b/>
          <w:sz w:val="24"/>
          <w:szCs w:val="24"/>
        </w:rPr>
        <w:t>29 October 2020</w:t>
      </w:r>
      <w:r w:rsidRPr="005E4491">
        <w:rPr>
          <w:rFonts w:ascii="Arial" w:hAnsi="Arial" w:cs="Arial"/>
          <w:sz w:val="24"/>
          <w:szCs w:val="24"/>
        </w:rPr>
        <w:t xml:space="preserve"> at </w:t>
      </w:r>
      <w:r w:rsidRPr="005E4491">
        <w:rPr>
          <w:rFonts w:ascii="Arial" w:hAnsi="Arial" w:cs="Arial"/>
          <w:b/>
          <w:sz w:val="24"/>
          <w:szCs w:val="24"/>
        </w:rPr>
        <w:t>15h00</w:t>
      </w:r>
      <w:r w:rsidRPr="005E4491">
        <w:rPr>
          <w:rFonts w:ascii="Arial" w:hAnsi="Arial" w:cs="Arial"/>
          <w:sz w:val="24"/>
          <w:szCs w:val="24"/>
        </w:rPr>
        <w:t xml:space="preserve"> for further Case Planning Conference.</w:t>
      </w:r>
    </w:p>
    <w:p w:rsidR="00D01202" w:rsidRPr="005E4491" w:rsidRDefault="00D01202" w:rsidP="00D01202">
      <w:pPr>
        <w:pStyle w:val="ListParagraph"/>
        <w:numPr>
          <w:ilvl w:val="0"/>
          <w:numId w:val="31"/>
        </w:numPr>
        <w:spacing w:after="0" w:line="360" w:lineRule="auto"/>
        <w:jc w:val="both"/>
        <w:rPr>
          <w:rFonts w:ascii="Arial" w:hAnsi="Arial" w:cs="Arial"/>
          <w:sz w:val="24"/>
          <w:szCs w:val="24"/>
        </w:rPr>
      </w:pPr>
      <w:r w:rsidRPr="005E4491">
        <w:rPr>
          <w:rFonts w:ascii="Arial" w:hAnsi="Arial" w:cs="Arial"/>
          <w:sz w:val="24"/>
          <w:szCs w:val="24"/>
          <w:lang w:val="en-ZA"/>
        </w:rPr>
        <w:t>Further joint case plan must be filed on or before 26 October 2020.</w:t>
      </w:r>
    </w:p>
    <w:p w:rsidR="00DA03E8" w:rsidRPr="005E4491" w:rsidRDefault="00DA03E8" w:rsidP="005E4491">
      <w:pPr>
        <w:spacing w:after="0" w:line="360" w:lineRule="auto"/>
        <w:jc w:val="both"/>
        <w:rPr>
          <w:rFonts w:ascii="Arial" w:hAnsi="Arial" w:cs="Arial"/>
          <w:sz w:val="24"/>
          <w:szCs w:val="24"/>
        </w:rPr>
      </w:pPr>
    </w:p>
    <w:p w:rsidR="007426F8" w:rsidRPr="005E4491" w:rsidRDefault="007426F8" w:rsidP="005E4491">
      <w:pPr>
        <w:spacing w:after="0" w:line="360" w:lineRule="auto"/>
        <w:jc w:val="both"/>
        <w:rPr>
          <w:rFonts w:ascii="Arial" w:hAnsi="Arial" w:cs="Arial"/>
          <w:sz w:val="24"/>
          <w:szCs w:val="24"/>
        </w:rPr>
      </w:pPr>
    </w:p>
    <w:p w:rsidR="007426F8" w:rsidRPr="005E4491" w:rsidRDefault="007426F8" w:rsidP="005E4491">
      <w:pPr>
        <w:spacing w:after="0" w:line="360" w:lineRule="auto"/>
        <w:jc w:val="both"/>
        <w:rPr>
          <w:rFonts w:ascii="Arial" w:hAnsi="Arial" w:cs="Arial"/>
          <w:sz w:val="24"/>
          <w:szCs w:val="24"/>
        </w:rPr>
      </w:pPr>
    </w:p>
    <w:p w:rsidR="00505D1F" w:rsidRPr="005E4491" w:rsidRDefault="00505D1F" w:rsidP="005E4491">
      <w:pPr>
        <w:spacing w:after="0" w:line="360" w:lineRule="auto"/>
        <w:jc w:val="both"/>
        <w:rPr>
          <w:rFonts w:ascii="Arial" w:hAnsi="Arial" w:cs="Arial"/>
          <w:sz w:val="24"/>
          <w:szCs w:val="24"/>
        </w:rPr>
      </w:pPr>
    </w:p>
    <w:p w:rsidR="00505D1F" w:rsidRPr="005E4491" w:rsidRDefault="00AF4271" w:rsidP="005E4491">
      <w:pPr>
        <w:spacing w:after="0" w:line="360" w:lineRule="auto"/>
        <w:jc w:val="both"/>
        <w:rPr>
          <w:rFonts w:ascii="Arial" w:hAnsi="Arial" w:cs="Arial"/>
          <w:sz w:val="24"/>
          <w:szCs w:val="24"/>
        </w:rPr>
      </w:pP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t xml:space="preserve">     </w:t>
      </w:r>
      <w:r w:rsidR="00505D1F" w:rsidRPr="005E4491">
        <w:rPr>
          <w:rFonts w:ascii="Arial" w:hAnsi="Arial" w:cs="Arial"/>
          <w:sz w:val="24"/>
          <w:szCs w:val="24"/>
        </w:rPr>
        <w:t>_____________</w:t>
      </w:r>
      <w:r w:rsidR="00301788" w:rsidRPr="005E4491">
        <w:rPr>
          <w:rFonts w:ascii="Arial" w:hAnsi="Arial" w:cs="Arial"/>
          <w:sz w:val="24"/>
          <w:szCs w:val="24"/>
        </w:rPr>
        <w:t>______</w:t>
      </w:r>
    </w:p>
    <w:p w:rsidR="00505D1F" w:rsidRPr="005E4491" w:rsidRDefault="00AF4271" w:rsidP="005E4491">
      <w:pPr>
        <w:spacing w:after="0" w:line="360" w:lineRule="auto"/>
        <w:jc w:val="both"/>
        <w:rPr>
          <w:rFonts w:ascii="Arial" w:hAnsi="Arial" w:cs="Arial"/>
          <w:sz w:val="24"/>
          <w:szCs w:val="24"/>
        </w:rPr>
      </w:pP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t xml:space="preserve">        </w:t>
      </w:r>
      <w:r w:rsidR="00505D1F" w:rsidRPr="005E4491">
        <w:rPr>
          <w:rFonts w:ascii="Arial" w:hAnsi="Arial" w:cs="Arial"/>
          <w:sz w:val="24"/>
          <w:szCs w:val="24"/>
        </w:rPr>
        <w:t>JS PRINSLOO</w:t>
      </w:r>
    </w:p>
    <w:p w:rsidR="00CB596C" w:rsidRPr="005E4491" w:rsidRDefault="00CB596C" w:rsidP="005E4491">
      <w:pPr>
        <w:spacing w:after="0" w:line="360" w:lineRule="auto"/>
        <w:jc w:val="both"/>
        <w:rPr>
          <w:rFonts w:ascii="Arial" w:hAnsi="Arial" w:cs="Arial"/>
          <w:sz w:val="24"/>
          <w:szCs w:val="24"/>
        </w:rPr>
      </w:pP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r>
      <w:r w:rsidRPr="005E4491">
        <w:rPr>
          <w:rFonts w:ascii="Arial" w:hAnsi="Arial" w:cs="Arial"/>
          <w:sz w:val="24"/>
          <w:szCs w:val="24"/>
        </w:rPr>
        <w:tab/>
        <w:t xml:space="preserve">         </w:t>
      </w:r>
      <w:r w:rsidR="00AF4271" w:rsidRPr="005E4491">
        <w:rPr>
          <w:rFonts w:ascii="Arial" w:hAnsi="Arial" w:cs="Arial"/>
          <w:sz w:val="24"/>
          <w:szCs w:val="24"/>
        </w:rPr>
        <w:t xml:space="preserve">             </w:t>
      </w:r>
      <w:r w:rsidRPr="005E4491">
        <w:rPr>
          <w:rFonts w:ascii="Arial" w:hAnsi="Arial" w:cs="Arial"/>
          <w:sz w:val="24"/>
          <w:szCs w:val="24"/>
        </w:rPr>
        <w:t>Judge</w:t>
      </w:r>
    </w:p>
    <w:p w:rsidR="00C53099" w:rsidRPr="005E4491" w:rsidRDefault="00CB596C" w:rsidP="005E4491">
      <w:pPr>
        <w:spacing w:after="0" w:line="360" w:lineRule="auto"/>
        <w:jc w:val="both"/>
        <w:rPr>
          <w:rFonts w:ascii="Arial" w:hAnsi="Arial" w:cs="Arial"/>
          <w:sz w:val="24"/>
          <w:szCs w:val="24"/>
        </w:rPr>
      </w:pPr>
      <w:r w:rsidRPr="005E4491">
        <w:rPr>
          <w:rFonts w:ascii="Arial" w:hAnsi="Arial" w:cs="Arial"/>
          <w:sz w:val="24"/>
          <w:szCs w:val="24"/>
        </w:rPr>
        <w:tab/>
      </w:r>
    </w:p>
    <w:p w:rsidR="00F82E27" w:rsidRPr="005E4491" w:rsidRDefault="00F82E27" w:rsidP="005E4491">
      <w:pPr>
        <w:spacing w:after="0" w:line="360" w:lineRule="auto"/>
        <w:jc w:val="both"/>
        <w:rPr>
          <w:rFonts w:ascii="Arial" w:hAnsi="Arial" w:cs="Arial"/>
          <w:sz w:val="24"/>
          <w:szCs w:val="24"/>
        </w:rPr>
      </w:pPr>
    </w:p>
    <w:p w:rsidR="00646B58" w:rsidRDefault="00646B58" w:rsidP="005E4491">
      <w:pPr>
        <w:spacing w:after="0" w:line="360" w:lineRule="auto"/>
        <w:jc w:val="both"/>
        <w:rPr>
          <w:rFonts w:ascii="Arial" w:hAnsi="Arial" w:cs="Arial"/>
          <w:sz w:val="24"/>
          <w:szCs w:val="24"/>
        </w:rPr>
      </w:pPr>
    </w:p>
    <w:p w:rsidR="006A2A71" w:rsidRDefault="006A2A71" w:rsidP="005E4491">
      <w:pPr>
        <w:spacing w:after="0" w:line="360" w:lineRule="auto"/>
        <w:jc w:val="both"/>
        <w:rPr>
          <w:rFonts w:ascii="Arial" w:hAnsi="Arial" w:cs="Arial"/>
          <w:sz w:val="24"/>
          <w:szCs w:val="24"/>
        </w:rPr>
      </w:pPr>
    </w:p>
    <w:p w:rsidR="00505D1F" w:rsidRPr="005E4491" w:rsidRDefault="00505D1F" w:rsidP="005E4491">
      <w:pPr>
        <w:spacing w:after="0" w:line="360" w:lineRule="auto"/>
        <w:jc w:val="both"/>
        <w:rPr>
          <w:rFonts w:ascii="Arial" w:hAnsi="Arial" w:cs="Arial"/>
          <w:sz w:val="24"/>
          <w:szCs w:val="24"/>
        </w:rPr>
      </w:pPr>
      <w:r w:rsidRPr="005E4491">
        <w:rPr>
          <w:rFonts w:ascii="Arial" w:hAnsi="Arial" w:cs="Arial"/>
          <w:sz w:val="24"/>
          <w:szCs w:val="24"/>
        </w:rPr>
        <w:t>APPEARANCES:</w:t>
      </w:r>
    </w:p>
    <w:p w:rsidR="00505D1F" w:rsidRDefault="00505D1F" w:rsidP="005E4491">
      <w:pPr>
        <w:spacing w:after="0" w:line="360" w:lineRule="auto"/>
        <w:jc w:val="both"/>
        <w:rPr>
          <w:rFonts w:ascii="Arial" w:hAnsi="Arial" w:cs="Arial"/>
          <w:sz w:val="24"/>
          <w:szCs w:val="24"/>
        </w:rPr>
      </w:pPr>
    </w:p>
    <w:p w:rsidR="009F0B6F" w:rsidRDefault="009F0B6F" w:rsidP="005E4491">
      <w:pPr>
        <w:spacing w:after="0" w:line="360" w:lineRule="auto"/>
        <w:jc w:val="both"/>
        <w:rPr>
          <w:rFonts w:ascii="Arial" w:hAnsi="Arial" w:cs="Arial"/>
          <w:sz w:val="24"/>
          <w:szCs w:val="24"/>
        </w:rPr>
      </w:pPr>
    </w:p>
    <w:p w:rsidR="009F0B6F" w:rsidRPr="005E4491" w:rsidRDefault="009F0B6F" w:rsidP="005E4491">
      <w:pPr>
        <w:spacing w:after="0" w:line="360" w:lineRule="auto"/>
        <w:jc w:val="both"/>
        <w:rPr>
          <w:rFonts w:ascii="Arial" w:hAnsi="Arial" w:cs="Arial"/>
          <w:sz w:val="24"/>
          <w:szCs w:val="24"/>
        </w:rPr>
      </w:pPr>
    </w:p>
    <w:p w:rsidR="00352690" w:rsidRPr="005E4491" w:rsidRDefault="003D1980" w:rsidP="005E4491">
      <w:pPr>
        <w:spacing w:after="0" w:line="360" w:lineRule="auto"/>
        <w:ind w:left="5040" w:hanging="5040"/>
        <w:jc w:val="both"/>
        <w:rPr>
          <w:rFonts w:ascii="Arial" w:hAnsi="Arial" w:cs="Arial"/>
          <w:sz w:val="24"/>
          <w:szCs w:val="24"/>
          <w:lang w:val="en-US"/>
        </w:rPr>
      </w:pPr>
      <w:r w:rsidRPr="005E4491">
        <w:rPr>
          <w:rFonts w:ascii="Arial" w:hAnsi="Arial" w:cs="Arial"/>
          <w:sz w:val="24"/>
          <w:szCs w:val="24"/>
        </w:rPr>
        <w:t>PLAINTIFF/RESPONDENT</w:t>
      </w:r>
      <w:r w:rsidR="00FA58B8">
        <w:rPr>
          <w:rFonts w:ascii="Arial" w:hAnsi="Arial" w:cs="Arial"/>
          <w:sz w:val="24"/>
          <w:szCs w:val="24"/>
        </w:rPr>
        <w:t>:</w:t>
      </w:r>
      <w:r w:rsidR="00FA58B8">
        <w:rPr>
          <w:rFonts w:ascii="Arial" w:hAnsi="Arial" w:cs="Arial"/>
          <w:sz w:val="24"/>
          <w:szCs w:val="24"/>
        </w:rPr>
        <w:tab/>
      </w:r>
      <w:r w:rsidRPr="005E4491">
        <w:rPr>
          <w:rFonts w:ascii="Arial" w:hAnsi="Arial" w:cs="Arial"/>
          <w:sz w:val="24"/>
          <w:szCs w:val="24"/>
          <w:lang w:val="en-US"/>
        </w:rPr>
        <w:t xml:space="preserve">S Namandje, </w:t>
      </w:r>
      <w:r w:rsidR="009F0B6F">
        <w:rPr>
          <w:rFonts w:ascii="Arial" w:hAnsi="Arial" w:cs="Arial"/>
          <w:sz w:val="24"/>
          <w:szCs w:val="24"/>
          <w:lang w:val="en-US"/>
        </w:rPr>
        <w:t>(</w:t>
      </w:r>
      <w:r w:rsidRPr="005E4491">
        <w:rPr>
          <w:rFonts w:ascii="Arial" w:hAnsi="Arial" w:cs="Arial"/>
          <w:sz w:val="24"/>
          <w:szCs w:val="24"/>
          <w:lang w:val="en-US"/>
        </w:rPr>
        <w:t>assisted by T Ileka</w:t>
      </w:r>
      <w:r w:rsidR="009F0B6F">
        <w:rPr>
          <w:rFonts w:ascii="Arial" w:hAnsi="Arial" w:cs="Arial"/>
          <w:sz w:val="24"/>
          <w:szCs w:val="24"/>
          <w:lang w:val="en-US"/>
        </w:rPr>
        <w:t>)</w:t>
      </w:r>
    </w:p>
    <w:p w:rsidR="007426F8" w:rsidRDefault="00352690" w:rsidP="005E4491">
      <w:pPr>
        <w:spacing w:after="0" w:line="360" w:lineRule="auto"/>
        <w:ind w:left="5040" w:hanging="5040"/>
        <w:jc w:val="both"/>
        <w:rPr>
          <w:rFonts w:ascii="Arial" w:hAnsi="Arial" w:cs="Arial"/>
          <w:sz w:val="24"/>
          <w:szCs w:val="24"/>
          <w:lang w:val="en-US"/>
        </w:rPr>
      </w:pPr>
      <w:r w:rsidRPr="005E4491">
        <w:rPr>
          <w:rFonts w:ascii="Arial" w:hAnsi="Arial" w:cs="Arial"/>
          <w:sz w:val="24"/>
          <w:szCs w:val="24"/>
          <w:lang w:val="en-US"/>
        </w:rPr>
        <w:tab/>
        <w:t>Of Sisa Namandje &amp; Co. Inc.</w:t>
      </w:r>
    </w:p>
    <w:p w:rsidR="009F0B6F" w:rsidRPr="005E4491" w:rsidRDefault="009F0B6F" w:rsidP="005E4491">
      <w:pPr>
        <w:spacing w:after="0" w:line="360" w:lineRule="auto"/>
        <w:ind w:left="5040" w:hanging="5040"/>
        <w:jc w:val="both"/>
        <w:rPr>
          <w:rFonts w:ascii="Arial" w:hAnsi="Arial" w:cs="Arial"/>
          <w:sz w:val="24"/>
          <w:szCs w:val="24"/>
        </w:rPr>
      </w:pPr>
      <w:r>
        <w:rPr>
          <w:rFonts w:ascii="Arial" w:hAnsi="Arial" w:cs="Arial"/>
          <w:sz w:val="24"/>
          <w:szCs w:val="24"/>
          <w:lang w:val="en-US"/>
        </w:rPr>
        <w:tab/>
        <w:t>Windhoek</w:t>
      </w:r>
    </w:p>
    <w:p w:rsidR="00505D1F" w:rsidRPr="005E4491" w:rsidRDefault="00505D1F" w:rsidP="005E4491">
      <w:pPr>
        <w:spacing w:after="0" w:line="360" w:lineRule="auto"/>
        <w:jc w:val="both"/>
        <w:rPr>
          <w:rFonts w:ascii="Arial" w:hAnsi="Arial" w:cs="Arial"/>
          <w:sz w:val="24"/>
          <w:szCs w:val="24"/>
        </w:rPr>
      </w:pPr>
    </w:p>
    <w:p w:rsidR="003D1980" w:rsidRPr="005E4491" w:rsidRDefault="003D1980" w:rsidP="005E4491">
      <w:pPr>
        <w:spacing w:after="0" w:line="360" w:lineRule="auto"/>
        <w:ind w:left="5040" w:hanging="5040"/>
        <w:jc w:val="both"/>
        <w:rPr>
          <w:rFonts w:ascii="Arial" w:hAnsi="Arial" w:cs="Arial"/>
          <w:sz w:val="24"/>
          <w:szCs w:val="24"/>
        </w:rPr>
      </w:pPr>
      <w:r w:rsidRPr="005E4491">
        <w:rPr>
          <w:rFonts w:ascii="Arial" w:hAnsi="Arial" w:cs="Arial"/>
          <w:sz w:val="24"/>
          <w:szCs w:val="24"/>
        </w:rPr>
        <w:t>DEFENDANT/EXCIPIENT</w:t>
      </w:r>
      <w:r w:rsidR="00FA58B8">
        <w:rPr>
          <w:rFonts w:ascii="Arial" w:hAnsi="Arial" w:cs="Arial"/>
          <w:sz w:val="24"/>
          <w:szCs w:val="24"/>
        </w:rPr>
        <w:t>:</w:t>
      </w:r>
      <w:r w:rsidR="00FA58B8">
        <w:rPr>
          <w:rFonts w:ascii="Arial" w:hAnsi="Arial" w:cs="Arial"/>
          <w:sz w:val="24"/>
          <w:szCs w:val="24"/>
        </w:rPr>
        <w:tab/>
      </w:r>
      <w:r w:rsidRPr="005E4491">
        <w:rPr>
          <w:rFonts w:ascii="Arial" w:hAnsi="Arial" w:cs="Arial"/>
          <w:sz w:val="24"/>
          <w:szCs w:val="24"/>
        </w:rPr>
        <w:t xml:space="preserve">R Heathcote, SC </w:t>
      </w:r>
      <w:r w:rsidR="009F0B6F">
        <w:rPr>
          <w:rFonts w:ascii="Arial" w:hAnsi="Arial" w:cs="Arial"/>
          <w:sz w:val="24"/>
          <w:szCs w:val="24"/>
        </w:rPr>
        <w:t>(</w:t>
      </w:r>
      <w:r w:rsidRPr="005E4491">
        <w:rPr>
          <w:rFonts w:ascii="Arial" w:hAnsi="Arial" w:cs="Arial"/>
          <w:sz w:val="24"/>
          <w:szCs w:val="24"/>
        </w:rPr>
        <w:t>assisted by</w:t>
      </w:r>
      <w:r w:rsidR="00FA58B8">
        <w:rPr>
          <w:rFonts w:ascii="Arial" w:hAnsi="Arial" w:cs="Arial"/>
          <w:sz w:val="24"/>
          <w:szCs w:val="24"/>
        </w:rPr>
        <w:t xml:space="preserve"> C</w:t>
      </w:r>
      <w:r w:rsidRPr="005E4491">
        <w:rPr>
          <w:rFonts w:ascii="Arial" w:hAnsi="Arial" w:cs="Arial"/>
          <w:sz w:val="24"/>
          <w:szCs w:val="24"/>
        </w:rPr>
        <w:t xml:space="preserve"> </w:t>
      </w:r>
      <w:r w:rsidR="00FA58B8">
        <w:rPr>
          <w:rFonts w:ascii="Arial" w:hAnsi="Arial" w:cs="Arial"/>
          <w:sz w:val="24"/>
          <w:szCs w:val="24"/>
        </w:rPr>
        <w:t>van der</w:t>
      </w:r>
      <w:r w:rsidR="00FA58B8" w:rsidRPr="00FA58B8">
        <w:rPr>
          <w:rFonts w:ascii="Arial" w:hAnsi="Arial" w:cs="Arial"/>
          <w:sz w:val="24"/>
          <w:szCs w:val="24"/>
        </w:rPr>
        <w:t xml:space="preserve"> Westhuizen</w:t>
      </w:r>
      <w:r w:rsidR="009F0B6F">
        <w:rPr>
          <w:rFonts w:ascii="Arial" w:hAnsi="Arial" w:cs="Arial"/>
          <w:sz w:val="24"/>
          <w:szCs w:val="24"/>
        </w:rPr>
        <w:t>)</w:t>
      </w:r>
    </w:p>
    <w:p w:rsidR="00461EA4" w:rsidRDefault="003D1980" w:rsidP="009F0B6F">
      <w:pPr>
        <w:spacing w:after="0" w:line="360" w:lineRule="auto"/>
        <w:ind w:left="5040" w:hanging="5040"/>
        <w:jc w:val="both"/>
        <w:rPr>
          <w:rFonts w:ascii="Arial" w:hAnsi="Arial" w:cs="Arial"/>
          <w:bCs/>
          <w:color w:val="000000"/>
          <w:sz w:val="24"/>
          <w:szCs w:val="24"/>
          <w:shd w:val="clear" w:color="auto" w:fill="FFFFFF"/>
          <w:lang w:val="en-US"/>
        </w:rPr>
      </w:pPr>
      <w:r w:rsidRPr="005E4491">
        <w:rPr>
          <w:rFonts w:ascii="Arial" w:hAnsi="Arial" w:cs="Arial"/>
          <w:bCs/>
          <w:color w:val="000000"/>
          <w:sz w:val="24"/>
          <w:szCs w:val="24"/>
          <w:shd w:val="clear" w:color="auto" w:fill="FFFFFF"/>
          <w:lang w:val="en-US"/>
        </w:rPr>
        <w:tab/>
        <w:t>Instructed by Shikongo Law Chambers</w:t>
      </w:r>
    </w:p>
    <w:p w:rsidR="009F0B6F" w:rsidRPr="009F0B6F" w:rsidRDefault="009F0B6F" w:rsidP="009F0B6F">
      <w:pPr>
        <w:spacing w:after="0" w:line="360" w:lineRule="auto"/>
        <w:ind w:left="5040" w:hanging="5040"/>
        <w:jc w:val="both"/>
        <w:rPr>
          <w:rFonts w:ascii="Arial" w:hAnsi="Arial" w:cs="Arial"/>
          <w:bCs/>
          <w:color w:val="000000"/>
          <w:sz w:val="24"/>
          <w:szCs w:val="24"/>
          <w:shd w:val="clear" w:color="auto" w:fill="FFFFFF"/>
          <w:lang w:val="en-US"/>
        </w:rPr>
      </w:pPr>
      <w:r>
        <w:rPr>
          <w:rFonts w:ascii="Arial" w:hAnsi="Arial" w:cs="Arial"/>
          <w:bCs/>
          <w:color w:val="000000"/>
          <w:sz w:val="24"/>
          <w:szCs w:val="24"/>
          <w:shd w:val="clear" w:color="auto" w:fill="FFFFFF"/>
          <w:lang w:val="en-US"/>
        </w:rPr>
        <w:tab/>
      </w:r>
      <w:r w:rsidRPr="009F0B6F">
        <w:rPr>
          <w:rFonts w:ascii="Arial" w:hAnsi="Arial" w:cs="Arial"/>
          <w:bCs/>
          <w:color w:val="000000"/>
          <w:sz w:val="24"/>
          <w:szCs w:val="24"/>
          <w:shd w:val="clear" w:color="auto" w:fill="FFFFFF"/>
          <w:lang w:val="en-US"/>
        </w:rPr>
        <w:t>Windhoek</w:t>
      </w:r>
    </w:p>
    <w:sectPr w:rsidR="009F0B6F" w:rsidRPr="009F0B6F" w:rsidSect="00F82E2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6CC" w:rsidRDefault="005676CC" w:rsidP="00505D1F">
      <w:pPr>
        <w:spacing w:after="0" w:line="240" w:lineRule="auto"/>
      </w:pPr>
      <w:r>
        <w:separator/>
      </w:r>
    </w:p>
  </w:endnote>
  <w:endnote w:type="continuationSeparator" w:id="0">
    <w:p w:rsidR="005676CC" w:rsidRDefault="005676CC" w:rsidP="005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6CC" w:rsidRDefault="005676CC" w:rsidP="00505D1F">
      <w:pPr>
        <w:spacing w:after="0" w:line="240" w:lineRule="auto"/>
      </w:pPr>
      <w:r>
        <w:separator/>
      </w:r>
    </w:p>
  </w:footnote>
  <w:footnote w:type="continuationSeparator" w:id="0">
    <w:p w:rsidR="005676CC" w:rsidRDefault="005676CC" w:rsidP="00505D1F">
      <w:pPr>
        <w:spacing w:after="0" w:line="240" w:lineRule="auto"/>
      </w:pPr>
      <w:r>
        <w:continuationSeparator/>
      </w:r>
    </w:p>
  </w:footnote>
  <w:footnote w:id="1">
    <w:p w:rsidR="00BF00B7" w:rsidRPr="006B7106" w:rsidRDefault="00BF00B7" w:rsidP="006B7106">
      <w:pPr>
        <w:pStyle w:val="FootnoteText"/>
        <w:jc w:val="both"/>
        <w:rPr>
          <w:rFonts w:ascii="Arial" w:hAnsi="Arial" w:cs="Arial"/>
          <w:lang w:val="af-ZA"/>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af-ZA"/>
        </w:rPr>
        <w:t>The parties will be referred to as they are in the main action.</w:t>
      </w:r>
    </w:p>
  </w:footnote>
  <w:footnote w:id="2">
    <w:p w:rsidR="00BF00B7" w:rsidRPr="006B7106" w:rsidRDefault="00BF00B7" w:rsidP="006B7106">
      <w:pPr>
        <w:pStyle w:val="FootnoteText"/>
        <w:jc w:val="both"/>
        <w:rPr>
          <w:rFonts w:ascii="Arial" w:hAnsi="Arial" w:cs="Arial"/>
          <w:lang w:val="af-ZA"/>
        </w:rPr>
      </w:pPr>
      <w:r w:rsidRPr="006B7106">
        <w:rPr>
          <w:rStyle w:val="FootnoteReference"/>
          <w:rFonts w:ascii="Arial" w:hAnsi="Arial" w:cs="Arial"/>
        </w:rPr>
        <w:footnoteRef/>
      </w:r>
      <w:r w:rsidRPr="006B7106">
        <w:rPr>
          <w:rFonts w:ascii="Arial" w:hAnsi="Arial" w:cs="Arial"/>
        </w:rPr>
        <w:t xml:space="preserve"> </w:t>
      </w:r>
      <w:r w:rsidR="000843EC" w:rsidRPr="006B7106">
        <w:rPr>
          <w:rFonts w:ascii="Arial" w:hAnsi="Arial" w:cs="Arial"/>
          <w:i/>
          <w:lang w:val="en-US"/>
        </w:rPr>
        <w:t xml:space="preserve">Telecom Namibia Limited v Communications Regulatory Authority of Namibia </w:t>
      </w:r>
      <w:r w:rsidR="000843EC" w:rsidRPr="006B7106">
        <w:rPr>
          <w:rFonts w:ascii="Arial" w:hAnsi="Arial" w:cs="Arial"/>
          <w:lang w:val="en-US"/>
        </w:rPr>
        <w:t>(A 448/2013) [2016] NAHCMD 292 (29 September 2016)</w:t>
      </w:r>
      <w:r w:rsidRPr="006B7106">
        <w:rPr>
          <w:rFonts w:ascii="Arial" w:hAnsi="Arial" w:cs="Arial"/>
        </w:rPr>
        <w:t>.</w:t>
      </w:r>
    </w:p>
  </w:footnote>
  <w:footnote w:id="3">
    <w:p w:rsidR="006B7106" w:rsidRPr="006B7106" w:rsidRDefault="006B7106"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af-ZA"/>
        </w:rPr>
        <w:t>8 of 2009.</w:t>
      </w:r>
    </w:p>
  </w:footnote>
  <w:footnote w:id="4">
    <w:p w:rsidR="00BF00B7" w:rsidRPr="006B7106" w:rsidRDefault="00BF00B7" w:rsidP="006B7106">
      <w:pPr>
        <w:pStyle w:val="FootnoteText"/>
        <w:jc w:val="both"/>
        <w:rPr>
          <w:rFonts w:ascii="Arial" w:hAnsi="Arial" w:cs="Arial"/>
        </w:rPr>
      </w:pPr>
      <w:r w:rsidRPr="006B7106">
        <w:rPr>
          <w:rStyle w:val="FootnoteReference"/>
          <w:rFonts w:ascii="Arial" w:hAnsi="Arial" w:cs="Arial"/>
        </w:rPr>
        <w:footnoteRef/>
      </w:r>
      <w:r w:rsidRPr="006B7106">
        <w:rPr>
          <w:rFonts w:ascii="Arial" w:hAnsi="Arial" w:cs="Arial"/>
        </w:rPr>
        <w:t xml:space="preserve"> </w:t>
      </w:r>
      <w:r w:rsidR="000843EC" w:rsidRPr="006B7106">
        <w:rPr>
          <w:rFonts w:ascii="Arial" w:hAnsi="Arial" w:cs="Arial"/>
        </w:rPr>
        <w:t>Ibid.</w:t>
      </w:r>
      <w:r w:rsidR="000843EC" w:rsidRPr="006B7106">
        <w:rPr>
          <w:rFonts w:ascii="Arial" w:hAnsi="Arial" w:cs="Arial"/>
          <w:i/>
        </w:rPr>
        <w:t xml:space="preserve"> </w:t>
      </w:r>
    </w:p>
  </w:footnote>
  <w:footnote w:id="5">
    <w:p w:rsidR="00BF00B7" w:rsidRPr="006B7106" w:rsidRDefault="00BF00B7" w:rsidP="006B7106">
      <w:pPr>
        <w:pStyle w:val="FootnoteText"/>
        <w:jc w:val="both"/>
        <w:rPr>
          <w:rFonts w:ascii="Arial" w:hAnsi="Arial" w:cs="Arial"/>
          <w:lang w:val="af-ZA"/>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i/>
        </w:rPr>
        <w:t>Communications Regulatory Authority of Namibia v Telecom Namibia Ltd and Another</w:t>
      </w:r>
      <w:r w:rsidRPr="006B7106">
        <w:rPr>
          <w:rFonts w:ascii="Arial" w:hAnsi="Arial" w:cs="Arial"/>
        </w:rPr>
        <w:t xml:space="preserve"> 2018 (3) NR 663 (SC).</w:t>
      </w:r>
    </w:p>
  </w:footnote>
  <w:footnote w:id="6">
    <w:p w:rsidR="00BF00B7" w:rsidRPr="006B7106" w:rsidRDefault="00BF00B7" w:rsidP="006B7106">
      <w:pPr>
        <w:pStyle w:val="FootnoteText"/>
        <w:jc w:val="both"/>
        <w:rPr>
          <w:rFonts w:ascii="Arial" w:hAnsi="Arial" w:cs="Arial"/>
          <w:lang w:val="af-ZA"/>
        </w:rPr>
      </w:pPr>
      <w:r w:rsidRPr="006B7106">
        <w:rPr>
          <w:rStyle w:val="FootnoteReference"/>
          <w:rFonts w:ascii="Arial" w:hAnsi="Arial" w:cs="Arial"/>
        </w:rPr>
        <w:footnoteRef/>
      </w:r>
      <w:r w:rsidRPr="006B7106">
        <w:rPr>
          <w:rFonts w:ascii="Arial" w:hAnsi="Arial" w:cs="Arial"/>
        </w:rPr>
        <w:t xml:space="preserve"> Supra para 113.</w:t>
      </w:r>
    </w:p>
  </w:footnote>
  <w:footnote w:id="7">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002F434E" w:rsidRPr="002F434E">
        <w:rPr>
          <w:rFonts w:ascii="Arial" w:hAnsi="Arial" w:cs="Arial"/>
          <w:i/>
        </w:rPr>
        <w:t>Communications Regulatory Authority of Namibia vs Mobile Telecommunications Namibia</w:t>
      </w:r>
      <w:r w:rsidR="002F434E">
        <w:rPr>
          <w:rFonts w:ascii="Arial" w:hAnsi="Arial" w:cs="Arial"/>
        </w:rPr>
        <w:t xml:space="preserve"> (</w:t>
      </w:r>
      <w:r w:rsidRPr="006B7106">
        <w:rPr>
          <w:rFonts w:ascii="Arial" w:hAnsi="Arial" w:cs="Arial"/>
          <w:lang w:val="af-ZA"/>
        </w:rPr>
        <w:t>HC-MD-CIV-ACT-OTH-2019/01367</w:t>
      </w:r>
      <w:r w:rsidR="002F434E">
        <w:rPr>
          <w:rFonts w:ascii="Arial" w:hAnsi="Arial" w:cs="Arial"/>
          <w:lang w:val="af-ZA"/>
        </w:rPr>
        <w:t>)</w:t>
      </w:r>
      <w:r w:rsidRPr="006B7106">
        <w:rPr>
          <w:rFonts w:ascii="Arial" w:hAnsi="Arial" w:cs="Arial"/>
          <w:lang w:val="af-ZA"/>
        </w:rPr>
        <w:t>. The same issue regarding the interpretation of the Supreme Court’s order arose between the plaintiff and MTC.</w:t>
      </w:r>
    </w:p>
  </w:footnote>
  <w:footnote w:id="8">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i/>
          <w:lang w:val="en-US"/>
        </w:rPr>
        <w:t xml:space="preserve">Communications Regulatory Authority of Namibia v Telecom Namibia Ltd </w:t>
      </w:r>
      <w:r w:rsidRPr="006B7106">
        <w:rPr>
          <w:rFonts w:ascii="Arial" w:hAnsi="Arial" w:cs="Arial"/>
          <w:lang w:val="en-US"/>
        </w:rPr>
        <w:t>(HC-MD-CIV-ACT-OTH-2019/01370) [2020] NAHCMD 238 (16 June 2020).</w:t>
      </w:r>
    </w:p>
  </w:footnote>
  <w:footnote w:id="9">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2008 (2) NR 489 (SC) para 61.</w:t>
      </w:r>
    </w:p>
  </w:footnote>
  <w:footnote w:id="10">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2014 (2) NR 385 (SC).</w:t>
      </w:r>
    </w:p>
  </w:footnote>
  <w:footnote w:id="11">
    <w:p w:rsidR="00BF00B7" w:rsidRPr="006B7106" w:rsidRDefault="00BF00B7" w:rsidP="006B7106">
      <w:pPr>
        <w:pStyle w:val="FootnoteText"/>
        <w:jc w:val="both"/>
        <w:rPr>
          <w:rFonts w:ascii="Arial" w:hAnsi="Arial" w:cs="Arial"/>
          <w:lang w:val="en-GB"/>
        </w:rPr>
      </w:pPr>
      <w:r w:rsidRPr="006B7106">
        <w:rPr>
          <w:rStyle w:val="FootnoteReference"/>
          <w:rFonts w:ascii="Arial" w:hAnsi="Arial" w:cs="Arial"/>
        </w:rPr>
        <w:footnoteRef/>
      </w:r>
      <w:r w:rsidRPr="006B7106">
        <w:rPr>
          <w:rFonts w:ascii="Arial" w:hAnsi="Arial" w:cs="Arial"/>
        </w:rPr>
        <w:t xml:space="preserve"> (A199/09) [2010] NAHC 85 (08 September 2010).</w:t>
      </w:r>
    </w:p>
  </w:footnote>
  <w:footnote w:id="12">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en-US"/>
        </w:rPr>
        <w:t xml:space="preserve">Established in </w:t>
      </w:r>
      <w:r w:rsidRPr="006B7106">
        <w:rPr>
          <w:rFonts w:ascii="Arial" w:hAnsi="Arial" w:cs="Arial"/>
          <w:i/>
          <w:iCs/>
          <w:lang w:val="en-US"/>
        </w:rPr>
        <w:t xml:space="preserve">Firestone South Africa (Pty) Ltd v Gentiruco AG1977 (4) SA 298 (A) </w:t>
      </w:r>
      <w:r w:rsidRPr="006B7106">
        <w:rPr>
          <w:rFonts w:ascii="Arial" w:hAnsi="Arial" w:cs="Arial"/>
          <w:iCs/>
          <w:lang w:val="en-US"/>
        </w:rPr>
        <w:t xml:space="preserve">and confirmed in the </w:t>
      </w:r>
      <w:r w:rsidRPr="006B7106">
        <w:rPr>
          <w:rFonts w:ascii="Arial" w:hAnsi="Arial" w:cs="Arial"/>
          <w:i/>
          <w:iCs/>
          <w:lang w:val="en-US"/>
        </w:rPr>
        <w:t>Handl</w:t>
      </w:r>
      <w:r w:rsidRPr="006B7106">
        <w:rPr>
          <w:rFonts w:ascii="Arial" w:hAnsi="Arial" w:cs="Arial"/>
          <w:iCs/>
          <w:lang w:val="en-US"/>
        </w:rPr>
        <w:t xml:space="preserve"> matter</w:t>
      </w:r>
      <w:r w:rsidR="006A3682">
        <w:rPr>
          <w:rFonts w:ascii="Arial" w:hAnsi="Arial" w:cs="Arial"/>
          <w:iCs/>
          <w:lang w:val="en-US"/>
        </w:rPr>
        <w:t>.</w:t>
      </w:r>
    </w:p>
  </w:footnote>
  <w:footnote w:id="13">
    <w:p w:rsidR="00BF00B7" w:rsidRPr="006B7106" w:rsidRDefault="00BF00B7" w:rsidP="006B7106">
      <w:pPr>
        <w:pStyle w:val="FootnoteText"/>
        <w:jc w:val="both"/>
        <w:rPr>
          <w:rFonts w:ascii="Arial" w:hAnsi="Arial" w:cs="Arial"/>
          <w:lang w:val="en-GB"/>
        </w:rPr>
      </w:pPr>
      <w:r w:rsidRPr="006B7106">
        <w:rPr>
          <w:rStyle w:val="FootnoteReference"/>
          <w:rFonts w:ascii="Arial" w:hAnsi="Arial" w:cs="Arial"/>
        </w:rPr>
        <w:footnoteRef/>
      </w:r>
      <w:r w:rsidRPr="006B7106">
        <w:rPr>
          <w:rFonts w:ascii="Arial" w:hAnsi="Arial" w:cs="Arial"/>
        </w:rPr>
        <w:t xml:space="preserve"> (105/2000) [2001] ZASCA 114; [2002] 1 All SA 99 (A); [2002] 2 All SA 241 (A) (28 September 2001)</w:t>
      </w:r>
      <w:r w:rsidRPr="006B7106">
        <w:rPr>
          <w:rFonts w:ascii="Arial" w:hAnsi="Arial" w:cs="Arial"/>
          <w:lang w:val="en-US"/>
        </w:rPr>
        <w:t>.</w:t>
      </w:r>
    </w:p>
  </w:footnote>
  <w:footnote w:id="14">
    <w:p w:rsidR="00BF00B7" w:rsidRPr="006B7106" w:rsidRDefault="00BF00B7" w:rsidP="006B7106">
      <w:pPr>
        <w:pStyle w:val="FootnoteText"/>
        <w:jc w:val="both"/>
        <w:rPr>
          <w:rFonts w:ascii="Arial" w:hAnsi="Arial" w:cs="Arial"/>
          <w:i/>
          <w:u w:val="single"/>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en-US"/>
        </w:rPr>
        <w:t>The words “</w:t>
      </w:r>
      <w:r w:rsidRPr="006B7106">
        <w:rPr>
          <w:rFonts w:ascii="Arial" w:hAnsi="Arial" w:cs="Arial"/>
          <w:i/>
          <w:u w:val="single"/>
          <w:lang w:val="en-US"/>
        </w:rPr>
        <w:t xml:space="preserve">up to the point that its </w:t>
      </w:r>
      <w:r w:rsidR="00CB3F50">
        <w:rPr>
          <w:rFonts w:ascii="Arial" w:hAnsi="Arial" w:cs="Arial"/>
          <w:i/>
          <w:u w:val="single"/>
          <w:lang w:val="en-US"/>
        </w:rPr>
        <w:t>invalidity</w:t>
      </w:r>
      <w:r w:rsidRPr="006B7106">
        <w:rPr>
          <w:rFonts w:ascii="Arial" w:hAnsi="Arial" w:cs="Arial"/>
          <w:i/>
          <w:u w:val="single"/>
          <w:lang w:val="en-US"/>
        </w:rPr>
        <w:t xml:space="preserve"> has been confirmed by this court</w:t>
      </w:r>
      <w:r w:rsidRPr="006B7106">
        <w:rPr>
          <w:rFonts w:ascii="Arial" w:hAnsi="Arial" w:cs="Arial"/>
          <w:i/>
          <w:lang w:val="en-US"/>
        </w:rPr>
        <w:t xml:space="preserve">” </w:t>
      </w:r>
      <w:r w:rsidRPr="006B7106">
        <w:rPr>
          <w:rFonts w:ascii="Arial" w:hAnsi="Arial" w:cs="Arial"/>
          <w:lang w:val="en-US"/>
        </w:rPr>
        <w:t>are deliberate, direct and unmistakable.</w:t>
      </w:r>
      <w:r w:rsidRPr="006B7106">
        <w:rPr>
          <w:rFonts w:ascii="Arial" w:hAnsi="Arial" w:cs="Arial"/>
          <w:i/>
          <w:u w:val="single"/>
          <w:lang w:val="en-US"/>
        </w:rPr>
        <w:t xml:space="preserve"> </w:t>
      </w:r>
    </w:p>
  </w:footnote>
  <w:footnote w:id="15">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The interpretation of the judgment by the Defendant would render the choice and use of the words by the Supreme Court under para. 106 “</w:t>
      </w:r>
      <w:r w:rsidRPr="006B7106">
        <w:rPr>
          <w:rFonts w:ascii="Arial" w:hAnsi="Arial" w:cs="Arial"/>
          <w:b/>
          <w:i/>
          <w:u w:val="single"/>
        </w:rPr>
        <w:t>confirmed</w:t>
      </w:r>
      <w:r w:rsidRPr="006B7106">
        <w:rPr>
          <w:rFonts w:ascii="Arial" w:hAnsi="Arial" w:cs="Arial"/>
        </w:rPr>
        <w:t>” and “</w:t>
      </w:r>
      <w:r w:rsidRPr="006B7106">
        <w:rPr>
          <w:rFonts w:ascii="Arial" w:hAnsi="Arial" w:cs="Arial"/>
          <w:b/>
          <w:i/>
          <w:u w:val="single"/>
        </w:rPr>
        <w:t>by this court</w:t>
      </w:r>
      <w:r w:rsidR="00AA18F4">
        <w:rPr>
          <w:rFonts w:ascii="Arial" w:hAnsi="Arial" w:cs="Arial"/>
        </w:rPr>
        <w:t>” redundant and superfluous.</w:t>
      </w:r>
    </w:p>
  </w:footnote>
  <w:footnote w:id="16">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en-US"/>
        </w:rPr>
        <w:t>The phrase used by Court “</w:t>
      </w:r>
      <w:r w:rsidRPr="006B7106">
        <w:rPr>
          <w:rFonts w:ascii="Arial" w:hAnsi="Arial" w:cs="Arial"/>
          <w:b/>
          <w:i/>
          <w:u w:val="single"/>
          <w:lang w:val="en-US"/>
        </w:rPr>
        <w:t>after this judgment</w:t>
      </w:r>
      <w:r w:rsidRPr="006B7106">
        <w:rPr>
          <w:rFonts w:ascii="Arial" w:hAnsi="Arial" w:cs="Arial"/>
          <w:lang w:val="en-US"/>
        </w:rPr>
        <w:t xml:space="preserve">” is not open to ambiguity. It is a pertinent reference to the Supreme Court’s judgment. </w:t>
      </w:r>
    </w:p>
  </w:footnote>
  <w:footnote w:id="17">
    <w:p w:rsidR="00BF00B7" w:rsidRPr="006B7106" w:rsidRDefault="00BF00B7" w:rsidP="006B7106">
      <w:pPr>
        <w:pStyle w:val="FootnoteText"/>
        <w:jc w:val="both"/>
        <w:rPr>
          <w:rFonts w:ascii="Arial" w:hAnsi="Arial" w:cs="Arial"/>
          <w:lang w:val="en-US"/>
        </w:rPr>
      </w:pPr>
      <w:r w:rsidRPr="006B7106">
        <w:rPr>
          <w:rStyle w:val="FootnoteReference"/>
          <w:rFonts w:ascii="Arial" w:hAnsi="Arial" w:cs="Arial"/>
        </w:rPr>
        <w:footnoteRef/>
      </w:r>
      <w:r w:rsidRPr="006B7106">
        <w:rPr>
          <w:rFonts w:ascii="Arial" w:hAnsi="Arial" w:cs="Arial"/>
        </w:rPr>
        <w:t xml:space="preserve"> </w:t>
      </w:r>
      <w:r w:rsidRPr="006B7106">
        <w:rPr>
          <w:rFonts w:ascii="Arial" w:hAnsi="Arial" w:cs="Arial"/>
          <w:lang w:val="en-US"/>
        </w:rPr>
        <w:t>(SA 19/2014) [2016] NASC 10 (08 June 2016).</w:t>
      </w:r>
    </w:p>
  </w:footnote>
  <w:footnote w:id="18">
    <w:p w:rsidR="008F6064" w:rsidRPr="009F0B6F" w:rsidRDefault="008F6064">
      <w:pPr>
        <w:pStyle w:val="FootnoteText"/>
        <w:rPr>
          <w:rFonts w:ascii="Arial" w:hAnsi="Arial" w:cs="Arial"/>
          <w:lang w:val="en-US"/>
        </w:rPr>
      </w:pPr>
      <w:r>
        <w:rPr>
          <w:rStyle w:val="FootnoteReference"/>
        </w:rPr>
        <w:footnoteRef/>
      </w:r>
      <w:r>
        <w:t xml:space="preserve"> </w:t>
      </w:r>
      <w:r w:rsidR="0004798B" w:rsidRPr="009F0B6F">
        <w:rPr>
          <w:rFonts w:ascii="Arial" w:hAnsi="Arial" w:cs="Arial"/>
          <w:i/>
          <w:lang w:val="en-GB"/>
        </w:rPr>
        <w:t>Cambridge Advanced Learner’s Dictionary</w:t>
      </w:r>
      <w:r w:rsidR="0004798B" w:rsidRPr="009F0B6F">
        <w:rPr>
          <w:rFonts w:ascii="Arial" w:hAnsi="Arial" w:cs="Arial"/>
          <w:lang w:val="en-GB"/>
        </w:rPr>
        <w:t xml:space="preserve"> 4</w:t>
      </w:r>
      <w:r w:rsidR="0004798B" w:rsidRPr="009F0B6F">
        <w:rPr>
          <w:rFonts w:ascii="Arial" w:hAnsi="Arial" w:cs="Arial"/>
          <w:vertAlign w:val="superscript"/>
          <w:lang w:val="en-GB"/>
        </w:rPr>
        <w:t>th</w:t>
      </w:r>
      <w:r w:rsidR="0004798B" w:rsidRPr="009F0B6F">
        <w:rPr>
          <w:rFonts w:ascii="Arial" w:hAnsi="Arial" w:cs="Arial"/>
          <w:lang w:val="en-GB"/>
        </w:rPr>
        <w:t xml:space="preserve"> ed 2013 Cambridge University Press.</w:t>
      </w:r>
    </w:p>
  </w:footnote>
  <w:footnote w:id="19">
    <w:p w:rsidR="00805C58" w:rsidRPr="009F0B6F" w:rsidRDefault="00805C58">
      <w:pPr>
        <w:pStyle w:val="FootnoteText"/>
        <w:rPr>
          <w:rFonts w:ascii="Arial" w:hAnsi="Arial" w:cs="Arial"/>
          <w:lang w:val="en-US"/>
        </w:rPr>
      </w:pPr>
      <w:r w:rsidRPr="009F0B6F">
        <w:rPr>
          <w:rStyle w:val="FootnoteReference"/>
          <w:rFonts w:ascii="Arial" w:hAnsi="Arial" w:cs="Arial"/>
        </w:rPr>
        <w:footnoteRef/>
      </w:r>
      <w:r w:rsidRPr="009F0B6F">
        <w:rPr>
          <w:rFonts w:ascii="Arial" w:hAnsi="Arial" w:cs="Arial"/>
        </w:rPr>
        <w:t xml:space="preserve"> </w:t>
      </w:r>
      <w:r w:rsidR="00AE40D3" w:rsidRPr="009F0B6F">
        <w:rPr>
          <w:rFonts w:ascii="Arial" w:hAnsi="Arial" w:cs="Arial"/>
        </w:rPr>
        <w:t>1990 (1) SA 705 (A) at 715 F-I</w:t>
      </w:r>
      <w:r w:rsidRPr="009F0B6F">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39641632"/>
      <w:docPartObj>
        <w:docPartGallery w:val="Page Numbers (Top of Page)"/>
        <w:docPartUnique/>
      </w:docPartObj>
    </w:sdtPr>
    <w:sdtEndPr>
      <w:rPr>
        <w:noProof/>
      </w:rPr>
    </w:sdtEndPr>
    <w:sdtContent>
      <w:p w:rsidR="00BF00B7" w:rsidRPr="00620EAF" w:rsidRDefault="00BF00B7">
        <w:pPr>
          <w:pStyle w:val="Header"/>
          <w:jc w:val="right"/>
          <w:rPr>
            <w:rFonts w:ascii="Arial" w:hAnsi="Arial" w:cs="Arial"/>
            <w:sz w:val="24"/>
            <w:szCs w:val="24"/>
          </w:rPr>
        </w:pPr>
        <w:r w:rsidRPr="00620EAF">
          <w:rPr>
            <w:rFonts w:ascii="Arial" w:hAnsi="Arial" w:cs="Arial"/>
            <w:sz w:val="24"/>
            <w:szCs w:val="24"/>
          </w:rPr>
          <w:fldChar w:fldCharType="begin"/>
        </w:r>
        <w:r w:rsidRPr="00620EAF">
          <w:rPr>
            <w:rFonts w:ascii="Arial" w:hAnsi="Arial" w:cs="Arial"/>
            <w:sz w:val="24"/>
            <w:szCs w:val="24"/>
          </w:rPr>
          <w:instrText xml:space="preserve"> PAGE   \* MERGEFORMAT </w:instrText>
        </w:r>
        <w:r w:rsidRPr="00620EAF">
          <w:rPr>
            <w:rFonts w:ascii="Arial" w:hAnsi="Arial" w:cs="Arial"/>
            <w:sz w:val="24"/>
            <w:szCs w:val="24"/>
          </w:rPr>
          <w:fldChar w:fldCharType="separate"/>
        </w:r>
        <w:r w:rsidR="00B83351">
          <w:rPr>
            <w:rFonts w:ascii="Arial" w:hAnsi="Arial" w:cs="Arial"/>
            <w:noProof/>
            <w:sz w:val="24"/>
            <w:szCs w:val="24"/>
          </w:rPr>
          <w:t>2</w:t>
        </w:r>
        <w:r w:rsidRPr="00620EAF">
          <w:rPr>
            <w:rFonts w:ascii="Arial" w:hAnsi="Arial" w:cs="Arial"/>
            <w:noProof/>
            <w:sz w:val="24"/>
            <w:szCs w:val="24"/>
          </w:rPr>
          <w:fldChar w:fldCharType="end"/>
        </w:r>
      </w:p>
    </w:sdtContent>
  </w:sdt>
  <w:p w:rsidR="00BF00B7" w:rsidRPr="00620EAF" w:rsidRDefault="00BF00B7">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EF"/>
    <w:multiLevelType w:val="hybridMultilevel"/>
    <w:tmpl w:val="F95E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7BAE"/>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5162"/>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E20A3"/>
    <w:multiLevelType w:val="hybridMultilevel"/>
    <w:tmpl w:val="D26E81BA"/>
    <w:lvl w:ilvl="0" w:tplc="04090017">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12395118"/>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7" w15:restartNumberingAfterBreak="0">
    <w:nsid w:val="1D557364"/>
    <w:multiLevelType w:val="hybridMultilevel"/>
    <w:tmpl w:val="E1F2A194"/>
    <w:lvl w:ilvl="0" w:tplc="FF68CB90">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1DF74224"/>
    <w:multiLevelType w:val="hybridMultilevel"/>
    <w:tmpl w:val="377E350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C594A"/>
    <w:multiLevelType w:val="hybridMultilevel"/>
    <w:tmpl w:val="4CD8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C333A"/>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2668F"/>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A8A"/>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04B15"/>
    <w:multiLevelType w:val="hybridMultilevel"/>
    <w:tmpl w:val="E0FA8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D22B6"/>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3695272F"/>
    <w:multiLevelType w:val="hybridMultilevel"/>
    <w:tmpl w:val="F95E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967"/>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029E0"/>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26D39"/>
    <w:multiLevelType w:val="hybridMultilevel"/>
    <w:tmpl w:val="46186AC2"/>
    <w:lvl w:ilvl="0" w:tplc="61789F9A">
      <w:start w:val="1"/>
      <w:numFmt w:val="lowerLetter"/>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15:restartNumberingAfterBreak="0">
    <w:nsid w:val="45370476"/>
    <w:multiLevelType w:val="hybridMultilevel"/>
    <w:tmpl w:val="5F6AC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B275AD"/>
    <w:multiLevelType w:val="hybridMultilevel"/>
    <w:tmpl w:val="5D945384"/>
    <w:lvl w:ilvl="0" w:tplc="8C5404E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B3ABF"/>
    <w:multiLevelType w:val="hybridMultilevel"/>
    <w:tmpl w:val="F2925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D2DB9"/>
    <w:multiLevelType w:val="hybridMultilevel"/>
    <w:tmpl w:val="992A549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1581B"/>
    <w:multiLevelType w:val="hybridMultilevel"/>
    <w:tmpl w:val="3F7CD632"/>
    <w:lvl w:ilvl="0" w:tplc="DCAC5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50D3B"/>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905FD"/>
    <w:multiLevelType w:val="hybridMultilevel"/>
    <w:tmpl w:val="18385BE6"/>
    <w:lvl w:ilvl="0" w:tplc="D6D06584">
      <w:start w:val="1"/>
      <w:numFmt w:val="decimal"/>
      <w:lvlText w:val="%1."/>
      <w:lvlJc w:val="left"/>
      <w:pPr>
        <w:ind w:left="900" w:hanging="360"/>
      </w:pPr>
      <w:rPr>
        <w:rFonts w:hint="default"/>
        <w:i w:val="0"/>
        <w:u w:val="none"/>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9D1875"/>
    <w:multiLevelType w:val="hybridMultilevel"/>
    <w:tmpl w:val="5DE0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E7D2A"/>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54B4E"/>
    <w:multiLevelType w:val="hybridMultilevel"/>
    <w:tmpl w:val="A11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9"/>
  </w:num>
  <w:num w:numId="4">
    <w:abstractNumId w:val="7"/>
  </w:num>
  <w:num w:numId="5">
    <w:abstractNumId w:val="27"/>
  </w:num>
  <w:num w:numId="6">
    <w:abstractNumId w:val="3"/>
  </w:num>
  <w:num w:numId="7">
    <w:abstractNumId w:val="5"/>
  </w:num>
  <w:num w:numId="8">
    <w:abstractNumId w:val="2"/>
  </w:num>
  <w:num w:numId="9">
    <w:abstractNumId w:val="15"/>
  </w:num>
  <w:num w:numId="10">
    <w:abstractNumId w:val="28"/>
  </w:num>
  <w:num w:numId="11">
    <w:abstractNumId w:val="8"/>
  </w:num>
  <w:num w:numId="12">
    <w:abstractNumId w:val="24"/>
  </w:num>
  <w:num w:numId="13">
    <w:abstractNumId w:val="23"/>
  </w:num>
  <w:num w:numId="14">
    <w:abstractNumId w:val="18"/>
  </w:num>
  <w:num w:numId="15">
    <w:abstractNumId w:val="4"/>
  </w:num>
  <w:num w:numId="16">
    <w:abstractNumId w:val="9"/>
  </w:num>
  <w:num w:numId="17">
    <w:abstractNumId w:val="0"/>
  </w:num>
  <w:num w:numId="18">
    <w:abstractNumId w:val="25"/>
  </w:num>
  <w:num w:numId="19">
    <w:abstractNumId w:val="30"/>
  </w:num>
  <w:num w:numId="20">
    <w:abstractNumId w:val="10"/>
  </w:num>
  <w:num w:numId="21">
    <w:abstractNumId w:val="13"/>
  </w:num>
  <w:num w:numId="22">
    <w:abstractNumId w:val="14"/>
  </w:num>
  <w:num w:numId="23">
    <w:abstractNumId w:val="22"/>
  </w:num>
  <w:num w:numId="24">
    <w:abstractNumId w:val="29"/>
  </w:num>
  <w:num w:numId="25">
    <w:abstractNumId w:val="16"/>
  </w:num>
  <w:num w:numId="26">
    <w:abstractNumId w:val="21"/>
  </w:num>
  <w:num w:numId="27">
    <w:abstractNumId w:val="20"/>
  </w:num>
  <w:num w:numId="28">
    <w:abstractNumId w:val="12"/>
  </w:num>
  <w:num w:numId="29">
    <w:abstractNumId w:val="17"/>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1F"/>
    <w:rsid w:val="00011482"/>
    <w:rsid w:val="000125E4"/>
    <w:rsid w:val="000125F6"/>
    <w:rsid w:val="000216ED"/>
    <w:rsid w:val="00021D43"/>
    <w:rsid w:val="00023B37"/>
    <w:rsid w:val="00031013"/>
    <w:rsid w:val="00037C04"/>
    <w:rsid w:val="000402AA"/>
    <w:rsid w:val="00045A29"/>
    <w:rsid w:val="00045A49"/>
    <w:rsid w:val="0004798B"/>
    <w:rsid w:val="0005605A"/>
    <w:rsid w:val="00060B7C"/>
    <w:rsid w:val="00060D3C"/>
    <w:rsid w:val="000625F1"/>
    <w:rsid w:val="00062FD0"/>
    <w:rsid w:val="00071BC0"/>
    <w:rsid w:val="00073520"/>
    <w:rsid w:val="00080071"/>
    <w:rsid w:val="000818AD"/>
    <w:rsid w:val="000843EC"/>
    <w:rsid w:val="000845D5"/>
    <w:rsid w:val="00087CE4"/>
    <w:rsid w:val="000925D7"/>
    <w:rsid w:val="00092702"/>
    <w:rsid w:val="00094D91"/>
    <w:rsid w:val="00095055"/>
    <w:rsid w:val="00096064"/>
    <w:rsid w:val="000A0081"/>
    <w:rsid w:val="000A2250"/>
    <w:rsid w:val="000A7948"/>
    <w:rsid w:val="000B5049"/>
    <w:rsid w:val="000C0201"/>
    <w:rsid w:val="000C58D5"/>
    <w:rsid w:val="000C7A7F"/>
    <w:rsid w:val="000D4F5D"/>
    <w:rsid w:val="000D7FC9"/>
    <w:rsid w:val="000E3E80"/>
    <w:rsid w:val="000E4D45"/>
    <w:rsid w:val="000F4D9C"/>
    <w:rsid w:val="001002DF"/>
    <w:rsid w:val="00104653"/>
    <w:rsid w:val="00105520"/>
    <w:rsid w:val="00111853"/>
    <w:rsid w:val="00114809"/>
    <w:rsid w:val="0011661A"/>
    <w:rsid w:val="0012031A"/>
    <w:rsid w:val="00120982"/>
    <w:rsid w:val="00122407"/>
    <w:rsid w:val="00124CBE"/>
    <w:rsid w:val="00124DA2"/>
    <w:rsid w:val="00126488"/>
    <w:rsid w:val="00131F4A"/>
    <w:rsid w:val="00134326"/>
    <w:rsid w:val="0013443A"/>
    <w:rsid w:val="00136F16"/>
    <w:rsid w:val="001402D9"/>
    <w:rsid w:val="00142839"/>
    <w:rsid w:val="0014297D"/>
    <w:rsid w:val="0014399D"/>
    <w:rsid w:val="001474A8"/>
    <w:rsid w:val="00153148"/>
    <w:rsid w:val="00161BF3"/>
    <w:rsid w:val="00167247"/>
    <w:rsid w:val="001677FD"/>
    <w:rsid w:val="001710DE"/>
    <w:rsid w:val="00173C1D"/>
    <w:rsid w:val="00175BC0"/>
    <w:rsid w:val="00176677"/>
    <w:rsid w:val="0017688B"/>
    <w:rsid w:val="00181D28"/>
    <w:rsid w:val="001866BB"/>
    <w:rsid w:val="001A4E43"/>
    <w:rsid w:val="001A4E7D"/>
    <w:rsid w:val="001A5006"/>
    <w:rsid w:val="001A6853"/>
    <w:rsid w:val="001B5D76"/>
    <w:rsid w:val="001C2F71"/>
    <w:rsid w:val="001C3E49"/>
    <w:rsid w:val="001C60A8"/>
    <w:rsid w:val="001C626C"/>
    <w:rsid w:val="001D22C9"/>
    <w:rsid w:val="001D5C14"/>
    <w:rsid w:val="001E2D69"/>
    <w:rsid w:val="001E40D6"/>
    <w:rsid w:val="001E45B6"/>
    <w:rsid w:val="001F1ED3"/>
    <w:rsid w:val="001F3F2B"/>
    <w:rsid w:val="002008CB"/>
    <w:rsid w:val="00213207"/>
    <w:rsid w:val="0021572A"/>
    <w:rsid w:val="0021659E"/>
    <w:rsid w:val="002218DA"/>
    <w:rsid w:val="00223195"/>
    <w:rsid w:val="00224C06"/>
    <w:rsid w:val="0022635C"/>
    <w:rsid w:val="00231CBB"/>
    <w:rsid w:val="0024045D"/>
    <w:rsid w:val="00240FC7"/>
    <w:rsid w:val="00244BBC"/>
    <w:rsid w:val="002505F6"/>
    <w:rsid w:val="00263F22"/>
    <w:rsid w:val="0026478D"/>
    <w:rsid w:val="00273F89"/>
    <w:rsid w:val="00274883"/>
    <w:rsid w:val="0027643B"/>
    <w:rsid w:val="002935F6"/>
    <w:rsid w:val="002A5854"/>
    <w:rsid w:val="002A6FD1"/>
    <w:rsid w:val="002A7E26"/>
    <w:rsid w:val="002B06E5"/>
    <w:rsid w:val="002B30B1"/>
    <w:rsid w:val="002B4873"/>
    <w:rsid w:val="002B502E"/>
    <w:rsid w:val="002B7C7E"/>
    <w:rsid w:val="002B7E35"/>
    <w:rsid w:val="002D221B"/>
    <w:rsid w:val="002D308F"/>
    <w:rsid w:val="002E2501"/>
    <w:rsid w:val="002E30AB"/>
    <w:rsid w:val="002E6C70"/>
    <w:rsid w:val="002F0E36"/>
    <w:rsid w:val="002F2878"/>
    <w:rsid w:val="002F2A48"/>
    <w:rsid w:val="002F434E"/>
    <w:rsid w:val="00300207"/>
    <w:rsid w:val="0030157F"/>
    <w:rsid w:val="00301788"/>
    <w:rsid w:val="00305666"/>
    <w:rsid w:val="003057B5"/>
    <w:rsid w:val="0031053A"/>
    <w:rsid w:val="00312B4A"/>
    <w:rsid w:val="00313E0A"/>
    <w:rsid w:val="00322152"/>
    <w:rsid w:val="00325189"/>
    <w:rsid w:val="00325A55"/>
    <w:rsid w:val="003263B6"/>
    <w:rsid w:val="00330A80"/>
    <w:rsid w:val="00331C33"/>
    <w:rsid w:val="00332262"/>
    <w:rsid w:val="00332573"/>
    <w:rsid w:val="003360D8"/>
    <w:rsid w:val="0033715B"/>
    <w:rsid w:val="00340E74"/>
    <w:rsid w:val="00350A2B"/>
    <w:rsid w:val="00352690"/>
    <w:rsid w:val="00354701"/>
    <w:rsid w:val="00357BD1"/>
    <w:rsid w:val="00362023"/>
    <w:rsid w:val="00363E06"/>
    <w:rsid w:val="00365A6E"/>
    <w:rsid w:val="003704FE"/>
    <w:rsid w:val="0037294C"/>
    <w:rsid w:val="003736C3"/>
    <w:rsid w:val="00376F30"/>
    <w:rsid w:val="00380EC0"/>
    <w:rsid w:val="00381353"/>
    <w:rsid w:val="0038247E"/>
    <w:rsid w:val="003836D7"/>
    <w:rsid w:val="0039003E"/>
    <w:rsid w:val="003909EE"/>
    <w:rsid w:val="003922E1"/>
    <w:rsid w:val="00393F42"/>
    <w:rsid w:val="0039747D"/>
    <w:rsid w:val="003979AD"/>
    <w:rsid w:val="00397E9C"/>
    <w:rsid w:val="003A3B97"/>
    <w:rsid w:val="003B009D"/>
    <w:rsid w:val="003B01A8"/>
    <w:rsid w:val="003B25CA"/>
    <w:rsid w:val="003C099F"/>
    <w:rsid w:val="003C63E1"/>
    <w:rsid w:val="003D1980"/>
    <w:rsid w:val="003D44EC"/>
    <w:rsid w:val="003D7512"/>
    <w:rsid w:val="003E1741"/>
    <w:rsid w:val="003E2E10"/>
    <w:rsid w:val="003E5138"/>
    <w:rsid w:val="003E68A2"/>
    <w:rsid w:val="003F0E5C"/>
    <w:rsid w:val="004046A5"/>
    <w:rsid w:val="00406738"/>
    <w:rsid w:val="00406868"/>
    <w:rsid w:val="0041048D"/>
    <w:rsid w:val="004150AE"/>
    <w:rsid w:val="004165F0"/>
    <w:rsid w:val="00421E2A"/>
    <w:rsid w:val="004237C9"/>
    <w:rsid w:val="00423E2F"/>
    <w:rsid w:val="00426D5C"/>
    <w:rsid w:val="0043205D"/>
    <w:rsid w:val="00432A77"/>
    <w:rsid w:val="0043424A"/>
    <w:rsid w:val="00443B21"/>
    <w:rsid w:val="004464BF"/>
    <w:rsid w:val="00455B33"/>
    <w:rsid w:val="00456D28"/>
    <w:rsid w:val="00461EA4"/>
    <w:rsid w:val="0046319C"/>
    <w:rsid w:val="004632A1"/>
    <w:rsid w:val="00464AA4"/>
    <w:rsid w:val="004703E0"/>
    <w:rsid w:val="00476E6B"/>
    <w:rsid w:val="00477436"/>
    <w:rsid w:val="00484B4C"/>
    <w:rsid w:val="004868FD"/>
    <w:rsid w:val="00486C06"/>
    <w:rsid w:val="0048776D"/>
    <w:rsid w:val="00492671"/>
    <w:rsid w:val="004934D5"/>
    <w:rsid w:val="0049459F"/>
    <w:rsid w:val="0049585E"/>
    <w:rsid w:val="00495FA6"/>
    <w:rsid w:val="004A0279"/>
    <w:rsid w:val="004A39C8"/>
    <w:rsid w:val="004A4C69"/>
    <w:rsid w:val="004A6187"/>
    <w:rsid w:val="004A61FF"/>
    <w:rsid w:val="004B0551"/>
    <w:rsid w:val="004B36B1"/>
    <w:rsid w:val="004B732E"/>
    <w:rsid w:val="004B7AB7"/>
    <w:rsid w:val="004C09B8"/>
    <w:rsid w:val="004C1964"/>
    <w:rsid w:val="004C2576"/>
    <w:rsid w:val="004C3632"/>
    <w:rsid w:val="004C5E1C"/>
    <w:rsid w:val="004D44AE"/>
    <w:rsid w:val="004D76FB"/>
    <w:rsid w:val="004E32C5"/>
    <w:rsid w:val="004E70D1"/>
    <w:rsid w:val="004F4A2F"/>
    <w:rsid w:val="005009B9"/>
    <w:rsid w:val="00500F48"/>
    <w:rsid w:val="00501674"/>
    <w:rsid w:val="00505A3E"/>
    <w:rsid w:val="00505D1F"/>
    <w:rsid w:val="005069F1"/>
    <w:rsid w:val="00512714"/>
    <w:rsid w:val="00512EA2"/>
    <w:rsid w:val="0051508E"/>
    <w:rsid w:val="005150B4"/>
    <w:rsid w:val="00516209"/>
    <w:rsid w:val="005214A3"/>
    <w:rsid w:val="00523D18"/>
    <w:rsid w:val="00525480"/>
    <w:rsid w:val="00526831"/>
    <w:rsid w:val="00527CFD"/>
    <w:rsid w:val="005330DA"/>
    <w:rsid w:val="00536DB1"/>
    <w:rsid w:val="00540C10"/>
    <w:rsid w:val="0055288D"/>
    <w:rsid w:val="005548E3"/>
    <w:rsid w:val="0055565B"/>
    <w:rsid w:val="00556399"/>
    <w:rsid w:val="0056093A"/>
    <w:rsid w:val="0056295B"/>
    <w:rsid w:val="00563E57"/>
    <w:rsid w:val="00564500"/>
    <w:rsid w:val="00564B9E"/>
    <w:rsid w:val="005666E6"/>
    <w:rsid w:val="00566E0D"/>
    <w:rsid w:val="005676CC"/>
    <w:rsid w:val="005704D5"/>
    <w:rsid w:val="00571DD5"/>
    <w:rsid w:val="00572E4B"/>
    <w:rsid w:val="0057381D"/>
    <w:rsid w:val="00575B4A"/>
    <w:rsid w:val="00581902"/>
    <w:rsid w:val="00584342"/>
    <w:rsid w:val="00592302"/>
    <w:rsid w:val="00592AD8"/>
    <w:rsid w:val="00594ABE"/>
    <w:rsid w:val="005A0913"/>
    <w:rsid w:val="005A7609"/>
    <w:rsid w:val="005B0914"/>
    <w:rsid w:val="005B26A4"/>
    <w:rsid w:val="005B45DA"/>
    <w:rsid w:val="005B5F4B"/>
    <w:rsid w:val="005C1553"/>
    <w:rsid w:val="005C5A13"/>
    <w:rsid w:val="005D1484"/>
    <w:rsid w:val="005D5652"/>
    <w:rsid w:val="005E0F8E"/>
    <w:rsid w:val="005E4491"/>
    <w:rsid w:val="005E602F"/>
    <w:rsid w:val="005F7CD6"/>
    <w:rsid w:val="0060281A"/>
    <w:rsid w:val="00604F35"/>
    <w:rsid w:val="00607603"/>
    <w:rsid w:val="00610120"/>
    <w:rsid w:val="00612436"/>
    <w:rsid w:val="00614E50"/>
    <w:rsid w:val="00616DD6"/>
    <w:rsid w:val="00620EAF"/>
    <w:rsid w:val="006213D2"/>
    <w:rsid w:val="0062402A"/>
    <w:rsid w:val="00625390"/>
    <w:rsid w:val="00626269"/>
    <w:rsid w:val="00630762"/>
    <w:rsid w:val="00634AE8"/>
    <w:rsid w:val="00636B6B"/>
    <w:rsid w:val="00642EED"/>
    <w:rsid w:val="006444ED"/>
    <w:rsid w:val="006449DD"/>
    <w:rsid w:val="00646B58"/>
    <w:rsid w:val="00655A73"/>
    <w:rsid w:val="0065634F"/>
    <w:rsid w:val="00660C9C"/>
    <w:rsid w:val="00666BC7"/>
    <w:rsid w:val="0066766E"/>
    <w:rsid w:val="00667EC4"/>
    <w:rsid w:val="00671BFB"/>
    <w:rsid w:val="006721F3"/>
    <w:rsid w:val="006743B7"/>
    <w:rsid w:val="00676A74"/>
    <w:rsid w:val="00680515"/>
    <w:rsid w:val="00680A6A"/>
    <w:rsid w:val="00681B72"/>
    <w:rsid w:val="00697EF1"/>
    <w:rsid w:val="006A2A71"/>
    <w:rsid w:val="006A350E"/>
    <w:rsid w:val="006A3682"/>
    <w:rsid w:val="006A3F5A"/>
    <w:rsid w:val="006A57A6"/>
    <w:rsid w:val="006A65D8"/>
    <w:rsid w:val="006A6C33"/>
    <w:rsid w:val="006B1ADE"/>
    <w:rsid w:val="006B2585"/>
    <w:rsid w:val="006B3B62"/>
    <w:rsid w:val="006B4A38"/>
    <w:rsid w:val="006B4B9B"/>
    <w:rsid w:val="006B62DC"/>
    <w:rsid w:val="006B7106"/>
    <w:rsid w:val="006C1826"/>
    <w:rsid w:val="006C2398"/>
    <w:rsid w:val="006C46F9"/>
    <w:rsid w:val="006C5FD7"/>
    <w:rsid w:val="006C76A8"/>
    <w:rsid w:val="006D7702"/>
    <w:rsid w:val="006E1801"/>
    <w:rsid w:val="006E2E99"/>
    <w:rsid w:val="006E39A1"/>
    <w:rsid w:val="006E75BA"/>
    <w:rsid w:val="006F1260"/>
    <w:rsid w:val="006F3336"/>
    <w:rsid w:val="006F3519"/>
    <w:rsid w:val="006F4541"/>
    <w:rsid w:val="006F6FD9"/>
    <w:rsid w:val="00702B35"/>
    <w:rsid w:val="00702DF2"/>
    <w:rsid w:val="00705632"/>
    <w:rsid w:val="007059CC"/>
    <w:rsid w:val="007100CF"/>
    <w:rsid w:val="00711CE5"/>
    <w:rsid w:val="00713AFE"/>
    <w:rsid w:val="00716179"/>
    <w:rsid w:val="007175CD"/>
    <w:rsid w:val="007238EC"/>
    <w:rsid w:val="007258A1"/>
    <w:rsid w:val="00725CEA"/>
    <w:rsid w:val="00727BD1"/>
    <w:rsid w:val="00735102"/>
    <w:rsid w:val="0074085C"/>
    <w:rsid w:val="007426F8"/>
    <w:rsid w:val="00744D24"/>
    <w:rsid w:val="00745948"/>
    <w:rsid w:val="0074651C"/>
    <w:rsid w:val="00750B20"/>
    <w:rsid w:val="00753A56"/>
    <w:rsid w:val="00760FEF"/>
    <w:rsid w:val="00761060"/>
    <w:rsid w:val="00761188"/>
    <w:rsid w:val="00770ED8"/>
    <w:rsid w:val="00774A83"/>
    <w:rsid w:val="00775B18"/>
    <w:rsid w:val="00776EE3"/>
    <w:rsid w:val="00776FAD"/>
    <w:rsid w:val="007863A7"/>
    <w:rsid w:val="00790718"/>
    <w:rsid w:val="00796A0A"/>
    <w:rsid w:val="007A36C5"/>
    <w:rsid w:val="007A627B"/>
    <w:rsid w:val="007B1EA5"/>
    <w:rsid w:val="007B5340"/>
    <w:rsid w:val="007B58F1"/>
    <w:rsid w:val="007B61E5"/>
    <w:rsid w:val="007C4888"/>
    <w:rsid w:val="007C5663"/>
    <w:rsid w:val="007C5D88"/>
    <w:rsid w:val="007D357C"/>
    <w:rsid w:val="007D5F14"/>
    <w:rsid w:val="007E26DD"/>
    <w:rsid w:val="007E45F7"/>
    <w:rsid w:val="007E6F6C"/>
    <w:rsid w:val="007F1E3B"/>
    <w:rsid w:val="007F5049"/>
    <w:rsid w:val="00805C58"/>
    <w:rsid w:val="00806996"/>
    <w:rsid w:val="00806FE8"/>
    <w:rsid w:val="00810625"/>
    <w:rsid w:val="00813E2E"/>
    <w:rsid w:val="00816A85"/>
    <w:rsid w:val="0082491A"/>
    <w:rsid w:val="00825090"/>
    <w:rsid w:val="008272B7"/>
    <w:rsid w:val="00827600"/>
    <w:rsid w:val="008279E3"/>
    <w:rsid w:val="008325B3"/>
    <w:rsid w:val="00832719"/>
    <w:rsid w:val="008346F6"/>
    <w:rsid w:val="00840381"/>
    <w:rsid w:val="00843C76"/>
    <w:rsid w:val="00845F82"/>
    <w:rsid w:val="00846608"/>
    <w:rsid w:val="0085021C"/>
    <w:rsid w:val="00851D36"/>
    <w:rsid w:val="00857372"/>
    <w:rsid w:val="0086104F"/>
    <w:rsid w:val="00866CA2"/>
    <w:rsid w:val="00870048"/>
    <w:rsid w:val="00877378"/>
    <w:rsid w:val="0087757C"/>
    <w:rsid w:val="00884CC8"/>
    <w:rsid w:val="00885D13"/>
    <w:rsid w:val="0088799F"/>
    <w:rsid w:val="008901F4"/>
    <w:rsid w:val="008955C6"/>
    <w:rsid w:val="008963FC"/>
    <w:rsid w:val="008A10E2"/>
    <w:rsid w:val="008A18B9"/>
    <w:rsid w:val="008A3195"/>
    <w:rsid w:val="008A43DE"/>
    <w:rsid w:val="008A724C"/>
    <w:rsid w:val="008B0111"/>
    <w:rsid w:val="008B14BD"/>
    <w:rsid w:val="008B1FE8"/>
    <w:rsid w:val="008B79C7"/>
    <w:rsid w:val="008C1BD8"/>
    <w:rsid w:val="008C21D2"/>
    <w:rsid w:val="008C243F"/>
    <w:rsid w:val="008C4FF6"/>
    <w:rsid w:val="008C7D9B"/>
    <w:rsid w:val="008D01BC"/>
    <w:rsid w:val="008D34B3"/>
    <w:rsid w:val="008E3E99"/>
    <w:rsid w:val="008E7C1D"/>
    <w:rsid w:val="008F3E0A"/>
    <w:rsid w:val="008F6064"/>
    <w:rsid w:val="00902B08"/>
    <w:rsid w:val="00903B34"/>
    <w:rsid w:val="0091380B"/>
    <w:rsid w:val="00914BA6"/>
    <w:rsid w:val="00922218"/>
    <w:rsid w:val="00924D93"/>
    <w:rsid w:val="00932893"/>
    <w:rsid w:val="00933BA4"/>
    <w:rsid w:val="009352CD"/>
    <w:rsid w:val="00945A38"/>
    <w:rsid w:val="00945AF1"/>
    <w:rsid w:val="009557D3"/>
    <w:rsid w:val="0096048C"/>
    <w:rsid w:val="00962D40"/>
    <w:rsid w:val="00972F62"/>
    <w:rsid w:val="00973981"/>
    <w:rsid w:val="009748A6"/>
    <w:rsid w:val="00976600"/>
    <w:rsid w:val="00980810"/>
    <w:rsid w:val="00982F66"/>
    <w:rsid w:val="009835FB"/>
    <w:rsid w:val="009A4107"/>
    <w:rsid w:val="009A4A09"/>
    <w:rsid w:val="009A4A56"/>
    <w:rsid w:val="009A5BF5"/>
    <w:rsid w:val="009A63F0"/>
    <w:rsid w:val="009B049D"/>
    <w:rsid w:val="009B5169"/>
    <w:rsid w:val="009B7449"/>
    <w:rsid w:val="009C0848"/>
    <w:rsid w:val="009C6821"/>
    <w:rsid w:val="009D57F3"/>
    <w:rsid w:val="009D6EFA"/>
    <w:rsid w:val="009E494F"/>
    <w:rsid w:val="009E4BD5"/>
    <w:rsid w:val="009E6F6E"/>
    <w:rsid w:val="009E76B0"/>
    <w:rsid w:val="009F0B6F"/>
    <w:rsid w:val="009F6495"/>
    <w:rsid w:val="009F64BB"/>
    <w:rsid w:val="00A00C84"/>
    <w:rsid w:val="00A0501F"/>
    <w:rsid w:val="00A1161A"/>
    <w:rsid w:val="00A13348"/>
    <w:rsid w:val="00A1422B"/>
    <w:rsid w:val="00A15155"/>
    <w:rsid w:val="00A17DBF"/>
    <w:rsid w:val="00A22061"/>
    <w:rsid w:val="00A243B4"/>
    <w:rsid w:val="00A246C5"/>
    <w:rsid w:val="00A3436E"/>
    <w:rsid w:val="00A347E1"/>
    <w:rsid w:val="00A4063F"/>
    <w:rsid w:val="00A467EC"/>
    <w:rsid w:val="00A51377"/>
    <w:rsid w:val="00A53A28"/>
    <w:rsid w:val="00A541A9"/>
    <w:rsid w:val="00A56F9E"/>
    <w:rsid w:val="00A57C76"/>
    <w:rsid w:val="00A660CC"/>
    <w:rsid w:val="00A70FB8"/>
    <w:rsid w:val="00A74BC4"/>
    <w:rsid w:val="00A776A9"/>
    <w:rsid w:val="00A809FA"/>
    <w:rsid w:val="00A86914"/>
    <w:rsid w:val="00A958E7"/>
    <w:rsid w:val="00A95E99"/>
    <w:rsid w:val="00A96718"/>
    <w:rsid w:val="00A970A7"/>
    <w:rsid w:val="00A973C3"/>
    <w:rsid w:val="00AA18F4"/>
    <w:rsid w:val="00AA1DB4"/>
    <w:rsid w:val="00AA4F34"/>
    <w:rsid w:val="00AA537C"/>
    <w:rsid w:val="00AA7997"/>
    <w:rsid w:val="00AB077F"/>
    <w:rsid w:val="00AB10F1"/>
    <w:rsid w:val="00AB44D4"/>
    <w:rsid w:val="00AB4D76"/>
    <w:rsid w:val="00AC0741"/>
    <w:rsid w:val="00AC3436"/>
    <w:rsid w:val="00AC4E7F"/>
    <w:rsid w:val="00AC52F0"/>
    <w:rsid w:val="00AC5531"/>
    <w:rsid w:val="00AC75AE"/>
    <w:rsid w:val="00AC7E41"/>
    <w:rsid w:val="00AD07F2"/>
    <w:rsid w:val="00AD16B5"/>
    <w:rsid w:val="00AD45B3"/>
    <w:rsid w:val="00AD5BBB"/>
    <w:rsid w:val="00AE40D3"/>
    <w:rsid w:val="00AE49E0"/>
    <w:rsid w:val="00AF4271"/>
    <w:rsid w:val="00AF462E"/>
    <w:rsid w:val="00AF4E0C"/>
    <w:rsid w:val="00AF535C"/>
    <w:rsid w:val="00B02806"/>
    <w:rsid w:val="00B04F76"/>
    <w:rsid w:val="00B0500A"/>
    <w:rsid w:val="00B05CA3"/>
    <w:rsid w:val="00B0623D"/>
    <w:rsid w:val="00B06466"/>
    <w:rsid w:val="00B14D5A"/>
    <w:rsid w:val="00B21F83"/>
    <w:rsid w:val="00B22EB8"/>
    <w:rsid w:val="00B25B55"/>
    <w:rsid w:val="00B33071"/>
    <w:rsid w:val="00B339BF"/>
    <w:rsid w:val="00B35B03"/>
    <w:rsid w:val="00B37B35"/>
    <w:rsid w:val="00B41739"/>
    <w:rsid w:val="00B429DC"/>
    <w:rsid w:val="00B44B25"/>
    <w:rsid w:val="00B4535D"/>
    <w:rsid w:val="00B45A65"/>
    <w:rsid w:val="00B46438"/>
    <w:rsid w:val="00B471E7"/>
    <w:rsid w:val="00B47E63"/>
    <w:rsid w:val="00B501C9"/>
    <w:rsid w:val="00B50B8F"/>
    <w:rsid w:val="00B50F14"/>
    <w:rsid w:val="00B52145"/>
    <w:rsid w:val="00B52405"/>
    <w:rsid w:val="00B52E92"/>
    <w:rsid w:val="00B6182F"/>
    <w:rsid w:val="00B67D50"/>
    <w:rsid w:val="00B7070C"/>
    <w:rsid w:val="00B716A3"/>
    <w:rsid w:val="00B72BC7"/>
    <w:rsid w:val="00B754BD"/>
    <w:rsid w:val="00B82E75"/>
    <w:rsid w:val="00B83351"/>
    <w:rsid w:val="00B906C1"/>
    <w:rsid w:val="00B91964"/>
    <w:rsid w:val="00B9743B"/>
    <w:rsid w:val="00BA1C12"/>
    <w:rsid w:val="00BA7318"/>
    <w:rsid w:val="00BA7DF8"/>
    <w:rsid w:val="00BB3DAA"/>
    <w:rsid w:val="00BB578D"/>
    <w:rsid w:val="00BB6815"/>
    <w:rsid w:val="00BB6EEE"/>
    <w:rsid w:val="00BC0A15"/>
    <w:rsid w:val="00BC6A20"/>
    <w:rsid w:val="00BC797D"/>
    <w:rsid w:val="00BD7338"/>
    <w:rsid w:val="00BD7AC1"/>
    <w:rsid w:val="00BE7322"/>
    <w:rsid w:val="00BF00B7"/>
    <w:rsid w:val="00BF18CA"/>
    <w:rsid w:val="00BF7479"/>
    <w:rsid w:val="00BF7A87"/>
    <w:rsid w:val="00C002C1"/>
    <w:rsid w:val="00C00C17"/>
    <w:rsid w:val="00C0615C"/>
    <w:rsid w:val="00C12F56"/>
    <w:rsid w:val="00C13649"/>
    <w:rsid w:val="00C14594"/>
    <w:rsid w:val="00C15BAD"/>
    <w:rsid w:val="00C17844"/>
    <w:rsid w:val="00C216D5"/>
    <w:rsid w:val="00C22B28"/>
    <w:rsid w:val="00C22CE3"/>
    <w:rsid w:val="00C2561B"/>
    <w:rsid w:val="00C263B9"/>
    <w:rsid w:val="00C26E3F"/>
    <w:rsid w:val="00C30F44"/>
    <w:rsid w:val="00C32B89"/>
    <w:rsid w:val="00C33D70"/>
    <w:rsid w:val="00C34FAD"/>
    <w:rsid w:val="00C35434"/>
    <w:rsid w:val="00C36740"/>
    <w:rsid w:val="00C400B6"/>
    <w:rsid w:val="00C41FBF"/>
    <w:rsid w:val="00C4302B"/>
    <w:rsid w:val="00C440AF"/>
    <w:rsid w:val="00C44E31"/>
    <w:rsid w:val="00C5111C"/>
    <w:rsid w:val="00C53099"/>
    <w:rsid w:val="00C6174C"/>
    <w:rsid w:val="00C6207B"/>
    <w:rsid w:val="00C63AE7"/>
    <w:rsid w:val="00C65E18"/>
    <w:rsid w:val="00C66F54"/>
    <w:rsid w:val="00C7118A"/>
    <w:rsid w:val="00C73611"/>
    <w:rsid w:val="00C77D6E"/>
    <w:rsid w:val="00C802C7"/>
    <w:rsid w:val="00C83411"/>
    <w:rsid w:val="00C83875"/>
    <w:rsid w:val="00C87416"/>
    <w:rsid w:val="00C91B7E"/>
    <w:rsid w:val="00C93AF6"/>
    <w:rsid w:val="00C947C3"/>
    <w:rsid w:val="00CA0C78"/>
    <w:rsid w:val="00CA0E2E"/>
    <w:rsid w:val="00CA32C4"/>
    <w:rsid w:val="00CA58C2"/>
    <w:rsid w:val="00CA6F7A"/>
    <w:rsid w:val="00CB2100"/>
    <w:rsid w:val="00CB3F50"/>
    <w:rsid w:val="00CB596C"/>
    <w:rsid w:val="00CC59C6"/>
    <w:rsid w:val="00CD27B0"/>
    <w:rsid w:val="00CD3107"/>
    <w:rsid w:val="00CD3B28"/>
    <w:rsid w:val="00CD48B0"/>
    <w:rsid w:val="00CD4A39"/>
    <w:rsid w:val="00CD78C8"/>
    <w:rsid w:val="00CE317A"/>
    <w:rsid w:val="00CE3F75"/>
    <w:rsid w:val="00CE56EA"/>
    <w:rsid w:val="00CE600C"/>
    <w:rsid w:val="00CF01CE"/>
    <w:rsid w:val="00CF0C0B"/>
    <w:rsid w:val="00CF75C6"/>
    <w:rsid w:val="00D01202"/>
    <w:rsid w:val="00D03CA9"/>
    <w:rsid w:val="00D05550"/>
    <w:rsid w:val="00D10D53"/>
    <w:rsid w:val="00D16C7D"/>
    <w:rsid w:val="00D21C48"/>
    <w:rsid w:val="00D230F0"/>
    <w:rsid w:val="00D269CD"/>
    <w:rsid w:val="00D309DB"/>
    <w:rsid w:val="00D330E1"/>
    <w:rsid w:val="00D35A5C"/>
    <w:rsid w:val="00D404EE"/>
    <w:rsid w:val="00D4760F"/>
    <w:rsid w:val="00D601EC"/>
    <w:rsid w:val="00D61378"/>
    <w:rsid w:val="00D6209D"/>
    <w:rsid w:val="00D64C11"/>
    <w:rsid w:val="00D6568D"/>
    <w:rsid w:val="00D66D46"/>
    <w:rsid w:val="00D70FB2"/>
    <w:rsid w:val="00D72F4B"/>
    <w:rsid w:val="00D80D52"/>
    <w:rsid w:val="00D830D2"/>
    <w:rsid w:val="00D84B88"/>
    <w:rsid w:val="00D8662B"/>
    <w:rsid w:val="00D87AAF"/>
    <w:rsid w:val="00D87C4A"/>
    <w:rsid w:val="00D91C7C"/>
    <w:rsid w:val="00D92B21"/>
    <w:rsid w:val="00D959A2"/>
    <w:rsid w:val="00DA02D3"/>
    <w:rsid w:val="00DA03E8"/>
    <w:rsid w:val="00DA0F0F"/>
    <w:rsid w:val="00DA1E12"/>
    <w:rsid w:val="00DA2B1E"/>
    <w:rsid w:val="00DA2C9E"/>
    <w:rsid w:val="00DA37F3"/>
    <w:rsid w:val="00DB27A1"/>
    <w:rsid w:val="00DB3206"/>
    <w:rsid w:val="00DB77C4"/>
    <w:rsid w:val="00DC01B1"/>
    <w:rsid w:val="00DC0ED4"/>
    <w:rsid w:val="00DC5735"/>
    <w:rsid w:val="00DD0085"/>
    <w:rsid w:val="00DE2416"/>
    <w:rsid w:val="00DE26CB"/>
    <w:rsid w:val="00DE41D8"/>
    <w:rsid w:val="00DE52EE"/>
    <w:rsid w:val="00DE5C35"/>
    <w:rsid w:val="00DE5FEF"/>
    <w:rsid w:val="00DE6398"/>
    <w:rsid w:val="00DF4173"/>
    <w:rsid w:val="00DF5B8A"/>
    <w:rsid w:val="00E04F3D"/>
    <w:rsid w:val="00E10F72"/>
    <w:rsid w:val="00E11DD1"/>
    <w:rsid w:val="00E11E4F"/>
    <w:rsid w:val="00E14F49"/>
    <w:rsid w:val="00E1772E"/>
    <w:rsid w:val="00E20317"/>
    <w:rsid w:val="00E35D4D"/>
    <w:rsid w:val="00E36E6E"/>
    <w:rsid w:val="00E371B4"/>
    <w:rsid w:val="00E37879"/>
    <w:rsid w:val="00E37BFF"/>
    <w:rsid w:val="00E37D54"/>
    <w:rsid w:val="00E42664"/>
    <w:rsid w:val="00E45AA5"/>
    <w:rsid w:val="00E45DB0"/>
    <w:rsid w:val="00E525EF"/>
    <w:rsid w:val="00E52E71"/>
    <w:rsid w:val="00E6062D"/>
    <w:rsid w:val="00E621D2"/>
    <w:rsid w:val="00E6411B"/>
    <w:rsid w:val="00E67864"/>
    <w:rsid w:val="00E715E3"/>
    <w:rsid w:val="00E73D7C"/>
    <w:rsid w:val="00E7534A"/>
    <w:rsid w:val="00E81199"/>
    <w:rsid w:val="00E84874"/>
    <w:rsid w:val="00E85D4F"/>
    <w:rsid w:val="00E90E1C"/>
    <w:rsid w:val="00E93BEF"/>
    <w:rsid w:val="00EA1F77"/>
    <w:rsid w:val="00EA2087"/>
    <w:rsid w:val="00EA24BA"/>
    <w:rsid w:val="00EA25D4"/>
    <w:rsid w:val="00EB5BE5"/>
    <w:rsid w:val="00EB6237"/>
    <w:rsid w:val="00EB721C"/>
    <w:rsid w:val="00EC00DD"/>
    <w:rsid w:val="00EC1BFF"/>
    <w:rsid w:val="00EC2C4A"/>
    <w:rsid w:val="00EC49FA"/>
    <w:rsid w:val="00EC6115"/>
    <w:rsid w:val="00EC698D"/>
    <w:rsid w:val="00ED0AD2"/>
    <w:rsid w:val="00ED788D"/>
    <w:rsid w:val="00ED7996"/>
    <w:rsid w:val="00EE3211"/>
    <w:rsid w:val="00EE3570"/>
    <w:rsid w:val="00EE4342"/>
    <w:rsid w:val="00EE4E19"/>
    <w:rsid w:val="00EF128D"/>
    <w:rsid w:val="00EF18AF"/>
    <w:rsid w:val="00EF1A7D"/>
    <w:rsid w:val="00EF429A"/>
    <w:rsid w:val="00EF6402"/>
    <w:rsid w:val="00F00086"/>
    <w:rsid w:val="00F00AFE"/>
    <w:rsid w:val="00F024A9"/>
    <w:rsid w:val="00F07CF4"/>
    <w:rsid w:val="00F07E6D"/>
    <w:rsid w:val="00F15816"/>
    <w:rsid w:val="00F173AD"/>
    <w:rsid w:val="00F2027D"/>
    <w:rsid w:val="00F233BE"/>
    <w:rsid w:val="00F24752"/>
    <w:rsid w:val="00F3025D"/>
    <w:rsid w:val="00F32C69"/>
    <w:rsid w:val="00F40410"/>
    <w:rsid w:val="00F42939"/>
    <w:rsid w:val="00F53EE8"/>
    <w:rsid w:val="00F55BC7"/>
    <w:rsid w:val="00F646D9"/>
    <w:rsid w:val="00F71AEF"/>
    <w:rsid w:val="00F724AD"/>
    <w:rsid w:val="00F73FCB"/>
    <w:rsid w:val="00F76A6C"/>
    <w:rsid w:val="00F82E27"/>
    <w:rsid w:val="00F84ACC"/>
    <w:rsid w:val="00F85339"/>
    <w:rsid w:val="00F86DC7"/>
    <w:rsid w:val="00F9121B"/>
    <w:rsid w:val="00F915A9"/>
    <w:rsid w:val="00F9176D"/>
    <w:rsid w:val="00F947D7"/>
    <w:rsid w:val="00FA3442"/>
    <w:rsid w:val="00FA58B8"/>
    <w:rsid w:val="00FA7044"/>
    <w:rsid w:val="00FA7C0C"/>
    <w:rsid w:val="00FA7DE2"/>
    <w:rsid w:val="00FB616E"/>
    <w:rsid w:val="00FC1510"/>
    <w:rsid w:val="00FC21BC"/>
    <w:rsid w:val="00FC2B11"/>
    <w:rsid w:val="00FD0919"/>
    <w:rsid w:val="00FD54D6"/>
    <w:rsid w:val="00FD5A15"/>
    <w:rsid w:val="00FD6A9B"/>
    <w:rsid w:val="00FE08ED"/>
    <w:rsid w:val="00FE117E"/>
    <w:rsid w:val="00FE25E5"/>
    <w:rsid w:val="00FE420B"/>
    <w:rsid w:val="00FE62FD"/>
    <w:rsid w:val="00FE758C"/>
    <w:rsid w:val="00FE79B5"/>
    <w:rsid w:val="00FF0015"/>
    <w:rsid w:val="00FF0C54"/>
    <w:rsid w:val="00FF1366"/>
    <w:rsid w:val="00FF348C"/>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F2017-3FC2-44BE-8F9E-52675C6F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1F"/>
    <w:pPr>
      <w:spacing w:after="160" w:line="259" w:lineRule="auto"/>
    </w:pPr>
    <w:rPr>
      <w:lang w:val="en-ZA"/>
    </w:rPr>
  </w:style>
  <w:style w:type="paragraph" w:styleId="Heading1">
    <w:name w:val="heading 1"/>
    <w:basedOn w:val="Normal"/>
    <w:next w:val="Normal"/>
    <w:link w:val="Heading1Char"/>
    <w:uiPriority w:val="9"/>
    <w:qFormat/>
    <w:rsid w:val="005150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4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05D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05D1F"/>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505D1F"/>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HCR: - Footnote text"/>
    <w:basedOn w:val="Normal"/>
    <w:link w:val="FootnoteTextChar"/>
    <w:uiPriority w:val="99"/>
    <w:unhideWhenUsed/>
    <w:qFormat/>
    <w:rsid w:val="00505D1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505D1F"/>
    <w:rPr>
      <w:sz w:val="20"/>
      <w:szCs w:val="20"/>
      <w:lang w:val="en-ZA"/>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basedOn w:val="DefaultParagraphFont"/>
    <w:uiPriority w:val="99"/>
    <w:unhideWhenUsed/>
    <w:qFormat/>
    <w:rsid w:val="00505D1F"/>
    <w:rPr>
      <w:vertAlign w:val="superscript"/>
    </w:rPr>
  </w:style>
  <w:style w:type="paragraph" w:styleId="BalloonText">
    <w:name w:val="Balloon Text"/>
    <w:basedOn w:val="Normal"/>
    <w:link w:val="BalloonTextChar"/>
    <w:uiPriority w:val="99"/>
    <w:semiHidden/>
    <w:unhideWhenUsed/>
    <w:rsid w:val="00C4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AF"/>
    <w:rPr>
      <w:rFonts w:ascii="Segoe UI" w:hAnsi="Segoe UI" w:cs="Segoe UI"/>
      <w:sz w:val="18"/>
      <w:szCs w:val="18"/>
      <w:lang w:val="en-ZA"/>
    </w:rPr>
  </w:style>
  <w:style w:type="character" w:styleId="Strong">
    <w:name w:val="Strong"/>
    <w:basedOn w:val="DefaultParagraphFont"/>
    <w:uiPriority w:val="22"/>
    <w:qFormat/>
    <w:rsid w:val="00564500"/>
    <w:rPr>
      <w:b/>
      <w:bCs/>
    </w:rPr>
  </w:style>
  <w:style w:type="paragraph" w:styleId="Header">
    <w:name w:val="header"/>
    <w:basedOn w:val="Normal"/>
    <w:link w:val="HeaderChar"/>
    <w:uiPriority w:val="99"/>
    <w:unhideWhenUsed/>
    <w:rsid w:val="00F8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27"/>
    <w:rPr>
      <w:lang w:val="en-ZA"/>
    </w:rPr>
  </w:style>
  <w:style w:type="paragraph" w:styleId="Footer">
    <w:name w:val="footer"/>
    <w:basedOn w:val="Normal"/>
    <w:link w:val="FooterChar"/>
    <w:uiPriority w:val="99"/>
    <w:unhideWhenUsed/>
    <w:rsid w:val="00F8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27"/>
    <w:rPr>
      <w:lang w:val="en-ZA"/>
    </w:rPr>
  </w:style>
  <w:style w:type="paragraph" w:styleId="Quote">
    <w:name w:val="Quote"/>
    <w:basedOn w:val="Heading1"/>
    <w:link w:val="QuoteChar"/>
    <w:uiPriority w:val="99"/>
    <w:qFormat/>
    <w:rsid w:val="005150B4"/>
    <w:pPr>
      <w:keepLines w:val="0"/>
      <w:widowControl w:val="0"/>
      <w:autoSpaceDE w:val="0"/>
      <w:autoSpaceDN w:val="0"/>
      <w:adjustRightInd w:val="0"/>
      <w:spacing w:before="120" w:after="120" w:line="480" w:lineRule="auto"/>
      <w:ind w:left="1418" w:right="567"/>
      <w:jc w:val="both"/>
      <w:outlineLvl w:val="9"/>
    </w:pPr>
    <w:rPr>
      <w:rFonts w:ascii="Arial" w:eastAsia="Arial Unicode MS" w:hAnsi="Arial" w:cs="Times New Roman"/>
      <w:b/>
      <w:bCs/>
      <w:i/>
      <w:color w:val="auto"/>
      <w:sz w:val="22"/>
      <w:szCs w:val="22"/>
      <w:lang w:val="en-US"/>
    </w:rPr>
  </w:style>
  <w:style w:type="character" w:customStyle="1" w:styleId="QuoteChar">
    <w:name w:val="Quote Char"/>
    <w:basedOn w:val="DefaultParagraphFont"/>
    <w:link w:val="Quote"/>
    <w:uiPriority w:val="99"/>
    <w:rsid w:val="005150B4"/>
    <w:rPr>
      <w:rFonts w:ascii="Arial" w:eastAsia="Arial Unicode MS" w:hAnsi="Arial" w:cs="Times New Roman"/>
      <w:b/>
      <w:bCs/>
      <w:i/>
    </w:rPr>
  </w:style>
  <w:style w:type="character" w:customStyle="1" w:styleId="Heading1Char">
    <w:name w:val="Heading 1 Char"/>
    <w:basedOn w:val="DefaultParagraphFont"/>
    <w:link w:val="Heading1"/>
    <w:uiPriority w:val="9"/>
    <w:rsid w:val="005150B4"/>
    <w:rPr>
      <w:rFonts w:asciiTheme="majorHAnsi" w:eastAsiaTheme="majorEastAsia" w:hAnsiTheme="majorHAnsi" w:cstheme="majorBidi"/>
      <w:color w:val="365F91" w:themeColor="accent1" w:themeShade="BF"/>
      <w:sz w:val="32"/>
      <w:szCs w:val="32"/>
      <w:lang w:val="en-ZA"/>
    </w:rPr>
  </w:style>
  <w:style w:type="character" w:customStyle="1" w:styleId="Heading2Char">
    <w:name w:val="Heading 2 Char"/>
    <w:basedOn w:val="DefaultParagraphFont"/>
    <w:link w:val="Heading2"/>
    <w:uiPriority w:val="9"/>
    <w:semiHidden/>
    <w:rsid w:val="00E84874"/>
    <w:rPr>
      <w:rFonts w:asciiTheme="majorHAnsi" w:eastAsiaTheme="majorEastAsia" w:hAnsiTheme="majorHAnsi" w:cstheme="majorBidi"/>
      <w:color w:val="365F91" w:themeColor="accent1" w:themeShade="BF"/>
      <w:sz w:val="26"/>
      <w:szCs w:val="26"/>
      <w:lang w:val="en-ZA"/>
    </w:rPr>
  </w:style>
  <w:style w:type="paragraph" w:styleId="NormalWeb">
    <w:name w:val="Normal (Web)"/>
    <w:basedOn w:val="Normal"/>
    <w:uiPriority w:val="99"/>
    <w:semiHidden/>
    <w:unhideWhenUsed/>
    <w:rsid w:val="00F84AC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F84AC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09">
      <w:bodyDiv w:val="1"/>
      <w:marLeft w:val="0"/>
      <w:marRight w:val="0"/>
      <w:marTop w:val="0"/>
      <w:marBottom w:val="0"/>
      <w:divBdr>
        <w:top w:val="none" w:sz="0" w:space="0" w:color="auto"/>
        <w:left w:val="none" w:sz="0" w:space="0" w:color="auto"/>
        <w:bottom w:val="none" w:sz="0" w:space="0" w:color="auto"/>
        <w:right w:val="none" w:sz="0" w:space="0" w:color="auto"/>
      </w:divBdr>
    </w:div>
    <w:div w:id="549612252">
      <w:bodyDiv w:val="1"/>
      <w:marLeft w:val="0"/>
      <w:marRight w:val="0"/>
      <w:marTop w:val="0"/>
      <w:marBottom w:val="0"/>
      <w:divBdr>
        <w:top w:val="none" w:sz="0" w:space="0" w:color="auto"/>
        <w:left w:val="none" w:sz="0" w:space="0" w:color="auto"/>
        <w:bottom w:val="none" w:sz="0" w:space="0" w:color="auto"/>
        <w:right w:val="none" w:sz="0" w:space="0" w:color="auto"/>
      </w:divBdr>
    </w:div>
    <w:div w:id="1141920113">
      <w:bodyDiv w:val="1"/>
      <w:marLeft w:val="0"/>
      <w:marRight w:val="0"/>
      <w:marTop w:val="0"/>
      <w:marBottom w:val="0"/>
      <w:divBdr>
        <w:top w:val="none" w:sz="0" w:space="0" w:color="auto"/>
        <w:left w:val="none" w:sz="0" w:space="0" w:color="auto"/>
        <w:bottom w:val="none" w:sz="0" w:space="0" w:color="auto"/>
        <w:right w:val="none" w:sz="0" w:space="0" w:color="auto"/>
      </w:divBdr>
    </w:div>
    <w:div w:id="1183086889">
      <w:bodyDiv w:val="1"/>
      <w:marLeft w:val="0"/>
      <w:marRight w:val="0"/>
      <w:marTop w:val="0"/>
      <w:marBottom w:val="0"/>
      <w:divBdr>
        <w:top w:val="none" w:sz="0" w:space="0" w:color="auto"/>
        <w:left w:val="none" w:sz="0" w:space="0" w:color="auto"/>
        <w:bottom w:val="none" w:sz="0" w:space="0" w:color="auto"/>
        <w:right w:val="none" w:sz="0" w:space="0" w:color="auto"/>
      </w:divBdr>
    </w:div>
    <w:div w:id="1794247881">
      <w:bodyDiv w:val="1"/>
      <w:marLeft w:val="0"/>
      <w:marRight w:val="0"/>
      <w:marTop w:val="0"/>
      <w:marBottom w:val="0"/>
      <w:divBdr>
        <w:top w:val="none" w:sz="0" w:space="0" w:color="auto"/>
        <w:left w:val="none" w:sz="0" w:space="0" w:color="auto"/>
        <w:bottom w:val="none" w:sz="0" w:space="0" w:color="auto"/>
        <w:right w:val="none" w:sz="0" w:space="0" w:color="auto"/>
      </w:divBdr>
    </w:div>
    <w:div w:id="1870947372">
      <w:bodyDiv w:val="1"/>
      <w:marLeft w:val="0"/>
      <w:marRight w:val="0"/>
      <w:marTop w:val="0"/>
      <w:marBottom w:val="0"/>
      <w:divBdr>
        <w:top w:val="none" w:sz="0" w:space="0" w:color="auto"/>
        <w:left w:val="none" w:sz="0" w:space="0" w:color="auto"/>
        <w:bottom w:val="none" w:sz="0" w:space="0" w:color="auto"/>
        <w:right w:val="none" w:sz="0" w:space="0" w:color="auto"/>
      </w:divBdr>
    </w:div>
    <w:div w:id="19046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2020-10-01T18:30:00+00:00</Judgment_x0020_Date>
    <Year xmlns="c1afb1bd-f2fb-40fd-9abb-aea55b4d7662">2020</Year>
  </documentManagement>
</p:properties>
</file>

<file path=customXml/itemProps1.xml><?xml version="1.0" encoding="utf-8"?>
<ds:datastoreItem xmlns:ds="http://schemas.openxmlformats.org/officeDocument/2006/customXml" ds:itemID="{9D7F6A2F-387C-4D0F-B53B-7A53BE142DA7}"/>
</file>

<file path=customXml/itemProps2.xml><?xml version="1.0" encoding="utf-8"?>
<ds:datastoreItem xmlns:ds="http://schemas.openxmlformats.org/officeDocument/2006/customXml" ds:itemID="{0B87F7E7-AC1F-4694-AA53-0F266B271ADA}"/>
</file>

<file path=customXml/itemProps3.xml><?xml version="1.0" encoding="utf-8"?>
<ds:datastoreItem xmlns:ds="http://schemas.openxmlformats.org/officeDocument/2006/customXml" ds:itemID="{85B5EB46-4F9E-4852-89F4-E16F9EA928DF}"/>
</file>

<file path=customXml/itemProps4.xml><?xml version="1.0" encoding="utf-8"?>
<ds:datastoreItem xmlns:ds="http://schemas.openxmlformats.org/officeDocument/2006/customXml" ds:itemID="{72546473-9A2D-4555-8632-00AE29A90779}"/>
</file>

<file path=docProps/app.xml><?xml version="1.0" encoding="utf-8"?>
<Properties xmlns="http://schemas.openxmlformats.org/officeDocument/2006/extended-properties" xmlns:vt="http://schemas.openxmlformats.org/officeDocument/2006/docPropsVTypes">
  <Template>Normal</Template>
  <TotalTime>1</TotalTime>
  <Pages>18</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 v Telecom Namibia Ltd (HC-MD-CIV-ACT-OTH-2019-01370) [2020] NAHCMD 452 (2 October 2020)</dc:title>
  <dc:subject/>
  <dc:creator>Priscilla Nande</dc:creator>
  <cp:keywords/>
  <dc:description/>
  <cp:lastModifiedBy>Administrator</cp:lastModifiedBy>
  <cp:revision>2</cp:revision>
  <cp:lastPrinted>2020-10-02T06:32:00Z</cp:lastPrinted>
  <dcterms:created xsi:type="dcterms:W3CDTF">2020-10-07T07:09:00Z</dcterms:created>
  <dcterms:modified xsi:type="dcterms:W3CDTF">2020-10-07T07:09:00Z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