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2F" w:rsidRPr="006E026B" w:rsidRDefault="00B9532F" w:rsidP="00B9532F">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9532F" w:rsidRPr="009A79F5" w:rsidRDefault="00B9532F" w:rsidP="00B9532F">
      <w:pPr>
        <w:spacing w:after="0" w:line="360" w:lineRule="auto"/>
        <w:jc w:val="both"/>
        <w:rPr>
          <w:rFonts w:ascii="Arial Narrow" w:hAnsi="Arial Narrow"/>
          <w:sz w:val="20"/>
          <w:szCs w:val="20"/>
        </w:rPr>
      </w:pPr>
      <w:r>
        <w:rPr>
          <w:noProof/>
          <w:lang w:val="en-US"/>
        </w:rPr>
        <w:drawing>
          <wp:anchor distT="0" distB="0" distL="114300" distR="114300" simplePos="0" relativeHeight="251660288" behindDoc="0" locked="0" layoutInCell="1" allowOverlap="1">
            <wp:simplePos x="0" y="0"/>
            <wp:positionH relativeFrom="column">
              <wp:posOffset>2270760</wp:posOffset>
            </wp:positionH>
            <wp:positionV relativeFrom="paragraph">
              <wp:posOffset>104140</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9532F" w:rsidRPr="006E026B" w:rsidRDefault="00B9532F" w:rsidP="00B9532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9532F" w:rsidRPr="009A79F5" w:rsidRDefault="00B9532F" w:rsidP="00B9532F">
      <w:pPr>
        <w:spacing w:after="0" w:line="360" w:lineRule="auto"/>
        <w:jc w:val="center"/>
        <w:rPr>
          <w:rFonts w:ascii="Arial" w:hAnsi="Arial" w:cs="Arial"/>
          <w:b/>
          <w:sz w:val="18"/>
          <w:szCs w:val="18"/>
        </w:rPr>
      </w:pPr>
    </w:p>
    <w:p w:rsidR="00B9532F" w:rsidRPr="009A79F5" w:rsidRDefault="006F1FD4" w:rsidP="00B9532F">
      <w:pPr>
        <w:spacing w:after="0" w:line="360" w:lineRule="auto"/>
        <w:jc w:val="center"/>
        <w:rPr>
          <w:rFonts w:ascii="Arial" w:hAnsi="Arial" w:cs="Arial"/>
          <w:b/>
          <w:sz w:val="24"/>
          <w:szCs w:val="24"/>
        </w:rPr>
      </w:pPr>
      <w:r w:rsidRPr="009A79F5">
        <w:rPr>
          <w:rFonts w:ascii="Arial" w:hAnsi="Arial" w:cs="Arial"/>
          <w:b/>
          <w:sz w:val="24"/>
          <w:szCs w:val="24"/>
        </w:rPr>
        <w:t>RULING (INTERLOCUTORY)</w:t>
      </w:r>
    </w:p>
    <w:p w:rsidR="00281FAB" w:rsidRPr="009A79F5" w:rsidRDefault="00281FAB" w:rsidP="00EB27A0">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9A79F5" w:rsidTr="006F1FD4">
        <w:trPr>
          <w:trHeight w:val="744"/>
        </w:trPr>
        <w:tc>
          <w:tcPr>
            <w:tcW w:w="5397" w:type="dxa"/>
            <w:gridSpan w:val="2"/>
            <w:vMerge w:val="restart"/>
          </w:tcPr>
          <w:p w:rsidR="00C73154" w:rsidRPr="009A79F5" w:rsidRDefault="00C73154" w:rsidP="00EB27A0">
            <w:pPr>
              <w:spacing w:line="360" w:lineRule="auto"/>
              <w:jc w:val="both"/>
              <w:rPr>
                <w:rFonts w:ascii="Arial" w:hAnsi="Arial" w:cs="Arial"/>
                <w:sz w:val="24"/>
                <w:szCs w:val="24"/>
              </w:rPr>
            </w:pPr>
            <w:r w:rsidRPr="009A79F5">
              <w:rPr>
                <w:rFonts w:ascii="Arial" w:hAnsi="Arial" w:cs="Arial"/>
                <w:b/>
                <w:sz w:val="24"/>
                <w:szCs w:val="24"/>
              </w:rPr>
              <w:t>Case Title:</w:t>
            </w:r>
          </w:p>
          <w:p w:rsidR="00C73154" w:rsidRPr="009A79F5" w:rsidRDefault="006F1FD4" w:rsidP="006D2D84">
            <w:pPr>
              <w:spacing w:line="360" w:lineRule="auto"/>
              <w:jc w:val="both"/>
              <w:rPr>
                <w:rFonts w:ascii="Arial" w:hAnsi="Arial" w:cs="Arial"/>
                <w:sz w:val="24"/>
                <w:szCs w:val="24"/>
              </w:rPr>
            </w:pPr>
            <w:r w:rsidRPr="009A79F5">
              <w:rPr>
                <w:rFonts w:ascii="Arial" w:hAnsi="Arial" w:cs="Arial"/>
                <w:sz w:val="24"/>
                <w:szCs w:val="24"/>
              </w:rPr>
              <w:t>HARRY STEPHANUS</w:t>
            </w:r>
            <w:r w:rsidR="00DC32B4" w:rsidRPr="009A79F5">
              <w:rPr>
                <w:rFonts w:ascii="Arial" w:hAnsi="Arial" w:cs="Arial"/>
                <w:sz w:val="24"/>
                <w:szCs w:val="24"/>
                <w:shd w:val="clear" w:color="auto" w:fill="FFFFFF"/>
              </w:rPr>
              <w:t xml:space="preserve"> // </w:t>
            </w:r>
            <w:r w:rsidRPr="009A79F5">
              <w:rPr>
                <w:rFonts w:ascii="Arial" w:hAnsi="Arial" w:cs="Arial"/>
                <w:sz w:val="24"/>
                <w:szCs w:val="24"/>
                <w:shd w:val="clear" w:color="auto" w:fill="FFFFFF"/>
              </w:rPr>
              <w:t>LIZ LILIANA NDEUMONA KUUTONDOKWA &amp; 3 OTHERS</w:t>
            </w:r>
          </w:p>
          <w:p w:rsidR="00C73154" w:rsidRPr="009A79F5" w:rsidRDefault="00C73154" w:rsidP="006D2D84">
            <w:pPr>
              <w:spacing w:line="360" w:lineRule="auto"/>
              <w:jc w:val="both"/>
              <w:rPr>
                <w:rFonts w:ascii="Arial" w:hAnsi="Arial" w:cs="Arial"/>
                <w:sz w:val="24"/>
                <w:szCs w:val="24"/>
              </w:rPr>
            </w:pPr>
          </w:p>
        </w:tc>
        <w:tc>
          <w:tcPr>
            <w:tcW w:w="4323" w:type="dxa"/>
          </w:tcPr>
          <w:p w:rsidR="00C73154" w:rsidRPr="009A79F5" w:rsidRDefault="00C73154" w:rsidP="00905A48">
            <w:pPr>
              <w:spacing w:line="360" w:lineRule="auto"/>
              <w:jc w:val="both"/>
              <w:rPr>
                <w:rFonts w:ascii="Arial" w:hAnsi="Arial" w:cs="Arial"/>
                <w:b/>
                <w:sz w:val="24"/>
                <w:szCs w:val="24"/>
              </w:rPr>
            </w:pPr>
            <w:r w:rsidRPr="009A79F5">
              <w:rPr>
                <w:rFonts w:ascii="Arial" w:hAnsi="Arial" w:cs="Arial"/>
                <w:b/>
                <w:sz w:val="24"/>
                <w:szCs w:val="24"/>
              </w:rPr>
              <w:t>Case No:</w:t>
            </w:r>
          </w:p>
          <w:p w:rsidR="00C73154" w:rsidRPr="009A79F5" w:rsidRDefault="006F1FD4" w:rsidP="00890143">
            <w:pPr>
              <w:spacing w:line="360" w:lineRule="auto"/>
              <w:jc w:val="both"/>
              <w:rPr>
                <w:rFonts w:ascii="Arial" w:hAnsi="Arial" w:cs="Arial"/>
                <w:sz w:val="24"/>
                <w:szCs w:val="24"/>
              </w:rPr>
            </w:pPr>
            <w:r w:rsidRPr="009A79F5">
              <w:rPr>
                <w:rFonts w:ascii="Arial" w:hAnsi="Arial" w:cs="Arial"/>
                <w:sz w:val="24"/>
                <w:szCs w:val="24"/>
              </w:rPr>
              <w:t>HC-MD-CIV-ACT-OTH-2020/00364</w:t>
            </w:r>
          </w:p>
        </w:tc>
      </w:tr>
      <w:tr w:rsidR="00C73154" w:rsidRPr="009A79F5" w:rsidTr="006F1FD4">
        <w:trPr>
          <w:trHeight w:val="844"/>
        </w:trPr>
        <w:tc>
          <w:tcPr>
            <w:tcW w:w="5397" w:type="dxa"/>
            <w:gridSpan w:val="2"/>
            <w:vMerge/>
          </w:tcPr>
          <w:p w:rsidR="00C73154" w:rsidRPr="009A79F5" w:rsidRDefault="00C73154" w:rsidP="00EB27A0">
            <w:pPr>
              <w:spacing w:line="360" w:lineRule="auto"/>
              <w:jc w:val="both"/>
              <w:rPr>
                <w:rFonts w:ascii="Arial" w:hAnsi="Arial" w:cs="Arial"/>
                <w:sz w:val="24"/>
                <w:szCs w:val="24"/>
              </w:rPr>
            </w:pPr>
          </w:p>
        </w:tc>
        <w:tc>
          <w:tcPr>
            <w:tcW w:w="4323" w:type="dxa"/>
          </w:tcPr>
          <w:p w:rsidR="00C73154" w:rsidRPr="009A79F5" w:rsidRDefault="00C73154" w:rsidP="00EB27A0">
            <w:pPr>
              <w:spacing w:line="360" w:lineRule="auto"/>
              <w:jc w:val="both"/>
              <w:rPr>
                <w:rFonts w:ascii="Arial" w:hAnsi="Arial" w:cs="Arial"/>
                <w:sz w:val="24"/>
                <w:szCs w:val="24"/>
              </w:rPr>
            </w:pPr>
            <w:r w:rsidRPr="009A79F5">
              <w:rPr>
                <w:rFonts w:ascii="Arial" w:hAnsi="Arial" w:cs="Arial"/>
                <w:b/>
                <w:sz w:val="24"/>
                <w:szCs w:val="24"/>
              </w:rPr>
              <w:t>Division of Court:</w:t>
            </w:r>
          </w:p>
          <w:p w:rsidR="00C73154" w:rsidRPr="009A79F5" w:rsidRDefault="00C73154" w:rsidP="00092FD2">
            <w:pPr>
              <w:spacing w:line="360" w:lineRule="auto"/>
              <w:jc w:val="both"/>
              <w:rPr>
                <w:rFonts w:ascii="Arial" w:hAnsi="Arial" w:cs="Arial"/>
                <w:sz w:val="24"/>
                <w:szCs w:val="24"/>
              </w:rPr>
            </w:pPr>
            <w:r w:rsidRPr="009A79F5">
              <w:rPr>
                <w:rFonts w:ascii="Arial" w:hAnsi="Arial" w:cs="Arial"/>
                <w:sz w:val="24"/>
                <w:szCs w:val="24"/>
              </w:rPr>
              <w:t>H</w:t>
            </w:r>
            <w:r w:rsidR="00092FD2" w:rsidRPr="009A79F5">
              <w:rPr>
                <w:rFonts w:ascii="Arial" w:hAnsi="Arial" w:cs="Arial"/>
                <w:sz w:val="24"/>
                <w:szCs w:val="24"/>
              </w:rPr>
              <w:t>IGH COURT (MAIN DIVISION</w:t>
            </w:r>
            <w:r w:rsidR="00890143" w:rsidRPr="009A79F5">
              <w:rPr>
                <w:rFonts w:ascii="Arial" w:hAnsi="Arial" w:cs="Arial"/>
                <w:sz w:val="24"/>
                <w:szCs w:val="24"/>
              </w:rPr>
              <w:t>)</w:t>
            </w:r>
          </w:p>
        </w:tc>
      </w:tr>
      <w:tr w:rsidR="005403D8" w:rsidRPr="009A79F5" w:rsidTr="006F1FD4">
        <w:trPr>
          <w:trHeight w:val="645"/>
        </w:trPr>
        <w:tc>
          <w:tcPr>
            <w:tcW w:w="5397" w:type="dxa"/>
            <w:gridSpan w:val="2"/>
            <w:vMerge w:val="restart"/>
          </w:tcPr>
          <w:p w:rsidR="005403D8" w:rsidRPr="009A79F5" w:rsidRDefault="005403D8" w:rsidP="00EB27A0">
            <w:pPr>
              <w:spacing w:line="360" w:lineRule="auto"/>
              <w:jc w:val="both"/>
              <w:rPr>
                <w:rFonts w:ascii="Arial" w:hAnsi="Arial" w:cs="Arial"/>
                <w:b/>
                <w:sz w:val="24"/>
                <w:szCs w:val="24"/>
              </w:rPr>
            </w:pPr>
            <w:r w:rsidRPr="009A79F5">
              <w:rPr>
                <w:rFonts w:ascii="Arial" w:hAnsi="Arial" w:cs="Arial"/>
                <w:b/>
                <w:sz w:val="24"/>
                <w:szCs w:val="24"/>
              </w:rPr>
              <w:t>Heard before:</w:t>
            </w:r>
          </w:p>
          <w:p w:rsidR="005403D8" w:rsidRPr="009A79F5" w:rsidRDefault="005403D8" w:rsidP="006F1FD4">
            <w:pPr>
              <w:spacing w:line="360" w:lineRule="auto"/>
              <w:jc w:val="both"/>
              <w:rPr>
                <w:rFonts w:ascii="Arial" w:hAnsi="Arial" w:cs="Arial"/>
                <w:sz w:val="24"/>
                <w:szCs w:val="24"/>
              </w:rPr>
            </w:pPr>
            <w:r w:rsidRPr="009A79F5">
              <w:rPr>
                <w:rFonts w:ascii="Arial" w:hAnsi="Arial" w:cs="Arial"/>
                <w:sz w:val="24"/>
                <w:szCs w:val="24"/>
              </w:rPr>
              <w:t>H</w:t>
            </w:r>
            <w:r w:rsidR="00092FD2" w:rsidRPr="009A79F5">
              <w:rPr>
                <w:rFonts w:ascii="Arial" w:hAnsi="Arial" w:cs="Arial"/>
                <w:sz w:val="24"/>
                <w:szCs w:val="24"/>
              </w:rPr>
              <w:t xml:space="preserve">ONOURABLE MR JUSTICE </w:t>
            </w:r>
            <w:r w:rsidR="006F1FD4" w:rsidRPr="009A79F5">
              <w:rPr>
                <w:rFonts w:ascii="Arial" w:hAnsi="Arial" w:cs="Arial"/>
                <w:sz w:val="24"/>
                <w:szCs w:val="24"/>
              </w:rPr>
              <w:t>MILLER, ACTING</w:t>
            </w:r>
          </w:p>
        </w:tc>
        <w:tc>
          <w:tcPr>
            <w:tcW w:w="4323" w:type="dxa"/>
          </w:tcPr>
          <w:p w:rsidR="005403D8" w:rsidRPr="009A79F5" w:rsidRDefault="005403D8" w:rsidP="00EB27A0">
            <w:pPr>
              <w:spacing w:line="360" w:lineRule="auto"/>
              <w:jc w:val="both"/>
              <w:rPr>
                <w:rFonts w:ascii="Arial" w:hAnsi="Arial" w:cs="Arial"/>
                <w:b/>
                <w:sz w:val="24"/>
                <w:szCs w:val="24"/>
              </w:rPr>
            </w:pPr>
            <w:r w:rsidRPr="009A79F5">
              <w:rPr>
                <w:rFonts w:ascii="Arial" w:hAnsi="Arial" w:cs="Arial"/>
                <w:b/>
                <w:sz w:val="24"/>
                <w:szCs w:val="24"/>
              </w:rPr>
              <w:t>Date of hearing:</w:t>
            </w:r>
          </w:p>
          <w:p w:rsidR="005403D8" w:rsidRPr="009A79F5" w:rsidRDefault="006F1FD4" w:rsidP="00915248">
            <w:pPr>
              <w:spacing w:line="360" w:lineRule="auto"/>
              <w:rPr>
                <w:rFonts w:ascii="Arial" w:hAnsi="Arial" w:cs="Arial"/>
                <w:sz w:val="24"/>
                <w:szCs w:val="24"/>
              </w:rPr>
            </w:pPr>
            <w:r w:rsidRPr="009A79F5">
              <w:rPr>
                <w:rFonts w:ascii="Arial" w:hAnsi="Arial" w:cs="Arial"/>
                <w:sz w:val="24"/>
                <w:szCs w:val="24"/>
              </w:rPr>
              <w:t>1 SEPTEMBER</w:t>
            </w:r>
            <w:r w:rsidR="00915248" w:rsidRPr="009A79F5">
              <w:rPr>
                <w:rFonts w:ascii="Arial" w:hAnsi="Arial" w:cs="Arial"/>
                <w:sz w:val="24"/>
                <w:szCs w:val="24"/>
              </w:rPr>
              <w:t xml:space="preserve"> 2020</w:t>
            </w:r>
          </w:p>
        </w:tc>
      </w:tr>
      <w:tr w:rsidR="005403D8" w:rsidRPr="009A79F5" w:rsidTr="006F1FD4">
        <w:trPr>
          <w:trHeight w:val="588"/>
        </w:trPr>
        <w:tc>
          <w:tcPr>
            <w:tcW w:w="5397" w:type="dxa"/>
            <w:gridSpan w:val="2"/>
            <w:vMerge/>
          </w:tcPr>
          <w:p w:rsidR="005403D8" w:rsidRPr="009A79F5" w:rsidRDefault="005403D8" w:rsidP="00EB27A0">
            <w:pPr>
              <w:spacing w:line="360" w:lineRule="auto"/>
              <w:jc w:val="both"/>
              <w:rPr>
                <w:rFonts w:ascii="Arial" w:hAnsi="Arial" w:cs="Arial"/>
                <w:b/>
                <w:sz w:val="24"/>
                <w:szCs w:val="24"/>
              </w:rPr>
            </w:pPr>
          </w:p>
        </w:tc>
        <w:tc>
          <w:tcPr>
            <w:tcW w:w="4323" w:type="dxa"/>
          </w:tcPr>
          <w:p w:rsidR="005403D8" w:rsidRPr="009A79F5" w:rsidRDefault="005403D8" w:rsidP="005403D8">
            <w:pPr>
              <w:spacing w:line="360" w:lineRule="auto"/>
              <w:jc w:val="both"/>
              <w:rPr>
                <w:rFonts w:ascii="Arial" w:hAnsi="Arial" w:cs="Arial"/>
                <w:b/>
                <w:sz w:val="24"/>
                <w:szCs w:val="24"/>
              </w:rPr>
            </w:pPr>
            <w:r w:rsidRPr="009A79F5">
              <w:rPr>
                <w:rFonts w:ascii="Arial" w:hAnsi="Arial" w:cs="Arial"/>
                <w:b/>
                <w:sz w:val="24"/>
                <w:szCs w:val="24"/>
              </w:rPr>
              <w:t>Delivered on:</w:t>
            </w:r>
          </w:p>
          <w:p w:rsidR="005403D8" w:rsidRPr="00DE3BBF" w:rsidRDefault="006F1FD4" w:rsidP="009F24FA">
            <w:pPr>
              <w:spacing w:line="360" w:lineRule="auto"/>
              <w:jc w:val="both"/>
              <w:rPr>
                <w:rFonts w:ascii="Arial" w:hAnsi="Arial" w:cs="Arial"/>
                <w:b/>
                <w:sz w:val="24"/>
                <w:szCs w:val="24"/>
              </w:rPr>
            </w:pPr>
            <w:r w:rsidRPr="00DE3BBF">
              <w:rPr>
                <w:rFonts w:ascii="Arial" w:hAnsi="Arial" w:cs="Arial"/>
                <w:b/>
                <w:sz w:val="24"/>
                <w:szCs w:val="24"/>
              </w:rPr>
              <w:t>12 OCTOBER</w:t>
            </w:r>
            <w:r w:rsidR="00915248" w:rsidRPr="00DE3BBF">
              <w:rPr>
                <w:rFonts w:ascii="Arial" w:hAnsi="Arial" w:cs="Arial"/>
                <w:b/>
                <w:sz w:val="24"/>
                <w:szCs w:val="24"/>
              </w:rPr>
              <w:t xml:space="preserve"> 2020</w:t>
            </w:r>
            <w:bookmarkStart w:id="0" w:name="_GoBack"/>
            <w:bookmarkEnd w:id="0"/>
          </w:p>
        </w:tc>
      </w:tr>
      <w:tr w:rsidR="005955B1" w:rsidRPr="009A79F5" w:rsidTr="006F1FD4">
        <w:trPr>
          <w:trHeight w:val="908"/>
        </w:trPr>
        <w:tc>
          <w:tcPr>
            <w:tcW w:w="9720" w:type="dxa"/>
            <w:gridSpan w:val="3"/>
          </w:tcPr>
          <w:p w:rsidR="00F71EB9" w:rsidRPr="009A79F5" w:rsidRDefault="005955B1" w:rsidP="006F1FD4">
            <w:pPr>
              <w:spacing w:line="360" w:lineRule="auto"/>
              <w:jc w:val="both"/>
              <w:rPr>
                <w:rFonts w:ascii="Arial" w:hAnsi="Arial" w:cs="Arial"/>
                <w:sz w:val="24"/>
                <w:szCs w:val="24"/>
              </w:rPr>
            </w:pPr>
            <w:r w:rsidRPr="009A79F5">
              <w:rPr>
                <w:rFonts w:ascii="Arial" w:hAnsi="Arial" w:cs="Arial"/>
                <w:b/>
                <w:sz w:val="24"/>
                <w:szCs w:val="24"/>
              </w:rPr>
              <w:t>Neutral citation:</w:t>
            </w:r>
            <w:r w:rsidRPr="009A79F5">
              <w:rPr>
                <w:rFonts w:ascii="Arial" w:hAnsi="Arial" w:cs="Arial"/>
                <w:sz w:val="24"/>
                <w:szCs w:val="24"/>
              </w:rPr>
              <w:t xml:space="preserve"> </w:t>
            </w:r>
            <w:r w:rsidR="006F1FD4" w:rsidRPr="009A79F5">
              <w:rPr>
                <w:rFonts w:ascii="Arial" w:hAnsi="Arial" w:cs="Arial"/>
                <w:i/>
                <w:sz w:val="24"/>
                <w:szCs w:val="24"/>
              </w:rPr>
              <w:t>Stephanus</w:t>
            </w:r>
            <w:r w:rsidR="00F72F82" w:rsidRPr="009A79F5">
              <w:rPr>
                <w:rFonts w:ascii="Arial" w:hAnsi="Arial" w:cs="Arial"/>
                <w:i/>
                <w:sz w:val="24"/>
                <w:szCs w:val="24"/>
              </w:rPr>
              <w:t xml:space="preserve"> v </w:t>
            </w:r>
            <w:r w:rsidR="006F1FD4" w:rsidRPr="009A79F5">
              <w:rPr>
                <w:rFonts w:ascii="Arial" w:hAnsi="Arial" w:cs="Arial"/>
                <w:i/>
                <w:sz w:val="24"/>
                <w:szCs w:val="24"/>
              </w:rPr>
              <w:t>Kuutondokwa</w:t>
            </w:r>
            <w:r w:rsidR="00026D86" w:rsidRPr="009A79F5">
              <w:rPr>
                <w:rFonts w:ascii="Arial" w:hAnsi="Arial" w:cs="Arial"/>
                <w:i/>
                <w:sz w:val="24"/>
                <w:szCs w:val="24"/>
              </w:rPr>
              <w:t xml:space="preserve"> </w:t>
            </w:r>
            <w:r w:rsidR="00B4625E" w:rsidRPr="009A79F5">
              <w:rPr>
                <w:rFonts w:ascii="Arial" w:hAnsi="Arial" w:cs="Arial"/>
                <w:sz w:val="24"/>
                <w:szCs w:val="24"/>
              </w:rPr>
              <w:t>(</w:t>
            </w:r>
            <w:r w:rsidR="006F1FD4" w:rsidRPr="009A79F5">
              <w:rPr>
                <w:rFonts w:ascii="Arial" w:hAnsi="Arial" w:cs="Arial"/>
                <w:sz w:val="24"/>
                <w:szCs w:val="24"/>
              </w:rPr>
              <w:t>HC-MD-CIV-ACT-OTH-2020/00364</w:t>
            </w:r>
            <w:r w:rsidR="00B4625E" w:rsidRPr="009A79F5">
              <w:rPr>
                <w:rFonts w:ascii="Arial" w:hAnsi="Arial" w:cs="Arial"/>
                <w:sz w:val="24"/>
                <w:szCs w:val="24"/>
              </w:rPr>
              <w:t>)</w:t>
            </w:r>
            <w:r w:rsidR="00B4625E" w:rsidRPr="009A79F5">
              <w:rPr>
                <w:rFonts w:ascii="Arial" w:hAnsi="Arial" w:cs="Arial"/>
                <w:b/>
                <w:sz w:val="24"/>
                <w:szCs w:val="24"/>
              </w:rPr>
              <w:t xml:space="preserve"> </w:t>
            </w:r>
            <w:r w:rsidR="00B4625E" w:rsidRPr="009A79F5">
              <w:rPr>
                <w:rFonts w:ascii="Arial" w:hAnsi="Arial" w:cs="Arial"/>
                <w:sz w:val="24"/>
                <w:szCs w:val="24"/>
              </w:rPr>
              <w:t>[20</w:t>
            </w:r>
            <w:r w:rsidR="00915248" w:rsidRPr="009A79F5">
              <w:rPr>
                <w:rFonts w:ascii="Arial" w:hAnsi="Arial" w:cs="Arial"/>
                <w:sz w:val="24"/>
                <w:szCs w:val="24"/>
              </w:rPr>
              <w:t>20</w:t>
            </w:r>
            <w:r w:rsidR="00B4625E" w:rsidRPr="009A79F5">
              <w:rPr>
                <w:rFonts w:ascii="Arial" w:hAnsi="Arial" w:cs="Arial"/>
                <w:sz w:val="24"/>
                <w:szCs w:val="24"/>
              </w:rPr>
              <w:t xml:space="preserve">] </w:t>
            </w:r>
            <w:r w:rsidRPr="009A79F5">
              <w:rPr>
                <w:rFonts w:ascii="Arial" w:hAnsi="Arial" w:cs="Arial"/>
                <w:sz w:val="24"/>
                <w:szCs w:val="24"/>
              </w:rPr>
              <w:t xml:space="preserve">NAHCMD </w:t>
            </w:r>
            <w:r w:rsidR="006F1FD4" w:rsidRPr="009A79F5">
              <w:rPr>
                <w:rFonts w:ascii="Arial" w:hAnsi="Arial" w:cs="Arial"/>
                <w:sz w:val="24"/>
                <w:szCs w:val="24"/>
              </w:rPr>
              <w:t xml:space="preserve">468 </w:t>
            </w:r>
            <w:r w:rsidR="00B4625E" w:rsidRPr="009A79F5">
              <w:rPr>
                <w:rFonts w:ascii="Arial" w:hAnsi="Arial" w:cs="Arial"/>
                <w:sz w:val="24"/>
                <w:szCs w:val="24"/>
              </w:rPr>
              <w:t>(</w:t>
            </w:r>
            <w:r w:rsidR="006F1FD4" w:rsidRPr="009A79F5">
              <w:rPr>
                <w:rFonts w:ascii="Arial" w:hAnsi="Arial" w:cs="Arial"/>
                <w:sz w:val="24"/>
                <w:szCs w:val="24"/>
              </w:rPr>
              <w:t>12 October</w:t>
            </w:r>
            <w:r w:rsidR="00915248" w:rsidRPr="009A79F5">
              <w:rPr>
                <w:rFonts w:ascii="Arial" w:hAnsi="Arial" w:cs="Arial"/>
                <w:sz w:val="24"/>
                <w:szCs w:val="24"/>
              </w:rPr>
              <w:t xml:space="preserve"> 2020</w:t>
            </w:r>
            <w:r w:rsidRPr="009A79F5">
              <w:rPr>
                <w:rFonts w:ascii="Arial" w:hAnsi="Arial" w:cs="Arial"/>
                <w:sz w:val="24"/>
                <w:szCs w:val="24"/>
              </w:rPr>
              <w:t>)</w:t>
            </w:r>
          </w:p>
        </w:tc>
      </w:tr>
      <w:tr w:rsidR="00281FAB" w:rsidRPr="009A79F5" w:rsidTr="006F1FD4">
        <w:tc>
          <w:tcPr>
            <w:tcW w:w="9720" w:type="dxa"/>
            <w:gridSpan w:val="3"/>
          </w:tcPr>
          <w:p w:rsidR="00281FAB" w:rsidRPr="009A79F5" w:rsidRDefault="00281FAB" w:rsidP="00EB27A0">
            <w:pPr>
              <w:spacing w:line="360" w:lineRule="auto"/>
              <w:jc w:val="both"/>
              <w:rPr>
                <w:rFonts w:ascii="Arial" w:hAnsi="Arial" w:cs="Arial"/>
                <w:b/>
                <w:sz w:val="24"/>
                <w:szCs w:val="24"/>
              </w:rPr>
            </w:pPr>
            <w:r w:rsidRPr="009A79F5">
              <w:rPr>
                <w:rFonts w:ascii="Arial" w:hAnsi="Arial" w:cs="Arial"/>
                <w:b/>
                <w:sz w:val="24"/>
                <w:szCs w:val="24"/>
              </w:rPr>
              <w:t>The order:</w:t>
            </w:r>
          </w:p>
          <w:p w:rsidR="00C73154" w:rsidRPr="009A79F5" w:rsidRDefault="00C73154" w:rsidP="00EB27A0">
            <w:pPr>
              <w:spacing w:line="360" w:lineRule="auto"/>
              <w:jc w:val="both"/>
              <w:rPr>
                <w:rFonts w:ascii="Arial" w:hAnsi="Arial" w:cs="Arial"/>
                <w:color w:val="000000" w:themeColor="text1"/>
                <w:sz w:val="24"/>
                <w:szCs w:val="24"/>
              </w:rPr>
            </w:pPr>
          </w:p>
          <w:p w:rsidR="00281FAB" w:rsidRPr="009A79F5" w:rsidRDefault="00915248" w:rsidP="00EB27A0">
            <w:pPr>
              <w:spacing w:line="360" w:lineRule="auto"/>
              <w:jc w:val="both"/>
              <w:rPr>
                <w:rFonts w:ascii="Arial" w:hAnsi="Arial" w:cs="Arial"/>
                <w:color w:val="000000" w:themeColor="text1"/>
                <w:sz w:val="24"/>
                <w:szCs w:val="24"/>
              </w:rPr>
            </w:pPr>
            <w:r w:rsidRPr="009A79F5">
              <w:rPr>
                <w:rFonts w:ascii="Arial" w:hAnsi="Arial" w:cs="Arial"/>
                <w:i/>
                <w:color w:val="000000" w:themeColor="text1"/>
                <w:sz w:val="24"/>
                <w:szCs w:val="24"/>
              </w:rPr>
              <w:t>In absentia</w:t>
            </w:r>
            <w:r w:rsidRPr="009A79F5">
              <w:rPr>
                <w:rFonts w:ascii="Arial" w:hAnsi="Arial" w:cs="Arial"/>
                <w:color w:val="000000" w:themeColor="text1"/>
                <w:sz w:val="24"/>
                <w:szCs w:val="24"/>
              </w:rPr>
              <w:t xml:space="preserve"> of the parties and/or their legal practitioners and having read other documents filed of record:</w:t>
            </w:r>
          </w:p>
          <w:p w:rsidR="00EB27A0" w:rsidRPr="009A79F5" w:rsidRDefault="00EB27A0" w:rsidP="00EB27A0">
            <w:pPr>
              <w:spacing w:line="360" w:lineRule="auto"/>
              <w:jc w:val="both"/>
              <w:rPr>
                <w:rFonts w:ascii="Arial" w:hAnsi="Arial" w:cs="Arial"/>
                <w:color w:val="000000" w:themeColor="text1"/>
                <w:sz w:val="24"/>
                <w:szCs w:val="24"/>
              </w:rPr>
            </w:pPr>
          </w:p>
          <w:p w:rsidR="00EB27A0" w:rsidRPr="009A79F5" w:rsidRDefault="00EB27A0" w:rsidP="00EB27A0">
            <w:pPr>
              <w:spacing w:line="360" w:lineRule="auto"/>
              <w:jc w:val="both"/>
              <w:rPr>
                <w:rFonts w:ascii="Arial" w:hAnsi="Arial" w:cs="Arial"/>
                <w:b/>
                <w:sz w:val="24"/>
                <w:szCs w:val="24"/>
              </w:rPr>
            </w:pPr>
            <w:r w:rsidRPr="009A79F5">
              <w:rPr>
                <w:rFonts w:ascii="Arial" w:hAnsi="Arial" w:cs="Arial"/>
                <w:b/>
                <w:sz w:val="24"/>
                <w:szCs w:val="24"/>
              </w:rPr>
              <w:t>IT IS ORDERED THAT:</w:t>
            </w:r>
          </w:p>
          <w:p w:rsidR="008D65E9" w:rsidRPr="009A79F5" w:rsidRDefault="008D65E9" w:rsidP="00EB27A0">
            <w:pPr>
              <w:spacing w:line="360" w:lineRule="auto"/>
              <w:jc w:val="both"/>
              <w:rPr>
                <w:rFonts w:ascii="Arial" w:hAnsi="Arial" w:cs="Arial"/>
                <w:sz w:val="24"/>
                <w:szCs w:val="24"/>
              </w:rPr>
            </w:pPr>
          </w:p>
          <w:p w:rsidR="007447AE" w:rsidRPr="009A79F5" w:rsidRDefault="006F1FD4" w:rsidP="00393E41">
            <w:pPr>
              <w:pStyle w:val="ListParagraph"/>
              <w:numPr>
                <w:ilvl w:val="0"/>
                <w:numId w:val="8"/>
              </w:numPr>
              <w:spacing w:line="360" w:lineRule="auto"/>
              <w:ind w:left="446" w:hanging="426"/>
              <w:jc w:val="both"/>
              <w:rPr>
                <w:rFonts w:ascii="Arial" w:hAnsi="Arial" w:cs="Arial"/>
                <w:sz w:val="24"/>
                <w:szCs w:val="24"/>
              </w:rPr>
            </w:pPr>
            <w:r w:rsidRPr="009A79F5">
              <w:rPr>
                <w:rFonts w:ascii="Arial" w:hAnsi="Arial" w:cs="Arial"/>
                <w:sz w:val="24"/>
                <w:szCs w:val="24"/>
              </w:rPr>
              <w:t xml:space="preserve">The </w:t>
            </w:r>
            <w:r w:rsidRPr="009A79F5">
              <w:rPr>
                <w:rFonts w:ascii="Arial" w:eastAsia="Calibri" w:hAnsi="Arial" w:cs="Arial"/>
                <w:sz w:val="24"/>
                <w:szCs w:val="24"/>
                <w:lang w:val="en-US"/>
              </w:rPr>
              <w:t>grounds of exception to the plaintiff’s particulars of claim are dismissed with costs, limited to N$20 000</w:t>
            </w:r>
            <w:r w:rsidR="00D153C7" w:rsidRPr="009A79F5">
              <w:rPr>
                <w:rFonts w:ascii="Arial" w:hAnsi="Arial" w:cs="Arial"/>
                <w:sz w:val="24"/>
                <w:szCs w:val="24"/>
              </w:rPr>
              <w:t>.</w:t>
            </w:r>
          </w:p>
          <w:p w:rsidR="00837272" w:rsidRPr="009A79F5" w:rsidRDefault="00837272" w:rsidP="006F1FD4">
            <w:pPr>
              <w:spacing w:line="360" w:lineRule="auto"/>
              <w:jc w:val="both"/>
              <w:rPr>
                <w:rFonts w:ascii="Arial" w:hAnsi="Arial" w:cs="Arial"/>
                <w:sz w:val="24"/>
                <w:szCs w:val="24"/>
              </w:rPr>
            </w:pPr>
          </w:p>
          <w:p w:rsidR="00CF3D16" w:rsidRPr="009A79F5" w:rsidRDefault="006F1FD4" w:rsidP="00364D3C">
            <w:pPr>
              <w:pStyle w:val="ListParagraph"/>
              <w:numPr>
                <w:ilvl w:val="0"/>
                <w:numId w:val="8"/>
              </w:numPr>
              <w:spacing w:line="360" w:lineRule="auto"/>
              <w:ind w:left="446" w:hanging="426"/>
              <w:jc w:val="both"/>
              <w:rPr>
                <w:rFonts w:ascii="Arial" w:hAnsi="Arial" w:cs="Arial"/>
                <w:sz w:val="24"/>
                <w:szCs w:val="24"/>
              </w:rPr>
            </w:pPr>
            <w:r w:rsidRPr="009A79F5">
              <w:rPr>
                <w:rFonts w:ascii="Arial" w:eastAsia="Calibri" w:hAnsi="Arial" w:cs="Arial"/>
                <w:sz w:val="24"/>
                <w:szCs w:val="24"/>
                <w:lang w:val="en-US"/>
              </w:rPr>
              <w:t xml:space="preserve">The matter is postponed back to the Judicial Case Management Roll before Judge Oosthuizen on </w:t>
            </w:r>
            <w:r w:rsidRPr="009A79F5">
              <w:rPr>
                <w:rFonts w:ascii="Arial" w:eastAsia="Calibri" w:hAnsi="Arial" w:cs="Arial"/>
                <w:b/>
                <w:sz w:val="24"/>
                <w:szCs w:val="24"/>
                <w:lang w:val="en-US"/>
              </w:rPr>
              <w:t>23 November 2020</w:t>
            </w:r>
            <w:r w:rsidRPr="009A79F5">
              <w:rPr>
                <w:rFonts w:ascii="Arial" w:eastAsia="Calibri" w:hAnsi="Arial" w:cs="Arial"/>
                <w:sz w:val="24"/>
                <w:szCs w:val="24"/>
                <w:lang w:val="en-US"/>
              </w:rPr>
              <w:t xml:space="preserve"> at </w:t>
            </w:r>
            <w:r w:rsidRPr="009A79F5">
              <w:rPr>
                <w:rFonts w:ascii="Arial" w:eastAsia="Calibri" w:hAnsi="Arial" w:cs="Arial"/>
                <w:b/>
                <w:sz w:val="24"/>
                <w:szCs w:val="24"/>
                <w:lang w:val="en-US"/>
              </w:rPr>
              <w:t>14h15</w:t>
            </w:r>
            <w:r w:rsidR="00EE19B5" w:rsidRPr="009A79F5">
              <w:rPr>
                <w:rFonts w:ascii="Arial" w:hAnsi="Arial" w:cs="Arial"/>
                <w:sz w:val="24"/>
                <w:szCs w:val="24"/>
              </w:rPr>
              <w:t>.</w:t>
            </w:r>
          </w:p>
          <w:p w:rsidR="00686B3F" w:rsidRPr="009A79F5" w:rsidRDefault="00686B3F" w:rsidP="00A258AF">
            <w:pPr>
              <w:spacing w:line="360" w:lineRule="auto"/>
              <w:jc w:val="both"/>
              <w:rPr>
                <w:rFonts w:ascii="Arial" w:hAnsi="Arial" w:cs="Arial"/>
                <w:sz w:val="24"/>
                <w:szCs w:val="24"/>
              </w:rPr>
            </w:pPr>
          </w:p>
        </w:tc>
      </w:tr>
      <w:tr w:rsidR="00281FAB" w:rsidRPr="009A79F5" w:rsidTr="006F1FD4">
        <w:tc>
          <w:tcPr>
            <w:tcW w:w="9720" w:type="dxa"/>
            <w:gridSpan w:val="3"/>
          </w:tcPr>
          <w:p w:rsidR="00281FAB" w:rsidRPr="009A79F5" w:rsidRDefault="008E6759" w:rsidP="00266B3E">
            <w:pPr>
              <w:spacing w:line="360" w:lineRule="auto"/>
              <w:jc w:val="both"/>
              <w:rPr>
                <w:rFonts w:ascii="Arial" w:hAnsi="Arial" w:cs="Arial"/>
                <w:b/>
                <w:sz w:val="24"/>
                <w:szCs w:val="24"/>
              </w:rPr>
            </w:pPr>
            <w:r w:rsidRPr="009A79F5">
              <w:rPr>
                <w:rFonts w:ascii="Arial" w:hAnsi="Arial" w:cs="Arial"/>
                <w:b/>
                <w:sz w:val="24"/>
                <w:szCs w:val="24"/>
              </w:rPr>
              <w:t>Following below are the reasons for the above order:</w:t>
            </w:r>
          </w:p>
        </w:tc>
      </w:tr>
      <w:tr w:rsidR="00281FAB" w:rsidRPr="009A79F5" w:rsidTr="006F1FD4">
        <w:tc>
          <w:tcPr>
            <w:tcW w:w="9720" w:type="dxa"/>
            <w:gridSpan w:val="3"/>
          </w:tcPr>
          <w:p w:rsidR="00BB1E6E" w:rsidRPr="009A79F5" w:rsidRDefault="00BB1E6E" w:rsidP="00FD38C2">
            <w:pPr>
              <w:spacing w:line="360" w:lineRule="auto"/>
              <w:jc w:val="both"/>
              <w:rPr>
                <w:rFonts w:ascii="Arial" w:hAnsi="Arial" w:cs="Arial"/>
                <w:sz w:val="24"/>
                <w:szCs w:val="24"/>
              </w:rPr>
            </w:pPr>
          </w:p>
          <w:p w:rsidR="00A4515E" w:rsidRPr="009A79F5" w:rsidRDefault="009C7093" w:rsidP="00176181">
            <w:pPr>
              <w:tabs>
                <w:tab w:val="left" w:pos="729"/>
              </w:tabs>
              <w:spacing w:line="360" w:lineRule="auto"/>
              <w:jc w:val="both"/>
              <w:rPr>
                <w:rFonts w:ascii="Arial" w:hAnsi="Arial" w:cs="Arial"/>
                <w:sz w:val="24"/>
                <w:szCs w:val="24"/>
              </w:rPr>
            </w:pPr>
            <w:r w:rsidRPr="009A79F5">
              <w:rPr>
                <w:rFonts w:ascii="Arial" w:hAnsi="Arial" w:cs="Arial"/>
                <w:sz w:val="24"/>
                <w:szCs w:val="24"/>
              </w:rPr>
              <w:t>[1]</w:t>
            </w:r>
            <w:r w:rsidR="00767C1C" w:rsidRPr="009A79F5">
              <w:rPr>
                <w:rFonts w:ascii="Arial" w:hAnsi="Arial" w:cs="Arial"/>
                <w:sz w:val="24"/>
                <w:szCs w:val="24"/>
              </w:rPr>
              <w:tab/>
            </w:r>
            <w:r w:rsidR="006F1FD4" w:rsidRPr="009A79F5">
              <w:rPr>
                <w:rFonts w:ascii="Arial" w:hAnsi="Arial" w:cs="Arial"/>
                <w:sz w:val="24"/>
                <w:szCs w:val="24"/>
              </w:rPr>
              <w:t>The matter before me concerns an exception raised by the first defendant against the plaintiff’s amended particulars of claim, as read with the annexure attached thereto</w:t>
            </w:r>
            <w:r w:rsidR="00E41527" w:rsidRPr="009A79F5">
              <w:rPr>
                <w:rFonts w:ascii="Arial" w:hAnsi="Arial" w:cs="Arial"/>
                <w:sz w:val="24"/>
                <w:szCs w:val="24"/>
              </w:rPr>
              <w:t>.</w:t>
            </w:r>
          </w:p>
          <w:p w:rsidR="004A6FCE" w:rsidRPr="009A79F5" w:rsidRDefault="004A6FCE" w:rsidP="00FD38C2">
            <w:pPr>
              <w:spacing w:line="360" w:lineRule="auto"/>
              <w:jc w:val="both"/>
              <w:rPr>
                <w:rFonts w:ascii="Arial" w:hAnsi="Arial" w:cs="Arial"/>
                <w:sz w:val="24"/>
                <w:szCs w:val="24"/>
              </w:rPr>
            </w:pPr>
          </w:p>
          <w:p w:rsidR="004A6FCE" w:rsidRPr="009A79F5" w:rsidRDefault="00747B22" w:rsidP="00176181">
            <w:pPr>
              <w:tabs>
                <w:tab w:val="left" w:pos="729"/>
              </w:tabs>
              <w:spacing w:line="360" w:lineRule="auto"/>
              <w:jc w:val="both"/>
              <w:rPr>
                <w:rFonts w:ascii="Arial" w:hAnsi="Arial" w:cs="Arial"/>
                <w:sz w:val="24"/>
                <w:szCs w:val="24"/>
              </w:rPr>
            </w:pPr>
            <w:r w:rsidRPr="009A79F5">
              <w:rPr>
                <w:rFonts w:ascii="Arial" w:hAnsi="Arial" w:cs="Arial"/>
                <w:sz w:val="24"/>
                <w:szCs w:val="24"/>
              </w:rPr>
              <w:t>[2]</w:t>
            </w:r>
            <w:r w:rsidR="00767C1C" w:rsidRPr="009A79F5">
              <w:rPr>
                <w:rFonts w:ascii="Arial" w:hAnsi="Arial" w:cs="Arial"/>
                <w:sz w:val="24"/>
                <w:szCs w:val="24"/>
              </w:rPr>
              <w:tab/>
            </w:r>
            <w:r w:rsidR="006F1FD4" w:rsidRPr="009A79F5">
              <w:rPr>
                <w:rFonts w:ascii="Arial" w:hAnsi="Arial" w:cs="Arial"/>
                <w:sz w:val="24"/>
                <w:szCs w:val="24"/>
              </w:rPr>
              <w:t>The grounds of the exception are contained in the notice of exception dated 10 August 2020, which also incorporated a notice in terms of rule 57(2)</w:t>
            </w:r>
            <w:r w:rsidRPr="009A79F5">
              <w:rPr>
                <w:rFonts w:ascii="Arial" w:hAnsi="Arial" w:cs="Arial"/>
                <w:sz w:val="24"/>
                <w:szCs w:val="24"/>
              </w:rPr>
              <w:t>.</w:t>
            </w:r>
          </w:p>
          <w:p w:rsidR="009E31F0" w:rsidRPr="009A79F5" w:rsidRDefault="009E31F0" w:rsidP="00FD38C2">
            <w:pPr>
              <w:spacing w:line="360" w:lineRule="auto"/>
              <w:jc w:val="both"/>
              <w:rPr>
                <w:rFonts w:ascii="Arial" w:hAnsi="Arial" w:cs="Arial"/>
                <w:sz w:val="24"/>
                <w:szCs w:val="24"/>
              </w:rPr>
            </w:pPr>
          </w:p>
          <w:p w:rsidR="009E31F0" w:rsidRPr="009A79F5" w:rsidRDefault="00FF2E3F" w:rsidP="00176181">
            <w:pPr>
              <w:tabs>
                <w:tab w:val="left" w:pos="729"/>
              </w:tabs>
              <w:spacing w:line="360" w:lineRule="auto"/>
              <w:jc w:val="both"/>
              <w:rPr>
                <w:rFonts w:ascii="Arial" w:hAnsi="Arial" w:cs="Arial"/>
                <w:sz w:val="24"/>
                <w:szCs w:val="24"/>
              </w:rPr>
            </w:pPr>
            <w:r w:rsidRPr="009A79F5">
              <w:rPr>
                <w:rFonts w:ascii="Arial" w:hAnsi="Arial" w:cs="Arial"/>
                <w:sz w:val="24"/>
                <w:szCs w:val="24"/>
              </w:rPr>
              <w:t>[</w:t>
            </w:r>
            <w:r w:rsidR="003E5299" w:rsidRPr="009A79F5">
              <w:rPr>
                <w:rFonts w:ascii="Arial" w:hAnsi="Arial" w:cs="Arial"/>
                <w:sz w:val="24"/>
                <w:szCs w:val="24"/>
              </w:rPr>
              <w:t>3</w:t>
            </w:r>
            <w:r w:rsidR="009E31F0" w:rsidRPr="009A79F5">
              <w:rPr>
                <w:rFonts w:ascii="Arial" w:hAnsi="Arial" w:cs="Arial"/>
                <w:sz w:val="24"/>
                <w:szCs w:val="24"/>
              </w:rPr>
              <w:t>]</w:t>
            </w:r>
            <w:r w:rsidR="00767C1C" w:rsidRPr="009A79F5">
              <w:rPr>
                <w:rFonts w:ascii="Arial" w:hAnsi="Arial" w:cs="Arial"/>
                <w:sz w:val="24"/>
                <w:szCs w:val="24"/>
              </w:rPr>
              <w:tab/>
            </w:r>
            <w:r w:rsidR="006F1FD4" w:rsidRPr="009A79F5">
              <w:rPr>
                <w:rFonts w:ascii="Arial" w:hAnsi="Arial" w:cs="Arial"/>
                <w:sz w:val="24"/>
                <w:szCs w:val="24"/>
              </w:rPr>
              <w:t>In terms of that notice, the first defendant excepts against the plaintiff’s amended particulars of claim dated 25 June 2020 on the first ground that the particulars of claim do not contain the necessary averments to sustain a cause of action ag</w:t>
            </w:r>
            <w:r w:rsidR="009A79F5">
              <w:rPr>
                <w:rFonts w:ascii="Arial" w:hAnsi="Arial" w:cs="Arial"/>
                <w:sz w:val="24"/>
                <w:szCs w:val="24"/>
              </w:rPr>
              <w:t>ainst the first defendant; and/</w:t>
            </w:r>
            <w:r w:rsidR="006F1FD4" w:rsidRPr="009A79F5">
              <w:rPr>
                <w:rFonts w:ascii="Arial" w:hAnsi="Arial" w:cs="Arial"/>
                <w:sz w:val="24"/>
                <w:szCs w:val="24"/>
              </w:rPr>
              <w:t>or vague and embarrassing, and the second ground is that the particulars of claim fail to disclose a cause of action against the first defendant</w:t>
            </w:r>
            <w:r w:rsidR="009228FD" w:rsidRPr="009A79F5">
              <w:rPr>
                <w:rFonts w:ascii="Arial" w:hAnsi="Arial" w:cs="Arial"/>
                <w:sz w:val="24"/>
                <w:szCs w:val="24"/>
              </w:rPr>
              <w:t>.</w:t>
            </w:r>
          </w:p>
          <w:p w:rsidR="009E31F0" w:rsidRPr="009A79F5" w:rsidRDefault="009E31F0" w:rsidP="00FD38C2">
            <w:pPr>
              <w:spacing w:line="360" w:lineRule="auto"/>
              <w:jc w:val="both"/>
              <w:rPr>
                <w:rFonts w:ascii="Arial" w:hAnsi="Arial" w:cs="Arial"/>
                <w:sz w:val="24"/>
                <w:szCs w:val="24"/>
              </w:rPr>
            </w:pPr>
          </w:p>
          <w:p w:rsidR="009E31F0" w:rsidRPr="009A79F5" w:rsidRDefault="00FF2E3F" w:rsidP="00176181">
            <w:pPr>
              <w:tabs>
                <w:tab w:val="left" w:pos="713"/>
              </w:tabs>
              <w:spacing w:line="360" w:lineRule="auto"/>
              <w:jc w:val="both"/>
              <w:rPr>
                <w:rFonts w:ascii="Arial" w:hAnsi="Arial" w:cs="Arial"/>
                <w:sz w:val="24"/>
                <w:szCs w:val="24"/>
              </w:rPr>
            </w:pPr>
            <w:r w:rsidRPr="009A79F5">
              <w:rPr>
                <w:rFonts w:ascii="Arial" w:hAnsi="Arial" w:cs="Arial"/>
                <w:sz w:val="24"/>
                <w:szCs w:val="24"/>
              </w:rPr>
              <w:t>[</w:t>
            </w:r>
            <w:r w:rsidR="003E5299" w:rsidRPr="009A79F5">
              <w:rPr>
                <w:rFonts w:ascii="Arial" w:hAnsi="Arial" w:cs="Arial"/>
                <w:sz w:val="24"/>
                <w:szCs w:val="24"/>
              </w:rPr>
              <w:t>4</w:t>
            </w:r>
            <w:r w:rsidR="009E31F0" w:rsidRPr="009A79F5">
              <w:rPr>
                <w:rFonts w:ascii="Arial" w:hAnsi="Arial" w:cs="Arial"/>
                <w:sz w:val="24"/>
                <w:szCs w:val="24"/>
              </w:rPr>
              <w:t>]</w:t>
            </w:r>
            <w:r w:rsidR="00767C1C" w:rsidRPr="009A79F5">
              <w:rPr>
                <w:rFonts w:ascii="Arial" w:hAnsi="Arial" w:cs="Arial"/>
                <w:sz w:val="24"/>
                <w:szCs w:val="24"/>
              </w:rPr>
              <w:tab/>
            </w:r>
            <w:r w:rsidR="009A79F5">
              <w:rPr>
                <w:rFonts w:ascii="Arial" w:hAnsi="Arial" w:cs="Arial"/>
                <w:sz w:val="24"/>
                <w:szCs w:val="24"/>
              </w:rPr>
              <w:t>According to the notice of exception, the allegations or averments that the last will and testament of the testatrix executed on 24 August 2018 is not a valid will are vague and embarrassing averments because the plaintiff failed to set out material facts in respect of the following:</w:t>
            </w:r>
          </w:p>
          <w:p w:rsidR="009E31F0" w:rsidRPr="009A79F5" w:rsidRDefault="009E31F0" w:rsidP="00FD38C2">
            <w:pPr>
              <w:spacing w:line="360" w:lineRule="auto"/>
              <w:jc w:val="both"/>
              <w:rPr>
                <w:rFonts w:ascii="Arial" w:hAnsi="Arial" w:cs="Arial"/>
                <w:sz w:val="24"/>
                <w:szCs w:val="24"/>
              </w:rPr>
            </w:pPr>
          </w:p>
          <w:p w:rsidR="009A79F5" w:rsidRPr="009A79F5" w:rsidRDefault="009A79F5" w:rsidP="009A79F5">
            <w:pPr>
              <w:pStyle w:val="ListParagraph"/>
              <w:numPr>
                <w:ilvl w:val="0"/>
                <w:numId w:val="12"/>
              </w:numPr>
              <w:tabs>
                <w:tab w:val="left" w:pos="1580"/>
              </w:tabs>
              <w:spacing w:line="360" w:lineRule="auto"/>
              <w:ind w:left="1296" w:hanging="567"/>
              <w:jc w:val="both"/>
              <w:rPr>
                <w:rFonts w:ascii="Arial" w:hAnsi="Arial" w:cs="Arial"/>
                <w:sz w:val="24"/>
                <w:szCs w:val="24"/>
              </w:rPr>
            </w:pPr>
            <w:r w:rsidRPr="009A79F5">
              <w:rPr>
                <w:rFonts w:ascii="Arial" w:hAnsi="Arial" w:cs="Arial"/>
                <w:sz w:val="24"/>
                <w:szCs w:val="24"/>
              </w:rPr>
              <w:t>Details on who admitted the testatrix, the time that the testatrix was admitted, and failed to attach a death certificate.</w:t>
            </w:r>
          </w:p>
          <w:p w:rsidR="009A79F5" w:rsidRPr="009A79F5" w:rsidRDefault="009A79F5" w:rsidP="009A79F5">
            <w:pPr>
              <w:spacing w:line="360" w:lineRule="auto"/>
              <w:ind w:left="729"/>
              <w:jc w:val="both"/>
              <w:rPr>
                <w:rFonts w:ascii="Arial" w:hAnsi="Arial" w:cs="Arial"/>
                <w:sz w:val="24"/>
                <w:szCs w:val="24"/>
              </w:rPr>
            </w:pPr>
          </w:p>
          <w:p w:rsidR="009A79F5" w:rsidRPr="009A79F5" w:rsidRDefault="009A79F5" w:rsidP="009A79F5">
            <w:pPr>
              <w:pStyle w:val="ListParagraph"/>
              <w:numPr>
                <w:ilvl w:val="0"/>
                <w:numId w:val="12"/>
              </w:numPr>
              <w:tabs>
                <w:tab w:val="left" w:pos="1296"/>
              </w:tabs>
              <w:spacing w:line="360" w:lineRule="auto"/>
              <w:ind w:left="1296" w:hanging="567"/>
              <w:jc w:val="both"/>
              <w:rPr>
                <w:rFonts w:ascii="Arial" w:hAnsi="Arial" w:cs="Arial"/>
                <w:sz w:val="24"/>
                <w:szCs w:val="24"/>
              </w:rPr>
            </w:pPr>
            <w:r w:rsidRPr="009A79F5">
              <w:rPr>
                <w:rFonts w:ascii="Arial" w:hAnsi="Arial" w:cs="Arial"/>
                <w:sz w:val="24"/>
                <w:szCs w:val="24"/>
              </w:rPr>
              <w:t>The reason why the testatrix was admitted to the hospital, who was present when the testatrix was admitted to the hospital, who took her to the hospital, who prescribed and administered the morphine before and during her admission to the hospital, doctors who treated the testatrix were not attached to the amended particulars of claim, and there is no indication as to who diagnosed the testatrix with aspiration pneumonia, anaemia, and hypoxia, and the date of such diagnosis.</w:t>
            </w:r>
          </w:p>
          <w:p w:rsidR="009A79F5" w:rsidRPr="009A79F5" w:rsidRDefault="009A79F5" w:rsidP="009A79F5">
            <w:pPr>
              <w:spacing w:line="360" w:lineRule="auto"/>
              <w:ind w:left="729"/>
              <w:jc w:val="both"/>
              <w:rPr>
                <w:rFonts w:ascii="Arial" w:hAnsi="Arial" w:cs="Arial"/>
                <w:sz w:val="24"/>
                <w:szCs w:val="24"/>
              </w:rPr>
            </w:pPr>
          </w:p>
          <w:p w:rsidR="009A79F5" w:rsidRPr="009A79F5" w:rsidRDefault="009A79F5" w:rsidP="009A79F5">
            <w:pPr>
              <w:pStyle w:val="ListParagraph"/>
              <w:numPr>
                <w:ilvl w:val="0"/>
                <w:numId w:val="12"/>
              </w:numPr>
              <w:tabs>
                <w:tab w:val="left" w:pos="1296"/>
              </w:tabs>
              <w:spacing w:line="360" w:lineRule="auto"/>
              <w:ind w:left="1296" w:hanging="567"/>
              <w:jc w:val="both"/>
              <w:rPr>
                <w:rFonts w:ascii="Arial" w:hAnsi="Arial" w:cs="Arial"/>
                <w:sz w:val="24"/>
                <w:szCs w:val="24"/>
              </w:rPr>
            </w:pPr>
            <w:r w:rsidRPr="009A79F5">
              <w:rPr>
                <w:rFonts w:ascii="Arial" w:hAnsi="Arial" w:cs="Arial"/>
                <w:sz w:val="24"/>
                <w:szCs w:val="24"/>
              </w:rPr>
              <w:t>No medical report was attached to the amended particulars of claim indicating when and where the testatrix suffered severe respiratory distress, and who treated the testatrix.</w:t>
            </w:r>
          </w:p>
          <w:p w:rsidR="009A79F5" w:rsidRPr="009A79F5" w:rsidRDefault="009A79F5" w:rsidP="00FD38C2">
            <w:pPr>
              <w:spacing w:line="360" w:lineRule="auto"/>
              <w:jc w:val="both"/>
              <w:rPr>
                <w:rFonts w:ascii="Arial" w:hAnsi="Arial" w:cs="Arial"/>
                <w:sz w:val="24"/>
                <w:szCs w:val="24"/>
              </w:rPr>
            </w:pPr>
          </w:p>
          <w:p w:rsidR="009E31F0" w:rsidRPr="009A79F5" w:rsidRDefault="00FF2E3F" w:rsidP="00FD38C2">
            <w:pPr>
              <w:spacing w:line="360" w:lineRule="auto"/>
              <w:jc w:val="both"/>
              <w:rPr>
                <w:rFonts w:ascii="Arial" w:hAnsi="Arial" w:cs="Arial"/>
                <w:sz w:val="24"/>
                <w:szCs w:val="24"/>
              </w:rPr>
            </w:pPr>
            <w:r w:rsidRPr="009A79F5">
              <w:rPr>
                <w:rFonts w:ascii="Arial" w:hAnsi="Arial" w:cs="Arial"/>
                <w:sz w:val="24"/>
                <w:szCs w:val="24"/>
              </w:rPr>
              <w:t>[</w:t>
            </w:r>
            <w:r w:rsidR="003E5299" w:rsidRPr="009A79F5">
              <w:rPr>
                <w:rFonts w:ascii="Arial" w:hAnsi="Arial" w:cs="Arial"/>
                <w:sz w:val="24"/>
                <w:szCs w:val="24"/>
              </w:rPr>
              <w:t>5</w:t>
            </w:r>
            <w:r w:rsidR="009E31F0" w:rsidRPr="009A79F5">
              <w:rPr>
                <w:rFonts w:ascii="Arial" w:hAnsi="Arial" w:cs="Arial"/>
                <w:sz w:val="24"/>
                <w:szCs w:val="24"/>
              </w:rPr>
              <w:t>]</w:t>
            </w:r>
            <w:r w:rsidR="00767C1C" w:rsidRPr="009A79F5">
              <w:rPr>
                <w:rFonts w:ascii="Arial" w:hAnsi="Arial" w:cs="Arial"/>
                <w:sz w:val="24"/>
                <w:szCs w:val="24"/>
              </w:rPr>
              <w:tab/>
            </w:r>
            <w:r w:rsidR="00176181">
              <w:rPr>
                <w:rFonts w:ascii="Arial" w:hAnsi="Arial" w:cs="Arial"/>
                <w:sz w:val="24"/>
                <w:szCs w:val="24"/>
              </w:rPr>
              <w:t>According to the notice of exception, the plaintiff’s amended particulars of claim failed to set out a cause of action in that the plaintiff failed to do the following:</w:t>
            </w:r>
          </w:p>
          <w:p w:rsidR="00FF2E3F" w:rsidRDefault="00FF2E3F" w:rsidP="00FD38C2">
            <w:pPr>
              <w:spacing w:line="360" w:lineRule="auto"/>
              <w:jc w:val="both"/>
              <w:rPr>
                <w:rFonts w:ascii="Arial" w:hAnsi="Arial" w:cs="Arial"/>
                <w:sz w:val="24"/>
                <w:szCs w:val="24"/>
              </w:rPr>
            </w:pPr>
          </w:p>
          <w:p w:rsidR="00176181" w:rsidRPr="00176181" w:rsidRDefault="00176181" w:rsidP="00176181">
            <w:pPr>
              <w:pStyle w:val="ListParagraph"/>
              <w:numPr>
                <w:ilvl w:val="0"/>
                <w:numId w:val="13"/>
              </w:numPr>
              <w:tabs>
                <w:tab w:val="left" w:pos="1296"/>
              </w:tabs>
              <w:spacing w:line="360" w:lineRule="auto"/>
              <w:ind w:left="1296" w:hanging="567"/>
              <w:jc w:val="both"/>
              <w:rPr>
                <w:rFonts w:ascii="Arial" w:hAnsi="Arial" w:cs="Arial"/>
                <w:sz w:val="24"/>
                <w:szCs w:val="24"/>
              </w:rPr>
            </w:pPr>
            <w:r w:rsidRPr="00176181">
              <w:rPr>
                <w:rFonts w:ascii="Arial" w:hAnsi="Arial" w:cs="Arial"/>
                <w:sz w:val="24"/>
                <w:szCs w:val="24"/>
              </w:rPr>
              <w:lastRenderedPageBreak/>
              <w:t>Failed to lay a basis on how the testatrix condition became worse and/or deteriorated, plaintiff failed to attach a medical report to support the allegation made.</w:t>
            </w:r>
          </w:p>
          <w:p w:rsidR="00176181" w:rsidRPr="00176181" w:rsidRDefault="00176181" w:rsidP="00176181">
            <w:pPr>
              <w:spacing w:line="360" w:lineRule="auto"/>
              <w:ind w:left="729"/>
              <w:jc w:val="both"/>
              <w:rPr>
                <w:rFonts w:ascii="Arial" w:hAnsi="Arial" w:cs="Arial"/>
                <w:sz w:val="24"/>
                <w:szCs w:val="24"/>
              </w:rPr>
            </w:pPr>
          </w:p>
          <w:p w:rsidR="00176181" w:rsidRPr="00176181" w:rsidRDefault="00176181" w:rsidP="00176181">
            <w:pPr>
              <w:pStyle w:val="ListParagraph"/>
              <w:numPr>
                <w:ilvl w:val="0"/>
                <w:numId w:val="13"/>
              </w:numPr>
              <w:tabs>
                <w:tab w:val="left" w:pos="1296"/>
              </w:tabs>
              <w:spacing w:line="360" w:lineRule="auto"/>
              <w:ind w:left="1296" w:hanging="567"/>
              <w:jc w:val="both"/>
              <w:rPr>
                <w:rFonts w:ascii="Arial" w:hAnsi="Arial" w:cs="Arial"/>
                <w:sz w:val="24"/>
                <w:szCs w:val="24"/>
              </w:rPr>
            </w:pPr>
            <w:r w:rsidRPr="00176181">
              <w:rPr>
                <w:rFonts w:ascii="Arial" w:hAnsi="Arial" w:cs="Arial"/>
                <w:sz w:val="24"/>
                <w:szCs w:val="24"/>
              </w:rPr>
              <w:t>Failed to set out the basis upon which he claims that the testatrix was mentally unfit.</w:t>
            </w:r>
          </w:p>
          <w:p w:rsidR="00176181" w:rsidRPr="00176181" w:rsidRDefault="00176181" w:rsidP="00176181">
            <w:pPr>
              <w:spacing w:line="360" w:lineRule="auto"/>
              <w:ind w:left="729"/>
              <w:jc w:val="both"/>
              <w:rPr>
                <w:rFonts w:ascii="Arial" w:hAnsi="Arial" w:cs="Arial"/>
                <w:sz w:val="24"/>
                <w:szCs w:val="24"/>
              </w:rPr>
            </w:pPr>
          </w:p>
          <w:p w:rsidR="00176181" w:rsidRPr="00176181" w:rsidRDefault="00176181" w:rsidP="00176181">
            <w:pPr>
              <w:pStyle w:val="ListParagraph"/>
              <w:numPr>
                <w:ilvl w:val="0"/>
                <w:numId w:val="13"/>
              </w:numPr>
              <w:tabs>
                <w:tab w:val="left" w:pos="1296"/>
              </w:tabs>
              <w:spacing w:line="360" w:lineRule="auto"/>
              <w:ind w:left="1296" w:hanging="567"/>
              <w:jc w:val="both"/>
              <w:rPr>
                <w:rFonts w:ascii="Arial" w:hAnsi="Arial" w:cs="Arial"/>
                <w:sz w:val="24"/>
                <w:szCs w:val="24"/>
              </w:rPr>
            </w:pPr>
            <w:r w:rsidRPr="00176181">
              <w:rPr>
                <w:rFonts w:ascii="Arial" w:hAnsi="Arial" w:cs="Arial"/>
                <w:sz w:val="24"/>
                <w:szCs w:val="24"/>
              </w:rPr>
              <w:t>Failed to set out what the mental illness is the date of diagnosis and treatment, if any.</w:t>
            </w:r>
          </w:p>
          <w:p w:rsidR="00176181" w:rsidRPr="00176181" w:rsidRDefault="00176181" w:rsidP="00176181">
            <w:pPr>
              <w:spacing w:line="360" w:lineRule="auto"/>
              <w:ind w:left="729"/>
              <w:jc w:val="both"/>
              <w:rPr>
                <w:rFonts w:ascii="Arial" w:hAnsi="Arial" w:cs="Arial"/>
                <w:sz w:val="24"/>
                <w:szCs w:val="24"/>
              </w:rPr>
            </w:pPr>
          </w:p>
          <w:p w:rsidR="00176181" w:rsidRPr="00176181" w:rsidRDefault="00176181" w:rsidP="00176181">
            <w:pPr>
              <w:pStyle w:val="ListParagraph"/>
              <w:numPr>
                <w:ilvl w:val="0"/>
                <w:numId w:val="13"/>
              </w:numPr>
              <w:tabs>
                <w:tab w:val="left" w:pos="1296"/>
              </w:tabs>
              <w:spacing w:line="360" w:lineRule="auto"/>
              <w:ind w:left="1296" w:hanging="567"/>
              <w:jc w:val="both"/>
              <w:rPr>
                <w:rFonts w:ascii="Arial" w:hAnsi="Arial" w:cs="Arial"/>
                <w:sz w:val="24"/>
                <w:szCs w:val="24"/>
              </w:rPr>
            </w:pPr>
            <w:r w:rsidRPr="00176181">
              <w:rPr>
                <w:rFonts w:ascii="Arial" w:hAnsi="Arial" w:cs="Arial"/>
                <w:sz w:val="24"/>
                <w:szCs w:val="24"/>
              </w:rPr>
              <w:t>Failed to allege how the alleged mental illness affected the testatrix’s ability to execute a valid will.</w:t>
            </w:r>
          </w:p>
          <w:p w:rsidR="00176181" w:rsidRPr="00176181" w:rsidRDefault="00176181" w:rsidP="00FD38C2">
            <w:pPr>
              <w:spacing w:line="360" w:lineRule="auto"/>
              <w:jc w:val="both"/>
              <w:rPr>
                <w:rFonts w:ascii="Arial" w:hAnsi="Arial" w:cs="Arial"/>
                <w:sz w:val="24"/>
                <w:szCs w:val="24"/>
              </w:rPr>
            </w:pPr>
          </w:p>
          <w:p w:rsidR="00FF2E3F" w:rsidRPr="009A79F5" w:rsidRDefault="001548E9" w:rsidP="00FF2E3F">
            <w:pPr>
              <w:spacing w:line="360" w:lineRule="auto"/>
              <w:jc w:val="both"/>
              <w:rPr>
                <w:rFonts w:ascii="Arial" w:hAnsi="Arial" w:cs="Arial"/>
                <w:sz w:val="24"/>
                <w:szCs w:val="24"/>
              </w:rPr>
            </w:pPr>
            <w:r w:rsidRPr="009A79F5">
              <w:rPr>
                <w:rFonts w:ascii="Arial" w:hAnsi="Arial" w:cs="Arial"/>
                <w:sz w:val="24"/>
                <w:szCs w:val="24"/>
              </w:rPr>
              <w:t>[</w:t>
            </w:r>
            <w:r w:rsidR="003E5299" w:rsidRPr="009A79F5">
              <w:rPr>
                <w:rFonts w:ascii="Arial" w:hAnsi="Arial" w:cs="Arial"/>
                <w:sz w:val="24"/>
                <w:szCs w:val="24"/>
              </w:rPr>
              <w:t>6</w:t>
            </w:r>
            <w:r w:rsidRPr="009A79F5">
              <w:rPr>
                <w:rFonts w:ascii="Arial" w:hAnsi="Arial" w:cs="Arial"/>
                <w:sz w:val="24"/>
                <w:szCs w:val="24"/>
              </w:rPr>
              <w:t>]</w:t>
            </w:r>
            <w:r w:rsidR="00767C1C" w:rsidRPr="009A79F5">
              <w:rPr>
                <w:rFonts w:ascii="Arial" w:hAnsi="Arial" w:cs="Arial"/>
                <w:sz w:val="24"/>
                <w:szCs w:val="24"/>
              </w:rPr>
              <w:tab/>
            </w:r>
            <w:r w:rsidR="00176181">
              <w:rPr>
                <w:rFonts w:ascii="Arial" w:hAnsi="Arial" w:cs="Arial"/>
                <w:sz w:val="24"/>
                <w:szCs w:val="24"/>
              </w:rPr>
              <w:t>In his particulars of claim, the plaintiff stated that on 24 August 2018 the late Magdalena Stephanus (</w:t>
            </w:r>
            <w:r w:rsidR="006B2AD5">
              <w:rPr>
                <w:rFonts w:ascii="Arial" w:hAnsi="Arial" w:cs="Arial"/>
                <w:sz w:val="24"/>
                <w:szCs w:val="24"/>
              </w:rPr>
              <w:t>‘</w:t>
            </w:r>
            <w:r w:rsidR="00176181">
              <w:rPr>
                <w:rFonts w:ascii="Arial" w:hAnsi="Arial" w:cs="Arial"/>
                <w:sz w:val="24"/>
                <w:szCs w:val="24"/>
              </w:rPr>
              <w:t>the testatrix</w:t>
            </w:r>
            <w:r w:rsidR="006B2AD5">
              <w:rPr>
                <w:rFonts w:ascii="Arial" w:hAnsi="Arial" w:cs="Arial"/>
                <w:sz w:val="24"/>
                <w:szCs w:val="24"/>
              </w:rPr>
              <w:t>’</w:t>
            </w:r>
            <w:r w:rsidR="00176181">
              <w:rPr>
                <w:rFonts w:ascii="Arial" w:hAnsi="Arial" w:cs="Arial"/>
                <w:sz w:val="24"/>
                <w:szCs w:val="24"/>
              </w:rPr>
              <w:t>) purported to execute a will, a copy of which is attached to the particulars of claim, and marked as Annexure “A”</w:t>
            </w:r>
            <w:r w:rsidR="00FF2E3F" w:rsidRPr="009A79F5">
              <w:rPr>
                <w:rFonts w:ascii="Arial" w:hAnsi="Arial" w:cs="Arial"/>
                <w:sz w:val="24"/>
                <w:szCs w:val="24"/>
              </w:rPr>
              <w:t>.</w:t>
            </w:r>
          </w:p>
          <w:p w:rsidR="009E31F0" w:rsidRPr="009A79F5" w:rsidRDefault="009E31F0" w:rsidP="00FD38C2">
            <w:pPr>
              <w:spacing w:line="360" w:lineRule="auto"/>
              <w:jc w:val="both"/>
              <w:rPr>
                <w:rFonts w:ascii="Arial" w:hAnsi="Arial" w:cs="Arial"/>
                <w:sz w:val="24"/>
                <w:szCs w:val="24"/>
              </w:rPr>
            </w:pPr>
          </w:p>
          <w:p w:rsidR="009E31F0" w:rsidRDefault="00FF2E3F" w:rsidP="00FD38C2">
            <w:pPr>
              <w:spacing w:line="360" w:lineRule="auto"/>
              <w:jc w:val="both"/>
              <w:rPr>
                <w:rFonts w:ascii="Arial" w:hAnsi="Arial" w:cs="Arial"/>
                <w:sz w:val="24"/>
                <w:szCs w:val="24"/>
              </w:rPr>
            </w:pPr>
            <w:r w:rsidRPr="009A79F5">
              <w:rPr>
                <w:rFonts w:ascii="Arial" w:hAnsi="Arial" w:cs="Arial"/>
                <w:sz w:val="24"/>
                <w:szCs w:val="24"/>
              </w:rPr>
              <w:t>[</w:t>
            </w:r>
            <w:r w:rsidR="003E5299" w:rsidRPr="009A79F5">
              <w:rPr>
                <w:rFonts w:ascii="Arial" w:hAnsi="Arial" w:cs="Arial"/>
                <w:sz w:val="24"/>
                <w:szCs w:val="24"/>
              </w:rPr>
              <w:t>7</w:t>
            </w:r>
            <w:r w:rsidR="009E31F0" w:rsidRPr="009A79F5">
              <w:rPr>
                <w:rFonts w:ascii="Arial" w:hAnsi="Arial" w:cs="Arial"/>
                <w:sz w:val="24"/>
                <w:szCs w:val="24"/>
              </w:rPr>
              <w:t>]</w:t>
            </w:r>
            <w:r w:rsidR="00767C1C" w:rsidRPr="009A79F5">
              <w:rPr>
                <w:rFonts w:ascii="Arial" w:hAnsi="Arial" w:cs="Arial"/>
                <w:sz w:val="24"/>
                <w:szCs w:val="24"/>
              </w:rPr>
              <w:tab/>
            </w:r>
            <w:r w:rsidR="00176181">
              <w:rPr>
                <w:rFonts w:ascii="Arial" w:hAnsi="Arial" w:cs="Arial"/>
                <w:sz w:val="24"/>
                <w:szCs w:val="24"/>
              </w:rPr>
              <w:t>The plaintiff further stated that that the testatrix was admitted into Katutura State Hospital on 24 August 2018 and she passed away on 29 August 2020. He states that during that period the testatrix was terminally ill and pleaded more in particular in that regard under paragraph nine of his particulars of claim. He added that the testatrix condition was so severe that it deteriorated to such an extent that she used a finger print as the form of signature in the purported will. The plaintiff stated that the testatrix was not in a mental state fit to execute a valid will and was unable to appreciate the nature and contents of her act. He claims an order declaring the will of the testatrix dated 24 August 2018 to be null and void, and an order declaring that the testatrix died intestate</w:t>
            </w:r>
            <w:r w:rsidR="009E31F0" w:rsidRPr="009A79F5">
              <w:rPr>
                <w:rFonts w:ascii="Arial" w:hAnsi="Arial" w:cs="Arial"/>
                <w:sz w:val="24"/>
                <w:szCs w:val="24"/>
              </w:rPr>
              <w:t>.</w:t>
            </w:r>
          </w:p>
          <w:p w:rsidR="00176181" w:rsidRDefault="00176181" w:rsidP="00FD38C2">
            <w:pPr>
              <w:spacing w:line="360" w:lineRule="auto"/>
              <w:jc w:val="both"/>
              <w:rPr>
                <w:rFonts w:ascii="Arial" w:hAnsi="Arial" w:cs="Arial"/>
                <w:sz w:val="24"/>
                <w:szCs w:val="24"/>
              </w:rPr>
            </w:pPr>
          </w:p>
          <w:p w:rsidR="00176181" w:rsidRDefault="00176181" w:rsidP="00176181">
            <w:pPr>
              <w:spacing w:line="360" w:lineRule="auto"/>
              <w:ind w:left="20"/>
              <w:jc w:val="both"/>
              <w:rPr>
                <w:rFonts w:ascii="Arial" w:hAnsi="Arial" w:cs="Arial"/>
                <w:sz w:val="24"/>
                <w:szCs w:val="24"/>
              </w:rPr>
            </w:pPr>
            <w:r>
              <w:rPr>
                <w:rFonts w:ascii="Arial" w:hAnsi="Arial" w:cs="Arial"/>
                <w:sz w:val="24"/>
                <w:szCs w:val="24"/>
              </w:rPr>
              <w:t>[8]</w:t>
            </w:r>
            <w:r w:rsidRPr="009A79F5">
              <w:rPr>
                <w:rFonts w:ascii="Arial" w:hAnsi="Arial" w:cs="Arial"/>
                <w:sz w:val="24"/>
                <w:szCs w:val="24"/>
              </w:rPr>
              <w:tab/>
            </w:r>
            <w:r>
              <w:rPr>
                <w:rFonts w:ascii="Arial" w:hAnsi="Arial" w:cs="Arial"/>
                <w:sz w:val="24"/>
                <w:szCs w:val="24"/>
              </w:rPr>
              <w:t>The plaintiff states in his particulars of claim that the first defendant is cited in her capacity as the executrix and heir in the estate of the late Magdalena Stephanus (‘the testatrix’), and that the first defendant was appointed by letters of executorship issued in her favour by the third defendant, the Master of the High Court on 9 May 2019.</w:t>
            </w:r>
          </w:p>
          <w:p w:rsidR="00176181" w:rsidRDefault="00176181" w:rsidP="00FD38C2">
            <w:pPr>
              <w:spacing w:line="360" w:lineRule="auto"/>
              <w:jc w:val="both"/>
              <w:rPr>
                <w:rFonts w:ascii="Arial" w:hAnsi="Arial" w:cs="Arial"/>
                <w:sz w:val="24"/>
                <w:szCs w:val="24"/>
              </w:rPr>
            </w:pPr>
          </w:p>
          <w:p w:rsidR="00176181" w:rsidRDefault="00176181" w:rsidP="00FD38C2">
            <w:pPr>
              <w:spacing w:line="360" w:lineRule="auto"/>
              <w:jc w:val="both"/>
              <w:rPr>
                <w:rFonts w:ascii="Arial" w:hAnsi="Arial" w:cs="Arial"/>
                <w:sz w:val="24"/>
                <w:szCs w:val="24"/>
              </w:rPr>
            </w:pPr>
            <w:r>
              <w:rPr>
                <w:rFonts w:ascii="Arial" w:hAnsi="Arial" w:cs="Arial"/>
                <w:sz w:val="24"/>
                <w:szCs w:val="24"/>
              </w:rPr>
              <w:t>[9]</w:t>
            </w:r>
            <w:r w:rsidRPr="009A79F5">
              <w:rPr>
                <w:rFonts w:ascii="Arial" w:hAnsi="Arial" w:cs="Arial"/>
                <w:sz w:val="24"/>
                <w:szCs w:val="24"/>
              </w:rPr>
              <w:tab/>
            </w:r>
            <w:r w:rsidR="008A63B0">
              <w:rPr>
                <w:rFonts w:ascii="Arial" w:hAnsi="Arial" w:cs="Arial"/>
                <w:sz w:val="24"/>
                <w:szCs w:val="24"/>
              </w:rPr>
              <w:t xml:space="preserve">In his answering affidavit in exception, the plaintiff stated that he has discovered the doctor’s and nursing records of the deceased before and during her admission into the hospital, and her last will and testament, and further added that those documents will be used during trial and further supplemented by the expert testimonies of the authors thereof. </w:t>
            </w:r>
            <w:r w:rsidR="008A63B0">
              <w:rPr>
                <w:rFonts w:ascii="Arial" w:hAnsi="Arial" w:cs="Arial"/>
                <w:sz w:val="24"/>
                <w:szCs w:val="24"/>
              </w:rPr>
              <w:lastRenderedPageBreak/>
              <w:t>He further answered that those documents speak to the issues raised by the excipient in relation to the identity of the medical professional who consulted the testatrix, a description of her medical condition and the medication administered from the date of her admission into the hospital to the date of her death. The plaintiff also answered that he is yet to be afforded an opportunity to file expert summaries which speak toward the plaintiff’s mental health as at the date of signature of the will, and added that it follows that the pleader is not required to plead evidence necessary to establish the elements cause of action.</w:t>
            </w:r>
          </w:p>
          <w:p w:rsidR="00176181" w:rsidRDefault="00176181" w:rsidP="00FD38C2">
            <w:pPr>
              <w:spacing w:line="360" w:lineRule="auto"/>
              <w:jc w:val="both"/>
              <w:rPr>
                <w:rFonts w:ascii="Arial" w:hAnsi="Arial" w:cs="Arial"/>
                <w:sz w:val="24"/>
                <w:szCs w:val="24"/>
              </w:rPr>
            </w:pPr>
          </w:p>
          <w:p w:rsidR="00176181" w:rsidRDefault="00176181" w:rsidP="00FD38C2">
            <w:pPr>
              <w:spacing w:line="360" w:lineRule="auto"/>
              <w:jc w:val="both"/>
              <w:rPr>
                <w:rFonts w:ascii="Arial" w:hAnsi="Arial" w:cs="Arial"/>
                <w:sz w:val="24"/>
                <w:szCs w:val="24"/>
              </w:rPr>
            </w:pPr>
            <w:r>
              <w:rPr>
                <w:rFonts w:ascii="Arial" w:hAnsi="Arial" w:cs="Arial"/>
                <w:sz w:val="24"/>
                <w:szCs w:val="24"/>
              </w:rPr>
              <w:t>[10]</w:t>
            </w:r>
            <w:r w:rsidRPr="009A79F5">
              <w:rPr>
                <w:rFonts w:ascii="Arial" w:hAnsi="Arial" w:cs="Arial"/>
                <w:sz w:val="24"/>
                <w:szCs w:val="24"/>
              </w:rPr>
              <w:tab/>
            </w:r>
            <w:r w:rsidR="00617952" w:rsidRPr="00C860BB">
              <w:rPr>
                <w:rFonts w:ascii="Arial" w:hAnsi="Arial" w:cs="Arial"/>
                <w:sz w:val="24"/>
                <w:szCs w:val="24"/>
              </w:rPr>
              <w:t xml:space="preserve">In </w:t>
            </w:r>
            <w:r w:rsidR="00617952" w:rsidRPr="00C860BB">
              <w:rPr>
                <w:rFonts w:ascii="Arial" w:hAnsi="Arial" w:cs="Arial"/>
                <w:i/>
                <w:sz w:val="24"/>
                <w:szCs w:val="24"/>
              </w:rPr>
              <w:t>Namibia Breweries Ltd v Seelenbinder Henning &amp; Partners</w:t>
            </w:r>
            <w:r w:rsidR="00617952" w:rsidRPr="00C860BB">
              <w:rPr>
                <w:rStyle w:val="FootnoteReference"/>
                <w:rFonts w:ascii="Arial" w:hAnsi="Arial" w:cs="Arial"/>
                <w:i/>
                <w:sz w:val="24"/>
                <w:szCs w:val="24"/>
              </w:rPr>
              <w:footnoteReference w:id="1"/>
            </w:r>
            <w:r w:rsidR="00617952" w:rsidRPr="00C860BB">
              <w:rPr>
                <w:rFonts w:ascii="Arial" w:hAnsi="Arial" w:cs="Arial"/>
                <w:i/>
                <w:sz w:val="24"/>
                <w:szCs w:val="24"/>
              </w:rPr>
              <w:t xml:space="preserve"> </w:t>
            </w:r>
            <w:r w:rsidR="00617952" w:rsidRPr="00C860BB">
              <w:rPr>
                <w:rFonts w:ascii="Arial" w:hAnsi="Arial" w:cs="Arial"/>
                <w:sz w:val="24"/>
                <w:szCs w:val="24"/>
              </w:rPr>
              <w:t xml:space="preserve">it was held that </w:t>
            </w:r>
            <w:r w:rsidR="00617952">
              <w:rPr>
                <w:rFonts w:ascii="Arial" w:hAnsi="Arial" w:cs="Arial"/>
                <w:sz w:val="24"/>
                <w:szCs w:val="24"/>
              </w:rPr>
              <w:t>w</w:t>
            </w:r>
            <w:r w:rsidR="00617952" w:rsidRPr="00C860BB">
              <w:rPr>
                <w:rFonts w:ascii="Arial" w:hAnsi="Arial" w:cs="Arial"/>
                <w:sz w:val="24"/>
                <w:szCs w:val="24"/>
              </w:rPr>
              <w:t xml:space="preserve">hen </w:t>
            </w:r>
            <w:r w:rsidR="00617952">
              <w:rPr>
                <w:rFonts w:ascii="Arial" w:hAnsi="Arial" w:cs="Arial"/>
                <w:sz w:val="24"/>
                <w:szCs w:val="24"/>
              </w:rPr>
              <w:t>judging the merits of an exception</w:t>
            </w:r>
            <w:r w:rsidR="00617952" w:rsidRPr="00C860BB">
              <w:rPr>
                <w:rFonts w:ascii="Arial" w:hAnsi="Arial" w:cs="Arial"/>
                <w:sz w:val="24"/>
                <w:szCs w:val="24"/>
              </w:rPr>
              <w:t>, the court is to assume that the pleaded facts are true and capable of proof, and that the excipient has the duty to</w:t>
            </w:r>
            <w:r w:rsidR="00617952">
              <w:rPr>
                <w:rFonts w:ascii="Arial" w:hAnsi="Arial" w:cs="Arial"/>
                <w:sz w:val="24"/>
                <w:szCs w:val="24"/>
              </w:rPr>
              <w:t xml:space="preserve"> satisfy the c</w:t>
            </w:r>
            <w:r w:rsidR="00617952" w:rsidRPr="00C860BB">
              <w:rPr>
                <w:rFonts w:ascii="Arial" w:hAnsi="Arial" w:cs="Arial"/>
                <w:sz w:val="24"/>
                <w:szCs w:val="24"/>
              </w:rPr>
              <w:t>ourt that on all reasonable constructions to be given to the pleadings and on all possible evidence that may be led thereon, no cause of action is or can be disclosed.</w:t>
            </w:r>
            <w:r w:rsidR="00617952">
              <w:rPr>
                <w:rFonts w:ascii="Arial" w:hAnsi="Arial" w:cs="Arial"/>
                <w:sz w:val="24"/>
                <w:szCs w:val="24"/>
              </w:rPr>
              <w:t xml:space="preserve"> It was held as follows:</w:t>
            </w:r>
          </w:p>
          <w:p w:rsidR="00176181" w:rsidRDefault="00176181" w:rsidP="00FD38C2">
            <w:pPr>
              <w:spacing w:line="360" w:lineRule="auto"/>
              <w:jc w:val="both"/>
              <w:rPr>
                <w:rFonts w:ascii="Arial" w:hAnsi="Arial" w:cs="Arial"/>
                <w:sz w:val="24"/>
                <w:szCs w:val="24"/>
              </w:rPr>
            </w:pPr>
          </w:p>
          <w:p w:rsidR="00617952" w:rsidRPr="00617952" w:rsidRDefault="00617952" w:rsidP="00617952">
            <w:pPr>
              <w:spacing w:line="360" w:lineRule="auto"/>
              <w:ind w:left="20" w:firstLine="709"/>
              <w:jc w:val="both"/>
              <w:rPr>
                <w:rFonts w:ascii="Arial" w:hAnsi="Arial" w:cs="Arial"/>
              </w:rPr>
            </w:pPr>
            <w:r w:rsidRPr="00617952">
              <w:rPr>
                <w:rFonts w:ascii="Arial" w:hAnsi="Arial" w:cs="Arial"/>
              </w:rPr>
              <w:t xml:space="preserve">‘[The excipient] must satisfy the Court that, on all reasonable constructions of the plaintiff’s particulars of claim as amplified and amended (cf. </w:t>
            </w:r>
            <w:r w:rsidRPr="00617952">
              <w:rPr>
                <w:rFonts w:ascii="Arial" w:hAnsi="Arial" w:cs="Arial"/>
                <w:i/>
                <w:iCs/>
              </w:rPr>
              <w:t xml:space="preserve">Kennedy v Steenkamp, </w:t>
            </w:r>
            <w:r w:rsidRPr="00617952">
              <w:rPr>
                <w:rFonts w:ascii="Arial" w:hAnsi="Arial" w:cs="Arial"/>
              </w:rPr>
              <w:t xml:space="preserve">1936 CPD 113 at 115; </w:t>
            </w:r>
            <w:r w:rsidRPr="00617952">
              <w:rPr>
                <w:rFonts w:ascii="Arial" w:hAnsi="Arial" w:cs="Arial"/>
                <w:i/>
                <w:iCs/>
              </w:rPr>
              <w:t xml:space="preserve">Amalgamated Footwear &amp; Leather Industries v Jordan &amp; Co Ltd, </w:t>
            </w:r>
            <w:r w:rsidRPr="00617952">
              <w:rPr>
                <w:rFonts w:ascii="Arial" w:hAnsi="Arial" w:cs="Arial"/>
              </w:rPr>
              <w:t xml:space="preserve">1948 (2) SA 891 (C) at 893; </w:t>
            </w:r>
            <w:r w:rsidRPr="00617952">
              <w:rPr>
                <w:rFonts w:ascii="Arial" w:hAnsi="Arial" w:cs="Arial"/>
                <w:i/>
                <w:iCs/>
              </w:rPr>
              <w:t xml:space="preserve">Callender-Easby and Another v Grahamstown Municipality and Others, </w:t>
            </w:r>
            <w:r w:rsidRPr="00617952">
              <w:rPr>
                <w:rFonts w:ascii="Arial" w:hAnsi="Arial" w:cs="Arial"/>
              </w:rPr>
              <w:t xml:space="preserve">1981 (2) SA 810 (E) at 812H-813A); </w:t>
            </w:r>
            <w:r w:rsidRPr="00617952">
              <w:rPr>
                <w:rFonts w:ascii="Arial" w:hAnsi="Arial" w:cs="Arial"/>
                <w:i/>
                <w:iCs/>
              </w:rPr>
              <w:t>Theunissen en Andere v Transvaalse Lewendehawe Koöp Bpk,</w:t>
            </w:r>
            <w:r w:rsidRPr="00617952">
              <w:rPr>
                <w:rFonts w:ascii="Arial" w:hAnsi="Arial" w:cs="Arial"/>
              </w:rPr>
              <w:t xml:space="preserve"> 1988 (2) SA 493 (A) at 500E; </w:t>
            </w:r>
            <w:r w:rsidRPr="00617952">
              <w:rPr>
                <w:rFonts w:ascii="Arial" w:hAnsi="Arial" w:cs="Arial"/>
                <w:i/>
                <w:iCs/>
              </w:rPr>
              <w:t xml:space="preserve">Lewis v Oneanate (Pty) Ltd And Another, </w:t>
            </w:r>
            <w:r w:rsidRPr="00617952">
              <w:rPr>
                <w:rFonts w:ascii="Arial" w:hAnsi="Arial" w:cs="Arial"/>
              </w:rPr>
              <w:t xml:space="preserve">1992 (4) SA 811 (A) at 817F-G and </w:t>
            </w:r>
            <w:r w:rsidRPr="00617952">
              <w:rPr>
                <w:rFonts w:ascii="Arial" w:hAnsi="Arial" w:cs="Arial"/>
                <w:i/>
                <w:iCs/>
              </w:rPr>
              <w:t>Michael v Caroline's Frozen Yoghurt Parlour (Pty) Ltd</w:t>
            </w:r>
            <w:r w:rsidRPr="00617952">
              <w:rPr>
                <w:rFonts w:ascii="Arial" w:hAnsi="Arial" w:cs="Arial"/>
              </w:rPr>
              <w:t xml:space="preserve">, </w:t>
            </w:r>
            <w:r w:rsidRPr="00617952">
              <w:rPr>
                <w:rFonts w:ascii="Arial" w:hAnsi="Arial" w:cs="Arial"/>
                <w:i/>
                <w:iCs/>
              </w:rPr>
              <w:t xml:space="preserve">supra </w:t>
            </w:r>
            <w:r w:rsidRPr="00617952">
              <w:rPr>
                <w:rFonts w:ascii="Arial" w:hAnsi="Arial" w:cs="Arial"/>
              </w:rPr>
              <w:t xml:space="preserve">at 632D) and on all possible evidence that may be led on the pleadings (see: </w:t>
            </w:r>
            <w:r w:rsidRPr="00617952">
              <w:rPr>
                <w:rFonts w:ascii="Arial" w:hAnsi="Arial" w:cs="Arial"/>
                <w:i/>
                <w:iCs/>
              </w:rPr>
              <w:t>McKelvey v Cowan NO</w:t>
            </w:r>
            <w:r w:rsidRPr="00617952">
              <w:rPr>
                <w:rFonts w:ascii="Arial" w:hAnsi="Arial" w:cs="Arial"/>
              </w:rPr>
              <w:t>, 1980 (4) SA 525 (Z) at 526D-G), no cause of action is or can be disclosed.’</w:t>
            </w:r>
          </w:p>
          <w:p w:rsidR="00617952" w:rsidRDefault="00617952" w:rsidP="00FD38C2">
            <w:pPr>
              <w:spacing w:line="360" w:lineRule="auto"/>
              <w:jc w:val="both"/>
              <w:rPr>
                <w:rFonts w:ascii="Arial" w:hAnsi="Arial" w:cs="Arial"/>
                <w:sz w:val="24"/>
                <w:szCs w:val="24"/>
              </w:rPr>
            </w:pPr>
          </w:p>
          <w:p w:rsidR="00176181" w:rsidRPr="00D146B4" w:rsidRDefault="00176181" w:rsidP="00FD38C2">
            <w:pPr>
              <w:spacing w:line="360" w:lineRule="auto"/>
              <w:jc w:val="both"/>
              <w:rPr>
                <w:rFonts w:ascii="Arial" w:eastAsia="Calibri" w:hAnsi="Arial" w:cs="Arial"/>
                <w:sz w:val="24"/>
                <w:szCs w:val="24"/>
                <w:lang w:val="en-US"/>
              </w:rPr>
            </w:pPr>
            <w:r>
              <w:rPr>
                <w:rFonts w:ascii="Arial" w:hAnsi="Arial" w:cs="Arial"/>
                <w:sz w:val="24"/>
                <w:szCs w:val="24"/>
              </w:rPr>
              <w:t>[11]</w:t>
            </w:r>
            <w:r w:rsidRPr="009A79F5">
              <w:rPr>
                <w:rFonts w:ascii="Arial" w:hAnsi="Arial" w:cs="Arial"/>
                <w:sz w:val="24"/>
                <w:szCs w:val="24"/>
              </w:rPr>
              <w:tab/>
            </w:r>
            <w:r w:rsidR="00D146B4">
              <w:rPr>
                <w:rFonts w:ascii="Arial" w:hAnsi="Arial" w:cs="Arial"/>
                <w:sz w:val="24"/>
                <w:szCs w:val="24"/>
              </w:rPr>
              <w:t>I</w:t>
            </w:r>
            <w:r w:rsidR="00D146B4" w:rsidRPr="00143E81">
              <w:rPr>
                <w:rFonts w:ascii="Arial" w:eastAsia="Calibri" w:hAnsi="Arial" w:cs="Arial"/>
                <w:sz w:val="24"/>
                <w:szCs w:val="24"/>
                <w:lang w:val="en-US"/>
              </w:rPr>
              <w:t xml:space="preserve">n </w:t>
            </w:r>
            <w:r w:rsidR="00D146B4" w:rsidRPr="00143E81">
              <w:rPr>
                <w:rFonts w:ascii="Arial" w:eastAsia="Calibri" w:hAnsi="Arial" w:cs="Arial"/>
                <w:i/>
                <w:sz w:val="24"/>
                <w:szCs w:val="24"/>
                <w:lang w:val="en-US"/>
              </w:rPr>
              <w:t xml:space="preserve">Van Straten and Another v Namibia Financial Institutions Supervising Authority and </w:t>
            </w:r>
            <w:r w:rsidR="00D146B4" w:rsidRPr="00D146B4">
              <w:rPr>
                <w:rFonts w:ascii="Arial" w:eastAsia="Calibri" w:hAnsi="Arial" w:cs="Arial"/>
                <w:i/>
                <w:sz w:val="24"/>
                <w:szCs w:val="24"/>
                <w:lang w:val="en-US"/>
              </w:rPr>
              <w:t>Another</w:t>
            </w:r>
            <w:r w:rsidR="00D146B4" w:rsidRPr="00D146B4">
              <w:rPr>
                <w:rFonts w:ascii="Arial" w:eastAsia="Calibri" w:hAnsi="Arial" w:cs="Arial"/>
                <w:sz w:val="24"/>
                <w:szCs w:val="24"/>
                <w:lang w:val="en-US"/>
              </w:rPr>
              <w:t xml:space="preserve"> 2016 NR 747 SC, the legal principles regarding exceptions were succinctly set out in the following terms:</w:t>
            </w:r>
          </w:p>
          <w:p w:rsidR="00D146B4" w:rsidRDefault="00D146B4" w:rsidP="00FD38C2">
            <w:pPr>
              <w:spacing w:line="360" w:lineRule="auto"/>
              <w:jc w:val="both"/>
              <w:rPr>
                <w:rFonts w:ascii="Arial" w:eastAsia="Calibri" w:hAnsi="Arial" w:cs="Arial"/>
                <w:sz w:val="24"/>
                <w:szCs w:val="24"/>
                <w:lang w:val="en-US"/>
              </w:rPr>
            </w:pPr>
          </w:p>
          <w:p w:rsidR="00D146B4" w:rsidRPr="00D146B4" w:rsidRDefault="00D146B4" w:rsidP="00D146B4">
            <w:pPr>
              <w:spacing w:line="360" w:lineRule="auto"/>
              <w:ind w:left="1438" w:hanging="718"/>
              <w:jc w:val="both"/>
              <w:rPr>
                <w:rFonts w:ascii="Arial" w:eastAsia="Calibri" w:hAnsi="Arial" w:cs="Arial"/>
                <w:lang w:val="en-US"/>
              </w:rPr>
            </w:pPr>
            <w:r w:rsidRPr="00D146B4">
              <w:rPr>
                <w:rFonts w:ascii="Arial" w:eastAsia="Calibri" w:hAnsi="Arial" w:cs="Arial"/>
                <w:lang w:val="en-US"/>
              </w:rPr>
              <w:t>‘[18]</w:t>
            </w:r>
            <w:r w:rsidRPr="00D146B4">
              <w:rPr>
                <w:rFonts w:ascii="Arial" w:eastAsia="Calibri" w:hAnsi="Arial" w:cs="Arial"/>
                <w:lang w:val="en-US"/>
              </w:rPr>
              <w:tab/>
              <w:t>Where an exception is taken on the grounds that no cause of action is disclosed or is sustainable on the particulars of claim, two aspects are to be emphasized. Firstly, for the purpose of deciding the exception, the facts as alleged in the plaintiff’s pleadings are taken as correct.  In the second place, it is incumbent upon an excipient to persuade this court that upon every interpretation which the pleading can reasonably bear, no</w:t>
            </w:r>
            <w:r>
              <w:rPr>
                <w:rFonts w:ascii="Arial" w:eastAsia="Calibri" w:hAnsi="Arial" w:cs="Arial"/>
                <w:lang w:val="en-US"/>
              </w:rPr>
              <w:t xml:space="preserve"> cause of action is disclosed. </w:t>
            </w:r>
            <w:r w:rsidRPr="00D146B4">
              <w:rPr>
                <w:rFonts w:ascii="Arial" w:eastAsia="Calibri" w:hAnsi="Arial" w:cs="Arial"/>
                <w:lang w:val="en-US"/>
              </w:rPr>
              <w:t xml:space="preserve">Stated otherwise, only if no </w:t>
            </w:r>
            <w:r w:rsidRPr="00D146B4">
              <w:rPr>
                <w:rFonts w:ascii="Arial" w:eastAsia="Calibri" w:hAnsi="Arial" w:cs="Arial"/>
                <w:lang w:val="en-US"/>
              </w:rPr>
              <w:lastRenderedPageBreak/>
              <w:t>possible evidence led on the pleadings can disclose a cause of action, will the particulars of claim be found to be excipiable.</w:t>
            </w:r>
          </w:p>
          <w:p w:rsidR="00D146B4" w:rsidRPr="00D146B4" w:rsidRDefault="00D146B4" w:rsidP="00D146B4">
            <w:pPr>
              <w:spacing w:line="360" w:lineRule="auto"/>
              <w:jc w:val="both"/>
              <w:rPr>
                <w:rFonts w:ascii="Arial" w:eastAsia="Calibri" w:hAnsi="Arial" w:cs="Arial"/>
                <w:lang w:val="en-US"/>
              </w:rPr>
            </w:pPr>
          </w:p>
          <w:p w:rsidR="00D146B4" w:rsidRDefault="00D146B4" w:rsidP="00D146B4">
            <w:pPr>
              <w:spacing w:line="360" w:lineRule="auto"/>
              <w:ind w:left="1438" w:hanging="709"/>
              <w:jc w:val="both"/>
              <w:rPr>
                <w:rFonts w:ascii="Arial" w:eastAsia="Calibri" w:hAnsi="Arial" w:cs="Arial"/>
                <w:lang w:val="en-US"/>
              </w:rPr>
            </w:pPr>
            <w:r w:rsidRPr="00D146B4">
              <w:rPr>
                <w:rFonts w:ascii="Arial" w:eastAsia="Calibri" w:hAnsi="Arial" w:cs="Arial"/>
                <w:lang w:val="en-US"/>
              </w:rPr>
              <w:t>[19]</w:t>
            </w:r>
            <w:r w:rsidRPr="00D146B4">
              <w:rPr>
                <w:rFonts w:ascii="Arial" w:eastAsia="Calibri" w:hAnsi="Arial" w:cs="Arial"/>
                <w:lang w:val="en-US"/>
              </w:rPr>
              <w:tab/>
              <w:t>Whether an exception on the ground of being vague and embarrassing is established would depend upon whether it complies with rule</w:t>
            </w:r>
            <w:r>
              <w:rPr>
                <w:rFonts w:ascii="Arial" w:eastAsia="Calibri" w:hAnsi="Arial" w:cs="Arial"/>
                <w:lang w:val="en-US"/>
              </w:rPr>
              <w:t xml:space="preserve"> 45(5) of the High Court Rules.</w:t>
            </w:r>
            <w:r w:rsidRPr="00D146B4">
              <w:rPr>
                <w:rFonts w:ascii="Arial" w:eastAsia="Calibri" w:hAnsi="Arial" w:cs="Arial"/>
                <w:lang w:val="en-US"/>
              </w:rPr>
              <w:t xml:space="preserve"> This rule requires that every pleading must contain a clear and concise statement of the material facts on which the pleader relies for his or her claim with sufficient particularity to enable the opposite party to identify the case that the pleading requires him or her to meet. Assessing whether a pleading is vague and embarrassing is now to be undertaken in the context of rule 45 and the overriding objective of judicial case management. Those objectives include the facilitation of the resolution of the real issues in dispute justly and speedily, efficiently and cost effectively as far as practicable by saving costs by, among others, limiting interlocutory proceedings to what is strictly necessary in order to achieve a fair and timely disposal of a cause or matter.</w:t>
            </w:r>
          </w:p>
          <w:p w:rsidR="00D146B4" w:rsidRPr="00D146B4" w:rsidRDefault="00D146B4" w:rsidP="00D146B4">
            <w:pPr>
              <w:spacing w:line="360" w:lineRule="auto"/>
              <w:jc w:val="both"/>
              <w:rPr>
                <w:rFonts w:ascii="Arial" w:eastAsia="Calibri" w:hAnsi="Arial" w:cs="Arial"/>
                <w:lang w:val="en-US"/>
              </w:rPr>
            </w:pPr>
          </w:p>
          <w:p w:rsidR="00D146B4" w:rsidRPr="00D146B4" w:rsidRDefault="00D146B4" w:rsidP="00D146B4">
            <w:pPr>
              <w:spacing w:line="360" w:lineRule="auto"/>
              <w:ind w:left="1438" w:hanging="709"/>
              <w:jc w:val="both"/>
              <w:rPr>
                <w:rFonts w:ascii="Arial" w:eastAsia="Calibri" w:hAnsi="Arial" w:cs="Arial"/>
                <w:lang w:val="en-US"/>
              </w:rPr>
            </w:pPr>
            <w:r w:rsidRPr="00D146B4">
              <w:rPr>
                <w:rFonts w:ascii="Arial" w:eastAsia="Calibri" w:hAnsi="Arial" w:cs="Arial"/>
                <w:lang w:val="en-US"/>
              </w:rPr>
              <w:t>[20]</w:t>
            </w:r>
            <w:r w:rsidRPr="00D146B4">
              <w:rPr>
                <w:rFonts w:ascii="Arial" w:eastAsia="Calibri" w:hAnsi="Arial" w:cs="Arial"/>
                <w:lang w:val="en-US"/>
              </w:rPr>
              <w:tab/>
              <w:t>The two-fold exercise in considering whether a pleading is vague and embarrassing entails firstly determining whether the pleading lacks particularity to the extent that it is vague. The second is determining whether the vagueness causes prejudice. The nature of the prejudice would relate to an ability to plead to and properly prepar</w:t>
            </w:r>
            <w:r>
              <w:rPr>
                <w:rFonts w:ascii="Arial" w:eastAsia="Calibri" w:hAnsi="Arial" w:cs="Arial"/>
                <w:lang w:val="en-US"/>
              </w:rPr>
              <w:t xml:space="preserve">e and meet an opponent’s case. </w:t>
            </w:r>
            <w:r w:rsidRPr="00D146B4">
              <w:rPr>
                <w:rFonts w:ascii="Arial" w:eastAsia="Calibri" w:hAnsi="Arial" w:cs="Arial"/>
                <w:lang w:val="en-US"/>
              </w:rPr>
              <w:t>This consideration is also powerfully underpinned by the overriding objects of judicial case management in order to ensure that the real issues in dispute are resolved and that parties are sufficiently apprised as to the case that they are to meet.’</w:t>
            </w:r>
          </w:p>
          <w:p w:rsidR="00D146B4" w:rsidRPr="00D146B4" w:rsidRDefault="00D146B4" w:rsidP="00FD38C2">
            <w:pPr>
              <w:spacing w:line="360" w:lineRule="auto"/>
              <w:jc w:val="both"/>
              <w:rPr>
                <w:rFonts w:ascii="Arial" w:eastAsia="Calibri" w:hAnsi="Arial" w:cs="Arial"/>
                <w:sz w:val="24"/>
                <w:szCs w:val="24"/>
                <w:lang w:val="en-US"/>
              </w:rPr>
            </w:pPr>
          </w:p>
          <w:p w:rsidR="00D146B4" w:rsidRPr="00D146B4" w:rsidRDefault="00D146B4" w:rsidP="007927A2">
            <w:pPr>
              <w:tabs>
                <w:tab w:val="left" w:pos="729"/>
              </w:tabs>
              <w:spacing w:line="360" w:lineRule="auto"/>
              <w:ind w:firstLine="20"/>
              <w:jc w:val="both"/>
              <w:rPr>
                <w:rFonts w:ascii="Arial" w:eastAsia="Calibri" w:hAnsi="Arial" w:cs="Arial"/>
                <w:sz w:val="24"/>
                <w:szCs w:val="24"/>
                <w:lang w:val="en-US"/>
              </w:rPr>
            </w:pPr>
            <w:r w:rsidRPr="00D146B4">
              <w:rPr>
                <w:rFonts w:ascii="Arial" w:eastAsia="Calibri" w:hAnsi="Arial" w:cs="Arial"/>
                <w:sz w:val="24"/>
                <w:szCs w:val="24"/>
                <w:lang w:val="en-US"/>
              </w:rPr>
              <w:t>[12]</w:t>
            </w:r>
            <w:r w:rsidR="007927A2" w:rsidRPr="009A79F5">
              <w:rPr>
                <w:rFonts w:ascii="Arial" w:hAnsi="Arial" w:cs="Arial"/>
                <w:sz w:val="24"/>
                <w:szCs w:val="24"/>
              </w:rPr>
              <w:tab/>
            </w:r>
            <w:r w:rsidR="00773296">
              <w:rPr>
                <w:rFonts w:ascii="Arial" w:hAnsi="Arial" w:cs="Arial"/>
                <w:sz w:val="24"/>
                <w:szCs w:val="24"/>
              </w:rPr>
              <w:t xml:space="preserve">After having perused the content of the plaintiff’s particulars of claim, the notice of exception incorporating a notice in terms of rule 57(2), and the plaintiff’s answering affidavit in exception, as I have discussed before, I am not satisfied that on all reasonable constructions of the plaintiff’s particulars of claim and on all possible evidence that may be led on the pleadings, no cause of action is or can be disclosed. I am also not persuaded that the plaintiff’s particulars of claim are vague and embarrassing in so far as they relate to the first defendant. Consequently, the </w:t>
            </w:r>
            <w:r w:rsidR="00773296">
              <w:rPr>
                <w:rFonts w:ascii="Arial" w:eastAsia="Calibri" w:hAnsi="Arial" w:cs="Arial"/>
                <w:sz w:val="24"/>
                <w:szCs w:val="24"/>
                <w:lang w:val="en-US"/>
              </w:rPr>
              <w:t>grounds of exception to the plaintiff’s particulars of claim are dismissed with costs, limited to N$20 000.</w:t>
            </w:r>
          </w:p>
          <w:p w:rsidR="00711F52" w:rsidRPr="009A79F5" w:rsidRDefault="00711F52" w:rsidP="00026D86">
            <w:pPr>
              <w:spacing w:line="360" w:lineRule="auto"/>
              <w:jc w:val="both"/>
              <w:rPr>
                <w:rFonts w:ascii="Arial" w:hAnsi="Arial" w:cs="Arial"/>
                <w:sz w:val="24"/>
                <w:szCs w:val="24"/>
              </w:rPr>
            </w:pPr>
          </w:p>
        </w:tc>
      </w:tr>
      <w:tr w:rsidR="00BE5489" w:rsidRPr="006F1FD4" w:rsidTr="006F1FD4">
        <w:tc>
          <w:tcPr>
            <w:tcW w:w="4770" w:type="dxa"/>
          </w:tcPr>
          <w:p w:rsidR="00BE5489" w:rsidRPr="006F1FD4" w:rsidRDefault="00EB27A0" w:rsidP="0050338C">
            <w:pPr>
              <w:spacing w:line="360" w:lineRule="auto"/>
              <w:jc w:val="center"/>
              <w:rPr>
                <w:rFonts w:ascii="Arial" w:hAnsi="Arial" w:cs="Arial"/>
                <w:b/>
                <w:sz w:val="24"/>
                <w:szCs w:val="24"/>
              </w:rPr>
            </w:pPr>
            <w:r w:rsidRPr="006F1FD4">
              <w:rPr>
                <w:rFonts w:ascii="Arial" w:hAnsi="Arial" w:cs="Arial"/>
                <w:b/>
                <w:sz w:val="24"/>
                <w:szCs w:val="24"/>
              </w:rPr>
              <w:lastRenderedPageBreak/>
              <w:t>Judge’s signature:</w:t>
            </w:r>
          </w:p>
        </w:tc>
        <w:tc>
          <w:tcPr>
            <w:tcW w:w="4950" w:type="dxa"/>
            <w:gridSpan w:val="2"/>
          </w:tcPr>
          <w:p w:rsidR="00BE5489" w:rsidRPr="006F1FD4" w:rsidRDefault="00EB27A0" w:rsidP="0050338C">
            <w:pPr>
              <w:spacing w:line="360" w:lineRule="auto"/>
              <w:jc w:val="center"/>
              <w:rPr>
                <w:rFonts w:ascii="Arial" w:hAnsi="Arial" w:cs="Arial"/>
                <w:b/>
                <w:sz w:val="24"/>
                <w:szCs w:val="24"/>
              </w:rPr>
            </w:pPr>
            <w:r w:rsidRPr="006F1FD4">
              <w:rPr>
                <w:rFonts w:ascii="Arial" w:hAnsi="Arial" w:cs="Arial"/>
                <w:b/>
                <w:sz w:val="24"/>
                <w:szCs w:val="24"/>
              </w:rPr>
              <w:t>Note to the parties:</w:t>
            </w:r>
          </w:p>
        </w:tc>
      </w:tr>
      <w:tr w:rsidR="00BE5489" w:rsidRPr="006F1FD4" w:rsidTr="006F1FD4">
        <w:trPr>
          <w:trHeight w:val="1114"/>
        </w:trPr>
        <w:tc>
          <w:tcPr>
            <w:tcW w:w="4770" w:type="dxa"/>
          </w:tcPr>
          <w:p w:rsidR="00BE5489" w:rsidRPr="006F1FD4" w:rsidRDefault="00BE5489" w:rsidP="00EB27A0">
            <w:pPr>
              <w:spacing w:line="360" w:lineRule="auto"/>
              <w:jc w:val="both"/>
              <w:rPr>
                <w:rFonts w:ascii="Arial" w:hAnsi="Arial" w:cs="Arial"/>
                <w:sz w:val="24"/>
                <w:szCs w:val="24"/>
              </w:rPr>
            </w:pPr>
          </w:p>
          <w:p w:rsidR="006D2D84" w:rsidRPr="006F1FD4" w:rsidRDefault="006D2D84" w:rsidP="00EB27A0">
            <w:pPr>
              <w:spacing w:line="360" w:lineRule="auto"/>
              <w:jc w:val="both"/>
              <w:rPr>
                <w:rFonts w:ascii="Arial" w:hAnsi="Arial" w:cs="Arial"/>
                <w:sz w:val="24"/>
                <w:szCs w:val="24"/>
              </w:rPr>
            </w:pPr>
          </w:p>
          <w:p w:rsidR="009F6C8B" w:rsidRPr="006F1FD4" w:rsidRDefault="009F6C8B" w:rsidP="00EB27A0">
            <w:pPr>
              <w:spacing w:line="360" w:lineRule="auto"/>
              <w:jc w:val="both"/>
              <w:rPr>
                <w:rFonts w:ascii="Arial" w:hAnsi="Arial" w:cs="Arial"/>
                <w:sz w:val="24"/>
                <w:szCs w:val="24"/>
              </w:rPr>
            </w:pPr>
          </w:p>
        </w:tc>
        <w:tc>
          <w:tcPr>
            <w:tcW w:w="4950" w:type="dxa"/>
            <w:gridSpan w:val="2"/>
          </w:tcPr>
          <w:p w:rsidR="00BE5489" w:rsidRPr="006F1FD4" w:rsidRDefault="0060394A" w:rsidP="00952193">
            <w:pPr>
              <w:spacing w:line="360" w:lineRule="auto"/>
              <w:jc w:val="both"/>
              <w:rPr>
                <w:rFonts w:ascii="Arial" w:hAnsi="Arial" w:cs="Arial"/>
                <w:sz w:val="24"/>
                <w:szCs w:val="24"/>
              </w:rPr>
            </w:pPr>
            <w:r w:rsidRPr="006F1FD4">
              <w:rPr>
                <w:rFonts w:ascii="Arial" w:hAnsi="Arial" w:cs="Arial"/>
                <w:sz w:val="24"/>
                <w:szCs w:val="24"/>
              </w:rPr>
              <w:t>Not applicable.</w:t>
            </w:r>
          </w:p>
        </w:tc>
      </w:tr>
      <w:tr w:rsidR="00A23F8A" w:rsidRPr="006F1FD4" w:rsidTr="006F1FD4">
        <w:tc>
          <w:tcPr>
            <w:tcW w:w="9720" w:type="dxa"/>
            <w:gridSpan w:val="3"/>
          </w:tcPr>
          <w:p w:rsidR="00A23F8A" w:rsidRPr="006F1FD4" w:rsidRDefault="00A23F8A" w:rsidP="00A23F8A">
            <w:pPr>
              <w:spacing w:line="360" w:lineRule="auto"/>
              <w:jc w:val="center"/>
              <w:rPr>
                <w:rFonts w:ascii="Arial" w:hAnsi="Arial" w:cs="Arial"/>
                <w:b/>
                <w:sz w:val="24"/>
                <w:szCs w:val="24"/>
              </w:rPr>
            </w:pPr>
            <w:r w:rsidRPr="006F1FD4">
              <w:rPr>
                <w:rFonts w:ascii="Arial" w:hAnsi="Arial" w:cs="Arial"/>
                <w:b/>
                <w:sz w:val="24"/>
                <w:szCs w:val="24"/>
              </w:rPr>
              <w:lastRenderedPageBreak/>
              <w:t>Counsel:</w:t>
            </w:r>
          </w:p>
        </w:tc>
      </w:tr>
      <w:tr w:rsidR="00FD38C2" w:rsidRPr="006F1FD4" w:rsidTr="006F1FD4">
        <w:tc>
          <w:tcPr>
            <w:tcW w:w="4770" w:type="dxa"/>
          </w:tcPr>
          <w:p w:rsidR="00FD38C2" w:rsidRPr="006F1FD4" w:rsidRDefault="00773296" w:rsidP="00265783">
            <w:pPr>
              <w:spacing w:line="360" w:lineRule="auto"/>
              <w:jc w:val="center"/>
              <w:rPr>
                <w:rFonts w:ascii="Arial" w:hAnsi="Arial" w:cs="Arial"/>
                <w:b/>
                <w:sz w:val="24"/>
                <w:szCs w:val="24"/>
              </w:rPr>
            </w:pPr>
            <w:r>
              <w:rPr>
                <w:rFonts w:ascii="Arial" w:hAnsi="Arial" w:cs="Arial"/>
                <w:b/>
                <w:sz w:val="24"/>
                <w:szCs w:val="24"/>
              </w:rPr>
              <w:t>Plaintiff</w:t>
            </w:r>
          </w:p>
        </w:tc>
        <w:tc>
          <w:tcPr>
            <w:tcW w:w="4950" w:type="dxa"/>
            <w:gridSpan w:val="2"/>
          </w:tcPr>
          <w:p w:rsidR="00FD38C2" w:rsidRPr="006F1FD4" w:rsidRDefault="00773296" w:rsidP="00265783">
            <w:pPr>
              <w:spacing w:line="360" w:lineRule="auto"/>
              <w:jc w:val="center"/>
              <w:rPr>
                <w:rFonts w:ascii="Arial" w:hAnsi="Arial" w:cs="Arial"/>
                <w:b/>
                <w:sz w:val="24"/>
                <w:szCs w:val="24"/>
              </w:rPr>
            </w:pPr>
            <w:r>
              <w:rPr>
                <w:rFonts w:ascii="Arial" w:hAnsi="Arial" w:cs="Arial"/>
                <w:b/>
                <w:sz w:val="24"/>
                <w:szCs w:val="24"/>
              </w:rPr>
              <w:t>First defendant</w:t>
            </w:r>
          </w:p>
        </w:tc>
      </w:tr>
      <w:tr w:rsidR="00A23F8A" w:rsidRPr="006F1FD4" w:rsidTr="006F1FD4">
        <w:tc>
          <w:tcPr>
            <w:tcW w:w="4770" w:type="dxa"/>
          </w:tcPr>
          <w:p w:rsidR="008E6759" w:rsidRPr="006F1FD4" w:rsidRDefault="00773296" w:rsidP="008E6759">
            <w:pPr>
              <w:spacing w:line="360" w:lineRule="auto"/>
              <w:jc w:val="center"/>
              <w:rPr>
                <w:rFonts w:ascii="Arial" w:hAnsi="Arial" w:cs="Arial"/>
                <w:sz w:val="24"/>
                <w:szCs w:val="24"/>
              </w:rPr>
            </w:pPr>
            <w:r>
              <w:rPr>
                <w:rFonts w:ascii="Arial" w:hAnsi="Arial" w:cs="Arial"/>
                <w:sz w:val="24"/>
                <w:szCs w:val="24"/>
              </w:rPr>
              <w:t>M Siyomunji</w:t>
            </w:r>
          </w:p>
          <w:p w:rsidR="008E6759" w:rsidRPr="006F1FD4" w:rsidRDefault="009E31F0" w:rsidP="008E6759">
            <w:pPr>
              <w:spacing w:line="360" w:lineRule="auto"/>
              <w:jc w:val="center"/>
              <w:rPr>
                <w:rFonts w:ascii="Arial" w:hAnsi="Arial" w:cs="Arial"/>
                <w:i/>
                <w:sz w:val="24"/>
                <w:szCs w:val="24"/>
              </w:rPr>
            </w:pPr>
            <w:r w:rsidRPr="006F1FD4">
              <w:rPr>
                <w:rFonts w:ascii="Arial" w:hAnsi="Arial" w:cs="Arial"/>
                <w:i/>
                <w:sz w:val="24"/>
                <w:szCs w:val="24"/>
              </w:rPr>
              <w:t>of</w:t>
            </w:r>
          </w:p>
          <w:p w:rsidR="009F24FA" w:rsidRPr="006F1FD4" w:rsidRDefault="00773296" w:rsidP="008E6759">
            <w:pPr>
              <w:spacing w:line="360" w:lineRule="auto"/>
              <w:jc w:val="center"/>
              <w:rPr>
                <w:rFonts w:ascii="Arial" w:hAnsi="Arial" w:cs="Arial"/>
                <w:sz w:val="24"/>
                <w:szCs w:val="24"/>
              </w:rPr>
            </w:pPr>
            <w:r>
              <w:rPr>
                <w:rFonts w:ascii="Arial" w:hAnsi="Arial" w:cs="Arial"/>
                <w:sz w:val="24"/>
                <w:szCs w:val="24"/>
              </w:rPr>
              <w:t>Siyomunji Law Chambers</w:t>
            </w:r>
            <w:r w:rsidR="008E6759" w:rsidRPr="006F1FD4">
              <w:rPr>
                <w:rFonts w:ascii="Arial" w:hAnsi="Arial" w:cs="Arial"/>
                <w:sz w:val="24"/>
                <w:szCs w:val="24"/>
              </w:rPr>
              <w:t>, Windhoek</w:t>
            </w:r>
          </w:p>
          <w:p w:rsidR="008E6759" w:rsidRPr="006F1FD4" w:rsidRDefault="008E6759" w:rsidP="008E6759">
            <w:pPr>
              <w:spacing w:line="360" w:lineRule="auto"/>
              <w:jc w:val="center"/>
              <w:rPr>
                <w:rFonts w:ascii="Arial" w:hAnsi="Arial" w:cs="Arial"/>
                <w:sz w:val="24"/>
                <w:szCs w:val="24"/>
              </w:rPr>
            </w:pPr>
          </w:p>
        </w:tc>
        <w:tc>
          <w:tcPr>
            <w:tcW w:w="4950" w:type="dxa"/>
            <w:gridSpan w:val="2"/>
          </w:tcPr>
          <w:p w:rsidR="008E6759" w:rsidRPr="006F1FD4" w:rsidRDefault="00773296" w:rsidP="008E6759">
            <w:pPr>
              <w:spacing w:line="360" w:lineRule="auto"/>
              <w:jc w:val="center"/>
              <w:rPr>
                <w:rFonts w:ascii="Arial" w:hAnsi="Arial" w:cs="Arial"/>
                <w:sz w:val="24"/>
                <w:szCs w:val="24"/>
              </w:rPr>
            </w:pPr>
            <w:r>
              <w:rPr>
                <w:rFonts w:ascii="Arial" w:hAnsi="Arial" w:cs="Arial"/>
                <w:sz w:val="24"/>
                <w:szCs w:val="24"/>
              </w:rPr>
              <w:t>F Gaes</w:t>
            </w:r>
          </w:p>
          <w:p w:rsidR="00265783" w:rsidRPr="006F1FD4" w:rsidRDefault="00265783" w:rsidP="00265783">
            <w:pPr>
              <w:spacing w:line="360" w:lineRule="auto"/>
              <w:jc w:val="center"/>
              <w:rPr>
                <w:rFonts w:ascii="Arial" w:hAnsi="Arial" w:cs="Arial"/>
                <w:i/>
                <w:sz w:val="24"/>
                <w:szCs w:val="24"/>
              </w:rPr>
            </w:pPr>
            <w:r w:rsidRPr="006F1FD4">
              <w:rPr>
                <w:rFonts w:ascii="Arial" w:hAnsi="Arial" w:cs="Arial"/>
                <w:i/>
                <w:sz w:val="24"/>
                <w:szCs w:val="24"/>
              </w:rPr>
              <w:t>of</w:t>
            </w:r>
          </w:p>
          <w:p w:rsidR="00265783" w:rsidRPr="006F1FD4" w:rsidRDefault="00773296" w:rsidP="00265783">
            <w:pPr>
              <w:spacing w:line="360" w:lineRule="auto"/>
              <w:jc w:val="center"/>
              <w:rPr>
                <w:rFonts w:ascii="Arial" w:hAnsi="Arial" w:cs="Arial"/>
                <w:sz w:val="24"/>
                <w:szCs w:val="24"/>
              </w:rPr>
            </w:pPr>
            <w:r>
              <w:rPr>
                <w:rFonts w:ascii="Arial" w:hAnsi="Arial" w:cs="Arial"/>
                <w:sz w:val="24"/>
                <w:szCs w:val="24"/>
              </w:rPr>
              <w:t>Uanivi Gaes Incorporated</w:t>
            </w:r>
            <w:r w:rsidR="00265783" w:rsidRPr="006F1FD4">
              <w:rPr>
                <w:rFonts w:ascii="Arial" w:hAnsi="Arial" w:cs="Arial"/>
                <w:sz w:val="24"/>
                <w:szCs w:val="24"/>
              </w:rPr>
              <w:t>, Windhoek</w:t>
            </w:r>
          </w:p>
          <w:p w:rsidR="006E49A3" w:rsidRPr="006F1FD4" w:rsidRDefault="006E49A3" w:rsidP="006E49A3">
            <w:pPr>
              <w:spacing w:line="360" w:lineRule="auto"/>
              <w:jc w:val="center"/>
              <w:rPr>
                <w:rFonts w:ascii="Arial" w:hAnsi="Arial" w:cs="Arial"/>
                <w:sz w:val="24"/>
                <w:szCs w:val="24"/>
              </w:rPr>
            </w:pPr>
          </w:p>
        </w:tc>
      </w:tr>
    </w:tbl>
    <w:p w:rsidR="009B096F" w:rsidRPr="006F1FD4" w:rsidRDefault="009B096F" w:rsidP="00EB27A0">
      <w:pPr>
        <w:spacing w:after="0" w:line="360" w:lineRule="auto"/>
        <w:jc w:val="both"/>
        <w:rPr>
          <w:rFonts w:ascii="Arial" w:hAnsi="Arial" w:cs="Arial"/>
          <w:sz w:val="24"/>
          <w:szCs w:val="24"/>
        </w:rPr>
      </w:pPr>
    </w:p>
    <w:p w:rsidR="00422CA6" w:rsidRPr="009E31F0" w:rsidRDefault="00422CA6" w:rsidP="00EB27A0">
      <w:pPr>
        <w:spacing w:after="0" w:line="360" w:lineRule="auto"/>
        <w:jc w:val="both"/>
        <w:rPr>
          <w:rFonts w:ascii="Arial" w:hAnsi="Arial" w:cs="Arial"/>
        </w:rPr>
      </w:pPr>
    </w:p>
    <w:sectPr w:rsidR="00422CA6" w:rsidRPr="009E31F0" w:rsidSect="00B9532F">
      <w:footerReference w:type="default" r:id="rId9"/>
      <w:pgSz w:w="11906" w:h="16838"/>
      <w:pgMar w:top="993"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6A" w:rsidRDefault="002A1F6A" w:rsidP="00A23F8A">
      <w:pPr>
        <w:spacing w:after="0" w:line="240" w:lineRule="auto"/>
      </w:pPr>
      <w:r>
        <w:separator/>
      </w:r>
    </w:p>
  </w:endnote>
  <w:endnote w:type="continuationSeparator" w:id="0">
    <w:p w:rsidR="002A1F6A" w:rsidRDefault="002A1F6A"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08804"/>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DE3BBF">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6A" w:rsidRDefault="002A1F6A" w:rsidP="00A23F8A">
      <w:pPr>
        <w:spacing w:after="0" w:line="240" w:lineRule="auto"/>
      </w:pPr>
      <w:r>
        <w:separator/>
      </w:r>
    </w:p>
  </w:footnote>
  <w:footnote w:type="continuationSeparator" w:id="0">
    <w:p w:rsidR="002A1F6A" w:rsidRDefault="002A1F6A" w:rsidP="00A23F8A">
      <w:pPr>
        <w:spacing w:after="0" w:line="240" w:lineRule="auto"/>
      </w:pPr>
      <w:r>
        <w:continuationSeparator/>
      </w:r>
    </w:p>
  </w:footnote>
  <w:footnote w:id="1">
    <w:p w:rsidR="00617952" w:rsidRPr="00D146B4" w:rsidRDefault="00617952" w:rsidP="00D146B4">
      <w:pPr>
        <w:jc w:val="both"/>
        <w:rPr>
          <w:rFonts w:ascii="Arial" w:hAnsi="Arial" w:cs="Arial"/>
          <w:sz w:val="20"/>
          <w:szCs w:val="20"/>
        </w:rPr>
      </w:pPr>
      <w:r w:rsidRPr="00D146B4">
        <w:rPr>
          <w:rStyle w:val="FootnoteReference"/>
          <w:rFonts w:ascii="Arial" w:hAnsi="Arial" w:cs="Arial"/>
          <w:sz w:val="20"/>
          <w:szCs w:val="20"/>
        </w:rPr>
        <w:footnoteRef/>
      </w:r>
      <w:r w:rsidRPr="00D146B4">
        <w:rPr>
          <w:rFonts w:ascii="Arial" w:hAnsi="Arial" w:cs="Arial"/>
          <w:sz w:val="20"/>
          <w:szCs w:val="20"/>
        </w:rPr>
        <w:t xml:space="preserve"> </w:t>
      </w:r>
      <w:r w:rsidRPr="00D146B4">
        <w:rPr>
          <w:rFonts w:ascii="Arial" w:hAnsi="Arial" w:cs="Arial"/>
          <w:i/>
          <w:sz w:val="20"/>
          <w:szCs w:val="20"/>
        </w:rPr>
        <w:t>Namibia Breweries Ltd v Seelenbinder Henning &amp; Partners</w:t>
      </w:r>
      <w:r w:rsidRPr="00D146B4">
        <w:rPr>
          <w:rFonts w:ascii="Arial" w:hAnsi="Arial" w:cs="Arial"/>
          <w:sz w:val="20"/>
          <w:szCs w:val="20"/>
        </w:rPr>
        <w:t xml:space="preserve"> (PI</w:t>
      </w:r>
      <w:r w:rsidR="00D146B4">
        <w:rPr>
          <w:rFonts w:ascii="Arial" w:hAnsi="Arial" w:cs="Arial"/>
          <w:sz w:val="20"/>
          <w:szCs w:val="20"/>
        </w:rPr>
        <w:t xml:space="preserve"> </w:t>
      </w:r>
      <w:r w:rsidRPr="00D146B4">
        <w:rPr>
          <w:rFonts w:ascii="Arial" w:hAnsi="Arial" w:cs="Arial"/>
          <w:sz w:val="20"/>
          <w:szCs w:val="20"/>
        </w:rPr>
        <w:t>1606/99) [2002] NAHC 2 (12 February 2002)</w:t>
      </w:r>
      <w:r w:rsidR="00767223">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3C7"/>
    <w:multiLevelType w:val="hybridMultilevel"/>
    <w:tmpl w:val="BADE8EAC"/>
    <w:lvl w:ilvl="0" w:tplc="F63E4E9A">
      <w:start w:val="1"/>
      <w:numFmt w:val="lowerLetter"/>
      <w:lvlText w:val="(%1)"/>
      <w:lvlJc w:val="left"/>
      <w:pPr>
        <w:ind w:left="1089" w:hanging="360"/>
      </w:pPr>
      <w:rPr>
        <w:rFonts w:hint="default"/>
      </w:rPr>
    </w:lvl>
    <w:lvl w:ilvl="1" w:tplc="1C090019" w:tentative="1">
      <w:start w:val="1"/>
      <w:numFmt w:val="lowerLetter"/>
      <w:lvlText w:val="%2."/>
      <w:lvlJc w:val="left"/>
      <w:pPr>
        <w:ind w:left="1809" w:hanging="360"/>
      </w:pPr>
    </w:lvl>
    <w:lvl w:ilvl="2" w:tplc="1C09001B" w:tentative="1">
      <w:start w:val="1"/>
      <w:numFmt w:val="lowerRoman"/>
      <w:lvlText w:val="%3."/>
      <w:lvlJc w:val="right"/>
      <w:pPr>
        <w:ind w:left="2529" w:hanging="180"/>
      </w:pPr>
    </w:lvl>
    <w:lvl w:ilvl="3" w:tplc="1C09000F" w:tentative="1">
      <w:start w:val="1"/>
      <w:numFmt w:val="decimal"/>
      <w:lvlText w:val="%4."/>
      <w:lvlJc w:val="left"/>
      <w:pPr>
        <w:ind w:left="3249" w:hanging="360"/>
      </w:pPr>
    </w:lvl>
    <w:lvl w:ilvl="4" w:tplc="1C090019" w:tentative="1">
      <w:start w:val="1"/>
      <w:numFmt w:val="lowerLetter"/>
      <w:lvlText w:val="%5."/>
      <w:lvlJc w:val="left"/>
      <w:pPr>
        <w:ind w:left="3969" w:hanging="360"/>
      </w:pPr>
    </w:lvl>
    <w:lvl w:ilvl="5" w:tplc="1C09001B" w:tentative="1">
      <w:start w:val="1"/>
      <w:numFmt w:val="lowerRoman"/>
      <w:lvlText w:val="%6."/>
      <w:lvlJc w:val="right"/>
      <w:pPr>
        <w:ind w:left="4689" w:hanging="180"/>
      </w:pPr>
    </w:lvl>
    <w:lvl w:ilvl="6" w:tplc="1C09000F" w:tentative="1">
      <w:start w:val="1"/>
      <w:numFmt w:val="decimal"/>
      <w:lvlText w:val="%7."/>
      <w:lvlJc w:val="left"/>
      <w:pPr>
        <w:ind w:left="5409" w:hanging="360"/>
      </w:pPr>
    </w:lvl>
    <w:lvl w:ilvl="7" w:tplc="1C090019" w:tentative="1">
      <w:start w:val="1"/>
      <w:numFmt w:val="lowerLetter"/>
      <w:lvlText w:val="%8."/>
      <w:lvlJc w:val="left"/>
      <w:pPr>
        <w:ind w:left="6129" w:hanging="360"/>
      </w:pPr>
    </w:lvl>
    <w:lvl w:ilvl="8" w:tplc="1C09001B" w:tentative="1">
      <w:start w:val="1"/>
      <w:numFmt w:val="lowerRoman"/>
      <w:lvlText w:val="%9."/>
      <w:lvlJc w:val="right"/>
      <w:pPr>
        <w:ind w:left="6849" w:hanging="180"/>
      </w:pPr>
    </w:lvl>
  </w:abstractNum>
  <w:abstractNum w:abstractNumId="1" w15:restartNumberingAfterBreak="0">
    <w:nsid w:val="0D1D32CE"/>
    <w:multiLevelType w:val="hybridMultilevel"/>
    <w:tmpl w:val="E042FBDA"/>
    <w:lvl w:ilvl="0" w:tplc="01F2FA88">
      <w:start w:val="1"/>
      <w:numFmt w:val="lowerLetter"/>
      <w:lvlText w:val="(%1)"/>
      <w:lvlJc w:val="left"/>
      <w:pPr>
        <w:ind w:left="1089" w:hanging="360"/>
      </w:pPr>
      <w:rPr>
        <w:rFonts w:hint="default"/>
      </w:rPr>
    </w:lvl>
    <w:lvl w:ilvl="1" w:tplc="1C090019" w:tentative="1">
      <w:start w:val="1"/>
      <w:numFmt w:val="lowerLetter"/>
      <w:lvlText w:val="%2."/>
      <w:lvlJc w:val="left"/>
      <w:pPr>
        <w:ind w:left="1809" w:hanging="360"/>
      </w:pPr>
    </w:lvl>
    <w:lvl w:ilvl="2" w:tplc="1C09001B" w:tentative="1">
      <w:start w:val="1"/>
      <w:numFmt w:val="lowerRoman"/>
      <w:lvlText w:val="%3."/>
      <w:lvlJc w:val="right"/>
      <w:pPr>
        <w:ind w:left="2529" w:hanging="180"/>
      </w:pPr>
    </w:lvl>
    <w:lvl w:ilvl="3" w:tplc="1C09000F" w:tentative="1">
      <w:start w:val="1"/>
      <w:numFmt w:val="decimal"/>
      <w:lvlText w:val="%4."/>
      <w:lvlJc w:val="left"/>
      <w:pPr>
        <w:ind w:left="3249" w:hanging="360"/>
      </w:pPr>
    </w:lvl>
    <w:lvl w:ilvl="4" w:tplc="1C090019" w:tentative="1">
      <w:start w:val="1"/>
      <w:numFmt w:val="lowerLetter"/>
      <w:lvlText w:val="%5."/>
      <w:lvlJc w:val="left"/>
      <w:pPr>
        <w:ind w:left="3969" w:hanging="360"/>
      </w:pPr>
    </w:lvl>
    <w:lvl w:ilvl="5" w:tplc="1C09001B" w:tentative="1">
      <w:start w:val="1"/>
      <w:numFmt w:val="lowerRoman"/>
      <w:lvlText w:val="%6."/>
      <w:lvlJc w:val="right"/>
      <w:pPr>
        <w:ind w:left="4689" w:hanging="180"/>
      </w:pPr>
    </w:lvl>
    <w:lvl w:ilvl="6" w:tplc="1C09000F" w:tentative="1">
      <w:start w:val="1"/>
      <w:numFmt w:val="decimal"/>
      <w:lvlText w:val="%7."/>
      <w:lvlJc w:val="left"/>
      <w:pPr>
        <w:ind w:left="5409" w:hanging="360"/>
      </w:pPr>
    </w:lvl>
    <w:lvl w:ilvl="7" w:tplc="1C090019" w:tentative="1">
      <w:start w:val="1"/>
      <w:numFmt w:val="lowerLetter"/>
      <w:lvlText w:val="%8."/>
      <w:lvlJc w:val="left"/>
      <w:pPr>
        <w:ind w:left="6129" w:hanging="360"/>
      </w:pPr>
    </w:lvl>
    <w:lvl w:ilvl="8" w:tplc="1C09001B" w:tentative="1">
      <w:start w:val="1"/>
      <w:numFmt w:val="lowerRoman"/>
      <w:lvlText w:val="%9."/>
      <w:lvlJc w:val="right"/>
      <w:pPr>
        <w:ind w:left="6849" w:hanging="180"/>
      </w:pPr>
    </w:lvl>
  </w:abstractNum>
  <w:abstractNum w:abstractNumId="2"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9"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9"/>
  </w:num>
  <w:num w:numId="5">
    <w:abstractNumId w:val="7"/>
  </w:num>
  <w:num w:numId="6">
    <w:abstractNumId w:val="5"/>
  </w:num>
  <w:num w:numId="7">
    <w:abstractNumId w:val="12"/>
  </w:num>
  <w:num w:numId="8">
    <w:abstractNumId w:val="11"/>
  </w:num>
  <w:num w:numId="9">
    <w:abstractNumId w:val="4"/>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6D86"/>
    <w:rsid w:val="00062068"/>
    <w:rsid w:val="00065CE7"/>
    <w:rsid w:val="00090783"/>
    <w:rsid w:val="00092FD2"/>
    <w:rsid w:val="000C0A07"/>
    <w:rsid w:val="000C5864"/>
    <w:rsid w:val="000D5FE9"/>
    <w:rsid w:val="000E362A"/>
    <w:rsid w:val="000F1180"/>
    <w:rsid w:val="00112D50"/>
    <w:rsid w:val="00113321"/>
    <w:rsid w:val="00124EC8"/>
    <w:rsid w:val="001338C3"/>
    <w:rsid w:val="001417E6"/>
    <w:rsid w:val="001548E9"/>
    <w:rsid w:val="00165FEE"/>
    <w:rsid w:val="0017153C"/>
    <w:rsid w:val="00176181"/>
    <w:rsid w:val="001804AD"/>
    <w:rsid w:val="001B23D9"/>
    <w:rsid w:val="001B710C"/>
    <w:rsid w:val="001D41D2"/>
    <w:rsid w:val="001E39EE"/>
    <w:rsid w:val="001E70F9"/>
    <w:rsid w:val="001F1ECD"/>
    <w:rsid w:val="001F4A48"/>
    <w:rsid w:val="002002FA"/>
    <w:rsid w:val="00203E3D"/>
    <w:rsid w:val="002100DF"/>
    <w:rsid w:val="002207D9"/>
    <w:rsid w:val="00223D66"/>
    <w:rsid w:val="00263A9B"/>
    <w:rsid w:val="00265783"/>
    <w:rsid w:val="00266B3E"/>
    <w:rsid w:val="002736CF"/>
    <w:rsid w:val="00281A10"/>
    <w:rsid w:val="00281FAB"/>
    <w:rsid w:val="002A1F6A"/>
    <w:rsid w:val="002B1C34"/>
    <w:rsid w:val="002B3F1D"/>
    <w:rsid w:val="002C3150"/>
    <w:rsid w:val="002C6FA8"/>
    <w:rsid w:val="002D4C2A"/>
    <w:rsid w:val="002E3BFB"/>
    <w:rsid w:val="00300CF7"/>
    <w:rsid w:val="0030287B"/>
    <w:rsid w:val="00323762"/>
    <w:rsid w:val="00334EC0"/>
    <w:rsid w:val="003375D1"/>
    <w:rsid w:val="00342AC5"/>
    <w:rsid w:val="00347DBC"/>
    <w:rsid w:val="00351D08"/>
    <w:rsid w:val="00364D3C"/>
    <w:rsid w:val="00371CD0"/>
    <w:rsid w:val="003723C3"/>
    <w:rsid w:val="00374F40"/>
    <w:rsid w:val="00391FCE"/>
    <w:rsid w:val="0039308E"/>
    <w:rsid w:val="00393E41"/>
    <w:rsid w:val="00396AF1"/>
    <w:rsid w:val="003A0103"/>
    <w:rsid w:val="003A7E2F"/>
    <w:rsid w:val="003B0E74"/>
    <w:rsid w:val="003C4403"/>
    <w:rsid w:val="003C4613"/>
    <w:rsid w:val="003E3D0D"/>
    <w:rsid w:val="003E50E8"/>
    <w:rsid w:val="003E5299"/>
    <w:rsid w:val="003F4C8D"/>
    <w:rsid w:val="003F52A2"/>
    <w:rsid w:val="003F63E0"/>
    <w:rsid w:val="00422CA6"/>
    <w:rsid w:val="00425554"/>
    <w:rsid w:val="004514DE"/>
    <w:rsid w:val="004546CC"/>
    <w:rsid w:val="00456199"/>
    <w:rsid w:val="00470B0C"/>
    <w:rsid w:val="004A6FCE"/>
    <w:rsid w:val="004B355E"/>
    <w:rsid w:val="004B5538"/>
    <w:rsid w:val="004B5E87"/>
    <w:rsid w:val="004E581F"/>
    <w:rsid w:val="004E6692"/>
    <w:rsid w:val="004E7D33"/>
    <w:rsid w:val="0050338C"/>
    <w:rsid w:val="005234EE"/>
    <w:rsid w:val="005403D8"/>
    <w:rsid w:val="005577B6"/>
    <w:rsid w:val="00560857"/>
    <w:rsid w:val="00562A14"/>
    <w:rsid w:val="0056512A"/>
    <w:rsid w:val="00587F11"/>
    <w:rsid w:val="005955B1"/>
    <w:rsid w:val="005A66F8"/>
    <w:rsid w:val="005B7A31"/>
    <w:rsid w:val="005D0592"/>
    <w:rsid w:val="005D6172"/>
    <w:rsid w:val="005D7161"/>
    <w:rsid w:val="005E142B"/>
    <w:rsid w:val="005E5A8F"/>
    <w:rsid w:val="0060394A"/>
    <w:rsid w:val="006039AA"/>
    <w:rsid w:val="00617952"/>
    <w:rsid w:val="00621EE8"/>
    <w:rsid w:val="0062225A"/>
    <w:rsid w:val="00627C26"/>
    <w:rsid w:val="006475B1"/>
    <w:rsid w:val="00647A7B"/>
    <w:rsid w:val="00652595"/>
    <w:rsid w:val="00666306"/>
    <w:rsid w:val="006809D8"/>
    <w:rsid w:val="00686B3F"/>
    <w:rsid w:val="006B1F56"/>
    <w:rsid w:val="006B2AD5"/>
    <w:rsid w:val="006C2872"/>
    <w:rsid w:val="006D1141"/>
    <w:rsid w:val="006D22F9"/>
    <w:rsid w:val="006D2D84"/>
    <w:rsid w:val="006E2964"/>
    <w:rsid w:val="006E49A3"/>
    <w:rsid w:val="006F1FD4"/>
    <w:rsid w:val="006F4A66"/>
    <w:rsid w:val="00711F52"/>
    <w:rsid w:val="00715AD2"/>
    <w:rsid w:val="00723F03"/>
    <w:rsid w:val="0072640A"/>
    <w:rsid w:val="0073012B"/>
    <w:rsid w:val="007329D4"/>
    <w:rsid w:val="007447AE"/>
    <w:rsid w:val="00747B22"/>
    <w:rsid w:val="00764071"/>
    <w:rsid w:val="00767223"/>
    <w:rsid w:val="00767C1C"/>
    <w:rsid w:val="00773296"/>
    <w:rsid w:val="0078341F"/>
    <w:rsid w:val="007927A2"/>
    <w:rsid w:val="0079456D"/>
    <w:rsid w:val="00797188"/>
    <w:rsid w:val="00797247"/>
    <w:rsid w:val="007A64D4"/>
    <w:rsid w:val="007C6B41"/>
    <w:rsid w:val="00805BCE"/>
    <w:rsid w:val="00806B14"/>
    <w:rsid w:val="00812E09"/>
    <w:rsid w:val="0081352A"/>
    <w:rsid w:val="00823237"/>
    <w:rsid w:val="00825474"/>
    <w:rsid w:val="00837272"/>
    <w:rsid w:val="00851B88"/>
    <w:rsid w:val="00864008"/>
    <w:rsid w:val="00864FC2"/>
    <w:rsid w:val="00867BDF"/>
    <w:rsid w:val="00890143"/>
    <w:rsid w:val="008930A5"/>
    <w:rsid w:val="008A14A9"/>
    <w:rsid w:val="008A63B0"/>
    <w:rsid w:val="008B1C23"/>
    <w:rsid w:val="008C0AC7"/>
    <w:rsid w:val="008D2B93"/>
    <w:rsid w:val="008D5B8D"/>
    <w:rsid w:val="008D65E9"/>
    <w:rsid w:val="008D79D4"/>
    <w:rsid w:val="008E6759"/>
    <w:rsid w:val="00902CE8"/>
    <w:rsid w:val="00905A48"/>
    <w:rsid w:val="00912D4E"/>
    <w:rsid w:val="00913A1D"/>
    <w:rsid w:val="00915248"/>
    <w:rsid w:val="009228FD"/>
    <w:rsid w:val="00945A2F"/>
    <w:rsid w:val="00947BEE"/>
    <w:rsid w:val="00952193"/>
    <w:rsid w:val="009633A4"/>
    <w:rsid w:val="0098277A"/>
    <w:rsid w:val="00990B82"/>
    <w:rsid w:val="00992A7D"/>
    <w:rsid w:val="00997334"/>
    <w:rsid w:val="009A5F60"/>
    <w:rsid w:val="009A79F5"/>
    <w:rsid w:val="009B096F"/>
    <w:rsid w:val="009C36A5"/>
    <w:rsid w:val="009C7093"/>
    <w:rsid w:val="009E31F0"/>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3745"/>
    <w:rsid w:val="00AB5193"/>
    <w:rsid w:val="00AC4198"/>
    <w:rsid w:val="00AD0FCD"/>
    <w:rsid w:val="00AD1833"/>
    <w:rsid w:val="00B07B4B"/>
    <w:rsid w:val="00B160EB"/>
    <w:rsid w:val="00B1649C"/>
    <w:rsid w:val="00B30012"/>
    <w:rsid w:val="00B337FC"/>
    <w:rsid w:val="00B40BBE"/>
    <w:rsid w:val="00B4625E"/>
    <w:rsid w:val="00B53D6D"/>
    <w:rsid w:val="00B66325"/>
    <w:rsid w:val="00B76671"/>
    <w:rsid w:val="00B8518D"/>
    <w:rsid w:val="00B907FE"/>
    <w:rsid w:val="00B9532F"/>
    <w:rsid w:val="00BA213D"/>
    <w:rsid w:val="00BA3715"/>
    <w:rsid w:val="00BA48EA"/>
    <w:rsid w:val="00BB1E6E"/>
    <w:rsid w:val="00BB388A"/>
    <w:rsid w:val="00BC4D4A"/>
    <w:rsid w:val="00BE5489"/>
    <w:rsid w:val="00BE7DE8"/>
    <w:rsid w:val="00BF539E"/>
    <w:rsid w:val="00BF6DAE"/>
    <w:rsid w:val="00C01AC1"/>
    <w:rsid w:val="00C04EBD"/>
    <w:rsid w:val="00C06B39"/>
    <w:rsid w:val="00C10C58"/>
    <w:rsid w:val="00C119BC"/>
    <w:rsid w:val="00C249D9"/>
    <w:rsid w:val="00C332BE"/>
    <w:rsid w:val="00C356C5"/>
    <w:rsid w:val="00C50A1F"/>
    <w:rsid w:val="00C73154"/>
    <w:rsid w:val="00C879A7"/>
    <w:rsid w:val="00CA2B73"/>
    <w:rsid w:val="00CA4320"/>
    <w:rsid w:val="00CB39F0"/>
    <w:rsid w:val="00CB4CA9"/>
    <w:rsid w:val="00CC191C"/>
    <w:rsid w:val="00CC4D82"/>
    <w:rsid w:val="00CC4E7A"/>
    <w:rsid w:val="00CC5024"/>
    <w:rsid w:val="00CF3D16"/>
    <w:rsid w:val="00CF6287"/>
    <w:rsid w:val="00D0287E"/>
    <w:rsid w:val="00D10858"/>
    <w:rsid w:val="00D146B4"/>
    <w:rsid w:val="00D153C7"/>
    <w:rsid w:val="00D22ACF"/>
    <w:rsid w:val="00D40029"/>
    <w:rsid w:val="00D51DA9"/>
    <w:rsid w:val="00D64023"/>
    <w:rsid w:val="00D73FFF"/>
    <w:rsid w:val="00D862BF"/>
    <w:rsid w:val="00DC32B4"/>
    <w:rsid w:val="00DC392E"/>
    <w:rsid w:val="00DD1F31"/>
    <w:rsid w:val="00DE3BBF"/>
    <w:rsid w:val="00DE5291"/>
    <w:rsid w:val="00E1002B"/>
    <w:rsid w:val="00E256F6"/>
    <w:rsid w:val="00E3339B"/>
    <w:rsid w:val="00E41527"/>
    <w:rsid w:val="00E41C88"/>
    <w:rsid w:val="00E44BBF"/>
    <w:rsid w:val="00E619CB"/>
    <w:rsid w:val="00E765F9"/>
    <w:rsid w:val="00EA06CF"/>
    <w:rsid w:val="00EB27A0"/>
    <w:rsid w:val="00EE19B5"/>
    <w:rsid w:val="00F062D7"/>
    <w:rsid w:val="00F11950"/>
    <w:rsid w:val="00F16C57"/>
    <w:rsid w:val="00F24301"/>
    <w:rsid w:val="00F3787E"/>
    <w:rsid w:val="00F53DDE"/>
    <w:rsid w:val="00F571A4"/>
    <w:rsid w:val="00F66EB8"/>
    <w:rsid w:val="00F71EB9"/>
    <w:rsid w:val="00F72F82"/>
    <w:rsid w:val="00FB2069"/>
    <w:rsid w:val="00FD3814"/>
    <w:rsid w:val="00FD38C2"/>
    <w:rsid w:val="00FF2E3F"/>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2020-11-11T18:30:00+00:00</Judgment_x0020_Date>
    <Year xmlns="c1afb1bd-f2fb-40fd-9abb-aea55b4d7662">2020</Year>
  </documentManagement>
</p:properties>
</file>

<file path=customXml/itemProps1.xml><?xml version="1.0" encoding="utf-8"?>
<ds:datastoreItem xmlns:ds="http://schemas.openxmlformats.org/officeDocument/2006/customXml" ds:itemID="{A3834132-EE9E-4A58-BA0F-334F4DF75A1C}"/>
</file>

<file path=customXml/itemProps2.xml><?xml version="1.0" encoding="utf-8"?>
<ds:datastoreItem xmlns:ds="http://schemas.openxmlformats.org/officeDocument/2006/customXml" ds:itemID="{F22FB8BD-847C-41A7-AB73-7D17F3B6016E}"/>
</file>

<file path=customXml/itemProps3.xml><?xml version="1.0" encoding="utf-8"?>
<ds:datastoreItem xmlns:ds="http://schemas.openxmlformats.org/officeDocument/2006/customXml" ds:itemID="{0CBFF691-84C0-446B-B53E-876FF871CFE6}"/>
</file>

<file path=customXml/itemProps4.xml><?xml version="1.0" encoding="utf-8"?>
<ds:datastoreItem xmlns:ds="http://schemas.openxmlformats.org/officeDocument/2006/customXml" ds:itemID="{4F404831-D0D4-4561-9605-BD52192A1F44}"/>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Stephanus v Kuutondokwa (HC-MD-CIV-ACT-OTH-2020-00364) [2020] NAHCMD 468 (12 October 2020)</dc:title>
  <dc:subject/>
  <dc:creator>E. Kharases</dc:creator>
  <cp:keywords/>
  <dc:description/>
  <cp:lastModifiedBy>Administrator</cp:lastModifiedBy>
  <cp:revision>3</cp:revision>
  <cp:lastPrinted>2019-12-03T06:07:00Z</cp:lastPrinted>
  <dcterms:created xsi:type="dcterms:W3CDTF">2020-11-12T08:04:00Z</dcterms:created>
  <dcterms:modified xsi:type="dcterms:W3CDTF">2020-11-12T08:05:00Z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