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D4" w:rsidRPr="009D68D4" w:rsidRDefault="009D68D4" w:rsidP="009D68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8D4">
        <w:rPr>
          <w:rFonts w:ascii="Arial" w:hAnsi="Arial" w:cs="Arial"/>
          <w:b/>
          <w:sz w:val="24"/>
          <w:szCs w:val="24"/>
        </w:rPr>
        <w:t>REPUBLIC OF NAMIBIA</w:t>
      </w:r>
    </w:p>
    <w:p w:rsidR="009D68D4" w:rsidRPr="009D68D4" w:rsidRDefault="009D68D4" w:rsidP="009D68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8D4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B84EBDF" wp14:editId="25599F22">
            <wp:extent cx="1276350" cy="1323975"/>
            <wp:effectExtent l="0" t="0" r="0" b="9525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D4" w:rsidRPr="009D68D4" w:rsidRDefault="00593D46" w:rsidP="009D68D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THE </w:t>
      </w:r>
      <w:r w:rsidR="009D68D4" w:rsidRPr="009D68D4">
        <w:rPr>
          <w:rFonts w:ascii="Arial" w:hAnsi="Arial" w:cs="Arial"/>
          <w:b/>
          <w:sz w:val="24"/>
          <w:szCs w:val="24"/>
        </w:rPr>
        <w:t>HIGH COURT OF NAMIBIA</w:t>
      </w:r>
      <w:r>
        <w:rPr>
          <w:rFonts w:ascii="Arial" w:hAnsi="Arial" w:cs="Arial"/>
          <w:b/>
          <w:sz w:val="24"/>
          <w:szCs w:val="24"/>
        </w:rPr>
        <w:t>,</w:t>
      </w:r>
      <w:r w:rsidR="009D68D4" w:rsidRPr="009D68D4">
        <w:rPr>
          <w:rFonts w:ascii="Arial" w:hAnsi="Arial" w:cs="Arial"/>
          <w:b/>
          <w:sz w:val="24"/>
          <w:szCs w:val="24"/>
        </w:rPr>
        <w:t xml:space="preserve"> MAIN DIVISION, WINDHOEK</w:t>
      </w:r>
    </w:p>
    <w:p w:rsidR="009D68D4" w:rsidRPr="009D68D4" w:rsidRDefault="009D68D4" w:rsidP="009D68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8D4" w:rsidRDefault="00C5591F" w:rsidP="00C55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JUDGMENT</w:t>
      </w:r>
    </w:p>
    <w:p w:rsidR="00C5591F" w:rsidRPr="00C5591F" w:rsidRDefault="00C5591F" w:rsidP="00C55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5220"/>
        <w:gridCol w:w="4860"/>
      </w:tblGrid>
      <w:tr w:rsidR="00CB1C1B" w:rsidRPr="00CB1C1B" w:rsidTr="00C5591F">
        <w:tc>
          <w:tcPr>
            <w:tcW w:w="5220" w:type="dxa"/>
            <w:vMerge w:val="restart"/>
          </w:tcPr>
          <w:p w:rsidR="00CB1C1B" w:rsidRDefault="00CB1C1B" w:rsidP="00CB1C1B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C5591F" w:rsidRPr="00CB1C1B" w:rsidRDefault="00C5591F" w:rsidP="00CB1C1B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</w:p>
          <w:p w:rsidR="00CB1C1B" w:rsidRPr="00CB1C1B" w:rsidRDefault="00CB1C1B" w:rsidP="00CB1C1B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Urban Farming CC and Others</w:t>
            </w:r>
          </w:p>
          <w:p w:rsidR="00CB1C1B" w:rsidRPr="00CB1C1B" w:rsidRDefault="001A6CE6" w:rsidP="00CB1C1B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a</w:t>
            </w:r>
            <w:r w:rsidR="00CB1C1B" w:rsidRPr="00CB1C1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nd</w:t>
            </w:r>
          </w:p>
          <w:p w:rsidR="00CB1C1B" w:rsidRPr="00CB1C1B" w:rsidRDefault="00CB1C1B" w:rsidP="00CB1C1B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proofErr w:type="spellStart"/>
            <w:r w:rsidRPr="00CB1C1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Kaunapaua</w:t>
            </w:r>
            <w:proofErr w:type="spellEnd"/>
            <w:r w:rsidRPr="00CB1C1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C1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Ndilula</w:t>
            </w:r>
            <w:proofErr w:type="spellEnd"/>
            <w:r w:rsidR="00844D03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NO</w:t>
            </w:r>
            <w:r w:rsidRPr="00CB1C1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and Others</w:t>
            </w:r>
          </w:p>
          <w:p w:rsidR="00CB1C1B" w:rsidRP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  <w:p w:rsidR="00CB1C1B" w:rsidRP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CB1C1B" w:rsidRDefault="00CB1C1B" w:rsidP="00CB1C1B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Case No:</w:t>
            </w:r>
          </w:p>
          <w:p w:rsidR="00C5591F" w:rsidRPr="00CB1C1B" w:rsidRDefault="00C5591F" w:rsidP="00CB1C1B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</w:p>
          <w:p w:rsidR="00CB1C1B" w:rsidRPr="00CB1C1B" w:rsidRDefault="00CB1C1B" w:rsidP="00CB1C1B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HC-MD-CIV-MOT-GEN-2020/00375</w:t>
            </w:r>
          </w:p>
          <w:p w:rsidR="00CB1C1B" w:rsidRPr="00CB1C1B" w:rsidRDefault="00CB1C1B" w:rsidP="00CB1C1B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CB1C1B" w:rsidRPr="00CB1C1B" w:rsidTr="00C5591F">
        <w:tc>
          <w:tcPr>
            <w:tcW w:w="5220" w:type="dxa"/>
            <w:vMerge/>
          </w:tcPr>
          <w:p w:rsidR="00CB1C1B" w:rsidRP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CB1C1B" w:rsidRPr="00CB1C1B" w:rsidRDefault="00CB1C1B" w:rsidP="00CB1C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C1B">
              <w:rPr>
                <w:rFonts w:ascii="Arial" w:hAnsi="Arial" w:cs="Arial"/>
                <w:b/>
                <w:sz w:val="24"/>
                <w:szCs w:val="24"/>
              </w:rPr>
              <w:t>Division of Court</w:t>
            </w:r>
            <w:r w:rsidR="00C5591F" w:rsidRPr="00C559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B1C1B" w:rsidRPr="00CB1C1B" w:rsidRDefault="00C5591F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CB1C1B">
              <w:rPr>
                <w:rFonts w:ascii="Arial" w:hAnsi="Arial" w:cs="Arial"/>
                <w:sz w:val="24"/>
                <w:szCs w:val="24"/>
              </w:rPr>
              <w:t>HIGH COURT (MAIN DIVISION)</w:t>
            </w:r>
          </w:p>
        </w:tc>
      </w:tr>
      <w:tr w:rsidR="00CB1C1B" w:rsidRPr="00CB1C1B" w:rsidTr="00C5591F">
        <w:tc>
          <w:tcPr>
            <w:tcW w:w="5220" w:type="dxa"/>
            <w:vMerge w:val="restart"/>
          </w:tcPr>
          <w:p w:rsidR="00CB1C1B" w:rsidRPr="00CB1C1B" w:rsidRDefault="00CB1C1B" w:rsidP="00CB1C1B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Heard before:</w:t>
            </w:r>
          </w:p>
          <w:p w:rsidR="00CB1C1B" w:rsidRPr="00CB1C1B" w:rsidRDefault="00CB1C1B" w:rsidP="00CB1C1B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Parke</w:t>
            </w:r>
            <w:r w:rsidR="00844D03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r</w:t>
            </w:r>
            <w:r w:rsidRPr="00CB1C1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AJ</w:t>
            </w:r>
          </w:p>
          <w:p w:rsidR="00CB1C1B" w:rsidRPr="00CB1C1B" w:rsidRDefault="00CB1C1B" w:rsidP="00CB1C1B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CB1C1B" w:rsidRP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CB1C1B" w:rsidRPr="00CB1C1B" w:rsidRDefault="00CB1C1B" w:rsidP="00CB1C1B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Date of hearing:</w:t>
            </w:r>
          </w:p>
          <w:p w:rsidR="00C5591F" w:rsidRDefault="00CB1C1B" w:rsidP="00CB1C1B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16 October 2020</w:t>
            </w:r>
          </w:p>
          <w:p w:rsidR="00C5591F" w:rsidRPr="00CB1C1B" w:rsidRDefault="00C5591F" w:rsidP="00CB1C1B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CB1C1B" w:rsidRPr="00CB1C1B" w:rsidTr="00C5591F">
        <w:tc>
          <w:tcPr>
            <w:tcW w:w="5220" w:type="dxa"/>
            <w:vMerge/>
          </w:tcPr>
          <w:p w:rsidR="00CB1C1B" w:rsidRP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CB1C1B" w:rsidRPr="00CB1C1B" w:rsidRDefault="00CB1C1B" w:rsidP="00CB1C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C1B">
              <w:rPr>
                <w:rFonts w:ascii="Arial" w:hAnsi="Arial" w:cs="Arial"/>
                <w:b/>
                <w:sz w:val="24"/>
                <w:szCs w:val="24"/>
              </w:rPr>
              <w:t>Date of order:</w:t>
            </w:r>
          </w:p>
          <w:p w:rsidR="00CB1C1B" w:rsidRPr="00EF5090" w:rsidRDefault="00CB1C1B" w:rsidP="00CB1C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5090">
              <w:rPr>
                <w:rFonts w:ascii="Arial" w:hAnsi="Arial" w:cs="Arial"/>
                <w:b/>
                <w:sz w:val="24"/>
                <w:szCs w:val="24"/>
              </w:rPr>
              <w:t>19 October 2020</w:t>
            </w:r>
          </w:p>
          <w:p w:rsidR="00C5591F" w:rsidRPr="00CB1C1B" w:rsidRDefault="00C5591F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CB1C1B" w:rsidRPr="00CB1C1B" w:rsidTr="00C5591F">
        <w:tc>
          <w:tcPr>
            <w:tcW w:w="10080" w:type="dxa"/>
            <w:gridSpan w:val="2"/>
          </w:tcPr>
          <w:p w:rsidR="00CB1C1B" w:rsidRPr="00BA32DF" w:rsidRDefault="00CB1C1B" w:rsidP="00EF509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32DF">
              <w:rPr>
                <w:rFonts w:ascii="Arial" w:hAnsi="Arial" w:cs="Arial"/>
                <w:b/>
                <w:sz w:val="24"/>
                <w:szCs w:val="24"/>
              </w:rPr>
              <w:t>Neutral citation:</w:t>
            </w:r>
          </w:p>
          <w:p w:rsidR="00CB1C1B" w:rsidRDefault="00CB1C1B" w:rsidP="00EF50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C1B">
              <w:rPr>
                <w:rFonts w:ascii="Arial" w:hAnsi="Arial" w:cs="Arial"/>
                <w:i/>
                <w:sz w:val="24"/>
                <w:szCs w:val="24"/>
              </w:rPr>
              <w:t xml:space="preserve">Urban Farming CC v </w:t>
            </w:r>
            <w:proofErr w:type="spellStart"/>
            <w:r w:rsidRPr="00CB1C1B">
              <w:rPr>
                <w:rFonts w:ascii="Arial" w:hAnsi="Arial" w:cs="Arial"/>
                <w:i/>
                <w:sz w:val="24"/>
                <w:szCs w:val="24"/>
              </w:rPr>
              <w:t>Ndilula</w:t>
            </w:r>
            <w:proofErr w:type="spellEnd"/>
            <w:r w:rsidR="00DA5456">
              <w:rPr>
                <w:rFonts w:ascii="Arial" w:hAnsi="Arial" w:cs="Arial"/>
                <w:sz w:val="24"/>
                <w:szCs w:val="24"/>
              </w:rPr>
              <w:t xml:space="preserve"> (HC-MD-CIV-MOT-GEN-2020-</w:t>
            </w:r>
            <w:r w:rsidRPr="00CB1C1B">
              <w:rPr>
                <w:rFonts w:ascii="Arial" w:hAnsi="Arial" w:cs="Arial"/>
                <w:sz w:val="24"/>
                <w:szCs w:val="24"/>
              </w:rPr>
              <w:t>00375) [2020] NAHCMD</w:t>
            </w:r>
            <w:r w:rsidR="000E0B08">
              <w:rPr>
                <w:rFonts w:ascii="Arial" w:hAnsi="Arial" w:cs="Arial"/>
                <w:sz w:val="24"/>
                <w:szCs w:val="24"/>
              </w:rPr>
              <w:t xml:space="preserve"> 474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D87">
              <w:rPr>
                <w:rFonts w:ascii="Arial" w:hAnsi="Arial" w:cs="Arial"/>
                <w:sz w:val="24"/>
                <w:szCs w:val="24"/>
              </w:rPr>
              <w:t>(</w:t>
            </w:r>
            <w:r w:rsidRPr="00CB1C1B">
              <w:rPr>
                <w:rFonts w:ascii="Arial" w:hAnsi="Arial" w:cs="Arial"/>
                <w:sz w:val="24"/>
                <w:szCs w:val="24"/>
              </w:rPr>
              <w:t>19 October 2020)</w:t>
            </w:r>
          </w:p>
          <w:p w:rsidR="00C5591F" w:rsidRPr="00CB1C1B" w:rsidRDefault="00C5591F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CB1C1B" w:rsidRPr="00CB1C1B" w:rsidTr="00C5591F">
        <w:tc>
          <w:tcPr>
            <w:tcW w:w="10080" w:type="dxa"/>
            <w:gridSpan w:val="2"/>
          </w:tcPr>
          <w:p w:rsidR="00CB1C1B" w:rsidRDefault="00CB1C1B" w:rsidP="00EF50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C1B">
              <w:rPr>
                <w:rFonts w:ascii="Arial" w:hAnsi="Arial" w:cs="Arial"/>
                <w:sz w:val="24"/>
                <w:szCs w:val="24"/>
              </w:rPr>
              <w:t xml:space="preserve">Having heard Mr T </w:t>
            </w:r>
            <w:proofErr w:type="spellStart"/>
            <w:r w:rsidRPr="00CB1C1B">
              <w:rPr>
                <w:rFonts w:ascii="Arial" w:hAnsi="Arial" w:cs="Arial"/>
                <w:sz w:val="24"/>
                <w:szCs w:val="24"/>
              </w:rPr>
              <w:t>Andima</w:t>
            </w:r>
            <w:proofErr w:type="spellEnd"/>
            <w:r w:rsidRPr="00CB1C1B">
              <w:rPr>
                <w:rFonts w:ascii="Arial" w:hAnsi="Arial" w:cs="Arial"/>
                <w:sz w:val="24"/>
                <w:szCs w:val="24"/>
              </w:rPr>
              <w:t xml:space="preserve">, counsel for applicants, and Mr A </w:t>
            </w:r>
            <w:r w:rsidR="00FD39F1">
              <w:rPr>
                <w:rFonts w:ascii="Arial" w:hAnsi="Arial" w:cs="Arial"/>
                <w:sz w:val="24"/>
                <w:szCs w:val="24"/>
              </w:rPr>
              <w:t>v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an </w:t>
            </w:r>
            <w:proofErr w:type="spellStart"/>
            <w:r w:rsidRPr="00CB1C1B">
              <w:rPr>
                <w:rFonts w:ascii="Arial" w:hAnsi="Arial" w:cs="Arial"/>
                <w:sz w:val="24"/>
                <w:szCs w:val="24"/>
              </w:rPr>
              <w:t>Vuuren</w:t>
            </w:r>
            <w:proofErr w:type="spellEnd"/>
            <w:r w:rsidRPr="00CB1C1B">
              <w:rPr>
                <w:rFonts w:ascii="Arial" w:hAnsi="Arial" w:cs="Arial"/>
                <w:sz w:val="24"/>
                <w:szCs w:val="24"/>
              </w:rPr>
              <w:t>, counsel for respondents; and having read the papers filed of record for Case No. HC-MD-CIV-MOT-GEN-2020/00375:</w:t>
            </w:r>
          </w:p>
          <w:p w:rsidR="00C5591F" w:rsidRDefault="00C5591F" w:rsidP="00EF50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91F" w:rsidRPr="00CB1C1B" w:rsidRDefault="00C5591F" w:rsidP="00EF50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1C1B" w:rsidRPr="00CB1C1B" w:rsidRDefault="00CB1C1B" w:rsidP="00EF509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1C1B" w:rsidRPr="00CB1C1B" w:rsidRDefault="00CB1C1B" w:rsidP="00CB1C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C1B">
              <w:rPr>
                <w:rFonts w:ascii="Arial" w:hAnsi="Arial" w:cs="Arial"/>
                <w:b/>
                <w:sz w:val="24"/>
                <w:szCs w:val="24"/>
              </w:rPr>
              <w:lastRenderedPageBreak/>
              <w:t>IT IS HEREBY ORDERED THAT:</w:t>
            </w:r>
          </w:p>
          <w:p w:rsidR="00CB1C1B" w:rsidRPr="00CB1C1B" w:rsidRDefault="00CB1C1B" w:rsidP="00CB1C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1C1B" w:rsidRPr="00CB1C1B" w:rsidRDefault="00CB1C1B" w:rsidP="00CB1C1B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C1B">
              <w:rPr>
                <w:rFonts w:ascii="Arial" w:hAnsi="Arial" w:cs="Arial"/>
                <w:sz w:val="24"/>
                <w:szCs w:val="24"/>
              </w:rPr>
              <w:t>The application is refused with costs for lack of urgency; and is struck f</w:t>
            </w:r>
            <w:r w:rsidR="00FD39F1">
              <w:rPr>
                <w:rFonts w:ascii="Arial" w:hAnsi="Arial" w:cs="Arial"/>
                <w:sz w:val="24"/>
                <w:szCs w:val="24"/>
              </w:rPr>
              <w:t>r</w:t>
            </w:r>
            <w:r w:rsidRPr="00CB1C1B">
              <w:rPr>
                <w:rFonts w:ascii="Arial" w:hAnsi="Arial" w:cs="Arial"/>
                <w:sz w:val="24"/>
                <w:szCs w:val="24"/>
              </w:rPr>
              <w:t>om the roll.</w:t>
            </w:r>
          </w:p>
          <w:p w:rsidR="00CB1C1B" w:rsidRDefault="00CB1C1B" w:rsidP="009E6D87">
            <w:pPr>
              <w:numPr>
                <w:ilvl w:val="0"/>
                <w:numId w:val="1"/>
              </w:numPr>
              <w:spacing w:line="360" w:lineRule="auto"/>
              <w:ind w:left="292" w:firstLine="6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C1B">
              <w:rPr>
                <w:rFonts w:ascii="Arial" w:hAnsi="Arial" w:cs="Arial"/>
                <w:sz w:val="24"/>
                <w:szCs w:val="24"/>
              </w:rPr>
              <w:t>Applicants are ordered to pay respondents</w:t>
            </w:r>
            <w:r w:rsidR="00844D03">
              <w:rPr>
                <w:rFonts w:ascii="Arial" w:hAnsi="Arial" w:cs="Arial"/>
                <w:sz w:val="24"/>
                <w:szCs w:val="24"/>
              </w:rPr>
              <w:t xml:space="preserve"> their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costs for opposing the application, and the costs</w:t>
            </w:r>
            <w:r w:rsidR="00844D03">
              <w:rPr>
                <w:rFonts w:ascii="Arial" w:hAnsi="Arial" w:cs="Arial"/>
                <w:sz w:val="24"/>
                <w:szCs w:val="24"/>
              </w:rPr>
              <w:t xml:space="preserve"> shall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include costs of one instructing counsel and one instructed counsel.</w:t>
            </w:r>
          </w:p>
          <w:p w:rsidR="000E0B08" w:rsidRPr="00CB1C1B" w:rsidRDefault="000E0B08" w:rsidP="000E0B08">
            <w:pPr>
              <w:numPr>
                <w:ilvl w:val="0"/>
                <w:numId w:val="1"/>
              </w:numPr>
              <w:spacing w:line="360" w:lineRule="auto"/>
              <w:ind w:left="292" w:firstLine="6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matter is finalised and is removed from the roll. </w:t>
            </w:r>
          </w:p>
        </w:tc>
      </w:tr>
      <w:tr w:rsidR="00CB1C1B" w:rsidRPr="00CB1C1B" w:rsidTr="00C5591F">
        <w:tc>
          <w:tcPr>
            <w:tcW w:w="10080" w:type="dxa"/>
            <w:gridSpan w:val="2"/>
          </w:tcPr>
          <w:p w:rsidR="00CB1C1B" w:rsidRPr="00CB1C1B" w:rsidRDefault="00CB1C1B" w:rsidP="00CB1C1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C1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Reasons for </w:t>
            </w:r>
            <w:r w:rsidR="00C37164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CB1C1B">
              <w:rPr>
                <w:rFonts w:ascii="Arial" w:hAnsi="Arial" w:cs="Arial"/>
                <w:b/>
                <w:sz w:val="24"/>
                <w:szCs w:val="24"/>
              </w:rPr>
              <w:t>order:</w:t>
            </w:r>
          </w:p>
          <w:p w:rsidR="00CB1C1B" w:rsidRP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CB1C1B" w:rsidRPr="00CB1C1B" w:rsidTr="00C5591F">
        <w:tc>
          <w:tcPr>
            <w:tcW w:w="10080" w:type="dxa"/>
            <w:gridSpan w:val="2"/>
          </w:tcPr>
          <w:p w:rsidR="00CB1C1B" w:rsidRDefault="00CB1C1B" w:rsidP="00CB1C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5090" w:rsidRPr="00EF5090" w:rsidRDefault="00EF5090" w:rsidP="00CB1C1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90">
              <w:rPr>
                <w:rFonts w:ascii="Arial" w:hAnsi="Arial" w:cs="Arial"/>
                <w:b/>
                <w:sz w:val="24"/>
                <w:szCs w:val="24"/>
              </w:rPr>
              <w:t>Parker AJ</w:t>
            </w:r>
          </w:p>
          <w:p w:rsidR="00EF5090" w:rsidRPr="00CB1C1B" w:rsidRDefault="00EF5090" w:rsidP="00CB1C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1C1B" w:rsidRPr="00CB1C1B" w:rsidRDefault="00CB1C1B" w:rsidP="00CB1C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C1B">
              <w:rPr>
                <w:rFonts w:ascii="Arial" w:hAnsi="Arial" w:cs="Arial"/>
                <w:sz w:val="24"/>
                <w:szCs w:val="24"/>
              </w:rPr>
              <w:t>[1]</w:t>
            </w:r>
            <w:r w:rsidRPr="00CB1C1B">
              <w:rPr>
                <w:rFonts w:ascii="Arial" w:hAnsi="Arial" w:cs="Arial"/>
                <w:sz w:val="24"/>
                <w:szCs w:val="24"/>
              </w:rPr>
              <w:tab/>
              <w:t xml:space="preserve">I find that </w:t>
            </w:r>
            <w:r w:rsidR="00124B6E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CB1C1B">
              <w:rPr>
                <w:rFonts w:ascii="Arial" w:hAnsi="Arial" w:cs="Arial"/>
                <w:sz w:val="24"/>
                <w:szCs w:val="24"/>
              </w:rPr>
              <w:t>judgment</w:t>
            </w:r>
            <w:r w:rsidR="00124B6E">
              <w:rPr>
                <w:rFonts w:ascii="Arial" w:hAnsi="Arial" w:cs="Arial"/>
                <w:sz w:val="24"/>
                <w:szCs w:val="24"/>
              </w:rPr>
              <w:t xml:space="preserve"> by default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was granted by the court on 22 November 2019 and </w:t>
            </w:r>
            <w:r w:rsidR="00844D03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CB1C1B">
              <w:rPr>
                <w:rFonts w:ascii="Arial" w:hAnsi="Arial" w:cs="Arial"/>
                <w:sz w:val="24"/>
                <w:szCs w:val="24"/>
              </w:rPr>
              <w:t>order refusing an application to rescind the judgment was granted on 15 July 2020</w:t>
            </w:r>
            <w:r w:rsidR="00C37164">
              <w:rPr>
                <w:rFonts w:ascii="Arial" w:hAnsi="Arial" w:cs="Arial"/>
                <w:sz w:val="24"/>
                <w:szCs w:val="24"/>
              </w:rPr>
              <w:t>.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7164">
              <w:rPr>
                <w:rFonts w:ascii="Arial" w:hAnsi="Arial" w:cs="Arial"/>
                <w:sz w:val="24"/>
                <w:szCs w:val="24"/>
              </w:rPr>
              <w:t>T</w:t>
            </w:r>
            <w:r w:rsidR="00844D03">
              <w:rPr>
                <w:rFonts w:ascii="Arial" w:hAnsi="Arial" w:cs="Arial"/>
                <w:sz w:val="24"/>
                <w:szCs w:val="24"/>
              </w:rPr>
              <w:t>hat order has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not set aside by a competent court; and so the judgment by Prinsloo J stoo</w:t>
            </w:r>
            <w:r w:rsidR="00844D03">
              <w:rPr>
                <w:rFonts w:ascii="Arial" w:hAnsi="Arial" w:cs="Arial"/>
                <w:sz w:val="24"/>
                <w:szCs w:val="24"/>
              </w:rPr>
              <w:t>d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to be executed.  Applicant</w:t>
            </w:r>
            <w:r w:rsidR="00844D03">
              <w:rPr>
                <w:rFonts w:ascii="Arial" w:hAnsi="Arial" w:cs="Arial"/>
                <w:sz w:val="24"/>
                <w:szCs w:val="24"/>
              </w:rPr>
              <w:t>s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did nothing</w:t>
            </w:r>
            <w:r w:rsidR="00844D03">
              <w:rPr>
                <w:rFonts w:ascii="Arial" w:hAnsi="Arial" w:cs="Arial"/>
                <w:sz w:val="24"/>
                <w:szCs w:val="24"/>
              </w:rPr>
              <w:t xml:space="preserve"> to upset that judgment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after 15 July 2020</w:t>
            </w:r>
            <w:r w:rsidR="00124B6E">
              <w:rPr>
                <w:rFonts w:ascii="Arial" w:hAnsi="Arial" w:cs="Arial"/>
                <w:sz w:val="24"/>
                <w:szCs w:val="24"/>
              </w:rPr>
              <w:t>. On 25 November 2019 a writ of execution was obtained was obtained against the moveable assets in applicants, possession. The writ was generated by the e-justice system the same day and it has existed there since then; and what is more, applicants’ legal practitioners have had access to it since that date</w:t>
            </w:r>
            <w:r w:rsidR="00A520C4">
              <w:rPr>
                <w:rFonts w:ascii="Arial" w:hAnsi="Arial" w:cs="Arial"/>
                <w:sz w:val="24"/>
                <w:szCs w:val="24"/>
              </w:rPr>
              <w:t>. Applicants did nothing</w:t>
            </w:r>
            <w:r w:rsidR="00124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0C4">
              <w:rPr>
                <w:rFonts w:ascii="Arial" w:hAnsi="Arial" w:cs="Arial"/>
                <w:sz w:val="24"/>
                <w:szCs w:val="24"/>
              </w:rPr>
              <w:t xml:space="preserve">to upset the judgment since 15 July 2020 and they </w:t>
            </w:r>
            <w:r w:rsidR="00023B6F">
              <w:rPr>
                <w:rFonts w:ascii="Arial" w:hAnsi="Arial" w:cs="Arial"/>
                <w:sz w:val="24"/>
                <w:szCs w:val="24"/>
              </w:rPr>
              <w:t>have done</w:t>
            </w:r>
            <w:r w:rsidR="00A520C4">
              <w:rPr>
                <w:rFonts w:ascii="Arial" w:hAnsi="Arial" w:cs="Arial"/>
                <w:sz w:val="24"/>
                <w:szCs w:val="24"/>
              </w:rPr>
              <w:t xml:space="preserve"> nothing to upset the writ of execution since 25 November 2019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until they received knowledge of the Notice of Sale in Execution on 28 September 2020, that is, a period of </w:t>
            </w:r>
            <w:r w:rsidR="00844D03"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A520C4">
              <w:rPr>
                <w:rFonts w:ascii="Arial" w:hAnsi="Arial" w:cs="Arial"/>
                <w:sz w:val="24"/>
                <w:szCs w:val="24"/>
              </w:rPr>
              <w:t>11 months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23B6F">
              <w:rPr>
                <w:rFonts w:ascii="Arial" w:hAnsi="Arial" w:cs="Arial"/>
                <w:sz w:val="24"/>
                <w:szCs w:val="24"/>
              </w:rPr>
              <w:t>And a</w:t>
            </w:r>
            <w:r w:rsidRPr="00CB1C1B">
              <w:rPr>
                <w:rFonts w:ascii="Arial" w:hAnsi="Arial" w:cs="Arial"/>
                <w:sz w:val="24"/>
                <w:szCs w:val="24"/>
              </w:rPr>
              <w:t>pplicants have vouchsafed no explanation for their inaction</w:t>
            </w:r>
            <w:r w:rsidR="001B2805">
              <w:rPr>
                <w:rFonts w:ascii="Arial" w:hAnsi="Arial" w:cs="Arial"/>
                <w:sz w:val="24"/>
                <w:szCs w:val="24"/>
              </w:rPr>
              <w:t>; only to wake up suddenly and approach the court at a break</w:t>
            </w:r>
            <w:r w:rsidR="00426230">
              <w:rPr>
                <w:rFonts w:ascii="Arial" w:hAnsi="Arial" w:cs="Arial"/>
                <w:sz w:val="24"/>
                <w:szCs w:val="24"/>
              </w:rPr>
              <w:t>neck</w:t>
            </w:r>
            <w:r w:rsidR="001B2805">
              <w:rPr>
                <w:rFonts w:ascii="Arial" w:hAnsi="Arial" w:cs="Arial"/>
                <w:sz w:val="24"/>
                <w:szCs w:val="24"/>
              </w:rPr>
              <w:t xml:space="preserve"> speed</w:t>
            </w:r>
            <w:r w:rsidR="00426230">
              <w:rPr>
                <w:rFonts w:ascii="Arial" w:hAnsi="Arial" w:cs="Arial"/>
                <w:sz w:val="24"/>
                <w:szCs w:val="24"/>
              </w:rPr>
              <w:t>, praying the court for a final interdict to restrain the execution of the judgment</w:t>
            </w:r>
            <w:r w:rsidR="00023B6F">
              <w:rPr>
                <w:rFonts w:ascii="Arial" w:hAnsi="Arial" w:cs="Arial"/>
                <w:sz w:val="24"/>
                <w:szCs w:val="24"/>
              </w:rPr>
              <w:t xml:space="preserve"> on the basis of urgency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B1C1B" w:rsidRPr="00CB1C1B" w:rsidRDefault="00CB1C1B" w:rsidP="00CB1C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1C1B" w:rsidRPr="00174C32" w:rsidRDefault="00CB1C1B" w:rsidP="00CB1C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C1B">
              <w:rPr>
                <w:rFonts w:ascii="Arial" w:hAnsi="Arial" w:cs="Arial"/>
                <w:sz w:val="24"/>
                <w:szCs w:val="24"/>
              </w:rPr>
              <w:t>[2]</w:t>
            </w:r>
            <w:r w:rsidRPr="00CB1C1B">
              <w:rPr>
                <w:rFonts w:ascii="Arial" w:hAnsi="Arial" w:cs="Arial"/>
                <w:sz w:val="24"/>
                <w:szCs w:val="24"/>
              </w:rPr>
              <w:tab/>
            </w:r>
            <w:r w:rsidR="00174C32">
              <w:rPr>
                <w:rFonts w:ascii="Arial" w:hAnsi="Arial" w:cs="Arial"/>
                <w:sz w:val="24"/>
                <w:szCs w:val="24"/>
              </w:rPr>
              <w:t>I, therefore, find</w:t>
            </w:r>
            <w:r w:rsidRPr="00CB1C1B">
              <w:rPr>
                <w:rFonts w:ascii="Arial" w:hAnsi="Arial" w:cs="Arial"/>
                <w:sz w:val="24"/>
                <w:szCs w:val="24"/>
              </w:rPr>
              <w:t>, on the papers</w:t>
            </w:r>
            <w:r w:rsidR="00A520C4">
              <w:rPr>
                <w:rFonts w:ascii="Arial" w:hAnsi="Arial" w:cs="Arial"/>
                <w:sz w:val="24"/>
                <w:szCs w:val="24"/>
              </w:rPr>
              <w:t>, that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applicants have not set out explicitly the </w:t>
            </w:r>
            <w:r w:rsidRPr="00174C32">
              <w:rPr>
                <w:rFonts w:ascii="Arial" w:hAnsi="Arial" w:cs="Arial"/>
                <w:sz w:val="24"/>
                <w:szCs w:val="24"/>
              </w:rPr>
              <w:t>circumstances which applicants aver render the matter urgent</w:t>
            </w:r>
            <w:r w:rsidR="00174C32" w:rsidRPr="00174C32">
              <w:rPr>
                <w:rFonts w:ascii="Arial" w:hAnsi="Arial" w:cs="Arial"/>
                <w:sz w:val="24"/>
                <w:szCs w:val="24"/>
              </w:rPr>
              <w:t xml:space="preserve">; and they have not set out explicitly the reasons why applicants claim they could not be afforded substantial redress at a hearing in due course as required by the peremptory requirements prescribed by r 73 (4) of the rules of court (see </w:t>
            </w:r>
            <w:proofErr w:type="spellStart"/>
            <w:r w:rsidR="00174C32" w:rsidRPr="00174C32">
              <w:rPr>
                <w:rFonts w:ascii="Arial" w:hAnsi="Arial" w:cs="Arial"/>
                <w:i/>
                <w:sz w:val="24"/>
                <w:szCs w:val="24"/>
              </w:rPr>
              <w:t>Nghiimbwasha</w:t>
            </w:r>
            <w:proofErr w:type="spellEnd"/>
            <w:r w:rsidR="00174C32" w:rsidRPr="00174C32">
              <w:rPr>
                <w:rFonts w:ascii="Arial" w:hAnsi="Arial" w:cs="Arial"/>
                <w:i/>
                <w:sz w:val="24"/>
                <w:szCs w:val="24"/>
              </w:rPr>
              <w:t xml:space="preserve"> and Another v Minister of Justice and Others</w:t>
            </w:r>
            <w:r w:rsidR="00174C32" w:rsidRPr="00174C32">
              <w:rPr>
                <w:rFonts w:ascii="Arial" w:hAnsi="Arial" w:cs="Arial"/>
                <w:sz w:val="24"/>
                <w:szCs w:val="24"/>
              </w:rPr>
              <w:t xml:space="preserve">) [2015] NAHCMD 67 (A38/2015) (20 March 2020), considering that on their own account, the </w:t>
            </w:r>
            <w:r w:rsidR="00174C32" w:rsidRPr="00174C32">
              <w:rPr>
                <w:rFonts w:ascii="Arial" w:hAnsi="Arial" w:cs="Arial"/>
                <w:sz w:val="24"/>
                <w:szCs w:val="24"/>
              </w:rPr>
              <w:lastRenderedPageBreak/>
              <w:t xml:space="preserve">applicants are not the owners of the goods attached to be sold at a public auction. </w:t>
            </w:r>
            <w:r w:rsidR="00174C32">
              <w:rPr>
                <w:rFonts w:ascii="Arial" w:hAnsi="Arial" w:cs="Arial"/>
                <w:sz w:val="24"/>
                <w:szCs w:val="24"/>
              </w:rPr>
              <w:t>Additionally,</w:t>
            </w:r>
            <w:r w:rsidR="00023B6F">
              <w:rPr>
                <w:rFonts w:ascii="Arial" w:hAnsi="Arial" w:cs="Arial"/>
                <w:sz w:val="24"/>
                <w:szCs w:val="24"/>
              </w:rPr>
              <w:t xml:space="preserve"> on the papers,</w:t>
            </w:r>
            <w:r w:rsidR="00174C32">
              <w:rPr>
                <w:rFonts w:ascii="Arial" w:hAnsi="Arial" w:cs="Arial"/>
                <w:sz w:val="24"/>
                <w:szCs w:val="24"/>
              </w:rPr>
              <w:t xml:space="preserve"> I find that, </w:t>
            </w:r>
            <w:r w:rsidR="00023B6F">
              <w:rPr>
                <w:rFonts w:ascii="Arial" w:hAnsi="Arial" w:cs="Arial"/>
                <w:sz w:val="24"/>
                <w:szCs w:val="24"/>
              </w:rPr>
              <w:t xml:space="preserve">the urgency is self-created; and so, </w:t>
            </w:r>
            <w:r w:rsidR="00174C32">
              <w:rPr>
                <w:rFonts w:ascii="Arial" w:hAnsi="Arial" w:cs="Arial"/>
                <w:sz w:val="24"/>
                <w:szCs w:val="24"/>
              </w:rPr>
              <w:t xml:space="preserve">on the authority of </w:t>
            </w:r>
            <w:r w:rsidR="00174C32" w:rsidRPr="00023B6F">
              <w:rPr>
                <w:rFonts w:ascii="Arial" w:hAnsi="Arial" w:cs="Arial"/>
                <w:i/>
                <w:sz w:val="24"/>
                <w:szCs w:val="24"/>
              </w:rPr>
              <w:t>Bergmann v Commercial Bank of Namibia Ltd and Another</w:t>
            </w:r>
            <w:r w:rsidR="00174C32">
              <w:rPr>
                <w:rFonts w:ascii="Arial" w:hAnsi="Arial" w:cs="Arial"/>
                <w:sz w:val="24"/>
                <w:szCs w:val="24"/>
              </w:rPr>
              <w:t xml:space="preserve"> 2001 NR 48, the </w:t>
            </w:r>
            <w:r w:rsidR="00023B6F">
              <w:rPr>
                <w:rFonts w:ascii="Arial" w:hAnsi="Arial" w:cs="Arial"/>
                <w:sz w:val="24"/>
                <w:szCs w:val="24"/>
              </w:rPr>
              <w:t xml:space="preserve">court </w:t>
            </w:r>
            <w:r w:rsidR="003D1035">
              <w:rPr>
                <w:rFonts w:ascii="Arial" w:hAnsi="Arial" w:cs="Arial"/>
                <w:sz w:val="24"/>
                <w:szCs w:val="24"/>
              </w:rPr>
              <w:t>should</w:t>
            </w:r>
            <w:r w:rsidR="00023B6F">
              <w:rPr>
                <w:rFonts w:ascii="Arial" w:hAnsi="Arial" w:cs="Arial"/>
                <w:sz w:val="24"/>
                <w:szCs w:val="24"/>
              </w:rPr>
              <w:t xml:space="preserve"> decline to condone the applicants’ non-compliance with the rules of court </w:t>
            </w:r>
            <w:r w:rsidR="00C6641F">
              <w:rPr>
                <w:rFonts w:ascii="Arial" w:hAnsi="Arial" w:cs="Arial"/>
                <w:sz w:val="24"/>
                <w:szCs w:val="24"/>
              </w:rPr>
              <w:t>or</w:t>
            </w:r>
            <w:r w:rsidR="00023B6F">
              <w:rPr>
                <w:rFonts w:ascii="Arial" w:hAnsi="Arial" w:cs="Arial"/>
                <w:sz w:val="24"/>
                <w:szCs w:val="24"/>
              </w:rPr>
              <w:t xml:space="preserve"> hear the matter on the basis of urgency.</w:t>
            </w:r>
          </w:p>
          <w:p w:rsidR="00CB1C1B" w:rsidRPr="00CB1C1B" w:rsidRDefault="00CB1C1B" w:rsidP="00CB1C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1C1B" w:rsidRDefault="00CB1C1B" w:rsidP="00CB1C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C1B">
              <w:rPr>
                <w:rFonts w:ascii="Arial" w:hAnsi="Arial" w:cs="Arial"/>
                <w:sz w:val="24"/>
                <w:szCs w:val="24"/>
              </w:rPr>
              <w:t>[3]</w:t>
            </w:r>
            <w:r w:rsidRPr="00CB1C1B">
              <w:rPr>
                <w:rFonts w:ascii="Arial" w:hAnsi="Arial" w:cs="Arial"/>
                <w:sz w:val="24"/>
                <w:szCs w:val="24"/>
              </w:rPr>
              <w:tab/>
            </w:r>
            <w:r w:rsidR="00A520C4">
              <w:rPr>
                <w:rFonts w:ascii="Arial" w:hAnsi="Arial" w:cs="Arial"/>
                <w:sz w:val="24"/>
                <w:szCs w:val="24"/>
              </w:rPr>
              <w:t>In the result</w:t>
            </w:r>
            <w:r w:rsidRPr="00CB1C1B">
              <w:rPr>
                <w:rFonts w:ascii="Arial" w:hAnsi="Arial" w:cs="Arial"/>
                <w:sz w:val="24"/>
                <w:szCs w:val="24"/>
              </w:rPr>
              <w:t>, I conclude that applicants have failed to satisfy the</w:t>
            </w:r>
            <w:r w:rsidR="00A520C4">
              <w:rPr>
                <w:rFonts w:ascii="Arial" w:hAnsi="Arial" w:cs="Arial"/>
                <w:sz w:val="24"/>
                <w:szCs w:val="24"/>
              </w:rPr>
              <w:t xml:space="preserve"> peremptory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requirements of r 73 (4) of the rules of court. </w:t>
            </w:r>
            <w:r w:rsidR="00A520C4">
              <w:rPr>
                <w:rFonts w:ascii="Arial" w:hAnsi="Arial" w:cs="Arial"/>
                <w:sz w:val="24"/>
                <w:szCs w:val="24"/>
              </w:rPr>
              <w:t>Consequently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, on the authority of </w:t>
            </w:r>
            <w:r w:rsidRPr="00CB1C1B">
              <w:rPr>
                <w:rFonts w:ascii="Arial" w:hAnsi="Arial" w:cs="Arial"/>
                <w:i/>
                <w:sz w:val="24"/>
                <w:szCs w:val="24"/>
              </w:rPr>
              <w:t>Salt and Another v Smith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1990 NR 87</w:t>
            </w:r>
            <w:r w:rsidR="003D1035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3D1035" w:rsidRPr="00023B6F">
              <w:rPr>
                <w:rFonts w:ascii="Arial" w:hAnsi="Arial" w:cs="Arial"/>
                <w:i/>
                <w:sz w:val="24"/>
                <w:szCs w:val="24"/>
              </w:rPr>
              <w:t xml:space="preserve"> Bergmann v Commercial Bank of Namibia Ltd and Another</w:t>
            </w:r>
            <w:r w:rsidRPr="00CB1C1B">
              <w:rPr>
                <w:rFonts w:ascii="Arial" w:hAnsi="Arial" w:cs="Arial"/>
                <w:sz w:val="24"/>
                <w:szCs w:val="24"/>
              </w:rPr>
              <w:t>, the application is refused with costs for lack of urgency</w:t>
            </w:r>
            <w:r w:rsidR="00856F4A">
              <w:rPr>
                <w:rFonts w:ascii="Arial" w:hAnsi="Arial" w:cs="Arial"/>
                <w:sz w:val="24"/>
                <w:szCs w:val="24"/>
              </w:rPr>
              <w:t>; whereupon, I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make the following order:</w:t>
            </w:r>
          </w:p>
          <w:p w:rsidR="00856F4A" w:rsidRPr="00CB1C1B" w:rsidRDefault="00856F4A" w:rsidP="00CB1C1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1C1B" w:rsidRPr="00CB1C1B" w:rsidRDefault="00CB1C1B" w:rsidP="00CB1C1B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C1B">
              <w:rPr>
                <w:rFonts w:ascii="Arial" w:hAnsi="Arial" w:cs="Arial"/>
                <w:sz w:val="24"/>
                <w:szCs w:val="24"/>
              </w:rPr>
              <w:t>The applica</w:t>
            </w:r>
            <w:r w:rsidR="00BD213F">
              <w:rPr>
                <w:rFonts w:ascii="Arial" w:hAnsi="Arial" w:cs="Arial"/>
                <w:sz w:val="24"/>
                <w:szCs w:val="24"/>
              </w:rPr>
              <w:t>tion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is refused with costs</w:t>
            </w:r>
            <w:r w:rsidR="000E0B08">
              <w:rPr>
                <w:rFonts w:ascii="Arial" w:hAnsi="Arial" w:cs="Arial"/>
                <w:sz w:val="24"/>
                <w:szCs w:val="24"/>
              </w:rPr>
              <w:t xml:space="preserve"> for lack of urgency</w:t>
            </w:r>
            <w:r w:rsidRPr="00CB1C1B">
              <w:rPr>
                <w:rFonts w:ascii="Arial" w:hAnsi="Arial" w:cs="Arial"/>
                <w:sz w:val="24"/>
                <w:szCs w:val="24"/>
              </w:rPr>
              <w:t>; and is struck f</w:t>
            </w:r>
            <w:r w:rsidR="00BD213F">
              <w:rPr>
                <w:rFonts w:ascii="Arial" w:hAnsi="Arial" w:cs="Arial"/>
                <w:sz w:val="24"/>
                <w:szCs w:val="24"/>
              </w:rPr>
              <w:t>rom</w:t>
            </w:r>
            <w:r w:rsidRPr="00CB1C1B">
              <w:rPr>
                <w:rFonts w:ascii="Arial" w:hAnsi="Arial" w:cs="Arial"/>
                <w:sz w:val="24"/>
                <w:szCs w:val="24"/>
              </w:rPr>
              <w:t xml:space="preserve"> the roll.</w:t>
            </w:r>
          </w:p>
          <w:p w:rsidR="00CB1C1B" w:rsidRDefault="00CB1C1B" w:rsidP="00C5591F">
            <w:pPr>
              <w:numPr>
                <w:ilvl w:val="0"/>
                <w:numId w:val="2"/>
              </w:numPr>
              <w:spacing w:line="360" w:lineRule="auto"/>
              <w:ind w:left="36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C1B">
              <w:rPr>
                <w:rFonts w:ascii="Arial" w:hAnsi="Arial" w:cs="Arial"/>
                <w:sz w:val="24"/>
                <w:szCs w:val="24"/>
              </w:rPr>
              <w:t xml:space="preserve">Applicants are </w:t>
            </w:r>
            <w:r w:rsidR="00BD213F" w:rsidRPr="00CB1C1B">
              <w:rPr>
                <w:rFonts w:ascii="Arial" w:hAnsi="Arial" w:cs="Arial"/>
                <w:sz w:val="24"/>
                <w:szCs w:val="24"/>
              </w:rPr>
              <w:t>ordered to pay respondents</w:t>
            </w:r>
            <w:r w:rsidR="00BD213F">
              <w:rPr>
                <w:rFonts w:ascii="Arial" w:hAnsi="Arial" w:cs="Arial"/>
                <w:sz w:val="24"/>
                <w:szCs w:val="24"/>
              </w:rPr>
              <w:t xml:space="preserve"> their</w:t>
            </w:r>
            <w:r w:rsidR="00BD213F" w:rsidRPr="00CB1C1B">
              <w:rPr>
                <w:rFonts w:ascii="Arial" w:hAnsi="Arial" w:cs="Arial"/>
                <w:sz w:val="24"/>
                <w:szCs w:val="24"/>
              </w:rPr>
              <w:t xml:space="preserve"> costs for opposing the application, and the costs</w:t>
            </w:r>
            <w:r w:rsidR="00BD213F">
              <w:rPr>
                <w:rFonts w:ascii="Arial" w:hAnsi="Arial" w:cs="Arial"/>
                <w:sz w:val="24"/>
                <w:szCs w:val="24"/>
              </w:rPr>
              <w:t xml:space="preserve"> shall</w:t>
            </w:r>
            <w:r w:rsidR="00BD213F" w:rsidRPr="00CB1C1B">
              <w:rPr>
                <w:rFonts w:ascii="Arial" w:hAnsi="Arial" w:cs="Arial"/>
                <w:sz w:val="24"/>
                <w:szCs w:val="24"/>
              </w:rPr>
              <w:t xml:space="preserve"> include costs of one instructing counsel and one instructed counsel.</w:t>
            </w:r>
          </w:p>
          <w:p w:rsidR="004933CB" w:rsidRPr="00EF5090" w:rsidRDefault="00C6641F" w:rsidP="008941AF">
            <w:pPr>
              <w:numPr>
                <w:ilvl w:val="0"/>
                <w:numId w:val="2"/>
              </w:numPr>
              <w:spacing w:line="360" w:lineRule="auto"/>
              <w:ind w:left="36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matter is finalised and removed from the roll.</w:t>
            </w:r>
          </w:p>
          <w:p w:rsidR="004933CB" w:rsidRPr="00CB1C1B" w:rsidRDefault="004933CB" w:rsidP="008941AF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B1C1B" w:rsidRPr="00CB1C1B" w:rsidRDefault="00CB1C1B" w:rsidP="00CB1C1B">
            <w:pPr>
              <w:spacing w:line="360" w:lineRule="auto"/>
              <w:ind w:left="72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1C1B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CB1C1B" w:rsidRPr="00CB1C1B" w:rsidRDefault="00CB1C1B" w:rsidP="00CB1C1B">
            <w:pPr>
              <w:spacing w:line="360" w:lineRule="auto"/>
              <w:ind w:left="72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1C1B">
              <w:rPr>
                <w:rFonts w:ascii="Arial" w:hAnsi="Arial" w:cs="Arial"/>
                <w:sz w:val="24"/>
                <w:szCs w:val="24"/>
              </w:rPr>
              <w:t>C Parker</w:t>
            </w:r>
          </w:p>
          <w:p w:rsidR="00CB1C1B" w:rsidRPr="00CB1C1B" w:rsidRDefault="00CB1C1B" w:rsidP="00CB1C1B">
            <w:pPr>
              <w:spacing w:line="360" w:lineRule="auto"/>
              <w:ind w:left="72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1C1B">
              <w:rPr>
                <w:rFonts w:ascii="Arial" w:hAnsi="Arial" w:cs="Arial"/>
                <w:sz w:val="24"/>
                <w:szCs w:val="24"/>
              </w:rPr>
              <w:t>Acting Judge</w:t>
            </w:r>
          </w:p>
          <w:p w:rsidR="00CB1C1B" w:rsidRP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CB1C1B" w:rsidRPr="00CB1C1B" w:rsidTr="00C5591F">
        <w:tc>
          <w:tcPr>
            <w:tcW w:w="5220" w:type="dxa"/>
          </w:tcPr>
          <w:p w:rsidR="00CB1C1B" w:rsidRPr="00CB1C1B" w:rsidRDefault="00CB1C1B" w:rsidP="00CB1C1B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lastRenderedPageBreak/>
              <w:t>Judge’s signature</w:t>
            </w:r>
          </w:p>
          <w:p w:rsidR="00CB1C1B" w:rsidRPr="00CB1C1B" w:rsidRDefault="00CB1C1B" w:rsidP="00CB1C1B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CB1C1B" w:rsidRPr="00CB1C1B" w:rsidRDefault="00CB1C1B" w:rsidP="00CB1C1B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Note to the parties:</w:t>
            </w:r>
          </w:p>
        </w:tc>
      </w:tr>
      <w:tr w:rsidR="00CB1C1B" w:rsidRPr="00CB1C1B" w:rsidTr="00C5591F">
        <w:tc>
          <w:tcPr>
            <w:tcW w:w="5220" w:type="dxa"/>
          </w:tcPr>
          <w:p w:rsidR="00CB1C1B" w:rsidRPr="00CB1C1B" w:rsidRDefault="00CB1C1B" w:rsidP="00CB1C1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  <w:p w:rsidR="00CB1C1B" w:rsidRPr="00CB1C1B" w:rsidRDefault="00CB1C1B" w:rsidP="00CB1C1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  <w:p w:rsidR="00CB1C1B" w:rsidRPr="00CB1C1B" w:rsidRDefault="00CB1C1B" w:rsidP="00CB1C1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CB1C1B" w:rsidRP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Not applicable</w:t>
            </w:r>
          </w:p>
        </w:tc>
      </w:tr>
      <w:tr w:rsidR="00CB1C1B" w:rsidRPr="00CB1C1B" w:rsidTr="00C5591F">
        <w:tc>
          <w:tcPr>
            <w:tcW w:w="10080" w:type="dxa"/>
            <w:gridSpan w:val="2"/>
          </w:tcPr>
          <w:p w:rsidR="00CB1C1B" w:rsidRDefault="00CB1C1B" w:rsidP="00CB1C1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Counsel</w:t>
            </w: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:</w:t>
            </w:r>
          </w:p>
          <w:p w:rsidR="00CB1C1B" w:rsidRPr="00CB1C1B" w:rsidRDefault="00CB1C1B" w:rsidP="00CB1C1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CB1C1B" w:rsidRPr="00CB1C1B" w:rsidTr="00C5591F">
        <w:tc>
          <w:tcPr>
            <w:tcW w:w="5220" w:type="dxa"/>
          </w:tcPr>
          <w:p w:rsidR="00CB1C1B" w:rsidRPr="00CB1C1B" w:rsidRDefault="00CB1C1B" w:rsidP="00CB1C1B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Applicants</w:t>
            </w:r>
          </w:p>
        </w:tc>
        <w:tc>
          <w:tcPr>
            <w:tcW w:w="4860" w:type="dxa"/>
          </w:tcPr>
          <w:p w:rsidR="00CB1C1B" w:rsidRPr="00CB1C1B" w:rsidRDefault="00CB1C1B" w:rsidP="00CB1C1B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CB1C1B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Respondents</w:t>
            </w:r>
          </w:p>
          <w:p w:rsidR="00CB1C1B" w:rsidRPr="00CB1C1B" w:rsidRDefault="00CB1C1B" w:rsidP="00CB1C1B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1C1B" w:rsidRPr="00CB1C1B" w:rsidTr="00C5591F">
        <w:tc>
          <w:tcPr>
            <w:tcW w:w="5220" w:type="dxa"/>
          </w:tcPr>
          <w:p w:rsid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  <w:p w:rsidR="00CB1C1B" w:rsidRP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T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Andima</w:t>
            </w:r>
            <w:proofErr w:type="spellEnd"/>
          </w:p>
        </w:tc>
        <w:tc>
          <w:tcPr>
            <w:tcW w:w="4860" w:type="dxa"/>
          </w:tcPr>
          <w:p w:rsid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  <w:p w:rsid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A Van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Vuuren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</w:p>
          <w:p w:rsidR="00CB1C1B" w:rsidRPr="00CB1C1B" w:rsidRDefault="00F8239E" w:rsidP="00F8239E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Instructed by J Gaya</w:t>
            </w:r>
          </w:p>
        </w:tc>
      </w:tr>
      <w:tr w:rsidR="00CB1C1B" w:rsidRPr="00CB1C1B" w:rsidTr="00C5591F">
        <w:tc>
          <w:tcPr>
            <w:tcW w:w="5220" w:type="dxa"/>
          </w:tcPr>
          <w:p w:rsid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Of</w:t>
            </w:r>
            <w:r w:rsidR="00FC57D3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Van der Merwe-</w:t>
            </w:r>
            <w:proofErr w:type="spellStart"/>
            <w:r w:rsidR="00FC57D3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Greeff</w:t>
            </w:r>
            <w:proofErr w:type="spellEnd"/>
            <w:r w:rsidR="00FC57D3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57D3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Andima</w:t>
            </w:r>
            <w:proofErr w:type="spellEnd"/>
            <w:r w:rsidR="00FC57D3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Inc.</w:t>
            </w:r>
          </w:p>
          <w:p w:rsidR="00FC57D3" w:rsidRDefault="00FC57D3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  <w:p w:rsid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Windhoek</w:t>
            </w:r>
          </w:p>
          <w:p w:rsidR="00CB1C1B" w:rsidRP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:rsid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Of</w:t>
            </w:r>
            <w:r w:rsidR="00FC57D3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Fisher, </w:t>
            </w:r>
            <w:proofErr w:type="spellStart"/>
            <w:r w:rsidR="00FC57D3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Quarmby</w:t>
            </w:r>
            <w:proofErr w:type="spellEnd"/>
            <w:r w:rsidR="00FC57D3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&amp; Pfeifer</w:t>
            </w:r>
          </w:p>
          <w:p w:rsidR="00FC57D3" w:rsidRDefault="00FC57D3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  <w:p w:rsidR="00CB1C1B" w:rsidRPr="00CB1C1B" w:rsidRDefault="00CB1C1B" w:rsidP="00CB1C1B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Windhoek</w:t>
            </w:r>
          </w:p>
        </w:tc>
      </w:tr>
    </w:tbl>
    <w:p w:rsidR="00CB1C1B" w:rsidRPr="009D68D4" w:rsidRDefault="00CB1C1B">
      <w:pPr>
        <w:rPr>
          <w:rFonts w:ascii="Arial" w:hAnsi="Arial" w:cs="Arial"/>
          <w:sz w:val="24"/>
          <w:szCs w:val="24"/>
        </w:rPr>
      </w:pPr>
    </w:p>
    <w:sectPr w:rsidR="00CB1C1B" w:rsidRPr="009D68D4" w:rsidSect="00EF509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E9" w:rsidRDefault="007938E9" w:rsidP="001A6CE6">
      <w:pPr>
        <w:spacing w:after="0" w:line="240" w:lineRule="auto"/>
      </w:pPr>
      <w:r>
        <w:separator/>
      </w:r>
    </w:p>
  </w:endnote>
  <w:endnote w:type="continuationSeparator" w:id="0">
    <w:p w:rsidR="007938E9" w:rsidRDefault="007938E9" w:rsidP="001A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E9" w:rsidRDefault="007938E9" w:rsidP="001A6CE6">
      <w:pPr>
        <w:spacing w:after="0" w:line="240" w:lineRule="auto"/>
      </w:pPr>
      <w:r>
        <w:separator/>
      </w:r>
    </w:p>
  </w:footnote>
  <w:footnote w:type="continuationSeparator" w:id="0">
    <w:p w:rsidR="007938E9" w:rsidRDefault="007938E9" w:rsidP="001A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8128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6CE6" w:rsidRDefault="001A6C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6CE6" w:rsidRDefault="001A6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309CF"/>
    <w:multiLevelType w:val="hybridMultilevel"/>
    <w:tmpl w:val="E69E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2A9"/>
    <w:multiLevelType w:val="hybridMultilevel"/>
    <w:tmpl w:val="EBB8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52"/>
    <w:rsid w:val="00015059"/>
    <w:rsid w:val="00023B6F"/>
    <w:rsid w:val="000E0B08"/>
    <w:rsid w:val="00124B6E"/>
    <w:rsid w:val="00174C32"/>
    <w:rsid w:val="001A6CE6"/>
    <w:rsid w:val="001B2805"/>
    <w:rsid w:val="003D1035"/>
    <w:rsid w:val="00426230"/>
    <w:rsid w:val="00436E81"/>
    <w:rsid w:val="004933CB"/>
    <w:rsid w:val="004C4B23"/>
    <w:rsid w:val="00593D46"/>
    <w:rsid w:val="007016F6"/>
    <w:rsid w:val="00713465"/>
    <w:rsid w:val="007938E9"/>
    <w:rsid w:val="00844D03"/>
    <w:rsid w:val="00856F4A"/>
    <w:rsid w:val="008941AF"/>
    <w:rsid w:val="00961648"/>
    <w:rsid w:val="009D68D4"/>
    <w:rsid w:val="009E6D87"/>
    <w:rsid w:val="00A520C4"/>
    <w:rsid w:val="00A875B3"/>
    <w:rsid w:val="00AB5E07"/>
    <w:rsid w:val="00B339A9"/>
    <w:rsid w:val="00B8358E"/>
    <w:rsid w:val="00B968C0"/>
    <w:rsid w:val="00BA32DF"/>
    <w:rsid w:val="00BD213F"/>
    <w:rsid w:val="00C2798F"/>
    <w:rsid w:val="00C37164"/>
    <w:rsid w:val="00C5591F"/>
    <w:rsid w:val="00C6641F"/>
    <w:rsid w:val="00CB1C1B"/>
    <w:rsid w:val="00CB4326"/>
    <w:rsid w:val="00D038BC"/>
    <w:rsid w:val="00D86352"/>
    <w:rsid w:val="00DA5456"/>
    <w:rsid w:val="00E308D6"/>
    <w:rsid w:val="00E66438"/>
    <w:rsid w:val="00EF5090"/>
    <w:rsid w:val="00F8239E"/>
    <w:rsid w:val="00FC57D3"/>
    <w:rsid w:val="00FD39F1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1C607-7625-4819-AA24-56C05B3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D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D4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D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E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6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E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2020-10-18T18:30:00+00:00</Judgment_x0020_Date>
    <Year xmlns="c1afb1bd-f2fb-40fd-9abb-aea55b4d7662">2020</Year>
  </documentManagement>
</p:properties>
</file>

<file path=customXml/itemProps1.xml><?xml version="1.0" encoding="utf-8"?>
<ds:datastoreItem xmlns:ds="http://schemas.openxmlformats.org/officeDocument/2006/customXml" ds:itemID="{50E1493F-C0E2-481F-9DF3-04C14DFD3970}"/>
</file>

<file path=customXml/itemProps2.xml><?xml version="1.0" encoding="utf-8"?>
<ds:datastoreItem xmlns:ds="http://schemas.openxmlformats.org/officeDocument/2006/customXml" ds:itemID="{54195BAD-438C-4BAE-A09B-66B97D370DAD}"/>
</file>

<file path=customXml/itemProps3.xml><?xml version="1.0" encoding="utf-8"?>
<ds:datastoreItem xmlns:ds="http://schemas.openxmlformats.org/officeDocument/2006/customXml" ds:itemID="{4B1F1625-C6AD-4E15-B05A-6B89F7947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Farming CC v Ndilula (HC-MD-CIV-MOT-GEN-2020-00375) [2020] NAHCMD 474 (19 October 2020)</dc:title>
  <dc:creator>Ndeyapo Nakashimba</dc:creator>
  <cp:lastModifiedBy>Administrator</cp:lastModifiedBy>
  <cp:revision>3</cp:revision>
  <cp:lastPrinted>2020-10-16T15:07:00Z</cp:lastPrinted>
  <dcterms:created xsi:type="dcterms:W3CDTF">2020-10-19T13:35:00Z</dcterms:created>
  <dcterms:modified xsi:type="dcterms:W3CDTF">2020-10-19T13:35:00Z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