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2F" w:rsidRPr="006E026B" w:rsidRDefault="006A08E3" w:rsidP="00B9532F">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62336" behindDoc="0" locked="0" layoutInCell="1" allowOverlap="1" wp14:anchorId="4DF6A1D7" wp14:editId="09AB8BA7">
                <wp:simplePos x="0" y="0"/>
                <wp:positionH relativeFrom="column">
                  <wp:posOffset>4516341</wp:posOffset>
                </wp:positionH>
                <wp:positionV relativeFrom="paragraph">
                  <wp:posOffset>7316</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A08E3" w:rsidRPr="00823872" w:rsidRDefault="006A08E3" w:rsidP="006A08E3">
                            <w:pPr>
                              <w:jc w:val="center"/>
                              <w:rPr>
                                <w:rFonts w:ascii="Arial" w:hAnsi="Arial" w:cs="Arial"/>
                              </w:rPr>
                            </w:pPr>
                            <w:r>
                              <w:rPr>
                                <w:rFonts w:ascii="Arial" w:hAnsi="Arial" w:cs="Arial"/>
                              </w:rPr>
                              <w:t>Not Reportable</w:t>
                            </w:r>
                          </w:p>
                          <w:p w:rsidR="006A08E3" w:rsidRDefault="006A08E3" w:rsidP="006A08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6A1D7" id="_x0000_t202" coordsize="21600,21600" o:spt="202" path="m,l,21600r21600,l21600,xe">
                <v:stroke joinstyle="miter"/>
                <v:path gradientshapeok="t" o:connecttype="rect"/>
              </v:shapetype>
              <v:shape id="Text Box 2" o:spid="_x0000_s1026" type="#_x0000_t202" style="position:absolute;left:0;text-align:left;margin-left:355.6pt;margin-top:.6pt;width:12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" strokecolor="white [3212]">
                <v:textbox>
                  <w:txbxContent>
                    <w:p w:rsidR="006A08E3" w:rsidRPr="00823872" w:rsidRDefault="006A08E3" w:rsidP="006A08E3">
                      <w:pPr>
                        <w:jc w:val="center"/>
                        <w:rPr>
                          <w:rFonts w:ascii="Arial" w:hAnsi="Arial" w:cs="Arial"/>
                        </w:rPr>
                      </w:pPr>
                      <w:r>
                        <w:rPr>
                          <w:rFonts w:ascii="Arial" w:hAnsi="Arial" w:cs="Arial"/>
                        </w:rPr>
                        <w:t>Not Reportable</w:t>
                      </w:r>
                    </w:p>
                    <w:p w:rsidR="006A08E3" w:rsidRDefault="006A08E3" w:rsidP="006A08E3">
                      <w:pPr>
                        <w:jc w:val="center"/>
                      </w:pPr>
                    </w:p>
                  </w:txbxContent>
                </v:textbox>
              </v:shape>
            </w:pict>
          </mc:Fallback>
        </mc:AlternateContent>
      </w:r>
      <w:r w:rsidR="00B9532F" w:rsidRPr="006E026B">
        <w:rPr>
          <w:rFonts w:ascii="Arial" w:hAnsi="Arial" w:cs="Arial"/>
          <w:b/>
          <w:sz w:val="24"/>
          <w:szCs w:val="24"/>
        </w:rPr>
        <w:t>REPUBLIC OF NAMIBIA</w:t>
      </w:r>
    </w:p>
    <w:p w:rsidR="00B9532F" w:rsidRPr="006A08E3" w:rsidRDefault="00B9532F" w:rsidP="00B9532F">
      <w:pPr>
        <w:spacing w:after="0" w:line="360" w:lineRule="auto"/>
        <w:jc w:val="both"/>
        <w:rPr>
          <w:rFonts w:ascii="Arial Narrow" w:hAnsi="Arial Narrow"/>
          <w:sz w:val="10"/>
          <w:szCs w:val="10"/>
        </w:rPr>
      </w:pPr>
      <w:r>
        <w:rPr>
          <w:noProof/>
          <w:lang w:val="en-US"/>
        </w:rPr>
        <w:drawing>
          <wp:anchor distT="0" distB="0" distL="114300" distR="114300" simplePos="0" relativeHeight="251660288" behindDoc="0" locked="0" layoutInCell="1" allowOverlap="1">
            <wp:simplePos x="0" y="0"/>
            <wp:positionH relativeFrom="column">
              <wp:posOffset>2286662</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9532F" w:rsidRPr="006E026B" w:rsidRDefault="00B9532F" w:rsidP="00B9532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9532F" w:rsidRPr="00E74FC1" w:rsidRDefault="00B9532F" w:rsidP="00B9532F">
      <w:pPr>
        <w:spacing w:after="0" w:line="360" w:lineRule="auto"/>
        <w:jc w:val="center"/>
        <w:rPr>
          <w:rFonts w:ascii="Arial" w:hAnsi="Arial" w:cs="Arial"/>
          <w:b/>
          <w:sz w:val="12"/>
          <w:szCs w:val="12"/>
        </w:rPr>
      </w:pPr>
    </w:p>
    <w:p w:rsidR="00281FAB" w:rsidRPr="00E74FC1" w:rsidRDefault="00E74FC1" w:rsidP="00E74FC1">
      <w:pPr>
        <w:spacing w:after="0" w:line="360" w:lineRule="auto"/>
        <w:jc w:val="center"/>
        <w:rPr>
          <w:rFonts w:ascii="Arial" w:hAnsi="Arial" w:cs="Arial"/>
          <w:b/>
          <w:sz w:val="24"/>
          <w:szCs w:val="24"/>
        </w:rPr>
      </w:pPr>
      <w:r w:rsidRPr="00E74FC1">
        <w:rPr>
          <w:rFonts w:ascii="Arial" w:hAnsi="Arial" w:cs="Arial"/>
          <w:b/>
          <w:sz w:val="24"/>
          <w:szCs w:val="24"/>
        </w:rPr>
        <w:t>INTERLOCUTORY RULING</w:t>
      </w:r>
    </w:p>
    <w:p w:rsidR="00E74FC1" w:rsidRPr="00E74FC1" w:rsidRDefault="00E74FC1" w:rsidP="00E74FC1">
      <w:pPr>
        <w:spacing w:after="0" w:line="360" w:lineRule="auto"/>
        <w:jc w:val="center"/>
        <w:rPr>
          <w:rFonts w:ascii="Arial" w:hAnsi="Arial" w:cs="Arial"/>
          <w:sz w:val="16"/>
          <w:szCs w:val="16"/>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110AD8" w:rsidRDefault="00110AD8" w:rsidP="00110AD8">
            <w:pPr>
              <w:spacing w:line="360" w:lineRule="auto"/>
              <w:jc w:val="both"/>
              <w:rPr>
                <w:rFonts w:ascii="Arial" w:hAnsi="Arial" w:cs="Arial"/>
              </w:rPr>
            </w:pPr>
            <w:r w:rsidRPr="00110AD8">
              <w:rPr>
                <w:rFonts w:ascii="Arial" w:hAnsi="Arial" w:cs="Arial"/>
              </w:rPr>
              <w:t>ANNALIZE VERMEULEN</w:t>
            </w:r>
            <w:r>
              <w:rPr>
                <w:rFonts w:ascii="Arial" w:hAnsi="Arial" w:cs="Arial"/>
              </w:rPr>
              <w:t xml:space="preserve"> &amp; ANOTHER</w:t>
            </w:r>
            <w:r w:rsidRPr="00110AD8">
              <w:rPr>
                <w:rFonts w:ascii="Arial" w:hAnsi="Arial" w:cs="Arial"/>
              </w:rPr>
              <w:t xml:space="preserve"> // ABRAHAM JACOBUS VERMEULEN</w:t>
            </w: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110AD8" w:rsidRDefault="00110AD8" w:rsidP="00890143">
            <w:pPr>
              <w:spacing w:line="360" w:lineRule="auto"/>
              <w:jc w:val="both"/>
              <w:rPr>
                <w:rFonts w:ascii="Arial" w:hAnsi="Arial" w:cs="Arial"/>
              </w:rPr>
            </w:pPr>
            <w:r w:rsidRPr="00110AD8">
              <w:rPr>
                <w:rFonts w:ascii="Arial" w:hAnsi="Arial" w:cs="Arial"/>
              </w:rPr>
              <w:t>HC-MD-CIV-ACT-CON-2018/03974</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110AD8">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110AD8">
              <w:rPr>
                <w:rFonts w:ascii="Arial" w:hAnsi="Arial" w:cs="Arial"/>
              </w:rPr>
              <w:t>MILLER</w:t>
            </w:r>
            <w:r w:rsidR="00092FD2" w:rsidRPr="006E49A3">
              <w:rPr>
                <w:rFonts w:ascii="Arial" w:hAnsi="Arial" w:cs="Arial"/>
              </w:rPr>
              <w:t xml:space="preserve">, </w:t>
            </w:r>
            <w:r w:rsidR="00110AD8">
              <w:rPr>
                <w:rFonts w:ascii="Arial" w:hAnsi="Arial" w:cs="Arial"/>
              </w:rPr>
              <w:t>ACTING</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5448A9" w:rsidP="00915248">
            <w:pPr>
              <w:spacing w:line="360" w:lineRule="auto"/>
              <w:rPr>
                <w:rFonts w:ascii="Arial" w:hAnsi="Arial" w:cs="Arial"/>
              </w:rPr>
            </w:pPr>
            <w:r>
              <w:rPr>
                <w:rFonts w:ascii="Arial" w:hAnsi="Arial" w:cs="Arial"/>
              </w:rPr>
              <w:t>28 September</w:t>
            </w:r>
            <w:r w:rsidR="00915248">
              <w:rPr>
                <w:rFonts w:ascii="Arial" w:hAnsi="Arial" w:cs="Arial"/>
              </w:rPr>
              <w:t xml:space="preserve"> 2020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5448A9" w:rsidRDefault="005448A9" w:rsidP="00110AD8">
            <w:pPr>
              <w:spacing w:line="360" w:lineRule="auto"/>
              <w:jc w:val="both"/>
              <w:rPr>
                <w:rFonts w:ascii="Arial" w:hAnsi="Arial" w:cs="Arial"/>
                <w:b/>
              </w:rPr>
            </w:pPr>
            <w:r>
              <w:rPr>
                <w:rFonts w:ascii="Arial" w:hAnsi="Arial" w:cs="Arial"/>
                <w:b/>
              </w:rPr>
              <w:t>23 October</w:t>
            </w:r>
            <w:r w:rsidR="00915248" w:rsidRPr="005448A9">
              <w:rPr>
                <w:rFonts w:ascii="Arial" w:hAnsi="Arial" w:cs="Arial"/>
                <w:b/>
              </w:rPr>
              <w:t xml:space="preserve"> 2020</w:t>
            </w:r>
          </w:p>
        </w:tc>
      </w:tr>
      <w:tr w:rsidR="005955B1" w:rsidRPr="006E49A3" w:rsidTr="00BB1E6E">
        <w:trPr>
          <w:trHeight w:val="908"/>
        </w:trPr>
        <w:tc>
          <w:tcPr>
            <w:tcW w:w="9720" w:type="dxa"/>
            <w:gridSpan w:val="3"/>
          </w:tcPr>
          <w:p w:rsidR="00F71EB9" w:rsidRPr="006E49A3" w:rsidRDefault="005955B1" w:rsidP="00351D08">
            <w:pPr>
              <w:spacing w:line="360" w:lineRule="auto"/>
              <w:jc w:val="both"/>
              <w:rPr>
                <w:rFonts w:ascii="Arial" w:hAnsi="Arial" w:cs="Arial"/>
              </w:rPr>
            </w:pPr>
            <w:r w:rsidRPr="006E49A3">
              <w:rPr>
                <w:rFonts w:ascii="Arial" w:hAnsi="Arial" w:cs="Arial"/>
                <w:b/>
              </w:rPr>
              <w:t>Neutral citation:</w:t>
            </w:r>
            <w:r w:rsidRPr="00970DAC">
              <w:rPr>
                <w:rFonts w:ascii="Arial" w:hAnsi="Arial" w:cs="Arial"/>
              </w:rPr>
              <w:t xml:space="preserve"> </w:t>
            </w:r>
            <w:r w:rsidR="00970DAC">
              <w:rPr>
                <w:rFonts w:ascii="Arial" w:hAnsi="Arial" w:cs="Arial"/>
                <w:i/>
              </w:rPr>
              <w:t xml:space="preserve">Vermeulen </w:t>
            </w:r>
            <w:r w:rsidR="00970DAC" w:rsidRPr="00970DAC">
              <w:rPr>
                <w:rFonts w:ascii="Arial" w:hAnsi="Arial" w:cs="Arial"/>
                <w:i/>
              </w:rPr>
              <w:t xml:space="preserve">v Vermeulen </w:t>
            </w:r>
            <w:r w:rsidR="00970DAC" w:rsidRPr="00970DAC">
              <w:rPr>
                <w:rFonts w:ascii="Arial" w:hAnsi="Arial" w:cs="Arial"/>
              </w:rPr>
              <w:t>(HC-MD-CIV-ACT-CON-2018/03974) [2020] NAHCMD 485 (23 October 2020)</w:t>
            </w:r>
          </w:p>
        </w:tc>
      </w:tr>
      <w:tr w:rsidR="00281FAB" w:rsidRPr="006E49A3" w:rsidTr="00EB27A0">
        <w:tc>
          <w:tcPr>
            <w:tcW w:w="9720" w:type="dxa"/>
            <w:gridSpan w:val="3"/>
          </w:tcPr>
          <w:p w:rsidR="00281FAB" w:rsidRPr="00E74FC1" w:rsidRDefault="00281FAB" w:rsidP="00E74FC1">
            <w:pPr>
              <w:spacing w:line="360" w:lineRule="auto"/>
              <w:jc w:val="both"/>
              <w:rPr>
                <w:rFonts w:ascii="Arial" w:hAnsi="Arial" w:cs="Arial"/>
                <w:b/>
              </w:rPr>
            </w:pPr>
            <w:r w:rsidRPr="00E74FC1">
              <w:rPr>
                <w:rFonts w:ascii="Arial" w:hAnsi="Arial" w:cs="Arial"/>
                <w:b/>
              </w:rPr>
              <w:t>The order:</w:t>
            </w:r>
          </w:p>
          <w:p w:rsidR="00C73154" w:rsidRPr="00E74FC1" w:rsidRDefault="00C73154" w:rsidP="00E74FC1">
            <w:pPr>
              <w:spacing w:line="360" w:lineRule="auto"/>
              <w:jc w:val="both"/>
              <w:rPr>
                <w:rFonts w:ascii="Arial" w:hAnsi="Arial" w:cs="Arial"/>
                <w:color w:val="000000" w:themeColor="text1"/>
              </w:rPr>
            </w:pPr>
          </w:p>
          <w:p w:rsidR="00E74FC1" w:rsidRPr="00E74FC1" w:rsidRDefault="00E74FC1" w:rsidP="00E74FC1">
            <w:pPr>
              <w:spacing w:line="360" w:lineRule="auto"/>
              <w:jc w:val="both"/>
              <w:rPr>
                <w:rFonts w:ascii="Arial" w:hAnsi="Arial" w:cs="Arial"/>
                <w:color w:val="000000" w:themeColor="text1"/>
              </w:rPr>
            </w:pPr>
            <w:r w:rsidRPr="00E74FC1">
              <w:rPr>
                <w:rFonts w:ascii="Arial" w:hAnsi="Arial" w:cs="Arial"/>
              </w:rPr>
              <w:t xml:space="preserve">Having heard </w:t>
            </w:r>
            <w:r w:rsidRPr="00E74FC1">
              <w:rPr>
                <w:rFonts w:ascii="Arial" w:hAnsi="Arial" w:cs="Arial"/>
                <w:b/>
              </w:rPr>
              <w:t>Mr Grobler</w:t>
            </w:r>
            <w:r w:rsidRPr="00E74FC1">
              <w:rPr>
                <w:rFonts w:ascii="Arial" w:hAnsi="Arial" w:cs="Arial"/>
              </w:rPr>
              <w:t xml:space="preserve">, counsel for the first plaintiff, </w:t>
            </w:r>
            <w:r w:rsidRPr="00E74FC1">
              <w:rPr>
                <w:rFonts w:ascii="Arial" w:hAnsi="Arial" w:cs="Arial"/>
                <w:b/>
              </w:rPr>
              <w:t>Mr Louw</w:t>
            </w:r>
            <w:r w:rsidRPr="00E74FC1">
              <w:rPr>
                <w:rFonts w:ascii="Arial" w:hAnsi="Arial" w:cs="Arial"/>
              </w:rPr>
              <w:t xml:space="preserve">, counsel for the second plaintiff and </w:t>
            </w:r>
            <w:r w:rsidRPr="00E74FC1">
              <w:rPr>
                <w:rFonts w:ascii="Arial" w:hAnsi="Arial" w:cs="Arial"/>
                <w:b/>
              </w:rPr>
              <w:t>Mr Vlieghe</w:t>
            </w:r>
            <w:r w:rsidRPr="00E74FC1">
              <w:rPr>
                <w:rFonts w:ascii="Arial" w:hAnsi="Arial" w:cs="Arial"/>
              </w:rPr>
              <w:t>, counsel for the defendant and having read other documents filed of record:</w:t>
            </w:r>
          </w:p>
          <w:p w:rsidR="00EB27A0" w:rsidRPr="00E74FC1" w:rsidRDefault="00EB27A0" w:rsidP="00E74FC1">
            <w:pPr>
              <w:spacing w:line="360" w:lineRule="auto"/>
              <w:jc w:val="both"/>
              <w:rPr>
                <w:rFonts w:ascii="Arial" w:hAnsi="Arial" w:cs="Arial"/>
                <w:color w:val="000000" w:themeColor="text1"/>
              </w:rPr>
            </w:pPr>
          </w:p>
          <w:p w:rsidR="00EB27A0" w:rsidRPr="00E74FC1" w:rsidRDefault="00EB27A0" w:rsidP="00E74FC1">
            <w:pPr>
              <w:spacing w:line="360" w:lineRule="auto"/>
              <w:jc w:val="both"/>
              <w:rPr>
                <w:rFonts w:ascii="Arial" w:hAnsi="Arial" w:cs="Arial"/>
                <w:b/>
              </w:rPr>
            </w:pPr>
            <w:r w:rsidRPr="00E74FC1">
              <w:rPr>
                <w:rFonts w:ascii="Arial" w:hAnsi="Arial" w:cs="Arial"/>
                <w:b/>
              </w:rPr>
              <w:t>IT IS ORDERED THAT:</w:t>
            </w:r>
          </w:p>
          <w:p w:rsidR="008D65E9" w:rsidRPr="00E74FC1" w:rsidRDefault="008D65E9" w:rsidP="00E74FC1">
            <w:pPr>
              <w:spacing w:line="360" w:lineRule="auto"/>
              <w:jc w:val="both"/>
              <w:rPr>
                <w:rFonts w:ascii="Arial" w:hAnsi="Arial" w:cs="Arial"/>
              </w:rPr>
            </w:pPr>
          </w:p>
          <w:p w:rsidR="007447AE" w:rsidRPr="00E74FC1" w:rsidRDefault="00E74FC1" w:rsidP="00E74FC1">
            <w:pPr>
              <w:pStyle w:val="ListParagraph"/>
              <w:numPr>
                <w:ilvl w:val="0"/>
                <w:numId w:val="8"/>
              </w:numPr>
              <w:spacing w:line="360" w:lineRule="auto"/>
              <w:ind w:left="446" w:hanging="426"/>
              <w:jc w:val="both"/>
              <w:rPr>
                <w:rFonts w:ascii="Arial" w:hAnsi="Arial" w:cs="Arial"/>
              </w:rPr>
            </w:pPr>
            <w:r w:rsidRPr="00E74FC1">
              <w:rPr>
                <w:rFonts w:ascii="Arial" w:hAnsi="Arial" w:cs="Arial"/>
              </w:rPr>
              <w:t>The exception is upheld</w:t>
            </w:r>
            <w:r w:rsidR="00D153C7" w:rsidRPr="00E74FC1">
              <w:rPr>
                <w:rFonts w:ascii="Arial" w:hAnsi="Arial" w:cs="Arial"/>
              </w:rPr>
              <w:t>.</w:t>
            </w:r>
          </w:p>
          <w:p w:rsidR="007447AE" w:rsidRPr="00E74FC1" w:rsidRDefault="007447AE" w:rsidP="00E74FC1">
            <w:pPr>
              <w:spacing w:line="360" w:lineRule="auto"/>
              <w:ind w:left="20"/>
              <w:jc w:val="both"/>
              <w:rPr>
                <w:rFonts w:ascii="Arial" w:hAnsi="Arial" w:cs="Arial"/>
              </w:rPr>
            </w:pPr>
          </w:p>
          <w:p w:rsidR="00905A48" w:rsidRPr="00E74FC1" w:rsidRDefault="00E74FC1" w:rsidP="00E74FC1">
            <w:pPr>
              <w:pStyle w:val="ListParagraph"/>
              <w:numPr>
                <w:ilvl w:val="0"/>
                <w:numId w:val="8"/>
              </w:numPr>
              <w:spacing w:line="360" w:lineRule="auto"/>
              <w:ind w:left="446" w:hanging="426"/>
              <w:jc w:val="both"/>
              <w:rPr>
                <w:rFonts w:ascii="Arial" w:hAnsi="Arial" w:cs="Arial"/>
              </w:rPr>
            </w:pPr>
            <w:r w:rsidRPr="00E74FC1">
              <w:rPr>
                <w:rFonts w:ascii="Arial" w:hAnsi="Arial" w:cs="Arial"/>
              </w:rPr>
              <w:t>The plaintiffs are granted leave to amend their particulars of claim, should they be advised to do so</w:t>
            </w:r>
            <w:r w:rsidR="00945A2F" w:rsidRPr="00E74FC1">
              <w:rPr>
                <w:rFonts w:ascii="Arial" w:hAnsi="Arial" w:cs="Arial"/>
              </w:rPr>
              <w:t>.</w:t>
            </w:r>
          </w:p>
          <w:p w:rsidR="00837272" w:rsidRPr="00E74FC1" w:rsidRDefault="00837272" w:rsidP="00E74FC1">
            <w:pPr>
              <w:spacing w:line="360" w:lineRule="auto"/>
              <w:ind w:left="20"/>
              <w:jc w:val="both"/>
              <w:rPr>
                <w:rFonts w:ascii="Arial" w:hAnsi="Arial" w:cs="Arial"/>
              </w:rPr>
            </w:pPr>
          </w:p>
          <w:p w:rsidR="00CF3D16" w:rsidRPr="00E74FC1" w:rsidRDefault="00E74FC1" w:rsidP="00E74FC1">
            <w:pPr>
              <w:pStyle w:val="ListParagraph"/>
              <w:numPr>
                <w:ilvl w:val="0"/>
                <w:numId w:val="8"/>
              </w:numPr>
              <w:spacing w:line="360" w:lineRule="auto"/>
              <w:ind w:left="446" w:hanging="426"/>
              <w:jc w:val="both"/>
              <w:rPr>
                <w:rFonts w:ascii="Arial" w:hAnsi="Arial" w:cs="Arial"/>
              </w:rPr>
            </w:pPr>
            <w:r w:rsidRPr="00E74FC1">
              <w:rPr>
                <w:rFonts w:ascii="Arial" w:hAnsi="Arial" w:cs="Arial"/>
              </w:rPr>
              <w:t>The amended particulars of claim, if any, must be filed not later than 14 days from the date of this order</w:t>
            </w:r>
            <w:r w:rsidR="00EE19B5" w:rsidRPr="00E74FC1">
              <w:rPr>
                <w:rFonts w:ascii="Arial" w:hAnsi="Arial" w:cs="Arial"/>
              </w:rPr>
              <w:t>.</w:t>
            </w:r>
          </w:p>
          <w:p w:rsidR="00E74FC1" w:rsidRPr="00E74FC1" w:rsidRDefault="00E74FC1" w:rsidP="00E74FC1">
            <w:pPr>
              <w:spacing w:line="360" w:lineRule="auto"/>
              <w:rPr>
                <w:rFonts w:ascii="Arial" w:hAnsi="Arial" w:cs="Arial"/>
              </w:rPr>
            </w:pPr>
          </w:p>
          <w:p w:rsidR="00E74FC1" w:rsidRPr="00E74FC1" w:rsidRDefault="00E74FC1" w:rsidP="00E74FC1">
            <w:pPr>
              <w:pStyle w:val="ListParagraph"/>
              <w:numPr>
                <w:ilvl w:val="0"/>
                <w:numId w:val="8"/>
              </w:numPr>
              <w:spacing w:line="360" w:lineRule="auto"/>
              <w:ind w:left="446" w:hanging="426"/>
              <w:jc w:val="both"/>
              <w:rPr>
                <w:rFonts w:ascii="Arial" w:hAnsi="Arial" w:cs="Arial"/>
              </w:rPr>
            </w:pPr>
            <w:r w:rsidRPr="00E74FC1">
              <w:rPr>
                <w:rFonts w:ascii="Arial" w:hAnsi="Arial" w:cs="Arial"/>
              </w:rPr>
              <w:t xml:space="preserve">A status hearing is scheduled before the managing judge on </w:t>
            </w:r>
            <w:r w:rsidRPr="00E74FC1">
              <w:rPr>
                <w:rFonts w:ascii="Arial" w:hAnsi="Arial" w:cs="Arial"/>
                <w:b/>
              </w:rPr>
              <w:t>24 November 2020</w:t>
            </w:r>
            <w:r w:rsidRPr="00E74FC1">
              <w:rPr>
                <w:rFonts w:ascii="Arial" w:hAnsi="Arial" w:cs="Arial"/>
              </w:rPr>
              <w:t xml:space="preserve"> at </w:t>
            </w:r>
            <w:r w:rsidRPr="00E74FC1">
              <w:rPr>
                <w:rFonts w:ascii="Arial" w:hAnsi="Arial" w:cs="Arial"/>
                <w:b/>
              </w:rPr>
              <w:t>14h15</w:t>
            </w:r>
            <w:r w:rsidRPr="00E74FC1">
              <w:rPr>
                <w:rFonts w:ascii="Arial" w:hAnsi="Arial" w:cs="Arial"/>
              </w:rPr>
              <w:t>.</w:t>
            </w:r>
          </w:p>
          <w:p w:rsidR="00E74FC1" w:rsidRPr="00E74FC1" w:rsidRDefault="00E74FC1" w:rsidP="00E74FC1">
            <w:pPr>
              <w:spacing w:line="360" w:lineRule="auto"/>
              <w:rPr>
                <w:rFonts w:ascii="Arial" w:hAnsi="Arial" w:cs="Arial"/>
              </w:rPr>
            </w:pPr>
          </w:p>
          <w:p w:rsidR="00E74FC1" w:rsidRPr="00E74FC1" w:rsidRDefault="00E74FC1" w:rsidP="00E74FC1">
            <w:pPr>
              <w:pStyle w:val="ListParagraph"/>
              <w:numPr>
                <w:ilvl w:val="0"/>
                <w:numId w:val="8"/>
              </w:numPr>
              <w:spacing w:line="360" w:lineRule="auto"/>
              <w:ind w:left="446" w:hanging="426"/>
              <w:jc w:val="both"/>
              <w:rPr>
                <w:rFonts w:ascii="Arial" w:hAnsi="Arial" w:cs="Arial"/>
              </w:rPr>
            </w:pPr>
            <w:r w:rsidRPr="00E74FC1">
              <w:rPr>
                <w:rFonts w:ascii="Arial" w:hAnsi="Arial" w:cs="Arial"/>
              </w:rPr>
              <w:lastRenderedPageBreak/>
              <w:t>The plaintiffs shall pay the costs of the defendant, but not excee</w:t>
            </w:r>
            <w:r>
              <w:rPr>
                <w:rFonts w:ascii="Arial" w:hAnsi="Arial" w:cs="Arial"/>
              </w:rPr>
              <w:t>ding the amount of N$</w:t>
            </w:r>
            <w:r w:rsidRPr="00E74FC1">
              <w:rPr>
                <w:rFonts w:ascii="Arial" w:hAnsi="Arial" w:cs="Arial"/>
              </w:rPr>
              <w:t>20 000, and in the case of the second plaintiff to be limited to the time when the second plaintiff tendered the costs of the defendant.</w:t>
            </w:r>
          </w:p>
          <w:p w:rsidR="00686B3F" w:rsidRPr="00E74FC1" w:rsidRDefault="00686B3F" w:rsidP="00E74FC1">
            <w:pPr>
              <w:spacing w:line="360" w:lineRule="auto"/>
              <w:jc w:val="both"/>
              <w:rPr>
                <w:rFonts w:ascii="Arial" w:hAnsi="Arial" w:cs="Arial"/>
              </w:rPr>
            </w:pPr>
          </w:p>
        </w:tc>
      </w:tr>
      <w:tr w:rsidR="00281FAB" w:rsidRPr="006E49A3" w:rsidTr="00EB27A0">
        <w:tc>
          <w:tcPr>
            <w:tcW w:w="9720" w:type="dxa"/>
            <w:gridSpan w:val="3"/>
          </w:tcPr>
          <w:p w:rsidR="00281FAB" w:rsidRPr="00E74FC1" w:rsidRDefault="008E6759" w:rsidP="00E74FC1">
            <w:pPr>
              <w:spacing w:line="360" w:lineRule="auto"/>
              <w:jc w:val="both"/>
              <w:rPr>
                <w:rFonts w:ascii="Arial" w:hAnsi="Arial" w:cs="Arial"/>
                <w:b/>
              </w:rPr>
            </w:pPr>
            <w:r w:rsidRPr="00E74FC1">
              <w:rPr>
                <w:rFonts w:ascii="Arial" w:hAnsi="Arial" w:cs="Arial"/>
                <w:b/>
              </w:rPr>
              <w:lastRenderedPageBreak/>
              <w:t>Following below are the reasons for the above order:</w:t>
            </w:r>
          </w:p>
        </w:tc>
      </w:tr>
      <w:tr w:rsidR="00281FAB" w:rsidRPr="006E49A3" w:rsidTr="00EB27A0">
        <w:tc>
          <w:tcPr>
            <w:tcW w:w="9720" w:type="dxa"/>
            <w:gridSpan w:val="3"/>
          </w:tcPr>
          <w:p w:rsidR="00BB1E6E" w:rsidRPr="00E74FC1" w:rsidRDefault="00BB1E6E" w:rsidP="00E74FC1">
            <w:pPr>
              <w:spacing w:line="360" w:lineRule="auto"/>
              <w:jc w:val="both"/>
              <w:rPr>
                <w:rFonts w:ascii="Arial" w:hAnsi="Arial" w:cs="Arial"/>
              </w:rPr>
            </w:pPr>
          </w:p>
          <w:p w:rsidR="00A4515E" w:rsidRPr="00E74FC1" w:rsidRDefault="009C7093" w:rsidP="0002256F">
            <w:pPr>
              <w:tabs>
                <w:tab w:val="left" w:pos="575"/>
              </w:tabs>
              <w:spacing w:line="360" w:lineRule="auto"/>
              <w:jc w:val="both"/>
              <w:rPr>
                <w:rFonts w:ascii="Arial" w:hAnsi="Arial" w:cs="Arial"/>
              </w:rPr>
            </w:pPr>
            <w:r w:rsidRPr="00E74FC1">
              <w:rPr>
                <w:rFonts w:ascii="Arial" w:hAnsi="Arial" w:cs="Arial"/>
              </w:rPr>
              <w:t>[1]</w:t>
            </w:r>
            <w:r w:rsidR="00767C1C" w:rsidRPr="00E74FC1">
              <w:rPr>
                <w:rFonts w:ascii="Arial" w:hAnsi="Arial" w:cs="Arial"/>
              </w:rPr>
              <w:tab/>
            </w:r>
            <w:r w:rsidR="00E74FC1" w:rsidRPr="00E74FC1">
              <w:rPr>
                <w:rFonts w:ascii="Arial" w:hAnsi="Arial" w:cs="Arial"/>
              </w:rPr>
              <w:t>The first and second plaintiff issued summons against the defendant. In their particulars of claim, the following relief is sought.</w:t>
            </w:r>
          </w:p>
          <w:p w:rsidR="004A6FCE" w:rsidRPr="00E74FC1" w:rsidRDefault="004A6FCE" w:rsidP="00E74FC1">
            <w:pPr>
              <w:spacing w:line="360" w:lineRule="auto"/>
              <w:jc w:val="both"/>
              <w:rPr>
                <w:rFonts w:ascii="Arial" w:hAnsi="Arial" w:cs="Arial"/>
              </w:rPr>
            </w:pPr>
          </w:p>
          <w:p w:rsidR="00E74FC1" w:rsidRPr="00E74FC1" w:rsidRDefault="00E74FC1" w:rsidP="0002256F">
            <w:pPr>
              <w:pStyle w:val="ListParagraph"/>
              <w:tabs>
                <w:tab w:val="left" w:pos="588"/>
                <w:tab w:val="left" w:pos="1013"/>
              </w:tabs>
              <w:spacing w:line="360" w:lineRule="auto"/>
              <w:ind w:left="729" w:hanging="141"/>
              <w:jc w:val="both"/>
              <w:rPr>
                <w:rFonts w:ascii="Arial" w:hAnsi="Arial" w:cs="Arial"/>
                <w:sz w:val="20"/>
                <w:szCs w:val="20"/>
              </w:rPr>
            </w:pPr>
            <w:r w:rsidRPr="00E74FC1">
              <w:rPr>
                <w:rFonts w:ascii="Arial" w:hAnsi="Arial" w:cs="Arial"/>
                <w:sz w:val="20"/>
                <w:szCs w:val="20"/>
              </w:rPr>
              <w:t>‘1.</w:t>
            </w:r>
            <w:r w:rsidRPr="00E74FC1">
              <w:rPr>
                <w:rFonts w:ascii="Arial" w:hAnsi="Arial" w:cs="Arial"/>
              </w:rPr>
              <w:tab/>
            </w:r>
            <w:r w:rsidRPr="00E74FC1">
              <w:rPr>
                <w:rFonts w:ascii="Arial" w:hAnsi="Arial" w:cs="Arial"/>
                <w:sz w:val="20"/>
                <w:szCs w:val="20"/>
              </w:rPr>
              <w:t>That the defendant be found guilty of contempt of court.</w:t>
            </w:r>
          </w:p>
          <w:p w:rsidR="00E74FC1" w:rsidRPr="0002256F" w:rsidRDefault="00E74FC1" w:rsidP="0002256F">
            <w:pPr>
              <w:tabs>
                <w:tab w:val="left" w:pos="851"/>
              </w:tabs>
              <w:spacing w:line="360" w:lineRule="auto"/>
              <w:jc w:val="both"/>
              <w:rPr>
                <w:rFonts w:ascii="Arial" w:hAnsi="Arial" w:cs="Arial"/>
                <w:sz w:val="20"/>
                <w:szCs w:val="20"/>
              </w:rPr>
            </w:pPr>
          </w:p>
          <w:p w:rsidR="00E74FC1" w:rsidRPr="00E74FC1" w:rsidRDefault="00E74FC1" w:rsidP="0002256F">
            <w:pPr>
              <w:pStyle w:val="ListParagraph"/>
              <w:tabs>
                <w:tab w:val="left" w:pos="588"/>
                <w:tab w:val="left" w:pos="1013"/>
              </w:tabs>
              <w:spacing w:line="360" w:lineRule="auto"/>
              <w:ind w:left="729" w:hanging="141"/>
              <w:jc w:val="both"/>
              <w:rPr>
                <w:rFonts w:ascii="Arial" w:hAnsi="Arial" w:cs="Arial"/>
                <w:sz w:val="20"/>
                <w:szCs w:val="20"/>
              </w:rPr>
            </w:pPr>
            <w:r w:rsidRPr="00E74FC1">
              <w:rPr>
                <w:rFonts w:ascii="Arial" w:hAnsi="Arial" w:cs="Arial"/>
                <w:sz w:val="20"/>
                <w:szCs w:val="20"/>
              </w:rPr>
              <w:t>2.</w:t>
            </w:r>
            <w:r w:rsidR="0002256F" w:rsidRPr="00E74FC1">
              <w:rPr>
                <w:rFonts w:ascii="Arial" w:hAnsi="Arial" w:cs="Arial"/>
              </w:rPr>
              <w:tab/>
            </w:r>
            <w:r w:rsidRPr="00E74FC1">
              <w:rPr>
                <w:rFonts w:ascii="Arial" w:hAnsi="Arial" w:cs="Arial"/>
                <w:sz w:val="20"/>
                <w:szCs w:val="20"/>
              </w:rPr>
              <w:t>That the defendant takes immediate steps</w:t>
            </w:r>
            <w:r w:rsidR="0002256F">
              <w:rPr>
                <w:rFonts w:ascii="Arial" w:hAnsi="Arial" w:cs="Arial"/>
                <w:sz w:val="20"/>
                <w:szCs w:val="20"/>
              </w:rPr>
              <w:t xml:space="preserve"> </w:t>
            </w:r>
            <w:r w:rsidRPr="00E74FC1">
              <w:rPr>
                <w:rFonts w:ascii="Arial" w:hAnsi="Arial" w:cs="Arial"/>
                <w:sz w:val="20"/>
                <w:szCs w:val="20"/>
              </w:rPr>
              <w:t>-</w:t>
            </w:r>
          </w:p>
          <w:p w:rsidR="00E74FC1" w:rsidRPr="0002256F" w:rsidRDefault="00E74FC1" w:rsidP="0002256F">
            <w:pPr>
              <w:tabs>
                <w:tab w:val="left" w:pos="851"/>
              </w:tabs>
              <w:spacing w:line="360" w:lineRule="auto"/>
              <w:jc w:val="both"/>
              <w:rPr>
                <w:rFonts w:ascii="Arial" w:hAnsi="Arial" w:cs="Arial"/>
                <w:sz w:val="20"/>
                <w:szCs w:val="20"/>
              </w:rPr>
            </w:pPr>
          </w:p>
          <w:p w:rsidR="00E74FC1" w:rsidRPr="00E74FC1" w:rsidRDefault="0002256F" w:rsidP="0002256F">
            <w:pPr>
              <w:pStyle w:val="ListParagraph"/>
              <w:tabs>
                <w:tab w:val="left" w:pos="1155"/>
                <w:tab w:val="left" w:pos="1580"/>
              </w:tabs>
              <w:spacing w:line="360" w:lineRule="auto"/>
              <w:ind w:left="1155" w:hanging="142"/>
              <w:jc w:val="both"/>
              <w:rPr>
                <w:rFonts w:ascii="Arial" w:hAnsi="Arial" w:cs="Arial"/>
                <w:sz w:val="20"/>
                <w:szCs w:val="20"/>
              </w:rPr>
            </w:pPr>
            <w:r>
              <w:rPr>
                <w:rFonts w:ascii="Arial" w:hAnsi="Arial" w:cs="Arial"/>
                <w:sz w:val="20"/>
                <w:szCs w:val="20"/>
              </w:rPr>
              <w:t>2.1</w:t>
            </w:r>
            <w:r w:rsidRPr="00E74FC1">
              <w:rPr>
                <w:rFonts w:ascii="Arial" w:hAnsi="Arial" w:cs="Arial"/>
              </w:rPr>
              <w:tab/>
            </w:r>
            <w:r w:rsidR="00E74FC1" w:rsidRPr="00E74FC1">
              <w:rPr>
                <w:rFonts w:ascii="Arial" w:hAnsi="Arial" w:cs="Arial"/>
                <w:sz w:val="20"/>
                <w:szCs w:val="20"/>
              </w:rPr>
              <w:t>To register the Montebello No. 9 in the name of the Abba Trust.</w:t>
            </w:r>
          </w:p>
          <w:p w:rsidR="00E74FC1" w:rsidRPr="0002256F" w:rsidRDefault="00E74FC1" w:rsidP="0002256F">
            <w:pPr>
              <w:tabs>
                <w:tab w:val="left" w:pos="1155"/>
              </w:tabs>
              <w:spacing w:line="360" w:lineRule="auto"/>
              <w:jc w:val="both"/>
              <w:rPr>
                <w:rFonts w:ascii="Arial" w:hAnsi="Arial" w:cs="Arial"/>
                <w:sz w:val="20"/>
                <w:szCs w:val="20"/>
              </w:rPr>
            </w:pPr>
          </w:p>
          <w:p w:rsidR="00E74FC1" w:rsidRPr="00E74FC1" w:rsidRDefault="0002256F" w:rsidP="0002256F">
            <w:pPr>
              <w:pStyle w:val="ListParagraph"/>
              <w:spacing w:line="360" w:lineRule="auto"/>
              <w:ind w:left="1580" w:hanging="567"/>
              <w:jc w:val="both"/>
              <w:rPr>
                <w:rFonts w:ascii="Arial" w:hAnsi="Arial" w:cs="Arial"/>
                <w:sz w:val="20"/>
                <w:szCs w:val="20"/>
              </w:rPr>
            </w:pPr>
            <w:r>
              <w:rPr>
                <w:rFonts w:ascii="Arial" w:hAnsi="Arial" w:cs="Arial"/>
                <w:sz w:val="20"/>
                <w:szCs w:val="20"/>
              </w:rPr>
              <w:t>2.2</w:t>
            </w:r>
            <w:r w:rsidRPr="00E74FC1">
              <w:rPr>
                <w:rFonts w:ascii="Arial" w:hAnsi="Arial" w:cs="Arial"/>
              </w:rPr>
              <w:tab/>
            </w:r>
            <w:r w:rsidR="00E74FC1" w:rsidRPr="00E74FC1">
              <w:rPr>
                <w:rFonts w:ascii="Arial" w:hAnsi="Arial" w:cs="Arial"/>
                <w:sz w:val="20"/>
                <w:szCs w:val="20"/>
              </w:rPr>
              <w:t>To register a life-long usufruct in favour of the first plaintiff against the title deed of Montebello No. 9 in the name of the Abba Trust.’</w:t>
            </w:r>
          </w:p>
          <w:p w:rsidR="00E74FC1" w:rsidRPr="0002256F" w:rsidRDefault="00E74FC1" w:rsidP="00E74FC1">
            <w:pPr>
              <w:spacing w:line="360" w:lineRule="auto"/>
              <w:jc w:val="both"/>
              <w:rPr>
                <w:rFonts w:ascii="Arial" w:hAnsi="Arial" w:cs="Arial"/>
              </w:rPr>
            </w:pPr>
          </w:p>
          <w:p w:rsidR="004A6FCE" w:rsidRPr="0002256F" w:rsidRDefault="00747B22" w:rsidP="0002256F">
            <w:pPr>
              <w:tabs>
                <w:tab w:val="left" w:pos="563"/>
              </w:tabs>
              <w:spacing w:line="360" w:lineRule="auto"/>
              <w:jc w:val="both"/>
              <w:rPr>
                <w:rFonts w:ascii="Arial" w:hAnsi="Arial" w:cs="Arial"/>
              </w:rPr>
            </w:pPr>
            <w:r w:rsidRPr="0002256F">
              <w:rPr>
                <w:rFonts w:ascii="Arial" w:hAnsi="Arial" w:cs="Arial"/>
              </w:rPr>
              <w:t>[2]</w:t>
            </w:r>
            <w:r w:rsidR="00767C1C" w:rsidRPr="0002256F">
              <w:rPr>
                <w:rFonts w:ascii="Arial" w:hAnsi="Arial" w:cs="Arial"/>
              </w:rPr>
              <w:tab/>
            </w:r>
            <w:r w:rsidR="0002256F" w:rsidRPr="0002256F">
              <w:rPr>
                <w:rFonts w:ascii="Arial" w:hAnsi="Arial" w:cs="Arial"/>
              </w:rPr>
              <w:t>There is an additional claim seeking an order that the defendant pays the arrear levies in respect of Montebello No.</w:t>
            </w:r>
            <w:r w:rsidR="0002256F">
              <w:rPr>
                <w:rFonts w:ascii="Arial" w:hAnsi="Arial" w:cs="Arial"/>
              </w:rPr>
              <w:t xml:space="preserve"> </w:t>
            </w:r>
            <w:r w:rsidR="0002256F" w:rsidRPr="0002256F">
              <w:rPr>
                <w:rFonts w:ascii="Arial" w:hAnsi="Arial" w:cs="Arial"/>
              </w:rPr>
              <w:t>9 in the sum of N$49</w:t>
            </w:r>
            <w:r w:rsidR="0002256F">
              <w:rPr>
                <w:rFonts w:ascii="Arial" w:hAnsi="Arial" w:cs="Arial"/>
              </w:rPr>
              <w:t xml:space="preserve"> </w:t>
            </w:r>
            <w:r w:rsidR="0002256F" w:rsidRPr="0002256F">
              <w:rPr>
                <w:rFonts w:ascii="Arial" w:hAnsi="Arial" w:cs="Arial"/>
              </w:rPr>
              <w:t>805.17 together with ancillary relief and costs</w:t>
            </w:r>
            <w:r w:rsidRPr="0002256F">
              <w:rPr>
                <w:rFonts w:ascii="Arial" w:hAnsi="Arial" w:cs="Arial"/>
              </w:rPr>
              <w:t>.</w:t>
            </w:r>
          </w:p>
          <w:p w:rsidR="009E31F0" w:rsidRPr="0002256F" w:rsidRDefault="009E31F0" w:rsidP="00E74FC1">
            <w:pPr>
              <w:spacing w:line="360" w:lineRule="auto"/>
              <w:jc w:val="both"/>
              <w:rPr>
                <w:rFonts w:ascii="Arial" w:hAnsi="Arial" w:cs="Arial"/>
              </w:rPr>
            </w:pPr>
          </w:p>
          <w:p w:rsidR="009E31F0" w:rsidRPr="0002256F" w:rsidRDefault="00FF2E3F" w:rsidP="0002256F">
            <w:pPr>
              <w:tabs>
                <w:tab w:val="left" w:pos="575"/>
              </w:tabs>
              <w:spacing w:line="360" w:lineRule="auto"/>
              <w:jc w:val="both"/>
              <w:rPr>
                <w:rFonts w:ascii="Arial" w:hAnsi="Arial" w:cs="Arial"/>
              </w:rPr>
            </w:pPr>
            <w:r w:rsidRPr="0002256F">
              <w:rPr>
                <w:rFonts w:ascii="Arial" w:hAnsi="Arial" w:cs="Arial"/>
              </w:rPr>
              <w:t>[</w:t>
            </w:r>
            <w:r w:rsidR="003E5299" w:rsidRPr="0002256F">
              <w:rPr>
                <w:rFonts w:ascii="Arial" w:hAnsi="Arial" w:cs="Arial"/>
              </w:rPr>
              <w:t>3</w:t>
            </w:r>
            <w:r w:rsidR="009E31F0" w:rsidRPr="0002256F">
              <w:rPr>
                <w:rFonts w:ascii="Arial" w:hAnsi="Arial" w:cs="Arial"/>
              </w:rPr>
              <w:t>]</w:t>
            </w:r>
            <w:r w:rsidR="00767C1C" w:rsidRPr="0002256F">
              <w:rPr>
                <w:rFonts w:ascii="Arial" w:hAnsi="Arial" w:cs="Arial"/>
              </w:rPr>
              <w:tab/>
            </w:r>
            <w:r w:rsidR="0002256F" w:rsidRPr="0002256F">
              <w:rPr>
                <w:rFonts w:ascii="Arial" w:hAnsi="Arial" w:cs="Arial"/>
              </w:rPr>
              <w:t xml:space="preserve">The defendant </w:t>
            </w:r>
            <w:r w:rsidR="0002256F" w:rsidRPr="005448A9">
              <w:rPr>
                <w:rFonts w:ascii="Arial" w:hAnsi="Arial" w:cs="Arial"/>
              </w:rPr>
              <w:t>excepts</w:t>
            </w:r>
            <w:r w:rsidR="0002256F" w:rsidRPr="0002256F">
              <w:rPr>
                <w:rFonts w:ascii="Arial" w:hAnsi="Arial" w:cs="Arial"/>
              </w:rPr>
              <w:t xml:space="preserve"> to the particulars of claim on the grounds set out in his </w:t>
            </w:r>
            <w:r w:rsidR="0002256F">
              <w:rPr>
                <w:rFonts w:ascii="Arial" w:hAnsi="Arial" w:cs="Arial"/>
              </w:rPr>
              <w:t>n</w:t>
            </w:r>
            <w:r w:rsidR="0002256F" w:rsidRPr="0002256F">
              <w:rPr>
                <w:rFonts w:ascii="Arial" w:hAnsi="Arial" w:cs="Arial"/>
              </w:rPr>
              <w:t>otice to that effect and dated 3 May 2019</w:t>
            </w:r>
            <w:r w:rsidR="009228FD" w:rsidRPr="0002256F">
              <w:rPr>
                <w:rFonts w:ascii="Arial" w:hAnsi="Arial" w:cs="Arial"/>
              </w:rPr>
              <w:t>.</w:t>
            </w:r>
          </w:p>
          <w:p w:rsidR="009E31F0" w:rsidRPr="0002256F" w:rsidRDefault="009E31F0" w:rsidP="00E74FC1">
            <w:pPr>
              <w:spacing w:line="360" w:lineRule="auto"/>
              <w:jc w:val="both"/>
              <w:rPr>
                <w:rFonts w:ascii="Arial" w:hAnsi="Arial" w:cs="Arial"/>
              </w:rPr>
            </w:pPr>
          </w:p>
          <w:p w:rsidR="009E31F0" w:rsidRPr="0002256F" w:rsidRDefault="00FF2E3F" w:rsidP="0002256F">
            <w:pPr>
              <w:tabs>
                <w:tab w:val="left" w:pos="538"/>
              </w:tabs>
              <w:spacing w:line="360" w:lineRule="auto"/>
              <w:jc w:val="both"/>
              <w:rPr>
                <w:rFonts w:ascii="Arial" w:hAnsi="Arial" w:cs="Arial"/>
              </w:rPr>
            </w:pPr>
            <w:r w:rsidRPr="0002256F">
              <w:rPr>
                <w:rFonts w:ascii="Arial" w:hAnsi="Arial" w:cs="Arial"/>
              </w:rPr>
              <w:t>[</w:t>
            </w:r>
            <w:r w:rsidR="003E5299" w:rsidRPr="0002256F">
              <w:rPr>
                <w:rFonts w:ascii="Arial" w:hAnsi="Arial" w:cs="Arial"/>
              </w:rPr>
              <w:t>4</w:t>
            </w:r>
            <w:r w:rsidR="009E31F0" w:rsidRPr="0002256F">
              <w:rPr>
                <w:rFonts w:ascii="Arial" w:hAnsi="Arial" w:cs="Arial"/>
              </w:rPr>
              <w:t>]</w:t>
            </w:r>
            <w:r w:rsidR="00767C1C" w:rsidRPr="0002256F">
              <w:rPr>
                <w:rFonts w:ascii="Arial" w:hAnsi="Arial" w:cs="Arial"/>
              </w:rPr>
              <w:tab/>
            </w:r>
            <w:r w:rsidR="0002256F" w:rsidRPr="0002256F">
              <w:rPr>
                <w:rFonts w:ascii="Arial" w:hAnsi="Arial" w:cs="Arial"/>
              </w:rPr>
              <w:t xml:space="preserve">Although both plaintiffs opposed the matter of the exception, the second plaintiff subsequently conceded that the exception should succeed. The argument before me was limited to the issue of costs, and more particularly whether the costs should be capped at </w:t>
            </w:r>
            <w:r w:rsidR="0002256F">
              <w:rPr>
                <w:rFonts w:ascii="Arial" w:hAnsi="Arial" w:cs="Arial"/>
              </w:rPr>
              <w:t>a minimum of N$</w:t>
            </w:r>
            <w:r w:rsidR="0002256F" w:rsidRPr="0002256F">
              <w:rPr>
                <w:rFonts w:ascii="Arial" w:hAnsi="Arial" w:cs="Arial"/>
              </w:rPr>
              <w:t>20 000</w:t>
            </w:r>
            <w:r w:rsidR="009E31F0" w:rsidRPr="0002256F">
              <w:rPr>
                <w:rFonts w:ascii="Arial" w:hAnsi="Arial" w:cs="Arial"/>
              </w:rPr>
              <w:t>.</w:t>
            </w:r>
          </w:p>
          <w:p w:rsidR="009E31F0" w:rsidRPr="0002256F" w:rsidRDefault="009E31F0" w:rsidP="00E74FC1">
            <w:pPr>
              <w:spacing w:line="360" w:lineRule="auto"/>
              <w:jc w:val="both"/>
              <w:rPr>
                <w:rFonts w:ascii="Arial" w:hAnsi="Arial" w:cs="Arial"/>
              </w:rPr>
            </w:pPr>
          </w:p>
          <w:p w:rsidR="009E31F0" w:rsidRPr="0002256F" w:rsidRDefault="00FF2E3F" w:rsidP="0002256F">
            <w:pPr>
              <w:tabs>
                <w:tab w:val="left" w:pos="575"/>
              </w:tabs>
              <w:spacing w:line="360" w:lineRule="auto"/>
              <w:jc w:val="both"/>
              <w:rPr>
                <w:rFonts w:ascii="Arial" w:hAnsi="Arial" w:cs="Arial"/>
              </w:rPr>
            </w:pPr>
            <w:r w:rsidRPr="0002256F">
              <w:rPr>
                <w:rFonts w:ascii="Arial" w:hAnsi="Arial" w:cs="Arial"/>
              </w:rPr>
              <w:t>[</w:t>
            </w:r>
            <w:r w:rsidR="003E5299" w:rsidRPr="0002256F">
              <w:rPr>
                <w:rFonts w:ascii="Arial" w:hAnsi="Arial" w:cs="Arial"/>
              </w:rPr>
              <w:t>5</w:t>
            </w:r>
            <w:r w:rsidR="009E31F0" w:rsidRPr="0002256F">
              <w:rPr>
                <w:rFonts w:ascii="Arial" w:hAnsi="Arial" w:cs="Arial"/>
              </w:rPr>
              <w:t>]</w:t>
            </w:r>
            <w:r w:rsidR="00767C1C" w:rsidRPr="0002256F">
              <w:rPr>
                <w:rFonts w:ascii="Arial" w:hAnsi="Arial" w:cs="Arial"/>
              </w:rPr>
              <w:tab/>
            </w:r>
            <w:r w:rsidR="0002256F" w:rsidRPr="0002256F">
              <w:rPr>
                <w:rFonts w:ascii="Arial" w:hAnsi="Arial" w:cs="Arial"/>
              </w:rPr>
              <w:t>The first plaintiff persists in opposing the relief being sought by the defendant</w:t>
            </w:r>
            <w:r w:rsidR="00DE5291" w:rsidRPr="0002256F">
              <w:rPr>
                <w:rFonts w:ascii="Arial" w:hAnsi="Arial" w:cs="Arial"/>
              </w:rPr>
              <w:t>.</w:t>
            </w:r>
          </w:p>
          <w:p w:rsidR="00FF2E3F" w:rsidRPr="0002256F" w:rsidRDefault="00FF2E3F" w:rsidP="00E74FC1">
            <w:pPr>
              <w:spacing w:line="360" w:lineRule="auto"/>
              <w:jc w:val="both"/>
              <w:rPr>
                <w:rFonts w:ascii="Arial" w:hAnsi="Arial" w:cs="Arial"/>
              </w:rPr>
            </w:pPr>
          </w:p>
          <w:p w:rsidR="00FF2E3F" w:rsidRPr="0002256F" w:rsidRDefault="001548E9" w:rsidP="0002256F">
            <w:pPr>
              <w:tabs>
                <w:tab w:val="left" w:pos="575"/>
              </w:tabs>
              <w:spacing w:line="360" w:lineRule="auto"/>
              <w:jc w:val="both"/>
              <w:rPr>
                <w:rFonts w:ascii="Arial" w:hAnsi="Arial" w:cs="Arial"/>
              </w:rPr>
            </w:pPr>
            <w:r w:rsidRPr="0002256F">
              <w:rPr>
                <w:rFonts w:ascii="Arial" w:hAnsi="Arial" w:cs="Arial"/>
              </w:rPr>
              <w:t>[</w:t>
            </w:r>
            <w:r w:rsidR="003E5299" w:rsidRPr="0002256F">
              <w:rPr>
                <w:rFonts w:ascii="Arial" w:hAnsi="Arial" w:cs="Arial"/>
              </w:rPr>
              <w:t>6</w:t>
            </w:r>
            <w:r w:rsidRPr="0002256F">
              <w:rPr>
                <w:rFonts w:ascii="Arial" w:hAnsi="Arial" w:cs="Arial"/>
              </w:rPr>
              <w:t>]</w:t>
            </w:r>
            <w:r w:rsidR="00767C1C" w:rsidRPr="0002256F">
              <w:rPr>
                <w:rFonts w:ascii="Arial" w:hAnsi="Arial" w:cs="Arial"/>
              </w:rPr>
              <w:tab/>
            </w:r>
            <w:r w:rsidR="0002256F" w:rsidRPr="0002256F">
              <w:rPr>
                <w:rFonts w:ascii="Arial" w:hAnsi="Arial" w:cs="Arial"/>
              </w:rPr>
              <w:t>The particulars of claim, upon a reading thereof is with respect not a model of clarity, and he who runs won’t read. I refer to only one extract from the particulars of claim. In para 11 thereof it is alleged that ‘the conduct of the defendant to register Montebello No. 9 in th</w:t>
            </w:r>
            <w:r w:rsidR="0002256F">
              <w:rPr>
                <w:rFonts w:ascii="Arial" w:hAnsi="Arial" w:cs="Arial"/>
              </w:rPr>
              <w:t>e name of Pentagon Investment CC</w:t>
            </w:r>
            <w:r w:rsidR="0002256F" w:rsidRPr="0002256F">
              <w:rPr>
                <w:rFonts w:ascii="Arial" w:hAnsi="Arial" w:cs="Arial"/>
              </w:rPr>
              <w:t xml:space="preserve"> and (his) subsequent conduct as set out in para 9 above, is contrary to the settlement agreement that was made an order of court, fraudulent and of no force and effect</w:t>
            </w:r>
            <w:r w:rsidR="0002256F">
              <w:rPr>
                <w:rFonts w:ascii="Arial" w:hAnsi="Arial" w:cs="Arial"/>
              </w:rPr>
              <w:t>’</w:t>
            </w:r>
            <w:r w:rsidR="00FF2E3F" w:rsidRPr="0002256F">
              <w:rPr>
                <w:rFonts w:ascii="Arial" w:hAnsi="Arial" w:cs="Arial"/>
              </w:rPr>
              <w:t>.</w:t>
            </w:r>
          </w:p>
          <w:p w:rsidR="009E31F0" w:rsidRPr="0002256F" w:rsidRDefault="009E31F0" w:rsidP="00E74FC1">
            <w:pPr>
              <w:spacing w:line="360" w:lineRule="auto"/>
              <w:jc w:val="both"/>
              <w:rPr>
                <w:rFonts w:ascii="Arial" w:hAnsi="Arial" w:cs="Arial"/>
              </w:rPr>
            </w:pPr>
          </w:p>
          <w:p w:rsidR="009E31F0" w:rsidRDefault="00FF2E3F" w:rsidP="0002256F">
            <w:pPr>
              <w:tabs>
                <w:tab w:val="left" w:pos="550"/>
              </w:tabs>
              <w:spacing w:line="360" w:lineRule="auto"/>
              <w:jc w:val="both"/>
              <w:rPr>
                <w:rFonts w:ascii="Arial" w:hAnsi="Arial" w:cs="Arial"/>
              </w:rPr>
            </w:pPr>
            <w:r w:rsidRPr="0002256F">
              <w:rPr>
                <w:rFonts w:ascii="Arial" w:hAnsi="Arial" w:cs="Arial"/>
              </w:rPr>
              <w:t>[</w:t>
            </w:r>
            <w:r w:rsidR="003E5299" w:rsidRPr="0002256F">
              <w:rPr>
                <w:rFonts w:ascii="Arial" w:hAnsi="Arial" w:cs="Arial"/>
              </w:rPr>
              <w:t>7</w:t>
            </w:r>
            <w:r w:rsidR="009E31F0" w:rsidRPr="0002256F">
              <w:rPr>
                <w:rFonts w:ascii="Arial" w:hAnsi="Arial" w:cs="Arial"/>
              </w:rPr>
              <w:t>]</w:t>
            </w:r>
            <w:r w:rsidR="00767C1C" w:rsidRPr="0002256F">
              <w:rPr>
                <w:rFonts w:ascii="Arial" w:hAnsi="Arial" w:cs="Arial"/>
              </w:rPr>
              <w:tab/>
            </w:r>
            <w:r w:rsidR="0002256F" w:rsidRPr="0002256F">
              <w:rPr>
                <w:rFonts w:ascii="Arial" w:hAnsi="Arial" w:cs="Arial"/>
              </w:rPr>
              <w:t>When the reader turns to para 9 of the particulars of claim, no mention is made of any fraudulent conduct. In fact para 9 deals with an entirely different aspect</w:t>
            </w:r>
            <w:r w:rsidR="009E31F0" w:rsidRPr="0002256F">
              <w:rPr>
                <w:rFonts w:ascii="Arial" w:hAnsi="Arial" w:cs="Arial"/>
              </w:rPr>
              <w:t>.</w:t>
            </w:r>
          </w:p>
          <w:p w:rsidR="0002256F" w:rsidRDefault="0002256F" w:rsidP="0002256F">
            <w:pPr>
              <w:tabs>
                <w:tab w:val="left" w:pos="550"/>
              </w:tabs>
              <w:spacing w:line="360" w:lineRule="auto"/>
              <w:jc w:val="both"/>
              <w:rPr>
                <w:rFonts w:ascii="Arial" w:hAnsi="Arial" w:cs="Arial"/>
              </w:rPr>
            </w:pPr>
          </w:p>
          <w:p w:rsidR="0002256F" w:rsidRDefault="0002256F" w:rsidP="0002256F">
            <w:pPr>
              <w:tabs>
                <w:tab w:val="left" w:pos="550"/>
              </w:tabs>
              <w:spacing w:line="360" w:lineRule="auto"/>
              <w:jc w:val="both"/>
              <w:rPr>
                <w:rFonts w:ascii="Arial" w:hAnsi="Arial" w:cs="Arial"/>
              </w:rPr>
            </w:pPr>
            <w:r>
              <w:rPr>
                <w:rFonts w:ascii="Arial" w:hAnsi="Arial" w:cs="Arial"/>
              </w:rPr>
              <w:lastRenderedPageBreak/>
              <w:t>[8]</w:t>
            </w:r>
            <w:r w:rsidRPr="0002256F">
              <w:rPr>
                <w:rFonts w:ascii="Arial" w:hAnsi="Arial" w:cs="Arial"/>
              </w:rPr>
              <w:tab/>
              <w:t>Apart from that, no case is made out in the particulars of claim for the relief claimed in respect of the defendant’s alleged contempt of court. Absent is any allegation that the defendant acted intentionally and malicio</w:t>
            </w:r>
            <w:r>
              <w:rPr>
                <w:rFonts w:ascii="Arial" w:hAnsi="Arial" w:cs="Arial"/>
              </w:rPr>
              <w:t>usly by not complying with the c</w:t>
            </w:r>
            <w:r w:rsidRPr="0002256F">
              <w:rPr>
                <w:rFonts w:ascii="Arial" w:hAnsi="Arial" w:cs="Arial"/>
              </w:rPr>
              <w:t>ourt’s order. To merely allege that his conduct was fraudulent is not sufficient</w:t>
            </w:r>
            <w:r>
              <w:rPr>
                <w:rFonts w:ascii="Arial" w:hAnsi="Arial" w:cs="Arial"/>
              </w:rPr>
              <w:t>.</w:t>
            </w:r>
            <w:bookmarkStart w:id="0" w:name="_GoBack"/>
            <w:bookmarkEnd w:id="0"/>
          </w:p>
          <w:p w:rsidR="0002256F" w:rsidRPr="0002256F" w:rsidRDefault="0002256F" w:rsidP="0002256F">
            <w:pPr>
              <w:tabs>
                <w:tab w:val="left" w:pos="550"/>
              </w:tabs>
              <w:spacing w:line="360" w:lineRule="auto"/>
              <w:jc w:val="both"/>
              <w:rPr>
                <w:rFonts w:ascii="Arial" w:hAnsi="Arial" w:cs="Arial"/>
              </w:rPr>
            </w:pPr>
          </w:p>
          <w:p w:rsidR="0002256F" w:rsidRPr="0002256F" w:rsidRDefault="0002256F" w:rsidP="0002256F">
            <w:pPr>
              <w:tabs>
                <w:tab w:val="left" w:pos="550"/>
              </w:tabs>
              <w:spacing w:line="360" w:lineRule="auto"/>
              <w:jc w:val="both"/>
              <w:rPr>
                <w:rFonts w:ascii="Arial" w:hAnsi="Arial" w:cs="Arial"/>
              </w:rPr>
            </w:pPr>
            <w:r w:rsidRPr="0002256F">
              <w:rPr>
                <w:rFonts w:ascii="Arial" w:hAnsi="Arial" w:cs="Arial"/>
              </w:rPr>
              <w:t>[9]</w:t>
            </w:r>
            <w:r w:rsidRPr="0002256F">
              <w:rPr>
                <w:rFonts w:ascii="Arial" w:hAnsi="Arial" w:cs="Arial"/>
              </w:rPr>
              <w:tab/>
              <w:t>In so far as the remainder of the relief claimed is concerned, it is apparent that the relief is claimed against the defendant in his personal capacity. A reading of the particulars of claim does not support any relief against the plaintiff in his personal capacity. Any relief which may be granted will lie against corporate entities which were not cited as defendants</w:t>
            </w:r>
            <w:r>
              <w:rPr>
                <w:rFonts w:ascii="Arial" w:hAnsi="Arial" w:cs="Arial"/>
              </w:rPr>
              <w:t>.</w:t>
            </w:r>
          </w:p>
          <w:p w:rsidR="0002256F" w:rsidRPr="0002256F" w:rsidRDefault="0002256F" w:rsidP="0002256F">
            <w:pPr>
              <w:tabs>
                <w:tab w:val="left" w:pos="550"/>
              </w:tabs>
              <w:spacing w:line="360" w:lineRule="auto"/>
              <w:jc w:val="both"/>
              <w:rPr>
                <w:rFonts w:ascii="Arial" w:hAnsi="Arial" w:cs="Arial"/>
              </w:rPr>
            </w:pPr>
          </w:p>
          <w:p w:rsidR="0002256F" w:rsidRPr="0002256F" w:rsidRDefault="0002256F" w:rsidP="0002256F">
            <w:pPr>
              <w:tabs>
                <w:tab w:val="left" w:pos="550"/>
              </w:tabs>
              <w:spacing w:line="360" w:lineRule="auto"/>
              <w:jc w:val="both"/>
              <w:rPr>
                <w:rFonts w:ascii="Arial" w:hAnsi="Arial" w:cs="Arial"/>
              </w:rPr>
            </w:pPr>
            <w:r w:rsidRPr="0002256F">
              <w:rPr>
                <w:rFonts w:ascii="Arial" w:hAnsi="Arial" w:cs="Arial"/>
              </w:rPr>
              <w:t>[10]</w:t>
            </w:r>
            <w:r w:rsidRPr="0002256F">
              <w:rPr>
                <w:rFonts w:ascii="Arial" w:hAnsi="Arial" w:cs="Arial"/>
              </w:rPr>
              <w:tab/>
              <w:t>It follows that the exception must succeed.</w:t>
            </w:r>
          </w:p>
          <w:p w:rsidR="0002256F" w:rsidRPr="0002256F" w:rsidRDefault="0002256F" w:rsidP="0002256F">
            <w:pPr>
              <w:tabs>
                <w:tab w:val="left" w:pos="550"/>
              </w:tabs>
              <w:spacing w:line="360" w:lineRule="auto"/>
              <w:jc w:val="both"/>
              <w:rPr>
                <w:rFonts w:ascii="Arial" w:hAnsi="Arial" w:cs="Arial"/>
              </w:rPr>
            </w:pPr>
          </w:p>
          <w:p w:rsidR="0002256F" w:rsidRPr="0002256F" w:rsidRDefault="0002256F" w:rsidP="0002256F">
            <w:pPr>
              <w:tabs>
                <w:tab w:val="left" w:pos="550"/>
              </w:tabs>
              <w:spacing w:line="360" w:lineRule="auto"/>
              <w:jc w:val="both"/>
              <w:rPr>
                <w:rFonts w:ascii="Arial" w:hAnsi="Arial" w:cs="Arial"/>
              </w:rPr>
            </w:pPr>
            <w:r w:rsidRPr="0002256F">
              <w:rPr>
                <w:rFonts w:ascii="Arial" w:hAnsi="Arial" w:cs="Arial"/>
              </w:rPr>
              <w:t>[11]</w:t>
            </w:r>
            <w:r w:rsidRPr="0002256F">
              <w:rPr>
                <w:rFonts w:ascii="Arial" w:hAnsi="Arial" w:cs="Arial"/>
              </w:rPr>
              <w:tab/>
              <w:t>As far as the second plaintiff is concerned, I see no reason why I should depart from the provision of the Rules of the High Court capping the costs at N$20 000. The defendant submits that by upholding the exception, a major part of the case will be disposed of. That may be so, and I express no firm view on that. That by itself does not warrant a departure from the Rules</w:t>
            </w:r>
            <w:r>
              <w:rPr>
                <w:rFonts w:ascii="Arial" w:hAnsi="Arial" w:cs="Arial"/>
              </w:rPr>
              <w:t>.</w:t>
            </w:r>
          </w:p>
          <w:p w:rsidR="00711F52" w:rsidRPr="00E74FC1" w:rsidRDefault="00711F52" w:rsidP="00E74FC1">
            <w:pPr>
              <w:spacing w:line="360" w:lineRule="auto"/>
              <w:jc w:val="both"/>
              <w:rPr>
                <w:rFonts w:ascii="Arial" w:hAnsi="Arial" w:cs="Arial"/>
              </w:rPr>
            </w:pPr>
          </w:p>
        </w:tc>
      </w:tr>
      <w:tr w:rsidR="00BE5489" w:rsidRPr="006E49A3" w:rsidTr="00C04EBD">
        <w:tc>
          <w:tcPr>
            <w:tcW w:w="4770" w:type="dxa"/>
          </w:tcPr>
          <w:p w:rsidR="00BE5489" w:rsidRPr="006E49A3" w:rsidRDefault="00EB27A0" w:rsidP="00E74FC1">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E74FC1">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74FC1">
            <w:pPr>
              <w:spacing w:line="360" w:lineRule="auto"/>
              <w:jc w:val="both"/>
              <w:rPr>
                <w:rFonts w:ascii="Arial" w:hAnsi="Arial" w:cs="Arial"/>
              </w:rPr>
            </w:pPr>
          </w:p>
          <w:p w:rsidR="006D2D84" w:rsidRPr="006E49A3" w:rsidRDefault="006D2D84" w:rsidP="00E74FC1">
            <w:pPr>
              <w:spacing w:line="360" w:lineRule="auto"/>
              <w:jc w:val="both"/>
              <w:rPr>
                <w:rFonts w:ascii="Arial" w:hAnsi="Arial" w:cs="Arial"/>
              </w:rPr>
            </w:pPr>
          </w:p>
          <w:p w:rsidR="009F6C8B" w:rsidRPr="006E49A3" w:rsidRDefault="009F6C8B" w:rsidP="00E74FC1">
            <w:pPr>
              <w:spacing w:line="360" w:lineRule="auto"/>
              <w:jc w:val="both"/>
              <w:rPr>
                <w:rFonts w:ascii="Arial" w:hAnsi="Arial" w:cs="Arial"/>
              </w:rPr>
            </w:pPr>
          </w:p>
        </w:tc>
        <w:tc>
          <w:tcPr>
            <w:tcW w:w="4950" w:type="dxa"/>
            <w:gridSpan w:val="2"/>
          </w:tcPr>
          <w:p w:rsidR="00BE5489" w:rsidRPr="006E49A3" w:rsidRDefault="0060394A" w:rsidP="00E74FC1">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E74FC1">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02256F" w:rsidP="00E74FC1">
            <w:pPr>
              <w:spacing w:line="360" w:lineRule="auto"/>
              <w:jc w:val="center"/>
              <w:rPr>
                <w:rFonts w:ascii="Arial" w:hAnsi="Arial" w:cs="Arial"/>
                <w:b/>
              </w:rPr>
            </w:pPr>
            <w:r>
              <w:rPr>
                <w:rFonts w:ascii="Arial" w:hAnsi="Arial" w:cs="Arial"/>
                <w:b/>
              </w:rPr>
              <w:t>First Plaintiff</w:t>
            </w:r>
          </w:p>
        </w:tc>
        <w:tc>
          <w:tcPr>
            <w:tcW w:w="4950" w:type="dxa"/>
            <w:gridSpan w:val="2"/>
          </w:tcPr>
          <w:p w:rsidR="00FD38C2" w:rsidRPr="006E49A3" w:rsidRDefault="0002256F" w:rsidP="00E74FC1">
            <w:pPr>
              <w:spacing w:line="360" w:lineRule="auto"/>
              <w:jc w:val="center"/>
              <w:rPr>
                <w:rFonts w:ascii="Arial" w:hAnsi="Arial" w:cs="Arial"/>
                <w:b/>
              </w:rPr>
            </w:pPr>
            <w:r>
              <w:rPr>
                <w:rFonts w:ascii="Arial" w:hAnsi="Arial" w:cs="Arial"/>
                <w:b/>
              </w:rPr>
              <w:t>Second Plaintiff</w:t>
            </w:r>
          </w:p>
        </w:tc>
      </w:tr>
      <w:tr w:rsidR="00A23F8A" w:rsidRPr="006E49A3" w:rsidTr="00FD38C2">
        <w:tc>
          <w:tcPr>
            <w:tcW w:w="4770" w:type="dxa"/>
          </w:tcPr>
          <w:p w:rsidR="008E6759" w:rsidRPr="0002256F" w:rsidRDefault="0002256F" w:rsidP="00E74FC1">
            <w:pPr>
              <w:spacing w:line="360" w:lineRule="auto"/>
              <w:jc w:val="center"/>
              <w:rPr>
                <w:rFonts w:ascii="Arial" w:hAnsi="Arial" w:cs="Arial"/>
              </w:rPr>
            </w:pPr>
            <w:r>
              <w:rPr>
                <w:rFonts w:ascii="Arial" w:hAnsi="Arial" w:cs="Arial"/>
              </w:rPr>
              <w:t>Z Grobler</w:t>
            </w:r>
          </w:p>
          <w:p w:rsidR="008E6759" w:rsidRPr="005448A9" w:rsidRDefault="009E31F0" w:rsidP="00E74FC1">
            <w:pPr>
              <w:spacing w:line="360" w:lineRule="auto"/>
              <w:jc w:val="center"/>
              <w:rPr>
                <w:rFonts w:ascii="Arial" w:hAnsi="Arial" w:cs="Arial"/>
              </w:rPr>
            </w:pPr>
            <w:r w:rsidRPr="005448A9">
              <w:rPr>
                <w:rFonts w:ascii="Arial" w:hAnsi="Arial" w:cs="Arial"/>
              </w:rPr>
              <w:t>of</w:t>
            </w:r>
          </w:p>
          <w:p w:rsidR="009F24FA" w:rsidRPr="0002256F" w:rsidRDefault="0002256F" w:rsidP="00E74FC1">
            <w:pPr>
              <w:spacing w:line="360" w:lineRule="auto"/>
              <w:jc w:val="center"/>
              <w:rPr>
                <w:rFonts w:ascii="Arial" w:hAnsi="Arial" w:cs="Arial"/>
              </w:rPr>
            </w:pPr>
            <w:r>
              <w:rPr>
                <w:rFonts w:ascii="Arial" w:hAnsi="Arial" w:cs="Arial"/>
              </w:rPr>
              <w:t>Grobler &amp; Co.</w:t>
            </w:r>
            <w:r w:rsidR="008E6759" w:rsidRPr="0002256F">
              <w:rPr>
                <w:rFonts w:ascii="Arial" w:hAnsi="Arial" w:cs="Arial"/>
              </w:rPr>
              <w:t>, Windhoek</w:t>
            </w:r>
          </w:p>
          <w:p w:rsidR="008E6759" w:rsidRPr="0002256F" w:rsidRDefault="008E6759" w:rsidP="00E74FC1">
            <w:pPr>
              <w:spacing w:line="360" w:lineRule="auto"/>
              <w:jc w:val="center"/>
              <w:rPr>
                <w:rFonts w:ascii="Arial" w:hAnsi="Arial" w:cs="Arial"/>
              </w:rPr>
            </w:pPr>
          </w:p>
        </w:tc>
        <w:tc>
          <w:tcPr>
            <w:tcW w:w="4950" w:type="dxa"/>
            <w:gridSpan w:val="2"/>
          </w:tcPr>
          <w:p w:rsidR="008E6759" w:rsidRPr="0002256F" w:rsidRDefault="0002256F" w:rsidP="00E74FC1">
            <w:pPr>
              <w:spacing w:line="360" w:lineRule="auto"/>
              <w:jc w:val="center"/>
              <w:rPr>
                <w:rFonts w:ascii="Arial" w:hAnsi="Arial" w:cs="Arial"/>
              </w:rPr>
            </w:pPr>
            <w:r w:rsidRPr="0002256F">
              <w:rPr>
                <w:rFonts w:ascii="Arial" w:hAnsi="Arial" w:cs="Arial"/>
              </w:rPr>
              <w:t>T Louw</w:t>
            </w:r>
          </w:p>
          <w:p w:rsidR="00265783" w:rsidRPr="005448A9" w:rsidRDefault="00265783" w:rsidP="00E74FC1">
            <w:pPr>
              <w:spacing w:line="360" w:lineRule="auto"/>
              <w:jc w:val="center"/>
              <w:rPr>
                <w:rFonts w:ascii="Arial" w:hAnsi="Arial" w:cs="Arial"/>
              </w:rPr>
            </w:pPr>
            <w:r w:rsidRPr="005448A9">
              <w:rPr>
                <w:rFonts w:ascii="Arial" w:hAnsi="Arial" w:cs="Arial"/>
              </w:rPr>
              <w:t>of</w:t>
            </w:r>
          </w:p>
          <w:p w:rsidR="00265783" w:rsidRPr="0002256F" w:rsidRDefault="0002256F" w:rsidP="00E74FC1">
            <w:pPr>
              <w:spacing w:line="360" w:lineRule="auto"/>
              <w:jc w:val="center"/>
              <w:rPr>
                <w:rFonts w:ascii="Arial" w:hAnsi="Arial" w:cs="Arial"/>
              </w:rPr>
            </w:pPr>
            <w:r w:rsidRPr="0002256F">
              <w:rPr>
                <w:rFonts w:ascii="Arial" w:hAnsi="Arial" w:cs="Arial"/>
              </w:rPr>
              <w:t>Theunissen, Louw &amp; Partners</w:t>
            </w:r>
            <w:r w:rsidR="00265783" w:rsidRPr="0002256F">
              <w:rPr>
                <w:rFonts w:ascii="Arial" w:hAnsi="Arial" w:cs="Arial"/>
              </w:rPr>
              <w:t>, Windhoek</w:t>
            </w:r>
          </w:p>
          <w:p w:rsidR="006E49A3" w:rsidRPr="0002256F" w:rsidRDefault="006E49A3" w:rsidP="00E74FC1">
            <w:pPr>
              <w:spacing w:line="360" w:lineRule="auto"/>
              <w:jc w:val="center"/>
              <w:rPr>
                <w:rFonts w:ascii="Arial" w:hAnsi="Arial" w:cs="Arial"/>
              </w:rPr>
            </w:pPr>
          </w:p>
        </w:tc>
      </w:tr>
      <w:tr w:rsidR="0002256F" w:rsidRPr="006E49A3" w:rsidTr="00FD38C2">
        <w:tc>
          <w:tcPr>
            <w:tcW w:w="4770" w:type="dxa"/>
          </w:tcPr>
          <w:p w:rsidR="0002256F" w:rsidRPr="0002256F" w:rsidRDefault="0002256F" w:rsidP="00E74FC1">
            <w:pPr>
              <w:spacing w:line="360" w:lineRule="auto"/>
              <w:jc w:val="center"/>
              <w:rPr>
                <w:rFonts w:ascii="Arial" w:hAnsi="Arial" w:cs="Arial"/>
              </w:rPr>
            </w:pPr>
            <w:r>
              <w:rPr>
                <w:rFonts w:ascii="Arial" w:hAnsi="Arial" w:cs="Arial"/>
                <w:b/>
              </w:rPr>
              <w:t>Defendant</w:t>
            </w:r>
          </w:p>
        </w:tc>
        <w:tc>
          <w:tcPr>
            <w:tcW w:w="4950" w:type="dxa"/>
            <w:gridSpan w:val="2"/>
          </w:tcPr>
          <w:p w:rsidR="0002256F" w:rsidRPr="0002256F" w:rsidRDefault="0002256F" w:rsidP="00E74FC1">
            <w:pPr>
              <w:spacing w:line="360" w:lineRule="auto"/>
              <w:jc w:val="center"/>
              <w:rPr>
                <w:rFonts w:ascii="Arial" w:hAnsi="Arial" w:cs="Arial"/>
              </w:rPr>
            </w:pPr>
          </w:p>
        </w:tc>
      </w:tr>
      <w:tr w:rsidR="0002256F" w:rsidRPr="006E49A3" w:rsidTr="00FD38C2">
        <w:tc>
          <w:tcPr>
            <w:tcW w:w="4770" w:type="dxa"/>
          </w:tcPr>
          <w:p w:rsidR="0002256F" w:rsidRDefault="00921FBA" w:rsidP="00E74FC1">
            <w:pPr>
              <w:spacing w:line="360" w:lineRule="auto"/>
              <w:jc w:val="center"/>
              <w:rPr>
                <w:rFonts w:ascii="Arial" w:hAnsi="Arial" w:cs="Arial"/>
              </w:rPr>
            </w:pPr>
            <w:r>
              <w:rPr>
                <w:rFonts w:ascii="Arial" w:hAnsi="Arial" w:cs="Arial"/>
              </w:rPr>
              <w:t>S Vlieghe</w:t>
            </w:r>
          </w:p>
          <w:p w:rsidR="00921FBA" w:rsidRPr="005448A9" w:rsidRDefault="00921FBA" w:rsidP="00E74FC1">
            <w:pPr>
              <w:spacing w:line="360" w:lineRule="auto"/>
              <w:jc w:val="center"/>
              <w:rPr>
                <w:rFonts w:ascii="Arial" w:hAnsi="Arial" w:cs="Arial"/>
              </w:rPr>
            </w:pPr>
            <w:r w:rsidRPr="005448A9">
              <w:rPr>
                <w:rFonts w:ascii="Arial" w:hAnsi="Arial" w:cs="Arial"/>
              </w:rPr>
              <w:t>of</w:t>
            </w:r>
          </w:p>
          <w:p w:rsidR="00921FBA" w:rsidRPr="00921FBA" w:rsidRDefault="00921FBA" w:rsidP="00E74FC1">
            <w:pPr>
              <w:spacing w:line="360" w:lineRule="auto"/>
              <w:jc w:val="center"/>
              <w:rPr>
                <w:rFonts w:ascii="Arial" w:hAnsi="Arial" w:cs="Arial"/>
              </w:rPr>
            </w:pPr>
            <w:r w:rsidRPr="00921FBA">
              <w:rPr>
                <w:rFonts w:ascii="Arial" w:hAnsi="Arial" w:cs="Arial"/>
              </w:rPr>
              <w:t>Koep &amp; Partners</w:t>
            </w:r>
            <w:r>
              <w:rPr>
                <w:rFonts w:ascii="Arial" w:hAnsi="Arial" w:cs="Arial"/>
              </w:rPr>
              <w:t>, Windhoek</w:t>
            </w:r>
          </w:p>
          <w:p w:rsidR="00921FBA" w:rsidRPr="0002256F" w:rsidRDefault="00921FBA" w:rsidP="00E74FC1">
            <w:pPr>
              <w:spacing w:line="360" w:lineRule="auto"/>
              <w:jc w:val="center"/>
              <w:rPr>
                <w:rFonts w:ascii="Arial" w:hAnsi="Arial" w:cs="Arial"/>
              </w:rPr>
            </w:pPr>
          </w:p>
        </w:tc>
        <w:tc>
          <w:tcPr>
            <w:tcW w:w="4950" w:type="dxa"/>
            <w:gridSpan w:val="2"/>
          </w:tcPr>
          <w:p w:rsidR="0002256F" w:rsidRPr="0002256F" w:rsidRDefault="0002256F" w:rsidP="00E74FC1">
            <w:pPr>
              <w:spacing w:line="360" w:lineRule="auto"/>
              <w:jc w:val="center"/>
              <w:rPr>
                <w:rFonts w:ascii="Arial" w:hAnsi="Arial" w:cs="Arial"/>
              </w:rPr>
            </w:pPr>
          </w:p>
        </w:tc>
      </w:tr>
    </w:tbl>
    <w:p w:rsidR="009B096F" w:rsidRPr="009E31F0" w:rsidRDefault="009B096F" w:rsidP="00E74FC1">
      <w:pPr>
        <w:spacing w:after="0" w:line="360" w:lineRule="auto"/>
        <w:jc w:val="both"/>
        <w:rPr>
          <w:rFonts w:ascii="Arial" w:hAnsi="Arial" w:cs="Arial"/>
        </w:rPr>
      </w:pPr>
    </w:p>
    <w:p w:rsidR="00422CA6" w:rsidRPr="009E31F0" w:rsidRDefault="00422CA6" w:rsidP="00E74FC1">
      <w:pPr>
        <w:spacing w:after="0" w:line="360" w:lineRule="auto"/>
        <w:jc w:val="both"/>
        <w:rPr>
          <w:rFonts w:ascii="Arial" w:hAnsi="Arial" w:cs="Arial"/>
        </w:rPr>
      </w:pPr>
    </w:p>
    <w:sectPr w:rsidR="00422CA6" w:rsidRPr="009E31F0" w:rsidSect="00B9532F">
      <w:footerReference w:type="default" r:id="rId9"/>
      <w:pgSz w:w="11906" w:h="16838"/>
      <w:pgMar w:top="993"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10" w:rsidRDefault="00DE7610" w:rsidP="00A23F8A">
      <w:pPr>
        <w:spacing w:after="0" w:line="240" w:lineRule="auto"/>
      </w:pPr>
      <w:r>
        <w:separator/>
      </w:r>
    </w:p>
  </w:endnote>
  <w:endnote w:type="continuationSeparator" w:id="0">
    <w:p w:rsidR="00DE7610" w:rsidRDefault="00DE7610"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608804"/>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5448A9">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10" w:rsidRDefault="00DE7610" w:rsidP="00A23F8A">
      <w:pPr>
        <w:spacing w:after="0" w:line="240" w:lineRule="auto"/>
      </w:pPr>
      <w:r>
        <w:separator/>
      </w:r>
    </w:p>
  </w:footnote>
  <w:footnote w:type="continuationSeparator" w:id="0">
    <w:p w:rsidR="00DE7610" w:rsidRDefault="00DE7610"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7"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256F"/>
    <w:rsid w:val="00026D86"/>
    <w:rsid w:val="00062068"/>
    <w:rsid w:val="00065CE7"/>
    <w:rsid w:val="00090783"/>
    <w:rsid w:val="00092FD2"/>
    <w:rsid w:val="000C0A07"/>
    <w:rsid w:val="000C5864"/>
    <w:rsid w:val="000D5FE9"/>
    <w:rsid w:val="000E362A"/>
    <w:rsid w:val="000F1180"/>
    <w:rsid w:val="00110AD8"/>
    <w:rsid w:val="00112D50"/>
    <w:rsid w:val="00113321"/>
    <w:rsid w:val="00124EC8"/>
    <w:rsid w:val="001338C3"/>
    <w:rsid w:val="001417E6"/>
    <w:rsid w:val="001548E9"/>
    <w:rsid w:val="00165FEE"/>
    <w:rsid w:val="0017153C"/>
    <w:rsid w:val="001804AD"/>
    <w:rsid w:val="001B23D9"/>
    <w:rsid w:val="001B710C"/>
    <w:rsid w:val="001D41D2"/>
    <w:rsid w:val="001E39EE"/>
    <w:rsid w:val="001E70F9"/>
    <w:rsid w:val="001F1ECD"/>
    <w:rsid w:val="001F4A48"/>
    <w:rsid w:val="002002FA"/>
    <w:rsid w:val="00203E3D"/>
    <w:rsid w:val="002100DF"/>
    <w:rsid w:val="002207D9"/>
    <w:rsid w:val="00223D66"/>
    <w:rsid w:val="002542A3"/>
    <w:rsid w:val="00263A9B"/>
    <w:rsid w:val="00265783"/>
    <w:rsid w:val="00266B3E"/>
    <w:rsid w:val="002736CF"/>
    <w:rsid w:val="00281A10"/>
    <w:rsid w:val="00281FAB"/>
    <w:rsid w:val="002B1C34"/>
    <w:rsid w:val="002B3F1D"/>
    <w:rsid w:val="002C3150"/>
    <w:rsid w:val="002C6FA8"/>
    <w:rsid w:val="002D4C2A"/>
    <w:rsid w:val="002E3BFB"/>
    <w:rsid w:val="00300CF7"/>
    <w:rsid w:val="0030287B"/>
    <w:rsid w:val="00323762"/>
    <w:rsid w:val="00334EC0"/>
    <w:rsid w:val="003375D1"/>
    <w:rsid w:val="00342AC5"/>
    <w:rsid w:val="00347DBC"/>
    <w:rsid w:val="00351D08"/>
    <w:rsid w:val="00352DDA"/>
    <w:rsid w:val="00364D3C"/>
    <w:rsid w:val="00371CD0"/>
    <w:rsid w:val="003723C3"/>
    <w:rsid w:val="00391FCE"/>
    <w:rsid w:val="0039308E"/>
    <w:rsid w:val="00393E41"/>
    <w:rsid w:val="00396AF1"/>
    <w:rsid w:val="003A0103"/>
    <w:rsid w:val="003A7E2F"/>
    <w:rsid w:val="003B0E74"/>
    <w:rsid w:val="003C4403"/>
    <w:rsid w:val="003C4613"/>
    <w:rsid w:val="003E3D0D"/>
    <w:rsid w:val="003E50E8"/>
    <w:rsid w:val="003E5299"/>
    <w:rsid w:val="003F4C8D"/>
    <w:rsid w:val="003F52A2"/>
    <w:rsid w:val="003F63E0"/>
    <w:rsid w:val="00422CA6"/>
    <w:rsid w:val="00425554"/>
    <w:rsid w:val="004514DE"/>
    <w:rsid w:val="004546CC"/>
    <w:rsid w:val="00456199"/>
    <w:rsid w:val="00470B0C"/>
    <w:rsid w:val="004A6FCE"/>
    <w:rsid w:val="004B355E"/>
    <w:rsid w:val="004B5538"/>
    <w:rsid w:val="004B5E87"/>
    <w:rsid w:val="004C1A95"/>
    <w:rsid w:val="004E581F"/>
    <w:rsid w:val="004E7D33"/>
    <w:rsid w:val="0050338C"/>
    <w:rsid w:val="005234EE"/>
    <w:rsid w:val="005403D8"/>
    <w:rsid w:val="005448A9"/>
    <w:rsid w:val="005577B6"/>
    <w:rsid w:val="00560857"/>
    <w:rsid w:val="00562A14"/>
    <w:rsid w:val="0056512A"/>
    <w:rsid w:val="005955B1"/>
    <w:rsid w:val="005A66F8"/>
    <w:rsid w:val="005B7A31"/>
    <w:rsid w:val="005D0592"/>
    <w:rsid w:val="005D6172"/>
    <w:rsid w:val="005D7161"/>
    <w:rsid w:val="005E5A8F"/>
    <w:rsid w:val="0060394A"/>
    <w:rsid w:val="006039AA"/>
    <w:rsid w:val="00621EE8"/>
    <w:rsid w:val="0062225A"/>
    <w:rsid w:val="00627C26"/>
    <w:rsid w:val="006475B1"/>
    <w:rsid w:val="00647A7B"/>
    <w:rsid w:val="00652595"/>
    <w:rsid w:val="00666306"/>
    <w:rsid w:val="006809D8"/>
    <w:rsid w:val="00686B3F"/>
    <w:rsid w:val="006A08E3"/>
    <w:rsid w:val="006B1F56"/>
    <w:rsid w:val="006C2872"/>
    <w:rsid w:val="006D1141"/>
    <w:rsid w:val="006D22F9"/>
    <w:rsid w:val="006D2D84"/>
    <w:rsid w:val="006E2964"/>
    <w:rsid w:val="006E49A3"/>
    <w:rsid w:val="006F4A66"/>
    <w:rsid w:val="00711F52"/>
    <w:rsid w:val="00715AD2"/>
    <w:rsid w:val="00723F03"/>
    <w:rsid w:val="0072640A"/>
    <w:rsid w:val="0073012B"/>
    <w:rsid w:val="007329D4"/>
    <w:rsid w:val="007447AE"/>
    <w:rsid w:val="00747B22"/>
    <w:rsid w:val="00764071"/>
    <w:rsid w:val="00767C1C"/>
    <w:rsid w:val="0078341F"/>
    <w:rsid w:val="0079456D"/>
    <w:rsid w:val="00797188"/>
    <w:rsid w:val="00797247"/>
    <w:rsid w:val="007A64D4"/>
    <w:rsid w:val="007C6B41"/>
    <w:rsid w:val="00805BCE"/>
    <w:rsid w:val="00806B14"/>
    <w:rsid w:val="00812E09"/>
    <w:rsid w:val="0081352A"/>
    <w:rsid w:val="00823237"/>
    <w:rsid w:val="00825474"/>
    <w:rsid w:val="00837272"/>
    <w:rsid w:val="00851B88"/>
    <w:rsid w:val="00864008"/>
    <w:rsid w:val="00864FC2"/>
    <w:rsid w:val="00867BDF"/>
    <w:rsid w:val="00890143"/>
    <w:rsid w:val="008930A5"/>
    <w:rsid w:val="008A14A9"/>
    <w:rsid w:val="008B1C23"/>
    <w:rsid w:val="008C0AC7"/>
    <w:rsid w:val="008D2B93"/>
    <w:rsid w:val="008D5B8D"/>
    <w:rsid w:val="008D65E9"/>
    <w:rsid w:val="008D79D4"/>
    <w:rsid w:val="008E6759"/>
    <w:rsid w:val="00902CE8"/>
    <w:rsid w:val="00905A48"/>
    <w:rsid w:val="00912D4E"/>
    <w:rsid w:val="00913A1D"/>
    <w:rsid w:val="00915248"/>
    <w:rsid w:val="00921FBA"/>
    <w:rsid w:val="009228FD"/>
    <w:rsid w:val="00945A2F"/>
    <w:rsid w:val="00947BEE"/>
    <w:rsid w:val="00952193"/>
    <w:rsid w:val="00954EC3"/>
    <w:rsid w:val="009633A4"/>
    <w:rsid w:val="00970DAC"/>
    <w:rsid w:val="0098277A"/>
    <w:rsid w:val="00990B82"/>
    <w:rsid w:val="00992A7D"/>
    <w:rsid w:val="00997334"/>
    <w:rsid w:val="009A5F60"/>
    <w:rsid w:val="009B096F"/>
    <w:rsid w:val="009C36A5"/>
    <w:rsid w:val="009C7093"/>
    <w:rsid w:val="009E31F0"/>
    <w:rsid w:val="009F24FA"/>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3745"/>
    <w:rsid w:val="00AB5193"/>
    <w:rsid w:val="00AC4198"/>
    <w:rsid w:val="00AD0FCD"/>
    <w:rsid w:val="00AD1833"/>
    <w:rsid w:val="00B07B4B"/>
    <w:rsid w:val="00B160EB"/>
    <w:rsid w:val="00B1649C"/>
    <w:rsid w:val="00B30012"/>
    <w:rsid w:val="00B337FC"/>
    <w:rsid w:val="00B40BBE"/>
    <w:rsid w:val="00B4625E"/>
    <w:rsid w:val="00B53D6D"/>
    <w:rsid w:val="00B66325"/>
    <w:rsid w:val="00B76671"/>
    <w:rsid w:val="00B8518D"/>
    <w:rsid w:val="00B9532F"/>
    <w:rsid w:val="00BA213D"/>
    <w:rsid w:val="00BA3715"/>
    <w:rsid w:val="00BA48EA"/>
    <w:rsid w:val="00BB1E6E"/>
    <w:rsid w:val="00BB388A"/>
    <w:rsid w:val="00BC4D4A"/>
    <w:rsid w:val="00BE5489"/>
    <w:rsid w:val="00BE7DE8"/>
    <w:rsid w:val="00BF539E"/>
    <w:rsid w:val="00BF6DAE"/>
    <w:rsid w:val="00C01AC1"/>
    <w:rsid w:val="00C04EBD"/>
    <w:rsid w:val="00C06B39"/>
    <w:rsid w:val="00C10C58"/>
    <w:rsid w:val="00C119BC"/>
    <w:rsid w:val="00C249D9"/>
    <w:rsid w:val="00C32DBD"/>
    <w:rsid w:val="00C332BE"/>
    <w:rsid w:val="00C356C5"/>
    <w:rsid w:val="00C50A1F"/>
    <w:rsid w:val="00C73154"/>
    <w:rsid w:val="00C879A7"/>
    <w:rsid w:val="00CA2B73"/>
    <w:rsid w:val="00CA4320"/>
    <w:rsid w:val="00CB39F0"/>
    <w:rsid w:val="00CB4CA9"/>
    <w:rsid w:val="00CC191C"/>
    <w:rsid w:val="00CC4D82"/>
    <w:rsid w:val="00CC4E7A"/>
    <w:rsid w:val="00CC5024"/>
    <w:rsid w:val="00CF3D16"/>
    <w:rsid w:val="00CF6287"/>
    <w:rsid w:val="00D0287E"/>
    <w:rsid w:val="00D10858"/>
    <w:rsid w:val="00D153C7"/>
    <w:rsid w:val="00D22ACF"/>
    <w:rsid w:val="00D40029"/>
    <w:rsid w:val="00D51DA9"/>
    <w:rsid w:val="00D64023"/>
    <w:rsid w:val="00D73FFF"/>
    <w:rsid w:val="00D862BF"/>
    <w:rsid w:val="00DC32B4"/>
    <w:rsid w:val="00DC392E"/>
    <w:rsid w:val="00DD056E"/>
    <w:rsid w:val="00DD1F31"/>
    <w:rsid w:val="00DE5291"/>
    <w:rsid w:val="00DE7610"/>
    <w:rsid w:val="00E1002B"/>
    <w:rsid w:val="00E256F6"/>
    <w:rsid w:val="00E3339B"/>
    <w:rsid w:val="00E41527"/>
    <w:rsid w:val="00E41C88"/>
    <w:rsid w:val="00E44BBF"/>
    <w:rsid w:val="00E619CB"/>
    <w:rsid w:val="00E74FC1"/>
    <w:rsid w:val="00E765F9"/>
    <w:rsid w:val="00EA06CF"/>
    <w:rsid w:val="00EB27A0"/>
    <w:rsid w:val="00EE19B5"/>
    <w:rsid w:val="00F062D7"/>
    <w:rsid w:val="00F11950"/>
    <w:rsid w:val="00F16C57"/>
    <w:rsid w:val="00F24301"/>
    <w:rsid w:val="00F3787E"/>
    <w:rsid w:val="00F53DDE"/>
    <w:rsid w:val="00F571A4"/>
    <w:rsid w:val="00F66EB8"/>
    <w:rsid w:val="00F71EB9"/>
    <w:rsid w:val="00F72F82"/>
    <w:rsid w:val="00FB2069"/>
    <w:rsid w:val="00FD3814"/>
    <w:rsid w:val="00FD38C2"/>
    <w:rsid w:val="00FF2E3F"/>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link w:val="ListParagraphChar"/>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 w:type="character" w:customStyle="1" w:styleId="ListParagraphChar">
    <w:name w:val="List Paragraph Char"/>
    <w:basedOn w:val="DefaultParagraphFont"/>
    <w:link w:val="ListParagraph"/>
    <w:uiPriority w:val="34"/>
    <w:rsid w:val="00E7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2020-10-22T18:30:00+00:00</Judgment_x0020_Date>
    <Year xmlns="c1afb1bd-f2fb-40fd-9abb-aea55b4d7662">2020</Year>
  </documentManagement>
</p:properties>
</file>

<file path=customXml/itemProps1.xml><?xml version="1.0" encoding="utf-8"?>
<ds:datastoreItem xmlns:ds="http://schemas.openxmlformats.org/officeDocument/2006/customXml" ds:itemID="{62116831-0E7C-4CE4-A8C5-B91A71A7F27A}"/>
</file>

<file path=customXml/itemProps2.xml><?xml version="1.0" encoding="utf-8"?>
<ds:datastoreItem xmlns:ds="http://schemas.openxmlformats.org/officeDocument/2006/customXml" ds:itemID="{00FF7659-0A09-46F4-A7A1-56C274AB1E6F}"/>
</file>

<file path=customXml/itemProps3.xml><?xml version="1.0" encoding="utf-8"?>
<ds:datastoreItem xmlns:ds="http://schemas.openxmlformats.org/officeDocument/2006/customXml" ds:itemID="{5595B94D-9E52-47D8-91AB-8BA3B251556D}"/>
</file>

<file path=customXml/itemProps4.xml><?xml version="1.0" encoding="utf-8"?>
<ds:datastoreItem xmlns:ds="http://schemas.openxmlformats.org/officeDocument/2006/customXml" ds:itemID="{49D6FC49-E1CE-4B11-B177-0FB8CC1A99A5}"/>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Vermeulen v Vermeulen (HC-MD-CIV-ACT-CON-2018-03974) [2020] NAHCMD 485 (23 October 2020)</dc:title>
  <dc:subject/>
  <dc:creator>E. Kharases</dc:creator>
  <cp:keywords/>
  <dc:description/>
  <cp:lastModifiedBy>Administrator</cp:lastModifiedBy>
  <cp:revision>2</cp:revision>
  <cp:lastPrinted>2019-12-03T06:07:00Z</cp:lastPrinted>
  <dcterms:created xsi:type="dcterms:W3CDTF">2020-11-04T12:54:00Z</dcterms:created>
  <dcterms:modified xsi:type="dcterms:W3CDTF">2020-11-04T12:54:00Z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