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BA" w:rsidRPr="00E31D89" w:rsidRDefault="00AE5ABA" w:rsidP="00AE5ABA">
      <w:pPr>
        <w:spacing w:after="0" w:line="360" w:lineRule="auto"/>
        <w:jc w:val="center"/>
        <w:rPr>
          <w:rFonts w:ascii="Arial" w:eastAsia="Times New Roman" w:hAnsi="Arial" w:cs="Arial"/>
          <w:b/>
          <w:sz w:val="24"/>
          <w:szCs w:val="24"/>
        </w:rPr>
      </w:pPr>
      <w:r w:rsidRPr="00E31D89">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6EC6D2BE" wp14:editId="5C8FAAA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A131F" w:rsidRPr="000A0FD8" w:rsidRDefault="001A131F" w:rsidP="00AE5ABA">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D2B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A131F" w:rsidRPr="000A0FD8" w:rsidRDefault="001A131F" w:rsidP="00AE5ABA">
                      <w:pPr>
                        <w:jc w:val="right"/>
                        <w:rPr>
                          <w:rFonts w:ascii="Arial" w:hAnsi="Arial" w:cs="Arial"/>
                          <w:b/>
                        </w:rPr>
                      </w:pPr>
                    </w:p>
                  </w:txbxContent>
                </v:textbox>
                <w10:wrap anchorx="margin"/>
              </v:shape>
            </w:pict>
          </mc:Fallback>
        </mc:AlternateContent>
      </w:r>
      <w:r w:rsidRPr="00E31D89">
        <w:rPr>
          <w:rFonts w:ascii="Arial" w:eastAsia="Times New Roman" w:hAnsi="Arial" w:cs="Arial"/>
          <w:b/>
          <w:sz w:val="24"/>
          <w:szCs w:val="24"/>
        </w:rPr>
        <w:t>REPUBLIC OF NAMIBIA</w:t>
      </w:r>
    </w:p>
    <w:p w:rsidR="00AE5ABA" w:rsidRPr="00E31D89" w:rsidRDefault="00AE5ABA" w:rsidP="00AE5ABA">
      <w:pPr>
        <w:spacing w:after="0" w:line="360" w:lineRule="auto"/>
        <w:rPr>
          <w:rFonts w:ascii="Arial" w:eastAsia="Times New Roman" w:hAnsi="Arial" w:cs="Arial"/>
          <w:b/>
          <w:sz w:val="24"/>
          <w:szCs w:val="24"/>
        </w:rPr>
      </w:pPr>
      <w:r w:rsidRPr="00E31D89">
        <w:rPr>
          <w:rFonts w:ascii="Arial" w:eastAsia="Times New Roman" w:hAnsi="Arial" w:cs="Arial"/>
          <w:noProof/>
          <w:sz w:val="24"/>
          <w:szCs w:val="24"/>
          <w:lang w:val="en-US"/>
        </w:rPr>
        <w:drawing>
          <wp:anchor distT="0" distB="0" distL="114300" distR="114300" simplePos="0" relativeHeight="251660288" behindDoc="0" locked="0" layoutInCell="1" allowOverlap="1" wp14:anchorId="0E92843D" wp14:editId="25E7DB26">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jc w:val="center"/>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r w:rsidRPr="00E31D89">
        <w:rPr>
          <w:rFonts w:ascii="Arial" w:eastAsia="Times New Roman" w:hAnsi="Arial" w:cs="Arial"/>
          <w:b/>
          <w:sz w:val="24"/>
          <w:szCs w:val="24"/>
        </w:rPr>
        <w:t xml:space="preserve">                   IN THE HIGH COURT OF NAMIBIA, MAIN DIVISION, WINDHOEK</w:t>
      </w: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jc w:val="center"/>
        <w:rPr>
          <w:rFonts w:ascii="Arial" w:eastAsia="Times New Roman" w:hAnsi="Arial" w:cs="Arial"/>
          <w:b/>
          <w:sz w:val="24"/>
          <w:szCs w:val="24"/>
        </w:rPr>
      </w:pPr>
      <w:r w:rsidRPr="00E31D89">
        <w:rPr>
          <w:rFonts w:ascii="Arial" w:eastAsia="Times New Roman" w:hAnsi="Arial" w:cs="Arial"/>
          <w:b/>
          <w:sz w:val="24"/>
          <w:szCs w:val="24"/>
        </w:rPr>
        <w:t>JUDGMENT</w:t>
      </w:r>
    </w:p>
    <w:p w:rsidR="00950676" w:rsidRPr="00E31D89"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E31D89" w:rsidTr="001A131F">
        <w:trPr>
          <w:trHeight w:val="744"/>
        </w:trPr>
        <w:tc>
          <w:tcPr>
            <w:tcW w:w="5397" w:type="dxa"/>
            <w:gridSpan w:val="2"/>
            <w:vMerge w:val="restart"/>
          </w:tcPr>
          <w:p w:rsidR="00950676" w:rsidRPr="00E31D89" w:rsidRDefault="00950676" w:rsidP="001A131F">
            <w:pPr>
              <w:spacing w:line="360" w:lineRule="auto"/>
              <w:jc w:val="both"/>
              <w:rPr>
                <w:rFonts w:ascii="Arial Narrow" w:hAnsi="Arial Narrow" w:cs="Arial"/>
                <w:sz w:val="24"/>
                <w:szCs w:val="24"/>
              </w:rPr>
            </w:pPr>
            <w:r w:rsidRPr="00E31D89">
              <w:rPr>
                <w:rFonts w:ascii="Arial Narrow" w:hAnsi="Arial Narrow" w:cs="Arial"/>
                <w:b/>
                <w:sz w:val="24"/>
                <w:szCs w:val="24"/>
              </w:rPr>
              <w:t>Case Title:</w:t>
            </w:r>
          </w:p>
          <w:p w:rsidR="00996127"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 xml:space="preserve">CHARLES NAMISEB </w:t>
            </w:r>
            <w:r w:rsidR="00165A4E">
              <w:rPr>
                <w:rFonts w:ascii="Arial Narrow" w:eastAsia="Times New Roman" w:hAnsi="Arial Narrow" w:cs="Arial"/>
                <w:sz w:val="24"/>
                <w:szCs w:val="24"/>
              </w:rPr>
              <w:t xml:space="preserve">                                     </w:t>
            </w:r>
            <w:r w:rsidRPr="00E31D89">
              <w:rPr>
                <w:rFonts w:ascii="Arial Narrow" w:eastAsia="Times New Roman" w:hAnsi="Arial Narrow" w:cs="Arial"/>
                <w:sz w:val="24"/>
                <w:szCs w:val="24"/>
              </w:rPr>
              <w:t>PLAINTIFF</w:t>
            </w:r>
          </w:p>
          <w:p w:rsidR="00996127"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and</w:t>
            </w:r>
          </w:p>
          <w:p w:rsidR="00996127"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MINISTER OF SAFETY AND SECURITY 1</w:t>
            </w:r>
            <w:r w:rsidRPr="00E31D89">
              <w:rPr>
                <w:rFonts w:ascii="Arial Narrow" w:eastAsia="Times New Roman" w:hAnsi="Arial Narrow" w:cs="Arial"/>
                <w:sz w:val="24"/>
                <w:szCs w:val="24"/>
                <w:vertAlign w:val="superscript"/>
              </w:rPr>
              <w:t>st</w:t>
            </w:r>
            <w:r w:rsidRPr="00E31D89">
              <w:rPr>
                <w:rFonts w:ascii="Arial Narrow" w:eastAsia="Times New Roman" w:hAnsi="Arial Narrow" w:cs="Arial"/>
                <w:sz w:val="24"/>
                <w:szCs w:val="24"/>
              </w:rPr>
              <w:t xml:space="preserve"> DEFENDANT</w:t>
            </w:r>
          </w:p>
          <w:p w:rsidR="00996127"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INSPECTOR- GENERAL OF THE NAMIBIAN POLICE FORCE</w:t>
            </w:r>
            <w:r w:rsidR="00165A4E">
              <w:rPr>
                <w:rFonts w:ascii="Arial Narrow" w:eastAsia="Times New Roman" w:hAnsi="Arial Narrow" w:cs="Arial"/>
                <w:sz w:val="24"/>
                <w:szCs w:val="24"/>
              </w:rPr>
              <w:t xml:space="preserve">                                                     </w:t>
            </w:r>
            <w:r w:rsidRPr="00E31D89">
              <w:rPr>
                <w:rFonts w:ascii="Arial Narrow" w:eastAsia="Times New Roman" w:hAnsi="Arial Narrow" w:cs="Arial"/>
                <w:sz w:val="24"/>
                <w:szCs w:val="24"/>
              </w:rPr>
              <w:t xml:space="preserve"> 2</w:t>
            </w:r>
            <w:r w:rsidRPr="00E31D89">
              <w:rPr>
                <w:rFonts w:ascii="Arial Narrow" w:eastAsia="Times New Roman" w:hAnsi="Arial Narrow" w:cs="Arial"/>
                <w:sz w:val="24"/>
                <w:szCs w:val="24"/>
                <w:vertAlign w:val="superscript"/>
              </w:rPr>
              <w:t>nd</w:t>
            </w:r>
            <w:r w:rsidRPr="00E31D89">
              <w:rPr>
                <w:rFonts w:ascii="Arial Narrow" w:eastAsia="Times New Roman" w:hAnsi="Arial Narrow" w:cs="Arial"/>
                <w:sz w:val="24"/>
                <w:szCs w:val="24"/>
              </w:rPr>
              <w:t xml:space="preserve"> DEFENDANT</w:t>
            </w:r>
          </w:p>
          <w:p w:rsidR="00996127"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 xml:space="preserve">THE (RETIRED) REGIONAL COMMANDER OF KHOMAS REGION, NAMIBIAN POLICE FORCE </w:t>
            </w:r>
            <w:r w:rsidR="00165A4E">
              <w:rPr>
                <w:rFonts w:ascii="Arial Narrow" w:eastAsia="Times New Roman" w:hAnsi="Arial Narrow" w:cs="Arial"/>
                <w:sz w:val="24"/>
                <w:szCs w:val="24"/>
              </w:rPr>
              <w:t xml:space="preserve">     </w:t>
            </w:r>
            <w:r w:rsidRPr="00E31D89">
              <w:rPr>
                <w:rFonts w:ascii="Arial Narrow" w:eastAsia="Times New Roman" w:hAnsi="Arial Narrow" w:cs="Arial"/>
                <w:sz w:val="24"/>
                <w:szCs w:val="24"/>
              </w:rPr>
              <w:t>3</w:t>
            </w:r>
            <w:r w:rsidRPr="00E31D89">
              <w:rPr>
                <w:rFonts w:ascii="Arial Narrow" w:eastAsia="Times New Roman" w:hAnsi="Arial Narrow" w:cs="Arial"/>
                <w:sz w:val="24"/>
                <w:szCs w:val="24"/>
                <w:vertAlign w:val="superscript"/>
              </w:rPr>
              <w:t>rd</w:t>
            </w:r>
            <w:r w:rsidRPr="00E31D89">
              <w:rPr>
                <w:rFonts w:ascii="Arial Narrow" w:eastAsia="Times New Roman" w:hAnsi="Arial Narrow" w:cs="Arial"/>
                <w:sz w:val="24"/>
                <w:szCs w:val="24"/>
              </w:rPr>
              <w:t xml:space="preserve"> DEFENDANT</w:t>
            </w:r>
          </w:p>
          <w:p w:rsidR="00996127"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 xml:space="preserve">THE THEN STATION COMMANDER OF WINDHOEK POLICE STATION, KHOMAS REGION, NAMIBIAN POLICE FORCE </w:t>
            </w:r>
            <w:r w:rsidR="00165A4E">
              <w:rPr>
                <w:rFonts w:ascii="Arial Narrow" w:eastAsia="Times New Roman" w:hAnsi="Arial Narrow" w:cs="Arial"/>
                <w:sz w:val="24"/>
                <w:szCs w:val="24"/>
              </w:rPr>
              <w:t xml:space="preserve">                                       </w:t>
            </w:r>
            <w:r w:rsidRPr="00E31D89">
              <w:rPr>
                <w:rFonts w:ascii="Arial Narrow" w:eastAsia="Times New Roman" w:hAnsi="Arial Narrow" w:cs="Arial"/>
                <w:sz w:val="24"/>
                <w:szCs w:val="24"/>
              </w:rPr>
              <w:t>4</w:t>
            </w:r>
            <w:r w:rsidRPr="00E31D89">
              <w:rPr>
                <w:rFonts w:ascii="Arial Narrow" w:eastAsia="Times New Roman" w:hAnsi="Arial Narrow" w:cs="Arial"/>
                <w:sz w:val="24"/>
                <w:szCs w:val="24"/>
                <w:vertAlign w:val="superscript"/>
              </w:rPr>
              <w:t>th</w:t>
            </w:r>
            <w:r w:rsidRPr="00E31D89">
              <w:rPr>
                <w:rFonts w:ascii="Arial Narrow" w:eastAsia="Times New Roman" w:hAnsi="Arial Narrow" w:cs="Arial"/>
                <w:sz w:val="24"/>
                <w:szCs w:val="24"/>
              </w:rPr>
              <w:t xml:space="preserve"> DEFENDANT</w:t>
            </w:r>
          </w:p>
          <w:p w:rsidR="00996127"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THE THEN REGIONAL CRIME INVESTIGATIONS COORDINATOR, NAMIBIAN POLICE FORCE, KHOMAS REGION, WINDHOEK</w:t>
            </w:r>
            <w:r w:rsidR="00165A4E">
              <w:rPr>
                <w:rFonts w:ascii="Arial Narrow" w:eastAsia="Times New Roman" w:hAnsi="Arial Narrow" w:cs="Arial"/>
                <w:sz w:val="24"/>
                <w:szCs w:val="24"/>
              </w:rPr>
              <w:t xml:space="preserve">                              </w:t>
            </w:r>
            <w:r w:rsidRPr="00E31D89">
              <w:rPr>
                <w:rFonts w:ascii="Arial Narrow" w:eastAsia="Times New Roman" w:hAnsi="Arial Narrow" w:cs="Arial"/>
                <w:sz w:val="24"/>
                <w:szCs w:val="24"/>
              </w:rPr>
              <w:t xml:space="preserve"> 5</w:t>
            </w:r>
            <w:r w:rsidRPr="00E31D89">
              <w:rPr>
                <w:rFonts w:ascii="Arial Narrow" w:eastAsia="Times New Roman" w:hAnsi="Arial Narrow" w:cs="Arial"/>
                <w:sz w:val="24"/>
                <w:szCs w:val="24"/>
                <w:vertAlign w:val="superscript"/>
              </w:rPr>
              <w:t>th</w:t>
            </w:r>
            <w:r w:rsidRPr="00E31D89">
              <w:rPr>
                <w:rFonts w:ascii="Arial Narrow" w:eastAsia="Times New Roman" w:hAnsi="Arial Narrow" w:cs="Arial"/>
                <w:sz w:val="24"/>
                <w:szCs w:val="24"/>
              </w:rPr>
              <w:t xml:space="preserve"> DEFENDANT</w:t>
            </w:r>
          </w:p>
          <w:p w:rsidR="00165A4E"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 xml:space="preserve">THE THEN UNIT COMMANDER OF CRIMINAL INVESTIGATION UNIT/DIRECTORATE, KHOMAS REGION, WINDHOEK, NAMIBIAN POLICE FORCE </w:t>
            </w:r>
          </w:p>
          <w:p w:rsidR="00996127" w:rsidRPr="00E31D89" w:rsidRDefault="00165A4E" w:rsidP="00996127">
            <w:pPr>
              <w:tabs>
                <w:tab w:val="left" w:pos="6750"/>
              </w:tabs>
              <w:spacing w:line="36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                                                                   </w:t>
            </w:r>
            <w:r w:rsidR="00996127" w:rsidRPr="00E31D89">
              <w:rPr>
                <w:rFonts w:ascii="Arial Narrow" w:eastAsia="Times New Roman" w:hAnsi="Arial Narrow" w:cs="Arial"/>
                <w:sz w:val="24"/>
                <w:szCs w:val="24"/>
              </w:rPr>
              <w:t>6</w:t>
            </w:r>
            <w:r w:rsidR="00996127" w:rsidRPr="00E31D89">
              <w:rPr>
                <w:rFonts w:ascii="Arial Narrow" w:eastAsia="Times New Roman" w:hAnsi="Arial Narrow" w:cs="Arial"/>
                <w:sz w:val="24"/>
                <w:szCs w:val="24"/>
                <w:vertAlign w:val="superscript"/>
              </w:rPr>
              <w:t>th</w:t>
            </w:r>
            <w:r w:rsidR="00996127" w:rsidRPr="00E31D89">
              <w:rPr>
                <w:rFonts w:ascii="Arial Narrow" w:eastAsia="Times New Roman" w:hAnsi="Arial Narrow" w:cs="Arial"/>
                <w:sz w:val="24"/>
                <w:szCs w:val="24"/>
              </w:rPr>
              <w:t xml:space="preserve"> DEFENDANT</w:t>
            </w:r>
          </w:p>
          <w:p w:rsidR="00996127"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 xml:space="preserve">THE THEN UNIT COMMANDER OF SERIOUS CRIME UNIT/DIRECTORATE, NAMIBIAN POLICE FORCE, </w:t>
            </w:r>
            <w:r w:rsidRPr="00E31D89">
              <w:rPr>
                <w:rFonts w:ascii="Arial Narrow" w:eastAsia="Times New Roman" w:hAnsi="Arial Narrow" w:cs="Arial"/>
                <w:sz w:val="24"/>
                <w:szCs w:val="24"/>
              </w:rPr>
              <w:lastRenderedPageBreak/>
              <w:t xml:space="preserve">KHOMAS REGION, WINDHOEK </w:t>
            </w:r>
            <w:r w:rsidR="00165A4E">
              <w:rPr>
                <w:rFonts w:ascii="Arial Narrow" w:eastAsia="Times New Roman" w:hAnsi="Arial Narrow" w:cs="Arial"/>
                <w:sz w:val="24"/>
                <w:szCs w:val="24"/>
              </w:rPr>
              <w:t xml:space="preserve">              </w:t>
            </w:r>
            <w:r w:rsidRPr="00E31D89">
              <w:rPr>
                <w:rFonts w:ascii="Arial Narrow" w:eastAsia="Times New Roman" w:hAnsi="Arial Narrow" w:cs="Arial"/>
                <w:sz w:val="24"/>
                <w:szCs w:val="24"/>
              </w:rPr>
              <w:t>7</w:t>
            </w:r>
            <w:r w:rsidRPr="00E31D89">
              <w:rPr>
                <w:rFonts w:ascii="Arial Narrow" w:eastAsia="Times New Roman" w:hAnsi="Arial Narrow" w:cs="Arial"/>
                <w:sz w:val="24"/>
                <w:szCs w:val="24"/>
                <w:vertAlign w:val="superscript"/>
              </w:rPr>
              <w:t>th</w:t>
            </w:r>
            <w:r w:rsidRPr="00E31D89">
              <w:rPr>
                <w:rFonts w:ascii="Arial Narrow" w:eastAsia="Times New Roman" w:hAnsi="Arial Narrow" w:cs="Arial"/>
                <w:sz w:val="24"/>
                <w:szCs w:val="24"/>
              </w:rPr>
              <w:t xml:space="preserve"> DEFENDANT</w:t>
            </w:r>
          </w:p>
          <w:p w:rsidR="00950676" w:rsidRPr="00E31D89" w:rsidRDefault="00996127" w:rsidP="00996127">
            <w:pPr>
              <w:tabs>
                <w:tab w:val="left" w:pos="6750"/>
              </w:tabs>
              <w:spacing w:line="360" w:lineRule="auto"/>
              <w:jc w:val="both"/>
              <w:rPr>
                <w:rFonts w:ascii="Arial Narrow" w:eastAsia="Times New Roman" w:hAnsi="Arial Narrow" w:cs="Arial"/>
                <w:sz w:val="24"/>
                <w:szCs w:val="24"/>
              </w:rPr>
            </w:pPr>
            <w:r w:rsidRPr="00E31D89">
              <w:rPr>
                <w:rFonts w:ascii="Arial Narrow" w:eastAsia="Times New Roman" w:hAnsi="Arial Narrow" w:cs="Arial"/>
                <w:sz w:val="24"/>
                <w:szCs w:val="24"/>
              </w:rPr>
              <w:t xml:space="preserve">THE INVESTIGATING OFFICER OF THE ESCAPE MATTER, NAMIBIAN POLICE FORCE, KHOMAS REGION, WINDHOEK </w:t>
            </w:r>
            <w:r w:rsidR="00165A4E">
              <w:rPr>
                <w:rFonts w:ascii="Arial Narrow" w:eastAsia="Times New Roman" w:hAnsi="Arial Narrow" w:cs="Arial"/>
                <w:sz w:val="24"/>
                <w:szCs w:val="24"/>
              </w:rPr>
              <w:t xml:space="preserve">                           </w:t>
            </w:r>
            <w:r w:rsidRPr="00E31D89">
              <w:rPr>
                <w:rFonts w:ascii="Arial Narrow" w:eastAsia="Times New Roman" w:hAnsi="Arial Narrow" w:cs="Arial"/>
                <w:sz w:val="24"/>
                <w:szCs w:val="24"/>
              </w:rPr>
              <w:t>8</w:t>
            </w:r>
            <w:r w:rsidRPr="00E31D89">
              <w:rPr>
                <w:rFonts w:ascii="Arial Narrow" w:eastAsia="Times New Roman" w:hAnsi="Arial Narrow" w:cs="Arial"/>
                <w:sz w:val="24"/>
                <w:szCs w:val="24"/>
                <w:vertAlign w:val="superscript"/>
              </w:rPr>
              <w:t>th</w:t>
            </w:r>
            <w:r w:rsidR="00165A4E">
              <w:rPr>
                <w:rFonts w:ascii="Arial Narrow" w:eastAsia="Times New Roman" w:hAnsi="Arial Narrow" w:cs="Arial"/>
                <w:sz w:val="24"/>
                <w:szCs w:val="24"/>
              </w:rPr>
              <w:t xml:space="preserve"> DEFENDAN</w:t>
            </w:r>
            <w:r w:rsidR="00193139" w:rsidRPr="00E31D89">
              <w:rPr>
                <w:rFonts w:ascii="Arial Narrow" w:eastAsia="Times New Roman" w:hAnsi="Arial Narrow" w:cs="Arial"/>
                <w:sz w:val="24"/>
                <w:szCs w:val="24"/>
              </w:rPr>
              <w:t>T</w:t>
            </w:r>
          </w:p>
        </w:tc>
        <w:tc>
          <w:tcPr>
            <w:tcW w:w="4323" w:type="dxa"/>
          </w:tcPr>
          <w:p w:rsidR="00950676" w:rsidRPr="00E31D89" w:rsidRDefault="00950676" w:rsidP="001A131F">
            <w:pPr>
              <w:spacing w:line="360" w:lineRule="auto"/>
              <w:jc w:val="both"/>
              <w:rPr>
                <w:rFonts w:ascii="Arial Narrow" w:hAnsi="Arial Narrow" w:cs="Arial"/>
                <w:sz w:val="24"/>
                <w:szCs w:val="24"/>
              </w:rPr>
            </w:pPr>
            <w:r w:rsidRPr="00E31D89">
              <w:rPr>
                <w:rFonts w:ascii="Arial Narrow" w:hAnsi="Arial Narrow" w:cs="Arial"/>
                <w:b/>
                <w:sz w:val="24"/>
                <w:szCs w:val="24"/>
              </w:rPr>
              <w:lastRenderedPageBreak/>
              <w:t>Case No:</w:t>
            </w:r>
          </w:p>
          <w:p w:rsidR="00950676" w:rsidRPr="00E31D89" w:rsidRDefault="00996127" w:rsidP="005A5CEA">
            <w:pPr>
              <w:spacing w:line="360" w:lineRule="auto"/>
              <w:rPr>
                <w:rFonts w:ascii="Arial Narrow" w:hAnsi="Arial Narrow" w:cs="Arial"/>
                <w:sz w:val="24"/>
                <w:szCs w:val="24"/>
              </w:rPr>
            </w:pPr>
            <w:r w:rsidRPr="00E31D89">
              <w:rPr>
                <w:rFonts w:ascii="Arial Narrow" w:hAnsi="Arial Narrow" w:cs="Arial"/>
                <w:sz w:val="24"/>
                <w:szCs w:val="24"/>
              </w:rPr>
              <w:t>HC-MD-CIV-ACT-OTH-2019/04178</w:t>
            </w:r>
          </w:p>
        </w:tc>
      </w:tr>
      <w:tr w:rsidR="00950676" w:rsidRPr="00E31D89" w:rsidTr="001A131F">
        <w:trPr>
          <w:trHeight w:val="844"/>
        </w:trPr>
        <w:tc>
          <w:tcPr>
            <w:tcW w:w="5397" w:type="dxa"/>
            <w:gridSpan w:val="2"/>
            <w:vMerge/>
          </w:tcPr>
          <w:p w:rsidR="00950676" w:rsidRPr="00E31D89" w:rsidRDefault="00950676" w:rsidP="001A131F">
            <w:pPr>
              <w:spacing w:line="360" w:lineRule="auto"/>
              <w:jc w:val="both"/>
              <w:rPr>
                <w:rFonts w:ascii="Arial Narrow" w:hAnsi="Arial Narrow" w:cs="Arial"/>
                <w:sz w:val="24"/>
                <w:szCs w:val="24"/>
              </w:rPr>
            </w:pPr>
          </w:p>
        </w:tc>
        <w:tc>
          <w:tcPr>
            <w:tcW w:w="4323" w:type="dxa"/>
          </w:tcPr>
          <w:p w:rsidR="00950676" w:rsidRPr="00E31D89" w:rsidRDefault="00950676" w:rsidP="001A131F">
            <w:pPr>
              <w:spacing w:line="360" w:lineRule="auto"/>
              <w:jc w:val="both"/>
              <w:rPr>
                <w:rFonts w:ascii="Arial Narrow" w:hAnsi="Arial Narrow" w:cs="Arial"/>
                <w:sz w:val="24"/>
                <w:szCs w:val="24"/>
              </w:rPr>
            </w:pPr>
            <w:r w:rsidRPr="00E31D89">
              <w:rPr>
                <w:rFonts w:ascii="Arial Narrow" w:hAnsi="Arial Narrow" w:cs="Arial"/>
                <w:b/>
                <w:sz w:val="24"/>
                <w:szCs w:val="24"/>
              </w:rPr>
              <w:t>Division of Court:</w:t>
            </w:r>
          </w:p>
          <w:p w:rsidR="00950676" w:rsidRPr="00E31D89" w:rsidRDefault="00950676" w:rsidP="001A131F">
            <w:pPr>
              <w:spacing w:line="360" w:lineRule="auto"/>
              <w:jc w:val="both"/>
              <w:rPr>
                <w:rFonts w:ascii="Arial Narrow" w:hAnsi="Arial Narrow" w:cs="Arial"/>
                <w:sz w:val="24"/>
                <w:szCs w:val="24"/>
              </w:rPr>
            </w:pPr>
            <w:r w:rsidRPr="00E31D89">
              <w:rPr>
                <w:rFonts w:ascii="Arial Narrow" w:hAnsi="Arial Narrow" w:cs="Arial"/>
                <w:sz w:val="24"/>
                <w:szCs w:val="24"/>
              </w:rPr>
              <w:t>HIGH COURT (MAIN DIVISION)</w:t>
            </w:r>
          </w:p>
        </w:tc>
      </w:tr>
      <w:tr w:rsidR="00950676" w:rsidRPr="00E31D89" w:rsidTr="001A131F">
        <w:trPr>
          <w:trHeight w:val="645"/>
        </w:trPr>
        <w:tc>
          <w:tcPr>
            <w:tcW w:w="5397" w:type="dxa"/>
            <w:gridSpan w:val="2"/>
            <w:vMerge w:val="restart"/>
          </w:tcPr>
          <w:p w:rsidR="00950676" w:rsidRPr="00E31D89" w:rsidRDefault="00950676" w:rsidP="001A131F">
            <w:pPr>
              <w:spacing w:line="360" w:lineRule="auto"/>
              <w:jc w:val="both"/>
              <w:rPr>
                <w:rFonts w:ascii="Arial Narrow" w:hAnsi="Arial Narrow" w:cs="Arial"/>
                <w:b/>
                <w:sz w:val="24"/>
                <w:szCs w:val="24"/>
              </w:rPr>
            </w:pPr>
            <w:r w:rsidRPr="00E31D89">
              <w:rPr>
                <w:rFonts w:ascii="Arial Narrow" w:hAnsi="Arial Narrow" w:cs="Arial"/>
                <w:b/>
                <w:sz w:val="24"/>
                <w:szCs w:val="24"/>
              </w:rPr>
              <w:t>Heard before:</w:t>
            </w:r>
          </w:p>
          <w:p w:rsidR="00950676" w:rsidRPr="00E31D89" w:rsidRDefault="00950676" w:rsidP="001A131F">
            <w:pPr>
              <w:spacing w:line="360" w:lineRule="auto"/>
              <w:jc w:val="both"/>
              <w:rPr>
                <w:rFonts w:ascii="Arial Narrow" w:hAnsi="Arial Narrow" w:cs="Arial"/>
                <w:sz w:val="24"/>
                <w:szCs w:val="24"/>
              </w:rPr>
            </w:pPr>
            <w:r w:rsidRPr="00E31D89">
              <w:rPr>
                <w:rFonts w:ascii="Arial Narrow" w:hAnsi="Arial Narrow" w:cs="Arial"/>
                <w:sz w:val="24"/>
                <w:szCs w:val="24"/>
              </w:rPr>
              <w:t>Honourable M</w:t>
            </w:r>
            <w:r w:rsidR="00294086" w:rsidRPr="00E31D89">
              <w:rPr>
                <w:rFonts w:ascii="Arial Narrow" w:hAnsi="Arial Narrow" w:cs="Arial"/>
                <w:sz w:val="24"/>
                <w:szCs w:val="24"/>
              </w:rPr>
              <w:t>r</w:t>
            </w:r>
            <w:r w:rsidRPr="00E31D89">
              <w:rPr>
                <w:rFonts w:ascii="Arial Narrow" w:hAnsi="Arial Narrow" w:cs="Arial"/>
                <w:sz w:val="24"/>
                <w:szCs w:val="24"/>
              </w:rPr>
              <w:t>s Justice Rakow</w:t>
            </w:r>
            <w:r w:rsidR="00FB6765" w:rsidRPr="00E31D89">
              <w:rPr>
                <w:rFonts w:ascii="Arial Narrow" w:hAnsi="Arial Narrow" w:cs="Arial"/>
                <w:sz w:val="24"/>
                <w:szCs w:val="24"/>
              </w:rPr>
              <w:t xml:space="preserve">, </w:t>
            </w:r>
            <w:r w:rsidR="007B0F64" w:rsidRPr="00E31D89">
              <w:rPr>
                <w:rFonts w:ascii="Arial Narrow" w:hAnsi="Arial Narrow" w:cs="Arial"/>
                <w:sz w:val="24"/>
                <w:szCs w:val="24"/>
              </w:rPr>
              <w:t>J</w:t>
            </w:r>
          </w:p>
        </w:tc>
        <w:tc>
          <w:tcPr>
            <w:tcW w:w="4323" w:type="dxa"/>
          </w:tcPr>
          <w:p w:rsidR="00950676" w:rsidRPr="00E31D89" w:rsidRDefault="00950676" w:rsidP="00193139">
            <w:pPr>
              <w:spacing w:line="360" w:lineRule="auto"/>
              <w:jc w:val="both"/>
              <w:rPr>
                <w:rFonts w:ascii="Arial Narrow" w:hAnsi="Arial Narrow" w:cs="Arial"/>
                <w:b/>
                <w:sz w:val="24"/>
                <w:szCs w:val="24"/>
              </w:rPr>
            </w:pPr>
            <w:r w:rsidRPr="00E31D89">
              <w:rPr>
                <w:rFonts w:ascii="Arial Narrow" w:hAnsi="Arial Narrow" w:cs="Arial"/>
                <w:b/>
                <w:sz w:val="24"/>
                <w:szCs w:val="24"/>
              </w:rPr>
              <w:t>Date of hearing:</w:t>
            </w:r>
          </w:p>
          <w:p w:rsidR="00193139" w:rsidRPr="00E31D89" w:rsidRDefault="00EF58D7" w:rsidP="00193139">
            <w:pPr>
              <w:spacing w:line="360" w:lineRule="auto"/>
              <w:jc w:val="both"/>
              <w:rPr>
                <w:rFonts w:ascii="Arial Narrow" w:hAnsi="Arial Narrow" w:cs="Arial"/>
                <w:sz w:val="24"/>
                <w:szCs w:val="24"/>
              </w:rPr>
            </w:pPr>
            <w:r>
              <w:rPr>
                <w:rFonts w:ascii="Arial Narrow" w:hAnsi="Arial Narrow" w:cs="Arial"/>
                <w:sz w:val="24"/>
                <w:szCs w:val="24"/>
              </w:rPr>
              <w:t>22 October 2020</w:t>
            </w:r>
          </w:p>
        </w:tc>
      </w:tr>
      <w:tr w:rsidR="00950676" w:rsidRPr="00E31D89" w:rsidTr="001A131F">
        <w:trPr>
          <w:trHeight w:val="588"/>
        </w:trPr>
        <w:tc>
          <w:tcPr>
            <w:tcW w:w="5397" w:type="dxa"/>
            <w:gridSpan w:val="2"/>
            <w:vMerge/>
          </w:tcPr>
          <w:p w:rsidR="00950676" w:rsidRPr="00E31D89" w:rsidRDefault="00950676" w:rsidP="001A131F">
            <w:pPr>
              <w:spacing w:line="360" w:lineRule="auto"/>
              <w:jc w:val="both"/>
              <w:rPr>
                <w:rFonts w:ascii="Arial Narrow" w:hAnsi="Arial Narrow" w:cs="Arial"/>
                <w:b/>
                <w:sz w:val="24"/>
                <w:szCs w:val="24"/>
              </w:rPr>
            </w:pPr>
          </w:p>
        </w:tc>
        <w:tc>
          <w:tcPr>
            <w:tcW w:w="4323" w:type="dxa"/>
          </w:tcPr>
          <w:p w:rsidR="00950676" w:rsidRPr="00E31D89" w:rsidRDefault="00950676" w:rsidP="00ED419D">
            <w:pPr>
              <w:spacing w:line="360" w:lineRule="auto"/>
              <w:jc w:val="both"/>
              <w:rPr>
                <w:rFonts w:ascii="Arial Narrow" w:hAnsi="Arial Narrow" w:cs="Arial"/>
                <w:b/>
                <w:sz w:val="24"/>
                <w:szCs w:val="24"/>
              </w:rPr>
            </w:pPr>
            <w:r w:rsidRPr="00E31D89">
              <w:rPr>
                <w:rFonts w:ascii="Arial Narrow" w:hAnsi="Arial Narrow" w:cs="Arial"/>
                <w:b/>
                <w:sz w:val="24"/>
                <w:szCs w:val="24"/>
              </w:rPr>
              <w:t>Date of order:</w:t>
            </w:r>
          </w:p>
          <w:p w:rsidR="00FB6765" w:rsidRPr="00A4240B" w:rsidRDefault="0088493E" w:rsidP="00ED419D">
            <w:pPr>
              <w:spacing w:line="360" w:lineRule="auto"/>
              <w:jc w:val="both"/>
              <w:rPr>
                <w:rFonts w:ascii="Arial Narrow" w:hAnsi="Arial Narrow" w:cs="Arial"/>
                <w:b/>
                <w:sz w:val="24"/>
                <w:szCs w:val="24"/>
              </w:rPr>
            </w:pPr>
            <w:r w:rsidRPr="00A4240B">
              <w:rPr>
                <w:rFonts w:ascii="Arial Narrow" w:hAnsi="Arial Narrow" w:cs="Arial"/>
                <w:b/>
                <w:sz w:val="24"/>
                <w:szCs w:val="24"/>
              </w:rPr>
              <w:t>26</w:t>
            </w:r>
            <w:r w:rsidR="00FB6765" w:rsidRPr="00A4240B">
              <w:rPr>
                <w:rFonts w:ascii="Arial Narrow" w:hAnsi="Arial Narrow" w:cs="Arial"/>
                <w:b/>
                <w:sz w:val="24"/>
                <w:szCs w:val="24"/>
              </w:rPr>
              <w:t xml:space="preserve"> October 2020</w:t>
            </w:r>
          </w:p>
        </w:tc>
      </w:tr>
      <w:tr w:rsidR="00950676" w:rsidRPr="00E31D89" w:rsidTr="001A131F">
        <w:tc>
          <w:tcPr>
            <w:tcW w:w="9720" w:type="dxa"/>
            <w:gridSpan w:val="3"/>
          </w:tcPr>
          <w:p w:rsidR="00950676" w:rsidRPr="00E31D89" w:rsidRDefault="00950676" w:rsidP="001A131F">
            <w:pPr>
              <w:pStyle w:val="form-control-static"/>
              <w:shd w:val="clear" w:color="auto" w:fill="FFFFFF"/>
              <w:spacing w:before="0" w:beforeAutospacing="0" w:after="0" w:afterAutospacing="0"/>
              <w:rPr>
                <w:rFonts w:ascii="Arial Narrow" w:hAnsi="Arial Narrow" w:cs="Arial"/>
              </w:rPr>
            </w:pPr>
            <w:r w:rsidRPr="00E31D89">
              <w:rPr>
                <w:rFonts w:ascii="Arial Narrow" w:hAnsi="Arial Narrow" w:cs="Arial"/>
                <w:b/>
              </w:rPr>
              <w:t xml:space="preserve">Neutral citation: </w:t>
            </w:r>
          </w:p>
          <w:p w:rsidR="00950676" w:rsidRPr="00E31D89" w:rsidRDefault="00996127" w:rsidP="00EF58D7">
            <w:pPr>
              <w:pStyle w:val="form-control-static"/>
              <w:shd w:val="clear" w:color="auto" w:fill="FFFFFF"/>
              <w:spacing w:after="0"/>
              <w:jc w:val="both"/>
              <w:rPr>
                <w:rFonts w:ascii="Arial Narrow" w:hAnsi="Arial Narrow" w:cs="Arial"/>
                <w:i/>
                <w:lang w:val="en-GB"/>
              </w:rPr>
            </w:pPr>
            <w:r w:rsidRPr="00E31D89">
              <w:rPr>
                <w:rFonts w:ascii="Arial Narrow" w:hAnsi="Arial Narrow" w:cs="Arial"/>
                <w:i/>
                <w:lang w:val="en-ZA"/>
              </w:rPr>
              <w:t xml:space="preserve">Namiseb v Minister of Safety and Security </w:t>
            </w:r>
            <w:r w:rsidR="00950676" w:rsidRPr="00E31D89">
              <w:rPr>
                <w:rFonts w:ascii="Arial Narrow" w:hAnsi="Arial Narrow" w:cs="Arial"/>
              </w:rPr>
              <w:t>(</w:t>
            </w:r>
            <w:r w:rsidRPr="00E31D89">
              <w:rPr>
                <w:rFonts w:ascii="Arial Narrow" w:hAnsi="Arial Narrow" w:cs="Arial"/>
                <w:lang w:val="en-ZA"/>
              </w:rPr>
              <w:t>HC-MD-CIV-ACT-OTH-2019/04178</w:t>
            </w:r>
            <w:r w:rsidR="00950676" w:rsidRPr="00E31D89">
              <w:rPr>
                <w:rFonts w:ascii="Arial Narrow" w:hAnsi="Arial Narrow" w:cs="Arial"/>
              </w:rPr>
              <w:t>) [</w:t>
            </w:r>
            <w:r w:rsidR="00657CBE" w:rsidRPr="00E31D89">
              <w:rPr>
                <w:rFonts w:ascii="Arial Narrow" w:hAnsi="Arial Narrow" w:cs="Arial"/>
              </w:rPr>
              <w:t>2020</w:t>
            </w:r>
            <w:r w:rsidR="00165A4E">
              <w:rPr>
                <w:rFonts w:ascii="Arial Narrow" w:hAnsi="Arial Narrow" w:cs="Arial"/>
              </w:rPr>
              <w:t>] NAH</w:t>
            </w:r>
            <w:r w:rsidR="00950676" w:rsidRPr="00E31D89">
              <w:rPr>
                <w:rFonts w:ascii="Arial Narrow" w:hAnsi="Arial Narrow" w:cs="Arial"/>
              </w:rPr>
              <w:t>C</w:t>
            </w:r>
            <w:r w:rsidR="0095411B" w:rsidRPr="00E31D89">
              <w:rPr>
                <w:rFonts w:ascii="Arial Narrow" w:hAnsi="Arial Narrow" w:cs="Arial"/>
              </w:rPr>
              <w:t>MD</w:t>
            </w:r>
            <w:r w:rsidR="00D765B6">
              <w:rPr>
                <w:rFonts w:ascii="Arial Narrow" w:hAnsi="Arial Narrow" w:cs="Arial"/>
              </w:rPr>
              <w:t xml:space="preserve"> 489</w:t>
            </w:r>
            <w:r w:rsidR="0095411B" w:rsidRPr="00E31D89">
              <w:rPr>
                <w:rFonts w:ascii="Arial Narrow" w:hAnsi="Arial Narrow" w:cs="Arial"/>
              </w:rPr>
              <w:t xml:space="preserve"> </w:t>
            </w:r>
            <w:r w:rsidR="00950676" w:rsidRPr="00E31D89">
              <w:rPr>
                <w:rFonts w:ascii="Arial Narrow" w:hAnsi="Arial Narrow" w:cs="Arial"/>
              </w:rPr>
              <w:t>(</w:t>
            </w:r>
            <w:r w:rsidRPr="00E31D89">
              <w:rPr>
                <w:rFonts w:ascii="Arial Narrow" w:hAnsi="Arial Narrow" w:cs="Arial"/>
              </w:rPr>
              <w:t xml:space="preserve">26 </w:t>
            </w:r>
            <w:r w:rsidR="00193139" w:rsidRPr="00E31D89">
              <w:rPr>
                <w:rFonts w:ascii="Arial Narrow" w:hAnsi="Arial Narrow" w:cs="Arial"/>
              </w:rPr>
              <w:t>October 2020</w:t>
            </w:r>
            <w:r w:rsidR="00950676" w:rsidRPr="00E31D89">
              <w:rPr>
                <w:rFonts w:ascii="Arial Narrow" w:hAnsi="Arial Narrow" w:cs="Arial"/>
              </w:rPr>
              <w:t>)</w:t>
            </w:r>
          </w:p>
        </w:tc>
      </w:tr>
      <w:tr w:rsidR="00950676" w:rsidRPr="00E31D89" w:rsidTr="001A131F">
        <w:tc>
          <w:tcPr>
            <w:tcW w:w="9720" w:type="dxa"/>
            <w:gridSpan w:val="3"/>
          </w:tcPr>
          <w:p w:rsidR="00950676" w:rsidRPr="00E31D89" w:rsidRDefault="00950676" w:rsidP="001A131F">
            <w:pPr>
              <w:spacing w:line="360" w:lineRule="auto"/>
              <w:jc w:val="both"/>
              <w:rPr>
                <w:rFonts w:ascii="Arial Narrow" w:hAnsi="Arial Narrow" w:cs="Arial"/>
                <w:b/>
                <w:sz w:val="24"/>
                <w:szCs w:val="24"/>
              </w:rPr>
            </w:pPr>
            <w:r w:rsidRPr="00E31D89">
              <w:rPr>
                <w:rFonts w:ascii="Arial Narrow" w:hAnsi="Arial Narrow" w:cs="Arial"/>
                <w:sz w:val="24"/>
                <w:szCs w:val="24"/>
              </w:rPr>
              <w:t>Having read the record of proceedings as well as submissions ma</w:t>
            </w:r>
            <w:r w:rsidR="007B0F64" w:rsidRPr="00E31D89">
              <w:rPr>
                <w:rFonts w:ascii="Arial Narrow" w:hAnsi="Arial Narrow" w:cs="Arial"/>
                <w:sz w:val="24"/>
                <w:szCs w:val="24"/>
              </w:rPr>
              <w:t>d</w:t>
            </w:r>
            <w:r w:rsidR="00FB6765" w:rsidRPr="00E31D89">
              <w:rPr>
                <w:rFonts w:ascii="Arial Narrow" w:hAnsi="Arial Narrow" w:cs="Arial"/>
                <w:sz w:val="24"/>
                <w:szCs w:val="24"/>
              </w:rPr>
              <w:t>e by counsels for the applicant</w:t>
            </w:r>
            <w:r w:rsidRPr="00E31D89">
              <w:rPr>
                <w:rFonts w:ascii="Arial Narrow" w:hAnsi="Arial Narrow" w:cs="Arial"/>
                <w:sz w:val="24"/>
                <w:szCs w:val="24"/>
              </w:rPr>
              <w:t xml:space="preserve"> and the respondent:</w:t>
            </w:r>
          </w:p>
          <w:p w:rsidR="00950676" w:rsidRPr="00E31D89" w:rsidRDefault="00950676" w:rsidP="001A131F">
            <w:pPr>
              <w:spacing w:line="360" w:lineRule="auto"/>
              <w:jc w:val="both"/>
              <w:rPr>
                <w:rFonts w:ascii="Arial Narrow" w:hAnsi="Arial Narrow" w:cs="Arial"/>
                <w:b/>
                <w:sz w:val="24"/>
                <w:szCs w:val="24"/>
              </w:rPr>
            </w:pPr>
            <w:r w:rsidRPr="00E31D89">
              <w:rPr>
                <w:rFonts w:ascii="Arial Narrow" w:hAnsi="Arial Narrow" w:cs="Arial"/>
                <w:b/>
                <w:sz w:val="24"/>
                <w:szCs w:val="24"/>
              </w:rPr>
              <w:t>IT IS HEREBY ORDERED THAT:</w:t>
            </w:r>
          </w:p>
          <w:p w:rsidR="00950676" w:rsidRPr="00E31D89" w:rsidRDefault="00165A4E" w:rsidP="00493748">
            <w:pPr>
              <w:pStyle w:val="ListParagraph"/>
              <w:numPr>
                <w:ilvl w:val="0"/>
                <w:numId w:val="2"/>
              </w:numPr>
              <w:spacing w:line="360" w:lineRule="auto"/>
              <w:jc w:val="both"/>
              <w:rPr>
                <w:rFonts w:ascii="Arial Narrow" w:hAnsi="Arial Narrow"/>
                <w:sz w:val="24"/>
                <w:szCs w:val="24"/>
                <w:lang w:val="af-ZA"/>
              </w:rPr>
            </w:pPr>
            <w:r>
              <w:rPr>
                <w:rFonts w:ascii="Arial Narrow" w:hAnsi="Arial Narrow"/>
                <w:sz w:val="24"/>
                <w:szCs w:val="24"/>
                <w:lang w:val="af-ZA"/>
              </w:rPr>
              <w:t>The pre-trial order is a</w:t>
            </w:r>
            <w:r w:rsidR="00DF08CD" w:rsidRPr="00E31D89">
              <w:rPr>
                <w:rFonts w:ascii="Arial Narrow" w:hAnsi="Arial Narrow"/>
                <w:sz w:val="24"/>
                <w:szCs w:val="24"/>
                <w:lang w:val="af-ZA"/>
              </w:rPr>
              <w:t>mended to include the name of th</w:t>
            </w:r>
            <w:r w:rsidR="0088493E" w:rsidRPr="00E31D89">
              <w:rPr>
                <w:rFonts w:ascii="Arial Narrow" w:hAnsi="Arial Narrow"/>
                <w:sz w:val="24"/>
                <w:szCs w:val="24"/>
                <w:lang w:val="af-ZA"/>
              </w:rPr>
              <w:t>e expert witness – Michael Tangeni Shilumbu</w:t>
            </w:r>
            <w:r w:rsidR="00EF58D7">
              <w:rPr>
                <w:rFonts w:ascii="Arial Narrow" w:hAnsi="Arial Narrow"/>
                <w:sz w:val="24"/>
                <w:szCs w:val="24"/>
                <w:lang w:val="af-ZA"/>
              </w:rPr>
              <w:t>.</w:t>
            </w:r>
          </w:p>
          <w:p w:rsidR="000F59E4" w:rsidRDefault="0088493E" w:rsidP="000F59E4">
            <w:pPr>
              <w:pStyle w:val="ListParagraph"/>
              <w:numPr>
                <w:ilvl w:val="0"/>
                <w:numId w:val="2"/>
              </w:numPr>
              <w:spacing w:line="360" w:lineRule="auto"/>
              <w:jc w:val="both"/>
              <w:rPr>
                <w:rFonts w:ascii="Arial Narrow" w:hAnsi="Arial Narrow"/>
                <w:sz w:val="24"/>
                <w:szCs w:val="24"/>
                <w:lang w:val="af-ZA"/>
              </w:rPr>
            </w:pPr>
            <w:r w:rsidRPr="00E31D89">
              <w:rPr>
                <w:rFonts w:ascii="Arial Narrow" w:hAnsi="Arial Narrow"/>
                <w:sz w:val="24"/>
                <w:szCs w:val="24"/>
                <w:lang w:val="af-ZA"/>
              </w:rPr>
              <w:t>The special pleas raised by the defendants in their plea will not be included in the pre-trial order and the court does not grant leave for them to be available to the defendants during the trial.</w:t>
            </w:r>
          </w:p>
          <w:p w:rsidR="000F59E4" w:rsidRPr="000F59E4" w:rsidRDefault="00951BF0" w:rsidP="000F59E4">
            <w:pPr>
              <w:pStyle w:val="ListParagraph"/>
              <w:numPr>
                <w:ilvl w:val="0"/>
                <w:numId w:val="2"/>
              </w:numPr>
              <w:spacing w:line="360" w:lineRule="auto"/>
              <w:jc w:val="both"/>
              <w:rPr>
                <w:rFonts w:ascii="Arial Narrow" w:hAnsi="Arial Narrow"/>
                <w:sz w:val="24"/>
                <w:szCs w:val="24"/>
                <w:lang w:val="af-ZA"/>
              </w:rPr>
            </w:pPr>
            <w:r w:rsidRPr="000F59E4">
              <w:rPr>
                <w:rFonts w:ascii="Arial Narrow" w:hAnsi="Arial Narrow" w:cs="Arial"/>
                <w:sz w:val="24"/>
                <w:szCs w:val="24"/>
              </w:rPr>
              <w:t xml:space="preserve">The wasted </w:t>
            </w:r>
            <w:r w:rsidR="000F59E4" w:rsidRPr="000F59E4">
              <w:rPr>
                <w:rFonts w:ascii="Arial Narrow" w:hAnsi="Arial Narrow" w:cs="Arial"/>
                <w:sz w:val="24"/>
                <w:szCs w:val="24"/>
              </w:rPr>
              <w:t>costs for the trial as well as the costs associated with the application are</w:t>
            </w:r>
            <w:r w:rsidRPr="000F59E4">
              <w:rPr>
                <w:rFonts w:ascii="Arial Narrow" w:hAnsi="Arial Narrow" w:cs="Arial"/>
                <w:sz w:val="24"/>
                <w:szCs w:val="24"/>
              </w:rPr>
              <w:t xml:space="preserve"> to be paid by the defendants.</w:t>
            </w:r>
          </w:p>
          <w:p w:rsidR="00951BF0" w:rsidRPr="000F59E4" w:rsidRDefault="00951BF0" w:rsidP="000F59E4">
            <w:pPr>
              <w:pStyle w:val="ListParagraph"/>
              <w:numPr>
                <w:ilvl w:val="0"/>
                <w:numId w:val="2"/>
              </w:numPr>
              <w:spacing w:line="360" w:lineRule="auto"/>
              <w:jc w:val="both"/>
              <w:rPr>
                <w:rFonts w:ascii="Arial Narrow" w:hAnsi="Arial Narrow"/>
                <w:sz w:val="24"/>
                <w:szCs w:val="24"/>
                <w:lang w:val="af-ZA"/>
              </w:rPr>
            </w:pPr>
            <w:r w:rsidRPr="000F59E4">
              <w:rPr>
                <w:rFonts w:ascii="Arial Narrow" w:hAnsi="Arial Narrow" w:cs="Arial"/>
                <w:sz w:val="24"/>
                <w:szCs w:val="24"/>
              </w:rPr>
              <w:t xml:space="preserve">The matter is postponed to 27 October 2020 at 15h30 to determine a date for the continuation of the trial. </w:t>
            </w:r>
          </w:p>
          <w:p w:rsidR="00951BF0" w:rsidRPr="00E31D89" w:rsidRDefault="00951BF0" w:rsidP="000F59E4">
            <w:pPr>
              <w:pStyle w:val="ListParagraph"/>
              <w:spacing w:line="360" w:lineRule="auto"/>
              <w:jc w:val="both"/>
              <w:rPr>
                <w:rFonts w:ascii="Arial Narrow" w:hAnsi="Arial Narrow"/>
                <w:sz w:val="24"/>
                <w:szCs w:val="24"/>
                <w:lang w:val="af-ZA"/>
              </w:rPr>
            </w:pPr>
          </w:p>
        </w:tc>
      </w:tr>
      <w:tr w:rsidR="00950676" w:rsidRPr="00E31D89" w:rsidTr="001A131F">
        <w:tc>
          <w:tcPr>
            <w:tcW w:w="9720" w:type="dxa"/>
            <w:gridSpan w:val="3"/>
          </w:tcPr>
          <w:p w:rsidR="00950676" w:rsidRPr="00E31D89" w:rsidRDefault="00950676" w:rsidP="001A131F">
            <w:pPr>
              <w:spacing w:line="360" w:lineRule="auto"/>
              <w:jc w:val="both"/>
              <w:rPr>
                <w:rFonts w:ascii="Arial Narrow" w:hAnsi="Arial Narrow" w:cs="Arial"/>
                <w:b/>
                <w:sz w:val="24"/>
                <w:szCs w:val="24"/>
              </w:rPr>
            </w:pPr>
            <w:r w:rsidRPr="00E31D89">
              <w:rPr>
                <w:rFonts w:ascii="Arial Narrow" w:hAnsi="Arial Narrow" w:cs="Arial"/>
                <w:b/>
                <w:sz w:val="24"/>
                <w:szCs w:val="24"/>
              </w:rPr>
              <w:t>Reasons for orders:</w:t>
            </w:r>
          </w:p>
        </w:tc>
      </w:tr>
      <w:tr w:rsidR="00950676" w:rsidRPr="00E31D89" w:rsidTr="001A131F">
        <w:tc>
          <w:tcPr>
            <w:tcW w:w="9720" w:type="dxa"/>
            <w:gridSpan w:val="3"/>
          </w:tcPr>
          <w:p w:rsidR="001F4879" w:rsidRPr="00E31D89" w:rsidRDefault="001F4879" w:rsidP="00657CBE">
            <w:pPr>
              <w:spacing w:after="0" w:line="360" w:lineRule="auto"/>
              <w:jc w:val="both"/>
              <w:rPr>
                <w:rFonts w:ascii="Arial Narrow" w:hAnsi="Arial Narrow"/>
                <w:sz w:val="24"/>
                <w:szCs w:val="24"/>
                <w:u w:val="single"/>
                <w:lang w:val="af-ZA"/>
              </w:rPr>
            </w:pPr>
            <w:r w:rsidRPr="00E31D89">
              <w:rPr>
                <w:rFonts w:ascii="Arial Narrow" w:hAnsi="Arial Narrow"/>
                <w:sz w:val="24"/>
                <w:szCs w:val="24"/>
                <w:u w:val="single"/>
                <w:lang w:val="af-ZA"/>
              </w:rPr>
              <w:t>Introduction</w:t>
            </w:r>
          </w:p>
          <w:p w:rsidR="00AE5ABA" w:rsidRPr="00E31D89" w:rsidRDefault="0081191E" w:rsidP="00657CBE">
            <w:pPr>
              <w:spacing w:after="0" w:line="360" w:lineRule="auto"/>
              <w:jc w:val="both"/>
              <w:rPr>
                <w:rFonts w:ascii="Arial Narrow" w:hAnsi="Arial Narrow"/>
                <w:sz w:val="24"/>
                <w:szCs w:val="24"/>
                <w:u w:val="single"/>
                <w:lang w:val="af-ZA"/>
              </w:rPr>
            </w:pPr>
            <w:r w:rsidRPr="00E31D89">
              <w:rPr>
                <w:rFonts w:ascii="Arial Narrow" w:hAnsi="Arial Narrow"/>
                <w:sz w:val="24"/>
                <w:szCs w:val="24"/>
                <w:u w:val="single"/>
                <w:lang w:val="af-ZA"/>
              </w:rPr>
              <w:t xml:space="preserve"> </w:t>
            </w:r>
          </w:p>
          <w:p w:rsidR="00C300BD" w:rsidRPr="00E31D89" w:rsidRDefault="00950676" w:rsidP="00051F74">
            <w:pPr>
              <w:tabs>
                <w:tab w:val="left" w:pos="560"/>
              </w:tabs>
              <w:spacing w:after="0" w:line="360" w:lineRule="auto"/>
              <w:jc w:val="both"/>
              <w:rPr>
                <w:rFonts w:ascii="Arial Narrow" w:hAnsi="Arial Narrow" w:cs="Arial"/>
                <w:sz w:val="24"/>
                <w:szCs w:val="24"/>
              </w:rPr>
            </w:pPr>
            <w:r w:rsidRPr="00E31D89">
              <w:rPr>
                <w:rFonts w:ascii="Arial Narrow" w:hAnsi="Arial Narrow"/>
                <w:sz w:val="24"/>
                <w:szCs w:val="24"/>
                <w:lang w:val="af-ZA"/>
              </w:rPr>
              <w:t>[1</w:t>
            </w:r>
            <w:r w:rsidR="0081191E" w:rsidRPr="00E31D89">
              <w:rPr>
                <w:rFonts w:ascii="Arial Narrow" w:hAnsi="Arial Narrow"/>
                <w:sz w:val="24"/>
                <w:szCs w:val="24"/>
                <w:lang w:val="af-ZA"/>
              </w:rPr>
              <w:t xml:space="preserve">]     </w:t>
            </w:r>
            <w:r w:rsidR="00996127" w:rsidRPr="00E31D89">
              <w:rPr>
                <w:rFonts w:ascii="Arial Narrow" w:hAnsi="Arial Narrow"/>
                <w:sz w:val="24"/>
                <w:szCs w:val="24"/>
                <w:lang w:val="af-ZA"/>
              </w:rPr>
              <w:t>The Plaintiff in this matt</w:t>
            </w:r>
            <w:r w:rsidR="00165A4E">
              <w:rPr>
                <w:rFonts w:ascii="Arial Narrow" w:hAnsi="Arial Narrow"/>
                <w:sz w:val="24"/>
                <w:szCs w:val="24"/>
                <w:lang w:val="af-ZA"/>
              </w:rPr>
              <w:t>er sued the respondents for dama</w:t>
            </w:r>
            <w:r w:rsidR="00996127" w:rsidRPr="00E31D89">
              <w:rPr>
                <w:rFonts w:ascii="Arial Narrow" w:hAnsi="Arial Narrow"/>
                <w:sz w:val="24"/>
                <w:szCs w:val="24"/>
                <w:lang w:val="af-ZA"/>
              </w:rPr>
              <w:t xml:space="preserve">ges he suffered after being arrested in South Africa and </w:t>
            </w:r>
            <w:r w:rsidR="00051F74" w:rsidRPr="00E31D89">
              <w:rPr>
                <w:rFonts w:ascii="Arial Narrow" w:hAnsi="Arial Narrow"/>
                <w:sz w:val="24"/>
                <w:szCs w:val="24"/>
                <w:lang w:val="af-ZA"/>
              </w:rPr>
              <w:t xml:space="preserve">extradited to Namibia on charges of escaping from lawful custody.  The </w:t>
            </w:r>
            <w:r w:rsidR="00051F74" w:rsidRPr="00B73E0A">
              <w:rPr>
                <w:rFonts w:ascii="Arial Narrow" w:hAnsi="Arial Narrow"/>
                <w:sz w:val="24"/>
                <w:szCs w:val="24"/>
                <w:lang w:val="af-ZA"/>
              </w:rPr>
              <w:t xml:space="preserve">allegation </w:t>
            </w:r>
            <w:r w:rsidR="00165A4E" w:rsidRPr="00B73E0A">
              <w:rPr>
                <w:rFonts w:ascii="Arial Narrow" w:hAnsi="Arial Narrow"/>
                <w:sz w:val="24"/>
                <w:szCs w:val="24"/>
                <w:lang w:val="af-ZA"/>
              </w:rPr>
              <w:t>by the</w:t>
            </w:r>
            <w:r w:rsidR="00051F74" w:rsidRPr="00B73E0A">
              <w:rPr>
                <w:rFonts w:ascii="Arial Narrow" w:hAnsi="Arial Narrow"/>
                <w:sz w:val="24"/>
                <w:szCs w:val="24"/>
                <w:lang w:val="af-ZA"/>
              </w:rPr>
              <w:t xml:space="preserve"> plaintiff </w:t>
            </w:r>
            <w:r w:rsidR="00051F74" w:rsidRPr="00E31D89">
              <w:rPr>
                <w:rFonts w:ascii="Arial Narrow" w:hAnsi="Arial Narrow"/>
                <w:sz w:val="24"/>
                <w:szCs w:val="24"/>
                <w:lang w:val="af-ZA"/>
              </w:rPr>
              <w:t xml:space="preserve">is that he was lawfully released from custody </w:t>
            </w:r>
            <w:r w:rsidR="00051F74" w:rsidRPr="00E31D89">
              <w:rPr>
                <w:rFonts w:ascii="Arial Narrow" w:hAnsi="Arial Narrow" w:cs="Arial"/>
                <w:sz w:val="24"/>
                <w:szCs w:val="24"/>
              </w:rPr>
              <w:t xml:space="preserve">by a member of the police and did not escape therefore the warrant authorized and the case opened by the Namibian police caused him to be detained illegally and </w:t>
            </w:r>
            <w:r w:rsidR="00051F74" w:rsidRPr="00E31D89">
              <w:rPr>
                <w:rFonts w:ascii="Arial Narrow" w:hAnsi="Arial Narrow" w:cs="Arial"/>
                <w:sz w:val="24"/>
                <w:szCs w:val="24"/>
              </w:rPr>
              <w:lastRenderedPageBreak/>
              <w:t>exposed him to criminals and therefore caused him emotional injury.  He was subsequently found not guilty on the charge o</w:t>
            </w:r>
            <w:r w:rsidR="00165A4E">
              <w:rPr>
                <w:rFonts w:ascii="Arial Narrow" w:hAnsi="Arial Narrow" w:cs="Arial"/>
                <w:sz w:val="24"/>
                <w:szCs w:val="24"/>
              </w:rPr>
              <w:t>f escaping from lawful custody.</w:t>
            </w:r>
            <w:r w:rsidR="00051F74" w:rsidRPr="00E31D89">
              <w:rPr>
                <w:rFonts w:ascii="Arial Narrow" w:hAnsi="Arial Narrow" w:cs="Arial"/>
                <w:sz w:val="24"/>
                <w:szCs w:val="24"/>
              </w:rPr>
              <w:t xml:space="preserve"> </w:t>
            </w:r>
            <w:r w:rsidR="009C6775" w:rsidRPr="00E31D89">
              <w:rPr>
                <w:rFonts w:ascii="Arial Narrow" w:hAnsi="Arial Narrow" w:cs="Arial"/>
                <w:sz w:val="24"/>
                <w:szCs w:val="24"/>
              </w:rPr>
              <w:t>He instituted his claim against the Minister of Safety and Security, the Inspector-General of the Namibian Police Force, the (retired) Regional Commander of the Khomas Region, the then Station Commander of the Windhoek Police Station, the Unit Commander of Criminal Investigations Unit for Windhoek, the then Unit Commander of the Serious Crime Unit for the Khomas Region and t</w:t>
            </w:r>
            <w:r w:rsidR="00165A4E">
              <w:rPr>
                <w:rFonts w:ascii="Arial Narrow" w:hAnsi="Arial Narrow" w:cs="Arial"/>
                <w:sz w:val="24"/>
                <w:szCs w:val="24"/>
              </w:rPr>
              <w:t xml:space="preserve">he </w:t>
            </w:r>
            <w:r w:rsidR="00165A4E" w:rsidRPr="00B73E0A">
              <w:rPr>
                <w:rFonts w:ascii="Arial Narrow" w:hAnsi="Arial Narrow" w:cs="Arial"/>
                <w:sz w:val="24"/>
                <w:szCs w:val="24"/>
              </w:rPr>
              <w:t>Investigating officer on the escaping</w:t>
            </w:r>
            <w:r w:rsidR="009C6775" w:rsidRPr="00B73E0A">
              <w:rPr>
                <w:rFonts w:ascii="Arial Narrow" w:hAnsi="Arial Narrow" w:cs="Arial"/>
                <w:sz w:val="24"/>
                <w:szCs w:val="24"/>
              </w:rPr>
              <w:t xml:space="preserve"> matter, in Windhoek</w:t>
            </w:r>
            <w:r w:rsidR="009C6775" w:rsidRPr="00E31D89">
              <w:rPr>
                <w:rFonts w:ascii="Arial Narrow" w:hAnsi="Arial Narrow" w:cs="Arial"/>
                <w:sz w:val="24"/>
                <w:szCs w:val="24"/>
              </w:rPr>
              <w:t>.  These parties defended the matter and are all represented by the Government Attorney’s office.</w:t>
            </w:r>
          </w:p>
          <w:p w:rsidR="009C6775" w:rsidRPr="00E31D89" w:rsidRDefault="009C6775" w:rsidP="00051F74">
            <w:pPr>
              <w:tabs>
                <w:tab w:val="left" w:pos="560"/>
              </w:tabs>
              <w:spacing w:after="0" w:line="360" w:lineRule="auto"/>
              <w:jc w:val="both"/>
              <w:rPr>
                <w:rFonts w:ascii="Arial Narrow" w:hAnsi="Arial Narrow" w:cs="Arial"/>
                <w:sz w:val="24"/>
                <w:szCs w:val="24"/>
              </w:rPr>
            </w:pPr>
          </w:p>
          <w:p w:rsidR="009C6775" w:rsidRPr="00E31D89" w:rsidRDefault="00A4240B" w:rsidP="00051F7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[2]     </w:t>
            </w:r>
            <w:r w:rsidR="009C6775" w:rsidRPr="00E31D89">
              <w:rPr>
                <w:rFonts w:ascii="Arial Narrow" w:hAnsi="Arial Narrow" w:cs="Arial"/>
                <w:sz w:val="24"/>
                <w:szCs w:val="24"/>
              </w:rPr>
              <w:t xml:space="preserve">The defendants filed a plea on 31 January 2020 and as part of the plea, raised three special pleas, being that no proper service of the process was effected on the defendants, the plaintiff failed to serve a statutory notice as contemplated in Section 39(1) of the Police Act, 1990 on the defendants and a special plea of non-joiner of the Prosecutor-General to the proceedings.  The parties filed a </w:t>
            </w:r>
            <w:r w:rsidR="003D1039" w:rsidRPr="00E31D89">
              <w:rPr>
                <w:rFonts w:ascii="Arial Narrow" w:hAnsi="Arial Narrow" w:cs="Arial"/>
                <w:sz w:val="24"/>
                <w:szCs w:val="24"/>
              </w:rPr>
              <w:t xml:space="preserve">joint case management report on 9 March 2020, which was made an order of court on 16 March 2020, </w:t>
            </w:r>
            <w:r w:rsidR="00165A4E">
              <w:rPr>
                <w:rFonts w:ascii="Arial Narrow" w:hAnsi="Arial Narrow" w:cs="Arial"/>
                <w:sz w:val="24"/>
                <w:szCs w:val="24"/>
              </w:rPr>
              <w:t xml:space="preserve">and in this report no mention </w:t>
            </w:r>
            <w:r w:rsidR="00165A4E" w:rsidRPr="00B73E0A">
              <w:rPr>
                <w:rFonts w:ascii="Arial Narrow" w:hAnsi="Arial Narrow" w:cs="Arial"/>
                <w:sz w:val="24"/>
                <w:szCs w:val="24"/>
              </w:rPr>
              <w:t>was</w:t>
            </w:r>
            <w:r w:rsidR="003D1039" w:rsidRPr="00B73E0A">
              <w:rPr>
                <w:rFonts w:ascii="Arial Narrow" w:hAnsi="Arial Narrow" w:cs="Arial"/>
                <w:sz w:val="24"/>
                <w:szCs w:val="24"/>
              </w:rPr>
              <w:t xml:space="preserve"> made of the special ple</w:t>
            </w:r>
            <w:r w:rsidR="00EF58D7" w:rsidRPr="00B73E0A">
              <w:rPr>
                <w:rFonts w:ascii="Arial Narrow" w:hAnsi="Arial Narrow" w:cs="Arial"/>
                <w:sz w:val="24"/>
                <w:szCs w:val="24"/>
              </w:rPr>
              <w:t>as and the adjudication thereof</w:t>
            </w:r>
            <w:r w:rsidR="003D1039" w:rsidRPr="00B73E0A">
              <w:rPr>
                <w:rFonts w:ascii="Arial Narrow" w:hAnsi="Arial Narrow" w:cs="Arial"/>
                <w:sz w:val="24"/>
                <w:szCs w:val="24"/>
              </w:rPr>
              <w:t xml:space="preserve">.  On </w:t>
            </w:r>
            <w:r w:rsidR="003D1039" w:rsidRPr="00E31D89">
              <w:rPr>
                <w:rFonts w:ascii="Arial Narrow" w:hAnsi="Arial Narrow" w:cs="Arial"/>
                <w:sz w:val="24"/>
                <w:szCs w:val="24"/>
              </w:rPr>
              <w:t>the question of need for joining other parties and dates of such join</w:t>
            </w:r>
            <w:r w:rsidR="00165A4E">
              <w:rPr>
                <w:rFonts w:ascii="Arial Narrow" w:hAnsi="Arial Narrow" w:cs="Arial"/>
                <w:sz w:val="24"/>
                <w:szCs w:val="24"/>
              </w:rPr>
              <w:t>d</w:t>
            </w:r>
            <w:r w:rsidR="003D1039" w:rsidRPr="00E31D89">
              <w:rPr>
                <w:rFonts w:ascii="Arial Narrow" w:hAnsi="Arial Narrow" w:cs="Arial"/>
                <w:sz w:val="24"/>
                <w:szCs w:val="24"/>
              </w:rPr>
              <w:t xml:space="preserve">er, the report indicates not applicable; on the question of dates for filing interlocutory applications and possible dates for hearing such applications the answer is not foreseen at this stage; on the question of any objection on points of law is applicable, the report indicates not applicable; </w:t>
            </w:r>
            <w:r w:rsidR="00237C0E" w:rsidRPr="00E31D89">
              <w:rPr>
                <w:rFonts w:ascii="Arial Narrow" w:hAnsi="Arial Narrow" w:cs="Arial"/>
                <w:sz w:val="24"/>
                <w:szCs w:val="24"/>
              </w:rPr>
              <w:t xml:space="preserve">on the question of giving orders or directions for a separate hearing in respect of any relevant issue, the answer was not applicable and on the last question any other issues that are likely to facilitate the just and speedy disposal of the action of application the answer was that the parties will attempt to enter into settlement negotiations in an attempt </w:t>
            </w:r>
            <w:r w:rsidR="007831A2">
              <w:rPr>
                <w:rFonts w:ascii="Arial Narrow" w:hAnsi="Arial Narrow" w:cs="Arial"/>
                <w:sz w:val="24"/>
                <w:szCs w:val="24"/>
              </w:rPr>
              <w:t xml:space="preserve">to settle the matter amicably. </w:t>
            </w:r>
            <w:r w:rsidR="00237C0E" w:rsidRPr="00E31D89">
              <w:rPr>
                <w:rFonts w:ascii="Arial Narrow" w:hAnsi="Arial Narrow" w:cs="Arial"/>
                <w:sz w:val="24"/>
                <w:szCs w:val="24"/>
              </w:rPr>
              <w:t>This report was signed by both the legal practitioners and subsequently made an order of court.  The special</w:t>
            </w:r>
            <w:r w:rsidR="007831A2">
              <w:rPr>
                <w:rFonts w:ascii="Arial Narrow" w:hAnsi="Arial Narrow" w:cs="Arial"/>
                <w:sz w:val="24"/>
                <w:szCs w:val="24"/>
              </w:rPr>
              <w:t xml:space="preserve"> pleas and the disposal of them</w:t>
            </w:r>
            <w:r w:rsidR="00237C0E" w:rsidRPr="00E31D89">
              <w:rPr>
                <w:rFonts w:ascii="Arial Narrow" w:hAnsi="Arial Narrow" w:cs="Arial"/>
                <w:sz w:val="24"/>
                <w:szCs w:val="24"/>
              </w:rPr>
              <w:t xml:space="preserve"> were never raised in this report.</w:t>
            </w:r>
          </w:p>
          <w:p w:rsidR="00237C0E" w:rsidRPr="00E31D89" w:rsidRDefault="00237C0E" w:rsidP="00051F74">
            <w:pPr>
              <w:tabs>
                <w:tab w:val="left" w:pos="560"/>
              </w:tabs>
              <w:spacing w:after="0" w:line="360" w:lineRule="auto"/>
              <w:jc w:val="both"/>
              <w:rPr>
                <w:rFonts w:ascii="Arial Narrow" w:hAnsi="Arial Narrow" w:cs="Arial"/>
                <w:sz w:val="24"/>
                <w:szCs w:val="24"/>
              </w:rPr>
            </w:pPr>
          </w:p>
          <w:p w:rsidR="00237C0E" w:rsidRPr="00E31D89" w:rsidRDefault="00A4240B" w:rsidP="00051F7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[3]      </w:t>
            </w:r>
            <w:r w:rsidR="00237C0E" w:rsidRPr="00E31D89">
              <w:rPr>
                <w:rFonts w:ascii="Arial Narrow" w:hAnsi="Arial Narrow" w:cs="Arial"/>
                <w:sz w:val="24"/>
                <w:szCs w:val="24"/>
              </w:rPr>
              <w:t>On 22 June 2020 the parties filed a joint proposed pre-trial report setting out the issues of dis</w:t>
            </w:r>
            <w:r w:rsidR="00EF58D7">
              <w:rPr>
                <w:rFonts w:ascii="Arial Narrow" w:hAnsi="Arial Narrow" w:cs="Arial"/>
                <w:sz w:val="24"/>
                <w:szCs w:val="24"/>
              </w:rPr>
              <w:t xml:space="preserve">pute to be </w:t>
            </w:r>
            <w:r w:rsidR="00EF58D7" w:rsidRPr="00B73E0A">
              <w:rPr>
                <w:rFonts w:ascii="Arial Narrow" w:hAnsi="Arial Narrow" w:cs="Arial"/>
                <w:sz w:val="24"/>
                <w:szCs w:val="24"/>
              </w:rPr>
              <w:t>resolved at</w:t>
            </w:r>
            <w:r w:rsidR="007831A2" w:rsidRPr="00B73E0A">
              <w:rPr>
                <w:rFonts w:ascii="Arial Narrow" w:hAnsi="Arial Narrow" w:cs="Arial"/>
                <w:sz w:val="24"/>
                <w:szCs w:val="24"/>
              </w:rPr>
              <w:t xml:space="preserve"> trial</w:t>
            </w:r>
            <w:r w:rsidR="00237C0E" w:rsidRPr="00B73E0A">
              <w:rPr>
                <w:rFonts w:ascii="Arial Narrow" w:hAnsi="Arial Narrow" w:cs="Arial"/>
                <w:sz w:val="24"/>
                <w:szCs w:val="24"/>
              </w:rPr>
              <w:t xml:space="preserve">,  issues of law to be resolved at the trial, facts not in dispute, witnesses they intend to call and those to be called </w:t>
            </w:r>
            <w:r w:rsidR="00237C0E" w:rsidRPr="00E31D89">
              <w:rPr>
                <w:rFonts w:ascii="Arial Narrow" w:hAnsi="Arial Narrow" w:cs="Arial"/>
                <w:sz w:val="24"/>
                <w:szCs w:val="24"/>
              </w:rPr>
              <w:t>by way of subpoena</w:t>
            </w:r>
            <w:r w:rsidR="004E29B1" w:rsidRPr="00E31D89">
              <w:rPr>
                <w:rFonts w:ascii="Arial Narrow" w:hAnsi="Arial Narrow" w:cs="Arial"/>
                <w:sz w:val="24"/>
                <w:szCs w:val="24"/>
              </w:rPr>
              <w:t xml:space="preserve">, evidence to be taken on commission if any, exhibits to be introduced as evidence at the trial, plans, photos, diagrams and models to be used, an indication of the anticipated length of trial, who will carry the duty to index and paginate the trial bundles, any measures to expediting the trial, the provision of trial particulars, addressing prospects of settlement and alternative dispute resolution and the possibility of transferring the case.  Again no explicit </w:t>
            </w:r>
            <w:r w:rsidR="00EF58D7">
              <w:rPr>
                <w:rFonts w:ascii="Arial Narrow" w:hAnsi="Arial Narrow" w:cs="Arial"/>
                <w:sz w:val="24"/>
                <w:szCs w:val="24"/>
              </w:rPr>
              <w:t>mention</w:t>
            </w:r>
            <w:r w:rsidR="004E29B1" w:rsidRPr="00E31D89">
              <w:rPr>
                <w:rFonts w:ascii="Arial Narrow" w:hAnsi="Arial Narrow" w:cs="Arial"/>
                <w:sz w:val="24"/>
                <w:szCs w:val="24"/>
              </w:rPr>
              <w:t xml:space="preserve"> is made for the special pl</w:t>
            </w:r>
            <w:r w:rsidR="007831A2">
              <w:rPr>
                <w:rFonts w:ascii="Arial Narrow" w:hAnsi="Arial Narrow" w:cs="Arial"/>
                <w:sz w:val="24"/>
                <w:szCs w:val="24"/>
              </w:rPr>
              <w:t xml:space="preserve">eas pleaded by the defendants. </w:t>
            </w:r>
            <w:r w:rsidR="004E29B1" w:rsidRPr="00E31D89">
              <w:rPr>
                <w:rFonts w:ascii="Arial Narrow" w:hAnsi="Arial Narrow" w:cs="Arial"/>
                <w:sz w:val="24"/>
                <w:szCs w:val="24"/>
              </w:rPr>
              <w:t xml:space="preserve">The pre-trial order which was made on 6 July 2020 then incorporated these answers and it </w:t>
            </w:r>
            <w:r w:rsidR="004E29B1" w:rsidRPr="00B73E0A">
              <w:rPr>
                <w:rFonts w:ascii="Arial Narrow" w:hAnsi="Arial Narrow" w:cs="Arial"/>
                <w:sz w:val="24"/>
                <w:szCs w:val="24"/>
              </w:rPr>
              <w:t xml:space="preserve">was made an order of court.  The matter was subsequently set down for trial on the roll for </w:t>
            </w:r>
            <w:r w:rsidR="006808F0" w:rsidRPr="00B73E0A">
              <w:rPr>
                <w:rFonts w:ascii="Arial Narrow" w:hAnsi="Arial Narrow" w:cs="Arial"/>
                <w:sz w:val="24"/>
                <w:szCs w:val="24"/>
              </w:rPr>
              <w:t>19</w:t>
            </w:r>
            <w:r w:rsidR="004E29B1" w:rsidRPr="00B73E0A">
              <w:rPr>
                <w:rFonts w:ascii="Arial Narrow" w:hAnsi="Arial Narrow" w:cs="Arial"/>
                <w:sz w:val="24"/>
                <w:szCs w:val="24"/>
              </w:rPr>
              <w:t xml:space="preserve"> – </w:t>
            </w:r>
            <w:r w:rsidR="006808F0" w:rsidRPr="00B73E0A">
              <w:rPr>
                <w:rFonts w:ascii="Arial Narrow" w:hAnsi="Arial Narrow" w:cs="Arial"/>
                <w:sz w:val="24"/>
                <w:szCs w:val="24"/>
              </w:rPr>
              <w:t>23</w:t>
            </w:r>
            <w:r w:rsidR="00EF58D7" w:rsidRPr="00B73E0A">
              <w:rPr>
                <w:rFonts w:ascii="Arial Narrow" w:hAnsi="Arial Narrow" w:cs="Arial"/>
                <w:sz w:val="24"/>
                <w:szCs w:val="24"/>
              </w:rPr>
              <w:t xml:space="preserve"> October 2020 and for</w:t>
            </w:r>
            <w:r w:rsidR="007831A2" w:rsidRPr="00B73E0A">
              <w:rPr>
                <w:rFonts w:ascii="Arial Narrow" w:hAnsi="Arial Narrow" w:cs="Arial"/>
                <w:sz w:val="24"/>
                <w:szCs w:val="24"/>
              </w:rPr>
              <w:t xml:space="preserve"> roll</w:t>
            </w:r>
            <w:r w:rsidR="007831A2">
              <w:rPr>
                <w:rFonts w:ascii="Arial Narrow" w:hAnsi="Arial Narrow" w:cs="Arial"/>
                <w:sz w:val="24"/>
                <w:szCs w:val="24"/>
              </w:rPr>
              <w:t>-call</w:t>
            </w:r>
            <w:r w:rsidR="004E29B1" w:rsidRPr="00E31D89">
              <w:rPr>
                <w:rFonts w:ascii="Arial Narrow" w:hAnsi="Arial Narrow" w:cs="Arial"/>
                <w:sz w:val="24"/>
                <w:szCs w:val="24"/>
              </w:rPr>
              <w:t xml:space="preserve"> the Friday before the trial is set to start, being </w:t>
            </w:r>
            <w:r w:rsidR="006808F0">
              <w:rPr>
                <w:rFonts w:ascii="Arial Narrow" w:hAnsi="Arial Narrow" w:cs="Arial"/>
                <w:sz w:val="24"/>
                <w:szCs w:val="24"/>
              </w:rPr>
              <w:t>16</w:t>
            </w:r>
            <w:r w:rsidR="004E29B1" w:rsidRPr="00E31D89">
              <w:rPr>
                <w:rFonts w:ascii="Arial Narrow" w:hAnsi="Arial Narrow" w:cs="Arial"/>
                <w:sz w:val="24"/>
                <w:szCs w:val="24"/>
              </w:rPr>
              <w:t xml:space="preserve"> </w:t>
            </w:r>
            <w:r w:rsidR="004E29B1" w:rsidRPr="00E31D89">
              <w:rPr>
                <w:rFonts w:ascii="Arial Narrow" w:hAnsi="Arial Narrow" w:cs="Arial"/>
                <w:sz w:val="24"/>
                <w:szCs w:val="24"/>
              </w:rPr>
              <w:lastRenderedPageBreak/>
              <w:t xml:space="preserve">October 2020.  </w:t>
            </w:r>
            <w:r w:rsidR="007831A2">
              <w:rPr>
                <w:rFonts w:ascii="Arial Narrow" w:hAnsi="Arial Narrow" w:cs="Arial"/>
                <w:sz w:val="24"/>
                <w:szCs w:val="24"/>
              </w:rPr>
              <w:t>Both legal practitioners attende</w:t>
            </w:r>
            <w:r w:rsidR="004E29B1" w:rsidRPr="00E31D89">
              <w:rPr>
                <w:rFonts w:ascii="Arial Narrow" w:hAnsi="Arial Narrow" w:cs="Arial"/>
                <w:sz w:val="24"/>
                <w:szCs w:val="24"/>
              </w:rPr>
              <w:t xml:space="preserve">d the roll-call and indicated that the </w:t>
            </w:r>
            <w:r w:rsidR="007831A2">
              <w:rPr>
                <w:rFonts w:ascii="Arial Narrow" w:hAnsi="Arial Narrow" w:cs="Arial"/>
                <w:sz w:val="24"/>
                <w:szCs w:val="24"/>
              </w:rPr>
              <w:t>matter is ready to proceed on 19</w:t>
            </w:r>
            <w:r w:rsidR="004E29B1" w:rsidRPr="00E31D89">
              <w:rPr>
                <w:rFonts w:ascii="Arial Narrow" w:hAnsi="Arial Narrow" w:cs="Arial"/>
                <w:sz w:val="24"/>
                <w:szCs w:val="24"/>
              </w:rPr>
              <w:t xml:space="preserve"> October 2020 with trial.</w:t>
            </w:r>
          </w:p>
          <w:p w:rsidR="004E29B1" w:rsidRPr="00E31D89" w:rsidRDefault="004E29B1" w:rsidP="00051F74">
            <w:pPr>
              <w:tabs>
                <w:tab w:val="left" w:pos="560"/>
              </w:tabs>
              <w:spacing w:after="0" w:line="360" w:lineRule="auto"/>
              <w:jc w:val="both"/>
              <w:rPr>
                <w:rFonts w:ascii="Arial Narrow" w:hAnsi="Arial Narrow" w:cs="Arial"/>
                <w:sz w:val="24"/>
                <w:szCs w:val="24"/>
              </w:rPr>
            </w:pPr>
          </w:p>
          <w:p w:rsidR="004E29B1" w:rsidRPr="00B73E0A" w:rsidRDefault="007831A2" w:rsidP="00051F7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[4]  </w:t>
            </w:r>
            <w:r w:rsidR="00A4240B">
              <w:rPr>
                <w:rFonts w:ascii="Arial Narrow" w:hAnsi="Arial Narrow" w:cs="Arial"/>
                <w:sz w:val="24"/>
                <w:szCs w:val="24"/>
              </w:rPr>
              <w:t xml:space="preserve">  </w:t>
            </w:r>
            <w:r w:rsidR="004E29B1" w:rsidRPr="00E31D89">
              <w:rPr>
                <w:rFonts w:ascii="Arial Narrow" w:hAnsi="Arial Narrow" w:cs="Arial"/>
                <w:sz w:val="24"/>
                <w:szCs w:val="24"/>
              </w:rPr>
              <w:t xml:space="preserve">On </w:t>
            </w:r>
            <w:r w:rsidR="006808F0">
              <w:rPr>
                <w:rFonts w:ascii="Arial Narrow" w:hAnsi="Arial Narrow" w:cs="Arial"/>
                <w:sz w:val="24"/>
                <w:szCs w:val="24"/>
              </w:rPr>
              <w:t>19</w:t>
            </w:r>
            <w:r w:rsidR="004E29B1" w:rsidRPr="00E31D89">
              <w:rPr>
                <w:rFonts w:ascii="Arial Narrow" w:hAnsi="Arial Narrow" w:cs="Arial"/>
                <w:sz w:val="24"/>
                <w:szCs w:val="24"/>
              </w:rPr>
              <w:t xml:space="preserve"> October 2020</w:t>
            </w:r>
            <w:r>
              <w:rPr>
                <w:rFonts w:ascii="Arial Narrow" w:hAnsi="Arial Narrow" w:cs="Arial"/>
                <w:sz w:val="24"/>
                <w:szCs w:val="24"/>
              </w:rPr>
              <w:t>,</w:t>
            </w:r>
            <w:r w:rsidR="004E29B1" w:rsidRPr="00E31D89">
              <w:rPr>
                <w:rFonts w:ascii="Arial Narrow" w:hAnsi="Arial Narrow" w:cs="Arial"/>
                <w:sz w:val="24"/>
                <w:szCs w:val="24"/>
              </w:rPr>
              <w:t xml:space="preserve"> when the hearing commenced, the legal practitioner for the defendants, Mr. Kashindi addressed the court and indicated that the defendants still intend to raise their special pleas and that he intends to do</w:t>
            </w:r>
            <w:r>
              <w:rPr>
                <w:rFonts w:ascii="Arial Narrow" w:hAnsi="Arial Narrow" w:cs="Arial"/>
                <w:sz w:val="24"/>
                <w:szCs w:val="24"/>
              </w:rPr>
              <w:t xml:space="preserve"> it in argument.  The court</w:t>
            </w:r>
            <w:r w:rsidR="004E29B1" w:rsidRPr="00E31D89">
              <w:rPr>
                <w:rFonts w:ascii="Arial Narrow" w:hAnsi="Arial Narrow" w:cs="Arial"/>
                <w:sz w:val="24"/>
                <w:szCs w:val="24"/>
              </w:rPr>
              <w:t xml:space="preserve"> pointed out to Mr. Kashindi that he is bound to the pre-trial order and their memorandum and that these issues were never raise</w:t>
            </w:r>
            <w:r>
              <w:rPr>
                <w:rFonts w:ascii="Arial Narrow" w:hAnsi="Arial Narrow" w:cs="Arial"/>
                <w:sz w:val="24"/>
                <w:szCs w:val="24"/>
              </w:rPr>
              <w:t xml:space="preserve">d in the pre-trial memorandum. </w:t>
            </w:r>
            <w:r w:rsidR="004E29B1" w:rsidRPr="00E31D89">
              <w:rPr>
                <w:rFonts w:ascii="Arial Narrow" w:hAnsi="Arial Narrow" w:cs="Arial"/>
                <w:sz w:val="24"/>
                <w:szCs w:val="24"/>
              </w:rPr>
              <w:t xml:space="preserve">The legal practitioner for the plaintiff, Ms Siyomundji indicated to court that she was of the opinion that the special </w:t>
            </w:r>
            <w:r w:rsidR="004E29B1" w:rsidRPr="00B73E0A">
              <w:rPr>
                <w:rFonts w:ascii="Arial Narrow" w:hAnsi="Arial Narrow" w:cs="Arial"/>
                <w:sz w:val="24"/>
                <w:szCs w:val="24"/>
              </w:rPr>
              <w:t>pleas were abandoned as they were not dealt with in the pre-trial memorandum and subsequent orde</w:t>
            </w:r>
            <w:r w:rsidRPr="00B73E0A">
              <w:rPr>
                <w:rFonts w:ascii="Arial Narrow" w:hAnsi="Arial Narrow" w:cs="Arial"/>
                <w:sz w:val="24"/>
                <w:szCs w:val="24"/>
              </w:rPr>
              <w:t xml:space="preserve">r.  Upon </w:t>
            </w:r>
            <w:r w:rsidR="005F5A08" w:rsidRPr="00B73E0A">
              <w:rPr>
                <w:rFonts w:ascii="Arial Narrow" w:hAnsi="Arial Narrow" w:cs="Arial"/>
                <w:sz w:val="24"/>
                <w:szCs w:val="24"/>
              </w:rPr>
              <w:t>question</w:t>
            </w:r>
            <w:r w:rsidRPr="00B73E0A">
              <w:rPr>
                <w:rFonts w:ascii="Arial Narrow" w:hAnsi="Arial Narrow" w:cs="Arial"/>
                <w:sz w:val="24"/>
                <w:szCs w:val="24"/>
              </w:rPr>
              <w:t>ing</w:t>
            </w:r>
            <w:r w:rsidR="00EF58D7" w:rsidRPr="00B73E0A">
              <w:rPr>
                <w:rFonts w:ascii="Arial Narrow" w:hAnsi="Arial Narrow" w:cs="Arial"/>
                <w:sz w:val="24"/>
                <w:szCs w:val="24"/>
              </w:rPr>
              <w:t xml:space="preserve"> by</w:t>
            </w:r>
            <w:r w:rsidR="005F5A08" w:rsidRPr="00B73E0A">
              <w:rPr>
                <w:rFonts w:ascii="Arial Narrow" w:hAnsi="Arial Narrow" w:cs="Arial"/>
                <w:sz w:val="24"/>
                <w:szCs w:val="24"/>
              </w:rPr>
              <w:t xml:space="preserve"> the court why this was not raised at roll-call on </w:t>
            </w:r>
            <w:r w:rsidR="006808F0" w:rsidRPr="00B73E0A">
              <w:rPr>
                <w:rFonts w:ascii="Arial Narrow" w:hAnsi="Arial Narrow" w:cs="Arial"/>
                <w:sz w:val="24"/>
                <w:szCs w:val="24"/>
              </w:rPr>
              <w:t>16</w:t>
            </w:r>
            <w:r w:rsidR="005F5A08" w:rsidRPr="00B73E0A">
              <w:rPr>
                <w:rFonts w:ascii="Arial Narrow" w:hAnsi="Arial Narrow" w:cs="Arial"/>
                <w:sz w:val="24"/>
                <w:szCs w:val="24"/>
              </w:rPr>
              <w:t xml:space="preserve"> October 2020, Mr. Kashindi indicated that he only realised that special pleas were</w:t>
            </w:r>
            <w:r w:rsidR="000C4E81" w:rsidRPr="00B73E0A">
              <w:rPr>
                <w:rFonts w:ascii="Arial Narrow" w:hAnsi="Arial Narrow" w:cs="Arial"/>
                <w:sz w:val="24"/>
                <w:szCs w:val="24"/>
              </w:rPr>
              <w:t xml:space="preserve"> </w:t>
            </w:r>
            <w:r w:rsidR="005F5A08" w:rsidRPr="00B73E0A">
              <w:rPr>
                <w:rFonts w:ascii="Arial Narrow" w:hAnsi="Arial Narrow" w:cs="Arial"/>
                <w:sz w:val="24"/>
                <w:szCs w:val="24"/>
              </w:rPr>
              <w:t>raised when he prepared</w:t>
            </w:r>
            <w:r w:rsidRPr="00B73E0A">
              <w:rPr>
                <w:rFonts w:ascii="Arial Narrow" w:hAnsi="Arial Narrow" w:cs="Arial"/>
                <w:sz w:val="24"/>
                <w:szCs w:val="24"/>
              </w:rPr>
              <w:t xml:space="preserve"> for trial during the weekend 17 -18</w:t>
            </w:r>
            <w:r w:rsidR="005F5A08" w:rsidRPr="00B73E0A">
              <w:rPr>
                <w:rFonts w:ascii="Arial Narrow" w:hAnsi="Arial Narrow" w:cs="Arial"/>
                <w:sz w:val="24"/>
                <w:szCs w:val="24"/>
              </w:rPr>
              <w:t xml:space="preserve"> October 2020.</w:t>
            </w:r>
          </w:p>
          <w:p w:rsidR="005F5A08" w:rsidRPr="00B73E0A" w:rsidRDefault="005F5A08" w:rsidP="00051F74">
            <w:pPr>
              <w:tabs>
                <w:tab w:val="left" w:pos="560"/>
              </w:tabs>
              <w:spacing w:after="0" w:line="360" w:lineRule="auto"/>
              <w:jc w:val="both"/>
              <w:rPr>
                <w:rFonts w:ascii="Arial Narrow" w:hAnsi="Arial Narrow" w:cs="Arial"/>
                <w:sz w:val="24"/>
                <w:szCs w:val="24"/>
              </w:rPr>
            </w:pPr>
          </w:p>
          <w:p w:rsidR="005F5A08" w:rsidRDefault="00D765B6" w:rsidP="00051F7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[5]     </w:t>
            </w:r>
            <w:r w:rsidR="005F5A08" w:rsidRPr="00E31D89">
              <w:rPr>
                <w:rFonts w:ascii="Arial Narrow" w:hAnsi="Arial Narrow" w:cs="Arial"/>
                <w:sz w:val="24"/>
                <w:szCs w:val="24"/>
              </w:rPr>
              <w:t>The legal practitioner for the defendants indicated that he wish</w:t>
            </w:r>
            <w:r w:rsidR="000C4E81">
              <w:rPr>
                <w:rFonts w:ascii="Arial Narrow" w:hAnsi="Arial Narrow" w:cs="Arial"/>
                <w:sz w:val="24"/>
                <w:szCs w:val="24"/>
              </w:rPr>
              <w:t>es</w:t>
            </w:r>
            <w:r w:rsidR="005F5A08" w:rsidRPr="00E31D89">
              <w:rPr>
                <w:rFonts w:ascii="Arial Narrow" w:hAnsi="Arial Narrow" w:cs="Arial"/>
                <w:sz w:val="24"/>
                <w:szCs w:val="24"/>
              </w:rPr>
              <w:t xml:space="preserve"> to bring a formal application to amend the pre-trial order and to include the issues raised with the special pleas.  He was then allowed to bring such an application and filed an application seeking the following orders:</w:t>
            </w:r>
          </w:p>
          <w:p w:rsidR="000C4E81" w:rsidRPr="00E31D89" w:rsidRDefault="000C4E81" w:rsidP="00051F74">
            <w:pPr>
              <w:tabs>
                <w:tab w:val="left" w:pos="560"/>
              </w:tabs>
              <w:spacing w:after="0" w:line="360" w:lineRule="auto"/>
              <w:jc w:val="both"/>
              <w:rPr>
                <w:rFonts w:ascii="Arial Narrow" w:hAnsi="Arial Narrow" w:cs="Arial"/>
                <w:sz w:val="24"/>
                <w:szCs w:val="24"/>
              </w:rPr>
            </w:pPr>
          </w:p>
          <w:p w:rsidR="005F5A08" w:rsidRPr="00E31D89" w:rsidRDefault="005F5A08" w:rsidP="00051F74">
            <w:pPr>
              <w:tabs>
                <w:tab w:val="left" w:pos="560"/>
              </w:tabs>
              <w:spacing w:after="0" w:line="360" w:lineRule="auto"/>
              <w:jc w:val="both"/>
              <w:rPr>
                <w:rFonts w:ascii="Arial Narrow" w:hAnsi="Arial Narrow" w:cs="Arial"/>
                <w:sz w:val="24"/>
                <w:szCs w:val="24"/>
              </w:rPr>
            </w:pPr>
            <w:r w:rsidRPr="00E31D89">
              <w:rPr>
                <w:rFonts w:ascii="Arial Narrow" w:hAnsi="Arial Narrow" w:cs="Arial"/>
                <w:sz w:val="24"/>
                <w:szCs w:val="24"/>
              </w:rPr>
              <w:t>1. Granting the defendants leave to amend paragraph 2 of the Pre-Trial Report dated 18</w:t>
            </w:r>
            <w:r w:rsidRPr="00E31D89">
              <w:rPr>
                <w:rFonts w:ascii="Arial Narrow" w:hAnsi="Arial Narrow" w:cs="Arial"/>
                <w:sz w:val="24"/>
                <w:szCs w:val="24"/>
                <w:vertAlign w:val="superscript"/>
              </w:rPr>
              <w:t>th</w:t>
            </w:r>
            <w:r w:rsidRPr="00E31D89">
              <w:rPr>
                <w:rFonts w:ascii="Arial Narrow" w:hAnsi="Arial Narrow" w:cs="Arial"/>
                <w:sz w:val="24"/>
                <w:szCs w:val="24"/>
              </w:rPr>
              <w:t xml:space="preserve"> of June 2020 to include the special pleas raised by the defendants in their Plea dated 31</w:t>
            </w:r>
            <w:r w:rsidRPr="00E31D89">
              <w:rPr>
                <w:rFonts w:ascii="Arial Narrow" w:hAnsi="Arial Narrow" w:cs="Arial"/>
                <w:sz w:val="24"/>
                <w:szCs w:val="24"/>
                <w:vertAlign w:val="superscript"/>
              </w:rPr>
              <w:t>st</w:t>
            </w:r>
            <w:r w:rsidRPr="00E31D89">
              <w:rPr>
                <w:rFonts w:ascii="Arial Narrow" w:hAnsi="Arial Narrow" w:cs="Arial"/>
                <w:sz w:val="24"/>
                <w:szCs w:val="24"/>
              </w:rPr>
              <w:t xml:space="preserve"> January 2020 and to amend para 4 of the Pre-Tr</w:t>
            </w:r>
            <w:r w:rsidR="007831A2">
              <w:rPr>
                <w:rFonts w:ascii="Arial Narrow" w:hAnsi="Arial Narrow" w:cs="Arial"/>
                <w:sz w:val="24"/>
                <w:szCs w:val="24"/>
              </w:rPr>
              <w:t xml:space="preserve">ial Report to include the name </w:t>
            </w:r>
            <w:r w:rsidRPr="00E31D89">
              <w:rPr>
                <w:rFonts w:ascii="Arial Narrow" w:hAnsi="Arial Narrow" w:cs="Arial"/>
                <w:sz w:val="24"/>
                <w:szCs w:val="24"/>
              </w:rPr>
              <w:t>of the Defendants’ Expert Witness, Mr. Michael Tangeni Shilumbi in the pre-trial report.</w:t>
            </w:r>
          </w:p>
          <w:p w:rsidR="005F5A08" w:rsidRPr="00E31D89" w:rsidRDefault="005F5A08" w:rsidP="00051F74">
            <w:pPr>
              <w:tabs>
                <w:tab w:val="left" w:pos="560"/>
              </w:tabs>
              <w:spacing w:after="0" w:line="360" w:lineRule="auto"/>
              <w:jc w:val="both"/>
              <w:rPr>
                <w:rFonts w:ascii="Arial Narrow" w:hAnsi="Arial Narrow" w:cs="Arial"/>
                <w:sz w:val="24"/>
                <w:szCs w:val="24"/>
              </w:rPr>
            </w:pPr>
            <w:r w:rsidRPr="00E31D89">
              <w:rPr>
                <w:rFonts w:ascii="Arial Narrow" w:hAnsi="Arial Narrow" w:cs="Arial"/>
                <w:sz w:val="24"/>
                <w:szCs w:val="24"/>
              </w:rPr>
              <w:t>2.  Vacating the trial dates and setting a new date for the hearing of the special pleas.</w:t>
            </w:r>
          </w:p>
          <w:p w:rsidR="005F5A08" w:rsidRPr="00E31D89" w:rsidRDefault="005F5A08" w:rsidP="00051F74">
            <w:pPr>
              <w:tabs>
                <w:tab w:val="left" w:pos="560"/>
              </w:tabs>
              <w:spacing w:after="0" w:line="360" w:lineRule="auto"/>
              <w:jc w:val="both"/>
              <w:rPr>
                <w:rFonts w:ascii="Arial Narrow" w:hAnsi="Arial Narrow" w:cs="Arial"/>
                <w:sz w:val="24"/>
                <w:szCs w:val="24"/>
              </w:rPr>
            </w:pPr>
            <w:r w:rsidRPr="00E31D89">
              <w:rPr>
                <w:rFonts w:ascii="Arial Narrow" w:hAnsi="Arial Narrow" w:cs="Arial"/>
                <w:sz w:val="24"/>
                <w:szCs w:val="24"/>
              </w:rPr>
              <w:t xml:space="preserve">3.  Further and/or alternative relief.  </w:t>
            </w:r>
          </w:p>
          <w:p w:rsidR="00B95327" w:rsidRPr="00E31D89" w:rsidRDefault="00B95327" w:rsidP="00051F74">
            <w:pPr>
              <w:tabs>
                <w:tab w:val="left" w:pos="560"/>
              </w:tabs>
              <w:spacing w:after="0" w:line="360" w:lineRule="auto"/>
              <w:jc w:val="both"/>
              <w:rPr>
                <w:rFonts w:ascii="Arial Narrow" w:hAnsi="Arial Narrow" w:cs="Arial"/>
                <w:sz w:val="24"/>
                <w:szCs w:val="24"/>
              </w:rPr>
            </w:pPr>
          </w:p>
          <w:p w:rsidR="00B95327" w:rsidRPr="00E31D89" w:rsidRDefault="007831A2" w:rsidP="00051F7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[6]  </w:t>
            </w:r>
            <w:r w:rsidR="00D765B6">
              <w:rPr>
                <w:rFonts w:ascii="Arial Narrow" w:hAnsi="Arial Narrow" w:cs="Arial"/>
                <w:sz w:val="24"/>
                <w:szCs w:val="24"/>
              </w:rPr>
              <w:t xml:space="preserve">  </w:t>
            </w:r>
            <w:r>
              <w:rPr>
                <w:rFonts w:ascii="Arial Narrow" w:hAnsi="Arial Narrow" w:cs="Arial"/>
                <w:sz w:val="24"/>
                <w:szCs w:val="24"/>
              </w:rPr>
              <w:t xml:space="preserve">  The</w:t>
            </w:r>
            <w:r w:rsidR="00B95327" w:rsidRPr="00E31D89">
              <w:rPr>
                <w:rFonts w:ascii="Arial Narrow" w:hAnsi="Arial Narrow" w:cs="Arial"/>
                <w:sz w:val="24"/>
                <w:szCs w:val="24"/>
              </w:rPr>
              <w:t xml:space="preserve"> application is supported by the affidavits of Allen Bwendo and Mathias Shanghala Kashindi.  Allen Bwendo stated that he was advised by the defendants’ legal practitioner of record that he has not been able to include the defendants’ special pleas and name of the expert witness in the pre-trial report and he only became aware of that omission during the weekend of 17 – 18 October 2020 when he was preparing for the trial.  He confirmed that the defen</w:t>
            </w:r>
            <w:r w:rsidR="000C4E81">
              <w:rPr>
                <w:rFonts w:ascii="Arial Narrow" w:hAnsi="Arial Narrow" w:cs="Arial"/>
                <w:sz w:val="24"/>
                <w:szCs w:val="24"/>
              </w:rPr>
              <w:t>dants did not waive or abandon their special pleas</w:t>
            </w:r>
            <w:r w:rsidR="00B95327" w:rsidRPr="00E31D89">
              <w:rPr>
                <w:rFonts w:ascii="Arial Narrow" w:hAnsi="Arial Narrow" w:cs="Arial"/>
                <w:sz w:val="24"/>
                <w:szCs w:val="24"/>
              </w:rPr>
              <w:t>.  He explains that the special plea of non-joinder relates to the Prosecutor-General who is not only a necessary party to the proceedings but also an interested party as it is common cause that the warrant of apprehension and the subsequent prosecution was done by the Prosecutor-G</w:t>
            </w:r>
            <w:r w:rsidR="000C4E81">
              <w:rPr>
                <w:rFonts w:ascii="Arial Narrow" w:hAnsi="Arial Narrow" w:cs="Arial"/>
                <w:sz w:val="24"/>
                <w:szCs w:val="24"/>
              </w:rPr>
              <w:t xml:space="preserve">eneral. </w:t>
            </w:r>
            <w:r w:rsidR="001E1251" w:rsidRPr="00E31D89">
              <w:rPr>
                <w:rFonts w:ascii="Arial Narrow" w:hAnsi="Arial Narrow" w:cs="Arial"/>
                <w:sz w:val="24"/>
                <w:szCs w:val="24"/>
              </w:rPr>
              <w:t>Mathias Shanghala Kashindi filed a confirmatory affidavit.</w:t>
            </w:r>
          </w:p>
          <w:p w:rsidR="001E1251" w:rsidRPr="00E31D89" w:rsidRDefault="001E1251" w:rsidP="00051F74">
            <w:pPr>
              <w:tabs>
                <w:tab w:val="left" w:pos="560"/>
              </w:tabs>
              <w:spacing w:after="0" w:line="360" w:lineRule="auto"/>
              <w:jc w:val="both"/>
              <w:rPr>
                <w:rFonts w:ascii="Arial Narrow" w:hAnsi="Arial Narrow" w:cs="Arial"/>
                <w:sz w:val="24"/>
                <w:szCs w:val="24"/>
              </w:rPr>
            </w:pPr>
          </w:p>
          <w:p w:rsidR="001E1251" w:rsidRPr="00E31D89" w:rsidRDefault="00D765B6" w:rsidP="00051F7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lastRenderedPageBreak/>
              <w:t xml:space="preserve">[7]   </w:t>
            </w:r>
            <w:r w:rsidR="007831A2">
              <w:rPr>
                <w:rFonts w:ascii="Arial Narrow" w:hAnsi="Arial Narrow" w:cs="Arial"/>
                <w:sz w:val="24"/>
                <w:szCs w:val="24"/>
              </w:rPr>
              <w:t xml:space="preserve"> The</w:t>
            </w:r>
            <w:r w:rsidR="001E1251" w:rsidRPr="00E31D89">
              <w:rPr>
                <w:rFonts w:ascii="Arial Narrow" w:hAnsi="Arial Narrow" w:cs="Arial"/>
                <w:sz w:val="24"/>
                <w:szCs w:val="24"/>
              </w:rPr>
              <w:t xml:space="preserve"> application was opposed by the plaintiff and he filled an affidavit setting o</w:t>
            </w:r>
            <w:r w:rsidR="000C4E81">
              <w:rPr>
                <w:rFonts w:ascii="Arial Narrow" w:hAnsi="Arial Narrow" w:cs="Arial"/>
                <w:sz w:val="24"/>
                <w:szCs w:val="24"/>
              </w:rPr>
              <w:t xml:space="preserve">ut his grounds for opposition. </w:t>
            </w:r>
            <w:r w:rsidR="001E1251" w:rsidRPr="00E31D89">
              <w:rPr>
                <w:rFonts w:ascii="Arial Narrow" w:hAnsi="Arial Narrow" w:cs="Arial"/>
                <w:sz w:val="24"/>
                <w:szCs w:val="24"/>
              </w:rPr>
              <w:t>He referred the</w:t>
            </w:r>
            <w:r w:rsidR="000C4E81">
              <w:rPr>
                <w:rFonts w:ascii="Arial Narrow" w:hAnsi="Arial Narrow" w:cs="Arial"/>
                <w:sz w:val="24"/>
                <w:szCs w:val="24"/>
              </w:rPr>
              <w:t xml:space="preserve"> court to the Case M</w:t>
            </w:r>
            <w:r w:rsidR="00B0776A">
              <w:rPr>
                <w:rFonts w:ascii="Arial Narrow" w:hAnsi="Arial Narrow" w:cs="Arial"/>
                <w:sz w:val="24"/>
                <w:szCs w:val="24"/>
              </w:rPr>
              <w:t>anagement Re</w:t>
            </w:r>
            <w:r w:rsidR="001E1251" w:rsidRPr="00E31D89">
              <w:rPr>
                <w:rFonts w:ascii="Arial Narrow" w:hAnsi="Arial Narrow" w:cs="Arial"/>
                <w:sz w:val="24"/>
                <w:szCs w:val="24"/>
              </w:rPr>
              <w:t xml:space="preserve">port and subsequent order which also did not deal with any of the pleas the defendants now want to raise as special pleas and again in the pre-trial report and subsequent order, the pleas are also not mentioned.  He indicated that he will suffer serious prejudice if the matter is set back a few steps as there </w:t>
            </w:r>
            <w:r w:rsidR="00CF062D" w:rsidRPr="00E31D89">
              <w:rPr>
                <w:rFonts w:ascii="Arial Narrow" w:hAnsi="Arial Narrow" w:cs="Arial"/>
                <w:sz w:val="24"/>
                <w:szCs w:val="24"/>
              </w:rPr>
              <w:t>are</w:t>
            </w:r>
            <w:r w:rsidR="001E1251" w:rsidRPr="00E31D89">
              <w:rPr>
                <w:rFonts w:ascii="Arial Narrow" w:hAnsi="Arial Narrow" w:cs="Arial"/>
                <w:sz w:val="24"/>
                <w:szCs w:val="24"/>
              </w:rPr>
              <w:t xml:space="preserve"> no more dates available for trial during this year and he is entitled to have his mat</w:t>
            </w:r>
            <w:r w:rsidR="00301BFE">
              <w:rPr>
                <w:rFonts w:ascii="Arial Narrow" w:hAnsi="Arial Narrow" w:cs="Arial"/>
                <w:sz w:val="24"/>
                <w:szCs w:val="24"/>
              </w:rPr>
              <w:t>ter heard as soon as possible.</w:t>
            </w:r>
          </w:p>
          <w:p w:rsidR="001E1251" w:rsidRPr="00E31D89" w:rsidRDefault="001E1251" w:rsidP="00051F74">
            <w:pPr>
              <w:tabs>
                <w:tab w:val="left" w:pos="560"/>
              </w:tabs>
              <w:spacing w:after="0" w:line="360" w:lineRule="auto"/>
              <w:jc w:val="both"/>
              <w:rPr>
                <w:rFonts w:ascii="Arial Narrow" w:hAnsi="Arial Narrow" w:cs="Arial"/>
                <w:sz w:val="24"/>
                <w:szCs w:val="24"/>
                <w:u w:val="single"/>
              </w:rPr>
            </w:pPr>
          </w:p>
          <w:p w:rsidR="00251E33" w:rsidRDefault="001E1251" w:rsidP="00051F74">
            <w:pPr>
              <w:tabs>
                <w:tab w:val="left" w:pos="560"/>
              </w:tabs>
              <w:spacing w:after="0" w:line="360" w:lineRule="auto"/>
              <w:jc w:val="both"/>
              <w:rPr>
                <w:rFonts w:ascii="Arial Narrow" w:hAnsi="Arial Narrow" w:cs="Arial"/>
                <w:sz w:val="24"/>
                <w:szCs w:val="24"/>
              </w:rPr>
            </w:pPr>
            <w:r w:rsidRPr="00E31D89">
              <w:rPr>
                <w:rFonts w:ascii="Arial Narrow" w:hAnsi="Arial Narrow" w:cs="Arial"/>
                <w:sz w:val="24"/>
                <w:szCs w:val="24"/>
              </w:rPr>
              <w:t>[8]</w:t>
            </w:r>
            <w:r w:rsidR="0020207E" w:rsidRPr="00E31D89">
              <w:rPr>
                <w:rFonts w:ascii="Arial Narrow" w:hAnsi="Arial Narrow" w:cs="Arial"/>
                <w:sz w:val="24"/>
                <w:szCs w:val="24"/>
              </w:rPr>
              <w:t xml:space="preserve">     </w:t>
            </w:r>
            <w:r w:rsidR="00D765B6">
              <w:rPr>
                <w:rFonts w:ascii="Arial Narrow" w:hAnsi="Arial Narrow" w:cs="Arial"/>
                <w:sz w:val="24"/>
                <w:szCs w:val="24"/>
              </w:rPr>
              <w:t xml:space="preserve"> </w:t>
            </w:r>
            <w:r w:rsidR="00251E33" w:rsidRPr="00E31D89">
              <w:rPr>
                <w:rFonts w:ascii="Arial Narrow" w:hAnsi="Arial Narrow" w:cs="Arial"/>
                <w:sz w:val="24"/>
                <w:szCs w:val="24"/>
              </w:rPr>
              <w:t>Rule 26(10) of the High Court rules reads as follows:</w:t>
            </w:r>
          </w:p>
          <w:p w:rsidR="00301BFE" w:rsidRPr="00E31D89" w:rsidRDefault="00301BFE" w:rsidP="00051F74">
            <w:pPr>
              <w:tabs>
                <w:tab w:val="left" w:pos="560"/>
              </w:tabs>
              <w:spacing w:after="0" w:line="360" w:lineRule="auto"/>
              <w:jc w:val="both"/>
              <w:rPr>
                <w:rFonts w:ascii="Arial Narrow" w:hAnsi="Arial Narrow" w:cs="Arial"/>
                <w:sz w:val="24"/>
                <w:szCs w:val="24"/>
              </w:rPr>
            </w:pPr>
          </w:p>
          <w:p w:rsidR="000C4E81" w:rsidRDefault="000C4E81" w:rsidP="00251E33">
            <w:pPr>
              <w:tabs>
                <w:tab w:val="left" w:pos="560"/>
              </w:tabs>
              <w:spacing w:after="0" w:line="360" w:lineRule="auto"/>
              <w:jc w:val="both"/>
              <w:rPr>
                <w:rFonts w:ascii="Arial Narrow" w:hAnsi="Arial Narrow" w:cs="Arial"/>
              </w:rPr>
            </w:pPr>
            <w:r>
              <w:rPr>
                <w:rFonts w:ascii="Arial Narrow" w:hAnsi="Arial Narrow" w:cs="Arial"/>
              </w:rPr>
              <w:t xml:space="preserve">              ‘</w:t>
            </w:r>
            <w:r w:rsidR="00251E33" w:rsidRPr="006808F0">
              <w:rPr>
                <w:rFonts w:ascii="Arial Narrow" w:hAnsi="Arial Narrow" w:cs="Arial"/>
              </w:rPr>
              <w:t>Issues and disputes not set out in the pre-trial order will not be available to the parties at the trial, except with leave of the managing judge or cou</w:t>
            </w:r>
            <w:r>
              <w:rPr>
                <w:rFonts w:ascii="Arial Narrow" w:hAnsi="Arial Narrow" w:cs="Arial"/>
              </w:rPr>
              <w:t>rt granted on good cause shown.’</w:t>
            </w:r>
          </w:p>
          <w:p w:rsidR="00251E33" w:rsidRPr="006808F0" w:rsidRDefault="00251E33" w:rsidP="00251E33">
            <w:pPr>
              <w:tabs>
                <w:tab w:val="left" w:pos="560"/>
              </w:tabs>
              <w:spacing w:after="0" w:line="360" w:lineRule="auto"/>
              <w:jc w:val="both"/>
              <w:rPr>
                <w:rFonts w:ascii="Arial Narrow" w:hAnsi="Arial Narrow" w:cs="Arial"/>
              </w:rPr>
            </w:pPr>
          </w:p>
          <w:p w:rsidR="00251E33" w:rsidRPr="00E31D89" w:rsidRDefault="00251E33" w:rsidP="00251E33">
            <w:pPr>
              <w:tabs>
                <w:tab w:val="left" w:pos="560"/>
              </w:tabs>
              <w:spacing w:after="0" w:line="360" w:lineRule="auto"/>
              <w:jc w:val="both"/>
              <w:rPr>
                <w:rFonts w:ascii="Arial Narrow" w:hAnsi="Arial Narrow" w:cs="Arial"/>
                <w:sz w:val="24"/>
                <w:szCs w:val="24"/>
              </w:rPr>
            </w:pPr>
            <w:r w:rsidRPr="00E31D89">
              <w:rPr>
                <w:rFonts w:ascii="Arial Narrow" w:hAnsi="Arial Narrow" w:cs="Arial"/>
                <w:sz w:val="24"/>
                <w:szCs w:val="24"/>
              </w:rPr>
              <w:t>From the reading of this rule it is clear that issues not raised as disputed between the parties will not be available to the parties during the trial unless it is wit</w:t>
            </w:r>
            <w:r w:rsidR="000C4E81">
              <w:rPr>
                <w:rFonts w:ascii="Arial Narrow" w:hAnsi="Arial Narrow" w:cs="Arial"/>
                <w:sz w:val="24"/>
                <w:szCs w:val="24"/>
              </w:rPr>
              <w:t xml:space="preserve">h leave of the managing judge. </w:t>
            </w:r>
            <w:r w:rsidRPr="00E31D89">
              <w:rPr>
                <w:rFonts w:ascii="Arial Narrow" w:hAnsi="Arial Narrow" w:cs="Arial"/>
                <w:sz w:val="24"/>
                <w:szCs w:val="24"/>
              </w:rPr>
              <w:t xml:space="preserve">This matter was allocated for trial to myself and I therefore became ceased with the matter as from the time that it was assigned to me by the judge doing the roll call of matters ready for trial.  </w:t>
            </w:r>
            <w:r w:rsidR="003D748F" w:rsidRPr="00E31D89">
              <w:rPr>
                <w:rFonts w:ascii="Arial Narrow" w:hAnsi="Arial Narrow" w:cs="Arial"/>
                <w:sz w:val="24"/>
                <w:szCs w:val="24"/>
              </w:rPr>
              <w:t>This therefore means</w:t>
            </w:r>
            <w:r w:rsidRPr="00E31D89">
              <w:rPr>
                <w:rFonts w:ascii="Arial Narrow" w:hAnsi="Arial Narrow" w:cs="Arial"/>
                <w:sz w:val="24"/>
                <w:szCs w:val="24"/>
              </w:rPr>
              <w:t xml:space="preserve"> that the issue of the special pleas are not available to the defendant who pleaded them without leave of the managing judge, who in this instance now became </w:t>
            </w:r>
            <w:r w:rsidR="000C4E81">
              <w:rPr>
                <w:rFonts w:ascii="Arial Narrow" w:hAnsi="Arial Narrow" w:cs="Arial"/>
                <w:sz w:val="24"/>
                <w:szCs w:val="24"/>
              </w:rPr>
              <w:t xml:space="preserve">the trial judge. </w:t>
            </w:r>
            <w:r w:rsidRPr="00E31D89">
              <w:rPr>
                <w:rFonts w:ascii="Arial Narrow" w:hAnsi="Arial Narrow" w:cs="Arial"/>
                <w:sz w:val="24"/>
                <w:szCs w:val="24"/>
              </w:rPr>
              <w:t>Thes</w:t>
            </w:r>
            <w:r w:rsidR="000C4E81">
              <w:rPr>
                <w:rFonts w:ascii="Arial Narrow" w:hAnsi="Arial Narrow" w:cs="Arial"/>
                <w:sz w:val="24"/>
                <w:szCs w:val="24"/>
              </w:rPr>
              <w:t xml:space="preserve">e issues were also </w:t>
            </w:r>
            <w:r w:rsidR="000C4E81" w:rsidRPr="00B73E0A">
              <w:rPr>
                <w:rFonts w:ascii="Arial Narrow" w:hAnsi="Arial Narrow" w:cs="Arial"/>
                <w:sz w:val="24"/>
                <w:szCs w:val="24"/>
              </w:rPr>
              <w:t>not raised at</w:t>
            </w:r>
            <w:r w:rsidRPr="00B73E0A">
              <w:rPr>
                <w:rFonts w:ascii="Arial Narrow" w:hAnsi="Arial Narrow" w:cs="Arial"/>
                <w:sz w:val="24"/>
                <w:szCs w:val="24"/>
              </w:rPr>
              <w:t xml:space="preserve"> the case management sta</w:t>
            </w:r>
            <w:r w:rsidR="000C4E81" w:rsidRPr="00B73E0A">
              <w:rPr>
                <w:rFonts w:ascii="Arial Narrow" w:hAnsi="Arial Narrow" w:cs="Arial"/>
                <w:sz w:val="24"/>
                <w:szCs w:val="24"/>
              </w:rPr>
              <w:t xml:space="preserve">ge of the matter as an issue </w:t>
            </w:r>
            <w:r w:rsidR="000C4E81">
              <w:rPr>
                <w:rFonts w:ascii="Arial Narrow" w:hAnsi="Arial Narrow" w:cs="Arial"/>
                <w:sz w:val="24"/>
                <w:szCs w:val="24"/>
              </w:rPr>
              <w:t xml:space="preserve">to </w:t>
            </w:r>
            <w:r w:rsidRPr="00E31D89">
              <w:rPr>
                <w:rFonts w:ascii="Arial Narrow" w:hAnsi="Arial Narrow" w:cs="Arial"/>
                <w:sz w:val="24"/>
                <w:szCs w:val="24"/>
              </w:rPr>
              <w:t xml:space="preserve">be determined before trial.  </w:t>
            </w:r>
            <w:r w:rsidR="000C4E81">
              <w:rPr>
                <w:rFonts w:ascii="Arial Narrow" w:hAnsi="Arial Narrow" w:cs="Arial"/>
                <w:sz w:val="24"/>
                <w:szCs w:val="24"/>
              </w:rPr>
              <w:t>The d</w:t>
            </w:r>
            <w:r w:rsidRPr="00E31D89">
              <w:rPr>
                <w:rFonts w:ascii="Arial Narrow" w:hAnsi="Arial Narrow" w:cs="Arial"/>
                <w:sz w:val="24"/>
                <w:szCs w:val="24"/>
              </w:rPr>
              <w:t xml:space="preserve">efendant brought an application to amend the pre-trial order to include these issues and then, subsequently </w:t>
            </w:r>
            <w:r w:rsidR="00A839E3" w:rsidRPr="00E31D89">
              <w:rPr>
                <w:rFonts w:ascii="Arial Narrow" w:hAnsi="Arial Narrow" w:cs="Arial"/>
                <w:sz w:val="24"/>
                <w:szCs w:val="24"/>
              </w:rPr>
              <w:t>vacating</w:t>
            </w:r>
            <w:r w:rsidRPr="00E31D89">
              <w:rPr>
                <w:rFonts w:ascii="Arial Narrow" w:hAnsi="Arial Narrow" w:cs="Arial"/>
                <w:sz w:val="24"/>
                <w:szCs w:val="24"/>
              </w:rPr>
              <w:t xml:space="preserve"> the trial dates as the trial could not proceed.</w:t>
            </w:r>
          </w:p>
          <w:p w:rsidR="00793E7D" w:rsidRPr="00E31D89" w:rsidRDefault="00793E7D" w:rsidP="00051F74">
            <w:pPr>
              <w:tabs>
                <w:tab w:val="left" w:pos="560"/>
              </w:tabs>
              <w:spacing w:after="0" w:line="360" w:lineRule="auto"/>
              <w:jc w:val="both"/>
              <w:rPr>
                <w:rFonts w:ascii="Arial Narrow" w:hAnsi="Arial Narrow" w:cs="Arial"/>
                <w:sz w:val="24"/>
                <w:szCs w:val="24"/>
              </w:rPr>
            </w:pPr>
          </w:p>
          <w:p w:rsidR="00251E33" w:rsidRPr="00E31D89" w:rsidRDefault="00881784" w:rsidP="00051F74">
            <w:pPr>
              <w:tabs>
                <w:tab w:val="left" w:pos="560"/>
              </w:tabs>
              <w:spacing w:after="0" w:line="360" w:lineRule="auto"/>
              <w:jc w:val="both"/>
              <w:rPr>
                <w:rFonts w:ascii="Arial Narrow" w:hAnsi="Arial Narrow" w:cs="Arial"/>
                <w:sz w:val="24"/>
                <w:szCs w:val="24"/>
              </w:rPr>
            </w:pPr>
            <w:r w:rsidRPr="00E31D89">
              <w:rPr>
                <w:rFonts w:ascii="Arial Narrow" w:hAnsi="Arial Narrow" w:cs="Arial"/>
                <w:sz w:val="24"/>
                <w:szCs w:val="24"/>
              </w:rPr>
              <w:t xml:space="preserve">[9]   </w:t>
            </w:r>
            <w:r w:rsidR="00D765B6">
              <w:rPr>
                <w:rFonts w:ascii="Arial Narrow" w:hAnsi="Arial Narrow" w:cs="Arial"/>
                <w:sz w:val="24"/>
                <w:szCs w:val="24"/>
              </w:rPr>
              <w:t xml:space="preserve"> </w:t>
            </w:r>
            <w:r w:rsidR="00A4240B">
              <w:rPr>
                <w:rFonts w:ascii="Arial Narrow" w:hAnsi="Arial Narrow" w:cs="Arial"/>
                <w:sz w:val="24"/>
                <w:szCs w:val="24"/>
              </w:rPr>
              <w:t xml:space="preserve"> </w:t>
            </w:r>
            <w:r w:rsidRPr="00E31D89">
              <w:rPr>
                <w:rFonts w:ascii="Arial Narrow" w:hAnsi="Arial Narrow" w:cs="Arial"/>
                <w:sz w:val="24"/>
                <w:szCs w:val="24"/>
              </w:rPr>
              <w:t>When considering whether to grant or not this application, the court took into account rule 1 of the court  rules</w:t>
            </w:r>
            <w:r w:rsidR="00DF08CD" w:rsidRPr="00E31D89">
              <w:rPr>
                <w:rFonts w:ascii="Arial Narrow" w:hAnsi="Arial Narrow" w:cs="Arial"/>
                <w:sz w:val="24"/>
                <w:szCs w:val="24"/>
              </w:rPr>
              <w:t>, dealing with the overriding objective of the Judicial Case Management System</w:t>
            </w:r>
            <w:r w:rsidRPr="00E31D89">
              <w:rPr>
                <w:rFonts w:ascii="Arial Narrow" w:hAnsi="Arial Narrow" w:cs="Arial"/>
                <w:sz w:val="24"/>
                <w:szCs w:val="24"/>
              </w:rPr>
              <w:t xml:space="preserve"> which reads as follows:</w:t>
            </w:r>
          </w:p>
          <w:p w:rsidR="000C4E81" w:rsidRDefault="00DF08CD" w:rsidP="0020207E">
            <w:pPr>
              <w:tabs>
                <w:tab w:val="left" w:pos="560"/>
              </w:tabs>
              <w:spacing w:after="0" w:line="360" w:lineRule="auto"/>
              <w:jc w:val="both"/>
              <w:rPr>
                <w:rFonts w:ascii="Arial Narrow" w:hAnsi="Arial Narrow" w:cs="Arial"/>
              </w:rPr>
            </w:pPr>
            <w:r w:rsidRPr="006808F0">
              <w:rPr>
                <w:rFonts w:ascii="Arial Narrow" w:hAnsi="Arial Narrow" w:cs="Arial"/>
              </w:rPr>
              <w:t xml:space="preserve"> </w:t>
            </w:r>
            <w:r w:rsidR="00B0776A">
              <w:rPr>
                <w:rFonts w:ascii="Arial Narrow" w:hAnsi="Arial Narrow" w:cs="Arial"/>
              </w:rPr>
              <w:t xml:space="preserve">            </w:t>
            </w:r>
          </w:p>
          <w:p w:rsidR="0020207E" w:rsidRPr="006808F0" w:rsidRDefault="000C4E81" w:rsidP="0020207E">
            <w:pPr>
              <w:tabs>
                <w:tab w:val="left" w:pos="560"/>
              </w:tabs>
              <w:spacing w:after="0" w:line="360" w:lineRule="auto"/>
              <w:jc w:val="both"/>
              <w:rPr>
                <w:rFonts w:ascii="Arial Narrow" w:hAnsi="Arial Narrow" w:cs="Arial"/>
              </w:rPr>
            </w:pPr>
            <w:r>
              <w:rPr>
                <w:rFonts w:ascii="Arial Narrow" w:hAnsi="Arial Narrow" w:cs="Arial"/>
              </w:rPr>
              <w:t xml:space="preserve">         </w:t>
            </w:r>
            <w:r w:rsidR="00B0776A">
              <w:rPr>
                <w:rFonts w:ascii="Arial Narrow" w:hAnsi="Arial Narrow" w:cs="Arial"/>
              </w:rPr>
              <w:t xml:space="preserve">  ‘</w:t>
            </w:r>
            <w:r>
              <w:rPr>
                <w:rFonts w:ascii="Arial Narrow" w:hAnsi="Arial Narrow" w:cs="Arial"/>
              </w:rPr>
              <w:t xml:space="preserve">(3)  </w:t>
            </w:r>
            <w:r w:rsidR="00DF08CD" w:rsidRPr="006808F0">
              <w:rPr>
                <w:rFonts w:ascii="Arial Narrow" w:hAnsi="Arial Narrow" w:cs="Arial"/>
              </w:rPr>
              <w:t xml:space="preserve">The </w:t>
            </w:r>
            <w:r w:rsidR="00A96C4C" w:rsidRPr="006808F0">
              <w:rPr>
                <w:rFonts w:ascii="Arial Narrow" w:hAnsi="Arial Narrow" w:cs="Arial"/>
              </w:rPr>
              <w:t xml:space="preserve">overriding objective of these rules </w:t>
            </w:r>
            <w:r w:rsidR="0020207E" w:rsidRPr="006808F0">
              <w:rPr>
                <w:rFonts w:ascii="Arial Narrow" w:hAnsi="Arial Narrow" w:cs="Arial"/>
              </w:rPr>
              <w:t>is</w:t>
            </w:r>
            <w:r w:rsidR="00A96C4C" w:rsidRPr="006808F0">
              <w:rPr>
                <w:rFonts w:ascii="Arial Narrow" w:hAnsi="Arial Narrow" w:cs="Arial"/>
              </w:rPr>
              <w:t xml:space="preserve"> to facilitate the re</w:t>
            </w:r>
            <w:r w:rsidR="00DF08CD" w:rsidRPr="006808F0">
              <w:rPr>
                <w:rFonts w:ascii="Arial Narrow" w:hAnsi="Arial Narrow" w:cs="Arial"/>
              </w:rPr>
              <w:t xml:space="preserve">solution of the real issues </w:t>
            </w:r>
            <w:r w:rsidR="003D748F" w:rsidRPr="006808F0">
              <w:rPr>
                <w:rFonts w:ascii="Arial Narrow" w:hAnsi="Arial Narrow" w:cs="Arial"/>
              </w:rPr>
              <w:t xml:space="preserve">in dispute </w:t>
            </w:r>
            <w:r w:rsidR="00A96C4C" w:rsidRPr="006808F0">
              <w:rPr>
                <w:rFonts w:ascii="Arial Narrow" w:hAnsi="Arial Narrow" w:cs="Arial"/>
              </w:rPr>
              <w:t xml:space="preserve">justly </w:t>
            </w:r>
            <w:r w:rsidR="003D748F" w:rsidRPr="006808F0">
              <w:rPr>
                <w:rFonts w:ascii="Arial Narrow" w:hAnsi="Arial Narrow" w:cs="Arial"/>
              </w:rPr>
              <w:t>and</w:t>
            </w:r>
            <w:r w:rsidR="00DF08CD" w:rsidRPr="006808F0">
              <w:rPr>
                <w:rFonts w:ascii="Arial Narrow" w:hAnsi="Arial Narrow" w:cs="Arial"/>
              </w:rPr>
              <w:t xml:space="preserve"> </w:t>
            </w:r>
            <w:r w:rsidR="0020207E" w:rsidRPr="006808F0">
              <w:rPr>
                <w:rFonts w:ascii="Arial Narrow" w:hAnsi="Arial Narrow" w:cs="Arial"/>
              </w:rPr>
              <w:t>speedily,</w:t>
            </w:r>
            <w:r w:rsidR="00A96C4C" w:rsidRPr="006808F0">
              <w:rPr>
                <w:rFonts w:ascii="Arial Narrow" w:hAnsi="Arial Narrow" w:cs="Arial"/>
              </w:rPr>
              <w:t xml:space="preserve"> efficiently and cost effectively as far as practicable </w:t>
            </w:r>
            <w:r w:rsidR="0020207E" w:rsidRPr="006808F0">
              <w:rPr>
                <w:rFonts w:ascii="Arial Narrow" w:hAnsi="Arial Narrow" w:cs="Arial"/>
              </w:rPr>
              <w:t>by</w:t>
            </w:r>
            <w:r w:rsidR="0020207E" w:rsidRPr="006808F0">
              <w:rPr>
                <w:rFonts w:ascii="Arial Narrow" w:hAnsi="Arial Narrow" w:cs="Arial"/>
              </w:rPr>
              <w:tab/>
              <w:t>-</w:t>
            </w:r>
          </w:p>
          <w:p w:rsidR="0020207E" w:rsidRPr="006808F0" w:rsidRDefault="00A96C4C" w:rsidP="006A2E94">
            <w:pPr>
              <w:tabs>
                <w:tab w:val="left" w:pos="560"/>
              </w:tabs>
              <w:spacing w:after="0" w:line="360" w:lineRule="auto"/>
              <w:jc w:val="both"/>
              <w:rPr>
                <w:rFonts w:ascii="Arial Narrow" w:hAnsi="Arial Narrow" w:cs="Arial"/>
              </w:rPr>
            </w:pPr>
            <w:r w:rsidRPr="006808F0">
              <w:rPr>
                <w:rFonts w:ascii="Arial Narrow" w:hAnsi="Arial Narrow" w:cs="Arial"/>
              </w:rPr>
              <w:t xml:space="preserve">      (a)</w:t>
            </w:r>
            <w:r w:rsidRPr="006808F0">
              <w:rPr>
                <w:rFonts w:ascii="Arial Narrow" w:hAnsi="Arial Narrow" w:cs="Arial"/>
              </w:rPr>
              <w:tab/>
              <w:t xml:space="preserve"> ensuring that the parties </w:t>
            </w:r>
            <w:r w:rsidR="0020207E" w:rsidRPr="006808F0">
              <w:rPr>
                <w:rFonts w:ascii="Arial Narrow" w:hAnsi="Arial Narrow" w:cs="Arial"/>
              </w:rPr>
              <w:t>are</w:t>
            </w:r>
            <w:r w:rsidR="0020207E" w:rsidRPr="006808F0">
              <w:rPr>
                <w:rFonts w:ascii="Arial Narrow" w:hAnsi="Arial Narrow" w:cs="Arial"/>
              </w:rPr>
              <w:tab/>
            </w:r>
            <w:r w:rsidRPr="006808F0">
              <w:rPr>
                <w:rFonts w:ascii="Arial Narrow" w:hAnsi="Arial Narrow" w:cs="Arial"/>
              </w:rPr>
              <w:t xml:space="preserve"> on an equal </w:t>
            </w:r>
            <w:r w:rsidR="00094822" w:rsidRPr="006808F0">
              <w:rPr>
                <w:rFonts w:ascii="Arial Narrow" w:hAnsi="Arial Narrow" w:cs="Arial"/>
              </w:rPr>
              <w:t xml:space="preserve"> </w:t>
            </w:r>
            <w:r w:rsidR="0020207E" w:rsidRPr="006808F0">
              <w:rPr>
                <w:rFonts w:ascii="Arial Narrow" w:hAnsi="Arial Narrow" w:cs="Arial"/>
              </w:rPr>
              <w:t>footing;</w:t>
            </w:r>
          </w:p>
          <w:p w:rsidR="0020207E" w:rsidRPr="006808F0" w:rsidRDefault="006A2E94" w:rsidP="006A2E94">
            <w:pPr>
              <w:tabs>
                <w:tab w:val="left" w:pos="560"/>
              </w:tabs>
              <w:spacing w:after="0" w:line="360" w:lineRule="auto"/>
              <w:jc w:val="both"/>
              <w:rPr>
                <w:rFonts w:ascii="Arial Narrow" w:hAnsi="Arial Narrow" w:cs="Arial"/>
              </w:rPr>
            </w:pPr>
            <w:r w:rsidRPr="006808F0">
              <w:rPr>
                <w:rFonts w:ascii="Arial Narrow" w:hAnsi="Arial Narrow" w:cs="Arial"/>
              </w:rPr>
              <w:t xml:space="preserve">      (b) saving costs </w:t>
            </w:r>
            <w:r w:rsidR="0020207E" w:rsidRPr="006808F0">
              <w:rPr>
                <w:rFonts w:ascii="Arial Narrow" w:hAnsi="Arial Narrow" w:cs="Arial"/>
              </w:rPr>
              <w:t>by,</w:t>
            </w:r>
            <w:r w:rsidRPr="006808F0">
              <w:rPr>
                <w:rFonts w:ascii="Arial Narrow" w:hAnsi="Arial Narrow" w:cs="Arial"/>
              </w:rPr>
              <w:t xml:space="preserve"> among others, limiting interlocutory proceedings to what is strictly necessary in  order to</w:t>
            </w:r>
            <w:r w:rsidRPr="006808F0">
              <w:rPr>
                <w:rFonts w:ascii="Arial Narrow" w:hAnsi="Arial Narrow" w:cs="Arial"/>
              </w:rPr>
              <w:tab/>
            </w:r>
            <w:r w:rsidR="004F0610">
              <w:rPr>
                <w:rFonts w:ascii="Arial Narrow" w:hAnsi="Arial Narrow" w:cs="Arial"/>
              </w:rPr>
              <w:t xml:space="preserve"> </w:t>
            </w:r>
            <w:r w:rsidRPr="006808F0">
              <w:rPr>
                <w:rFonts w:ascii="Arial Narrow" w:hAnsi="Arial Narrow" w:cs="Arial"/>
              </w:rPr>
              <w:t xml:space="preserve">achieve a fair and timely disposal of a cause or </w:t>
            </w:r>
            <w:r w:rsidR="0020207E" w:rsidRPr="006808F0">
              <w:rPr>
                <w:rFonts w:ascii="Arial Narrow" w:hAnsi="Arial Narrow" w:cs="Arial"/>
              </w:rPr>
              <w:t>matter;</w:t>
            </w:r>
          </w:p>
          <w:p w:rsidR="0020207E" w:rsidRPr="006808F0" w:rsidRDefault="006A2E94" w:rsidP="006A2E94">
            <w:pPr>
              <w:tabs>
                <w:tab w:val="left" w:pos="560"/>
              </w:tabs>
              <w:spacing w:after="0" w:line="360" w:lineRule="auto"/>
              <w:jc w:val="both"/>
              <w:rPr>
                <w:rFonts w:ascii="Arial Narrow" w:hAnsi="Arial Narrow" w:cs="Arial"/>
              </w:rPr>
            </w:pPr>
            <w:r w:rsidRPr="006808F0">
              <w:rPr>
                <w:rFonts w:ascii="Arial Narrow" w:hAnsi="Arial Narrow" w:cs="Arial"/>
              </w:rPr>
              <w:t xml:space="preserve">     </w:t>
            </w:r>
            <w:r w:rsidR="009462EC" w:rsidRPr="006808F0">
              <w:rPr>
                <w:rFonts w:ascii="Arial Narrow" w:hAnsi="Arial Narrow" w:cs="Arial"/>
              </w:rPr>
              <w:t xml:space="preserve"> </w:t>
            </w:r>
            <w:r w:rsidR="00DF08CD" w:rsidRPr="006808F0">
              <w:rPr>
                <w:rFonts w:ascii="Arial Narrow" w:hAnsi="Arial Narrow" w:cs="Arial"/>
              </w:rPr>
              <w:t xml:space="preserve"> </w:t>
            </w:r>
            <w:r w:rsidRPr="006808F0">
              <w:rPr>
                <w:rFonts w:ascii="Arial Narrow" w:hAnsi="Arial Narrow" w:cs="Arial"/>
              </w:rPr>
              <w:t xml:space="preserve">(c)   dealing with a cause or matter in ways which are proportionate </w:t>
            </w:r>
            <w:r w:rsidR="00301BFE">
              <w:rPr>
                <w:rFonts w:ascii="Arial Narrow" w:hAnsi="Arial Narrow" w:cs="Arial"/>
              </w:rPr>
              <w:t>to</w:t>
            </w:r>
          </w:p>
          <w:p w:rsidR="0020207E" w:rsidRPr="006808F0" w:rsidRDefault="006A2E94" w:rsidP="006A2E94">
            <w:pPr>
              <w:tabs>
                <w:tab w:val="left" w:pos="560"/>
              </w:tabs>
              <w:spacing w:after="0" w:line="360" w:lineRule="auto"/>
              <w:jc w:val="both"/>
              <w:rPr>
                <w:rFonts w:ascii="Arial Narrow" w:hAnsi="Arial Narrow" w:cs="Arial"/>
              </w:rPr>
            </w:pPr>
            <w:r w:rsidRPr="006808F0">
              <w:rPr>
                <w:rFonts w:ascii="Arial Narrow" w:hAnsi="Arial Narrow" w:cs="Arial"/>
              </w:rPr>
              <w:t xml:space="preserve">           (i)</w:t>
            </w:r>
            <w:r w:rsidRPr="006808F0">
              <w:rPr>
                <w:rFonts w:ascii="Arial Narrow" w:hAnsi="Arial Narrow" w:cs="Arial"/>
              </w:rPr>
              <w:tab/>
              <w:t xml:space="preserve">    the amount or value of the monetary claim </w:t>
            </w:r>
            <w:r w:rsidR="0020207E" w:rsidRPr="006808F0">
              <w:rPr>
                <w:rFonts w:ascii="Arial Narrow" w:hAnsi="Arial Narrow" w:cs="Arial"/>
              </w:rPr>
              <w:t>involved;</w:t>
            </w:r>
          </w:p>
          <w:p w:rsidR="0020207E" w:rsidRPr="006808F0" w:rsidRDefault="006A2E94" w:rsidP="006A2E94">
            <w:pPr>
              <w:tabs>
                <w:tab w:val="left" w:pos="560"/>
              </w:tabs>
              <w:spacing w:after="0" w:line="360" w:lineRule="auto"/>
              <w:jc w:val="both"/>
              <w:rPr>
                <w:rFonts w:ascii="Arial Narrow" w:hAnsi="Arial Narrow" w:cs="Arial"/>
              </w:rPr>
            </w:pPr>
            <w:r w:rsidRPr="006808F0">
              <w:rPr>
                <w:rFonts w:ascii="Arial Narrow" w:hAnsi="Arial Narrow" w:cs="Arial"/>
              </w:rPr>
              <w:t xml:space="preserve">           (ii)   the importance of the </w:t>
            </w:r>
            <w:r w:rsidR="0020207E" w:rsidRPr="006808F0">
              <w:rPr>
                <w:rFonts w:ascii="Arial Narrow" w:hAnsi="Arial Narrow" w:cs="Arial"/>
              </w:rPr>
              <w:t>cause;</w:t>
            </w:r>
          </w:p>
          <w:p w:rsidR="0020207E" w:rsidRPr="006808F0" w:rsidRDefault="006A2E94" w:rsidP="006A2E94">
            <w:pPr>
              <w:tabs>
                <w:tab w:val="left" w:pos="560"/>
              </w:tabs>
              <w:spacing w:after="0" w:line="360" w:lineRule="auto"/>
              <w:jc w:val="both"/>
              <w:rPr>
                <w:rFonts w:ascii="Arial Narrow" w:hAnsi="Arial Narrow" w:cs="Arial"/>
              </w:rPr>
            </w:pPr>
            <w:r w:rsidRPr="006808F0">
              <w:rPr>
                <w:rFonts w:ascii="Arial Narrow" w:hAnsi="Arial Narrow" w:cs="Arial"/>
              </w:rPr>
              <w:t xml:space="preserve">          (iii)   the complexity of the issues and the </w:t>
            </w:r>
            <w:r w:rsidR="0020207E" w:rsidRPr="006808F0">
              <w:rPr>
                <w:rFonts w:ascii="Arial Narrow" w:hAnsi="Arial Narrow" w:cs="Arial"/>
              </w:rPr>
              <w:t>financia</w:t>
            </w:r>
            <w:r w:rsidRPr="006808F0">
              <w:rPr>
                <w:rFonts w:ascii="Arial Narrow" w:hAnsi="Arial Narrow" w:cs="Arial"/>
              </w:rPr>
              <w:t xml:space="preserve">l position of the </w:t>
            </w:r>
            <w:r w:rsidR="0020207E" w:rsidRPr="006808F0">
              <w:rPr>
                <w:rFonts w:ascii="Arial Narrow" w:hAnsi="Arial Narrow" w:cs="Arial"/>
              </w:rPr>
              <w:t>parties;</w:t>
            </w:r>
          </w:p>
          <w:p w:rsidR="0020207E" w:rsidRPr="006808F0" w:rsidRDefault="006A2E94" w:rsidP="009462EC">
            <w:pPr>
              <w:tabs>
                <w:tab w:val="left" w:pos="275"/>
              </w:tabs>
              <w:spacing w:after="0" w:line="360" w:lineRule="auto"/>
              <w:jc w:val="both"/>
              <w:rPr>
                <w:rFonts w:ascii="Arial Narrow" w:hAnsi="Arial Narrow" w:cs="Arial"/>
              </w:rPr>
            </w:pPr>
            <w:r w:rsidRPr="006808F0">
              <w:rPr>
                <w:rFonts w:ascii="Arial Narrow" w:hAnsi="Arial Narrow" w:cs="Arial"/>
              </w:rPr>
              <w:t xml:space="preserve">     </w:t>
            </w:r>
            <w:r w:rsidR="00DF08CD" w:rsidRPr="006808F0">
              <w:rPr>
                <w:rFonts w:ascii="Arial Narrow" w:hAnsi="Arial Narrow" w:cs="Arial"/>
              </w:rPr>
              <w:t xml:space="preserve"> </w:t>
            </w:r>
            <w:r w:rsidR="009462EC" w:rsidRPr="006808F0">
              <w:rPr>
                <w:rFonts w:ascii="Arial Narrow" w:hAnsi="Arial Narrow" w:cs="Arial"/>
              </w:rPr>
              <w:t xml:space="preserve"> (d)</w:t>
            </w:r>
            <w:r w:rsidR="009462EC" w:rsidRPr="006808F0">
              <w:rPr>
                <w:rFonts w:ascii="Arial Narrow" w:hAnsi="Arial Narrow" w:cs="Arial"/>
              </w:rPr>
              <w:tab/>
              <w:t xml:space="preserve"> ensuring </w:t>
            </w:r>
            <w:r w:rsidRPr="006808F0">
              <w:rPr>
                <w:rFonts w:ascii="Arial Narrow" w:hAnsi="Arial Narrow" w:cs="Arial"/>
              </w:rPr>
              <w:t xml:space="preserve">that cases are dealt with expeditiously and </w:t>
            </w:r>
            <w:r w:rsidR="0020207E" w:rsidRPr="006808F0">
              <w:rPr>
                <w:rFonts w:ascii="Arial Narrow" w:hAnsi="Arial Narrow" w:cs="Arial"/>
              </w:rPr>
              <w:t>fairly;</w:t>
            </w:r>
          </w:p>
          <w:p w:rsidR="0020207E" w:rsidRPr="006808F0" w:rsidRDefault="006A2E94" w:rsidP="0020207E">
            <w:pPr>
              <w:tabs>
                <w:tab w:val="left" w:pos="560"/>
              </w:tabs>
              <w:spacing w:after="0" w:line="360" w:lineRule="auto"/>
              <w:jc w:val="both"/>
              <w:rPr>
                <w:rFonts w:ascii="Arial Narrow" w:hAnsi="Arial Narrow" w:cs="Arial"/>
              </w:rPr>
            </w:pPr>
            <w:r w:rsidRPr="006808F0">
              <w:rPr>
                <w:rFonts w:ascii="Arial Narrow" w:hAnsi="Arial Narrow" w:cs="Arial"/>
              </w:rPr>
              <w:lastRenderedPageBreak/>
              <w:t xml:space="preserve">   </w:t>
            </w:r>
            <w:r w:rsidR="009462EC" w:rsidRPr="006808F0">
              <w:rPr>
                <w:rFonts w:ascii="Arial Narrow" w:hAnsi="Arial Narrow" w:cs="Arial"/>
              </w:rPr>
              <w:t xml:space="preserve"> </w:t>
            </w:r>
            <w:r w:rsidRPr="006808F0">
              <w:rPr>
                <w:rFonts w:ascii="Arial Narrow" w:hAnsi="Arial Narrow" w:cs="Arial"/>
              </w:rPr>
              <w:t xml:space="preserve"> </w:t>
            </w:r>
            <w:r w:rsidR="00DF08CD" w:rsidRPr="006808F0">
              <w:rPr>
                <w:rFonts w:ascii="Arial Narrow" w:hAnsi="Arial Narrow" w:cs="Arial"/>
              </w:rPr>
              <w:t xml:space="preserve"> </w:t>
            </w:r>
            <w:r w:rsidRPr="006808F0">
              <w:rPr>
                <w:rFonts w:ascii="Arial Narrow" w:hAnsi="Arial Narrow" w:cs="Arial"/>
              </w:rPr>
              <w:t xml:space="preserve"> (e)</w:t>
            </w:r>
            <w:r w:rsidRPr="006808F0">
              <w:rPr>
                <w:rFonts w:ascii="Arial Narrow" w:hAnsi="Arial Narrow" w:cs="Arial"/>
              </w:rPr>
              <w:tab/>
              <w:t xml:space="preserve"> recognising tha</w:t>
            </w:r>
            <w:r w:rsidR="004F0610">
              <w:rPr>
                <w:rFonts w:ascii="Arial Narrow" w:hAnsi="Arial Narrow" w:cs="Arial"/>
              </w:rPr>
              <w:t xml:space="preserve">t judicial time </w:t>
            </w:r>
            <w:r w:rsidR="00DF08CD" w:rsidRPr="006808F0">
              <w:rPr>
                <w:rFonts w:ascii="Arial Narrow" w:hAnsi="Arial Narrow" w:cs="Arial"/>
              </w:rPr>
              <w:t>and resources</w:t>
            </w:r>
            <w:r w:rsidRPr="006808F0">
              <w:rPr>
                <w:rFonts w:ascii="Arial Narrow" w:hAnsi="Arial Narrow" w:cs="Arial"/>
              </w:rPr>
              <w:t xml:space="preserve"> are limited and there</w:t>
            </w:r>
            <w:r w:rsidR="004F0610">
              <w:rPr>
                <w:rFonts w:ascii="Arial Narrow" w:hAnsi="Arial Narrow" w:cs="Arial"/>
              </w:rPr>
              <w:t xml:space="preserve">fore allotting to each cause an </w:t>
            </w:r>
            <w:r w:rsidRPr="006808F0">
              <w:rPr>
                <w:rFonts w:ascii="Arial Narrow" w:hAnsi="Arial Narrow" w:cs="Arial"/>
              </w:rPr>
              <w:t xml:space="preserve">appropriate share of the court’s time and </w:t>
            </w:r>
            <w:r w:rsidR="0020207E" w:rsidRPr="006808F0">
              <w:rPr>
                <w:rFonts w:ascii="Arial Narrow" w:hAnsi="Arial Narrow" w:cs="Arial"/>
              </w:rPr>
              <w:t>resou</w:t>
            </w:r>
            <w:r w:rsidR="004F0610">
              <w:rPr>
                <w:rFonts w:ascii="Arial Narrow" w:hAnsi="Arial Narrow" w:cs="Arial"/>
              </w:rPr>
              <w:t xml:space="preserve">rces, while at the same time taking </w:t>
            </w:r>
            <w:r w:rsidRPr="006808F0">
              <w:rPr>
                <w:rFonts w:ascii="Arial Narrow" w:hAnsi="Arial Narrow" w:cs="Arial"/>
              </w:rPr>
              <w:t xml:space="preserve">into account the need to allot resources to other causes; </w:t>
            </w:r>
            <w:r w:rsidR="0020207E" w:rsidRPr="006808F0">
              <w:rPr>
                <w:rFonts w:ascii="Arial Narrow" w:hAnsi="Arial Narrow" w:cs="Arial"/>
              </w:rPr>
              <w:t>and</w:t>
            </w:r>
          </w:p>
          <w:p w:rsidR="0020207E" w:rsidRPr="006808F0" w:rsidRDefault="009462EC" w:rsidP="0020207E">
            <w:pPr>
              <w:tabs>
                <w:tab w:val="left" w:pos="560"/>
              </w:tabs>
              <w:spacing w:after="0" w:line="360" w:lineRule="auto"/>
              <w:jc w:val="both"/>
              <w:rPr>
                <w:rFonts w:ascii="Arial Narrow" w:hAnsi="Arial Narrow" w:cs="Arial"/>
              </w:rPr>
            </w:pPr>
            <w:r w:rsidRPr="006808F0">
              <w:rPr>
                <w:rFonts w:ascii="Arial Narrow" w:hAnsi="Arial Narrow" w:cs="Arial"/>
              </w:rPr>
              <w:t xml:space="preserve">      (f)</w:t>
            </w:r>
            <w:r w:rsidRPr="006808F0">
              <w:rPr>
                <w:rFonts w:ascii="Arial Narrow" w:hAnsi="Arial Narrow" w:cs="Arial"/>
              </w:rPr>
              <w:tab/>
              <w:t xml:space="preserve"> considering the public interest in limiting issues in dispute and in the </w:t>
            </w:r>
            <w:r w:rsidR="0020207E" w:rsidRPr="006808F0">
              <w:rPr>
                <w:rFonts w:ascii="Arial Narrow" w:hAnsi="Arial Narrow" w:cs="Arial"/>
              </w:rPr>
              <w:t>early</w:t>
            </w:r>
            <w:r w:rsidR="0020207E" w:rsidRPr="006808F0">
              <w:rPr>
                <w:rFonts w:ascii="Arial Narrow" w:hAnsi="Arial Narrow" w:cs="Arial"/>
              </w:rPr>
              <w:tab/>
            </w:r>
            <w:r w:rsidRPr="006808F0">
              <w:rPr>
                <w:rFonts w:ascii="Arial Narrow" w:hAnsi="Arial Narrow" w:cs="Arial"/>
              </w:rPr>
              <w:t xml:space="preserve">  settlement of disputes </w:t>
            </w:r>
            <w:r w:rsidR="0020207E" w:rsidRPr="006808F0">
              <w:rPr>
                <w:rFonts w:ascii="Arial Narrow" w:hAnsi="Arial Narrow" w:cs="Arial"/>
              </w:rPr>
              <w:t>by</w:t>
            </w:r>
            <w:r w:rsidR="0020207E" w:rsidRPr="006808F0">
              <w:rPr>
                <w:rFonts w:ascii="Arial Narrow" w:hAnsi="Arial Narrow" w:cs="Arial"/>
              </w:rPr>
              <w:tab/>
              <w:t>agreement</w:t>
            </w:r>
            <w:r w:rsidR="004F0610">
              <w:rPr>
                <w:rFonts w:ascii="Arial Narrow" w:hAnsi="Arial Narrow" w:cs="Arial"/>
              </w:rPr>
              <w:t xml:space="preserve"> </w:t>
            </w:r>
            <w:r w:rsidRPr="006808F0">
              <w:rPr>
                <w:rFonts w:ascii="Arial Narrow" w:hAnsi="Arial Narrow" w:cs="Arial"/>
              </w:rPr>
              <w:t xml:space="preserve">between the </w:t>
            </w:r>
            <w:r w:rsidR="004F0610">
              <w:rPr>
                <w:rFonts w:ascii="Arial Narrow" w:hAnsi="Arial Narrow" w:cs="Arial"/>
              </w:rPr>
              <w:t>parties</w:t>
            </w:r>
            <w:r w:rsidRPr="006808F0">
              <w:rPr>
                <w:rFonts w:ascii="Arial Narrow" w:hAnsi="Arial Narrow" w:cs="Arial"/>
              </w:rPr>
              <w:t xml:space="preserve"> in </w:t>
            </w:r>
            <w:r w:rsidR="0020207E" w:rsidRPr="006808F0">
              <w:rPr>
                <w:rFonts w:ascii="Arial Narrow" w:hAnsi="Arial Narrow" w:cs="Arial"/>
              </w:rPr>
              <w:t>dispute.</w:t>
            </w:r>
          </w:p>
          <w:p w:rsidR="0020207E" w:rsidRPr="006808F0" w:rsidRDefault="009462EC" w:rsidP="0020207E">
            <w:pPr>
              <w:tabs>
                <w:tab w:val="left" w:pos="560"/>
              </w:tabs>
              <w:spacing w:after="0" w:line="360" w:lineRule="auto"/>
              <w:jc w:val="both"/>
              <w:rPr>
                <w:rFonts w:ascii="Arial Narrow" w:hAnsi="Arial Narrow" w:cs="Arial"/>
              </w:rPr>
            </w:pPr>
            <w:r w:rsidRPr="006808F0">
              <w:rPr>
                <w:rFonts w:ascii="Arial Narrow" w:hAnsi="Arial Narrow" w:cs="Arial"/>
              </w:rPr>
              <w:t xml:space="preserve">(4)   The  factors  that  a  court may consider  in  dealing </w:t>
            </w:r>
            <w:r w:rsidR="00DF08CD" w:rsidRPr="006808F0">
              <w:rPr>
                <w:rFonts w:ascii="Arial Narrow" w:hAnsi="Arial Narrow" w:cs="Arial"/>
              </w:rPr>
              <w:t xml:space="preserve">with  the  issues  arising from the application of the           .        </w:t>
            </w:r>
            <w:r w:rsidRPr="006808F0">
              <w:rPr>
                <w:rFonts w:ascii="Arial Narrow" w:hAnsi="Arial Narrow" w:cs="Arial"/>
              </w:rPr>
              <w:t xml:space="preserve"> </w:t>
            </w:r>
            <w:r w:rsidR="0020207E" w:rsidRPr="006808F0">
              <w:rPr>
                <w:rFonts w:ascii="Arial Narrow" w:hAnsi="Arial Narrow" w:cs="Arial"/>
              </w:rPr>
              <w:t>overriding</w:t>
            </w:r>
            <w:r w:rsidRPr="006808F0">
              <w:rPr>
                <w:rFonts w:ascii="Arial Narrow" w:hAnsi="Arial Narrow" w:cs="Arial"/>
              </w:rPr>
              <w:t xml:space="preserve">  objective </w:t>
            </w:r>
            <w:r w:rsidR="00DF08CD" w:rsidRPr="006808F0">
              <w:rPr>
                <w:rFonts w:ascii="Arial Narrow" w:hAnsi="Arial Narrow" w:cs="Arial"/>
              </w:rPr>
              <w:t xml:space="preserve">include </w:t>
            </w:r>
            <w:r w:rsidR="0020207E" w:rsidRPr="006808F0">
              <w:rPr>
                <w:rFonts w:ascii="Arial Narrow" w:hAnsi="Arial Narrow" w:cs="Arial"/>
              </w:rPr>
              <w:t>-</w:t>
            </w:r>
          </w:p>
          <w:p w:rsidR="0020207E" w:rsidRPr="006808F0" w:rsidRDefault="009462EC" w:rsidP="0020207E">
            <w:pPr>
              <w:tabs>
                <w:tab w:val="left" w:pos="560"/>
              </w:tabs>
              <w:spacing w:after="0" w:line="360" w:lineRule="auto"/>
              <w:jc w:val="both"/>
              <w:rPr>
                <w:rFonts w:ascii="Arial Narrow" w:hAnsi="Arial Narrow" w:cs="Arial"/>
              </w:rPr>
            </w:pPr>
            <w:r w:rsidRPr="006808F0">
              <w:rPr>
                <w:rFonts w:ascii="Arial Narrow" w:hAnsi="Arial Narrow" w:cs="Arial"/>
              </w:rPr>
              <w:t xml:space="preserve">       (a)</w:t>
            </w:r>
            <w:r w:rsidRPr="006808F0">
              <w:rPr>
                <w:rFonts w:ascii="Arial Narrow" w:hAnsi="Arial Narrow" w:cs="Arial"/>
              </w:rPr>
              <w:tab/>
              <w:t xml:space="preserve"> the extent  to which the parties have complied with any pre-trial  requirements or any </w:t>
            </w:r>
            <w:r w:rsidR="0020207E" w:rsidRPr="006808F0">
              <w:rPr>
                <w:rFonts w:ascii="Arial Narrow" w:hAnsi="Arial Narrow" w:cs="Arial"/>
              </w:rPr>
              <w:t>othe</w:t>
            </w:r>
            <w:r w:rsidRPr="006808F0">
              <w:rPr>
                <w:rFonts w:ascii="Arial Narrow" w:hAnsi="Arial Narrow" w:cs="Arial"/>
              </w:rPr>
              <w:t xml:space="preserve">r mandatory </w:t>
            </w:r>
            <w:r w:rsidR="0020207E" w:rsidRPr="006808F0">
              <w:rPr>
                <w:rFonts w:ascii="Arial Narrow" w:hAnsi="Arial Narrow" w:cs="Arial"/>
              </w:rPr>
              <w:t>or</w:t>
            </w:r>
            <w:r w:rsidR="0020207E" w:rsidRPr="006808F0">
              <w:rPr>
                <w:rFonts w:ascii="Arial Narrow" w:hAnsi="Arial Narrow" w:cs="Arial"/>
              </w:rPr>
              <w:tab/>
            </w:r>
            <w:r w:rsidR="004F0610">
              <w:rPr>
                <w:rFonts w:ascii="Arial Narrow" w:hAnsi="Arial Narrow" w:cs="Arial"/>
              </w:rPr>
              <w:t xml:space="preserve">. </w:t>
            </w:r>
            <w:r w:rsidRPr="006808F0">
              <w:rPr>
                <w:rFonts w:ascii="Arial Narrow" w:hAnsi="Arial Narrow" w:cs="Arial"/>
              </w:rPr>
              <w:t xml:space="preserve">voluntary </w:t>
            </w:r>
            <w:r w:rsidR="0020207E" w:rsidRPr="006808F0">
              <w:rPr>
                <w:rFonts w:ascii="Arial Narrow" w:hAnsi="Arial Narrow" w:cs="Arial"/>
              </w:rPr>
              <w:t>pre-trial</w:t>
            </w:r>
            <w:r w:rsidR="0020207E" w:rsidRPr="006808F0">
              <w:rPr>
                <w:rFonts w:ascii="Arial Narrow" w:hAnsi="Arial Narrow" w:cs="Arial"/>
              </w:rPr>
              <w:tab/>
              <w:t>process;</w:t>
            </w:r>
          </w:p>
          <w:p w:rsidR="0020207E" w:rsidRPr="006808F0" w:rsidRDefault="009462EC" w:rsidP="0020207E">
            <w:pPr>
              <w:tabs>
                <w:tab w:val="left" w:pos="560"/>
              </w:tabs>
              <w:spacing w:after="0" w:line="360" w:lineRule="auto"/>
              <w:jc w:val="both"/>
              <w:rPr>
                <w:rFonts w:ascii="Arial Narrow" w:hAnsi="Arial Narrow" w:cs="Arial"/>
              </w:rPr>
            </w:pPr>
            <w:r w:rsidRPr="006808F0">
              <w:rPr>
                <w:rFonts w:ascii="Arial Narrow" w:hAnsi="Arial Narrow" w:cs="Arial"/>
              </w:rPr>
              <w:t xml:space="preserve">       (b)</w:t>
            </w:r>
            <w:r w:rsidRPr="006808F0">
              <w:rPr>
                <w:rFonts w:ascii="Arial Narrow" w:hAnsi="Arial Narrow" w:cs="Arial"/>
              </w:rPr>
              <w:tab/>
              <w:t xml:space="preserve"> the extent to which the parties have used reasonable endeavours to resolve the dispute </w:t>
            </w:r>
            <w:r w:rsidR="0020207E" w:rsidRPr="006808F0">
              <w:rPr>
                <w:rFonts w:ascii="Arial Narrow" w:hAnsi="Arial Narrow" w:cs="Arial"/>
              </w:rPr>
              <w:t>by</w:t>
            </w:r>
            <w:r w:rsidRPr="006808F0">
              <w:rPr>
                <w:rFonts w:ascii="Arial Narrow" w:hAnsi="Arial Narrow" w:cs="Arial"/>
              </w:rPr>
              <w:t xml:space="preserve"> agreement or to                 limit the issues in </w:t>
            </w:r>
            <w:r w:rsidR="0020207E" w:rsidRPr="006808F0">
              <w:rPr>
                <w:rFonts w:ascii="Arial Narrow" w:hAnsi="Arial Narrow" w:cs="Arial"/>
              </w:rPr>
              <w:t>dispute;</w:t>
            </w:r>
          </w:p>
          <w:p w:rsidR="00A96C4C" w:rsidRPr="006808F0" w:rsidRDefault="009462EC" w:rsidP="00A96C4C">
            <w:pPr>
              <w:tabs>
                <w:tab w:val="left" w:pos="560"/>
              </w:tabs>
              <w:spacing w:after="0" w:line="360" w:lineRule="auto"/>
              <w:jc w:val="both"/>
              <w:rPr>
                <w:rFonts w:ascii="Arial Narrow" w:hAnsi="Arial Narrow" w:cs="Arial"/>
              </w:rPr>
            </w:pPr>
            <w:r w:rsidRPr="006808F0">
              <w:rPr>
                <w:rFonts w:ascii="Arial Narrow" w:hAnsi="Arial Narrow" w:cs="Arial"/>
              </w:rPr>
              <w:t xml:space="preserve">      </w:t>
            </w:r>
            <w:r w:rsidR="00A96C4C" w:rsidRPr="006808F0">
              <w:rPr>
                <w:rFonts w:ascii="Arial Narrow" w:hAnsi="Arial Narrow" w:cs="Arial"/>
              </w:rPr>
              <w:t>(c)</w:t>
            </w:r>
            <w:r w:rsidR="00A96C4C" w:rsidRPr="006808F0">
              <w:rPr>
                <w:rFonts w:ascii="Arial Narrow" w:hAnsi="Arial Narrow" w:cs="Arial"/>
              </w:rPr>
              <w:tab/>
              <w:t xml:space="preserve"> </w:t>
            </w:r>
            <w:r w:rsidRPr="006808F0">
              <w:rPr>
                <w:rFonts w:ascii="Arial Narrow" w:hAnsi="Arial Narrow" w:cs="Arial"/>
              </w:rPr>
              <w:t xml:space="preserve">   the degree of promptness</w:t>
            </w:r>
            <w:r w:rsidRPr="006808F0">
              <w:rPr>
                <w:rFonts w:ascii="Arial Narrow" w:hAnsi="Arial Narrow" w:cs="Arial"/>
              </w:rPr>
              <w:tab/>
              <w:t xml:space="preserve">with which the parties have conducted the proceeding, including the degree </w:t>
            </w:r>
            <w:r w:rsidR="00A96C4C" w:rsidRPr="006808F0">
              <w:rPr>
                <w:rFonts w:ascii="Arial Narrow" w:hAnsi="Arial Narrow" w:cs="Arial"/>
              </w:rPr>
              <w:t>to</w:t>
            </w:r>
            <w:r w:rsidR="00A96C4C" w:rsidRPr="006808F0">
              <w:rPr>
                <w:rFonts w:ascii="Arial Narrow" w:hAnsi="Arial Narrow" w:cs="Arial"/>
              </w:rPr>
              <w:tab/>
            </w:r>
            <w:r w:rsidRPr="006808F0">
              <w:rPr>
                <w:rFonts w:ascii="Arial Narrow" w:hAnsi="Arial Narrow" w:cs="Arial"/>
              </w:rPr>
              <w:t xml:space="preserve">  which each party has </w:t>
            </w:r>
            <w:r w:rsidR="00A96C4C" w:rsidRPr="006808F0">
              <w:rPr>
                <w:rFonts w:ascii="Arial Narrow" w:hAnsi="Arial Narrow" w:cs="Arial"/>
              </w:rPr>
              <w:t>been</w:t>
            </w:r>
            <w:r w:rsidRPr="006808F0">
              <w:rPr>
                <w:rFonts w:ascii="Arial Narrow" w:hAnsi="Arial Narrow" w:cs="Arial"/>
              </w:rPr>
              <w:t xml:space="preserve"> prompt in undertaking interlocutory</w:t>
            </w:r>
            <w:r w:rsidRPr="006808F0">
              <w:rPr>
                <w:rFonts w:ascii="Arial Narrow" w:hAnsi="Arial Narrow" w:cs="Arial"/>
              </w:rPr>
              <w:tab/>
              <w:t xml:space="preserve"> steps in</w:t>
            </w:r>
            <w:r w:rsidRPr="006808F0">
              <w:rPr>
                <w:rFonts w:ascii="Arial Narrow" w:hAnsi="Arial Narrow" w:cs="Arial"/>
              </w:rPr>
              <w:tab/>
              <w:t xml:space="preserve">relation to the </w:t>
            </w:r>
            <w:r w:rsidR="00A96C4C" w:rsidRPr="006808F0">
              <w:rPr>
                <w:rFonts w:ascii="Arial Narrow" w:hAnsi="Arial Narrow" w:cs="Arial"/>
              </w:rPr>
              <w:t>proceeding;</w:t>
            </w:r>
          </w:p>
          <w:p w:rsidR="00A96C4C" w:rsidRPr="006808F0" w:rsidRDefault="009462EC" w:rsidP="00A96C4C">
            <w:pPr>
              <w:tabs>
                <w:tab w:val="left" w:pos="560"/>
              </w:tabs>
              <w:spacing w:after="0" w:line="360" w:lineRule="auto"/>
              <w:jc w:val="both"/>
              <w:rPr>
                <w:rFonts w:ascii="Arial Narrow" w:hAnsi="Arial Narrow" w:cs="Arial"/>
              </w:rPr>
            </w:pPr>
            <w:r w:rsidRPr="006808F0">
              <w:rPr>
                <w:rFonts w:ascii="Arial Narrow" w:hAnsi="Arial Narrow" w:cs="Arial"/>
              </w:rPr>
              <w:t xml:space="preserve">      </w:t>
            </w:r>
            <w:r w:rsidR="00A96C4C" w:rsidRPr="006808F0">
              <w:rPr>
                <w:rFonts w:ascii="Arial Narrow" w:hAnsi="Arial Narrow" w:cs="Arial"/>
              </w:rPr>
              <w:t>(d)</w:t>
            </w:r>
            <w:r w:rsidR="00A96C4C" w:rsidRPr="006808F0">
              <w:rPr>
                <w:rFonts w:ascii="Arial Narrow" w:hAnsi="Arial Narrow" w:cs="Arial"/>
              </w:rPr>
              <w:tab/>
            </w:r>
            <w:r w:rsidRPr="006808F0">
              <w:rPr>
                <w:rFonts w:ascii="Arial Narrow" w:hAnsi="Arial Narrow" w:cs="Arial"/>
              </w:rPr>
              <w:t xml:space="preserve">   the degree to which any lack of promptness by a party</w:t>
            </w:r>
            <w:r w:rsidRPr="006808F0">
              <w:rPr>
                <w:rFonts w:ascii="Arial Narrow" w:hAnsi="Arial Narrow" w:cs="Arial"/>
              </w:rPr>
              <w:tab/>
              <w:t xml:space="preserve"> in undertaking th</w:t>
            </w:r>
            <w:r w:rsidR="00951BF0">
              <w:rPr>
                <w:rFonts w:ascii="Arial Narrow" w:hAnsi="Arial Narrow" w:cs="Arial"/>
              </w:rPr>
              <w:t>e step or</w:t>
            </w:r>
            <w:r w:rsidR="00951BF0">
              <w:rPr>
                <w:rFonts w:ascii="Arial Narrow" w:hAnsi="Arial Narrow" w:cs="Arial"/>
              </w:rPr>
              <w:tab/>
              <w:t xml:space="preserve">proceeding has arisen </w:t>
            </w:r>
            <w:r w:rsidRPr="006808F0">
              <w:rPr>
                <w:rFonts w:ascii="Arial Narrow" w:hAnsi="Arial Narrow" w:cs="Arial"/>
              </w:rPr>
              <w:t>circumstances beyond the</w:t>
            </w:r>
            <w:r w:rsidRPr="006808F0">
              <w:rPr>
                <w:rFonts w:ascii="Arial Narrow" w:hAnsi="Arial Narrow" w:cs="Arial"/>
              </w:rPr>
              <w:tab/>
              <w:t xml:space="preserve">control of that </w:t>
            </w:r>
            <w:r w:rsidR="00A96C4C" w:rsidRPr="006808F0">
              <w:rPr>
                <w:rFonts w:ascii="Arial Narrow" w:hAnsi="Arial Narrow" w:cs="Arial"/>
              </w:rPr>
              <w:t>party;</w:t>
            </w:r>
          </w:p>
          <w:p w:rsidR="00A96C4C" w:rsidRPr="006808F0" w:rsidRDefault="005C342B" w:rsidP="00A96C4C">
            <w:pPr>
              <w:tabs>
                <w:tab w:val="left" w:pos="560"/>
              </w:tabs>
              <w:spacing w:after="0" w:line="360" w:lineRule="auto"/>
              <w:jc w:val="both"/>
              <w:rPr>
                <w:rFonts w:ascii="Arial Narrow" w:hAnsi="Arial Narrow" w:cs="Arial"/>
              </w:rPr>
            </w:pPr>
            <w:r w:rsidRPr="006808F0">
              <w:rPr>
                <w:rFonts w:ascii="Arial Narrow" w:hAnsi="Arial Narrow" w:cs="Arial"/>
              </w:rPr>
              <w:t xml:space="preserve">      </w:t>
            </w:r>
            <w:r w:rsidR="00A96C4C" w:rsidRPr="006808F0">
              <w:rPr>
                <w:rFonts w:ascii="Arial Narrow" w:hAnsi="Arial Narrow" w:cs="Arial"/>
              </w:rPr>
              <w:t>(e)</w:t>
            </w:r>
            <w:r w:rsidR="00A96C4C" w:rsidRPr="006808F0">
              <w:rPr>
                <w:rFonts w:ascii="Arial Narrow" w:hAnsi="Arial Narrow" w:cs="Arial"/>
              </w:rPr>
              <w:tab/>
              <w:t xml:space="preserve"> </w:t>
            </w:r>
            <w:r w:rsidRPr="006808F0">
              <w:rPr>
                <w:rFonts w:ascii="Arial Narrow" w:hAnsi="Arial Narrow" w:cs="Arial"/>
              </w:rPr>
              <w:t xml:space="preserve">  any prejudice </w:t>
            </w:r>
            <w:r w:rsidR="00A96C4C" w:rsidRPr="006808F0">
              <w:rPr>
                <w:rFonts w:ascii="Arial Narrow" w:hAnsi="Arial Narrow" w:cs="Arial"/>
              </w:rPr>
              <w:t>that</w:t>
            </w:r>
            <w:r w:rsidRPr="006808F0">
              <w:rPr>
                <w:rFonts w:ascii="Arial Narrow" w:hAnsi="Arial Narrow" w:cs="Arial"/>
              </w:rPr>
              <w:t xml:space="preserve"> may be suffered by a party as a consequence of any</w:t>
            </w:r>
            <w:r w:rsidRPr="006808F0">
              <w:rPr>
                <w:rFonts w:ascii="Arial Narrow" w:hAnsi="Arial Narrow" w:cs="Arial"/>
              </w:rPr>
              <w:tab/>
              <w:t xml:space="preserve">order </w:t>
            </w:r>
            <w:r w:rsidR="00A96C4C" w:rsidRPr="006808F0">
              <w:rPr>
                <w:rFonts w:ascii="Arial Narrow" w:hAnsi="Arial Narrow" w:cs="Arial"/>
              </w:rPr>
              <w:t>proposed</w:t>
            </w:r>
            <w:r w:rsidRPr="006808F0">
              <w:rPr>
                <w:rFonts w:ascii="Arial Narrow" w:hAnsi="Arial Narrow" w:cs="Arial"/>
              </w:rPr>
              <w:t xml:space="preserve"> </w:t>
            </w:r>
            <w:r w:rsidR="00A96C4C" w:rsidRPr="006808F0">
              <w:rPr>
                <w:rFonts w:ascii="Arial Narrow" w:hAnsi="Arial Narrow" w:cs="Arial"/>
              </w:rPr>
              <w:t>to</w:t>
            </w:r>
            <w:r w:rsidRPr="006808F0">
              <w:rPr>
                <w:rFonts w:ascii="Arial Narrow" w:hAnsi="Arial Narrow" w:cs="Arial"/>
              </w:rPr>
              <w:t xml:space="preserve"> be made or </w:t>
            </w:r>
            <w:r w:rsidR="00A96C4C" w:rsidRPr="006808F0">
              <w:rPr>
                <w:rFonts w:ascii="Arial Narrow" w:hAnsi="Arial Narrow" w:cs="Arial"/>
              </w:rPr>
              <w:t>any</w:t>
            </w:r>
            <w:r w:rsidR="00A96C4C" w:rsidRPr="006808F0">
              <w:rPr>
                <w:rFonts w:ascii="Arial Narrow" w:hAnsi="Arial Narrow" w:cs="Arial"/>
              </w:rPr>
              <w:tab/>
            </w:r>
            <w:r w:rsidR="00951BF0">
              <w:rPr>
                <w:rFonts w:ascii="Arial Narrow" w:hAnsi="Arial Narrow" w:cs="Arial"/>
              </w:rPr>
              <w:t xml:space="preserve"> </w:t>
            </w:r>
            <w:r w:rsidRPr="006808F0">
              <w:rPr>
                <w:rFonts w:ascii="Arial Narrow" w:hAnsi="Arial Narrow" w:cs="Arial"/>
              </w:rPr>
              <w:t>direction</w:t>
            </w:r>
            <w:r w:rsidRPr="006808F0">
              <w:rPr>
                <w:rFonts w:ascii="Arial Narrow" w:hAnsi="Arial Narrow" w:cs="Arial"/>
              </w:rPr>
              <w:tab/>
              <w:t xml:space="preserve">proposed to be given by the </w:t>
            </w:r>
            <w:r w:rsidR="00A96C4C" w:rsidRPr="006808F0">
              <w:rPr>
                <w:rFonts w:ascii="Arial Narrow" w:hAnsi="Arial Narrow" w:cs="Arial"/>
              </w:rPr>
              <w:t>court;</w:t>
            </w:r>
          </w:p>
          <w:p w:rsidR="00A96C4C" w:rsidRPr="006808F0" w:rsidRDefault="005C342B" w:rsidP="00A96C4C">
            <w:pPr>
              <w:tabs>
                <w:tab w:val="left" w:pos="560"/>
              </w:tabs>
              <w:spacing w:after="0" w:line="360" w:lineRule="auto"/>
              <w:jc w:val="both"/>
              <w:rPr>
                <w:rFonts w:ascii="Arial Narrow" w:hAnsi="Arial Narrow" w:cs="Arial"/>
              </w:rPr>
            </w:pPr>
            <w:r w:rsidRPr="006808F0">
              <w:rPr>
                <w:rFonts w:ascii="Arial Narrow" w:hAnsi="Arial Narrow" w:cs="Arial"/>
              </w:rPr>
              <w:t xml:space="preserve">       </w:t>
            </w:r>
            <w:r w:rsidR="00A96C4C" w:rsidRPr="006808F0">
              <w:rPr>
                <w:rFonts w:ascii="Arial Narrow" w:hAnsi="Arial Narrow" w:cs="Arial"/>
              </w:rPr>
              <w:t>(f)</w:t>
            </w:r>
            <w:r w:rsidR="00A96C4C" w:rsidRPr="006808F0">
              <w:rPr>
                <w:rFonts w:ascii="Arial Narrow" w:hAnsi="Arial Narrow" w:cs="Arial"/>
              </w:rPr>
              <w:tab/>
              <w:t xml:space="preserve"> </w:t>
            </w:r>
            <w:r w:rsidRPr="006808F0">
              <w:rPr>
                <w:rFonts w:ascii="Arial Narrow" w:hAnsi="Arial Narrow" w:cs="Arial"/>
              </w:rPr>
              <w:t xml:space="preserve">  the public  importance of the issues</w:t>
            </w:r>
            <w:r w:rsidRPr="006808F0">
              <w:rPr>
                <w:rFonts w:ascii="Arial Narrow" w:hAnsi="Arial Narrow" w:cs="Arial"/>
              </w:rPr>
              <w:tab/>
              <w:t xml:space="preserve"> in dispute and the desirability of a judicial determination of </w:t>
            </w:r>
            <w:r w:rsidR="00951BF0">
              <w:rPr>
                <w:rFonts w:ascii="Arial Narrow" w:hAnsi="Arial Narrow" w:cs="Arial"/>
              </w:rPr>
              <w:t xml:space="preserve">those </w:t>
            </w:r>
            <w:r w:rsidR="00A96C4C" w:rsidRPr="006808F0">
              <w:rPr>
                <w:rFonts w:ascii="Arial Narrow" w:hAnsi="Arial Narrow" w:cs="Arial"/>
              </w:rPr>
              <w:t>issues;</w:t>
            </w:r>
          </w:p>
          <w:p w:rsidR="00A96C4C" w:rsidRPr="006808F0" w:rsidRDefault="005C342B" w:rsidP="00A96C4C">
            <w:pPr>
              <w:tabs>
                <w:tab w:val="left" w:pos="560"/>
              </w:tabs>
              <w:spacing w:after="0" w:line="360" w:lineRule="auto"/>
              <w:jc w:val="both"/>
              <w:rPr>
                <w:rFonts w:ascii="Arial Narrow" w:hAnsi="Arial Narrow" w:cs="Arial"/>
              </w:rPr>
            </w:pPr>
            <w:r w:rsidRPr="006808F0">
              <w:rPr>
                <w:rFonts w:ascii="Arial Narrow" w:hAnsi="Arial Narrow" w:cs="Arial"/>
              </w:rPr>
              <w:t xml:space="preserve">      (g)</w:t>
            </w:r>
            <w:r w:rsidRPr="006808F0">
              <w:rPr>
                <w:rFonts w:ascii="Arial Narrow" w:hAnsi="Arial Narrow" w:cs="Arial"/>
              </w:rPr>
              <w:tab/>
              <w:t xml:space="preserve"> the extent to which the parties have had the</w:t>
            </w:r>
            <w:r w:rsidRPr="006808F0">
              <w:rPr>
                <w:rFonts w:ascii="Arial Narrow" w:hAnsi="Arial Narrow" w:cs="Arial"/>
              </w:rPr>
              <w:tab/>
              <w:t xml:space="preserve">benefit </w:t>
            </w:r>
            <w:r w:rsidR="00A96C4C" w:rsidRPr="006808F0">
              <w:rPr>
                <w:rFonts w:ascii="Arial Narrow" w:hAnsi="Arial Narrow" w:cs="Arial"/>
              </w:rPr>
              <w:t>o</w:t>
            </w:r>
            <w:r w:rsidRPr="006808F0">
              <w:rPr>
                <w:rFonts w:ascii="Arial Narrow" w:hAnsi="Arial Narrow" w:cs="Arial"/>
              </w:rPr>
              <w:t xml:space="preserve">f legal advice </w:t>
            </w:r>
            <w:r w:rsidR="00A96C4C" w:rsidRPr="006808F0">
              <w:rPr>
                <w:rFonts w:ascii="Arial Narrow" w:hAnsi="Arial Narrow" w:cs="Arial"/>
              </w:rPr>
              <w:t>and</w:t>
            </w:r>
            <w:r w:rsidRPr="006808F0">
              <w:rPr>
                <w:rFonts w:ascii="Arial Narrow" w:hAnsi="Arial Narrow" w:cs="Arial"/>
              </w:rPr>
              <w:t xml:space="preserve"> </w:t>
            </w:r>
            <w:r w:rsidRPr="006808F0">
              <w:rPr>
                <w:rFonts w:ascii="Arial Narrow" w:hAnsi="Arial Narrow" w:cs="Arial"/>
              </w:rPr>
              <w:tab/>
              <w:t xml:space="preserve">representation; </w:t>
            </w:r>
            <w:r w:rsidR="00A96C4C" w:rsidRPr="006808F0">
              <w:rPr>
                <w:rFonts w:ascii="Arial Narrow" w:hAnsi="Arial Narrow" w:cs="Arial"/>
              </w:rPr>
              <w:t>and</w:t>
            </w:r>
          </w:p>
          <w:p w:rsidR="00A96C4C" w:rsidRPr="006808F0" w:rsidRDefault="005C342B" w:rsidP="00A96C4C">
            <w:pPr>
              <w:tabs>
                <w:tab w:val="left" w:pos="560"/>
              </w:tabs>
              <w:spacing w:after="0" w:line="360" w:lineRule="auto"/>
              <w:jc w:val="both"/>
              <w:rPr>
                <w:rFonts w:ascii="Arial Narrow" w:hAnsi="Arial Narrow" w:cs="Arial"/>
              </w:rPr>
            </w:pPr>
            <w:r w:rsidRPr="006808F0">
              <w:rPr>
                <w:rFonts w:ascii="Arial Narrow" w:hAnsi="Arial Narrow" w:cs="Arial"/>
              </w:rPr>
              <w:t xml:space="preserve">      (h)</w:t>
            </w:r>
            <w:r w:rsidRPr="006808F0">
              <w:rPr>
                <w:rFonts w:ascii="Arial Narrow" w:hAnsi="Arial Narrow" w:cs="Arial"/>
              </w:rPr>
              <w:tab/>
              <w:t xml:space="preserve"> any other relevant </w:t>
            </w:r>
            <w:r w:rsidR="00A96C4C" w:rsidRPr="006808F0">
              <w:rPr>
                <w:rFonts w:ascii="Arial Narrow" w:hAnsi="Arial Narrow" w:cs="Arial"/>
              </w:rPr>
              <w:t>matter.</w:t>
            </w:r>
          </w:p>
          <w:p w:rsidR="0020207E" w:rsidRPr="006808F0" w:rsidRDefault="0020207E" w:rsidP="00051F74">
            <w:pPr>
              <w:tabs>
                <w:tab w:val="left" w:pos="560"/>
              </w:tabs>
              <w:spacing w:after="0" w:line="360" w:lineRule="auto"/>
              <w:jc w:val="both"/>
              <w:rPr>
                <w:rFonts w:ascii="Arial Narrow" w:hAnsi="Arial Narrow" w:cs="Arial"/>
              </w:rPr>
            </w:pPr>
          </w:p>
          <w:p w:rsidR="00E31D89" w:rsidRDefault="00D765B6" w:rsidP="00051F7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[10]     </w:t>
            </w:r>
            <w:r w:rsidR="007C65CA" w:rsidRPr="00E31D89">
              <w:rPr>
                <w:rFonts w:ascii="Arial Narrow" w:hAnsi="Arial Narrow" w:cs="Arial"/>
                <w:sz w:val="24"/>
                <w:szCs w:val="24"/>
              </w:rPr>
              <w:t xml:space="preserve">The </w:t>
            </w:r>
            <w:r w:rsidR="007C65CA" w:rsidRPr="00951BF0">
              <w:rPr>
                <w:rFonts w:ascii="Arial Narrow" w:hAnsi="Arial Narrow" w:cs="Arial"/>
                <w:i/>
                <w:sz w:val="24"/>
                <w:szCs w:val="24"/>
              </w:rPr>
              <w:t>locus clasicus</w:t>
            </w:r>
            <w:r w:rsidR="007C65CA" w:rsidRPr="00E31D89">
              <w:rPr>
                <w:rFonts w:ascii="Arial Narrow" w:hAnsi="Arial Narrow" w:cs="Arial"/>
                <w:sz w:val="24"/>
                <w:szCs w:val="24"/>
              </w:rPr>
              <w:t xml:space="preserve"> in our jurisdiction on matters of amendment of pleadings at a la</w:t>
            </w:r>
            <w:r w:rsidR="00B0776A">
              <w:rPr>
                <w:rFonts w:ascii="Arial Narrow" w:hAnsi="Arial Narrow" w:cs="Arial"/>
                <w:sz w:val="24"/>
                <w:szCs w:val="24"/>
              </w:rPr>
              <w:t>te</w:t>
            </w:r>
            <w:r w:rsidR="000C4E81">
              <w:rPr>
                <w:rFonts w:ascii="Arial Narrow" w:hAnsi="Arial Narrow" w:cs="Arial"/>
                <w:sz w:val="24"/>
                <w:szCs w:val="24"/>
              </w:rPr>
              <w:t>r</w:t>
            </w:r>
            <w:r w:rsidR="00B0776A">
              <w:rPr>
                <w:rFonts w:ascii="Arial Narrow" w:hAnsi="Arial Narrow" w:cs="Arial"/>
                <w:sz w:val="24"/>
                <w:szCs w:val="24"/>
              </w:rPr>
              <w:t xml:space="preserve"> stage in proceedings is</w:t>
            </w:r>
            <w:r w:rsidR="007C65CA" w:rsidRPr="00E31D89">
              <w:rPr>
                <w:rFonts w:ascii="Arial Narrow" w:hAnsi="Arial Narrow" w:cs="Arial"/>
                <w:i/>
                <w:sz w:val="24"/>
                <w:szCs w:val="24"/>
              </w:rPr>
              <w:t xml:space="preserve"> </w:t>
            </w:r>
            <w:r w:rsidR="00B0776A">
              <w:rPr>
                <w:rFonts w:ascii="Arial Narrow" w:hAnsi="Arial Narrow" w:cs="Arial"/>
                <w:i/>
                <w:sz w:val="24"/>
                <w:szCs w:val="24"/>
              </w:rPr>
              <w:t xml:space="preserve">I </w:t>
            </w:r>
            <w:r w:rsidR="007C65CA" w:rsidRPr="00E31D89">
              <w:rPr>
                <w:rFonts w:ascii="Arial Narrow" w:hAnsi="Arial Narrow" w:cs="Arial"/>
                <w:i/>
                <w:sz w:val="24"/>
                <w:szCs w:val="24"/>
              </w:rPr>
              <w:t>A Bell Equipment Company (Namibia) (Pty) Ltd v Roadstone Quarries CC</w:t>
            </w:r>
            <w:r w:rsidR="007C65CA" w:rsidRPr="00E31D89">
              <w:rPr>
                <w:rFonts w:ascii="Arial Narrow" w:hAnsi="Arial Narrow" w:cs="Arial"/>
                <w:sz w:val="24"/>
                <w:szCs w:val="24"/>
              </w:rPr>
              <w:t xml:space="preserve"> </w:t>
            </w:r>
            <w:r w:rsidR="007C65CA" w:rsidRPr="00E31D89">
              <w:rPr>
                <w:rStyle w:val="FootnoteReference"/>
                <w:rFonts w:ascii="Arial Narrow" w:hAnsi="Arial Narrow" w:cs="Arial"/>
                <w:sz w:val="24"/>
                <w:szCs w:val="24"/>
              </w:rPr>
              <w:footnoteReference w:id="1"/>
            </w:r>
            <w:r w:rsidR="007C65CA" w:rsidRPr="00E31D89">
              <w:rPr>
                <w:rFonts w:ascii="Arial Narrow" w:hAnsi="Arial Narrow" w:cs="Arial"/>
                <w:sz w:val="24"/>
                <w:szCs w:val="24"/>
              </w:rPr>
              <w:t xml:space="preserve"> where a full bench o</w:t>
            </w:r>
            <w:r w:rsidR="003D748F" w:rsidRPr="00E31D89">
              <w:rPr>
                <w:rFonts w:ascii="Arial Narrow" w:hAnsi="Arial Narrow" w:cs="Arial"/>
                <w:sz w:val="24"/>
                <w:szCs w:val="24"/>
              </w:rPr>
              <w:t>f the H</w:t>
            </w:r>
            <w:r w:rsidR="00B0776A">
              <w:rPr>
                <w:rFonts w:ascii="Arial Narrow" w:hAnsi="Arial Narrow" w:cs="Arial"/>
                <w:sz w:val="24"/>
                <w:szCs w:val="24"/>
              </w:rPr>
              <w:t xml:space="preserve">igh Court dealt </w:t>
            </w:r>
            <w:r w:rsidR="003D748F" w:rsidRPr="00E31D89">
              <w:rPr>
                <w:rFonts w:ascii="Arial Narrow" w:hAnsi="Arial Narrow" w:cs="Arial"/>
                <w:sz w:val="24"/>
                <w:szCs w:val="24"/>
              </w:rPr>
              <w:t>specifically</w:t>
            </w:r>
            <w:r w:rsidR="00B0776A">
              <w:rPr>
                <w:rFonts w:ascii="Arial Narrow" w:hAnsi="Arial Narrow" w:cs="Arial"/>
                <w:sz w:val="24"/>
                <w:szCs w:val="24"/>
              </w:rPr>
              <w:t xml:space="preserve"> with</w:t>
            </w:r>
            <w:r w:rsidR="003D748F" w:rsidRPr="00E31D89">
              <w:rPr>
                <w:rFonts w:ascii="Arial Narrow" w:hAnsi="Arial Narrow" w:cs="Arial"/>
                <w:sz w:val="24"/>
                <w:szCs w:val="24"/>
              </w:rPr>
              <w:t xml:space="preserve"> the</w:t>
            </w:r>
            <w:r w:rsidR="007C65CA" w:rsidRPr="00E31D89">
              <w:rPr>
                <w:rFonts w:ascii="Arial Narrow" w:hAnsi="Arial Narrow" w:cs="Arial"/>
                <w:sz w:val="24"/>
                <w:szCs w:val="24"/>
              </w:rPr>
              <w:t xml:space="preserve"> question</w:t>
            </w:r>
            <w:r w:rsidR="000261DE" w:rsidRPr="00E31D89">
              <w:rPr>
                <w:rFonts w:ascii="Arial Narrow" w:hAnsi="Arial Narrow" w:cs="Arial"/>
                <w:sz w:val="24"/>
                <w:szCs w:val="24"/>
              </w:rPr>
              <w:t xml:space="preserve"> of amendment of pleadings at a very late stage in the proceedings</w:t>
            </w:r>
            <w:r w:rsidR="00B0776A">
              <w:rPr>
                <w:rFonts w:ascii="Arial Narrow" w:hAnsi="Arial Narrow" w:cs="Arial"/>
                <w:sz w:val="24"/>
                <w:szCs w:val="24"/>
              </w:rPr>
              <w:t xml:space="preserve">. </w:t>
            </w:r>
            <w:r w:rsidR="0020207E" w:rsidRPr="00E31D89">
              <w:rPr>
                <w:rFonts w:ascii="Arial Narrow" w:hAnsi="Arial Narrow" w:cs="Arial"/>
                <w:sz w:val="24"/>
                <w:szCs w:val="24"/>
              </w:rPr>
              <w:t xml:space="preserve">This court finds the sentiments expressed in the </w:t>
            </w:r>
            <w:r w:rsidR="0020207E" w:rsidRPr="00301BFE">
              <w:rPr>
                <w:rFonts w:ascii="Arial Narrow" w:hAnsi="Arial Narrow" w:cs="Arial"/>
                <w:i/>
                <w:sz w:val="24"/>
                <w:szCs w:val="24"/>
              </w:rPr>
              <w:t>I A Bell</w:t>
            </w:r>
            <w:r w:rsidR="0020207E" w:rsidRPr="00E31D89">
              <w:rPr>
                <w:rFonts w:ascii="Arial Narrow" w:hAnsi="Arial Narrow" w:cs="Arial"/>
                <w:sz w:val="24"/>
                <w:szCs w:val="24"/>
              </w:rPr>
              <w:t xml:space="preserve"> matter also applicable when considering allowing amendments to pre-trial orders.</w:t>
            </w:r>
            <w:r w:rsidR="00B0776A">
              <w:rPr>
                <w:rFonts w:ascii="Arial Narrow" w:hAnsi="Arial Narrow" w:cs="Arial"/>
                <w:sz w:val="24"/>
                <w:szCs w:val="24"/>
              </w:rPr>
              <w:t xml:space="preserve">  In their judg</w:t>
            </w:r>
            <w:r w:rsidR="00E31D89" w:rsidRPr="00E31D89">
              <w:rPr>
                <w:rFonts w:ascii="Arial Narrow" w:hAnsi="Arial Narrow" w:cs="Arial"/>
                <w:sz w:val="24"/>
                <w:szCs w:val="24"/>
              </w:rPr>
              <w:t xml:space="preserve">ment, they quoted with approval from the Australian judgement of </w:t>
            </w:r>
            <w:r w:rsidR="00E31D89" w:rsidRPr="006808F0">
              <w:rPr>
                <w:rFonts w:ascii="Arial Narrow" w:hAnsi="Arial Narrow" w:cs="Arial"/>
                <w:i/>
                <w:sz w:val="24"/>
                <w:szCs w:val="24"/>
              </w:rPr>
              <w:t>Aon Risk Services Australia Ltd v Australian National University</w:t>
            </w:r>
            <w:r w:rsidR="00E31D89" w:rsidRPr="00E31D89">
              <w:rPr>
                <w:rStyle w:val="FootnoteReference"/>
                <w:rFonts w:ascii="Arial Narrow" w:hAnsi="Arial Narrow" w:cs="Arial"/>
                <w:sz w:val="24"/>
                <w:szCs w:val="24"/>
              </w:rPr>
              <w:footnoteReference w:id="2"/>
            </w:r>
            <w:r w:rsidR="006808F0">
              <w:rPr>
                <w:rFonts w:ascii="Arial Narrow" w:hAnsi="Arial Narrow" w:cs="Arial"/>
                <w:sz w:val="24"/>
                <w:szCs w:val="24"/>
              </w:rPr>
              <w:t xml:space="preserve"> where the court identified</w:t>
            </w:r>
            <w:r w:rsidR="00E31D89" w:rsidRPr="00E31D89">
              <w:rPr>
                <w:rFonts w:ascii="Arial Narrow" w:hAnsi="Arial Narrow" w:cs="Arial"/>
                <w:sz w:val="24"/>
                <w:szCs w:val="24"/>
              </w:rPr>
              <w:t xml:space="preserve"> the following as relevant to the court’s exercise of the judicial discretion to allow an amendment:</w:t>
            </w:r>
          </w:p>
          <w:p w:rsidR="00301BFE" w:rsidRPr="00E31D89" w:rsidRDefault="00301BFE" w:rsidP="00051F74">
            <w:pPr>
              <w:tabs>
                <w:tab w:val="left" w:pos="560"/>
              </w:tabs>
              <w:spacing w:after="0" w:line="360" w:lineRule="auto"/>
              <w:jc w:val="both"/>
              <w:rPr>
                <w:rFonts w:ascii="Arial Narrow" w:hAnsi="Arial Narrow" w:cs="Arial"/>
                <w:sz w:val="24"/>
                <w:szCs w:val="24"/>
              </w:rPr>
            </w:pPr>
          </w:p>
          <w:p w:rsidR="00E31D89" w:rsidRPr="006808F0" w:rsidRDefault="00B0776A" w:rsidP="00051F74">
            <w:pPr>
              <w:tabs>
                <w:tab w:val="left" w:pos="560"/>
              </w:tabs>
              <w:spacing w:after="0" w:line="360" w:lineRule="auto"/>
              <w:jc w:val="both"/>
              <w:rPr>
                <w:rFonts w:ascii="Arial Narrow" w:hAnsi="Arial Narrow" w:cs="Arial"/>
              </w:rPr>
            </w:pPr>
            <w:r>
              <w:rPr>
                <w:rFonts w:ascii="Arial Narrow" w:hAnsi="Arial Narrow" w:cs="Arial"/>
                <w:sz w:val="24"/>
                <w:szCs w:val="24"/>
              </w:rPr>
              <w:t xml:space="preserve">     </w:t>
            </w:r>
            <w:r w:rsidR="00E31D89" w:rsidRPr="00E31D89">
              <w:rPr>
                <w:rFonts w:ascii="Arial Narrow" w:hAnsi="Arial Narrow" w:cs="Arial"/>
                <w:sz w:val="24"/>
                <w:szCs w:val="24"/>
              </w:rPr>
              <w:t xml:space="preserve"> </w:t>
            </w:r>
            <w:r>
              <w:rPr>
                <w:rFonts w:ascii="Arial Narrow" w:hAnsi="Arial Narrow" w:cs="Arial"/>
                <w:sz w:val="24"/>
                <w:szCs w:val="24"/>
              </w:rPr>
              <w:t>‘</w:t>
            </w:r>
            <w:r w:rsidR="00E31D89" w:rsidRPr="00E31D89">
              <w:rPr>
                <w:rFonts w:ascii="Arial Narrow" w:hAnsi="Arial Narrow" w:cs="Arial"/>
                <w:sz w:val="24"/>
                <w:szCs w:val="24"/>
              </w:rPr>
              <w:t xml:space="preserve"> </w:t>
            </w:r>
            <w:r w:rsidR="00E31D89" w:rsidRPr="006808F0">
              <w:rPr>
                <w:rFonts w:ascii="Arial Narrow" w:hAnsi="Arial Narrow" w:cs="Arial"/>
              </w:rPr>
              <w:t xml:space="preserve">(a) the extent of delay in seeking leave and its associated costs; </w:t>
            </w:r>
          </w:p>
          <w:p w:rsidR="00E31D89" w:rsidRPr="006808F0" w:rsidRDefault="00E31D89" w:rsidP="00051F74">
            <w:pPr>
              <w:tabs>
                <w:tab w:val="left" w:pos="560"/>
              </w:tabs>
              <w:spacing w:after="0" w:line="360" w:lineRule="auto"/>
              <w:jc w:val="both"/>
              <w:rPr>
                <w:rFonts w:ascii="Arial Narrow" w:hAnsi="Arial Narrow" w:cs="Arial"/>
              </w:rPr>
            </w:pPr>
            <w:r w:rsidRPr="006808F0">
              <w:rPr>
                <w:rFonts w:ascii="Arial Narrow" w:hAnsi="Arial Narrow" w:cs="Arial"/>
              </w:rPr>
              <w:t xml:space="preserve">       (b) the point the litigation has reached: applications brought during the time set for trial or that require vacating trial dates are less likely to be granted; </w:t>
            </w:r>
          </w:p>
          <w:p w:rsidR="00E31D89" w:rsidRPr="006808F0" w:rsidRDefault="00E31D89" w:rsidP="00051F74">
            <w:pPr>
              <w:tabs>
                <w:tab w:val="left" w:pos="560"/>
              </w:tabs>
              <w:spacing w:after="0" w:line="360" w:lineRule="auto"/>
              <w:jc w:val="both"/>
              <w:rPr>
                <w:rFonts w:ascii="Arial Narrow" w:hAnsi="Arial Narrow" w:cs="Arial"/>
              </w:rPr>
            </w:pPr>
            <w:r w:rsidRPr="006808F0">
              <w:rPr>
                <w:rFonts w:ascii="Arial Narrow" w:hAnsi="Arial Narrow" w:cs="Arial"/>
              </w:rPr>
              <w:t xml:space="preserve">        (c) the prejudice to the respondent if leave is granted – including the financial and emotional ‘strain’ of ongoing litigation, which even a costs indemnity may not heal; </w:t>
            </w:r>
          </w:p>
          <w:p w:rsidR="00E31D89" w:rsidRPr="006808F0" w:rsidRDefault="00E31D89" w:rsidP="00051F74">
            <w:pPr>
              <w:tabs>
                <w:tab w:val="left" w:pos="560"/>
              </w:tabs>
              <w:spacing w:after="0" w:line="360" w:lineRule="auto"/>
              <w:jc w:val="both"/>
              <w:rPr>
                <w:rFonts w:ascii="Arial Narrow" w:hAnsi="Arial Narrow" w:cs="Arial"/>
              </w:rPr>
            </w:pPr>
            <w:r w:rsidRPr="006808F0">
              <w:rPr>
                <w:rFonts w:ascii="Arial Narrow" w:hAnsi="Arial Narrow" w:cs="Arial"/>
              </w:rPr>
              <w:lastRenderedPageBreak/>
              <w:t xml:space="preserve">        (d) the prejudice to other litigants and the efficient use of court resources:  that is, the court held that the ‘just’ resolution of disputes is not limited to justice between the parties, but requires account to be taken of other litigants; </w:t>
            </w:r>
          </w:p>
          <w:p w:rsidR="00E31D89" w:rsidRPr="006808F0" w:rsidRDefault="00E31D89" w:rsidP="00051F74">
            <w:pPr>
              <w:tabs>
                <w:tab w:val="left" w:pos="560"/>
              </w:tabs>
              <w:spacing w:after="0" w:line="360" w:lineRule="auto"/>
              <w:jc w:val="both"/>
              <w:rPr>
                <w:rFonts w:ascii="Arial Narrow" w:hAnsi="Arial Narrow" w:cs="Arial"/>
              </w:rPr>
            </w:pPr>
            <w:r w:rsidRPr="006808F0">
              <w:rPr>
                <w:rFonts w:ascii="Arial Narrow" w:hAnsi="Arial Narrow" w:cs="Arial"/>
              </w:rPr>
              <w:t xml:space="preserve">       (e) the applicant’s explanation for the delay; </w:t>
            </w:r>
          </w:p>
          <w:p w:rsidR="00E31D89" w:rsidRPr="006808F0" w:rsidRDefault="00E31D89" w:rsidP="00051F74">
            <w:pPr>
              <w:tabs>
                <w:tab w:val="left" w:pos="560"/>
              </w:tabs>
              <w:spacing w:after="0" w:line="360" w:lineRule="auto"/>
              <w:jc w:val="both"/>
              <w:rPr>
                <w:rFonts w:ascii="Arial Narrow" w:hAnsi="Arial Narrow" w:cs="Arial"/>
              </w:rPr>
            </w:pPr>
            <w:r w:rsidRPr="006808F0">
              <w:rPr>
                <w:rFonts w:ascii="Arial Narrow" w:hAnsi="Arial Narrow" w:cs="Arial"/>
              </w:rPr>
              <w:t xml:space="preserve">       (f) the ‘nature and importance’ of the amendment to the applicant; and </w:t>
            </w:r>
          </w:p>
          <w:p w:rsidR="001E1251" w:rsidRPr="006808F0" w:rsidRDefault="00E31D89" w:rsidP="00051F74">
            <w:pPr>
              <w:tabs>
                <w:tab w:val="left" w:pos="560"/>
              </w:tabs>
              <w:spacing w:after="0" w:line="360" w:lineRule="auto"/>
              <w:jc w:val="both"/>
              <w:rPr>
                <w:rFonts w:ascii="Arial Narrow" w:hAnsi="Arial Narrow" w:cs="Arial"/>
              </w:rPr>
            </w:pPr>
            <w:r w:rsidRPr="006808F0">
              <w:rPr>
                <w:rFonts w:ascii="Arial Narrow" w:hAnsi="Arial Narrow" w:cs="Arial"/>
              </w:rPr>
              <w:t xml:space="preserve">       (g) the ‘need to maintain public conf</w:t>
            </w:r>
            <w:r w:rsidR="00B0776A">
              <w:rPr>
                <w:rFonts w:ascii="Arial Narrow" w:hAnsi="Arial Narrow" w:cs="Arial"/>
              </w:rPr>
              <w:t>idence in the judicial system’</w:t>
            </w:r>
            <w:r w:rsidR="00301BFE">
              <w:rPr>
                <w:rFonts w:ascii="Arial Narrow" w:hAnsi="Arial Narrow" w:cs="Arial"/>
              </w:rPr>
              <w:t>.</w:t>
            </w:r>
          </w:p>
          <w:p w:rsidR="003D748F" w:rsidRPr="00E31D89" w:rsidRDefault="003D748F" w:rsidP="006A2E94">
            <w:pPr>
              <w:tabs>
                <w:tab w:val="left" w:pos="560"/>
              </w:tabs>
              <w:spacing w:after="0" w:line="360" w:lineRule="auto"/>
              <w:jc w:val="both"/>
              <w:rPr>
                <w:rFonts w:ascii="Arial Narrow" w:hAnsi="Arial Narrow" w:cs="Arial"/>
                <w:sz w:val="24"/>
                <w:szCs w:val="24"/>
              </w:rPr>
            </w:pPr>
          </w:p>
          <w:p w:rsidR="00E31D89" w:rsidRPr="00E31D89" w:rsidRDefault="00DF08CD" w:rsidP="006A2E94">
            <w:pPr>
              <w:tabs>
                <w:tab w:val="left" w:pos="560"/>
              </w:tabs>
              <w:spacing w:after="0" w:line="360" w:lineRule="auto"/>
              <w:jc w:val="both"/>
              <w:rPr>
                <w:rFonts w:ascii="Arial Narrow" w:hAnsi="Arial Narrow" w:cs="Arial"/>
                <w:sz w:val="24"/>
                <w:szCs w:val="24"/>
              </w:rPr>
            </w:pPr>
            <w:r w:rsidRPr="00E31D89">
              <w:rPr>
                <w:rFonts w:ascii="Arial Narrow" w:hAnsi="Arial Narrow" w:cs="Arial"/>
                <w:sz w:val="24"/>
                <w:szCs w:val="24"/>
              </w:rPr>
              <w:t xml:space="preserve">[11]    </w:t>
            </w:r>
            <w:r w:rsidR="000C4E81">
              <w:rPr>
                <w:rFonts w:ascii="Arial Narrow" w:hAnsi="Arial Narrow" w:cs="Arial"/>
                <w:sz w:val="24"/>
                <w:szCs w:val="24"/>
              </w:rPr>
              <w:t xml:space="preserve">  </w:t>
            </w:r>
            <w:r w:rsidRPr="00E31D89">
              <w:rPr>
                <w:rFonts w:ascii="Arial Narrow" w:hAnsi="Arial Narrow" w:cs="Arial"/>
                <w:sz w:val="24"/>
                <w:szCs w:val="24"/>
              </w:rPr>
              <w:t xml:space="preserve">In </w:t>
            </w:r>
            <w:r w:rsidRPr="006808F0">
              <w:rPr>
                <w:rFonts w:ascii="Arial Narrow" w:hAnsi="Arial Narrow" w:cs="Arial"/>
                <w:i/>
                <w:sz w:val="24"/>
                <w:szCs w:val="24"/>
              </w:rPr>
              <w:t xml:space="preserve">Loubser v </w:t>
            </w:r>
            <w:r w:rsidRPr="00B73E0A">
              <w:rPr>
                <w:rFonts w:ascii="Arial Narrow" w:hAnsi="Arial Narrow" w:cs="Arial"/>
                <w:i/>
                <w:sz w:val="24"/>
                <w:szCs w:val="24"/>
              </w:rPr>
              <w:t>De Beers Marine Namibia (Pty) Ltd</w:t>
            </w:r>
            <w:r w:rsidR="0088493E" w:rsidRPr="00B73E0A">
              <w:rPr>
                <w:rStyle w:val="FootnoteReference"/>
                <w:rFonts w:ascii="Arial Narrow" w:hAnsi="Arial Narrow" w:cs="Arial"/>
                <w:sz w:val="24"/>
                <w:szCs w:val="24"/>
              </w:rPr>
              <w:footnoteReference w:id="3"/>
            </w:r>
            <w:r w:rsidRPr="00B73E0A">
              <w:rPr>
                <w:rFonts w:ascii="Arial Narrow" w:hAnsi="Arial Narrow" w:cs="Arial"/>
                <w:sz w:val="24"/>
                <w:szCs w:val="24"/>
              </w:rPr>
              <w:t xml:space="preserve">, Geier, </w:t>
            </w:r>
            <w:r w:rsidR="00951BF0" w:rsidRPr="00B73E0A">
              <w:rPr>
                <w:rFonts w:ascii="Arial Narrow" w:hAnsi="Arial Narrow" w:cs="Arial"/>
                <w:sz w:val="24"/>
                <w:szCs w:val="24"/>
              </w:rPr>
              <w:t>J adopted the approach</w:t>
            </w:r>
            <w:r w:rsidRPr="00B73E0A">
              <w:rPr>
                <w:rFonts w:ascii="Arial Narrow" w:hAnsi="Arial Narrow" w:cs="Arial"/>
                <w:sz w:val="24"/>
                <w:szCs w:val="24"/>
              </w:rPr>
              <w:t xml:space="preserve"> that to make a pre-trial order </w:t>
            </w:r>
            <w:r w:rsidR="00B0776A" w:rsidRPr="00B73E0A">
              <w:rPr>
                <w:rFonts w:ascii="Arial Narrow" w:hAnsi="Arial Narrow" w:cs="Arial"/>
                <w:sz w:val="24"/>
                <w:szCs w:val="24"/>
              </w:rPr>
              <w:t>binding would render</w:t>
            </w:r>
            <w:r w:rsidRPr="00B73E0A">
              <w:rPr>
                <w:rFonts w:ascii="Arial Narrow" w:hAnsi="Arial Narrow" w:cs="Arial"/>
                <w:sz w:val="24"/>
                <w:szCs w:val="24"/>
              </w:rPr>
              <w:t xml:space="preserve"> the courts inherent </w:t>
            </w:r>
            <w:r w:rsidR="00951BF0" w:rsidRPr="00B73E0A">
              <w:rPr>
                <w:rFonts w:ascii="Arial Narrow" w:hAnsi="Arial Narrow" w:cs="Arial"/>
                <w:sz w:val="24"/>
                <w:szCs w:val="24"/>
              </w:rPr>
              <w:t xml:space="preserve">power </w:t>
            </w:r>
            <w:r w:rsidR="00B0776A" w:rsidRPr="00B73E0A">
              <w:rPr>
                <w:rFonts w:ascii="Arial Narrow" w:hAnsi="Arial Narrow" w:cs="Arial"/>
                <w:sz w:val="24"/>
                <w:szCs w:val="24"/>
              </w:rPr>
              <w:t xml:space="preserve">meaningless </w:t>
            </w:r>
            <w:r w:rsidR="000C4E81" w:rsidRPr="00B73E0A">
              <w:rPr>
                <w:rFonts w:ascii="Arial Narrow" w:hAnsi="Arial Narrow" w:cs="Arial"/>
                <w:sz w:val="24"/>
                <w:szCs w:val="24"/>
              </w:rPr>
              <w:t>to grant amendments and</w:t>
            </w:r>
            <w:r w:rsidR="00951BF0" w:rsidRPr="00B73E0A">
              <w:rPr>
                <w:rFonts w:ascii="Arial Narrow" w:hAnsi="Arial Narrow" w:cs="Arial"/>
                <w:sz w:val="24"/>
                <w:szCs w:val="24"/>
              </w:rPr>
              <w:t xml:space="preserve"> found</w:t>
            </w:r>
            <w:r w:rsidRPr="00B73E0A">
              <w:rPr>
                <w:rFonts w:ascii="Arial Narrow" w:hAnsi="Arial Narrow" w:cs="Arial"/>
                <w:sz w:val="24"/>
                <w:szCs w:val="24"/>
              </w:rPr>
              <w:t xml:space="preserve"> that a pre-trial order should be able to be varied, most importantly, in order to expedite the </w:t>
            </w:r>
            <w:r w:rsidRPr="00E31D89">
              <w:rPr>
                <w:rFonts w:ascii="Arial Narrow" w:hAnsi="Arial Narrow" w:cs="Arial"/>
                <w:sz w:val="24"/>
                <w:szCs w:val="24"/>
              </w:rPr>
              <w:t xml:space="preserve">determination of the </w:t>
            </w:r>
            <w:r w:rsidR="00951BF0">
              <w:rPr>
                <w:rFonts w:ascii="Arial Narrow" w:hAnsi="Arial Narrow" w:cs="Arial"/>
                <w:sz w:val="24"/>
                <w:szCs w:val="24"/>
              </w:rPr>
              <w:t>real issues between the parties.  He found</w:t>
            </w:r>
            <w:r w:rsidRPr="00E31D89">
              <w:rPr>
                <w:rFonts w:ascii="Arial Narrow" w:hAnsi="Arial Narrow" w:cs="Arial"/>
                <w:sz w:val="24"/>
                <w:szCs w:val="24"/>
              </w:rPr>
              <w:t xml:space="preserve"> that a managing judge may, on good cause, at any stage at</w:t>
            </w:r>
            <w:r w:rsidR="00B0776A">
              <w:rPr>
                <w:rFonts w:ascii="Arial Narrow" w:hAnsi="Arial Narrow" w:cs="Arial"/>
                <w:sz w:val="24"/>
                <w:szCs w:val="24"/>
              </w:rPr>
              <w:t xml:space="preserve"> any status hearing, case manage</w:t>
            </w:r>
            <w:r w:rsidRPr="00E31D89">
              <w:rPr>
                <w:rFonts w:ascii="Arial Narrow" w:hAnsi="Arial Narrow" w:cs="Arial"/>
                <w:sz w:val="24"/>
                <w:szCs w:val="24"/>
              </w:rPr>
              <w:t xml:space="preserve">ment hearing or at trial allow or order amendments to the pleadings so that the real issues between the parties and not mere technicalities are determined at the trial. </w:t>
            </w:r>
            <w:r w:rsidR="00E31D89" w:rsidRPr="00E31D89">
              <w:rPr>
                <w:rFonts w:ascii="Arial Narrow" w:hAnsi="Arial Narrow" w:cs="Arial"/>
                <w:sz w:val="24"/>
                <w:szCs w:val="24"/>
              </w:rPr>
              <w:t>The court emphasising however that it did not exercise these powers as a matter of course, but, because it was persuaded, that the applicant had advanced sufficiently strong grounds for the court to do so, and because the court was satisfied that justice in this instance could not properly be done unless the court would grant the applicant leave to continue.</w:t>
            </w:r>
          </w:p>
          <w:p w:rsidR="00E31D89" w:rsidRDefault="00E31D89" w:rsidP="006A2E94">
            <w:pPr>
              <w:tabs>
                <w:tab w:val="left" w:pos="560"/>
              </w:tabs>
              <w:spacing w:after="0" w:line="360" w:lineRule="auto"/>
              <w:jc w:val="both"/>
              <w:rPr>
                <w:rFonts w:ascii="Arial Narrow" w:hAnsi="Arial Narrow" w:cs="Arial"/>
                <w:sz w:val="24"/>
                <w:szCs w:val="24"/>
              </w:rPr>
            </w:pPr>
          </w:p>
          <w:p w:rsidR="00B0776A" w:rsidRDefault="006808F0" w:rsidP="006A2E9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[1</w:t>
            </w:r>
            <w:r w:rsidR="004A16D3">
              <w:rPr>
                <w:rFonts w:ascii="Arial Narrow" w:hAnsi="Arial Narrow" w:cs="Arial"/>
                <w:sz w:val="24"/>
                <w:szCs w:val="24"/>
              </w:rPr>
              <w:t>2</w:t>
            </w:r>
            <w:r>
              <w:rPr>
                <w:rFonts w:ascii="Arial Narrow" w:hAnsi="Arial Narrow" w:cs="Arial"/>
                <w:sz w:val="24"/>
                <w:szCs w:val="24"/>
              </w:rPr>
              <w:t xml:space="preserve">]      In </w:t>
            </w:r>
            <w:r w:rsidRPr="006808F0">
              <w:rPr>
                <w:rFonts w:ascii="Arial Narrow" w:hAnsi="Arial Narrow" w:cs="Arial"/>
                <w:i/>
                <w:sz w:val="24"/>
                <w:szCs w:val="24"/>
              </w:rPr>
              <w:t>Scania Jinance Southern Africa (Pty) Ltd v Aggressive Transport CC</w:t>
            </w:r>
            <w:r>
              <w:rPr>
                <w:rStyle w:val="FootnoteReference"/>
                <w:rFonts w:ascii="Arial Narrow" w:hAnsi="Arial Narrow" w:cs="Arial"/>
                <w:i/>
                <w:sz w:val="24"/>
                <w:szCs w:val="24"/>
              </w:rPr>
              <w:footnoteReference w:id="4"/>
            </w:r>
            <w:r>
              <w:rPr>
                <w:rFonts w:ascii="Arial Narrow" w:hAnsi="Arial Narrow" w:cs="Arial"/>
                <w:sz w:val="24"/>
                <w:szCs w:val="24"/>
              </w:rPr>
              <w:t xml:space="preserve"> Smuts J (as he then was) said the following about the nature of </w:t>
            </w:r>
            <w:r w:rsidR="000C4E81">
              <w:rPr>
                <w:rFonts w:ascii="Arial Narrow" w:hAnsi="Arial Narrow" w:cs="Arial"/>
                <w:sz w:val="24"/>
                <w:szCs w:val="24"/>
              </w:rPr>
              <w:t>the pre-trial agreement:</w:t>
            </w:r>
          </w:p>
          <w:p w:rsidR="000C4E81" w:rsidRDefault="000C4E81" w:rsidP="006A2E94">
            <w:pPr>
              <w:tabs>
                <w:tab w:val="left" w:pos="560"/>
              </w:tabs>
              <w:spacing w:after="0" w:line="360" w:lineRule="auto"/>
              <w:jc w:val="both"/>
              <w:rPr>
                <w:rFonts w:ascii="Arial Narrow" w:hAnsi="Arial Narrow" w:cs="Arial"/>
                <w:sz w:val="24"/>
                <w:szCs w:val="24"/>
              </w:rPr>
            </w:pPr>
          </w:p>
          <w:p w:rsidR="006808F0" w:rsidRDefault="00B0776A" w:rsidP="006A2E9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        ‘</w:t>
            </w:r>
            <w:r w:rsidR="006808F0" w:rsidRPr="006808F0">
              <w:rPr>
                <w:rFonts w:ascii="Arial Narrow" w:hAnsi="Arial Narrow" w:cs="Arial"/>
                <w:sz w:val="24"/>
                <w:szCs w:val="24"/>
              </w:rPr>
              <w:t>It is after all an agreement to confine issues which is binding upon them and from which they cannot resile unless upon good cause shown. It is for this reason that the rule-giver included rule 37(14). To permit parties without a compelling and persuasive explanation to undo their concurrence to confine issues would fundamentally undermine the objectives of case management. It would cause delays and the unnecessary expense of an interlocutory application and compromise the efficient use of available judicial resources and unduly lengthen proceedings with the consequent cost implications for the parties and the administration of justice.</w:t>
            </w:r>
            <w:r>
              <w:rPr>
                <w:rFonts w:ascii="Arial Narrow" w:hAnsi="Arial Narrow" w:cs="Arial"/>
                <w:sz w:val="24"/>
                <w:szCs w:val="24"/>
              </w:rPr>
              <w:t>’</w:t>
            </w:r>
          </w:p>
          <w:p w:rsidR="006808F0" w:rsidRDefault="006808F0" w:rsidP="006A2E94">
            <w:pPr>
              <w:tabs>
                <w:tab w:val="left" w:pos="560"/>
              </w:tabs>
              <w:spacing w:after="0" w:line="360" w:lineRule="auto"/>
              <w:jc w:val="both"/>
              <w:rPr>
                <w:rFonts w:ascii="Arial Narrow" w:hAnsi="Arial Narrow" w:cs="Arial"/>
                <w:sz w:val="24"/>
                <w:szCs w:val="24"/>
              </w:rPr>
            </w:pPr>
          </w:p>
          <w:p w:rsidR="006808F0" w:rsidRDefault="006808F0" w:rsidP="006A2E9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[1</w:t>
            </w:r>
            <w:r w:rsidR="004A16D3">
              <w:rPr>
                <w:rFonts w:ascii="Arial Narrow" w:hAnsi="Arial Narrow" w:cs="Arial"/>
                <w:sz w:val="24"/>
                <w:szCs w:val="24"/>
              </w:rPr>
              <w:t>3</w:t>
            </w:r>
            <w:r>
              <w:rPr>
                <w:rFonts w:ascii="Arial Narrow" w:hAnsi="Arial Narrow" w:cs="Arial"/>
                <w:sz w:val="24"/>
                <w:szCs w:val="24"/>
              </w:rPr>
              <w:t>]</w:t>
            </w:r>
            <w:r w:rsidR="00CF062D">
              <w:rPr>
                <w:rFonts w:ascii="Arial Narrow" w:hAnsi="Arial Narrow" w:cs="Arial"/>
                <w:sz w:val="24"/>
                <w:szCs w:val="24"/>
              </w:rPr>
              <w:t xml:space="preserve">     The applicants, in this instance the defendants</w:t>
            </w:r>
            <w:r w:rsidR="00951BF0">
              <w:rPr>
                <w:rFonts w:ascii="Arial Narrow" w:hAnsi="Arial Narrow" w:cs="Arial"/>
                <w:sz w:val="24"/>
                <w:szCs w:val="24"/>
              </w:rPr>
              <w:t>,</w:t>
            </w:r>
            <w:r w:rsidR="00CF062D">
              <w:rPr>
                <w:rFonts w:ascii="Arial Narrow" w:hAnsi="Arial Narrow" w:cs="Arial"/>
                <w:sz w:val="24"/>
                <w:szCs w:val="24"/>
              </w:rPr>
              <w:t xml:space="preserve"> should therefore have shown good cause for the proposed amendments.  The explanation put forward for the inclusion of the name of the expert witness was that additional discovery was applied for and allowed after the pre-trial order was already made and therefore the name of the person who is to </w:t>
            </w:r>
            <w:r w:rsidR="00B0776A">
              <w:rPr>
                <w:rFonts w:ascii="Arial Narrow" w:hAnsi="Arial Narrow" w:cs="Arial"/>
                <w:sz w:val="24"/>
                <w:szCs w:val="24"/>
              </w:rPr>
              <w:t>introduce the said evidence was</w:t>
            </w:r>
            <w:r w:rsidR="00CF062D">
              <w:rPr>
                <w:rFonts w:ascii="Arial Narrow" w:hAnsi="Arial Narrow" w:cs="Arial"/>
                <w:sz w:val="24"/>
                <w:szCs w:val="24"/>
              </w:rPr>
              <w:t xml:space="preserve"> not included in the pre-trial order.  As part of the process of additional discovery, the o</w:t>
            </w:r>
            <w:r w:rsidR="00B0776A">
              <w:rPr>
                <w:rFonts w:ascii="Arial Narrow" w:hAnsi="Arial Narrow" w:cs="Arial"/>
                <w:sz w:val="24"/>
                <w:szCs w:val="24"/>
              </w:rPr>
              <w:t xml:space="preserve">rder should have been amended. </w:t>
            </w:r>
            <w:r w:rsidR="00CF062D">
              <w:rPr>
                <w:rFonts w:ascii="Arial Narrow" w:hAnsi="Arial Narrow" w:cs="Arial"/>
                <w:sz w:val="24"/>
                <w:szCs w:val="24"/>
              </w:rPr>
              <w:t>The court accepts thi</w:t>
            </w:r>
            <w:r w:rsidR="00D765B6">
              <w:rPr>
                <w:rFonts w:ascii="Arial Narrow" w:hAnsi="Arial Narrow" w:cs="Arial"/>
                <w:sz w:val="24"/>
                <w:szCs w:val="24"/>
              </w:rPr>
              <w:t xml:space="preserve">s </w:t>
            </w:r>
            <w:r w:rsidR="00D765B6">
              <w:rPr>
                <w:rFonts w:ascii="Arial Narrow" w:hAnsi="Arial Narrow" w:cs="Arial"/>
                <w:sz w:val="24"/>
                <w:szCs w:val="24"/>
              </w:rPr>
              <w:lastRenderedPageBreak/>
              <w:t>explanation and therefore</w:t>
            </w:r>
            <w:r w:rsidR="00CF062D">
              <w:rPr>
                <w:rFonts w:ascii="Arial Narrow" w:hAnsi="Arial Narrow" w:cs="Arial"/>
                <w:sz w:val="24"/>
                <w:szCs w:val="24"/>
              </w:rPr>
              <w:t xml:space="preserve"> allow</w:t>
            </w:r>
            <w:r w:rsidR="00D765B6">
              <w:rPr>
                <w:rFonts w:ascii="Arial Narrow" w:hAnsi="Arial Narrow" w:cs="Arial"/>
                <w:sz w:val="24"/>
                <w:szCs w:val="24"/>
              </w:rPr>
              <w:t>s</w:t>
            </w:r>
            <w:r w:rsidR="00CF062D">
              <w:rPr>
                <w:rFonts w:ascii="Arial Narrow" w:hAnsi="Arial Narrow" w:cs="Arial"/>
                <w:sz w:val="24"/>
                <w:szCs w:val="24"/>
              </w:rPr>
              <w:t xml:space="preserve"> the expert witness to be called and include the name of the expert witness in the pre-trial order.</w:t>
            </w:r>
          </w:p>
          <w:p w:rsidR="00CF062D" w:rsidRDefault="00CF062D" w:rsidP="006A2E94">
            <w:pPr>
              <w:tabs>
                <w:tab w:val="left" w:pos="560"/>
              </w:tabs>
              <w:spacing w:after="0" w:line="360" w:lineRule="auto"/>
              <w:jc w:val="both"/>
              <w:rPr>
                <w:rFonts w:ascii="Arial Narrow" w:hAnsi="Arial Narrow" w:cs="Arial"/>
                <w:sz w:val="24"/>
                <w:szCs w:val="24"/>
              </w:rPr>
            </w:pPr>
          </w:p>
          <w:p w:rsidR="00CF062D" w:rsidRDefault="00CF062D" w:rsidP="006A2E9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[1</w:t>
            </w:r>
            <w:r w:rsidR="004A16D3">
              <w:rPr>
                <w:rFonts w:ascii="Arial Narrow" w:hAnsi="Arial Narrow" w:cs="Arial"/>
                <w:sz w:val="24"/>
                <w:szCs w:val="24"/>
              </w:rPr>
              <w:t>4</w:t>
            </w:r>
            <w:r>
              <w:rPr>
                <w:rFonts w:ascii="Arial Narrow" w:hAnsi="Arial Narrow" w:cs="Arial"/>
                <w:sz w:val="24"/>
                <w:szCs w:val="24"/>
              </w:rPr>
              <w:t xml:space="preserve">]      On the issue of having the special pleas available to the defendants, I am of the opinion that no good cause was shown for allowing them to be raised during the trial. </w:t>
            </w:r>
            <w:r w:rsidR="00B0776A">
              <w:rPr>
                <w:rFonts w:ascii="Arial Narrow" w:hAnsi="Arial Narrow" w:cs="Arial"/>
                <w:sz w:val="24"/>
                <w:szCs w:val="24"/>
              </w:rPr>
              <w:t xml:space="preserve"> They were pleaded but not</w:t>
            </w:r>
            <w:r>
              <w:rPr>
                <w:rFonts w:ascii="Arial Narrow" w:hAnsi="Arial Narrow" w:cs="Arial"/>
                <w:sz w:val="24"/>
                <w:szCs w:val="24"/>
              </w:rPr>
              <w:t xml:space="preserve"> raised in the </w:t>
            </w:r>
            <w:r w:rsidR="00B0776A">
              <w:rPr>
                <w:rFonts w:ascii="Arial Narrow" w:hAnsi="Arial Narrow" w:cs="Arial"/>
                <w:sz w:val="24"/>
                <w:szCs w:val="24"/>
              </w:rPr>
              <w:t>Case Management R</w:t>
            </w:r>
            <w:r>
              <w:rPr>
                <w:rFonts w:ascii="Arial Narrow" w:hAnsi="Arial Narrow" w:cs="Arial"/>
                <w:sz w:val="24"/>
                <w:szCs w:val="24"/>
              </w:rPr>
              <w:t>eport, where there are questions specifically dealing</w:t>
            </w:r>
            <w:r w:rsidR="004A16D3">
              <w:rPr>
                <w:rFonts w:ascii="Arial Narrow" w:hAnsi="Arial Narrow" w:cs="Arial"/>
                <w:sz w:val="24"/>
                <w:szCs w:val="24"/>
              </w:rPr>
              <w:t xml:space="preserve"> with</w:t>
            </w:r>
            <w:r>
              <w:rPr>
                <w:rFonts w:ascii="Arial Narrow" w:hAnsi="Arial Narrow" w:cs="Arial"/>
                <w:sz w:val="24"/>
                <w:szCs w:val="24"/>
              </w:rPr>
              <w:t xml:space="preserve"> </w:t>
            </w:r>
            <w:r w:rsidRPr="00E31D89">
              <w:rPr>
                <w:rFonts w:ascii="Arial Narrow" w:hAnsi="Arial Narrow" w:cs="Arial"/>
                <w:sz w:val="24"/>
                <w:szCs w:val="24"/>
              </w:rPr>
              <w:t>join</w:t>
            </w:r>
            <w:r w:rsidR="00260099">
              <w:rPr>
                <w:rFonts w:ascii="Arial Narrow" w:hAnsi="Arial Narrow" w:cs="Arial"/>
                <w:sz w:val="24"/>
                <w:szCs w:val="24"/>
              </w:rPr>
              <w:t>d</w:t>
            </w:r>
            <w:r w:rsidRPr="00E31D89">
              <w:rPr>
                <w:rFonts w:ascii="Arial Narrow" w:hAnsi="Arial Narrow" w:cs="Arial"/>
                <w:sz w:val="24"/>
                <w:szCs w:val="24"/>
              </w:rPr>
              <w:t xml:space="preserve">er, the </w:t>
            </w:r>
            <w:r>
              <w:rPr>
                <w:rFonts w:ascii="Arial Narrow" w:hAnsi="Arial Narrow" w:cs="Arial"/>
                <w:sz w:val="24"/>
                <w:szCs w:val="24"/>
              </w:rPr>
              <w:t>report indicates not applicable.  Similarly on the questions of interlocutory applications – which was not foreseen</w:t>
            </w:r>
            <w:r w:rsidRPr="00E31D89">
              <w:rPr>
                <w:rFonts w:ascii="Arial Narrow" w:hAnsi="Arial Narrow" w:cs="Arial"/>
                <w:sz w:val="24"/>
                <w:szCs w:val="24"/>
              </w:rPr>
              <w:t xml:space="preserve"> </w:t>
            </w:r>
            <w:r>
              <w:rPr>
                <w:rFonts w:ascii="Arial Narrow" w:hAnsi="Arial Narrow" w:cs="Arial"/>
                <w:sz w:val="24"/>
                <w:szCs w:val="24"/>
              </w:rPr>
              <w:t xml:space="preserve">and </w:t>
            </w:r>
            <w:r w:rsidRPr="00E31D89">
              <w:rPr>
                <w:rFonts w:ascii="Arial Narrow" w:hAnsi="Arial Narrow" w:cs="Arial"/>
                <w:sz w:val="24"/>
                <w:szCs w:val="24"/>
              </w:rPr>
              <w:t>on the question of</w:t>
            </w:r>
            <w:r w:rsidR="00C028F5">
              <w:rPr>
                <w:rFonts w:ascii="Arial Narrow" w:hAnsi="Arial Narrow" w:cs="Arial"/>
                <w:sz w:val="24"/>
                <w:szCs w:val="24"/>
              </w:rPr>
              <w:t xml:space="preserve"> any objection on points of law, </w:t>
            </w:r>
            <w:r w:rsidRPr="00E31D89">
              <w:rPr>
                <w:rFonts w:ascii="Arial Narrow" w:hAnsi="Arial Narrow" w:cs="Arial"/>
                <w:sz w:val="24"/>
                <w:szCs w:val="24"/>
              </w:rPr>
              <w:t xml:space="preserve">the </w:t>
            </w:r>
            <w:r w:rsidR="00C028F5">
              <w:rPr>
                <w:rFonts w:ascii="Arial Narrow" w:hAnsi="Arial Narrow" w:cs="Arial"/>
                <w:sz w:val="24"/>
                <w:szCs w:val="24"/>
              </w:rPr>
              <w:t>report indicates not applicable. Also</w:t>
            </w:r>
            <w:r w:rsidRPr="00E31D89">
              <w:rPr>
                <w:rFonts w:ascii="Arial Narrow" w:hAnsi="Arial Narrow" w:cs="Arial"/>
                <w:sz w:val="24"/>
                <w:szCs w:val="24"/>
              </w:rPr>
              <w:t xml:space="preserve"> on the question of giving orders or directions for a separate hearing in respect of any relevant issue, the answer was not applicable</w:t>
            </w:r>
            <w:r w:rsidR="00C028F5">
              <w:rPr>
                <w:rFonts w:ascii="Arial Narrow" w:hAnsi="Arial Narrow" w:cs="Arial"/>
                <w:sz w:val="24"/>
                <w:szCs w:val="24"/>
              </w:rPr>
              <w:t xml:space="preserve">.  The </w:t>
            </w:r>
            <w:r w:rsidR="00260099">
              <w:rPr>
                <w:rFonts w:ascii="Arial Narrow" w:hAnsi="Arial Narrow" w:cs="Arial"/>
                <w:sz w:val="24"/>
                <w:szCs w:val="24"/>
              </w:rPr>
              <w:t>issue of the special pleas was</w:t>
            </w:r>
            <w:r w:rsidR="00C028F5">
              <w:rPr>
                <w:rFonts w:ascii="Arial Narrow" w:hAnsi="Arial Narrow" w:cs="Arial"/>
                <w:sz w:val="24"/>
                <w:szCs w:val="24"/>
              </w:rPr>
              <w:t xml:space="preserve"> never raised in the Case Managem</w:t>
            </w:r>
            <w:r w:rsidR="00260099">
              <w:rPr>
                <w:rFonts w:ascii="Arial Narrow" w:hAnsi="Arial Narrow" w:cs="Arial"/>
                <w:sz w:val="24"/>
                <w:szCs w:val="24"/>
              </w:rPr>
              <w:t>ent Report or in the Pre-Trial R</w:t>
            </w:r>
            <w:r w:rsidR="00C028F5">
              <w:rPr>
                <w:rFonts w:ascii="Arial Narrow" w:hAnsi="Arial Narrow" w:cs="Arial"/>
                <w:sz w:val="24"/>
                <w:szCs w:val="24"/>
              </w:rPr>
              <w:t>eport and no satisfactory explanation was put forward by the legal practitioner for the defendants for this oversight.  The only in</w:t>
            </w:r>
            <w:r w:rsidR="00D765B6">
              <w:rPr>
                <w:rFonts w:ascii="Arial Narrow" w:hAnsi="Arial Narrow" w:cs="Arial"/>
                <w:sz w:val="24"/>
                <w:szCs w:val="24"/>
              </w:rPr>
              <w:t>dication was that he only realis</w:t>
            </w:r>
            <w:r w:rsidR="00C028F5">
              <w:rPr>
                <w:rFonts w:ascii="Arial Narrow" w:hAnsi="Arial Narrow" w:cs="Arial"/>
                <w:sz w:val="24"/>
                <w:szCs w:val="24"/>
              </w:rPr>
              <w:t>ed that there was special pleas during the weekend before the trial commenced when he was busy preparing for the trial.</w:t>
            </w:r>
            <w:r w:rsidR="00D765B6">
              <w:rPr>
                <w:rFonts w:ascii="Arial Narrow" w:hAnsi="Arial Narrow" w:cs="Arial"/>
                <w:sz w:val="24"/>
                <w:szCs w:val="24"/>
              </w:rPr>
              <w:t xml:space="preserve"> </w:t>
            </w:r>
            <w:r w:rsidR="004A16D3">
              <w:rPr>
                <w:rFonts w:ascii="Arial Narrow" w:hAnsi="Arial Narrow" w:cs="Arial"/>
                <w:sz w:val="24"/>
                <w:szCs w:val="24"/>
              </w:rPr>
              <w:t>It therefore seems as if the legal practitioner never properly perused his file and studied his case when he participated in the Cas</w:t>
            </w:r>
            <w:r w:rsidR="00260099">
              <w:rPr>
                <w:rFonts w:ascii="Arial Narrow" w:hAnsi="Arial Narrow" w:cs="Arial"/>
                <w:sz w:val="24"/>
                <w:szCs w:val="24"/>
              </w:rPr>
              <w:t>e Management Report as well as the Pre-Trial R</w:t>
            </w:r>
            <w:r w:rsidR="004A16D3">
              <w:rPr>
                <w:rFonts w:ascii="Arial Narrow" w:hAnsi="Arial Narrow" w:cs="Arial"/>
                <w:sz w:val="24"/>
                <w:szCs w:val="24"/>
              </w:rPr>
              <w:t>eport.  He also did not do so at the time of the roll call hearing of 16 October 2020.</w:t>
            </w:r>
            <w:r w:rsidR="00951BF0">
              <w:rPr>
                <w:rFonts w:ascii="Arial Narrow" w:hAnsi="Arial Narrow" w:cs="Arial"/>
                <w:sz w:val="24"/>
                <w:szCs w:val="24"/>
              </w:rPr>
              <w:t xml:space="preserve">  The court did not deal with the application to vacate the dates as the trial did not proceed in any event due to the application that was brought and the days allocated to the trial ran out before this order was made.</w:t>
            </w:r>
          </w:p>
          <w:p w:rsidR="00C028F5" w:rsidRDefault="00C028F5" w:rsidP="006A2E94">
            <w:pPr>
              <w:tabs>
                <w:tab w:val="left" w:pos="560"/>
              </w:tabs>
              <w:spacing w:after="0" w:line="360" w:lineRule="auto"/>
              <w:jc w:val="both"/>
              <w:rPr>
                <w:rFonts w:ascii="Arial Narrow" w:hAnsi="Arial Narrow" w:cs="Arial"/>
                <w:sz w:val="24"/>
                <w:szCs w:val="24"/>
              </w:rPr>
            </w:pPr>
          </w:p>
          <w:p w:rsidR="00C028F5" w:rsidRPr="006808F0" w:rsidRDefault="00D765B6" w:rsidP="006A2E94">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[15</w:t>
            </w:r>
            <w:r w:rsidR="00C028F5">
              <w:rPr>
                <w:rFonts w:ascii="Arial Narrow" w:hAnsi="Arial Narrow" w:cs="Arial"/>
                <w:sz w:val="24"/>
                <w:szCs w:val="24"/>
              </w:rPr>
              <w:t xml:space="preserve">]    </w:t>
            </w:r>
            <w:r w:rsidR="00A4240B">
              <w:rPr>
                <w:rFonts w:ascii="Arial Narrow" w:hAnsi="Arial Narrow" w:cs="Arial"/>
                <w:sz w:val="24"/>
                <w:szCs w:val="24"/>
              </w:rPr>
              <w:t xml:space="preserve"> </w:t>
            </w:r>
            <w:bookmarkStart w:id="0" w:name="_GoBack"/>
            <w:bookmarkEnd w:id="0"/>
            <w:r w:rsidR="00C028F5">
              <w:rPr>
                <w:rFonts w:ascii="Arial Narrow" w:hAnsi="Arial Narrow" w:cs="Arial"/>
                <w:sz w:val="24"/>
                <w:szCs w:val="24"/>
              </w:rPr>
              <w:t>For those reasons, I make the following orders:</w:t>
            </w:r>
          </w:p>
          <w:p w:rsidR="00E31D89" w:rsidRPr="00E31D89" w:rsidRDefault="00E31D89" w:rsidP="006A2E94">
            <w:pPr>
              <w:tabs>
                <w:tab w:val="left" w:pos="560"/>
              </w:tabs>
              <w:spacing w:after="0" w:line="360" w:lineRule="auto"/>
              <w:jc w:val="both"/>
              <w:rPr>
                <w:rFonts w:ascii="Arial Narrow" w:hAnsi="Arial Narrow" w:cs="Arial"/>
                <w:sz w:val="24"/>
                <w:szCs w:val="24"/>
              </w:rPr>
            </w:pPr>
          </w:p>
          <w:p w:rsidR="00C028F5" w:rsidRPr="00C028F5" w:rsidRDefault="00C028F5" w:rsidP="00C028F5">
            <w:pPr>
              <w:tabs>
                <w:tab w:val="left" w:pos="560"/>
              </w:tabs>
              <w:spacing w:after="0" w:line="360" w:lineRule="auto"/>
              <w:jc w:val="both"/>
              <w:rPr>
                <w:rFonts w:ascii="Arial Narrow" w:hAnsi="Arial Narrow" w:cs="Arial"/>
                <w:sz w:val="24"/>
                <w:szCs w:val="24"/>
              </w:rPr>
            </w:pPr>
            <w:r w:rsidRPr="00C028F5">
              <w:rPr>
                <w:rFonts w:ascii="Arial Narrow" w:hAnsi="Arial Narrow" w:cs="Arial"/>
                <w:sz w:val="24"/>
                <w:szCs w:val="24"/>
              </w:rPr>
              <w:t>1.</w:t>
            </w:r>
            <w:r w:rsidRPr="00C028F5">
              <w:rPr>
                <w:rFonts w:ascii="Arial Narrow" w:hAnsi="Arial Narrow" w:cs="Arial"/>
                <w:sz w:val="24"/>
                <w:szCs w:val="24"/>
              </w:rPr>
              <w:tab/>
              <w:t xml:space="preserve">The pre-trial order is </w:t>
            </w:r>
            <w:r w:rsidR="004A16D3" w:rsidRPr="00C028F5">
              <w:rPr>
                <w:rFonts w:ascii="Arial Narrow" w:hAnsi="Arial Narrow" w:cs="Arial"/>
                <w:sz w:val="24"/>
                <w:szCs w:val="24"/>
              </w:rPr>
              <w:t>amended</w:t>
            </w:r>
            <w:r w:rsidRPr="00C028F5">
              <w:rPr>
                <w:rFonts w:ascii="Arial Narrow" w:hAnsi="Arial Narrow" w:cs="Arial"/>
                <w:sz w:val="24"/>
                <w:szCs w:val="24"/>
              </w:rPr>
              <w:t xml:space="preserve"> to include the name of the expert witness – Michael Tangeni Shilumbu</w:t>
            </w:r>
          </w:p>
          <w:p w:rsidR="00951BF0" w:rsidRDefault="00C028F5" w:rsidP="00C028F5">
            <w:pPr>
              <w:tabs>
                <w:tab w:val="left" w:pos="560"/>
              </w:tabs>
              <w:spacing w:after="0" w:line="360" w:lineRule="auto"/>
              <w:jc w:val="both"/>
              <w:rPr>
                <w:rFonts w:ascii="Arial Narrow" w:hAnsi="Arial Narrow" w:cs="Arial"/>
                <w:sz w:val="24"/>
                <w:szCs w:val="24"/>
              </w:rPr>
            </w:pPr>
            <w:r w:rsidRPr="00C028F5">
              <w:rPr>
                <w:rFonts w:ascii="Arial Narrow" w:hAnsi="Arial Narrow" w:cs="Arial"/>
                <w:sz w:val="24"/>
                <w:szCs w:val="24"/>
              </w:rPr>
              <w:t>2.</w:t>
            </w:r>
            <w:r w:rsidRPr="00C028F5">
              <w:rPr>
                <w:rFonts w:ascii="Arial Narrow" w:hAnsi="Arial Narrow" w:cs="Arial"/>
                <w:sz w:val="24"/>
                <w:szCs w:val="24"/>
              </w:rPr>
              <w:tab/>
              <w:t>The special pleas raised by the defendants in their plea will not be included in the pre-trial order and the court does not grant leave for them to be available to the defendants during the trial.</w:t>
            </w:r>
          </w:p>
          <w:p w:rsidR="00951BF0" w:rsidRDefault="00301BFE" w:rsidP="00C028F5">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3.     </w:t>
            </w:r>
            <w:r w:rsidR="00951BF0">
              <w:rPr>
                <w:rFonts w:ascii="Arial Narrow" w:hAnsi="Arial Narrow" w:cs="Arial"/>
                <w:sz w:val="24"/>
                <w:szCs w:val="24"/>
              </w:rPr>
              <w:t xml:space="preserve">The wasted costs for the trial as well as the costs associated with the application </w:t>
            </w:r>
            <w:r w:rsidR="000F59E4">
              <w:rPr>
                <w:rFonts w:ascii="Arial Narrow" w:hAnsi="Arial Narrow" w:cs="Arial"/>
                <w:sz w:val="24"/>
                <w:szCs w:val="24"/>
              </w:rPr>
              <w:t>are</w:t>
            </w:r>
            <w:r w:rsidR="00951BF0">
              <w:rPr>
                <w:rFonts w:ascii="Arial Narrow" w:hAnsi="Arial Narrow" w:cs="Arial"/>
                <w:sz w:val="24"/>
                <w:szCs w:val="24"/>
              </w:rPr>
              <w:t xml:space="preserve"> to be paid by the defendants.</w:t>
            </w:r>
          </w:p>
          <w:p w:rsidR="00C028F5" w:rsidRPr="00E31D89" w:rsidRDefault="00301BFE" w:rsidP="00C028F5">
            <w:pPr>
              <w:tabs>
                <w:tab w:val="left" w:pos="560"/>
              </w:tabs>
              <w:spacing w:after="0" w:line="360" w:lineRule="auto"/>
              <w:jc w:val="both"/>
              <w:rPr>
                <w:rFonts w:ascii="Arial Narrow" w:hAnsi="Arial Narrow" w:cs="Arial"/>
                <w:sz w:val="24"/>
                <w:szCs w:val="24"/>
              </w:rPr>
            </w:pPr>
            <w:r>
              <w:rPr>
                <w:rFonts w:ascii="Arial Narrow" w:hAnsi="Arial Narrow" w:cs="Arial"/>
                <w:sz w:val="24"/>
                <w:szCs w:val="24"/>
              </w:rPr>
              <w:t xml:space="preserve">4.     </w:t>
            </w:r>
            <w:r w:rsidR="00C028F5">
              <w:rPr>
                <w:rFonts w:ascii="Arial Narrow" w:hAnsi="Arial Narrow" w:cs="Arial"/>
                <w:sz w:val="24"/>
                <w:szCs w:val="24"/>
              </w:rPr>
              <w:t xml:space="preserve">The matter is </w:t>
            </w:r>
            <w:r w:rsidR="00951BF0">
              <w:rPr>
                <w:rFonts w:ascii="Arial Narrow" w:hAnsi="Arial Narrow" w:cs="Arial"/>
                <w:sz w:val="24"/>
                <w:szCs w:val="24"/>
              </w:rPr>
              <w:t xml:space="preserve">postponed to 27 October 2020 at 15h30 to determine a date for the continuation of the trial. </w:t>
            </w:r>
          </w:p>
          <w:p w:rsidR="00051F74" w:rsidRPr="00E31D89" w:rsidRDefault="00051F74" w:rsidP="00051F74">
            <w:pPr>
              <w:tabs>
                <w:tab w:val="left" w:pos="560"/>
              </w:tabs>
              <w:spacing w:after="0" w:line="360" w:lineRule="auto"/>
              <w:jc w:val="both"/>
              <w:rPr>
                <w:rFonts w:ascii="Arial Narrow" w:hAnsi="Arial Narrow" w:cs="Arial"/>
                <w:sz w:val="24"/>
                <w:szCs w:val="24"/>
              </w:rPr>
            </w:pPr>
          </w:p>
          <w:p w:rsidR="00D765B6" w:rsidRDefault="00D765B6" w:rsidP="001A131F">
            <w:pPr>
              <w:spacing w:line="360" w:lineRule="auto"/>
              <w:jc w:val="right"/>
              <w:rPr>
                <w:rFonts w:ascii="Arial Narrow" w:hAnsi="Arial Narrow" w:cs="Arial"/>
                <w:sz w:val="24"/>
                <w:szCs w:val="24"/>
              </w:rPr>
            </w:pPr>
          </w:p>
          <w:p w:rsidR="00950676" w:rsidRPr="00E31D89" w:rsidRDefault="002E76C8" w:rsidP="001A131F">
            <w:pPr>
              <w:spacing w:line="360" w:lineRule="auto"/>
              <w:jc w:val="right"/>
              <w:rPr>
                <w:rFonts w:ascii="Arial Narrow" w:hAnsi="Arial Narrow" w:cs="Arial"/>
                <w:sz w:val="24"/>
                <w:szCs w:val="24"/>
              </w:rPr>
            </w:pPr>
            <w:r w:rsidRPr="00E31D89">
              <w:rPr>
                <w:rFonts w:ascii="Arial Narrow" w:hAnsi="Arial Narrow" w:cs="Arial"/>
                <w:sz w:val="24"/>
                <w:szCs w:val="24"/>
              </w:rPr>
              <w:t>E Rakow</w:t>
            </w:r>
          </w:p>
          <w:p w:rsidR="00950676" w:rsidRPr="00E31D89" w:rsidRDefault="00950676" w:rsidP="001A131F">
            <w:pPr>
              <w:spacing w:line="360" w:lineRule="auto"/>
              <w:jc w:val="right"/>
              <w:rPr>
                <w:rFonts w:ascii="Arial Narrow" w:hAnsi="Arial Narrow" w:cs="Arial"/>
                <w:sz w:val="24"/>
                <w:szCs w:val="24"/>
              </w:rPr>
            </w:pPr>
            <w:r w:rsidRPr="00E31D89">
              <w:rPr>
                <w:rFonts w:ascii="Arial Narrow" w:hAnsi="Arial Narrow" w:cs="Arial"/>
                <w:sz w:val="24"/>
                <w:szCs w:val="24"/>
              </w:rPr>
              <w:t>Acting Judge</w:t>
            </w:r>
          </w:p>
          <w:p w:rsidR="00950676" w:rsidRPr="00E31D89" w:rsidRDefault="00950676" w:rsidP="001A131F">
            <w:pPr>
              <w:spacing w:line="360" w:lineRule="auto"/>
              <w:jc w:val="both"/>
              <w:rPr>
                <w:rFonts w:ascii="Arial Narrow" w:hAnsi="Arial Narrow"/>
                <w:color w:val="242121"/>
                <w:sz w:val="24"/>
                <w:szCs w:val="24"/>
                <w:shd w:val="clear" w:color="auto" w:fill="FFFFFF"/>
              </w:rPr>
            </w:pPr>
          </w:p>
        </w:tc>
      </w:tr>
      <w:tr w:rsidR="00950676" w:rsidRPr="00E31D89" w:rsidTr="001A131F">
        <w:tc>
          <w:tcPr>
            <w:tcW w:w="4770" w:type="dxa"/>
          </w:tcPr>
          <w:p w:rsidR="00950676" w:rsidRPr="00E31D89" w:rsidRDefault="00950676" w:rsidP="001A131F">
            <w:pPr>
              <w:spacing w:line="360" w:lineRule="auto"/>
              <w:jc w:val="center"/>
              <w:rPr>
                <w:rFonts w:ascii="Arial Narrow" w:hAnsi="Arial Narrow" w:cs="Arial"/>
                <w:b/>
                <w:sz w:val="24"/>
                <w:szCs w:val="24"/>
              </w:rPr>
            </w:pPr>
          </w:p>
        </w:tc>
        <w:tc>
          <w:tcPr>
            <w:tcW w:w="4950" w:type="dxa"/>
            <w:gridSpan w:val="2"/>
          </w:tcPr>
          <w:p w:rsidR="00950676" w:rsidRPr="00E31D89" w:rsidRDefault="00950676" w:rsidP="001A131F">
            <w:pPr>
              <w:spacing w:line="360" w:lineRule="auto"/>
              <w:jc w:val="center"/>
              <w:rPr>
                <w:rFonts w:ascii="Arial Narrow" w:hAnsi="Arial Narrow" w:cs="Arial"/>
                <w:b/>
                <w:sz w:val="24"/>
                <w:szCs w:val="24"/>
              </w:rPr>
            </w:pPr>
            <w:r w:rsidRPr="00E31D89">
              <w:rPr>
                <w:rFonts w:ascii="Arial Narrow" w:hAnsi="Arial Narrow" w:cs="Arial"/>
                <w:b/>
                <w:sz w:val="24"/>
                <w:szCs w:val="24"/>
              </w:rPr>
              <w:t>Note to the parties:</w:t>
            </w:r>
          </w:p>
        </w:tc>
      </w:tr>
      <w:tr w:rsidR="00950676" w:rsidRPr="00E31D89" w:rsidTr="001A131F">
        <w:trPr>
          <w:trHeight w:val="1114"/>
        </w:trPr>
        <w:tc>
          <w:tcPr>
            <w:tcW w:w="4770" w:type="dxa"/>
          </w:tcPr>
          <w:p w:rsidR="00950676" w:rsidRPr="00E31D89" w:rsidRDefault="00950676" w:rsidP="001A131F">
            <w:pPr>
              <w:spacing w:line="360" w:lineRule="auto"/>
              <w:jc w:val="both"/>
              <w:rPr>
                <w:rFonts w:ascii="Arial Narrow" w:hAnsi="Arial Narrow" w:cs="Arial"/>
                <w:sz w:val="24"/>
                <w:szCs w:val="24"/>
              </w:rPr>
            </w:pPr>
          </w:p>
        </w:tc>
        <w:tc>
          <w:tcPr>
            <w:tcW w:w="4950" w:type="dxa"/>
            <w:gridSpan w:val="2"/>
          </w:tcPr>
          <w:p w:rsidR="00950676" w:rsidRPr="00E31D89" w:rsidRDefault="00950676" w:rsidP="001A131F">
            <w:pPr>
              <w:spacing w:line="360" w:lineRule="auto"/>
              <w:jc w:val="both"/>
              <w:rPr>
                <w:rFonts w:ascii="Arial Narrow" w:hAnsi="Arial Narrow" w:cs="Arial"/>
                <w:sz w:val="24"/>
                <w:szCs w:val="24"/>
              </w:rPr>
            </w:pPr>
            <w:r w:rsidRPr="00E31D89">
              <w:rPr>
                <w:rFonts w:ascii="Arial Narrow" w:hAnsi="Arial Narrow" w:cs="Arial"/>
                <w:sz w:val="24"/>
                <w:szCs w:val="24"/>
              </w:rPr>
              <w:t>Not applicable.</w:t>
            </w:r>
          </w:p>
        </w:tc>
      </w:tr>
      <w:tr w:rsidR="00950676" w:rsidRPr="00E31D89" w:rsidTr="001A131F">
        <w:tc>
          <w:tcPr>
            <w:tcW w:w="9720" w:type="dxa"/>
            <w:gridSpan w:val="3"/>
          </w:tcPr>
          <w:p w:rsidR="00950676" w:rsidRPr="00E31D89" w:rsidRDefault="00950676" w:rsidP="001A131F">
            <w:pPr>
              <w:spacing w:line="360" w:lineRule="auto"/>
              <w:jc w:val="center"/>
              <w:rPr>
                <w:rFonts w:ascii="Arial Narrow" w:hAnsi="Arial Narrow" w:cs="Arial"/>
                <w:b/>
                <w:sz w:val="24"/>
                <w:szCs w:val="24"/>
              </w:rPr>
            </w:pPr>
            <w:r w:rsidRPr="00E31D89">
              <w:rPr>
                <w:rFonts w:ascii="Arial Narrow" w:hAnsi="Arial Narrow" w:cs="Arial"/>
                <w:b/>
                <w:sz w:val="24"/>
                <w:szCs w:val="24"/>
              </w:rPr>
              <w:t>Counsel:</w:t>
            </w:r>
          </w:p>
        </w:tc>
      </w:tr>
      <w:tr w:rsidR="00950676" w:rsidRPr="00E31D89" w:rsidTr="001A131F">
        <w:tc>
          <w:tcPr>
            <w:tcW w:w="4770" w:type="dxa"/>
          </w:tcPr>
          <w:p w:rsidR="00950676" w:rsidRPr="00E31D89" w:rsidRDefault="00260099" w:rsidP="001A131F">
            <w:pPr>
              <w:spacing w:line="360" w:lineRule="auto"/>
              <w:jc w:val="center"/>
              <w:rPr>
                <w:rFonts w:ascii="Arial Narrow" w:hAnsi="Arial Narrow" w:cs="Arial"/>
                <w:b/>
                <w:sz w:val="24"/>
                <w:szCs w:val="24"/>
              </w:rPr>
            </w:pPr>
            <w:r>
              <w:rPr>
                <w:rFonts w:ascii="Arial Narrow" w:hAnsi="Arial Narrow" w:cs="Arial"/>
                <w:b/>
                <w:sz w:val="24"/>
                <w:szCs w:val="24"/>
              </w:rPr>
              <w:t>Plaintiff/ Respondent</w:t>
            </w:r>
          </w:p>
        </w:tc>
        <w:tc>
          <w:tcPr>
            <w:tcW w:w="4950" w:type="dxa"/>
            <w:gridSpan w:val="2"/>
          </w:tcPr>
          <w:p w:rsidR="00950676" w:rsidRPr="00E31D89" w:rsidRDefault="00260099" w:rsidP="00260099">
            <w:pPr>
              <w:spacing w:line="360" w:lineRule="auto"/>
              <w:jc w:val="center"/>
              <w:rPr>
                <w:rFonts w:ascii="Arial Narrow" w:hAnsi="Arial Narrow" w:cs="Arial"/>
                <w:b/>
                <w:sz w:val="24"/>
                <w:szCs w:val="24"/>
              </w:rPr>
            </w:pPr>
            <w:r>
              <w:rPr>
                <w:rFonts w:ascii="Arial Narrow" w:hAnsi="Arial Narrow" w:cs="Arial"/>
                <w:b/>
                <w:sz w:val="24"/>
                <w:szCs w:val="24"/>
              </w:rPr>
              <w:t>Defendants/ Applicants</w:t>
            </w:r>
          </w:p>
        </w:tc>
      </w:tr>
      <w:tr w:rsidR="00950676" w:rsidRPr="00E31D89" w:rsidTr="001A131F">
        <w:tc>
          <w:tcPr>
            <w:tcW w:w="4770" w:type="dxa"/>
          </w:tcPr>
          <w:p w:rsidR="00950676" w:rsidRPr="00301BFE" w:rsidRDefault="00260099" w:rsidP="001A131F">
            <w:pPr>
              <w:spacing w:line="360" w:lineRule="auto"/>
              <w:jc w:val="center"/>
              <w:rPr>
                <w:rFonts w:ascii="Arial Narrow" w:hAnsi="Arial Narrow" w:cs="Arial"/>
                <w:sz w:val="24"/>
                <w:szCs w:val="24"/>
              </w:rPr>
            </w:pPr>
            <w:r w:rsidRPr="00301BFE">
              <w:rPr>
                <w:rFonts w:ascii="Arial Narrow" w:hAnsi="Arial Narrow" w:cs="Arial"/>
                <w:sz w:val="24"/>
                <w:szCs w:val="24"/>
              </w:rPr>
              <w:t>Ms Siyomunji</w:t>
            </w:r>
          </w:p>
          <w:p w:rsidR="00FB6765" w:rsidRPr="00301BFE" w:rsidRDefault="00260099" w:rsidP="001A131F">
            <w:pPr>
              <w:spacing w:line="360" w:lineRule="auto"/>
              <w:jc w:val="center"/>
              <w:rPr>
                <w:rFonts w:ascii="Arial Narrow" w:hAnsi="Arial Narrow" w:cs="Arial"/>
                <w:sz w:val="24"/>
                <w:szCs w:val="24"/>
              </w:rPr>
            </w:pPr>
            <w:r w:rsidRPr="00301BFE">
              <w:rPr>
                <w:rFonts w:ascii="Arial Narrow" w:hAnsi="Arial Narrow" w:cs="Arial"/>
                <w:sz w:val="24"/>
                <w:szCs w:val="24"/>
              </w:rPr>
              <w:t>Of Siyomunji and Associates</w:t>
            </w:r>
          </w:p>
          <w:p w:rsidR="00301BFE" w:rsidRPr="00301BFE" w:rsidRDefault="00301BFE" w:rsidP="001A131F">
            <w:pPr>
              <w:spacing w:line="360" w:lineRule="auto"/>
              <w:jc w:val="center"/>
              <w:rPr>
                <w:rFonts w:ascii="Arial Narrow" w:hAnsi="Arial Narrow" w:cs="Arial"/>
                <w:sz w:val="24"/>
                <w:szCs w:val="24"/>
              </w:rPr>
            </w:pPr>
            <w:r w:rsidRPr="00301BFE">
              <w:rPr>
                <w:rFonts w:ascii="Arial Narrow" w:hAnsi="Arial Narrow" w:cs="Arial"/>
                <w:sz w:val="24"/>
                <w:szCs w:val="24"/>
              </w:rPr>
              <w:t>Windhoek</w:t>
            </w:r>
          </w:p>
        </w:tc>
        <w:tc>
          <w:tcPr>
            <w:tcW w:w="4950" w:type="dxa"/>
            <w:gridSpan w:val="2"/>
          </w:tcPr>
          <w:p w:rsidR="00950676" w:rsidRPr="00301BFE" w:rsidRDefault="00260099" w:rsidP="001A131F">
            <w:pPr>
              <w:spacing w:line="360" w:lineRule="auto"/>
              <w:jc w:val="center"/>
              <w:rPr>
                <w:rFonts w:ascii="Arial Narrow" w:hAnsi="Arial Narrow" w:cs="Arial"/>
                <w:sz w:val="24"/>
                <w:szCs w:val="24"/>
              </w:rPr>
            </w:pPr>
            <w:r w:rsidRPr="00301BFE">
              <w:rPr>
                <w:rFonts w:ascii="Arial Narrow" w:hAnsi="Arial Narrow" w:cs="Arial"/>
                <w:sz w:val="24"/>
                <w:szCs w:val="24"/>
              </w:rPr>
              <w:t>Mr Kashindi</w:t>
            </w:r>
          </w:p>
          <w:p w:rsidR="00FB6765" w:rsidRPr="00301BFE" w:rsidRDefault="00260099" w:rsidP="001A131F">
            <w:pPr>
              <w:spacing w:line="360" w:lineRule="auto"/>
              <w:jc w:val="center"/>
              <w:rPr>
                <w:rFonts w:ascii="Arial Narrow" w:hAnsi="Arial Narrow" w:cs="Arial"/>
                <w:sz w:val="24"/>
                <w:szCs w:val="24"/>
              </w:rPr>
            </w:pPr>
            <w:r w:rsidRPr="00301BFE">
              <w:rPr>
                <w:rFonts w:ascii="Arial Narrow" w:hAnsi="Arial Narrow" w:cs="Arial"/>
                <w:sz w:val="24"/>
                <w:szCs w:val="24"/>
              </w:rPr>
              <w:t xml:space="preserve">of the Government Attorneys </w:t>
            </w:r>
          </w:p>
          <w:p w:rsidR="00AE5ABA" w:rsidRPr="00301BFE" w:rsidRDefault="00301BFE" w:rsidP="001A131F">
            <w:pPr>
              <w:spacing w:line="360" w:lineRule="auto"/>
              <w:jc w:val="center"/>
              <w:rPr>
                <w:rFonts w:ascii="Arial Narrow" w:hAnsi="Arial Narrow" w:cs="Arial"/>
                <w:sz w:val="24"/>
                <w:szCs w:val="24"/>
              </w:rPr>
            </w:pPr>
            <w:r w:rsidRPr="00301BFE">
              <w:rPr>
                <w:rFonts w:ascii="Arial Narrow" w:hAnsi="Arial Narrow" w:cs="Arial"/>
                <w:sz w:val="24"/>
                <w:szCs w:val="24"/>
              </w:rPr>
              <w:t>Windhoek</w:t>
            </w:r>
          </w:p>
        </w:tc>
      </w:tr>
      <w:tr w:rsidR="00F078A5" w:rsidRPr="00E31D89" w:rsidTr="001A131F">
        <w:tc>
          <w:tcPr>
            <w:tcW w:w="4770" w:type="dxa"/>
          </w:tcPr>
          <w:p w:rsidR="00F078A5" w:rsidRPr="00E31D89" w:rsidRDefault="00F078A5" w:rsidP="001A131F">
            <w:pPr>
              <w:spacing w:line="360" w:lineRule="auto"/>
              <w:jc w:val="center"/>
              <w:rPr>
                <w:rFonts w:ascii="Arial Narrow" w:hAnsi="Arial Narrow" w:cs="Arial"/>
                <w:i/>
                <w:sz w:val="24"/>
                <w:szCs w:val="24"/>
              </w:rPr>
            </w:pPr>
          </w:p>
        </w:tc>
        <w:tc>
          <w:tcPr>
            <w:tcW w:w="4950" w:type="dxa"/>
            <w:gridSpan w:val="2"/>
          </w:tcPr>
          <w:p w:rsidR="00F078A5" w:rsidRPr="00E31D89" w:rsidRDefault="00F078A5" w:rsidP="001A131F">
            <w:pPr>
              <w:spacing w:line="360" w:lineRule="auto"/>
              <w:jc w:val="center"/>
              <w:rPr>
                <w:rFonts w:ascii="Arial Narrow" w:hAnsi="Arial Narrow" w:cs="Arial"/>
                <w:i/>
                <w:sz w:val="24"/>
                <w:szCs w:val="24"/>
              </w:rPr>
            </w:pPr>
          </w:p>
        </w:tc>
      </w:tr>
    </w:tbl>
    <w:p w:rsidR="001A131F" w:rsidRPr="00E31D89" w:rsidRDefault="001A131F">
      <w:pPr>
        <w:rPr>
          <w:sz w:val="24"/>
          <w:szCs w:val="24"/>
        </w:rPr>
      </w:pPr>
    </w:p>
    <w:sectPr w:rsidR="001A131F" w:rsidRPr="00E31D89" w:rsidSect="003D0BA1">
      <w:headerReference w:type="default" r:id="rId9"/>
      <w:footerReference w:type="default" r:id="rId10"/>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69" w:rsidRDefault="005A5069">
      <w:pPr>
        <w:spacing w:after="0" w:line="240" w:lineRule="auto"/>
      </w:pPr>
      <w:r>
        <w:separator/>
      </w:r>
    </w:p>
  </w:endnote>
  <w:endnote w:type="continuationSeparator" w:id="0">
    <w:p w:rsidR="005A5069" w:rsidRDefault="005A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1F" w:rsidRDefault="001A131F">
    <w:pPr>
      <w:pStyle w:val="Footer"/>
      <w:jc w:val="right"/>
    </w:pPr>
  </w:p>
  <w:p w:rsidR="001A131F" w:rsidRDefault="001A13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69" w:rsidRDefault="005A5069">
      <w:pPr>
        <w:spacing w:after="0" w:line="240" w:lineRule="auto"/>
      </w:pPr>
      <w:r>
        <w:separator/>
      </w:r>
    </w:p>
  </w:footnote>
  <w:footnote w:type="continuationSeparator" w:id="0">
    <w:p w:rsidR="005A5069" w:rsidRDefault="005A5069">
      <w:pPr>
        <w:spacing w:after="0" w:line="240" w:lineRule="auto"/>
      </w:pPr>
      <w:r>
        <w:continuationSeparator/>
      </w:r>
    </w:p>
  </w:footnote>
  <w:footnote w:id="1">
    <w:p w:rsidR="007C65CA" w:rsidRDefault="007C65CA">
      <w:pPr>
        <w:pStyle w:val="FootnoteText"/>
      </w:pPr>
      <w:r>
        <w:rPr>
          <w:rStyle w:val="FootnoteReference"/>
        </w:rPr>
        <w:footnoteRef/>
      </w:r>
      <w:r>
        <w:t xml:space="preserve"> </w:t>
      </w:r>
      <w:r w:rsidRPr="007C65CA">
        <w:t>(I 601-2013 &amp; I 4084-2010) [2014] NAHCMD 306 (17 October 2014)</w:t>
      </w:r>
      <w:r w:rsidR="00B0776A">
        <w:t>.</w:t>
      </w:r>
    </w:p>
  </w:footnote>
  <w:footnote w:id="2">
    <w:p w:rsidR="00E31D89" w:rsidRDefault="00E31D89">
      <w:pPr>
        <w:pStyle w:val="FootnoteText"/>
      </w:pPr>
      <w:r>
        <w:rPr>
          <w:rStyle w:val="FootnoteReference"/>
        </w:rPr>
        <w:footnoteRef/>
      </w:r>
      <w:r>
        <w:t xml:space="preserve"> </w:t>
      </w:r>
      <w:r w:rsidRPr="00E31D89">
        <w:t>(2009) 239 CLR 175</w:t>
      </w:r>
      <w:r w:rsidR="00B0776A">
        <w:t>.</w:t>
      </w:r>
    </w:p>
  </w:footnote>
  <w:footnote w:id="3">
    <w:p w:rsidR="0088493E" w:rsidRDefault="0088493E">
      <w:pPr>
        <w:pStyle w:val="FootnoteText"/>
      </w:pPr>
      <w:r>
        <w:rPr>
          <w:rStyle w:val="FootnoteReference"/>
        </w:rPr>
        <w:footnoteRef/>
      </w:r>
      <w:r>
        <w:t xml:space="preserve"> </w:t>
      </w:r>
      <w:r w:rsidRPr="0088493E">
        <w:t>(I 341/2008) [2013] NAHCMD 382 (26 September 2013)</w:t>
      </w:r>
      <w:r w:rsidR="00B0776A">
        <w:t>.</w:t>
      </w:r>
    </w:p>
  </w:footnote>
  <w:footnote w:id="4">
    <w:p w:rsidR="006808F0" w:rsidRDefault="006808F0">
      <w:pPr>
        <w:pStyle w:val="FootnoteText"/>
      </w:pPr>
      <w:r>
        <w:rPr>
          <w:rStyle w:val="FootnoteReference"/>
        </w:rPr>
        <w:footnoteRef/>
      </w:r>
      <w:r>
        <w:t xml:space="preserve"> </w:t>
      </w:r>
      <w:r w:rsidRPr="006808F0">
        <w:t>(I 3499/2011) [2014] NAHCMD 57 (19 February 2014)</w:t>
      </w:r>
      <w:r w:rsidR="00B077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1A131F" w:rsidRDefault="001A131F">
        <w:pPr>
          <w:pStyle w:val="Header"/>
          <w:jc w:val="right"/>
        </w:pPr>
        <w:r>
          <w:fldChar w:fldCharType="begin"/>
        </w:r>
        <w:r>
          <w:instrText xml:space="preserve"> PAGE   \* MERGEFORMAT </w:instrText>
        </w:r>
        <w:r>
          <w:fldChar w:fldCharType="separate"/>
        </w:r>
        <w:r w:rsidR="00A4240B">
          <w:rPr>
            <w:noProof/>
          </w:rPr>
          <w:t>2</w:t>
        </w:r>
        <w:r>
          <w:rPr>
            <w:noProof/>
          </w:rPr>
          <w:fldChar w:fldCharType="end"/>
        </w:r>
      </w:p>
    </w:sdtContent>
  </w:sdt>
  <w:p w:rsidR="001A131F" w:rsidRDefault="001A1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59D3"/>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1" w15:restartNumberingAfterBreak="0">
    <w:nsid w:val="27744F5C"/>
    <w:multiLevelType w:val="hybridMultilevel"/>
    <w:tmpl w:val="5322D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0B2267"/>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6827C7E"/>
    <w:multiLevelType w:val="hybridMultilevel"/>
    <w:tmpl w:val="B51A4C4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E760C44"/>
    <w:multiLevelType w:val="hybridMultilevel"/>
    <w:tmpl w:val="ECBEF2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25364"/>
    <w:rsid w:val="000261DE"/>
    <w:rsid w:val="00042D3A"/>
    <w:rsid w:val="00051F74"/>
    <w:rsid w:val="00072BC4"/>
    <w:rsid w:val="00073AB2"/>
    <w:rsid w:val="00080652"/>
    <w:rsid w:val="00086E73"/>
    <w:rsid w:val="00087395"/>
    <w:rsid w:val="00094822"/>
    <w:rsid w:val="000C4E81"/>
    <w:rsid w:val="000D4AF7"/>
    <w:rsid w:val="000F59E4"/>
    <w:rsid w:val="00104B44"/>
    <w:rsid w:val="0011493A"/>
    <w:rsid w:val="00123F3E"/>
    <w:rsid w:val="0012600C"/>
    <w:rsid w:val="001336E0"/>
    <w:rsid w:val="0013534D"/>
    <w:rsid w:val="001419A1"/>
    <w:rsid w:val="00145D7B"/>
    <w:rsid w:val="00145F7E"/>
    <w:rsid w:val="00164F37"/>
    <w:rsid w:val="00165A4E"/>
    <w:rsid w:val="00182236"/>
    <w:rsid w:val="00190BB3"/>
    <w:rsid w:val="00193139"/>
    <w:rsid w:val="00195714"/>
    <w:rsid w:val="001A08A9"/>
    <w:rsid w:val="001A131F"/>
    <w:rsid w:val="001D56F7"/>
    <w:rsid w:val="001E1251"/>
    <w:rsid w:val="001F4879"/>
    <w:rsid w:val="0020207E"/>
    <w:rsid w:val="002268FC"/>
    <w:rsid w:val="00237C0E"/>
    <w:rsid w:val="00240D15"/>
    <w:rsid w:val="00251E33"/>
    <w:rsid w:val="00260099"/>
    <w:rsid w:val="00294086"/>
    <w:rsid w:val="002B76A2"/>
    <w:rsid w:val="002C32C0"/>
    <w:rsid w:val="002C47EC"/>
    <w:rsid w:val="002E76C8"/>
    <w:rsid w:val="00301BFE"/>
    <w:rsid w:val="003046B2"/>
    <w:rsid w:val="00330434"/>
    <w:rsid w:val="00354864"/>
    <w:rsid w:val="00374D25"/>
    <w:rsid w:val="00390B22"/>
    <w:rsid w:val="00397F59"/>
    <w:rsid w:val="003D0BA1"/>
    <w:rsid w:val="003D1039"/>
    <w:rsid w:val="003D674B"/>
    <w:rsid w:val="003D748F"/>
    <w:rsid w:val="003E7340"/>
    <w:rsid w:val="0042322A"/>
    <w:rsid w:val="00476C95"/>
    <w:rsid w:val="00486DB6"/>
    <w:rsid w:val="00492F63"/>
    <w:rsid w:val="00493748"/>
    <w:rsid w:val="00493F4C"/>
    <w:rsid w:val="004A16D3"/>
    <w:rsid w:val="004B35D6"/>
    <w:rsid w:val="004D765A"/>
    <w:rsid w:val="004E0509"/>
    <w:rsid w:val="004E29B1"/>
    <w:rsid w:val="004F0610"/>
    <w:rsid w:val="00527E1B"/>
    <w:rsid w:val="005330BF"/>
    <w:rsid w:val="0054152C"/>
    <w:rsid w:val="0055682C"/>
    <w:rsid w:val="005A5069"/>
    <w:rsid w:val="005A5CEA"/>
    <w:rsid w:val="005A72A3"/>
    <w:rsid w:val="005B3693"/>
    <w:rsid w:val="005B5600"/>
    <w:rsid w:val="005C342B"/>
    <w:rsid w:val="005C7658"/>
    <w:rsid w:val="005D738E"/>
    <w:rsid w:val="005F5A08"/>
    <w:rsid w:val="00657CBE"/>
    <w:rsid w:val="006808F0"/>
    <w:rsid w:val="006A2E94"/>
    <w:rsid w:val="006A6DF3"/>
    <w:rsid w:val="006B79D8"/>
    <w:rsid w:val="006B7A53"/>
    <w:rsid w:val="006F4541"/>
    <w:rsid w:val="007053E1"/>
    <w:rsid w:val="00726AC6"/>
    <w:rsid w:val="00731E66"/>
    <w:rsid w:val="00733C73"/>
    <w:rsid w:val="00770DC9"/>
    <w:rsid w:val="007831A2"/>
    <w:rsid w:val="00791651"/>
    <w:rsid w:val="00793E7D"/>
    <w:rsid w:val="00796844"/>
    <w:rsid w:val="007B0F64"/>
    <w:rsid w:val="007C65CA"/>
    <w:rsid w:val="007C686B"/>
    <w:rsid w:val="007E39A5"/>
    <w:rsid w:val="00810C43"/>
    <w:rsid w:val="0081191E"/>
    <w:rsid w:val="0084585F"/>
    <w:rsid w:val="008614B4"/>
    <w:rsid w:val="00881784"/>
    <w:rsid w:val="008834B5"/>
    <w:rsid w:val="0088493E"/>
    <w:rsid w:val="0088597B"/>
    <w:rsid w:val="008A12AF"/>
    <w:rsid w:val="008A22C2"/>
    <w:rsid w:val="008A5ECB"/>
    <w:rsid w:val="008A7EF2"/>
    <w:rsid w:val="008B0F26"/>
    <w:rsid w:val="008B3556"/>
    <w:rsid w:val="008B7295"/>
    <w:rsid w:val="00910876"/>
    <w:rsid w:val="00911788"/>
    <w:rsid w:val="009148F8"/>
    <w:rsid w:val="00920A93"/>
    <w:rsid w:val="00927FCB"/>
    <w:rsid w:val="009462EC"/>
    <w:rsid w:val="00950676"/>
    <w:rsid w:val="00950A33"/>
    <w:rsid w:val="00951BF0"/>
    <w:rsid w:val="0095411B"/>
    <w:rsid w:val="0096232F"/>
    <w:rsid w:val="00995F18"/>
    <w:rsid w:val="00996127"/>
    <w:rsid w:val="009C6775"/>
    <w:rsid w:val="009E2779"/>
    <w:rsid w:val="009E38B7"/>
    <w:rsid w:val="009F3BC1"/>
    <w:rsid w:val="00A001FE"/>
    <w:rsid w:val="00A41781"/>
    <w:rsid w:val="00A4240B"/>
    <w:rsid w:val="00A839E3"/>
    <w:rsid w:val="00A91E2D"/>
    <w:rsid w:val="00A96C4C"/>
    <w:rsid w:val="00AA11C6"/>
    <w:rsid w:val="00AC16AC"/>
    <w:rsid w:val="00AC3FBD"/>
    <w:rsid w:val="00AE5ABA"/>
    <w:rsid w:val="00AE69ED"/>
    <w:rsid w:val="00AE79A4"/>
    <w:rsid w:val="00B0776A"/>
    <w:rsid w:val="00B21E34"/>
    <w:rsid w:val="00B707AE"/>
    <w:rsid w:val="00B73E0A"/>
    <w:rsid w:val="00B80894"/>
    <w:rsid w:val="00B95327"/>
    <w:rsid w:val="00BC334D"/>
    <w:rsid w:val="00BD57AE"/>
    <w:rsid w:val="00BE0B4C"/>
    <w:rsid w:val="00BF569E"/>
    <w:rsid w:val="00C028F5"/>
    <w:rsid w:val="00C16F41"/>
    <w:rsid w:val="00C300BD"/>
    <w:rsid w:val="00CC59C6"/>
    <w:rsid w:val="00CF062D"/>
    <w:rsid w:val="00D13EB8"/>
    <w:rsid w:val="00D561C1"/>
    <w:rsid w:val="00D765B6"/>
    <w:rsid w:val="00D904AD"/>
    <w:rsid w:val="00D92FF3"/>
    <w:rsid w:val="00DC0ED4"/>
    <w:rsid w:val="00DC5EFE"/>
    <w:rsid w:val="00DC6EEA"/>
    <w:rsid w:val="00DF08CD"/>
    <w:rsid w:val="00E00AB4"/>
    <w:rsid w:val="00E01384"/>
    <w:rsid w:val="00E17A14"/>
    <w:rsid w:val="00E31D89"/>
    <w:rsid w:val="00E41420"/>
    <w:rsid w:val="00E93A13"/>
    <w:rsid w:val="00ED2E70"/>
    <w:rsid w:val="00ED419D"/>
    <w:rsid w:val="00EF58D7"/>
    <w:rsid w:val="00F078A5"/>
    <w:rsid w:val="00F24780"/>
    <w:rsid w:val="00F51E9B"/>
    <w:rsid w:val="00F56B41"/>
    <w:rsid w:val="00F64339"/>
    <w:rsid w:val="00FB09C0"/>
    <w:rsid w:val="00FB1202"/>
    <w:rsid w:val="00FB6765"/>
    <w:rsid w:val="00FD6965"/>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D6526-9732-4D13-8927-2B8F2CCB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paragraph" w:styleId="ListParagraph">
    <w:name w:val="List Paragraph"/>
    <w:basedOn w:val="Normal"/>
    <w:uiPriority w:val="34"/>
    <w:qFormat/>
    <w:rsid w:val="002C47EC"/>
    <w:pPr>
      <w:ind w:left="720"/>
      <w:contextualSpacing/>
    </w:pPr>
  </w:style>
  <w:style w:type="paragraph" w:styleId="FootnoteText">
    <w:name w:val="footnote text"/>
    <w:basedOn w:val="Normal"/>
    <w:link w:val="FootnoteTextChar"/>
    <w:uiPriority w:val="99"/>
    <w:semiHidden/>
    <w:unhideWhenUsed/>
    <w:rsid w:val="00962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32F"/>
    <w:rPr>
      <w:sz w:val="20"/>
      <w:szCs w:val="20"/>
      <w:lang w:val="en-ZA"/>
    </w:rPr>
  </w:style>
  <w:style w:type="character" w:styleId="FootnoteReference">
    <w:name w:val="footnote reference"/>
    <w:basedOn w:val="DefaultParagraphFont"/>
    <w:uiPriority w:val="99"/>
    <w:semiHidden/>
    <w:unhideWhenUsed/>
    <w:rsid w:val="00962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2020-10-25T18:30:00+00:00</Judgment_x0020_Date>
    <Year xmlns="c1afb1bd-f2fb-40fd-9abb-aea55b4d7662">2020</Year>
  </documentManagement>
</p:properties>
</file>

<file path=customXml/itemProps1.xml><?xml version="1.0" encoding="utf-8"?>
<ds:datastoreItem xmlns:ds="http://schemas.openxmlformats.org/officeDocument/2006/customXml" ds:itemID="{E56FA0C6-0198-4D38-AD9A-E247D9A2A83A}"/>
</file>

<file path=customXml/itemProps2.xml><?xml version="1.0" encoding="utf-8"?>
<ds:datastoreItem xmlns:ds="http://schemas.openxmlformats.org/officeDocument/2006/customXml" ds:itemID="{E7C1F93A-08E9-480F-94B0-92FC2402CC00}"/>
</file>

<file path=customXml/itemProps3.xml><?xml version="1.0" encoding="utf-8"?>
<ds:datastoreItem xmlns:ds="http://schemas.openxmlformats.org/officeDocument/2006/customXml" ds:itemID="{6F7BA1A4-CE8C-41D9-838A-5DA8D9C6C121}"/>
</file>

<file path=customXml/itemProps4.xml><?xml version="1.0" encoding="utf-8"?>
<ds:datastoreItem xmlns:ds="http://schemas.openxmlformats.org/officeDocument/2006/customXml" ds:itemID="{62E3C774-B7D3-425C-A664-0025C9DA0603}"/>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Namiseb v Minister of Safety and Security (HC-MD-CIV-ACT-OTH-2019-04178) [2020] NAHCMD 489 (26 October 2020)</dc:title>
  <dc:creator>Priscilla Nande</dc:creator>
  <cp:lastModifiedBy>Administrator</cp:lastModifiedBy>
  <cp:revision>2</cp:revision>
  <cp:lastPrinted>2020-10-26T06:54:00Z</cp:lastPrinted>
  <dcterms:created xsi:type="dcterms:W3CDTF">2020-10-28T10:01:00Z</dcterms:created>
  <dcterms:modified xsi:type="dcterms:W3CDTF">2020-10-28T10:01:00Z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