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B27FB4" w:rsidP="00AD545C">
      <w:pPr>
        <w:spacing w:after="0" w:line="360" w:lineRule="auto"/>
        <w:jc w:val="center"/>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60288" behindDoc="0" locked="0" layoutInCell="1" allowOverlap="1">
                <wp:simplePos x="0" y="0"/>
                <wp:positionH relativeFrom="column">
                  <wp:posOffset>4552950</wp:posOffset>
                </wp:positionH>
                <wp:positionV relativeFrom="paragraph">
                  <wp:posOffset>-57150</wp:posOffset>
                </wp:positionV>
                <wp:extent cx="1562100" cy="247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4E3F97" w:rsidRDefault="004E3F97" w:rsidP="001B7E1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rsidR="004E3F97" w:rsidRDefault="004E3F97" w:rsidP="001B7E1F">
                      <w:pPr>
                        <w:jc w:val="right"/>
                      </w:pPr>
                    </w:p>
                  </w:txbxContent>
                </v:textbox>
              </v:shape>
            </w:pict>
          </mc:Fallback>
        </mc:AlternateContent>
      </w:r>
      <w:r w:rsidR="001B7E1F" w:rsidRPr="006E026B">
        <w:rPr>
          <w:rFonts w:ascii="Arial" w:hAnsi="Arial" w:cs="Arial"/>
          <w:b/>
          <w:sz w:val="24"/>
          <w:szCs w:val="24"/>
        </w:rPr>
        <w:t>REPUBLIC OF NAMIBIA</w:t>
      </w:r>
    </w:p>
    <w:p w:rsidR="001B7E1F" w:rsidRDefault="001B7E1F" w:rsidP="00AD545C">
      <w:pPr>
        <w:spacing w:after="0" w:line="360" w:lineRule="auto"/>
        <w:jc w:val="center"/>
        <w:rPr>
          <w:b/>
          <w:sz w:val="32"/>
          <w:szCs w:val="32"/>
        </w:rPr>
      </w:pPr>
      <w:r>
        <w:rPr>
          <w:b/>
          <w:noProof/>
          <w:sz w:val="32"/>
          <w:szCs w:val="32"/>
          <w:lang w:val="en-ZA" w:eastAsia="en-ZA"/>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B7E1F" w:rsidRDefault="001B7E1F" w:rsidP="00AD545C">
      <w:pPr>
        <w:spacing w:after="0" w:line="360" w:lineRule="auto"/>
        <w:jc w:val="center"/>
        <w:rPr>
          <w:rFonts w:ascii="Arial" w:hAnsi="Arial" w:cs="Arial"/>
          <w:b/>
          <w:sz w:val="28"/>
          <w:szCs w:val="32"/>
        </w:rPr>
      </w:pPr>
    </w:p>
    <w:p w:rsidR="001B7E1F" w:rsidRPr="006E026B" w:rsidRDefault="001B7E1F" w:rsidP="00AD545C">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C91085" w:rsidRDefault="00C91085" w:rsidP="00AD545C">
      <w:pPr>
        <w:spacing w:after="0" w:line="360" w:lineRule="auto"/>
        <w:jc w:val="center"/>
        <w:rPr>
          <w:rFonts w:ascii="Arial" w:hAnsi="Arial" w:cs="Arial"/>
          <w:b/>
          <w:sz w:val="24"/>
          <w:szCs w:val="24"/>
        </w:rPr>
      </w:pPr>
    </w:p>
    <w:p w:rsidR="001B7E1F" w:rsidRDefault="00A42B1E" w:rsidP="00AD545C">
      <w:pPr>
        <w:spacing w:after="0" w:line="360" w:lineRule="auto"/>
        <w:jc w:val="center"/>
        <w:rPr>
          <w:rFonts w:ascii="Arial" w:hAnsi="Arial" w:cs="Arial"/>
          <w:b/>
          <w:sz w:val="24"/>
          <w:szCs w:val="24"/>
        </w:rPr>
      </w:pPr>
      <w:r>
        <w:rPr>
          <w:rFonts w:ascii="Arial" w:hAnsi="Arial" w:cs="Arial"/>
          <w:b/>
          <w:sz w:val="24"/>
          <w:szCs w:val="24"/>
        </w:rPr>
        <w:t>RULING</w:t>
      </w:r>
    </w:p>
    <w:p w:rsidR="00D6107D" w:rsidRDefault="00D6107D" w:rsidP="00AD545C">
      <w:pPr>
        <w:spacing w:after="0" w:line="360" w:lineRule="auto"/>
        <w:jc w:val="center"/>
        <w:rPr>
          <w:rFonts w:ascii="Arial" w:hAnsi="Arial" w:cs="Arial"/>
          <w:b/>
          <w:sz w:val="24"/>
          <w:szCs w:val="24"/>
        </w:rPr>
      </w:pPr>
      <w:r>
        <w:rPr>
          <w:rFonts w:ascii="Arial" w:hAnsi="Arial" w:cs="Arial"/>
          <w:b/>
          <w:sz w:val="24"/>
          <w:szCs w:val="24"/>
        </w:rPr>
        <w:t>APPLICATION ITO SECTION 174 OF ACT 51 OF 1977</w:t>
      </w:r>
    </w:p>
    <w:p w:rsidR="00D6107D" w:rsidRDefault="00D6107D" w:rsidP="00AD545C">
      <w:pPr>
        <w:spacing w:after="0" w:line="360" w:lineRule="auto"/>
        <w:jc w:val="center"/>
        <w:rPr>
          <w:rFonts w:ascii="Arial" w:hAnsi="Arial" w:cs="Arial"/>
          <w:b/>
          <w:sz w:val="24"/>
          <w:szCs w:val="24"/>
        </w:rPr>
      </w:pPr>
    </w:p>
    <w:p w:rsidR="001B7E1F" w:rsidRPr="001B7E1F" w:rsidRDefault="001B7E1F" w:rsidP="00AD545C">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Pr>
          <w:rFonts w:ascii="Arial" w:hAnsi="Arial" w:cs="Arial"/>
          <w:sz w:val="24"/>
          <w:szCs w:val="24"/>
        </w:rPr>
        <w:t xml:space="preserve">: </w:t>
      </w:r>
      <w:r w:rsidR="005045B7">
        <w:rPr>
          <w:rFonts w:ascii="Arial" w:hAnsi="Arial" w:cs="Arial"/>
          <w:sz w:val="24"/>
          <w:szCs w:val="24"/>
        </w:rPr>
        <w:t>CC</w:t>
      </w:r>
      <w:r>
        <w:rPr>
          <w:rFonts w:ascii="Arial" w:hAnsi="Arial" w:cs="Arial"/>
          <w:sz w:val="24"/>
          <w:szCs w:val="24"/>
        </w:rPr>
        <w:t xml:space="preserve"> </w:t>
      </w:r>
      <w:r w:rsidR="007128D8">
        <w:rPr>
          <w:rFonts w:ascii="Arial" w:hAnsi="Arial" w:cs="Arial"/>
          <w:sz w:val="24"/>
          <w:szCs w:val="24"/>
        </w:rPr>
        <w:t>16/2019</w:t>
      </w:r>
    </w:p>
    <w:p w:rsidR="001B7E1F" w:rsidRPr="006E026B" w:rsidRDefault="001B7E1F" w:rsidP="00AD545C">
      <w:pPr>
        <w:spacing w:after="0" w:line="360" w:lineRule="auto"/>
        <w:rPr>
          <w:rFonts w:ascii="Arial" w:hAnsi="Arial" w:cs="Arial"/>
          <w:sz w:val="24"/>
          <w:szCs w:val="24"/>
        </w:rPr>
      </w:pPr>
    </w:p>
    <w:p w:rsidR="001B7E1F" w:rsidRPr="006E026B" w:rsidRDefault="001B7E1F" w:rsidP="00AD545C">
      <w:pPr>
        <w:spacing w:after="0" w:line="360" w:lineRule="auto"/>
        <w:rPr>
          <w:rFonts w:ascii="Arial" w:hAnsi="Arial" w:cs="Arial"/>
          <w:sz w:val="24"/>
          <w:szCs w:val="24"/>
        </w:rPr>
      </w:pPr>
      <w:r w:rsidRPr="006E026B">
        <w:rPr>
          <w:rFonts w:ascii="Arial" w:hAnsi="Arial" w:cs="Arial"/>
          <w:sz w:val="24"/>
          <w:szCs w:val="24"/>
        </w:rPr>
        <w:t>In the matter between:</w:t>
      </w:r>
    </w:p>
    <w:p w:rsidR="001B7E1F" w:rsidRPr="006E026B" w:rsidRDefault="001B7E1F" w:rsidP="00AD545C">
      <w:pPr>
        <w:spacing w:after="0" w:line="360" w:lineRule="auto"/>
        <w:rPr>
          <w:rFonts w:ascii="Arial" w:hAnsi="Arial" w:cs="Arial"/>
          <w:sz w:val="24"/>
          <w:szCs w:val="24"/>
        </w:rPr>
      </w:pPr>
    </w:p>
    <w:p w:rsidR="001B7E1F" w:rsidRPr="006E026B" w:rsidRDefault="005045B7" w:rsidP="00AD545C">
      <w:pPr>
        <w:pStyle w:val="Heading4"/>
        <w:tabs>
          <w:tab w:val="right" w:pos="9000"/>
        </w:tabs>
        <w:spacing w:line="360" w:lineRule="auto"/>
        <w:jc w:val="both"/>
        <w:rPr>
          <w:rFonts w:cs="Arial"/>
          <w:b/>
          <w:sz w:val="24"/>
        </w:rPr>
      </w:pPr>
      <w:r>
        <w:rPr>
          <w:rFonts w:cs="Arial"/>
          <w:b/>
          <w:sz w:val="24"/>
        </w:rPr>
        <w:t>THE STATE</w:t>
      </w:r>
    </w:p>
    <w:p w:rsidR="00C91085" w:rsidRDefault="00C91085" w:rsidP="00AD545C">
      <w:pPr>
        <w:spacing w:after="0" w:line="360" w:lineRule="auto"/>
        <w:jc w:val="both"/>
        <w:rPr>
          <w:rFonts w:ascii="Arial" w:hAnsi="Arial" w:cs="Arial"/>
          <w:sz w:val="24"/>
          <w:szCs w:val="24"/>
        </w:rPr>
      </w:pPr>
    </w:p>
    <w:p w:rsidR="001B7E1F" w:rsidRPr="006E026B" w:rsidRDefault="001B7E1F" w:rsidP="00AD545C">
      <w:pPr>
        <w:spacing w:after="0" w:line="360" w:lineRule="auto"/>
        <w:jc w:val="both"/>
        <w:rPr>
          <w:rFonts w:ascii="Arial" w:hAnsi="Arial" w:cs="Arial"/>
          <w:sz w:val="24"/>
          <w:szCs w:val="24"/>
        </w:rPr>
      </w:pPr>
      <w:proofErr w:type="gramStart"/>
      <w:r w:rsidRPr="006E026B">
        <w:rPr>
          <w:rFonts w:ascii="Arial" w:hAnsi="Arial" w:cs="Arial"/>
          <w:sz w:val="24"/>
          <w:szCs w:val="24"/>
        </w:rPr>
        <w:t>and</w:t>
      </w:r>
      <w:proofErr w:type="gramEnd"/>
    </w:p>
    <w:p w:rsidR="00C91085" w:rsidRDefault="00C91085" w:rsidP="00AD545C">
      <w:pPr>
        <w:tabs>
          <w:tab w:val="right" w:pos="9000"/>
        </w:tabs>
        <w:spacing w:after="0" w:line="360" w:lineRule="auto"/>
        <w:jc w:val="both"/>
        <w:rPr>
          <w:rFonts w:ascii="Arial" w:hAnsi="Arial" w:cs="Arial"/>
          <w:b/>
          <w:sz w:val="24"/>
          <w:szCs w:val="24"/>
        </w:rPr>
      </w:pPr>
    </w:p>
    <w:p w:rsidR="00F60C12" w:rsidRPr="006E026B" w:rsidRDefault="00D6107D" w:rsidP="00AD545C">
      <w:pPr>
        <w:tabs>
          <w:tab w:val="right" w:pos="9000"/>
        </w:tabs>
        <w:spacing w:after="0" w:line="360" w:lineRule="auto"/>
        <w:rPr>
          <w:rFonts w:ascii="Arial" w:hAnsi="Arial" w:cs="Arial"/>
          <w:b/>
          <w:sz w:val="24"/>
          <w:szCs w:val="24"/>
        </w:rPr>
      </w:pPr>
      <w:r>
        <w:rPr>
          <w:rFonts w:ascii="Arial" w:hAnsi="Arial" w:cs="Arial"/>
          <w:b/>
          <w:sz w:val="24"/>
          <w:szCs w:val="24"/>
        </w:rPr>
        <w:t xml:space="preserve">BENJAMIN GEORGE STRONG </w:t>
      </w:r>
      <w:r w:rsidR="00723B32">
        <w:rPr>
          <w:rFonts w:ascii="Arial" w:hAnsi="Arial" w:cs="Arial"/>
          <w:b/>
          <w:sz w:val="24"/>
          <w:szCs w:val="24"/>
        </w:rPr>
        <w:tab/>
      </w:r>
      <w:r w:rsidR="005045B7">
        <w:rPr>
          <w:rFonts w:ascii="Arial" w:hAnsi="Arial" w:cs="Arial"/>
          <w:b/>
          <w:sz w:val="24"/>
          <w:szCs w:val="24"/>
        </w:rPr>
        <w:t>ACCUSED</w:t>
      </w:r>
    </w:p>
    <w:p w:rsidR="001B7E1F" w:rsidRDefault="001B7E1F" w:rsidP="00AD545C">
      <w:pPr>
        <w:spacing w:after="0" w:line="360" w:lineRule="auto"/>
        <w:ind w:left="2160" w:hanging="2160"/>
        <w:jc w:val="both"/>
        <w:rPr>
          <w:rFonts w:ascii="Arial" w:hAnsi="Arial" w:cs="Arial"/>
          <w:sz w:val="24"/>
          <w:szCs w:val="24"/>
        </w:rPr>
      </w:pPr>
    </w:p>
    <w:p w:rsidR="001B7E1F" w:rsidRPr="005D6C92" w:rsidRDefault="001B7E1F" w:rsidP="001C20F4">
      <w:pPr>
        <w:spacing w:after="0" w:line="360" w:lineRule="auto"/>
        <w:jc w:val="both"/>
        <w:rPr>
          <w:rFonts w:ascii="Arial" w:hAnsi="Arial" w:cs="Arial"/>
          <w:sz w:val="24"/>
          <w:szCs w:val="24"/>
        </w:rPr>
      </w:pPr>
      <w:r>
        <w:rPr>
          <w:rFonts w:ascii="Arial" w:hAnsi="Arial" w:cs="Arial"/>
          <w:b/>
          <w:sz w:val="24"/>
          <w:szCs w:val="24"/>
        </w:rPr>
        <w:t xml:space="preserve">Neutral citation: </w:t>
      </w:r>
      <w:r w:rsidR="00D8646D">
        <w:rPr>
          <w:rFonts w:ascii="Arial" w:hAnsi="Arial" w:cs="Arial"/>
          <w:b/>
          <w:sz w:val="24"/>
          <w:szCs w:val="24"/>
        </w:rPr>
        <w:tab/>
      </w:r>
      <w:r w:rsidR="005045B7">
        <w:rPr>
          <w:rFonts w:ascii="Arial" w:hAnsi="Arial" w:cs="Arial"/>
          <w:i/>
          <w:sz w:val="24"/>
          <w:szCs w:val="24"/>
        </w:rPr>
        <w:t>S</w:t>
      </w:r>
      <w:r w:rsidR="00D6107D">
        <w:rPr>
          <w:rFonts w:ascii="Arial" w:hAnsi="Arial" w:cs="Arial"/>
          <w:i/>
          <w:sz w:val="24"/>
          <w:szCs w:val="24"/>
        </w:rPr>
        <w:t xml:space="preserve"> </w:t>
      </w:r>
      <w:r>
        <w:rPr>
          <w:rFonts w:ascii="Arial" w:hAnsi="Arial" w:cs="Arial"/>
          <w:i/>
          <w:sz w:val="24"/>
          <w:szCs w:val="24"/>
        </w:rPr>
        <w:t xml:space="preserve">v </w:t>
      </w:r>
      <w:r w:rsidR="00D6107D">
        <w:rPr>
          <w:rFonts w:ascii="Arial" w:hAnsi="Arial" w:cs="Arial"/>
          <w:i/>
          <w:sz w:val="24"/>
          <w:szCs w:val="24"/>
        </w:rPr>
        <w:t xml:space="preserve">Strong </w:t>
      </w:r>
      <w:r w:rsidRPr="005D6C92">
        <w:rPr>
          <w:rFonts w:ascii="Arial" w:hAnsi="Arial" w:cs="Arial"/>
          <w:sz w:val="24"/>
          <w:szCs w:val="24"/>
        </w:rPr>
        <w:t>(</w:t>
      </w:r>
      <w:r w:rsidR="00F60C12">
        <w:rPr>
          <w:rFonts w:ascii="Arial" w:hAnsi="Arial" w:cs="Arial"/>
          <w:sz w:val="24"/>
          <w:szCs w:val="24"/>
        </w:rPr>
        <w:t>C</w:t>
      </w:r>
      <w:r w:rsidR="005045B7">
        <w:rPr>
          <w:rFonts w:ascii="Arial" w:hAnsi="Arial" w:cs="Arial"/>
          <w:sz w:val="24"/>
          <w:szCs w:val="24"/>
        </w:rPr>
        <w:t>C</w:t>
      </w:r>
      <w:r>
        <w:rPr>
          <w:rFonts w:ascii="Arial" w:hAnsi="Arial" w:cs="Arial"/>
          <w:sz w:val="24"/>
          <w:szCs w:val="24"/>
        </w:rPr>
        <w:t xml:space="preserve"> </w:t>
      </w:r>
      <w:r w:rsidR="007128D8">
        <w:rPr>
          <w:rFonts w:ascii="Arial" w:hAnsi="Arial" w:cs="Arial"/>
          <w:sz w:val="24"/>
          <w:szCs w:val="24"/>
        </w:rPr>
        <w:t>16/2019</w:t>
      </w:r>
      <w:r w:rsidRPr="005D6C92">
        <w:rPr>
          <w:rFonts w:ascii="Arial" w:hAnsi="Arial" w:cs="Arial"/>
          <w:sz w:val="24"/>
          <w:szCs w:val="24"/>
        </w:rPr>
        <w:t>) [20</w:t>
      </w:r>
      <w:r w:rsidR="00D6107D">
        <w:rPr>
          <w:rFonts w:ascii="Arial" w:hAnsi="Arial" w:cs="Arial"/>
          <w:sz w:val="24"/>
          <w:szCs w:val="24"/>
        </w:rPr>
        <w:t>20</w:t>
      </w:r>
      <w:r w:rsidRPr="005D6C92">
        <w:rPr>
          <w:rFonts w:ascii="Arial" w:hAnsi="Arial" w:cs="Arial"/>
          <w:sz w:val="24"/>
          <w:szCs w:val="24"/>
        </w:rPr>
        <w:t>] NAHC</w:t>
      </w:r>
      <w:r w:rsidR="00C91085">
        <w:rPr>
          <w:rFonts w:ascii="Arial" w:hAnsi="Arial" w:cs="Arial"/>
          <w:sz w:val="24"/>
          <w:szCs w:val="24"/>
        </w:rPr>
        <w:t>M</w:t>
      </w:r>
      <w:r w:rsidRPr="005D6C92">
        <w:rPr>
          <w:rFonts w:ascii="Arial" w:hAnsi="Arial" w:cs="Arial"/>
          <w:sz w:val="24"/>
          <w:szCs w:val="24"/>
        </w:rPr>
        <w:t xml:space="preserve">D </w:t>
      </w:r>
      <w:r w:rsidR="0059354A">
        <w:rPr>
          <w:rFonts w:ascii="Arial" w:hAnsi="Arial" w:cs="Arial"/>
          <w:sz w:val="24"/>
          <w:szCs w:val="24"/>
        </w:rPr>
        <w:t>49</w:t>
      </w:r>
      <w:r w:rsidR="007128D8">
        <w:rPr>
          <w:rFonts w:ascii="Arial" w:hAnsi="Arial" w:cs="Arial"/>
          <w:sz w:val="24"/>
          <w:szCs w:val="24"/>
        </w:rPr>
        <w:t xml:space="preserve"> </w:t>
      </w:r>
      <w:r w:rsidRPr="005D6C92">
        <w:rPr>
          <w:rFonts w:ascii="Arial" w:hAnsi="Arial" w:cs="Arial"/>
          <w:sz w:val="24"/>
          <w:szCs w:val="24"/>
        </w:rPr>
        <w:t>(</w:t>
      </w:r>
      <w:r w:rsidR="00D6107D">
        <w:rPr>
          <w:rFonts w:ascii="Arial" w:hAnsi="Arial" w:cs="Arial"/>
          <w:sz w:val="24"/>
          <w:szCs w:val="24"/>
        </w:rPr>
        <w:t>13 February 2020</w:t>
      </w:r>
      <w:r w:rsidRPr="005D6C92">
        <w:rPr>
          <w:rFonts w:ascii="Arial" w:hAnsi="Arial" w:cs="Arial"/>
          <w:sz w:val="24"/>
          <w:szCs w:val="24"/>
        </w:rPr>
        <w:t>)</w:t>
      </w:r>
    </w:p>
    <w:p w:rsidR="001B7E1F" w:rsidRPr="006E026B" w:rsidRDefault="001B7E1F" w:rsidP="00AD545C">
      <w:pPr>
        <w:spacing w:after="0" w:line="360" w:lineRule="auto"/>
        <w:ind w:left="2160" w:hanging="2160"/>
        <w:jc w:val="both"/>
        <w:rPr>
          <w:rFonts w:ascii="Arial" w:hAnsi="Arial" w:cs="Arial"/>
          <w:sz w:val="24"/>
          <w:szCs w:val="24"/>
        </w:rPr>
      </w:pPr>
    </w:p>
    <w:p w:rsidR="001B7E1F" w:rsidRPr="006E026B" w:rsidRDefault="001B7E1F" w:rsidP="00AD545C">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sidR="00BA4F36">
        <w:rPr>
          <w:rFonts w:ascii="Arial" w:hAnsi="Arial" w:cs="Arial"/>
          <w:sz w:val="24"/>
          <w:szCs w:val="24"/>
        </w:rPr>
        <w:t xml:space="preserve">SIBEYA, </w:t>
      </w:r>
      <w:r w:rsidR="00D6107D">
        <w:rPr>
          <w:rFonts w:ascii="Arial" w:hAnsi="Arial" w:cs="Arial"/>
          <w:sz w:val="24"/>
          <w:szCs w:val="24"/>
        </w:rPr>
        <w:t>A.</w:t>
      </w:r>
      <w:r w:rsidR="003746E3">
        <w:rPr>
          <w:rFonts w:ascii="Arial" w:hAnsi="Arial" w:cs="Arial"/>
          <w:sz w:val="24"/>
          <w:szCs w:val="24"/>
        </w:rPr>
        <w:t>J</w:t>
      </w:r>
      <w:r w:rsidR="00D6107D">
        <w:rPr>
          <w:rFonts w:ascii="Arial" w:hAnsi="Arial" w:cs="Arial"/>
          <w:sz w:val="24"/>
          <w:szCs w:val="24"/>
        </w:rPr>
        <w:t>.</w:t>
      </w:r>
    </w:p>
    <w:p w:rsidR="007128D8" w:rsidRDefault="001B7E1F" w:rsidP="008F0801">
      <w:pPr>
        <w:spacing w:after="0" w:line="360" w:lineRule="auto"/>
        <w:rPr>
          <w:rFonts w:ascii="Arial" w:hAnsi="Arial" w:cs="Arial"/>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88245D">
        <w:rPr>
          <w:rFonts w:ascii="Arial" w:hAnsi="Arial" w:cs="Arial"/>
          <w:sz w:val="24"/>
          <w:szCs w:val="24"/>
        </w:rPr>
        <w:t>2-</w:t>
      </w:r>
      <w:r w:rsidR="00D6107D">
        <w:rPr>
          <w:rFonts w:ascii="Arial" w:hAnsi="Arial" w:cs="Arial"/>
          <w:sz w:val="24"/>
          <w:szCs w:val="24"/>
        </w:rPr>
        <w:t>6 De</w:t>
      </w:r>
      <w:r w:rsidR="00E57F74">
        <w:rPr>
          <w:rFonts w:ascii="Arial" w:hAnsi="Arial" w:cs="Arial"/>
          <w:sz w:val="24"/>
          <w:szCs w:val="24"/>
        </w:rPr>
        <w:t xml:space="preserve">cember 2019, 20-23 January </w:t>
      </w:r>
      <w:r w:rsidR="0088245D">
        <w:rPr>
          <w:rFonts w:ascii="Arial" w:hAnsi="Arial" w:cs="Arial"/>
          <w:sz w:val="24"/>
          <w:szCs w:val="24"/>
        </w:rPr>
        <w:t xml:space="preserve">and </w:t>
      </w:r>
      <w:r w:rsidR="00D6107D">
        <w:rPr>
          <w:rFonts w:ascii="Arial" w:hAnsi="Arial" w:cs="Arial"/>
          <w:sz w:val="24"/>
          <w:szCs w:val="24"/>
        </w:rPr>
        <w:t xml:space="preserve">7 February 2020. </w:t>
      </w:r>
    </w:p>
    <w:p w:rsidR="00AD545C" w:rsidRDefault="001B7E1F" w:rsidP="008F0801">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D6107D">
        <w:rPr>
          <w:rFonts w:ascii="Arial" w:hAnsi="Arial" w:cs="Arial"/>
          <w:sz w:val="24"/>
          <w:szCs w:val="24"/>
        </w:rPr>
        <w:t>13 February 2020.</w:t>
      </w:r>
    </w:p>
    <w:p w:rsidR="00A42B1E" w:rsidRPr="00A42B1E" w:rsidRDefault="00A42B1E" w:rsidP="00A42B1E">
      <w:pPr>
        <w:spacing w:after="0" w:line="360" w:lineRule="auto"/>
        <w:jc w:val="both"/>
        <w:rPr>
          <w:rFonts w:ascii="Arial" w:hAnsi="Arial" w:cs="Arial"/>
          <w:b/>
          <w:sz w:val="24"/>
          <w:szCs w:val="24"/>
        </w:rPr>
      </w:pPr>
    </w:p>
    <w:p w:rsidR="0087547B" w:rsidRPr="0087547B" w:rsidRDefault="00A42B1E" w:rsidP="00A42B1E">
      <w:pPr>
        <w:spacing w:after="0" w:line="360" w:lineRule="auto"/>
        <w:jc w:val="both"/>
        <w:rPr>
          <w:rFonts w:ascii="Arial" w:hAnsi="Arial" w:cs="Arial"/>
          <w:sz w:val="24"/>
          <w:szCs w:val="24"/>
          <w:lang w:val="en-ZA"/>
        </w:rPr>
      </w:pPr>
      <w:proofErr w:type="spellStart"/>
      <w:r w:rsidRPr="00A42B1E">
        <w:rPr>
          <w:rFonts w:ascii="Arial" w:hAnsi="Arial" w:cs="Arial"/>
          <w:b/>
          <w:sz w:val="24"/>
          <w:szCs w:val="24"/>
        </w:rPr>
        <w:t>Flynote</w:t>
      </w:r>
      <w:proofErr w:type="spellEnd"/>
      <w:r w:rsidRPr="00A42B1E">
        <w:rPr>
          <w:rFonts w:ascii="Arial" w:hAnsi="Arial" w:cs="Arial"/>
          <w:b/>
          <w:sz w:val="24"/>
          <w:szCs w:val="24"/>
        </w:rPr>
        <w:t>:</w:t>
      </w:r>
      <w:r w:rsidRPr="00A42B1E">
        <w:rPr>
          <w:rFonts w:ascii="Arial" w:hAnsi="Arial" w:cs="Arial"/>
          <w:b/>
          <w:sz w:val="24"/>
          <w:szCs w:val="24"/>
        </w:rPr>
        <w:tab/>
      </w:r>
      <w:r w:rsidR="0087547B" w:rsidRPr="0087547B">
        <w:rPr>
          <w:rFonts w:ascii="Arial" w:hAnsi="Arial" w:cs="Arial"/>
          <w:sz w:val="24"/>
          <w:szCs w:val="24"/>
          <w:lang w:val="en-ZA"/>
        </w:rPr>
        <w:t>Criminal procedure – Application in terms of section 174 of the Criminal Procedure Act</w:t>
      </w:r>
      <w:r w:rsidR="0087547B">
        <w:rPr>
          <w:rFonts w:ascii="Arial" w:hAnsi="Arial" w:cs="Arial"/>
          <w:sz w:val="24"/>
          <w:szCs w:val="24"/>
          <w:lang w:val="en-ZA"/>
        </w:rPr>
        <w:t xml:space="preserve">, </w:t>
      </w:r>
      <w:r w:rsidR="0087547B" w:rsidRPr="0087547B">
        <w:rPr>
          <w:rFonts w:ascii="Arial" w:hAnsi="Arial" w:cs="Arial"/>
          <w:sz w:val="24"/>
          <w:szCs w:val="24"/>
          <w:lang w:val="en-ZA"/>
        </w:rPr>
        <w:t xml:space="preserve">51 of 1977 -  Discharge of accused at close of State case </w:t>
      </w:r>
      <w:r w:rsidR="0087547B">
        <w:rPr>
          <w:rFonts w:ascii="Arial" w:hAnsi="Arial" w:cs="Arial"/>
          <w:sz w:val="24"/>
          <w:szCs w:val="24"/>
          <w:lang w:val="en-ZA"/>
        </w:rPr>
        <w:t xml:space="preserve">where there is no evidence supporting the charge </w:t>
      </w:r>
      <w:r w:rsidR="0087547B" w:rsidRPr="0087547B">
        <w:rPr>
          <w:rFonts w:ascii="Arial" w:hAnsi="Arial" w:cs="Arial"/>
          <w:sz w:val="24"/>
          <w:szCs w:val="24"/>
          <w:lang w:val="en-ZA"/>
        </w:rPr>
        <w:t xml:space="preserve">–  </w:t>
      </w:r>
      <w:r w:rsidR="004D24F2">
        <w:rPr>
          <w:rFonts w:ascii="Arial" w:hAnsi="Arial" w:cs="Arial"/>
          <w:sz w:val="24"/>
          <w:szCs w:val="24"/>
          <w:lang w:val="en-ZA"/>
        </w:rPr>
        <w:t>I</w:t>
      </w:r>
      <w:r w:rsidR="0087547B">
        <w:rPr>
          <w:rFonts w:ascii="Arial" w:hAnsi="Arial" w:cs="Arial"/>
          <w:sz w:val="24"/>
          <w:szCs w:val="24"/>
          <w:lang w:val="en-ZA"/>
        </w:rPr>
        <w:t xml:space="preserve">nterpretation of ‘no evidence’ in </w:t>
      </w:r>
      <w:r w:rsidR="0087547B" w:rsidRPr="0087547B">
        <w:rPr>
          <w:rFonts w:ascii="Arial" w:hAnsi="Arial" w:cs="Arial"/>
          <w:sz w:val="24"/>
          <w:szCs w:val="24"/>
          <w:lang w:val="en-ZA"/>
        </w:rPr>
        <w:t xml:space="preserve">S v </w:t>
      </w:r>
      <w:proofErr w:type="spellStart"/>
      <w:r w:rsidR="0087547B" w:rsidRPr="0087547B">
        <w:rPr>
          <w:rFonts w:ascii="Arial" w:hAnsi="Arial" w:cs="Arial"/>
          <w:i/>
          <w:iCs/>
          <w:sz w:val="24"/>
          <w:szCs w:val="24"/>
          <w:lang w:val="en-ZA"/>
        </w:rPr>
        <w:t>Nakale</w:t>
      </w:r>
      <w:proofErr w:type="spellEnd"/>
      <w:r w:rsidR="0087547B" w:rsidRPr="0087547B">
        <w:rPr>
          <w:rFonts w:ascii="Arial" w:hAnsi="Arial" w:cs="Arial"/>
          <w:sz w:val="24"/>
          <w:szCs w:val="24"/>
          <w:lang w:val="en-ZA"/>
        </w:rPr>
        <w:t xml:space="preserve"> and S v </w:t>
      </w:r>
      <w:proofErr w:type="spellStart"/>
      <w:r w:rsidR="0087547B" w:rsidRPr="0087547B">
        <w:rPr>
          <w:rFonts w:ascii="Arial" w:hAnsi="Arial" w:cs="Arial"/>
          <w:i/>
          <w:iCs/>
          <w:sz w:val="24"/>
          <w:szCs w:val="24"/>
          <w:lang w:val="en-ZA"/>
        </w:rPr>
        <w:t>Teek</w:t>
      </w:r>
      <w:proofErr w:type="spellEnd"/>
      <w:r w:rsidR="0087547B" w:rsidRPr="0087547B">
        <w:rPr>
          <w:rFonts w:ascii="Arial" w:hAnsi="Arial" w:cs="Arial"/>
          <w:sz w:val="24"/>
          <w:szCs w:val="24"/>
          <w:lang w:val="en-ZA"/>
        </w:rPr>
        <w:t xml:space="preserve"> followed – </w:t>
      </w:r>
      <w:r w:rsidR="00052105">
        <w:rPr>
          <w:rFonts w:ascii="Arial" w:hAnsi="Arial" w:cs="Arial"/>
          <w:sz w:val="24"/>
          <w:szCs w:val="24"/>
          <w:lang w:val="en-ZA"/>
        </w:rPr>
        <w:t xml:space="preserve">Credibility plays a limited role at this stage - </w:t>
      </w:r>
      <w:r w:rsidR="0087547B" w:rsidRPr="0087547B">
        <w:rPr>
          <w:rFonts w:ascii="Arial" w:hAnsi="Arial" w:cs="Arial"/>
          <w:sz w:val="24"/>
          <w:szCs w:val="24"/>
          <w:lang w:val="en-ZA"/>
        </w:rPr>
        <w:t xml:space="preserve">Whether there is evidence on which a reasonable court </w:t>
      </w:r>
      <w:r w:rsidR="0087547B">
        <w:rPr>
          <w:rFonts w:ascii="Arial" w:hAnsi="Arial" w:cs="Arial"/>
          <w:sz w:val="24"/>
          <w:szCs w:val="24"/>
          <w:lang w:val="en-ZA"/>
        </w:rPr>
        <w:t xml:space="preserve">acting carefully </w:t>
      </w:r>
      <w:r w:rsidR="0087547B" w:rsidRPr="0087547B">
        <w:rPr>
          <w:rFonts w:ascii="Arial" w:hAnsi="Arial" w:cs="Arial"/>
          <w:sz w:val="24"/>
          <w:szCs w:val="24"/>
          <w:lang w:val="en-ZA"/>
        </w:rPr>
        <w:t>may convict – Accused’s right against self-incrimination to be protected –</w:t>
      </w:r>
      <w:r w:rsidR="00AC250E">
        <w:rPr>
          <w:rFonts w:ascii="Arial" w:hAnsi="Arial" w:cs="Arial"/>
          <w:sz w:val="24"/>
          <w:szCs w:val="24"/>
          <w:lang w:val="en-ZA"/>
        </w:rPr>
        <w:t xml:space="preserve"> </w:t>
      </w:r>
      <w:r w:rsidR="00052105">
        <w:rPr>
          <w:rFonts w:ascii="Arial" w:hAnsi="Arial" w:cs="Arial"/>
          <w:sz w:val="24"/>
          <w:szCs w:val="24"/>
          <w:lang w:val="en-ZA"/>
        </w:rPr>
        <w:t xml:space="preserve">circumstantial evidence to be considered </w:t>
      </w:r>
      <w:r w:rsidR="00052105">
        <w:rPr>
          <w:rFonts w:ascii="Arial" w:hAnsi="Arial" w:cs="Arial"/>
          <w:sz w:val="24"/>
          <w:szCs w:val="24"/>
          <w:lang w:val="en-ZA"/>
        </w:rPr>
        <w:lastRenderedPageBreak/>
        <w:t>at this stage and i</w:t>
      </w:r>
      <w:r w:rsidR="0087547B" w:rsidRPr="0087547B">
        <w:rPr>
          <w:rFonts w:ascii="Arial" w:hAnsi="Arial" w:cs="Arial"/>
          <w:sz w:val="24"/>
          <w:szCs w:val="24"/>
          <w:lang w:val="en-ZA"/>
        </w:rPr>
        <w:t xml:space="preserve">nferences may be drawn from proven facts which must be consistent with such facts – Application dismissed. </w:t>
      </w:r>
    </w:p>
    <w:p w:rsidR="00A42B1E" w:rsidRPr="00A42B1E" w:rsidRDefault="00A42B1E" w:rsidP="00A42B1E">
      <w:pPr>
        <w:spacing w:after="0" w:line="360" w:lineRule="auto"/>
        <w:jc w:val="both"/>
        <w:rPr>
          <w:rFonts w:ascii="Arial" w:hAnsi="Arial" w:cs="Arial"/>
          <w:b/>
          <w:sz w:val="24"/>
          <w:szCs w:val="24"/>
        </w:rPr>
      </w:pPr>
    </w:p>
    <w:p w:rsidR="00BA4F36" w:rsidRDefault="00A42B1E" w:rsidP="00A42B1E">
      <w:pPr>
        <w:spacing w:after="0" w:line="360" w:lineRule="auto"/>
        <w:jc w:val="both"/>
        <w:rPr>
          <w:rFonts w:ascii="Arial" w:hAnsi="Arial" w:cs="Arial"/>
          <w:sz w:val="24"/>
          <w:szCs w:val="24"/>
        </w:rPr>
      </w:pPr>
      <w:r w:rsidRPr="00A42B1E">
        <w:rPr>
          <w:rFonts w:ascii="Arial" w:hAnsi="Arial" w:cs="Arial"/>
          <w:b/>
          <w:sz w:val="24"/>
          <w:szCs w:val="24"/>
        </w:rPr>
        <w:t>Summary:</w:t>
      </w:r>
      <w:r w:rsidRPr="00A42B1E">
        <w:rPr>
          <w:rFonts w:ascii="Arial" w:hAnsi="Arial" w:cs="Arial"/>
          <w:b/>
          <w:sz w:val="24"/>
          <w:szCs w:val="24"/>
        </w:rPr>
        <w:tab/>
      </w:r>
      <w:r w:rsidR="00BA4F36">
        <w:rPr>
          <w:rFonts w:ascii="Arial" w:hAnsi="Arial" w:cs="Arial"/>
          <w:sz w:val="24"/>
          <w:szCs w:val="24"/>
        </w:rPr>
        <w:t xml:space="preserve">The accused was </w:t>
      </w:r>
      <w:r w:rsidR="0088245D">
        <w:rPr>
          <w:rFonts w:ascii="Arial" w:hAnsi="Arial" w:cs="Arial"/>
          <w:sz w:val="24"/>
          <w:szCs w:val="24"/>
        </w:rPr>
        <w:t>arraigned</w:t>
      </w:r>
      <w:r w:rsidR="00BA4F36">
        <w:rPr>
          <w:rFonts w:ascii="Arial" w:hAnsi="Arial" w:cs="Arial"/>
          <w:sz w:val="24"/>
          <w:szCs w:val="24"/>
        </w:rPr>
        <w:t xml:space="preserve"> on five charges, namely: count 1 - murder, count 2 - attempted murder, counts 3 and 4 - two counts of assault with intent to do grievous bodily harm and count 5 - defeating or obstructing the course of justice or attempt to do so. At the close of the state’s case the accused brought an application for discharge in terms of section 174 of the Criminal Procedure Act 51 of </w:t>
      </w:r>
      <w:r w:rsidR="0088245D">
        <w:rPr>
          <w:rFonts w:ascii="Arial" w:hAnsi="Arial" w:cs="Arial"/>
          <w:sz w:val="24"/>
          <w:szCs w:val="24"/>
        </w:rPr>
        <w:t>1977 only in respect of counts 3</w:t>
      </w:r>
      <w:r w:rsidR="00BA4F36">
        <w:rPr>
          <w:rFonts w:ascii="Arial" w:hAnsi="Arial" w:cs="Arial"/>
          <w:sz w:val="24"/>
          <w:szCs w:val="24"/>
        </w:rPr>
        <w:t xml:space="preserve"> - 5. The application for discharge was opposed by the state. </w:t>
      </w:r>
    </w:p>
    <w:p w:rsidR="00BA4F36" w:rsidRDefault="00BA4F36" w:rsidP="00A42B1E">
      <w:pPr>
        <w:spacing w:after="0" w:line="360" w:lineRule="auto"/>
        <w:jc w:val="both"/>
        <w:rPr>
          <w:rFonts w:ascii="Arial" w:hAnsi="Arial" w:cs="Arial"/>
          <w:sz w:val="24"/>
          <w:szCs w:val="24"/>
        </w:rPr>
      </w:pPr>
    </w:p>
    <w:p w:rsidR="00836557" w:rsidRDefault="00BA4F36" w:rsidP="00A42B1E">
      <w:pPr>
        <w:spacing w:after="0" w:line="360" w:lineRule="auto"/>
        <w:jc w:val="both"/>
        <w:rPr>
          <w:rFonts w:ascii="Arial" w:hAnsi="Arial" w:cs="Arial"/>
          <w:sz w:val="24"/>
          <w:szCs w:val="24"/>
        </w:rPr>
      </w:pPr>
      <w:r w:rsidRPr="008139B4">
        <w:rPr>
          <w:rFonts w:ascii="Arial" w:hAnsi="Arial" w:cs="Arial"/>
          <w:i/>
          <w:iCs/>
          <w:sz w:val="24"/>
          <w:szCs w:val="24"/>
        </w:rPr>
        <w:t>Held</w:t>
      </w:r>
      <w:r>
        <w:rPr>
          <w:rFonts w:ascii="Arial" w:hAnsi="Arial" w:cs="Arial"/>
          <w:sz w:val="24"/>
          <w:szCs w:val="24"/>
        </w:rPr>
        <w:t xml:space="preserve"> that, section 174 protects the rights of the accused to a fair trial and ensure</w:t>
      </w:r>
      <w:r w:rsidR="0088245D">
        <w:rPr>
          <w:rFonts w:ascii="Arial" w:hAnsi="Arial" w:cs="Arial"/>
          <w:sz w:val="24"/>
          <w:szCs w:val="24"/>
        </w:rPr>
        <w:t>s</w:t>
      </w:r>
      <w:r>
        <w:rPr>
          <w:rFonts w:ascii="Arial" w:hAnsi="Arial" w:cs="Arial"/>
          <w:sz w:val="24"/>
          <w:szCs w:val="24"/>
        </w:rPr>
        <w:t xml:space="preserve"> the court’s vigilance of the accused’s right against self-incrimination which is inclusive of the right to remain silent and the right to be presumed innocent until proven </w:t>
      </w:r>
      <w:r w:rsidR="00836557">
        <w:rPr>
          <w:rFonts w:ascii="Arial" w:hAnsi="Arial" w:cs="Arial"/>
          <w:sz w:val="24"/>
          <w:szCs w:val="24"/>
        </w:rPr>
        <w:t xml:space="preserve">guilty according to law. </w:t>
      </w:r>
      <w:r>
        <w:rPr>
          <w:rFonts w:ascii="Arial" w:hAnsi="Arial" w:cs="Arial"/>
          <w:sz w:val="24"/>
          <w:szCs w:val="24"/>
        </w:rPr>
        <w:t xml:space="preserve"> </w:t>
      </w:r>
    </w:p>
    <w:p w:rsidR="00836557" w:rsidRDefault="00836557" w:rsidP="00A42B1E">
      <w:pPr>
        <w:spacing w:after="0" w:line="360" w:lineRule="auto"/>
        <w:jc w:val="both"/>
        <w:rPr>
          <w:rFonts w:ascii="Arial" w:hAnsi="Arial" w:cs="Arial"/>
          <w:sz w:val="24"/>
          <w:szCs w:val="24"/>
        </w:rPr>
      </w:pPr>
    </w:p>
    <w:p w:rsidR="009732D2" w:rsidRDefault="00836557" w:rsidP="00A42B1E">
      <w:pPr>
        <w:spacing w:after="0" w:line="360" w:lineRule="auto"/>
        <w:jc w:val="both"/>
        <w:rPr>
          <w:rFonts w:ascii="Arial" w:hAnsi="Arial" w:cs="Arial"/>
          <w:sz w:val="24"/>
          <w:szCs w:val="24"/>
        </w:rPr>
      </w:pPr>
      <w:r w:rsidRPr="008139B4">
        <w:rPr>
          <w:rFonts w:ascii="Arial" w:hAnsi="Arial" w:cs="Arial"/>
          <w:i/>
          <w:iCs/>
          <w:sz w:val="24"/>
          <w:szCs w:val="24"/>
        </w:rPr>
        <w:t>Held</w:t>
      </w:r>
      <w:r>
        <w:rPr>
          <w:rFonts w:ascii="Arial" w:hAnsi="Arial" w:cs="Arial"/>
          <w:sz w:val="24"/>
          <w:szCs w:val="24"/>
        </w:rPr>
        <w:t xml:space="preserve"> further that, </w:t>
      </w:r>
      <w:r w:rsidR="009732D2">
        <w:rPr>
          <w:rFonts w:ascii="Arial" w:hAnsi="Arial" w:cs="Arial"/>
          <w:sz w:val="24"/>
          <w:szCs w:val="24"/>
        </w:rPr>
        <w:t xml:space="preserve">the state needs to lead substantive evidence to prove a prima facie case against the accused and should therefore not remain hopeful that the accused will seal holes in its case by incriminating himself. </w:t>
      </w:r>
    </w:p>
    <w:p w:rsidR="009732D2" w:rsidRDefault="009732D2" w:rsidP="00A42B1E">
      <w:pPr>
        <w:spacing w:after="0" w:line="360" w:lineRule="auto"/>
        <w:jc w:val="both"/>
        <w:rPr>
          <w:rFonts w:ascii="Arial" w:hAnsi="Arial" w:cs="Arial"/>
          <w:sz w:val="24"/>
          <w:szCs w:val="24"/>
        </w:rPr>
      </w:pPr>
    </w:p>
    <w:p w:rsidR="00A42B1E" w:rsidRDefault="009732D2" w:rsidP="00AD545C">
      <w:pPr>
        <w:spacing w:after="0" w:line="360" w:lineRule="auto"/>
        <w:jc w:val="both"/>
        <w:rPr>
          <w:rFonts w:ascii="Arial" w:hAnsi="Arial" w:cs="Arial"/>
          <w:sz w:val="24"/>
          <w:szCs w:val="24"/>
        </w:rPr>
      </w:pPr>
      <w:r w:rsidRPr="008139B4">
        <w:rPr>
          <w:rFonts w:ascii="Arial" w:hAnsi="Arial" w:cs="Arial"/>
          <w:i/>
          <w:iCs/>
          <w:sz w:val="24"/>
          <w:szCs w:val="24"/>
        </w:rPr>
        <w:t>Held</w:t>
      </w:r>
      <w:r>
        <w:rPr>
          <w:rFonts w:ascii="Arial" w:hAnsi="Arial" w:cs="Arial"/>
          <w:sz w:val="24"/>
          <w:szCs w:val="24"/>
        </w:rPr>
        <w:t xml:space="preserve"> further that, in the absence of direct evidence on the charge the court </w:t>
      </w:r>
      <w:r w:rsidR="00E37B5A">
        <w:rPr>
          <w:rFonts w:ascii="Arial" w:hAnsi="Arial" w:cs="Arial"/>
          <w:sz w:val="24"/>
          <w:szCs w:val="24"/>
        </w:rPr>
        <w:t xml:space="preserve">can </w:t>
      </w:r>
      <w:r>
        <w:rPr>
          <w:rFonts w:ascii="Arial" w:hAnsi="Arial" w:cs="Arial"/>
          <w:sz w:val="24"/>
          <w:szCs w:val="24"/>
        </w:rPr>
        <w:t xml:space="preserve">resort to circumstantial evidence </w:t>
      </w:r>
      <w:r w:rsidR="00E37B5A">
        <w:rPr>
          <w:rFonts w:ascii="Arial" w:hAnsi="Arial" w:cs="Arial"/>
          <w:sz w:val="24"/>
          <w:szCs w:val="24"/>
        </w:rPr>
        <w:t xml:space="preserve">and in the process </w:t>
      </w:r>
      <w:r w:rsidR="0088245D">
        <w:rPr>
          <w:rFonts w:ascii="Arial" w:hAnsi="Arial" w:cs="Arial"/>
          <w:sz w:val="24"/>
          <w:szCs w:val="24"/>
        </w:rPr>
        <w:t>apply the cardinal principle as</w:t>
      </w:r>
      <w:r w:rsidR="00E37B5A">
        <w:rPr>
          <w:rFonts w:ascii="Arial" w:hAnsi="Arial" w:cs="Arial"/>
          <w:sz w:val="24"/>
          <w:szCs w:val="24"/>
        </w:rPr>
        <w:t xml:space="preserve"> set out in </w:t>
      </w:r>
      <w:r w:rsidR="00E37B5A" w:rsidRPr="008139B4">
        <w:rPr>
          <w:rFonts w:ascii="Arial" w:hAnsi="Arial" w:cs="Arial"/>
          <w:i/>
          <w:iCs/>
          <w:sz w:val="24"/>
          <w:szCs w:val="24"/>
        </w:rPr>
        <w:t xml:space="preserve">S v </w:t>
      </w:r>
      <w:proofErr w:type="spellStart"/>
      <w:r w:rsidR="00E37B5A" w:rsidRPr="008139B4">
        <w:rPr>
          <w:rFonts w:ascii="Arial" w:hAnsi="Arial" w:cs="Arial"/>
          <w:i/>
          <w:iCs/>
          <w:sz w:val="24"/>
          <w:szCs w:val="24"/>
        </w:rPr>
        <w:t>Blom</w:t>
      </w:r>
      <w:proofErr w:type="spellEnd"/>
      <w:r w:rsidR="001D6157">
        <w:rPr>
          <w:rFonts w:ascii="Arial" w:hAnsi="Arial" w:cs="Arial"/>
          <w:sz w:val="24"/>
          <w:szCs w:val="24"/>
        </w:rPr>
        <w:t xml:space="preserve"> 1939 AD 188.</w:t>
      </w:r>
    </w:p>
    <w:p w:rsidR="008139B4" w:rsidRDefault="008139B4" w:rsidP="00AD545C">
      <w:pPr>
        <w:spacing w:after="0" w:line="360" w:lineRule="auto"/>
        <w:jc w:val="both"/>
        <w:rPr>
          <w:rFonts w:ascii="Arial" w:hAnsi="Arial" w:cs="Arial"/>
          <w:sz w:val="24"/>
          <w:szCs w:val="24"/>
        </w:rPr>
      </w:pPr>
    </w:p>
    <w:p w:rsidR="008139B4" w:rsidRDefault="008139B4" w:rsidP="00AD545C">
      <w:pPr>
        <w:spacing w:after="0" w:line="360" w:lineRule="auto"/>
        <w:jc w:val="both"/>
        <w:rPr>
          <w:rFonts w:ascii="Arial" w:hAnsi="Arial" w:cs="Arial"/>
          <w:b/>
          <w:sz w:val="24"/>
          <w:szCs w:val="24"/>
        </w:rPr>
      </w:pPr>
      <w:r w:rsidRPr="008139B4">
        <w:rPr>
          <w:rFonts w:ascii="Arial" w:hAnsi="Arial" w:cs="Arial"/>
          <w:i/>
          <w:iCs/>
          <w:sz w:val="24"/>
          <w:szCs w:val="24"/>
        </w:rPr>
        <w:t>Held</w:t>
      </w:r>
      <w:r>
        <w:rPr>
          <w:rFonts w:ascii="Arial" w:hAnsi="Arial" w:cs="Arial"/>
          <w:sz w:val="24"/>
          <w:szCs w:val="24"/>
        </w:rPr>
        <w:t xml:space="preserve"> further that, evidence led so far establishes a </w:t>
      </w:r>
      <w:r w:rsidRPr="00D01DC5">
        <w:rPr>
          <w:rFonts w:ascii="Arial" w:hAnsi="Arial" w:cs="Arial"/>
          <w:i/>
          <w:iCs/>
          <w:sz w:val="24"/>
          <w:szCs w:val="24"/>
        </w:rPr>
        <w:t>prima facie</w:t>
      </w:r>
      <w:r>
        <w:rPr>
          <w:rFonts w:ascii="Arial" w:hAnsi="Arial" w:cs="Arial"/>
          <w:sz w:val="24"/>
          <w:szCs w:val="24"/>
        </w:rPr>
        <w:t xml:space="preserve"> case on which a reasonable court acting may convict.  </w:t>
      </w:r>
    </w:p>
    <w:p w:rsidR="008139B4" w:rsidRDefault="008139B4" w:rsidP="00AD545C">
      <w:pPr>
        <w:spacing w:after="0" w:line="360" w:lineRule="auto"/>
        <w:jc w:val="both"/>
        <w:rPr>
          <w:rFonts w:ascii="Arial" w:hAnsi="Arial" w:cs="Arial"/>
          <w:b/>
          <w:sz w:val="24"/>
          <w:szCs w:val="24"/>
        </w:rPr>
      </w:pPr>
    </w:p>
    <w:p w:rsidR="00A41625" w:rsidRPr="006E026B" w:rsidRDefault="00AA50FE" w:rsidP="00AD545C">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A41625" w:rsidRPr="006E026B" w:rsidRDefault="00A41625" w:rsidP="00AD545C">
      <w:pPr>
        <w:spacing w:after="0" w:line="360" w:lineRule="auto"/>
        <w:jc w:val="center"/>
        <w:rPr>
          <w:rFonts w:ascii="Arial" w:hAnsi="Arial" w:cs="Arial"/>
          <w:b/>
          <w:bCs/>
          <w:sz w:val="24"/>
          <w:szCs w:val="24"/>
        </w:rPr>
      </w:pPr>
      <w:r w:rsidRPr="006E026B">
        <w:rPr>
          <w:rFonts w:ascii="Arial" w:hAnsi="Arial" w:cs="Arial"/>
          <w:b/>
          <w:bCs/>
          <w:sz w:val="24"/>
          <w:szCs w:val="24"/>
        </w:rPr>
        <w:t>ORDER</w:t>
      </w:r>
    </w:p>
    <w:p w:rsidR="00A41625" w:rsidRPr="006E026B" w:rsidRDefault="00AA50FE" w:rsidP="00AD545C">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AD545C" w:rsidRDefault="00AD545C" w:rsidP="00AD545C">
      <w:pPr>
        <w:spacing w:after="0" w:line="360" w:lineRule="auto"/>
        <w:jc w:val="both"/>
        <w:rPr>
          <w:rFonts w:ascii="Arial" w:hAnsi="Arial" w:cs="Arial"/>
          <w:sz w:val="24"/>
          <w:szCs w:val="24"/>
        </w:rPr>
      </w:pPr>
    </w:p>
    <w:p w:rsidR="008E3021" w:rsidRDefault="00D72303" w:rsidP="00AD545C">
      <w:pPr>
        <w:spacing w:after="0" w:line="360" w:lineRule="auto"/>
        <w:jc w:val="both"/>
        <w:rPr>
          <w:rFonts w:ascii="Arial" w:hAnsi="Arial" w:cs="Arial"/>
          <w:sz w:val="24"/>
          <w:szCs w:val="24"/>
        </w:rPr>
      </w:pPr>
      <w:r>
        <w:rPr>
          <w:rFonts w:ascii="Arial" w:hAnsi="Arial" w:cs="Arial"/>
          <w:sz w:val="24"/>
          <w:szCs w:val="24"/>
        </w:rPr>
        <w:t xml:space="preserve">The Application </w:t>
      </w:r>
      <w:r w:rsidR="00535937">
        <w:rPr>
          <w:rFonts w:ascii="Arial" w:hAnsi="Arial" w:cs="Arial"/>
          <w:sz w:val="24"/>
          <w:szCs w:val="24"/>
        </w:rPr>
        <w:t xml:space="preserve">by the accused </w:t>
      </w:r>
      <w:r>
        <w:rPr>
          <w:rFonts w:ascii="Arial" w:hAnsi="Arial" w:cs="Arial"/>
          <w:sz w:val="24"/>
          <w:szCs w:val="24"/>
        </w:rPr>
        <w:t>in terms of s</w:t>
      </w:r>
      <w:r w:rsidR="008E3021">
        <w:rPr>
          <w:rFonts w:ascii="Arial" w:hAnsi="Arial" w:cs="Arial"/>
          <w:sz w:val="24"/>
          <w:szCs w:val="24"/>
        </w:rPr>
        <w:t>ection 174 is hereby dismissed</w:t>
      </w:r>
      <w:r w:rsidR="00535937">
        <w:rPr>
          <w:rFonts w:ascii="Arial" w:hAnsi="Arial" w:cs="Arial"/>
          <w:sz w:val="24"/>
          <w:szCs w:val="24"/>
        </w:rPr>
        <w:t xml:space="preserve">. </w:t>
      </w:r>
    </w:p>
    <w:p w:rsidR="008E3021" w:rsidRDefault="008E3021" w:rsidP="00AD545C">
      <w:pPr>
        <w:spacing w:after="0" w:line="360" w:lineRule="auto"/>
        <w:jc w:val="both"/>
        <w:rPr>
          <w:rFonts w:ascii="Arial" w:hAnsi="Arial" w:cs="Arial"/>
          <w:sz w:val="24"/>
          <w:szCs w:val="24"/>
        </w:rPr>
      </w:pPr>
    </w:p>
    <w:p w:rsidR="001B7E1F" w:rsidRPr="006E026B" w:rsidRDefault="00AA50FE" w:rsidP="00AD545C">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B7E1F" w:rsidRPr="006E026B" w:rsidRDefault="00A42B1E" w:rsidP="00AD545C">
      <w:pPr>
        <w:spacing w:after="0" w:line="360" w:lineRule="auto"/>
        <w:jc w:val="center"/>
        <w:rPr>
          <w:rFonts w:ascii="Arial" w:hAnsi="Arial" w:cs="Arial"/>
          <w:b/>
          <w:sz w:val="24"/>
          <w:szCs w:val="24"/>
        </w:rPr>
      </w:pPr>
      <w:r>
        <w:rPr>
          <w:rFonts w:ascii="Arial" w:hAnsi="Arial" w:cs="Arial"/>
          <w:b/>
          <w:sz w:val="24"/>
          <w:szCs w:val="24"/>
        </w:rPr>
        <w:t>RULING</w:t>
      </w:r>
    </w:p>
    <w:p w:rsidR="001B7E1F" w:rsidRDefault="00AA50FE" w:rsidP="00AD545C">
      <w:pPr>
        <w:spacing w:after="0" w:line="360" w:lineRule="auto"/>
        <w:jc w:val="center"/>
        <w:rPr>
          <w:rFonts w:ascii="Arial" w:hAnsi="Arial" w:cs="Arial"/>
          <w:bCs/>
          <w:sz w:val="24"/>
          <w:szCs w:val="24"/>
        </w:rPr>
      </w:pPr>
      <w:r>
        <w:rPr>
          <w:rFonts w:ascii="Arial" w:hAnsi="Arial" w:cs="Arial"/>
          <w:bCs/>
          <w:sz w:val="24"/>
          <w:szCs w:val="24"/>
        </w:rPr>
        <w:pict>
          <v:rect id="_x0000_i1028" style="width:0;height:1.5pt" o:hralign="center" o:hrstd="t" o:hr="t" fillcolor="#a0a0a0" stroked="f"/>
        </w:pict>
      </w:r>
    </w:p>
    <w:p w:rsidR="008E3021" w:rsidRPr="006E026B" w:rsidRDefault="008E3021" w:rsidP="00352902">
      <w:pPr>
        <w:spacing w:after="0" w:line="360" w:lineRule="auto"/>
        <w:jc w:val="both"/>
        <w:rPr>
          <w:rFonts w:ascii="Arial" w:hAnsi="Arial" w:cs="Arial"/>
          <w:sz w:val="24"/>
          <w:szCs w:val="24"/>
        </w:rPr>
      </w:pPr>
    </w:p>
    <w:p w:rsidR="00CB433A" w:rsidRDefault="00CB433A" w:rsidP="00352902">
      <w:pPr>
        <w:spacing w:after="0" w:line="360" w:lineRule="auto"/>
        <w:jc w:val="both"/>
        <w:rPr>
          <w:rFonts w:ascii="Arial" w:hAnsi="Arial" w:cs="Arial"/>
          <w:b/>
          <w:sz w:val="24"/>
          <w:szCs w:val="24"/>
        </w:rPr>
      </w:pPr>
      <w:r>
        <w:rPr>
          <w:rFonts w:ascii="Arial" w:hAnsi="Arial" w:cs="Arial"/>
          <w:b/>
          <w:sz w:val="24"/>
          <w:szCs w:val="24"/>
        </w:rPr>
        <w:t xml:space="preserve">SIBEYA </w:t>
      </w:r>
      <w:r w:rsidR="00723B32">
        <w:rPr>
          <w:rFonts w:ascii="Arial" w:hAnsi="Arial" w:cs="Arial"/>
          <w:b/>
          <w:sz w:val="24"/>
          <w:szCs w:val="24"/>
        </w:rPr>
        <w:t>A</w:t>
      </w:r>
      <w:r w:rsidR="00C91085">
        <w:rPr>
          <w:rFonts w:ascii="Arial" w:hAnsi="Arial" w:cs="Arial"/>
          <w:b/>
          <w:sz w:val="24"/>
          <w:szCs w:val="24"/>
        </w:rPr>
        <w:t>J</w:t>
      </w:r>
      <w:r>
        <w:rPr>
          <w:rFonts w:ascii="Arial" w:hAnsi="Arial" w:cs="Arial"/>
          <w:b/>
          <w:sz w:val="24"/>
          <w:szCs w:val="24"/>
        </w:rPr>
        <w:t>:</w:t>
      </w:r>
    </w:p>
    <w:p w:rsidR="00CB433A" w:rsidRDefault="00CB433A" w:rsidP="00352902">
      <w:pPr>
        <w:spacing w:after="0" w:line="360" w:lineRule="auto"/>
        <w:jc w:val="both"/>
        <w:rPr>
          <w:rFonts w:ascii="Arial" w:hAnsi="Arial" w:cs="Arial"/>
          <w:b/>
          <w:sz w:val="24"/>
          <w:szCs w:val="24"/>
        </w:rPr>
      </w:pPr>
    </w:p>
    <w:p w:rsidR="00101BCC" w:rsidRDefault="00255F24" w:rsidP="00352902">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0C3019">
        <w:rPr>
          <w:rFonts w:ascii="Arial" w:hAnsi="Arial" w:cs="Arial"/>
          <w:sz w:val="24"/>
          <w:szCs w:val="24"/>
        </w:rPr>
        <w:t>At the close of the State’s c</w:t>
      </w:r>
      <w:r w:rsidR="005045B7">
        <w:rPr>
          <w:rFonts w:ascii="Arial" w:hAnsi="Arial" w:cs="Arial"/>
          <w:sz w:val="24"/>
          <w:szCs w:val="24"/>
        </w:rPr>
        <w:t xml:space="preserve">ase, </w:t>
      </w:r>
      <w:r w:rsidR="00B774CE">
        <w:rPr>
          <w:rFonts w:ascii="Arial" w:hAnsi="Arial" w:cs="Arial"/>
          <w:sz w:val="24"/>
          <w:szCs w:val="24"/>
        </w:rPr>
        <w:t>the a</w:t>
      </w:r>
      <w:r w:rsidR="0088023C">
        <w:rPr>
          <w:rFonts w:ascii="Arial" w:hAnsi="Arial" w:cs="Arial"/>
          <w:sz w:val="24"/>
          <w:szCs w:val="24"/>
        </w:rPr>
        <w:t xml:space="preserve">ccused </w:t>
      </w:r>
      <w:r w:rsidR="00101BCC">
        <w:rPr>
          <w:rFonts w:ascii="Arial" w:hAnsi="Arial" w:cs="Arial"/>
          <w:sz w:val="24"/>
          <w:szCs w:val="24"/>
        </w:rPr>
        <w:t xml:space="preserve">has a right to apply for a </w:t>
      </w:r>
      <w:r w:rsidR="005045B7">
        <w:rPr>
          <w:rFonts w:ascii="Arial" w:hAnsi="Arial" w:cs="Arial"/>
          <w:sz w:val="24"/>
          <w:szCs w:val="24"/>
        </w:rPr>
        <w:t xml:space="preserve">discharge </w:t>
      </w:r>
      <w:r w:rsidR="0088023C">
        <w:rPr>
          <w:rFonts w:ascii="Arial" w:hAnsi="Arial" w:cs="Arial"/>
          <w:sz w:val="24"/>
          <w:szCs w:val="24"/>
        </w:rPr>
        <w:t>in terms of</w:t>
      </w:r>
      <w:r w:rsidR="008E3021">
        <w:rPr>
          <w:rFonts w:ascii="Arial" w:hAnsi="Arial" w:cs="Arial"/>
          <w:sz w:val="24"/>
          <w:szCs w:val="24"/>
        </w:rPr>
        <w:t xml:space="preserve"> s</w:t>
      </w:r>
      <w:r w:rsidR="005045B7">
        <w:rPr>
          <w:rFonts w:ascii="Arial" w:hAnsi="Arial" w:cs="Arial"/>
          <w:sz w:val="24"/>
          <w:szCs w:val="24"/>
        </w:rPr>
        <w:t>ection 174 of the Criminal Procedure Act</w:t>
      </w:r>
      <w:r w:rsidR="00101BCC">
        <w:rPr>
          <w:rFonts w:ascii="Arial" w:hAnsi="Arial" w:cs="Arial"/>
          <w:sz w:val="24"/>
          <w:szCs w:val="24"/>
        </w:rPr>
        <w:t xml:space="preserve"> </w:t>
      </w:r>
      <w:r w:rsidR="008E3021">
        <w:rPr>
          <w:rFonts w:ascii="Arial" w:hAnsi="Arial" w:cs="Arial"/>
          <w:sz w:val="24"/>
          <w:szCs w:val="24"/>
        </w:rPr>
        <w:t>(</w:t>
      </w:r>
      <w:r w:rsidR="00101BCC">
        <w:rPr>
          <w:rFonts w:ascii="Arial" w:hAnsi="Arial" w:cs="Arial"/>
          <w:sz w:val="24"/>
          <w:szCs w:val="24"/>
        </w:rPr>
        <w:t xml:space="preserve">‘the </w:t>
      </w:r>
      <w:r w:rsidR="006C3586">
        <w:rPr>
          <w:rFonts w:ascii="Arial" w:hAnsi="Arial" w:cs="Arial"/>
          <w:sz w:val="24"/>
          <w:szCs w:val="24"/>
        </w:rPr>
        <w:t>CPA</w:t>
      </w:r>
      <w:r w:rsidR="00101BCC">
        <w:rPr>
          <w:rFonts w:ascii="Arial" w:hAnsi="Arial" w:cs="Arial"/>
          <w:sz w:val="24"/>
          <w:szCs w:val="24"/>
        </w:rPr>
        <w:t>’)</w:t>
      </w:r>
      <w:r w:rsidR="00101BCC">
        <w:rPr>
          <w:rStyle w:val="FootnoteReference"/>
          <w:rFonts w:ascii="Arial" w:hAnsi="Arial" w:cs="Arial"/>
          <w:sz w:val="24"/>
          <w:szCs w:val="24"/>
        </w:rPr>
        <w:footnoteReference w:id="1"/>
      </w:r>
      <w:r w:rsidR="00101BCC">
        <w:rPr>
          <w:rFonts w:ascii="Arial" w:hAnsi="Arial" w:cs="Arial"/>
          <w:sz w:val="24"/>
          <w:szCs w:val="24"/>
        </w:rPr>
        <w:t xml:space="preserve"> on all or some of the charges. </w:t>
      </w:r>
    </w:p>
    <w:p w:rsidR="00101BCC" w:rsidRDefault="00101BCC" w:rsidP="00352902">
      <w:pPr>
        <w:spacing w:after="0" w:line="360" w:lineRule="auto"/>
        <w:jc w:val="both"/>
        <w:rPr>
          <w:rFonts w:ascii="Arial" w:hAnsi="Arial" w:cs="Arial"/>
          <w:sz w:val="24"/>
          <w:szCs w:val="24"/>
        </w:rPr>
      </w:pPr>
    </w:p>
    <w:p w:rsidR="00101BCC" w:rsidRDefault="00101BCC" w:rsidP="00352902">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proofErr w:type="spellStart"/>
      <w:r>
        <w:rPr>
          <w:rFonts w:ascii="Arial" w:hAnsi="Arial" w:cs="Arial"/>
          <w:sz w:val="24"/>
          <w:szCs w:val="24"/>
        </w:rPr>
        <w:t>Mr</w:t>
      </w:r>
      <w:proofErr w:type="spellEnd"/>
      <w:r>
        <w:rPr>
          <w:rFonts w:ascii="Arial" w:hAnsi="Arial" w:cs="Arial"/>
          <w:sz w:val="24"/>
          <w:szCs w:val="24"/>
        </w:rPr>
        <w:t xml:space="preserve"> </w:t>
      </w:r>
      <w:proofErr w:type="spellStart"/>
      <w:r w:rsidRPr="00C64DF1">
        <w:rPr>
          <w:rFonts w:ascii="Arial" w:hAnsi="Arial" w:cs="Arial"/>
          <w:iCs/>
          <w:sz w:val="24"/>
          <w:szCs w:val="24"/>
        </w:rPr>
        <w:t>Malumani</w:t>
      </w:r>
      <w:proofErr w:type="spellEnd"/>
      <w:r w:rsidRPr="00C64DF1">
        <w:rPr>
          <w:rFonts w:ascii="Arial" w:hAnsi="Arial" w:cs="Arial"/>
          <w:sz w:val="24"/>
          <w:szCs w:val="24"/>
        </w:rPr>
        <w:t xml:space="preserve"> </w:t>
      </w:r>
      <w:r>
        <w:rPr>
          <w:rFonts w:ascii="Arial" w:hAnsi="Arial" w:cs="Arial"/>
          <w:sz w:val="24"/>
          <w:szCs w:val="24"/>
        </w:rPr>
        <w:t xml:space="preserve">appeared for the state while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sidRPr="00C64DF1">
        <w:rPr>
          <w:rFonts w:ascii="Arial" w:hAnsi="Arial" w:cs="Arial"/>
          <w:iCs/>
          <w:sz w:val="24"/>
          <w:szCs w:val="24"/>
        </w:rPr>
        <w:t>Engelbrecht</w:t>
      </w:r>
      <w:proofErr w:type="spellEnd"/>
      <w:r>
        <w:rPr>
          <w:rFonts w:ascii="Arial" w:hAnsi="Arial" w:cs="Arial"/>
          <w:sz w:val="24"/>
          <w:szCs w:val="24"/>
        </w:rPr>
        <w:t xml:space="preserve"> appeared for the accused. </w:t>
      </w:r>
    </w:p>
    <w:p w:rsidR="00101BCC" w:rsidRDefault="00101BCC" w:rsidP="00352902">
      <w:pPr>
        <w:spacing w:after="0" w:line="360" w:lineRule="auto"/>
        <w:jc w:val="both"/>
        <w:rPr>
          <w:rFonts w:ascii="Arial" w:hAnsi="Arial" w:cs="Arial"/>
          <w:sz w:val="24"/>
          <w:szCs w:val="24"/>
        </w:rPr>
      </w:pPr>
    </w:p>
    <w:p w:rsidR="00635AC8" w:rsidRDefault="00101BCC" w:rsidP="00352902">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D41D64">
        <w:rPr>
          <w:rFonts w:ascii="Arial" w:hAnsi="Arial" w:cs="Arial"/>
          <w:sz w:val="24"/>
          <w:szCs w:val="24"/>
        </w:rPr>
        <w:t xml:space="preserve">The accused face </w:t>
      </w:r>
      <w:r w:rsidR="00635AC8">
        <w:rPr>
          <w:rFonts w:ascii="Arial" w:hAnsi="Arial" w:cs="Arial"/>
          <w:sz w:val="24"/>
          <w:szCs w:val="24"/>
        </w:rPr>
        <w:t xml:space="preserve">the following </w:t>
      </w:r>
      <w:r w:rsidR="00D41D64">
        <w:rPr>
          <w:rFonts w:ascii="Arial" w:hAnsi="Arial" w:cs="Arial"/>
          <w:sz w:val="24"/>
          <w:szCs w:val="24"/>
        </w:rPr>
        <w:t>five charges</w:t>
      </w:r>
      <w:r w:rsidR="00635AC8">
        <w:rPr>
          <w:rFonts w:ascii="Arial" w:hAnsi="Arial" w:cs="Arial"/>
          <w:sz w:val="24"/>
          <w:szCs w:val="24"/>
        </w:rPr>
        <w:t xml:space="preserve">: </w:t>
      </w:r>
    </w:p>
    <w:p w:rsidR="00635AC8" w:rsidRDefault="00635AC8" w:rsidP="00352902">
      <w:pPr>
        <w:spacing w:after="0" w:line="360" w:lineRule="auto"/>
        <w:jc w:val="both"/>
        <w:rPr>
          <w:rFonts w:ascii="Arial" w:hAnsi="Arial" w:cs="Arial"/>
          <w:sz w:val="24"/>
          <w:szCs w:val="24"/>
        </w:rPr>
      </w:pPr>
    </w:p>
    <w:p w:rsidR="00635AC8" w:rsidRDefault="00635AC8" w:rsidP="00352902">
      <w:pPr>
        <w:spacing w:after="0" w:line="360" w:lineRule="auto"/>
        <w:jc w:val="both"/>
        <w:rPr>
          <w:rFonts w:ascii="Arial" w:hAnsi="Arial" w:cs="Arial"/>
          <w:sz w:val="24"/>
          <w:szCs w:val="24"/>
        </w:rPr>
      </w:pPr>
      <w:r>
        <w:rPr>
          <w:rFonts w:ascii="Arial" w:hAnsi="Arial" w:cs="Arial"/>
          <w:sz w:val="24"/>
          <w:szCs w:val="24"/>
        </w:rPr>
        <w:t>Count: 1 - M</w:t>
      </w:r>
      <w:r w:rsidR="00D41D64">
        <w:rPr>
          <w:rFonts w:ascii="Arial" w:hAnsi="Arial" w:cs="Arial"/>
          <w:sz w:val="24"/>
          <w:szCs w:val="24"/>
        </w:rPr>
        <w:t xml:space="preserve">urder; </w:t>
      </w:r>
    </w:p>
    <w:p w:rsidR="00635AC8" w:rsidRDefault="00635AC8" w:rsidP="00352902">
      <w:pPr>
        <w:spacing w:after="0" w:line="360" w:lineRule="auto"/>
        <w:jc w:val="both"/>
        <w:rPr>
          <w:rFonts w:ascii="Arial" w:hAnsi="Arial" w:cs="Arial"/>
          <w:sz w:val="24"/>
          <w:szCs w:val="24"/>
        </w:rPr>
      </w:pPr>
      <w:r>
        <w:rPr>
          <w:rFonts w:ascii="Arial" w:hAnsi="Arial" w:cs="Arial"/>
          <w:sz w:val="24"/>
          <w:szCs w:val="24"/>
        </w:rPr>
        <w:t xml:space="preserve">Count: 2 - </w:t>
      </w:r>
      <w:r w:rsidR="00D41D64">
        <w:rPr>
          <w:rFonts w:ascii="Arial" w:hAnsi="Arial" w:cs="Arial"/>
          <w:sz w:val="24"/>
          <w:szCs w:val="24"/>
        </w:rPr>
        <w:t>Attempted murder;</w:t>
      </w:r>
    </w:p>
    <w:p w:rsidR="00635AC8" w:rsidRDefault="00635AC8" w:rsidP="00352902">
      <w:pPr>
        <w:spacing w:after="0" w:line="360" w:lineRule="auto"/>
        <w:jc w:val="both"/>
        <w:rPr>
          <w:rFonts w:ascii="Arial" w:hAnsi="Arial" w:cs="Arial"/>
          <w:sz w:val="24"/>
          <w:szCs w:val="24"/>
        </w:rPr>
      </w:pPr>
      <w:proofErr w:type="gramStart"/>
      <w:r>
        <w:rPr>
          <w:rFonts w:ascii="Arial" w:hAnsi="Arial" w:cs="Arial"/>
          <w:sz w:val="24"/>
          <w:szCs w:val="24"/>
        </w:rPr>
        <w:t>Count :3</w:t>
      </w:r>
      <w:proofErr w:type="gramEnd"/>
      <w:r>
        <w:rPr>
          <w:rFonts w:ascii="Arial" w:hAnsi="Arial" w:cs="Arial"/>
          <w:sz w:val="24"/>
          <w:szCs w:val="24"/>
        </w:rPr>
        <w:t xml:space="preserve"> - Assault with intent to do grievous bodily harm;</w:t>
      </w:r>
    </w:p>
    <w:p w:rsidR="00635AC8" w:rsidRDefault="00635AC8" w:rsidP="00352902">
      <w:pPr>
        <w:spacing w:after="0" w:line="360" w:lineRule="auto"/>
        <w:jc w:val="both"/>
        <w:rPr>
          <w:rFonts w:ascii="Arial" w:hAnsi="Arial" w:cs="Arial"/>
          <w:sz w:val="24"/>
          <w:szCs w:val="24"/>
        </w:rPr>
      </w:pPr>
      <w:proofErr w:type="gramStart"/>
      <w:r>
        <w:rPr>
          <w:rFonts w:ascii="Arial" w:hAnsi="Arial" w:cs="Arial"/>
          <w:sz w:val="24"/>
          <w:szCs w:val="24"/>
        </w:rPr>
        <w:t>Count :4</w:t>
      </w:r>
      <w:proofErr w:type="gramEnd"/>
      <w:r>
        <w:rPr>
          <w:rFonts w:ascii="Arial" w:hAnsi="Arial" w:cs="Arial"/>
          <w:sz w:val="24"/>
          <w:szCs w:val="24"/>
        </w:rPr>
        <w:t xml:space="preserve"> - Assault with intent to do grievous bodily harm;</w:t>
      </w:r>
    </w:p>
    <w:p w:rsidR="00635AC8" w:rsidRDefault="00635AC8" w:rsidP="00352902">
      <w:pPr>
        <w:spacing w:after="0" w:line="360" w:lineRule="auto"/>
        <w:jc w:val="both"/>
        <w:rPr>
          <w:rFonts w:ascii="Arial" w:hAnsi="Arial" w:cs="Arial"/>
          <w:sz w:val="24"/>
          <w:szCs w:val="24"/>
        </w:rPr>
      </w:pPr>
      <w:r>
        <w:rPr>
          <w:rFonts w:ascii="Arial" w:hAnsi="Arial" w:cs="Arial"/>
          <w:sz w:val="24"/>
          <w:szCs w:val="24"/>
        </w:rPr>
        <w:t xml:space="preserve">Count: 5 - Defeating </w:t>
      </w:r>
      <w:r w:rsidR="00D41D64">
        <w:rPr>
          <w:rFonts w:ascii="Arial" w:hAnsi="Arial" w:cs="Arial"/>
          <w:sz w:val="24"/>
          <w:szCs w:val="24"/>
        </w:rPr>
        <w:t xml:space="preserve">or obstructing or attempting to defeat or obstruct the course of </w:t>
      </w:r>
    </w:p>
    <w:p w:rsidR="00D41D64" w:rsidRDefault="00635AC8" w:rsidP="00635AC8">
      <w:pPr>
        <w:spacing w:after="0" w:line="360" w:lineRule="auto"/>
        <w:ind w:left="720"/>
        <w:jc w:val="both"/>
        <w:rPr>
          <w:rFonts w:ascii="Arial" w:hAnsi="Arial" w:cs="Arial"/>
          <w:sz w:val="24"/>
          <w:szCs w:val="24"/>
        </w:rPr>
      </w:pPr>
      <w:r>
        <w:rPr>
          <w:rFonts w:ascii="Arial" w:hAnsi="Arial" w:cs="Arial"/>
          <w:sz w:val="24"/>
          <w:szCs w:val="24"/>
        </w:rPr>
        <w:t xml:space="preserve">      </w:t>
      </w:r>
      <w:proofErr w:type="gramStart"/>
      <w:r w:rsidR="00D41D64">
        <w:rPr>
          <w:rFonts w:ascii="Arial" w:hAnsi="Arial" w:cs="Arial"/>
          <w:sz w:val="24"/>
          <w:szCs w:val="24"/>
        </w:rPr>
        <w:t>justice</w:t>
      </w:r>
      <w:proofErr w:type="gramEnd"/>
      <w:r w:rsidR="00D41D64">
        <w:rPr>
          <w:rFonts w:ascii="Arial" w:hAnsi="Arial" w:cs="Arial"/>
          <w:sz w:val="24"/>
          <w:szCs w:val="24"/>
        </w:rPr>
        <w:t xml:space="preserve">. </w:t>
      </w:r>
    </w:p>
    <w:p w:rsidR="00D41D64" w:rsidRDefault="00D41D64" w:rsidP="00352902">
      <w:pPr>
        <w:spacing w:after="0" w:line="360" w:lineRule="auto"/>
        <w:jc w:val="both"/>
        <w:rPr>
          <w:rFonts w:ascii="Arial" w:hAnsi="Arial" w:cs="Arial"/>
          <w:sz w:val="24"/>
          <w:szCs w:val="24"/>
        </w:rPr>
      </w:pPr>
    </w:p>
    <w:p w:rsidR="00FF2C69" w:rsidRDefault="007128D8" w:rsidP="00352902">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635AC8">
        <w:rPr>
          <w:rFonts w:ascii="Arial" w:hAnsi="Arial" w:cs="Arial"/>
          <w:sz w:val="24"/>
          <w:szCs w:val="24"/>
        </w:rPr>
        <w:t xml:space="preserve">The accused opted to apply for discharge </w:t>
      </w:r>
      <w:r w:rsidR="00FF2C69">
        <w:rPr>
          <w:rFonts w:ascii="Arial" w:hAnsi="Arial" w:cs="Arial"/>
          <w:sz w:val="24"/>
          <w:szCs w:val="24"/>
        </w:rPr>
        <w:t>only in respect of counts 3, 4 and 5 of the charges preferred against him. Counts 3 – 5 more fully reads that:</w:t>
      </w:r>
    </w:p>
    <w:p w:rsidR="00FF2C69" w:rsidRPr="005912CF" w:rsidRDefault="00FF2C69" w:rsidP="00352902">
      <w:pPr>
        <w:spacing w:after="0" w:line="360" w:lineRule="auto"/>
        <w:jc w:val="both"/>
        <w:rPr>
          <w:rFonts w:ascii="Arial" w:hAnsi="Arial" w:cs="Arial"/>
        </w:rPr>
      </w:pPr>
    </w:p>
    <w:p w:rsidR="007128D8" w:rsidRDefault="00FF2C69" w:rsidP="007128D8">
      <w:pPr>
        <w:spacing w:after="0" w:line="360" w:lineRule="auto"/>
        <w:ind w:firstLine="720"/>
        <w:jc w:val="both"/>
        <w:rPr>
          <w:rFonts w:ascii="Arial" w:hAnsi="Arial" w:cs="Arial"/>
        </w:rPr>
      </w:pPr>
      <w:r w:rsidRPr="005912CF">
        <w:rPr>
          <w:rFonts w:ascii="Arial" w:hAnsi="Arial" w:cs="Arial"/>
        </w:rPr>
        <w:t>‘Count 3: Assault with intent to grievous bodily harm read with the provisions of Act 4 of 2003</w:t>
      </w:r>
    </w:p>
    <w:p w:rsidR="007128D8" w:rsidRDefault="007128D8" w:rsidP="007128D8">
      <w:pPr>
        <w:spacing w:after="0" w:line="360" w:lineRule="auto"/>
        <w:ind w:firstLine="720"/>
        <w:jc w:val="both"/>
        <w:rPr>
          <w:rFonts w:ascii="Arial" w:hAnsi="Arial" w:cs="Arial"/>
        </w:rPr>
      </w:pPr>
    </w:p>
    <w:p w:rsidR="00FF2C69" w:rsidRPr="005912CF" w:rsidRDefault="00FF2C69" w:rsidP="007128D8">
      <w:pPr>
        <w:spacing w:after="0" w:line="360" w:lineRule="auto"/>
        <w:jc w:val="both"/>
        <w:rPr>
          <w:rFonts w:ascii="Arial" w:hAnsi="Arial" w:cs="Arial"/>
        </w:rPr>
      </w:pPr>
      <w:r w:rsidRPr="005912CF">
        <w:rPr>
          <w:rFonts w:ascii="Arial" w:hAnsi="Arial" w:cs="Arial"/>
        </w:rPr>
        <w:t xml:space="preserve">In that on or about 16 September 2017 and at or near Windhoek in the district of Windhoek the accused did unlawfully assault Johanna </w:t>
      </w:r>
      <w:proofErr w:type="spellStart"/>
      <w:r w:rsidRPr="005912CF">
        <w:rPr>
          <w:rFonts w:ascii="Arial" w:hAnsi="Arial" w:cs="Arial"/>
        </w:rPr>
        <w:t>Resandt</w:t>
      </w:r>
      <w:proofErr w:type="spellEnd"/>
      <w:r w:rsidRPr="005912CF">
        <w:rPr>
          <w:rFonts w:ascii="Arial" w:hAnsi="Arial" w:cs="Arial"/>
        </w:rPr>
        <w:t xml:space="preserve"> by slapping her and/or kicking her over her body with the intention to cause the said Johanna </w:t>
      </w:r>
      <w:proofErr w:type="spellStart"/>
      <w:r w:rsidRPr="005912CF">
        <w:rPr>
          <w:rFonts w:ascii="Arial" w:hAnsi="Arial" w:cs="Arial"/>
        </w:rPr>
        <w:t>Resandt</w:t>
      </w:r>
      <w:proofErr w:type="spellEnd"/>
      <w:r w:rsidRPr="005912CF">
        <w:rPr>
          <w:rFonts w:ascii="Arial" w:hAnsi="Arial" w:cs="Arial"/>
        </w:rPr>
        <w:t xml:space="preserve"> grievous bodily harm. </w:t>
      </w:r>
    </w:p>
    <w:p w:rsidR="00FF2C69" w:rsidRPr="005912CF" w:rsidRDefault="00FF2C69" w:rsidP="00FF2C69">
      <w:pPr>
        <w:spacing w:after="0" w:line="360" w:lineRule="auto"/>
        <w:jc w:val="both"/>
        <w:rPr>
          <w:rFonts w:ascii="Arial" w:hAnsi="Arial" w:cs="Arial"/>
        </w:rPr>
      </w:pPr>
    </w:p>
    <w:p w:rsidR="00FF2C69" w:rsidRDefault="00FF2C69" w:rsidP="007128D8">
      <w:pPr>
        <w:spacing w:after="0" w:line="360" w:lineRule="auto"/>
        <w:jc w:val="both"/>
        <w:rPr>
          <w:rFonts w:ascii="Arial" w:hAnsi="Arial" w:cs="Arial"/>
        </w:rPr>
      </w:pPr>
      <w:r w:rsidRPr="005912CF">
        <w:rPr>
          <w:rFonts w:ascii="Arial" w:hAnsi="Arial" w:cs="Arial"/>
        </w:rPr>
        <w:t xml:space="preserve">Count 4: Assault with intent to </w:t>
      </w:r>
      <w:r w:rsidR="0088245D">
        <w:rPr>
          <w:rFonts w:ascii="Arial" w:hAnsi="Arial" w:cs="Arial"/>
        </w:rPr>
        <w:t xml:space="preserve">do </w:t>
      </w:r>
      <w:r w:rsidRPr="005912CF">
        <w:rPr>
          <w:rFonts w:ascii="Arial" w:hAnsi="Arial" w:cs="Arial"/>
        </w:rPr>
        <w:t>grievous bodily harm read with the provisions of Act 4 of 2003</w:t>
      </w:r>
    </w:p>
    <w:p w:rsidR="007128D8" w:rsidRPr="005912CF" w:rsidRDefault="007128D8" w:rsidP="007128D8">
      <w:pPr>
        <w:spacing w:after="0" w:line="360" w:lineRule="auto"/>
        <w:jc w:val="both"/>
        <w:rPr>
          <w:rFonts w:ascii="Arial" w:hAnsi="Arial" w:cs="Arial"/>
        </w:rPr>
      </w:pPr>
    </w:p>
    <w:p w:rsidR="00FF2C69" w:rsidRPr="005912CF" w:rsidRDefault="00FF2C69" w:rsidP="00FF2C69">
      <w:pPr>
        <w:spacing w:after="0" w:line="360" w:lineRule="auto"/>
        <w:jc w:val="both"/>
        <w:rPr>
          <w:rFonts w:ascii="Arial" w:hAnsi="Arial" w:cs="Arial"/>
        </w:rPr>
      </w:pPr>
      <w:r w:rsidRPr="005912CF">
        <w:rPr>
          <w:rFonts w:ascii="Arial" w:hAnsi="Arial" w:cs="Arial"/>
        </w:rPr>
        <w:t xml:space="preserve">In that on or about 16 September 2017 and at or near Windhoek in the district of Windhoek the accused did unlawfully assault Johanna </w:t>
      </w:r>
      <w:proofErr w:type="spellStart"/>
      <w:r w:rsidRPr="005912CF">
        <w:rPr>
          <w:rFonts w:ascii="Arial" w:hAnsi="Arial" w:cs="Arial"/>
        </w:rPr>
        <w:t>Resandt</w:t>
      </w:r>
      <w:proofErr w:type="spellEnd"/>
      <w:r w:rsidRPr="005912CF">
        <w:rPr>
          <w:rFonts w:ascii="Arial" w:hAnsi="Arial" w:cs="Arial"/>
        </w:rPr>
        <w:t xml:space="preserve"> by slapping her and/or kicking her over her body with the intention to cause the said Johanna </w:t>
      </w:r>
      <w:proofErr w:type="spellStart"/>
      <w:r w:rsidRPr="005912CF">
        <w:rPr>
          <w:rFonts w:ascii="Arial" w:hAnsi="Arial" w:cs="Arial"/>
        </w:rPr>
        <w:t>Resandt</w:t>
      </w:r>
      <w:proofErr w:type="spellEnd"/>
      <w:r w:rsidRPr="005912CF">
        <w:rPr>
          <w:rFonts w:ascii="Arial" w:hAnsi="Arial" w:cs="Arial"/>
        </w:rPr>
        <w:t xml:space="preserve"> grievous bodily harm. </w:t>
      </w:r>
    </w:p>
    <w:p w:rsidR="00FF2C69" w:rsidRPr="005912CF" w:rsidRDefault="00FF2C69" w:rsidP="00FF2C69">
      <w:pPr>
        <w:spacing w:after="0" w:line="360" w:lineRule="auto"/>
        <w:jc w:val="both"/>
        <w:rPr>
          <w:rFonts w:ascii="Arial" w:hAnsi="Arial" w:cs="Arial"/>
        </w:rPr>
      </w:pPr>
    </w:p>
    <w:p w:rsidR="00FF2C69" w:rsidRPr="005912CF" w:rsidRDefault="00FF2C69" w:rsidP="00FF2C69">
      <w:pPr>
        <w:spacing w:after="0" w:line="360" w:lineRule="auto"/>
        <w:jc w:val="both"/>
        <w:rPr>
          <w:rFonts w:ascii="Arial" w:hAnsi="Arial" w:cs="Arial"/>
        </w:rPr>
      </w:pPr>
      <w:r w:rsidRPr="005912CF">
        <w:rPr>
          <w:rFonts w:ascii="Arial" w:hAnsi="Arial" w:cs="Arial"/>
        </w:rPr>
        <w:t>C</w:t>
      </w:r>
      <w:r w:rsidR="0088245D">
        <w:rPr>
          <w:rFonts w:ascii="Arial" w:hAnsi="Arial" w:cs="Arial"/>
        </w:rPr>
        <w:t>ount 5: Defeating or obstructing</w:t>
      </w:r>
      <w:r w:rsidRPr="005912CF">
        <w:rPr>
          <w:rFonts w:ascii="Arial" w:hAnsi="Arial" w:cs="Arial"/>
        </w:rPr>
        <w:t xml:space="preserve"> the course of justice or an attempt thereto</w:t>
      </w:r>
    </w:p>
    <w:p w:rsidR="00FF2C69" w:rsidRPr="005912CF" w:rsidRDefault="00FF2C69" w:rsidP="00FF2C69">
      <w:pPr>
        <w:spacing w:after="0" w:line="360" w:lineRule="auto"/>
        <w:jc w:val="both"/>
        <w:rPr>
          <w:rFonts w:ascii="Arial" w:hAnsi="Arial" w:cs="Arial"/>
        </w:rPr>
      </w:pPr>
    </w:p>
    <w:p w:rsidR="00BC0361" w:rsidRPr="005912CF" w:rsidRDefault="00FF2C69" w:rsidP="00FF2C69">
      <w:pPr>
        <w:spacing w:after="0" w:line="360" w:lineRule="auto"/>
        <w:jc w:val="both"/>
        <w:rPr>
          <w:rFonts w:ascii="Arial" w:hAnsi="Arial" w:cs="Arial"/>
        </w:rPr>
      </w:pPr>
      <w:r w:rsidRPr="005912CF">
        <w:rPr>
          <w:rFonts w:ascii="Arial" w:hAnsi="Arial" w:cs="Arial"/>
        </w:rPr>
        <w:t>In that during 16</w:t>
      </w:r>
      <w:r w:rsidR="0088245D">
        <w:rPr>
          <w:rFonts w:ascii="Arial" w:hAnsi="Arial" w:cs="Arial"/>
        </w:rPr>
        <w:t xml:space="preserve"> </w:t>
      </w:r>
      <w:r w:rsidRPr="005912CF">
        <w:rPr>
          <w:rFonts w:ascii="Arial" w:hAnsi="Arial" w:cs="Arial"/>
        </w:rPr>
        <w:t xml:space="preserve">-17 September </w:t>
      </w:r>
      <w:r w:rsidR="003B3E79">
        <w:rPr>
          <w:rFonts w:ascii="Arial" w:hAnsi="Arial" w:cs="Arial"/>
        </w:rPr>
        <w:t xml:space="preserve">2017 </w:t>
      </w:r>
      <w:r w:rsidRPr="005912CF">
        <w:rPr>
          <w:rFonts w:ascii="Arial" w:hAnsi="Arial" w:cs="Arial"/>
        </w:rPr>
        <w:t xml:space="preserve">and at or near Windhoek in the district of Windhoek the accused did unlawfully </w:t>
      </w:r>
      <w:r w:rsidR="00BC0361" w:rsidRPr="005912CF">
        <w:rPr>
          <w:rFonts w:ascii="Arial" w:hAnsi="Arial" w:cs="Arial"/>
        </w:rPr>
        <w:t>and with intent to defeat or obstruct the course of justice:</w:t>
      </w:r>
    </w:p>
    <w:p w:rsidR="00BC0361" w:rsidRPr="005912CF" w:rsidRDefault="00BC0361" w:rsidP="00FF2C69">
      <w:pPr>
        <w:spacing w:after="0" w:line="360" w:lineRule="auto"/>
        <w:jc w:val="both"/>
        <w:rPr>
          <w:rFonts w:ascii="Arial" w:hAnsi="Arial" w:cs="Arial"/>
        </w:rPr>
      </w:pPr>
    </w:p>
    <w:p w:rsidR="00BC0361" w:rsidRPr="005912CF" w:rsidRDefault="00BC0361" w:rsidP="00BC0361">
      <w:pPr>
        <w:pStyle w:val="ListParagraph"/>
        <w:numPr>
          <w:ilvl w:val="0"/>
          <w:numId w:val="19"/>
        </w:numPr>
        <w:spacing w:after="0" w:line="360" w:lineRule="auto"/>
        <w:jc w:val="both"/>
        <w:rPr>
          <w:rFonts w:ascii="Arial" w:hAnsi="Arial" w:cs="Arial"/>
        </w:rPr>
      </w:pPr>
      <w:r w:rsidRPr="005912CF">
        <w:rPr>
          <w:rFonts w:ascii="Arial" w:hAnsi="Arial" w:cs="Arial"/>
        </w:rPr>
        <w:t xml:space="preserve">Hide a shirt and/or a pair of </w:t>
      </w:r>
      <w:proofErr w:type="spellStart"/>
      <w:r w:rsidRPr="005912CF">
        <w:rPr>
          <w:rFonts w:ascii="Arial" w:hAnsi="Arial" w:cs="Arial"/>
        </w:rPr>
        <w:t>t</w:t>
      </w:r>
      <w:r w:rsidR="00C13E1B">
        <w:rPr>
          <w:rFonts w:ascii="Arial" w:hAnsi="Arial" w:cs="Arial"/>
        </w:rPr>
        <w:t>e</w:t>
      </w:r>
      <w:r w:rsidRPr="005912CF">
        <w:rPr>
          <w:rFonts w:ascii="Arial" w:hAnsi="Arial" w:cs="Arial"/>
        </w:rPr>
        <w:t>kkies</w:t>
      </w:r>
      <w:proofErr w:type="spellEnd"/>
      <w:r w:rsidRPr="005912CF">
        <w:rPr>
          <w:rFonts w:ascii="Arial" w:hAnsi="Arial" w:cs="Arial"/>
        </w:rPr>
        <w:t xml:space="preserve"> /trainers shoes and/or a cell phone at the house of his friend Marius </w:t>
      </w:r>
      <w:proofErr w:type="spellStart"/>
      <w:r w:rsidRPr="005912CF">
        <w:rPr>
          <w:rFonts w:ascii="Arial" w:hAnsi="Arial" w:cs="Arial"/>
        </w:rPr>
        <w:t>Madjiet</w:t>
      </w:r>
      <w:proofErr w:type="spellEnd"/>
      <w:r w:rsidRPr="005912CF">
        <w:rPr>
          <w:rFonts w:ascii="Arial" w:hAnsi="Arial" w:cs="Arial"/>
        </w:rPr>
        <w:t>, a</w:t>
      </w:r>
      <w:r w:rsidR="004B388B" w:rsidRPr="005912CF">
        <w:rPr>
          <w:rFonts w:ascii="Arial" w:hAnsi="Arial" w:cs="Arial"/>
        </w:rPr>
        <w:t>n</w:t>
      </w:r>
      <w:r w:rsidRPr="005912CF">
        <w:rPr>
          <w:rFonts w:ascii="Arial" w:hAnsi="Arial" w:cs="Arial"/>
        </w:rPr>
        <w:t>d/or</w:t>
      </w:r>
    </w:p>
    <w:p w:rsidR="00BC0361" w:rsidRPr="005912CF" w:rsidRDefault="00BC0361" w:rsidP="00BC0361">
      <w:pPr>
        <w:pStyle w:val="ListParagraph"/>
        <w:numPr>
          <w:ilvl w:val="0"/>
          <w:numId w:val="19"/>
        </w:numPr>
        <w:spacing w:after="0" w:line="360" w:lineRule="auto"/>
        <w:jc w:val="both"/>
        <w:rPr>
          <w:rFonts w:ascii="Arial" w:hAnsi="Arial" w:cs="Arial"/>
        </w:rPr>
      </w:pPr>
      <w:r w:rsidRPr="005912CF">
        <w:rPr>
          <w:rFonts w:ascii="Arial" w:hAnsi="Arial" w:cs="Arial"/>
        </w:rPr>
        <w:t xml:space="preserve">Clean the knife he used in stabbing the deceased and/or Phillip </w:t>
      </w:r>
      <w:proofErr w:type="spellStart"/>
      <w:r w:rsidRPr="005912CF">
        <w:rPr>
          <w:rFonts w:ascii="Arial" w:hAnsi="Arial" w:cs="Arial"/>
        </w:rPr>
        <w:t>Gadi</w:t>
      </w:r>
      <w:proofErr w:type="spellEnd"/>
      <w:r w:rsidRPr="005912CF">
        <w:rPr>
          <w:rFonts w:ascii="Arial" w:hAnsi="Arial" w:cs="Arial"/>
        </w:rPr>
        <w:t xml:space="preserve"> </w:t>
      </w:r>
      <w:proofErr w:type="spellStart"/>
      <w:r w:rsidRPr="005912CF">
        <w:rPr>
          <w:rFonts w:ascii="Arial" w:hAnsi="Arial" w:cs="Arial"/>
        </w:rPr>
        <w:t>Matsaya</w:t>
      </w:r>
      <w:proofErr w:type="spellEnd"/>
      <w:r w:rsidRPr="005912CF">
        <w:rPr>
          <w:rFonts w:ascii="Arial" w:hAnsi="Arial" w:cs="Arial"/>
        </w:rPr>
        <w:t xml:space="preserve"> by placing it in a bowl of water. </w:t>
      </w:r>
    </w:p>
    <w:p w:rsidR="00BC0361" w:rsidRPr="005912CF" w:rsidRDefault="00BC0361" w:rsidP="0050733B">
      <w:pPr>
        <w:spacing w:after="0" w:line="360" w:lineRule="auto"/>
        <w:jc w:val="both"/>
        <w:rPr>
          <w:rFonts w:ascii="Arial" w:hAnsi="Arial" w:cs="Arial"/>
        </w:rPr>
      </w:pPr>
    </w:p>
    <w:p w:rsidR="0050733B" w:rsidRPr="005912CF" w:rsidRDefault="0050733B" w:rsidP="0050733B">
      <w:pPr>
        <w:spacing w:after="0" w:line="360" w:lineRule="auto"/>
        <w:jc w:val="both"/>
        <w:rPr>
          <w:rFonts w:ascii="Arial" w:hAnsi="Arial" w:cs="Arial"/>
        </w:rPr>
      </w:pPr>
      <w:r w:rsidRPr="005912CF">
        <w:rPr>
          <w:rFonts w:ascii="Arial" w:hAnsi="Arial" w:cs="Arial"/>
        </w:rPr>
        <w:t xml:space="preserve">Whereas at the time of the commission of these acts </w:t>
      </w:r>
      <w:r w:rsidR="003B3E79">
        <w:rPr>
          <w:rFonts w:ascii="Arial" w:hAnsi="Arial" w:cs="Arial"/>
        </w:rPr>
        <w:t xml:space="preserve">the </w:t>
      </w:r>
      <w:r w:rsidRPr="005912CF">
        <w:rPr>
          <w:rFonts w:ascii="Arial" w:hAnsi="Arial" w:cs="Arial"/>
        </w:rPr>
        <w:t>accused knew or foresaw</w:t>
      </w:r>
      <w:r w:rsidR="004B388B" w:rsidRPr="005912CF">
        <w:rPr>
          <w:rFonts w:ascii="Arial" w:hAnsi="Arial" w:cs="Arial"/>
        </w:rPr>
        <w:t xml:space="preserve"> </w:t>
      </w:r>
      <w:r w:rsidR="00E61679" w:rsidRPr="005912CF">
        <w:rPr>
          <w:rFonts w:ascii="Arial" w:hAnsi="Arial" w:cs="Arial"/>
        </w:rPr>
        <w:t>the possibility that his conduct may:</w:t>
      </w:r>
    </w:p>
    <w:p w:rsidR="00E61679" w:rsidRPr="005912CF" w:rsidRDefault="00E61679" w:rsidP="0050733B">
      <w:pPr>
        <w:spacing w:after="0" w:line="360" w:lineRule="auto"/>
        <w:jc w:val="both"/>
        <w:rPr>
          <w:rFonts w:ascii="Arial" w:hAnsi="Arial" w:cs="Arial"/>
        </w:rPr>
      </w:pPr>
    </w:p>
    <w:p w:rsidR="00E61679" w:rsidRPr="005912CF" w:rsidRDefault="00E61679" w:rsidP="00E61679">
      <w:pPr>
        <w:pStyle w:val="ListParagraph"/>
        <w:numPr>
          <w:ilvl w:val="0"/>
          <w:numId w:val="20"/>
        </w:numPr>
        <w:spacing w:after="0" w:line="360" w:lineRule="auto"/>
        <w:jc w:val="both"/>
        <w:rPr>
          <w:rFonts w:ascii="Arial" w:hAnsi="Arial" w:cs="Arial"/>
        </w:rPr>
      </w:pPr>
      <w:r w:rsidRPr="005912CF">
        <w:rPr>
          <w:rFonts w:ascii="Arial" w:hAnsi="Arial" w:cs="Arial"/>
        </w:rPr>
        <w:t>Obstruct or interfere with police investigation into the de</w:t>
      </w:r>
      <w:r w:rsidR="005912CF" w:rsidRPr="005912CF">
        <w:rPr>
          <w:rFonts w:ascii="Arial" w:hAnsi="Arial" w:cs="Arial"/>
        </w:rPr>
        <w:t xml:space="preserve">ath </w:t>
      </w:r>
      <w:r w:rsidRPr="005912CF">
        <w:rPr>
          <w:rFonts w:ascii="Arial" w:hAnsi="Arial" w:cs="Arial"/>
        </w:rPr>
        <w:t>of the deceased</w:t>
      </w:r>
      <w:r w:rsidR="000140F9" w:rsidRPr="005912CF">
        <w:rPr>
          <w:rFonts w:ascii="Arial" w:hAnsi="Arial" w:cs="Arial"/>
        </w:rPr>
        <w:t xml:space="preserve"> and/or the stabbing of Phillip </w:t>
      </w:r>
      <w:proofErr w:type="spellStart"/>
      <w:r w:rsidR="000140F9" w:rsidRPr="005912CF">
        <w:rPr>
          <w:rFonts w:ascii="Arial" w:hAnsi="Arial" w:cs="Arial"/>
        </w:rPr>
        <w:t>Gadi</w:t>
      </w:r>
      <w:proofErr w:type="spellEnd"/>
      <w:r w:rsidR="000140F9" w:rsidRPr="005912CF">
        <w:rPr>
          <w:rFonts w:ascii="Arial" w:hAnsi="Arial" w:cs="Arial"/>
        </w:rPr>
        <w:t xml:space="preserve"> </w:t>
      </w:r>
      <w:proofErr w:type="spellStart"/>
      <w:r w:rsidR="000140F9" w:rsidRPr="005912CF">
        <w:rPr>
          <w:rFonts w:ascii="Arial" w:hAnsi="Arial" w:cs="Arial"/>
        </w:rPr>
        <w:t>Matsaya</w:t>
      </w:r>
      <w:proofErr w:type="spellEnd"/>
      <w:r w:rsidR="005912CF" w:rsidRPr="005912CF">
        <w:rPr>
          <w:rFonts w:ascii="Arial" w:hAnsi="Arial" w:cs="Arial"/>
        </w:rPr>
        <w:t>, and/or</w:t>
      </w:r>
    </w:p>
    <w:p w:rsidR="000140F9" w:rsidRPr="005912CF" w:rsidRDefault="000140F9" w:rsidP="00E61679">
      <w:pPr>
        <w:pStyle w:val="ListParagraph"/>
        <w:numPr>
          <w:ilvl w:val="0"/>
          <w:numId w:val="20"/>
        </w:numPr>
        <w:spacing w:after="0" w:line="360" w:lineRule="auto"/>
        <w:jc w:val="both"/>
        <w:rPr>
          <w:rFonts w:ascii="Arial" w:hAnsi="Arial" w:cs="Arial"/>
        </w:rPr>
      </w:pPr>
      <w:r w:rsidRPr="005912CF">
        <w:rPr>
          <w:rFonts w:ascii="Arial" w:hAnsi="Arial" w:cs="Arial"/>
        </w:rPr>
        <w:t>Hide and/or conceal and</w:t>
      </w:r>
      <w:r w:rsidR="005912CF" w:rsidRPr="005912CF">
        <w:rPr>
          <w:rFonts w:ascii="Arial" w:hAnsi="Arial" w:cs="Arial"/>
        </w:rPr>
        <w:t>/</w:t>
      </w:r>
      <w:r w:rsidRPr="005912CF">
        <w:rPr>
          <w:rFonts w:ascii="Arial" w:hAnsi="Arial" w:cs="Arial"/>
        </w:rPr>
        <w:t>or destroy, evidence implicating him in the stabbing of the deceased and</w:t>
      </w:r>
      <w:r w:rsidR="005912CF" w:rsidRPr="005912CF">
        <w:rPr>
          <w:rFonts w:ascii="Arial" w:hAnsi="Arial" w:cs="Arial"/>
        </w:rPr>
        <w:t>/</w:t>
      </w:r>
      <w:r w:rsidRPr="005912CF">
        <w:rPr>
          <w:rFonts w:ascii="Arial" w:hAnsi="Arial" w:cs="Arial"/>
        </w:rPr>
        <w:t>or</w:t>
      </w:r>
      <w:r w:rsidR="005912CF" w:rsidRPr="005912CF">
        <w:rPr>
          <w:rFonts w:ascii="Arial" w:hAnsi="Arial" w:cs="Arial"/>
        </w:rPr>
        <w:t xml:space="preserve"> Phillip </w:t>
      </w:r>
      <w:proofErr w:type="spellStart"/>
      <w:r w:rsidR="005912CF" w:rsidRPr="005912CF">
        <w:rPr>
          <w:rFonts w:ascii="Arial" w:hAnsi="Arial" w:cs="Arial"/>
        </w:rPr>
        <w:t>Gadi</w:t>
      </w:r>
      <w:proofErr w:type="spellEnd"/>
      <w:r w:rsidR="005912CF" w:rsidRPr="005912CF">
        <w:rPr>
          <w:rFonts w:ascii="Arial" w:hAnsi="Arial" w:cs="Arial"/>
        </w:rPr>
        <w:t xml:space="preserve"> </w:t>
      </w:r>
      <w:proofErr w:type="spellStart"/>
      <w:r w:rsidR="005912CF" w:rsidRPr="005912CF">
        <w:rPr>
          <w:rFonts w:ascii="Arial" w:hAnsi="Arial" w:cs="Arial"/>
        </w:rPr>
        <w:t>Matsaya</w:t>
      </w:r>
      <w:proofErr w:type="spellEnd"/>
      <w:r w:rsidR="005912CF" w:rsidRPr="005912CF">
        <w:rPr>
          <w:rFonts w:ascii="Arial" w:hAnsi="Arial" w:cs="Arial"/>
        </w:rPr>
        <w:t>, and/or</w:t>
      </w:r>
      <w:r w:rsidRPr="005912CF">
        <w:rPr>
          <w:rFonts w:ascii="Arial" w:hAnsi="Arial" w:cs="Arial"/>
        </w:rPr>
        <w:t>;</w:t>
      </w:r>
    </w:p>
    <w:p w:rsidR="000140F9" w:rsidRPr="005912CF" w:rsidRDefault="000140F9" w:rsidP="00E61679">
      <w:pPr>
        <w:pStyle w:val="ListParagraph"/>
        <w:numPr>
          <w:ilvl w:val="0"/>
          <w:numId w:val="20"/>
        </w:numPr>
        <w:spacing w:after="0" w:line="360" w:lineRule="auto"/>
        <w:jc w:val="both"/>
        <w:rPr>
          <w:rFonts w:ascii="Arial" w:hAnsi="Arial" w:cs="Arial"/>
        </w:rPr>
      </w:pPr>
      <w:r w:rsidRPr="005912CF">
        <w:rPr>
          <w:rFonts w:ascii="Arial" w:hAnsi="Arial" w:cs="Arial"/>
        </w:rPr>
        <w:t xml:space="preserve">Protect him from being prosecuted in connection with the death or stabbing of the deceased and/or Phillip </w:t>
      </w:r>
      <w:proofErr w:type="spellStart"/>
      <w:r w:rsidRPr="005912CF">
        <w:rPr>
          <w:rFonts w:ascii="Arial" w:hAnsi="Arial" w:cs="Arial"/>
        </w:rPr>
        <w:t>Gadi</w:t>
      </w:r>
      <w:proofErr w:type="spellEnd"/>
      <w:r w:rsidRPr="005912CF">
        <w:rPr>
          <w:rFonts w:ascii="Arial" w:hAnsi="Arial" w:cs="Arial"/>
        </w:rPr>
        <w:t xml:space="preserve"> </w:t>
      </w:r>
      <w:proofErr w:type="spellStart"/>
      <w:r w:rsidRPr="005912CF">
        <w:rPr>
          <w:rFonts w:ascii="Arial" w:hAnsi="Arial" w:cs="Arial"/>
        </w:rPr>
        <w:t>Matsaya</w:t>
      </w:r>
      <w:proofErr w:type="spellEnd"/>
      <w:r w:rsidRPr="005912CF">
        <w:rPr>
          <w:rFonts w:ascii="Arial" w:hAnsi="Arial" w:cs="Arial"/>
        </w:rPr>
        <w:t>.</w:t>
      </w:r>
      <w:r w:rsidR="005912CF" w:rsidRPr="005912CF">
        <w:rPr>
          <w:rFonts w:ascii="Arial" w:hAnsi="Arial" w:cs="Arial"/>
        </w:rPr>
        <w:t>’</w:t>
      </w:r>
      <w:r w:rsidRPr="005912CF">
        <w:rPr>
          <w:rFonts w:ascii="Arial" w:hAnsi="Arial" w:cs="Arial"/>
        </w:rPr>
        <w:t xml:space="preserve"> </w:t>
      </w:r>
    </w:p>
    <w:p w:rsidR="00E61679" w:rsidRPr="0050733B" w:rsidRDefault="00E61679" w:rsidP="0050733B">
      <w:pPr>
        <w:spacing w:after="0" w:line="360" w:lineRule="auto"/>
        <w:jc w:val="both"/>
        <w:rPr>
          <w:rFonts w:ascii="Arial" w:hAnsi="Arial" w:cs="Arial"/>
          <w:sz w:val="24"/>
          <w:szCs w:val="24"/>
        </w:rPr>
      </w:pPr>
    </w:p>
    <w:p w:rsidR="003C7161" w:rsidRPr="002E5F19" w:rsidRDefault="003D2151" w:rsidP="003D2151">
      <w:pPr>
        <w:spacing w:after="0" w:line="360" w:lineRule="auto"/>
        <w:jc w:val="both"/>
        <w:rPr>
          <w:rFonts w:ascii="Arial" w:hAnsi="Arial" w:cs="Arial"/>
          <w:sz w:val="24"/>
          <w:szCs w:val="24"/>
        </w:rPr>
      </w:pPr>
      <w:r w:rsidRPr="002E5F19">
        <w:rPr>
          <w:rFonts w:ascii="Arial" w:hAnsi="Arial" w:cs="Arial"/>
          <w:sz w:val="24"/>
          <w:szCs w:val="24"/>
        </w:rPr>
        <w:t>[5]</w:t>
      </w:r>
      <w:r w:rsidRPr="002E5F19">
        <w:rPr>
          <w:rFonts w:ascii="Arial" w:hAnsi="Arial" w:cs="Arial"/>
          <w:sz w:val="24"/>
          <w:szCs w:val="24"/>
        </w:rPr>
        <w:tab/>
      </w:r>
      <w:r w:rsidR="00A0262D" w:rsidRPr="002E5F19">
        <w:rPr>
          <w:rFonts w:ascii="Arial" w:hAnsi="Arial" w:cs="Arial"/>
          <w:sz w:val="24"/>
          <w:szCs w:val="24"/>
        </w:rPr>
        <w:t xml:space="preserve">The accused pleaded not guilty to counts 3 – 5 and opted </w:t>
      </w:r>
      <w:r w:rsidR="003C7161" w:rsidRPr="002E5F19">
        <w:rPr>
          <w:rFonts w:ascii="Arial" w:hAnsi="Arial" w:cs="Arial"/>
          <w:sz w:val="24"/>
          <w:szCs w:val="24"/>
        </w:rPr>
        <w:t xml:space="preserve">not to make a statement in terms of section 115 of the </w:t>
      </w:r>
      <w:r w:rsidR="006C3586" w:rsidRPr="002E5F19">
        <w:rPr>
          <w:rFonts w:ascii="Arial" w:hAnsi="Arial" w:cs="Arial"/>
          <w:sz w:val="24"/>
          <w:szCs w:val="24"/>
        </w:rPr>
        <w:t>CPA</w:t>
      </w:r>
      <w:r w:rsidR="003C7161" w:rsidRPr="002E5F19">
        <w:rPr>
          <w:rFonts w:ascii="Arial" w:hAnsi="Arial" w:cs="Arial"/>
          <w:sz w:val="24"/>
          <w:szCs w:val="24"/>
        </w:rPr>
        <w:t xml:space="preserve">. The accused therefore offered </w:t>
      </w:r>
      <w:r w:rsidR="00A0262D" w:rsidRPr="002E5F19">
        <w:rPr>
          <w:rFonts w:ascii="Arial" w:hAnsi="Arial" w:cs="Arial"/>
          <w:sz w:val="24"/>
          <w:szCs w:val="24"/>
        </w:rPr>
        <w:t>no plea explanation</w:t>
      </w:r>
      <w:r w:rsidR="003C7161" w:rsidRPr="002E5F19">
        <w:rPr>
          <w:rFonts w:ascii="Arial" w:hAnsi="Arial" w:cs="Arial"/>
          <w:sz w:val="24"/>
          <w:szCs w:val="24"/>
        </w:rPr>
        <w:t xml:space="preserve">. </w:t>
      </w:r>
    </w:p>
    <w:p w:rsidR="003C7161" w:rsidRPr="002E5F19" w:rsidRDefault="003C7161" w:rsidP="003D2151">
      <w:pPr>
        <w:spacing w:after="0" w:line="360" w:lineRule="auto"/>
        <w:jc w:val="both"/>
        <w:rPr>
          <w:rFonts w:ascii="Arial" w:hAnsi="Arial" w:cs="Arial"/>
          <w:sz w:val="24"/>
          <w:szCs w:val="24"/>
        </w:rPr>
      </w:pPr>
    </w:p>
    <w:p w:rsidR="00A0262D" w:rsidRPr="002E5F19" w:rsidRDefault="003C7161" w:rsidP="003D2151">
      <w:pPr>
        <w:spacing w:after="0" w:line="360" w:lineRule="auto"/>
        <w:jc w:val="both"/>
        <w:rPr>
          <w:rFonts w:ascii="Arial" w:hAnsi="Arial" w:cs="Arial"/>
          <w:sz w:val="24"/>
          <w:szCs w:val="24"/>
        </w:rPr>
      </w:pPr>
      <w:r w:rsidRPr="002E5F19">
        <w:rPr>
          <w:rFonts w:ascii="Arial" w:hAnsi="Arial" w:cs="Arial"/>
          <w:sz w:val="24"/>
          <w:szCs w:val="24"/>
        </w:rPr>
        <w:t>[6]</w:t>
      </w:r>
      <w:r w:rsidR="006C3586" w:rsidRPr="002E5F19">
        <w:rPr>
          <w:rFonts w:ascii="Arial" w:hAnsi="Arial" w:cs="Arial"/>
          <w:sz w:val="24"/>
          <w:szCs w:val="24"/>
        </w:rPr>
        <w:tab/>
      </w:r>
      <w:r w:rsidRPr="002E5F19">
        <w:rPr>
          <w:rFonts w:ascii="Arial" w:hAnsi="Arial" w:cs="Arial"/>
          <w:sz w:val="24"/>
          <w:szCs w:val="24"/>
        </w:rPr>
        <w:t xml:space="preserve">It emerged during cross examination that the accused denies assaulting </w:t>
      </w:r>
      <w:r w:rsidRPr="00C64DF1">
        <w:rPr>
          <w:rFonts w:ascii="Arial" w:hAnsi="Arial" w:cs="Arial"/>
          <w:iCs/>
          <w:sz w:val="24"/>
          <w:szCs w:val="24"/>
        </w:rPr>
        <w:t xml:space="preserve">Johanna </w:t>
      </w:r>
      <w:proofErr w:type="spellStart"/>
      <w:r w:rsidRPr="00C64DF1">
        <w:rPr>
          <w:rFonts w:ascii="Arial" w:hAnsi="Arial" w:cs="Arial"/>
          <w:iCs/>
          <w:sz w:val="24"/>
          <w:szCs w:val="24"/>
        </w:rPr>
        <w:t>Resandt</w:t>
      </w:r>
      <w:proofErr w:type="spellEnd"/>
      <w:r w:rsidRPr="002E5F19">
        <w:rPr>
          <w:rFonts w:ascii="Arial" w:hAnsi="Arial" w:cs="Arial"/>
          <w:sz w:val="24"/>
          <w:szCs w:val="24"/>
        </w:rPr>
        <w:t xml:space="preserve"> (the deceased) on 16</w:t>
      </w:r>
      <w:r w:rsidRPr="002E5F19">
        <w:rPr>
          <w:rFonts w:ascii="Arial" w:hAnsi="Arial" w:cs="Arial"/>
          <w:sz w:val="24"/>
          <w:szCs w:val="24"/>
          <w:vertAlign w:val="superscript"/>
        </w:rPr>
        <w:t xml:space="preserve"> </w:t>
      </w:r>
      <w:r w:rsidRPr="002E5F19">
        <w:rPr>
          <w:rFonts w:ascii="Arial" w:hAnsi="Arial" w:cs="Arial"/>
          <w:sz w:val="24"/>
          <w:szCs w:val="24"/>
        </w:rPr>
        <w:t>September 2017</w:t>
      </w:r>
      <w:r w:rsidR="006C3586" w:rsidRPr="002E5F19">
        <w:rPr>
          <w:rFonts w:ascii="Arial" w:hAnsi="Arial" w:cs="Arial"/>
          <w:sz w:val="24"/>
          <w:szCs w:val="24"/>
        </w:rPr>
        <w:t xml:space="preserve"> as charged in counts 3 and 4 </w:t>
      </w:r>
      <w:r w:rsidR="003B3E79">
        <w:rPr>
          <w:rFonts w:ascii="Arial" w:hAnsi="Arial" w:cs="Arial"/>
          <w:sz w:val="24"/>
          <w:szCs w:val="24"/>
        </w:rPr>
        <w:t xml:space="preserve">respectively </w:t>
      </w:r>
      <w:r w:rsidR="006C3586" w:rsidRPr="002E5F19">
        <w:rPr>
          <w:rFonts w:ascii="Arial" w:hAnsi="Arial" w:cs="Arial"/>
          <w:sz w:val="24"/>
          <w:szCs w:val="24"/>
        </w:rPr>
        <w:t xml:space="preserve">and further denies committing the offence of defeating or attempt to defeat or obstruct the course of justice as alleged in count 5.  </w:t>
      </w:r>
    </w:p>
    <w:p w:rsidR="00A0262D" w:rsidRPr="002E5F19" w:rsidRDefault="00A0262D" w:rsidP="003D2151">
      <w:pPr>
        <w:spacing w:after="0" w:line="360" w:lineRule="auto"/>
        <w:jc w:val="both"/>
        <w:rPr>
          <w:rFonts w:ascii="Arial" w:hAnsi="Arial" w:cs="Arial"/>
          <w:sz w:val="24"/>
          <w:szCs w:val="24"/>
        </w:rPr>
      </w:pPr>
    </w:p>
    <w:p w:rsidR="006C3586" w:rsidRPr="0088245D" w:rsidRDefault="006C3586" w:rsidP="006C3586">
      <w:pPr>
        <w:spacing w:line="360" w:lineRule="auto"/>
        <w:jc w:val="both"/>
        <w:rPr>
          <w:rFonts w:ascii="Arial" w:hAnsi="Arial" w:cs="Arial"/>
          <w:sz w:val="24"/>
          <w:szCs w:val="24"/>
          <w:lang w:val="en-ZA"/>
        </w:rPr>
      </w:pPr>
      <w:r w:rsidRPr="002E5F19">
        <w:rPr>
          <w:rFonts w:ascii="Arial" w:hAnsi="Arial" w:cs="Arial"/>
          <w:sz w:val="24"/>
          <w:szCs w:val="24"/>
        </w:rPr>
        <w:t>[7]</w:t>
      </w:r>
      <w:r w:rsidRPr="002E5F19">
        <w:rPr>
          <w:rFonts w:ascii="Arial" w:hAnsi="Arial" w:cs="Arial"/>
          <w:sz w:val="24"/>
          <w:szCs w:val="24"/>
        </w:rPr>
        <w:tab/>
        <w:t xml:space="preserve">The state led evidence of several witnesses after which it closed its case. Following the </w:t>
      </w:r>
      <w:r w:rsidR="0088245D">
        <w:rPr>
          <w:rFonts w:ascii="Arial" w:hAnsi="Arial" w:cs="Arial"/>
          <w:sz w:val="24"/>
          <w:szCs w:val="24"/>
          <w:lang w:val="en-ZA"/>
        </w:rPr>
        <w:t>closure</w:t>
      </w:r>
      <w:r w:rsidRPr="002E5F19">
        <w:rPr>
          <w:rFonts w:ascii="Arial" w:hAnsi="Arial" w:cs="Arial"/>
          <w:sz w:val="24"/>
          <w:szCs w:val="24"/>
          <w:lang w:val="en-ZA"/>
        </w:rPr>
        <w:t xml:space="preserve"> the</w:t>
      </w:r>
      <w:r w:rsidR="003B3E79">
        <w:rPr>
          <w:rFonts w:ascii="Arial" w:hAnsi="Arial" w:cs="Arial"/>
          <w:sz w:val="24"/>
          <w:szCs w:val="24"/>
          <w:lang w:val="en-ZA"/>
        </w:rPr>
        <w:t>reof</w:t>
      </w:r>
      <w:r w:rsidRPr="002E5F19">
        <w:rPr>
          <w:rFonts w:ascii="Arial" w:hAnsi="Arial" w:cs="Arial"/>
          <w:sz w:val="24"/>
          <w:szCs w:val="24"/>
          <w:lang w:val="en-ZA"/>
        </w:rPr>
        <w:t xml:space="preserve">, the accused brought an application for discharge in terms </w:t>
      </w:r>
      <w:r w:rsidR="0088245D">
        <w:rPr>
          <w:rFonts w:ascii="Arial" w:hAnsi="Arial" w:cs="Arial"/>
          <w:sz w:val="24"/>
          <w:szCs w:val="24"/>
          <w:lang w:val="en-ZA"/>
        </w:rPr>
        <w:t xml:space="preserve">of </w:t>
      </w:r>
      <w:r w:rsidRPr="002E5F19">
        <w:rPr>
          <w:rFonts w:ascii="Arial" w:hAnsi="Arial" w:cs="Arial"/>
          <w:sz w:val="24"/>
          <w:szCs w:val="24"/>
          <w:lang w:val="en-ZA"/>
        </w:rPr>
        <w:t xml:space="preserve">section 174 of the Act. Section 174 provides that:  </w:t>
      </w:r>
    </w:p>
    <w:p w:rsidR="006C3586" w:rsidRPr="002E5F19" w:rsidRDefault="006C3586" w:rsidP="008F0801">
      <w:pPr>
        <w:spacing w:line="360" w:lineRule="auto"/>
        <w:ind w:firstLine="720"/>
        <w:jc w:val="both"/>
        <w:rPr>
          <w:rFonts w:ascii="Arial" w:hAnsi="Arial" w:cs="Arial"/>
          <w:sz w:val="24"/>
          <w:szCs w:val="24"/>
        </w:rPr>
      </w:pPr>
      <w:r w:rsidRPr="002E5F19">
        <w:rPr>
          <w:rFonts w:ascii="Arial" w:hAnsi="Arial" w:cs="Arial"/>
          <w:sz w:val="24"/>
          <w:szCs w:val="24"/>
        </w:rPr>
        <w:t>‘</w:t>
      </w:r>
      <w:r w:rsidRPr="002D30E1">
        <w:rPr>
          <w:rFonts w:ascii="Arial" w:hAnsi="Arial" w:cs="Arial"/>
        </w:rPr>
        <w:t>If, at the close of the case of the prosecution at any trial, the court is of the opinion that there is no evidence that the accused committed the offence referred to in the charge or any offence of which he may be convicted on the charge, it may return a verdict of not guilty’</w:t>
      </w:r>
      <w:r w:rsidRPr="002E5F19">
        <w:rPr>
          <w:rFonts w:ascii="Arial" w:hAnsi="Arial" w:cs="Arial"/>
          <w:sz w:val="24"/>
          <w:szCs w:val="24"/>
        </w:rPr>
        <w:t xml:space="preserve">. </w:t>
      </w:r>
    </w:p>
    <w:p w:rsidR="006C3586" w:rsidRPr="002E5F19" w:rsidRDefault="006C3586" w:rsidP="006C3586">
      <w:pPr>
        <w:spacing w:line="360" w:lineRule="auto"/>
        <w:jc w:val="both"/>
        <w:rPr>
          <w:rFonts w:ascii="Arial" w:hAnsi="Arial" w:cs="Arial"/>
          <w:sz w:val="24"/>
          <w:szCs w:val="24"/>
        </w:rPr>
      </w:pPr>
      <w:r w:rsidRPr="002E5F19">
        <w:rPr>
          <w:rFonts w:ascii="Arial" w:hAnsi="Arial" w:cs="Arial"/>
          <w:sz w:val="24"/>
          <w:szCs w:val="24"/>
        </w:rPr>
        <w:lastRenderedPageBreak/>
        <w:t>[</w:t>
      </w:r>
      <w:r w:rsidR="00E91487" w:rsidRPr="002E5F19">
        <w:rPr>
          <w:rFonts w:ascii="Arial" w:hAnsi="Arial" w:cs="Arial"/>
          <w:sz w:val="24"/>
          <w:szCs w:val="24"/>
        </w:rPr>
        <w:t>8</w:t>
      </w:r>
      <w:r w:rsidRPr="002E5F19">
        <w:rPr>
          <w:rFonts w:ascii="Arial" w:hAnsi="Arial" w:cs="Arial"/>
          <w:sz w:val="24"/>
          <w:szCs w:val="24"/>
        </w:rPr>
        <w:t>]</w:t>
      </w:r>
      <w:r w:rsidRPr="002E5F19">
        <w:rPr>
          <w:rFonts w:ascii="Arial" w:hAnsi="Arial" w:cs="Arial"/>
          <w:sz w:val="24"/>
          <w:szCs w:val="24"/>
        </w:rPr>
        <w:tab/>
        <w:t xml:space="preserve">The </w:t>
      </w:r>
      <w:r w:rsidR="00C55A80" w:rsidRPr="002E5F19">
        <w:rPr>
          <w:rFonts w:ascii="Arial" w:hAnsi="Arial" w:cs="Arial"/>
          <w:sz w:val="24"/>
          <w:szCs w:val="24"/>
        </w:rPr>
        <w:t xml:space="preserve">interpretation of the words </w:t>
      </w:r>
      <w:r w:rsidRPr="002E5F19">
        <w:rPr>
          <w:rFonts w:ascii="Arial" w:hAnsi="Arial" w:cs="Arial"/>
          <w:sz w:val="24"/>
          <w:szCs w:val="24"/>
        </w:rPr>
        <w:t xml:space="preserve">‘no evidence’ </w:t>
      </w:r>
      <w:r w:rsidR="00C55A80" w:rsidRPr="002E5F19">
        <w:rPr>
          <w:rFonts w:ascii="Arial" w:hAnsi="Arial" w:cs="Arial"/>
          <w:sz w:val="24"/>
          <w:szCs w:val="24"/>
        </w:rPr>
        <w:t>overloaded our law reports with several judgments unravelling the meaning thereof. The consensus in the interpretation of the words ‘no evidence’ is unambiguously that it means no evidence o</w:t>
      </w:r>
      <w:r w:rsidR="005D66F0">
        <w:rPr>
          <w:rFonts w:ascii="Arial" w:hAnsi="Arial" w:cs="Arial"/>
          <w:sz w:val="24"/>
          <w:szCs w:val="24"/>
        </w:rPr>
        <w:t>n</w:t>
      </w:r>
      <w:r w:rsidR="00C55A80" w:rsidRPr="002E5F19">
        <w:rPr>
          <w:rFonts w:ascii="Arial" w:hAnsi="Arial" w:cs="Arial"/>
          <w:sz w:val="24"/>
          <w:szCs w:val="24"/>
        </w:rPr>
        <w:t xml:space="preserve"> which a reasonable court acting carefully may convict. This interpretation was set out in </w:t>
      </w:r>
      <w:r w:rsidRPr="002E5F19">
        <w:rPr>
          <w:rFonts w:ascii="Arial" w:hAnsi="Arial" w:cs="Arial"/>
          <w:sz w:val="24"/>
          <w:szCs w:val="24"/>
        </w:rPr>
        <w:t xml:space="preserve">S v </w:t>
      </w:r>
      <w:proofErr w:type="spellStart"/>
      <w:r w:rsidRPr="002E5F19">
        <w:rPr>
          <w:rFonts w:ascii="Arial" w:hAnsi="Arial" w:cs="Arial"/>
          <w:i/>
          <w:iCs/>
          <w:sz w:val="24"/>
          <w:szCs w:val="24"/>
        </w:rPr>
        <w:t>Nakale</w:t>
      </w:r>
      <w:proofErr w:type="spellEnd"/>
      <w:r w:rsidRPr="002E5F19">
        <w:rPr>
          <w:rFonts w:ascii="Arial" w:hAnsi="Arial" w:cs="Arial"/>
          <w:sz w:val="24"/>
          <w:szCs w:val="24"/>
        </w:rPr>
        <w:t xml:space="preserve"> and Others,</w:t>
      </w:r>
      <w:r w:rsidRPr="002E5F19">
        <w:rPr>
          <w:rStyle w:val="FootnoteReference"/>
          <w:rFonts w:ascii="Arial" w:hAnsi="Arial" w:cs="Arial"/>
          <w:sz w:val="24"/>
          <w:szCs w:val="24"/>
        </w:rPr>
        <w:footnoteReference w:id="2"/>
      </w:r>
      <w:r w:rsidRPr="002E5F19">
        <w:rPr>
          <w:rFonts w:ascii="Arial" w:hAnsi="Arial" w:cs="Arial"/>
          <w:sz w:val="24"/>
          <w:szCs w:val="24"/>
        </w:rPr>
        <w:t xml:space="preserve"> </w:t>
      </w:r>
      <w:r w:rsidR="00C55A80" w:rsidRPr="002E5F19">
        <w:rPr>
          <w:rFonts w:ascii="Arial" w:hAnsi="Arial" w:cs="Arial"/>
          <w:sz w:val="24"/>
          <w:szCs w:val="24"/>
        </w:rPr>
        <w:t xml:space="preserve">and endorsed by the Supreme Court in the matter of </w:t>
      </w:r>
      <w:r w:rsidRPr="002E5F19">
        <w:rPr>
          <w:rFonts w:ascii="Arial" w:hAnsi="Arial" w:cs="Arial"/>
          <w:sz w:val="24"/>
          <w:szCs w:val="24"/>
        </w:rPr>
        <w:t xml:space="preserve">S v </w:t>
      </w:r>
      <w:proofErr w:type="spellStart"/>
      <w:r w:rsidRPr="002E5F19">
        <w:rPr>
          <w:rFonts w:ascii="Arial" w:hAnsi="Arial" w:cs="Arial"/>
          <w:i/>
          <w:iCs/>
          <w:sz w:val="24"/>
          <w:szCs w:val="24"/>
        </w:rPr>
        <w:t>Teek</w:t>
      </w:r>
      <w:proofErr w:type="spellEnd"/>
      <w:r w:rsidRPr="002E5F19">
        <w:rPr>
          <w:rFonts w:ascii="Arial" w:hAnsi="Arial" w:cs="Arial"/>
          <w:sz w:val="24"/>
          <w:szCs w:val="24"/>
        </w:rPr>
        <w:t>.</w:t>
      </w:r>
      <w:r w:rsidRPr="002E5F19">
        <w:rPr>
          <w:rStyle w:val="FootnoteReference"/>
          <w:rFonts w:ascii="Arial" w:hAnsi="Arial" w:cs="Arial"/>
          <w:sz w:val="24"/>
          <w:szCs w:val="24"/>
        </w:rPr>
        <w:footnoteReference w:id="3"/>
      </w:r>
      <w:r w:rsidRPr="002E5F19">
        <w:rPr>
          <w:rFonts w:ascii="Arial" w:hAnsi="Arial" w:cs="Arial"/>
          <w:sz w:val="24"/>
          <w:szCs w:val="24"/>
        </w:rPr>
        <w:t xml:space="preserve"> </w:t>
      </w:r>
    </w:p>
    <w:p w:rsidR="003C0285" w:rsidRPr="007128D8" w:rsidRDefault="006C3586" w:rsidP="006C3586">
      <w:pPr>
        <w:spacing w:line="360" w:lineRule="auto"/>
        <w:jc w:val="both"/>
        <w:rPr>
          <w:rFonts w:ascii="Arial" w:hAnsi="Arial" w:cs="Arial"/>
          <w:sz w:val="24"/>
          <w:szCs w:val="24"/>
        </w:rPr>
      </w:pPr>
      <w:r w:rsidRPr="002E5F19">
        <w:rPr>
          <w:rFonts w:ascii="Arial" w:hAnsi="Arial" w:cs="Arial"/>
          <w:sz w:val="24"/>
          <w:szCs w:val="24"/>
        </w:rPr>
        <w:t>[</w:t>
      </w:r>
      <w:r w:rsidR="0098349F" w:rsidRPr="002E5F19">
        <w:rPr>
          <w:rFonts w:ascii="Arial" w:hAnsi="Arial" w:cs="Arial"/>
          <w:sz w:val="24"/>
          <w:szCs w:val="24"/>
        </w:rPr>
        <w:t>9</w:t>
      </w:r>
      <w:r w:rsidRPr="002E5F19">
        <w:rPr>
          <w:rFonts w:ascii="Arial" w:hAnsi="Arial" w:cs="Arial"/>
          <w:sz w:val="24"/>
          <w:szCs w:val="24"/>
        </w:rPr>
        <w:t>]</w:t>
      </w:r>
      <w:r w:rsidRPr="002E5F19">
        <w:rPr>
          <w:rFonts w:ascii="Arial" w:hAnsi="Arial" w:cs="Arial"/>
          <w:sz w:val="24"/>
          <w:szCs w:val="24"/>
        </w:rPr>
        <w:tab/>
      </w:r>
      <w:r w:rsidR="00FA3CF2" w:rsidRPr="002E5F19">
        <w:rPr>
          <w:rFonts w:ascii="Arial" w:hAnsi="Arial" w:cs="Arial"/>
          <w:sz w:val="24"/>
          <w:szCs w:val="24"/>
        </w:rPr>
        <w:t>Section 174 should be read cheek by jowl with Article 12(1</w:t>
      </w:r>
      <w:proofErr w:type="gramStart"/>
      <w:r w:rsidR="00FA3CF2" w:rsidRPr="002E5F19">
        <w:rPr>
          <w:rFonts w:ascii="Arial" w:hAnsi="Arial" w:cs="Arial"/>
          <w:sz w:val="24"/>
          <w:szCs w:val="24"/>
        </w:rPr>
        <w:t>)(</w:t>
      </w:r>
      <w:proofErr w:type="gramEnd"/>
      <w:r w:rsidR="00FA3CF2" w:rsidRPr="002E5F19">
        <w:rPr>
          <w:rFonts w:ascii="Arial" w:hAnsi="Arial" w:cs="Arial"/>
          <w:sz w:val="24"/>
          <w:szCs w:val="24"/>
        </w:rPr>
        <w:t xml:space="preserve">f) of the Constitution which protects accused </w:t>
      </w:r>
      <w:r w:rsidR="003B3E79">
        <w:rPr>
          <w:rFonts w:ascii="Arial" w:hAnsi="Arial" w:cs="Arial"/>
          <w:sz w:val="24"/>
          <w:szCs w:val="24"/>
        </w:rPr>
        <w:t xml:space="preserve">persons </w:t>
      </w:r>
      <w:r w:rsidR="00FA3CF2" w:rsidRPr="002E5F19">
        <w:rPr>
          <w:rFonts w:ascii="Arial" w:hAnsi="Arial" w:cs="Arial"/>
          <w:sz w:val="24"/>
          <w:szCs w:val="24"/>
        </w:rPr>
        <w:t>from self-incrimination. By extension therefore it follows that section 174 compliments Article 12(1</w:t>
      </w:r>
      <w:proofErr w:type="gramStart"/>
      <w:r w:rsidR="00FA3CF2" w:rsidRPr="002E5F19">
        <w:rPr>
          <w:rFonts w:ascii="Arial" w:hAnsi="Arial" w:cs="Arial"/>
          <w:sz w:val="24"/>
          <w:szCs w:val="24"/>
        </w:rPr>
        <w:t>)(</w:t>
      </w:r>
      <w:proofErr w:type="gramEnd"/>
      <w:r w:rsidR="00FA3CF2" w:rsidRPr="002E5F19">
        <w:rPr>
          <w:rFonts w:ascii="Arial" w:hAnsi="Arial" w:cs="Arial"/>
          <w:sz w:val="24"/>
          <w:szCs w:val="24"/>
        </w:rPr>
        <w:t xml:space="preserve">f) </w:t>
      </w:r>
      <w:r w:rsidR="003C0285" w:rsidRPr="002E5F19">
        <w:rPr>
          <w:rFonts w:ascii="Arial" w:hAnsi="Arial" w:cs="Arial"/>
          <w:sz w:val="24"/>
          <w:szCs w:val="24"/>
        </w:rPr>
        <w:t>in securing that accused persons do not incriminate themselves</w:t>
      </w:r>
      <w:r w:rsidR="002A7EDF" w:rsidRPr="002E5F19">
        <w:rPr>
          <w:rFonts w:ascii="Arial" w:hAnsi="Arial" w:cs="Arial"/>
          <w:sz w:val="24"/>
          <w:szCs w:val="24"/>
        </w:rPr>
        <w:t>. The right not to incriminate oneself includes the right to remain silent inclusive of the right to be presumed innocent until proven guilty accordingly to law. T</w:t>
      </w:r>
      <w:r w:rsidR="003C0285" w:rsidRPr="002E5F19">
        <w:rPr>
          <w:rFonts w:ascii="Arial" w:hAnsi="Arial" w:cs="Arial"/>
          <w:sz w:val="24"/>
          <w:szCs w:val="24"/>
        </w:rPr>
        <w:t>hus</w:t>
      </w:r>
      <w:r w:rsidR="003D6F28" w:rsidRPr="002E5F19">
        <w:rPr>
          <w:rFonts w:ascii="Arial" w:hAnsi="Arial" w:cs="Arial"/>
          <w:sz w:val="24"/>
          <w:szCs w:val="24"/>
        </w:rPr>
        <w:t>,</w:t>
      </w:r>
      <w:r w:rsidR="003C0285" w:rsidRPr="002E5F19">
        <w:rPr>
          <w:rFonts w:ascii="Arial" w:hAnsi="Arial" w:cs="Arial"/>
          <w:sz w:val="24"/>
          <w:szCs w:val="24"/>
        </w:rPr>
        <w:t xml:space="preserve"> where there is no evidence led on which a reasonable court acting carefully may convict, the court may return a verdict of not guilty and discharge such accused person</w:t>
      </w:r>
      <w:r w:rsidR="007F68A2" w:rsidRPr="002E5F19">
        <w:rPr>
          <w:rFonts w:ascii="Arial" w:hAnsi="Arial" w:cs="Arial"/>
          <w:sz w:val="24"/>
          <w:szCs w:val="24"/>
        </w:rPr>
        <w:t xml:space="preserve"> as opposed to placing the accused on his or her defence in the hope of incriminating himself or herself. The application of the said hope, in the absence of the evidence on which a reasonable court may convict offends against the presumption of innocence which is at the heart of our Constitution. </w:t>
      </w:r>
      <w:r w:rsidR="00046E82" w:rsidRPr="002E5F19">
        <w:rPr>
          <w:rFonts w:ascii="Arial" w:hAnsi="Arial" w:cs="Arial"/>
          <w:sz w:val="24"/>
          <w:szCs w:val="24"/>
        </w:rPr>
        <w:t xml:space="preserve">To unnerve the presumption of innocence disconcerts the values of our society which are the pillars of our Constitution, without which diminishes the Constitution of a ceremonial document.  </w:t>
      </w:r>
    </w:p>
    <w:p w:rsidR="002E5F19" w:rsidRDefault="006C3586" w:rsidP="006C3586">
      <w:pPr>
        <w:spacing w:line="360" w:lineRule="auto"/>
        <w:jc w:val="both"/>
        <w:rPr>
          <w:rFonts w:ascii="Arial" w:hAnsi="Arial" w:cs="Arial"/>
          <w:sz w:val="24"/>
          <w:szCs w:val="24"/>
          <w:lang w:val="en-ZA"/>
        </w:rPr>
      </w:pPr>
      <w:r w:rsidRPr="002E5F19">
        <w:rPr>
          <w:rFonts w:ascii="Arial" w:hAnsi="Arial" w:cs="Arial"/>
          <w:sz w:val="24"/>
          <w:szCs w:val="24"/>
        </w:rPr>
        <w:t>[</w:t>
      </w:r>
      <w:r w:rsidR="00C078E1" w:rsidRPr="002E5F19">
        <w:rPr>
          <w:rFonts w:ascii="Arial" w:hAnsi="Arial" w:cs="Arial"/>
          <w:sz w:val="24"/>
          <w:szCs w:val="24"/>
        </w:rPr>
        <w:t>1</w:t>
      </w:r>
      <w:r w:rsidR="00C91450" w:rsidRPr="002E5F19">
        <w:rPr>
          <w:rFonts w:ascii="Arial" w:hAnsi="Arial" w:cs="Arial"/>
          <w:sz w:val="24"/>
          <w:szCs w:val="24"/>
        </w:rPr>
        <w:t>0</w:t>
      </w:r>
      <w:r w:rsidRPr="002E5F19">
        <w:rPr>
          <w:rFonts w:ascii="Arial" w:hAnsi="Arial" w:cs="Arial"/>
          <w:sz w:val="24"/>
          <w:szCs w:val="24"/>
          <w:lang w:val="en-ZA"/>
        </w:rPr>
        <w:t>]</w:t>
      </w:r>
      <w:r w:rsidRPr="002E5F19">
        <w:rPr>
          <w:rFonts w:ascii="Arial" w:hAnsi="Arial" w:cs="Arial"/>
          <w:sz w:val="24"/>
          <w:szCs w:val="24"/>
          <w:lang w:val="en-ZA"/>
        </w:rPr>
        <w:tab/>
      </w:r>
      <w:r w:rsidR="002E5F19">
        <w:rPr>
          <w:rFonts w:ascii="Arial" w:hAnsi="Arial" w:cs="Arial"/>
          <w:sz w:val="24"/>
          <w:szCs w:val="24"/>
          <w:lang w:val="en-ZA"/>
        </w:rPr>
        <w:t xml:space="preserve">When it comes to credibility of witnesses at this stage </w:t>
      </w:r>
      <w:r w:rsidR="002E5F19" w:rsidRPr="00BA0C6A">
        <w:rPr>
          <w:rFonts w:ascii="Arial" w:hAnsi="Arial" w:cs="Arial"/>
          <w:i/>
          <w:iCs/>
          <w:sz w:val="24"/>
          <w:szCs w:val="24"/>
          <w:lang w:val="en-ZA"/>
        </w:rPr>
        <w:t>Brand</w:t>
      </w:r>
      <w:r w:rsidR="002E5F19">
        <w:rPr>
          <w:rFonts w:ascii="Arial" w:hAnsi="Arial" w:cs="Arial"/>
          <w:sz w:val="24"/>
          <w:szCs w:val="24"/>
          <w:lang w:val="en-ZA"/>
        </w:rPr>
        <w:t xml:space="preserve"> AJA stated as follows in </w:t>
      </w:r>
      <w:r w:rsidR="002E5F19" w:rsidRPr="00BA0C6A">
        <w:rPr>
          <w:rFonts w:ascii="Arial" w:hAnsi="Arial" w:cs="Arial"/>
          <w:i/>
          <w:iCs/>
          <w:sz w:val="24"/>
          <w:szCs w:val="24"/>
          <w:lang w:val="en-ZA"/>
        </w:rPr>
        <w:t xml:space="preserve">S v </w:t>
      </w:r>
      <w:proofErr w:type="spellStart"/>
      <w:r w:rsidR="002E5F19" w:rsidRPr="00BA0C6A">
        <w:rPr>
          <w:rFonts w:ascii="Arial" w:hAnsi="Arial" w:cs="Arial"/>
          <w:i/>
          <w:iCs/>
          <w:sz w:val="24"/>
          <w:szCs w:val="24"/>
          <w:lang w:val="en-ZA"/>
        </w:rPr>
        <w:t>Teek</w:t>
      </w:r>
      <w:proofErr w:type="spellEnd"/>
      <w:r w:rsidR="002E5F19">
        <w:rPr>
          <w:rFonts w:ascii="Arial" w:hAnsi="Arial" w:cs="Arial"/>
          <w:sz w:val="24"/>
          <w:szCs w:val="24"/>
          <w:lang w:val="en-ZA"/>
        </w:rPr>
        <w:t>:</w:t>
      </w:r>
      <w:r w:rsidR="002E5F19">
        <w:rPr>
          <w:rStyle w:val="FootnoteReference"/>
          <w:rFonts w:ascii="Arial" w:hAnsi="Arial" w:cs="Arial"/>
          <w:sz w:val="24"/>
          <w:szCs w:val="24"/>
          <w:lang w:val="en-ZA"/>
        </w:rPr>
        <w:footnoteReference w:id="4"/>
      </w:r>
    </w:p>
    <w:p w:rsidR="00BE008D" w:rsidRPr="008F0801" w:rsidRDefault="002E5F19" w:rsidP="008F0801">
      <w:pPr>
        <w:spacing w:line="360" w:lineRule="auto"/>
        <w:ind w:firstLine="720"/>
        <w:jc w:val="both"/>
        <w:rPr>
          <w:rFonts w:ascii="Arial" w:hAnsi="Arial" w:cs="Arial"/>
          <w:lang w:val="en-ZA"/>
        </w:rPr>
      </w:pPr>
      <w:r w:rsidRPr="00BE008D">
        <w:rPr>
          <w:rFonts w:ascii="Arial" w:hAnsi="Arial" w:cs="Arial"/>
          <w:lang w:val="en-ZA"/>
        </w:rPr>
        <w:t xml:space="preserve">‘Somewhat more controversial is the question whether credibility of the state witnesses has any role when a discharge </w:t>
      </w:r>
      <w:r w:rsidR="00BE008D" w:rsidRPr="00BE008D">
        <w:rPr>
          <w:rFonts w:ascii="Arial" w:hAnsi="Arial" w:cs="Arial"/>
          <w:lang w:val="en-ZA"/>
        </w:rPr>
        <w:t xml:space="preserve">is sought under the section. But the generally accepted view, both in Namibia and South Africa, appears to be that, although credibility is a factor that can be considered at this stage, it plays a very limited role. If there is evidence supporting a charge, an application for discharge can only be sustained if such evidence is of such poor quality that it cannot, in the opinion of the trial court, be accepted by any reasonable court (see e.g.  S v </w:t>
      </w:r>
      <w:proofErr w:type="spellStart"/>
      <w:r w:rsidR="00BE008D" w:rsidRPr="00BE008D">
        <w:rPr>
          <w:rFonts w:ascii="Arial" w:hAnsi="Arial" w:cs="Arial"/>
          <w:lang w:val="en-ZA"/>
        </w:rPr>
        <w:t>Mpetha</w:t>
      </w:r>
      <w:proofErr w:type="spellEnd"/>
      <w:r w:rsidR="00BE008D" w:rsidRPr="00BE008D">
        <w:rPr>
          <w:rFonts w:ascii="Arial" w:hAnsi="Arial" w:cs="Arial"/>
          <w:lang w:val="en-ZA"/>
        </w:rPr>
        <w:t xml:space="preserve"> and Others 1983 (4) SA 262 (C) at 26; S v </w:t>
      </w:r>
      <w:proofErr w:type="spellStart"/>
      <w:r w:rsidR="00BE008D" w:rsidRPr="00BE008D">
        <w:rPr>
          <w:rFonts w:ascii="Arial" w:hAnsi="Arial" w:cs="Arial"/>
          <w:lang w:val="en-ZA"/>
        </w:rPr>
        <w:t>Nakale</w:t>
      </w:r>
      <w:proofErr w:type="spellEnd"/>
      <w:r w:rsidR="00BE008D" w:rsidRPr="00BE008D">
        <w:rPr>
          <w:rFonts w:ascii="Arial" w:hAnsi="Arial" w:cs="Arial"/>
          <w:lang w:val="en-ZA"/>
        </w:rPr>
        <w:t xml:space="preserve"> supra at 458). Put differently, the question remains: is there, having regard to the credibility of witnesses, evidence upon which a reasonable court may convict?’ </w:t>
      </w:r>
    </w:p>
    <w:p w:rsidR="00197CF0" w:rsidRDefault="009C5A45" w:rsidP="009C5A45">
      <w:pPr>
        <w:spacing w:line="360" w:lineRule="auto"/>
        <w:jc w:val="both"/>
        <w:rPr>
          <w:rFonts w:ascii="Arial" w:hAnsi="Arial" w:cs="Arial"/>
          <w:sz w:val="24"/>
          <w:szCs w:val="24"/>
          <w:lang w:val="en-ZA"/>
        </w:rPr>
      </w:pPr>
      <w:r>
        <w:rPr>
          <w:rFonts w:ascii="Arial" w:hAnsi="Arial" w:cs="Arial"/>
          <w:sz w:val="24"/>
          <w:szCs w:val="24"/>
          <w:lang w:val="en-ZA"/>
        </w:rPr>
        <w:lastRenderedPageBreak/>
        <w:t>[11]</w:t>
      </w:r>
      <w:r>
        <w:rPr>
          <w:rFonts w:ascii="Arial" w:hAnsi="Arial" w:cs="Arial"/>
          <w:sz w:val="24"/>
          <w:szCs w:val="24"/>
          <w:lang w:val="en-ZA"/>
        </w:rPr>
        <w:tab/>
      </w:r>
      <w:r w:rsidR="00DB6DF9">
        <w:rPr>
          <w:rFonts w:ascii="Arial" w:hAnsi="Arial" w:cs="Arial"/>
          <w:sz w:val="24"/>
          <w:szCs w:val="24"/>
          <w:lang w:val="en-ZA"/>
        </w:rPr>
        <w:t xml:space="preserve">Amongst the witnesses called by the state </w:t>
      </w:r>
      <w:r w:rsidR="00F45A19">
        <w:rPr>
          <w:rFonts w:ascii="Arial" w:hAnsi="Arial" w:cs="Arial"/>
          <w:sz w:val="24"/>
          <w:szCs w:val="24"/>
          <w:lang w:val="en-ZA"/>
        </w:rPr>
        <w:t xml:space="preserve">was </w:t>
      </w:r>
      <w:r w:rsidR="00F45A19" w:rsidRPr="00C64DF1">
        <w:rPr>
          <w:rFonts w:ascii="Arial" w:hAnsi="Arial" w:cs="Arial"/>
          <w:iCs/>
          <w:sz w:val="24"/>
          <w:szCs w:val="24"/>
          <w:lang w:val="en-ZA"/>
        </w:rPr>
        <w:t xml:space="preserve">Phillip </w:t>
      </w:r>
      <w:proofErr w:type="spellStart"/>
      <w:r w:rsidR="00F45A19" w:rsidRPr="00C64DF1">
        <w:rPr>
          <w:rFonts w:ascii="Arial" w:hAnsi="Arial" w:cs="Arial"/>
          <w:iCs/>
          <w:sz w:val="24"/>
          <w:szCs w:val="24"/>
          <w:lang w:val="en-ZA"/>
        </w:rPr>
        <w:t>Gadi</w:t>
      </w:r>
      <w:proofErr w:type="spellEnd"/>
      <w:r w:rsidR="00F45A19" w:rsidRPr="00C64DF1">
        <w:rPr>
          <w:rFonts w:ascii="Arial" w:hAnsi="Arial" w:cs="Arial"/>
          <w:iCs/>
          <w:sz w:val="24"/>
          <w:szCs w:val="24"/>
          <w:lang w:val="en-ZA"/>
        </w:rPr>
        <w:t xml:space="preserve"> </w:t>
      </w:r>
      <w:proofErr w:type="spellStart"/>
      <w:r w:rsidR="00F45A19" w:rsidRPr="00C64DF1">
        <w:rPr>
          <w:rFonts w:ascii="Arial" w:hAnsi="Arial" w:cs="Arial"/>
          <w:iCs/>
          <w:sz w:val="24"/>
          <w:szCs w:val="24"/>
          <w:lang w:val="en-ZA"/>
        </w:rPr>
        <w:t>Matsaya</w:t>
      </w:r>
      <w:proofErr w:type="spellEnd"/>
      <w:r w:rsidR="00F45A19" w:rsidRPr="004912CF">
        <w:rPr>
          <w:rFonts w:ascii="Arial" w:hAnsi="Arial" w:cs="Arial"/>
          <w:i/>
          <w:iCs/>
          <w:sz w:val="24"/>
          <w:szCs w:val="24"/>
          <w:lang w:val="en-ZA"/>
        </w:rPr>
        <w:t xml:space="preserve"> (</w:t>
      </w:r>
      <w:r w:rsidR="00F45A19" w:rsidRPr="00C64DF1">
        <w:rPr>
          <w:rFonts w:ascii="Arial" w:hAnsi="Arial" w:cs="Arial"/>
          <w:iCs/>
          <w:sz w:val="24"/>
          <w:szCs w:val="24"/>
          <w:lang w:val="en-ZA"/>
        </w:rPr>
        <w:t xml:space="preserve">Mr </w:t>
      </w:r>
      <w:proofErr w:type="spellStart"/>
      <w:r w:rsidR="00F45A19" w:rsidRPr="00C64DF1">
        <w:rPr>
          <w:rFonts w:ascii="Arial" w:hAnsi="Arial" w:cs="Arial"/>
          <w:iCs/>
          <w:sz w:val="24"/>
          <w:szCs w:val="24"/>
          <w:lang w:val="en-ZA"/>
        </w:rPr>
        <w:t>Matsaya</w:t>
      </w:r>
      <w:proofErr w:type="spellEnd"/>
      <w:r w:rsidR="00F45A19" w:rsidRPr="004912CF">
        <w:rPr>
          <w:rFonts w:ascii="Arial" w:hAnsi="Arial" w:cs="Arial"/>
          <w:i/>
          <w:iCs/>
          <w:sz w:val="24"/>
          <w:szCs w:val="24"/>
          <w:lang w:val="en-ZA"/>
        </w:rPr>
        <w:t>)</w:t>
      </w:r>
      <w:r w:rsidR="00E860F8">
        <w:rPr>
          <w:rFonts w:ascii="Arial" w:hAnsi="Arial" w:cs="Arial"/>
          <w:i/>
          <w:iCs/>
          <w:sz w:val="24"/>
          <w:szCs w:val="24"/>
          <w:lang w:val="en-ZA"/>
        </w:rPr>
        <w:t xml:space="preserve">. </w:t>
      </w:r>
      <w:r w:rsidR="00F45A19">
        <w:rPr>
          <w:rFonts w:ascii="Arial" w:hAnsi="Arial" w:cs="Arial"/>
          <w:sz w:val="24"/>
          <w:szCs w:val="24"/>
          <w:lang w:val="en-ZA"/>
        </w:rPr>
        <w:t xml:space="preserve"> </w:t>
      </w:r>
      <w:r w:rsidR="00E860F8">
        <w:rPr>
          <w:rFonts w:ascii="Arial" w:hAnsi="Arial" w:cs="Arial"/>
          <w:sz w:val="24"/>
          <w:szCs w:val="24"/>
          <w:lang w:val="en-ZA"/>
        </w:rPr>
        <w:t xml:space="preserve">Mr </w:t>
      </w:r>
      <w:proofErr w:type="spellStart"/>
      <w:r w:rsidR="00E860F8">
        <w:rPr>
          <w:rFonts w:ascii="Arial" w:hAnsi="Arial" w:cs="Arial"/>
          <w:sz w:val="24"/>
          <w:szCs w:val="24"/>
          <w:lang w:val="en-ZA"/>
        </w:rPr>
        <w:t>Matsaya</w:t>
      </w:r>
      <w:proofErr w:type="spellEnd"/>
      <w:r w:rsidR="00E860F8">
        <w:rPr>
          <w:rFonts w:ascii="Arial" w:hAnsi="Arial" w:cs="Arial"/>
          <w:sz w:val="24"/>
          <w:szCs w:val="24"/>
          <w:lang w:val="en-ZA"/>
        </w:rPr>
        <w:t xml:space="preserve"> </w:t>
      </w:r>
      <w:r w:rsidR="005E2095">
        <w:rPr>
          <w:rFonts w:ascii="Arial" w:hAnsi="Arial" w:cs="Arial"/>
          <w:sz w:val="24"/>
          <w:szCs w:val="24"/>
          <w:lang w:val="en-ZA"/>
        </w:rPr>
        <w:t xml:space="preserve">is the only witness who testified about events mentioned in counts 3 and 4. Sergeant </w:t>
      </w:r>
      <w:proofErr w:type="spellStart"/>
      <w:r w:rsidR="005E2095" w:rsidRPr="00C64DF1">
        <w:rPr>
          <w:rFonts w:ascii="Arial" w:hAnsi="Arial" w:cs="Arial"/>
          <w:iCs/>
          <w:sz w:val="24"/>
          <w:szCs w:val="24"/>
          <w:lang w:val="en-ZA"/>
        </w:rPr>
        <w:t>Deoline</w:t>
      </w:r>
      <w:proofErr w:type="spellEnd"/>
      <w:r w:rsidR="005E2095" w:rsidRPr="00C64DF1">
        <w:rPr>
          <w:rFonts w:ascii="Arial" w:hAnsi="Arial" w:cs="Arial"/>
          <w:iCs/>
          <w:sz w:val="24"/>
          <w:szCs w:val="24"/>
          <w:lang w:val="en-ZA"/>
        </w:rPr>
        <w:t xml:space="preserve"> </w:t>
      </w:r>
      <w:proofErr w:type="spellStart"/>
      <w:r w:rsidR="005E2095" w:rsidRPr="00C64DF1">
        <w:rPr>
          <w:rFonts w:ascii="Arial" w:hAnsi="Arial" w:cs="Arial"/>
          <w:iCs/>
          <w:sz w:val="24"/>
          <w:szCs w:val="24"/>
          <w:lang w:val="en-ZA"/>
        </w:rPr>
        <w:t>Jarson</w:t>
      </w:r>
      <w:proofErr w:type="spellEnd"/>
      <w:r w:rsidR="005E2095" w:rsidRPr="00C64DF1">
        <w:rPr>
          <w:rFonts w:ascii="Arial" w:hAnsi="Arial" w:cs="Arial"/>
          <w:sz w:val="24"/>
          <w:szCs w:val="24"/>
          <w:lang w:val="en-ZA"/>
        </w:rPr>
        <w:t xml:space="preserve"> (Sgt </w:t>
      </w:r>
      <w:proofErr w:type="spellStart"/>
      <w:r w:rsidR="005E2095" w:rsidRPr="00C64DF1">
        <w:rPr>
          <w:rFonts w:ascii="Arial" w:hAnsi="Arial" w:cs="Arial"/>
          <w:iCs/>
          <w:sz w:val="24"/>
          <w:szCs w:val="24"/>
          <w:lang w:val="en-ZA"/>
        </w:rPr>
        <w:t>Jarson</w:t>
      </w:r>
      <w:proofErr w:type="spellEnd"/>
      <w:r w:rsidR="005E2095">
        <w:rPr>
          <w:rFonts w:ascii="Arial" w:hAnsi="Arial" w:cs="Arial"/>
          <w:sz w:val="24"/>
          <w:szCs w:val="24"/>
          <w:lang w:val="en-ZA"/>
        </w:rPr>
        <w:t xml:space="preserve">) and Chief Inspector </w:t>
      </w:r>
      <w:proofErr w:type="spellStart"/>
      <w:r w:rsidR="005E2095" w:rsidRPr="00C64DF1">
        <w:rPr>
          <w:rFonts w:ascii="Arial" w:hAnsi="Arial" w:cs="Arial"/>
          <w:iCs/>
          <w:sz w:val="24"/>
          <w:szCs w:val="24"/>
          <w:lang w:val="en-ZA"/>
        </w:rPr>
        <w:t>Hendrick</w:t>
      </w:r>
      <w:proofErr w:type="spellEnd"/>
      <w:r w:rsidR="005E2095" w:rsidRPr="00C64DF1">
        <w:rPr>
          <w:rFonts w:ascii="Arial" w:hAnsi="Arial" w:cs="Arial"/>
          <w:iCs/>
          <w:sz w:val="24"/>
          <w:szCs w:val="24"/>
          <w:lang w:val="en-ZA"/>
        </w:rPr>
        <w:t xml:space="preserve"> </w:t>
      </w:r>
      <w:proofErr w:type="spellStart"/>
      <w:r w:rsidR="005E2095" w:rsidRPr="00C64DF1">
        <w:rPr>
          <w:rFonts w:ascii="Arial" w:hAnsi="Arial" w:cs="Arial"/>
          <w:iCs/>
          <w:sz w:val="24"/>
          <w:szCs w:val="24"/>
          <w:lang w:val="en-ZA"/>
        </w:rPr>
        <w:t>Martinus</w:t>
      </w:r>
      <w:proofErr w:type="spellEnd"/>
      <w:r w:rsidR="005E2095" w:rsidRPr="00C64DF1">
        <w:rPr>
          <w:rFonts w:ascii="Arial" w:hAnsi="Arial" w:cs="Arial"/>
          <w:iCs/>
          <w:sz w:val="24"/>
          <w:szCs w:val="24"/>
          <w:lang w:val="en-ZA"/>
        </w:rPr>
        <w:t xml:space="preserve"> Olivier</w:t>
      </w:r>
      <w:r w:rsidR="005E2095">
        <w:rPr>
          <w:rFonts w:ascii="Arial" w:hAnsi="Arial" w:cs="Arial"/>
          <w:sz w:val="24"/>
          <w:szCs w:val="24"/>
          <w:lang w:val="en-ZA"/>
        </w:rPr>
        <w:t xml:space="preserve"> (</w:t>
      </w:r>
      <w:r w:rsidR="00F53CE1">
        <w:rPr>
          <w:rFonts w:ascii="Arial" w:hAnsi="Arial" w:cs="Arial"/>
          <w:sz w:val="24"/>
          <w:szCs w:val="24"/>
          <w:lang w:val="en-ZA"/>
        </w:rPr>
        <w:t>C</w:t>
      </w:r>
      <w:r w:rsidR="005E2095">
        <w:rPr>
          <w:rFonts w:ascii="Arial" w:hAnsi="Arial" w:cs="Arial"/>
          <w:sz w:val="24"/>
          <w:szCs w:val="24"/>
          <w:lang w:val="en-ZA"/>
        </w:rPr>
        <w:t xml:space="preserve">/Insp Olivier) </w:t>
      </w:r>
      <w:r w:rsidR="00197CF0">
        <w:rPr>
          <w:rFonts w:ascii="Arial" w:hAnsi="Arial" w:cs="Arial"/>
          <w:sz w:val="24"/>
          <w:szCs w:val="24"/>
          <w:lang w:val="en-ZA"/>
        </w:rPr>
        <w:t>testified</w:t>
      </w:r>
      <w:r w:rsidR="005E2095">
        <w:rPr>
          <w:rFonts w:ascii="Arial" w:hAnsi="Arial" w:cs="Arial"/>
          <w:sz w:val="24"/>
          <w:szCs w:val="24"/>
          <w:lang w:val="en-ZA"/>
        </w:rPr>
        <w:t xml:space="preserve"> regarding the averments set out in count 5. </w:t>
      </w:r>
    </w:p>
    <w:p w:rsidR="00640884" w:rsidRPr="00640884" w:rsidRDefault="00640884" w:rsidP="009C5A45">
      <w:pPr>
        <w:spacing w:line="360" w:lineRule="auto"/>
        <w:jc w:val="both"/>
        <w:rPr>
          <w:rFonts w:ascii="Arial" w:hAnsi="Arial" w:cs="Arial"/>
          <w:sz w:val="24"/>
          <w:szCs w:val="24"/>
          <w:u w:val="single"/>
          <w:lang w:val="en-ZA"/>
        </w:rPr>
      </w:pPr>
      <w:r w:rsidRPr="00640884">
        <w:rPr>
          <w:rFonts w:ascii="Arial" w:hAnsi="Arial" w:cs="Arial"/>
          <w:sz w:val="24"/>
          <w:szCs w:val="24"/>
          <w:u w:val="single"/>
          <w:lang w:val="en-ZA"/>
        </w:rPr>
        <w:t>In respect of count 3:</w:t>
      </w:r>
    </w:p>
    <w:p w:rsidR="0028303A" w:rsidRDefault="00197CF0" w:rsidP="009C5A45">
      <w:pPr>
        <w:spacing w:line="360" w:lineRule="auto"/>
        <w:jc w:val="both"/>
        <w:rPr>
          <w:rFonts w:ascii="Arial" w:hAnsi="Arial" w:cs="Arial"/>
          <w:sz w:val="24"/>
          <w:szCs w:val="24"/>
          <w:lang w:val="en-ZA"/>
        </w:rPr>
      </w:pPr>
      <w:r>
        <w:rPr>
          <w:rFonts w:ascii="Arial" w:hAnsi="Arial" w:cs="Arial"/>
          <w:sz w:val="24"/>
          <w:szCs w:val="24"/>
          <w:lang w:val="en-ZA"/>
        </w:rPr>
        <w:t>11.1</w:t>
      </w:r>
      <w:r w:rsidR="00837529">
        <w:rPr>
          <w:rFonts w:ascii="Arial" w:hAnsi="Arial" w:cs="Arial"/>
          <w:sz w:val="24"/>
          <w:szCs w:val="24"/>
          <w:lang w:val="en-ZA"/>
        </w:rPr>
        <w:tab/>
      </w:r>
      <w:r w:rsidR="006041E1">
        <w:rPr>
          <w:rFonts w:ascii="Arial" w:hAnsi="Arial" w:cs="Arial"/>
          <w:sz w:val="24"/>
          <w:szCs w:val="24"/>
          <w:lang w:val="en-ZA"/>
        </w:rPr>
        <w:t xml:space="preserve">Mr </w:t>
      </w:r>
      <w:proofErr w:type="spellStart"/>
      <w:r w:rsidR="006041E1" w:rsidRPr="00C64DF1">
        <w:rPr>
          <w:rFonts w:ascii="Arial" w:hAnsi="Arial" w:cs="Arial"/>
          <w:iCs/>
          <w:sz w:val="24"/>
          <w:szCs w:val="24"/>
          <w:lang w:val="en-ZA"/>
        </w:rPr>
        <w:t>Mats</w:t>
      </w:r>
      <w:r w:rsidR="002E088F" w:rsidRPr="00C64DF1">
        <w:rPr>
          <w:rFonts w:ascii="Arial" w:hAnsi="Arial" w:cs="Arial"/>
          <w:iCs/>
          <w:sz w:val="24"/>
          <w:szCs w:val="24"/>
          <w:lang w:val="en-ZA"/>
        </w:rPr>
        <w:t>a</w:t>
      </w:r>
      <w:r w:rsidR="006041E1" w:rsidRPr="00C64DF1">
        <w:rPr>
          <w:rFonts w:ascii="Arial" w:hAnsi="Arial" w:cs="Arial"/>
          <w:iCs/>
          <w:sz w:val="24"/>
          <w:szCs w:val="24"/>
          <w:lang w:val="en-ZA"/>
        </w:rPr>
        <w:t>ya</w:t>
      </w:r>
      <w:proofErr w:type="spellEnd"/>
      <w:r w:rsidR="006041E1">
        <w:rPr>
          <w:rFonts w:ascii="Arial" w:hAnsi="Arial" w:cs="Arial"/>
          <w:sz w:val="24"/>
          <w:szCs w:val="24"/>
          <w:lang w:val="en-ZA"/>
        </w:rPr>
        <w:t xml:space="preserve"> testified</w:t>
      </w:r>
      <w:r w:rsidR="006041E1" w:rsidRPr="006041E1">
        <w:rPr>
          <w:rFonts w:ascii="Arial" w:hAnsi="Arial" w:cs="Arial"/>
          <w:i/>
          <w:iCs/>
          <w:sz w:val="24"/>
          <w:szCs w:val="24"/>
          <w:lang w:val="en-ZA"/>
        </w:rPr>
        <w:t>, inter alia</w:t>
      </w:r>
      <w:r w:rsidR="006041E1">
        <w:rPr>
          <w:rFonts w:ascii="Arial" w:hAnsi="Arial" w:cs="Arial"/>
          <w:sz w:val="24"/>
          <w:szCs w:val="24"/>
          <w:lang w:val="en-ZA"/>
        </w:rPr>
        <w:t>, that o</w:t>
      </w:r>
      <w:r w:rsidR="0028303A">
        <w:rPr>
          <w:rFonts w:ascii="Arial" w:hAnsi="Arial" w:cs="Arial"/>
          <w:sz w:val="24"/>
          <w:szCs w:val="24"/>
          <w:lang w:val="en-ZA"/>
        </w:rPr>
        <w:t xml:space="preserve">n 16 September 2017 he was called to fix a microwave, fridge and a washing machine which he carried out with the help of the accused. </w:t>
      </w:r>
      <w:r w:rsidR="00F53CE1">
        <w:rPr>
          <w:rFonts w:ascii="Arial" w:hAnsi="Arial" w:cs="Arial"/>
          <w:sz w:val="24"/>
          <w:szCs w:val="24"/>
          <w:lang w:val="en-ZA"/>
        </w:rPr>
        <w:t xml:space="preserve">He was rewarded for the service rendered after which he handed over some of that money to the accused for his assistance. On Mr </w:t>
      </w:r>
      <w:proofErr w:type="spellStart"/>
      <w:r w:rsidR="00F53CE1">
        <w:rPr>
          <w:rFonts w:ascii="Arial" w:hAnsi="Arial" w:cs="Arial"/>
          <w:sz w:val="24"/>
          <w:szCs w:val="24"/>
          <w:lang w:val="en-ZA"/>
        </w:rPr>
        <w:t>Matsaya’s</w:t>
      </w:r>
      <w:proofErr w:type="spellEnd"/>
      <w:r w:rsidR="00F53CE1">
        <w:rPr>
          <w:rFonts w:ascii="Arial" w:hAnsi="Arial" w:cs="Arial"/>
          <w:sz w:val="24"/>
          <w:szCs w:val="24"/>
          <w:lang w:val="en-ZA"/>
        </w:rPr>
        <w:t xml:space="preserve"> advice</w:t>
      </w:r>
      <w:r w:rsidR="00E860F8">
        <w:rPr>
          <w:rFonts w:ascii="Arial" w:hAnsi="Arial" w:cs="Arial"/>
          <w:sz w:val="24"/>
          <w:szCs w:val="24"/>
          <w:lang w:val="en-ZA"/>
        </w:rPr>
        <w:t>,</w:t>
      </w:r>
      <w:r w:rsidR="00F53CE1">
        <w:rPr>
          <w:rFonts w:ascii="Arial" w:hAnsi="Arial" w:cs="Arial"/>
          <w:sz w:val="24"/>
          <w:szCs w:val="24"/>
          <w:lang w:val="en-ZA"/>
        </w:rPr>
        <w:t xml:space="preserve"> the accused gave N$100 to the deceased for groceries. </w:t>
      </w:r>
      <w:r w:rsidR="00994168">
        <w:rPr>
          <w:rFonts w:ascii="Arial" w:hAnsi="Arial" w:cs="Arial"/>
          <w:sz w:val="24"/>
          <w:szCs w:val="24"/>
          <w:lang w:val="en-ZA"/>
        </w:rPr>
        <w:t xml:space="preserve">The accused </w:t>
      </w:r>
      <w:r w:rsidR="00F53CE1">
        <w:rPr>
          <w:rFonts w:ascii="Arial" w:hAnsi="Arial" w:cs="Arial"/>
          <w:sz w:val="24"/>
          <w:szCs w:val="24"/>
          <w:lang w:val="en-ZA"/>
        </w:rPr>
        <w:t xml:space="preserve">later </w:t>
      </w:r>
      <w:r w:rsidR="00994168">
        <w:rPr>
          <w:rFonts w:ascii="Arial" w:hAnsi="Arial" w:cs="Arial"/>
          <w:sz w:val="24"/>
          <w:szCs w:val="24"/>
          <w:lang w:val="en-ZA"/>
        </w:rPr>
        <w:t xml:space="preserve">demanded </w:t>
      </w:r>
      <w:r w:rsidR="00F53CE1">
        <w:rPr>
          <w:rFonts w:ascii="Arial" w:hAnsi="Arial" w:cs="Arial"/>
          <w:sz w:val="24"/>
          <w:szCs w:val="24"/>
          <w:lang w:val="en-ZA"/>
        </w:rPr>
        <w:t xml:space="preserve">the </w:t>
      </w:r>
      <w:r w:rsidR="00994168">
        <w:rPr>
          <w:rFonts w:ascii="Arial" w:hAnsi="Arial" w:cs="Arial"/>
          <w:sz w:val="24"/>
          <w:szCs w:val="24"/>
          <w:lang w:val="en-ZA"/>
        </w:rPr>
        <w:t xml:space="preserve">N$100 from the deceased </w:t>
      </w:r>
      <w:r w:rsidR="00F53CE1">
        <w:rPr>
          <w:rFonts w:ascii="Arial" w:hAnsi="Arial" w:cs="Arial"/>
          <w:sz w:val="24"/>
          <w:szCs w:val="24"/>
          <w:lang w:val="en-ZA"/>
        </w:rPr>
        <w:t xml:space="preserve">to be given back to him, which demand was refused. </w:t>
      </w:r>
    </w:p>
    <w:p w:rsidR="008111E0" w:rsidRDefault="0028303A" w:rsidP="009C5A45">
      <w:pPr>
        <w:spacing w:line="360" w:lineRule="auto"/>
        <w:jc w:val="both"/>
        <w:rPr>
          <w:rFonts w:ascii="Arial" w:hAnsi="Arial" w:cs="Arial"/>
          <w:sz w:val="24"/>
          <w:szCs w:val="24"/>
          <w:lang w:val="en-ZA"/>
        </w:rPr>
      </w:pPr>
      <w:r>
        <w:rPr>
          <w:rFonts w:ascii="Arial" w:hAnsi="Arial" w:cs="Arial"/>
          <w:sz w:val="24"/>
          <w:szCs w:val="24"/>
          <w:lang w:val="en-ZA"/>
        </w:rPr>
        <w:t>11.2</w:t>
      </w:r>
      <w:r>
        <w:rPr>
          <w:rFonts w:ascii="Arial" w:hAnsi="Arial" w:cs="Arial"/>
          <w:sz w:val="24"/>
          <w:szCs w:val="24"/>
          <w:lang w:val="en-ZA"/>
        </w:rPr>
        <w:tab/>
      </w:r>
      <w:r w:rsidR="002E088F">
        <w:rPr>
          <w:rFonts w:ascii="Arial" w:hAnsi="Arial" w:cs="Arial"/>
          <w:sz w:val="24"/>
          <w:szCs w:val="24"/>
          <w:lang w:val="en-ZA"/>
        </w:rPr>
        <w:t>He testified further that a</w:t>
      </w:r>
      <w:r>
        <w:rPr>
          <w:rFonts w:ascii="Arial" w:hAnsi="Arial" w:cs="Arial"/>
          <w:sz w:val="24"/>
          <w:szCs w:val="24"/>
          <w:lang w:val="en-ZA"/>
        </w:rPr>
        <w:t>t around 17h00 the accused</w:t>
      </w:r>
      <w:r w:rsidR="00FD689A">
        <w:rPr>
          <w:rFonts w:ascii="Arial" w:hAnsi="Arial" w:cs="Arial"/>
          <w:sz w:val="24"/>
          <w:szCs w:val="24"/>
          <w:lang w:val="en-ZA"/>
        </w:rPr>
        <w:t xml:space="preserve"> stood up while the deceased remained s</w:t>
      </w:r>
      <w:r w:rsidR="00CD4C03">
        <w:rPr>
          <w:rFonts w:ascii="Arial" w:hAnsi="Arial" w:cs="Arial"/>
          <w:sz w:val="24"/>
          <w:szCs w:val="24"/>
          <w:lang w:val="en-ZA"/>
        </w:rPr>
        <w:t>ea</w:t>
      </w:r>
      <w:r w:rsidR="00FD689A">
        <w:rPr>
          <w:rFonts w:ascii="Arial" w:hAnsi="Arial" w:cs="Arial"/>
          <w:sz w:val="24"/>
          <w:szCs w:val="24"/>
          <w:lang w:val="en-ZA"/>
        </w:rPr>
        <w:t>t</w:t>
      </w:r>
      <w:r w:rsidR="00CD4C03">
        <w:rPr>
          <w:rFonts w:ascii="Arial" w:hAnsi="Arial" w:cs="Arial"/>
          <w:sz w:val="24"/>
          <w:szCs w:val="24"/>
          <w:lang w:val="en-ZA"/>
        </w:rPr>
        <w:t>ed</w:t>
      </w:r>
      <w:r w:rsidR="00FD689A">
        <w:rPr>
          <w:rFonts w:ascii="Arial" w:hAnsi="Arial" w:cs="Arial"/>
          <w:sz w:val="24"/>
          <w:szCs w:val="24"/>
          <w:lang w:val="en-ZA"/>
        </w:rPr>
        <w:t xml:space="preserve"> and he sla</w:t>
      </w:r>
      <w:r>
        <w:rPr>
          <w:rFonts w:ascii="Arial" w:hAnsi="Arial" w:cs="Arial"/>
          <w:sz w:val="24"/>
          <w:szCs w:val="24"/>
          <w:lang w:val="en-ZA"/>
        </w:rPr>
        <w:t>pp</w:t>
      </w:r>
      <w:r w:rsidR="00FD689A">
        <w:rPr>
          <w:rFonts w:ascii="Arial" w:hAnsi="Arial" w:cs="Arial"/>
          <w:sz w:val="24"/>
          <w:szCs w:val="24"/>
          <w:lang w:val="en-ZA"/>
        </w:rPr>
        <w:t xml:space="preserve">ed her in the face for about three times and </w:t>
      </w:r>
      <w:r w:rsidR="00CD4C03">
        <w:rPr>
          <w:rFonts w:ascii="Arial" w:hAnsi="Arial" w:cs="Arial"/>
          <w:sz w:val="24"/>
          <w:szCs w:val="24"/>
          <w:lang w:val="en-ZA"/>
        </w:rPr>
        <w:t xml:space="preserve">further </w:t>
      </w:r>
      <w:r>
        <w:rPr>
          <w:rFonts w:ascii="Arial" w:hAnsi="Arial" w:cs="Arial"/>
          <w:sz w:val="24"/>
          <w:szCs w:val="24"/>
          <w:lang w:val="en-ZA"/>
        </w:rPr>
        <w:t>kick</w:t>
      </w:r>
      <w:r w:rsidR="00FD689A">
        <w:rPr>
          <w:rFonts w:ascii="Arial" w:hAnsi="Arial" w:cs="Arial"/>
          <w:sz w:val="24"/>
          <w:szCs w:val="24"/>
          <w:lang w:val="en-ZA"/>
        </w:rPr>
        <w:t>ed</w:t>
      </w:r>
      <w:r>
        <w:rPr>
          <w:rFonts w:ascii="Arial" w:hAnsi="Arial" w:cs="Arial"/>
          <w:sz w:val="24"/>
          <w:szCs w:val="24"/>
          <w:lang w:val="en-ZA"/>
        </w:rPr>
        <w:t xml:space="preserve"> her</w:t>
      </w:r>
      <w:r w:rsidR="00FD689A">
        <w:rPr>
          <w:rFonts w:ascii="Arial" w:hAnsi="Arial" w:cs="Arial"/>
          <w:sz w:val="24"/>
          <w:szCs w:val="24"/>
          <w:lang w:val="en-ZA"/>
        </w:rPr>
        <w:t xml:space="preserve"> </w:t>
      </w:r>
      <w:r w:rsidR="00CD4C03">
        <w:rPr>
          <w:rFonts w:ascii="Arial" w:hAnsi="Arial" w:cs="Arial"/>
          <w:sz w:val="24"/>
          <w:szCs w:val="24"/>
          <w:lang w:val="en-ZA"/>
        </w:rPr>
        <w:t xml:space="preserve">legs </w:t>
      </w:r>
      <w:r w:rsidR="00FD689A">
        <w:rPr>
          <w:rFonts w:ascii="Arial" w:hAnsi="Arial" w:cs="Arial"/>
          <w:sz w:val="24"/>
          <w:szCs w:val="24"/>
          <w:lang w:val="en-ZA"/>
        </w:rPr>
        <w:t xml:space="preserve">three times while wearing shoes. </w:t>
      </w:r>
      <w:r w:rsidR="005860BA">
        <w:rPr>
          <w:rFonts w:ascii="Arial" w:hAnsi="Arial" w:cs="Arial"/>
          <w:sz w:val="24"/>
          <w:szCs w:val="24"/>
          <w:lang w:val="en-ZA"/>
        </w:rPr>
        <w:t xml:space="preserve">During the assault, the deceased was seated while covering her face. </w:t>
      </w:r>
      <w:r w:rsidR="00FD689A">
        <w:rPr>
          <w:rFonts w:ascii="Arial" w:hAnsi="Arial" w:cs="Arial"/>
          <w:sz w:val="24"/>
          <w:szCs w:val="24"/>
          <w:lang w:val="en-ZA"/>
        </w:rPr>
        <w:t xml:space="preserve">The accused ceased from assaulting the deceased when he was </w:t>
      </w:r>
      <w:r>
        <w:rPr>
          <w:rFonts w:ascii="Arial" w:hAnsi="Arial" w:cs="Arial"/>
          <w:sz w:val="24"/>
          <w:szCs w:val="24"/>
          <w:lang w:val="en-ZA"/>
        </w:rPr>
        <w:t xml:space="preserve">requested </w:t>
      </w:r>
      <w:r w:rsidR="008111E0">
        <w:rPr>
          <w:rFonts w:ascii="Arial" w:hAnsi="Arial" w:cs="Arial"/>
          <w:sz w:val="24"/>
          <w:szCs w:val="24"/>
          <w:lang w:val="en-ZA"/>
        </w:rPr>
        <w:t>to stop</w:t>
      </w:r>
      <w:r w:rsidR="00CD4C03">
        <w:rPr>
          <w:rFonts w:ascii="Arial" w:hAnsi="Arial" w:cs="Arial"/>
          <w:sz w:val="24"/>
          <w:szCs w:val="24"/>
          <w:lang w:val="en-ZA"/>
        </w:rPr>
        <w:t xml:space="preserve"> by Mr </w:t>
      </w:r>
      <w:proofErr w:type="spellStart"/>
      <w:r w:rsidR="00CD4C03">
        <w:rPr>
          <w:rFonts w:ascii="Arial" w:hAnsi="Arial" w:cs="Arial"/>
          <w:sz w:val="24"/>
          <w:szCs w:val="24"/>
          <w:lang w:val="en-ZA"/>
        </w:rPr>
        <w:t>Matsaya</w:t>
      </w:r>
      <w:proofErr w:type="spellEnd"/>
      <w:r w:rsidR="008111E0">
        <w:rPr>
          <w:rFonts w:ascii="Arial" w:hAnsi="Arial" w:cs="Arial"/>
          <w:sz w:val="24"/>
          <w:szCs w:val="24"/>
          <w:lang w:val="en-ZA"/>
        </w:rPr>
        <w:t xml:space="preserve">. </w:t>
      </w:r>
      <w:r w:rsidR="00FD689A">
        <w:rPr>
          <w:rFonts w:ascii="Arial" w:hAnsi="Arial" w:cs="Arial"/>
          <w:sz w:val="24"/>
          <w:szCs w:val="24"/>
          <w:lang w:val="en-ZA"/>
        </w:rPr>
        <w:t>The decease</w:t>
      </w:r>
      <w:r w:rsidR="0088245D">
        <w:rPr>
          <w:rFonts w:ascii="Arial" w:hAnsi="Arial" w:cs="Arial"/>
          <w:sz w:val="24"/>
          <w:szCs w:val="24"/>
          <w:lang w:val="en-ZA"/>
        </w:rPr>
        <w:t>d</w:t>
      </w:r>
      <w:r w:rsidR="00FD689A">
        <w:rPr>
          <w:rFonts w:ascii="Arial" w:hAnsi="Arial" w:cs="Arial"/>
          <w:sz w:val="24"/>
          <w:szCs w:val="24"/>
          <w:lang w:val="en-ZA"/>
        </w:rPr>
        <w:t xml:space="preserve"> did not sustain injuries.</w:t>
      </w:r>
    </w:p>
    <w:p w:rsidR="00954B19" w:rsidRDefault="0088245D" w:rsidP="009C5A45">
      <w:pPr>
        <w:spacing w:line="360" w:lineRule="auto"/>
        <w:jc w:val="both"/>
        <w:rPr>
          <w:rFonts w:ascii="Arial" w:hAnsi="Arial" w:cs="Arial"/>
          <w:sz w:val="24"/>
          <w:szCs w:val="24"/>
          <w:u w:val="single"/>
          <w:lang w:val="en-ZA"/>
        </w:rPr>
      </w:pPr>
      <w:r>
        <w:rPr>
          <w:rFonts w:ascii="Arial" w:hAnsi="Arial" w:cs="Arial"/>
          <w:sz w:val="24"/>
          <w:szCs w:val="24"/>
          <w:u w:val="single"/>
          <w:lang w:val="en-ZA"/>
        </w:rPr>
        <w:t>In respect of coun</w:t>
      </w:r>
      <w:r w:rsidR="00954B19" w:rsidRPr="00954B19">
        <w:rPr>
          <w:rFonts w:ascii="Arial" w:hAnsi="Arial" w:cs="Arial"/>
          <w:sz w:val="24"/>
          <w:szCs w:val="24"/>
          <w:u w:val="single"/>
          <w:lang w:val="en-ZA"/>
        </w:rPr>
        <w:t>t 4:</w:t>
      </w:r>
    </w:p>
    <w:p w:rsidR="00902AB1" w:rsidRDefault="00902AB1" w:rsidP="009C5A45">
      <w:pPr>
        <w:spacing w:line="360" w:lineRule="auto"/>
        <w:jc w:val="both"/>
        <w:rPr>
          <w:rFonts w:ascii="Arial" w:hAnsi="Arial" w:cs="Arial"/>
          <w:sz w:val="24"/>
          <w:szCs w:val="24"/>
          <w:lang w:val="en-ZA"/>
        </w:rPr>
      </w:pPr>
      <w:r w:rsidRPr="00902AB1">
        <w:rPr>
          <w:rFonts w:ascii="Arial" w:hAnsi="Arial" w:cs="Arial"/>
          <w:sz w:val="24"/>
          <w:szCs w:val="24"/>
          <w:lang w:val="en-ZA"/>
        </w:rPr>
        <w:t>11.3</w:t>
      </w:r>
      <w:r>
        <w:rPr>
          <w:rFonts w:ascii="Arial" w:hAnsi="Arial" w:cs="Arial"/>
          <w:sz w:val="24"/>
          <w:szCs w:val="24"/>
          <w:lang w:val="en-ZA"/>
        </w:rPr>
        <w:tab/>
      </w:r>
      <w:r w:rsidR="002E088F">
        <w:rPr>
          <w:rFonts w:ascii="Arial" w:hAnsi="Arial" w:cs="Arial"/>
          <w:sz w:val="24"/>
          <w:szCs w:val="24"/>
          <w:lang w:val="en-ZA"/>
        </w:rPr>
        <w:t xml:space="preserve">Mr </w:t>
      </w:r>
      <w:proofErr w:type="spellStart"/>
      <w:r w:rsidR="002E088F" w:rsidRPr="00C64DF1">
        <w:rPr>
          <w:rFonts w:ascii="Arial" w:hAnsi="Arial" w:cs="Arial"/>
          <w:iCs/>
          <w:sz w:val="24"/>
          <w:szCs w:val="24"/>
          <w:lang w:val="en-ZA"/>
        </w:rPr>
        <w:t>Matsaya</w:t>
      </w:r>
      <w:proofErr w:type="spellEnd"/>
      <w:r w:rsidR="002E088F">
        <w:rPr>
          <w:rFonts w:ascii="Arial" w:hAnsi="Arial" w:cs="Arial"/>
          <w:sz w:val="24"/>
          <w:szCs w:val="24"/>
          <w:lang w:val="en-ZA"/>
        </w:rPr>
        <w:t xml:space="preserve"> testified that at </w:t>
      </w:r>
      <w:r>
        <w:rPr>
          <w:rFonts w:ascii="Arial" w:hAnsi="Arial" w:cs="Arial"/>
          <w:sz w:val="24"/>
          <w:szCs w:val="24"/>
          <w:lang w:val="en-ZA"/>
        </w:rPr>
        <w:t>around 20h00 o</w:t>
      </w:r>
      <w:r w:rsidR="00E860F8">
        <w:rPr>
          <w:rFonts w:ascii="Arial" w:hAnsi="Arial" w:cs="Arial"/>
          <w:sz w:val="24"/>
          <w:szCs w:val="24"/>
          <w:lang w:val="en-ZA"/>
        </w:rPr>
        <w:t>n</w:t>
      </w:r>
      <w:r>
        <w:rPr>
          <w:rFonts w:ascii="Arial" w:hAnsi="Arial" w:cs="Arial"/>
          <w:sz w:val="24"/>
          <w:szCs w:val="24"/>
          <w:lang w:val="en-ZA"/>
        </w:rPr>
        <w:t xml:space="preserve"> 16 September 2017, while he was drinking alcohol with the accused and the deceased, the deceased stood up saying </w:t>
      </w:r>
      <w:r w:rsidR="00CD4C03">
        <w:rPr>
          <w:rFonts w:ascii="Arial" w:hAnsi="Arial" w:cs="Arial"/>
          <w:sz w:val="24"/>
          <w:szCs w:val="24"/>
          <w:lang w:val="en-ZA"/>
        </w:rPr>
        <w:t>s</w:t>
      </w:r>
      <w:r>
        <w:rPr>
          <w:rFonts w:ascii="Arial" w:hAnsi="Arial" w:cs="Arial"/>
          <w:sz w:val="24"/>
          <w:szCs w:val="24"/>
          <w:lang w:val="en-ZA"/>
        </w:rPr>
        <w:t xml:space="preserve">he was heading to the house to prepare dinner. </w:t>
      </w:r>
    </w:p>
    <w:p w:rsidR="007631BF" w:rsidRDefault="00902AB1" w:rsidP="009C5A45">
      <w:pPr>
        <w:spacing w:line="360" w:lineRule="auto"/>
        <w:jc w:val="both"/>
        <w:rPr>
          <w:rFonts w:ascii="Arial" w:hAnsi="Arial" w:cs="Arial"/>
          <w:sz w:val="24"/>
          <w:szCs w:val="24"/>
          <w:lang w:val="en-ZA"/>
        </w:rPr>
      </w:pPr>
      <w:r>
        <w:rPr>
          <w:rFonts w:ascii="Arial" w:hAnsi="Arial" w:cs="Arial"/>
          <w:sz w:val="24"/>
          <w:szCs w:val="24"/>
          <w:lang w:val="en-ZA"/>
        </w:rPr>
        <w:t>11.4</w:t>
      </w:r>
      <w:r w:rsidR="00EA2B92">
        <w:rPr>
          <w:rFonts w:ascii="Arial" w:hAnsi="Arial" w:cs="Arial"/>
          <w:sz w:val="24"/>
          <w:szCs w:val="24"/>
          <w:lang w:val="en-ZA"/>
        </w:rPr>
        <w:tab/>
        <w:t xml:space="preserve">When she entered the house, the accused followed her into the house and assaulted her. Mr </w:t>
      </w:r>
      <w:proofErr w:type="spellStart"/>
      <w:r w:rsidR="00EA2B92" w:rsidRPr="00C64DF1">
        <w:rPr>
          <w:rFonts w:ascii="Arial" w:hAnsi="Arial" w:cs="Arial"/>
          <w:iCs/>
          <w:sz w:val="24"/>
          <w:szCs w:val="24"/>
          <w:lang w:val="en-ZA"/>
        </w:rPr>
        <w:t>Matsaya</w:t>
      </w:r>
      <w:proofErr w:type="spellEnd"/>
      <w:r w:rsidR="00EA2B92" w:rsidRPr="00C64DF1">
        <w:rPr>
          <w:rFonts w:ascii="Arial" w:hAnsi="Arial" w:cs="Arial"/>
          <w:sz w:val="24"/>
          <w:szCs w:val="24"/>
          <w:lang w:val="en-ZA"/>
        </w:rPr>
        <w:t xml:space="preserve"> </w:t>
      </w:r>
      <w:r w:rsidR="00EA2B92">
        <w:rPr>
          <w:rFonts w:ascii="Arial" w:hAnsi="Arial" w:cs="Arial"/>
          <w:sz w:val="24"/>
          <w:szCs w:val="24"/>
          <w:lang w:val="en-ZA"/>
        </w:rPr>
        <w:t xml:space="preserve">heard the </w:t>
      </w:r>
      <w:r w:rsidR="005860BA">
        <w:rPr>
          <w:rFonts w:ascii="Arial" w:hAnsi="Arial" w:cs="Arial"/>
          <w:sz w:val="24"/>
          <w:szCs w:val="24"/>
          <w:lang w:val="en-ZA"/>
        </w:rPr>
        <w:t xml:space="preserve">accused and the deceased </w:t>
      </w:r>
      <w:r w:rsidR="00EA2B92">
        <w:rPr>
          <w:rFonts w:ascii="Arial" w:hAnsi="Arial" w:cs="Arial"/>
          <w:sz w:val="24"/>
          <w:szCs w:val="24"/>
          <w:lang w:val="en-ZA"/>
        </w:rPr>
        <w:t>quarre</w:t>
      </w:r>
      <w:r w:rsidR="00F00578">
        <w:rPr>
          <w:rFonts w:ascii="Arial" w:hAnsi="Arial" w:cs="Arial"/>
          <w:sz w:val="24"/>
          <w:szCs w:val="24"/>
          <w:lang w:val="en-ZA"/>
        </w:rPr>
        <w:t xml:space="preserve">l and </w:t>
      </w:r>
      <w:r w:rsidR="005860BA">
        <w:rPr>
          <w:rFonts w:ascii="Arial" w:hAnsi="Arial" w:cs="Arial"/>
          <w:sz w:val="24"/>
          <w:szCs w:val="24"/>
          <w:lang w:val="en-ZA"/>
        </w:rPr>
        <w:t xml:space="preserve">further </w:t>
      </w:r>
      <w:r w:rsidR="00F00578">
        <w:rPr>
          <w:rFonts w:ascii="Arial" w:hAnsi="Arial" w:cs="Arial"/>
          <w:sz w:val="24"/>
          <w:szCs w:val="24"/>
          <w:lang w:val="en-ZA"/>
        </w:rPr>
        <w:t>heard when accused assaulted the deceased</w:t>
      </w:r>
      <w:r w:rsidR="005860BA">
        <w:rPr>
          <w:rFonts w:ascii="Arial" w:hAnsi="Arial" w:cs="Arial"/>
          <w:sz w:val="24"/>
          <w:szCs w:val="24"/>
          <w:lang w:val="en-ZA"/>
        </w:rPr>
        <w:t xml:space="preserve">, so he claimed. </w:t>
      </w:r>
      <w:r w:rsidR="00EA2B92">
        <w:rPr>
          <w:rFonts w:ascii="Arial" w:hAnsi="Arial" w:cs="Arial"/>
          <w:sz w:val="24"/>
          <w:szCs w:val="24"/>
          <w:lang w:val="en-ZA"/>
        </w:rPr>
        <w:t xml:space="preserve">Mr. </w:t>
      </w:r>
      <w:proofErr w:type="spellStart"/>
      <w:r w:rsidR="00EA2B92" w:rsidRPr="00C64DF1">
        <w:rPr>
          <w:rFonts w:ascii="Arial" w:hAnsi="Arial" w:cs="Arial"/>
          <w:iCs/>
          <w:sz w:val="24"/>
          <w:szCs w:val="24"/>
          <w:lang w:val="en-ZA"/>
        </w:rPr>
        <w:t>Matsaya</w:t>
      </w:r>
      <w:proofErr w:type="spellEnd"/>
      <w:r w:rsidR="00EA2B92">
        <w:rPr>
          <w:rFonts w:ascii="Arial" w:hAnsi="Arial" w:cs="Arial"/>
          <w:sz w:val="24"/>
          <w:szCs w:val="24"/>
          <w:lang w:val="en-ZA"/>
        </w:rPr>
        <w:t xml:space="preserve"> went to the </w:t>
      </w:r>
      <w:r w:rsidR="005860BA">
        <w:rPr>
          <w:rFonts w:ascii="Arial" w:hAnsi="Arial" w:cs="Arial"/>
          <w:sz w:val="24"/>
          <w:szCs w:val="24"/>
          <w:lang w:val="en-ZA"/>
        </w:rPr>
        <w:t xml:space="preserve">said </w:t>
      </w:r>
      <w:r w:rsidR="00EA2B92">
        <w:rPr>
          <w:rFonts w:ascii="Arial" w:hAnsi="Arial" w:cs="Arial"/>
          <w:sz w:val="24"/>
          <w:szCs w:val="24"/>
          <w:lang w:val="en-ZA"/>
        </w:rPr>
        <w:t>house and as he was entering the house, the decease</w:t>
      </w:r>
      <w:r w:rsidR="005860BA">
        <w:rPr>
          <w:rFonts w:ascii="Arial" w:hAnsi="Arial" w:cs="Arial"/>
          <w:sz w:val="24"/>
          <w:szCs w:val="24"/>
          <w:lang w:val="en-ZA"/>
        </w:rPr>
        <w:t>d</w:t>
      </w:r>
      <w:r w:rsidR="00EA2B92">
        <w:rPr>
          <w:rFonts w:ascii="Arial" w:hAnsi="Arial" w:cs="Arial"/>
          <w:sz w:val="24"/>
          <w:szCs w:val="24"/>
          <w:lang w:val="en-ZA"/>
        </w:rPr>
        <w:t xml:space="preserve"> screamed ‘</w:t>
      </w:r>
      <w:r w:rsidR="00EA2B92" w:rsidRPr="00EA2B92">
        <w:rPr>
          <w:rFonts w:ascii="Arial" w:hAnsi="Arial" w:cs="Arial"/>
          <w:lang w:val="en-ZA"/>
        </w:rPr>
        <w:t>stop, stop</w:t>
      </w:r>
      <w:r w:rsidR="00EA2B92">
        <w:rPr>
          <w:rFonts w:ascii="Arial" w:hAnsi="Arial" w:cs="Arial"/>
          <w:sz w:val="24"/>
          <w:szCs w:val="24"/>
          <w:lang w:val="en-ZA"/>
        </w:rPr>
        <w:t xml:space="preserve">’ </w:t>
      </w:r>
      <w:r w:rsidR="007631BF">
        <w:rPr>
          <w:rFonts w:ascii="Arial" w:hAnsi="Arial" w:cs="Arial"/>
          <w:sz w:val="24"/>
          <w:szCs w:val="24"/>
          <w:lang w:val="en-ZA"/>
        </w:rPr>
        <w:t xml:space="preserve">while she was covering her face. </w:t>
      </w:r>
    </w:p>
    <w:p w:rsidR="00954B19" w:rsidRDefault="007631BF" w:rsidP="009C5A45">
      <w:pPr>
        <w:spacing w:line="360" w:lineRule="auto"/>
        <w:jc w:val="both"/>
        <w:rPr>
          <w:rFonts w:ascii="Arial" w:hAnsi="Arial" w:cs="Arial"/>
          <w:sz w:val="24"/>
          <w:szCs w:val="24"/>
          <w:u w:val="single"/>
          <w:lang w:val="en-ZA"/>
        </w:rPr>
      </w:pPr>
      <w:r>
        <w:rPr>
          <w:rFonts w:ascii="Arial" w:hAnsi="Arial" w:cs="Arial"/>
          <w:sz w:val="24"/>
          <w:szCs w:val="24"/>
          <w:lang w:val="en-ZA"/>
        </w:rPr>
        <w:t>11.5</w:t>
      </w:r>
      <w:r>
        <w:rPr>
          <w:rFonts w:ascii="Arial" w:hAnsi="Arial" w:cs="Arial"/>
          <w:sz w:val="24"/>
          <w:szCs w:val="24"/>
          <w:lang w:val="en-ZA"/>
        </w:rPr>
        <w:tab/>
        <w:t xml:space="preserve">Mr </w:t>
      </w:r>
      <w:proofErr w:type="spellStart"/>
      <w:r w:rsidRPr="00C64DF1">
        <w:rPr>
          <w:rFonts w:ascii="Arial" w:hAnsi="Arial" w:cs="Arial"/>
          <w:iCs/>
          <w:sz w:val="24"/>
          <w:szCs w:val="24"/>
          <w:lang w:val="en-ZA"/>
        </w:rPr>
        <w:t>Matsaya</w:t>
      </w:r>
      <w:proofErr w:type="spellEnd"/>
      <w:r>
        <w:rPr>
          <w:rFonts w:ascii="Arial" w:hAnsi="Arial" w:cs="Arial"/>
          <w:sz w:val="24"/>
          <w:szCs w:val="24"/>
          <w:lang w:val="en-ZA"/>
        </w:rPr>
        <w:t xml:space="preserve"> inquired from the accused as to the reasons</w:t>
      </w:r>
      <w:r w:rsidR="00AE23BC">
        <w:rPr>
          <w:rFonts w:ascii="Arial" w:hAnsi="Arial" w:cs="Arial"/>
          <w:sz w:val="24"/>
          <w:szCs w:val="24"/>
          <w:lang w:val="en-ZA"/>
        </w:rPr>
        <w:t xml:space="preserve"> why</w:t>
      </w:r>
      <w:r>
        <w:rPr>
          <w:rFonts w:ascii="Arial" w:hAnsi="Arial" w:cs="Arial"/>
          <w:sz w:val="24"/>
          <w:szCs w:val="24"/>
          <w:lang w:val="en-ZA"/>
        </w:rPr>
        <w:t xml:space="preserve"> he </w:t>
      </w:r>
      <w:r w:rsidR="00E860F8">
        <w:rPr>
          <w:rFonts w:ascii="Arial" w:hAnsi="Arial" w:cs="Arial"/>
          <w:sz w:val="24"/>
          <w:szCs w:val="24"/>
          <w:lang w:val="en-ZA"/>
        </w:rPr>
        <w:t xml:space="preserve">just </w:t>
      </w:r>
      <w:r>
        <w:rPr>
          <w:rFonts w:ascii="Arial" w:hAnsi="Arial" w:cs="Arial"/>
          <w:sz w:val="24"/>
          <w:szCs w:val="24"/>
          <w:lang w:val="en-ZA"/>
        </w:rPr>
        <w:t>assaulted the deceased, to which the accused responde</w:t>
      </w:r>
      <w:r w:rsidR="00E860F8">
        <w:rPr>
          <w:rFonts w:ascii="Arial" w:hAnsi="Arial" w:cs="Arial"/>
          <w:sz w:val="24"/>
          <w:szCs w:val="24"/>
          <w:lang w:val="en-ZA"/>
        </w:rPr>
        <w:t>d</w:t>
      </w:r>
      <w:r>
        <w:rPr>
          <w:rFonts w:ascii="Arial" w:hAnsi="Arial" w:cs="Arial"/>
          <w:sz w:val="24"/>
          <w:szCs w:val="24"/>
          <w:lang w:val="en-ZA"/>
        </w:rPr>
        <w:t xml:space="preserve"> that it was due to the deceased withholding his money. </w:t>
      </w:r>
    </w:p>
    <w:p w:rsidR="007128D8" w:rsidRDefault="007128D8" w:rsidP="009C5A45">
      <w:pPr>
        <w:spacing w:line="360" w:lineRule="auto"/>
        <w:jc w:val="both"/>
        <w:rPr>
          <w:rFonts w:ascii="Arial" w:hAnsi="Arial" w:cs="Arial"/>
          <w:sz w:val="24"/>
          <w:szCs w:val="24"/>
          <w:u w:val="single"/>
          <w:lang w:val="en-ZA"/>
        </w:rPr>
      </w:pPr>
    </w:p>
    <w:p w:rsidR="007128D8" w:rsidRDefault="007128D8" w:rsidP="009C5A45">
      <w:pPr>
        <w:spacing w:line="360" w:lineRule="auto"/>
        <w:jc w:val="both"/>
        <w:rPr>
          <w:rFonts w:ascii="Arial" w:hAnsi="Arial" w:cs="Arial"/>
          <w:sz w:val="24"/>
          <w:szCs w:val="24"/>
          <w:u w:val="single"/>
          <w:lang w:val="en-ZA"/>
        </w:rPr>
      </w:pPr>
    </w:p>
    <w:p w:rsidR="00954B19" w:rsidRPr="00954B19" w:rsidRDefault="00954B19" w:rsidP="009C5A45">
      <w:pPr>
        <w:spacing w:line="360" w:lineRule="auto"/>
        <w:jc w:val="both"/>
        <w:rPr>
          <w:rFonts w:ascii="Arial" w:hAnsi="Arial" w:cs="Arial"/>
          <w:sz w:val="24"/>
          <w:szCs w:val="24"/>
          <w:u w:val="single"/>
          <w:lang w:val="en-ZA"/>
        </w:rPr>
      </w:pPr>
      <w:r>
        <w:rPr>
          <w:rFonts w:ascii="Arial" w:hAnsi="Arial" w:cs="Arial"/>
          <w:sz w:val="24"/>
          <w:szCs w:val="24"/>
          <w:u w:val="single"/>
          <w:lang w:val="en-ZA"/>
        </w:rPr>
        <w:lastRenderedPageBreak/>
        <w:t>In respect of count 5:</w:t>
      </w:r>
    </w:p>
    <w:p w:rsidR="00E650C5" w:rsidRPr="00C64DF1" w:rsidRDefault="0028303A" w:rsidP="009C5A45">
      <w:pPr>
        <w:spacing w:line="360" w:lineRule="auto"/>
        <w:jc w:val="both"/>
        <w:rPr>
          <w:rFonts w:ascii="Arial" w:hAnsi="Arial" w:cs="Arial"/>
          <w:sz w:val="24"/>
          <w:szCs w:val="24"/>
          <w:lang w:val="en-ZA"/>
        </w:rPr>
      </w:pPr>
      <w:r>
        <w:rPr>
          <w:rFonts w:ascii="Arial" w:hAnsi="Arial" w:cs="Arial"/>
          <w:sz w:val="24"/>
          <w:szCs w:val="24"/>
          <w:lang w:val="en-ZA"/>
        </w:rPr>
        <w:t>11.</w:t>
      </w:r>
      <w:r w:rsidR="002E088F">
        <w:rPr>
          <w:rFonts w:ascii="Arial" w:hAnsi="Arial" w:cs="Arial"/>
          <w:sz w:val="24"/>
          <w:szCs w:val="24"/>
          <w:lang w:val="en-ZA"/>
        </w:rPr>
        <w:t>6</w:t>
      </w:r>
      <w:r w:rsidR="00E650C5">
        <w:rPr>
          <w:rFonts w:ascii="Arial" w:hAnsi="Arial" w:cs="Arial"/>
          <w:sz w:val="24"/>
          <w:szCs w:val="24"/>
          <w:lang w:val="en-ZA"/>
        </w:rPr>
        <w:tab/>
        <w:t xml:space="preserve">Sgt </w:t>
      </w:r>
      <w:proofErr w:type="spellStart"/>
      <w:r w:rsidR="00E650C5" w:rsidRPr="00C64DF1">
        <w:rPr>
          <w:rFonts w:ascii="Arial" w:hAnsi="Arial" w:cs="Arial"/>
          <w:iCs/>
          <w:sz w:val="24"/>
          <w:szCs w:val="24"/>
          <w:lang w:val="en-ZA"/>
        </w:rPr>
        <w:t>Jarson</w:t>
      </w:r>
      <w:proofErr w:type="spellEnd"/>
      <w:r w:rsidR="00E650C5">
        <w:rPr>
          <w:rFonts w:ascii="Arial" w:hAnsi="Arial" w:cs="Arial"/>
          <w:sz w:val="24"/>
          <w:szCs w:val="24"/>
          <w:lang w:val="en-ZA"/>
        </w:rPr>
        <w:t xml:space="preserve"> testified that upon explaining the legal rights to the accused, </w:t>
      </w:r>
      <w:r w:rsidR="005860BA">
        <w:rPr>
          <w:rFonts w:ascii="Arial" w:hAnsi="Arial" w:cs="Arial"/>
          <w:sz w:val="24"/>
          <w:szCs w:val="24"/>
          <w:lang w:val="en-ZA"/>
        </w:rPr>
        <w:t xml:space="preserve">the accused </w:t>
      </w:r>
      <w:r w:rsidR="00E650C5">
        <w:rPr>
          <w:rFonts w:ascii="Arial" w:hAnsi="Arial" w:cs="Arial"/>
          <w:sz w:val="24"/>
          <w:szCs w:val="24"/>
          <w:lang w:val="en-ZA"/>
        </w:rPr>
        <w:t xml:space="preserve">opted to inform her </w:t>
      </w:r>
      <w:r w:rsidR="005860BA">
        <w:rPr>
          <w:rFonts w:ascii="Arial" w:hAnsi="Arial" w:cs="Arial"/>
          <w:sz w:val="24"/>
          <w:szCs w:val="24"/>
          <w:lang w:val="en-ZA"/>
        </w:rPr>
        <w:t xml:space="preserve">of </w:t>
      </w:r>
      <w:r w:rsidR="00E650C5">
        <w:rPr>
          <w:rFonts w:ascii="Arial" w:hAnsi="Arial" w:cs="Arial"/>
          <w:sz w:val="24"/>
          <w:szCs w:val="24"/>
          <w:lang w:val="en-ZA"/>
        </w:rPr>
        <w:t xml:space="preserve">what happened. He said he was very drunk but remembers stabbing the deceased and Mr </w:t>
      </w:r>
      <w:proofErr w:type="spellStart"/>
      <w:r w:rsidR="00E650C5" w:rsidRPr="00C64DF1">
        <w:rPr>
          <w:rFonts w:ascii="Arial" w:hAnsi="Arial" w:cs="Arial"/>
          <w:iCs/>
          <w:sz w:val="24"/>
          <w:szCs w:val="24"/>
          <w:lang w:val="en-ZA"/>
        </w:rPr>
        <w:t>Gadi</w:t>
      </w:r>
      <w:proofErr w:type="spellEnd"/>
      <w:r w:rsidR="00E650C5" w:rsidRPr="00C64DF1">
        <w:rPr>
          <w:rFonts w:ascii="Arial" w:hAnsi="Arial" w:cs="Arial"/>
          <w:sz w:val="24"/>
          <w:szCs w:val="24"/>
          <w:lang w:val="en-ZA"/>
        </w:rPr>
        <w:t>.</w:t>
      </w:r>
    </w:p>
    <w:p w:rsidR="0001658C" w:rsidRDefault="00E650C5" w:rsidP="009C5A45">
      <w:pPr>
        <w:spacing w:line="360" w:lineRule="auto"/>
        <w:jc w:val="both"/>
        <w:rPr>
          <w:rFonts w:ascii="Arial" w:hAnsi="Arial" w:cs="Arial"/>
          <w:sz w:val="24"/>
          <w:szCs w:val="24"/>
          <w:lang w:val="en-ZA"/>
        </w:rPr>
      </w:pPr>
      <w:r>
        <w:rPr>
          <w:rFonts w:ascii="Arial" w:hAnsi="Arial" w:cs="Arial"/>
          <w:sz w:val="24"/>
          <w:szCs w:val="24"/>
          <w:lang w:val="en-ZA"/>
        </w:rPr>
        <w:t>11.</w:t>
      </w:r>
      <w:r w:rsidR="002E088F">
        <w:rPr>
          <w:rFonts w:ascii="Arial" w:hAnsi="Arial" w:cs="Arial"/>
          <w:sz w:val="24"/>
          <w:szCs w:val="24"/>
          <w:lang w:val="en-ZA"/>
        </w:rPr>
        <w:t>7</w:t>
      </w:r>
      <w:r w:rsidR="00F45A19">
        <w:rPr>
          <w:rFonts w:ascii="Arial" w:hAnsi="Arial" w:cs="Arial"/>
          <w:sz w:val="24"/>
          <w:szCs w:val="24"/>
          <w:lang w:val="en-ZA"/>
        </w:rPr>
        <w:tab/>
      </w:r>
      <w:r w:rsidR="00CB1A24">
        <w:rPr>
          <w:rFonts w:ascii="Arial" w:hAnsi="Arial" w:cs="Arial"/>
          <w:sz w:val="24"/>
          <w:szCs w:val="24"/>
          <w:lang w:val="en-ZA"/>
        </w:rPr>
        <w:t xml:space="preserve">Sgt </w:t>
      </w:r>
      <w:proofErr w:type="spellStart"/>
      <w:r w:rsidR="00CB1A24" w:rsidRPr="00C64DF1">
        <w:rPr>
          <w:rFonts w:ascii="Arial" w:hAnsi="Arial" w:cs="Arial"/>
          <w:iCs/>
          <w:sz w:val="24"/>
          <w:szCs w:val="24"/>
          <w:lang w:val="en-ZA"/>
        </w:rPr>
        <w:t>Jarson</w:t>
      </w:r>
      <w:proofErr w:type="spellEnd"/>
      <w:r w:rsidR="00CB1A24">
        <w:rPr>
          <w:rFonts w:ascii="Arial" w:hAnsi="Arial" w:cs="Arial"/>
          <w:sz w:val="24"/>
          <w:szCs w:val="24"/>
          <w:lang w:val="en-ZA"/>
        </w:rPr>
        <w:t xml:space="preserve"> testified further that w</w:t>
      </w:r>
      <w:r w:rsidR="00A80B6F">
        <w:rPr>
          <w:rFonts w:ascii="Arial" w:hAnsi="Arial" w:cs="Arial"/>
          <w:sz w:val="24"/>
          <w:szCs w:val="24"/>
          <w:lang w:val="en-ZA"/>
        </w:rPr>
        <w:t xml:space="preserve">hen </w:t>
      </w:r>
      <w:r w:rsidR="005860BA">
        <w:rPr>
          <w:rFonts w:ascii="Arial" w:hAnsi="Arial" w:cs="Arial"/>
          <w:sz w:val="24"/>
          <w:szCs w:val="24"/>
          <w:lang w:val="en-ZA"/>
        </w:rPr>
        <w:t xml:space="preserve">the accused </w:t>
      </w:r>
      <w:r w:rsidR="00A80B6F">
        <w:rPr>
          <w:rFonts w:ascii="Arial" w:hAnsi="Arial" w:cs="Arial"/>
          <w:sz w:val="24"/>
          <w:szCs w:val="24"/>
          <w:lang w:val="en-ZA"/>
        </w:rPr>
        <w:t>was asked about the whereabouts of the knife used to stab the deceased, the accused responde</w:t>
      </w:r>
      <w:r w:rsidR="005860BA">
        <w:rPr>
          <w:rFonts w:ascii="Arial" w:hAnsi="Arial" w:cs="Arial"/>
          <w:sz w:val="24"/>
          <w:szCs w:val="24"/>
          <w:lang w:val="en-ZA"/>
        </w:rPr>
        <w:t>d</w:t>
      </w:r>
      <w:r w:rsidR="00A80B6F">
        <w:rPr>
          <w:rFonts w:ascii="Arial" w:hAnsi="Arial" w:cs="Arial"/>
          <w:sz w:val="24"/>
          <w:szCs w:val="24"/>
          <w:lang w:val="en-ZA"/>
        </w:rPr>
        <w:t xml:space="preserve"> that he </w:t>
      </w:r>
      <w:r w:rsidR="00E25732">
        <w:rPr>
          <w:rFonts w:ascii="Arial" w:hAnsi="Arial" w:cs="Arial"/>
          <w:sz w:val="24"/>
          <w:szCs w:val="24"/>
          <w:lang w:val="en-ZA"/>
        </w:rPr>
        <w:t xml:space="preserve">put the </w:t>
      </w:r>
      <w:r w:rsidR="00A80B6F">
        <w:rPr>
          <w:rFonts w:ascii="Arial" w:hAnsi="Arial" w:cs="Arial"/>
          <w:sz w:val="24"/>
          <w:szCs w:val="24"/>
          <w:lang w:val="en-ZA"/>
        </w:rPr>
        <w:t xml:space="preserve">knife in a bucket of water at the house of the deceased. </w:t>
      </w:r>
      <w:r w:rsidR="00AA54A7">
        <w:rPr>
          <w:rFonts w:ascii="Arial" w:hAnsi="Arial" w:cs="Arial"/>
          <w:sz w:val="24"/>
          <w:szCs w:val="24"/>
          <w:lang w:val="en-ZA"/>
        </w:rPr>
        <w:t>Tru</w:t>
      </w:r>
      <w:r w:rsidR="005860BA">
        <w:rPr>
          <w:rFonts w:ascii="Arial" w:hAnsi="Arial" w:cs="Arial"/>
          <w:sz w:val="24"/>
          <w:szCs w:val="24"/>
          <w:lang w:val="en-ZA"/>
        </w:rPr>
        <w:t>e</w:t>
      </w:r>
      <w:r w:rsidR="00AA54A7">
        <w:rPr>
          <w:rFonts w:ascii="Arial" w:hAnsi="Arial" w:cs="Arial"/>
          <w:sz w:val="24"/>
          <w:szCs w:val="24"/>
          <w:lang w:val="en-ZA"/>
        </w:rPr>
        <w:t xml:space="preserve"> to his words, whilst at the house of the deceased, the accused </w:t>
      </w:r>
      <w:r w:rsidR="00EF64F4">
        <w:rPr>
          <w:rFonts w:ascii="Arial" w:hAnsi="Arial" w:cs="Arial"/>
          <w:sz w:val="24"/>
          <w:szCs w:val="24"/>
          <w:lang w:val="en-ZA"/>
        </w:rPr>
        <w:t>p</w:t>
      </w:r>
      <w:r w:rsidR="00AA54A7">
        <w:rPr>
          <w:rFonts w:ascii="Arial" w:hAnsi="Arial" w:cs="Arial"/>
          <w:sz w:val="24"/>
          <w:szCs w:val="24"/>
          <w:lang w:val="en-ZA"/>
        </w:rPr>
        <w:t>roceeded to the buck</w:t>
      </w:r>
      <w:r w:rsidR="009C6FB0">
        <w:rPr>
          <w:rFonts w:ascii="Arial" w:hAnsi="Arial" w:cs="Arial"/>
          <w:sz w:val="24"/>
          <w:szCs w:val="24"/>
          <w:lang w:val="en-ZA"/>
        </w:rPr>
        <w:t xml:space="preserve">et </w:t>
      </w:r>
      <w:r w:rsidR="00AA54A7">
        <w:rPr>
          <w:rFonts w:ascii="Arial" w:hAnsi="Arial" w:cs="Arial"/>
          <w:sz w:val="24"/>
          <w:szCs w:val="24"/>
          <w:lang w:val="en-ZA"/>
        </w:rPr>
        <w:t xml:space="preserve">of water and retrieved the knife in question. </w:t>
      </w:r>
    </w:p>
    <w:p w:rsidR="00032C2C" w:rsidRDefault="0001658C" w:rsidP="009C5A45">
      <w:pPr>
        <w:spacing w:line="360" w:lineRule="auto"/>
        <w:jc w:val="both"/>
        <w:rPr>
          <w:rFonts w:ascii="Arial" w:hAnsi="Arial" w:cs="Arial"/>
          <w:sz w:val="24"/>
          <w:szCs w:val="24"/>
          <w:lang w:val="en-ZA"/>
        </w:rPr>
      </w:pPr>
      <w:r>
        <w:rPr>
          <w:rFonts w:ascii="Arial" w:hAnsi="Arial" w:cs="Arial"/>
          <w:sz w:val="24"/>
          <w:szCs w:val="24"/>
          <w:lang w:val="en-ZA"/>
        </w:rPr>
        <w:t>11.</w:t>
      </w:r>
      <w:r w:rsidR="002E088F">
        <w:rPr>
          <w:rFonts w:ascii="Arial" w:hAnsi="Arial" w:cs="Arial"/>
          <w:sz w:val="24"/>
          <w:szCs w:val="24"/>
          <w:lang w:val="en-ZA"/>
        </w:rPr>
        <w:t>8</w:t>
      </w:r>
      <w:r w:rsidR="00AA54A7">
        <w:rPr>
          <w:rFonts w:ascii="Arial" w:hAnsi="Arial" w:cs="Arial"/>
          <w:sz w:val="24"/>
          <w:szCs w:val="24"/>
          <w:lang w:val="en-ZA"/>
        </w:rPr>
        <w:t xml:space="preserve"> </w:t>
      </w:r>
      <w:r w:rsidR="002E088F">
        <w:rPr>
          <w:rFonts w:ascii="Arial" w:hAnsi="Arial" w:cs="Arial"/>
          <w:sz w:val="24"/>
          <w:szCs w:val="24"/>
          <w:lang w:val="en-ZA"/>
        </w:rPr>
        <w:tab/>
      </w:r>
      <w:r w:rsidR="00EA617E">
        <w:rPr>
          <w:rFonts w:ascii="Arial" w:hAnsi="Arial" w:cs="Arial"/>
          <w:sz w:val="24"/>
          <w:szCs w:val="24"/>
          <w:lang w:val="en-ZA"/>
        </w:rPr>
        <w:t xml:space="preserve">D/Chief </w:t>
      </w:r>
      <w:r w:rsidR="009C6FB0">
        <w:rPr>
          <w:rFonts w:ascii="Arial" w:hAnsi="Arial" w:cs="Arial"/>
          <w:sz w:val="24"/>
          <w:szCs w:val="24"/>
          <w:lang w:val="en-ZA"/>
        </w:rPr>
        <w:t xml:space="preserve">Inspector </w:t>
      </w:r>
      <w:r w:rsidR="00EA617E">
        <w:rPr>
          <w:rFonts w:ascii="Arial" w:hAnsi="Arial" w:cs="Arial"/>
          <w:sz w:val="24"/>
          <w:szCs w:val="24"/>
          <w:lang w:val="en-ZA"/>
        </w:rPr>
        <w:t>Olivier</w:t>
      </w:r>
      <w:r w:rsidR="00AC25CC">
        <w:rPr>
          <w:rFonts w:ascii="Arial" w:hAnsi="Arial" w:cs="Arial"/>
          <w:sz w:val="24"/>
          <w:szCs w:val="24"/>
          <w:lang w:val="en-ZA"/>
        </w:rPr>
        <w:t xml:space="preserve"> corroborated the evidence of Sgt </w:t>
      </w:r>
      <w:proofErr w:type="spellStart"/>
      <w:r w:rsidR="00AC25CC" w:rsidRPr="00C64DF1">
        <w:rPr>
          <w:rFonts w:ascii="Arial" w:hAnsi="Arial" w:cs="Arial"/>
          <w:iCs/>
          <w:sz w:val="24"/>
          <w:szCs w:val="24"/>
          <w:lang w:val="en-ZA"/>
        </w:rPr>
        <w:t>Jarson</w:t>
      </w:r>
      <w:proofErr w:type="spellEnd"/>
      <w:r w:rsidR="00AC25CC">
        <w:rPr>
          <w:rFonts w:ascii="Arial" w:hAnsi="Arial" w:cs="Arial"/>
          <w:sz w:val="24"/>
          <w:szCs w:val="24"/>
          <w:lang w:val="en-ZA"/>
        </w:rPr>
        <w:t xml:space="preserve"> that at the house of the deceased the accused produced a knife from a bucket of water. </w:t>
      </w:r>
    </w:p>
    <w:p w:rsidR="007C6ADD" w:rsidRPr="00032C2C" w:rsidRDefault="00032C2C" w:rsidP="009C5A45">
      <w:pPr>
        <w:spacing w:line="360" w:lineRule="auto"/>
        <w:jc w:val="both"/>
        <w:rPr>
          <w:rFonts w:ascii="Arial" w:hAnsi="Arial" w:cs="Arial"/>
          <w:sz w:val="24"/>
          <w:szCs w:val="24"/>
          <w:u w:val="single"/>
          <w:lang w:val="en-ZA"/>
        </w:rPr>
      </w:pPr>
      <w:r w:rsidRPr="00032C2C">
        <w:rPr>
          <w:rFonts w:ascii="Arial" w:hAnsi="Arial" w:cs="Arial"/>
          <w:sz w:val="24"/>
          <w:szCs w:val="24"/>
          <w:u w:val="single"/>
          <w:lang w:val="en-ZA"/>
        </w:rPr>
        <w:t>Assessment of evidence</w:t>
      </w:r>
    </w:p>
    <w:p w:rsidR="00025240" w:rsidRDefault="007C6ADD" w:rsidP="009C5A45">
      <w:pPr>
        <w:spacing w:line="360" w:lineRule="auto"/>
        <w:jc w:val="both"/>
        <w:rPr>
          <w:rFonts w:ascii="Arial" w:hAnsi="Arial" w:cs="Arial"/>
          <w:sz w:val="24"/>
          <w:szCs w:val="24"/>
          <w:lang w:val="en-ZA"/>
        </w:rPr>
      </w:pPr>
      <w:r>
        <w:rPr>
          <w:rFonts w:ascii="Arial" w:hAnsi="Arial" w:cs="Arial"/>
          <w:sz w:val="24"/>
          <w:szCs w:val="24"/>
          <w:lang w:val="en-ZA"/>
        </w:rPr>
        <w:t>[12]</w:t>
      </w:r>
      <w:r>
        <w:rPr>
          <w:rFonts w:ascii="Arial" w:hAnsi="Arial" w:cs="Arial"/>
          <w:sz w:val="24"/>
          <w:szCs w:val="24"/>
          <w:lang w:val="en-ZA"/>
        </w:rPr>
        <w:tab/>
      </w:r>
      <w:r w:rsidR="00BD214F">
        <w:rPr>
          <w:rFonts w:ascii="Arial" w:hAnsi="Arial" w:cs="Arial"/>
          <w:sz w:val="24"/>
          <w:szCs w:val="24"/>
          <w:lang w:val="en-ZA"/>
        </w:rPr>
        <w:t xml:space="preserve">It is common cause that the evidence led by the state regarding counts 3 and 4 of the charges emanated from Mr </w:t>
      </w:r>
      <w:proofErr w:type="spellStart"/>
      <w:r w:rsidR="00BD214F" w:rsidRPr="00C64DF1">
        <w:rPr>
          <w:rFonts w:ascii="Arial" w:hAnsi="Arial" w:cs="Arial"/>
          <w:iCs/>
          <w:sz w:val="24"/>
          <w:szCs w:val="24"/>
          <w:lang w:val="en-ZA"/>
        </w:rPr>
        <w:t>Matsaya</w:t>
      </w:r>
      <w:proofErr w:type="spellEnd"/>
      <w:r w:rsidR="00BD214F">
        <w:rPr>
          <w:rFonts w:ascii="Arial" w:hAnsi="Arial" w:cs="Arial"/>
          <w:sz w:val="24"/>
          <w:szCs w:val="24"/>
          <w:lang w:val="en-ZA"/>
        </w:rPr>
        <w:t xml:space="preserve"> only. It thus follows that Mr </w:t>
      </w:r>
      <w:proofErr w:type="spellStart"/>
      <w:r w:rsidR="00BD214F" w:rsidRPr="00C64DF1">
        <w:rPr>
          <w:rFonts w:ascii="Arial" w:hAnsi="Arial" w:cs="Arial"/>
          <w:iCs/>
          <w:sz w:val="24"/>
          <w:szCs w:val="24"/>
          <w:lang w:val="en-ZA"/>
        </w:rPr>
        <w:t>Matsaya</w:t>
      </w:r>
      <w:proofErr w:type="spellEnd"/>
      <w:r w:rsidR="00BD214F">
        <w:rPr>
          <w:rFonts w:ascii="Arial" w:hAnsi="Arial" w:cs="Arial"/>
          <w:sz w:val="24"/>
          <w:szCs w:val="24"/>
          <w:lang w:val="en-ZA"/>
        </w:rPr>
        <w:t xml:space="preserve"> is a single witness. Section 208</w:t>
      </w:r>
      <w:r w:rsidR="00BD214F">
        <w:rPr>
          <w:rStyle w:val="FootnoteReference"/>
          <w:rFonts w:ascii="Arial" w:hAnsi="Arial" w:cs="Arial"/>
          <w:sz w:val="24"/>
          <w:szCs w:val="24"/>
          <w:lang w:val="en-ZA"/>
        </w:rPr>
        <w:footnoteReference w:id="5"/>
      </w:r>
      <w:r w:rsidR="00B64017">
        <w:rPr>
          <w:rFonts w:ascii="Arial" w:hAnsi="Arial" w:cs="Arial"/>
          <w:sz w:val="24"/>
          <w:szCs w:val="24"/>
          <w:lang w:val="en-ZA"/>
        </w:rPr>
        <w:t xml:space="preserve"> provides that</w:t>
      </w:r>
      <w:r w:rsidR="00025240">
        <w:rPr>
          <w:rFonts w:ascii="Arial" w:hAnsi="Arial" w:cs="Arial"/>
          <w:sz w:val="24"/>
          <w:szCs w:val="24"/>
          <w:lang w:val="en-ZA"/>
        </w:rPr>
        <w:t>:</w:t>
      </w:r>
    </w:p>
    <w:p w:rsidR="00025240" w:rsidRPr="00E57F74" w:rsidRDefault="00025240" w:rsidP="009C5A45">
      <w:pPr>
        <w:spacing w:line="360" w:lineRule="auto"/>
        <w:jc w:val="both"/>
        <w:rPr>
          <w:rFonts w:ascii="Arial" w:hAnsi="Arial" w:cs="Arial"/>
          <w:lang w:val="en-ZA"/>
        </w:rPr>
      </w:pPr>
      <w:r>
        <w:rPr>
          <w:rFonts w:ascii="Arial" w:hAnsi="Arial" w:cs="Arial"/>
          <w:sz w:val="24"/>
          <w:szCs w:val="24"/>
          <w:lang w:val="en-ZA"/>
        </w:rPr>
        <w:tab/>
      </w:r>
      <w:r w:rsidRPr="00E57F74">
        <w:rPr>
          <w:rFonts w:ascii="Arial" w:hAnsi="Arial" w:cs="Arial"/>
          <w:lang w:val="en-ZA"/>
        </w:rPr>
        <w:t xml:space="preserve">‘An accused may be convicted </w:t>
      </w:r>
      <w:r w:rsidR="00E511B7" w:rsidRPr="00E57F74">
        <w:rPr>
          <w:rFonts w:ascii="Arial" w:hAnsi="Arial" w:cs="Arial"/>
          <w:lang w:val="en-ZA"/>
        </w:rPr>
        <w:t>o</w:t>
      </w:r>
      <w:r w:rsidRPr="00E57F74">
        <w:rPr>
          <w:rFonts w:ascii="Arial" w:hAnsi="Arial" w:cs="Arial"/>
          <w:lang w:val="en-ZA"/>
        </w:rPr>
        <w:t xml:space="preserve">f any offence on the single evidence </w:t>
      </w:r>
      <w:r w:rsidR="00E511B7" w:rsidRPr="00E57F74">
        <w:rPr>
          <w:rFonts w:ascii="Arial" w:hAnsi="Arial" w:cs="Arial"/>
          <w:lang w:val="en-ZA"/>
        </w:rPr>
        <w:t>o</w:t>
      </w:r>
      <w:r w:rsidRPr="00E57F74">
        <w:rPr>
          <w:rFonts w:ascii="Arial" w:hAnsi="Arial" w:cs="Arial"/>
          <w:lang w:val="en-ZA"/>
        </w:rPr>
        <w:t>f any competent witness.’</w:t>
      </w:r>
      <w:r w:rsidR="00F45A19" w:rsidRPr="00E57F74">
        <w:rPr>
          <w:rFonts w:ascii="Arial" w:hAnsi="Arial" w:cs="Arial"/>
          <w:lang w:val="en-ZA"/>
        </w:rPr>
        <w:tab/>
      </w:r>
    </w:p>
    <w:p w:rsidR="009801DC" w:rsidRDefault="00025240" w:rsidP="009C5A45">
      <w:pPr>
        <w:spacing w:line="360" w:lineRule="auto"/>
        <w:jc w:val="both"/>
        <w:rPr>
          <w:rFonts w:ascii="Arial" w:hAnsi="Arial" w:cs="Arial"/>
          <w:sz w:val="24"/>
          <w:szCs w:val="24"/>
          <w:lang w:val="en-ZA"/>
        </w:rPr>
      </w:pPr>
      <w:r>
        <w:rPr>
          <w:rFonts w:ascii="Arial" w:hAnsi="Arial" w:cs="Arial"/>
          <w:sz w:val="24"/>
          <w:szCs w:val="24"/>
          <w:lang w:val="en-ZA"/>
        </w:rPr>
        <w:t>[13]</w:t>
      </w:r>
      <w:r>
        <w:rPr>
          <w:rFonts w:ascii="Arial" w:hAnsi="Arial" w:cs="Arial"/>
          <w:sz w:val="24"/>
          <w:szCs w:val="24"/>
          <w:lang w:val="en-ZA"/>
        </w:rPr>
        <w:tab/>
      </w:r>
      <w:r w:rsidR="000C350E">
        <w:rPr>
          <w:rFonts w:ascii="Arial" w:hAnsi="Arial" w:cs="Arial"/>
          <w:sz w:val="24"/>
          <w:szCs w:val="24"/>
          <w:lang w:val="en-ZA"/>
        </w:rPr>
        <w:t xml:space="preserve">In evaluating the evidence of a single witness, it is vital to bear in mind that it has become trite that such evidence should be treated with caution. </w:t>
      </w:r>
      <w:r w:rsidR="0041111B">
        <w:rPr>
          <w:rFonts w:ascii="Arial" w:hAnsi="Arial" w:cs="Arial"/>
          <w:sz w:val="24"/>
          <w:szCs w:val="24"/>
          <w:lang w:val="en-ZA"/>
        </w:rPr>
        <w:t>Such caution should however not be allowed to displace common sense. Evidence of a witness is not required to be satisfactory in every respect as it may be safely relied upon even where it has some imperfections, provided that the court can find at the end of the day that although there are shortcomings on the evidence of a single witness, the truth has been told.</w:t>
      </w:r>
      <w:r w:rsidR="000852E4">
        <w:rPr>
          <w:rStyle w:val="FootnoteReference"/>
          <w:rFonts w:ascii="Arial" w:hAnsi="Arial" w:cs="Arial"/>
          <w:sz w:val="24"/>
          <w:szCs w:val="24"/>
          <w:lang w:val="en-ZA"/>
        </w:rPr>
        <w:footnoteReference w:id="6"/>
      </w:r>
      <w:r w:rsidR="0041111B">
        <w:rPr>
          <w:rFonts w:ascii="Arial" w:hAnsi="Arial" w:cs="Arial"/>
          <w:sz w:val="24"/>
          <w:szCs w:val="24"/>
          <w:lang w:val="en-ZA"/>
        </w:rPr>
        <w:t xml:space="preserve"> </w:t>
      </w:r>
      <w:r w:rsidR="00F45A19">
        <w:rPr>
          <w:rFonts w:ascii="Arial" w:hAnsi="Arial" w:cs="Arial"/>
          <w:sz w:val="24"/>
          <w:szCs w:val="24"/>
          <w:lang w:val="en-ZA"/>
        </w:rPr>
        <w:tab/>
      </w:r>
    </w:p>
    <w:p w:rsidR="00566852" w:rsidRDefault="009801DC" w:rsidP="009C5A45">
      <w:pPr>
        <w:spacing w:line="360" w:lineRule="auto"/>
        <w:jc w:val="both"/>
        <w:rPr>
          <w:rFonts w:ascii="Arial" w:hAnsi="Arial" w:cs="Arial"/>
          <w:sz w:val="24"/>
          <w:szCs w:val="24"/>
          <w:lang w:val="en-ZA"/>
        </w:rPr>
      </w:pPr>
      <w:r>
        <w:rPr>
          <w:rFonts w:ascii="Arial" w:hAnsi="Arial" w:cs="Arial"/>
          <w:sz w:val="24"/>
          <w:szCs w:val="24"/>
          <w:lang w:val="en-ZA"/>
        </w:rPr>
        <w:t>[14]</w:t>
      </w:r>
      <w:r>
        <w:rPr>
          <w:rFonts w:ascii="Arial" w:hAnsi="Arial" w:cs="Arial"/>
          <w:sz w:val="24"/>
          <w:szCs w:val="24"/>
          <w:lang w:val="en-ZA"/>
        </w:rPr>
        <w:tab/>
        <w:t xml:space="preserve">It was submitted by Mr </w:t>
      </w:r>
      <w:proofErr w:type="spellStart"/>
      <w:r w:rsidRPr="00C64DF1">
        <w:rPr>
          <w:rFonts w:ascii="Arial" w:hAnsi="Arial" w:cs="Arial"/>
          <w:iCs/>
          <w:sz w:val="24"/>
          <w:szCs w:val="24"/>
          <w:lang w:val="en-ZA"/>
        </w:rPr>
        <w:t>Engelbrecht</w:t>
      </w:r>
      <w:proofErr w:type="spellEnd"/>
      <w:r>
        <w:rPr>
          <w:rFonts w:ascii="Arial" w:hAnsi="Arial" w:cs="Arial"/>
          <w:sz w:val="24"/>
          <w:szCs w:val="24"/>
          <w:lang w:val="en-ZA"/>
        </w:rPr>
        <w:t xml:space="preserve"> that </w:t>
      </w:r>
      <w:r w:rsidR="00CE7859">
        <w:rPr>
          <w:rFonts w:ascii="Arial" w:hAnsi="Arial" w:cs="Arial"/>
          <w:sz w:val="24"/>
          <w:szCs w:val="24"/>
          <w:lang w:val="en-ZA"/>
        </w:rPr>
        <w:t xml:space="preserve">he takes </w:t>
      </w:r>
      <w:r>
        <w:rPr>
          <w:rFonts w:ascii="Arial" w:hAnsi="Arial" w:cs="Arial"/>
          <w:sz w:val="24"/>
          <w:szCs w:val="24"/>
          <w:lang w:val="en-ZA"/>
        </w:rPr>
        <w:t xml:space="preserve">cognisance of our legal position that credibility of witnesses at this stage of </w:t>
      </w:r>
      <w:r w:rsidR="00CE7859">
        <w:rPr>
          <w:rFonts w:ascii="Arial" w:hAnsi="Arial" w:cs="Arial"/>
          <w:sz w:val="24"/>
          <w:szCs w:val="24"/>
          <w:lang w:val="en-ZA"/>
        </w:rPr>
        <w:t>th</w:t>
      </w:r>
      <w:r>
        <w:rPr>
          <w:rFonts w:ascii="Arial" w:hAnsi="Arial" w:cs="Arial"/>
          <w:sz w:val="24"/>
          <w:szCs w:val="24"/>
          <w:lang w:val="en-ZA"/>
        </w:rPr>
        <w:t>e closure of the state’s case</w:t>
      </w:r>
      <w:r w:rsidR="00CE7859">
        <w:rPr>
          <w:rFonts w:ascii="Arial" w:hAnsi="Arial" w:cs="Arial"/>
          <w:sz w:val="24"/>
          <w:szCs w:val="24"/>
          <w:lang w:val="en-ZA"/>
        </w:rPr>
        <w:t>,</w:t>
      </w:r>
      <w:r>
        <w:rPr>
          <w:rFonts w:ascii="Arial" w:hAnsi="Arial" w:cs="Arial"/>
          <w:sz w:val="24"/>
          <w:szCs w:val="24"/>
          <w:lang w:val="en-ZA"/>
        </w:rPr>
        <w:t xml:space="preserve"> plays a limited </w:t>
      </w:r>
      <w:r w:rsidR="00E511B7">
        <w:rPr>
          <w:rFonts w:ascii="Arial" w:hAnsi="Arial" w:cs="Arial"/>
          <w:sz w:val="24"/>
          <w:szCs w:val="24"/>
          <w:lang w:val="en-ZA"/>
        </w:rPr>
        <w:t xml:space="preserve">role. He submitted further that where </w:t>
      </w:r>
      <w:r w:rsidR="00CE7859">
        <w:rPr>
          <w:rFonts w:ascii="Arial" w:hAnsi="Arial" w:cs="Arial"/>
          <w:sz w:val="24"/>
          <w:szCs w:val="24"/>
          <w:lang w:val="en-ZA"/>
        </w:rPr>
        <w:t xml:space="preserve">the evidence is of such poor </w:t>
      </w:r>
      <w:r w:rsidR="00CE7859">
        <w:rPr>
          <w:rFonts w:ascii="Arial" w:hAnsi="Arial" w:cs="Arial"/>
          <w:sz w:val="24"/>
          <w:szCs w:val="24"/>
          <w:lang w:val="en-ZA"/>
        </w:rPr>
        <w:lastRenderedPageBreak/>
        <w:t>quality</w:t>
      </w:r>
      <w:r w:rsidR="00E511B7">
        <w:rPr>
          <w:rFonts w:ascii="Arial" w:hAnsi="Arial" w:cs="Arial"/>
          <w:sz w:val="24"/>
          <w:szCs w:val="24"/>
          <w:lang w:val="en-ZA"/>
        </w:rPr>
        <w:t xml:space="preserve">, </w:t>
      </w:r>
      <w:r w:rsidR="00CE7859">
        <w:rPr>
          <w:rFonts w:ascii="Arial" w:hAnsi="Arial" w:cs="Arial"/>
          <w:sz w:val="24"/>
          <w:szCs w:val="24"/>
          <w:lang w:val="en-ZA"/>
        </w:rPr>
        <w:t xml:space="preserve">it cannot be believed. Mr </w:t>
      </w:r>
      <w:proofErr w:type="spellStart"/>
      <w:r w:rsidR="00CE7859" w:rsidRPr="00E57F74">
        <w:rPr>
          <w:rFonts w:ascii="Arial" w:hAnsi="Arial" w:cs="Arial"/>
          <w:iCs/>
          <w:sz w:val="24"/>
          <w:szCs w:val="24"/>
          <w:lang w:val="en-ZA"/>
        </w:rPr>
        <w:t>Engelbrecht</w:t>
      </w:r>
      <w:proofErr w:type="spellEnd"/>
      <w:r w:rsidR="00CE7859" w:rsidRPr="00E57F74">
        <w:rPr>
          <w:rFonts w:ascii="Arial" w:hAnsi="Arial" w:cs="Arial"/>
          <w:sz w:val="24"/>
          <w:szCs w:val="24"/>
          <w:lang w:val="en-ZA"/>
        </w:rPr>
        <w:t xml:space="preserve"> </w:t>
      </w:r>
      <w:r w:rsidR="00CE7859">
        <w:rPr>
          <w:rFonts w:ascii="Arial" w:hAnsi="Arial" w:cs="Arial"/>
          <w:sz w:val="24"/>
          <w:szCs w:val="24"/>
          <w:lang w:val="en-ZA"/>
        </w:rPr>
        <w:t xml:space="preserve">proceeded to argue with vigour that the evidence of Mr </w:t>
      </w:r>
      <w:proofErr w:type="spellStart"/>
      <w:r w:rsidR="00CE7859" w:rsidRPr="00C64DF1">
        <w:rPr>
          <w:rFonts w:ascii="Arial" w:hAnsi="Arial" w:cs="Arial"/>
          <w:iCs/>
          <w:sz w:val="24"/>
          <w:szCs w:val="24"/>
          <w:lang w:val="en-ZA"/>
        </w:rPr>
        <w:t>Matsaya</w:t>
      </w:r>
      <w:proofErr w:type="spellEnd"/>
      <w:r w:rsidR="00CE7859" w:rsidRPr="00C64DF1">
        <w:rPr>
          <w:rFonts w:ascii="Arial" w:hAnsi="Arial" w:cs="Arial"/>
          <w:sz w:val="24"/>
          <w:szCs w:val="24"/>
          <w:lang w:val="en-ZA"/>
        </w:rPr>
        <w:t xml:space="preserve"> </w:t>
      </w:r>
      <w:r w:rsidR="00CE7859">
        <w:rPr>
          <w:rFonts w:ascii="Arial" w:hAnsi="Arial" w:cs="Arial"/>
          <w:sz w:val="24"/>
          <w:szCs w:val="24"/>
          <w:lang w:val="en-ZA"/>
        </w:rPr>
        <w:t>i</w:t>
      </w:r>
      <w:r w:rsidR="00E511B7">
        <w:rPr>
          <w:rFonts w:ascii="Arial" w:hAnsi="Arial" w:cs="Arial"/>
          <w:sz w:val="24"/>
          <w:szCs w:val="24"/>
          <w:lang w:val="en-ZA"/>
        </w:rPr>
        <w:t>s</w:t>
      </w:r>
      <w:r w:rsidR="00CE7859">
        <w:rPr>
          <w:rFonts w:ascii="Arial" w:hAnsi="Arial" w:cs="Arial"/>
          <w:sz w:val="24"/>
          <w:szCs w:val="24"/>
          <w:lang w:val="en-ZA"/>
        </w:rPr>
        <w:t xml:space="preserve"> so poor that no court can believe him. </w:t>
      </w:r>
    </w:p>
    <w:p w:rsidR="001132CF" w:rsidRDefault="00566852" w:rsidP="009C5A45">
      <w:pPr>
        <w:spacing w:line="360" w:lineRule="auto"/>
        <w:jc w:val="both"/>
        <w:rPr>
          <w:rFonts w:ascii="Arial" w:hAnsi="Arial" w:cs="Arial"/>
          <w:sz w:val="24"/>
          <w:szCs w:val="24"/>
          <w:lang w:val="en-ZA"/>
        </w:rPr>
      </w:pPr>
      <w:r>
        <w:rPr>
          <w:rFonts w:ascii="Arial" w:hAnsi="Arial" w:cs="Arial"/>
          <w:sz w:val="24"/>
          <w:szCs w:val="24"/>
          <w:lang w:val="en-ZA"/>
        </w:rPr>
        <w:t>[15]</w:t>
      </w:r>
      <w:r>
        <w:rPr>
          <w:rFonts w:ascii="Arial" w:hAnsi="Arial" w:cs="Arial"/>
          <w:sz w:val="24"/>
          <w:szCs w:val="24"/>
          <w:lang w:val="en-ZA"/>
        </w:rPr>
        <w:tab/>
        <w:t xml:space="preserve">Can it be said that the evidence of Mr </w:t>
      </w:r>
      <w:proofErr w:type="spellStart"/>
      <w:r w:rsidRPr="00C64DF1">
        <w:rPr>
          <w:rFonts w:ascii="Arial" w:hAnsi="Arial" w:cs="Arial"/>
          <w:iCs/>
          <w:sz w:val="24"/>
          <w:szCs w:val="24"/>
          <w:lang w:val="en-ZA"/>
        </w:rPr>
        <w:t>Matsaya</w:t>
      </w:r>
      <w:proofErr w:type="spellEnd"/>
      <w:r>
        <w:rPr>
          <w:rFonts w:ascii="Arial" w:hAnsi="Arial" w:cs="Arial"/>
          <w:sz w:val="24"/>
          <w:szCs w:val="24"/>
          <w:lang w:val="en-ZA"/>
        </w:rPr>
        <w:t xml:space="preserve"> is so romantic that no cour</w:t>
      </w:r>
      <w:r w:rsidR="00A860B6">
        <w:rPr>
          <w:rFonts w:ascii="Arial" w:hAnsi="Arial" w:cs="Arial"/>
          <w:sz w:val="24"/>
          <w:szCs w:val="24"/>
          <w:lang w:val="en-ZA"/>
        </w:rPr>
        <w:t>t</w:t>
      </w:r>
      <w:r>
        <w:rPr>
          <w:rFonts w:ascii="Arial" w:hAnsi="Arial" w:cs="Arial"/>
          <w:sz w:val="24"/>
          <w:szCs w:val="24"/>
          <w:lang w:val="en-ZA"/>
        </w:rPr>
        <w:t xml:space="preserve"> can believe it? </w:t>
      </w:r>
      <w:r w:rsidR="00A860B6">
        <w:rPr>
          <w:rFonts w:ascii="Arial" w:hAnsi="Arial" w:cs="Arial"/>
          <w:sz w:val="24"/>
          <w:szCs w:val="24"/>
          <w:lang w:val="en-ZA"/>
        </w:rPr>
        <w:t xml:space="preserve">The testimony of Mr </w:t>
      </w:r>
      <w:proofErr w:type="spellStart"/>
      <w:r w:rsidR="00A860B6" w:rsidRPr="00C64DF1">
        <w:rPr>
          <w:rFonts w:ascii="Arial" w:hAnsi="Arial" w:cs="Arial"/>
          <w:iCs/>
          <w:sz w:val="24"/>
          <w:szCs w:val="24"/>
          <w:lang w:val="en-ZA"/>
        </w:rPr>
        <w:t>Matsay</w:t>
      </w:r>
      <w:r w:rsidR="00A860B6" w:rsidRPr="00077A6C">
        <w:rPr>
          <w:rFonts w:ascii="Arial" w:hAnsi="Arial" w:cs="Arial"/>
          <w:i/>
          <w:iCs/>
          <w:sz w:val="24"/>
          <w:szCs w:val="24"/>
          <w:lang w:val="en-ZA"/>
        </w:rPr>
        <w:t>a</w:t>
      </w:r>
      <w:proofErr w:type="spellEnd"/>
      <w:r w:rsidR="00A860B6">
        <w:rPr>
          <w:rFonts w:ascii="Arial" w:hAnsi="Arial" w:cs="Arial"/>
          <w:sz w:val="24"/>
          <w:szCs w:val="24"/>
          <w:lang w:val="en-ZA"/>
        </w:rPr>
        <w:t xml:space="preserve"> is that he recalled the events of 16</w:t>
      </w:r>
      <w:r w:rsidR="0088245D">
        <w:rPr>
          <w:rFonts w:ascii="Arial" w:hAnsi="Arial" w:cs="Arial"/>
          <w:sz w:val="24"/>
          <w:szCs w:val="24"/>
          <w:lang w:val="en-ZA"/>
        </w:rPr>
        <w:t xml:space="preserve"> September 2017 and only had</w:t>
      </w:r>
      <w:r w:rsidR="00A860B6">
        <w:rPr>
          <w:rFonts w:ascii="Arial" w:hAnsi="Arial" w:cs="Arial"/>
          <w:sz w:val="24"/>
          <w:szCs w:val="24"/>
          <w:lang w:val="en-ZA"/>
        </w:rPr>
        <w:t xml:space="preserve"> difficulties recalling the events of </w:t>
      </w:r>
      <w:r w:rsidR="00E511B7">
        <w:rPr>
          <w:rFonts w:ascii="Arial" w:hAnsi="Arial" w:cs="Arial"/>
          <w:sz w:val="24"/>
          <w:szCs w:val="24"/>
          <w:lang w:val="en-ZA"/>
        </w:rPr>
        <w:t xml:space="preserve">the following day </w:t>
      </w:r>
      <w:r w:rsidR="00A860B6">
        <w:rPr>
          <w:rFonts w:ascii="Arial" w:hAnsi="Arial" w:cs="Arial"/>
          <w:sz w:val="24"/>
          <w:szCs w:val="24"/>
          <w:lang w:val="en-ZA"/>
        </w:rPr>
        <w:t xml:space="preserve">17 September 2017 </w:t>
      </w:r>
      <w:r w:rsidR="00681EDC">
        <w:rPr>
          <w:rFonts w:ascii="Arial" w:hAnsi="Arial" w:cs="Arial"/>
          <w:sz w:val="24"/>
          <w:szCs w:val="24"/>
          <w:lang w:val="en-ZA"/>
        </w:rPr>
        <w:t xml:space="preserve">as a result of </w:t>
      </w:r>
      <w:r w:rsidR="00A860B6">
        <w:rPr>
          <w:rFonts w:ascii="Arial" w:hAnsi="Arial" w:cs="Arial"/>
          <w:sz w:val="24"/>
          <w:szCs w:val="24"/>
          <w:lang w:val="en-ZA"/>
        </w:rPr>
        <w:t>the squabble where he hit his head on the stove</w:t>
      </w:r>
      <w:r w:rsidR="00E511B7">
        <w:rPr>
          <w:rFonts w:ascii="Arial" w:hAnsi="Arial" w:cs="Arial"/>
          <w:sz w:val="24"/>
          <w:szCs w:val="24"/>
          <w:lang w:val="en-ZA"/>
        </w:rPr>
        <w:t xml:space="preserve"> and lost conscious</w:t>
      </w:r>
      <w:r w:rsidR="0088245D">
        <w:rPr>
          <w:rFonts w:ascii="Arial" w:hAnsi="Arial" w:cs="Arial"/>
          <w:sz w:val="24"/>
          <w:szCs w:val="24"/>
          <w:lang w:val="en-ZA"/>
        </w:rPr>
        <w:t>ness</w:t>
      </w:r>
      <w:r w:rsidR="00E511B7">
        <w:rPr>
          <w:rFonts w:ascii="Arial" w:hAnsi="Arial" w:cs="Arial"/>
          <w:sz w:val="24"/>
          <w:szCs w:val="24"/>
          <w:lang w:val="en-ZA"/>
        </w:rPr>
        <w:t xml:space="preserve">. </w:t>
      </w:r>
      <w:r w:rsidR="001132CF">
        <w:rPr>
          <w:rFonts w:ascii="Arial" w:hAnsi="Arial" w:cs="Arial"/>
          <w:sz w:val="24"/>
          <w:szCs w:val="24"/>
          <w:lang w:val="en-ZA"/>
        </w:rPr>
        <w:t xml:space="preserve">In respect of count three therefore, Mr </w:t>
      </w:r>
      <w:proofErr w:type="spellStart"/>
      <w:r w:rsidR="001132CF" w:rsidRPr="00C64DF1">
        <w:rPr>
          <w:rFonts w:ascii="Arial" w:hAnsi="Arial" w:cs="Arial"/>
          <w:iCs/>
          <w:sz w:val="24"/>
          <w:szCs w:val="24"/>
          <w:lang w:val="en-ZA"/>
        </w:rPr>
        <w:t>Matsaya</w:t>
      </w:r>
      <w:proofErr w:type="spellEnd"/>
      <w:r w:rsidR="001132CF" w:rsidRPr="00077A6C">
        <w:rPr>
          <w:rFonts w:ascii="Arial" w:hAnsi="Arial" w:cs="Arial"/>
          <w:i/>
          <w:iCs/>
          <w:sz w:val="24"/>
          <w:szCs w:val="24"/>
          <w:lang w:val="en-ZA"/>
        </w:rPr>
        <w:t xml:space="preserve"> </w:t>
      </w:r>
      <w:r w:rsidR="001132CF">
        <w:rPr>
          <w:rFonts w:ascii="Arial" w:hAnsi="Arial" w:cs="Arial"/>
          <w:sz w:val="24"/>
          <w:szCs w:val="24"/>
          <w:lang w:val="en-ZA"/>
        </w:rPr>
        <w:t xml:space="preserve">is an eye witness who testified per his </w:t>
      </w:r>
      <w:r w:rsidR="00E511B7">
        <w:rPr>
          <w:rFonts w:ascii="Arial" w:hAnsi="Arial" w:cs="Arial"/>
          <w:sz w:val="24"/>
          <w:szCs w:val="24"/>
          <w:lang w:val="en-ZA"/>
        </w:rPr>
        <w:t xml:space="preserve">own </w:t>
      </w:r>
      <w:r w:rsidR="001132CF">
        <w:rPr>
          <w:rFonts w:ascii="Arial" w:hAnsi="Arial" w:cs="Arial"/>
          <w:sz w:val="24"/>
          <w:szCs w:val="24"/>
          <w:lang w:val="en-ZA"/>
        </w:rPr>
        <w:t>observation</w:t>
      </w:r>
      <w:r w:rsidR="00E36CA6">
        <w:rPr>
          <w:rFonts w:ascii="Arial" w:hAnsi="Arial" w:cs="Arial"/>
          <w:sz w:val="24"/>
          <w:szCs w:val="24"/>
          <w:lang w:val="en-ZA"/>
        </w:rPr>
        <w:t xml:space="preserve"> of the assault</w:t>
      </w:r>
      <w:r w:rsidR="001132CF">
        <w:rPr>
          <w:rFonts w:ascii="Arial" w:hAnsi="Arial" w:cs="Arial"/>
          <w:sz w:val="24"/>
          <w:szCs w:val="24"/>
          <w:lang w:val="en-ZA"/>
        </w:rPr>
        <w:t>.</w:t>
      </w:r>
      <w:r w:rsidR="00447D90">
        <w:rPr>
          <w:rFonts w:ascii="Arial" w:hAnsi="Arial" w:cs="Arial"/>
          <w:sz w:val="24"/>
          <w:szCs w:val="24"/>
          <w:lang w:val="en-ZA"/>
        </w:rPr>
        <w:t xml:space="preserve"> The challenge to the evidence led on count three can th</w:t>
      </w:r>
      <w:r w:rsidR="00681EDC">
        <w:rPr>
          <w:rFonts w:ascii="Arial" w:hAnsi="Arial" w:cs="Arial"/>
          <w:sz w:val="24"/>
          <w:szCs w:val="24"/>
          <w:lang w:val="en-ZA"/>
        </w:rPr>
        <w:t xml:space="preserve">us </w:t>
      </w:r>
      <w:r w:rsidR="00447D90">
        <w:rPr>
          <w:rFonts w:ascii="Arial" w:hAnsi="Arial" w:cs="Arial"/>
          <w:sz w:val="24"/>
          <w:szCs w:val="24"/>
          <w:lang w:val="en-ZA"/>
        </w:rPr>
        <w:t xml:space="preserve">be disposed </w:t>
      </w:r>
      <w:r w:rsidR="00E511B7">
        <w:rPr>
          <w:rFonts w:ascii="Arial" w:hAnsi="Arial" w:cs="Arial"/>
          <w:sz w:val="24"/>
          <w:szCs w:val="24"/>
          <w:lang w:val="en-ZA"/>
        </w:rPr>
        <w:t xml:space="preserve">of </w:t>
      </w:r>
      <w:r w:rsidR="00447D90">
        <w:rPr>
          <w:rFonts w:ascii="Arial" w:hAnsi="Arial" w:cs="Arial"/>
          <w:sz w:val="24"/>
          <w:szCs w:val="24"/>
          <w:lang w:val="en-ZA"/>
        </w:rPr>
        <w:t xml:space="preserve">with no sweat. In the premises this court find that there is evidence led regarding count three on which a reasonable court acting carefully might convict.  </w:t>
      </w:r>
    </w:p>
    <w:p w:rsidR="00DE73D9" w:rsidRDefault="001132CF" w:rsidP="009C5A45">
      <w:pPr>
        <w:spacing w:line="360" w:lineRule="auto"/>
        <w:jc w:val="both"/>
        <w:rPr>
          <w:rFonts w:ascii="Arial" w:hAnsi="Arial" w:cs="Arial"/>
          <w:sz w:val="24"/>
          <w:szCs w:val="24"/>
          <w:lang w:val="en-ZA"/>
        </w:rPr>
      </w:pPr>
      <w:r>
        <w:rPr>
          <w:rFonts w:ascii="Arial" w:hAnsi="Arial" w:cs="Arial"/>
          <w:sz w:val="24"/>
          <w:szCs w:val="24"/>
          <w:lang w:val="en-ZA"/>
        </w:rPr>
        <w:t>[16]</w:t>
      </w:r>
      <w:r>
        <w:rPr>
          <w:rFonts w:ascii="Arial" w:hAnsi="Arial" w:cs="Arial"/>
          <w:sz w:val="24"/>
          <w:szCs w:val="24"/>
          <w:lang w:val="en-ZA"/>
        </w:rPr>
        <w:tab/>
        <w:t>In respect of count 4, the evidence reveal</w:t>
      </w:r>
      <w:r w:rsidR="00E511B7">
        <w:rPr>
          <w:rFonts w:ascii="Arial" w:hAnsi="Arial" w:cs="Arial"/>
          <w:sz w:val="24"/>
          <w:szCs w:val="24"/>
          <w:lang w:val="en-ZA"/>
        </w:rPr>
        <w:t>s</w:t>
      </w:r>
      <w:r>
        <w:rPr>
          <w:rFonts w:ascii="Arial" w:hAnsi="Arial" w:cs="Arial"/>
          <w:sz w:val="24"/>
          <w:szCs w:val="24"/>
          <w:lang w:val="en-ZA"/>
        </w:rPr>
        <w:t xml:space="preserve"> that Mr. </w:t>
      </w:r>
      <w:proofErr w:type="spellStart"/>
      <w:r w:rsidRPr="00C64DF1">
        <w:rPr>
          <w:rFonts w:ascii="Arial" w:hAnsi="Arial" w:cs="Arial"/>
          <w:iCs/>
          <w:sz w:val="24"/>
          <w:szCs w:val="24"/>
          <w:lang w:val="en-ZA"/>
        </w:rPr>
        <w:t>Matsaya</w:t>
      </w:r>
      <w:proofErr w:type="spellEnd"/>
      <w:r>
        <w:rPr>
          <w:rFonts w:ascii="Arial" w:hAnsi="Arial" w:cs="Arial"/>
          <w:sz w:val="24"/>
          <w:szCs w:val="24"/>
          <w:lang w:val="en-ZA"/>
        </w:rPr>
        <w:t xml:space="preserve"> did not observe</w:t>
      </w:r>
      <w:r w:rsidR="00E36CA6">
        <w:rPr>
          <w:rFonts w:ascii="Arial" w:hAnsi="Arial" w:cs="Arial"/>
          <w:sz w:val="24"/>
          <w:szCs w:val="24"/>
          <w:lang w:val="en-ZA"/>
        </w:rPr>
        <w:t xml:space="preserve"> the assault</w:t>
      </w:r>
      <w:r w:rsidR="00E511B7">
        <w:rPr>
          <w:rFonts w:ascii="Arial" w:hAnsi="Arial" w:cs="Arial"/>
          <w:sz w:val="24"/>
          <w:szCs w:val="24"/>
          <w:lang w:val="en-ZA"/>
        </w:rPr>
        <w:t xml:space="preserve">. He however </w:t>
      </w:r>
      <w:r w:rsidR="00E36CA6">
        <w:rPr>
          <w:rFonts w:ascii="Arial" w:hAnsi="Arial" w:cs="Arial"/>
          <w:sz w:val="24"/>
          <w:szCs w:val="24"/>
          <w:lang w:val="en-ZA"/>
        </w:rPr>
        <w:t>heard the deceased scream</w:t>
      </w:r>
      <w:r w:rsidR="00E511B7">
        <w:rPr>
          <w:rFonts w:ascii="Arial" w:hAnsi="Arial" w:cs="Arial"/>
          <w:sz w:val="24"/>
          <w:szCs w:val="24"/>
          <w:lang w:val="en-ZA"/>
        </w:rPr>
        <w:t xml:space="preserve"> and </w:t>
      </w:r>
      <w:r w:rsidR="00681EDC">
        <w:rPr>
          <w:rFonts w:ascii="Arial" w:hAnsi="Arial" w:cs="Arial"/>
          <w:sz w:val="24"/>
          <w:szCs w:val="24"/>
          <w:lang w:val="en-ZA"/>
        </w:rPr>
        <w:t xml:space="preserve">further </w:t>
      </w:r>
      <w:r w:rsidR="00E36CA6">
        <w:rPr>
          <w:rFonts w:ascii="Arial" w:hAnsi="Arial" w:cs="Arial"/>
          <w:sz w:val="24"/>
          <w:szCs w:val="24"/>
          <w:lang w:val="en-ZA"/>
        </w:rPr>
        <w:t>heard the accused assault the deceased</w:t>
      </w:r>
      <w:r w:rsidR="00E511B7">
        <w:rPr>
          <w:rFonts w:ascii="Arial" w:hAnsi="Arial" w:cs="Arial"/>
          <w:sz w:val="24"/>
          <w:szCs w:val="24"/>
          <w:lang w:val="en-ZA"/>
        </w:rPr>
        <w:t xml:space="preserve"> (so he claims). W</w:t>
      </w:r>
      <w:r w:rsidR="00E36CA6">
        <w:rPr>
          <w:rFonts w:ascii="Arial" w:hAnsi="Arial" w:cs="Arial"/>
          <w:sz w:val="24"/>
          <w:szCs w:val="24"/>
          <w:lang w:val="en-ZA"/>
        </w:rPr>
        <w:t>hen he entered the house, the deceased was shouting ‘</w:t>
      </w:r>
      <w:r w:rsidR="00E36CA6" w:rsidRPr="00E511B7">
        <w:rPr>
          <w:rFonts w:ascii="Arial" w:hAnsi="Arial" w:cs="Arial"/>
          <w:lang w:val="en-ZA"/>
        </w:rPr>
        <w:t>stop, stop’</w:t>
      </w:r>
      <w:r w:rsidR="00E36CA6">
        <w:rPr>
          <w:rFonts w:ascii="Arial" w:hAnsi="Arial" w:cs="Arial"/>
          <w:sz w:val="24"/>
          <w:szCs w:val="24"/>
          <w:lang w:val="en-ZA"/>
        </w:rPr>
        <w:t xml:space="preserve"> while covering her face, he </w:t>
      </w:r>
      <w:r w:rsidR="00E511B7">
        <w:rPr>
          <w:rFonts w:ascii="Arial" w:hAnsi="Arial" w:cs="Arial"/>
          <w:sz w:val="24"/>
          <w:szCs w:val="24"/>
          <w:lang w:val="en-ZA"/>
        </w:rPr>
        <w:t xml:space="preserve">then </w:t>
      </w:r>
      <w:r w:rsidR="00E36CA6">
        <w:rPr>
          <w:rFonts w:ascii="Arial" w:hAnsi="Arial" w:cs="Arial"/>
          <w:sz w:val="24"/>
          <w:szCs w:val="24"/>
          <w:lang w:val="en-ZA"/>
        </w:rPr>
        <w:t xml:space="preserve">inquired from the accused as to why he was assaulting the deceased to which the accused </w:t>
      </w:r>
      <w:r w:rsidR="00E511B7">
        <w:rPr>
          <w:rFonts w:ascii="Arial" w:hAnsi="Arial" w:cs="Arial"/>
          <w:sz w:val="24"/>
          <w:szCs w:val="24"/>
          <w:lang w:val="en-ZA"/>
        </w:rPr>
        <w:t xml:space="preserve">without denying the assault </w:t>
      </w:r>
      <w:r w:rsidR="00E36CA6">
        <w:rPr>
          <w:rFonts w:ascii="Arial" w:hAnsi="Arial" w:cs="Arial"/>
          <w:sz w:val="24"/>
          <w:szCs w:val="24"/>
          <w:lang w:val="en-ZA"/>
        </w:rPr>
        <w:t>responde</w:t>
      </w:r>
      <w:r w:rsidR="00E511B7">
        <w:rPr>
          <w:rFonts w:ascii="Arial" w:hAnsi="Arial" w:cs="Arial"/>
          <w:sz w:val="24"/>
          <w:szCs w:val="24"/>
          <w:lang w:val="en-ZA"/>
        </w:rPr>
        <w:t>d</w:t>
      </w:r>
      <w:r w:rsidR="00E36CA6">
        <w:rPr>
          <w:rFonts w:ascii="Arial" w:hAnsi="Arial" w:cs="Arial"/>
          <w:sz w:val="24"/>
          <w:szCs w:val="24"/>
          <w:lang w:val="en-ZA"/>
        </w:rPr>
        <w:t xml:space="preserve"> that it was due to the deceased not returning his money</w:t>
      </w:r>
      <w:r w:rsidR="00E511B7">
        <w:rPr>
          <w:rFonts w:ascii="Arial" w:hAnsi="Arial" w:cs="Arial"/>
          <w:sz w:val="24"/>
          <w:szCs w:val="24"/>
          <w:lang w:val="en-ZA"/>
        </w:rPr>
        <w:t xml:space="preserve">. </w:t>
      </w:r>
    </w:p>
    <w:p w:rsidR="00EF1D75" w:rsidRDefault="00DE73D9" w:rsidP="00CC0A6D">
      <w:pPr>
        <w:spacing w:line="360" w:lineRule="auto"/>
        <w:jc w:val="both"/>
        <w:rPr>
          <w:rFonts w:ascii="Arial" w:hAnsi="Arial" w:cs="Arial"/>
          <w:sz w:val="24"/>
          <w:szCs w:val="24"/>
        </w:rPr>
      </w:pPr>
      <w:r>
        <w:rPr>
          <w:rFonts w:ascii="Arial" w:hAnsi="Arial" w:cs="Arial"/>
          <w:sz w:val="24"/>
          <w:szCs w:val="24"/>
          <w:lang w:val="en-ZA"/>
        </w:rPr>
        <w:t>[17]</w:t>
      </w:r>
      <w:r>
        <w:rPr>
          <w:rFonts w:ascii="Arial" w:hAnsi="Arial" w:cs="Arial"/>
          <w:sz w:val="24"/>
          <w:szCs w:val="24"/>
          <w:lang w:val="en-ZA"/>
        </w:rPr>
        <w:tab/>
      </w:r>
      <w:proofErr w:type="spellStart"/>
      <w:r w:rsidR="00EF1D75">
        <w:rPr>
          <w:rFonts w:ascii="Arial" w:hAnsi="Arial" w:cs="Arial"/>
          <w:sz w:val="24"/>
          <w:szCs w:val="24"/>
        </w:rPr>
        <w:t>Mr</w:t>
      </w:r>
      <w:proofErr w:type="spellEnd"/>
      <w:r w:rsidR="00EF1D75">
        <w:rPr>
          <w:rFonts w:ascii="Arial" w:hAnsi="Arial" w:cs="Arial"/>
          <w:sz w:val="24"/>
          <w:szCs w:val="24"/>
        </w:rPr>
        <w:t xml:space="preserve"> </w:t>
      </w:r>
      <w:proofErr w:type="spellStart"/>
      <w:r w:rsidR="002F2A9F" w:rsidRPr="00C64DF1">
        <w:rPr>
          <w:rFonts w:ascii="Arial" w:hAnsi="Arial" w:cs="Arial"/>
          <w:iCs/>
          <w:sz w:val="24"/>
          <w:szCs w:val="24"/>
        </w:rPr>
        <w:t>Engelbrecht</w:t>
      </w:r>
      <w:proofErr w:type="spellEnd"/>
      <w:r w:rsidR="002F2A9F" w:rsidRPr="00077A6C">
        <w:rPr>
          <w:rFonts w:ascii="Arial" w:hAnsi="Arial" w:cs="Arial"/>
          <w:i/>
          <w:iCs/>
          <w:sz w:val="24"/>
          <w:szCs w:val="24"/>
        </w:rPr>
        <w:t xml:space="preserve"> </w:t>
      </w:r>
      <w:r w:rsidR="002F2A9F">
        <w:rPr>
          <w:rFonts w:ascii="Arial" w:hAnsi="Arial" w:cs="Arial"/>
          <w:sz w:val="24"/>
          <w:szCs w:val="24"/>
        </w:rPr>
        <w:t xml:space="preserve">submitted that </w:t>
      </w:r>
      <w:proofErr w:type="spellStart"/>
      <w:r w:rsidR="00170B9A">
        <w:rPr>
          <w:rFonts w:ascii="Arial" w:hAnsi="Arial" w:cs="Arial"/>
          <w:sz w:val="24"/>
          <w:szCs w:val="24"/>
        </w:rPr>
        <w:t>Mr</w:t>
      </w:r>
      <w:proofErr w:type="spellEnd"/>
      <w:r w:rsidR="00170B9A">
        <w:rPr>
          <w:rFonts w:ascii="Arial" w:hAnsi="Arial" w:cs="Arial"/>
          <w:sz w:val="24"/>
          <w:szCs w:val="24"/>
        </w:rPr>
        <w:t xml:space="preserve"> </w:t>
      </w:r>
      <w:proofErr w:type="spellStart"/>
      <w:r w:rsidR="00170B9A" w:rsidRPr="00C64DF1">
        <w:rPr>
          <w:rFonts w:ascii="Arial" w:hAnsi="Arial" w:cs="Arial"/>
          <w:iCs/>
          <w:sz w:val="24"/>
          <w:szCs w:val="24"/>
        </w:rPr>
        <w:t>Matsaya</w:t>
      </w:r>
      <w:proofErr w:type="spellEnd"/>
      <w:r w:rsidR="00170B9A" w:rsidRPr="00C64DF1">
        <w:rPr>
          <w:rFonts w:ascii="Arial" w:hAnsi="Arial" w:cs="Arial"/>
          <w:sz w:val="24"/>
          <w:szCs w:val="24"/>
        </w:rPr>
        <w:t xml:space="preserve"> </w:t>
      </w:r>
      <w:r w:rsidR="00170B9A">
        <w:rPr>
          <w:rFonts w:ascii="Arial" w:hAnsi="Arial" w:cs="Arial"/>
          <w:sz w:val="24"/>
          <w:szCs w:val="24"/>
        </w:rPr>
        <w:t xml:space="preserve">was too drink to recall anything and his evidence left several inferences to be drawn. In </w:t>
      </w:r>
      <w:r w:rsidR="00EF1D75" w:rsidRPr="00B0601F">
        <w:rPr>
          <w:rFonts w:ascii="Arial" w:hAnsi="Arial" w:cs="Arial"/>
          <w:i/>
          <w:sz w:val="24"/>
          <w:szCs w:val="24"/>
        </w:rPr>
        <w:t xml:space="preserve">R v </w:t>
      </w:r>
      <w:proofErr w:type="spellStart"/>
      <w:r w:rsidR="00EF1D75" w:rsidRPr="00C64DF1">
        <w:rPr>
          <w:rFonts w:ascii="Arial" w:hAnsi="Arial" w:cs="Arial"/>
          <w:sz w:val="24"/>
          <w:szCs w:val="24"/>
        </w:rPr>
        <w:t>Blom</w:t>
      </w:r>
      <w:proofErr w:type="spellEnd"/>
      <w:r w:rsidR="0088245D">
        <w:rPr>
          <w:rFonts w:ascii="Arial" w:hAnsi="Arial" w:cs="Arial"/>
          <w:i/>
          <w:sz w:val="24"/>
          <w:szCs w:val="24"/>
        </w:rPr>
        <w:t>,</w:t>
      </w:r>
      <w:r w:rsidR="00F10F6C">
        <w:rPr>
          <w:rStyle w:val="FootnoteReference"/>
          <w:rFonts w:ascii="Arial" w:hAnsi="Arial" w:cs="Arial"/>
          <w:sz w:val="24"/>
          <w:szCs w:val="24"/>
        </w:rPr>
        <w:footnoteReference w:id="7"/>
      </w:r>
      <w:r w:rsidR="00EF1D75">
        <w:rPr>
          <w:rFonts w:ascii="Arial" w:hAnsi="Arial" w:cs="Arial"/>
          <w:sz w:val="24"/>
          <w:szCs w:val="24"/>
        </w:rPr>
        <w:t xml:space="preserve"> </w:t>
      </w:r>
      <w:r w:rsidR="00681EDC">
        <w:rPr>
          <w:rFonts w:ascii="Arial" w:hAnsi="Arial" w:cs="Arial"/>
          <w:sz w:val="24"/>
          <w:szCs w:val="24"/>
        </w:rPr>
        <w:t xml:space="preserve">the </w:t>
      </w:r>
      <w:r w:rsidR="00EF1D75">
        <w:rPr>
          <w:rFonts w:ascii="Arial" w:hAnsi="Arial" w:cs="Arial"/>
          <w:sz w:val="24"/>
          <w:szCs w:val="24"/>
        </w:rPr>
        <w:t xml:space="preserve">requirements to be </w:t>
      </w:r>
      <w:r w:rsidR="000265DB">
        <w:rPr>
          <w:rFonts w:ascii="Arial" w:hAnsi="Arial" w:cs="Arial"/>
          <w:sz w:val="24"/>
          <w:szCs w:val="24"/>
        </w:rPr>
        <w:t xml:space="preserve">satisfied </w:t>
      </w:r>
      <w:r w:rsidR="00634307">
        <w:rPr>
          <w:rFonts w:ascii="Arial" w:hAnsi="Arial" w:cs="Arial"/>
          <w:sz w:val="24"/>
          <w:szCs w:val="24"/>
        </w:rPr>
        <w:t>by the State</w:t>
      </w:r>
      <w:r w:rsidR="00EF1D75">
        <w:rPr>
          <w:rFonts w:ascii="Arial" w:hAnsi="Arial" w:cs="Arial"/>
          <w:sz w:val="24"/>
          <w:szCs w:val="24"/>
        </w:rPr>
        <w:t xml:space="preserve"> before a </w:t>
      </w:r>
      <w:r w:rsidR="00B0601F">
        <w:rPr>
          <w:rFonts w:ascii="Arial" w:hAnsi="Arial" w:cs="Arial"/>
          <w:sz w:val="24"/>
          <w:szCs w:val="24"/>
        </w:rPr>
        <w:t>conviction</w:t>
      </w:r>
      <w:r w:rsidR="00EF1D75">
        <w:rPr>
          <w:rFonts w:ascii="Arial" w:hAnsi="Arial" w:cs="Arial"/>
          <w:sz w:val="24"/>
          <w:szCs w:val="24"/>
        </w:rPr>
        <w:t xml:space="preserve"> based on circumstantial evidence can be s</w:t>
      </w:r>
      <w:r w:rsidR="000265DB">
        <w:rPr>
          <w:rFonts w:ascii="Arial" w:hAnsi="Arial" w:cs="Arial"/>
          <w:sz w:val="24"/>
          <w:szCs w:val="24"/>
        </w:rPr>
        <w:t>ustained</w:t>
      </w:r>
      <w:r w:rsidR="00681EDC">
        <w:rPr>
          <w:rFonts w:ascii="Arial" w:hAnsi="Arial" w:cs="Arial"/>
          <w:sz w:val="24"/>
          <w:szCs w:val="24"/>
        </w:rPr>
        <w:t xml:space="preserve"> set out</w:t>
      </w:r>
      <w:r w:rsidR="000265DB">
        <w:rPr>
          <w:rFonts w:ascii="Arial" w:hAnsi="Arial" w:cs="Arial"/>
          <w:sz w:val="24"/>
          <w:szCs w:val="24"/>
        </w:rPr>
        <w:t>. T</w:t>
      </w:r>
      <w:r w:rsidR="00EF1D75">
        <w:rPr>
          <w:rFonts w:ascii="Arial" w:hAnsi="Arial" w:cs="Arial"/>
          <w:sz w:val="24"/>
          <w:szCs w:val="24"/>
        </w:rPr>
        <w:t>he</w:t>
      </w:r>
      <w:r w:rsidR="00B0601F">
        <w:rPr>
          <w:rFonts w:ascii="Arial" w:hAnsi="Arial" w:cs="Arial"/>
          <w:sz w:val="24"/>
          <w:szCs w:val="24"/>
        </w:rPr>
        <w:t>se</w:t>
      </w:r>
      <w:r w:rsidR="00EF1D75">
        <w:rPr>
          <w:rFonts w:ascii="Arial" w:hAnsi="Arial" w:cs="Arial"/>
          <w:sz w:val="24"/>
          <w:szCs w:val="24"/>
        </w:rPr>
        <w:t xml:space="preserve"> requirements are:</w:t>
      </w:r>
    </w:p>
    <w:p w:rsidR="00EF1D75" w:rsidRDefault="00EF1D75" w:rsidP="00352902">
      <w:pPr>
        <w:spacing w:after="0" w:line="360" w:lineRule="auto"/>
        <w:jc w:val="both"/>
        <w:rPr>
          <w:rFonts w:ascii="Arial" w:hAnsi="Arial" w:cs="Arial"/>
          <w:sz w:val="24"/>
          <w:szCs w:val="24"/>
        </w:rPr>
      </w:pPr>
    </w:p>
    <w:p w:rsidR="0017583F" w:rsidRDefault="00634307" w:rsidP="00352902">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t>Whether the inference s</w:t>
      </w:r>
      <w:r w:rsidR="00EF1D75" w:rsidRPr="00EF1D75">
        <w:rPr>
          <w:rFonts w:ascii="Arial" w:hAnsi="Arial" w:cs="Arial"/>
          <w:sz w:val="24"/>
          <w:szCs w:val="24"/>
        </w:rPr>
        <w:t xml:space="preserve">ought to be drawn is consistent with all proven facts, because if not the </w:t>
      </w:r>
      <w:r w:rsidR="00667FEE">
        <w:rPr>
          <w:rFonts w:ascii="Arial" w:hAnsi="Arial" w:cs="Arial"/>
          <w:sz w:val="24"/>
          <w:szCs w:val="24"/>
        </w:rPr>
        <w:t>inference</w:t>
      </w:r>
      <w:r w:rsidR="00AF3DFA">
        <w:rPr>
          <w:rFonts w:ascii="Arial" w:hAnsi="Arial" w:cs="Arial"/>
          <w:sz w:val="24"/>
          <w:szCs w:val="24"/>
        </w:rPr>
        <w:t xml:space="preserve"> can</w:t>
      </w:r>
      <w:r w:rsidR="00EF1D75" w:rsidRPr="00EF1D75">
        <w:rPr>
          <w:rFonts w:ascii="Arial" w:hAnsi="Arial" w:cs="Arial"/>
          <w:sz w:val="24"/>
          <w:szCs w:val="24"/>
        </w:rPr>
        <w:t xml:space="preserve">not </w:t>
      </w:r>
      <w:r w:rsidR="00AF3DFA">
        <w:rPr>
          <w:rFonts w:ascii="Arial" w:hAnsi="Arial" w:cs="Arial"/>
          <w:sz w:val="24"/>
          <w:szCs w:val="24"/>
        </w:rPr>
        <w:t>be drawn</w:t>
      </w:r>
      <w:r w:rsidR="00776204">
        <w:rPr>
          <w:rFonts w:ascii="Arial" w:hAnsi="Arial" w:cs="Arial"/>
          <w:sz w:val="24"/>
          <w:szCs w:val="24"/>
        </w:rPr>
        <w:t>;</w:t>
      </w:r>
      <w:r w:rsidR="00AF3DFA">
        <w:rPr>
          <w:rFonts w:ascii="Arial" w:hAnsi="Arial" w:cs="Arial"/>
          <w:sz w:val="24"/>
          <w:szCs w:val="24"/>
        </w:rPr>
        <w:t xml:space="preserve"> and</w:t>
      </w:r>
    </w:p>
    <w:p w:rsidR="00A3322A" w:rsidRDefault="00A3322A" w:rsidP="00352902">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t xml:space="preserve">Whether the proven facts are such that they </w:t>
      </w:r>
      <w:r w:rsidR="00667FEE">
        <w:rPr>
          <w:rFonts w:ascii="Arial" w:hAnsi="Arial" w:cs="Arial"/>
          <w:sz w:val="24"/>
          <w:szCs w:val="24"/>
        </w:rPr>
        <w:t>exclude</w:t>
      </w:r>
      <w:r>
        <w:rPr>
          <w:rFonts w:ascii="Arial" w:hAnsi="Arial" w:cs="Arial"/>
          <w:sz w:val="24"/>
          <w:szCs w:val="24"/>
        </w:rPr>
        <w:t xml:space="preserve"> all other reasonable inferences from them </w:t>
      </w:r>
      <w:r w:rsidR="00667FEE">
        <w:rPr>
          <w:rFonts w:ascii="Arial" w:hAnsi="Arial" w:cs="Arial"/>
          <w:sz w:val="24"/>
          <w:szCs w:val="24"/>
        </w:rPr>
        <w:t>save</w:t>
      </w:r>
      <w:r>
        <w:rPr>
          <w:rFonts w:ascii="Arial" w:hAnsi="Arial" w:cs="Arial"/>
          <w:sz w:val="24"/>
          <w:szCs w:val="24"/>
        </w:rPr>
        <w:t xml:space="preserve"> the one sought to be </w:t>
      </w:r>
      <w:r w:rsidR="00667FEE" w:rsidRPr="00667FEE">
        <w:rPr>
          <w:rFonts w:ascii="Arial" w:hAnsi="Arial" w:cs="Arial"/>
          <w:sz w:val="24"/>
          <w:szCs w:val="24"/>
        </w:rPr>
        <w:t>drawn</w:t>
      </w:r>
      <w:r>
        <w:rPr>
          <w:rFonts w:ascii="Arial" w:hAnsi="Arial" w:cs="Arial"/>
          <w:sz w:val="24"/>
          <w:szCs w:val="24"/>
        </w:rPr>
        <w:t>.</w:t>
      </w:r>
      <w:r w:rsidR="00634307">
        <w:rPr>
          <w:rFonts w:ascii="Arial" w:hAnsi="Arial" w:cs="Arial"/>
          <w:sz w:val="24"/>
          <w:szCs w:val="24"/>
        </w:rPr>
        <w:t xml:space="preserve"> If they do not exclude other reasonable inferences, then there must be a doubt whether the inference sought to be drawn is correct.</w:t>
      </w:r>
    </w:p>
    <w:p w:rsidR="00A44652" w:rsidRDefault="00A44652" w:rsidP="00A44652">
      <w:pPr>
        <w:spacing w:after="0" w:line="360" w:lineRule="auto"/>
        <w:jc w:val="both"/>
        <w:rPr>
          <w:rFonts w:ascii="Arial" w:hAnsi="Arial" w:cs="Arial"/>
          <w:sz w:val="24"/>
          <w:szCs w:val="24"/>
        </w:rPr>
      </w:pPr>
    </w:p>
    <w:p w:rsidR="00A44652" w:rsidRDefault="00A44652" w:rsidP="00A44652">
      <w:pPr>
        <w:spacing w:after="0" w:line="360" w:lineRule="auto"/>
        <w:jc w:val="both"/>
        <w:rPr>
          <w:rFonts w:ascii="Arial" w:hAnsi="Arial" w:cs="Arial"/>
          <w:sz w:val="24"/>
          <w:szCs w:val="24"/>
        </w:rPr>
      </w:pPr>
      <w:r w:rsidRPr="00A44652">
        <w:rPr>
          <w:rFonts w:ascii="Arial" w:hAnsi="Arial" w:cs="Arial"/>
          <w:sz w:val="24"/>
          <w:szCs w:val="24"/>
        </w:rPr>
        <w:t>[1</w:t>
      </w:r>
      <w:r>
        <w:rPr>
          <w:rFonts w:ascii="Arial" w:hAnsi="Arial" w:cs="Arial"/>
          <w:sz w:val="24"/>
          <w:szCs w:val="24"/>
        </w:rPr>
        <w:t>8</w:t>
      </w:r>
      <w:r w:rsidRPr="00A44652">
        <w:rPr>
          <w:rFonts w:ascii="Arial" w:hAnsi="Arial" w:cs="Arial"/>
          <w:sz w:val="24"/>
          <w:szCs w:val="24"/>
        </w:rPr>
        <w:t>]</w:t>
      </w:r>
      <w:r w:rsidRPr="00A44652">
        <w:rPr>
          <w:rFonts w:ascii="Arial" w:hAnsi="Arial" w:cs="Arial"/>
          <w:sz w:val="24"/>
          <w:szCs w:val="24"/>
        </w:rPr>
        <w:tab/>
        <w:t xml:space="preserve">It is </w:t>
      </w:r>
      <w:r>
        <w:rPr>
          <w:rFonts w:ascii="Arial" w:hAnsi="Arial" w:cs="Arial"/>
          <w:sz w:val="24"/>
          <w:szCs w:val="24"/>
        </w:rPr>
        <w:t xml:space="preserve">well established </w:t>
      </w:r>
      <w:r w:rsidRPr="00A44652">
        <w:rPr>
          <w:rFonts w:ascii="Arial" w:hAnsi="Arial" w:cs="Arial"/>
          <w:sz w:val="24"/>
          <w:szCs w:val="24"/>
        </w:rPr>
        <w:t>that in all criminal cases the state</w:t>
      </w:r>
      <w:r>
        <w:rPr>
          <w:rFonts w:ascii="Arial" w:hAnsi="Arial" w:cs="Arial"/>
          <w:sz w:val="24"/>
          <w:szCs w:val="24"/>
        </w:rPr>
        <w:t xml:space="preserve"> bears the burden </w:t>
      </w:r>
      <w:r w:rsidRPr="00A44652">
        <w:rPr>
          <w:rFonts w:ascii="Arial" w:hAnsi="Arial" w:cs="Arial"/>
          <w:sz w:val="24"/>
          <w:szCs w:val="24"/>
        </w:rPr>
        <w:t xml:space="preserve">of proof of the </w:t>
      </w:r>
      <w:r>
        <w:rPr>
          <w:rFonts w:ascii="Arial" w:hAnsi="Arial" w:cs="Arial"/>
          <w:sz w:val="24"/>
          <w:szCs w:val="24"/>
        </w:rPr>
        <w:t xml:space="preserve">guilt of the </w:t>
      </w:r>
      <w:r w:rsidRPr="00A44652">
        <w:rPr>
          <w:rFonts w:ascii="Arial" w:hAnsi="Arial" w:cs="Arial"/>
          <w:sz w:val="24"/>
          <w:szCs w:val="24"/>
        </w:rPr>
        <w:t>accused beyond reasonable doubt</w:t>
      </w:r>
      <w:r w:rsidR="001740B9">
        <w:rPr>
          <w:rFonts w:ascii="Arial" w:hAnsi="Arial" w:cs="Arial"/>
          <w:sz w:val="24"/>
          <w:szCs w:val="24"/>
        </w:rPr>
        <w:t xml:space="preserve"> at the conclusion of the trial. The </w:t>
      </w:r>
      <w:r>
        <w:rPr>
          <w:rFonts w:ascii="Arial" w:hAnsi="Arial" w:cs="Arial"/>
          <w:sz w:val="24"/>
          <w:szCs w:val="24"/>
        </w:rPr>
        <w:t xml:space="preserve">state further bears the burden of making out a case against the accused on which a </w:t>
      </w:r>
      <w:r>
        <w:rPr>
          <w:rFonts w:ascii="Arial" w:hAnsi="Arial" w:cs="Arial"/>
          <w:sz w:val="24"/>
          <w:szCs w:val="24"/>
        </w:rPr>
        <w:lastRenderedPageBreak/>
        <w:t>reasonable court acting may convict</w:t>
      </w:r>
      <w:r w:rsidR="001740B9">
        <w:rPr>
          <w:rFonts w:ascii="Arial" w:hAnsi="Arial" w:cs="Arial"/>
          <w:sz w:val="24"/>
          <w:szCs w:val="24"/>
        </w:rPr>
        <w:t xml:space="preserve"> at the closure of its case</w:t>
      </w:r>
      <w:r>
        <w:rPr>
          <w:rFonts w:ascii="Arial" w:hAnsi="Arial" w:cs="Arial"/>
          <w:sz w:val="24"/>
          <w:szCs w:val="24"/>
        </w:rPr>
        <w:t xml:space="preserve">. It is therefore not for the accused to seal </w:t>
      </w:r>
      <w:r w:rsidRPr="00A44652">
        <w:rPr>
          <w:rFonts w:ascii="Arial" w:hAnsi="Arial" w:cs="Arial"/>
          <w:sz w:val="24"/>
          <w:szCs w:val="24"/>
        </w:rPr>
        <w:t xml:space="preserve">holes in </w:t>
      </w:r>
      <w:r>
        <w:rPr>
          <w:rFonts w:ascii="Arial" w:hAnsi="Arial" w:cs="Arial"/>
          <w:sz w:val="24"/>
          <w:szCs w:val="24"/>
        </w:rPr>
        <w:t>the state’s case</w:t>
      </w:r>
      <w:r w:rsidR="001740B9">
        <w:rPr>
          <w:rFonts w:ascii="Arial" w:hAnsi="Arial" w:cs="Arial"/>
          <w:sz w:val="24"/>
          <w:szCs w:val="24"/>
        </w:rPr>
        <w:t xml:space="preserve"> during the defence case</w:t>
      </w:r>
      <w:r>
        <w:rPr>
          <w:rFonts w:ascii="Arial" w:hAnsi="Arial" w:cs="Arial"/>
          <w:sz w:val="24"/>
          <w:szCs w:val="24"/>
        </w:rPr>
        <w:t xml:space="preserve">. As stated earlier placing the accused on his defence in </w:t>
      </w:r>
      <w:r w:rsidR="001740B9">
        <w:rPr>
          <w:rFonts w:ascii="Arial" w:hAnsi="Arial" w:cs="Arial"/>
          <w:sz w:val="24"/>
          <w:szCs w:val="24"/>
        </w:rPr>
        <w:t xml:space="preserve">the </w:t>
      </w:r>
      <w:r>
        <w:rPr>
          <w:rFonts w:ascii="Arial" w:hAnsi="Arial" w:cs="Arial"/>
          <w:sz w:val="24"/>
          <w:szCs w:val="24"/>
        </w:rPr>
        <w:t xml:space="preserve">hope of plugging holes in the state’s case </w:t>
      </w:r>
      <w:r w:rsidR="009A3975">
        <w:rPr>
          <w:rFonts w:ascii="Arial" w:hAnsi="Arial" w:cs="Arial"/>
          <w:sz w:val="24"/>
          <w:szCs w:val="24"/>
        </w:rPr>
        <w:t xml:space="preserve">offends the historically abused right to a fair trial and </w:t>
      </w:r>
      <w:r>
        <w:rPr>
          <w:rFonts w:ascii="Arial" w:hAnsi="Arial" w:cs="Arial"/>
          <w:sz w:val="24"/>
          <w:szCs w:val="24"/>
        </w:rPr>
        <w:t xml:space="preserve">amounts to a travesty of justice. </w:t>
      </w:r>
    </w:p>
    <w:p w:rsidR="00A44652" w:rsidRDefault="00A44652" w:rsidP="00A44652">
      <w:pPr>
        <w:spacing w:after="0" w:line="360" w:lineRule="auto"/>
        <w:jc w:val="both"/>
        <w:rPr>
          <w:rFonts w:ascii="Arial" w:hAnsi="Arial" w:cs="Arial"/>
          <w:sz w:val="24"/>
          <w:szCs w:val="24"/>
        </w:rPr>
      </w:pPr>
    </w:p>
    <w:p w:rsidR="00A44652" w:rsidRPr="00A44652" w:rsidRDefault="00A44652" w:rsidP="00224458">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224458">
        <w:rPr>
          <w:rFonts w:ascii="Arial" w:hAnsi="Arial" w:cs="Arial"/>
          <w:sz w:val="24"/>
          <w:szCs w:val="24"/>
        </w:rPr>
        <w:t>In a passage</w:t>
      </w:r>
      <w:r w:rsidR="00F40B40">
        <w:rPr>
          <w:rFonts w:ascii="Arial" w:hAnsi="Arial" w:cs="Arial"/>
          <w:sz w:val="24"/>
          <w:szCs w:val="24"/>
        </w:rPr>
        <w:t xml:space="preserve">, </w:t>
      </w:r>
      <w:r w:rsidR="00224458">
        <w:rPr>
          <w:rFonts w:ascii="Arial" w:hAnsi="Arial" w:cs="Arial"/>
          <w:sz w:val="24"/>
          <w:szCs w:val="24"/>
        </w:rPr>
        <w:t>which is often cited in our jurisdiction</w:t>
      </w:r>
      <w:r w:rsidR="00F40B40">
        <w:rPr>
          <w:rFonts w:ascii="Arial" w:hAnsi="Arial" w:cs="Arial"/>
          <w:sz w:val="24"/>
          <w:szCs w:val="24"/>
        </w:rPr>
        <w:t>,</w:t>
      </w:r>
      <w:r w:rsidR="00224458">
        <w:rPr>
          <w:rFonts w:ascii="Arial" w:hAnsi="Arial" w:cs="Arial"/>
          <w:sz w:val="24"/>
          <w:szCs w:val="24"/>
        </w:rPr>
        <w:t xml:space="preserve"> </w:t>
      </w:r>
      <w:r w:rsidR="00F40B40">
        <w:rPr>
          <w:rFonts w:ascii="Arial" w:hAnsi="Arial" w:cs="Arial"/>
          <w:sz w:val="24"/>
          <w:szCs w:val="24"/>
        </w:rPr>
        <w:t xml:space="preserve">from the matter of </w:t>
      </w:r>
      <w:r w:rsidRPr="00A44652">
        <w:rPr>
          <w:rFonts w:ascii="Arial" w:hAnsi="Arial" w:cs="Arial"/>
          <w:i/>
          <w:sz w:val="24"/>
          <w:szCs w:val="24"/>
        </w:rPr>
        <w:t xml:space="preserve">S v </w:t>
      </w:r>
      <w:proofErr w:type="spellStart"/>
      <w:r w:rsidRPr="00A44652">
        <w:rPr>
          <w:rFonts w:ascii="Arial" w:hAnsi="Arial" w:cs="Arial"/>
          <w:i/>
          <w:sz w:val="24"/>
          <w:szCs w:val="24"/>
        </w:rPr>
        <w:t>Mathebula</w:t>
      </w:r>
      <w:proofErr w:type="spellEnd"/>
      <w:r w:rsidRPr="00A44652">
        <w:rPr>
          <w:rFonts w:ascii="Arial" w:hAnsi="Arial" w:cs="Arial"/>
          <w:i/>
          <w:sz w:val="24"/>
          <w:szCs w:val="24"/>
        </w:rPr>
        <w:t xml:space="preserve"> and Another</w:t>
      </w:r>
      <w:r w:rsidR="00F40B40">
        <w:rPr>
          <w:rFonts w:ascii="Arial" w:hAnsi="Arial" w:cs="Arial"/>
          <w:i/>
          <w:sz w:val="24"/>
          <w:szCs w:val="24"/>
        </w:rPr>
        <w:t>,</w:t>
      </w:r>
      <w:r>
        <w:rPr>
          <w:rStyle w:val="FootnoteReference"/>
          <w:rFonts w:ascii="Arial" w:hAnsi="Arial" w:cs="Arial"/>
          <w:sz w:val="24"/>
          <w:szCs w:val="24"/>
        </w:rPr>
        <w:footnoteReference w:id="8"/>
      </w:r>
      <w:r w:rsidR="00F40B40">
        <w:rPr>
          <w:rFonts w:ascii="Arial" w:hAnsi="Arial" w:cs="Arial"/>
          <w:i/>
          <w:sz w:val="24"/>
          <w:szCs w:val="24"/>
        </w:rPr>
        <w:t xml:space="preserve"> </w:t>
      </w:r>
      <w:r w:rsidR="00F40B40" w:rsidRPr="00F40B40">
        <w:rPr>
          <w:rFonts w:ascii="Arial" w:hAnsi="Arial" w:cs="Arial"/>
          <w:iCs/>
          <w:sz w:val="24"/>
          <w:szCs w:val="24"/>
        </w:rPr>
        <w:t>the following was stated:</w:t>
      </w:r>
      <w:r w:rsidR="00F40B40">
        <w:rPr>
          <w:rFonts w:ascii="Arial" w:hAnsi="Arial" w:cs="Arial"/>
          <w:i/>
          <w:sz w:val="24"/>
          <w:szCs w:val="24"/>
        </w:rPr>
        <w:t xml:space="preserve"> </w:t>
      </w:r>
      <w:r w:rsidRPr="00A44652">
        <w:rPr>
          <w:rFonts w:ascii="Arial" w:hAnsi="Arial" w:cs="Arial"/>
          <w:sz w:val="24"/>
          <w:szCs w:val="24"/>
        </w:rPr>
        <w:t xml:space="preserve"> </w:t>
      </w:r>
      <w:r w:rsidR="00224458">
        <w:rPr>
          <w:rFonts w:ascii="Arial" w:hAnsi="Arial" w:cs="Arial"/>
          <w:sz w:val="24"/>
          <w:szCs w:val="24"/>
        </w:rPr>
        <w:t xml:space="preserve"> </w:t>
      </w:r>
    </w:p>
    <w:p w:rsidR="00224458" w:rsidRDefault="00224458" w:rsidP="00224458">
      <w:pPr>
        <w:spacing w:after="0" w:line="360" w:lineRule="auto"/>
        <w:jc w:val="both"/>
        <w:rPr>
          <w:rFonts w:ascii="Arial" w:hAnsi="Arial" w:cs="Arial"/>
          <w:sz w:val="24"/>
          <w:szCs w:val="24"/>
        </w:rPr>
      </w:pPr>
    </w:p>
    <w:p w:rsidR="00A44652" w:rsidRPr="008F0801" w:rsidRDefault="00A44652" w:rsidP="00224458">
      <w:pPr>
        <w:spacing w:after="0" w:line="360" w:lineRule="auto"/>
        <w:ind w:firstLine="360"/>
        <w:jc w:val="both"/>
        <w:rPr>
          <w:rFonts w:ascii="Arial" w:hAnsi="Arial" w:cs="Arial"/>
          <w:sz w:val="24"/>
          <w:szCs w:val="24"/>
        </w:rPr>
      </w:pPr>
      <w:r w:rsidRPr="008F0801">
        <w:rPr>
          <w:rFonts w:ascii="Arial" w:hAnsi="Arial" w:cs="Arial"/>
          <w:sz w:val="24"/>
          <w:szCs w:val="24"/>
        </w:rPr>
        <w:t>‘</w:t>
      </w:r>
      <w:r w:rsidRPr="008F0801">
        <w:rPr>
          <w:rFonts w:ascii="Arial" w:hAnsi="Arial" w:cs="Arial"/>
        </w:rPr>
        <w:t>(The) duty to prove an accused’s guilt rests fairly and squarely on the shoulders of the State. As I said previously, the accused need not assist the State in any way in discharging this onus. If the State cannot prove any evidence against the accused at the end of the State’s case, why should the accused be detained any longer and not be afforded his Constitutional rights of being regarded as innocent and thus being acquitted and accorded his freedom? Can it be said that he was given a fair trial if, at the close of the State’s case wherein no evidence was tendered to implicate him in the alleged crimes, the trial is then continued owing to the exercise of a discretion in the hope that some evidence implicating him might be forthcoming from the accused himself or his co-accused? To my mind such a discretionary power to continue the trial would fly in the face of the accused’s right to freedom, his right to be presumed innocent and remain silent, not to testify and not to be a compellable witness. To my mind it would constitute a gross unfairness to take into consideration possible future evidence which may or may not be tendered against the accused either by himself or by other co-accused and for that reason decide not to set him free after the State had failed to prove any evidence against him</w:t>
      </w:r>
      <w:r w:rsidRPr="008F0801">
        <w:rPr>
          <w:rFonts w:ascii="Arial" w:hAnsi="Arial" w:cs="Arial"/>
          <w:sz w:val="24"/>
          <w:szCs w:val="24"/>
        </w:rPr>
        <w:t>.’</w:t>
      </w:r>
    </w:p>
    <w:p w:rsidR="00A44652" w:rsidRPr="00A44652" w:rsidRDefault="00A44652" w:rsidP="00224458">
      <w:pPr>
        <w:pStyle w:val="ListParagraph"/>
        <w:spacing w:after="0" w:line="360" w:lineRule="auto"/>
        <w:jc w:val="both"/>
        <w:rPr>
          <w:rFonts w:ascii="Arial" w:hAnsi="Arial" w:cs="Arial"/>
          <w:sz w:val="24"/>
          <w:szCs w:val="24"/>
        </w:rPr>
      </w:pPr>
    </w:p>
    <w:p w:rsidR="001740B9" w:rsidRDefault="00A44652" w:rsidP="00224458">
      <w:pPr>
        <w:spacing w:after="0" w:line="360" w:lineRule="auto"/>
        <w:jc w:val="both"/>
        <w:rPr>
          <w:rFonts w:ascii="Arial" w:hAnsi="Arial" w:cs="Arial"/>
          <w:sz w:val="24"/>
          <w:szCs w:val="24"/>
        </w:rPr>
      </w:pPr>
      <w:r w:rsidRPr="00224458">
        <w:rPr>
          <w:rFonts w:ascii="Arial" w:hAnsi="Arial" w:cs="Arial"/>
          <w:sz w:val="24"/>
          <w:szCs w:val="24"/>
        </w:rPr>
        <w:t>[2</w:t>
      </w:r>
      <w:r w:rsidR="00224458">
        <w:rPr>
          <w:rFonts w:ascii="Arial" w:hAnsi="Arial" w:cs="Arial"/>
          <w:sz w:val="24"/>
          <w:szCs w:val="24"/>
        </w:rPr>
        <w:t>0</w:t>
      </w:r>
      <w:r w:rsidRPr="00224458">
        <w:rPr>
          <w:rFonts w:ascii="Arial" w:hAnsi="Arial" w:cs="Arial"/>
          <w:sz w:val="24"/>
          <w:szCs w:val="24"/>
        </w:rPr>
        <w:t>]</w:t>
      </w:r>
      <w:r w:rsidRPr="00224458">
        <w:rPr>
          <w:rFonts w:ascii="Arial" w:hAnsi="Arial" w:cs="Arial"/>
          <w:sz w:val="24"/>
          <w:szCs w:val="24"/>
        </w:rPr>
        <w:tab/>
      </w:r>
      <w:r w:rsidR="001740B9">
        <w:rPr>
          <w:rFonts w:ascii="Arial" w:hAnsi="Arial" w:cs="Arial"/>
          <w:sz w:val="24"/>
          <w:szCs w:val="24"/>
        </w:rPr>
        <w:t xml:space="preserve">It is against this backdrop that this court proceed to address the application for discharge in this matter. </w:t>
      </w:r>
    </w:p>
    <w:p w:rsidR="001740B9" w:rsidRDefault="001740B9" w:rsidP="00224458">
      <w:pPr>
        <w:spacing w:after="0" w:line="360" w:lineRule="auto"/>
        <w:jc w:val="both"/>
        <w:rPr>
          <w:rFonts w:ascii="Arial" w:hAnsi="Arial" w:cs="Arial"/>
          <w:sz w:val="24"/>
          <w:szCs w:val="24"/>
        </w:rPr>
      </w:pPr>
    </w:p>
    <w:p w:rsidR="00A3322A" w:rsidRDefault="001740B9" w:rsidP="00224458">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9A3975">
        <w:rPr>
          <w:rFonts w:ascii="Arial" w:hAnsi="Arial" w:cs="Arial"/>
          <w:sz w:val="24"/>
          <w:szCs w:val="24"/>
        </w:rPr>
        <w:t xml:space="preserve">The state is therefore burdened, according to law, </w:t>
      </w:r>
      <w:r w:rsidR="00F40B40">
        <w:rPr>
          <w:rFonts w:ascii="Arial" w:hAnsi="Arial" w:cs="Arial"/>
          <w:sz w:val="24"/>
          <w:szCs w:val="24"/>
        </w:rPr>
        <w:t xml:space="preserve">with a duty </w:t>
      </w:r>
      <w:r w:rsidR="009A3975">
        <w:rPr>
          <w:rFonts w:ascii="Arial" w:hAnsi="Arial" w:cs="Arial"/>
          <w:sz w:val="24"/>
          <w:szCs w:val="24"/>
        </w:rPr>
        <w:t xml:space="preserve">to adduce evidence of such a nature </w:t>
      </w:r>
      <w:r>
        <w:rPr>
          <w:rFonts w:ascii="Arial" w:hAnsi="Arial" w:cs="Arial"/>
          <w:sz w:val="24"/>
          <w:szCs w:val="24"/>
        </w:rPr>
        <w:t>as to enable th</w:t>
      </w:r>
      <w:r w:rsidR="00F40B40">
        <w:rPr>
          <w:rFonts w:ascii="Arial" w:hAnsi="Arial" w:cs="Arial"/>
          <w:sz w:val="24"/>
          <w:szCs w:val="24"/>
        </w:rPr>
        <w:t>e</w:t>
      </w:r>
      <w:r>
        <w:rPr>
          <w:rFonts w:ascii="Arial" w:hAnsi="Arial" w:cs="Arial"/>
          <w:sz w:val="24"/>
          <w:szCs w:val="24"/>
        </w:rPr>
        <w:t xml:space="preserve"> court to </w:t>
      </w:r>
      <w:r w:rsidR="009A3975">
        <w:rPr>
          <w:rFonts w:ascii="Arial" w:hAnsi="Arial" w:cs="Arial"/>
          <w:sz w:val="24"/>
          <w:szCs w:val="24"/>
        </w:rPr>
        <w:t xml:space="preserve">exercise its discretion in the determination whether there is evidence on which a court </w:t>
      </w:r>
      <w:r w:rsidR="009A3975" w:rsidRPr="001740B9">
        <w:rPr>
          <w:rFonts w:ascii="Arial" w:hAnsi="Arial" w:cs="Arial"/>
          <w:sz w:val="24"/>
          <w:szCs w:val="24"/>
          <w:u w:val="single"/>
        </w:rPr>
        <w:t>may</w:t>
      </w:r>
      <w:r w:rsidR="009A3975">
        <w:rPr>
          <w:rFonts w:ascii="Arial" w:hAnsi="Arial" w:cs="Arial"/>
          <w:sz w:val="24"/>
          <w:szCs w:val="24"/>
        </w:rPr>
        <w:t xml:space="preserve"> convict and not </w:t>
      </w:r>
      <w:r w:rsidR="009A3975" w:rsidRPr="001740B9">
        <w:rPr>
          <w:rFonts w:ascii="Arial" w:hAnsi="Arial" w:cs="Arial"/>
          <w:sz w:val="24"/>
          <w:szCs w:val="24"/>
          <w:u w:val="single"/>
        </w:rPr>
        <w:t>shall</w:t>
      </w:r>
      <w:r w:rsidR="009A3975">
        <w:rPr>
          <w:rFonts w:ascii="Arial" w:hAnsi="Arial" w:cs="Arial"/>
          <w:sz w:val="24"/>
          <w:szCs w:val="24"/>
        </w:rPr>
        <w:t xml:space="preserve"> convict. To this end </w:t>
      </w:r>
      <w:proofErr w:type="spellStart"/>
      <w:r w:rsidR="009A3975">
        <w:rPr>
          <w:rFonts w:ascii="Arial" w:hAnsi="Arial" w:cs="Arial"/>
          <w:sz w:val="24"/>
          <w:szCs w:val="24"/>
        </w:rPr>
        <w:t>Mr</w:t>
      </w:r>
      <w:proofErr w:type="spellEnd"/>
      <w:r w:rsidR="009A3975">
        <w:rPr>
          <w:rFonts w:ascii="Arial" w:hAnsi="Arial" w:cs="Arial"/>
          <w:sz w:val="24"/>
          <w:szCs w:val="24"/>
        </w:rPr>
        <w:t xml:space="preserve"> </w:t>
      </w:r>
      <w:proofErr w:type="spellStart"/>
      <w:r w:rsidR="009A3975" w:rsidRPr="00C64DF1">
        <w:rPr>
          <w:rFonts w:ascii="Arial" w:hAnsi="Arial" w:cs="Arial"/>
          <w:iCs/>
          <w:sz w:val="24"/>
          <w:szCs w:val="24"/>
        </w:rPr>
        <w:t>Engelbrecht</w:t>
      </w:r>
      <w:proofErr w:type="spellEnd"/>
      <w:r w:rsidR="009A3975" w:rsidRPr="00C64DF1">
        <w:rPr>
          <w:rFonts w:ascii="Arial" w:hAnsi="Arial" w:cs="Arial"/>
          <w:sz w:val="24"/>
          <w:szCs w:val="24"/>
        </w:rPr>
        <w:t xml:space="preserve"> </w:t>
      </w:r>
      <w:r w:rsidR="009A3975">
        <w:rPr>
          <w:rFonts w:ascii="Arial" w:hAnsi="Arial" w:cs="Arial"/>
          <w:sz w:val="24"/>
          <w:szCs w:val="24"/>
        </w:rPr>
        <w:t xml:space="preserve">implored on the court to exercise its discretion to discharge the accused on the charge under review. </w:t>
      </w:r>
    </w:p>
    <w:p w:rsidR="009A3975" w:rsidRPr="00224458" w:rsidRDefault="009A3975" w:rsidP="00224458">
      <w:pPr>
        <w:spacing w:after="0" w:line="360" w:lineRule="auto"/>
        <w:jc w:val="both"/>
        <w:rPr>
          <w:rFonts w:ascii="Arial" w:hAnsi="Arial" w:cs="Arial"/>
          <w:sz w:val="24"/>
          <w:szCs w:val="24"/>
        </w:rPr>
      </w:pPr>
    </w:p>
    <w:p w:rsidR="009A3975" w:rsidRDefault="005A25FC" w:rsidP="00352902">
      <w:pPr>
        <w:spacing w:after="0" w:line="360" w:lineRule="auto"/>
        <w:jc w:val="both"/>
        <w:rPr>
          <w:rFonts w:ascii="Arial" w:hAnsi="Arial" w:cs="Arial"/>
          <w:sz w:val="24"/>
          <w:szCs w:val="24"/>
        </w:rPr>
      </w:pPr>
      <w:r>
        <w:rPr>
          <w:rFonts w:ascii="Arial" w:hAnsi="Arial" w:cs="Arial"/>
          <w:sz w:val="24"/>
          <w:szCs w:val="24"/>
        </w:rPr>
        <w:t>[</w:t>
      </w:r>
      <w:r w:rsidR="00E57F74">
        <w:rPr>
          <w:rFonts w:ascii="Arial" w:hAnsi="Arial" w:cs="Arial"/>
          <w:sz w:val="24"/>
          <w:szCs w:val="24"/>
        </w:rPr>
        <w:t>22</w:t>
      </w: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Mr</w:t>
      </w:r>
      <w:proofErr w:type="spellEnd"/>
      <w:r>
        <w:rPr>
          <w:rFonts w:ascii="Arial" w:hAnsi="Arial" w:cs="Arial"/>
          <w:sz w:val="24"/>
          <w:szCs w:val="24"/>
        </w:rPr>
        <w:t xml:space="preserve"> </w:t>
      </w:r>
      <w:proofErr w:type="spellStart"/>
      <w:r w:rsidRPr="00C64DF1">
        <w:rPr>
          <w:rFonts w:ascii="Arial" w:hAnsi="Arial" w:cs="Arial"/>
          <w:iCs/>
          <w:sz w:val="24"/>
          <w:szCs w:val="24"/>
        </w:rPr>
        <w:t>Malumani</w:t>
      </w:r>
      <w:proofErr w:type="spellEnd"/>
      <w:r w:rsidRPr="00C64DF1">
        <w:rPr>
          <w:rFonts w:ascii="Arial" w:hAnsi="Arial" w:cs="Arial"/>
          <w:sz w:val="24"/>
          <w:szCs w:val="24"/>
        </w:rPr>
        <w:t xml:space="preserve"> </w:t>
      </w:r>
      <w:r>
        <w:rPr>
          <w:rFonts w:ascii="Arial" w:hAnsi="Arial" w:cs="Arial"/>
          <w:sz w:val="24"/>
          <w:szCs w:val="24"/>
        </w:rPr>
        <w:t>was not to be surpassed as he submitted that, notwithstanding the fa</w:t>
      </w:r>
      <w:r w:rsidR="009A3975">
        <w:rPr>
          <w:rFonts w:ascii="Arial" w:hAnsi="Arial" w:cs="Arial"/>
          <w:sz w:val="24"/>
          <w:szCs w:val="24"/>
        </w:rPr>
        <w:t>c</w:t>
      </w:r>
      <w:r>
        <w:rPr>
          <w:rFonts w:ascii="Arial" w:hAnsi="Arial" w:cs="Arial"/>
          <w:sz w:val="24"/>
          <w:szCs w:val="24"/>
        </w:rPr>
        <w:t xml:space="preserve">t that </w:t>
      </w:r>
      <w:r w:rsidR="00582B6C">
        <w:rPr>
          <w:rFonts w:ascii="Arial" w:hAnsi="Arial" w:cs="Arial"/>
          <w:sz w:val="24"/>
          <w:szCs w:val="24"/>
        </w:rPr>
        <w:t>no witness observed the a</w:t>
      </w:r>
      <w:r>
        <w:rPr>
          <w:rFonts w:ascii="Arial" w:hAnsi="Arial" w:cs="Arial"/>
          <w:sz w:val="24"/>
          <w:szCs w:val="24"/>
        </w:rPr>
        <w:t xml:space="preserve">ssault averred in count 4, there is ample </w:t>
      </w:r>
      <w:r>
        <w:rPr>
          <w:rFonts w:ascii="Arial" w:hAnsi="Arial" w:cs="Arial"/>
          <w:sz w:val="24"/>
          <w:szCs w:val="24"/>
        </w:rPr>
        <w:lastRenderedPageBreak/>
        <w:t xml:space="preserve">circumstantial evidence supporting the charge </w:t>
      </w:r>
      <w:r w:rsidR="009A7C71">
        <w:rPr>
          <w:rFonts w:ascii="Arial" w:hAnsi="Arial" w:cs="Arial"/>
          <w:sz w:val="24"/>
          <w:szCs w:val="24"/>
        </w:rPr>
        <w:t xml:space="preserve">against the accused </w:t>
      </w:r>
      <w:r>
        <w:rPr>
          <w:rFonts w:ascii="Arial" w:hAnsi="Arial" w:cs="Arial"/>
          <w:sz w:val="24"/>
          <w:szCs w:val="24"/>
        </w:rPr>
        <w:t xml:space="preserve">on which he may ultimately be convicted. </w:t>
      </w:r>
    </w:p>
    <w:p w:rsidR="009A3975" w:rsidRDefault="009A3975" w:rsidP="00352902">
      <w:pPr>
        <w:spacing w:after="0" w:line="360" w:lineRule="auto"/>
        <w:jc w:val="both"/>
        <w:rPr>
          <w:rFonts w:ascii="Arial" w:hAnsi="Arial" w:cs="Arial"/>
          <w:sz w:val="24"/>
          <w:szCs w:val="24"/>
        </w:rPr>
      </w:pPr>
    </w:p>
    <w:p w:rsidR="00AF45E0" w:rsidRDefault="00E57F74" w:rsidP="00352902">
      <w:pPr>
        <w:spacing w:after="0" w:line="360" w:lineRule="auto"/>
        <w:jc w:val="both"/>
        <w:rPr>
          <w:rFonts w:ascii="Arial" w:hAnsi="Arial" w:cs="Arial"/>
          <w:sz w:val="24"/>
          <w:szCs w:val="24"/>
        </w:rPr>
      </w:pPr>
      <w:r>
        <w:rPr>
          <w:rFonts w:ascii="Arial" w:hAnsi="Arial" w:cs="Arial"/>
          <w:sz w:val="24"/>
          <w:szCs w:val="24"/>
        </w:rPr>
        <w:t>[23</w:t>
      </w:r>
      <w:r w:rsidR="009A3975">
        <w:rPr>
          <w:rFonts w:ascii="Arial" w:hAnsi="Arial" w:cs="Arial"/>
          <w:sz w:val="24"/>
          <w:szCs w:val="24"/>
        </w:rPr>
        <w:t>]</w:t>
      </w:r>
      <w:r w:rsidR="009A3975">
        <w:rPr>
          <w:rFonts w:ascii="Arial" w:hAnsi="Arial" w:cs="Arial"/>
          <w:sz w:val="24"/>
          <w:szCs w:val="24"/>
        </w:rPr>
        <w:tab/>
      </w:r>
      <w:r w:rsidR="00246D0C">
        <w:rPr>
          <w:rFonts w:ascii="Arial" w:hAnsi="Arial" w:cs="Arial"/>
          <w:sz w:val="24"/>
          <w:szCs w:val="24"/>
        </w:rPr>
        <w:t xml:space="preserve">It is an irrefutable fact that there is no direct evidence regarding count 4, hence circumstantial evidence is resorted to. </w:t>
      </w:r>
      <w:r w:rsidR="009A3975">
        <w:rPr>
          <w:rFonts w:ascii="Arial" w:hAnsi="Arial" w:cs="Arial"/>
          <w:sz w:val="24"/>
          <w:szCs w:val="24"/>
        </w:rPr>
        <w:t xml:space="preserve">In assessing the evidence on count 4 this court finds that there is evidence presented on which a reasonable court acting carefully may convict on the charge or any other charge.  </w:t>
      </w:r>
    </w:p>
    <w:p w:rsidR="00AF45E0" w:rsidRDefault="00AF45E0" w:rsidP="00352902">
      <w:pPr>
        <w:spacing w:after="0" w:line="360" w:lineRule="auto"/>
        <w:jc w:val="both"/>
        <w:rPr>
          <w:rFonts w:ascii="Arial" w:hAnsi="Arial" w:cs="Arial"/>
          <w:sz w:val="24"/>
          <w:szCs w:val="24"/>
        </w:rPr>
      </w:pPr>
    </w:p>
    <w:p w:rsidR="00C02ADD" w:rsidRDefault="00AF45E0" w:rsidP="003C66D3">
      <w:pPr>
        <w:spacing w:after="0" w:line="360" w:lineRule="auto"/>
        <w:jc w:val="both"/>
        <w:rPr>
          <w:rFonts w:ascii="Arial" w:hAnsi="Arial" w:cs="Arial"/>
          <w:sz w:val="24"/>
          <w:szCs w:val="24"/>
        </w:rPr>
      </w:pPr>
      <w:r>
        <w:rPr>
          <w:rFonts w:ascii="Arial" w:hAnsi="Arial" w:cs="Arial"/>
          <w:sz w:val="24"/>
          <w:szCs w:val="24"/>
        </w:rPr>
        <w:t>[</w:t>
      </w:r>
      <w:r w:rsidR="00E57F74">
        <w:rPr>
          <w:rFonts w:ascii="Arial" w:hAnsi="Arial" w:cs="Arial"/>
          <w:sz w:val="24"/>
          <w:szCs w:val="24"/>
        </w:rPr>
        <w:t>24</w:t>
      </w:r>
      <w:r>
        <w:rPr>
          <w:rFonts w:ascii="Arial" w:hAnsi="Arial" w:cs="Arial"/>
          <w:sz w:val="24"/>
          <w:szCs w:val="24"/>
        </w:rPr>
        <w:t>]</w:t>
      </w:r>
      <w:r w:rsidR="003C66D3">
        <w:rPr>
          <w:rFonts w:ascii="Arial" w:hAnsi="Arial" w:cs="Arial"/>
          <w:sz w:val="24"/>
          <w:szCs w:val="24"/>
        </w:rPr>
        <w:tab/>
      </w:r>
      <w:r w:rsidR="00402D72">
        <w:rPr>
          <w:rFonts w:ascii="Arial" w:hAnsi="Arial" w:cs="Arial"/>
          <w:sz w:val="24"/>
          <w:szCs w:val="24"/>
        </w:rPr>
        <w:t xml:space="preserve">In respect of count 5, it was conceded by </w:t>
      </w:r>
      <w:proofErr w:type="spellStart"/>
      <w:r w:rsidR="00402D72">
        <w:rPr>
          <w:rFonts w:ascii="Arial" w:hAnsi="Arial" w:cs="Arial"/>
          <w:sz w:val="24"/>
          <w:szCs w:val="24"/>
        </w:rPr>
        <w:t>Mr</w:t>
      </w:r>
      <w:proofErr w:type="spellEnd"/>
      <w:r w:rsidR="00402D72">
        <w:rPr>
          <w:rFonts w:ascii="Arial" w:hAnsi="Arial" w:cs="Arial"/>
          <w:sz w:val="24"/>
          <w:szCs w:val="24"/>
        </w:rPr>
        <w:t xml:space="preserve"> </w:t>
      </w:r>
      <w:proofErr w:type="spellStart"/>
      <w:r w:rsidR="00402D72" w:rsidRPr="00C64DF1">
        <w:rPr>
          <w:rFonts w:ascii="Arial" w:hAnsi="Arial" w:cs="Arial"/>
          <w:iCs/>
          <w:sz w:val="24"/>
          <w:szCs w:val="24"/>
        </w:rPr>
        <w:t>Malumani</w:t>
      </w:r>
      <w:proofErr w:type="spellEnd"/>
      <w:r w:rsidR="00402D72">
        <w:rPr>
          <w:rFonts w:ascii="Arial" w:hAnsi="Arial" w:cs="Arial"/>
          <w:sz w:val="24"/>
          <w:szCs w:val="24"/>
        </w:rPr>
        <w:t xml:space="preserve"> that</w:t>
      </w:r>
      <w:r w:rsidR="00582B6C">
        <w:rPr>
          <w:rFonts w:ascii="Arial" w:hAnsi="Arial" w:cs="Arial"/>
          <w:sz w:val="24"/>
          <w:szCs w:val="24"/>
        </w:rPr>
        <w:t>,</w:t>
      </w:r>
      <w:r w:rsidR="00402D72">
        <w:rPr>
          <w:rFonts w:ascii="Arial" w:hAnsi="Arial" w:cs="Arial"/>
          <w:sz w:val="24"/>
          <w:szCs w:val="24"/>
        </w:rPr>
        <w:t xml:space="preserve"> all the averments regarding the charge of defeating or attempt to defeat or obstruct the course of justice were </w:t>
      </w:r>
      <w:r w:rsidR="009A7C71">
        <w:rPr>
          <w:rFonts w:ascii="Arial" w:hAnsi="Arial" w:cs="Arial"/>
          <w:sz w:val="24"/>
          <w:szCs w:val="24"/>
        </w:rPr>
        <w:t xml:space="preserve">not </w:t>
      </w:r>
      <w:r w:rsidR="00402D72">
        <w:rPr>
          <w:rFonts w:ascii="Arial" w:hAnsi="Arial" w:cs="Arial"/>
          <w:sz w:val="24"/>
          <w:szCs w:val="24"/>
        </w:rPr>
        <w:t xml:space="preserve">proven with the exception of hiding or placing the knife used to stab the deceased and </w:t>
      </w:r>
      <w:proofErr w:type="spellStart"/>
      <w:r w:rsidR="00402D72">
        <w:rPr>
          <w:rFonts w:ascii="Arial" w:hAnsi="Arial" w:cs="Arial"/>
          <w:sz w:val="24"/>
          <w:szCs w:val="24"/>
        </w:rPr>
        <w:t>Mr</w:t>
      </w:r>
      <w:proofErr w:type="spellEnd"/>
      <w:r w:rsidR="00402D72">
        <w:rPr>
          <w:rFonts w:ascii="Arial" w:hAnsi="Arial" w:cs="Arial"/>
          <w:sz w:val="24"/>
          <w:szCs w:val="24"/>
        </w:rPr>
        <w:t xml:space="preserve"> </w:t>
      </w:r>
      <w:proofErr w:type="spellStart"/>
      <w:r w:rsidR="00402D72" w:rsidRPr="00C64DF1">
        <w:rPr>
          <w:rFonts w:ascii="Arial" w:hAnsi="Arial" w:cs="Arial"/>
          <w:iCs/>
          <w:sz w:val="24"/>
          <w:szCs w:val="24"/>
        </w:rPr>
        <w:t>Matsaya</w:t>
      </w:r>
      <w:proofErr w:type="spellEnd"/>
      <w:r w:rsidR="00402D72">
        <w:rPr>
          <w:rFonts w:ascii="Arial" w:hAnsi="Arial" w:cs="Arial"/>
          <w:sz w:val="24"/>
          <w:szCs w:val="24"/>
        </w:rPr>
        <w:t xml:space="preserve"> </w:t>
      </w:r>
      <w:r w:rsidR="009A7C71">
        <w:rPr>
          <w:rFonts w:ascii="Arial" w:hAnsi="Arial" w:cs="Arial"/>
          <w:sz w:val="24"/>
          <w:szCs w:val="24"/>
        </w:rPr>
        <w:t xml:space="preserve">in a bucket of water. </w:t>
      </w:r>
      <w:r w:rsidR="00402D72">
        <w:rPr>
          <w:rFonts w:ascii="Arial" w:hAnsi="Arial" w:cs="Arial"/>
          <w:sz w:val="24"/>
          <w:szCs w:val="24"/>
        </w:rPr>
        <w:t>It was further submitted that placing such knife in water resulted in cleaning the knife of possible blood stains which could further the investigation of this matter. Therefore</w:t>
      </w:r>
      <w:r w:rsidR="008F21A3">
        <w:rPr>
          <w:rFonts w:ascii="Arial" w:hAnsi="Arial" w:cs="Arial"/>
          <w:sz w:val="24"/>
          <w:szCs w:val="24"/>
        </w:rPr>
        <w:t>,</w:t>
      </w:r>
      <w:r w:rsidR="00402D72">
        <w:rPr>
          <w:rFonts w:ascii="Arial" w:hAnsi="Arial" w:cs="Arial"/>
          <w:sz w:val="24"/>
          <w:szCs w:val="24"/>
        </w:rPr>
        <w:t xml:space="preserve"> the acts of the accused defeated or obstructed the course of justice</w:t>
      </w:r>
      <w:r w:rsidR="008F21A3">
        <w:rPr>
          <w:rFonts w:ascii="Arial" w:hAnsi="Arial" w:cs="Arial"/>
          <w:sz w:val="24"/>
          <w:szCs w:val="24"/>
        </w:rPr>
        <w:t xml:space="preserve">, so the argument went. </w:t>
      </w:r>
      <w:proofErr w:type="spellStart"/>
      <w:r w:rsidR="008F21A3">
        <w:rPr>
          <w:rFonts w:ascii="Arial" w:hAnsi="Arial" w:cs="Arial"/>
          <w:sz w:val="24"/>
          <w:szCs w:val="24"/>
        </w:rPr>
        <w:t>Mr</w:t>
      </w:r>
      <w:proofErr w:type="spellEnd"/>
      <w:r w:rsidR="008F21A3">
        <w:rPr>
          <w:rFonts w:ascii="Arial" w:hAnsi="Arial" w:cs="Arial"/>
          <w:sz w:val="24"/>
          <w:szCs w:val="24"/>
        </w:rPr>
        <w:t xml:space="preserve"> </w:t>
      </w:r>
      <w:proofErr w:type="spellStart"/>
      <w:r w:rsidR="008F21A3" w:rsidRPr="00C64DF1">
        <w:rPr>
          <w:rFonts w:ascii="Arial" w:hAnsi="Arial" w:cs="Arial"/>
          <w:iCs/>
          <w:sz w:val="24"/>
          <w:szCs w:val="24"/>
        </w:rPr>
        <w:t>Engelbrecht</w:t>
      </w:r>
      <w:proofErr w:type="spellEnd"/>
      <w:r w:rsidR="008F21A3" w:rsidRPr="00C64DF1">
        <w:rPr>
          <w:rFonts w:ascii="Arial" w:hAnsi="Arial" w:cs="Arial"/>
          <w:sz w:val="24"/>
          <w:szCs w:val="24"/>
        </w:rPr>
        <w:t xml:space="preserve"> </w:t>
      </w:r>
      <w:r w:rsidR="008F21A3">
        <w:rPr>
          <w:rFonts w:ascii="Arial" w:hAnsi="Arial" w:cs="Arial"/>
          <w:sz w:val="24"/>
          <w:szCs w:val="24"/>
        </w:rPr>
        <w:t xml:space="preserve">submitted the contrary. </w:t>
      </w:r>
      <w:r w:rsidR="00402D72">
        <w:rPr>
          <w:rFonts w:ascii="Arial" w:hAnsi="Arial" w:cs="Arial"/>
          <w:sz w:val="24"/>
          <w:szCs w:val="24"/>
        </w:rPr>
        <w:t xml:space="preserve"> </w:t>
      </w:r>
    </w:p>
    <w:p w:rsidR="00651208" w:rsidRDefault="00651208" w:rsidP="003C66D3">
      <w:pPr>
        <w:spacing w:after="0" w:line="360" w:lineRule="auto"/>
        <w:jc w:val="both"/>
        <w:rPr>
          <w:rFonts w:ascii="Arial" w:hAnsi="Arial" w:cs="Arial"/>
          <w:sz w:val="24"/>
          <w:szCs w:val="24"/>
        </w:rPr>
      </w:pPr>
    </w:p>
    <w:p w:rsidR="00CA15E4" w:rsidRDefault="00E57F74" w:rsidP="003C66D3">
      <w:pPr>
        <w:spacing w:after="0" w:line="360" w:lineRule="auto"/>
        <w:jc w:val="both"/>
        <w:rPr>
          <w:rFonts w:ascii="Arial" w:hAnsi="Arial" w:cs="Arial"/>
          <w:sz w:val="24"/>
          <w:szCs w:val="24"/>
        </w:rPr>
      </w:pPr>
      <w:r>
        <w:rPr>
          <w:rFonts w:ascii="Arial" w:hAnsi="Arial" w:cs="Arial"/>
          <w:sz w:val="24"/>
          <w:szCs w:val="24"/>
        </w:rPr>
        <w:t>[25</w:t>
      </w:r>
      <w:r w:rsidR="00651208">
        <w:rPr>
          <w:rFonts w:ascii="Arial" w:hAnsi="Arial" w:cs="Arial"/>
          <w:sz w:val="24"/>
          <w:szCs w:val="24"/>
        </w:rPr>
        <w:t>]</w:t>
      </w:r>
      <w:r w:rsidR="008F21A3">
        <w:rPr>
          <w:rFonts w:ascii="Arial" w:hAnsi="Arial" w:cs="Arial"/>
          <w:sz w:val="24"/>
          <w:szCs w:val="24"/>
        </w:rPr>
        <w:tab/>
        <w:t xml:space="preserve">When one has regard to the averments in charge 5 it becomes apparent that part of the allegations </w:t>
      </w:r>
      <w:r w:rsidR="00DD114E">
        <w:rPr>
          <w:rFonts w:ascii="Arial" w:hAnsi="Arial" w:cs="Arial"/>
          <w:sz w:val="24"/>
          <w:szCs w:val="24"/>
        </w:rPr>
        <w:t>is</w:t>
      </w:r>
      <w:r w:rsidR="008F21A3">
        <w:rPr>
          <w:rFonts w:ascii="Arial" w:hAnsi="Arial" w:cs="Arial"/>
          <w:sz w:val="24"/>
          <w:szCs w:val="24"/>
        </w:rPr>
        <w:t xml:space="preserve"> cleaning the knife by placing it in a bowl of water with intent to obstruct or interfere with police investigation or conceal evidence implicating </w:t>
      </w:r>
      <w:r w:rsidR="009A7C71">
        <w:rPr>
          <w:rFonts w:ascii="Arial" w:hAnsi="Arial" w:cs="Arial"/>
          <w:sz w:val="24"/>
          <w:szCs w:val="24"/>
        </w:rPr>
        <w:t xml:space="preserve">the accused. </w:t>
      </w:r>
      <w:r w:rsidR="008F21A3">
        <w:rPr>
          <w:rFonts w:ascii="Arial" w:hAnsi="Arial" w:cs="Arial"/>
          <w:sz w:val="24"/>
          <w:szCs w:val="24"/>
        </w:rPr>
        <w:t xml:space="preserve">It </w:t>
      </w:r>
      <w:r w:rsidR="00D85903">
        <w:rPr>
          <w:rFonts w:ascii="Arial" w:hAnsi="Arial" w:cs="Arial"/>
          <w:sz w:val="24"/>
          <w:szCs w:val="24"/>
        </w:rPr>
        <w:t>is evident that the accused person placed the said knife in a bucket of water. His intention can be inferred from the proven facts which supports the elements of the charge.</w:t>
      </w:r>
      <w:r w:rsidR="00CA15E4">
        <w:rPr>
          <w:rFonts w:ascii="Arial" w:hAnsi="Arial" w:cs="Arial"/>
          <w:sz w:val="24"/>
          <w:szCs w:val="24"/>
        </w:rPr>
        <w:t xml:space="preserve"> </w:t>
      </w:r>
    </w:p>
    <w:p w:rsidR="00CA15E4" w:rsidRDefault="00CA15E4" w:rsidP="003C66D3">
      <w:pPr>
        <w:spacing w:after="0" w:line="360" w:lineRule="auto"/>
        <w:jc w:val="both"/>
        <w:rPr>
          <w:rFonts w:ascii="Arial" w:hAnsi="Arial" w:cs="Arial"/>
          <w:sz w:val="24"/>
          <w:szCs w:val="24"/>
        </w:rPr>
      </w:pPr>
    </w:p>
    <w:p w:rsidR="00777A81" w:rsidRDefault="00E57F74" w:rsidP="003C66D3">
      <w:pPr>
        <w:spacing w:after="0" w:line="360" w:lineRule="auto"/>
        <w:jc w:val="both"/>
        <w:rPr>
          <w:rFonts w:ascii="Arial" w:hAnsi="Arial" w:cs="Arial"/>
          <w:sz w:val="24"/>
          <w:szCs w:val="24"/>
        </w:rPr>
      </w:pPr>
      <w:r>
        <w:rPr>
          <w:rFonts w:ascii="Arial" w:hAnsi="Arial" w:cs="Arial"/>
          <w:sz w:val="24"/>
          <w:szCs w:val="24"/>
        </w:rPr>
        <w:t>[26</w:t>
      </w:r>
      <w:r w:rsidR="00CA15E4">
        <w:rPr>
          <w:rFonts w:ascii="Arial" w:hAnsi="Arial" w:cs="Arial"/>
          <w:sz w:val="24"/>
          <w:szCs w:val="24"/>
        </w:rPr>
        <w:t>]</w:t>
      </w:r>
      <w:r w:rsidR="00CA15E4">
        <w:rPr>
          <w:rFonts w:ascii="Arial" w:hAnsi="Arial" w:cs="Arial"/>
          <w:sz w:val="24"/>
          <w:szCs w:val="24"/>
        </w:rPr>
        <w:tab/>
        <w:t>In light of the evidence discussed herein above, this court find</w:t>
      </w:r>
      <w:r w:rsidR="00DD114E">
        <w:rPr>
          <w:rFonts w:ascii="Arial" w:hAnsi="Arial" w:cs="Arial"/>
          <w:sz w:val="24"/>
          <w:szCs w:val="24"/>
        </w:rPr>
        <w:t>s</w:t>
      </w:r>
      <w:r w:rsidR="00CA15E4">
        <w:rPr>
          <w:rFonts w:ascii="Arial" w:hAnsi="Arial" w:cs="Arial"/>
          <w:sz w:val="24"/>
          <w:szCs w:val="24"/>
        </w:rPr>
        <w:t xml:space="preserve"> that the state managed to prove its case on a </w:t>
      </w:r>
      <w:r w:rsidR="00CA15E4" w:rsidRPr="009A7C71">
        <w:rPr>
          <w:rFonts w:ascii="Arial" w:hAnsi="Arial" w:cs="Arial"/>
          <w:i/>
          <w:iCs/>
          <w:sz w:val="24"/>
          <w:szCs w:val="24"/>
        </w:rPr>
        <w:t>prima facie</w:t>
      </w:r>
      <w:r w:rsidR="00CA15E4">
        <w:rPr>
          <w:rFonts w:ascii="Arial" w:hAnsi="Arial" w:cs="Arial"/>
          <w:sz w:val="24"/>
          <w:szCs w:val="24"/>
        </w:rPr>
        <w:t xml:space="preserve"> basis.  </w:t>
      </w:r>
    </w:p>
    <w:p w:rsidR="00777A81" w:rsidRDefault="00777A81" w:rsidP="003C66D3">
      <w:pPr>
        <w:spacing w:after="0" w:line="360" w:lineRule="auto"/>
        <w:jc w:val="both"/>
        <w:rPr>
          <w:rFonts w:ascii="Arial" w:hAnsi="Arial" w:cs="Arial"/>
          <w:sz w:val="24"/>
          <w:szCs w:val="24"/>
        </w:rPr>
      </w:pPr>
    </w:p>
    <w:p w:rsidR="00A8622C" w:rsidRDefault="00E57F74" w:rsidP="00352902">
      <w:pPr>
        <w:spacing w:after="0" w:line="360" w:lineRule="auto"/>
        <w:jc w:val="both"/>
        <w:rPr>
          <w:rFonts w:ascii="Arial" w:hAnsi="Arial" w:cs="Arial"/>
          <w:sz w:val="24"/>
          <w:szCs w:val="24"/>
        </w:rPr>
      </w:pPr>
      <w:r>
        <w:rPr>
          <w:rFonts w:ascii="Arial" w:hAnsi="Arial" w:cs="Arial"/>
          <w:sz w:val="24"/>
          <w:szCs w:val="24"/>
        </w:rPr>
        <w:t>[27</w:t>
      </w:r>
      <w:r w:rsidR="00A8622C">
        <w:rPr>
          <w:rFonts w:ascii="Arial" w:hAnsi="Arial" w:cs="Arial"/>
          <w:sz w:val="24"/>
          <w:szCs w:val="24"/>
        </w:rPr>
        <w:t>]</w:t>
      </w:r>
      <w:r w:rsidR="00A8622C">
        <w:rPr>
          <w:rFonts w:ascii="Arial" w:hAnsi="Arial" w:cs="Arial"/>
          <w:sz w:val="24"/>
          <w:szCs w:val="24"/>
        </w:rPr>
        <w:tab/>
        <w:t>In the result it is ordered that:</w:t>
      </w:r>
    </w:p>
    <w:p w:rsidR="00A8622C" w:rsidRDefault="00A8622C" w:rsidP="00352902">
      <w:pPr>
        <w:spacing w:after="0" w:line="360" w:lineRule="auto"/>
        <w:jc w:val="both"/>
        <w:rPr>
          <w:rFonts w:ascii="Arial" w:hAnsi="Arial" w:cs="Arial"/>
          <w:sz w:val="24"/>
          <w:szCs w:val="24"/>
        </w:rPr>
      </w:pPr>
    </w:p>
    <w:p w:rsidR="00EB474B" w:rsidRDefault="00A8622C" w:rsidP="00352902">
      <w:pPr>
        <w:spacing w:after="0" w:line="360" w:lineRule="auto"/>
        <w:jc w:val="both"/>
        <w:rPr>
          <w:rFonts w:ascii="Arial" w:hAnsi="Arial" w:cs="Arial"/>
          <w:sz w:val="24"/>
          <w:szCs w:val="24"/>
        </w:rPr>
      </w:pPr>
      <w:r>
        <w:rPr>
          <w:rFonts w:ascii="Arial" w:hAnsi="Arial" w:cs="Arial"/>
          <w:sz w:val="24"/>
          <w:szCs w:val="24"/>
        </w:rPr>
        <w:t>The application by the accused in terms of section 17</w:t>
      </w:r>
      <w:r w:rsidR="00535937">
        <w:rPr>
          <w:rFonts w:ascii="Arial" w:hAnsi="Arial" w:cs="Arial"/>
          <w:sz w:val="24"/>
          <w:szCs w:val="24"/>
        </w:rPr>
        <w:t>4 is hereby dismissed</w:t>
      </w:r>
      <w:r w:rsidR="0088245D">
        <w:rPr>
          <w:rFonts w:ascii="Arial" w:hAnsi="Arial" w:cs="Arial"/>
          <w:sz w:val="24"/>
          <w:szCs w:val="24"/>
        </w:rPr>
        <w:t>.</w:t>
      </w:r>
    </w:p>
    <w:p w:rsidR="007C2B5F" w:rsidRPr="00BB7A0F" w:rsidRDefault="007C2B5F" w:rsidP="00BB7A0F">
      <w:pPr>
        <w:spacing w:after="0" w:line="360" w:lineRule="auto"/>
        <w:jc w:val="both"/>
        <w:rPr>
          <w:rFonts w:ascii="Arial" w:hAnsi="Arial" w:cs="Arial"/>
          <w:sz w:val="24"/>
          <w:szCs w:val="24"/>
        </w:rPr>
      </w:pPr>
    </w:p>
    <w:p w:rsidR="00F62BBF" w:rsidRDefault="00F62BBF" w:rsidP="0017583F">
      <w:pPr>
        <w:spacing w:after="0" w:line="360" w:lineRule="auto"/>
        <w:jc w:val="right"/>
        <w:rPr>
          <w:rFonts w:ascii="Arial" w:hAnsi="Arial" w:cs="Arial"/>
          <w:sz w:val="24"/>
          <w:szCs w:val="24"/>
        </w:rPr>
      </w:pPr>
    </w:p>
    <w:p w:rsidR="008F2C6F" w:rsidRPr="00535937" w:rsidRDefault="00E57F74" w:rsidP="0017583F">
      <w:pPr>
        <w:spacing w:after="0" w:line="360" w:lineRule="auto"/>
        <w:jc w:val="right"/>
        <w:rPr>
          <w:rFonts w:ascii="Arial" w:hAnsi="Arial" w:cs="Arial"/>
          <w:b/>
          <w:bCs/>
          <w:sz w:val="24"/>
          <w:szCs w:val="24"/>
        </w:rPr>
      </w:pPr>
      <w:r>
        <w:rPr>
          <w:rFonts w:ascii="Arial" w:hAnsi="Arial" w:cs="Arial"/>
          <w:b/>
          <w:bCs/>
          <w:sz w:val="24"/>
          <w:szCs w:val="24"/>
        </w:rPr>
        <w:t>_____</w:t>
      </w:r>
      <w:r w:rsidR="00535937" w:rsidRPr="00535937">
        <w:rPr>
          <w:rFonts w:ascii="Arial" w:hAnsi="Arial" w:cs="Arial"/>
          <w:b/>
          <w:bCs/>
          <w:sz w:val="24"/>
          <w:szCs w:val="24"/>
        </w:rPr>
        <w:t>___________</w:t>
      </w:r>
    </w:p>
    <w:p w:rsidR="00535937" w:rsidRPr="00AC250E" w:rsidRDefault="00535937" w:rsidP="00535937">
      <w:pPr>
        <w:spacing w:after="0" w:line="360" w:lineRule="auto"/>
        <w:ind w:left="5760" w:firstLine="720"/>
        <w:jc w:val="center"/>
        <w:rPr>
          <w:rFonts w:ascii="Arial" w:hAnsi="Arial" w:cs="Arial"/>
          <w:bCs/>
          <w:sz w:val="24"/>
          <w:szCs w:val="24"/>
        </w:rPr>
      </w:pPr>
      <w:r w:rsidRPr="00535937">
        <w:rPr>
          <w:rFonts w:ascii="Arial" w:hAnsi="Arial" w:cs="Arial"/>
          <w:b/>
          <w:bCs/>
          <w:sz w:val="24"/>
          <w:szCs w:val="24"/>
        </w:rPr>
        <w:t xml:space="preserve">     </w:t>
      </w:r>
      <w:r w:rsidRPr="00535937">
        <w:rPr>
          <w:rFonts w:ascii="Arial" w:hAnsi="Arial" w:cs="Arial"/>
          <w:b/>
          <w:bCs/>
          <w:sz w:val="24"/>
          <w:szCs w:val="24"/>
        </w:rPr>
        <w:tab/>
      </w:r>
      <w:r w:rsidRPr="00AC250E">
        <w:rPr>
          <w:rFonts w:ascii="Arial" w:hAnsi="Arial" w:cs="Arial"/>
          <w:bCs/>
          <w:sz w:val="24"/>
          <w:szCs w:val="24"/>
        </w:rPr>
        <w:t xml:space="preserve">      O S SIBEYA </w:t>
      </w:r>
    </w:p>
    <w:p w:rsidR="00CD6D99" w:rsidRPr="0088245D" w:rsidRDefault="003A2D86" w:rsidP="0088245D">
      <w:pPr>
        <w:spacing w:after="0" w:line="360" w:lineRule="auto"/>
        <w:ind w:left="5760" w:firstLine="720"/>
        <w:jc w:val="center"/>
        <w:rPr>
          <w:rFonts w:ascii="Arial" w:hAnsi="Arial" w:cs="Arial"/>
          <w:b/>
          <w:bCs/>
          <w:sz w:val="24"/>
          <w:szCs w:val="24"/>
        </w:rPr>
      </w:pPr>
      <w:r w:rsidRPr="00AC250E">
        <w:rPr>
          <w:rFonts w:ascii="Arial" w:hAnsi="Arial" w:cs="Arial"/>
          <w:bCs/>
          <w:sz w:val="24"/>
          <w:szCs w:val="24"/>
        </w:rPr>
        <w:t xml:space="preserve"> </w:t>
      </w:r>
      <w:r w:rsidR="00535937" w:rsidRPr="00AC250E">
        <w:rPr>
          <w:rFonts w:ascii="Arial" w:hAnsi="Arial" w:cs="Arial"/>
          <w:bCs/>
          <w:sz w:val="24"/>
          <w:szCs w:val="24"/>
        </w:rPr>
        <w:t xml:space="preserve">          ACTING JUDG</w:t>
      </w:r>
      <w:bookmarkStart w:id="0" w:name="_GoBack"/>
      <w:bookmarkEnd w:id="0"/>
      <w:r w:rsidR="00535937" w:rsidRPr="00AC250E">
        <w:rPr>
          <w:rFonts w:ascii="Arial" w:hAnsi="Arial" w:cs="Arial"/>
          <w:bCs/>
          <w:sz w:val="24"/>
          <w:szCs w:val="24"/>
        </w:rPr>
        <w:t>E</w:t>
      </w:r>
    </w:p>
    <w:p w:rsidR="00CD6D99" w:rsidRDefault="00CD6D99" w:rsidP="00AD545C">
      <w:pPr>
        <w:pStyle w:val="BodyText"/>
        <w:autoSpaceDE w:val="0"/>
        <w:autoSpaceDN w:val="0"/>
        <w:adjustRightInd w:val="0"/>
        <w:spacing w:line="360" w:lineRule="auto"/>
        <w:jc w:val="both"/>
        <w:rPr>
          <w:rFonts w:ascii="Arial" w:hAnsi="Arial" w:cs="Arial"/>
        </w:rPr>
      </w:pPr>
    </w:p>
    <w:p w:rsidR="001B7E1F" w:rsidRDefault="001B7E1F" w:rsidP="00AD545C">
      <w:pPr>
        <w:pStyle w:val="BodyText"/>
        <w:autoSpaceDE w:val="0"/>
        <w:autoSpaceDN w:val="0"/>
        <w:adjustRightInd w:val="0"/>
        <w:spacing w:line="360" w:lineRule="auto"/>
        <w:jc w:val="both"/>
        <w:rPr>
          <w:rFonts w:ascii="Arial" w:hAnsi="Arial" w:cs="Arial"/>
          <w:b/>
        </w:rPr>
      </w:pPr>
      <w:r w:rsidRPr="000868F9">
        <w:rPr>
          <w:rFonts w:ascii="Arial" w:hAnsi="Arial" w:cs="Arial"/>
          <w:b/>
        </w:rPr>
        <w:t>APPEARANCES</w:t>
      </w:r>
      <w:r w:rsidR="008F0801">
        <w:rPr>
          <w:rFonts w:ascii="Arial" w:hAnsi="Arial" w:cs="Arial"/>
          <w:b/>
        </w:rPr>
        <w:t>:</w:t>
      </w:r>
    </w:p>
    <w:p w:rsidR="006B0E22" w:rsidRPr="000868F9" w:rsidRDefault="006B0E22" w:rsidP="00AD545C">
      <w:pPr>
        <w:pStyle w:val="BodyText"/>
        <w:autoSpaceDE w:val="0"/>
        <w:autoSpaceDN w:val="0"/>
        <w:adjustRightInd w:val="0"/>
        <w:spacing w:line="360" w:lineRule="auto"/>
        <w:jc w:val="both"/>
        <w:rPr>
          <w:rFonts w:ascii="Arial" w:hAnsi="Arial" w:cs="Arial"/>
          <w:b/>
        </w:rPr>
      </w:pPr>
    </w:p>
    <w:p w:rsidR="006B0E22" w:rsidRDefault="006B0E22" w:rsidP="006B0E22">
      <w:pPr>
        <w:autoSpaceDE w:val="0"/>
        <w:autoSpaceDN w:val="0"/>
        <w:adjustRightInd w:val="0"/>
        <w:spacing w:after="0" w:line="360" w:lineRule="auto"/>
        <w:ind w:left="3780" w:hanging="3780"/>
        <w:jc w:val="both"/>
        <w:rPr>
          <w:rFonts w:ascii="Arial" w:hAnsi="Arial" w:cs="Arial"/>
          <w:sz w:val="24"/>
          <w:szCs w:val="24"/>
        </w:rPr>
      </w:pPr>
      <w:r w:rsidRPr="00F62BBF">
        <w:rPr>
          <w:rFonts w:ascii="Arial" w:hAnsi="Arial" w:cs="Arial"/>
          <w:b/>
          <w:sz w:val="24"/>
          <w:szCs w:val="24"/>
        </w:rPr>
        <w:t>STATE</w:t>
      </w:r>
      <w:r w:rsidRPr="000E7777">
        <w:rPr>
          <w:rFonts w:ascii="Arial" w:hAnsi="Arial" w:cs="Arial"/>
          <w:sz w:val="24"/>
          <w:szCs w:val="24"/>
        </w:rPr>
        <w:t>:</w:t>
      </w:r>
      <w:r w:rsidRPr="000E7777">
        <w:rPr>
          <w:rFonts w:ascii="Arial" w:hAnsi="Arial" w:cs="Arial"/>
          <w:sz w:val="24"/>
          <w:szCs w:val="24"/>
        </w:rPr>
        <w:tab/>
      </w:r>
      <w:r w:rsidR="00535937">
        <w:rPr>
          <w:rFonts w:ascii="Arial" w:hAnsi="Arial" w:cs="Arial"/>
          <w:sz w:val="24"/>
          <w:szCs w:val="24"/>
        </w:rPr>
        <w:t xml:space="preserve">I </w:t>
      </w:r>
      <w:proofErr w:type="spellStart"/>
      <w:r w:rsidR="00535937">
        <w:rPr>
          <w:rFonts w:ascii="Arial" w:hAnsi="Arial" w:cs="Arial"/>
          <w:sz w:val="24"/>
          <w:szCs w:val="24"/>
        </w:rPr>
        <w:t>Malumani</w:t>
      </w:r>
      <w:proofErr w:type="spellEnd"/>
      <w:r w:rsidR="00535937">
        <w:rPr>
          <w:rFonts w:ascii="Arial" w:hAnsi="Arial" w:cs="Arial"/>
          <w:sz w:val="24"/>
          <w:szCs w:val="24"/>
        </w:rPr>
        <w:t xml:space="preserve">  </w:t>
      </w:r>
    </w:p>
    <w:p w:rsidR="006B0E22" w:rsidRDefault="006B0E22" w:rsidP="006B0E22">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ab/>
      </w:r>
      <w:r w:rsidR="0088245D">
        <w:rPr>
          <w:rFonts w:ascii="Arial" w:hAnsi="Arial" w:cs="Arial"/>
          <w:sz w:val="24"/>
          <w:szCs w:val="24"/>
        </w:rPr>
        <w:t xml:space="preserve">Of </w:t>
      </w:r>
      <w:r>
        <w:rPr>
          <w:rFonts w:ascii="Arial" w:hAnsi="Arial" w:cs="Arial"/>
          <w:sz w:val="24"/>
          <w:szCs w:val="24"/>
        </w:rPr>
        <w:t>Office of the Prosecutor General</w:t>
      </w:r>
    </w:p>
    <w:p w:rsidR="006B0E22" w:rsidRPr="000E7777" w:rsidRDefault="006B0E22" w:rsidP="006B0E22">
      <w:pPr>
        <w:autoSpaceDE w:val="0"/>
        <w:autoSpaceDN w:val="0"/>
        <w:adjustRightInd w:val="0"/>
        <w:spacing w:after="0" w:line="360" w:lineRule="auto"/>
        <w:ind w:left="3780" w:hanging="3780"/>
        <w:jc w:val="both"/>
        <w:rPr>
          <w:rFonts w:ascii="Arial" w:hAnsi="Arial" w:cs="Arial"/>
        </w:rPr>
      </w:pPr>
      <w:r>
        <w:rPr>
          <w:rFonts w:ascii="Arial" w:hAnsi="Arial" w:cs="Arial"/>
          <w:sz w:val="24"/>
          <w:szCs w:val="24"/>
        </w:rPr>
        <w:tab/>
        <w:t>Windhoek</w:t>
      </w:r>
    </w:p>
    <w:p w:rsidR="001B7E1F" w:rsidRPr="000E7777" w:rsidRDefault="001B7E1F" w:rsidP="00AD545C">
      <w:pPr>
        <w:pStyle w:val="BodyText"/>
        <w:autoSpaceDE w:val="0"/>
        <w:autoSpaceDN w:val="0"/>
        <w:adjustRightInd w:val="0"/>
        <w:spacing w:line="360" w:lineRule="auto"/>
        <w:jc w:val="both"/>
        <w:rPr>
          <w:rFonts w:ascii="Arial" w:hAnsi="Arial" w:cs="Arial"/>
        </w:rPr>
      </w:pPr>
    </w:p>
    <w:p w:rsidR="001B7E1F" w:rsidRDefault="006B0E22" w:rsidP="00AD545C">
      <w:pPr>
        <w:tabs>
          <w:tab w:val="left" w:pos="1394"/>
          <w:tab w:val="left" w:pos="2528"/>
          <w:tab w:val="left" w:pos="3780"/>
        </w:tabs>
        <w:spacing w:after="0" w:line="360" w:lineRule="auto"/>
        <w:jc w:val="both"/>
        <w:rPr>
          <w:rFonts w:ascii="Arial" w:hAnsi="Arial" w:cs="Arial"/>
          <w:sz w:val="24"/>
          <w:szCs w:val="24"/>
        </w:rPr>
      </w:pPr>
      <w:r w:rsidRPr="00F62BBF">
        <w:rPr>
          <w:rFonts w:ascii="Arial" w:hAnsi="Arial" w:cs="Arial"/>
          <w:b/>
          <w:sz w:val="24"/>
          <w:szCs w:val="24"/>
        </w:rPr>
        <w:t>ACCUSED</w:t>
      </w:r>
      <w:r w:rsidR="001B7E1F" w:rsidRPr="000E7777">
        <w:rPr>
          <w:rFonts w:ascii="Arial" w:hAnsi="Arial" w:cs="Arial"/>
          <w:sz w:val="24"/>
          <w:szCs w:val="24"/>
        </w:rPr>
        <w:t>:</w:t>
      </w:r>
      <w:r>
        <w:rPr>
          <w:rFonts w:ascii="Arial" w:hAnsi="Arial" w:cs="Arial"/>
          <w:sz w:val="24"/>
          <w:szCs w:val="24"/>
        </w:rPr>
        <w:tab/>
      </w:r>
      <w:r w:rsidR="001B7E1F" w:rsidRPr="000E7777">
        <w:rPr>
          <w:rFonts w:ascii="Arial" w:hAnsi="Arial" w:cs="Arial"/>
          <w:sz w:val="24"/>
          <w:szCs w:val="24"/>
        </w:rPr>
        <w:tab/>
        <w:t xml:space="preserve">                </w:t>
      </w:r>
      <w:r w:rsidR="001B7E1F" w:rsidRPr="000E7777">
        <w:rPr>
          <w:rFonts w:ascii="Arial" w:hAnsi="Arial" w:cs="Arial"/>
          <w:sz w:val="24"/>
          <w:szCs w:val="24"/>
        </w:rPr>
        <w:tab/>
      </w:r>
      <w:r w:rsidR="00535937">
        <w:rPr>
          <w:rFonts w:ascii="Arial" w:hAnsi="Arial" w:cs="Arial"/>
          <w:sz w:val="24"/>
          <w:szCs w:val="24"/>
        </w:rPr>
        <w:t xml:space="preserve">M I </w:t>
      </w:r>
      <w:proofErr w:type="spellStart"/>
      <w:r w:rsidR="00535937">
        <w:rPr>
          <w:rFonts w:ascii="Arial" w:hAnsi="Arial" w:cs="Arial"/>
          <w:sz w:val="24"/>
          <w:szCs w:val="24"/>
        </w:rPr>
        <w:t>Engelbrecht</w:t>
      </w:r>
      <w:proofErr w:type="spellEnd"/>
      <w:r w:rsidR="00535937">
        <w:rPr>
          <w:rFonts w:ascii="Arial" w:hAnsi="Arial" w:cs="Arial"/>
          <w:sz w:val="24"/>
          <w:szCs w:val="24"/>
        </w:rPr>
        <w:t xml:space="preserve"> </w:t>
      </w:r>
    </w:p>
    <w:p w:rsidR="006B37CE" w:rsidRDefault="002A68D0" w:rsidP="00AD545C">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35937">
        <w:rPr>
          <w:rFonts w:ascii="Arial" w:hAnsi="Arial" w:cs="Arial"/>
          <w:sz w:val="24"/>
          <w:szCs w:val="24"/>
        </w:rPr>
        <w:t xml:space="preserve">Of </w:t>
      </w:r>
      <w:proofErr w:type="spellStart"/>
      <w:r w:rsidR="00535937">
        <w:rPr>
          <w:rFonts w:ascii="Arial" w:hAnsi="Arial" w:cs="Arial"/>
          <w:sz w:val="24"/>
          <w:szCs w:val="24"/>
        </w:rPr>
        <w:t>Engelbrecht</w:t>
      </w:r>
      <w:proofErr w:type="spellEnd"/>
      <w:r w:rsidR="00535937">
        <w:rPr>
          <w:rFonts w:ascii="Arial" w:hAnsi="Arial" w:cs="Arial"/>
          <w:sz w:val="24"/>
          <w:szCs w:val="24"/>
        </w:rPr>
        <w:t xml:space="preserve"> Attorneys </w:t>
      </w:r>
      <w:r w:rsidR="008F0801">
        <w:rPr>
          <w:rFonts w:ascii="Arial" w:hAnsi="Arial" w:cs="Arial"/>
          <w:sz w:val="24"/>
          <w:szCs w:val="24"/>
        </w:rPr>
        <w:t>(instructed by Legal Aid)</w:t>
      </w:r>
    </w:p>
    <w:p w:rsidR="002A68D0" w:rsidRPr="000E7777" w:rsidRDefault="002A68D0" w:rsidP="00AD545C">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1B7E1F" w:rsidRPr="000E7777" w:rsidRDefault="001B7E1F" w:rsidP="00AD545C">
      <w:pPr>
        <w:autoSpaceDE w:val="0"/>
        <w:autoSpaceDN w:val="0"/>
        <w:adjustRightInd w:val="0"/>
        <w:spacing w:after="0" w:line="360" w:lineRule="auto"/>
        <w:ind w:left="3780" w:hanging="3780"/>
        <w:jc w:val="both"/>
        <w:rPr>
          <w:rFonts w:ascii="Arial" w:hAnsi="Arial" w:cs="Arial"/>
          <w:sz w:val="24"/>
          <w:szCs w:val="24"/>
        </w:rPr>
      </w:pPr>
    </w:p>
    <w:p w:rsidR="00945DCE" w:rsidRDefault="00945DCE" w:rsidP="00AD545C">
      <w:pPr>
        <w:spacing w:line="360" w:lineRule="auto"/>
      </w:pPr>
    </w:p>
    <w:sectPr w:rsidR="00945DCE" w:rsidSect="00741B0B">
      <w:headerReference w:type="default" r:id="rId12"/>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0FE" w:rsidRDefault="00AA50FE" w:rsidP="00741B0B">
      <w:pPr>
        <w:spacing w:after="0" w:line="240" w:lineRule="auto"/>
      </w:pPr>
      <w:r>
        <w:separator/>
      </w:r>
    </w:p>
  </w:endnote>
  <w:endnote w:type="continuationSeparator" w:id="0">
    <w:p w:rsidR="00AA50FE" w:rsidRDefault="00AA50FE"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0FE" w:rsidRDefault="00AA50FE" w:rsidP="00741B0B">
      <w:pPr>
        <w:spacing w:after="0" w:line="240" w:lineRule="auto"/>
      </w:pPr>
      <w:r>
        <w:separator/>
      </w:r>
    </w:p>
  </w:footnote>
  <w:footnote w:type="continuationSeparator" w:id="0">
    <w:p w:rsidR="00AA50FE" w:rsidRDefault="00AA50FE" w:rsidP="00741B0B">
      <w:pPr>
        <w:spacing w:after="0" w:line="240" w:lineRule="auto"/>
      </w:pPr>
      <w:r>
        <w:continuationSeparator/>
      </w:r>
    </w:p>
  </w:footnote>
  <w:footnote w:id="1">
    <w:p w:rsidR="00101BCC" w:rsidRPr="00101BCC" w:rsidRDefault="00101BCC">
      <w:pPr>
        <w:pStyle w:val="FootnoteText"/>
        <w:rPr>
          <w:lang w:val="en-GB"/>
        </w:rPr>
      </w:pPr>
      <w:r>
        <w:rPr>
          <w:rStyle w:val="FootnoteReference"/>
        </w:rPr>
        <w:footnoteRef/>
      </w:r>
      <w:r>
        <w:t xml:space="preserve"> </w:t>
      </w:r>
      <w:r>
        <w:rPr>
          <w:lang w:val="en-GB"/>
        </w:rPr>
        <w:t>51 of 1977.</w:t>
      </w:r>
    </w:p>
  </w:footnote>
  <w:footnote w:id="2">
    <w:p w:rsidR="006C3586" w:rsidRDefault="006C3586" w:rsidP="006C3586">
      <w:pPr>
        <w:pStyle w:val="FootnoteText"/>
      </w:pPr>
      <w:r>
        <w:rPr>
          <w:rStyle w:val="FootnoteReference"/>
        </w:rPr>
        <w:footnoteRef/>
      </w:r>
      <w:r>
        <w:t xml:space="preserve"> 2006 (2) NR 455 (HC).</w:t>
      </w:r>
    </w:p>
  </w:footnote>
  <w:footnote w:id="3">
    <w:p w:rsidR="006C3586" w:rsidRDefault="006C3586" w:rsidP="006C3586">
      <w:pPr>
        <w:pStyle w:val="FootnoteText"/>
      </w:pPr>
      <w:r>
        <w:rPr>
          <w:rStyle w:val="FootnoteReference"/>
        </w:rPr>
        <w:footnoteRef/>
      </w:r>
      <w:r>
        <w:t xml:space="preserve"> 2009 (1) NR 127 (SC).</w:t>
      </w:r>
    </w:p>
  </w:footnote>
  <w:footnote w:id="4">
    <w:p w:rsidR="002E5F19" w:rsidRPr="002E5F19" w:rsidRDefault="002E5F19">
      <w:pPr>
        <w:pStyle w:val="FootnoteText"/>
        <w:rPr>
          <w:lang w:val="en-GB"/>
        </w:rPr>
      </w:pPr>
      <w:r>
        <w:rPr>
          <w:rStyle w:val="FootnoteReference"/>
        </w:rPr>
        <w:footnoteRef/>
      </w:r>
      <w:r>
        <w:t xml:space="preserve"> </w:t>
      </w:r>
      <w:r>
        <w:rPr>
          <w:lang w:val="en-GB"/>
        </w:rPr>
        <w:t>(</w:t>
      </w:r>
      <w:proofErr w:type="gramStart"/>
      <w:r>
        <w:rPr>
          <w:lang w:val="en-GB"/>
        </w:rPr>
        <w:t>supra</w:t>
      </w:r>
      <w:proofErr w:type="gramEnd"/>
      <w:r>
        <w:rPr>
          <w:lang w:val="en-GB"/>
        </w:rPr>
        <w:t>) para 7.</w:t>
      </w:r>
    </w:p>
  </w:footnote>
  <w:footnote w:id="5">
    <w:p w:rsidR="00BD214F" w:rsidRPr="00BD214F" w:rsidRDefault="00BD214F">
      <w:pPr>
        <w:pStyle w:val="FootnoteText"/>
        <w:rPr>
          <w:lang w:val="en-GB"/>
        </w:rPr>
      </w:pPr>
      <w:r>
        <w:rPr>
          <w:rStyle w:val="FootnoteReference"/>
        </w:rPr>
        <w:footnoteRef/>
      </w:r>
      <w:r>
        <w:t xml:space="preserve"> </w:t>
      </w:r>
      <w:r>
        <w:rPr>
          <w:lang w:val="en-GB"/>
        </w:rPr>
        <w:t>Of the CPA.</w:t>
      </w:r>
    </w:p>
  </w:footnote>
  <w:footnote w:id="6">
    <w:p w:rsidR="000852E4" w:rsidRPr="000852E4" w:rsidRDefault="000852E4">
      <w:pPr>
        <w:pStyle w:val="FootnoteText"/>
        <w:rPr>
          <w:lang w:val="en-GB"/>
        </w:rPr>
      </w:pPr>
      <w:r>
        <w:rPr>
          <w:rStyle w:val="FootnoteReference"/>
        </w:rPr>
        <w:footnoteRef/>
      </w:r>
      <w:r>
        <w:t xml:space="preserve"> </w:t>
      </w:r>
      <w:r>
        <w:rPr>
          <w:lang w:val="en-GB"/>
        </w:rPr>
        <w:t>S v HN 2010 (2) NR 429 (HC)</w:t>
      </w:r>
      <w:r w:rsidR="00472A34">
        <w:rPr>
          <w:lang w:val="en-GB"/>
        </w:rPr>
        <w:t xml:space="preserve"> para 46</w:t>
      </w:r>
      <w:r>
        <w:rPr>
          <w:lang w:val="en-GB"/>
        </w:rPr>
        <w:t xml:space="preserve">; S v </w:t>
      </w:r>
      <w:proofErr w:type="spellStart"/>
      <w:r>
        <w:rPr>
          <w:lang w:val="en-GB"/>
        </w:rPr>
        <w:t>Sauls</w:t>
      </w:r>
      <w:proofErr w:type="spellEnd"/>
      <w:r>
        <w:rPr>
          <w:lang w:val="en-GB"/>
        </w:rPr>
        <w:t xml:space="preserve"> and Others 1981 (3) SA 172 (</w:t>
      </w:r>
      <w:r w:rsidR="00472A34">
        <w:rPr>
          <w:lang w:val="en-GB"/>
        </w:rPr>
        <w:t xml:space="preserve">A); S v </w:t>
      </w:r>
      <w:proofErr w:type="spellStart"/>
      <w:r w:rsidR="00472A34">
        <w:rPr>
          <w:lang w:val="en-GB"/>
        </w:rPr>
        <w:t>Esterhuizen</w:t>
      </w:r>
      <w:proofErr w:type="spellEnd"/>
      <w:r w:rsidR="00472A34">
        <w:rPr>
          <w:lang w:val="en-GB"/>
        </w:rPr>
        <w:t xml:space="preserve"> and </w:t>
      </w:r>
      <w:proofErr w:type="gramStart"/>
      <w:r w:rsidR="00472A34">
        <w:rPr>
          <w:lang w:val="en-GB"/>
        </w:rPr>
        <w:t>Another</w:t>
      </w:r>
      <w:proofErr w:type="gramEnd"/>
      <w:r w:rsidR="00472A34">
        <w:rPr>
          <w:lang w:val="en-GB"/>
        </w:rPr>
        <w:t xml:space="preserve"> 1990 NR 283 (HC)</w:t>
      </w:r>
      <w:r w:rsidR="00FB3398">
        <w:rPr>
          <w:lang w:val="en-GB"/>
        </w:rPr>
        <w:t xml:space="preserve">; S v </w:t>
      </w:r>
      <w:proofErr w:type="spellStart"/>
      <w:r w:rsidR="00FB3398">
        <w:rPr>
          <w:lang w:val="en-GB"/>
        </w:rPr>
        <w:t>Snyman</w:t>
      </w:r>
      <w:proofErr w:type="spellEnd"/>
      <w:r w:rsidR="00FB3398">
        <w:rPr>
          <w:lang w:val="en-GB"/>
        </w:rPr>
        <w:t xml:space="preserve"> 1968 (2) SA 582 (A).</w:t>
      </w:r>
      <w:r>
        <w:rPr>
          <w:lang w:val="en-GB"/>
        </w:rPr>
        <w:t xml:space="preserve"> </w:t>
      </w:r>
    </w:p>
  </w:footnote>
  <w:footnote w:id="7">
    <w:p w:rsidR="00F10F6C" w:rsidRDefault="00170B9A">
      <w:pPr>
        <w:pStyle w:val="FootnoteText"/>
      </w:pPr>
      <w:r>
        <w:t xml:space="preserve">7 </w:t>
      </w:r>
      <w:r w:rsidR="00F10F6C">
        <w:t xml:space="preserve">R v </w:t>
      </w:r>
      <w:proofErr w:type="spellStart"/>
      <w:r w:rsidR="00F10F6C">
        <w:t>Blom</w:t>
      </w:r>
      <w:proofErr w:type="spellEnd"/>
      <w:r w:rsidR="00F10F6C">
        <w:t xml:space="preserve"> 1939 A</w:t>
      </w:r>
      <w:r w:rsidR="00E37B5A">
        <w:t>D</w:t>
      </w:r>
      <w:r w:rsidR="00F10F6C">
        <w:t xml:space="preserve"> 188 at 202-3.</w:t>
      </w:r>
    </w:p>
  </w:footnote>
  <w:footnote w:id="8">
    <w:p w:rsidR="00A44652" w:rsidRDefault="00A44652" w:rsidP="00A44652">
      <w:pPr>
        <w:pStyle w:val="FootnoteText"/>
      </w:pPr>
      <w:r>
        <w:rPr>
          <w:rStyle w:val="FootnoteReference"/>
        </w:rPr>
        <w:footnoteRef/>
      </w:r>
      <w:r>
        <w:t xml:space="preserve"> S v </w:t>
      </w:r>
      <w:proofErr w:type="spellStart"/>
      <w:r>
        <w:t>Mathebula</w:t>
      </w:r>
      <w:proofErr w:type="spellEnd"/>
      <w:r>
        <w:t xml:space="preserve"> and Another (1997 (1) SACR 10 (W) </w:t>
      </w:r>
      <w:proofErr w:type="gramStart"/>
      <w:r>
        <w:t>et</w:t>
      </w:r>
      <w:proofErr w:type="gramEnd"/>
      <w:r>
        <w:t xml:space="preserve"> 34 J – 35 D</w:t>
      </w:r>
      <w:r w:rsidR="00463B8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2026"/>
      <w:docPartObj>
        <w:docPartGallery w:val="Page Numbers (Top of Page)"/>
        <w:docPartUnique/>
      </w:docPartObj>
    </w:sdtPr>
    <w:sdtEndPr/>
    <w:sdtContent>
      <w:p w:rsidR="004E3F97" w:rsidRDefault="003E7059">
        <w:pPr>
          <w:pStyle w:val="Header"/>
          <w:jc w:val="right"/>
        </w:pPr>
        <w:r>
          <w:fldChar w:fldCharType="begin"/>
        </w:r>
        <w:r w:rsidR="0064549F">
          <w:instrText xml:space="preserve"> PAGE   \* MERGEFORMAT </w:instrText>
        </w:r>
        <w:r>
          <w:fldChar w:fldCharType="separate"/>
        </w:r>
        <w:r w:rsidR="00AC250E">
          <w:rPr>
            <w:noProof/>
          </w:rPr>
          <w:t>11</w:t>
        </w:r>
        <w:r>
          <w:rPr>
            <w:noProof/>
          </w:rPr>
          <w:fldChar w:fldCharType="end"/>
        </w:r>
      </w:p>
    </w:sdtContent>
  </w:sdt>
  <w:p w:rsidR="004E3F97" w:rsidRDefault="004E3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49F3"/>
    <w:multiLevelType w:val="hybridMultilevel"/>
    <w:tmpl w:val="065A1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E070E"/>
    <w:multiLevelType w:val="hybridMultilevel"/>
    <w:tmpl w:val="6F34C1D0"/>
    <w:lvl w:ilvl="0" w:tplc="EB444A6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62FDF"/>
    <w:multiLevelType w:val="hybridMultilevel"/>
    <w:tmpl w:val="685ABF26"/>
    <w:lvl w:ilvl="0" w:tplc="CAC6A8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411E74"/>
    <w:multiLevelType w:val="hybridMultilevel"/>
    <w:tmpl w:val="A2A28964"/>
    <w:lvl w:ilvl="0" w:tplc="60004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FA0116"/>
    <w:multiLevelType w:val="hybridMultilevel"/>
    <w:tmpl w:val="6366CB16"/>
    <w:lvl w:ilvl="0" w:tplc="7B500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1C0913"/>
    <w:multiLevelType w:val="hybridMultilevel"/>
    <w:tmpl w:val="2D3248B6"/>
    <w:lvl w:ilvl="0" w:tplc="8FE606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42E0E"/>
    <w:multiLevelType w:val="hybridMultilevel"/>
    <w:tmpl w:val="528402A0"/>
    <w:lvl w:ilvl="0" w:tplc="F8E2A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171F2"/>
    <w:multiLevelType w:val="hybridMultilevel"/>
    <w:tmpl w:val="5042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5A222E"/>
    <w:multiLevelType w:val="hybridMultilevel"/>
    <w:tmpl w:val="5E8CB554"/>
    <w:lvl w:ilvl="0" w:tplc="AF782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AE4C77"/>
    <w:multiLevelType w:val="hybridMultilevel"/>
    <w:tmpl w:val="0B0408F0"/>
    <w:lvl w:ilvl="0" w:tplc="BDC25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A00460"/>
    <w:multiLevelType w:val="hybridMultilevel"/>
    <w:tmpl w:val="259C2438"/>
    <w:lvl w:ilvl="0" w:tplc="C73E3F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26A65"/>
    <w:multiLevelType w:val="hybridMultilevel"/>
    <w:tmpl w:val="A6884B60"/>
    <w:lvl w:ilvl="0" w:tplc="0C28CF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EE1F81"/>
    <w:multiLevelType w:val="hybridMultilevel"/>
    <w:tmpl w:val="DD406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B4053"/>
    <w:multiLevelType w:val="hybridMultilevel"/>
    <w:tmpl w:val="79449A8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50297B64"/>
    <w:multiLevelType w:val="hybridMultilevel"/>
    <w:tmpl w:val="02EEACB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5" w15:restartNumberingAfterBreak="0">
    <w:nsid w:val="512B2E87"/>
    <w:multiLevelType w:val="hybridMultilevel"/>
    <w:tmpl w:val="AB464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B0001"/>
    <w:multiLevelType w:val="hybridMultilevel"/>
    <w:tmpl w:val="9232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4041D3"/>
    <w:multiLevelType w:val="hybridMultilevel"/>
    <w:tmpl w:val="12F8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A4BBC"/>
    <w:multiLevelType w:val="hybridMultilevel"/>
    <w:tmpl w:val="7BCE0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1B5CD8"/>
    <w:multiLevelType w:val="hybridMultilevel"/>
    <w:tmpl w:val="0C46314A"/>
    <w:lvl w:ilvl="0" w:tplc="EB94465E">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10"/>
  </w:num>
  <w:num w:numId="4">
    <w:abstractNumId w:val="3"/>
  </w:num>
  <w:num w:numId="5">
    <w:abstractNumId w:val="6"/>
  </w:num>
  <w:num w:numId="6">
    <w:abstractNumId w:val="19"/>
  </w:num>
  <w:num w:numId="7">
    <w:abstractNumId w:val="5"/>
  </w:num>
  <w:num w:numId="8">
    <w:abstractNumId w:val="11"/>
  </w:num>
  <w:num w:numId="9">
    <w:abstractNumId w:val="16"/>
  </w:num>
  <w:num w:numId="10">
    <w:abstractNumId w:val="4"/>
  </w:num>
  <w:num w:numId="11">
    <w:abstractNumId w:val="1"/>
  </w:num>
  <w:num w:numId="12">
    <w:abstractNumId w:val="8"/>
  </w:num>
  <w:num w:numId="13">
    <w:abstractNumId w:val="15"/>
  </w:num>
  <w:num w:numId="14">
    <w:abstractNumId w:val="18"/>
  </w:num>
  <w:num w:numId="15">
    <w:abstractNumId w:val="17"/>
  </w:num>
  <w:num w:numId="16">
    <w:abstractNumId w:val="0"/>
  </w:num>
  <w:num w:numId="17">
    <w:abstractNumId w:val="9"/>
  </w:num>
  <w:num w:numId="18">
    <w:abstractNumId w:val="12"/>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85"/>
    <w:rsid w:val="00001DAF"/>
    <w:rsid w:val="0000283E"/>
    <w:rsid w:val="0001101E"/>
    <w:rsid w:val="000140F9"/>
    <w:rsid w:val="0001658C"/>
    <w:rsid w:val="00016E0A"/>
    <w:rsid w:val="00025240"/>
    <w:rsid w:val="000265DB"/>
    <w:rsid w:val="0003007D"/>
    <w:rsid w:val="00031CBA"/>
    <w:rsid w:val="00032C2C"/>
    <w:rsid w:val="000420EA"/>
    <w:rsid w:val="00044A47"/>
    <w:rsid w:val="00046E82"/>
    <w:rsid w:val="00051F9B"/>
    <w:rsid w:val="00052105"/>
    <w:rsid w:val="00053CCB"/>
    <w:rsid w:val="00057CCC"/>
    <w:rsid w:val="000616F7"/>
    <w:rsid w:val="0006466F"/>
    <w:rsid w:val="000727C3"/>
    <w:rsid w:val="0007395D"/>
    <w:rsid w:val="0007535D"/>
    <w:rsid w:val="00077A6C"/>
    <w:rsid w:val="000826D7"/>
    <w:rsid w:val="000852E4"/>
    <w:rsid w:val="000868F9"/>
    <w:rsid w:val="000A46A5"/>
    <w:rsid w:val="000B0F31"/>
    <w:rsid w:val="000B5442"/>
    <w:rsid w:val="000B68E0"/>
    <w:rsid w:val="000C3019"/>
    <w:rsid w:val="000C350E"/>
    <w:rsid w:val="000C5C13"/>
    <w:rsid w:val="000D1524"/>
    <w:rsid w:val="000D64E5"/>
    <w:rsid w:val="000E1274"/>
    <w:rsid w:val="000E1D98"/>
    <w:rsid w:val="000E3591"/>
    <w:rsid w:val="000E78B3"/>
    <w:rsid w:val="000F2935"/>
    <w:rsid w:val="000F428F"/>
    <w:rsid w:val="000F56CF"/>
    <w:rsid w:val="00100962"/>
    <w:rsid w:val="00100C5D"/>
    <w:rsid w:val="00101627"/>
    <w:rsid w:val="00101BCC"/>
    <w:rsid w:val="0010219F"/>
    <w:rsid w:val="001132CF"/>
    <w:rsid w:val="0011421D"/>
    <w:rsid w:val="00114CD6"/>
    <w:rsid w:val="0011500A"/>
    <w:rsid w:val="001208DB"/>
    <w:rsid w:val="0012178A"/>
    <w:rsid w:val="0012421A"/>
    <w:rsid w:val="00137C1F"/>
    <w:rsid w:val="001404C2"/>
    <w:rsid w:val="001572FF"/>
    <w:rsid w:val="00165E9F"/>
    <w:rsid w:val="00170B9A"/>
    <w:rsid w:val="00171CA7"/>
    <w:rsid w:val="001724BE"/>
    <w:rsid w:val="001740B9"/>
    <w:rsid w:val="00174FB4"/>
    <w:rsid w:val="0017583F"/>
    <w:rsid w:val="00175DF8"/>
    <w:rsid w:val="00182483"/>
    <w:rsid w:val="001911A2"/>
    <w:rsid w:val="00197CF0"/>
    <w:rsid w:val="00197EE7"/>
    <w:rsid w:val="001A255A"/>
    <w:rsid w:val="001B3BBA"/>
    <w:rsid w:val="001B646C"/>
    <w:rsid w:val="001B7E1F"/>
    <w:rsid w:val="001B7E8F"/>
    <w:rsid w:val="001C20F4"/>
    <w:rsid w:val="001C60AA"/>
    <w:rsid w:val="001C7E59"/>
    <w:rsid w:val="001D1C04"/>
    <w:rsid w:val="001D2BD9"/>
    <w:rsid w:val="001D6157"/>
    <w:rsid w:val="001D743D"/>
    <w:rsid w:val="001D76DF"/>
    <w:rsid w:val="001E24B9"/>
    <w:rsid w:val="001E2723"/>
    <w:rsid w:val="001E7C74"/>
    <w:rsid w:val="001F1B03"/>
    <w:rsid w:val="001F1D5F"/>
    <w:rsid w:val="001F23CA"/>
    <w:rsid w:val="001F354B"/>
    <w:rsid w:val="001F5B66"/>
    <w:rsid w:val="00202AB5"/>
    <w:rsid w:val="0020581E"/>
    <w:rsid w:val="00221488"/>
    <w:rsid w:val="00224458"/>
    <w:rsid w:val="00231935"/>
    <w:rsid w:val="002324DC"/>
    <w:rsid w:val="00237272"/>
    <w:rsid w:val="0024086B"/>
    <w:rsid w:val="002423EA"/>
    <w:rsid w:val="00246D0C"/>
    <w:rsid w:val="002473C3"/>
    <w:rsid w:val="00255C84"/>
    <w:rsid w:val="00255F24"/>
    <w:rsid w:val="00261FFE"/>
    <w:rsid w:val="0026596C"/>
    <w:rsid w:val="0028232C"/>
    <w:rsid w:val="0028303A"/>
    <w:rsid w:val="00291024"/>
    <w:rsid w:val="002A4D9C"/>
    <w:rsid w:val="002A68D0"/>
    <w:rsid w:val="002A7B30"/>
    <w:rsid w:val="002A7EDF"/>
    <w:rsid w:val="002B1839"/>
    <w:rsid w:val="002B32F7"/>
    <w:rsid w:val="002B3F73"/>
    <w:rsid w:val="002B4DC9"/>
    <w:rsid w:val="002C18FE"/>
    <w:rsid w:val="002D30E1"/>
    <w:rsid w:val="002D6097"/>
    <w:rsid w:val="002D7ECD"/>
    <w:rsid w:val="002E088F"/>
    <w:rsid w:val="002E5F19"/>
    <w:rsid w:val="002F0484"/>
    <w:rsid w:val="002F1C41"/>
    <w:rsid w:val="002F2A9F"/>
    <w:rsid w:val="002F41CC"/>
    <w:rsid w:val="00307A71"/>
    <w:rsid w:val="0031088E"/>
    <w:rsid w:val="00316830"/>
    <w:rsid w:val="00316875"/>
    <w:rsid w:val="00320023"/>
    <w:rsid w:val="00322E97"/>
    <w:rsid w:val="00327871"/>
    <w:rsid w:val="003325D8"/>
    <w:rsid w:val="003409E6"/>
    <w:rsid w:val="0034302D"/>
    <w:rsid w:val="00344254"/>
    <w:rsid w:val="00345133"/>
    <w:rsid w:val="00350E06"/>
    <w:rsid w:val="00351E05"/>
    <w:rsid w:val="00352902"/>
    <w:rsid w:val="00355A9E"/>
    <w:rsid w:val="00356C16"/>
    <w:rsid w:val="00360185"/>
    <w:rsid w:val="003658A8"/>
    <w:rsid w:val="00370591"/>
    <w:rsid w:val="003746E3"/>
    <w:rsid w:val="00376B77"/>
    <w:rsid w:val="00381A99"/>
    <w:rsid w:val="003821AE"/>
    <w:rsid w:val="003824B0"/>
    <w:rsid w:val="00384D10"/>
    <w:rsid w:val="0039207F"/>
    <w:rsid w:val="00393696"/>
    <w:rsid w:val="0039485C"/>
    <w:rsid w:val="00395E04"/>
    <w:rsid w:val="003A1666"/>
    <w:rsid w:val="003A2D86"/>
    <w:rsid w:val="003A6ECB"/>
    <w:rsid w:val="003B38D1"/>
    <w:rsid w:val="003B3E79"/>
    <w:rsid w:val="003B5B79"/>
    <w:rsid w:val="003C0285"/>
    <w:rsid w:val="003C19CD"/>
    <w:rsid w:val="003C35E2"/>
    <w:rsid w:val="003C365F"/>
    <w:rsid w:val="003C6022"/>
    <w:rsid w:val="003C66D3"/>
    <w:rsid w:val="003C7161"/>
    <w:rsid w:val="003D2151"/>
    <w:rsid w:val="003D58DC"/>
    <w:rsid w:val="003D5BE6"/>
    <w:rsid w:val="003D6F28"/>
    <w:rsid w:val="003E7059"/>
    <w:rsid w:val="00402D72"/>
    <w:rsid w:val="004044CB"/>
    <w:rsid w:val="0041111B"/>
    <w:rsid w:val="004111D4"/>
    <w:rsid w:val="00411C0E"/>
    <w:rsid w:val="004227D3"/>
    <w:rsid w:val="004362B5"/>
    <w:rsid w:val="00440F50"/>
    <w:rsid w:val="004451DA"/>
    <w:rsid w:val="00446AED"/>
    <w:rsid w:val="00446B1B"/>
    <w:rsid w:val="00447D90"/>
    <w:rsid w:val="004542BA"/>
    <w:rsid w:val="0045740F"/>
    <w:rsid w:val="00462103"/>
    <w:rsid w:val="00463B87"/>
    <w:rsid w:val="00467152"/>
    <w:rsid w:val="00472A34"/>
    <w:rsid w:val="00473F8D"/>
    <w:rsid w:val="004749FE"/>
    <w:rsid w:val="00476127"/>
    <w:rsid w:val="00484D0C"/>
    <w:rsid w:val="00485553"/>
    <w:rsid w:val="004912CF"/>
    <w:rsid w:val="004938FE"/>
    <w:rsid w:val="004A0324"/>
    <w:rsid w:val="004A23E1"/>
    <w:rsid w:val="004A3851"/>
    <w:rsid w:val="004A41E6"/>
    <w:rsid w:val="004B1AEB"/>
    <w:rsid w:val="004B388B"/>
    <w:rsid w:val="004B7A7A"/>
    <w:rsid w:val="004C4A68"/>
    <w:rsid w:val="004C7178"/>
    <w:rsid w:val="004C7B98"/>
    <w:rsid w:val="004D24F2"/>
    <w:rsid w:val="004E3F97"/>
    <w:rsid w:val="004E62ED"/>
    <w:rsid w:val="004F7D0F"/>
    <w:rsid w:val="005045B7"/>
    <w:rsid w:val="0050733B"/>
    <w:rsid w:val="005108D4"/>
    <w:rsid w:val="00513968"/>
    <w:rsid w:val="0052189F"/>
    <w:rsid w:val="005233A2"/>
    <w:rsid w:val="00526512"/>
    <w:rsid w:val="00531F6F"/>
    <w:rsid w:val="00535937"/>
    <w:rsid w:val="0054009A"/>
    <w:rsid w:val="00540FA1"/>
    <w:rsid w:val="005425CB"/>
    <w:rsid w:val="0054325E"/>
    <w:rsid w:val="00557C99"/>
    <w:rsid w:val="00566852"/>
    <w:rsid w:val="00566C04"/>
    <w:rsid w:val="005740FC"/>
    <w:rsid w:val="00582B6C"/>
    <w:rsid w:val="005841F4"/>
    <w:rsid w:val="005860BA"/>
    <w:rsid w:val="005912CF"/>
    <w:rsid w:val="0059354A"/>
    <w:rsid w:val="00596E21"/>
    <w:rsid w:val="005A2315"/>
    <w:rsid w:val="005A24E1"/>
    <w:rsid w:val="005A25FC"/>
    <w:rsid w:val="005A4C4D"/>
    <w:rsid w:val="005A55CF"/>
    <w:rsid w:val="005A791D"/>
    <w:rsid w:val="005B1A4D"/>
    <w:rsid w:val="005C2AD7"/>
    <w:rsid w:val="005C2DB7"/>
    <w:rsid w:val="005C3A97"/>
    <w:rsid w:val="005D11F2"/>
    <w:rsid w:val="005D1543"/>
    <w:rsid w:val="005D3618"/>
    <w:rsid w:val="005D4D53"/>
    <w:rsid w:val="005D66F0"/>
    <w:rsid w:val="005E126C"/>
    <w:rsid w:val="005E2095"/>
    <w:rsid w:val="005E302D"/>
    <w:rsid w:val="005E7D99"/>
    <w:rsid w:val="005F0CE7"/>
    <w:rsid w:val="005F1E79"/>
    <w:rsid w:val="005F7392"/>
    <w:rsid w:val="006041E1"/>
    <w:rsid w:val="00606648"/>
    <w:rsid w:val="006127E1"/>
    <w:rsid w:val="0061543A"/>
    <w:rsid w:val="00615F8A"/>
    <w:rsid w:val="00617D2C"/>
    <w:rsid w:val="006218CA"/>
    <w:rsid w:val="00633B88"/>
    <w:rsid w:val="00634307"/>
    <w:rsid w:val="00635386"/>
    <w:rsid w:val="00635AC8"/>
    <w:rsid w:val="00640884"/>
    <w:rsid w:val="006435BE"/>
    <w:rsid w:val="0064549F"/>
    <w:rsid w:val="00651208"/>
    <w:rsid w:val="006559F3"/>
    <w:rsid w:val="00657352"/>
    <w:rsid w:val="0065743A"/>
    <w:rsid w:val="00665770"/>
    <w:rsid w:val="00667FEE"/>
    <w:rsid w:val="00670256"/>
    <w:rsid w:val="006743B4"/>
    <w:rsid w:val="00681A82"/>
    <w:rsid w:val="00681EDC"/>
    <w:rsid w:val="006A0AE8"/>
    <w:rsid w:val="006A4D38"/>
    <w:rsid w:val="006A6248"/>
    <w:rsid w:val="006A6D0E"/>
    <w:rsid w:val="006B0E22"/>
    <w:rsid w:val="006B37CE"/>
    <w:rsid w:val="006C1A4D"/>
    <w:rsid w:val="006C3586"/>
    <w:rsid w:val="006D10DC"/>
    <w:rsid w:val="006D17A5"/>
    <w:rsid w:val="006D4D52"/>
    <w:rsid w:val="006D7D63"/>
    <w:rsid w:val="006E025B"/>
    <w:rsid w:val="006E284F"/>
    <w:rsid w:val="006E347F"/>
    <w:rsid w:val="006F3A78"/>
    <w:rsid w:val="006F42E0"/>
    <w:rsid w:val="006F70E6"/>
    <w:rsid w:val="0070037C"/>
    <w:rsid w:val="00701EDC"/>
    <w:rsid w:val="0070203D"/>
    <w:rsid w:val="00712571"/>
    <w:rsid w:val="007128D8"/>
    <w:rsid w:val="0071294A"/>
    <w:rsid w:val="00721E06"/>
    <w:rsid w:val="00723B32"/>
    <w:rsid w:val="00723DAE"/>
    <w:rsid w:val="00727569"/>
    <w:rsid w:val="00733855"/>
    <w:rsid w:val="0074189F"/>
    <w:rsid w:val="00741B0B"/>
    <w:rsid w:val="00742BBA"/>
    <w:rsid w:val="00750E2E"/>
    <w:rsid w:val="00754945"/>
    <w:rsid w:val="007620F2"/>
    <w:rsid w:val="007631BF"/>
    <w:rsid w:val="00772BA9"/>
    <w:rsid w:val="00776204"/>
    <w:rsid w:val="00777A81"/>
    <w:rsid w:val="0078358B"/>
    <w:rsid w:val="00784625"/>
    <w:rsid w:val="007856FB"/>
    <w:rsid w:val="007863C2"/>
    <w:rsid w:val="00791A18"/>
    <w:rsid w:val="00795B1B"/>
    <w:rsid w:val="007972DB"/>
    <w:rsid w:val="007A323F"/>
    <w:rsid w:val="007B2E8C"/>
    <w:rsid w:val="007C10F7"/>
    <w:rsid w:val="007C2B5F"/>
    <w:rsid w:val="007C2F28"/>
    <w:rsid w:val="007C4F5B"/>
    <w:rsid w:val="007C682E"/>
    <w:rsid w:val="007C6ADD"/>
    <w:rsid w:val="007D0531"/>
    <w:rsid w:val="007D1790"/>
    <w:rsid w:val="007D5E8E"/>
    <w:rsid w:val="007D6FE6"/>
    <w:rsid w:val="007E23FE"/>
    <w:rsid w:val="007E26CE"/>
    <w:rsid w:val="007E4975"/>
    <w:rsid w:val="007E7D50"/>
    <w:rsid w:val="007E7DA3"/>
    <w:rsid w:val="007F68A2"/>
    <w:rsid w:val="007F6945"/>
    <w:rsid w:val="007F6E41"/>
    <w:rsid w:val="007F7B62"/>
    <w:rsid w:val="00804413"/>
    <w:rsid w:val="00807D7D"/>
    <w:rsid w:val="008111E0"/>
    <w:rsid w:val="008139B4"/>
    <w:rsid w:val="00832728"/>
    <w:rsid w:val="0083280C"/>
    <w:rsid w:val="00836557"/>
    <w:rsid w:val="00837529"/>
    <w:rsid w:val="008440F2"/>
    <w:rsid w:val="00846D84"/>
    <w:rsid w:val="00854603"/>
    <w:rsid w:val="00855BCA"/>
    <w:rsid w:val="00857C20"/>
    <w:rsid w:val="00860396"/>
    <w:rsid w:val="008623C6"/>
    <w:rsid w:val="00863514"/>
    <w:rsid w:val="00872E9F"/>
    <w:rsid w:val="00873A99"/>
    <w:rsid w:val="0087547B"/>
    <w:rsid w:val="0087684C"/>
    <w:rsid w:val="0088023C"/>
    <w:rsid w:val="0088214F"/>
    <w:rsid w:val="0088245D"/>
    <w:rsid w:val="00897077"/>
    <w:rsid w:val="008A0C9B"/>
    <w:rsid w:val="008A5FB7"/>
    <w:rsid w:val="008B14F9"/>
    <w:rsid w:val="008B63FD"/>
    <w:rsid w:val="008C7786"/>
    <w:rsid w:val="008D3570"/>
    <w:rsid w:val="008D574D"/>
    <w:rsid w:val="008E3021"/>
    <w:rsid w:val="008E62C0"/>
    <w:rsid w:val="008F0801"/>
    <w:rsid w:val="008F0C8D"/>
    <w:rsid w:val="008F12A5"/>
    <w:rsid w:val="008F21A3"/>
    <w:rsid w:val="008F2C6F"/>
    <w:rsid w:val="008F46E8"/>
    <w:rsid w:val="00902AB1"/>
    <w:rsid w:val="00902FBE"/>
    <w:rsid w:val="009067E3"/>
    <w:rsid w:val="0091367F"/>
    <w:rsid w:val="009201DD"/>
    <w:rsid w:val="0092468A"/>
    <w:rsid w:val="0092555F"/>
    <w:rsid w:val="009373F1"/>
    <w:rsid w:val="00945DCE"/>
    <w:rsid w:val="00946341"/>
    <w:rsid w:val="009502FB"/>
    <w:rsid w:val="009513E5"/>
    <w:rsid w:val="00951E2A"/>
    <w:rsid w:val="00954B19"/>
    <w:rsid w:val="00955AE2"/>
    <w:rsid w:val="009561BC"/>
    <w:rsid w:val="009564F0"/>
    <w:rsid w:val="00962A01"/>
    <w:rsid w:val="00962AEA"/>
    <w:rsid w:val="009639B7"/>
    <w:rsid w:val="00972267"/>
    <w:rsid w:val="009732D2"/>
    <w:rsid w:val="009736A6"/>
    <w:rsid w:val="009801DC"/>
    <w:rsid w:val="0098349F"/>
    <w:rsid w:val="009841E1"/>
    <w:rsid w:val="00994168"/>
    <w:rsid w:val="009946DB"/>
    <w:rsid w:val="00995208"/>
    <w:rsid w:val="009963D2"/>
    <w:rsid w:val="0099716B"/>
    <w:rsid w:val="009A0EDF"/>
    <w:rsid w:val="009A3705"/>
    <w:rsid w:val="009A3975"/>
    <w:rsid w:val="009A3E32"/>
    <w:rsid w:val="009A7C71"/>
    <w:rsid w:val="009B0AEE"/>
    <w:rsid w:val="009C5A45"/>
    <w:rsid w:val="009C677B"/>
    <w:rsid w:val="009C6FB0"/>
    <w:rsid w:val="009F191F"/>
    <w:rsid w:val="009F249A"/>
    <w:rsid w:val="00A0262D"/>
    <w:rsid w:val="00A03E32"/>
    <w:rsid w:val="00A129FD"/>
    <w:rsid w:val="00A1502C"/>
    <w:rsid w:val="00A17EF9"/>
    <w:rsid w:val="00A24F0C"/>
    <w:rsid w:val="00A3322A"/>
    <w:rsid w:val="00A33EE2"/>
    <w:rsid w:val="00A414B3"/>
    <w:rsid w:val="00A41625"/>
    <w:rsid w:val="00A42B1E"/>
    <w:rsid w:val="00A4441A"/>
    <w:rsid w:val="00A44652"/>
    <w:rsid w:val="00A46567"/>
    <w:rsid w:val="00A54878"/>
    <w:rsid w:val="00A56722"/>
    <w:rsid w:val="00A60D44"/>
    <w:rsid w:val="00A70664"/>
    <w:rsid w:val="00A80B6F"/>
    <w:rsid w:val="00A860B6"/>
    <w:rsid w:val="00A8622C"/>
    <w:rsid w:val="00A9475A"/>
    <w:rsid w:val="00A94D72"/>
    <w:rsid w:val="00A97B20"/>
    <w:rsid w:val="00A97CA4"/>
    <w:rsid w:val="00AA117E"/>
    <w:rsid w:val="00AA4D77"/>
    <w:rsid w:val="00AA50FE"/>
    <w:rsid w:val="00AA54A7"/>
    <w:rsid w:val="00AA6E18"/>
    <w:rsid w:val="00AB13D4"/>
    <w:rsid w:val="00AC0C91"/>
    <w:rsid w:val="00AC250E"/>
    <w:rsid w:val="00AC25CC"/>
    <w:rsid w:val="00AD1FB7"/>
    <w:rsid w:val="00AD256C"/>
    <w:rsid w:val="00AD35E5"/>
    <w:rsid w:val="00AD545C"/>
    <w:rsid w:val="00AD6239"/>
    <w:rsid w:val="00AD6766"/>
    <w:rsid w:val="00AE1C2D"/>
    <w:rsid w:val="00AE2292"/>
    <w:rsid w:val="00AE23BC"/>
    <w:rsid w:val="00AF28CA"/>
    <w:rsid w:val="00AF2EE1"/>
    <w:rsid w:val="00AF3DFA"/>
    <w:rsid w:val="00AF45E0"/>
    <w:rsid w:val="00B05A85"/>
    <w:rsid w:val="00B0601F"/>
    <w:rsid w:val="00B27FB4"/>
    <w:rsid w:val="00B30118"/>
    <w:rsid w:val="00B3101F"/>
    <w:rsid w:val="00B35723"/>
    <w:rsid w:val="00B36969"/>
    <w:rsid w:val="00B36E88"/>
    <w:rsid w:val="00B402C8"/>
    <w:rsid w:val="00B41401"/>
    <w:rsid w:val="00B45BF6"/>
    <w:rsid w:val="00B5084D"/>
    <w:rsid w:val="00B54769"/>
    <w:rsid w:val="00B60194"/>
    <w:rsid w:val="00B614BA"/>
    <w:rsid w:val="00B62A16"/>
    <w:rsid w:val="00B64017"/>
    <w:rsid w:val="00B70B9E"/>
    <w:rsid w:val="00B745ED"/>
    <w:rsid w:val="00B746DE"/>
    <w:rsid w:val="00B74CB7"/>
    <w:rsid w:val="00B774CE"/>
    <w:rsid w:val="00B77C9B"/>
    <w:rsid w:val="00B843B3"/>
    <w:rsid w:val="00B846ED"/>
    <w:rsid w:val="00B85C8F"/>
    <w:rsid w:val="00B870BC"/>
    <w:rsid w:val="00B92F3E"/>
    <w:rsid w:val="00B936A9"/>
    <w:rsid w:val="00B9411B"/>
    <w:rsid w:val="00B9565F"/>
    <w:rsid w:val="00B95C9F"/>
    <w:rsid w:val="00BA0C6A"/>
    <w:rsid w:val="00BA4F36"/>
    <w:rsid w:val="00BA5527"/>
    <w:rsid w:val="00BA6375"/>
    <w:rsid w:val="00BB7A0F"/>
    <w:rsid w:val="00BC0361"/>
    <w:rsid w:val="00BC18FC"/>
    <w:rsid w:val="00BD214F"/>
    <w:rsid w:val="00BD2BC6"/>
    <w:rsid w:val="00BD5787"/>
    <w:rsid w:val="00BD60A1"/>
    <w:rsid w:val="00BE008D"/>
    <w:rsid w:val="00BE03FB"/>
    <w:rsid w:val="00BE1B03"/>
    <w:rsid w:val="00BE3013"/>
    <w:rsid w:val="00BE4DAB"/>
    <w:rsid w:val="00BF3A6D"/>
    <w:rsid w:val="00BF5293"/>
    <w:rsid w:val="00C02ADD"/>
    <w:rsid w:val="00C066DB"/>
    <w:rsid w:val="00C078E1"/>
    <w:rsid w:val="00C13E1B"/>
    <w:rsid w:val="00C15E5B"/>
    <w:rsid w:val="00C1698B"/>
    <w:rsid w:val="00C24AD5"/>
    <w:rsid w:val="00C321C3"/>
    <w:rsid w:val="00C3304D"/>
    <w:rsid w:val="00C42849"/>
    <w:rsid w:val="00C429BC"/>
    <w:rsid w:val="00C5201E"/>
    <w:rsid w:val="00C53411"/>
    <w:rsid w:val="00C54430"/>
    <w:rsid w:val="00C55A80"/>
    <w:rsid w:val="00C56F35"/>
    <w:rsid w:val="00C61210"/>
    <w:rsid w:val="00C64DF1"/>
    <w:rsid w:val="00C74558"/>
    <w:rsid w:val="00C8642C"/>
    <w:rsid w:val="00C91085"/>
    <w:rsid w:val="00C91450"/>
    <w:rsid w:val="00C93C02"/>
    <w:rsid w:val="00C958F8"/>
    <w:rsid w:val="00CA15E4"/>
    <w:rsid w:val="00CA2703"/>
    <w:rsid w:val="00CA6017"/>
    <w:rsid w:val="00CB0270"/>
    <w:rsid w:val="00CB151D"/>
    <w:rsid w:val="00CB1A24"/>
    <w:rsid w:val="00CB433A"/>
    <w:rsid w:val="00CB5C64"/>
    <w:rsid w:val="00CC0A6D"/>
    <w:rsid w:val="00CC1EA0"/>
    <w:rsid w:val="00CC2E16"/>
    <w:rsid w:val="00CD0F5F"/>
    <w:rsid w:val="00CD310C"/>
    <w:rsid w:val="00CD4C03"/>
    <w:rsid w:val="00CD6D99"/>
    <w:rsid w:val="00CE6419"/>
    <w:rsid w:val="00CE7859"/>
    <w:rsid w:val="00CF680D"/>
    <w:rsid w:val="00D01DC5"/>
    <w:rsid w:val="00D07A62"/>
    <w:rsid w:val="00D118F1"/>
    <w:rsid w:val="00D1211B"/>
    <w:rsid w:val="00D12E30"/>
    <w:rsid w:val="00D20014"/>
    <w:rsid w:val="00D23B9F"/>
    <w:rsid w:val="00D3283A"/>
    <w:rsid w:val="00D41C10"/>
    <w:rsid w:val="00D41D64"/>
    <w:rsid w:val="00D4702F"/>
    <w:rsid w:val="00D47C44"/>
    <w:rsid w:val="00D52B55"/>
    <w:rsid w:val="00D532C3"/>
    <w:rsid w:val="00D57817"/>
    <w:rsid w:val="00D6107D"/>
    <w:rsid w:val="00D620D2"/>
    <w:rsid w:val="00D64292"/>
    <w:rsid w:val="00D72303"/>
    <w:rsid w:val="00D77E22"/>
    <w:rsid w:val="00D81D03"/>
    <w:rsid w:val="00D85903"/>
    <w:rsid w:val="00D8646D"/>
    <w:rsid w:val="00DA70E2"/>
    <w:rsid w:val="00DB03EA"/>
    <w:rsid w:val="00DB05C6"/>
    <w:rsid w:val="00DB087D"/>
    <w:rsid w:val="00DB6DF9"/>
    <w:rsid w:val="00DC01EA"/>
    <w:rsid w:val="00DC09BE"/>
    <w:rsid w:val="00DC17F7"/>
    <w:rsid w:val="00DC60C2"/>
    <w:rsid w:val="00DC6489"/>
    <w:rsid w:val="00DD0794"/>
    <w:rsid w:val="00DD114E"/>
    <w:rsid w:val="00DD786C"/>
    <w:rsid w:val="00DE0179"/>
    <w:rsid w:val="00DE1DE2"/>
    <w:rsid w:val="00DE261F"/>
    <w:rsid w:val="00DE73D9"/>
    <w:rsid w:val="00E02465"/>
    <w:rsid w:val="00E026FE"/>
    <w:rsid w:val="00E05068"/>
    <w:rsid w:val="00E12013"/>
    <w:rsid w:val="00E25002"/>
    <w:rsid w:val="00E25732"/>
    <w:rsid w:val="00E30589"/>
    <w:rsid w:val="00E30948"/>
    <w:rsid w:val="00E343EC"/>
    <w:rsid w:val="00E36CA6"/>
    <w:rsid w:val="00E37B5A"/>
    <w:rsid w:val="00E40F50"/>
    <w:rsid w:val="00E430B6"/>
    <w:rsid w:val="00E44183"/>
    <w:rsid w:val="00E511B7"/>
    <w:rsid w:val="00E53725"/>
    <w:rsid w:val="00E55FE6"/>
    <w:rsid w:val="00E5648D"/>
    <w:rsid w:val="00E570BD"/>
    <w:rsid w:val="00E57F74"/>
    <w:rsid w:val="00E60E27"/>
    <w:rsid w:val="00E61522"/>
    <w:rsid w:val="00E61679"/>
    <w:rsid w:val="00E633F6"/>
    <w:rsid w:val="00E650C5"/>
    <w:rsid w:val="00E6587B"/>
    <w:rsid w:val="00E67B92"/>
    <w:rsid w:val="00E860F8"/>
    <w:rsid w:val="00E87571"/>
    <w:rsid w:val="00E91487"/>
    <w:rsid w:val="00EA039B"/>
    <w:rsid w:val="00EA1A11"/>
    <w:rsid w:val="00EA2B92"/>
    <w:rsid w:val="00EA4361"/>
    <w:rsid w:val="00EA617E"/>
    <w:rsid w:val="00EA7E24"/>
    <w:rsid w:val="00EB0C49"/>
    <w:rsid w:val="00EB474B"/>
    <w:rsid w:val="00EB5F1D"/>
    <w:rsid w:val="00EC3771"/>
    <w:rsid w:val="00ED5548"/>
    <w:rsid w:val="00EE03E5"/>
    <w:rsid w:val="00EE15C0"/>
    <w:rsid w:val="00EE3D68"/>
    <w:rsid w:val="00EE548B"/>
    <w:rsid w:val="00EE54A0"/>
    <w:rsid w:val="00EE7314"/>
    <w:rsid w:val="00EF0302"/>
    <w:rsid w:val="00EF1D75"/>
    <w:rsid w:val="00EF1E7F"/>
    <w:rsid w:val="00EF51DD"/>
    <w:rsid w:val="00EF5EF8"/>
    <w:rsid w:val="00EF62EC"/>
    <w:rsid w:val="00EF64F4"/>
    <w:rsid w:val="00F00578"/>
    <w:rsid w:val="00F10F6C"/>
    <w:rsid w:val="00F11BFB"/>
    <w:rsid w:val="00F17AAD"/>
    <w:rsid w:val="00F240CB"/>
    <w:rsid w:val="00F31E7D"/>
    <w:rsid w:val="00F40B40"/>
    <w:rsid w:val="00F45A19"/>
    <w:rsid w:val="00F46C5F"/>
    <w:rsid w:val="00F52299"/>
    <w:rsid w:val="00F53CE1"/>
    <w:rsid w:val="00F54F29"/>
    <w:rsid w:val="00F60C12"/>
    <w:rsid w:val="00F62BBF"/>
    <w:rsid w:val="00F6756C"/>
    <w:rsid w:val="00F67FC2"/>
    <w:rsid w:val="00F7063F"/>
    <w:rsid w:val="00F73F2D"/>
    <w:rsid w:val="00F740CF"/>
    <w:rsid w:val="00F80A6C"/>
    <w:rsid w:val="00F83777"/>
    <w:rsid w:val="00F86EF1"/>
    <w:rsid w:val="00F8740A"/>
    <w:rsid w:val="00F91154"/>
    <w:rsid w:val="00F93A38"/>
    <w:rsid w:val="00FA3CF2"/>
    <w:rsid w:val="00FA4B18"/>
    <w:rsid w:val="00FA4F90"/>
    <w:rsid w:val="00FB3398"/>
    <w:rsid w:val="00FB7609"/>
    <w:rsid w:val="00FC056F"/>
    <w:rsid w:val="00FD2EAA"/>
    <w:rsid w:val="00FD689A"/>
    <w:rsid w:val="00FE1E46"/>
    <w:rsid w:val="00FE6517"/>
    <w:rsid w:val="00FF0C5D"/>
    <w:rsid w:val="00FF2835"/>
    <w:rsid w:val="00FF2C69"/>
    <w:rsid w:val="00FF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2C053-60E0-4463-AAB5-CDD6C514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DD786C"/>
    <w:pPr>
      <w:ind w:left="720"/>
      <w:contextualSpacing/>
    </w:pPr>
  </w:style>
  <w:style w:type="paragraph" w:styleId="FootnoteText">
    <w:name w:val="footnote text"/>
    <w:basedOn w:val="Normal"/>
    <w:link w:val="FootnoteTextChar"/>
    <w:uiPriority w:val="99"/>
    <w:unhideWhenUsed/>
    <w:rsid w:val="00044A47"/>
    <w:pPr>
      <w:spacing w:after="0" w:line="240" w:lineRule="auto"/>
    </w:pPr>
    <w:rPr>
      <w:sz w:val="20"/>
      <w:szCs w:val="20"/>
    </w:rPr>
  </w:style>
  <w:style w:type="character" w:customStyle="1" w:styleId="FootnoteTextChar">
    <w:name w:val="Footnote Text Char"/>
    <w:basedOn w:val="DefaultParagraphFont"/>
    <w:link w:val="FootnoteText"/>
    <w:uiPriority w:val="99"/>
    <w:rsid w:val="00044A47"/>
    <w:rPr>
      <w:sz w:val="20"/>
      <w:szCs w:val="20"/>
    </w:rPr>
  </w:style>
  <w:style w:type="character" w:styleId="FootnoteReference">
    <w:name w:val="footnote reference"/>
    <w:basedOn w:val="DefaultParagraphFont"/>
    <w:uiPriority w:val="99"/>
    <w:unhideWhenUsed/>
    <w:rsid w:val="00044A47"/>
    <w:rPr>
      <w:vertAlign w:val="superscript"/>
    </w:rPr>
  </w:style>
  <w:style w:type="character" w:styleId="CommentReference">
    <w:name w:val="annotation reference"/>
    <w:basedOn w:val="DefaultParagraphFont"/>
    <w:uiPriority w:val="99"/>
    <w:semiHidden/>
    <w:unhideWhenUsed/>
    <w:rsid w:val="005D66F0"/>
    <w:rPr>
      <w:sz w:val="16"/>
      <w:szCs w:val="16"/>
    </w:rPr>
  </w:style>
  <w:style w:type="paragraph" w:styleId="CommentText">
    <w:name w:val="annotation text"/>
    <w:basedOn w:val="Normal"/>
    <w:link w:val="CommentTextChar"/>
    <w:uiPriority w:val="99"/>
    <w:semiHidden/>
    <w:unhideWhenUsed/>
    <w:rsid w:val="005D66F0"/>
    <w:pPr>
      <w:spacing w:line="240" w:lineRule="auto"/>
    </w:pPr>
    <w:rPr>
      <w:sz w:val="20"/>
      <w:szCs w:val="20"/>
    </w:rPr>
  </w:style>
  <w:style w:type="character" w:customStyle="1" w:styleId="CommentTextChar">
    <w:name w:val="Comment Text Char"/>
    <w:basedOn w:val="DefaultParagraphFont"/>
    <w:link w:val="CommentText"/>
    <w:uiPriority w:val="99"/>
    <w:semiHidden/>
    <w:rsid w:val="005D66F0"/>
    <w:rPr>
      <w:sz w:val="20"/>
      <w:szCs w:val="20"/>
    </w:rPr>
  </w:style>
  <w:style w:type="paragraph" w:styleId="CommentSubject">
    <w:name w:val="annotation subject"/>
    <w:basedOn w:val="CommentText"/>
    <w:next w:val="CommentText"/>
    <w:link w:val="CommentSubjectChar"/>
    <w:uiPriority w:val="99"/>
    <w:semiHidden/>
    <w:unhideWhenUsed/>
    <w:rsid w:val="005D66F0"/>
    <w:rPr>
      <w:b/>
      <w:bCs/>
    </w:rPr>
  </w:style>
  <w:style w:type="character" w:customStyle="1" w:styleId="CommentSubjectChar">
    <w:name w:val="Comment Subject Char"/>
    <w:basedOn w:val="CommentTextChar"/>
    <w:link w:val="CommentSubject"/>
    <w:uiPriority w:val="99"/>
    <w:semiHidden/>
    <w:rsid w:val="005D66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ivier\Desktop\Judgment%20Style%20-%20templat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2020-02-12T18:30:00+00:00</Judgment_x0020_Date>
    <Year xmlns="a036617c-f1b0-4353-ab0a-456b3885ee3b">2020</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E90B0-EFEC-4A92-897A-C30FDD896218}"/>
</file>

<file path=customXml/itemProps2.xml><?xml version="1.0" encoding="utf-8"?>
<ds:datastoreItem xmlns:ds="http://schemas.openxmlformats.org/officeDocument/2006/customXml" ds:itemID="{585C1B8D-F6FD-47CE-A2F9-5309748B536D}"/>
</file>

<file path=customXml/itemProps3.xml><?xml version="1.0" encoding="utf-8"?>
<ds:datastoreItem xmlns:ds="http://schemas.openxmlformats.org/officeDocument/2006/customXml" ds:itemID="{B98D7433-A9A1-4411-981E-E1A6261F6B4B}"/>
</file>

<file path=customXml/itemProps4.xml><?xml version="1.0" encoding="utf-8"?>
<ds:datastoreItem xmlns:ds="http://schemas.openxmlformats.org/officeDocument/2006/customXml" ds:itemID="{44395230-5E3F-4979-8059-81128F3B0117}"/>
</file>

<file path=docProps/app.xml><?xml version="1.0" encoding="utf-8"?>
<Properties xmlns="http://schemas.openxmlformats.org/officeDocument/2006/extended-properties" xmlns:vt="http://schemas.openxmlformats.org/officeDocument/2006/docPropsVTypes">
  <Template>JUDGMENT TEMPLATE</Template>
  <TotalTime>2</TotalTime>
  <Pages>11</Pages>
  <Words>2840</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omuleke</dc:creator>
  <cp:lastModifiedBy>Lotta N. Ambunda</cp:lastModifiedBy>
  <cp:revision>3</cp:revision>
  <cp:lastPrinted>2020-02-14T08:02:00Z</cp:lastPrinted>
  <dcterms:created xsi:type="dcterms:W3CDTF">2020-02-14T09:21:00Z</dcterms:created>
  <dcterms:modified xsi:type="dcterms:W3CDTF">2020-02-17T09:11:00Z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188900</vt:r8>
  </property>
  <property fmtid="{D5CDD505-2E9C-101B-9397-08002B2CF9AE}" pid="3" name="WorkflowChangePath">
    <vt:lpwstr>d9531047-2d5a-43c2-a9e4-c40072eaf71a,4;d9531047-2d5a-43c2-a9e4-c40072eaf71a,6;d9531047-2d5a-43c2-a9e4-c40072eaf71a,9;</vt:lpwstr>
  </property>
  <property fmtid="{D5CDD505-2E9C-101B-9397-08002B2CF9AE}" pid="4" name="ContentTypeId">
    <vt:lpwstr>0x01010032C8365068CBC8478E31237FDDD61E2C</vt:lpwstr>
  </property>
</Properties>
</file>