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BA" w:rsidRPr="00E31D89" w:rsidRDefault="00AE5ABA" w:rsidP="00AE5ABA">
      <w:pPr>
        <w:spacing w:after="0" w:line="360" w:lineRule="auto"/>
        <w:jc w:val="center"/>
        <w:rPr>
          <w:rFonts w:ascii="Arial" w:eastAsia="Times New Roman" w:hAnsi="Arial" w:cs="Arial"/>
          <w:b/>
          <w:sz w:val="24"/>
          <w:szCs w:val="24"/>
        </w:rPr>
      </w:pPr>
      <w:r w:rsidRPr="00E31D89">
        <w:rPr>
          <w:rFonts w:ascii="Arial" w:eastAsia="Times New Roman" w:hAnsi="Arial" w:cs="Arial"/>
          <w:noProof/>
          <w:sz w:val="24"/>
          <w:szCs w:val="24"/>
          <w:lang w:val="en-US"/>
        </w:rPr>
        <mc:AlternateContent>
          <mc:Choice Requires="wps">
            <w:drawing>
              <wp:anchor distT="0" distB="0" distL="114300" distR="114300" simplePos="0" relativeHeight="251659264" behindDoc="0" locked="0" layoutInCell="1" allowOverlap="1" wp14:anchorId="6EC6D2BE" wp14:editId="5C8FAAA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1A131F" w:rsidRPr="000A0FD8" w:rsidRDefault="001A131F" w:rsidP="00AE5ABA">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6D2BE"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1A131F" w:rsidRPr="000A0FD8" w:rsidRDefault="001A131F" w:rsidP="00AE5ABA">
                      <w:pPr>
                        <w:jc w:val="right"/>
                        <w:rPr>
                          <w:rFonts w:ascii="Arial" w:hAnsi="Arial" w:cs="Arial"/>
                          <w:b/>
                        </w:rPr>
                      </w:pPr>
                    </w:p>
                  </w:txbxContent>
                </v:textbox>
                <w10:wrap anchorx="margin"/>
              </v:shape>
            </w:pict>
          </mc:Fallback>
        </mc:AlternateContent>
      </w:r>
      <w:r w:rsidRPr="00E31D89">
        <w:rPr>
          <w:rFonts w:ascii="Arial" w:eastAsia="Times New Roman" w:hAnsi="Arial" w:cs="Arial"/>
          <w:b/>
          <w:sz w:val="24"/>
          <w:szCs w:val="24"/>
        </w:rPr>
        <w:t>REPUBLIC OF NAMIBIA</w:t>
      </w:r>
    </w:p>
    <w:p w:rsidR="00AE5ABA" w:rsidRPr="00E31D89" w:rsidRDefault="00AE5ABA" w:rsidP="00AE5ABA">
      <w:pPr>
        <w:spacing w:after="0" w:line="360" w:lineRule="auto"/>
        <w:rPr>
          <w:rFonts w:ascii="Arial" w:eastAsia="Times New Roman" w:hAnsi="Arial" w:cs="Arial"/>
          <w:b/>
          <w:sz w:val="24"/>
          <w:szCs w:val="24"/>
        </w:rPr>
      </w:pPr>
      <w:r w:rsidRPr="00E31D89">
        <w:rPr>
          <w:rFonts w:ascii="Arial" w:eastAsia="Times New Roman" w:hAnsi="Arial" w:cs="Arial"/>
          <w:noProof/>
          <w:sz w:val="24"/>
          <w:szCs w:val="24"/>
          <w:lang w:val="en-US"/>
        </w:rPr>
        <w:drawing>
          <wp:anchor distT="0" distB="0" distL="114300" distR="114300" simplePos="0" relativeHeight="251660288" behindDoc="0" locked="0" layoutInCell="1" allowOverlap="1" wp14:anchorId="0E92843D" wp14:editId="25E7DB26">
            <wp:simplePos x="0" y="0"/>
            <wp:positionH relativeFrom="margin">
              <wp:align>center</wp:align>
            </wp:positionH>
            <wp:positionV relativeFrom="paragraph">
              <wp:posOffset>85725</wp:posOffset>
            </wp:positionV>
            <wp:extent cx="1276350" cy="1209675"/>
            <wp:effectExtent l="0" t="0" r="0" b="9525"/>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jc w:val="center"/>
        <w:rPr>
          <w:rFonts w:ascii="Arial" w:eastAsia="Times New Roman" w:hAnsi="Arial" w:cs="Arial"/>
          <w:b/>
          <w:sz w:val="24"/>
          <w:szCs w:val="24"/>
        </w:rPr>
      </w:pPr>
    </w:p>
    <w:p w:rsidR="00AE5ABA" w:rsidRPr="00E31D89" w:rsidRDefault="00AE5ABA" w:rsidP="00AE5ABA">
      <w:pPr>
        <w:spacing w:after="0" w:line="360" w:lineRule="auto"/>
        <w:rPr>
          <w:rFonts w:ascii="Arial" w:eastAsia="Times New Roman" w:hAnsi="Arial" w:cs="Arial"/>
          <w:b/>
          <w:sz w:val="24"/>
          <w:szCs w:val="24"/>
        </w:rPr>
      </w:pPr>
      <w:r w:rsidRPr="00E31D89">
        <w:rPr>
          <w:rFonts w:ascii="Arial" w:eastAsia="Times New Roman" w:hAnsi="Arial" w:cs="Arial"/>
          <w:b/>
          <w:sz w:val="24"/>
          <w:szCs w:val="24"/>
        </w:rPr>
        <w:t xml:space="preserve">                   IN THE HIGH COURT OF NAMIBIA, MAIN DIVISION, WINDHOEK</w:t>
      </w:r>
    </w:p>
    <w:p w:rsidR="00AE5ABA" w:rsidRPr="00E31D89" w:rsidRDefault="00AE5ABA" w:rsidP="00AE5ABA">
      <w:pPr>
        <w:spacing w:after="0" w:line="360" w:lineRule="auto"/>
        <w:rPr>
          <w:rFonts w:ascii="Arial" w:eastAsia="Times New Roman" w:hAnsi="Arial" w:cs="Arial"/>
          <w:b/>
          <w:sz w:val="24"/>
          <w:szCs w:val="24"/>
        </w:rPr>
      </w:pPr>
    </w:p>
    <w:p w:rsidR="00AE5ABA" w:rsidRPr="00E31D89" w:rsidRDefault="00AE5ABA" w:rsidP="00AE5ABA">
      <w:pPr>
        <w:spacing w:after="0" w:line="360" w:lineRule="auto"/>
        <w:jc w:val="center"/>
        <w:rPr>
          <w:rFonts w:ascii="Arial" w:eastAsia="Times New Roman" w:hAnsi="Arial" w:cs="Arial"/>
          <w:b/>
          <w:sz w:val="24"/>
          <w:szCs w:val="24"/>
        </w:rPr>
      </w:pPr>
      <w:r w:rsidRPr="00E31D89">
        <w:rPr>
          <w:rFonts w:ascii="Arial" w:eastAsia="Times New Roman" w:hAnsi="Arial" w:cs="Arial"/>
          <w:b/>
          <w:sz w:val="24"/>
          <w:szCs w:val="24"/>
        </w:rPr>
        <w:t>JUDGMENT</w:t>
      </w:r>
    </w:p>
    <w:p w:rsidR="00950676" w:rsidRPr="00E31D89" w:rsidRDefault="00950676" w:rsidP="00950676">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950676" w:rsidRPr="00E31D89" w:rsidTr="001A131F">
        <w:trPr>
          <w:trHeight w:val="744"/>
        </w:trPr>
        <w:tc>
          <w:tcPr>
            <w:tcW w:w="5397" w:type="dxa"/>
            <w:gridSpan w:val="2"/>
            <w:vMerge w:val="restart"/>
          </w:tcPr>
          <w:p w:rsidR="00950676" w:rsidRPr="007B776B" w:rsidRDefault="00950676" w:rsidP="001A131F">
            <w:pPr>
              <w:spacing w:line="360" w:lineRule="auto"/>
              <w:jc w:val="both"/>
              <w:rPr>
                <w:rFonts w:ascii="Arial" w:hAnsi="Arial" w:cs="Arial"/>
                <w:sz w:val="24"/>
                <w:szCs w:val="24"/>
              </w:rPr>
            </w:pPr>
            <w:r w:rsidRPr="007B776B">
              <w:rPr>
                <w:rFonts w:ascii="Arial" w:hAnsi="Arial" w:cs="Arial"/>
                <w:b/>
                <w:sz w:val="24"/>
                <w:szCs w:val="24"/>
              </w:rPr>
              <w:t>Case Title:</w:t>
            </w:r>
          </w:p>
          <w:p w:rsidR="00CA1156" w:rsidRPr="007B776B" w:rsidRDefault="00CA1156" w:rsidP="00996127">
            <w:pPr>
              <w:tabs>
                <w:tab w:val="left" w:pos="6750"/>
              </w:tabs>
              <w:spacing w:line="360" w:lineRule="auto"/>
              <w:jc w:val="both"/>
              <w:rPr>
                <w:rFonts w:ascii="Arial" w:eastAsia="Times New Roman" w:hAnsi="Arial" w:cs="Arial"/>
                <w:sz w:val="24"/>
                <w:szCs w:val="24"/>
              </w:rPr>
            </w:pPr>
            <w:r w:rsidRPr="007B776B">
              <w:rPr>
                <w:rFonts w:ascii="Arial" w:eastAsia="Times New Roman" w:hAnsi="Arial" w:cs="Arial"/>
                <w:sz w:val="24"/>
                <w:szCs w:val="24"/>
              </w:rPr>
              <w:t xml:space="preserve">LARISSA INVESTMENT CC                    PLAINTIFF </w:t>
            </w:r>
          </w:p>
          <w:p w:rsidR="00CA1156" w:rsidRPr="007B776B" w:rsidRDefault="00FD7B16" w:rsidP="00996127">
            <w:pPr>
              <w:tabs>
                <w:tab w:val="left" w:pos="6750"/>
              </w:tabs>
              <w:spacing w:line="360" w:lineRule="auto"/>
              <w:jc w:val="both"/>
              <w:rPr>
                <w:rFonts w:ascii="Arial" w:eastAsia="Times New Roman" w:hAnsi="Arial" w:cs="Arial"/>
                <w:sz w:val="24"/>
                <w:szCs w:val="24"/>
              </w:rPr>
            </w:pPr>
            <w:r>
              <w:rPr>
                <w:rFonts w:ascii="Arial" w:eastAsia="Times New Roman" w:hAnsi="Arial" w:cs="Arial"/>
                <w:sz w:val="24"/>
                <w:szCs w:val="24"/>
              </w:rPr>
              <w:t>V</w:t>
            </w:r>
          </w:p>
          <w:p w:rsidR="00CA1156" w:rsidRPr="007B776B" w:rsidRDefault="007B776B" w:rsidP="00996127">
            <w:pPr>
              <w:tabs>
                <w:tab w:val="left" w:pos="6750"/>
              </w:tabs>
              <w:spacing w:line="360" w:lineRule="auto"/>
              <w:jc w:val="both"/>
              <w:rPr>
                <w:rFonts w:ascii="Arial" w:eastAsia="Times New Roman" w:hAnsi="Arial" w:cs="Arial"/>
                <w:sz w:val="24"/>
                <w:szCs w:val="24"/>
              </w:rPr>
            </w:pPr>
            <w:r>
              <w:rPr>
                <w:rFonts w:ascii="Arial" w:eastAsia="Times New Roman" w:hAnsi="Arial" w:cs="Arial"/>
                <w:sz w:val="24"/>
                <w:szCs w:val="24"/>
              </w:rPr>
              <w:t xml:space="preserve">ITANA DAVID HOMATHA     </w:t>
            </w:r>
            <w:r w:rsidR="00CA1156" w:rsidRPr="007B776B">
              <w:rPr>
                <w:rFonts w:ascii="Arial" w:eastAsia="Times New Roman" w:hAnsi="Arial" w:cs="Arial"/>
                <w:sz w:val="24"/>
                <w:szCs w:val="24"/>
              </w:rPr>
              <w:t xml:space="preserve"> </w:t>
            </w:r>
            <w:r w:rsidR="00002E96" w:rsidRPr="007B776B">
              <w:rPr>
                <w:rFonts w:ascii="Arial" w:eastAsia="Times New Roman" w:hAnsi="Arial" w:cs="Arial"/>
                <w:sz w:val="24"/>
                <w:szCs w:val="24"/>
              </w:rPr>
              <w:t xml:space="preserve"> </w:t>
            </w:r>
            <w:r>
              <w:rPr>
                <w:rFonts w:ascii="Arial" w:eastAsia="Times New Roman" w:hAnsi="Arial" w:cs="Arial"/>
                <w:sz w:val="24"/>
                <w:szCs w:val="24"/>
              </w:rPr>
              <w:t>1</w:t>
            </w:r>
            <w:r w:rsidRPr="007B776B">
              <w:rPr>
                <w:rFonts w:ascii="Arial" w:eastAsia="Times New Roman" w:hAnsi="Arial" w:cs="Arial"/>
                <w:sz w:val="24"/>
                <w:szCs w:val="24"/>
                <w:vertAlign w:val="superscript"/>
              </w:rPr>
              <w:t>st</w:t>
            </w:r>
            <w:r w:rsidR="00CA1156" w:rsidRPr="007B776B">
              <w:rPr>
                <w:rFonts w:ascii="Arial" w:eastAsia="Times New Roman" w:hAnsi="Arial" w:cs="Arial"/>
                <w:sz w:val="24"/>
                <w:szCs w:val="24"/>
              </w:rPr>
              <w:t xml:space="preserve"> DEFEDANT</w:t>
            </w:r>
          </w:p>
          <w:p w:rsidR="00950676" w:rsidRPr="007B776B" w:rsidRDefault="00CA1156" w:rsidP="00996127">
            <w:pPr>
              <w:tabs>
                <w:tab w:val="left" w:pos="6750"/>
              </w:tabs>
              <w:spacing w:line="360" w:lineRule="auto"/>
              <w:jc w:val="both"/>
              <w:rPr>
                <w:rFonts w:ascii="Arial" w:eastAsia="Times New Roman" w:hAnsi="Arial" w:cs="Arial"/>
                <w:sz w:val="24"/>
                <w:szCs w:val="24"/>
              </w:rPr>
            </w:pPr>
            <w:r w:rsidRPr="007B776B">
              <w:rPr>
                <w:rFonts w:ascii="Arial" w:eastAsia="Times New Roman" w:hAnsi="Arial" w:cs="Arial"/>
                <w:sz w:val="24"/>
                <w:szCs w:val="24"/>
              </w:rPr>
              <w:t>DA</w:t>
            </w:r>
            <w:r w:rsidR="007B776B">
              <w:rPr>
                <w:rFonts w:ascii="Arial" w:eastAsia="Times New Roman" w:hAnsi="Arial" w:cs="Arial"/>
                <w:sz w:val="24"/>
                <w:szCs w:val="24"/>
              </w:rPr>
              <w:t>LA LUIS PHILLIPUS         2</w:t>
            </w:r>
            <w:r w:rsidR="007B776B" w:rsidRPr="007B776B">
              <w:rPr>
                <w:rFonts w:ascii="Arial" w:eastAsia="Times New Roman" w:hAnsi="Arial" w:cs="Arial"/>
                <w:sz w:val="24"/>
                <w:szCs w:val="24"/>
                <w:vertAlign w:val="superscript"/>
              </w:rPr>
              <w:t>nd</w:t>
            </w:r>
            <w:r w:rsidRPr="007B776B">
              <w:rPr>
                <w:rFonts w:ascii="Arial" w:eastAsia="Times New Roman" w:hAnsi="Arial" w:cs="Arial"/>
                <w:sz w:val="24"/>
                <w:szCs w:val="24"/>
              </w:rPr>
              <w:t xml:space="preserve"> DEFENDANT </w:t>
            </w:r>
          </w:p>
        </w:tc>
        <w:tc>
          <w:tcPr>
            <w:tcW w:w="4323" w:type="dxa"/>
          </w:tcPr>
          <w:p w:rsidR="00950676" w:rsidRPr="007B776B" w:rsidRDefault="00950676" w:rsidP="001A131F">
            <w:pPr>
              <w:spacing w:line="360" w:lineRule="auto"/>
              <w:jc w:val="both"/>
              <w:rPr>
                <w:rFonts w:ascii="Arial" w:hAnsi="Arial" w:cs="Arial"/>
                <w:sz w:val="24"/>
                <w:szCs w:val="24"/>
              </w:rPr>
            </w:pPr>
            <w:r w:rsidRPr="007B776B">
              <w:rPr>
                <w:rFonts w:ascii="Arial" w:hAnsi="Arial" w:cs="Arial"/>
                <w:b/>
                <w:sz w:val="24"/>
                <w:szCs w:val="24"/>
              </w:rPr>
              <w:t>Case No:</w:t>
            </w:r>
          </w:p>
          <w:p w:rsidR="00950676" w:rsidRPr="007B776B" w:rsidRDefault="00996127" w:rsidP="005A5CEA">
            <w:pPr>
              <w:spacing w:line="360" w:lineRule="auto"/>
              <w:rPr>
                <w:rFonts w:ascii="Arial" w:hAnsi="Arial" w:cs="Arial"/>
                <w:sz w:val="24"/>
                <w:szCs w:val="24"/>
              </w:rPr>
            </w:pPr>
            <w:r w:rsidRPr="007B776B">
              <w:rPr>
                <w:rFonts w:ascii="Arial" w:hAnsi="Arial" w:cs="Arial"/>
                <w:sz w:val="24"/>
                <w:szCs w:val="24"/>
              </w:rPr>
              <w:t>HC-M</w:t>
            </w:r>
            <w:r w:rsidR="00147511" w:rsidRPr="007B776B">
              <w:rPr>
                <w:rFonts w:ascii="Arial" w:hAnsi="Arial" w:cs="Arial"/>
                <w:sz w:val="24"/>
                <w:szCs w:val="24"/>
              </w:rPr>
              <w:t>D-CIV-ACT-DEL-2019/00104</w:t>
            </w:r>
          </w:p>
        </w:tc>
      </w:tr>
      <w:tr w:rsidR="00950676" w:rsidRPr="00E31D89" w:rsidTr="001A131F">
        <w:trPr>
          <w:trHeight w:val="844"/>
        </w:trPr>
        <w:tc>
          <w:tcPr>
            <w:tcW w:w="5397" w:type="dxa"/>
            <w:gridSpan w:val="2"/>
            <w:vMerge/>
          </w:tcPr>
          <w:p w:rsidR="00950676" w:rsidRPr="007B776B" w:rsidRDefault="00950676" w:rsidP="001A131F">
            <w:pPr>
              <w:spacing w:line="360" w:lineRule="auto"/>
              <w:jc w:val="both"/>
              <w:rPr>
                <w:rFonts w:ascii="Arial" w:hAnsi="Arial" w:cs="Arial"/>
                <w:sz w:val="24"/>
                <w:szCs w:val="24"/>
              </w:rPr>
            </w:pPr>
          </w:p>
        </w:tc>
        <w:tc>
          <w:tcPr>
            <w:tcW w:w="4323" w:type="dxa"/>
          </w:tcPr>
          <w:p w:rsidR="00950676" w:rsidRPr="007B776B" w:rsidRDefault="00950676" w:rsidP="001A131F">
            <w:pPr>
              <w:spacing w:line="360" w:lineRule="auto"/>
              <w:jc w:val="both"/>
              <w:rPr>
                <w:rFonts w:ascii="Arial" w:hAnsi="Arial" w:cs="Arial"/>
                <w:sz w:val="24"/>
                <w:szCs w:val="24"/>
              </w:rPr>
            </w:pPr>
            <w:r w:rsidRPr="007B776B">
              <w:rPr>
                <w:rFonts w:ascii="Arial" w:hAnsi="Arial" w:cs="Arial"/>
                <w:b/>
                <w:sz w:val="24"/>
                <w:szCs w:val="24"/>
              </w:rPr>
              <w:t>Division of Court:</w:t>
            </w:r>
          </w:p>
          <w:p w:rsidR="00950676" w:rsidRPr="007B776B" w:rsidRDefault="00950676" w:rsidP="001A131F">
            <w:pPr>
              <w:spacing w:line="360" w:lineRule="auto"/>
              <w:jc w:val="both"/>
              <w:rPr>
                <w:rFonts w:ascii="Arial" w:hAnsi="Arial" w:cs="Arial"/>
                <w:sz w:val="24"/>
                <w:szCs w:val="24"/>
              </w:rPr>
            </w:pPr>
            <w:r w:rsidRPr="007B776B">
              <w:rPr>
                <w:rFonts w:ascii="Arial" w:hAnsi="Arial" w:cs="Arial"/>
                <w:sz w:val="24"/>
                <w:szCs w:val="24"/>
              </w:rPr>
              <w:t>HIGH COURT (MAIN DIVISION)</w:t>
            </w:r>
          </w:p>
        </w:tc>
      </w:tr>
      <w:tr w:rsidR="00950676" w:rsidRPr="00E31D89" w:rsidTr="001A131F">
        <w:trPr>
          <w:trHeight w:val="645"/>
        </w:trPr>
        <w:tc>
          <w:tcPr>
            <w:tcW w:w="5397" w:type="dxa"/>
            <w:gridSpan w:val="2"/>
            <w:vMerge w:val="restart"/>
          </w:tcPr>
          <w:p w:rsidR="00950676" w:rsidRPr="007B776B" w:rsidRDefault="00950676" w:rsidP="001A131F">
            <w:pPr>
              <w:spacing w:line="360" w:lineRule="auto"/>
              <w:jc w:val="both"/>
              <w:rPr>
                <w:rFonts w:ascii="Arial" w:hAnsi="Arial" w:cs="Arial"/>
                <w:b/>
                <w:sz w:val="24"/>
                <w:szCs w:val="24"/>
              </w:rPr>
            </w:pPr>
            <w:r w:rsidRPr="007B776B">
              <w:rPr>
                <w:rFonts w:ascii="Arial" w:hAnsi="Arial" w:cs="Arial"/>
                <w:b/>
                <w:sz w:val="24"/>
                <w:szCs w:val="24"/>
              </w:rPr>
              <w:t>Heard before:</w:t>
            </w:r>
          </w:p>
          <w:p w:rsidR="00950676" w:rsidRPr="007B776B" w:rsidRDefault="00950676" w:rsidP="001A131F">
            <w:pPr>
              <w:spacing w:line="360" w:lineRule="auto"/>
              <w:jc w:val="both"/>
              <w:rPr>
                <w:rFonts w:ascii="Arial" w:hAnsi="Arial" w:cs="Arial"/>
                <w:sz w:val="24"/>
                <w:szCs w:val="24"/>
              </w:rPr>
            </w:pPr>
            <w:r w:rsidRPr="007B776B">
              <w:rPr>
                <w:rFonts w:ascii="Arial" w:hAnsi="Arial" w:cs="Arial"/>
                <w:sz w:val="24"/>
                <w:szCs w:val="24"/>
              </w:rPr>
              <w:t>Honourable M</w:t>
            </w:r>
            <w:r w:rsidR="00294086" w:rsidRPr="007B776B">
              <w:rPr>
                <w:rFonts w:ascii="Arial" w:hAnsi="Arial" w:cs="Arial"/>
                <w:sz w:val="24"/>
                <w:szCs w:val="24"/>
              </w:rPr>
              <w:t>r</w:t>
            </w:r>
            <w:r w:rsidRPr="007B776B">
              <w:rPr>
                <w:rFonts w:ascii="Arial" w:hAnsi="Arial" w:cs="Arial"/>
                <w:sz w:val="24"/>
                <w:szCs w:val="24"/>
              </w:rPr>
              <w:t xml:space="preserve">s Justice </w:t>
            </w:r>
            <w:proofErr w:type="spellStart"/>
            <w:r w:rsidRPr="007B776B">
              <w:rPr>
                <w:rFonts w:ascii="Arial" w:hAnsi="Arial" w:cs="Arial"/>
                <w:sz w:val="24"/>
                <w:szCs w:val="24"/>
              </w:rPr>
              <w:t>Rakow</w:t>
            </w:r>
            <w:proofErr w:type="spellEnd"/>
            <w:r w:rsidR="00FB6765" w:rsidRPr="007B776B">
              <w:rPr>
                <w:rFonts w:ascii="Arial" w:hAnsi="Arial" w:cs="Arial"/>
                <w:sz w:val="24"/>
                <w:szCs w:val="24"/>
              </w:rPr>
              <w:t xml:space="preserve">, </w:t>
            </w:r>
            <w:r w:rsidR="007B0F64" w:rsidRPr="007B776B">
              <w:rPr>
                <w:rFonts w:ascii="Arial" w:hAnsi="Arial" w:cs="Arial"/>
                <w:sz w:val="24"/>
                <w:szCs w:val="24"/>
              </w:rPr>
              <w:t>J</w:t>
            </w:r>
          </w:p>
        </w:tc>
        <w:tc>
          <w:tcPr>
            <w:tcW w:w="4323" w:type="dxa"/>
          </w:tcPr>
          <w:p w:rsidR="00950676" w:rsidRPr="007B776B" w:rsidRDefault="00950676" w:rsidP="00193139">
            <w:pPr>
              <w:spacing w:line="360" w:lineRule="auto"/>
              <w:jc w:val="both"/>
              <w:rPr>
                <w:rFonts w:ascii="Arial" w:hAnsi="Arial" w:cs="Arial"/>
                <w:b/>
                <w:sz w:val="24"/>
                <w:szCs w:val="24"/>
              </w:rPr>
            </w:pPr>
            <w:r w:rsidRPr="007B776B">
              <w:rPr>
                <w:rFonts w:ascii="Arial" w:hAnsi="Arial" w:cs="Arial"/>
                <w:b/>
                <w:sz w:val="24"/>
                <w:szCs w:val="24"/>
              </w:rPr>
              <w:t>Date of hearing:</w:t>
            </w:r>
          </w:p>
          <w:p w:rsidR="00193139" w:rsidRPr="007B776B" w:rsidRDefault="00570509" w:rsidP="00193139">
            <w:pPr>
              <w:spacing w:line="360" w:lineRule="auto"/>
              <w:jc w:val="both"/>
              <w:rPr>
                <w:rFonts w:ascii="Arial" w:hAnsi="Arial" w:cs="Arial"/>
                <w:sz w:val="24"/>
                <w:szCs w:val="24"/>
              </w:rPr>
            </w:pPr>
            <w:r w:rsidRPr="007B776B">
              <w:rPr>
                <w:rFonts w:ascii="Arial" w:hAnsi="Arial" w:cs="Arial"/>
                <w:sz w:val="24"/>
                <w:szCs w:val="24"/>
              </w:rPr>
              <w:t>28 September &amp; 1 October 2020</w:t>
            </w:r>
          </w:p>
        </w:tc>
      </w:tr>
      <w:tr w:rsidR="00950676" w:rsidRPr="00E31D89" w:rsidTr="001A131F">
        <w:trPr>
          <w:trHeight w:val="588"/>
        </w:trPr>
        <w:tc>
          <w:tcPr>
            <w:tcW w:w="5397" w:type="dxa"/>
            <w:gridSpan w:val="2"/>
            <w:vMerge/>
          </w:tcPr>
          <w:p w:rsidR="00950676" w:rsidRPr="007B776B" w:rsidRDefault="00950676" w:rsidP="001A131F">
            <w:pPr>
              <w:spacing w:line="360" w:lineRule="auto"/>
              <w:jc w:val="both"/>
              <w:rPr>
                <w:rFonts w:ascii="Arial" w:hAnsi="Arial" w:cs="Arial"/>
                <w:b/>
                <w:sz w:val="24"/>
                <w:szCs w:val="24"/>
              </w:rPr>
            </w:pPr>
          </w:p>
        </w:tc>
        <w:tc>
          <w:tcPr>
            <w:tcW w:w="4323" w:type="dxa"/>
          </w:tcPr>
          <w:p w:rsidR="00950676" w:rsidRPr="007B776B" w:rsidRDefault="00A25688" w:rsidP="00ED419D">
            <w:pPr>
              <w:spacing w:line="360" w:lineRule="auto"/>
              <w:jc w:val="both"/>
              <w:rPr>
                <w:rFonts w:ascii="Arial" w:hAnsi="Arial" w:cs="Arial"/>
                <w:b/>
                <w:sz w:val="24"/>
                <w:szCs w:val="24"/>
              </w:rPr>
            </w:pPr>
            <w:r>
              <w:rPr>
                <w:rFonts w:ascii="Arial" w:hAnsi="Arial" w:cs="Arial"/>
                <w:b/>
                <w:sz w:val="24"/>
                <w:szCs w:val="24"/>
              </w:rPr>
              <w:t>Date delivered</w:t>
            </w:r>
            <w:r w:rsidR="00950676" w:rsidRPr="007B776B">
              <w:rPr>
                <w:rFonts w:ascii="Arial" w:hAnsi="Arial" w:cs="Arial"/>
                <w:b/>
                <w:sz w:val="24"/>
                <w:szCs w:val="24"/>
              </w:rPr>
              <w:t>:</w:t>
            </w:r>
          </w:p>
          <w:p w:rsidR="00FB6765" w:rsidRPr="007B776B" w:rsidRDefault="00147511" w:rsidP="00147511">
            <w:pPr>
              <w:spacing w:line="360" w:lineRule="auto"/>
              <w:jc w:val="both"/>
              <w:rPr>
                <w:rFonts w:ascii="Arial" w:hAnsi="Arial" w:cs="Arial"/>
                <w:b/>
                <w:sz w:val="24"/>
                <w:szCs w:val="24"/>
              </w:rPr>
            </w:pPr>
            <w:r w:rsidRPr="007B776B">
              <w:rPr>
                <w:rFonts w:ascii="Arial" w:hAnsi="Arial" w:cs="Arial"/>
                <w:b/>
                <w:sz w:val="24"/>
                <w:szCs w:val="24"/>
              </w:rPr>
              <w:t>6 November 2020</w:t>
            </w:r>
          </w:p>
        </w:tc>
      </w:tr>
      <w:tr w:rsidR="00950676" w:rsidRPr="00E31D89" w:rsidTr="001A131F">
        <w:tc>
          <w:tcPr>
            <w:tcW w:w="9720" w:type="dxa"/>
            <w:gridSpan w:val="3"/>
          </w:tcPr>
          <w:p w:rsidR="00950676" w:rsidRPr="007B776B" w:rsidRDefault="00950676" w:rsidP="001A131F">
            <w:pPr>
              <w:pStyle w:val="form-control-static"/>
              <w:shd w:val="clear" w:color="auto" w:fill="FFFFFF"/>
              <w:spacing w:before="0" w:beforeAutospacing="0" w:after="0" w:afterAutospacing="0"/>
              <w:rPr>
                <w:rFonts w:ascii="Arial" w:hAnsi="Arial" w:cs="Arial"/>
              </w:rPr>
            </w:pPr>
            <w:r w:rsidRPr="007B776B">
              <w:rPr>
                <w:rFonts w:ascii="Arial" w:hAnsi="Arial" w:cs="Arial"/>
                <w:b/>
              </w:rPr>
              <w:t xml:space="preserve">Neutral citation: </w:t>
            </w:r>
          </w:p>
          <w:p w:rsidR="00950676" w:rsidRPr="007B776B" w:rsidRDefault="000C4B6A" w:rsidP="00570509">
            <w:pPr>
              <w:pStyle w:val="form-control-static"/>
              <w:shd w:val="clear" w:color="auto" w:fill="FFFFFF"/>
              <w:spacing w:after="0"/>
              <w:jc w:val="both"/>
              <w:rPr>
                <w:rFonts w:ascii="Arial" w:hAnsi="Arial" w:cs="Arial"/>
                <w:i/>
                <w:lang w:val="en-GB"/>
              </w:rPr>
            </w:pPr>
            <w:r w:rsidRPr="007B776B">
              <w:rPr>
                <w:rFonts w:ascii="Arial" w:hAnsi="Arial" w:cs="Arial"/>
                <w:i/>
                <w:lang w:val="en-ZA"/>
              </w:rPr>
              <w:t>Larissa I</w:t>
            </w:r>
            <w:r w:rsidR="00147511" w:rsidRPr="007B776B">
              <w:rPr>
                <w:rFonts w:ascii="Arial" w:hAnsi="Arial" w:cs="Arial"/>
                <w:i/>
                <w:lang w:val="en-ZA"/>
              </w:rPr>
              <w:t xml:space="preserve">nvestment CC v </w:t>
            </w:r>
            <w:proofErr w:type="spellStart"/>
            <w:r w:rsidR="00147511" w:rsidRPr="007B776B">
              <w:rPr>
                <w:rFonts w:ascii="Arial" w:hAnsi="Arial" w:cs="Arial"/>
                <w:i/>
                <w:lang w:val="en-ZA"/>
              </w:rPr>
              <w:t>Homatha</w:t>
            </w:r>
            <w:proofErr w:type="spellEnd"/>
            <w:r w:rsidR="00147511" w:rsidRPr="007B776B">
              <w:rPr>
                <w:rFonts w:ascii="Arial" w:hAnsi="Arial" w:cs="Arial"/>
                <w:i/>
                <w:lang w:val="en-ZA"/>
              </w:rPr>
              <w:t xml:space="preserve"> </w:t>
            </w:r>
            <w:r w:rsidR="00950676" w:rsidRPr="007B776B">
              <w:rPr>
                <w:rFonts w:ascii="Arial" w:hAnsi="Arial" w:cs="Arial"/>
              </w:rPr>
              <w:t>(</w:t>
            </w:r>
            <w:r w:rsidR="00147511" w:rsidRPr="007B776B">
              <w:rPr>
                <w:rFonts w:ascii="Arial" w:hAnsi="Arial" w:cs="Arial"/>
                <w:lang w:val="en-ZA"/>
              </w:rPr>
              <w:t>HC-MD-CIV-ACT-DEL-2019/00104</w:t>
            </w:r>
            <w:r w:rsidR="00950676" w:rsidRPr="007B776B">
              <w:rPr>
                <w:rFonts w:ascii="Arial" w:hAnsi="Arial" w:cs="Arial"/>
              </w:rPr>
              <w:t>) [</w:t>
            </w:r>
            <w:r w:rsidR="00657CBE" w:rsidRPr="007B776B">
              <w:rPr>
                <w:rFonts w:ascii="Arial" w:hAnsi="Arial" w:cs="Arial"/>
              </w:rPr>
              <w:t>2020</w:t>
            </w:r>
            <w:r w:rsidR="00165A4E" w:rsidRPr="007B776B">
              <w:rPr>
                <w:rFonts w:ascii="Arial" w:hAnsi="Arial" w:cs="Arial"/>
              </w:rPr>
              <w:t>] NAH</w:t>
            </w:r>
            <w:r w:rsidR="00950676" w:rsidRPr="007B776B">
              <w:rPr>
                <w:rFonts w:ascii="Arial" w:hAnsi="Arial" w:cs="Arial"/>
              </w:rPr>
              <w:t>C</w:t>
            </w:r>
            <w:r w:rsidR="0095411B" w:rsidRPr="007B776B">
              <w:rPr>
                <w:rFonts w:ascii="Arial" w:hAnsi="Arial" w:cs="Arial"/>
              </w:rPr>
              <w:t>MD</w:t>
            </w:r>
            <w:r w:rsidR="00002E96" w:rsidRPr="007B776B">
              <w:rPr>
                <w:rFonts w:ascii="Arial" w:hAnsi="Arial" w:cs="Arial"/>
              </w:rPr>
              <w:t xml:space="preserve"> 508</w:t>
            </w:r>
            <w:r w:rsidR="0095411B" w:rsidRPr="007B776B">
              <w:rPr>
                <w:rFonts w:ascii="Arial" w:hAnsi="Arial" w:cs="Arial"/>
              </w:rPr>
              <w:t xml:space="preserve"> </w:t>
            </w:r>
            <w:r w:rsidR="00950676" w:rsidRPr="007B776B">
              <w:rPr>
                <w:rFonts w:ascii="Arial" w:hAnsi="Arial" w:cs="Arial"/>
              </w:rPr>
              <w:t>(</w:t>
            </w:r>
            <w:r w:rsidR="00147511" w:rsidRPr="007B776B">
              <w:rPr>
                <w:rFonts w:ascii="Arial" w:hAnsi="Arial" w:cs="Arial"/>
              </w:rPr>
              <w:t>6 November</w:t>
            </w:r>
            <w:r w:rsidR="00193139" w:rsidRPr="007B776B">
              <w:rPr>
                <w:rFonts w:ascii="Arial" w:hAnsi="Arial" w:cs="Arial"/>
              </w:rPr>
              <w:t xml:space="preserve"> 2020</w:t>
            </w:r>
            <w:r w:rsidR="00950676" w:rsidRPr="007B776B">
              <w:rPr>
                <w:rFonts w:ascii="Arial" w:hAnsi="Arial" w:cs="Arial"/>
              </w:rPr>
              <w:t>)</w:t>
            </w:r>
          </w:p>
        </w:tc>
      </w:tr>
      <w:tr w:rsidR="00950676" w:rsidRPr="00E31D89" w:rsidTr="001A131F">
        <w:tc>
          <w:tcPr>
            <w:tcW w:w="9720" w:type="dxa"/>
            <w:gridSpan w:val="3"/>
          </w:tcPr>
          <w:p w:rsidR="00950676" w:rsidRPr="00F2359C" w:rsidRDefault="00950676" w:rsidP="001A131F">
            <w:pPr>
              <w:spacing w:line="360" w:lineRule="auto"/>
              <w:jc w:val="both"/>
              <w:rPr>
                <w:rFonts w:ascii="Arial" w:hAnsi="Arial" w:cs="Arial"/>
                <w:b/>
                <w:sz w:val="24"/>
                <w:szCs w:val="24"/>
              </w:rPr>
            </w:pPr>
            <w:r w:rsidRPr="00F2359C">
              <w:rPr>
                <w:rFonts w:ascii="Arial" w:hAnsi="Arial" w:cs="Arial"/>
                <w:sz w:val="24"/>
                <w:szCs w:val="24"/>
              </w:rPr>
              <w:t>Having read the record of proceedings as well as submissions ma</w:t>
            </w:r>
            <w:r w:rsidR="007B0F64" w:rsidRPr="00F2359C">
              <w:rPr>
                <w:rFonts w:ascii="Arial" w:hAnsi="Arial" w:cs="Arial"/>
                <w:sz w:val="24"/>
                <w:szCs w:val="24"/>
              </w:rPr>
              <w:t>d</w:t>
            </w:r>
            <w:r w:rsidR="00FB6765" w:rsidRPr="00F2359C">
              <w:rPr>
                <w:rFonts w:ascii="Arial" w:hAnsi="Arial" w:cs="Arial"/>
                <w:sz w:val="24"/>
                <w:szCs w:val="24"/>
              </w:rPr>
              <w:t>e by counsels for the applicant</w:t>
            </w:r>
            <w:r w:rsidRPr="00F2359C">
              <w:rPr>
                <w:rFonts w:ascii="Arial" w:hAnsi="Arial" w:cs="Arial"/>
                <w:sz w:val="24"/>
                <w:szCs w:val="24"/>
              </w:rPr>
              <w:t xml:space="preserve"> and the respondent:</w:t>
            </w:r>
          </w:p>
          <w:p w:rsidR="00950676" w:rsidRPr="00F2359C" w:rsidRDefault="00950676" w:rsidP="001A131F">
            <w:pPr>
              <w:spacing w:line="360" w:lineRule="auto"/>
              <w:jc w:val="both"/>
              <w:rPr>
                <w:rFonts w:ascii="Arial" w:hAnsi="Arial" w:cs="Arial"/>
                <w:b/>
                <w:sz w:val="24"/>
                <w:szCs w:val="24"/>
              </w:rPr>
            </w:pPr>
            <w:r w:rsidRPr="00F2359C">
              <w:rPr>
                <w:rFonts w:ascii="Arial" w:hAnsi="Arial" w:cs="Arial"/>
                <w:b/>
                <w:sz w:val="24"/>
                <w:szCs w:val="24"/>
              </w:rPr>
              <w:t>IT IS HEREBY ORDERED THAT:</w:t>
            </w:r>
          </w:p>
          <w:p w:rsidR="00570509" w:rsidRPr="00F2359C" w:rsidRDefault="00570509" w:rsidP="00570509">
            <w:pPr>
              <w:tabs>
                <w:tab w:val="left" w:pos="560"/>
              </w:tabs>
              <w:spacing w:after="0" w:line="360" w:lineRule="auto"/>
              <w:jc w:val="both"/>
              <w:rPr>
                <w:rFonts w:ascii="Arial" w:hAnsi="Arial" w:cs="Arial"/>
                <w:sz w:val="24"/>
                <w:szCs w:val="24"/>
              </w:rPr>
            </w:pPr>
            <w:r w:rsidRPr="00F2359C">
              <w:rPr>
                <w:rFonts w:ascii="Arial" w:hAnsi="Arial" w:cs="Arial"/>
                <w:sz w:val="24"/>
                <w:szCs w:val="24"/>
              </w:rPr>
              <w:t>1.  Judgment is granted for the plaintiff in the amount of N$132 507.50 (claim 1) and N$5 187.50 (claim 2) together with cost of suit.</w:t>
            </w:r>
          </w:p>
          <w:p w:rsidR="00570509" w:rsidRPr="00F2359C" w:rsidRDefault="00570509" w:rsidP="00570509">
            <w:pPr>
              <w:tabs>
                <w:tab w:val="left" w:pos="560"/>
              </w:tabs>
              <w:spacing w:after="0" w:line="360" w:lineRule="auto"/>
              <w:jc w:val="both"/>
              <w:rPr>
                <w:rFonts w:ascii="Arial" w:hAnsi="Arial" w:cs="Arial"/>
                <w:sz w:val="24"/>
                <w:szCs w:val="24"/>
              </w:rPr>
            </w:pPr>
            <w:r w:rsidRPr="00F2359C">
              <w:rPr>
                <w:rFonts w:ascii="Arial" w:hAnsi="Arial" w:cs="Arial"/>
                <w:sz w:val="24"/>
                <w:szCs w:val="24"/>
              </w:rPr>
              <w:t>2.  Interest on the aforesaid amounts of N$132</w:t>
            </w:r>
            <w:r>
              <w:rPr>
                <w:rFonts w:ascii="Arial Narrow" w:hAnsi="Arial Narrow" w:cs="Arial"/>
                <w:sz w:val="24"/>
                <w:szCs w:val="24"/>
              </w:rPr>
              <w:t> </w:t>
            </w:r>
            <w:r w:rsidRPr="00F2359C">
              <w:rPr>
                <w:rFonts w:ascii="Arial" w:hAnsi="Arial" w:cs="Arial"/>
                <w:sz w:val="24"/>
                <w:szCs w:val="24"/>
              </w:rPr>
              <w:t>507.50 and N$5 187.50 at 20% per annum from 1 February 2018.</w:t>
            </w:r>
          </w:p>
          <w:p w:rsidR="00951BF0" w:rsidRPr="00AA4C97" w:rsidRDefault="00570509" w:rsidP="00AA4C97">
            <w:pPr>
              <w:tabs>
                <w:tab w:val="left" w:pos="560"/>
              </w:tabs>
              <w:spacing w:after="0" w:line="360" w:lineRule="auto"/>
              <w:jc w:val="both"/>
              <w:rPr>
                <w:rFonts w:ascii="Arial" w:hAnsi="Arial" w:cs="Arial"/>
                <w:sz w:val="24"/>
                <w:szCs w:val="24"/>
              </w:rPr>
            </w:pPr>
            <w:r w:rsidRPr="00F2359C">
              <w:rPr>
                <w:rFonts w:ascii="Arial" w:hAnsi="Arial" w:cs="Arial"/>
                <w:sz w:val="24"/>
                <w:szCs w:val="24"/>
              </w:rPr>
              <w:lastRenderedPageBreak/>
              <w:t>3.  The counterclaim of the first defendant is dismissed.</w:t>
            </w:r>
          </w:p>
        </w:tc>
      </w:tr>
      <w:tr w:rsidR="00950676" w:rsidRPr="00E31D89" w:rsidTr="001A131F">
        <w:tc>
          <w:tcPr>
            <w:tcW w:w="9720" w:type="dxa"/>
            <w:gridSpan w:val="3"/>
          </w:tcPr>
          <w:p w:rsidR="00950676" w:rsidRPr="00F2359C" w:rsidRDefault="00950676" w:rsidP="001A131F">
            <w:pPr>
              <w:spacing w:line="360" w:lineRule="auto"/>
              <w:jc w:val="both"/>
              <w:rPr>
                <w:rFonts w:ascii="Arial" w:hAnsi="Arial" w:cs="Arial"/>
                <w:b/>
                <w:sz w:val="24"/>
                <w:szCs w:val="24"/>
              </w:rPr>
            </w:pPr>
            <w:r w:rsidRPr="00F2359C">
              <w:rPr>
                <w:rFonts w:ascii="Arial" w:hAnsi="Arial" w:cs="Arial"/>
                <w:b/>
                <w:sz w:val="24"/>
                <w:szCs w:val="24"/>
              </w:rPr>
              <w:lastRenderedPageBreak/>
              <w:t>Reasons for orders:</w:t>
            </w:r>
          </w:p>
        </w:tc>
      </w:tr>
      <w:tr w:rsidR="00950676" w:rsidRPr="00E31D89" w:rsidTr="001A131F">
        <w:tc>
          <w:tcPr>
            <w:tcW w:w="9720" w:type="dxa"/>
            <w:gridSpan w:val="3"/>
          </w:tcPr>
          <w:p w:rsidR="001F4879" w:rsidRPr="00F2359C" w:rsidRDefault="001F4879" w:rsidP="00657CBE">
            <w:pPr>
              <w:spacing w:after="0" w:line="360" w:lineRule="auto"/>
              <w:jc w:val="both"/>
              <w:rPr>
                <w:rFonts w:ascii="Arial" w:hAnsi="Arial" w:cs="Arial"/>
                <w:sz w:val="24"/>
                <w:szCs w:val="24"/>
                <w:u w:val="single"/>
                <w:lang w:val="af-ZA"/>
              </w:rPr>
            </w:pPr>
            <w:r w:rsidRPr="00F2359C">
              <w:rPr>
                <w:rFonts w:ascii="Arial" w:hAnsi="Arial" w:cs="Arial"/>
                <w:sz w:val="24"/>
                <w:szCs w:val="24"/>
                <w:u w:val="single"/>
                <w:lang w:val="af-ZA"/>
              </w:rPr>
              <w:t>Introduction</w:t>
            </w:r>
          </w:p>
          <w:p w:rsidR="00AE5ABA" w:rsidRPr="00F2359C" w:rsidRDefault="0081191E" w:rsidP="00657CBE">
            <w:pPr>
              <w:spacing w:after="0" w:line="360" w:lineRule="auto"/>
              <w:jc w:val="both"/>
              <w:rPr>
                <w:rFonts w:ascii="Arial" w:hAnsi="Arial" w:cs="Arial"/>
                <w:sz w:val="24"/>
                <w:szCs w:val="24"/>
                <w:u w:val="single"/>
                <w:lang w:val="af-ZA"/>
              </w:rPr>
            </w:pPr>
            <w:r w:rsidRPr="00F2359C">
              <w:rPr>
                <w:rFonts w:ascii="Arial" w:hAnsi="Arial" w:cs="Arial"/>
                <w:sz w:val="24"/>
                <w:szCs w:val="24"/>
                <w:u w:val="single"/>
                <w:lang w:val="af-ZA"/>
              </w:rPr>
              <w:t xml:space="preserve"> </w:t>
            </w:r>
          </w:p>
          <w:p w:rsidR="00CF062D" w:rsidRPr="00F2359C" w:rsidRDefault="00950676"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[1</w:t>
            </w:r>
            <w:r w:rsidR="0081191E" w:rsidRPr="00F2359C">
              <w:rPr>
                <w:rFonts w:ascii="Arial" w:hAnsi="Arial" w:cs="Arial"/>
                <w:sz w:val="24"/>
                <w:szCs w:val="24"/>
                <w:lang w:val="af-ZA"/>
              </w:rPr>
              <w:t xml:space="preserve">]     </w:t>
            </w:r>
            <w:r w:rsidR="00147511" w:rsidRPr="00F2359C">
              <w:rPr>
                <w:rFonts w:ascii="Arial" w:hAnsi="Arial" w:cs="Arial"/>
                <w:sz w:val="24"/>
                <w:szCs w:val="24"/>
                <w:lang w:val="af-ZA"/>
              </w:rPr>
              <w:t>The plaintiff in this matter instituted action against the defendant for damages suffered to its vehicle during an accident that took place on 16 January 2018.  Larr</w:t>
            </w:r>
            <w:r w:rsidR="00DE19BB" w:rsidRPr="00F2359C">
              <w:rPr>
                <w:rFonts w:ascii="Arial" w:hAnsi="Arial" w:cs="Arial"/>
                <w:sz w:val="24"/>
                <w:szCs w:val="24"/>
                <w:lang w:val="af-ZA"/>
              </w:rPr>
              <w:t>issa Investments CC, is a close</w:t>
            </w:r>
            <w:r w:rsidR="00147511" w:rsidRPr="00F2359C">
              <w:rPr>
                <w:rFonts w:ascii="Arial" w:hAnsi="Arial" w:cs="Arial"/>
                <w:sz w:val="24"/>
                <w:szCs w:val="24"/>
                <w:lang w:val="af-ZA"/>
              </w:rPr>
              <w:t xml:space="preserve"> corporation duly incorporated with limited liabili</w:t>
            </w:r>
            <w:r w:rsidR="00570509" w:rsidRPr="00F2359C">
              <w:rPr>
                <w:rFonts w:ascii="Arial" w:hAnsi="Arial" w:cs="Arial"/>
                <w:sz w:val="24"/>
                <w:szCs w:val="24"/>
                <w:lang w:val="af-ZA"/>
              </w:rPr>
              <w:t xml:space="preserve">ty in the Republic of Namibia. </w:t>
            </w:r>
            <w:r w:rsidR="00147511" w:rsidRPr="00F2359C">
              <w:rPr>
                <w:rFonts w:ascii="Arial" w:hAnsi="Arial" w:cs="Arial"/>
                <w:sz w:val="24"/>
                <w:szCs w:val="24"/>
                <w:lang w:val="af-ZA"/>
              </w:rPr>
              <w:t>It is the lawful owner, alternatively bona fide possessor of a Isuzu pick-up vehicle with registration number N8409W.  During the evening of 16 January 2018 a collision occured between the plaintif</w:t>
            </w:r>
            <w:r w:rsidR="00DE19BB" w:rsidRPr="00F2359C">
              <w:rPr>
                <w:rFonts w:ascii="Arial" w:hAnsi="Arial" w:cs="Arial"/>
                <w:sz w:val="24"/>
                <w:szCs w:val="24"/>
                <w:lang w:val="af-ZA"/>
              </w:rPr>
              <w:t>f’s vehicle, driven by a certain</w:t>
            </w:r>
            <w:r w:rsidR="00147511" w:rsidRPr="00F2359C">
              <w:rPr>
                <w:rFonts w:ascii="Arial" w:hAnsi="Arial" w:cs="Arial"/>
                <w:sz w:val="24"/>
                <w:szCs w:val="24"/>
                <w:lang w:val="af-ZA"/>
              </w:rPr>
              <w:t xml:space="preserve"> Dala Luis Phillippus and a silver BMW vehicle with registration number N934W, which was driven by the defendant, Ithana David Homatha.  </w:t>
            </w:r>
          </w:p>
          <w:p w:rsidR="00147511" w:rsidRPr="00F2359C" w:rsidRDefault="00147511" w:rsidP="00147511">
            <w:pPr>
              <w:tabs>
                <w:tab w:val="left" w:pos="560"/>
              </w:tabs>
              <w:spacing w:after="0" w:line="360" w:lineRule="auto"/>
              <w:jc w:val="both"/>
              <w:rPr>
                <w:rFonts w:ascii="Arial" w:hAnsi="Arial" w:cs="Arial"/>
                <w:sz w:val="24"/>
                <w:szCs w:val="24"/>
                <w:lang w:val="af-ZA"/>
              </w:rPr>
            </w:pPr>
          </w:p>
          <w:p w:rsidR="007A0304" w:rsidRPr="00F2359C" w:rsidRDefault="00147511"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[2]     The plaintiff claims that the defendant collided with the rear of the vehicle of the plaintiff when it indicated that it was executing a left turn at the intersection, whilst it was travelling in the same direction</w:t>
            </w:r>
            <w:r w:rsidR="007A0304" w:rsidRPr="00F2359C">
              <w:rPr>
                <w:rFonts w:ascii="Arial" w:hAnsi="Arial" w:cs="Arial"/>
                <w:sz w:val="24"/>
                <w:szCs w:val="24"/>
                <w:lang w:val="af-ZA"/>
              </w:rPr>
              <w:t>.  It is alleged that the defendant’s vehicle drove at an excessive speed and failed to reduce his speed upon approaching the intersection, it further failed to keep a proper look out, failed to apply the brakes of the vehicle timeo</w:t>
            </w:r>
            <w:r w:rsidR="00DE19BB" w:rsidRPr="00F2359C">
              <w:rPr>
                <w:rFonts w:ascii="Arial" w:hAnsi="Arial" w:cs="Arial"/>
                <w:sz w:val="24"/>
                <w:szCs w:val="24"/>
                <w:lang w:val="af-ZA"/>
              </w:rPr>
              <w:t>u</w:t>
            </w:r>
            <w:r w:rsidR="007A0304" w:rsidRPr="00F2359C">
              <w:rPr>
                <w:rFonts w:ascii="Arial" w:hAnsi="Arial" w:cs="Arial"/>
                <w:sz w:val="24"/>
                <w:szCs w:val="24"/>
                <w:lang w:val="af-ZA"/>
              </w:rPr>
              <w:t>sly or at all or the brakes were not functioning at all and the defendant failed to keep control or alternatively proper control, over the vheicle.  It is further alleged that the defendant failed to exercise due care and precaution whilst driving and failed to have d</w:t>
            </w:r>
            <w:r w:rsidR="00570509" w:rsidRPr="00F2359C">
              <w:rPr>
                <w:rFonts w:ascii="Arial" w:hAnsi="Arial" w:cs="Arial"/>
                <w:sz w:val="24"/>
                <w:szCs w:val="24"/>
                <w:lang w:val="af-ZA"/>
              </w:rPr>
              <w:t xml:space="preserve">ue regard to other road users. </w:t>
            </w:r>
            <w:r w:rsidR="007A0304" w:rsidRPr="00F2359C">
              <w:rPr>
                <w:rFonts w:ascii="Arial" w:hAnsi="Arial" w:cs="Arial"/>
                <w:sz w:val="24"/>
                <w:szCs w:val="24"/>
                <w:lang w:val="af-ZA"/>
              </w:rPr>
              <w:t xml:space="preserve">The defendant also failed to avoid a collission in circumstances which, with the exercise of reasonable care, it </w:t>
            </w:r>
            <w:r w:rsidR="00910A5E" w:rsidRPr="00F2359C">
              <w:rPr>
                <w:rFonts w:ascii="Arial" w:hAnsi="Arial" w:cs="Arial"/>
                <w:sz w:val="24"/>
                <w:szCs w:val="24"/>
                <w:lang w:val="af-ZA"/>
              </w:rPr>
              <w:t xml:space="preserve">could and should have done so. </w:t>
            </w:r>
            <w:r w:rsidR="007A0304" w:rsidRPr="00F2359C">
              <w:rPr>
                <w:rFonts w:ascii="Arial" w:hAnsi="Arial" w:cs="Arial"/>
                <w:sz w:val="24"/>
                <w:szCs w:val="24"/>
                <w:lang w:val="af-ZA"/>
              </w:rPr>
              <w:t>The damages suffered by the plaintiff amounted to N$132 507,50 with respect to claim one and N$5187,50 with regard to claim two, with regard to the tow-in costs.</w:t>
            </w:r>
          </w:p>
          <w:p w:rsidR="007A0304" w:rsidRPr="00F2359C" w:rsidRDefault="007A0304" w:rsidP="00147511">
            <w:pPr>
              <w:tabs>
                <w:tab w:val="left" w:pos="560"/>
              </w:tabs>
              <w:spacing w:after="0" w:line="360" w:lineRule="auto"/>
              <w:jc w:val="both"/>
              <w:rPr>
                <w:rFonts w:ascii="Arial" w:hAnsi="Arial" w:cs="Arial"/>
                <w:sz w:val="24"/>
                <w:szCs w:val="24"/>
                <w:lang w:val="af-ZA"/>
              </w:rPr>
            </w:pPr>
          </w:p>
          <w:p w:rsidR="00147511" w:rsidRPr="00F2359C" w:rsidRDefault="00DE19BB"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[3]      The defenda</w:t>
            </w:r>
            <w:r w:rsidR="007A0304" w:rsidRPr="00F2359C">
              <w:rPr>
                <w:rFonts w:ascii="Arial" w:hAnsi="Arial" w:cs="Arial"/>
                <w:sz w:val="24"/>
                <w:szCs w:val="24"/>
                <w:lang w:val="af-ZA"/>
              </w:rPr>
              <w:t xml:space="preserve">nt </w:t>
            </w:r>
            <w:r w:rsidRPr="00F2359C">
              <w:rPr>
                <w:rFonts w:ascii="Arial" w:hAnsi="Arial" w:cs="Arial"/>
                <w:sz w:val="24"/>
                <w:szCs w:val="24"/>
                <w:lang w:val="af-ZA"/>
              </w:rPr>
              <w:t>denied the all</w:t>
            </w:r>
            <w:r w:rsidR="00910A5E" w:rsidRPr="00F2359C">
              <w:rPr>
                <w:rFonts w:ascii="Arial" w:hAnsi="Arial" w:cs="Arial"/>
                <w:sz w:val="24"/>
                <w:szCs w:val="24"/>
                <w:lang w:val="af-ZA"/>
              </w:rPr>
              <w:t>e</w:t>
            </w:r>
            <w:r w:rsidRPr="00F2359C">
              <w:rPr>
                <w:rFonts w:ascii="Arial" w:hAnsi="Arial" w:cs="Arial"/>
                <w:sz w:val="24"/>
                <w:szCs w:val="24"/>
                <w:lang w:val="af-ZA"/>
              </w:rPr>
              <w:t>gations against him in relation to the damages caused by him.</w:t>
            </w:r>
            <w:r w:rsidR="00910A5E" w:rsidRPr="00F2359C">
              <w:rPr>
                <w:rFonts w:ascii="Arial" w:hAnsi="Arial" w:cs="Arial"/>
                <w:sz w:val="24"/>
                <w:szCs w:val="24"/>
                <w:lang w:val="af-ZA"/>
              </w:rPr>
              <w:t xml:space="preserve"> He denied</w:t>
            </w:r>
            <w:r w:rsidR="007A0304" w:rsidRPr="00F2359C">
              <w:rPr>
                <w:rFonts w:ascii="Arial" w:hAnsi="Arial" w:cs="Arial"/>
                <w:sz w:val="24"/>
                <w:szCs w:val="24"/>
                <w:lang w:val="af-ZA"/>
              </w:rPr>
              <w:t xml:space="preserve"> that he was negligent and </w:t>
            </w:r>
            <w:r w:rsidR="005C5870" w:rsidRPr="00F2359C">
              <w:rPr>
                <w:rFonts w:ascii="Arial" w:hAnsi="Arial" w:cs="Arial"/>
                <w:sz w:val="24"/>
                <w:szCs w:val="24"/>
                <w:lang w:val="af-ZA"/>
              </w:rPr>
              <w:t>institut</w:t>
            </w:r>
            <w:r w:rsidRPr="00F2359C">
              <w:rPr>
                <w:rFonts w:ascii="Arial" w:hAnsi="Arial" w:cs="Arial"/>
                <w:sz w:val="24"/>
                <w:szCs w:val="24"/>
                <w:lang w:val="af-ZA"/>
              </w:rPr>
              <w:t>ed a counter claim against the seco</w:t>
            </w:r>
            <w:r w:rsidR="005C5870" w:rsidRPr="00F2359C">
              <w:rPr>
                <w:rFonts w:ascii="Arial" w:hAnsi="Arial" w:cs="Arial"/>
                <w:sz w:val="24"/>
                <w:szCs w:val="24"/>
                <w:lang w:val="af-ZA"/>
              </w:rPr>
              <w:t>nd defendant and alleged</w:t>
            </w:r>
            <w:r w:rsidR="007A0304" w:rsidRPr="00F2359C">
              <w:rPr>
                <w:rFonts w:ascii="Arial" w:hAnsi="Arial" w:cs="Arial"/>
                <w:sz w:val="24"/>
                <w:szCs w:val="24"/>
                <w:lang w:val="af-ZA"/>
              </w:rPr>
              <w:t xml:space="preserve"> that the second defendant, the driver of the plaintiff’s vehicle was the cause of the accident in that he failed to keep a</w:t>
            </w:r>
            <w:r w:rsidR="00910A5E" w:rsidRPr="00F2359C">
              <w:rPr>
                <w:rFonts w:ascii="Arial" w:hAnsi="Arial" w:cs="Arial"/>
                <w:sz w:val="24"/>
                <w:szCs w:val="24"/>
                <w:lang w:val="af-ZA"/>
              </w:rPr>
              <w:t xml:space="preserve"> proper lookout for other vehicul</w:t>
            </w:r>
            <w:r w:rsidR="007A0304" w:rsidRPr="00F2359C">
              <w:rPr>
                <w:rFonts w:ascii="Arial" w:hAnsi="Arial" w:cs="Arial"/>
                <w:sz w:val="24"/>
                <w:szCs w:val="24"/>
                <w:lang w:val="af-ZA"/>
              </w:rPr>
              <w:t>ar traffic, and s</w:t>
            </w:r>
            <w:r w:rsidRPr="00F2359C">
              <w:rPr>
                <w:rFonts w:ascii="Arial" w:hAnsi="Arial" w:cs="Arial"/>
                <w:sz w:val="24"/>
                <w:szCs w:val="24"/>
                <w:lang w:val="af-ZA"/>
              </w:rPr>
              <w:t>pecifically the vehicle of the fir</w:t>
            </w:r>
            <w:r w:rsidR="007A0304" w:rsidRPr="00F2359C">
              <w:rPr>
                <w:rFonts w:ascii="Arial" w:hAnsi="Arial" w:cs="Arial"/>
                <w:sz w:val="24"/>
                <w:szCs w:val="24"/>
                <w:lang w:val="af-ZA"/>
              </w:rPr>
              <w:t>st defendant.  He failed to keep adequate control over the motor vehicle he was driving and drove his motor vehicle at an ex</w:t>
            </w:r>
            <w:r w:rsidR="00E15F44" w:rsidRPr="00F2359C">
              <w:rPr>
                <w:rFonts w:ascii="Arial" w:hAnsi="Arial" w:cs="Arial"/>
                <w:sz w:val="24"/>
                <w:szCs w:val="24"/>
                <w:lang w:val="af-ZA"/>
              </w:rPr>
              <w:t>c</w:t>
            </w:r>
            <w:r w:rsidR="007A0304" w:rsidRPr="00F2359C">
              <w:rPr>
                <w:rFonts w:ascii="Arial" w:hAnsi="Arial" w:cs="Arial"/>
                <w:sz w:val="24"/>
                <w:szCs w:val="24"/>
                <w:lang w:val="af-ZA"/>
              </w:rPr>
              <w:t>essive speed in the preva</w:t>
            </w:r>
            <w:r w:rsidRPr="00F2359C">
              <w:rPr>
                <w:rFonts w:ascii="Arial" w:hAnsi="Arial" w:cs="Arial"/>
                <w:sz w:val="24"/>
                <w:szCs w:val="24"/>
                <w:lang w:val="af-ZA"/>
              </w:rPr>
              <w:t xml:space="preserve">iling circumstances. </w:t>
            </w:r>
            <w:r w:rsidR="007A0304" w:rsidRPr="00F2359C">
              <w:rPr>
                <w:rFonts w:ascii="Arial" w:hAnsi="Arial" w:cs="Arial"/>
                <w:sz w:val="24"/>
                <w:szCs w:val="24"/>
                <w:lang w:val="af-ZA"/>
              </w:rPr>
              <w:t xml:space="preserve">He failed to indicate his intention to switch from the left-hand lane into the right-hand lane of the dual carriage way and he attempted to enter the right-lane </w:t>
            </w:r>
            <w:r w:rsidR="007A0304" w:rsidRPr="00F2359C">
              <w:rPr>
                <w:rFonts w:ascii="Arial" w:hAnsi="Arial" w:cs="Arial"/>
                <w:sz w:val="24"/>
                <w:szCs w:val="24"/>
                <w:lang w:val="af-ZA"/>
              </w:rPr>
              <w:lastRenderedPageBreak/>
              <w:t xml:space="preserve">of the dual carriage-way at a time when it was dangerous and inopportune to do so, specifically when regard is had </w:t>
            </w:r>
            <w:r w:rsidR="00E15F44" w:rsidRPr="00F2359C">
              <w:rPr>
                <w:rFonts w:ascii="Arial" w:hAnsi="Arial" w:cs="Arial"/>
                <w:sz w:val="24"/>
                <w:szCs w:val="24"/>
                <w:lang w:val="af-ZA"/>
              </w:rPr>
              <w:t>for the close proximity of the first d</w:t>
            </w:r>
            <w:r w:rsidR="007A0304" w:rsidRPr="00F2359C">
              <w:rPr>
                <w:rFonts w:ascii="Arial" w:hAnsi="Arial" w:cs="Arial"/>
                <w:sz w:val="24"/>
                <w:szCs w:val="24"/>
                <w:lang w:val="af-ZA"/>
              </w:rPr>
              <w:t>efendant’s vehicle which was</w:t>
            </w:r>
            <w:r w:rsidRPr="00F2359C">
              <w:rPr>
                <w:rFonts w:ascii="Arial" w:hAnsi="Arial" w:cs="Arial"/>
                <w:sz w:val="24"/>
                <w:szCs w:val="24"/>
                <w:lang w:val="af-ZA"/>
              </w:rPr>
              <w:t xml:space="preserve"> driving in the right-hand lane of the dual carriage way. The seco</w:t>
            </w:r>
            <w:r w:rsidR="005C5870" w:rsidRPr="00F2359C">
              <w:rPr>
                <w:rFonts w:ascii="Arial" w:hAnsi="Arial" w:cs="Arial"/>
                <w:sz w:val="24"/>
                <w:szCs w:val="24"/>
                <w:lang w:val="af-ZA"/>
              </w:rPr>
              <w:t xml:space="preserve">nd defendant further failed to apply the brakes of his motor vehicle timeously or at </w:t>
            </w:r>
            <w:r w:rsidRPr="00F2359C">
              <w:rPr>
                <w:rFonts w:ascii="Arial" w:hAnsi="Arial" w:cs="Arial"/>
                <w:sz w:val="24"/>
                <w:szCs w:val="24"/>
                <w:lang w:val="af-ZA"/>
              </w:rPr>
              <w:t>all and as a result caused the fir</w:t>
            </w:r>
            <w:r w:rsidR="005C5870" w:rsidRPr="00F2359C">
              <w:rPr>
                <w:rFonts w:ascii="Arial" w:hAnsi="Arial" w:cs="Arial"/>
                <w:sz w:val="24"/>
                <w:szCs w:val="24"/>
                <w:lang w:val="af-ZA"/>
              </w:rPr>
              <w:t>st defendant’s motor vehicle to collide with the rear end of</w:t>
            </w:r>
            <w:r w:rsidR="00E15F44" w:rsidRPr="00F2359C">
              <w:rPr>
                <w:rFonts w:ascii="Arial" w:hAnsi="Arial" w:cs="Arial"/>
                <w:sz w:val="24"/>
                <w:szCs w:val="24"/>
                <w:lang w:val="af-ZA"/>
              </w:rPr>
              <w:t xml:space="preserve"> the plaintiff’s vehicle. </w:t>
            </w:r>
            <w:r w:rsidRPr="00F2359C">
              <w:rPr>
                <w:rFonts w:ascii="Arial" w:hAnsi="Arial" w:cs="Arial"/>
                <w:sz w:val="24"/>
                <w:szCs w:val="24"/>
                <w:lang w:val="af-ZA"/>
              </w:rPr>
              <w:t>The fir</w:t>
            </w:r>
            <w:r w:rsidR="005C5870" w:rsidRPr="00F2359C">
              <w:rPr>
                <w:rFonts w:ascii="Arial" w:hAnsi="Arial" w:cs="Arial"/>
                <w:sz w:val="24"/>
                <w:szCs w:val="24"/>
                <w:lang w:val="af-ZA"/>
              </w:rPr>
              <w:t xml:space="preserve">st defendant instituted a </w:t>
            </w:r>
            <w:r w:rsidR="00E15F44" w:rsidRPr="00F2359C">
              <w:rPr>
                <w:rFonts w:ascii="Arial" w:hAnsi="Arial" w:cs="Arial"/>
                <w:sz w:val="24"/>
                <w:szCs w:val="24"/>
                <w:lang w:val="af-ZA"/>
              </w:rPr>
              <w:t xml:space="preserve">counter </w:t>
            </w:r>
            <w:r w:rsidR="005C5870" w:rsidRPr="00F2359C">
              <w:rPr>
                <w:rFonts w:ascii="Arial" w:hAnsi="Arial" w:cs="Arial"/>
                <w:sz w:val="24"/>
                <w:szCs w:val="24"/>
                <w:lang w:val="af-ZA"/>
              </w:rPr>
              <w:t>claim for damages suffered in the amount of N$94 698.46, which included the damage suffered to the vehicle, tow-in and storage fees and reasonable assessor’s fees.</w:t>
            </w:r>
          </w:p>
          <w:p w:rsidR="005C5870" w:rsidRPr="00F2359C" w:rsidRDefault="005C5870" w:rsidP="00147511">
            <w:pPr>
              <w:tabs>
                <w:tab w:val="left" w:pos="560"/>
              </w:tabs>
              <w:spacing w:after="0" w:line="360" w:lineRule="auto"/>
              <w:jc w:val="both"/>
              <w:rPr>
                <w:rFonts w:ascii="Arial" w:hAnsi="Arial" w:cs="Arial"/>
                <w:sz w:val="24"/>
                <w:szCs w:val="24"/>
                <w:lang w:val="af-ZA"/>
              </w:rPr>
            </w:pPr>
          </w:p>
          <w:p w:rsidR="005C5870" w:rsidRPr="00F2359C" w:rsidRDefault="00DE19BB"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[4]     The seco</w:t>
            </w:r>
            <w:r w:rsidR="005C5870" w:rsidRPr="00F2359C">
              <w:rPr>
                <w:rFonts w:ascii="Arial" w:hAnsi="Arial" w:cs="Arial"/>
                <w:sz w:val="24"/>
                <w:szCs w:val="24"/>
                <w:lang w:val="af-ZA"/>
              </w:rPr>
              <w:t>nd defendant pleaded that he is the sole member of the plaintiff and was the driver of the plaintiff’s vehicle at the time of t</w:t>
            </w:r>
            <w:r w:rsidR="00E15F44" w:rsidRPr="00F2359C">
              <w:rPr>
                <w:rFonts w:ascii="Arial" w:hAnsi="Arial" w:cs="Arial"/>
                <w:sz w:val="24"/>
                <w:szCs w:val="24"/>
                <w:lang w:val="af-ZA"/>
              </w:rPr>
              <w:t xml:space="preserve">he collision. </w:t>
            </w:r>
            <w:r w:rsidRPr="00F2359C">
              <w:rPr>
                <w:rFonts w:ascii="Arial" w:hAnsi="Arial" w:cs="Arial"/>
                <w:sz w:val="24"/>
                <w:szCs w:val="24"/>
                <w:lang w:val="af-ZA"/>
              </w:rPr>
              <w:t>He futher plead</w:t>
            </w:r>
            <w:r w:rsidR="00E15F44" w:rsidRPr="00F2359C">
              <w:rPr>
                <w:rFonts w:ascii="Arial" w:hAnsi="Arial" w:cs="Arial"/>
                <w:sz w:val="24"/>
                <w:szCs w:val="24"/>
                <w:lang w:val="af-ZA"/>
              </w:rPr>
              <w:t>ed</w:t>
            </w:r>
            <w:r w:rsidRPr="00F2359C">
              <w:rPr>
                <w:rFonts w:ascii="Arial" w:hAnsi="Arial" w:cs="Arial"/>
                <w:sz w:val="24"/>
                <w:szCs w:val="24"/>
                <w:lang w:val="af-ZA"/>
              </w:rPr>
              <w:t xml:space="preserve"> that the fir</w:t>
            </w:r>
            <w:r w:rsidR="005C5870" w:rsidRPr="00F2359C">
              <w:rPr>
                <w:rFonts w:ascii="Arial" w:hAnsi="Arial" w:cs="Arial"/>
                <w:sz w:val="24"/>
                <w:szCs w:val="24"/>
                <w:lang w:val="af-ZA"/>
              </w:rPr>
              <w:t xml:space="preserve">st defendant was the sole cause of the collission, as also pleaded in the particulars of claim of the plaintiff.  In the replication to the plea of the </w:t>
            </w:r>
            <w:r w:rsidRPr="00F2359C">
              <w:rPr>
                <w:rFonts w:ascii="Arial" w:hAnsi="Arial" w:cs="Arial"/>
                <w:sz w:val="24"/>
                <w:szCs w:val="24"/>
                <w:lang w:val="af-ZA"/>
              </w:rPr>
              <w:t>fir</w:t>
            </w:r>
            <w:r w:rsidR="005C5870" w:rsidRPr="00F2359C">
              <w:rPr>
                <w:rFonts w:ascii="Arial" w:hAnsi="Arial" w:cs="Arial"/>
                <w:sz w:val="24"/>
                <w:szCs w:val="24"/>
                <w:lang w:val="af-ZA"/>
              </w:rPr>
              <w:t>st defendant, the plaintiff denie</w:t>
            </w:r>
            <w:r w:rsidR="00E15F44" w:rsidRPr="00F2359C">
              <w:rPr>
                <w:rFonts w:ascii="Arial" w:hAnsi="Arial" w:cs="Arial"/>
                <w:sz w:val="24"/>
                <w:szCs w:val="24"/>
                <w:lang w:val="af-ZA"/>
              </w:rPr>
              <w:t>d all allegations and put</w:t>
            </w:r>
            <w:r w:rsidRPr="00F2359C">
              <w:rPr>
                <w:rFonts w:ascii="Arial" w:hAnsi="Arial" w:cs="Arial"/>
                <w:sz w:val="24"/>
                <w:szCs w:val="24"/>
                <w:lang w:val="af-ZA"/>
              </w:rPr>
              <w:t xml:space="preserve"> the fir</w:t>
            </w:r>
            <w:r w:rsidR="005C5870" w:rsidRPr="00F2359C">
              <w:rPr>
                <w:rFonts w:ascii="Arial" w:hAnsi="Arial" w:cs="Arial"/>
                <w:sz w:val="24"/>
                <w:szCs w:val="24"/>
                <w:lang w:val="af-ZA"/>
              </w:rPr>
              <w:t>st defendant to</w:t>
            </w:r>
            <w:r w:rsidR="00E15F44" w:rsidRPr="00F2359C">
              <w:rPr>
                <w:rFonts w:ascii="Arial" w:hAnsi="Arial" w:cs="Arial"/>
                <w:sz w:val="24"/>
                <w:szCs w:val="24"/>
                <w:lang w:val="af-ZA"/>
              </w:rPr>
              <w:t xml:space="preserve"> proof</w:t>
            </w:r>
            <w:r w:rsidR="005C5870" w:rsidRPr="00F2359C">
              <w:rPr>
                <w:rFonts w:ascii="Arial" w:hAnsi="Arial" w:cs="Arial"/>
                <w:sz w:val="24"/>
                <w:szCs w:val="24"/>
                <w:lang w:val="af-ZA"/>
              </w:rPr>
              <w:t xml:space="preserve"> thereof.</w:t>
            </w:r>
            <w:r w:rsidR="00E15F44" w:rsidRPr="00F2359C">
              <w:rPr>
                <w:rFonts w:ascii="Arial" w:hAnsi="Arial" w:cs="Arial"/>
                <w:sz w:val="24"/>
                <w:szCs w:val="24"/>
                <w:lang w:val="af-ZA"/>
              </w:rPr>
              <w:t xml:space="preserve"> </w:t>
            </w:r>
            <w:r w:rsidR="00675384" w:rsidRPr="00F2359C">
              <w:rPr>
                <w:rFonts w:ascii="Arial" w:hAnsi="Arial" w:cs="Arial"/>
                <w:sz w:val="24"/>
                <w:szCs w:val="24"/>
                <w:lang w:val="af-ZA"/>
              </w:rPr>
              <w:t xml:space="preserve">The relevant admitted facts by the parties was that the collision occured between the vehicles with registration numbers N943W and N8409W near the intersection of Sam Nujoma </w:t>
            </w:r>
            <w:r w:rsidR="00E15F44" w:rsidRPr="00F2359C">
              <w:rPr>
                <w:rFonts w:ascii="Arial" w:hAnsi="Arial" w:cs="Arial"/>
                <w:sz w:val="24"/>
                <w:szCs w:val="24"/>
                <w:lang w:val="af-ZA"/>
              </w:rPr>
              <w:t>Drive and the B1 National Road.</w:t>
            </w:r>
            <w:r w:rsidR="00675384" w:rsidRPr="00F2359C">
              <w:rPr>
                <w:rFonts w:ascii="Arial" w:hAnsi="Arial" w:cs="Arial"/>
                <w:sz w:val="24"/>
                <w:szCs w:val="24"/>
                <w:lang w:val="af-ZA"/>
              </w:rPr>
              <w:t xml:space="preserve"> The parti</w:t>
            </w:r>
            <w:r w:rsidRPr="00F2359C">
              <w:rPr>
                <w:rFonts w:ascii="Arial" w:hAnsi="Arial" w:cs="Arial"/>
                <w:sz w:val="24"/>
                <w:szCs w:val="24"/>
                <w:lang w:val="af-ZA"/>
              </w:rPr>
              <w:t>es further admitted the identities</w:t>
            </w:r>
            <w:r w:rsidR="00675384" w:rsidRPr="00F2359C">
              <w:rPr>
                <w:rFonts w:ascii="Arial" w:hAnsi="Arial" w:cs="Arial"/>
                <w:sz w:val="24"/>
                <w:szCs w:val="24"/>
                <w:lang w:val="af-ZA"/>
              </w:rPr>
              <w:t xml:space="preserve"> of the parties and the jurisdiction of the court.  Before the trial commenced, t</w:t>
            </w:r>
            <w:r w:rsidR="00EF2556" w:rsidRPr="00F2359C">
              <w:rPr>
                <w:rFonts w:ascii="Arial" w:hAnsi="Arial" w:cs="Arial"/>
                <w:sz w:val="24"/>
                <w:szCs w:val="24"/>
                <w:lang w:val="af-ZA"/>
              </w:rPr>
              <w:t>he parties further</w:t>
            </w:r>
            <w:r w:rsidR="00207957" w:rsidRPr="00F2359C">
              <w:rPr>
                <w:rFonts w:ascii="Arial" w:hAnsi="Arial" w:cs="Arial"/>
                <w:sz w:val="24"/>
                <w:szCs w:val="24"/>
                <w:lang w:val="af-ZA"/>
              </w:rPr>
              <w:t xml:space="preserve"> agreed on the damages suffered</w:t>
            </w:r>
            <w:r w:rsidRPr="00F2359C">
              <w:rPr>
                <w:rFonts w:ascii="Arial" w:hAnsi="Arial" w:cs="Arial"/>
                <w:sz w:val="24"/>
                <w:szCs w:val="24"/>
                <w:lang w:val="af-ZA"/>
              </w:rPr>
              <w:t xml:space="preserve"> by both the plaintiff and the fir</w:t>
            </w:r>
            <w:r w:rsidR="00207957" w:rsidRPr="00F2359C">
              <w:rPr>
                <w:rFonts w:ascii="Arial" w:hAnsi="Arial" w:cs="Arial"/>
                <w:sz w:val="24"/>
                <w:szCs w:val="24"/>
                <w:lang w:val="af-ZA"/>
              </w:rPr>
              <w:t>st defendant and that no expert evicence will be lead to proof the said damages.</w:t>
            </w:r>
          </w:p>
          <w:p w:rsidR="005C5870" w:rsidRPr="00F2359C" w:rsidRDefault="005C5870" w:rsidP="00147511">
            <w:pPr>
              <w:tabs>
                <w:tab w:val="left" w:pos="560"/>
              </w:tabs>
              <w:spacing w:after="0" w:line="360" w:lineRule="auto"/>
              <w:jc w:val="both"/>
              <w:rPr>
                <w:rFonts w:ascii="Arial" w:hAnsi="Arial" w:cs="Arial"/>
                <w:sz w:val="24"/>
                <w:szCs w:val="24"/>
                <w:lang w:val="af-ZA"/>
              </w:rPr>
            </w:pPr>
          </w:p>
          <w:p w:rsidR="005C5870" w:rsidRPr="00F2359C" w:rsidRDefault="005C5870"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 xml:space="preserve">[5] </w:t>
            </w:r>
            <w:r w:rsidR="00F2359C">
              <w:rPr>
                <w:rFonts w:ascii="Arial" w:hAnsi="Arial" w:cs="Arial"/>
                <w:sz w:val="24"/>
                <w:szCs w:val="24"/>
                <w:lang w:val="af-ZA"/>
              </w:rPr>
              <w:t xml:space="preserve">     </w:t>
            </w:r>
            <w:r w:rsidR="00DE19BB" w:rsidRPr="00F2359C">
              <w:rPr>
                <w:rFonts w:ascii="Arial" w:hAnsi="Arial" w:cs="Arial"/>
                <w:sz w:val="24"/>
                <w:szCs w:val="24"/>
                <w:lang w:val="af-ZA"/>
              </w:rPr>
              <w:t>The plaintiff called the seco</w:t>
            </w:r>
            <w:r w:rsidRPr="00F2359C">
              <w:rPr>
                <w:rFonts w:ascii="Arial" w:hAnsi="Arial" w:cs="Arial"/>
                <w:sz w:val="24"/>
                <w:szCs w:val="24"/>
                <w:lang w:val="af-ZA"/>
              </w:rPr>
              <w:t>nd defendan</w:t>
            </w:r>
            <w:r w:rsidR="00EF2556" w:rsidRPr="00F2359C">
              <w:rPr>
                <w:rFonts w:ascii="Arial" w:hAnsi="Arial" w:cs="Arial"/>
                <w:sz w:val="24"/>
                <w:szCs w:val="24"/>
                <w:lang w:val="af-ZA"/>
              </w:rPr>
              <w:t xml:space="preserve">t to testify during the trial. </w:t>
            </w:r>
            <w:r w:rsidRPr="00F2359C">
              <w:rPr>
                <w:rFonts w:ascii="Arial" w:hAnsi="Arial" w:cs="Arial"/>
                <w:sz w:val="24"/>
                <w:szCs w:val="24"/>
                <w:lang w:val="af-ZA"/>
              </w:rPr>
              <w:t xml:space="preserve">He testified that he drove about 00h20 in the early hours of 16 January 2019 </w:t>
            </w:r>
            <w:r w:rsidR="000A6A19" w:rsidRPr="00F2359C">
              <w:rPr>
                <w:rFonts w:ascii="Arial" w:hAnsi="Arial" w:cs="Arial"/>
                <w:sz w:val="24"/>
                <w:szCs w:val="24"/>
                <w:lang w:val="af-ZA"/>
              </w:rPr>
              <w:t>from a western direction</w:t>
            </w:r>
            <w:r w:rsidR="00DE19BB" w:rsidRPr="00F2359C">
              <w:rPr>
                <w:rFonts w:ascii="Arial" w:hAnsi="Arial" w:cs="Arial"/>
                <w:sz w:val="24"/>
                <w:szCs w:val="24"/>
                <w:lang w:val="af-ZA"/>
              </w:rPr>
              <w:t xml:space="preserve"> (from Otjomuise</w:t>
            </w:r>
            <w:r w:rsidR="00F6386A" w:rsidRPr="00F2359C">
              <w:rPr>
                <w:rFonts w:ascii="Arial" w:hAnsi="Arial" w:cs="Arial"/>
                <w:sz w:val="24"/>
                <w:szCs w:val="24"/>
                <w:lang w:val="af-ZA"/>
              </w:rPr>
              <w:t>)</w:t>
            </w:r>
            <w:r w:rsidR="000A6A19" w:rsidRPr="00F2359C">
              <w:rPr>
                <w:rFonts w:ascii="Arial" w:hAnsi="Arial" w:cs="Arial"/>
                <w:sz w:val="24"/>
                <w:szCs w:val="24"/>
                <w:lang w:val="af-ZA"/>
              </w:rPr>
              <w:t xml:space="preserve"> to an eastern direction</w:t>
            </w:r>
            <w:r w:rsidR="00F6386A" w:rsidRPr="00F2359C">
              <w:rPr>
                <w:rFonts w:ascii="Arial" w:hAnsi="Arial" w:cs="Arial"/>
                <w:sz w:val="24"/>
                <w:szCs w:val="24"/>
                <w:lang w:val="af-ZA"/>
              </w:rPr>
              <w:t xml:space="preserve"> </w:t>
            </w:r>
            <w:r w:rsidR="000A6A19" w:rsidRPr="00F2359C">
              <w:rPr>
                <w:rFonts w:ascii="Arial" w:hAnsi="Arial" w:cs="Arial"/>
                <w:sz w:val="24"/>
                <w:szCs w:val="24"/>
                <w:lang w:val="af-ZA"/>
              </w:rPr>
              <w:t xml:space="preserve"> towards the intersection between Sam Nujoma Drive and the B1 Road, also known as the Western Bypass road.  He was driving an Isuzu motor vehicle with registration N8409W registered in the name of the plaintiff. </w:t>
            </w:r>
            <w:r w:rsidR="00F6386A" w:rsidRPr="00F2359C">
              <w:rPr>
                <w:rFonts w:ascii="Arial" w:hAnsi="Arial" w:cs="Arial"/>
                <w:sz w:val="24"/>
                <w:szCs w:val="24"/>
                <w:lang w:val="af-ZA"/>
              </w:rPr>
              <w:t>He testified that the road leading up to the slip way to go onto the B1 Road is a double lane but approximately 500 m from the slip wa</w:t>
            </w:r>
            <w:r w:rsidR="00EF2556" w:rsidRPr="00F2359C">
              <w:rPr>
                <w:rFonts w:ascii="Arial" w:hAnsi="Arial" w:cs="Arial"/>
                <w:sz w:val="24"/>
                <w:szCs w:val="24"/>
                <w:lang w:val="af-ZA"/>
              </w:rPr>
              <w:t xml:space="preserve">y it turns into a single lane. </w:t>
            </w:r>
            <w:r w:rsidR="00F6386A" w:rsidRPr="00F2359C">
              <w:rPr>
                <w:rFonts w:ascii="Arial" w:hAnsi="Arial" w:cs="Arial"/>
                <w:sz w:val="24"/>
                <w:szCs w:val="24"/>
                <w:lang w:val="af-ZA"/>
              </w:rPr>
              <w:t>He was driving in the single lane portion of the</w:t>
            </w:r>
            <w:r w:rsidR="00E1576C" w:rsidRPr="00F2359C">
              <w:rPr>
                <w:rFonts w:ascii="Arial" w:hAnsi="Arial" w:cs="Arial"/>
                <w:sz w:val="24"/>
                <w:szCs w:val="24"/>
                <w:lang w:val="af-ZA"/>
              </w:rPr>
              <w:t xml:space="preserve"> road when he noticed lights co</w:t>
            </w:r>
            <w:r w:rsidR="00EF2556" w:rsidRPr="00F2359C">
              <w:rPr>
                <w:rFonts w:ascii="Arial" w:hAnsi="Arial" w:cs="Arial"/>
                <w:sz w:val="24"/>
                <w:szCs w:val="24"/>
                <w:lang w:val="af-ZA"/>
              </w:rPr>
              <w:t>ming up behind him.</w:t>
            </w:r>
            <w:r w:rsidR="00F6386A" w:rsidRPr="00F2359C">
              <w:rPr>
                <w:rFonts w:ascii="Arial" w:hAnsi="Arial" w:cs="Arial"/>
                <w:sz w:val="24"/>
                <w:szCs w:val="24"/>
                <w:lang w:val="af-ZA"/>
              </w:rPr>
              <w:t xml:space="preserve"> He reduced his speed and turned on his indicator indicating that he wanted to turn left onto the slipway which feeds the Western Bypass. </w:t>
            </w:r>
            <w:r w:rsidR="00AA7302" w:rsidRPr="00F2359C">
              <w:rPr>
                <w:rFonts w:ascii="Arial" w:hAnsi="Arial" w:cs="Arial"/>
                <w:sz w:val="24"/>
                <w:szCs w:val="24"/>
                <w:lang w:val="af-ZA"/>
              </w:rPr>
              <w:t>He was on his way to Khomasdal.</w:t>
            </w:r>
            <w:r w:rsidR="00F6386A" w:rsidRPr="00F2359C">
              <w:rPr>
                <w:rFonts w:ascii="Arial" w:hAnsi="Arial" w:cs="Arial"/>
                <w:sz w:val="24"/>
                <w:szCs w:val="24"/>
                <w:lang w:val="af-ZA"/>
              </w:rPr>
              <w:t xml:space="preserve"> He star</w:t>
            </w:r>
            <w:r w:rsidR="00EF2556" w:rsidRPr="00F2359C">
              <w:rPr>
                <w:rFonts w:ascii="Arial" w:hAnsi="Arial" w:cs="Arial"/>
                <w:sz w:val="24"/>
                <w:szCs w:val="24"/>
                <w:lang w:val="af-ZA"/>
              </w:rPr>
              <w:t>t</w:t>
            </w:r>
            <w:r w:rsidR="00F6386A" w:rsidRPr="00F2359C">
              <w:rPr>
                <w:rFonts w:ascii="Arial" w:hAnsi="Arial" w:cs="Arial"/>
                <w:sz w:val="24"/>
                <w:szCs w:val="24"/>
                <w:lang w:val="af-ZA"/>
              </w:rPr>
              <w:t>ed reducing</w:t>
            </w:r>
            <w:r w:rsidR="005D0C2C" w:rsidRPr="00F2359C">
              <w:rPr>
                <w:rFonts w:ascii="Arial" w:hAnsi="Arial" w:cs="Arial"/>
                <w:sz w:val="24"/>
                <w:szCs w:val="24"/>
                <w:lang w:val="af-ZA"/>
              </w:rPr>
              <w:t xml:space="preserve"> his</w:t>
            </w:r>
            <w:r w:rsidR="00F6386A" w:rsidRPr="00F2359C">
              <w:rPr>
                <w:rFonts w:ascii="Arial" w:hAnsi="Arial" w:cs="Arial"/>
                <w:sz w:val="24"/>
                <w:szCs w:val="24"/>
                <w:lang w:val="af-ZA"/>
              </w:rPr>
              <w:t xml:space="preserve"> speed approximately </w:t>
            </w:r>
            <w:r w:rsidR="00207957" w:rsidRPr="00F2359C">
              <w:rPr>
                <w:rFonts w:ascii="Arial" w:hAnsi="Arial" w:cs="Arial"/>
                <w:sz w:val="24"/>
                <w:szCs w:val="24"/>
                <w:lang w:val="af-ZA"/>
              </w:rPr>
              <w:t xml:space="preserve">200m away from the turn-off and was travelling at approximately 40km/h – 50km/h and still </w:t>
            </w:r>
            <w:r w:rsidR="005D0C2C" w:rsidRPr="00F2359C">
              <w:rPr>
                <w:rFonts w:ascii="Arial" w:hAnsi="Arial" w:cs="Arial"/>
                <w:sz w:val="24"/>
                <w:szCs w:val="24"/>
                <w:lang w:val="af-ZA"/>
              </w:rPr>
              <w:t xml:space="preserve">kept on </w:t>
            </w:r>
            <w:r w:rsidR="00207957" w:rsidRPr="00F2359C">
              <w:rPr>
                <w:rFonts w:ascii="Arial" w:hAnsi="Arial" w:cs="Arial"/>
                <w:sz w:val="24"/>
                <w:szCs w:val="24"/>
                <w:lang w:val="af-ZA"/>
              </w:rPr>
              <w:t>reducing</w:t>
            </w:r>
            <w:r w:rsidR="005D0C2C" w:rsidRPr="00F2359C">
              <w:rPr>
                <w:rFonts w:ascii="Arial" w:hAnsi="Arial" w:cs="Arial"/>
                <w:sz w:val="24"/>
                <w:szCs w:val="24"/>
                <w:lang w:val="af-ZA"/>
              </w:rPr>
              <w:t xml:space="preserve"> his </w:t>
            </w:r>
            <w:r w:rsidR="00207957" w:rsidRPr="00F2359C">
              <w:rPr>
                <w:rFonts w:ascii="Arial" w:hAnsi="Arial" w:cs="Arial"/>
                <w:sz w:val="24"/>
                <w:szCs w:val="24"/>
                <w:lang w:val="af-ZA"/>
              </w:rPr>
              <w:t xml:space="preserve">speed when he was struck from behind by another vehicle which he later came to know </w:t>
            </w:r>
            <w:r w:rsidR="00E1576C" w:rsidRPr="00F2359C">
              <w:rPr>
                <w:rFonts w:ascii="Arial" w:hAnsi="Arial" w:cs="Arial"/>
                <w:sz w:val="24"/>
                <w:szCs w:val="24"/>
                <w:lang w:val="af-ZA"/>
              </w:rPr>
              <w:t>as a BMW vehicle driven by the fir</w:t>
            </w:r>
            <w:r w:rsidR="005D0C2C" w:rsidRPr="00F2359C">
              <w:rPr>
                <w:rFonts w:ascii="Arial" w:hAnsi="Arial" w:cs="Arial"/>
                <w:sz w:val="24"/>
                <w:szCs w:val="24"/>
                <w:lang w:val="af-ZA"/>
              </w:rPr>
              <w:t xml:space="preserve">st </w:t>
            </w:r>
            <w:r w:rsidR="005D0C2C" w:rsidRPr="00F2359C">
              <w:rPr>
                <w:rFonts w:ascii="Arial" w:hAnsi="Arial" w:cs="Arial"/>
                <w:sz w:val="24"/>
                <w:szCs w:val="24"/>
                <w:lang w:val="af-ZA"/>
              </w:rPr>
              <w:lastRenderedPageBreak/>
              <w:t xml:space="preserve">defendant. </w:t>
            </w:r>
            <w:r w:rsidR="00207957" w:rsidRPr="00F2359C">
              <w:rPr>
                <w:rFonts w:ascii="Arial" w:hAnsi="Arial" w:cs="Arial"/>
                <w:sz w:val="24"/>
                <w:szCs w:val="24"/>
                <w:lang w:val="af-ZA"/>
              </w:rPr>
              <w:t xml:space="preserve">He felt the rear of his vehicle lift off the ground which made it very difficult </w:t>
            </w:r>
            <w:r w:rsidR="005D0C2C" w:rsidRPr="00F2359C">
              <w:rPr>
                <w:rFonts w:ascii="Arial" w:hAnsi="Arial" w:cs="Arial"/>
                <w:sz w:val="24"/>
                <w:szCs w:val="24"/>
                <w:lang w:val="af-ZA"/>
              </w:rPr>
              <w:t xml:space="preserve">for him to control his vehicle. </w:t>
            </w:r>
            <w:r w:rsidR="00207957" w:rsidRPr="00F2359C">
              <w:rPr>
                <w:rFonts w:ascii="Arial" w:hAnsi="Arial" w:cs="Arial"/>
                <w:sz w:val="24"/>
                <w:szCs w:val="24"/>
                <w:lang w:val="af-ZA"/>
              </w:rPr>
              <w:t xml:space="preserve">As the parties got out of their vehicles, he realised that the impact was so </w:t>
            </w:r>
            <w:r w:rsidR="005D0C2C" w:rsidRPr="00F2359C">
              <w:rPr>
                <w:rFonts w:ascii="Arial" w:hAnsi="Arial" w:cs="Arial"/>
                <w:sz w:val="24"/>
                <w:szCs w:val="24"/>
                <w:lang w:val="af-ZA"/>
              </w:rPr>
              <w:t>violent that his vehicle</w:t>
            </w:r>
            <w:r w:rsidR="00207957" w:rsidRPr="00F2359C">
              <w:rPr>
                <w:rFonts w:ascii="Arial" w:hAnsi="Arial" w:cs="Arial"/>
                <w:sz w:val="24"/>
                <w:szCs w:val="24"/>
                <w:lang w:val="af-ZA"/>
              </w:rPr>
              <w:t xml:space="preserve"> land</w:t>
            </w:r>
            <w:r w:rsidR="005D0C2C" w:rsidRPr="00F2359C">
              <w:rPr>
                <w:rFonts w:ascii="Arial" w:hAnsi="Arial" w:cs="Arial"/>
                <w:sz w:val="24"/>
                <w:szCs w:val="24"/>
                <w:lang w:val="af-ZA"/>
              </w:rPr>
              <w:t>ed</w:t>
            </w:r>
            <w:r w:rsidR="00207957" w:rsidRPr="00F2359C">
              <w:rPr>
                <w:rFonts w:ascii="Arial" w:hAnsi="Arial" w:cs="Arial"/>
                <w:sz w:val="24"/>
                <w:szCs w:val="24"/>
                <w:lang w:val="af-ZA"/>
              </w:rPr>
              <w:t xml:space="preserve"> ontop of the BMW vehicle and it was we</w:t>
            </w:r>
            <w:r w:rsidR="005D0C2C" w:rsidRPr="00F2359C">
              <w:rPr>
                <w:rFonts w:ascii="Arial" w:hAnsi="Arial" w:cs="Arial"/>
                <w:sz w:val="24"/>
                <w:szCs w:val="24"/>
                <w:lang w:val="af-ZA"/>
              </w:rPr>
              <w:t>d</w:t>
            </w:r>
            <w:r w:rsidR="00207957" w:rsidRPr="00F2359C">
              <w:rPr>
                <w:rFonts w:ascii="Arial" w:hAnsi="Arial" w:cs="Arial"/>
                <w:sz w:val="24"/>
                <w:szCs w:val="24"/>
                <w:lang w:val="af-ZA"/>
              </w:rPr>
              <w:t xml:space="preserve">ged underneath his vehicle.  None of the parties was seriously injured </w:t>
            </w:r>
            <w:r w:rsidR="005D0C2C" w:rsidRPr="00F2359C">
              <w:rPr>
                <w:rFonts w:ascii="Arial" w:hAnsi="Arial" w:cs="Arial"/>
                <w:sz w:val="24"/>
                <w:szCs w:val="24"/>
                <w:lang w:val="af-ZA"/>
              </w:rPr>
              <w:t xml:space="preserve">and the police was contacted. The police officers </w:t>
            </w:r>
            <w:r w:rsidR="00207957" w:rsidRPr="00F2359C">
              <w:rPr>
                <w:rFonts w:ascii="Arial" w:hAnsi="Arial" w:cs="Arial"/>
                <w:sz w:val="24"/>
                <w:szCs w:val="24"/>
                <w:lang w:val="af-ZA"/>
              </w:rPr>
              <w:t>attended</w:t>
            </w:r>
            <w:r w:rsidR="005D0C2C" w:rsidRPr="00F2359C">
              <w:rPr>
                <w:rFonts w:ascii="Arial" w:hAnsi="Arial" w:cs="Arial"/>
                <w:sz w:val="24"/>
                <w:szCs w:val="24"/>
                <w:lang w:val="af-ZA"/>
              </w:rPr>
              <w:t xml:space="preserve"> to</w:t>
            </w:r>
            <w:r w:rsidR="00207957" w:rsidRPr="00F2359C">
              <w:rPr>
                <w:rFonts w:ascii="Arial" w:hAnsi="Arial" w:cs="Arial"/>
                <w:sz w:val="24"/>
                <w:szCs w:val="24"/>
                <w:lang w:val="af-ZA"/>
              </w:rPr>
              <w:t xml:space="preserve"> the accident and completed a Namibia Road Accident form.  His vehicle had to</w:t>
            </w:r>
            <w:r w:rsidR="00A25688">
              <w:rPr>
                <w:rFonts w:ascii="Arial" w:hAnsi="Arial" w:cs="Arial"/>
                <w:sz w:val="24"/>
                <w:szCs w:val="24"/>
                <w:lang w:val="af-ZA"/>
              </w:rPr>
              <w:t xml:space="preserve"> be towed away from the scene.</w:t>
            </w:r>
          </w:p>
          <w:p w:rsidR="00AA7302" w:rsidRPr="00F2359C" w:rsidRDefault="00AA7302" w:rsidP="00147511">
            <w:pPr>
              <w:tabs>
                <w:tab w:val="left" w:pos="560"/>
              </w:tabs>
              <w:spacing w:after="0" w:line="360" w:lineRule="auto"/>
              <w:jc w:val="both"/>
              <w:rPr>
                <w:rFonts w:ascii="Arial" w:hAnsi="Arial" w:cs="Arial"/>
                <w:sz w:val="24"/>
                <w:szCs w:val="24"/>
                <w:lang w:val="af-ZA"/>
              </w:rPr>
            </w:pPr>
          </w:p>
          <w:p w:rsidR="00AA7302" w:rsidRPr="00F2359C" w:rsidRDefault="00AA7302"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 xml:space="preserve">[6]      He further handed </w:t>
            </w:r>
            <w:r w:rsidR="00E1576C" w:rsidRPr="00F2359C">
              <w:rPr>
                <w:rFonts w:ascii="Arial" w:hAnsi="Arial" w:cs="Arial"/>
                <w:sz w:val="24"/>
                <w:szCs w:val="24"/>
                <w:lang w:val="af-ZA"/>
              </w:rPr>
              <w:t xml:space="preserve">up </w:t>
            </w:r>
            <w:r w:rsidRPr="00F2359C">
              <w:rPr>
                <w:rFonts w:ascii="Arial" w:hAnsi="Arial" w:cs="Arial"/>
                <w:sz w:val="24"/>
                <w:szCs w:val="24"/>
                <w:lang w:val="af-ZA"/>
              </w:rPr>
              <w:t xml:space="preserve">some photos up as </w:t>
            </w:r>
            <w:r w:rsidR="005D0C2C" w:rsidRPr="00F2359C">
              <w:rPr>
                <w:rFonts w:ascii="Arial" w:hAnsi="Arial" w:cs="Arial"/>
                <w:sz w:val="24"/>
                <w:szCs w:val="24"/>
                <w:lang w:val="af-ZA"/>
              </w:rPr>
              <w:t xml:space="preserve">an exhibit A. </w:t>
            </w:r>
            <w:r w:rsidRPr="00F2359C">
              <w:rPr>
                <w:rFonts w:ascii="Arial" w:hAnsi="Arial" w:cs="Arial"/>
                <w:sz w:val="24"/>
                <w:szCs w:val="24"/>
                <w:lang w:val="af-ZA"/>
              </w:rPr>
              <w:t>Th</w:t>
            </w:r>
            <w:r w:rsidR="00E1576C" w:rsidRPr="00F2359C">
              <w:rPr>
                <w:rFonts w:ascii="Arial" w:hAnsi="Arial" w:cs="Arial"/>
                <w:sz w:val="24"/>
                <w:szCs w:val="24"/>
                <w:lang w:val="af-ZA"/>
              </w:rPr>
              <w:t>ese photos show the road way co</w:t>
            </w:r>
            <w:r w:rsidRPr="00F2359C">
              <w:rPr>
                <w:rFonts w:ascii="Arial" w:hAnsi="Arial" w:cs="Arial"/>
                <w:sz w:val="24"/>
                <w:szCs w:val="24"/>
                <w:lang w:val="af-ZA"/>
              </w:rPr>
              <w:t>ming from Otj</w:t>
            </w:r>
            <w:r w:rsidR="00E1576C" w:rsidRPr="00F2359C">
              <w:rPr>
                <w:rFonts w:ascii="Arial" w:hAnsi="Arial" w:cs="Arial"/>
                <w:sz w:val="24"/>
                <w:szCs w:val="24"/>
                <w:lang w:val="af-ZA"/>
              </w:rPr>
              <w:t>omuise</w:t>
            </w:r>
            <w:r w:rsidRPr="00F2359C">
              <w:rPr>
                <w:rFonts w:ascii="Arial" w:hAnsi="Arial" w:cs="Arial"/>
                <w:sz w:val="24"/>
                <w:szCs w:val="24"/>
                <w:lang w:val="af-ZA"/>
              </w:rPr>
              <w:t xml:space="preserve"> towards the turn-off to the slipwa</w:t>
            </w:r>
            <w:r w:rsidR="00E1576C" w:rsidRPr="00F2359C">
              <w:rPr>
                <w:rFonts w:ascii="Arial" w:hAnsi="Arial" w:cs="Arial"/>
                <w:sz w:val="24"/>
                <w:szCs w:val="24"/>
                <w:lang w:val="af-ZA"/>
              </w:rPr>
              <w:t>y leading to the B1 Road.  The seco</w:t>
            </w:r>
            <w:r w:rsidRPr="00F2359C">
              <w:rPr>
                <w:rFonts w:ascii="Arial" w:hAnsi="Arial" w:cs="Arial"/>
                <w:sz w:val="24"/>
                <w:szCs w:val="24"/>
                <w:lang w:val="af-ZA"/>
              </w:rPr>
              <w:t>nd defendant testified that the accident took place approximately at the position where he was standing in Exh B1,</w:t>
            </w:r>
            <w:r w:rsidR="005D0C2C" w:rsidRPr="00F2359C">
              <w:rPr>
                <w:rFonts w:ascii="Arial" w:hAnsi="Arial" w:cs="Arial"/>
                <w:sz w:val="24"/>
                <w:szCs w:val="24"/>
                <w:lang w:val="af-ZA"/>
              </w:rPr>
              <w:t xml:space="preserve"> about 30 m from the turn-off. </w:t>
            </w:r>
            <w:r w:rsidRPr="00F2359C">
              <w:rPr>
                <w:rFonts w:ascii="Arial" w:hAnsi="Arial" w:cs="Arial"/>
                <w:sz w:val="24"/>
                <w:szCs w:val="24"/>
                <w:lang w:val="af-ZA"/>
              </w:rPr>
              <w:t>From the photos it is also clear that it is a single carriage road but with quite a wide yellow lane area.  According to the plaintiff the accident took place between the yellow line and the white line, which run</w:t>
            </w:r>
            <w:r w:rsidR="00E1576C" w:rsidRPr="00F2359C">
              <w:rPr>
                <w:rFonts w:ascii="Arial" w:hAnsi="Arial" w:cs="Arial"/>
                <w:sz w:val="24"/>
                <w:szCs w:val="24"/>
                <w:lang w:val="af-ZA"/>
              </w:rPr>
              <w:t>s</w:t>
            </w:r>
            <w:r w:rsidRPr="00F2359C">
              <w:rPr>
                <w:rFonts w:ascii="Arial" w:hAnsi="Arial" w:cs="Arial"/>
                <w:sz w:val="24"/>
                <w:szCs w:val="24"/>
                <w:lang w:val="af-ZA"/>
              </w:rPr>
              <w:t xml:space="preserve"> in the middle of the road.  He further indicated that after the accident his vehicle came to a stan</w:t>
            </w:r>
            <w:r w:rsidR="00E1576C" w:rsidRPr="00F2359C">
              <w:rPr>
                <w:rFonts w:ascii="Arial" w:hAnsi="Arial" w:cs="Arial"/>
                <w:sz w:val="24"/>
                <w:szCs w:val="24"/>
                <w:lang w:val="af-ZA"/>
              </w:rPr>
              <w:t xml:space="preserve">dstill almost at the exit way. </w:t>
            </w:r>
            <w:r w:rsidRPr="00F2359C">
              <w:rPr>
                <w:rFonts w:ascii="Arial" w:hAnsi="Arial" w:cs="Arial"/>
                <w:sz w:val="24"/>
                <w:szCs w:val="24"/>
                <w:lang w:val="af-ZA"/>
              </w:rPr>
              <w:t>According to the accident report completed at the scene</w:t>
            </w:r>
            <w:r w:rsidR="00276A1D" w:rsidRPr="00F2359C">
              <w:rPr>
                <w:rFonts w:ascii="Arial" w:hAnsi="Arial" w:cs="Arial"/>
                <w:sz w:val="24"/>
                <w:szCs w:val="24"/>
                <w:lang w:val="af-ZA"/>
              </w:rPr>
              <w:t>, the vehicle of the plaintiff was turning lef</w:t>
            </w:r>
            <w:r w:rsidR="00E1576C" w:rsidRPr="00F2359C">
              <w:rPr>
                <w:rFonts w:ascii="Arial" w:hAnsi="Arial" w:cs="Arial"/>
                <w:sz w:val="24"/>
                <w:szCs w:val="24"/>
                <w:lang w:val="af-ZA"/>
              </w:rPr>
              <w:t xml:space="preserve">t at the time of the accident. </w:t>
            </w:r>
            <w:r w:rsidR="00276A1D" w:rsidRPr="00F2359C">
              <w:rPr>
                <w:rFonts w:ascii="Arial" w:hAnsi="Arial" w:cs="Arial"/>
                <w:sz w:val="24"/>
                <w:szCs w:val="24"/>
                <w:lang w:val="af-ZA"/>
              </w:rPr>
              <w:t>The damage to his vehicle was also towards t</w:t>
            </w:r>
            <w:r w:rsidR="005D0C2C" w:rsidRPr="00F2359C">
              <w:rPr>
                <w:rFonts w:ascii="Arial" w:hAnsi="Arial" w:cs="Arial"/>
                <w:sz w:val="24"/>
                <w:szCs w:val="24"/>
                <w:lang w:val="af-ZA"/>
              </w:rPr>
              <w:t xml:space="preserve">he left hand side at the back. </w:t>
            </w:r>
            <w:r w:rsidR="00276A1D" w:rsidRPr="00F2359C">
              <w:rPr>
                <w:rFonts w:ascii="Arial" w:hAnsi="Arial" w:cs="Arial"/>
                <w:sz w:val="24"/>
                <w:szCs w:val="24"/>
                <w:lang w:val="af-ZA"/>
              </w:rPr>
              <w:t xml:space="preserve">The BMW vehicle drove underneath the vehicle of the plaintiff and when the vehicles stopped, the BMW vehicle was underneath the Isuzu vehicle and the bumper of the BMW vehicle came off when they </w:t>
            </w:r>
            <w:r w:rsidR="00E1576C" w:rsidRPr="00F2359C">
              <w:rPr>
                <w:rFonts w:ascii="Arial" w:hAnsi="Arial" w:cs="Arial"/>
                <w:sz w:val="24"/>
                <w:szCs w:val="24"/>
                <w:lang w:val="af-ZA"/>
              </w:rPr>
              <w:t xml:space="preserve">pulled the vehicles apart. </w:t>
            </w:r>
            <w:r w:rsidR="00276A1D" w:rsidRPr="00F2359C">
              <w:rPr>
                <w:rFonts w:ascii="Arial" w:hAnsi="Arial" w:cs="Arial"/>
                <w:sz w:val="24"/>
                <w:szCs w:val="24"/>
                <w:lang w:val="af-ZA"/>
              </w:rPr>
              <w:t>The BMW vehicle had the most damage on the right hand side, the driver’s side. The plaintiff further called a witness to explain that the different registration numbers on the insurance policy</w:t>
            </w:r>
            <w:r w:rsidR="00E1576C" w:rsidRPr="00F2359C">
              <w:rPr>
                <w:rFonts w:ascii="Arial" w:hAnsi="Arial" w:cs="Arial"/>
                <w:sz w:val="24"/>
                <w:szCs w:val="24"/>
                <w:lang w:val="af-ZA"/>
              </w:rPr>
              <w:t xml:space="preserve"> and that it</w:t>
            </w:r>
            <w:r w:rsidR="00276A1D" w:rsidRPr="00F2359C">
              <w:rPr>
                <w:rFonts w:ascii="Arial" w:hAnsi="Arial" w:cs="Arial"/>
                <w:sz w:val="24"/>
                <w:szCs w:val="24"/>
                <w:lang w:val="af-ZA"/>
              </w:rPr>
              <w:t xml:space="preserve"> actually refers to the same vehicle as the vehicle</w:t>
            </w:r>
            <w:r w:rsidR="00E1576C" w:rsidRPr="00F2359C">
              <w:rPr>
                <w:rFonts w:ascii="Arial" w:hAnsi="Arial" w:cs="Arial"/>
                <w:sz w:val="24"/>
                <w:szCs w:val="24"/>
                <w:lang w:val="af-ZA"/>
              </w:rPr>
              <w:t xml:space="preserve"> was intitially purchased as a seco</w:t>
            </w:r>
            <w:r w:rsidR="00276A1D" w:rsidRPr="00F2359C">
              <w:rPr>
                <w:rFonts w:ascii="Arial" w:hAnsi="Arial" w:cs="Arial"/>
                <w:sz w:val="24"/>
                <w:szCs w:val="24"/>
                <w:lang w:val="af-ZA"/>
              </w:rPr>
              <w:t xml:space="preserve">nd hand vehicle, but received a new registration number when registered by the plaintiff. </w:t>
            </w:r>
            <w:r w:rsidR="00551DF5" w:rsidRPr="00F2359C">
              <w:rPr>
                <w:rFonts w:ascii="Arial" w:hAnsi="Arial" w:cs="Arial"/>
                <w:sz w:val="24"/>
                <w:szCs w:val="24"/>
                <w:lang w:val="af-ZA"/>
              </w:rPr>
              <w:t>The VIN num</w:t>
            </w:r>
            <w:r w:rsidR="005A5E3F" w:rsidRPr="00F2359C">
              <w:rPr>
                <w:rFonts w:ascii="Arial" w:hAnsi="Arial" w:cs="Arial"/>
                <w:sz w:val="24"/>
                <w:szCs w:val="24"/>
                <w:lang w:val="af-ZA"/>
              </w:rPr>
              <w:t>ber and engine number however are</w:t>
            </w:r>
            <w:r w:rsidR="00551DF5" w:rsidRPr="00F2359C">
              <w:rPr>
                <w:rFonts w:ascii="Arial" w:hAnsi="Arial" w:cs="Arial"/>
                <w:sz w:val="24"/>
                <w:szCs w:val="24"/>
                <w:lang w:val="af-ZA"/>
              </w:rPr>
              <w:t xml:space="preserve"> of the same vehicle that was purchased by the plaintiff and eventually deregistered by the plaintiff.</w:t>
            </w:r>
          </w:p>
          <w:p w:rsidR="00276A1D" w:rsidRPr="00F2359C" w:rsidRDefault="00276A1D" w:rsidP="00147511">
            <w:pPr>
              <w:tabs>
                <w:tab w:val="left" w:pos="560"/>
              </w:tabs>
              <w:spacing w:after="0" w:line="360" w:lineRule="auto"/>
              <w:jc w:val="both"/>
              <w:rPr>
                <w:rFonts w:ascii="Arial" w:hAnsi="Arial" w:cs="Arial"/>
                <w:sz w:val="24"/>
                <w:szCs w:val="24"/>
                <w:lang w:val="af-ZA"/>
              </w:rPr>
            </w:pPr>
          </w:p>
          <w:p w:rsidR="00276A1D" w:rsidRPr="00F2359C" w:rsidRDefault="00276A1D"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[7]     The</w:t>
            </w:r>
            <w:r w:rsidR="00E1576C" w:rsidRPr="00F2359C">
              <w:rPr>
                <w:rFonts w:ascii="Arial" w:hAnsi="Arial" w:cs="Arial"/>
                <w:sz w:val="24"/>
                <w:szCs w:val="24"/>
                <w:lang w:val="af-ZA"/>
              </w:rPr>
              <w:t xml:space="preserve"> fir</w:t>
            </w:r>
            <w:r w:rsidR="00FE7E76" w:rsidRPr="00F2359C">
              <w:rPr>
                <w:rFonts w:ascii="Arial" w:hAnsi="Arial" w:cs="Arial"/>
                <w:sz w:val="24"/>
                <w:szCs w:val="24"/>
                <w:lang w:val="af-ZA"/>
              </w:rPr>
              <w:t>st defendant testified that at all relevant time</w:t>
            </w:r>
            <w:r w:rsidR="005A5E3F" w:rsidRPr="00F2359C">
              <w:rPr>
                <w:rFonts w:ascii="Arial" w:hAnsi="Arial" w:cs="Arial"/>
                <w:sz w:val="24"/>
                <w:szCs w:val="24"/>
                <w:lang w:val="af-ZA"/>
              </w:rPr>
              <w:t>s</w:t>
            </w:r>
            <w:r w:rsidR="00FE7E76" w:rsidRPr="00F2359C">
              <w:rPr>
                <w:rFonts w:ascii="Arial" w:hAnsi="Arial" w:cs="Arial"/>
                <w:sz w:val="24"/>
                <w:szCs w:val="24"/>
                <w:lang w:val="af-ZA"/>
              </w:rPr>
              <w:t xml:space="preserve"> he was the owner of a BMW vehicle with registration N934W.  In the early </w:t>
            </w:r>
            <w:r w:rsidR="005A5E3F" w:rsidRPr="00F2359C">
              <w:rPr>
                <w:rFonts w:ascii="Arial" w:hAnsi="Arial" w:cs="Arial"/>
                <w:sz w:val="24"/>
                <w:szCs w:val="24"/>
                <w:lang w:val="af-ZA"/>
              </w:rPr>
              <w:t>morning hours of 16 January 2020</w:t>
            </w:r>
            <w:r w:rsidR="00FE7E76" w:rsidRPr="00F2359C">
              <w:rPr>
                <w:rFonts w:ascii="Arial" w:hAnsi="Arial" w:cs="Arial"/>
                <w:sz w:val="24"/>
                <w:szCs w:val="24"/>
                <w:lang w:val="af-ZA"/>
              </w:rPr>
              <w:t xml:space="preserve"> at 00h44 he drove his vehicle from west to east in Sam Nujoma Drive towards the intersection with th</w:t>
            </w:r>
            <w:r w:rsidR="00E1576C" w:rsidRPr="00F2359C">
              <w:rPr>
                <w:rFonts w:ascii="Arial" w:hAnsi="Arial" w:cs="Arial"/>
                <w:sz w:val="24"/>
                <w:szCs w:val="24"/>
                <w:lang w:val="af-ZA"/>
              </w:rPr>
              <w:t>e B1 National Road in Windhoek.</w:t>
            </w:r>
            <w:r w:rsidR="005A5E3F" w:rsidRPr="00F2359C">
              <w:rPr>
                <w:rFonts w:ascii="Arial" w:hAnsi="Arial" w:cs="Arial"/>
                <w:sz w:val="24"/>
                <w:szCs w:val="24"/>
                <w:lang w:val="af-ZA"/>
              </w:rPr>
              <w:t xml:space="preserve"> He a</w:t>
            </w:r>
            <w:r w:rsidR="00FE7E76" w:rsidRPr="00F2359C">
              <w:rPr>
                <w:rFonts w:ascii="Arial" w:hAnsi="Arial" w:cs="Arial"/>
                <w:sz w:val="24"/>
                <w:szCs w:val="24"/>
                <w:lang w:val="af-ZA"/>
              </w:rPr>
              <w:t>mended his statement to state that it was a single carriage road and not a double carriage road and explai</w:t>
            </w:r>
            <w:r w:rsidR="00E1576C" w:rsidRPr="00F2359C">
              <w:rPr>
                <w:rFonts w:ascii="Arial" w:hAnsi="Arial" w:cs="Arial"/>
                <w:sz w:val="24"/>
                <w:szCs w:val="24"/>
                <w:lang w:val="af-ZA"/>
              </w:rPr>
              <w:t>ned to the court that there was</w:t>
            </w:r>
            <w:r w:rsidR="00FE7E76" w:rsidRPr="00F2359C">
              <w:rPr>
                <w:rFonts w:ascii="Arial" w:hAnsi="Arial" w:cs="Arial"/>
                <w:sz w:val="24"/>
                <w:szCs w:val="24"/>
                <w:lang w:val="af-ZA"/>
              </w:rPr>
              <w:t xml:space="preserve"> two lanes and that his home language is not English and he therefore miss-pronounced himself when he described it initia</w:t>
            </w:r>
            <w:r w:rsidR="00E1576C" w:rsidRPr="00F2359C">
              <w:rPr>
                <w:rFonts w:ascii="Arial" w:hAnsi="Arial" w:cs="Arial"/>
                <w:sz w:val="24"/>
                <w:szCs w:val="24"/>
                <w:lang w:val="af-ZA"/>
              </w:rPr>
              <w:t>lly as a double carriage lane. He explained that he noticed</w:t>
            </w:r>
            <w:r w:rsidR="00FE7E76" w:rsidRPr="00F2359C">
              <w:rPr>
                <w:rFonts w:ascii="Arial" w:hAnsi="Arial" w:cs="Arial"/>
                <w:sz w:val="24"/>
                <w:szCs w:val="24"/>
                <w:lang w:val="af-ZA"/>
              </w:rPr>
              <w:t xml:space="preserve"> an Isuzu pick-up motor vehicle with registration N</w:t>
            </w:r>
            <w:r w:rsidR="007B776B" w:rsidRPr="00F2359C">
              <w:rPr>
                <w:rFonts w:ascii="Arial" w:hAnsi="Arial" w:cs="Arial"/>
                <w:sz w:val="24"/>
                <w:szCs w:val="24"/>
                <w:lang w:val="af-ZA"/>
              </w:rPr>
              <w:t xml:space="preserve"> </w:t>
            </w:r>
            <w:r w:rsidR="00FE7E76" w:rsidRPr="00F2359C">
              <w:rPr>
                <w:rFonts w:ascii="Arial" w:hAnsi="Arial" w:cs="Arial"/>
                <w:sz w:val="24"/>
                <w:szCs w:val="24"/>
                <w:lang w:val="af-ZA"/>
              </w:rPr>
              <w:t>8409</w:t>
            </w:r>
            <w:r w:rsidR="007B776B" w:rsidRPr="00F2359C">
              <w:rPr>
                <w:rFonts w:ascii="Arial" w:hAnsi="Arial" w:cs="Arial"/>
                <w:sz w:val="24"/>
                <w:szCs w:val="24"/>
                <w:lang w:val="af-ZA"/>
              </w:rPr>
              <w:t xml:space="preserve"> </w:t>
            </w:r>
            <w:r w:rsidR="00FE7E76" w:rsidRPr="00F2359C">
              <w:rPr>
                <w:rFonts w:ascii="Arial" w:hAnsi="Arial" w:cs="Arial"/>
                <w:sz w:val="24"/>
                <w:szCs w:val="24"/>
                <w:lang w:val="af-ZA"/>
              </w:rPr>
              <w:t xml:space="preserve">W which was a short distance infront </w:t>
            </w:r>
            <w:r w:rsidR="00FE7E76" w:rsidRPr="00F2359C">
              <w:rPr>
                <w:rFonts w:ascii="Arial" w:hAnsi="Arial" w:cs="Arial"/>
                <w:sz w:val="24"/>
                <w:szCs w:val="24"/>
                <w:lang w:val="af-ZA"/>
              </w:rPr>
              <w:lastRenderedPageBreak/>
              <w:t>of his vehicle, on the left</w:t>
            </w:r>
            <w:r w:rsidR="00E1576C" w:rsidRPr="00F2359C">
              <w:rPr>
                <w:rFonts w:ascii="Arial" w:hAnsi="Arial" w:cs="Arial"/>
                <w:sz w:val="24"/>
                <w:szCs w:val="24"/>
                <w:lang w:val="af-ZA"/>
              </w:rPr>
              <w:t xml:space="preserve">-hand side of the yellow line. </w:t>
            </w:r>
            <w:r w:rsidR="00FE7E76" w:rsidRPr="00F2359C">
              <w:rPr>
                <w:rFonts w:ascii="Arial" w:hAnsi="Arial" w:cs="Arial"/>
                <w:sz w:val="24"/>
                <w:szCs w:val="24"/>
                <w:lang w:val="af-ZA"/>
              </w:rPr>
              <w:t xml:space="preserve">He was travelling straight within his lane when the vehicle of the </w:t>
            </w:r>
            <w:r w:rsidR="00E1576C" w:rsidRPr="00F2359C">
              <w:rPr>
                <w:rFonts w:ascii="Arial" w:hAnsi="Arial" w:cs="Arial"/>
                <w:sz w:val="24"/>
                <w:szCs w:val="24"/>
                <w:lang w:val="af-ZA"/>
              </w:rPr>
              <w:t>plaintiff, being driven by the seco</w:t>
            </w:r>
            <w:r w:rsidR="00FE7E76" w:rsidRPr="00F2359C">
              <w:rPr>
                <w:rFonts w:ascii="Arial" w:hAnsi="Arial" w:cs="Arial"/>
                <w:sz w:val="24"/>
                <w:szCs w:val="24"/>
                <w:lang w:val="af-ZA"/>
              </w:rPr>
              <w:t xml:space="preserve">nd defendant, suddenly swerved right into his lane, without activating any indicator.  He tried to brake to avoid an accident but could not do so, and </w:t>
            </w:r>
            <w:r w:rsidR="005A5E3F" w:rsidRPr="00F2359C">
              <w:rPr>
                <w:rFonts w:ascii="Arial" w:hAnsi="Arial" w:cs="Arial"/>
                <w:sz w:val="24"/>
                <w:szCs w:val="24"/>
                <w:lang w:val="af-ZA"/>
              </w:rPr>
              <w:t xml:space="preserve">he </w:t>
            </w:r>
            <w:r w:rsidR="00FE7E76" w:rsidRPr="00F2359C">
              <w:rPr>
                <w:rFonts w:ascii="Arial" w:hAnsi="Arial" w:cs="Arial"/>
                <w:sz w:val="24"/>
                <w:szCs w:val="24"/>
                <w:lang w:val="af-ZA"/>
              </w:rPr>
              <w:t xml:space="preserve">bumped into the vehicle of the plaintiff in the </w:t>
            </w:r>
            <w:r w:rsidR="005A5E3F" w:rsidRPr="00F2359C">
              <w:rPr>
                <w:rFonts w:ascii="Arial" w:hAnsi="Arial" w:cs="Arial"/>
                <w:sz w:val="24"/>
                <w:szCs w:val="24"/>
                <w:lang w:val="af-ZA"/>
              </w:rPr>
              <w:t>lane that he was travelling in.</w:t>
            </w:r>
            <w:r w:rsidR="00FE7E76" w:rsidRPr="00F2359C">
              <w:rPr>
                <w:rFonts w:ascii="Arial" w:hAnsi="Arial" w:cs="Arial"/>
                <w:sz w:val="24"/>
                <w:szCs w:val="24"/>
                <w:lang w:val="af-ZA"/>
              </w:rPr>
              <w:t xml:space="preserve"> </w:t>
            </w:r>
            <w:r w:rsidR="00551DF5" w:rsidRPr="00F2359C">
              <w:rPr>
                <w:rFonts w:ascii="Arial" w:hAnsi="Arial" w:cs="Arial"/>
                <w:sz w:val="24"/>
                <w:szCs w:val="24"/>
                <w:lang w:val="af-ZA"/>
              </w:rPr>
              <w:t xml:space="preserve">He proceeded to list the extend to which the </w:t>
            </w:r>
            <w:r w:rsidR="00E1576C" w:rsidRPr="00F2359C">
              <w:rPr>
                <w:rFonts w:ascii="Arial" w:hAnsi="Arial" w:cs="Arial"/>
                <w:sz w:val="24"/>
                <w:szCs w:val="24"/>
                <w:lang w:val="af-ZA"/>
              </w:rPr>
              <w:t>seco</w:t>
            </w:r>
            <w:r w:rsidR="00551DF5" w:rsidRPr="00F2359C">
              <w:rPr>
                <w:rFonts w:ascii="Arial" w:hAnsi="Arial" w:cs="Arial"/>
                <w:sz w:val="24"/>
                <w:szCs w:val="24"/>
                <w:lang w:val="af-ZA"/>
              </w:rPr>
              <w:t>nd defendant was negligent in that he failed to keep adequate control over the vehicle he was driving, drove the vehicle at an excessive speed, failed to indicate that he was switching from the yellow lane to the r</w:t>
            </w:r>
            <w:r w:rsidR="005A5E3F" w:rsidRPr="00F2359C">
              <w:rPr>
                <w:rFonts w:ascii="Arial" w:hAnsi="Arial" w:cs="Arial"/>
                <w:sz w:val="24"/>
                <w:szCs w:val="24"/>
                <w:lang w:val="af-ZA"/>
              </w:rPr>
              <w:t>ight hand lane and that he attem</w:t>
            </w:r>
            <w:r w:rsidR="00551DF5" w:rsidRPr="00F2359C">
              <w:rPr>
                <w:rFonts w:ascii="Arial" w:hAnsi="Arial" w:cs="Arial"/>
                <w:sz w:val="24"/>
                <w:szCs w:val="24"/>
                <w:lang w:val="af-ZA"/>
              </w:rPr>
              <w:t>pted to enter the right hand side of the single carriage way at a time that it was dangerous and inopportune to do so.  He futher failed to apply brakes at all.</w:t>
            </w:r>
          </w:p>
          <w:p w:rsidR="00FE7E76" w:rsidRPr="00F2359C" w:rsidRDefault="00FE7E76" w:rsidP="00147511">
            <w:pPr>
              <w:tabs>
                <w:tab w:val="left" w:pos="560"/>
              </w:tabs>
              <w:spacing w:after="0" w:line="360" w:lineRule="auto"/>
              <w:jc w:val="both"/>
              <w:rPr>
                <w:rFonts w:ascii="Arial" w:hAnsi="Arial" w:cs="Arial"/>
                <w:sz w:val="24"/>
                <w:szCs w:val="24"/>
                <w:lang w:val="af-ZA"/>
              </w:rPr>
            </w:pPr>
          </w:p>
          <w:p w:rsidR="00FE7E76" w:rsidRPr="00F2359C" w:rsidRDefault="005A5E3F"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 xml:space="preserve">[8]     </w:t>
            </w:r>
            <w:r w:rsidR="00FE7E76" w:rsidRPr="00F2359C">
              <w:rPr>
                <w:rFonts w:ascii="Arial" w:hAnsi="Arial" w:cs="Arial"/>
                <w:sz w:val="24"/>
                <w:szCs w:val="24"/>
                <w:lang w:val="af-ZA"/>
              </w:rPr>
              <w:t>He testified that he was on his way from home to Auspan</w:t>
            </w:r>
            <w:r w:rsidR="00DE56A7" w:rsidRPr="00F2359C">
              <w:rPr>
                <w:rFonts w:ascii="Arial" w:hAnsi="Arial" w:cs="Arial"/>
                <w:sz w:val="24"/>
                <w:szCs w:val="24"/>
                <w:lang w:val="af-ZA"/>
              </w:rPr>
              <w:t>n</w:t>
            </w:r>
            <w:r w:rsidR="00FE7E76" w:rsidRPr="00F2359C">
              <w:rPr>
                <w:rFonts w:ascii="Arial" w:hAnsi="Arial" w:cs="Arial"/>
                <w:sz w:val="24"/>
                <w:szCs w:val="24"/>
                <w:lang w:val="af-ZA"/>
              </w:rPr>
              <w:t xml:space="preserve">platz and </w:t>
            </w:r>
            <w:r w:rsidRPr="00F2359C">
              <w:rPr>
                <w:rFonts w:ascii="Arial" w:hAnsi="Arial" w:cs="Arial"/>
                <w:sz w:val="24"/>
                <w:szCs w:val="24"/>
                <w:lang w:val="af-ZA"/>
              </w:rPr>
              <w:t>that both drivers were breathaly</w:t>
            </w:r>
            <w:r w:rsidR="00FE7E76" w:rsidRPr="00F2359C">
              <w:rPr>
                <w:rFonts w:ascii="Arial" w:hAnsi="Arial" w:cs="Arial"/>
                <w:sz w:val="24"/>
                <w:szCs w:val="24"/>
                <w:lang w:val="af-ZA"/>
              </w:rPr>
              <w:t>zed and both were not u</w:t>
            </w:r>
            <w:r w:rsidRPr="00F2359C">
              <w:rPr>
                <w:rFonts w:ascii="Arial" w:hAnsi="Arial" w:cs="Arial"/>
                <w:sz w:val="24"/>
                <w:szCs w:val="24"/>
                <w:lang w:val="af-ZA"/>
              </w:rPr>
              <w:t xml:space="preserve">nder the influence of alcohol. </w:t>
            </w:r>
            <w:r w:rsidR="00FE7E76" w:rsidRPr="00F2359C">
              <w:rPr>
                <w:rFonts w:ascii="Arial" w:hAnsi="Arial" w:cs="Arial"/>
                <w:sz w:val="24"/>
                <w:szCs w:val="24"/>
                <w:lang w:val="af-ZA"/>
              </w:rPr>
              <w:t>He was driving at approximately 60km/</w:t>
            </w:r>
            <w:r w:rsidRPr="00F2359C">
              <w:rPr>
                <w:rFonts w:ascii="Arial" w:hAnsi="Arial" w:cs="Arial"/>
                <w:sz w:val="24"/>
                <w:szCs w:val="24"/>
                <w:lang w:val="af-ZA"/>
              </w:rPr>
              <w:t xml:space="preserve">h at the time of the accident. </w:t>
            </w:r>
            <w:r w:rsidR="00551DF5" w:rsidRPr="00F2359C">
              <w:rPr>
                <w:rFonts w:ascii="Arial" w:hAnsi="Arial" w:cs="Arial"/>
                <w:sz w:val="24"/>
                <w:szCs w:val="24"/>
                <w:lang w:val="af-ZA"/>
              </w:rPr>
              <w:t xml:space="preserve">He explained that he was driving </w:t>
            </w:r>
            <w:r w:rsidR="00DE56A7" w:rsidRPr="00F2359C">
              <w:rPr>
                <w:rFonts w:ascii="Arial" w:hAnsi="Arial" w:cs="Arial"/>
                <w:sz w:val="24"/>
                <w:szCs w:val="24"/>
                <w:lang w:val="af-ZA"/>
              </w:rPr>
              <w:t>in the right hand lane and the seco</w:t>
            </w:r>
            <w:r w:rsidR="00551DF5" w:rsidRPr="00F2359C">
              <w:rPr>
                <w:rFonts w:ascii="Arial" w:hAnsi="Arial" w:cs="Arial"/>
                <w:sz w:val="24"/>
                <w:szCs w:val="24"/>
                <w:lang w:val="af-ZA"/>
              </w:rPr>
              <w:t>nd defendant in the left la</w:t>
            </w:r>
            <w:r w:rsidR="00DE56A7" w:rsidRPr="00F2359C">
              <w:rPr>
                <w:rFonts w:ascii="Arial" w:hAnsi="Arial" w:cs="Arial"/>
                <w:sz w:val="24"/>
                <w:szCs w:val="24"/>
                <w:lang w:val="af-ZA"/>
              </w:rPr>
              <w:t>ne and he intended to pass the seco</w:t>
            </w:r>
            <w:r w:rsidR="00551DF5" w:rsidRPr="00F2359C">
              <w:rPr>
                <w:rFonts w:ascii="Arial" w:hAnsi="Arial" w:cs="Arial"/>
                <w:sz w:val="24"/>
                <w:szCs w:val="24"/>
                <w:lang w:val="af-ZA"/>
              </w:rPr>
              <w:t>nd defendant when he suddenly swerved infront of his vehi</w:t>
            </w:r>
            <w:r w:rsidRPr="00F2359C">
              <w:rPr>
                <w:rFonts w:ascii="Arial" w:hAnsi="Arial" w:cs="Arial"/>
                <w:sz w:val="24"/>
                <w:szCs w:val="24"/>
                <w:lang w:val="af-ZA"/>
              </w:rPr>
              <w:t xml:space="preserve">cle as if he changed his mind. </w:t>
            </w:r>
            <w:r w:rsidR="00551DF5" w:rsidRPr="00F2359C">
              <w:rPr>
                <w:rFonts w:ascii="Arial" w:hAnsi="Arial" w:cs="Arial"/>
                <w:sz w:val="24"/>
                <w:szCs w:val="24"/>
                <w:lang w:val="af-ZA"/>
              </w:rPr>
              <w:t>He could not explain why the version of negligence he te</w:t>
            </w:r>
            <w:r w:rsidR="00DE56A7" w:rsidRPr="00F2359C">
              <w:rPr>
                <w:rFonts w:ascii="Arial" w:hAnsi="Arial" w:cs="Arial"/>
                <w:sz w:val="24"/>
                <w:szCs w:val="24"/>
                <w:lang w:val="af-ZA"/>
              </w:rPr>
              <w:t>stified to, was not put to the seco</w:t>
            </w:r>
            <w:r w:rsidR="00551DF5" w:rsidRPr="00F2359C">
              <w:rPr>
                <w:rFonts w:ascii="Arial" w:hAnsi="Arial" w:cs="Arial"/>
                <w:sz w:val="24"/>
                <w:szCs w:val="24"/>
                <w:lang w:val="af-ZA"/>
              </w:rPr>
              <w:t>nd defendant during cross-examination.  The witness explained that the two vehicles drove together for some time</w:t>
            </w:r>
            <w:r w:rsidR="00B03065" w:rsidRPr="00F2359C">
              <w:rPr>
                <w:rFonts w:ascii="Arial" w:hAnsi="Arial" w:cs="Arial"/>
                <w:sz w:val="24"/>
                <w:szCs w:val="24"/>
                <w:lang w:val="af-ZA"/>
              </w:rPr>
              <w:t xml:space="preserve">, therefore driving at the same speed and if the allegation is that the 2nd defendant drove too fast, then similarly the 1st defendent also sped.  </w:t>
            </w:r>
            <w:r w:rsidR="00551DF5" w:rsidRPr="00F2359C">
              <w:rPr>
                <w:rFonts w:ascii="Arial" w:hAnsi="Arial" w:cs="Arial"/>
                <w:sz w:val="24"/>
                <w:szCs w:val="24"/>
                <w:lang w:val="af-ZA"/>
              </w:rPr>
              <w:t>When asked why the damage to the Isuzu vehicle is mainly on the left back side and not on the right hand s</w:t>
            </w:r>
            <w:r w:rsidR="00DE56A7" w:rsidRPr="00F2359C">
              <w:rPr>
                <w:rFonts w:ascii="Arial" w:hAnsi="Arial" w:cs="Arial"/>
                <w:sz w:val="24"/>
                <w:szCs w:val="24"/>
                <w:lang w:val="af-ZA"/>
              </w:rPr>
              <w:t>ide of the back of</w:t>
            </w:r>
            <w:r w:rsidR="00551DF5" w:rsidRPr="00F2359C">
              <w:rPr>
                <w:rFonts w:ascii="Arial" w:hAnsi="Arial" w:cs="Arial"/>
                <w:sz w:val="24"/>
                <w:szCs w:val="24"/>
                <w:lang w:val="af-ZA"/>
              </w:rPr>
              <w:t xml:space="preserve"> the Isuzu vehicle </w:t>
            </w:r>
            <w:r w:rsidR="005E182F" w:rsidRPr="00F2359C">
              <w:rPr>
                <w:rFonts w:ascii="Arial" w:hAnsi="Arial" w:cs="Arial"/>
                <w:sz w:val="24"/>
                <w:szCs w:val="24"/>
                <w:lang w:val="af-ZA"/>
              </w:rPr>
              <w:t xml:space="preserve">which </w:t>
            </w:r>
            <w:r w:rsidR="00551DF5" w:rsidRPr="00F2359C">
              <w:rPr>
                <w:rFonts w:ascii="Arial" w:hAnsi="Arial" w:cs="Arial"/>
                <w:sz w:val="24"/>
                <w:szCs w:val="24"/>
                <w:lang w:val="af-ZA"/>
              </w:rPr>
              <w:t>swerved infront of the BMW vehicle,</w:t>
            </w:r>
            <w:r w:rsidR="005E182F" w:rsidRPr="00F2359C">
              <w:rPr>
                <w:rFonts w:ascii="Arial" w:hAnsi="Arial" w:cs="Arial"/>
                <w:sz w:val="24"/>
                <w:szCs w:val="24"/>
                <w:lang w:val="af-ZA"/>
              </w:rPr>
              <w:t xml:space="preserve"> the fir</w:t>
            </w:r>
            <w:r w:rsidR="00551DF5" w:rsidRPr="00F2359C">
              <w:rPr>
                <w:rFonts w:ascii="Arial" w:hAnsi="Arial" w:cs="Arial"/>
                <w:sz w:val="24"/>
                <w:szCs w:val="24"/>
                <w:lang w:val="af-ZA"/>
              </w:rPr>
              <w:t>st defendant explained that he moved to the left to avoid the Isuzu vehicle and applied brakes but there was not enough time for him to avoid col</w:t>
            </w:r>
            <w:r w:rsidR="00DE56A7" w:rsidRPr="00F2359C">
              <w:rPr>
                <w:rFonts w:ascii="Arial" w:hAnsi="Arial" w:cs="Arial"/>
                <w:sz w:val="24"/>
                <w:szCs w:val="24"/>
                <w:lang w:val="af-ZA"/>
              </w:rPr>
              <w:t xml:space="preserve">liding with the Isuzu vehicle. </w:t>
            </w:r>
            <w:r w:rsidR="00077F0B" w:rsidRPr="00F2359C">
              <w:rPr>
                <w:rFonts w:ascii="Arial" w:hAnsi="Arial" w:cs="Arial"/>
                <w:sz w:val="24"/>
                <w:szCs w:val="24"/>
                <w:lang w:val="af-ZA"/>
              </w:rPr>
              <w:t>T</w:t>
            </w:r>
            <w:r w:rsidR="00DE56A7" w:rsidRPr="00F2359C">
              <w:rPr>
                <w:rFonts w:ascii="Arial" w:hAnsi="Arial" w:cs="Arial"/>
                <w:sz w:val="24"/>
                <w:szCs w:val="24"/>
                <w:lang w:val="af-ZA"/>
              </w:rPr>
              <w:t>he fir</w:t>
            </w:r>
            <w:r w:rsidR="00077F0B" w:rsidRPr="00F2359C">
              <w:rPr>
                <w:rFonts w:ascii="Arial" w:hAnsi="Arial" w:cs="Arial"/>
                <w:sz w:val="24"/>
                <w:szCs w:val="24"/>
                <w:lang w:val="af-ZA"/>
              </w:rPr>
              <w:t>st defendant testified that the point of impact was almost on the yellow line, meaning that the line went almost through the centre of the</w:t>
            </w:r>
            <w:r w:rsidR="00DE56A7" w:rsidRPr="00F2359C">
              <w:rPr>
                <w:rFonts w:ascii="Arial" w:hAnsi="Arial" w:cs="Arial"/>
                <w:sz w:val="24"/>
                <w:szCs w:val="24"/>
                <w:lang w:val="af-ZA"/>
              </w:rPr>
              <w:t xml:space="preserve"> vehicles.  In his opinion the seco</w:t>
            </w:r>
            <w:r w:rsidR="00077F0B" w:rsidRPr="00F2359C">
              <w:rPr>
                <w:rFonts w:ascii="Arial" w:hAnsi="Arial" w:cs="Arial"/>
                <w:sz w:val="24"/>
                <w:szCs w:val="24"/>
                <w:lang w:val="af-ZA"/>
              </w:rPr>
              <w:t>nd defendant was going to overshoot the turn-o</w:t>
            </w:r>
            <w:r w:rsidR="005E182F" w:rsidRPr="00F2359C">
              <w:rPr>
                <w:rFonts w:ascii="Arial" w:hAnsi="Arial" w:cs="Arial"/>
                <w:sz w:val="24"/>
                <w:szCs w:val="24"/>
                <w:lang w:val="af-ZA"/>
              </w:rPr>
              <w:t xml:space="preserve">ff as he was driving too fast. </w:t>
            </w:r>
            <w:r w:rsidR="00077F0B" w:rsidRPr="00F2359C">
              <w:rPr>
                <w:rFonts w:ascii="Arial" w:hAnsi="Arial" w:cs="Arial"/>
                <w:sz w:val="24"/>
                <w:szCs w:val="24"/>
                <w:lang w:val="af-ZA"/>
              </w:rPr>
              <w:t>He realised this after the accident.</w:t>
            </w:r>
          </w:p>
          <w:p w:rsidR="00077F0B" w:rsidRPr="00F2359C" w:rsidRDefault="00077F0B" w:rsidP="00147511">
            <w:pPr>
              <w:tabs>
                <w:tab w:val="left" w:pos="560"/>
              </w:tabs>
              <w:spacing w:after="0" w:line="360" w:lineRule="auto"/>
              <w:jc w:val="both"/>
              <w:rPr>
                <w:rFonts w:ascii="Arial" w:hAnsi="Arial" w:cs="Arial"/>
                <w:sz w:val="24"/>
                <w:szCs w:val="24"/>
                <w:lang w:val="af-ZA"/>
              </w:rPr>
            </w:pPr>
          </w:p>
          <w:p w:rsidR="00077F0B" w:rsidRPr="00F2359C" w:rsidRDefault="00DE56A7"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[9]     Counsel for the plaintiff and second defendant argued that the fir</w:t>
            </w:r>
            <w:r w:rsidR="00077F0B" w:rsidRPr="00F2359C">
              <w:rPr>
                <w:rFonts w:ascii="Arial" w:hAnsi="Arial" w:cs="Arial"/>
                <w:sz w:val="24"/>
                <w:szCs w:val="24"/>
                <w:lang w:val="af-ZA"/>
              </w:rPr>
              <w:t>st defendant th</w:t>
            </w:r>
            <w:r w:rsidRPr="00F2359C">
              <w:rPr>
                <w:rFonts w:ascii="Arial" w:hAnsi="Arial" w:cs="Arial"/>
                <w:sz w:val="24"/>
                <w:szCs w:val="24"/>
                <w:lang w:val="af-ZA"/>
              </w:rPr>
              <w:t>r</w:t>
            </w:r>
            <w:r w:rsidR="00077F0B" w:rsidRPr="00F2359C">
              <w:rPr>
                <w:rFonts w:ascii="Arial" w:hAnsi="Arial" w:cs="Arial"/>
                <w:sz w:val="24"/>
                <w:szCs w:val="24"/>
                <w:lang w:val="af-ZA"/>
              </w:rPr>
              <w:t>ough-out the pleadings referred to th</w:t>
            </w:r>
            <w:r w:rsidRPr="00F2359C">
              <w:rPr>
                <w:rFonts w:ascii="Arial" w:hAnsi="Arial" w:cs="Arial"/>
                <w:sz w:val="24"/>
                <w:szCs w:val="24"/>
                <w:lang w:val="af-ZA"/>
              </w:rPr>
              <w:t xml:space="preserve">e road as a dual carriage way. </w:t>
            </w:r>
            <w:r w:rsidR="00077F0B" w:rsidRPr="00F2359C">
              <w:rPr>
                <w:rFonts w:ascii="Arial" w:hAnsi="Arial" w:cs="Arial"/>
                <w:sz w:val="24"/>
                <w:szCs w:val="24"/>
                <w:lang w:val="af-ZA"/>
              </w:rPr>
              <w:t>This version was changed during</w:t>
            </w:r>
            <w:r w:rsidRPr="00F2359C">
              <w:rPr>
                <w:rFonts w:ascii="Arial" w:hAnsi="Arial" w:cs="Arial"/>
                <w:sz w:val="24"/>
                <w:szCs w:val="24"/>
                <w:lang w:val="af-ZA"/>
              </w:rPr>
              <w:t xml:space="preserve"> the evidence presented by the fir</w:t>
            </w:r>
            <w:r w:rsidR="00077F0B" w:rsidRPr="00F2359C">
              <w:rPr>
                <w:rFonts w:ascii="Arial" w:hAnsi="Arial" w:cs="Arial"/>
                <w:sz w:val="24"/>
                <w:szCs w:val="24"/>
                <w:lang w:val="af-ZA"/>
              </w:rPr>
              <w:t xml:space="preserve">st defendant when he testified that it is a single carriage way.  When asked about his change regarding the description of the road, he </w:t>
            </w:r>
            <w:r w:rsidR="00077F0B" w:rsidRPr="00F2359C">
              <w:rPr>
                <w:rFonts w:ascii="Arial" w:hAnsi="Arial" w:cs="Arial"/>
                <w:sz w:val="24"/>
                <w:szCs w:val="24"/>
                <w:lang w:val="af-ZA"/>
              </w:rPr>
              <w:lastRenderedPageBreak/>
              <w:t>indicated that he might not have had a proper understanding of what a si</w:t>
            </w:r>
            <w:r w:rsidR="00A25688">
              <w:rPr>
                <w:rFonts w:ascii="Arial" w:hAnsi="Arial" w:cs="Arial"/>
                <w:sz w:val="24"/>
                <w:szCs w:val="24"/>
                <w:lang w:val="af-ZA"/>
              </w:rPr>
              <w:t>ngle and dual carriage way is.</w:t>
            </w:r>
          </w:p>
          <w:p w:rsidR="00077F0B" w:rsidRPr="00F2359C" w:rsidRDefault="00077F0B" w:rsidP="00147511">
            <w:pPr>
              <w:tabs>
                <w:tab w:val="left" w:pos="560"/>
              </w:tabs>
              <w:spacing w:after="0" w:line="360" w:lineRule="auto"/>
              <w:jc w:val="both"/>
              <w:rPr>
                <w:rFonts w:ascii="Arial" w:hAnsi="Arial" w:cs="Arial"/>
                <w:sz w:val="24"/>
                <w:szCs w:val="24"/>
                <w:lang w:val="af-ZA"/>
              </w:rPr>
            </w:pPr>
          </w:p>
          <w:p w:rsidR="00077F0B" w:rsidRPr="00F2359C" w:rsidRDefault="00077F0B" w:rsidP="00147511">
            <w:pPr>
              <w:tabs>
                <w:tab w:val="left" w:pos="560"/>
              </w:tabs>
              <w:spacing w:after="0" w:line="360" w:lineRule="auto"/>
              <w:jc w:val="both"/>
              <w:rPr>
                <w:rFonts w:ascii="Arial" w:hAnsi="Arial" w:cs="Arial"/>
                <w:sz w:val="24"/>
                <w:szCs w:val="24"/>
                <w:u w:val="single"/>
                <w:lang w:val="af-ZA"/>
              </w:rPr>
            </w:pPr>
            <w:r w:rsidRPr="00F2359C">
              <w:rPr>
                <w:rFonts w:ascii="Arial" w:hAnsi="Arial" w:cs="Arial"/>
                <w:sz w:val="24"/>
                <w:szCs w:val="24"/>
                <w:u w:val="single"/>
                <w:lang w:val="af-ZA"/>
              </w:rPr>
              <w:t>Legal considerations</w:t>
            </w:r>
          </w:p>
          <w:p w:rsidR="00DD7B5F" w:rsidRPr="00F2359C" w:rsidRDefault="00DD7B5F" w:rsidP="00147511">
            <w:pPr>
              <w:tabs>
                <w:tab w:val="left" w:pos="560"/>
              </w:tabs>
              <w:spacing w:after="0" w:line="360" w:lineRule="auto"/>
              <w:jc w:val="both"/>
              <w:rPr>
                <w:rFonts w:ascii="Arial" w:hAnsi="Arial" w:cs="Arial"/>
                <w:sz w:val="24"/>
                <w:szCs w:val="24"/>
                <w:u w:val="single"/>
                <w:lang w:val="af-ZA"/>
              </w:rPr>
            </w:pPr>
          </w:p>
          <w:p w:rsidR="00675384" w:rsidRPr="00F2359C" w:rsidRDefault="005E182F" w:rsidP="006A334D">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[10</w:t>
            </w:r>
            <w:r w:rsidR="00077F0B" w:rsidRPr="00F2359C">
              <w:rPr>
                <w:rFonts w:ascii="Arial" w:hAnsi="Arial" w:cs="Arial"/>
                <w:sz w:val="24"/>
                <w:szCs w:val="24"/>
                <w:lang w:val="af-ZA"/>
              </w:rPr>
              <w:t xml:space="preserve">]    </w:t>
            </w:r>
            <w:r w:rsidR="00675384" w:rsidRPr="00F2359C">
              <w:rPr>
                <w:rFonts w:ascii="Arial" w:hAnsi="Arial" w:cs="Arial"/>
                <w:sz w:val="24"/>
                <w:szCs w:val="24"/>
                <w:lang w:val="af-ZA"/>
              </w:rPr>
              <w:t>The plaintiff bears the on</w:t>
            </w:r>
            <w:r w:rsidR="00DD7B5F" w:rsidRPr="00F2359C">
              <w:rPr>
                <w:rFonts w:ascii="Arial" w:hAnsi="Arial" w:cs="Arial"/>
                <w:sz w:val="24"/>
                <w:szCs w:val="24"/>
                <w:lang w:val="af-ZA"/>
              </w:rPr>
              <w:t>us to prove that the fir</w:t>
            </w:r>
            <w:r w:rsidR="00675384" w:rsidRPr="00F2359C">
              <w:rPr>
                <w:rFonts w:ascii="Arial" w:hAnsi="Arial" w:cs="Arial"/>
                <w:sz w:val="24"/>
                <w:szCs w:val="24"/>
                <w:lang w:val="af-ZA"/>
              </w:rPr>
              <w:t>st defendant was negligent on a balance of probabilities.  On the reverse si</w:t>
            </w:r>
            <w:r w:rsidR="00DD7B5F" w:rsidRPr="00F2359C">
              <w:rPr>
                <w:rFonts w:ascii="Arial" w:hAnsi="Arial" w:cs="Arial"/>
                <w:sz w:val="24"/>
                <w:szCs w:val="24"/>
                <w:lang w:val="af-ZA"/>
              </w:rPr>
              <w:t>de, the same onus rests on the fir</w:t>
            </w:r>
            <w:r w:rsidR="00675384" w:rsidRPr="00F2359C">
              <w:rPr>
                <w:rFonts w:ascii="Arial" w:hAnsi="Arial" w:cs="Arial"/>
                <w:sz w:val="24"/>
                <w:szCs w:val="24"/>
                <w:lang w:val="af-ZA"/>
              </w:rPr>
              <w:t>st defendant in order for the counter claim to suc</w:t>
            </w:r>
            <w:r w:rsidR="00DD7B5F" w:rsidRPr="00F2359C">
              <w:rPr>
                <w:rFonts w:ascii="Arial" w:hAnsi="Arial" w:cs="Arial"/>
                <w:sz w:val="24"/>
                <w:szCs w:val="24"/>
                <w:lang w:val="af-ZA"/>
              </w:rPr>
              <w:t>ceed, to prove that the seco</w:t>
            </w:r>
            <w:r w:rsidR="00675384" w:rsidRPr="00F2359C">
              <w:rPr>
                <w:rFonts w:ascii="Arial" w:hAnsi="Arial" w:cs="Arial"/>
                <w:sz w:val="24"/>
                <w:szCs w:val="24"/>
                <w:lang w:val="af-ZA"/>
              </w:rPr>
              <w:t>nd defendant was similarly negligent based on a balance of probabilities.</w:t>
            </w:r>
          </w:p>
          <w:p w:rsidR="00675384" w:rsidRPr="00F2359C" w:rsidRDefault="00675384" w:rsidP="006A334D">
            <w:pPr>
              <w:tabs>
                <w:tab w:val="left" w:pos="560"/>
              </w:tabs>
              <w:spacing w:after="0" w:line="360" w:lineRule="auto"/>
              <w:jc w:val="both"/>
              <w:rPr>
                <w:rFonts w:ascii="Arial" w:hAnsi="Arial" w:cs="Arial"/>
                <w:sz w:val="24"/>
                <w:szCs w:val="24"/>
                <w:lang w:val="af-ZA"/>
              </w:rPr>
            </w:pPr>
          </w:p>
          <w:p w:rsidR="006A334D" w:rsidRPr="00F2359C" w:rsidRDefault="005E182F" w:rsidP="006A334D">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[11</w:t>
            </w:r>
            <w:r w:rsidR="00675384" w:rsidRPr="00F2359C">
              <w:rPr>
                <w:rFonts w:ascii="Arial" w:hAnsi="Arial" w:cs="Arial"/>
                <w:sz w:val="24"/>
                <w:szCs w:val="24"/>
                <w:lang w:val="af-ZA"/>
              </w:rPr>
              <w:t xml:space="preserve">]    </w:t>
            </w:r>
            <w:r w:rsidR="00077F0B" w:rsidRPr="00F2359C">
              <w:rPr>
                <w:rFonts w:ascii="Arial" w:hAnsi="Arial" w:cs="Arial"/>
                <w:sz w:val="24"/>
                <w:szCs w:val="24"/>
                <w:lang w:val="af-ZA"/>
              </w:rPr>
              <w:t xml:space="preserve">The general appraoch when dealing with rear-end collisions is described by HB Kloppers in </w:t>
            </w:r>
            <w:r w:rsidR="00077F0B" w:rsidRPr="00F2359C">
              <w:rPr>
                <w:rFonts w:ascii="Arial" w:hAnsi="Arial" w:cs="Arial"/>
                <w:i/>
                <w:sz w:val="24"/>
                <w:szCs w:val="24"/>
                <w:lang w:val="af-ZA"/>
              </w:rPr>
              <w:t>The Law of Collisions in South Africa</w:t>
            </w:r>
            <w:r w:rsidR="00077F0B" w:rsidRPr="00F2359C">
              <w:rPr>
                <w:rStyle w:val="FootnoteReference"/>
                <w:rFonts w:ascii="Arial" w:hAnsi="Arial" w:cs="Arial"/>
                <w:sz w:val="24"/>
                <w:szCs w:val="24"/>
                <w:lang w:val="af-ZA"/>
              </w:rPr>
              <w:footnoteReference w:id="1"/>
            </w:r>
            <w:r w:rsidR="006A334D" w:rsidRPr="00F2359C">
              <w:rPr>
                <w:rFonts w:ascii="Arial" w:hAnsi="Arial" w:cs="Arial"/>
                <w:sz w:val="24"/>
                <w:szCs w:val="24"/>
                <w:lang w:val="af-ZA"/>
              </w:rPr>
              <w:t xml:space="preserve"> at page 78 as follows:</w:t>
            </w:r>
          </w:p>
          <w:p w:rsidR="005E182F" w:rsidRPr="00F2359C" w:rsidRDefault="005E182F" w:rsidP="006A334D">
            <w:pPr>
              <w:tabs>
                <w:tab w:val="left" w:pos="560"/>
              </w:tabs>
              <w:spacing w:after="0" w:line="360" w:lineRule="auto"/>
              <w:jc w:val="both"/>
              <w:rPr>
                <w:rFonts w:ascii="Arial" w:hAnsi="Arial" w:cs="Arial"/>
                <w:sz w:val="24"/>
                <w:szCs w:val="24"/>
                <w:lang w:val="af-ZA"/>
              </w:rPr>
            </w:pPr>
          </w:p>
          <w:p w:rsidR="006A334D" w:rsidRPr="00F2359C" w:rsidRDefault="00DD7B5F" w:rsidP="006A334D">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 xml:space="preserve">         ‘</w:t>
            </w:r>
            <w:r w:rsidR="006A334D" w:rsidRPr="00F2359C">
              <w:rPr>
                <w:rFonts w:ascii="Arial" w:hAnsi="Arial" w:cs="Arial"/>
                <w:lang w:val="af-ZA"/>
              </w:rPr>
              <w:t>A driver who collides with the rear of a vehicle in front of him is prima facie negligent unless he or she can give an explanation indicating that he or she was not negligent.</w:t>
            </w:r>
            <w:r w:rsidRPr="00F2359C">
              <w:rPr>
                <w:rFonts w:ascii="Arial" w:hAnsi="Arial" w:cs="Arial"/>
                <w:sz w:val="24"/>
                <w:szCs w:val="24"/>
                <w:lang w:val="af-ZA"/>
              </w:rPr>
              <w:t>’</w:t>
            </w:r>
          </w:p>
          <w:p w:rsidR="00DD7B5F" w:rsidRPr="00F2359C" w:rsidRDefault="00DD7B5F" w:rsidP="006A334D">
            <w:pPr>
              <w:tabs>
                <w:tab w:val="left" w:pos="560"/>
              </w:tabs>
              <w:spacing w:after="0" w:line="360" w:lineRule="auto"/>
              <w:jc w:val="both"/>
              <w:rPr>
                <w:rFonts w:ascii="Arial" w:hAnsi="Arial" w:cs="Arial"/>
                <w:sz w:val="24"/>
                <w:szCs w:val="24"/>
                <w:lang w:val="af-ZA"/>
              </w:rPr>
            </w:pPr>
          </w:p>
          <w:p w:rsidR="006A334D" w:rsidRPr="00F2359C" w:rsidRDefault="006A334D" w:rsidP="006A334D">
            <w:pPr>
              <w:tabs>
                <w:tab w:val="left" w:pos="560"/>
              </w:tabs>
              <w:spacing w:after="0" w:line="360" w:lineRule="auto"/>
              <w:jc w:val="both"/>
              <w:rPr>
                <w:rFonts w:ascii="Arial" w:hAnsi="Arial" w:cs="Arial"/>
                <w:i/>
                <w:sz w:val="24"/>
                <w:szCs w:val="24"/>
                <w:lang w:val="af-ZA"/>
              </w:rPr>
            </w:pPr>
            <w:r w:rsidRPr="00F2359C">
              <w:rPr>
                <w:rFonts w:ascii="Arial" w:hAnsi="Arial" w:cs="Arial"/>
                <w:sz w:val="24"/>
                <w:szCs w:val="24"/>
                <w:lang w:val="af-ZA"/>
              </w:rPr>
              <w:t xml:space="preserve">Accordingly, as stated in </w:t>
            </w:r>
            <w:r w:rsidRPr="00F2359C">
              <w:rPr>
                <w:rFonts w:ascii="Arial" w:hAnsi="Arial" w:cs="Arial"/>
                <w:i/>
                <w:sz w:val="24"/>
                <w:szCs w:val="24"/>
                <w:lang w:val="af-ZA"/>
              </w:rPr>
              <w:t>Ninteretse v Road Accident Fund</w:t>
            </w:r>
            <w:r w:rsidRPr="00F2359C">
              <w:rPr>
                <w:rStyle w:val="FootnoteReference"/>
                <w:rFonts w:ascii="Arial" w:hAnsi="Arial" w:cs="Arial"/>
                <w:sz w:val="24"/>
                <w:szCs w:val="24"/>
                <w:lang w:val="af-ZA"/>
              </w:rPr>
              <w:footnoteReference w:id="2"/>
            </w:r>
          </w:p>
          <w:p w:rsidR="00DD7B5F" w:rsidRPr="00F2359C" w:rsidRDefault="00DD7B5F" w:rsidP="006A334D">
            <w:pPr>
              <w:tabs>
                <w:tab w:val="left" w:pos="560"/>
              </w:tabs>
              <w:spacing w:after="0" w:line="360" w:lineRule="auto"/>
              <w:jc w:val="both"/>
              <w:rPr>
                <w:rFonts w:ascii="Arial" w:hAnsi="Arial" w:cs="Arial"/>
                <w:sz w:val="24"/>
                <w:szCs w:val="24"/>
                <w:lang w:val="af-ZA"/>
              </w:rPr>
            </w:pPr>
          </w:p>
          <w:p w:rsidR="006A334D" w:rsidRPr="00F2359C" w:rsidRDefault="00DD7B5F" w:rsidP="006A334D">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 xml:space="preserve">       ‘</w:t>
            </w:r>
            <w:r w:rsidR="006A334D" w:rsidRPr="00F2359C">
              <w:rPr>
                <w:rFonts w:ascii="Arial" w:hAnsi="Arial" w:cs="Arial"/>
                <w:sz w:val="24"/>
                <w:szCs w:val="24"/>
                <w:lang w:val="af-ZA"/>
              </w:rPr>
              <w:t>(</w:t>
            </w:r>
            <w:r w:rsidR="006A334D" w:rsidRPr="00F2359C">
              <w:rPr>
                <w:rFonts w:ascii="Arial" w:hAnsi="Arial" w:cs="Arial"/>
                <w:lang w:val="af-ZA"/>
              </w:rPr>
              <w:t xml:space="preserve">t)he driver who collides with another from the rear can escape </w:t>
            </w:r>
            <w:r w:rsidR="006A334D" w:rsidRPr="00F2359C">
              <w:rPr>
                <w:rFonts w:ascii="Arial" w:hAnsi="Arial" w:cs="Arial"/>
                <w:i/>
                <w:lang w:val="af-ZA"/>
              </w:rPr>
              <w:t>prima facie</w:t>
            </w:r>
            <w:r w:rsidR="006A334D" w:rsidRPr="00F2359C">
              <w:rPr>
                <w:rFonts w:ascii="Arial" w:hAnsi="Arial" w:cs="Arial"/>
                <w:lang w:val="af-ZA"/>
              </w:rPr>
              <w:t xml:space="preserve"> liability for negligence by providing an explanation that shows that the collision occurred because of the negligence of the driver of the other vehicle or due to other intervening circumstances.</w:t>
            </w:r>
            <w:r w:rsidRPr="00F2359C">
              <w:rPr>
                <w:rFonts w:ascii="Arial" w:hAnsi="Arial" w:cs="Arial"/>
                <w:sz w:val="24"/>
                <w:szCs w:val="24"/>
                <w:lang w:val="af-ZA"/>
              </w:rPr>
              <w:t>’</w:t>
            </w:r>
          </w:p>
          <w:p w:rsidR="00DD7B5F" w:rsidRPr="00F2359C" w:rsidRDefault="00DD7B5F" w:rsidP="006A334D">
            <w:pPr>
              <w:tabs>
                <w:tab w:val="left" w:pos="560"/>
              </w:tabs>
              <w:spacing w:after="0" w:line="360" w:lineRule="auto"/>
              <w:jc w:val="both"/>
              <w:rPr>
                <w:rFonts w:ascii="Arial" w:hAnsi="Arial" w:cs="Arial"/>
                <w:sz w:val="24"/>
                <w:szCs w:val="24"/>
                <w:lang w:val="af-ZA"/>
              </w:rPr>
            </w:pPr>
          </w:p>
          <w:p w:rsidR="00147511" w:rsidRPr="00F2359C" w:rsidRDefault="00DD7B5F" w:rsidP="00147511">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The fir</w:t>
            </w:r>
            <w:r w:rsidR="006A334D" w:rsidRPr="00F2359C">
              <w:rPr>
                <w:rFonts w:ascii="Arial" w:hAnsi="Arial" w:cs="Arial"/>
                <w:sz w:val="24"/>
                <w:szCs w:val="24"/>
                <w:lang w:val="af-ZA"/>
              </w:rPr>
              <w:t>st defendant therefore needs to provide an expl</w:t>
            </w:r>
            <w:r w:rsidR="005E182F" w:rsidRPr="00F2359C">
              <w:rPr>
                <w:rFonts w:ascii="Arial" w:hAnsi="Arial" w:cs="Arial"/>
                <w:sz w:val="24"/>
                <w:szCs w:val="24"/>
                <w:lang w:val="af-ZA"/>
              </w:rPr>
              <w:t>a</w:t>
            </w:r>
            <w:r w:rsidR="006A334D" w:rsidRPr="00F2359C">
              <w:rPr>
                <w:rFonts w:ascii="Arial" w:hAnsi="Arial" w:cs="Arial"/>
                <w:sz w:val="24"/>
                <w:szCs w:val="24"/>
                <w:lang w:val="af-ZA"/>
              </w:rPr>
              <w:t>nation which shows tha</w:t>
            </w:r>
            <w:r w:rsidRPr="00F2359C">
              <w:rPr>
                <w:rFonts w:ascii="Arial" w:hAnsi="Arial" w:cs="Arial"/>
                <w:sz w:val="24"/>
                <w:szCs w:val="24"/>
                <w:lang w:val="af-ZA"/>
              </w:rPr>
              <w:t>t it was the negligence of the seco</w:t>
            </w:r>
            <w:r w:rsidR="006A334D" w:rsidRPr="00F2359C">
              <w:rPr>
                <w:rFonts w:ascii="Arial" w:hAnsi="Arial" w:cs="Arial"/>
                <w:sz w:val="24"/>
                <w:szCs w:val="24"/>
                <w:lang w:val="af-ZA"/>
              </w:rPr>
              <w:t>nd defendant, who drove the vehicle of the plaintiff, that caused the accident.</w:t>
            </w:r>
            <w:r w:rsidR="00787454" w:rsidRPr="00F2359C">
              <w:rPr>
                <w:rFonts w:ascii="Arial" w:hAnsi="Arial" w:cs="Arial"/>
                <w:sz w:val="24"/>
                <w:szCs w:val="24"/>
                <w:lang w:val="af-ZA"/>
              </w:rPr>
              <w:t xml:space="preserve"> T</w:t>
            </w:r>
            <w:r w:rsidRPr="00F2359C">
              <w:rPr>
                <w:rFonts w:ascii="Arial" w:hAnsi="Arial" w:cs="Arial"/>
                <w:sz w:val="24"/>
                <w:szCs w:val="24"/>
                <w:lang w:val="af-ZA"/>
              </w:rPr>
              <w:t>he versions put forward by the first and second defendant</w:t>
            </w:r>
            <w:r w:rsidR="00787454" w:rsidRPr="00F2359C">
              <w:rPr>
                <w:rFonts w:ascii="Arial" w:hAnsi="Arial" w:cs="Arial"/>
                <w:sz w:val="24"/>
                <w:szCs w:val="24"/>
                <w:lang w:val="af-ZA"/>
              </w:rPr>
              <w:t xml:space="preserve"> differ</w:t>
            </w:r>
            <w:r w:rsidRPr="00F2359C">
              <w:rPr>
                <w:rFonts w:ascii="Arial" w:hAnsi="Arial" w:cs="Arial"/>
                <w:sz w:val="24"/>
                <w:szCs w:val="24"/>
                <w:lang w:val="af-ZA"/>
              </w:rPr>
              <w:t>e</w:t>
            </w:r>
            <w:r w:rsidR="00787454" w:rsidRPr="00F2359C">
              <w:rPr>
                <w:rFonts w:ascii="Arial" w:hAnsi="Arial" w:cs="Arial"/>
                <w:sz w:val="24"/>
                <w:szCs w:val="24"/>
                <w:lang w:val="af-ZA"/>
              </w:rPr>
              <w:t xml:space="preserve">d and can be considered </w:t>
            </w:r>
            <w:r w:rsidR="005E182F" w:rsidRPr="00F2359C">
              <w:rPr>
                <w:rFonts w:ascii="Arial" w:hAnsi="Arial" w:cs="Arial"/>
                <w:sz w:val="24"/>
                <w:szCs w:val="24"/>
                <w:lang w:val="af-ZA"/>
              </w:rPr>
              <w:t xml:space="preserve">as mutually destructive. </w:t>
            </w:r>
            <w:r w:rsidR="00787454" w:rsidRPr="00F2359C">
              <w:rPr>
                <w:rFonts w:ascii="Arial" w:hAnsi="Arial" w:cs="Arial"/>
                <w:sz w:val="24"/>
                <w:szCs w:val="24"/>
                <w:lang w:val="af-ZA"/>
              </w:rPr>
              <w:t xml:space="preserve">If the court finds that </w:t>
            </w:r>
            <w:r w:rsidRPr="00F2359C">
              <w:rPr>
                <w:rFonts w:ascii="Arial" w:hAnsi="Arial" w:cs="Arial"/>
                <w:sz w:val="24"/>
                <w:szCs w:val="24"/>
                <w:lang w:val="af-ZA"/>
              </w:rPr>
              <w:t>the version set forward by the secon</w:t>
            </w:r>
            <w:r w:rsidR="00787454" w:rsidRPr="00F2359C">
              <w:rPr>
                <w:rFonts w:ascii="Arial" w:hAnsi="Arial" w:cs="Arial"/>
                <w:sz w:val="24"/>
                <w:szCs w:val="24"/>
                <w:lang w:val="af-ZA"/>
              </w:rPr>
              <w:t>d defendant is true and correct, the plaintiff’s claim must suc</w:t>
            </w:r>
            <w:r w:rsidR="005E182F" w:rsidRPr="00F2359C">
              <w:rPr>
                <w:rFonts w:ascii="Arial" w:hAnsi="Arial" w:cs="Arial"/>
                <w:sz w:val="24"/>
                <w:szCs w:val="24"/>
                <w:lang w:val="af-ZA"/>
              </w:rPr>
              <w:t>c</w:t>
            </w:r>
            <w:r w:rsidR="00787454" w:rsidRPr="00F2359C">
              <w:rPr>
                <w:rFonts w:ascii="Arial" w:hAnsi="Arial" w:cs="Arial"/>
                <w:sz w:val="24"/>
                <w:szCs w:val="24"/>
                <w:lang w:val="af-ZA"/>
              </w:rPr>
              <w:t>eed and the counter claim of the defendant di</w:t>
            </w:r>
            <w:r w:rsidRPr="00F2359C">
              <w:rPr>
                <w:rFonts w:ascii="Arial" w:hAnsi="Arial" w:cs="Arial"/>
                <w:sz w:val="24"/>
                <w:szCs w:val="24"/>
                <w:lang w:val="af-ZA"/>
              </w:rPr>
              <w:t>smissed, if the version of the fir</w:t>
            </w:r>
            <w:r w:rsidR="00787454" w:rsidRPr="00F2359C">
              <w:rPr>
                <w:rFonts w:ascii="Arial" w:hAnsi="Arial" w:cs="Arial"/>
                <w:sz w:val="24"/>
                <w:szCs w:val="24"/>
                <w:lang w:val="af-ZA"/>
              </w:rPr>
              <w:t>st defendant is corre</w:t>
            </w:r>
            <w:r w:rsidRPr="00F2359C">
              <w:rPr>
                <w:rFonts w:ascii="Arial" w:hAnsi="Arial" w:cs="Arial"/>
                <w:sz w:val="24"/>
                <w:szCs w:val="24"/>
                <w:lang w:val="af-ZA"/>
              </w:rPr>
              <w:t>ct, then the claim against the seco</w:t>
            </w:r>
            <w:r w:rsidR="00787454" w:rsidRPr="00F2359C">
              <w:rPr>
                <w:rFonts w:ascii="Arial" w:hAnsi="Arial" w:cs="Arial"/>
                <w:sz w:val="24"/>
                <w:szCs w:val="24"/>
                <w:lang w:val="af-ZA"/>
              </w:rPr>
              <w:t>nd defendant must suc</w:t>
            </w:r>
            <w:r w:rsidR="005E182F" w:rsidRPr="00F2359C">
              <w:rPr>
                <w:rFonts w:ascii="Arial" w:hAnsi="Arial" w:cs="Arial"/>
                <w:sz w:val="24"/>
                <w:szCs w:val="24"/>
                <w:lang w:val="af-ZA"/>
              </w:rPr>
              <w:t>c</w:t>
            </w:r>
            <w:r w:rsidR="00787454" w:rsidRPr="00F2359C">
              <w:rPr>
                <w:rFonts w:ascii="Arial" w:hAnsi="Arial" w:cs="Arial"/>
                <w:sz w:val="24"/>
                <w:szCs w:val="24"/>
                <w:lang w:val="af-ZA"/>
              </w:rPr>
              <w:t>ee</w:t>
            </w:r>
            <w:r w:rsidRPr="00F2359C">
              <w:rPr>
                <w:rFonts w:ascii="Arial" w:hAnsi="Arial" w:cs="Arial"/>
                <w:sz w:val="24"/>
                <w:szCs w:val="24"/>
                <w:lang w:val="af-ZA"/>
              </w:rPr>
              <w:t>d</w:t>
            </w:r>
            <w:r w:rsidR="00787454" w:rsidRPr="00F2359C">
              <w:rPr>
                <w:rFonts w:ascii="Arial" w:hAnsi="Arial" w:cs="Arial"/>
                <w:sz w:val="24"/>
                <w:szCs w:val="24"/>
                <w:lang w:val="af-ZA"/>
              </w:rPr>
              <w:t xml:space="preserve"> and the plaintiff’s claim be dismissed.</w:t>
            </w:r>
          </w:p>
          <w:p w:rsidR="006A334D" w:rsidRPr="00F2359C" w:rsidRDefault="006A334D" w:rsidP="00147511">
            <w:pPr>
              <w:tabs>
                <w:tab w:val="left" w:pos="560"/>
              </w:tabs>
              <w:spacing w:after="0" w:line="360" w:lineRule="auto"/>
              <w:jc w:val="both"/>
              <w:rPr>
                <w:rFonts w:ascii="Arial" w:hAnsi="Arial" w:cs="Arial"/>
                <w:sz w:val="24"/>
                <w:szCs w:val="24"/>
                <w:lang w:val="af-ZA"/>
              </w:rPr>
            </w:pPr>
          </w:p>
          <w:p w:rsidR="00D122FB" w:rsidRPr="00F2359C" w:rsidRDefault="006A334D" w:rsidP="00D122FB">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[1</w:t>
            </w:r>
            <w:r w:rsidR="00B7387A" w:rsidRPr="00F2359C">
              <w:rPr>
                <w:rFonts w:ascii="Arial" w:hAnsi="Arial" w:cs="Arial"/>
                <w:sz w:val="24"/>
                <w:szCs w:val="24"/>
                <w:lang w:val="af-ZA"/>
              </w:rPr>
              <w:t>2</w:t>
            </w:r>
            <w:r w:rsidRPr="00F2359C">
              <w:rPr>
                <w:rFonts w:ascii="Arial" w:hAnsi="Arial" w:cs="Arial"/>
                <w:sz w:val="24"/>
                <w:szCs w:val="24"/>
                <w:lang w:val="af-ZA"/>
              </w:rPr>
              <w:t xml:space="preserve">]  </w:t>
            </w:r>
            <w:r w:rsidR="00FD5350" w:rsidRPr="00F2359C">
              <w:rPr>
                <w:rFonts w:ascii="Arial" w:hAnsi="Arial" w:cs="Arial"/>
                <w:sz w:val="24"/>
                <w:szCs w:val="24"/>
                <w:lang w:val="af-ZA"/>
              </w:rPr>
              <w:t xml:space="preserve">  </w:t>
            </w:r>
            <w:r w:rsidRPr="00F2359C">
              <w:rPr>
                <w:rFonts w:ascii="Arial" w:hAnsi="Arial" w:cs="Arial"/>
                <w:sz w:val="24"/>
                <w:szCs w:val="24"/>
                <w:lang w:val="af-ZA"/>
              </w:rPr>
              <w:t xml:space="preserve"> </w:t>
            </w:r>
            <w:r w:rsidR="00D122FB" w:rsidRPr="00F2359C">
              <w:rPr>
                <w:rFonts w:ascii="Arial" w:hAnsi="Arial" w:cs="Arial"/>
                <w:i/>
                <w:sz w:val="24"/>
                <w:szCs w:val="24"/>
                <w:lang w:val="af-ZA"/>
              </w:rPr>
              <w:t>In Absolute Logistics (Pty) Ltd v Elite Security Services CC</w:t>
            </w:r>
            <w:r w:rsidR="00D122FB" w:rsidRPr="00F2359C">
              <w:rPr>
                <w:rStyle w:val="FootnoteReference"/>
                <w:rFonts w:ascii="Arial" w:hAnsi="Arial" w:cs="Arial"/>
                <w:sz w:val="24"/>
                <w:szCs w:val="24"/>
                <w:lang w:val="af-ZA"/>
              </w:rPr>
              <w:footnoteReference w:id="3"/>
            </w:r>
            <w:r w:rsidR="00D122FB" w:rsidRPr="00F2359C">
              <w:rPr>
                <w:rFonts w:ascii="Arial" w:hAnsi="Arial" w:cs="Arial"/>
                <w:sz w:val="24"/>
                <w:szCs w:val="24"/>
                <w:lang w:val="af-ZA"/>
              </w:rPr>
              <w:t xml:space="preserve"> Paker J said the following at para 6 –</w:t>
            </w:r>
          </w:p>
          <w:p w:rsidR="00DD7B5F" w:rsidRPr="00F2359C" w:rsidRDefault="00DD7B5F" w:rsidP="00D122FB">
            <w:pPr>
              <w:tabs>
                <w:tab w:val="left" w:pos="560"/>
              </w:tabs>
              <w:spacing w:after="0" w:line="360" w:lineRule="auto"/>
              <w:jc w:val="both"/>
              <w:rPr>
                <w:rFonts w:ascii="Arial" w:hAnsi="Arial" w:cs="Arial"/>
                <w:sz w:val="24"/>
                <w:szCs w:val="24"/>
                <w:lang w:val="af-ZA"/>
              </w:rPr>
            </w:pPr>
          </w:p>
          <w:p w:rsidR="006A334D" w:rsidRPr="00F2359C" w:rsidRDefault="00DD7B5F" w:rsidP="00D122FB">
            <w:pPr>
              <w:tabs>
                <w:tab w:val="left" w:pos="560"/>
              </w:tabs>
              <w:spacing w:after="0" w:line="360" w:lineRule="auto"/>
              <w:jc w:val="both"/>
              <w:rPr>
                <w:rFonts w:ascii="Arial" w:hAnsi="Arial" w:cs="Arial"/>
                <w:i/>
                <w:lang w:val="af-ZA"/>
              </w:rPr>
            </w:pPr>
            <w:r w:rsidRPr="00F2359C">
              <w:rPr>
                <w:rFonts w:ascii="Arial" w:hAnsi="Arial" w:cs="Arial"/>
                <w:sz w:val="24"/>
                <w:szCs w:val="24"/>
                <w:lang w:val="af-ZA"/>
              </w:rPr>
              <w:t xml:space="preserve">            </w:t>
            </w:r>
            <w:r w:rsidR="00D122FB" w:rsidRPr="00F2359C">
              <w:rPr>
                <w:rFonts w:ascii="Arial" w:hAnsi="Arial" w:cs="Arial"/>
                <w:lang w:val="af-ZA"/>
              </w:rPr>
              <w:t xml:space="preserve">‘I must follow the approach that has been beaten by the authorities in dealing with such eventuality; that is to say, the proper approach is for the court to apply its mind not only to the merits and demerits of the two mutually destructive versions but also their probabilities and it is only after so applying its mind that the court would be justified in reaching the conclusion as to which opinion to accept and which to reject. (See </w:t>
            </w:r>
            <w:r w:rsidR="00D122FB" w:rsidRPr="00F2359C">
              <w:rPr>
                <w:rFonts w:ascii="Arial" w:hAnsi="Arial" w:cs="Arial"/>
                <w:i/>
                <w:lang w:val="af-ZA"/>
              </w:rPr>
              <w:t xml:space="preserve">Harold Schmidt t/a Prestige Home Innovations v Heita </w:t>
            </w:r>
            <w:r w:rsidR="00D122FB" w:rsidRPr="00F2359C">
              <w:rPr>
                <w:rFonts w:ascii="Arial" w:hAnsi="Arial" w:cs="Arial"/>
                <w:lang w:val="af-ZA"/>
              </w:rPr>
              <w:t>2006 (2) NR 555 at 559D.) Additionally, from the authorities it also emerges that where the onus rests on the plaintiff and there are two mutually destructive stories he can only succeed if he satisfies the court on a preponderance  of probabilities that his version is true and accurate and therefore acceptable, and that the version advanced by the defendant is therefore false or mistaken and falls to be rejected. (</w:t>
            </w:r>
            <w:r w:rsidR="00D122FB" w:rsidRPr="00F2359C">
              <w:rPr>
                <w:rFonts w:ascii="Arial" w:hAnsi="Arial" w:cs="Arial"/>
                <w:i/>
                <w:lang w:val="af-ZA"/>
              </w:rPr>
              <w:t xml:space="preserve">National Employers’ General Insurance Co. Ltd v Jagers </w:t>
            </w:r>
            <w:r w:rsidR="00D122FB" w:rsidRPr="00F2359C">
              <w:rPr>
                <w:rFonts w:ascii="Arial" w:hAnsi="Arial" w:cs="Arial"/>
                <w:lang w:val="af-ZA"/>
              </w:rPr>
              <w:t>1984 (4) SA 437 (E));</w:t>
            </w:r>
            <w:r w:rsidR="00D122FB" w:rsidRPr="00F2359C">
              <w:rPr>
                <w:rFonts w:ascii="Arial" w:hAnsi="Arial" w:cs="Arial"/>
                <w:i/>
                <w:lang w:val="af-ZA"/>
              </w:rPr>
              <w:t xml:space="preserve"> Stellenbosch Farmers’ Winery Group Ltd and Another v Martell et Cie and Others </w:t>
            </w:r>
            <w:r w:rsidR="00D122FB" w:rsidRPr="00F2359C">
              <w:rPr>
                <w:rFonts w:ascii="Arial" w:hAnsi="Arial" w:cs="Arial"/>
                <w:lang w:val="af-ZA"/>
              </w:rPr>
              <w:t>2003 (1)</w:t>
            </w:r>
            <w:r w:rsidR="00B03065" w:rsidRPr="00F2359C">
              <w:rPr>
                <w:rFonts w:ascii="Arial" w:hAnsi="Arial" w:cs="Arial"/>
                <w:lang w:val="af-ZA"/>
              </w:rPr>
              <w:t xml:space="preserve"> </w:t>
            </w:r>
            <w:r w:rsidR="00D122FB" w:rsidRPr="00F2359C">
              <w:rPr>
                <w:rFonts w:ascii="Arial" w:hAnsi="Arial" w:cs="Arial"/>
                <w:lang w:val="af-ZA"/>
              </w:rPr>
              <w:t>SA 11 (SCA);</w:t>
            </w:r>
            <w:r w:rsidR="00D122FB" w:rsidRPr="00F2359C">
              <w:rPr>
                <w:rFonts w:ascii="Arial" w:hAnsi="Arial" w:cs="Arial"/>
                <w:i/>
                <w:lang w:val="af-ZA"/>
              </w:rPr>
              <w:t xml:space="preserve"> Shakusheka and Another v Minister of Home Affairs </w:t>
            </w:r>
            <w:r w:rsidR="00D122FB" w:rsidRPr="00F2359C">
              <w:rPr>
                <w:rFonts w:ascii="Arial" w:hAnsi="Arial" w:cs="Arial"/>
                <w:lang w:val="af-ZA"/>
              </w:rPr>
              <w:t>2009 (2) NR 524</w:t>
            </w:r>
            <w:r w:rsidR="00D122FB" w:rsidRPr="00F2359C">
              <w:rPr>
                <w:rFonts w:ascii="Arial" w:hAnsi="Arial" w:cs="Arial"/>
                <w:i/>
                <w:lang w:val="af-ZA"/>
              </w:rPr>
              <w:t>; U v</w:t>
            </w:r>
            <w:r w:rsidR="007B776B" w:rsidRPr="00F2359C">
              <w:rPr>
                <w:rFonts w:ascii="Arial" w:hAnsi="Arial" w:cs="Arial"/>
                <w:i/>
                <w:lang w:val="af-ZA"/>
              </w:rPr>
              <w:t xml:space="preserve"> </w:t>
            </w:r>
            <w:r w:rsidR="00D122FB" w:rsidRPr="00F2359C">
              <w:rPr>
                <w:rFonts w:ascii="Arial" w:hAnsi="Arial" w:cs="Arial"/>
                <w:i/>
                <w:lang w:val="af-ZA"/>
              </w:rPr>
              <w:t xml:space="preserve">Minister of Education, Sports and Culture </w:t>
            </w:r>
            <w:r w:rsidR="00D122FB" w:rsidRPr="00F2359C">
              <w:rPr>
                <w:rFonts w:ascii="Arial" w:hAnsi="Arial" w:cs="Arial"/>
                <w:lang w:val="af-ZA"/>
              </w:rPr>
              <w:t>2006 (1) NR 168)</w:t>
            </w:r>
            <w:r w:rsidR="00D122FB" w:rsidRPr="00F2359C">
              <w:rPr>
                <w:rFonts w:ascii="Arial" w:hAnsi="Arial" w:cs="Arial"/>
                <w:sz w:val="24"/>
                <w:szCs w:val="24"/>
                <w:lang w:val="af-ZA"/>
              </w:rPr>
              <w:t>’</w:t>
            </w:r>
            <w:r w:rsidR="00D122FB" w:rsidRPr="00F2359C">
              <w:rPr>
                <w:rFonts w:ascii="Arial" w:hAnsi="Arial" w:cs="Arial"/>
                <w:sz w:val="24"/>
                <w:szCs w:val="24"/>
                <w:lang w:val="af-ZA"/>
              </w:rPr>
              <w:cr/>
            </w:r>
          </w:p>
          <w:p w:rsidR="00D122FB" w:rsidRPr="00F2359C" w:rsidRDefault="00B7387A" w:rsidP="00D122FB">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[13</w:t>
            </w:r>
            <w:r w:rsidR="00D122FB" w:rsidRPr="00F2359C">
              <w:rPr>
                <w:rFonts w:ascii="Arial" w:hAnsi="Arial" w:cs="Arial"/>
                <w:sz w:val="24"/>
                <w:szCs w:val="24"/>
                <w:lang w:val="af-ZA"/>
              </w:rPr>
              <w:t xml:space="preserve">]     In </w:t>
            </w:r>
            <w:r w:rsidR="00D122FB" w:rsidRPr="00F2359C">
              <w:rPr>
                <w:rFonts w:ascii="Arial" w:hAnsi="Arial" w:cs="Arial"/>
                <w:i/>
                <w:sz w:val="24"/>
                <w:szCs w:val="24"/>
                <w:lang w:val="af-ZA"/>
              </w:rPr>
              <w:t>Mabona and Another v Minister of Law and Order and Others</w:t>
            </w:r>
            <w:r w:rsidR="00D122FB" w:rsidRPr="00F2359C">
              <w:rPr>
                <w:rFonts w:ascii="Arial" w:hAnsi="Arial" w:cs="Arial"/>
                <w:sz w:val="24"/>
                <w:szCs w:val="24"/>
                <w:lang w:val="af-ZA"/>
              </w:rPr>
              <w:t xml:space="preserve"> </w:t>
            </w:r>
            <w:r w:rsidR="00787454" w:rsidRPr="00F2359C">
              <w:rPr>
                <w:rStyle w:val="FootnoteReference"/>
                <w:rFonts w:ascii="Arial" w:hAnsi="Arial" w:cs="Arial"/>
                <w:sz w:val="24"/>
                <w:szCs w:val="24"/>
                <w:lang w:val="af-ZA"/>
              </w:rPr>
              <w:footnoteReference w:id="4"/>
            </w:r>
            <w:r w:rsidR="00787454" w:rsidRPr="00F2359C">
              <w:rPr>
                <w:rFonts w:ascii="Arial" w:hAnsi="Arial" w:cs="Arial"/>
                <w:sz w:val="24"/>
                <w:szCs w:val="24"/>
                <w:lang w:val="af-ZA"/>
              </w:rPr>
              <w:t>Jones J describes the process in dealing with two conflicting versions as follows:</w:t>
            </w:r>
          </w:p>
          <w:p w:rsidR="00DD7B5F" w:rsidRPr="00F2359C" w:rsidRDefault="00DD7B5F" w:rsidP="00D122FB">
            <w:pPr>
              <w:tabs>
                <w:tab w:val="left" w:pos="560"/>
              </w:tabs>
              <w:spacing w:after="0" w:line="360" w:lineRule="auto"/>
              <w:jc w:val="both"/>
              <w:rPr>
                <w:rFonts w:ascii="Arial" w:hAnsi="Arial" w:cs="Arial"/>
                <w:sz w:val="24"/>
                <w:szCs w:val="24"/>
                <w:lang w:val="af-ZA"/>
              </w:rPr>
            </w:pPr>
          </w:p>
          <w:p w:rsidR="00D122FB" w:rsidRPr="00F2359C" w:rsidRDefault="00FD5350" w:rsidP="00D122FB">
            <w:pPr>
              <w:tabs>
                <w:tab w:val="left" w:pos="560"/>
              </w:tabs>
              <w:spacing w:after="0" w:line="360" w:lineRule="auto"/>
              <w:jc w:val="both"/>
              <w:rPr>
                <w:rFonts w:ascii="Arial" w:hAnsi="Arial" w:cs="Arial"/>
                <w:sz w:val="24"/>
                <w:szCs w:val="24"/>
                <w:lang w:val="af-ZA"/>
              </w:rPr>
            </w:pPr>
            <w:r w:rsidRPr="00F2359C">
              <w:rPr>
                <w:rFonts w:ascii="Arial" w:hAnsi="Arial" w:cs="Arial"/>
                <w:lang w:val="af-ZA"/>
              </w:rPr>
              <w:t xml:space="preserve">             </w:t>
            </w:r>
            <w:r w:rsidR="00DD7B5F" w:rsidRPr="00F2359C">
              <w:rPr>
                <w:rFonts w:ascii="Arial" w:hAnsi="Arial" w:cs="Arial"/>
                <w:lang w:val="af-ZA"/>
              </w:rPr>
              <w:t>‘</w:t>
            </w:r>
            <w:r w:rsidR="00D122FB" w:rsidRPr="00F2359C">
              <w:rPr>
                <w:rFonts w:ascii="Arial" w:hAnsi="Arial" w:cs="Arial"/>
                <w:lang w:val="af-ZA"/>
              </w:rPr>
              <w:t>The upshot is that I am faced with two conflicting versions, only one of which can be correct. The onus is on each plaintiff to prove on a preponderance of probability that her version is the truth. This onus is discharged if the plaintiff can show by credible evidence that her version is the more probable and acceptable version. The credibility of the witnesses and the probability or improbability of what they say should not be regarded as separate enquiries to be considered piecemeal. They are part of a single investigation into the acceptability or otherwise of a plaintiff's version, an investigation where questions of demeanour and impression are measure against the content of a witness's evidence, where the importance of any discrepancies or contradictions are assessed and where a particular story is tested against facts which cannot be disputed and against the inherent probabilities, so that at the end of the day one can say with conviction that one version is more probable and should be accepted, and that therefore the other version is false and may be rejected with safety (</w:t>
            </w:r>
            <w:r w:rsidR="00D122FB" w:rsidRPr="00F2359C">
              <w:rPr>
                <w:rFonts w:ascii="Arial" w:hAnsi="Arial" w:cs="Arial"/>
                <w:i/>
                <w:lang w:val="af-ZA"/>
              </w:rPr>
              <w:t>National Employers' General Insurance Co Ltd v Jagers 1984 (4) SA 437 (E)).</w:t>
            </w:r>
            <w:r w:rsidR="00D122FB" w:rsidRPr="00F2359C">
              <w:rPr>
                <w:rFonts w:ascii="Arial" w:hAnsi="Arial" w:cs="Arial"/>
                <w:sz w:val="24"/>
                <w:szCs w:val="24"/>
                <w:lang w:val="af-ZA"/>
              </w:rPr>
              <w:t>'</w:t>
            </w:r>
          </w:p>
          <w:p w:rsidR="006A334D" w:rsidRPr="00F2359C" w:rsidRDefault="006A334D" w:rsidP="00147511">
            <w:pPr>
              <w:tabs>
                <w:tab w:val="left" w:pos="560"/>
              </w:tabs>
              <w:spacing w:after="0" w:line="360" w:lineRule="auto"/>
              <w:jc w:val="both"/>
              <w:rPr>
                <w:rFonts w:ascii="Arial" w:hAnsi="Arial" w:cs="Arial"/>
                <w:sz w:val="24"/>
                <w:szCs w:val="24"/>
                <w:lang w:val="af-ZA"/>
              </w:rPr>
            </w:pPr>
          </w:p>
          <w:p w:rsidR="00DD7B5F" w:rsidRPr="00F2359C" w:rsidRDefault="00B7387A" w:rsidP="00077F0B">
            <w:pPr>
              <w:tabs>
                <w:tab w:val="left" w:pos="560"/>
              </w:tabs>
              <w:spacing w:after="0" w:line="360" w:lineRule="auto"/>
              <w:jc w:val="both"/>
              <w:rPr>
                <w:rFonts w:ascii="Arial" w:hAnsi="Arial" w:cs="Arial"/>
                <w:i/>
                <w:sz w:val="24"/>
                <w:szCs w:val="24"/>
                <w:lang w:val="af-ZA"/>
              </w:rPr>
            </w:pPr>
            <w:r w:rsidRPr="00F2359C">
              <w:rPr>
                <w:rFonts w:ascii="Arial" w:hAnsi="Arial" w:cs="Arial"/>
                <w:sz w:val="24"/>
                <w:szCs w:val="24"/>
                <w:lang w:val="af-ZA"/>
              </w:rPr>
              <w:t>[14</w:t>
            </w:r>
            <w:r w:rsidR="00787454" w:rsidRPr="00F2359C">
              <w:rPr>
                <w:rFonts w:ascii="Arial" w:hAnsi="Arial" w:cs="Arial"/>
                <w:sz w:val="24"/>
                <w:szCs w:val="24"/>
                <w:lang w:val="af-ZA"/>
              </w:rPr>
              <w:t xml:space="preserve">]     When making inferences in civil cases Holmes JA said in </w:t>
            </w:r>
            <w:r w:rsidR="00077F0B" w:rsidRPr="00F2359C">
              <w:rPr>
                <w:rFonts w:ascii="Arial" w:hAnsi="Arial" w:cs="Arial"/>
                <w:i/>
                <w:sz w:val="24"/>
                <w:szCs w:val="24"/>
                <w:lang w:val="af-ZA"/>
              </w:rPr>
              <w:t>Ocean Accident and Guarantee Corporation Ltd v Koch</w:t>
            </w:r>
            <w:r w:rsidR="00787454" w:rsidRPr="00F2359C">
              <w:rPr>
                <w:rStyle w:val="FootnoteReference"/>
                <w:rFonts w:ascii="Arial" w:hAnsi="Arial" w:cs="Arial"/>
                <w:i/>
                <w:sz w:val="24"/>
                <w:szCs w:val="24"/>
                <w:lang w:val="af-ZA"/>
              </w:rPr>
              <w:footnoteReference w:id="5"/>
            </w:r>
            <w:r w:rsidR="00787454" w:rsidRPr="00F2359C">
              <w:rPr>
                <w:rFonts w:ascii="Arial" w:hAnsi="Arial" w:cs="Arial"/>
                <w:i/>
                <w:sz w:val="24"/>
                <w:szCs w:val="24"/>
                <w:lang w:val="af-ZA"/>
              </w:rPr>
              <w:t>:</w:t>
            </w:r>
          </w:p>
          <w:p w:rsidR="00B7387A" w:rsidRPr="00F2359C" w:rsidRDefault="00B7387A" w:rsidP="00077F0B">
            <w:pPr>
              <w:tabs>
                <w:tab w:val="left" w:pos="560"/>
              </w:tabs>
              <w:spacing w:after="0" w:line="360" w:lineRule="auto"/>
              <w:jc w:val="both"/>
              <w:rPr>
                <w:rFonts w:ascii="Arial" w:hAnsi="Arial" w:cs="Arial"/>
                <w:i/>
                <w:sz w:val="24"/>
                <w:szCs w:val="24"/>
                <w:lang w:val="af-ZA"/>
              </w:rPr>
            </w:pPr>
          </w:p>
          <w:p w:rsidR="00147511" w:rsidRPr="00F2359C" w:rsidRDefault="00DD7B5F" w:rsidP="00077F0B">
            <w:pPr>
              <w:tabs>
                <w:tab w:val="left" w:pos="560"/>
              </w:tabs>
              <w:spacing w:after="0" w:line="360" w:lineRule="auto"/>
              <w:jc w:val="both"/>
              <w:rPr>
                <w:rFonts w:ascii="Arial" w:hAnsi="Arial" w:cs="Arial"/>
                <w:lang w:val="af-ZA"/>
              </w:rPr>
            </w:pPr>
            <w:r w:rsidRPr="00F2359C">
              <w:rPr>
                <w:rFonts w:ascii="Arial" w:hAnsi="Arial" w:cs="Arial"/>
                <w:sz w:val="24"/>
                <w:szCs w:val="24"/>
                <w:lang w:val="af-ZA"/>
              </w:rPr>
              <w:lastRenderedPageBreak/>
              <w:t xml:space="preserve">        ‘</w:t>
            </w:r>
            <w:r w:rsidR="00077F0B" w:rsidRPr="00F2359C">
              <w:rPr>
                <w:rFonts w:ascii="Arial" w:hAnsi="Arial" w:cs="Arial"/>
                <w:lang w:val="af-ZA"/>
              </w:rPr>
              <w:t>As to the balancing of probabilities, I agree with the remarks of SELKE, J, in Govan v Skidmore, 1952</w:t>
            </w:r>
            <w:r w:rsidR="00B03065" w:rsidRPr="00F2359C">
              <w:rPr>
                <w:rFonts w:ascii="Arial" w:hAnsi="Arial" w:cs="Arial"/>
                <w:lang w:val="af-ZA"/>
              </w:rPr>
              <w:t xml:space="preserve"> </w:t>
            </w:r>
            <w:r w:rsidR="00077F0B" w:rsidRPr="00F2359C">
              <w:rPr>
                <w:rFonts w:ascii="Arial" w:hAnsi="Arial" w:cs="Arial"/>
                <w:lang w:val="af-ZA"/>
              </w:rPr>
              <w:t>(1) SA 732 (N) at p. 734, namely “. . . in finding facts or making inferences in a civil case, it seems to</w:t>
            </w:r>
            <w:r w:rsidR="00787454" w:rsidRPr="00F2359C">
              <w:rPr>
                <w:rFonts w:ascii="Arial" w:hAnsi="Arial" w:cs="Arial"/>
                <w:lang w:val="af-ZA"/>
              </w:rPr>
              <w:t xml:space="preserve"> </w:t>
            </w:r>
            <w:r w:rsidR="00077F0B" w:rsidRPr="00F2359C">
              <w:rPr>
                <w:rFonts w:ascii="Arial" w:hAnsi="Arial" w:cs="Arial"/>
                <w:lang w:val="af-ZA"/>
              </w:rPr>
              <w:t xml:space="preserve">me that one may, as Wigmore conveys in his work </w:t>
            </w:r>
            <w:r w:rsidR="00077F0B" w:rsidRPr="00F2359C">
              <w:rPr>
                <w:rFonts w:ascii="Arial" w:hAnsi="Arial" w:cs="Arial"/>
                <w:i/>
                <w:lang w:val="af-ZA"/>
              </w:rPr>
              <w:t>on Evidence</w:t>
            </w:r>
            <w:r w:rsidR="00077F0B" w:rsidRPr="00F2359C">
              <w:rPr>
                <w:rFonts w:ascii="Arial" w:hAnsi="Arial" w:cs="Arial"/>
                <w:lang w:val="af-ZA"/>
              </w:rPr>
              <w:t>, 3rd ed., para. 32, by balancing</w:t>
            </w:r>
            <w:r w:rsidR="00787454" w:rsidRPr="00F2359C">
              <w:rPr>
                <w:rFonts w:ascii="Arial" w:hAnsi="Arial" w:cs="Arial"/>
                <w:lang w:val="af-ZA"/>
              </w:rPr>
              <w:t xml:space="preserve"> </w:t>
            </w:r>
            <w:r w:rsidR="00077F0B" w:rsidRPr="00F2359C">
              <w:rPr>
                <w:rFonts w:ascii="Arial" w:hAnsi="Arial" w:cs="Arial"/>
                <w:lang w:val="af-ZA"/>
              </w:rPr>
              <w:t>probabilities select a conclusion which seems to be the more natural, or plausible, conclusion from</w:t>
            </w:r>
            <w:r w:rsidR="00787454" w:rsidRPr="00F2359C">
              <w:rPr>
                <w:rFonts w:ascii="Arial" w:hAnsi="Arial" w:cs="Arial"/>
                <w:lang w:val="af-ZA"/>
              </w:rPr>
              <w:t xml:space="preserve"> </w:t>
            </w:r>
            <w:r w:rsidR="00077F0B" w:rsidRPr="00F2359C">
              <w:rPr>
                <w:rFonts w:ascii="Arial" w:hAnsi="Arial" w:cs="Arial"/>
                <w:lang w:val="af-ZA"/>
              </w:rPr>
              <w:t>amongst several conceivable ones, even though that conclusion be not the only reasonable one”. I</w:t>
            </w:r>
            <w:r w:rsidR="00787454" w:rsidRPr="00F2359C">
              <w:rPr>
                <w:rFonts w:ascii="Arial" w:hAnsi="Arial" w:cs="Arial"/>
                <w:lang w:val="af-ZA"/>
              </w:rPr>
              <w:t xml:space="preserve"> </w:t>
            </w:r>
            <w:r w:rsidR="00077F0B" w:rsidRPr="00F2359C">
              <w:rPr>
                <w:rFonts w:ascii="Arial" w:hAnsi="Arial" w:cs="Arial"/>
                <w:lang w:val="af-ZA"/>
              </w:rPr>
              <w:t>need hardly add that “plausible” is not here used in its bad sense of “specious”, but in the</w:t>
            </w:r>
            <w:r w:rsidR="00787454" w:rsidRPr="00F2359C">
              <w:rPr>
                <w:rFonts w:ascii="Arial" w:hAnsi="Arial" w:cs="Arial"/>
                <w:lang w:val="af-ZA"/>
              </w:rPr>
              <w:t xml:space="preserve"> </w:t>
            </w:r>
            <w:r w:rsidR="00077F0B" w:rsidRPr="00F2359C">
              <w:rPr>
                <w:rFonts w:ascii="Arial" w:hAnsi="Arial" w:cs="Arial"/>
                <w:lang w:val="af-ZA"/>
              </w:rPr>
              <w:t>connotation which is conveyed by words such as acceptable, credible, suitable. (Oxford Dictionary,</w:t>
            </w:r>
            <w:r w:rsidR="00787454" w:rsidRPr="00F2359C">
              <w:rPr>
                <w:rFonts w:ascii="Arial" w:hAnsi="Arial" w:cs="Arial"/>
                <w:lang w:val="af-ZA"/>
              </w:rPr>
              <w:t xml:space="preserve"> </w:t>
            </w:r>
            <w:r w:rsidR="00077F0B" w:rsidRPr="00F2359C">
              <w:rPr>
                <w:rFonts w:ascii="Arial" w:hAnsi="Arial" w:cs="Arial"/>
                <w:lang w:val="af-ZA"/>
              </w:rPr>
              <w:t>and Websters’s International Dictionary).</w:t>
            </w:r>
            <w:r w:rsidR="00B7387A" w:rsidRPr="00F2359C">
              <w:rPr>
                <w:rFonts w:ascii="Arial" w:hAnsi="Arial" w:cs="Arial"/>
                <w:lang w:val="af-ZA"/>
              </w:rPr>
              <w:t>’</w:t>
            </w:r>
          </w:p>
          <w:p w:rsidR="00CE198C" w:rsidRPr="00F2359C" w:rsidRDefault="00CE198C" w:rsidP="00077F0B">
            <w:pPr>
              <w:tabs>
                <w:tab w:val="left" w:pos="560"/>
              </w:tabs>
              <w:spacing w:after="0" w:line="360" w:lineRule="auto"/>
              <w:jc w:val="both"/>
              <w:rPr>
                <w:rFonts w:ascii="Arial" w:hAnsi="Arial" w:cs="Arial"/>
                <w:sz w:val="24"/>
                <w:szCs w:val="24"/>
                <w:lang w:val="af-ZA"/>
              </w:rPr>
            </w:pPr>
          </w:p>
          <w:p w:rsidR="00CE198C" w:rsidRPr="00F2359C" w:rsidRDefault="00B7387A" w:rsidP="00077F0B">
            <w:pPr>
              <w:tabs>
                <w:tab w:val="left" w:pos="560"/>
              </w:tabs>
              <w:spacing w:after="0" w:line="360" w:lineRule="auto"/>
              <w:jc w:val="both"/>
              <w:rPr>
                <w:rFonts w:ascii="Arial" w:hAnsi="Arial" w:cs="Arial"/>
                <w:sz w:val="24"/>
                <w:szCs w:val="24"/>
                <w:lang w:val="af-ZA"/>
              </w:rPr>
            </w:pPr>
            <w:r w:rsidRPr="00F2359C">
              <w:rPr>
                <w:rFonts w:ascii="Arial" w:hAnsi="Arial" w:cs="Arial"/>
                <w:sz w:val="24"/>
                <w:szCs w:val="24"/>
                <w:lang w:val="af-ZA"/>
              </w:rPr>
              <w:t>[15</w:t>
            </w:r>
            <w:r w:rsidR="00CE198C" w:rsidRPr="00F2359C">
              <w:rPr>
                <w:rFonts w:ascii="Arial" w:hAnsi="Arial" w:cs="Arial"/>
                <w:sz w:val="24"/>
                <w:szCs w:val="24"/>
                <w:lang w:val="af-ZA"/>
              </w:rPr>
              <w:t xml:space="preserve">] </w:t>
            </w:r>
            <w:r w:rsidR="00FD5350" w:rsidRPr="00F2359C">
              <w:rPr>
                <w:rFonts w:ascii="Arial" w:hAnsi="Arial" w:cs="Arial"/>
                <w:sz w:val="24"/>
                <w:szCs w:val="24"/>
                <w:lang w:val="af-ZA"/>
              </w:rPr>
              <w:t xml:space="preserve">  </w:t>
            </w:r>
            <w:r w:rsidR="00CE198C" w:rsidRPr="00F2359C">
              <w:rPr>
                <w:rFonts w:ascii="Arial" w:hAnsi="Arial" w:cs="Arial"/>
                <w:sz w:val="24"/>
                <w:szCs w:val="24"/>
                <w:lang w:val="af-ZA"/>
              </w:rPr>
              <w:t xml:space="preserve"> </w:t>
            </w:r>
            <w:r w:rsidR="007B776B" w:rsidRPr="00F2359C">
              <w:rPr>
                <w:rFonts w:ascii="Arial" w:hAnsi="Arial" w:cs="Arial"/>
                <w:sz w:val="24"/>
                <w:szCs w:val="24"/>
                <w:lang w:val="af-ZA"/>
              </w:rPr>
              <w:t xml:space="preserve"> </w:t>
            </w:r>
            <w:r w:rsidR="00CE198C" w:rsidRPr="00F2359C">
              <w:rPr>
                <w:rFonts w:ascii="Arial" w:hAnsi="Arial" w:cs="Arial"/>
                <w:sz w:val="24"/>
                <w:szCs w:val="24"/>
                <w:lang w:val="af-ZA"/>
              </w:rPr>
              <w:t>The process the court</w:t>
            </w:r>
            <w:r w:rsidR="00386F9B" w:rsidRPr="00F2359C">
              <w:rPr>
                <w:rFonts w:ascii="Arial" w:hAnsi="Arial" w:cs="Arial"/>
                <w:sz w:val="24"/>
                <w:szCs w:val="24"/>
                <w:lang w:val="af-ZA"/>
              </w:rPr>
              <w:t>s in Namibia apply</w:t>
            </w:r>
            <w:r w:rsidR="00CE198C" w:rsidRPr="00F2359C">
              <w:rPr>
                <w:rFonts w:ascii="Arial" w:hAnsi="Arial" w:cs="Arial"/>
                <w:sz w:val="24"/>
                <w:szCs w:val="24"/>
                <w:lang w:val="af-ZA"/>
              </w:rPr>
              <w:t xml:space="preserve"> is perhaps best sumarized in </w:t>
            </w:r>
            <w:r w:rsidR="00CE198C" w:rsidRPr="00F2359C">
              <w:rPr>
                <w:rFonts w:ascii="Arial" w:hAnsi="Arial" w:cs="Arial"/>
                <w:i/>
                <w:sz w:val="24"/>
                <w:szCs w:val="24"/>
                <w:lang w:val="af-ZA"/>
              </w:rPr>
              <w:t>Ndabeni v Nandu</w:t>
            </w:r>
            <w:r w:rsidR="00CE198C" w:rsidRPr="00F2359C">
              <w:rPr>
                <w:rFonts w:ascii="Arial" w:hAnsi="Arial" w:cs="Arial"/>
                <w:sz w:val="24"/>
                <w:szCs w:val="24"/>
                <w:lang w:val="af-ZA"/>
              </w:rPr>
              <w:t xml:space="preserve"> </w:t>
            </w:r>
            <w:r w:rsidR="00CE198C" w:rsidRPr="00F2359C">
              <w:rPr>
                <w:rStyle w:val="FootnoteReference"/>
                <w:rFonts w:ascii="Arial" w:hAnsi="Arial" w:cs="Arial"/>
                <w:sz w:val="24"/>
                <w:szCs w:val="24"/>
                <w:lang w:val="af-ZA"/>
              </w:rPr>
              <w:footnoteReference w:id="6"/>
            </w:r>
            <w:r w:rsidR="00CE198C" w:rsidRPr="00F2359C">
              <w:rPr>
                <w:rFonts w:ascii="Arial" w:hAnsi="Arial" w:cs="Arial"/>
                <w:sz w:val="24"/>
                <w:szCs w:val="24"/>
                <w:lang w:val="af-ZA"/>
              </w:rPr>
              <w:t>where Masuku AJ said the following regarding the approach to make a finding on these issues:</w:t>
            </w:r>
          </w:p>
          <w:p w:rsidR="00DD7B5F" w:rsidRPr="00F2359C" w:rsidRDefault="00DD7B5F" w:rsidP="00077F0B">
            <w:pPr>
              <w:tabs>
                <w:tab w:val="left" w:pos="560"/>
              </w:tabs>
              <w:spacing w:after="0" w:line="360" w:lineRule="auto"/>
              <w:jc w:val="both"/>
              <w:rPr>
                <w:rFonts w:ascii="Arial" w:hAnsi="Arial" w:cs="Arial"/>
                <w:sz w:val="24"/>
                <w:szCs w:val="24"/>
                <w:lang w:val="af-ZA"/>
              </w:rPr>
            </w:pPr>
          </w:p>
          <w:p w:rsidR="00CE198C" w:rsidRPr="00F2359C" w:rsidRDefault="00DD7B5F" w:rsidP="00CE198C">
            <w:pPr>
              <w:tabs>
                <w:tab w:val="left" w:pos="560"/>
              </w:tabs>
              <w:spacing w:after="0" w:line="360" w:lineRule="auto"/>
              <w:jc w:val="both"/>
              <w:rPr>
                <w:rFonts w:ascii="Arial" w:hAnsi="Arial" w:cs="Arial"/>
                <w:lang w:val="af-ZA"/>
              </w:rPr>
            </w:pPr>
            <w:r w:rsidRPr="00F2359C">
              <w:rPr>
                <w:rFonts w:ascii="Arial" w:hAnsi="Arial" w:cs="Arial"/>
                <w:sz w:val="24"/>
                <w:szCs w:val="24"/>
                <w:lang w:val="af-ZA"/>
              </w:rPr>
              <w:t xml:space="preserve">    </w:t>
            </w:r>
            <w:r w:rsidR="00FD5350" w:rsidRPr="00F2359C">
              <w:rPr>
                <w:rFonts w:ascii="Arial" w:hAnsi="Arial" w:cs="Arial"/>
                <w:sz w:val="24"/>
                <w:szCs w:val="24"/>
                <w:lang w:val="af-ZA"/>
              </w:rPr>
              <w:t xml:space="preserve">   </w:t>
            </w:r>
            <w:r w:rsidRPr="00F2359C">
              <w:rPr>
                <w:rFonts w:ascii="Arial" w:hAnsi="Arial" w:cs="Arial"/>
                <w:sz w:val="24"/>
                <w:szCs w:val="24"/>
                <w:lang w:val="af-ZA"/>
              </w:rPr>
              <w:t xml:space="preserve"> ‘</w:t>
            </w:r>
            <w:r w:rsidR="00CE198C" w:rsidRPr="00F2359C">
              <w:rPr>
                <w:rFonts w:ascii="Arial" w:hAnsi="Arial" w:cs="Arial"/>
                <w:lang w:val="af-ZA"/>
              </w:rPr>
              <w:t xml:space="preserve">The question is, how should the court approach the issues so as to make a finding on the disputed issues? In </w:t>
            </w:r>
            <w:r w:rsidR="00CE198C" w:rsidRPr="00F2359C">
              <w:rPr>
                <w:rFonts w:ascii="Arial" w:hAnsi="Arial" w:cs="Arial"/>
                <w:i/>
                <w:lang w:val="af-ZA"/>
              </w:rPr>
              <w:t>SFW Group Ltd And Another v Martell Et Cie And Others</w:t>
            </w:r>
            <w:r w:rsidR="00CE198C" w:rsidRPr="00F2359C">
              <w:rPr>
                <w:rFonts w:ascii="Arial" w:hAnsi="Arial" w:cs="Arial"/>
                <w:lang w:val="af-ZA"/>
              </w:rPr>
              <w:t xml:space="preserve"> (2003 (1) SA 11 (SCA) at page 14H – 15E) NienaberJA suggested the following formula, which has been adopted as applicable even in this jurisdiction in the case of </w:t>
            </w:r>
            <w:r w:rsidR="00CE198C" w:rsidRPr="00F2359C">
              <w:rPr>
                <w:rFonts w:ascii="Arial" w:hAnsi="Arial" w:cs="Arial"/>
                <w:i/>
                <w:lang w:val="af-ZA"/>
              </w:rPr>
              <w:t>Life Office of Namibia Ltd v Amakali</w:t>
            </w:r>
            <w:r w:rsidR="00CE198C" w:rsidRPr="00F2359C">
              <w:rPr>
                <w:rFonts w:ascii="Arial" w:hAnsi="Arial" w:cs="Arial"/>
                <w:lang w:val="af-ZA"/>
              </w:rPr>
              <w:t xml:space="preserve"> (</w:t>
            </w:r>
            <w:r w:rsidR="00386F9B" w:rsidRPr="00F2359C">
              <w:rPr>
                <w:rFonts w:ascii="Arial" w:hAnsi="Arial" w:cs="Arial"/>
                <w:lang w:val="af-ZA"/>
              </w:rPr>
              <w:t>2014 NR 1119 (LC) page 1129-1130)</w:t>
            </w:r>
            <w:r w:rsidR="00CE198C" w:rsidRPr="00F2359C">
              <w:rPr>
                <w:rFonts w:ascii="Arial" w:hAnsi="Arial" w:cs="Arial"/>
                <w:lang w:val="af-ZA"/>
              </w:rPr>
              <w:t>:</w:t>
            </w:r>
          </w:p>
          <w:p w:rsidR="00CE198C" w:rsidRPr="00F2359C" w:rsidRDefault="00CE198C" w:rsidP="00CE198C">
            <w:pPr>
              <w:tabs>
                <w:tab w:val="left" w:pos="560"/>
              </w:tabs>
              <w:spacing w:after="0" w:line="360" w:lineRule="auto"/>
              <w:jc w:val="both"/>
              <w:rPr>
                <w:rFonts w:ascii="Arial" w:hAnsi="Arial" w:cs="Arial"/>
                <w:lang w:val="af-ZA"/>
              </w:rPr>
            </w:pPr>
          </w:p>
          <w:p w:rsidR="00386F9B" w:rsidRPr="00F2359C" w:rsidRDefault="00FD5350" w:rsidP="00CE198C">
            <w:pPr>
              <w:tabs>
                <w:tab w:val="left" w:pos="560"/>
              </w:tabs>
              <w:spacing w:after="0" w:line="360" w:lineRule="auto"/>
              <w:jc w:val="both"/>
              <w:rPr>
                <w:rFonts w:ascii="Arial" w:hAnsi="Arial" w:cs="Arial"/>
                <w:lang w:val="af-ZA"/>
              </w:rPr>
            </w:pPr>
            <w:r w:rsidRPr="00F2359C">
              <w:rPr>
                <w:rFonts w:ascii="Arial" w:hAnsi="Arial" w:cs="Arial"/>
                <w:lang w:val="af-ZA"/>
              </w:rPr>
              <w:t xml:space="preserve">          </w:t>
            </w:r>
            <w:r w:rsidR="00CE198C" w:rsidRPr="00F2359C">
              <w:rPr>
                <w:rFonts w:ascii="Arial" w:hAnsi="Arial" w:cs="Arial"/>
                <w:lang w:val="af-ZA"/>
              </w:rPr>
              <w:t xml:space="preserve">‘The technique generally employed by our courts in resolving factual disputes of this nature may conveniently be summarized as follows. To come to a conclusion on the disputed issues, a court must make findings on </w:t>
            </w:r>
          </w:p>
          <w:p w:rsidR="00386F9B" w:rsidRPr="00F2359C" w:rsidRDefault="00CE198C" w:rsidP="00CE198C">
            <w:pPr>
              <w:tabs>
                <w:tab w:val="left" w:pos="560"/>
              </w:tabs>
              <w:spacing w:after="0" w:line="360" w:lineRule="auto"/>
              <w:jc w:val="both"/>
              <w:rPr>
                <w:rFonts w:ascii="Arial" w:hAnsi="Arial" w:cs="Arial"/>
                <w:lang w:val="af-ZA"/>
              </w:rPr>
            </w:pPr>
            <w:r w:rsidRPr="00F2359C">
              <w:rPr>
                <w:rFonts w:ascii="Arial" w:hAnsi="Arial" w:cs="Arial"/>
                <w:lang w:val="af-ZA"/>
              </w:rPr>
              <w:t xml:space="preserve">(a) the credibility of the various factual witnesses; (b) their reliability; and (c) the probabilities. </w:t>
            </w:r>
          </w:p>
          <w:p w:rsidR="00386F9B" w:rsidRPr="00F2359C" w:rsidRDefault="00386F9B" w:rsidP="00CE198C">
            <w:pPr>
              <w:tabs>
                <w:tab w:val="left" w:pos="560"/>
              </w:tabs>
              <w:spacing w:after="0" w:line="360" w:lineRule="auto"/>
              <w:jc w:val="both"/>
              <w:rPr>
                <w:rFonts w:ascii="Arial" w:hAnsi="Arial" w:cs="Arial"/>
                <w:lang w:val="af-ZA"/>
              </w:rPr>
            </w:pPr>
          </w:p>
          <w:p w:rsidR="00386F9B" w:rsidRPr="00F2359C" w:rsidRDefault="00CE198C" w:rsidP="00CE198C">
            <w:pPr>
              <w:tabs>
                <w:tab w:val="left" w:pos="560"/>
              </w:tabs>
              <w:spacing w:after="0" w:line="360" w:lineRule="auto"/>
              <w:jc w:val="both"/>
              <w:rPr>
                <w:rFonts w:ascii="Arial" w:hAnsi="Arial" w:cs="Arial"/>
                <w:lang w:val="af-ZA"/>
              </w:rPr>
            </w:pPr>
            <w:r w:rsidRPr="00F2359C">
              <w:rPr>
                <w:rFonts w:ascii="Arial" w:hAnsi="Arial" w:cs="Arial"/>
                <w:lang w:val="af-ZA"/>
              </w:rPr>
              <w:t>As to (a), the court’s finding on the credibility of a particular witness will depend on its impression about the veracity of the witness. That in turn will depend on variety of subsidiary factors, not necessarily in order of importance, such as</w:t>
            </w:r>
          </w:p>
          <w:p w:rsidR="00386F9B" w:rsidRPr="00F2359C" w:rsidRDefault="00CE198C" w:rsidP="00386F9B">
            <w:pPr>
              <w:pStyle w:val="ListParagraph"/>
              <w:numPr>
                <w:ilvl w:val="0"/>
                <w:numId w:val="6"/>
              </w:numPr>
              <w:tabs>
                <w:tab w:val="left" w:pos="560"/>
              </w:tabs>
              <w:spacing w:after="0" w:line="360" w:lineRule="auto"/>
              <w:jc w:val="both"/>
              <w:rPr>
                <w:rFonts w:ascii="Arial" w:hAnsi="Arial" w:cs="Arial"/>
                <w:lang w:val="af-ZA"/>
              </w:rPr>
            </w:pPr>
            <w:r w:rsidRPr="00F2359C">
              <w:rPr>
                <w:rFonts w:ascii="Arial" w:hAnsi="Arial" w:cs="Arial"/>
                <w:lang w:val="af-ZA"/>
              </w:rPr>
              <w:t>the witness’s candour and demeanour;</w:t>
            </w:r>
          </w:p>
          <w:p w:rsidR="00386F9B" w:rsidRPr="00F2359C" w:rsidRDefault="00386F9B" w:rsidP="00386F9B">
            <w:pPr>
              <w:pStyle w:val="ListParagraph"/>
              <w:numPr>
                <w:ilvl w:val="0"/>
                <w:numId w:val="6"/>
              </w:numPr>
              <w:tabs>
                <w:tab w:val="left" w:pos="560"/>
              </w:tabs>
              <w:spacing w:after="0" w:line="360" w:lineRule="auto"/>
              <w:jc w:val="both"/>
              <w:rPr>
                <w:rFonts w:ascii="Arial" w:hAnsi="Arial" w:cs="Arial"/>
                <w:sz w:val="24"/>
                <w:szCs w:val="24"/>
                <w:lang w:val="af-ZA"/>
              </w:rPr>
            </w:pPr>
            <w:r w:rsidRPr="00F2359C">
              <w:rPr>
                <w:rFonts w:ascii="Arial" w:hAnsi="Arial" w:cs="Arial"/>
                <w:lang w:val="af-ZA"/>
              </w:rPr>
              <w:t>his bias, latent and blatant,</w:t>
            </w:r>
          </w:p>
          <w:p w:rsidR="00386F9B" w:rsidRPr="00F2359C" w:rsidRDefault="00CE198C" w:rsidP="00386F9B">
            <w:pPr>
              <w:pStyle w:val="ListParagraph"/>
              <w:numPr>
                <w:ilvl w:val="0"/>
                <w:numId w:val="6"/>
              </w:numPr>
              <w:tabs>
                <w:tab w:val="left" w:pos="560"/>
              </w:tabs>
              <w:spacing w:after="0" w:line="360" w:lineRule="auto"/>
              <w:jc w:val="both"/>
              <w:rPr>
                <w:rFonts w:ascii="Arial" w:hAnsi="Arial" w:cs="Arial"/>
                <w:sz w:val="24"/>
                <w:szCs w:val="24"/>
                <w:lang w:val="af-ZA"/>
              </w:rPr>
            </w:pPr>
            <w:r w:rsidRPr="00F2359C">
              <w:rPr>
                <w:rFonts w:ascii="Arial" w:hAnsi="Arial" w:cs="Arial"/>
                <w:lang w:val="af-ZA"/>
              </w:rPr>
              <w:t xml:space="preserve">internal contradictions in his evidence, </w:t>
            </w:r>
          </w:p>
          <w:p w:rsidR="00386F9B" w:rsidRPr="00F2359C" w:rsidRDefault="00CE198C" w:rsidP="00386F9B">
            <w:pPr>
              <w:pStyle w:val="ListParagraph"/>
              <w:numPr>
                <w:ilvl w:val="0"/>
                <w:numId w:val="6"/>
              </w:numPr>
              <w:tabs>
                <w:tab w:val="left" w:pos="560"/>
              </w:tabs>
              <w:spacing w:after="0" w:line="360" w:lineRule="auto"/>
              <w:ind w:left="559" w:hanging="514"/>
              <w:jc w:val="both"/>
              <w:rPr>
                <w:rFonts w:ascii="Arial" w:hAnsi="Arial" w:cs="Arial"/>
                <w:sz w:val="24"/>
                <w:szCs w:val="24"/>
                <w:lang w:val="af-ZA"/>
              </w:rPr>
            </w:pPr>
            <w:r w:rsidRPr="00F2359C">
              <w:rPr>
                <w:rFonts w:ascii="Arial" w:hAnsi="Arial" w:cs="Arial"/>
                <w:lang w:val="af-ZA"/>
              </w:rPr>
              <w:t xml:space="preserve">external contradictions with what was pleaded or put on his behalf, or with established fact or with his own extra-curial statements or actions, </w:t>
            </w:r>
          </w:p>
          <w:p w:rsidR="00386F9B" w:rsidRPr="00F2359C" w:rsidRDefault="00CE198C" w:rsidP="00386F9B">
            <w:pPr>
              <w:pStyle w:val="ListParagraph"/>
              <w:numPr>
                <w:ilvl w:val="0"/>
                <w:numId w:val="6"/>
              </w:numPr>
              <w:tabs>
                <w:tab w:val="left" w:pos="560"/>
              </w:tabs>
              <w:spacing w:after="0" w:line="360" w:lineRule="auto"/>
              <w:jc w:val="both"/>
              <w:rPr>
                <w:rFonts w:ascii="Arial" w:hAnsi="Arial" w:cs="Arial"/>
                <w:sz w:val="24"/>
                <w:szCs w:val="24"/>
                <w:lang w:val="af-ZA"/>
              </w:rPr>
            </w:pPr>
            <w:r w:rsidRPr="00F2359C">
              <w:rPr>
                <w:rFonts w:ascii="Arial" w:hAnsi="Arial" w:cs="Arial"/>
                <w:lang w:val="af-ZA"/>
              </w:rPr>
              <w:t>the probability or improbability of par</w:t>
            </w:r>
            <w:r w:rsidR="00386F9B" w:rsidRPr="00F2359C">
              <w:rPr>
                <w:rFonts w:ascii="Arial" w:hAnsi="Arial" w:cs="Arial"/>
                <w:lang w:val="af-ZA"/>
              </w:rPr>
              <w:t>ticular aspects of his version,</w:t>
            </w:r>
          </w:p>
          <w:p w:rsidR="00CE198C" w:rsidRPr="00F2359C" w:rsidRDefault="00CE198C" w:rsidP="00386F9B">
            <w:pPr>
              <w:pStyle w:val="ListParagraph"/>
              <w:numPr>
                <w:ilvl w:val="0"/>
                <w:numId w:val="6"/>
              </w:numPr>
              <w:tabs>
                <w:tab w:val="left" w:pos="560"/>
              </w:tabs>
              <w:spacing w:after="0" w:line="360" w:lineRule="auto"/>
              <w:ind w:left="559" w:hanging="514"/>
              <w:jc w:val="both"/>
              <w:rPr>
                <w:rFonts w:ascii="Arial" w:hAnsi="Arial" w:cs="Arial"/>
                <w:sz w:val="24"/>
                <w:szCs w:val="24"/>
                <w:lang w:val="af-ZA"/>
              </w:rPr>
            </w:pPr>
            <w:r w:rsidRPr="00F2359C">
              <w:rPr>
                <w:rFonts w:ascii="Arial" w:hAnsi="Arial" w:cs="Arial"/>
                <w:lang w:val="af-ZA"/>
              </w:rPr>
              <w:t>the calibre and cogency of his performance compared to that of other witn</w:t>
            </w:r>
            <w:r w:rsidR="00386F9B" w:rsidRPr="00F2359C">
              <w:rPr>
                <w:rFonts w:ascii="Arial" w:hAnsi="Arial" w:cs="Arial"/>
                <w:lang w:val="af-ZA"/>
              </w:rPr>
              <w:t xml:space="preserve">esses testifying about the same </w:t>
            </w:r>
            <w:r w:rsidRPr="00F2359C">
              <w:rPr>
                <w:rFonts w:ascii="Arial" w:hAnsi="Arial" w:cs="Arial"/>
                <w:lang w:val="af-ZA"/>
              </w:rPr>
              <w:t xml:space="preserve">incident or events . . </w:t>
            </w:r>
            <w:r w:rsidRPr="00F2359C">
              <w:rPr>
                <w:rFonts w:ascii="Arial" w:hAnsi="Arial" w:cs="Arial"/>
                <w:sz w:val="24"/>
                <w:szCs w:val="24"/>
                <w:lang w:val="af-ZA"/>
              </w:rPr>
              <w:t>.’</w:t>
            </w:r>
          </w:p>
          <w:p w:rsidR="00147511" w:rsidRPr="00F2359C" w:rsidRDefault="00147511" w:rsidP="00147511">
            <w:pPr>
              <w:tabs>
                <w:tab w:val="left" w:pos="560"/>
              </w:tabs>
              <w:spacing w:after="0" w:line="360" w:lineRule="auto"/>
              <w:jc w:val="both"/>
              <w:rPr>
                <w:rFonts w:ascii="Arial" w:hAnsi="Arial" w:cs="Arial"/>
                <w:sz w:val="24"/>
                <w:szCs w:val="24"/>
                <w:lang w:val="af-ZA"/>
              </w:rPr>
            </w:pPr>
          </w:p>
          <w:p w:rsidR="00675384" w:rsidRPr="00F2359C" w:rsidRDefault="00675384" w:rsidP="00675384">
            <w:pPr>
              <w:tabs>
                <w:tab w:val="left" w:pos="560"/>
              </w:tabs>
              <w:spacing w:after="0" w:line="360" w:lineRule="auto"/>
              <w:jc w:val="both"/>
              <w:rPr>
                <w:rFonts w:ascii="Arial" w:hAnsi="Arial" w:cs="Arial"/>
                <w:sz w:val="24"/>
                <w:szCs w:val="24"/>
                <w:u w:val="single"/>
              </w:rPr>
            </w:pPr>
            <w:r w:rsidRPr="00F2359C">
              <w:rPr>
                <w:rFonts w:ascii="Arial" w:hAnsi="Arial" w:cs="Arial"/>
                <w:sz w:val="24"/>
                <w:szCs w:val="24"/>
                <w:u w:val="single"/>
              </w:rPr>
              <w:t>Evaluation of evidence</w:t>
            </w:r>
          </w:p>
          <w:p w:rsidR="00675384" w:rsidRPr="00F2359C" w:rsidRDefault="00675384" w:rsidP="00675384">
            <w:pPr>
              <w:tabs>
                <w:tab w:val="left" w:pos="560"/>
              </w:tabs>
              <w:spacing w:after="0" w:line="360" w:lineRule="auto"/>
              <w:jc w:val="both"/>
              <w:rPr>
                <w:rFonts w:ascii="Arial" w:hAnsi="Arial" w:cs="Arial"/>
                <w:sz w:val="24"/>
                <w:szCs w:val="24"/>
              </w:rPr>
            </w:pPr>
          </w:p>
          <w:p w:rsidR="00675384" w:rsidRPr="00F2359C" w:rsidRDefault="00675384" w:rsidP="00675384">
            <w:pPr>
              <w:tabs>
                <w:tab w:val="left" w:pos="560"/>
              </w:tabs>
              <w:spacing w:after="0" w:line="360" w:lineRule="auto"/>
              <w:jc w:val="both"/>
              <w:rPr>
                <w:rFonts w:ascii="Arial" w:hAnsi="Arial" w:cs="Arial"/>
                <w:sz w:val="24"/>
                <w:szCs w:val="24"/>
              </w:rPr>
            </w:pPr>
            <w:r w:rsidRPr="00F2359C">
              <w:rPr>
                <w:rFonts w:ascii="Arial" w:hAnsi="Arial" w:cs="Arial"/>
                <w:sz w:val="24"/>
                <w:szCs w:val="24"/>
              </w:rPr>
              <w:t>[</w:t>
            </w:r>
            <w:r w:rsidR="00B7387A" w:rsidRPr="00F2359C">
              <w:rPr>
                <w:rFonts w:ascii="Arial" w:hAnsi="Arial" w:cs="Arial"/>
                <w:sz w:val="24"/>
                <w:szCs w:val="24"/>
              </w:rPr>
              <w:t>16</w:t>
            </w:r>
            <w:r w:rsidR="00DD7B5F" w:rsidRPr="00F2359C">
              <w:rPr>
                <w:rFonts w:ascii="Arial" w:hAnsi="Arial" w:cs="Arial"/>
                <w:sz w:val="24"/>
                <w:szCs w:val="24"/>
              </w:rPr>
              <w:t>]</w:t>
            </w:r>
            <w:r w:rsidR="00DD7B5F" w:rsidRPr="00F2359C">
              <w:rPr>
                <w:rFonts w:ascii="Arial" w:hAnsi="Arial" w:cs="Arial"/>
                <w:sz w:val="24"/>
                <w:szCs w:val="24"/>
              </w:rPr>
              <w:tab/>
              <w:t>The second</w:t>
            </w:r>
            <w:r w:rsidRPr="00F2359C">
              <w:rPr>
                <w:rFonts w:ascii="Arial" w:hAnsi="Arial" w:cs="Arial"/>
                <w:sz w:val="24"/>
                <w:szCs w:val="24"/>
              </w:rPr>
              <w:t xml:space="preserve"> defendant was a credible witness who remained steadfast in his version of events an</w:t>
            </w:r>
            <w:r w:rsidR="00B7387A" w:rsidRPr="00F2359C">
              <w:rPr>
                <w:rFonts w:ascii="Arial" w:hAnsi="Arial" w:cs="Arial"/>
                <w:sz w:val="24"/>
                <w:szCs w:val="24"/>
              </w:rPr>
              <w:t>d did not contradict himself,</w:t>
            </w:r>
            <w:r w:rsidRPr="00F2359C">
              <w:rPr>
                <w:rFonts w:ascii="Arial" w:hAnsi="Arial" w:cs="Arial"/>
                <w:sz w:val="24"/>
                <w:szCs w:val="24"/>
              </w:rPr>
              <w:t xml:space="preserve"> although the first defendant remained steadfast in his version, he did not strike me as being entirely candid and honest. During cross-examination the first defendant was evasive and answered more than once t</w:t>
            </w:r>
            <w:r w:rsidR="00B7387A" w:rsidRPr="00F2359C">
              <w:rPr>
                <w:rFonts w:ascii="Arial" w:hAnsi="Arial" w:cs="Arial"/>
                <w:sz w:val="24"/>
                <w:szCs w:val="24"/>
              </w:rPr>
              <w:t xml:space="preserve">hat he simply cannot remember. </w:t>
            </w:r>
            <w:r w:rsidRPr="00F2359C">
              <w:rPr>
                <w:rFonts w:ascii="Arial" w:hAnsi="Arial" w:cs="Arial"/>
                <w:sz w:val="24"/>
                <w:szCs w:val="24"/>
              </w:rPr>
              <w:t>His version of the accident was also never put to the witness of the plaintiff and he could therefore not respond on the allegation that he swerved into the lane of the BMW as well as that the driver of the BMW tried to avoid the accident by swerving left, and that is why most of the damages to the Isuzu vehicle was on the left rear end.</w:t>
            </w:r>
          </w:p>
          <w:p w:rsidR="00675384" w:rsidRPr="00F2359C" w:rsidRDefault="00675384" w:rsidP="00675384">
            <w:pPr>
              <w:tabs>
                <w:tab w:val="left" w:pos="560"/>
              </w:tabs>
              <w:spacing w:after="0" w:line="360" w:lineRule="auto"/>
              <w:jc w:val="both"/>
              <w:rPr>
                <w:rFonts w:ascii="Arial" w:hAnsi="Arial" w:cs="Arial"/>
                <w:sz w:val="24"/>
                <w:szCs w:val="24"/>
              </w:rPr>
            </w:pPr>
          </w:p>
          <w:p w:rsidR="00675384" w:rsidRPr="00F2359C" w:rsidRDefault="00675384" w:rsidP="00675384">
            <w:pPr>
              <w:tabs>
                <w:tab w:val="left" w:pos="560"/>
              </w:tabs>
              <w:spacing w:after="0" w:line="360" w:lineRule="auto"/>
              <w:jc w:val="both"/>
              <w:rPr>
                <w:rFonts w:ascii="Arial" w:hAnsi="Arial" w:cs="Arial"/>
                <w:sz w:val="24"/>
                <w:szCs w:val="24"/>
              </w:rPr>
            </w:pPr>
            <w:r w:rsidRPr="00F2359C">
              <w:rPr>
                <w:rFonts w:ascii="Arial" w:hAnsi="Arial" w:cs="Arial"/>
                <w:sz w:val="24"/>
                <w:szCs w:val="24"/>
              </w:rPr>
              <w:t>[</w:t>
            </w:r>
            <w:r w:rsidR="00787454" w:rsidRPr="00F2359C">
              <w:rPr>
                <w:rFonts w:ascii="Arial" w:hAnsi="Arial" w:cs="Arial"/>
                <w:sz w:val="24"/>
                <w:szCs w:val="24"/>
              </w:rPr>
              <w:t>1</w:t>
            </w:r>
            <w:r w:rsidR="00B7387A" w:rsidRPr="00F2359C">
              <w:rPr>
                <w:rFonts w:ascii="Arial" w:hAnsi="Arial" w:cs="Arial"/>
                <w:sz w:val="24"/>
                <w:szCs w:val="24"/>
              </w:rPr>
              <w:t>7</w:t>
            </w:r>
            <w:r w:rsidRPr="00F2359C">
              <w:rPr>
                <w:rFonts w:ascii="Arial" w:hAnsi="Arial" w:cs="Arial"/>
                <w:sz w:val="24"/>
                <w:szCs w:val="24"/>
              </w:rPr>
              <w:t>]</w:t>
            </w:r>
            <w:r w:rsidRPr="00F2359C">
              <w:rPr>
                <w:rFonts w:ascii="Arial" w:hAnsi="Arial" w:cs="Arial"/>
                <w:sz w:val="24"/>
                <w:szCs w:val="24"/>
              </w:rPr>
              <w:tab/>
            </w:r>
            <w:r w:rsidR="00E02A11" w:rsidRPr="00F2359C">
              <w:rPr>
                <w:rFonts w:ascii="Arial" w:hAnsi="Arial" w:cs="Arial"/>
                <w:sz w:val="24"/>
                <w:szCs w:val="24"/>
              </w:rPr>
              <w:t xml:space="preserve"> </w:t>
            </w:r>
            <w:r w:rsidRPr="00F2359C">
              <w:rPr>
                <w:rFonts w:ascii="Arial" w:hAnsi="Arial" w:cs="Arial"/>
                <w:sz w:val="24"/>
                <w:szCs w:val="24"/>
              </w:rPr>
              <w:t>What is before me is based on the evidence of two single witnesses. I have considered the evidence and submissions and in weighing the evidence on both side</w:t>
            </w:r>
            <w:r w:rsidR="00787454" w:rsidRPr="00F2359C">
              <w:rPr>
                <w:rFonts w:ascii="Arial" w:hAnsi="Arial" w:cs="Arial"/>
                <w:sz w:val="24"/>
                <w:szCs w:val="24"/>
              </w:rPr>
              <w:t>s</w:t>
            </w:r>
            <w:r w:rsidRPr="00F2359C">
              <w:rPr>
                <w:rFonts w:ascii="Arial" w:hAnsi="Arial" w:cs="Arial"/>
                <w:sz w:val="24"/>
                <w:szCs w:val="24"/>
              </w:rPr>
              <w:t xml:space="preserve"> it is evident that the versions of the plaintiff and the defendants are mutually destructive.</w:t>
            </w:r>
            <w:r w:rsidR="00B7387A" w:rsidRPr="00F2359C">
              <w:rPr>
                <w:rFonts w:ascii="Arial" w:hAnsi="Arial" w:cs="Arial"/>
                <w:sz w:val="24"/>
                <w:szCs w:val="24"/>
              </w:rPr>
              <w:t xml:space="preserve"> </w:t>
            </w:r>
            <w:r w:rsidR="00DD7B5F" w:rsidRPr="00F2359C">
              <w:rPr>
                <w:rFonts w:ascii="Arial" w:hAnsi="Arial" w:cs="Arial"/>
                <w:sz w:val="24"/>
                <w:szCs w:val="24"/>
              </w:rPr>
              <w:t xml:space="preserve">The version of the second </w:t>
            </w:r>
            <w:r w:rsidR="00787454" w:rsidRPr="00F2359C">
              <w:rPr>
                <w:rFonts w:ascii="Arial" w:hAnsi="Arial" w:cs="Arial"/>
                <w:sz w:val="24"/>
                <w:szCs w:val="24"/>
              </w:rPr>
              <w:t xml:space="preserve">defendant on behalf of the plaintiff and that of the first defendant cannot be reconciled with one another as they differ as to where the accident occurred and how the accident occurred. </w:t>
            </w:r>
          </w:p>
          <w:p w:rsidR="00675384" w:rsidRPr="00F2359C" w:rsidRDefault="00675384" w:rsidP="00675384">
            <w:pPr>
              <w:tabs>
                <w:tab w:val="left" w:pos="560"/>
              </w:tabs>
              <w:spacing w:after="0" w:line="360" w:lineRule="auto"/>
              <w:jc w:val="both"/>
              <w:rPr>
                <w:rFonts w:ascii="Arial" w:hAnsi="Arial" w:cs="Arial"/>
                <w:sz w:val="24"/>
                <w:szCs w:val="24"/>
                <w:highlight w:val="yellow"/>
              </w:rPr>
            </w:pPr>
          </w:p>
          <w:p w:rsidR="00147511" w:rsidRPr="00F2359C" w:rsidRDefault="00675384" w:rsidP="00675384">
            <w:pPr>
              <w:tabs>
                <w:tab w:val="left" w:pos="560"/>
              </w:tabs>
              <w:spacing w:after="0" w:line="360" w:lineRule="auto"/>
              <w:jc w:val="both"/>
              <w:rPr>
                <w:rFonts w:ascii="Arial" w:hAnsi="Arial" w:cs="Arial"/>
                <w:sz w:val="24"/>
                <w:szCs w:val="24"/>
              </w:rPr>
            </w:pPr>
            <w:r w:rsidRPr="00F2359C">
              <w:rPr>
                <w:rFonts w:ascii="Arial" w:hAnsi="Arial" w:cs="Arial"/>
                <w:sz w:val="24"/>
                <w:szCs w:val="24"/>
              </w:rPr>
              <w:t>[</w:t>
            </w:r>
            <w:r w:rsidR="00787454" w:rsidRPr="00F2359C">
              <w:rPr>
                <w:rFonts w:ascii="Arial" w:hAnsi="Arial" w:cs="Arial"/>
                <w:sz w:val="24"/>
                <w:szCs w:val="24"/>
              </w:rPr>
              <w:t>1</w:t>
            </w:r>
            <w:r w:rsidR="00B7387A" w:rsidRPr="00F2359C">
              <w:rPr>
                <w:rFonts w:ascii="Arial" w:hAnsi="Arial" w:cs="Arial"/>
                <w:sz w:val="24"/>
                <w:szCs w:val="24"/>
              </w:rPr>
              <w:t>8</w:t>
            </w:r>
            <w:r w:rsidR="00E02A11" w:rsidRPr="00F2359C">
              <w:rPr>
                <w:rFonts w:ascii="Arial" w:hAnsi="Arial" w:cs="Arial"/>
                <w:sz w:val="24"/>
                <w:szCs w:val="24"/>
              </w:rPr>
              <w:t>]</w:t>
            </w:r>
            <w:r w:rsidRPr="00F2359C">
              <w:rPr>
                <w:rFonts w:ascii="Arial" w:hAnsi="Arial" w:cs="Arial"/>
                <w:sz w:val="24"/>
                <w:szCs w:val="24"/>
              </w:rPr>
              <w:tab/>
              <w:t>The proper approach is for the court to apply its mind not only to the merits and demerits of the two mutually destructive versions but also their probabilities and it is only after so applying its mind that the court would be justified in reaching the conclusion as to which opinion to accept and which to reject.</w:t>
            </w:r>
            <w:r w:rsidR="00B7387A" w:rsidRPr="00F2359C">
              <w:rPr>
                <w:rFonts w:ascii="Arial" w:hAnsi="Arial" w:cs="Arial"/>
                <w:sz w:val="24"/>
                <w:szCs w:val="24"/>
              </w:rPr>
              <w:t xml:space="preserve"> </w:t>
            </w:r>
            <w:r w:rsidR="00787454" w:rsidRPr="00F2359C">
              <w:rPr>
                <w:rFonts w:ascii="Arial" w:hAnsi="Arial" w:cs="Arial"/>
                <w:sz w:val="24"/>
                <w:szCs w:val="24"/>
              </w:rPr>
              <w:t>The court find</w:t>
            </w:r>
            <w:r w:rsidR="00DE2907" w:rsidRPr="00F2359C">
              <w:rPr>
                <w:rFonts w:ascii="Arial" w:hAnsi="Arial" w:cs="Arial"/>
                <w:sz w:val="24"/>
                <w:szCs w:val="24"/>
              </w:rPr>
              <w:t>s that the damages that was</w:t>
            </w:r>
            <w:r w:rsidR="00787454" w:rsidRPr="00F2359C">
              <w:rPr>
                <w:rFonts w:ascii="Arial" w:hAnsi="Arial" w:cs="Arial"/>
                <w:sz w:val="24"/>
                <w:szCs w:val="24"/>
              </w:rPr>
              <w:t xml:space="preserve"> sustained by both the vehicles and </w:t>
            </w:r>
            <w:r w:rsidR="00DE2907" w:rsidRPr="00F2359C">
              <w:rPr>
                <w:rFonts w:ascii="Arial" w:hAnsi="Arial" w:cs="Arial"/>
                <w:sz w:val="24"/>
                <w:szCs w:val="24"/>
              </w:rPr>
              <w:t>the location of such damages is</w:t>
            </w:r>
            <w:r w:rsidR="00787454" w:rsidRPr="00F2359C">
              <w:rPr>
                <w:rFonts w:ascii="Arial" w:hAnsi="Arial" w:cs="Arial"/>
                <w:sz w:val="24"/>
                <w:szCs w:val="24"/>
              </w:rPr>
              <w:t xml:space="preserve"> more in line with the </w:t>
            </w:r>
            <w:r w:rsidR="00914F1E" w:rsidRPr="00F2359C">
              <w:rPr>
                <w:rFonts w:ascii="Arial" w:hAnsi="Arial" w:cs="Arial"/>
                <w:sz w:val="24"/>
                <w:szCs w:val="24"/>
              </w:rPr>
              <w:t xml:space="preserve">explanation put forward by the second </w:t>
            </w:r>
            <w:r w:rsidR="00787454" w:rsidRPr="00F2359C">
              <w:rPr>
                <w:rFonts w:ascii="Arial" w:hAnsi="Arial" w:cs="Arial"/>
                <w:sz w:val="24"/>
                <w:szCs w:val="24"/>
              </w:rPr>
              <w:t xml:space="preserve">defendant. </w:t>
            </w:r>
            <w:r w:rsidR="00273CC0" w:rsidRPr="00F2359C">
              <w:rPr>
                <w:rFonts w:ascii="Arial" w:hAnsi="Arial" w:cs="Arial"/>
                <w:sz w:val="24"/>
                <w:szCs w:val="24"/>
              </w:rPr>
              <w:t>The cou</w:t>
            </w:r>
            <w:r w:rsidR="00914F1E" w:rsidRPr="00F2359C">
              <w:rPr>
                <w:rFonts w:ascii="Arial" w:hAnsi="Arial" w:cs="Arial"/>
                <w:sz w:val="24"/>
                <w:szCs w:val="24"/>
              </w:rPr>
              <w:t>rt accepts the evidence of the second</w:t>
            </w:r>
            <w:r w:rsidR="00273CC0" w:rsidRPr="00F2359C">
              <w:rPr>
                <w:rFonts w:ascii="Arial" w:hAnsi="Arial" w:cs="Arial"/>
                <w:sz w:val="24"/>
                <w:szCs w:val="24"/>
              </w:rPr>
              <w:t xml:space="preserve"> defendant that he was driving on the single carriage way between the yellow line and the white line and also finds that he indicated from the start that the accide</w:t>
            </w:r>
            <w:r w:rsidR="00DE2907" w:rsidRPr="00F2359C">
              <w:rPr>
                <w:rFonts w:ascii="Arial" w:hAnsi="Arial" w:cs="Arial"/>
                <w:sz w:val="24"/>
                <w:szCs w:val="24"/>
              </w:rPr>
              <w:t xml:space="preserve">nt took place inside this lane. </w:t>
            </w:r>
            <w:r w:rsidR="00787454" w:rsidRPr="00F2359C">
              <w:rPr>
                <w:rFonts w:ascii="Arial" w:hAnsi="Arial" w:cs="Arial"/>
                <w:sz w:val="24"/>
                <w:szCs w:val="24"/>
              </w:rPr>
              <w:t xml:space="preserve">The court </w:t>
            </w:r>
            <w:r w:rsidR="00273CC0" w:rsidRPr="00F2359C">
              <w:rPr>
                <w:rFonts w:ascii="Arial" w:hAnsi="Arial" w:cs="Arial"/>
                <w:sz w:val="24"/>
                <w:szCs w:val="24"/>
              </w:rPr>
              <w:t xml:space="preserve">further </w:t>
            </w:r>
            <w:r w:rsidR="00787454" w:rsidRPr="00F2359C">
              <w:rPr>
                <w:rFonts w:ascii="Arial" w:hAnsi="Arial" w:cs="Arial"/>
                <w:sz w:val="24"/>
                <w:szCs w:val="24"/>
              </w:rPr>
              <w:t>find</w:t>
            </w:r>
            <w:r w:rsidR="00914F1E" w:rsidRPr="00F2359C">
              <w:rPr>
                <w:rFonts w:ascii="Arial" w:hAnsi="Arial" w:cs="Arial"/>
                <w:sz w:val="24"/>
                <w:szCs w:val="24"/>
              </w:rPr>
              <w:t>s</w:t>
            </w:r>
            <w:r w:rsidR="00787454" w:rsidRPr="00F2359C">
              <w:rPr>
                <w:rFonts w:ascii="Arial" w:hAnsi="Arial" w:cs="Arial"/>
                <w:sz w:val="24"/>
                <w:szCs w:val="24"/>
              </w:rPr>
              <w:t xml:space="preserve"> that it is highly improbable that the</w:t>
            </w:r>
            <w:r w:rsidR="00914F1E" w:rsidRPr="00F2359C">
              <w:rPr>
                <w:rFonts w:ascii="Arial" w:hAnsi="Arial" w:cs="Arial"/>
                <w:sz w:val="24"/>
                <w:szCs w:val="24"/>
              </w:rPr>
              <w:t xml:space="preserve"> first defendant would, after the second </w:t>
            </w:r>
            <w:r w:rsidR="00787454" w:rsidRPr="00F2359C">
              <w:rPr>
                <w:rFonts w:ascii="Arial" w:hAnsi="Arial" w:cs="Arial"/>
                <w:sz w:val="24"/>
                <w:szCs w:val="24"/>
              </w:rPr>
              <w:t>d</w:t>
            </w:r>
            <w:r w:rsidR="00914F1E" w:rsidRPr="00F2359C">
              <w:rPr>
                <w:rFonts w:ascii="Arial" w:hAnsi="Arial" w:cs="Arial"/>
                <w:sz w:val="24"/>
                <w:szCs w:val="24"/>
              </w:rPr>
              <w:t>efendant on the version of the first</w:t>
            </w:r>
            <w:r w:rsidR="00787454" w:rsidRPr="00F2359C">
              <w:rPr>
                <w:rFonts w:ascii="Arial" w:hAnsi="Arial" w:cs="Arial"/>
                <w:sz w:val="24"/>
                <w:szCs w:val="24"/>
              </w:rPr>
              <w:t xml:space="preserve"> defe</w:t>
            </w:r>
            <w:r w:rsidR="00CE198C" w:rsidRPr="00F2359C">
              <w:rPr>
                <w:rFonts w:ascii="Arial" w:hAnsi="Arial" w:cs="Arial"/>
                <w:sz w:val="24"/>
                <w:szCs w:val="24"/>
              </w:rPr>
              <w:t>ndant, swerved into the lane where he was travelling in, in an attempt to avoid the accident swerve left in the direction of the barrier.  The fact that the BMW vehicle ended up driving underneath the back of the Isuzu vehicle is further an indication that the driver either approach</w:t>
            </w:r>
            <w:r w:rsidR="00914F1E" w:rsidRPr="00F2359C">
              <w:rPr>
                <w:rFonts w:ascii="Arial" w:hAnsi="Arial" w:cs="Arial"/>
                <w:sz w:val="24"/>
                <w:szCs w:val="24"/>
              </w:rPr>
              <w:t>ed</w:t>
            </w:r>
            <w:r w:rsidR="00CE198C" w:rsidRPr="00F2359C">
              <w:rPr>
                <w:rFonts w:ascii="Arial" w:hAnsi="Arial" w:cs="Arial"/>
                <w:sz w:val="24"/>
                <w:szCs w:val="24"/>
              </w:rPr>
              <w:t xml:space="preserve"> the vehicle in front of him too fast or failed to keep a proper look-out, taken into ac</w:t>
            </w:r>
            <w:r w:rsidR="00914F1E" w:rsidRPr="00F2359C">
              <w:rPr>
                <w:rFonts w:ascii="Arial" w:hAnsi="Arial" w:cs="Arial"/>
                <w:sz w:val="24"/>
                <w:szCs w:val="24"/>
              </w:rPr>
              <w:t xml:space="preserve">count that the evidence of the first </w:t>
            </w:r>
            <w:r w:rsidR="00CE198C" w:rsidRPr="00F2359C">
              <w:rPr>
                <w:rFonts w:ascii="Arial" w:hAnsi="Arial" w:cs="Arial"/>
                <w:sz w:val="24"/>
                <w:szCs w:val="24"/>
              </w:rPr>
              <w:t>defendant is that he applied his br</w:t>
            </w:r>
            <w:r w:rsidR="00DE2907" w:rsidRPr="00F2359C">
              <w:rPr>
                <w:rFonts w:ascii="Arial" w:hAnsi="Arial" w:cs="Arial"/>
                <w:sz w:val="24"/>
                <w:szCs w:val="24"/>
              </w:rPr>
              <w:t xml:space="preserve">akes. </w:t>
            </w:r>
            <w:r w:rsidR="00914F1E" w:rsidRPr="00F2359C">
              <w:rPr>
                <w:rFonts w:ascii="Arial" w:hAnsi="Arial" w:cs="Arial"/>
                <w:sz w:val="24"/>
                <w:szCs w:val="24"/>
              </w:rPr>
              <w:t xml:space="preserve">The version of the second </w:t>
            </w:r>
            <w:r w:rsidR="00CE198C" w:rsidRPr="00F2359C">
              <w:rPr>
                <w:rFonts w:ascii="Arial" w:hAnsi="Arial" w:cs="Arial"/>
                <w:sz w:val="24"/>
                <w:szCs w:val="24"/>
              </w:rPr>
              <w:lastRenderedPageBreak/>
              <w:t xml:space="preserve">defendant that he had indicated his intention to turn left </w:t>
            </w:r>
            <w:r w:rsidR="00914F1E" w:rsidRPr="00F2359C">
              <w:rPr>
                <w:rFonts w:ascii="Arial" w:hAnsi="Arial" w:cs="Arial"/>
                <w:sz w:val="24"/>
                <w:szCs w:val="24"/>
              </w:rPr>
              <w:t xml:space="preserve">was also not challenged by the first </w:t>
            </w:r>
            <w:r w:rsidR="00CE198C" w:rsidRPr="00F2359C">
              <w:rPr>
                <w:rFonts w:ascii="Arial" w:hAnsi="Arial" w:cs="Arial"/>
                <w:sz w:val="24"/>
                <w:szCs w:val="24"/>
              </w:rPr>
              <w:t>defendant an</w:t>
            </w:r>
            <w:r w:rsidR="00DE2907" w:rsidRPr="00F2359C">
              <w:rPr>
                <w:rFonts w:ascii="Arial" w:hAnsi="Arial" w:cs="Arial"/>
                <w:sz w:val="24"/>
                <w:szCs w:val="24"/>
              </w:rPr>
              <w:t xml:space="preserve">d should therefore stand. </w:t>
            </w:r>
            <w:r w:rsidR="00914F1E" w:rsidRPr="00F2359C">
              <w:rPr>
                <w:rFonts w:ascii="Arial" w:hAnsi="Arial" w:cs="Arial"/>
                <w:sz w:val="24"/>
                <w:szCs w:val="24"/>
              </w:rPr>
              <w:t xml:space="preserve">The first </w:t>
            </w:r>
            <w:r w:rsidR="00CE198C" w:rsidRPr="00F2359C">
              <w:rPr>
                <w:rFonts w:ascii="Arial" w:hAnsi="Arial" w:cs="Arial"/>
                <w:sz w:val="24"/>
                <w:szCs w:val="24"/>
              </w:rPr>
              <w:t>defendant should therefore h</w:t>
            </w:r>
            <w:r w:rsidR="00914F1E" w:rsidRPr="00F2359C">
              <w:rPr>
                <w:rFonts w:ascii="Arial" w:hAnsi="Arial" w:cs="Arial"/>
                <w:sz w:val="24"/>
                <w:szCs w:val="24"/>
              </w:rPr>
              <w:t xml:space="preserve">ave noted the intention of the second </w:t>
            </w:r>
            <w:r w:rsidR="00CE198C" w:rsidRPr="00F2359C">
              <w:rPr>
                <w:rFonts w:ascii="Arial" w:hAnsi="Arial" w:cs="Arial"/>
                <w:sz w:val="24"/>
                <w:szCs w:val="24"/>
              </w:rPr>
              <w:t>defendant and approached the Isuzu vehicle, which was in f</w:t>
            </w:r>
            <w:r w:rsidR="00273CC0" w:rsidRPr="00F2359C">
              <w:rPr>
                <w:rFonts w:ascii="Arial" w:hAnsi="Arial" w:cs="Arial"/>
                <w:sz w:val="24"/>
                <w:szCs w:val="24"/>
              </w:rPr>
              <w:t>ront of him with more caution and therefore failed to exercise due care and precaution whi</w:t>
            </w:r>
            <w:r w:rsidR="008E0995" w:rsidRPr="00F2359C">
              <w:rPr>
                <w:rFonts w:ascii="Arial" w:hAnsi="Arial" w:cs="Arial"/>
                <w:sz w:val="24"/>
                <w:szCs w:val="24"/>
              </w:rPr>
              <w:t>l</w:t>
            </w:r>
            <w:r w:rsidR="00273CC0" w:rsidRPr="00F2359C">
              <w:rPr>
                <w:rFonts w:ascii="Arial" w:hAnsi="Arial" w:cs="Arial"/>
                <w:sz w:val="24"/>
                <w:szCs w:val="24"/>
              </w:rPr>
              <w:t xml:space="preserve">st driving the vehicle as well as failed to have due regard to other road users.  </w:t>
            </w:r>
          </w:p>
          <w:p w:rsidR="00CE198C" w:rsidRPr="00F2359C" w:rsidRDefault="00CE198C" w:rsidP="00675384">
            <w:pPr>
              <w:tabs>
                <w:tab w:val="left" w:pos="560"/>
              </w:tabs>
              <w:spacing w:after="0" w:line="360" w:lineRule="auto"/>
              <w:jc w:val="both"/>
              <w:rPr>
                <w:rFonts w:ascii="Arial" w:hAnsi="Arial" w:cs="Arial"/>
                <w:sz w:val="24"/>
                <w:szCs w:val="24"/>
              </w:rPr>
            </w:pPr>
          </w:p>
          <w:p w:rsidR="00C028F5" w:rsidRPr="00F2359C" w:rsidRDefault="008E0995" w:rsidP="006A2E94">
            <w:pPr>
              <w:tabs>
                <w:tab w:val="left" w:pos="560"/>
              </w:tabs>
              <w:spacing w:after="0" w:line="360" w:lineRule="auto"/>
              <w:jc w:val="both"/>
              <w:rPr>
                <w:rFonts w:ascii="Arial" w:hAnsi="Arial" w:cs="Arial"/>
                <w:sz w:val="24"/>
                <w:szCs w:val="24"/>
              </w:rPr>
            </w:pPr>
            <w:r w:rsidRPr="00F2359C">
              <w:rPr>
                <w:rFonts w:ascii="Arial" w:hAnsi="Arial" w:cs="Arial"/>
                <w:sz w:val="24"/>
                <w:szCs w:val="24"/>
              </w:rPr>
              <w:t>[19</w:t>
            </w:r>
            <w:r w:rsidR="00CE198C" w:rsidRPr="00F2359C">
              <w:rPr>
                <w:rFonts w:ascii="Arial" w:hAnsi="Arial" w:cs="Arial"/>
                <w:sz w:val="24"/>
                <w:szCs w:val="24"/>
              </w:rPr>
              <w:t xml:space="preserve">]     </w:t>
            </w:r>
            <w:r w:rsidR="00C028F5" w:rsidRPr="00F2359C">
              <w:rPr>
                <w:rFonts w:ascii="Arial" w:hAnsi="Arial" w:cs="Arial"/>
                <w:sz w:val="24"/>
                <w:szCs w:val="24"/>
              </w:rPr>
              <w:t>For those reasons, I make the following orders:</w:t>
            </w:r>
          </w:p>
          <w:p w:rsidR="00914F1E" w:rsidRPr="00F2359C" w:rsidRDefault="00914F1E" w:rsidP="006A2E94">
            <w:pPr>
              <w:tabs>
                <w:tab w:val="left" w:pos="560"/>
              </w:tabs>
              <w:spacing w:after="0" w:line="360" w:lineRule="auto"/>
              <w:jc w:val="both"/>
              <w:rPr>
                <w:rFonts w:ascii="Arial" w:hAnsi="Arial" w:cs="Arial"/>
                <w:sz w:val="24"/>
                <w:szCs w:val="24"/>
              </w:rPr>
            </w:pPr>
          </w:p>
          <w:p w:rsidR="00CE198C" w:rsidRPr="00F2359C" w:rsidRDefault="00273CC0" w:rsidP="006A2E94">
            <w:pPr>
              <w:tabs>
                <w:tab w:val="left" w:pos="560"/>
              </w:tabs>
              <w:spacing w:after="0" w:line="360" w:lineRule="auto"/>
              <w:jc w:val="both"/>
              <w:rPr>
                <w:rFonts w:ascii="Arial" w:hAnsi="Arial" w:cs="Arial"/>
                <w:sz w:val="24"/>
                <w:szCs w:val="24"/>
              </w:rPr>
            </w:pPr>
            <w:r w:rsidRPr="00F2359C">
              <w:rPr>
                <w:rFonts w:ascii="Arial" w:hAnsi="Arial" w:cs="Arial"/>
                <w:sz w:val="24"/>
                <w:szCs w:val="24"/>
              </w:rPr>
              <w:t>1.  Judgment is granted for the plaintiff in the amount of N$132 507.50 (claim 1) and N$5 187.50 (claim 2) together with cost of suit.</w:t>
            </w:r>
          </w:p>
          <w:p w:rsidR="00273CC0" w:rsidRPr="00F2359C" w:rsidRDefault="00273CC0" w:rsidP="006A2E94">
            <w:pPr>
              <w:tabs>
                <w:tab w:val="left" w:pos="560"/>
              </w:tabs>
              <w:spacing w:after="0" w:line="360" w:lineRule="auto"/>
              <w:jc w:val="both"/>
              <w:rPr>
                <w:rFonts w:ascii="Arial" w:hAnsi="Arial" w:cs="Arial"/>
                <w:sz w:val="24"/>
                <w:szCs w:val="24"/>
              </w:rPr>
            </w:pPr>
            <w:r w:rsidRPr="00F2359C">
              <w:rPr>
                <w:rFonts w:ascii="Arial" w:hAnsi="Arial" w:cs="Arial"/>
                <w:sz w:val="24"/>
                <w:szCs w:val="24"/>
              </w:rPr>
              <w:t>2.  Interest on the aforesaid amounts of N$132 507.50 and N$5 187.50 at 20% per annum from 1 February 2018.</w:t>
            </w:r>
          </w:p>
          <w:p w:rsidR="00051F74" w:rsidRPr="00F2359C" w:rsidRDefault="00273CC0" w:rsidP="00051F74">
            <w:pPr>
              <w:tabs>
                <w:tab w:val="left" w:pos="560"/>
              </w:tabs>
              <w:spacing w:after="0" w:line="360" w:lineRule="auto"/>
              <w:jc w:val="both"/>
              <w:rPr>
                <w:rFonts w:ascii="Arial" w:hAnsi="Arial" w:cs="Arial"/>
                <w:sz w:val="24"/>
                <w:szCs w:val="24"/>
              </w:rPr>
            </w:pPr>
            <w:r w:rsidRPr="00F2359C">
              <w:rPr>
                <w:rFonts w:ascii="Arial" w:hAnsi="Arial" w:cs="Arial"/>
                <w:sz w:val="24"/>
                <w:szCs w:val="24"/>
              </w:rPr>
              <w:t>3.  The countercl</w:t>
            </w:r>
            <w:r w:rsidR="008E0995" w:rsidRPr="00F2359C">
              <w:rPr>
                <w:rFonts w:ascii="Arial" w:hAnsi="Arial" w:cs="Arial"/>
                <w:sz w:val="24"/>
                <w:szCs w:val="24"/>
              </w:rPr>
              <w:t xml:space="preserve">aim of the first </w:t>
            </w:r>
            <w:r w:rsidRPr="00F2359C">
              <w:rPr>
                <w:rFonts w:ascii="Arial" w:hAnsi="Arial" w:cs="Arial"/>
                <w:sz w:val="24"/>
                <w:szCs w:val="24"/>
              </w:rPr>
              <w:t>defendant is dismissed.</w:t>
            </w:r>
          </w:p>
          <w:p w:rsidR="00D765B6" w:rsidRPr="00F2359C" w:rsidRDefault="00002E96" w:rsidP="001A131F">
            <w:pPr>
              <w:spacing w:line="360" w:lineRule="auto"/>
              <w:jc w:val="right"/>
              <w:rPr>
                <w:rFonts w:ascii="Arial" w:hAnsi="Arial" w:cs="Arial"/>
                <w:sz w:val="24"/>
                <w:szCs w:val="24"/>
              </w:rPr>
            </w:pPr>
            <w:r w:rsidRPr="00F2359C">
              <w:rPr>
                <w:rFonts w:ascii="Arial" w:hAnsi="Arial" w:cs="Arial"/>
                <w:sz w:val="24"/>
                <w:szCs w:val="24"/>
              </w:rPr>
              <w:t>___________________</w:t>
            </w:r>
          </w:p>
          <w:p w:rsidR="00950676" w:rsidRPr="00F2359C" w:rsidRDefault="002E76C8" w:rsidP="001A131F">
            <w:pPr>
              <w:spacing w:line="360" w:lineRule="auto"/>
              <w:jc w:val="right"/>
              <w:rPr>
                <w:rFonts w:ascii="Arial" w:hAnsi="Arial" w:cs="Arial"/>
                <w:sz w:val="24"/>
                <w:szCs w:val="24"/>
              </w:rPr>
            </w:pPr>
            <w:r w:rsidRPr="00F2359C">
              <w:rPr>
                <w:rFonts w:ascii="Arial" w:hAnsi="Arial" w:cs="Arial"/>
                <w:sz w:val="24"/>
                <w:szCs w:val="24"/>
              </w:rPr>
              <w:t xml:space="preserve">E </w:t>
            </w:r>
            <w:proofErr w:type="spellStart"/>
            <w:r w:rsidRPr="00F2359C">
              <w:rPr>
                <w:rFonts w:ascii="Arial" w:hAnsi="Arial" w:cs="Arial"/>
                <w:sz w:val="24"/>
                <w:szCs w:val="24"/>
              </w:rPr>
              <w:t>Rakow</w:t>
            </w:r>
            <w:proofErr w:type="spellEnd"/>
          </w:p>
          <w:p w:rsidR="00950676" w:rsidRPr="00F2359C" w:rsidRDefault="00950676" w:rsidP="00F2359C">
            <w:pPr>
              <w:spacing w:line="360" w:lineRule="auto"/>
              <w:jc w:val="right"/>
              <w:rPr>
                <w:rFonts w:ascii="Arial" w:hAnsi="Arial" w:cs="Arial"/>
                <w:sz w:val="24"/>
                <w:szCs w:val="24"/>
              </w:rPr>
            </w:pPr>
            <w:r w:rsidRPr="00F2359C">
              <w:rPr>
                <w:rFonts w:ascii="Arial" w:hAnsi="Arial" w:cs="Arial"/>
                <w:sz w:val="24"/>
                <w:szCs w:val="24"/>
              </w:rPr>
              <w:t>Acting Judge</w:t>
            </w:r>
          </w:p>
        </w:tc>
      </w:tr>
      <w:tr w:rsidR="00950676" w:rsidRPr="00E31D89" w:rsidTr="001A131F">
        <w:tc>
          <w:tcPr>
            <w:tcW w:w="4770" w:type="dxa"/>
          </w:tcPr>
          <w:p w:rsidR="00950676" w:rsidRPr="00F2359C" w:rsidRDefault="00950676" w:rsidP="001A131F">
            <w:pPr>
              <w:spacing w:line="360" w:lineRule="auto"/>
              <w:jc w:val="center"/>
              <w:rPr>
                <w:rFonts w:ascii="Arial" w:hAnsi="Arial" w:cs="Arial"/>
                <w:b/>
                <w:sz w:val="24"/>
                <w:szCs w:val="24"/>
              </w:rPr>
            </w:pPr>
          </w:p>
        </w:tc>
        <w:tc>
          <w:tcPr>
            <w:tcW w:w="4950" w:type="dxa"/>
            <w:gridSpan w:val="2"/>
          </w:tcPr>
          <w:p w:rsidR="00950676" w:rsidRPr="00F2359C" w:rsidRDefault="00950676" w:rsidP="001A131F">
            <w:pPr>
              <w:spacing w:line="360" w:lineRule="auto"/>
              <w:jc w:val="center"/>
              <w:rPr>
                <w:rFonts w:ascii="Arial" w:hAnsi="Arial" w:cs="Arial"/>
                <w:b/>
                <w:sz w:val="24"/>
                <w:szCs w:val="24"/>
              </w:rPr>
            </w:pPr>
            <w:r w:rsidRPr="00F2359C">
              <w:rPr>
                <w:rFonts w:ascii="Arial" w:hAnsi="Arial" w:cs="Arial"/>
                <w:b/>
                <w:sz w:val="24"/>
                <w:szCs w:val="24"/>
              </w:rPr>
              <w:t>Note to the parties:</w:t>
            </w:r>
          </w:p>
        </w:tc>
      </w:tr>
      <w:tr w:rsidR="00950676" w:rsidRPr="00E31D89" w:rsidTr="001A131F">
        <w:trPr>
          <w:trHeight w:val="1114"/>
        </w:trPr>
        <w:tc>
          <w:tcPr>
            <w:tcW w:w="4770" w:type="dxa"/>
          </w:tcPr>
          <w:p w:rsidR="00950676" w:rsidRPr="00F2359C" w:rsidRDefault="00950676" w:rsidP="001A131F">
            <w:pPr>
              <w:spacing w:line="360" w:lineRule="auto"/>
              <w:jc w:val="both"/>
              <w:rPr>
                <w:rFonts w:ascii="Arial" w:hAnsi="Arial" w:cs="Arial"/>
                <w:sz w:val="24"/>
                <w:szCs w:val="24"/>
              </w:rPr>
            </w:pPr>
          </w:p>
        </w:tc>
        <w:tc>
          <w:tcPr>
            <w:tcW w:w="4950" w:type="dxa"/>
            <w:gridSpan w:val="2"/>
          </w:tcPr>
          <w:p w:rsidR="00950676" w:rsidRPr="00F2359C" w:rsidRDefault="00950676" w:rsidP="001A131F">
            <w:pPr>
              <w:spacing w:line="360" w:lineRule="auto"/>
              <w:jc w:val="both"/>
              <w:rPr>
                <w:rFonts w:ascii="Arial" w:hAnsi="Arial" w:cs="Arial"/>
                <w:sz w:val="24"/>
                <w:szCs w:val="24"/>
              </w:rPr>
            </w:pPr>
            <w:r w:rsidRPr="00F2359C">
              <w:rPr>
                <w:rFonts w:ascii="Arial" w:hAnsi="Arial" w:cs="Arial"/>
                <w:sz w:val="24"/>
                <w:szCs w:val="24"/>
              </w:rPr>
              <w:t>Not applicable.</w:t>
            </w:r>
          </w:p>
        </w:tc>
      </w:tr>
      <w:tr w:rsidR="00950676" w:rsidRPr="00E31D89" w:rsidTr="001A131F">
        <w:tc>
          <w:tcPr>
            <w:tcW w:w="9720" w:type="dxa"/>
            <w:gridSpan w:val="3"/>
          </w:tcPr>
          <w:p w:rsidR="00950676" w:rsidRPr="00F2359C" w:rsidRDefault="00950676" w:rsidP="001A131F">
            <w:pPr>
              <w:spacing w:line="360" w:lineRule="auto"/>
              <w:jc w:val="center"/>
              <w:rPr>
                <w:rFonts w:ascii="Arial" w:hAnsi="Arial" w:cs="Arial"/>
                <w:b/>
                <w:sz w:val="24"/>
                <w:szCs w:val="24"/>
              </w:rPr>
            </w:pPr>
            <w:r w:rsidRPr="00F2359C">
              <w:rPr>
                <w:rFonts w:ascii="Arial" w:hAnsi="Arial" w:cs="Arial"/>
                <w:b/>
                <w:sz w:val="24"/>
                <w:szCs w:val="24"/>
              </w:rPr>
              <w:t>Counsel:</w:t>
            </w:r>
          </w:p>
        </w:tc>
      </w:tr>
      <w:tr w:rsidR="00950676" w:rsidRPr="00E31D89" w:rsidTr="001A131F">
        <w:tc>
          <w:tcPr>
            <w:tcW w:w="4770" w:type="dxa"/>
          </w:tcPr>
          <w:p w:rsidR="00950676" w:rsidRPr="00F2359C" w:rsidRDefault="00260099" w:rsidP="001A131F">
            <w:pPr>
              <w:spacing w:line="360" w:lineRule="auto"/>
              <w:jc w:val="center"/>
              <w:rPr>
                <w:rFonts w:ascii="Arial" w:hAnsi="Arial" w:cs="Arial"/>
                <w:b/>
                <w:sz w:val="24"/>
                <w:szCs w:val="24"/>
              </w:rPr>
            </w:pPr>
            <w:r w:rsidRPr="00F2359C">
              <w:rPr>
                <w:rFonts w:ascii="Arial" w:hAnsi="Arial" w:cs="Arial"/>
                <w:b/>
                <w:sz w:val="24"/>
                <w:szCs w:val="24"/>
              </w:rPr>
              <w:t>Plaintiff/ Respondent</w:t>
            </w:r>
          </w:p>
        </w:tc>
        <w:tc>
          <w:tcPr>
            <w:tcW w:w="4950" w:type="dxa"/>
            <w:gridSpan w:val="2"/>
          </w:tcPr>
          <w:p w:rsidR="00950676" w:rsidRPr="00F2359C" w:rsidRDefault="00260099" w:rsidP="00260099">
            <w:pPr>
              <w:spacing w:line="360" w:lineRule="auto"/>
              <w:jc w:val="center"/>
              <w:rPr>
                <w:rFonts w:ascii="Arial" w:hAnsi="Arial" w:cs="Arial"/>
                <w:b/>
                <w:sz w:val="24"/>
                <w:szCs w:val="24"/>
              </w:rPr>
            </w:pPr>
            <w:r w:rsidRPr="00F2359C">
              <w:rPr>
                <w:rFonts w:ascii="Arial" w:hAnsi="Arial" w:cs="Arial"/>
                <w:b/>
                <w:sz w:val="24"/>
                <w:szCs w:val="24"/>
              </w:rPr>
              <w:t>Defendants/ Applicants</w:t>
            </w:r>
          </w:p>
        </w:tc>
      </w:tr>
      <w:tr w:rsidR="00950676" w:rsidRPr="00E31D89" w:rsidTr="001A131F">
        <w:tc>
          <w:tcPr>
            <w:tcW w:w="4770" w:type="dxa"/>
          </w:tcPr>
          <w:p w:rsidR="00FB6765" w:rsidRPr="00F2359C" w:rsidRDefault="00AA4C97" w:rsidP="001A131F">
            <w:pPr>
              <w:spacing w:line="360" w:lineRule="auto"/>
              <w:jc w:val="cente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Diedericks</w:t>
            </w:r>
            <w:proofErr w:type="spellEnd"/>
            <w:r>
              <w:rPr>
                <w:rFonts w:ascii="Arial" w:hAnsi="Arial" w:cs="Arial"/>
                <w:sz w:val="24"/>
                <w:szCs w:val="24"/>
              </w:rPr>
              <w:t xml:space="preserve"> i</w:t>
            </w:r>
            <w:bookmarkStart w:id="0" w:name="_GoBack"/>
            <w:bookmarkEnd w:id="0"/>
            <w:r w:rsidR="00FD5350" w:rsidRPr="00F2359C">
              <w:rPr>
                <w:rFonts w:ascii="Arial" w:hAnsi="Arial" w:cs="Arial"/>
                <w:sz w:val="24"/>
                <w:szCs w:val="24"/>
              </w:rPr>
              <w:t>nstructed</w:t>
            </w:r>
            <w:r w:rsidR="00B03065" w:rsidRPr="00F2359C">
              <w:rPr>
                <w:rFonts w:ascii="Arial" w:hAnsi="Arial" w:cs="Arial"/>
                <w:sz w:val="24"/>
                <w:szCs w:val="24"/>
              </w:rPr>
              <w:t xml:space="preserve"> </w:t>
            </w:r>
            <w:r w:rsidR="00E15AEF" w:rsidRPr="00F2359C">
              <w:rPr>
                <w:rFonts w:ascii="Arial" w:hAnsi="Arial" w:cs="Arial"/>
                <w:sz w:val="24"/>
                <w:szCs w:val="24"/>
              </w:rPr>
              <w:t xml:space="preserve">by </w:t>
            </w:r>
            <w:r w:rsidR="00B03065" w:rsidRPr="00F2359C">
              <w:rPr>
                <w:rFonts w:ascii="Arial" w:hAnsi="Arial" w:cs="Arial"/>
                <w:sz w:val="24"/>
                <w:szCs w:val="24"/>
              </w:rPr>
              <w:t>PD Theron</w:t>
            </w:r>
            <w:r w:rsidR="00096069">
              <w:rPr>
                <w:rFonts w:ascii="Arial" w:hAnsi="Arial" w:cs="Arial"/>
                <w:sz w:val="24"/>
                <w:szCs w:val="24"/>
              </w:rPr>
              <w:t xml:space="preserve"> &amp; Associates</w:t>
            </w:r>
          </w:p>
          <w:p w:rsidR="00FD5350" w:rsidRPr="00F2359C" w:rsidRDefault="00FD5350" w:rsidP="001A131F">
            <w:pPr>
              <w:spacing w:line="360" w:lineRule="auto"/>
              <w:jc w:val="center"/>
              <w:rPr>
                <w:rFonts w:ascii="Arial" w:hAnsi="Arial" w:cs="Arial"/>
                <w:sz w:val="24"/>
                <w:szCs w:val="24"/>
              </w:rPr>
            </w:pPr>
            <w:r w:rsidRPr="00F2359C">
              <w:rPr>
                <w:rFonts w:ascii="Arial" w:hAnsi="Arial" w:cs="Arial"/>
                <w:sz w:val="24"/>
                <w:szCs w:val="24"/>
              </w:rPr>
              <w:t>Windhoek</w:t>
            </w:r>
          </w:p>
        </w:tc>
        <w:tc>
          <w:tcPr>
            <w:tcW w:w="4950" w:type="dxa"/>
            <w:gridSpan w:val="2"/>
          </w:tcPr>
          <w:p w:rsidR="00AE5ABA" w:rsidRPr="00F2359C" w:rsidRDefault="00FD5350" w:rsidP="00147511">
            <w:pPr>
              <w:spacing w:line="360" w:lineRule="auto"/>
              <w:jc w:val="center"/>
              <w:rPr>
                <w:rFonts w:ascii="Arial" w:hAnsi="Arial" w:cs="Arial"/>
                <w:sz w:val="24"/>
                <w:szCs w:val="24"/>
              </w:rPr>
            </w:pPr>
            <w:r w:rsidRPr="00F2359C">
              <w:rPr>
                <w:rFonts w:ascii="Arial" w:hAnsi="Arial" w:cs="Arial"/>
                <w:sz w:val="24"/>
                <w:szCs w:val="24"/>
              </w:rPr>
              <w:t xml:space="preserve">Mr Pretorius of </w:t>
            </w:r>
            <w:r w:rsidR="00002E96" w:rsidRPr="00F2359C">
              <w:rPr>
                <w:rFonts w:ascii="Arial" w:hAnsi="Arial" w:cs="Arial"/>
                <w:sz w:val="24"/>
                <w:szCs w:val="24"/>
              </w:rPr>
              <w:t>Franco</w:t>
            </w:r>
            <w:r w:rsidR="00B03065" w:rsidRPr="00F2359C">
              <w:rPr>
                <w:rFonts w:ascii="Arial" w:hAnsi="Arial" w:cs="Arial"/>
                <w:sz w:val="24"/>
                <w:szCs w:val="24"/>
              </w:rPr>
              <w:t>is Erasmus</w:t>
            </w:r>
            <w:r w:rsidR="00096069">
              <w:rPr>
                <w:rFonts w:ascii="Arial" w:hAnsi="Arial" w:cs="Arial"/>
                <w:sz w:val="24"/>
                <w:szCs w:val="24"/>
              </w:rPr>
              <w:t xml:space="preserve"> &amp; Partners</w:t>
            </w:r>
          </w:p>
          <w:p w:rsidR="00FD5350" w:rsidRPr="00F2359C" w:rsidRDefault="00FD5350" w:rsidP="00147511">
            <w:pPr>
              <w:spacing w:line="360" w:lineRule="auto"/>
              <w:jc w:val="center"/>
              <w:rPr>
                <w:rFonts w:ascii="Arial" w:hAnsi="Arial" w:cs="Arial"/>
                <w:sz w:val="24"/>
                <w:szCs w:val="24"/>
              </w:rPr>
            </w:pPr>
            <w:r w:rsidRPr="00F2359C">
              <w:rPr>
                <w:rFonts w:ascii="Arial" w:hAnsi="Arial" w:cs="Arial"/>
                <w:sz w:val="24"/>
                <w:szCs w:val="24"/>
              </w:rPr>
              <w:t>Windhoek</w:t>
            </w:r>
          </w:p>
        </w:tc>
      </w:tr>
      <w:tr w:rsidR="00F078A5" w:rsidRPr="00E31D89" w:rsidTr="001A131F">
        <w:tc>
          <w:tcPr>
            <w:tcW w:w="4770" w:type="dxa"/>
          </w:tcPr>
          <w:p w:rsidR="00F078A5" w:rsidRPr="00F2359C" w:rsidRDefault="00F078A5" w:rsidP="001A131F">
            <w:pPr>
              <w:spacing w:line="360" w:lineRule="auto"/>
              <w:jc w:val="center"/>
              <w:rPr>
                <w:rFonts w:ascii="Arial" w:hAnsi="Arial" w:cs="Arial"/>
                <w:i/>
                <w:sz w:val="24"/>
                <w:szCs w:val="24"/>
              </w:rPr>
            </w:pPr>
          </w:p>
        </w:tc>
        <w:tc>
          <w:tcPr>
            <w:tcW w:w="4950" w:type="dxa"/>
            <w:gridSpan w:val="2"/>
          </w:tcPr>
          <w:p w:rsidR="00F078A5" w:rsidRPr="00F2359C" w:rsidRDefault="00F078A5" w:rsidP="001A131F">
            <w:pPr>
              <w:spacing w:line="360" w:lineRule="auto"/>
              <w:jc w:val="center"/>
              <w:rPr>
                <w:rFonts w:ascii="Arial" w:hAnsi="Arial" w:cs="Arial"/>
                <w:i/>
                <w:sz w:val="24"/>
                <w:szCs w:val="24"/>
              </w:rPr>
            </w:pPr>
          </w:p>
        </w:tc>
      </w:tr>
    </w:tbl>
    <w:p w:rsidR="001A131F" w:rsidRPr="00E31D89" w:rsidRDefault="001A131F">
      <w:pPr>
        <w:rPr>
          <w:sz w:val="24"/>
          <w:szCs w:val="24"/>
        </w:rPr>
      </w:pPr>
    </w:p>
    <w:sectPr w:rsidR="001A131F" w:rsidRPr="00E31D89" w:rsidSect="003D0BA1">
      <w:headerReference w:type="default" r:id="rId9"/>
      <w:footerReference w:type="default" r:id="rId10"/>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54" w:rsidRDefault="00801254">
      <w:pPr>
        <w:spacing w:after="0" w:line="240" w:lineRule="auto"/>
      </w:pPr>
      <w:r>
        <w:separator/>
      </w:r>
    </w:p>
  </w:endnote>
  <w:endnote w:type="continuationSeparator" w:id="0">
    <w:p w:rsidR="00801254" w:rsidRDefault="0080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1F" w:rsidRDefault="001A131F">
    <w:pPr>
      <w:pStyle w:val="Footer"/>
      <w:jc w:val="right"/>
    </w:pPr>
  </w:p>
  <w:p w:rsidR="001A131F" w:rsidRDefault="001A13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54" w:rsidRDefault="00801254">
      <w:pPr>
        <w:spacing w:after="0" w:line="240" w:lineRule="auto"/>
      </w:pPr>
      <w:r>
        <w:separator/>
      </w:r>
    </w:p>
  </w:footnote>
  <w:footnote w:type="continuationSeparator" w:id="0">
    <w:p w:rsidR="00801254" w:rsidRDefault="00801254">
      <w:pPr>
        <w:spacing w:after="0" w:line="240" w:lineRule="auto"/>
      </w:pPr>
      <w:r>
        <w:continuationSeparator/>
      </w:r>
    </w:p>
  </w:footnote>
  <w:footnote w:id="1">
    <w:p w:rsidR="00077F0B" w:rsidRPr="00F2359C" w:rsidRDefault="00077F0B">
      <w:pPr>
        <w:pStyle w:val="FootnoteText"/>
        <w:rPr>
          <w:rFonts w:ascii="Arial" w:hAnsi="Arial" w:cs="Arial"/>
        </w:rPr>
      </w:pPr>
      <w:r>
        <w:rPr>
          <w:rStyle w:val="FootnoteReference"/>
        </w:rPr>
        <w:footnoteRef/>
      </w:r>
      <w:r>
        <w:t xml:space="preserve"> </w:t>
      </w:r>
      <w:r w:rsidRPr="00F2359C">
        <w:rPr>
          <w:rFonts w:ascii="Arial" w:hAnsi="Arial" w:cs="Arial"/>
        </w:rPr>
        <w:t>7</w:t>
      </w:r>
      <w:r w:rsidRPr="00F2359C">
        <w:rPr>
          <w:rFonts w:ascii="Arial" w:hAnsi="Arial" w:cs="Arial"/>
          <w:vertAlign w:val="superscript"/>
        </w:rPr>
        <w:t>th</w:t>
      </w:r>
      <w:r w:rsidRPr="00F2359C">
        <w:rPr>
          <w:rFonts w:ascii="Arial" w:hAnsi="Arial" w:cs="Arial"/>
        </w:rPr>
        <w:t xml:space="preserve"> Edition; 2003 published by Butterworths</w:t>
      </w:r>
      <w:r w:rsidR="00DD7B5F" w:rsidRPr="00F2359C">
        <w:rPr>
          <w:rFonts w:ascii="Arial" w:hAnsi="Arial" w:cs="Arial"/>
        </w:rPr>
        <w:t>.</w:t>
      </w:r>
    </w:p>
  </w:footnote>
  <w:footnote w:id="2">
    <w:p w:rsidR="006A334D" w:rsidRPr="00F2359C" w:rsidRDefault="006A334D">
      <w:pPr>
        <w:pStyle w:val="FootnoteText"/>
        <w:rPr>
          <w:rFonts w:ascii="Arial" w:hAnsi="Arial" w:cs="Arial"/>
        </w:rPr>
      </w:pPr>
      <w:r w:rsidRPr="00F2359C">
        <w:rPr>
          <w:rStyle w:val="FootnoteReference"/>
          <w:rFonts w:ascii="Arial" w:hAnsi="Arial" w:cs="Arial"/>
        </w:rPr>
        <w:footnoteRef/>
      </w:r>
      <w:r w:rsidRPr="00F2359C">
        <w:rPr>
          <w:rFonts w:ascii="Arial" w:hAnsi="Arial" w:cs="Arial"/>
        </w:rPr>
        <w:t xml:space="preserve"> (29586/13) [2018] ZAGPPHC 439 (2 February 2018)</w:t>
      </w:r>
      <w:r w:rsidR="00DD7B5F" w:rsidRPr="00F2359C">
        <w:rPr>
          <w:rFonts w:ascii="Arial" w:hAnsi="Arial" w:cs="Arial"/>
        </w:rPr>
        <w:t>.</w:t>
      </w:r>
    </w:p>
  </w:footnote>
  <w:footnote w:id="3">
    <w:p w:rsidR="00D122FB" w:rsidRPr="00F2359C" w:rsidRDefault="00D122FB">
      <w:pPr>
        <w:pStyle w:val="FootnoteText"/>
        <w:rPr>
          <w:rFonts w:ascii="Arial" w:hAnsi="Arial" w:cs="Arial"/>
        </w:rPr>
      </w:pPr>
      <w:r>
        <w:rPr>
          <w:rStyle w:val="FootnoteReference"/>
        </w:rPr>
        <w:footnoteRef/>
      </w:r>
      <w:r>
        <w:t xml:space="preserve"> </w:t>
      </w:r>
      <w:r w:rsidRPr="00D122FB">
        <w:t>(</w:t>
      </w:r>
      <w:r w:rsidRPr="00F2359C">
        <w:rPr>
          <w:rFonts w:ascii="Arial" w:hAnsi="Arial" w:cs="Arial"/>
        </w:rPr>
        <w:t>I 1497/2008) [2011] NAHC 82 (17 March 2011)</w:t>
      </w:r>
      <w:r w:rsidR="00DD7B5F" w:rsidRPr="00F2359C">
        <w:rPr>
          <w:rFonts w:ascii="Arial" w:hAnsi="Arial" w:cs="Arial"/>
        </w:rPr>
        <w:t>.</w:t>
      </w:r>
    </w:p>
  </w:footnote>
  <w:footnote w:id="4">
    <w:p w:rsidR="00787454" w:rsidRPr="00F2359C" w:rsidRDefault="00787454">
      <w:pPr>
        <w:pStyle w:val="FootnoteText"/>
        <w:rPr>
          <w:rFonts w:ascii="Arial" w:hAnsi="Arial" w:cs="Arial"/>
        </w:rPr>
      </w:pPr>
      <w:r w:rsidRPr="00F2359C">
        <w:rPr>
          <w:rStyle w:val="FootnoteReference"/>
          <w:rFonts w:ascii="Arial" w:hAnsi="Arial" w:cs="Arial"/>
        </w:rPr>
        <w:footnoteRef/>
      </w:r>
      <w:r w:rsidRPr="00F2359C">
        <w:rPr>
          <w:rFonts w:ascii="Arial" w:hAnsi="Arial" w:cs="Arial"/>
        </w:rPr>
        <w:t xml:space="preserve"> 1988</w:t>
      </w:r>
      <w:r w:rsidR="00DD7B5F" w:rsidRPr="00F2359C">
        <w:rPr>
          <w:rFonts w:ascii="Arial" w:hAnsi="Arial" w:cs="Arial"/>
        </w:rPr>
        <w:t xml:space="preserve"> (2) SA 654 (SE) at 662 C-F.</w:t>
      </w:r>
    </w:p>
  </w:footnote>
  <w:footnote w:id="5">
    <w:p w:rsidR="00787454" w:rsidRPr="007B776B" w:rsidRDefault="00787454">
      <w:pPr>
        <w:pStyle w:val="FootnoteText"/>
        <w:rPr>
          <w:rFonts w:ascii="Arial" w:hAnsi="Arial" w:cs="Arial"/>
        </w:rPr>
      </w:pPr>
      <w:r>
        <w:rPr>
          <w:rStyle w:val="FootnoteReference"/>
        </w:rPr>
        <w:footnoteRef/>
      </w:r>
      <w:r>
        <w:t xml:space="preserve"> </w:t>
      </w:r>
      <w:r w:rsidR="007B776B">
        <w:rPr>
          <w:rFonts w:ascii="Arial" w:hAnsi="Arial" w:cs="Arial"/>
        </w:rPr>
        <w:t>1963 (4) SA 147 (A) at</w:t>
      </w:r>
      <w:r w:rsidRPr="007B776B">
        <w:rPr>
          <w:rFonts w:ascii="Arial" w:hAnsi="Arial" w:cs="Arial"/>
        </w:rPr>
        <w:t xml:space="preserve"> 159B-D</w:t>
      </w:r>
      <w:r w:rsidR="00DD7B5F" w:rsidRPr="007B776B">
        <w:rPr>
          <w:rFonts w:ascii="Arial" w:hAnsi="Arial" w:cs="Arial"/>
        </w:rPr>
        <w:t>.</w:t>
      </w:r>
    </w:p>
  </w:footnote>
  <w:footnote w:id="6">
    <w:p w:rsidR="00CE198C" w:rsidRPr="007B776B" w:rsidRDefault="00CE198C">
      <w:pPr>
        <w:pStyle w:val="FootnoteText"/>
        <w:rPr>
          <w:rFonts w:ascii="Arial" w:hAnsi="Arial" w:cs="Arial"/>
        </w:rPr>
      </w:pPr>
      <w:r w:rsidRPr="007B776B">
        <w:rPr>
          <w:rStyle w:val="FootnoteReference"/>
          <w:rFonts w:ascii="Arial" w:hAnsi="Arial" w:cs="Arial"/>
        </w:rPr>
        <w:footnoteRef/>
      </w:r>
      <w:r w:rsidRPr="007B776B">
        <w:rPr>
          <w:rFonts w:ascii="Arial" w:hAnsi="Arial" w:cs="Arial"/>
        </w:rPr>
        <w:t xml:space="preserve"> (I343/2013)[2015]NAHCMD 110 (11 May 2015)</w:t>
      </w:r>
      <w:r w:rsidR="00DD7B5F" w:rsidRPr="007B776B">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1A131F" w:rsidRDefault="001A131F">
        <w:pPr>
          <w:pStyle w:val="Header"/>
          <w:jc w:val="right"/>
        </w:pPr>
        <w:r>
          <w:fldChar w:fldCharType="begin"/>
        </w:r>
        <w:r>
          <w:instrText xml:space="preserve"> PAGE   \* MERGEFORMAT </w:instrText>
        </w:r>
        <w:r>
          <w:fldChar w:fldCharType="separate"/>
        </w:r>
        <w:r w:rsidR="00AA4C97">
          <w:rPr>
            <w:noProof/>
          </w:rPr>
          <w:t>10</w:t>
        </w:r>
        <w:r>
          <w:rPr>
            <w:noProof/>
          </w:rPr>
          <w:fldChar w:fldCharType="end"/>
        </w:r>
      </w:p>
    </w:sdtContent>
  </w:sdt>
  <w:p w:rsidR="001A131F" w:rsidRDefault="001A1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59D3"/>
    <w:multiLevelType w:val="multilevel"/>
    <w:tmpl w:val="E9389BFC"/>
    <w:lvl w:ilvl="0">
      <w:start w:val="1"/>
      <w:numFmt w:val="decimal"/>
      <w:lvlText w:val="%1."/>
      <w:lvlJc w:val="left"/>
      <w:pPr>
        <w:ind w:left="720" w:hanging="360"/>
      </w:pPr>
      <w:rPr>
        <w:rFonts w:hint="default"/>
      </w:rPr>
    </w:lvl>
    <w:lvl w:ilvl="1">
      <w:start w:val="1"/>
      <w:numFmt w:val="decimal"/>
      <w:isLgl/>
      <w:lvlText w:val="%1.%2"/>
      <w:lvlJc w:val="left"/>
      <w:pPr>
        <w:ind w:left="1290" w:hanging="67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585" w:hanging="1440"/>
      </w:pPr>
      <w:rPr>
        <w:rFonts w:hint="default"/>
      </w:rPr>
    </w:lvl>
    <w:lvl w:ilvl="8">
      <w:start w:val="1"/>
      <w:numFmt w:val="decimal"/>
      <w:isLgl/>
      <w:lvlText w:val="%1.%2.%3.%4.%5.%6.%7.%8.%9"/>
      <w:lvlJc w:val="left"/>
      <w:pPr>
        <w:ind w:left="3840" w:hanging="1440"/>
      </w:pPr>
      <w:rPr>
        <w:rFonts w:hint="default"/>
      </w:rPr>
    </w:lvl>
  </w:abstractNum>
  <w:abstractNum w:abstractNumId="1" w15:restartNumberingAfterBreak="0">
    <w:nsid w:val="27744F5C"/>
    <w:multiLevelType w:val="hybridMultilevel"/>
    <w:tmpl w:val="5322D7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0413AF"/>
    <w:multiLevelType w:val="hybridMultilevel"/>
    <w:tmpl w:val="BCBC0502"/>
    <w:lvl w:ilvl="0" w:tplc="8D9AC0E6">
      <w:start w:val="1"/>
      <w:numFmt w:val="lowerRoman"/>
      <w:lvlText w:val="(%1)"/>
      <w:lvlJc w:val="left"/>
      <w:pPr>
        <w:ind w:left="765" w:hanging="72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3" w15:restartNumberingAfterBreak="0">
    <w:nsid w:val="310B2267"/>
    <w:multiLevelType w:val="hybridMultilevel"/>
    <w:tmpl w:val="04102E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6827C7E"/>
    <w:multiLevelType w:val="hybridMultilevel"/>
    <w:tmpl w:val="B51A4C4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E760C44"/>
    <w:multiLevelType w:val="hybridMultilevel"/>
    <w:tmpl w:val="ECBEF28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76"/>
    <w:rsid w:val="00002E96"/>
    <w:rsid w:val="00025364"/>
    <w:rsid w:val="000261DE"/>
    <w:rsid w:val="00042D3A"/>
    <w:rsid w:val="00051F74"/>
    <w:rsid w:val="00072BC4"/>
    <w:rsid w:val="00073AB2"/>
    <w:rsid w:val="00077F0B"/>
    <w:rsid w:val="00080652"/>
    <w:rsid w:val="00086E73"/>
    <w:rsid w:val="00087395"/>
    <w:rsid w:val="00094822"/>
    <w:rsid w:val="00096069"/>
    <w:rsid w:val="000A6A19"/>
    <w:rsid w:val="000C4B6A"/>
    <w:rsid w:val="000C4E81"/>
    <w:rsid w:val="000D4AF7"/>
    <w:rsid w:val="000F59E4"/>
    <w:rsid w:val="00104B44"/>
    <w:rsid w:val="00107110"/>
    <w:rsid w:val="0011493A"/>
    <w:rsid w:val="00123F3E"/>
    <w:rsid w:val="0012600C"/>
    <w:rsid w:val="001336E0"/>
    <w:rsid w:val="0013534D"/>
    <w:rsid w:val="001419A1"/>
    <w:rsid w:val="00145D7B"/>
    <w:rsid w:val="00145F7E"/>
    <w:rsid w:val="00147511"/>
    <w:rsid w:val="00164F37"/>
    <w:rsid w:val="00165A4E"/>
    <w:rsid w:val="001722E3"/>
    <w:rsid w:val="00182236"/>
    <w:rsid w:val="00190BB3"/>
    <w:rsid w:val="00193139"/>
    <w:rsid w:val="00195714"/>
    <w:rsid w:val="001A08A9"/>
    <w:rsid w:val="001A131F"/>
    <w:rsid w:val="001D56F7"/>
    <w:rsid w:val="001E1251"/>
    <w:rsid w:val="001F4879"/>
    <w:rsid w:val="0020207E"/>
    <w:rsid w:val="00207957"/>
    <w:rsid w:val="002268FC"/>
    <w:rsid w:val="00237C0E"/>
    <w:rsid w:val="00240D15"/>
    <w:rsid w:val="00251E33"/>
    <w:rsid w:val="00260099"/>
    <w:rsid w:val="00273CC0"/>
    <w:rsid w:val="00276A1D"/>
    <w:rsid w:val="00294086"/>
    <w:rsid w:val="002B76A2"/>
    <w:rsid w:val="002C32C0"/>
    <w:rsid w:val="002C47EC"/>
    <w:rsid w:val="002E76C8"/>
    <w:rsid w:val="003046B2"/>
    <w:rsid w:val="00330434"/>
    <w:rsid w:val="00354864"/>
    <w:rsid w:val="00374D25"/>
    <w:rsid w:val="00386F9B"/>
    <w:rsid w:val="00390B22"/>
    <w:rsid w:val="00397F59"/>
    <w:rsid w:val="003B0FFD"/>
    <w:rsid w:val="003D0BA1"/>
    <w:rsid w:val="003D1039"/>
    <w:rsid w:val="003D674B"/>
    <w:rsid w:val="003D748F"/>
    <w:rsid w:val="003E7340"/>
    <w:rsid w:val="0042322A"/>
    <w:rsid w:val="004615C1"/>
    <w:rsid w:val="00476C95"/>
    <w:rsid w:val="00486DB6"/>
    <w:rsid w:val="00492F63"/>
    <w:rsid w:val="00493748"/>
    <w:rsid w:val="00493F4C"/>
    <w:rsid w:val="004A16D3"/>
    <w:rsid w:val="004B35D6"/>
    <w:rsid w:val="004D765A"/>
    <w:rsid w:val="004E0509"/>
    <w:rsid w:val="004E29B1"/>
    <w:rsid w:val="004F0610"/>
    <w:rsid w:val="00527E1B"/>
    <w:rsid w:val="005330BF"/>
    <w:rsid w:val="0054152C"/>
    <w:rsid w:val="00551DF5"/>
    <w:rsid w:val="0055682C"/>
    <w:rsid w:val="00570509"/>
    <w:rsid w:val="005A5CEA"/>
    <w:rsid w:val="005A5E3F"/>
    <w:rsid w:val="005A72A3"/>
    <w:rsid w:val="005B3693"/>
    <w:rsid w:val="005B5600"/>
    <w:rsid w:val="005C342B"/>
    <w:rsid w:val="005C5870"/>
    <w:rsid w:val="005C7658"/>
    <w:rsid w:val="005D0C2C"/>
    <w:rsid w:val="005D68EE"/>
    <w:rsid w:val="005D738E"/>
    <w:rsid w:val="005E182F"/>
    <w:rsid w:val="005F5A08"/>
    <w:rsid w:val="00657CBE"/>
    <w:rsid w:val="00675384"/>
    <w:rsid w:val="006808F0"/>
    <w:rsid w:val="006A2E94"/>
    <w:rsid w:val="006A334D"/>
    <w:rsid w:val="006A6DF3"/>
    <w:rsid w:val="006B79D8"/>
    <w:rsid w:val="006B7A53"/>
    <w:rsid w:val="006F4541"/>
    <w:rsid w:val="007053E1"/>
    <w:rsid w:val="00726AC6"/>
    <w:rsid w:val="00731E66"/>
    <w:rsid w:val="00733C73"/>
    <w:rsid w:val="00770DC9"/>
    <w:rsid w:val="007831A2"/>
    <w:rsid w:val="00787454"/>
    <w:rsid w:val="00791651"/>
    <w:rsid w:val="00793E7D"/>
    <w:rsid w:val="00796844"/>
    <w:rsid w:val="007A0304"/>
    <w:rsid w:val="007B0F64"/>
    <w:rsid w:val="007B776B"/>
    <w:rsid w:val="007C65CA"/>
    <w:rsid w:val="007C686B"/>
    <w:rsid w:val="007E39A5"/>
    <w:rsid w:val="00800209"/>
    <w:rsid w:val="00801254"/>
    <w:rsid w:val="00810C43"/>
    <w:rsid w:val="0081191E"/>
    <w:rsid w:val="00833991"/>
    <w:rsid w:val="0084585F"/>
    <w:rsid w:val="008523F0"/>
    <w:rsid w:val="008614B4"/>
    <w:rsid w:val="00881784"/>
    <w:rsid w:val="008834B5"/>
    <w:rsid w:val="0088493E"/>
    <w:rsid w:val="0088597B"/>
    <w:rsid w:val="008A12AF"/>
    <w:rsid w:val="008A22C2"/>
    <w:rsid w:val="008A5ECB"/>
    <w:rsid w:val="008A7EF2"/>
    <w:rsid w:val="008B0F26"/>
    <w:rsid w:val="008B3556"/>
    <w:rsid w:val="008B7295"/>
    <w:rsid w:val="008E0995"/>
    <w:rsid w:val="0090511A"/>
    <w:rsid w:val="00910876"/>
    <w:rsid w:val="00910A5E"/>
    <w:rsid w:val="00911788"/>
    <w:rsid w:val="009148F8"/>
    <w:rsid w:val="00914F1E"/>
    <w:rsid w:val="00920A93"/>
    <w:rsid w:val="00927FCB"/>
    <w:rsid w:val="009462EC"/>
    <w:rsid w:val="00950676"/>
    <w:rsid w:val="00950A33"/>
    <w:rsid w:val="00951BF0"/>
    <w:rsid w:val="0095411B"/>
    <w:rsid w:val="0096232F"/>
    <w:rsid w:val="00994B28"/>
    <w:rsid w:val="00995F18"/>
    <w:rsid w:val="00996127"/>
    <w:rsid w:val="009C6775"/>
    <w:rsid w:val="009E2779"/>
    <w:rsid w:val="009E38B7"/>
    <w:rsid w:val="009F3BC1"/>
    <w:rsid w:val="00A001FE"/>
    <w:rsid w:val="00A25688"/>
    <w:rsid w:val="00A41781"/>
    <w:rsid w:val="00A50A2E"/>
    <w:rsid w:val="00A839E3"/>
    <w:rsid w:val="00A91E2D"/>
    <w:rsid w:val="00A96C4C"/>
    <w:rsid w:val="00AA11C6"/>
    <w:rsid w:val="00AA4C97"/>
    <w:rsid w:val="00AA7302"/>
    <w:rsid w:val="00AB3F0F"/>
    <w:rsid w:val="00AC16AC"/>
    <w:rsid w:val="00AC3FBD"/>
    <w:rsid w:val="00AE5ABA"/>
    <w:rsid w:val="00AE69ED"/>
    <w:rsid w:val="00AE79A4"/>
    <w:rsid w:val="00B03065"/>
    <w:rsid w:val="00B0776A"/>
    <w:rsid w:val="00B21E34"/>
    <w:rsid w:val="00B633B8"/>
    <w:rsid w:val="00B707AE"/>
    <w:rsid w:val="00B7387A"/>
    <w:rsid w:val="00B73E0A"/>
    <w:rsid w:val="00B80894"/>
    <w:rsid w:val="00B95327"/>
    <w:rsid w:val="00BC334D"/>
    <w:rsid w:val="00BD57AE"/>
    <w:rsid w:val="00BE0B4C"/>
    <w:rsid w:val="00BF569E"/>
    <w:rsid w:val="00C028F5"/>
    <w:rsid w:val="00C16F41"/>
    <w:rsid w:val="00C300BD"/>
    <w:rsid w:val="00C77BEA"/>
    <w:rsid w:val="00CA1156"/>
    <w:rsid w:val="00CC59C6"/>
    <w:rsid w:val="00CE198C"/>
    <w:rsid w:val="00CF062D"/>
    <w:rsid w:val="00D122FB"/>
    <w:rsid w:val="00D13EB8"/>
    <w:rsid w:val="00D561C1"/>
    <w:rsid w:val="00D765B6"/>
    <w:rsid w:val="00D904AD"/>
    <w:rsid w:val="00D92FF3"/>
    <w:rsid w:val="00DC0ED4"/>
    <w:rsid w:val="00DC5EFE"/>
    <w:rsid w:val="00DC6EEA"/>
    <w:rsid w:val="00DD7B5F"/>
    <w:rsid w:val="00DE19BB"/>
    <w:rsid w:val="00DE2907"/>
    <w:rsid w:val="00DE56A7"/>
    <w:rsid w:val="00DF08CD"/>
    <w:rsid w:val="00E00AB4"/>
    <w:rsid w:val="00E01384"/>
    <w:rsid w:val="00E02A11"/>
    <w:rsid w:val="00E1576C"/>
    <w:rsid w:val="00E15AEF"/>
    <w:rsid w:val="00E15F44"/>
    <w:rsid w:val="00E17A14"/>
    <w:rsid w:val="00E31D89"/>
    <w:rsid w:val="00E41420"/>
    <w:rsid w:val="00E85626"/>
    <w:rsid w:val="00E93A13"/>
    <w:rsid w:val="00ED2E70"/>
    <w:rsid w:val="00ED419D"/>
    <w:rsid w:val="00EF2556"/>
    <w:rsid w:val="00EF58D7"/>
    <w:rsid w:val="00F078A5"/>
    <w:rsid w:val="00F141A7"/>
    <w:rsid w:val="00F2359C"/>
    <w:rsid w:val="00F24780"/>
    <w:rsid w:val="00F513EB"/>
    <w:rsid w:val="00F51E9B"/>
    <w:rsid w:val="00F56B41"/>
    <w:rsid w:val="00F6386A"/>
    <w:rsid w:val="00F64339"/>
    <w:rsid w:val="00FB09C0"/>
    <w:rsid w:val="00FB1202"/>
    <w:rsid w:val="00FB50C1"/>
    <w:rsid w:val="00FB6765"/>
    <w:rsid w:val="00FD5350"/>
    <w:rsid w:val="00FD6965"/>
    <w:rsid w:val="00FD7B16"/>
    <w:rsid w:val="00FE5CAF"/>
    <w:rsid w:val="00FE7E76"/>
    <w:rsid w:val="00FF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1261B-A1CB-4049-90A5-3453D02D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67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67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0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676"/>
    <w:rPr>
      <w:lang w:val="en-ZA"/>
    </w:rPr>
  </w:style>
  <w:style w:type="paragraph" w:customStyle="1" w:styleId="form-control-static">
    <w:name w:val="form-control-static"/>
    <w:basedOn w:val="Normal"/>
    <w:rsid w:val="0095067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5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76"/>
    <w:rPr>
      <w:lang w:val="en-ZA"/>
    </w:rPr>
  </w:style>
  <w:style w:type="paragraph" w:styleId="NoSpacing">
    <w:name w:val="No Spacing"/>
    <w:uiPriority w:val="1"/>
    <w:qFormat/>
    <w:rsid w:val="00950676"/>
    <w:pPr>
      <w:spacing w:after="0" w:line="240" w:lineRule="auto"/>
    </w:pPr>
    <w:rPr>
      <w:rFonts w:ascii="Calibri" w:eastAsia="Calibri" w:hAnsi="Calibri" w:cs="Calibri"/>
      <w:color w:val="000000"/>
      <w:lang w:val="en-ZA" w:eastAsia="en-ZA"/>
    </w:rPr>
  </w:style>
  <w:style w:type="paragraph" w:styleId="BalloonText">
    <w:name w:val="Balloon Text"/>
    <w:basedOn w:val="Normal"/>
    <w:link w:val="BalloonTextChar"/>
    <w:uiPriority w:val="99"/>
    <w:semiHidden/>
    <w:unhideWhenUsed/>
    <w:rsid w:val="003D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A1"/>
    <w:rPr>
      <w:rFonts w:ascii="Tahoma" w:hAnsi="Tahoma" w:cs="Tahoma"/>
      <w:sz w:val="16"/>
      <w:szCs w:val="16"/>
      <w:lang w:val="en-ZA"/>
    </w:rPr>
  </w:style>
  <w:style w:type="paragraph" w:styleId="ListParagraph">
    <w:name w:val="List Paragraph"/>
    <w:basedOn w:val="Normal"/>
    <w:uiPriority w:val="34"/>
    <w:qFormat/>
    <w:rsid w:val="002C47EC"/>
    <w:pPr>
      <w:ind w:left="720"/>
      <w:contextualSpacing/>
    </w:pPr>
  </w:style>
  <w:style w:type="paragraph" w:styleId="FootnoteText">
    <w:name w:val="footnote text"/>
    <w:basedOn w:val="Normal"/>
    <w:link w:val="FootnoteTextChar"/>
    <w:uiPriority w:val="99"/>
    <w:semiHidden/>
    <w:unhideWhenUsed/>
    <w:rsid w:val="00962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32F"/>
    <w:rPr>
      <w:sz w:val="20"/>
      <w:szCs w:val="20"/>
      <w:lang w:val="en-ZA"/>
    </w:rPr>
  </w:style>
  <w:style w:type="character" w:styleId="FootnoteReference">
    <w:name w:val="footnote reference"/>
    <w:basedOn w:val="DefaultParagraphFont"/>
    <w:uiPriority w:val="99"/>
    <w:semiHidden/>
    <w:unhideWhenUsed/>
    <w:rsid w:val="00962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2020-11-05T18:30:00+00:00</Judgment_x0020_Date>
    <Year xmlns="c1afb1bd-f2fb-40fd-9abb-aea55b4d7662">2020</Year>
  </documentManagement>
</p:properties>
</file>

<file path=customXml/itemProps1.xml><?xml version="1.0" encoding="utf-8"?>
<ds:datastoreItem xmlns:ds="http://schemas.openxmlformats.org/officeDocument/2006/customXml" ds:itemID="{6D61711C-80C6-4AF7-8B59-3B1FDD055E95}"/>
</file>

<file path=customXml/itemProps2.xml><?xml version="1.0" encoding="utf-8"?>
<ds:datastoreItem xmlns:ds="http://schemas.openxmlformats.org/officeDocument/2006/customXml" ds:itemID="{A1FC0F16-6B31-4D47-BAC8-944CBC3F9140}"/>
</file>

<file path=customXml/itemProps3.xml><?xml version="1.0" encoding="utf-8"?>
<ds:datastoreItem xmlns:ds="http://schemas.openxmlformats.org/officeDocument/2006/customXml" ds:itemID="{8357F067-7C3B-4F07-90C1-BAF600E4DBB7}"/>
</file>

<file path=customXml/itemProps4.xml><?xml version="1.0" encoding="utf-8"?>
<ds:datastoreItem xmlns:ds="http://schemas.openxmlformats.org/officeDocument/2006/customXml" ds:itemID="{D9370BD3-4383-4177-8DE3-3F3F95B6A07D}"/>
</file>

<file path=docProps/app.xml><?xml version="1.0" encoding="utf-8"?>
<Properties xmlns="http://schemas.openxmlformats.org/officeDocument/2006/extended-properties" xmlns:vt="http://schemas.openxmlformats.org/officeDocument/2006/docPropsVTypes">
  <Template>Normal</Template>
  <TotalTime>15</TotalTime>
  <Pages>10</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Larissa Investment CC v Homatha (HC-MD-CIV-ACT-DEL-2019-00104) [2020] NAHCMD 508 (6 November 2020)</dc:title>
  <dc:creator>Priscilla Nande</dc:creator>
  <cp:lastModifiedBy>Administrator</cp:lastModifiedBy>
  <cp:revision>6</cp:revision>
  <cp:lastPrinted>2020-10-26T06:54:00Z</cp:lastPrinted>
  <dcterms:created xsi:type="dcterms:W3CDTF">2020-11-09T14:16:00Z</dcterms:created>
  <dcterms:modified xsi:type="dcterms:W3CDTF">2020-11-10T07:12:00Z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