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377AB844" wp14:editId="79FBD5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C3FA6" w:rsidRDefault="00BC3FA6" w:rsidP="00FE21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AB8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C3FA6" w:rsidRDefault="00BC3FA6" w:rsidP="00FE2178">
                      <w:pPr>
                        <w:jc w:val="center"/>
                      </w:pPr>
                    </w:p>
                  </w:txbxContent>
                </v:textbox>
              </v:shape>
            </w:pict>
          </mc:Fallback>
        </mc:AlternateContent>
      </w: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val="en-ZA" w:eastAsia="en-ZA"/>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Pr="00C2360F" w:rsidRDefault="00FE2178" w:rsidP="00FE2178">
      <w:pPr>
        <w:spacing w:after="0" w:line="360" w:lineRule="auto"/>
        <w:jc w:val="center"/>
        <w:rPr>
          <w:rFonts w:ascii="Arial" w:hAnsi="Arial" w:cs="Arial"/>
          <w:b/>
          <w:sz w:val="10"/>
          <w:szCs w:val="10"/>
        </w:rPr>
      </w:pP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FE2178" w:rsidP="00FE2178">
      <w:pPr>
        <w:spacing w:after="0" w:line="360" w:lineRule="auto"/>
        <w:jc w:val="both"/>
        <w:rPr>
          <w:rFonts w:ascii="Arial" w:hAnsi="Arial" w:cs="Arial"/>
          <w:b/>
          <w:sz w:val="24"/>
          <w:szCs w:val="24"/>
        </w:rPr>
      </w:pPr>
    </w:p>
    <w:p w:rsidR="00FE2178" w:rsidRPr="00C2360F" w:rsidRDefault="00FE2178" w:rsidP="00FE2178">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 xml:space="preserve">Case no: </w:t>
      </w:r>
      <w:r w:rsidR="00624879" w:rsidRPr="00624879">
        <w:rPr>
          <w:rFonts w:ascii="Arial" w:hAnsi="Arial" w:cs="Arial"/>
          <w:sz w:val="24"/>
          <w:szCs w:val="24"/>
        </w:rPr>
        <w:t>HC-MD-CIV-ACT-CON-2016/03115</w:t>
      </w:r>
    </w:p>
    <w:p w:rsidR="00A35552" w:rsidRDefault="00A35552" w:rsidP="00FE2178">
      <w:pPr>
        <w:spacing w:after="0" w:line="360" w:lineRule="auto"/>
        <w:jc w:val="both"/>
        <w:rPr>
          <w:rFonts w:ascii="Arial" w:hAnsi="Arial" w:cs="Arial"/>
          <w:sz w:val="24"/>
          <w:szCs w:val="24"/>
        </w:rPr>
      </w:pPr>
    </w:p>
    <w:p w:rsidR="00FE2178" w:rsidRDefault="00FE2178" w:rsidP="00FE2178">
      <w:pPr>
        <w:spacing w:after="0" w:line="360" w:lineRule="auto"/>
        <w:jc w:val="both"/>
        <w:rPr>
          <w:rFonts w:ascii="Arial" w:hAnsi="Arial" w:cs="Arial"/>
          <w:sz w:val="24"/>
          <w:szCs w:val="24"/>
        </w:rPr>
      </w:pPr>
      <w:r w:rsidRPr="00C2360F">
        <w:rPr>
          <w:rFonts w:ascii="Arial" w:hAnsi="Arial" w:cs="Arial"/>
          <w:sz w:val="24"/>
          <w:szCs w:val="24"/>
        </w:rPr>
        <w:t>In the matter between:</w:t>
      </w:r>
    </w:p>
    <w:p w:rsidR="00B715CD" w:rsidRPr="00C2360F" w:rsidRDefault="00B715CD" w:rsidP="00FE2178">
      <w:pPr>
        <w:spacing w:after="0" w:line="360" w:lineRule="auto"/>
        <w:jc w:val="both"/>
        <w:rPr>
          <w:rFonts w:ascii="Arial" w:hAnsi="Arial" w:cs="Arial"/>
          <w:sz w:val="24"/>
          <w:szCs w:val="24"/>
        </w:rPr>
      </w:pPr>
    </w:p>
    <w:p w:rsidR="00FE2178" w:rsidRDefault="00624879" w:rsidP="00FE2178">
      <w:pPr>
        <w:tabs>
          <w:tab w:val="right" w:pos="9360"/>
        </w:tabs>
        <w:spacing w:after="0" w:line="360" w:lineRule="auto"/>
        <w:jc w:val="both"/>
        <w:rPr>
          <w:rFonts w:ascii="Arial" w:hAnsi="Arial" w:cs="Arial"/>
          <w:b/>
          <w:sz w:val="24"/>
          <w:szCs w:val="24"/>
        </w:rPr>
      </w:pPr>
      <w:r w:rsidRPr="00624879">
        <w:rPr>
          <w:rFonts w:ascii="Arial" w:hAnsi="Arial" w:cs="Arial"/>
          <w:b/>
          <w:sz w:val="24"/>
          <w:szCs w:val="24"/>
        </w:rPr>
        <w:t>GERVASIUS ARNAT</w:t>
      </w:r>
      <w:r w:rsidR="00FE2178" w:rsidRPr="00C2360F">
        <w:rPr>
          <w:rFonts w:ascii="Arial" w:hAnsi="Arial" w:cs="Arial"/>
          <w:b/>
          <w:sz w:val="24"/>
          <w:szCs w:val="24"/>
        </w:rPr>
        <w:tab/>
      </w:r>
      <w:r>
        <w:rPr>
          <w:rFonts w:ascii="Arial" w:hAnsi="Arial" w:cs="Arial"/>
          <w:b/>
          <w:sz w:val="24"/>
          <w:szCs w:val="24"/>
        </w:rPr>
        <w:t>1</w:t>
      </w:r>
      <w:r w:rsidRPr="00624879">
        <w:rPr>
          <w:rFonts w:ascii="Arial" w:hAnsi="Arial" w:cs="Arial"/>
          <w:b/>
          <w:sz w:val="24"/>
          <w:szCs w:val="24"/>
          <w:vertAlign w:val="superscript"/>
        </w:rPr>
        <w:t>st</w:t>
      </w:r>
      <w:r>
        <w:rPr>
          <w:rFonts w:ascii="Arial" w:hAnsi="Arial" w:cs="Arial"/>
          <w:b/>
          <w:sz w:val="24"/>
          <w:szCs w:val="24"/>
        </w:rPr>
        <w:t xml:space="preserve"> </w:t>
      </w:r>
      <w:r w:rsidR="00FE2178" w:rsidRPr="00C2360F">
        <w:rPr>
          <w:rFonts w:ascii="Arial" w:hAnsi="Arial" w:cs="Arial"/>
          <w:b/>
          <w:sz w:val="24"/>
          <w:szCs w:val="24"/>
        </w:rPr>
        <w:t>PLAINTIFF</w:t>
      </w:r>
    </w:p>
    <w:p w:rsidR="00624879" w:rsidRPr="00C2360F" w:rsidRDefault="00624879" w:rsidP="00FE2178">
      <w:pPr>
        <w:tabs>
          <w:tab w:val="right" w:pos="9360"/>
        </w:tabs>
        <w:spacing w:after="0" w:line="360" w:lineRule="auto"/>
        <w:jc w:val="both"/>
        <w:rPr>
          <w:rFonts w:ascii="Arial" w:hAnsi="Arial" w:cs="Arial"/>
          <w:b/>
          <w:sz w:val="24"/>
          <w:szCs w:val="24"/>
        </w:rPr>
      </w:pPr>
      <w:r>
        <w:rPr>
          <w:rFonts w:ascii="Arial" w:hAnsi="Arial" w:cs="Arial"/>
          <w:b/>
          <w:sz w:val="24"/>
          <w:szCs w:val="24"/>
        </w:rPr>
        <w:t>FRANCISKA ARNAT</w:t>
      </w:r>
      <w:r>
        <w:rPr>
          <w:rFonts w:ascii="Arial" w:hAnsi="Arial" w:cs="Arial"/>
          <w:b/>
          <w:sz w:val="24"/>
          <w:szCs w:val="24"/>
        </w:rPr>
        <w:tab/>
        <w:t>2</w:t>
      </w:r>
      <w:r w:rsidRPr="00624879">
        <w:rPr>
          <w:rFonts w:ascii="Arial" w:hAnsi="Arial" w:cs="Arial"/>
          <w:b/>
          <w:sz w:val="24"/>
          <w:szCs w:val="24"/>
          <w:vertAlign w:val="superscript"/>
        </w:rPr>
        <w:t>ND</w:t>
      </w:r>
      <w:r>
        <w:rPr>
          <w:rFonts w:ascii="Arial" w:hAnsi="Arial" w:cs="Arial"/>
          <w:b/>
          <w:sz w:val="24"/>
          <w:szCs w:val="24"/>
        </w:rPr>
        <w:t xml:space="preserve"> PLAINTIFF</w:t>
      </w:r>
    </w:p>
    <w:p w:rsidR="00FE2178" w:rsidRPr="00C2360F" w:rsidRDefault="00FE2178" w:rsidP="00FE2178">
      <w:pPr>
        <w:spacing w:after="0" w:line="360" w:lineRule="auto"/>
        <w:jc w:val="both"/>
        <w:rPr>
          <w:rFonts w:ascii="Arial" w:hAnsi="Arial" w:cs="Arial"/>
          <w:sz w:val="20"/>
          <w:szCs w:val="20"/>
        </w:rPr>
      </w:pPr>
    </w:p>
    <w:p w:rsidR="00FE2178" w:rsidRPr="00C2360F" w:rsidRDefault="00FE2178" w:rsidP="00FE2178">
      <w:pPr>
        <w:spacing w:after="0" w:line="360" w:lineRule="auto"/>
        <w:jc w:val="both"/>
        <w:rPr>
          <w:rFonts w:ascii="Arial" w:hAnsi="Arial" w:cs="Arial"/>
          <w:sz w:val="24"/>
          <w:szCs w:val="24"/>
        </w:rPr>
      </w:pPr>
      <w:proofErr w:type="gramStart"/>
      <w:r w:rsidRPr="00C2360F">
        <w:rPr>
          <w:rFonts w:ascii="Arial" w:hAnsi="Arial" w:cs="Arial"/>
          <w:sz w:val="24"/>
          <w:szCs w:val="24"/>
        </w:rPr>
        <w:t>and</w:t>
      </w:r>
      <w:proofErr w:type="gramEnd"/>
    </w:p>
    <w:p w:rsidR="00FE2178" w:rsidRPr="00C2360F" w:rsidRDefault="00FE2178" w:rsidP="00FE2178">
      <w:pPr>
        <w:spacing w:after="0" w:line="360" w:lineRule="auto"/>
        <w:jc w:val="both"/>
        <w:rPr>
          <w:rFonts w:ascii="Arial" w:hAnsi="Arial" w:cs="Arial"/>
          <w:sz w:val="20"/>
          <w:szCs w:val="20"/>
        </w:rPr>
      </w:pPr>
    </w:p>
    <w:p w:rsidR="00FE2178" w:rsidRDefault="00624879" w:rsidP="00BD3164">
      <w:pPr>
        <w:spacing w:after="0" w:line="360" w:lineRule="auto"/>
        <w:rPr>
          <w:rFonts w:ascii="Arial" w:hAnsi="Arial" w:cs="Arial"/>
          <w:b/>
          <w:sz w:val="24"/>
          <w:szCs w:val="24"/>
        </w:rPr>
      </w:pPr>
      <w:r w:rsidRPr="00624879">
        <w:rPr>
          <w:rFonts w:ascii="Arial" w:hAnsi="Arial" w:cs="Arial"/>
          <w:b/>
          <w:sz w:val="24"/>
          <w:szCs w:val="24"/>
        </w:rPr>
        <w:t>LIFE CHANGING CHRISTIAN CHURCH</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E2178" w:rsidRPr="00C2360F">
        <w:rPr>
          <w:rFonts w:ascii="Arial" w:hAnsi="Arial" w:cs="Arial"/>
          <w:b/>
          <w:sz w:val="24"/>
          <w:szCs w:val="24"/>
        </w:rPr>
        <w:t xml:space="preserve">       </w:t>
      </w:r>
      <w:r w:rsidR="00BD3164">
        <w:rPr>
          <w:rFonts w:ascii="Arial" w:hAnsi="Arial" w:cs="Arial"/>
          <w:b/>
          <w:sz w:val="24"/>
          <w:szCs w:val="24"/>
        </w:rPr>
        <w:tab/>
      </w:r>
      <w:r w:rsidR="001150F4">
        <w:rPr>
          <w:rFonts w:ascii="Arial" w:hAnsi="Arial" w:cs="Arial"/>
          <w:b/>
          <w:sz w:val="24"/>
          <w:szCs w:val="24"/>
        </w:rPr>
        <w:t xml:space="preserve">    </w:t>
      </w:r>
      <w:r>
        <w:rPr>
          <w:rFonts w:ascii="Arial" w:hAnsi="Arial" w:cs="Arial"/>
          <w:b/>
          <w:sz w:val="24"/>
          <w:szCs w:val="24"/>
        </w:rPr>
        <w:t>1</w:t>
      </w:r>
      <w:r w:rsidRPr="00624879">
        <w:rPr>
          <w:rFonts w:ascii="Arial" w:hAnsi="Arial" w:cs="Arial"/>
          <w:b/>
          <w:sz w:val="24"/>
          <w:szCs w:val="24"/>
          <w:vertAlign w:val="superscript"/>
        </w:rPr>
        <w:t>ST</w:t>
      </w:r>
      <w:r>
        <w:rPr>
          <w:rFonts w:ascii="Arial" w:hAnsi="Arial" w:cs="Arial"/>
          <w:b/>
          <w:sz w:val="24"/>
          <w:szCs w:val="24"/>
        </w:rPr>
        <w:t xml:space="preserve"> </w:t>
      </w:r>
      <w:r w:rsidR="00BD3164">
        <w:rPr>
          <w:rFonts w:ascii="Arial" w:hAnsi="Arial" w:cs="Arial"/>
          <w:b/>
          <w:sz w:val="24"/>
          <w:szCs w:val="24"/>
        </w:rPr>
        <w:t>D</w:t>
      </w:r>
      <w:r w:rsidR="00FE2178" w:rsidRPr="00C2360F">
        <w:rPr>
          <w:rFonts w:ascii="Arial" w:hAnsi="Arial" w:cs="Arial"/>
          <w:b/>
          <w:sz w:val="24"/>
          <w:szCs w:val="24"/>
        </w:rPr>
        <w:t>EFENDANT</w:t>
      </w:r>
    </w:p>
    <w:p w:rsidR="00624879" w:rsidRPr="00C2360F" w:rsidRDefault="00624879" w:rsidP="00BD3164">
      <w:pPr>
        <w:spacing w:after="0" w:line="360" w:lineRule="auto"/>
        <w:rPr>
          <w:rFonts w:ascii="Arial" w:hAnsi="Arial" w:cs="Arial"/>
          <w:b/>
          <w:sz w:val="24"/>
          <w:szCs w:val="24"/>
        </w:rPr>
      </w:pPr>
      <w:r>
        <w:rPr>
          <w:rFonts w:ascii="Arial" w:hAnsi="Arial" w:cs="Arial"/>
          <w:b/>
          <w:sz w:val="24"/>
          <w:szCs w:val="24"/>
        </w:rPr>
        <w:t xml:space="preserve">SAUMA ONWORDI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25A30">
        <w:rPr>
          <w:rFonts w:ascii="Arial" w:hAnsi="Arial" w:cs="Arial"/>
          <w:b/>
          <w:sz w:val="24"/>
          <w:szCs w:val="24"/>
        </w:rPr>
        <w:t xml:space="preserve">   </w:t>
      </w:r>
      <w:r>
        <w:rPr>
          <w:rFonts w:ascii="Arial" w:hAnsi="Arial" w:cs="Arial"/>
          <w:b/>
          <w:sz w:val="24"/>
          <w:szCs w:val="24"/>
        </w:rPr>
        <w:t>2</w:t>
      </w:r>
      <w:r w:rsidRPr="00624879">
        <w:rPr>
          <w:rFonts w:ascii="Arial" w:hAnsi="Arial" w:cs="Arial"/>
          <w:b/>
          <w:sz w:val="24"/>
          <w:szCs w:val="24"/>
          <w:vertAlign w:val="superscript"/>
        </w:rPr>
        <w:t>ND</w:t>
      </w:r>
      <w:r>
        <w:rPr>
          <w:rFonts w:ascii="Arial" w:hAnsi="Arial" w:cs="Arial"/>
          <w:b/>
          <w:sz w:val="24"/>
          <w:szCs w:val="24"/>
        </w:rPr>
        <w:t xml:space="preserve"> DEFENDANT</w:t>
      </w:r>
    </w:p>
    <w:p w:rsidR="00FE2178" w:rsidRDefault="00FE2178" w:rsidP="00FE2178">
      <w:pPr>
        <w:spacing w:after="0" w:line="360" w:lineRule="auto"/>
        <w:ind w:left="2160" w:hanging="2160"/>
        <w:jc w:val="both"/>
        <w:rPr>
          <w:rFonts w:ascii="Arial" w:hAnsi="Arial" w:cs="Arial"/>
          <w:b/>
          <w:sz w:val="24"/>
          <w:szCs w:val="24"/>
        </w:rPr>
      </w:pPr>
    </w:p>
    <w:p w:rsidR="00E15AC1" w:rsidRPr="00C2360F" w:rsidRDefault="00E15AC1" w:rsidP="00FE2178">
      <w:pPr>
        <w:spacing w:after="0" w:line="360" w:lineRule="auto"/>
        <w:ind w:left="2160" w:hanging="2160"/>
        <w:jc w:val="both"/>
        <w:rPr>
          <w:rFonts w:ascii="Arial" w:hAnsi="Arial" w:cs="Arial"/>
          <w:b/>
          <w:sz w:val="24"/>
          <w:szCs w:val="24"/>
        </w:rPr>
      </w:pPr>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proofErr w:type="spellStart"/>
      <w:r w:rsidR="00624879">
        <w:rPr>
          <w:rFonts w:ascii="Arial" w:hAnsi="Arial" w:cs="Arial"/>
          <w:i/>
          <w:sz w:val="24"/>
          <w:szCs w:val="24"/>
        </w:rPr>
        <w:t>Arnat</w:t>
      </w:r>
      <w:proofErr w:type="spellEnd"/>
      <w:r w:rsidR="00624879">
        <w:rPr>
          <w:rFonts w:ascii="Arial" w:hAnsi="Arial" w:cs="Arial"/>
          <w:i/>
          <w:sz w:val="24"/>
          <w:szCs w:val="24"/>
        </w:rPr>
        <w:t xml:space="preserve"> </w:t>
      </w:r>
      <w:r w:rsidR="001150F4">
        <w:rPr>
          <w:rFonts w:ascii="Arial" w:hAnsi="Arial" w:cs="Arial"/>
          <w:i/>
          <w:sz w:val="24"/>
          <w:szCs w:val="24"/>
        </w:rPr>
        <w:t xml:space="preserve">v </w:t>
      </w:r>
      <w:r w:rsidR="00624879">
        <w:rPr>
          <w:rFonts w:ascii="Arial" w:hAnsi="Arial" w:cs="Arial"/>
          <w:i/>
          <w:sz w:val="24"/>
          <w:szCs w:val="24"/>
        </w:rPr>
        <w:t xml:space="preserve">Life Changing Church </w:t>
      </w:r>
      <w:r w:rsidRPr="00C2360F">
        <w:rPr>
          <w:rFonts w:ascii="Arial" w:hAnsi="Arial" w:cs="Arial"/>
          <w:sz w:val="24"/>
          <w:szCs w:val="24"/>
        </w:rPr>
        <w:t>(</w:t>
      </w:r>
      <w:r w:rsidR="001150F4">
        <w:rPr>
          <w:rFonts w:ascii="Arial" w:hAnsi="Arial" w:cs="Arial"/>
          <w:sz w:val="24"/>
          <w:szCs w:val="24"/>
        </w:rPr>
        <w:t>HC-MD-CIV-ACT-CON-20</w:t>
      </w:r>
      <w:r w:rsidR="00624879">
        <w:rPr>
          <w:rFonts w:ascii="Arial" w:hAnsi="Arial" w:cs="Arial"/>
          <w:sz w:val="24"/>
          <w:szCs w:val="24"/>
        </w:rPr>
        <w:t>16/03115) [2020</w:t>
      </w:r>
      <w:r w:rsidRPr="00C2360F">
        <w:rPr>
          <w:rFonts w:ascii="Arial" w:hAnsi="Arial" w:cs="Arial"/>
          <w:sz w:val="24"/>
          <w:szCs w:val="24"/>
        </w:rPr>
        <w:t xml:space="preserve">] NAHCMD </w:t>
      </w:r>
      <w:r w:rsidR="00E97F31">
        <w:rPr>
          <w:rFonts w:ascii="Arial" w:hAnsi="Arial" w:cs="Arial"/>
          <w:sz w:val="24"/>
          <w:szCs w:val="24"/>
        </w:rPr>
        <w:t>51</w:t>
      </w:r>
      <w:r w:rsidR="00042D0A">
        <w:rPr>
          <w:rFonts w:ascii="Arial" w:hAnsi="Arial" w:cs="Arial"/>
          <w:sz w:val="24"/>
          <w:szCs w:val="24"/>
        </w:rPr>
        <w:t xml:space="preserve"> </w:t>
      </w:r>
      <w:r w:rsidRPr="00C2360F">
        <w:rPr>
          <w:rFonts w:ascii="Arial" w:hAnsi="Arial" w:cs="Arial"/>
          <w:sz w:val="24"/>
          <w:szCs w:val="24"/>
        </w:rPr>
        <w:t>(</w:t>
      </w:r>
      <w:r w:rsidR="00624879">
        <w:rPr>
          <w:rFonts w:ascii="Arial" w:hAnsi="Arial" w:cs="Arial"/>
          <w:sz w:val="24"/>
          <w:szCs w:val="24"/>
        </w:rPr>
        <w:t>7 February 2020</w:t>
      </w:r>
      <w:r w:rsidRPr="00C2360F">
        <w:rPr>
          <w:rFonts w:ascii="Arial" w:hAnsi="Arial" w:cs="Arial"/>
          <w:sz w:val="24"/>
          <w:szCs w:val="24"/>
        </w:rPr>
        <w:t>)</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042D0A">
        <w:rPr>
          <w:rFonts w:ascii="Arial" w:hAnsi="Arial" w:cs="Arial"/>
          <w:sz w:val="24"/>
          <w:szCs w:val="24"/>
        </w:rPr>
        <w:t>TOMMASI J</w:t>
      </w:r>
    </w:p>
    <w:p w:rsidR="00FE2178" w:rsidRDefault="00FE2178" w:rsidP="00FE2178">
      <w:pPr>
        <w:spacing w:after="0" w:line="360" w:lineRule="auto"/>
        <w:ind w:left="1440" w:hanging="1440"/>
        <w:rPr>
          <w:rFonts w:ascii="Arial" w:hAnsi="Arial" w:cs="Arial"/>
          <w:sz w:val="24"/>
          <w:szCs w:val="24"/>
        </w:rPr>
      </w:pPr>
      <w:r w:rsidRPr="00C2360F">
        <w:rPr>
          <w:rFonts w:ascii="Arial" w:hAnsi="Arial" w:cs="Arial"/>
          <w:b/>
          <w:bCs/>
          <w:sz w:val="24"/>
          <w:szCs w:val="24"/>
        </w:rPr>
        <w:t>Heard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AD6E69">
        <w:rPr>
          <w:rFonts w:ascii="Arial" w:hAnsi="Arial" w:cs="Arial"/>
          <w:sz w:val="24"/>
          <w:szCs w:val="24"/>
        </w:rPr>
        <w:tab/>
      </w:r>
      <w:r w:rsidR="005C7399">
        <w:rPr>
          <w:rFonts w:ascii="Arial" w:hAnsi="Arial" w:cs="Arial"/>
          <w:sz w:val="24"/>
          <w:szCs w:val="24"/>
        </w:rPr>
        <w:t>7 February 2020</w:t>
      </w:r>
    </w:p>
    <w:p w:rsidR="00FE2178" w:rsidRPr="00C2360F" w:rsidRDefault="00FE2178" w:rsidP="00FE2178">
      <w:pPr>
        <w:spacing w:after="0" w:line="360" w:lineRule="auto"/>
        <w:jc w:val="both"/>
        <w:rPr>
          <w:rFonts w:ascii="Arial" w:hAnsi="Arial" w:cs="Arial"/>
          <w:b/>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0B1E15">
        <w:rPr>
          <w:rFonts w:ascii="Arial" w:hAnsi="Arial" w:cs="Arial"/>
          <w:sz w:val="24"/>
          <w:szCs w:val="24"/>
        </w:rPr>
        <w:t>7 February 2020</w:t>
      </w:r>
    </w:p>
    <w:p w:rsidR="00FE2178" w:rsidRDefault="00FE2178" w:rsidP="00FE2178">
      <w:pPr>
        <w:spacing w:after="0" w:line="360" w:lineRule="auto"/>
        <w:jc w:val="both"/>
        <w:rPr>
          <w:rFonts w:ascii="Arial" w:hAnsi="Arial" w:cs="Arial"/>
          <w:b/>
          <w:sz w:val="24"/>
          <w:szCs w:val="24"/>
        </w:rPr>
      </w:pPr>
    </w:p>
    <w:p w:rsidR="00554A0F" w:rsidRDefault="00554A0F" w:rsidP="00FE2178">
      <w:pPr>
        <w:spacing w:after="0" w:line="360" w:lineRule="auto"/>
        <w:jc w:val="both"/>
        <w:rPr>
          <w:rFonts w:ascii="Arial" w:hAnsi="Arial" w:cs="Arial"/>
          <w:b/>
          <w:sz w:val="24"/>
          <w:szCs w:val="24"/>
        </w:rPr>
      </w:pPr>
    </w:p>
    <w:p w:rsidR="00554A0F" w:rsidRPr="00C2360F" w:rsidRDefault="00554A0F" w:rsidP="00FE2178">
      <w:pPr>
        <w:spacing w:after="0" w:line="360" w:lineRule="auto"/>
        <w:jc w:val="both"/>
        <w:rPr>
          <w:rFonts w:ascii="Arial" w:hAnsi="Arial" w:cs="Arial"/>
          <w:b/>
          <w:sz w:val="24"/>
          <w:szCs w:val="24"/>
        </w:rPr>
      </w:pPr>
    </w:p>
    <w:p w:rsidR="00BD3164" w:rsidRDefault="00FE2178" w:rsidP="00FE2178">
      <w:pPr>
        <w:spacing w:after="0" w:line="360" w:lineRule="auto"/>
        <w:jc w:val="both"/>
        <w:rPr>
          <w:rFonts w:ascii="Arial" w:hAnsi="Arial" w:cs="Arial"/>
          <w:sz w:val="24"/>
          <w:szCs w:val="24"/>
        </w:rPr>
      </w:pPr>
      <w:proofErr w:type="spellStart"/>
      <w:r w:rsidRPr="00C2360F">
        <w:rPr>
          <w:rFonts w:ascii="Arial" w:hAnsi="Arial" w:cs="Arial"/>
          <w:b/>
          <w:sz w:val="24"/>
          <w:szCs w:val="24"/>
        </w:rPr>
        <w:t>Flynote</w:t>
      </w:r>
      <w:proofErr w:type="spellEnd"/>
      <w:r w:rsidRPr="00C2360F">
        <w:rPr>
          <w:rFonts w:ascii="Arial" w:hAnsi="Arial" w:cs="Arial"/>
          <w:b/>
          <w:sz w:val="24"/>
          <w:szCs w:val="24"/>
        </w:rPr>
        <w:t>:</w:t>
      </w:r>
      <w:r w:rsidRPr="00C2360F">
        <w:rPr>
          <w:rFonts w:ascii="Arial" w:hAnsi="Arial" w:cs="Arial"/>
          <w:b/>
          <w:sz w:val="24"/>
          <w:szCs w:val="24"/>
        </w:rPr>
        <w:tab/>
      </w:r>
      <w:r w:rsidR="00837050">
        <w:rPr>
          <w:rFonts w:ascii="Arial" w:hAnsi="Arial" w:cs="Arial"/>
          <w:sz w:val="24"/>
          <w:szCs w:val="24"/>
        </w:rPr>
        <w:t>Sale – of land – First Plaintiff in reconvention in pleadings relied on a Memorandum of Understanding to the effect Defendant’s in reconvention acted as a nominee when they applied for a Mortgage Loan and when they entered into an agreement to purchase immovable property. – Memorandum however was entered into after loan was applied for and the sale agreement entered into. Oral evidence suggests that a prior oral agreement was entered into and merely recorded in the Memorandum of Understanding.</w:t>
      </w:r>
    </w:p>
    <w:p w:rsidR="001622FF" w:rsidRDefault="001622FF" w:rsidP="00FE2178">
      <w:pPr>
        <w:spacing w:after="0" w:line="360" w:lineRule="auto"/>
        <w:jc w:val="both"/>
        <w:rPr>
          <w:rFonts w:ascii="Arial" w:hAnsi="Arial" w:cs="Arial"/>
          <w:sz w:val="24"/>
          <w:szCs w:val="24"/>
        </w:rPr>
      </w:pPr>
    </w:p>
    <w:p w:rsidR="00813D95" w:rsidRDefault="000278C6" w:rsidP="00FE2178">
      <w:pPr>
        <w:spacing w:after="0" w:line="360" w:lineRule="auto"/>
        <w:jc w:val="both"/>
        <w:rPr>
          <w:rFonts w:ascii="Arial" w:hAnsi="Arial" w:cs="Arial"/>
          <w:sz w:val="24"/>
          <w:szCs w:val="24"/>
        </w:rPr>
      </w:pPr>
      <w:r>
        <w:rPr>
          <w:rFonts w:ascii="Arial" w:hAnsi="Arial" w:cs="Arial"/>
          <w:sz w:val="24"/>
          <w:szCs w:val="24"/>
        </w:rPr>
        <w:t xml:space="preserve">Practice – original cause of action not pleaded – court would in exceptional cases deal with issues which arise during trial – although the evidence support a finding that an agreement was entered into in terms whereof the defendants in reconvention purchased the erf as nominees </w:t>
      </w:r>
      <w:r w:rsidR="00E47EA2">
        <w:rPr>
          <w:rFonts w:ascii="Arial" w:hAnsi="Arial" w:cs="Arial"/>
          <w:sz w:val="24"/>
          <w:szCs w:val="24"/>
        </w:rPr>
        <w:t xml:space="preserve">– the </w:t>
      </w:r>
      <w:r>
        <w:rPr>
          <w:rFonts w:ascii="Arial" w:hAnsi="Arial" w:cs="Arial"/>
          <w:sz w:val="24"/>
          <w:szCs w:val="24"/>
        </w:rPr>
        <w:t>terms thereof is disputed</w:t>
      </w:r>
      <w:r w:rsidR="00E47EA2">
        <w:rPr>
          <w:rFonts w:ascii="Arial" w:hAnsi="Arial" w:cs="Arial"/>
          <w:sz w:val="24"/>
          <w:szCs w:val="24"/>
        </w:rPr>
        <w:t xml:space="preserve"> and evidence of mortgage bond is secured over the property in favour of First National Bank. </w:t>
      </w:r>
      <w:r w:rsidR="00813D95">
        <w:rPr>
          <w:rFonts w:ascii="Arial" w:hAnsi="Arial" w:cs="Arial"/>
          <w:sz w:val="24"/>
          <w:szCs w:val="24"/>
        </w:rPr>
        <w:t>The</w:t>
      </w:r>
      <w:r w:rsidR="00E47EA2">
        <w:rPr>
          <w:rFonts w:ascii="Arial" w:hAnsi="Arial" w:cs="Arial"/>
          <w:sz w:val="24"/>
          <w:szCs w:val="24"/>
        </w:rPr>
        <w:t xml:space="preserve"> relief sought </w:t>
      </w:r>
      <w:r w:rsidR="00813D95">
        <w:rPr>
          <w:rFonts w:ascii="Arial" w:hAnsi="Arial" w:cs="Arial"/>
          <w:sz w:val="24"/>
          <w:szCs w:val="24"/>
        </w:rPr>
        <w:t>is not valid.</w:t>
      </w:r>
    </w:p>
    <w:p w:rsidR="000278C6" w:rsidRPr="00837050" w:rsidRDefault="00813D95" w:rsidP="00FE2178">
      <w:pPr>
        <w:spacing w:after="0" w:line="360" w:lineRule="auto"/>
        <w:jc w:val="both"/>
        <w:rPr>
          <w:rFonts w:ascii="Arial" w:hAnsi="Arial" w:cs="Arial"/>
          <w:sz w:val="24"/>
          <w:szCs w:val="24"/>
        </w:rPr>
      </w:pPr>
      <w:r>
        <w:rPr>
          <w:rFonts w:ascii="Arial" w:hAnsi="Arial" w:cs="Arial"/>
          <w:sz w:val="24"/>
          <w:szCs w:val="24"/>
        </w:rPr>
        <w:t xml:space="preserve">Practice - </w:t>
      </w:r>
      <w:r w:rsidR="00E47EA2">
        <w:rPr>
          <w:rFonts w:ascii="Arial" w:hAnsi="Arial" w:cs="Arial"/>
          <w:sz w:val="24"/>
          <w:szCs w:val="24"/>
        </w:rPr>
        <w:t xml:space="preserve"> </w:t>
      </w:r>
      <w:r>
        <w:rPr>
          <w:rFonts w:ascii="Arial" w:hAnsi="Arial" w:cs="Arial"/>
          <w:sz w:val="24"/>
          <w:szCs w:val="24"/>
        </w:rPr>
        <w:t xml:space="preserve">absolution of the instance – at the end of the Plaintiffs in re convention case – the plaintiffs in re-convention occupies the property – The Defendants in reconvention are the registered owners of the property – In the circumstance the court may order absolution rather than dismissing the claim. </w:t>
      </w:r>
    </w:p>
    <w:p w:rsidR="00BD3164" w:rsidRDefault="00BD3164" w:rsidP="00FE2178">
      <w:pPr>
        <w:spacing w:after="0" w:line="360" w:lineRule="auto"/>
        <w:jc w:val="both"/>
        <w:rPr>
          <w:rFonts w:ascii="Arial" w:hAnsi="Arial" w:cs="Arial"/>
          <w:sz w:val="24"/>
          <w:szCs w:val="24"/>
        </w:rPr>
      </w:pPr>
    </w:p>
    <w:p w:rsidR="00BD3164" w:rsidRDefault="00BD3164" w:rsidP="00FE2178">
      <w:pPr>
        <w:spacing w:after="0" w:line="360" w:lineRule="auto"/>
        <w:jc w:val="both"/>
        <w:rPr>
          <w:rFonts w:ascii="Arial" w:hAnsi="Arial" w:cs="Arial"/>
          <w:sz w:val="24"/>
          <w:szCs w:val="24"/>
        </w:rPr>
      </w:pPr>
    </w:p>
    <w:p w:rsidR="00FE2178" w:rsidRPr="00C2360F" w:rsidRDefault="00E75D41" w:rsidP="00FE21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E75D41" w:rsidP="00FE21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 xml:space="preserve">Having heard </w:t>
      </w:r>
      <w:r w:rsidR="00F15E61">
        <w:rPr>
          <w:rFonts w:ascii="Arial" w:hAnsi="Arial" w:cs="Arial"/>
          <w:sz w:val="24"/>
          <w:szCs w:val="24"/>
        </w:rPr>
        <w:t>the evidence</w:t>
      </w:r>
      <w:r w:rsidR="00581EE2">
        <w:rPr>
          <w:rFonts w:ascii="Arial" w:hAnsi="Arial" w:cs="Arial"/>
          <w:sz w:val="24"/>
          <w:szCs w:val="24"/>
        </w:rPr>
        <w:t xml:space="preserve"> and arguments from the respective </w:t>
      </w:r>
      <w:r w:rsidRPr="00C2360F">
        <w:rPr>
          <w:rFonts w:ascii="Arial" w:hAnsi="Arial" w:cs="Arial"/>
          <w:sz w:val="24"/>
          <w:szCs w:val="24"/>
        </w:rPr>
        <w:t>counsel for the plaintiff and defendant –</w: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 xml:space="preserve"> </w: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IT IS ORDERED THAT:</w:t>
      </w:r>
    </w:p>
    <w:p w:rsidR="006C72CA" w:rsidRDefault="006C72CA" w:rsidP="006C72CA">
      <w:pPr>
        <w:pStyle w:val="BodyText"/>
        <w:tabs>
          <w:tab w:val="left" w:pos="720"/>
          <w:tab w:val="left" w:pos="2268"/>
        </w:tabs>
        <w:spacing w:line="360" w:lineRule="auto"/>
        <w:ind w:left="720" w:hanging="720"/>
        <w:jc w:val="both"/>
        <w:rPr>
          <w:rFonts w:ascii="Arial" w:hAnsi="Arial" w:cs="Arial"/>
        </w:rPr>
      </w:pPr>
      <w:r>
        <w:rPr>
          <w:rFonts w:ascii="Arial" w:hAnsi="Arial" w:cs="Arial"/>
        </w:rPr>
        <w:t xml:space="preserve">1. </w:t>
      </w:r>
      <w:r>
        <w:rPr>
          <w:rFonts w:ascii="Arial" w:hAnsi="Arial" w:cs="Arial"/>
        </w:rPr>
        <w:tab/>
        <w:t>The court grants absolution of the instance in respect of the Defendants’ counterclaim (Plaintiffs in reconvention);</w:t>
      </w:r>
    </w:p>
    <w:p w:rsidR="006C72CA" w:rsidRPr="006C72CA" w:rsidRDefault="006C72CA" w:rsidP="006C72CA">
      <w:pPr>
        <w:pStyle w:val="BodyText"/>
        <w:tabs>
          <w:tab w:val="left" w:pos="720"/>
          <w:tab w:val="left" w:pos="2268"/>
        </w:tabs>
        <w:spacing w:line="360" w:lineRule="auto"/>
        <w:ind w:left="720" w:hanging="720"/>
        <w:jc w:val="both"/>
        <w:rPr>
          <w:rFonts w:ascii="Arial" w:hAnsi="Arial" w:cs="Arial"/>
        </w:rPr>
      </w:pPr>
      <w:r>
        <w:rPr>
          <w:rFonts w:ascii="Arial" w:hAnsi="Arial" w:cs="Arial"/>
        </w:rPr>
        <w:t>2.</w:t>
      </w:r>
      <w:r>
        <w:rPr>
          <w:rFonts w:ascii="Arial" w:hAnsi="Arial" w:cs="Arial"/>
        </w:rPr>
        <w:tab/>
        <w:t xml:space="preserve">The Plaintiffs are to pay the Defendants’ cost of suit in respect of the Plaintiff’s </w:t>
      </w:r>
      <w:r w:rsidRPr="006C72CA">
        <w:rPr>
          <w:rFonts w:ascii="Arial" w:hAnsi="Arial" w:cs="Arial"/>
        </w:rPr>
        <w:t>claim in convention, to include cost of one instructed and one instructing counsel;</w:t>
      </w:r>
    </w:p>
    <w:p w:rsidR="00FE2178" w:rsidRPr="006C72CA" w:rsidRDefault="006C72CA" w:rsidP="006C72CA">
      <w:pPr>
        <w:spacing w:after="0" w:line="360" w:lineRule="auto"/>
        <w:ind w:left="720" w:hanging="720"/>
        <w:jc w:val="both"/>
        <w:rPr>
          <w:rFonts w:ascii="Arial" w:hAnsi="Arial" w:cs="Arial"/>
          <w:sz w:val="24"/>
          <w:szCs w:val="24"/>
        </w:rPr>
      </w:pPr>
      <w:r w:rsidRPr="006C72CA">
        <w:rPr>
          <w:rFonts w:ascii="Arial" w:hAnsi="Arial" w:cs="Arial"/>
          <w:sz w:val="24"/>
          <w:szCs w:val="24"/>
        </w:rPr>
        <w:lastRenderedPageBreak/>
        <w:t>3.</w:t>
      </w:r>
      <w:r w:rsidRPr="006C72CA">
        <w:rPr>
          <w:rFonts w:ascii="Arial" w:hAnsi="Arial" w:cs="Arial"/>
          <w:sz w:val="24"/>
          <w:szCs w:val="24"/>
        </w:rPr>
        <w:tab/>
        <w:t>The Defendants are to pay the plaintiffs’ cost in respect of the Defendants’ counterclaim (claim in re-convention), to include the cost of one instructed and one instructing counsel.</w:t>
      </w:r>
    </w:p>
    <w:p w:rsidR="00BC5F13" w:rsidRPr="006C72CA" w:rsidRDefault="00BC5F13" w:rsidP="0020233C">
      <w:pPr>
        <w:pStyle w:val="BodyText"/>
        <w:tabs>
          <w:tab w:val="left" w:pos="720"/>
          <w:tab w:val="left" w:pos="2268"/>
        </w:tabs>
        <w:spacing w:line="360" w:lineRule="auto"/>
        <w:ind w:left="720"/>
        <w:jc w:val="both"/>
        <w:rPr>
          <w:rFonts w:ascii="Arial" w:hAnsi="Arial" w:cs="Arial"/>
        </w:rPr>
      </w:pPr>
    </w:p>
    <w:p w:rsidR="00BC5F13" w:rsidRDefault="00BC5F13" w:rsidP="0020233C">
      <w:pPr>
        <w:pStyle w:val="BodyText"/>
        <w:tabs>
          <w:tab w:val="left" w:pos="720"/>
          <w:tab w:val="left" w:pos="2268"/>
        </w:tabs>
        <w:spacing w:line="360" w:lineRule="auto"/>
        <w:ind w:left="720"/>
        <w:jc w:val="both"/>
        <w:rPr>
          <w:rFonts w:ascii="Arial" w:hAnsi="Arial" w:cs="Arial"/>
        </w:rPr>
      </w:pPr>
    </w:p>
    <w:p w:rsidR="00FE2178" w:rsidRPr="00C2360F" w:rsidRDefault="00E75D41" w:rsidP="00FE217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E75D41" w:rsidP="00FE21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E2178" w:rsidRPr="00C2360F" w:rsidRDefault="00042D0A" w:rsidP="00FE2178">
      <w:pPr>
        <w:spacing w:after="0" w:line="360" w:lineRule="auto"/>
        <w:ind w:left="1440" w:hanging="1440"/>
        <w:jc w:val="both"/>
        <w:rPr>
          <w:rFonts w:ascii="Arial" w:hAnsi="Arial" w:cs="Arial"/>
          <w:b/>
          <w:i/>
          <w:sz w:val="24"/>
          <w:szCs w:val="24"/>
        </w:rPr>
      </w:pPr>
      <w:r>
        <w:rPr>
          <w:rFonts w:ascii="Arial" w:hAnsi="Arial" w:cs="Arial"/>
          <w:sz w:val="24"/>
          <w:szCs w:val="24"/>
        </w:rPr>
        <w:t xml:space="preserve">TOMMASI </w:t>
      </w:r>
      <w:r w:rsidR="00FE2178" w:rsidRPr="00C2360F">
        <w:rPr>
          <w:rFonts w:ascii="Arial" w:hAnsi="Arial" w:cs="Arial"/>
          <w:sz w:val="24"/>
          <w:szCs w:val="24"/>
        </w:rPr>
        <w:t>J:</w:t>
      </w:r>
    </w:p>
    <w:p w:rsidR="00FE2178" w:rsidRPr="00C2360F" w:rsidRDefault="00FE2178" w:rsidP="00FE2178">
      <w:pPr>
        <w:spacing w:after="0" w:line="360" w:lineRule="auto"/>
        <w:jc w:val="both"/>
        <w:rPr>
          <w:rFonts w:ascii="Arial" w:hAnsi="Arial" w:cs="Arial"/>
          <w:sz w:val="24"/>
          <w:szCs w:val="24"/>
        </w:rPr>
      </w:pPr>
    </w:p>
    <w:p w:rsidR="007413CA" w:rsidRDefault="00A35552" w:rsidP="00581EE2">
      <w:pPr>
        <w:pStyle w:val="BodyText"/>
        <w:tabs>
          <w:tab w:val="left" w:pos="720"/>
          <w:tab w:val="left" w:pos="2268"/>
        </w:tabs>
        <w:spacing w:line="360" w:lineRule="auto"/>
        <w:jc w:val="both"/>
        <w:rPr>
          <w:rFonts w:ascii="Arial" w:hAnsi="Arial" w:cs="Arial"/>
        </w:rPr>
      </w:pPr>
      <w:r>
        <w:rPr>
          <w:rFonts w:ascii="Arial" w:hAnsi="Arial" w:cs="Arial"/>
        </w:rPr>
        <w:t>[</w:t>
      </w:r>
      <w:r w:rsidR="007413CA">
        <w:rPr>
          <w:rFonts w:ascii="Arial" w:hAnsi="Arial" w:cs="Arial"/>
        </w:rPr>
        <w:t>1</w:t>
      </w:r>
      <w:r>
        <w:rPr>
          <w:rFonts w:ascii="Arial" w:hAnsi="Arial" w:cs="Arial"/>
        </w:rPr>
        <w:t>]</w:t>
      </w:r>
      <w:r>
        <w:rPr>
          <w:rFonts w:ascii="Arial" w:hAnsi="Arial" w:cs="Arial"/>
        </w:rPr>
        <w:tab/>
      </w:r>
      <w:r w:rsidR="00624879">
        <w:rPr>
          <w:rFonts w:ascii="Arial" w:hAnsi="Arial" w:cs="Arial"/>
        </w:rPr>
        <w:t>In this matter the court already gave absolution of the instance of Plaintiff’s case and the court is now called upon to consider the Defendants’ cou</w:t>
      </w:r>
      <w:r w:rsidR="002B2DC4">
        <w:rPr>
          <w:rFonts w:ascii="Arial" w:hAnsi="Arial" w:cs="Arial"/>
        </w:rPr>
        <w:t>nterclaim.</w:t>
      </w:r>
      <w:r w:rsidR="00C33FFD">
        <w:rPr>
          <w:rFonts w:ascii="Arial" w:hAnsi="Arial" w:cs="Arial"/>
        </w:rPr>
        <w:t xml:space="preserve"> For the sake of convenience I shall refer to the parties as in convention.</w:t>
      </w:r>
    </w:p>
    <w:p w:rsidR="002B2DC4" w:rsidRDefault="002B2DC4" w:rsidP="00581EE2">
      <w:pPr>
        <w:pStyle w:val="BodyText"/>
        <w:tabs>
          <w:tab w:val="left" w:pos="720"/>
          <w:tab w:val="left" w:pos="2268"/>
        </w:tabs>
        <w:spacing w:line="360" w:lineRule="auto"/>
        <w:jc w:val="both"/>
        <w:rPr>
          <w:rFonts w:ascii="Arial" w:hAnsi="Arial" w:cs="Arial"/>
        </w:rPr>
      </w:pPr>
    </w:p>
    <w:p w:rsidR="002B2DC4" w:rsidRDefault="002B2DC4" w:rsidP="00581EE2">
      <w:pPr>
        <w:pStyle w:val="BodyText"/>
        <w:tabs>
          <w:tab w:val="left" w:pos="720"/>
          <w:tab w:val="left" w:pos="2268"/>
        </w:tabs>
        <w:spacing w:line="360" w:lineRule="auto"/>
        <w:jc w:val="both"/>
        <w:rPr>
          <w:rFonts w:ascii="Arial" w:hAnsi="Arial" w:cs="Arial"/>
        </w:rPr>
      </w:pPr>
      <w:r>
        <w:rPr>
          <w:rFonts w:ascii="Arial" w:hAnsi="Arial" w:cs="Arial"/>
        </w:rPr>
        <w:t>[2]</w:t>
      </w:r>
      <w:r>
        <w:rPr>
          <w:rFonts w:ascii="Arial" w:hAnsi="Arial" w:cs="Arial"/>
        </w:rPr>
        <w:tab/>
        <w:t>The entire case centres on the rights and title to immovable property</w:t>
      </w:r>
      <w:r w:rsidR="00310762">
        <w:rPr>
          <w:rFonts w:ascii="Arial" w:hAnsi="Arial" w:cs="Arial"/>
        </w:rPr>
        <w:t>,</w:t>
      </w:r>
      <w:r>
        <w:rPr>
          <w:rFonts w:ascii="Arial" w:hAnsi="Arial" w:cs="Arial"/>
        </w:rPr>
        <w:t xml:space="preserve"> </w:t>
      </w:r>
      <w:r w:rsidR="00310762" w:rsidRPr="00310762">
        <w:rPr>
          <w:rFonts w:ascii="Arial" w:hAnsi="Arial" w:cs="Arial"/>
        </w:rPr>
        <w:t xml:space="preserve">Erf 148, </w:t>
      </w:r>
      <w:proofErr w:type="spellStart"/>
      <w:r w:rsidR="00310762" w:rsidRPr="00310762">
        <w:rPr>
          <w:rFonts w:ascii="Arial" w:hAnsi="Arial" w:cs="Arial"/>
        </w:rPr>
        <w:t>Antil</w:t>
      </w:r>
      <w:r w:rsidR="00310762">
        <w:rPr>
          <w:rFonts w:ascii="Arial" w:hAnsi="Arial" w:cs="Arial"/>
        </w:rPr>
        <w:t>la</w:t>
      </w:r>
      <w:proofErr w:type="spellEnd"/>
      <w:r w:rsidR="00310762">
        <w:rPr>
          <w:rFonts w:ascii="Arial" w:hAnsi="Arial" w:cs="Arial"/>
        </w:rPr>
        <w:t xml:space="preserve"> Street, Dorado Park</w:t>
      </w:r>
      <w:r w:rsidR="000772C0">
        <w:rPr>
          <w:rFonts w:ascii="Arial" w:hAnsi="Arial" w:cs="Arial"/>
        </w:rPr>
        <w:t>,</w:t>
      </w:r>
      <w:r w:rsidR="00310762">
        <w:rPr>
          <w:rFonts w:ascii="Arial" w:hAnsi="Arial" w:cs="Arial"/>
        </w:rPr>
        <w:t xml:space="preserve"> Windhoek. </w:t>
      </w:r>
      <w:r w:rsidR="00780808">
        <w:rPr>
          <w:rFonts w:ascii="Arial" w:hAnsi="Arial" w:cs="Arial"/>
        </w:rPr>
        <w:t xml:space="preserve">A </w:t>
      </w:r>
      <w:r w:rsidR="00DF362F">
        <w:rPr>
          <w:rFonts w:ascii="Arial" w:hAnsi="Arial" w:cs="Arial"/>
        </w:rPr>
        <w:t>loan was granted to the plaintiff</w:t>
      </w:r>
      <w:r w:rsidR="00E1574C">
        <w:rPr>
          <w:rFonts w:ascii="Arial" w:hAnsi="Arial" w:cs="Arial"/>
        </w:rPr>
        <w:t>s</w:t>
      </w:r>
      <w:r w:rsidR="00780808">
        <w:rPr>
          <w:rFonts w:ascii="Arial" w:hAnsi="Arial" w:cs="Arial"/>
        </w:rPr>
        <w:t xml:space="preserve"> against the security of first mortgage bond to be registered over the aforesaid property.</w:t>
      </w:r>
      <w:r w:rsidR="00780808" w:rsidRPr="00780808">
        <w:rPr>
          <w:rFonts w:ascii="Arial" w:hAnsi="Arial" w:cs="Arial"/>
        </w:rPr>
        <w:t xml:space="preserve"> </w:t>
      </w:r>
      <w:r w:rsidR="00780808">
        <w:rPr>
          <w:rFonts w:ascii="Arial" w:hAnsi="Arial" w:cs="Arial"/>
        </w:rPr>
        <w:t xml:space="preserve">The property is registered in the name of the plaintiffs. </w:t>
      </w:r>
      <w:r w:rsidR="00E1574C">
        <w:rPr>
          <w:rFonts w:ascii="Arial" w:hAnsi="Arial" w:cs="Arial"/>
        </w:rPr>
        <w:t>T</w:t>
      </w:r>
      <w:r>
        <w:rPr>
          <w:rFonts w:ascii="Arial" w:hAnsi="Arial" w:cs="Arial"/>
        </w:rPr>
        <w:t>he Defendants are however occupying the premises. The Plaintiffs</w:t>
      </w:r>
      <w:r w:rsidR="00B139BA">
        <w:rPr>
          <w:rFonts w:ascii="Arial" w:hAnsi="Arial" w:cs="Arial"/>
        </w:rPr>
        <w:t xml:space="preserve"> </w:t>
      </w:r>
      <w:r w:rsidR="00C470FF">
        <w:rPr>
          <w:rFonts w:ascii="Arial" w:hAnsi="Arial" w:cs="Arial"/>
        </w:rPr>
        <w:t xml:space="preserve">claim was </w:t>
      </w:r>
      <w:r w:rsidR="00780808">
        <w:rPr>
          <w:rFonts w:ascii="Arial" w:hAnsi="Arial" w:cs="Arial"/>
        </w:rPr>
        <w:t xml:space="preserve">premised on </w:t>
      </w:r>
      <w:r w:rsidR="00B139BA">
        <w:rPr>
          <w:rFonts w:ascii="Arial" w:hAnsi="Arial" w:cs="Arial"/>
        </w:rPr>
        <w:t xml:space="preserve">an oral </w:t>
      </w:r>
      <w:r w:rsidR="00C470FF">
        <w:rPr>
          <w:rFonts w:ascii="Arial" w:hAnsi="Arial" w:cs="Arial"/>
        </w:rPr>
        <w:t xml:space="preserve">lease </w:t>
      </w:r>
      <w:r w:rsidR="00B139BA">
        <w:rPr>
          <w:rFonts w:ascii="Arial" w:hAnsi="Arial" w:cs="Arial"/>
        </w:rPr>
        <w:t>agreement</w:t>
      </w:r>
      <w:r w:rsidR="00C470FF">
        <w:rPr>
          <w:rFonts w:ascii="Arial" w:hAnsi="Arial" w:cs="Arial"/>
        </w:rPr>
        <w:t xml:space="preserve"> and the breach a</w:t>
      </w:r>
      <w:r w:rsidR="00780808">
        <w:rPr>
          <w:rFonts w:ascii="Arial" w:hAnsi="Arial" w:cs="Arial"/>
        </w:rPr>
        <w:t xml:space="preserve">verred was that the Defendants </w:t>
      </w:r>
      <w:r w:rsidR="00C470FF">
        <w:rPr>
          <w:rFonts w:ascii="Arial" w:hAnsi="Arial" w:cs="Arial"/>
        </w:rPr>
        <w:t>effected substantial structural changes without the written consent of the plaintiff. N</w:t>
      </w:r>
      <w:r w:rsidR="00B139BA">
        <w:rPr>
          <w:rFonts w:ascii="Arial" w:hAnsi="Arial" w:cs="Arial"/>
        </w:rPr>
        <w:t xml:space="preserve">o </w:t>
      </w:r>
      <w:r w:rsidR="00780808">
        <w:rPr>
          <w:rFonts w:ascii="Arial" w:hAnsi="Arial" w:cs="Arial"/>
        </w:rPr>
        <w:t xml:space="preserve">facts was adduced in </w:t>
      </w:r>
      <w:r w:rsidR="00B139BA">
        <w:rPr>
          <w:rFonts w:ascii="Arial" w:hAnsi="Arial" w:cs="Arial"/>
        </w:rPr>
        <w:t xml:space="preserve">evidence </w:t>
      </w:r>
      <w:r w:rsidR="00780808">
        <w:rPr>
          <w:rFonts w:ascii="Arial" w:hAnsi="Arial" w:cs="Arial"/>
        </w:rPr>
        <w:t xml:space="preserve">to sustain the </w:t>
      </w:r>
      <w:r w:rsidR="00C470FF">
        <w:rPr>
          <w:rFonts w:ascii="Arial" w:hAnsi="Arial" w:cs="Arial"/>
        </w:rPr>
        <w:t xml:space="preserve">material terms of the lease agreement nor was any evidence adduced of the substantial structural changes to the property. </w:t>
      </w:r>
      <w:r w:rsidR="00A50E18">
        <w:rPr>
          <w:rFonts w:ascii="Arial" w:hAnsi="Arial" w:cs="Arial"/>
        </w:rPr>
        <w:t xml:space="preserve">Mr </w:t>
      </w:r>
      <w:proofErr w:type="spellStart"/>
      <w:r w:rsidR="00BE2074">
        <w:rPr>
          <w:rFonts w:ascii="Arial" w:hAnsi="Arial" w:cs="Arial"/>
        </w:rPr>
        <w:t>Rukoro</w:t>
      </w:r>
      <w:proofErr w:type="spellEnd"/>
      <w:r w:rsidR="00BE2074">
        <w:rPr>
          <w:rFonts w:ascii="Arial" w:hAnsi="Arial" w:cs="Arial"/>
        </w:rPr>
        <w:t xml:space="preserve">, </w:t>
      </w:r>
      <w:r w:rsidR="00A50E18">
        <w:rPr>
          <w:rFonts w:ascii="Arial" w:hAnsi="Arial" w:cs="Arial"/>
        </w:rPr>
        <w:t>counsel for Plai</w:t>
      </w:r>
      <w:r w:rsidR="00780808">
        <w:rPr>
          <w:rFonts w:ascii="Arial" w:hAnsi="Arial" w:cs="Arial"/>
        </w:rPr>
        <w:t>n</w:t>
      </w:r>
      <w:r w:rsidR="00A50E18">
        <w:rPr>
          <w:rFonts w:ascii="Arial" w:hAnsi="Arial" w:cs="Arial"/>
        </w:rPr>
        <w:t>tiffs</w:t>
      </w:r>
      <w:r w:rsidR="00780808">
        <w:rPr>
          <w:rFonts w:ascii="Arial" w:hAnsi="Arial" w:cs="Arial"/>
        </w:rPr>
        <w:t>,</w:t>
      </w:r>
      <w:r w:rsidR="00C470FF">
        <w:rPr>
          <w:rFonts w:ascii="Arial" w:hAnsi="Arial" w:cs="Arial"/>
        </w:rPr>
        <w:t xml:space="preserve"> conceded that the plaintiffs </w:t>
      </w:r>
      <w:r>
        <w:rPr>
          <w:rFonts w:ascii="Arial" w:hAnsi="Arial" w:cs="Arial"/>
        </w:rPr>
        <w:t xml:space="preserve">claim </w:t>
      </w:r>
      <w:r w:rsidR="00E1574C">
        <w:rPr>
          <w:rFonts w:ascii="Arial" w:hAnsi="Arial" w:cs="Arial"/>
        </w:rPr>
        <w:t xml:space="preserve">for cancellation and eviction from the premises </w:t>
      </w:r>
      <w:r>
        <w:rPr>
          <w:rFonts w:ascii="Arial" w:hAnsi="Arial" w:cs="Arial"/>
        </w:rPr>
        <w:t xml:space="preserve">could not be sustained. </w:t>
      </w:r>
      <w:r w:rsidR="00C470FF">
        <w:rPr>
          <w:rFonts w:ascii="Arial" w:hAnsi="Arial" w:cs="Arial"/>
        </w:rPr>
        <w:t>The court granted absolution of the instance</w:t>
      </w:r>
      <w:r w:rsidR="00780808">
        <w:rPr>
          <w:rFonts w:ascii="Arial" w:hAnsi="Arial" w:cs="Arial"/>
        </w:rPr>
        <w:t xml:space="preserve">. What </w:t>
      </w:r>
      <w:r w:rsidR="00C470FF">
        <w:rPr>
          <w:rFonts w:ascii="Arial" w:hAnsi="Arial" w:cs="Arial"/>
        </w:rPr>
        <w:t>remains to be considered is the Defendants’ counterclaim.</w:t>
      </w:r>
    </w:p>
    <w:p w:rsidR="002B2DC4" w:rsidRDefault="002B2DC4" w:rsidP="00581EE2">
      <w:pPr>
        <w:pStyle w:val="BodyText"/>
        <w:tabs>
          <w:tab w:val="left" w:pos="720"/>
          <w:tab w:val="left" w:pos="2268"/>
        </w:tabs>
        <w:spacing w:line="360" w:lineRule="auto"/>
        <w:jc w:val="both"/>
        <w:rPr>
          <w:rFonts w:ascii="Arial" w:hAnsi="Arial" w:cs="Arial"/>
        </w:rPr>
      </w:pPr>
    </w:p>
    <w:p w:rsidR="00E3723F" w:rsidRDefault="002B2DC4" w:rsidP="004F7DC7">
      <w:pPr>
        <w:pStyle w:val="BodyText"/>
        <w:tabs>
          <w:tab w:val="left" w:pos="720"/>
          <w:tab w:val="left" w:pos="2268"/>
        </w:tabs>
        <w:spacing w:line="360" w:lineRule="auto"/>
        <w:jc w:val="both"/>
        <w:rPr>
          <w:rFonts w:ascii="Arial" w:hAnsi="Arial" w:cs="Arial"/>
        </w:rPr>
      </w:pPr>
      <w:r>
        <w:rPr>
          <w:rFonts w:ascii="Arial" w:hAnsi="Arial" w:cs="Arial"/>
        </w:rPr>
        <w:t>[3]</w:t>
      </w:r>
      <w:r>
        <w:rPr>
          <w:rFonts w:ascii="Arial" w:hAnsi="Arial" w:cs="Arial"/>
        </w:rPr>
        <w:tab/>
      </w:r>
      <w:r w:rsidR="00320B49">
        <w:rPr>
          <w:rFonts w:ascii="Arial" w:hAnsi="Arial" w:cs="Arial"/>
        </w:rPr>
        <w:t>The defendants</w:t>
      </w:r>
      <w:r w:rsidRPr="002B2DC4">
        <w:rPr>
          <w:rFonts w:ascii="Arial" w:hAnsi="Arial" w:cs="Arial"/>
        </w:rPr>
        <w:t xml:space="preserve"> </w:t>
      </w:r>
      <w:r w:rsidR="00320B49">
        <w:rPr>
          <w:rFonts w:ascii="Arial" w:hAnsi="Arial" w:cs="Arial"/>
        </w:rPr>
        <w:t>counter claim</w:t>
      </w:r>
      <w:r w:rsidR="00087D20">
        <w:rPr>
          <w:rFonts w:ascii="Arial" w:hAnsi="Arial" w:cs="Arial"/>
        </w:rPr>
        <w:t xml:space="preserve">, in a nutshell, </w:t>
      </w:r>
      <w:r w:rsidR="00320B49">
        <w:rPr>
          <w:rFonts w:ascii="Arial" w:hAnsi="Arial" w:cs="Arial"/>
        </w:rPr>
        <w:t xml:space="preserve">is </w:t>
      </w:r>
      <w:r w:rsidR="00780808">
        <w:rPr>
          <w:rFonts w:ascii="Arial" w:hAnsi="Arial" w:cs="Arial"/>
        </w:rPr>
        <w:t>premised on the following</w:t>
      </w:r>
      <w:r w:rsidRPr="002B2DC4">
        <w:rPr>
          <w:rFonts w:ascii="Arial" w:hAnsi="Arial" w:cs="Arial"/>
        </w:rPr>
        <w:t xml:space="preserve">: </w:t>
      </w:r>
      <w:r w:rsidR="004F7DC7">
        <w:rPr>
          <w:rFonts w:ascii="Arial" w:hAnsi="Arial" w:cs="Arial"/>
        </w:rPr>
        <w:t xml:space="preserve"> </w:t>
      </w:r>
    </w:p>
    <w:p w:rsidR="00B715CD" w:rsidRDefault="00B715CD" w:rsidP="004F7DC7">
      <w:pPr>
        <w:pStyle w:val="BodyText"/>
        <w:tabs>
          <w:tab w:val="left" w:pos="720"/>
          <w:tab w:val="left" w:pos="2268"/>
        </w:tabs>
        <w:spacing w:line="360" w:lineRule="auto"/>
        <w:jc w:val="both"/>
        <w:rPr>
          <w:rFonts w:ascii="Arial" w:hAnsi="Arial" w:cs="Arial"/>
        </w:rPr>
      </w:pPr>
    </w:p>
    <w:p w:rsidR="00131626" w:rsidRPr="00A11F63" w:rsidRDefault="00B715CD" w:rsidP="004F7DC7">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t>‘</w:t>
      </w:r>
      <w:r w:rsidR="0057590A" w:rsidRPr="00A11F63">
        <w:rPr>
          <w:rFonts w:ascii="Arial" w:hAnsi="Arial" w:cs="Arial"/>
          <w:sz w:val="22"/>
          <w:szCs w:val="22"/>
        </w:rPr>
        <w:t xml:space="preserve">The First Defendant </w:t>
      </w:r>
      <w:r w:rsidR="0057590A" w:rsidRPr="00A11F63">
        <w:rPr>
          <w:rFonts w:ascii="Arial" w:hAnsi="Arial" w:cs="Arial"/>
          <w:sz w:val="22"/>
          <w:szCs w:val="22"/>
          <w:u w:val="single"/>
        </w:rPr>
        <w:t>is the owner</w:t>
      </w:r>
      <w:r w:rsidR="0057590A" w:rsidRPr="00A11F63">
        <w:rPr>
          <w:rFonts w:ascii="Arial" w:hAnsi="Arial" w:cs="Arial"/>
          <w:sz w:val="22"/>
          <w:szCs w:val="22"/>
        </w:rPr>
        <w:t xml:space="preserve"> of Erf 148,</w:t>
      </w:r>
      <w:r w:rsidR="00A50E18" w:rsidRPr="00A11F63">
        <w:rPr>
          <w:rFonts w:ascii="Arial" w:hAnsi="Arial" w:cs="Arial"/>
          <w:sz w:val="22"/>
          <w:szCs w:val="22"/>
        </w:rPr>
        <w:t xml:space="preserve"> </w:t>
      </w:r>
      <w:proofErr w:type="spellStart"/>
      <w:r w:rsidR="0057590A" w:rsidRPr="00A11F63">
        <w:rPr>
          <w:rFonts w:ascii="Arial" w:hAnsi="Arial" w:cs="Arial"/>
          <w:sz w:val="22"/>
          <w:szCs w:val="22"/>
        </w:rPr>
        <w:t>Antilla</w:t>
      </w:r>
      <w:proofErr w:type="spellEnd"/>
      <w:r w:rsidR="0057590A" w:rsidRPr="00A11F63">
        <w:rPr>
          <w:rFonts w:ascii="Arial" w:hAnsi="Arial" w:cs="Arial"/>
          <w:sz w:val="22"/>
          <w:szCs w:val="22"/>
        </w:rPr>
        <w:t xml:space="preserve"> Street,</w:t>
      </w:r>
      <w:r w:rsidR="00A50E18" w:rsidRPr="00A11F63">
        <w:rPr>
          <w:rFonts w:ascii="Arial" w:hAnsi="Arial" w:cs="Arial"/>
          <w:sz w:val="22"/>
          <w:szCs w:val="22"/>
        </w:rPr>
        <w:t xml:space="preserve"> </w:t>
      </w:r>
      <w:r w:rsidR="00780808" w:rsidRPr="00A11F63">
        <w:rPr>
          <w:rFonts w:ascii="Arial" w:hAnsi="Arial" w:cs="Arial"/>
          <w:sz w:val="22"/>
          <w:szCs w:val="22"/>
        </w:rPr>
        <w:t xml:space="preserve">Dorado Park, </w:t>
      </w:r>
      <w:r w:rsidR="0057590A" w:rsidRPr="00A11F63">
        <w:rPr>
          <w:rFonts w:ascii="Arial" w:hAnsi="Arial" w:cs="Arial"/>
          <w:sz w:val="22"/>
          <w:szCs w:val="22"/>
        </w:rPr>
        <w:t xml:space="preserve">Windhoek, by virtue of the </w:t>
      </w:r>
      <w:r w:rsidR="0057590A" w:rsidRPr="00A11F63">
        <w:rPr>
          <w:rFonts w:ascii="Arial" w:hAnsi="Arial" w:cs="Arial"/>
          <w:sz w:val="22"/>
          <w:szCs w:val="22"/>
          <w:u w:val="single"/>
        </w:rPr>
        <w:t>Memorandum of Understanding entered into on 12</w:t>
      </w:r>
      <w:r w:rsidR="0057590A" w:rsidRPr="00A11F63">
        <w:rPr>
          <w:rFonts w:ascii="Arial" w:hAnsi="Arial" w:cs="Arial"/>
          <w:sz w:val="22"/>
          <w:szCs w:val="22"/>
        </w:rPr>
        <w:t xml:space="preserve"> October 2010,</w:t>
      </w:r>
      <w:r w:rsidR="00A50E18" w:rsidRPr="00A11F63">
        <w:rPr>
          <w:rFonts w:ascii="Arial" w:hAnsi="Arial" w:cs="Arial"/>
          <w:sz w:val="22"/>
          <w:szCs w:val="22"/>
        </w:rPr>
        <w:t xml:space="preserve"> </w:t>
      </w:r>
      <w:r w:rsidR="0057590A" w:rsidRPr="00A11F63">
        <w:rPr>
          <w:rFonts w:ascii="Arial" w:hAnsi="Arial" w:cs="Arial"/>
          <w:sz w:val="22"/>
          <w:szCs w:val="22"/>
        </w:rPr>
        <w:t xml:space="preserve">with the Plaintiffs, </w:t>
      </w:r>
      <w:r w:rsidR="0057590A" w:rsidRPr="00A11F63">
        <w:rPr>
          <w:rFonts w:ascii="Arial" w:hAnsi="Arial" w:cs="Arial"/>
          <w:sz w:val="22"/>
          <w:szCs w:val="22"/>
        </w:rPr>
        <w:lastRenderedPageBreak/>
        <w:t xml:space="preserve">who at all material times and for all intents and purpose </w:t>
      </w:r>
      <w:r w:rsidR="0057590A" w:rsidRPr="00A11F63">
        <w:rPr>
          <w:rFonts w:ascii="Arial" w:hAnsi="Arial" w:cs="Arial"/>
          <w:sz w:val="22"/>
          <w:szCs w:val="22"/>
          <w:u w:val="single"/>
        </w:rPr>
        <w:t>acted as nominees</w:t>
      </w:r>
      <w:r w:rsidR="0057590A" w:rsidRPr="00A11F63">
        <w:rPr>
          <w:rFonts w:ascii="Arial" w:hAnsi="Arial" w:cs="Arial"/>
          <w:sz w:val="22"/>
          <w:szCs w:val="22"/>
        </w:rPr>
        <w:t xml:space="preserve"> for the first defendant to facilitate the procurement of the said property and generally do all such things as may be necessary or expedient in the premises in order to give effect to </w:t>
      </w:r>
      <w:r>
        <w:rPr>
          <w:rFonts w:ascii="Arial" w:hAnsi="Arial" w:cs="Arial"/>
          <w:sz w:val="22"/>
          <w:szCs w:val="22"/>
        </w:rPr>
        <w:t>the Memorandum of understanding.’</w:t>
      </w:r>
    </w:p>
    <w:p w:rsidR="00320B49" w:rsidRDefault="00320B49" w:rsidP="00131626">
      <w:pPr>
        <w:pStyle w:val="BodyText"/>
        <w:tabs>
          <w:tab w:val="left" w:pos="720"/>
          <w:tab w:val="left" w:pos="2268"/>
        </w:tabs>
        <w:spacing w:line="360" w:lineRule="auto"/>
        <w:jc w:val="both"/>
        <w:rPr>
          <w:rFonts w:ascii="Arial" w:hAnsi="Arial" w:cs="Arial"/>
        </w:rPr>
      </w:pPr>
    </w:p>
    <w:p w:rsidR="00A32216" w:rsidRDefault="00320B49" w:rsidP="00131626">
      <w:pPr>
        <w:pStyle w:val="BodyText"/>
        <w:tabs>
          <w:tab w:val="left" w:pos="720"/>
          <w:tab w:val="left" w:pos="2268"/>
        </w:tabs>
        <w:spacing w:line="360" w:lineRule="auto"/>
        <w:jc w:val="both"/>
        <w:rPr>
          <w:rFonts w:ascii="Arial" w:hAnsi="Arial" w:cs="Arial"/>
        </w:rPr>
      </w:pPr>
      <w:r>
        <w:rPr>
          <w:rFonts w:ascii="Arial" w:hAnsi="Arial" w:cs="Arial"/>
        </w:rPr>
        <w:t xml:space="preserve"> </w:t>
      </w:r>
      <w:r w:rsidR="00131626">
        <w:rPr>
          <w:rFonts w:ascii="Arial" w:hAnsi="Arial" w:cs="Arial"/>
        </w:rPr>
        <w:t>[4]</w:t>
      </w:r>
      <w:r w:rsidR="00131626">
        <w:rPr>
          <w:rFonts w:ascii="Arial" w:hAnsi="Arial" w:cs="Arial"/>
        </w:rPr>
        <w:tab/>
      </w:r>
      <w:r w:rsidR="009A1C4A">
        <w:rPr>
          <w:rFonts w:ascii="Arial" w:hAnsi="Arial" w:cs="Arial"/>
        </w:rPr>
        <w:t xml:space="preserve">The Defendants claimed </w:t>
      </w:r>
      <w:r w:rsidR="0057590A">
        <w:rPr>
          <w:rFonts w:ascii="Arial" w:hAnsi="Arial" w:cs="Arial"/>
        </w:rPr>
        <w:t>the following relief:</w:t>
      </w:r>
    </w:p>
    <w:p w:rsidR="00B715CD" w:rsidRDefault="00B715CD" w:rsidP="00131626">
      <w:pPr>
        <w:pStyle w:val="BodyText"/>
        <w:tabs>
          <w:tab w:val="left" w:pos="720"/>
          <w:tab w:val="left" w:pos="2268"/>
        </w:tabs>
        <w:spacing w:line="360" w:lineRule="auto"/>
        <w:jc w:val="both"/>
        <w:rPr>
          <w:rFonts w:ascii="Arial" w:hAnsi="Arial" w:cs="Arial"/>
        </w:rPr>
      </w:pPr>
    </w:p>
    <w:p w:rsidR="0057590A" w:rsidRPr="00780808" w:rsidRDefault="00B715CD" w:rsidP="0057590A">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w:t>
      </w:r>
      <w:r w:rsidR="0057590A" w:rsidRPr="00780808">
        <w:rPr>
          <w:rFonts w:ascii="Arial" w:hAnsi="Arial" w:cs="Arial"/>
          <w:sz w:val="22"/>
          <w:szCs w:val="22"/>
        </w:rPr>
        <w:t xml:space="preserve">(a) </w:t>
      </w:r>
      <w:r w:rsidR="00780808">
        <w:rPr>
          <w:rFonts w:ascii="Arial" w:hAnsi="Arial" w:cs="Arial"/>
          <w:sz w:val="22"/>
          <w:szCs w:val="22"/>
        </w:rPr>
        <w:t xml:space="preserve"> </w:t>
      </w:r>
      <w:r w:rsidR="0057590A" w:rsidRPr="00780808">
        <w:rPr>
          <w:rFonts w:ascii="Arial" w:hAnsi="Arial" w:cs="Arial"/>
          <w:sz w:val="22"/>
          <w:szCs w:val="22"/>
        </w:rPr>
        <w:t>An order compelling the Deeds Registrar to</w:t>
      </w:r>
      <w:r w:rsidR="00780808">
        <w:rPr>
          <w:rFonts w:ascii="Arial" w:hAnsi="Arial" w:cs="Arial"/>
          <w:sz w:val="22"/>
          <w:szCs w:val="22"/>
        </w:rPr>
        <w:t xml:space="preserve"> side aside the transfer of the </w:t>
      </w:r>
      <w:r w:rsidR="0057590A" w:rsidRPr="00780808">
        <w:rPr>
          <w:rFonts w:ascii="Arial" w:hAnsi="Arial" w:cs="Arial"/>
          <w:sz w:val="22"/>
          <w:szCs w:val="22"/>
        </w:rPr>
        <w:t xml:space="preserve">immovable property Erf 148,Antilla Street ,Dorado Park ,Windhoek in the names of the Plaintiffs </w:t>
      </w:r>
    </w:p>
    <w:p w:rsidR="0057590A" w:rsidRPr="00780808" w:rsidRDefault="0057590A" w:rsidP="0057590A">
      <w:pPr>
        <w:pStyle w:val="BodyText"/>
        <w:tabs>
          <w:tab w:val="left" w:pos="720"/>
          <w:tab w:val="left" w:pos="2268"/>
        </w:tabs>
        <w:spacing w:line="360" w:lineRule="auto"/>
        <w:ind w:left="720"/>
        <w:jc w:val="both"/>
        <w:rPr>
          <w:rFonts w:ascii="Arial" w:hAnsi="Arial" w:cs="Arial"/>
          <w:sz w:val="22"/>
          <w:szCs w:val="22"/>
        </w:rPr>
      </w:pPr>
      <w:r w:rsidRPr="00780808">
        <w:rPr>
          <w:rFonts w:ascii="Arial" w:hAnsi="Arial" w:cs="Arial"/>
          <w:sz w:val="22"/>
          <w:szCs w:val="22"/>
        </w:rPr>
        <w:t xml:space="preserve">(b) An order declaring the Transfer of the immovable property Erf 148, </w:t>
      </w:r>
      <w:proofErr w:type="spellStart"/>
      <w:r w:rsidRPr="00780808">
        <w:rPr>
          <w:rFonts w:ascii="Arial" w:hAnsi="Arial" w:cs="Arial"/>
          <w:sz w:val="22"/>
          <w:szCs w:val="22"/>
        </w:rPr>
        <w:t>Antilla</w:t>
      </w:r>
      <w:proofErr w:type="spellEnd"/>
      <w:r w:rsidRPr="00780808">
        <w:rPr>
          <w:rFonts w:ascii="Arial" w:hAnsi="Arial" w:cs="Arial"/>
          <w:sz w:val="22"/>
          <w:szCs w:val="22"/>
        </w:rPr>
        <w:t xml:space="preserve"> Street,</w:t>
      </w:r>
      <w:r w:rsidR="00780808">
        <w:rPr>
          <w:rFonts w:ascii="Arial" w:hAnsi="Arial" w:cs="Arial"/>
          <w:sz w:val="22"/>
          <w:szCs w:val="22"/>
        </w:rPr>
        <w:t xml:space="preserve"> </w:t>
      </w:r>
      <w:r w:rsidRPr="00780808">
        <w:rPr>
          <w:rFonts w:ascii="Arial" w:hAnsi="Arial" w:cs="Arial"/>
          <w:sz w:val="22"/>
          <w:szCs w:val="22"/>
        </w:rPr>
        <w:t>Dorado Park,</w:t>
      </w:r>
      <w:r w:rsidR="001712C4">
        <w:rPr>
          <w:rFonts w:ascii="Arial" w:hAnsi="Arial" w:cs="Arial"/>
          <w:sz w:val="22"/>
          <w:szCs w:val="22"/>
        </w:rPr>
        <w:t xml:space="preserve"> </w:t>
      </w:r>
      <w:r w:rsidRPr="00780808">
        <w:rPr>
          <w:rFonts w:ascii="Arial" w:hAnsi="Arial" w:cs="Arial"/>
          <w:sz w:val="22"/>
          <w:szCs w:val="22"/>
        </w:rPr>
        <w:t>Windhoek in the names of the Plaintiffs</w:t>
      </w:r>
      <w:r w:rsidR="00780808">
        <w:rPr>
          <w:rFonts w:ascii="Arial" w:hAnsi="Arial" w:cs="Arial"/>
          <w:sz w:val="22"/>
          <w:szCs w:val="22"/>
        </w:rPr>
        <w:t xml:space="preserve"> null and void or alternatively</w:t>
      </w:r>
      <w:r w:rsidRPr="00780808">
        <w:rPr>
          <w:rFonts w:ascii="Arial" w:hAnsi="Arial" w:cs="Arial"/>
          <w:sz w:val="22"/>
          <w:szCs w:val="22"/>
        </w:rPr>
        <w:t>,</w:t>
      </w:r>
      <w:r w:rsidR="00780808">
        <w:rPr>
          <w:rFonts w:ascii="Arial" w:hAnsi="Arial" w:cs="Arial"/>
          <w:sz w:val="22"/>
          <w:szCs w:val="22"/>
        </w:rPr>
        <w:t xml:space="preserve"> </w:t>
      </w:r>
      <w:r w:rsidRPr="00780808">
        <w:rPr>
          <w:rFonts w:ascii="Arial" w:hAnsi="Arial" w:cs="Arial"/>
          <w:sz w:val="22"/>
          <w:szCs w:val="22"/>
        </w:rPr>
        <w:t>setting aside same .</w:t>
      </w:r>
    </w:p>
    <w:p w:rsidR="0057590A" w:rsidRPr="00780808" w:rsidRDefault="0057590A" w:rsidP="0057590A">
      <w:pPr>
        <w:pStyle w:val="BodyText"/>
        <w:tabs>
          <w:tab w:val="left" w:pos="720"/>
          <w:tab w:val="left" w:pos="2268"/>
        </w:tabs>
        <w:spacing w:line="360" w:lineRule="auto"/>
        <w:ind w:left="720"/>
        <w:jc w:val="both"/>
        <w:rPr>
          <w:rFonts w:ascii="Arial" w:hAnsi="Arial" w:cs="Arial"/>
          <w:sz w:val="22"/>
          <w:szCs w:val="22"/>
        </w:rPr>
      </w:pPr>
      <w:r w:rsidRPr="00780808">
        <w:rPr>
          <w:rFonts w:ascii="Arial" w:hAnsi="Arial" w:cs="Arial"/>
          <w:sz w:val="22"/>
          <w:szCs w:val="22"/>
        </w:rPr>
        <w:t>(c) An order directing the Plaintiffs to transfer the immovable p</w:t>
      </w:r>
      <w:r w:rsidR="00780808">
        <w:rPr>
          <w:rFonts w:ascii="Arial" w:hAnsi="Arial" w:cs="Arial"/>
          <w:sz w:val="22"/>
          <w:szCs w:val="22"/>
        </w:rPr>
        <w:t xml:space="preserve">roperty Erf 148, </w:t>
      </w:r>
      <w:proofErr w:type="spellStart"/>
      <w:r w:rsidR="00780808">
        <w:rPr>
          <w:rFonts w:ascii="Arial" w:hAnsi="Arial" w:cs="Arial"/>
          <w:sz w:val="22"/>
          <w:szCs w:val="22"/>
        </w:rPr>
        <w:t>Antilla</w:t>
      </w:r>
      <w:proofErr w:type="spellEnd"/>
      <w:r w:rsidR="00780808">
        <w:rPr>
          <w:rFonts w:ascii="Arial" w:hAnsi="Arial" w:cs="Arial"/>
          <w:sz w:val="22"/>
          <w:szCs w:val="22"/>
        </w:rPr>
        <w:t xml:space="preserve"> </w:t>
      </w:r>
      <w:r w:rsidR="00894DC5">
        <w:rPr>
          <w:rFonts w:ascii="Arial" w:hAnsi="Arial" w:cs="Arial"/>
          <w:sz w:val="22"/>
          <w:szCs w:val="22"/>
        </w:rPr>
        <w:t>Street</w:t>
      </w:r>
      <w:r w:rsidR="00894DC5" w:rsidRPr="00780808">
        <w:rPr>
          <w:rFonts w:ascii="Arial" w:hAnsi="Arial" w:cs="Arial"/>
          <w:sz w:val="22"/>
          <w:szCs w:val="22"/>
        </w:rPr>
        <w:t>, Dorado</w:t>
      </w:r>
      <w:r w:rsidR="00894DC5">
        <w:rPr>
          <w:rFonts w:ascii="Arial" w:hAnsi="Arial" w:cs="Arial"/>
          <w:sz w:val="22"/>
          <w:szCs w:val="22"/>
        </w:rPr>
        <w:t xml:space="preserve"> Park</w:t>
      </w:r>
      <w:r w:rsidRPr="00780808">
        <w:rPr>
          <w:rFonts w:ascii="Arial" w:hAnsi="Arial" w:cs="Arial"/>
          <w:sz w:val="22"/>
          <w:szCs w:val="22"/>
        </w:rPr>
        <w:t>,</w:t>
      </w:r>
      <w:r w:rsidR="00894DC5">
        <w:rPr>
          <w:rFonts w:ascii="Arial" w:hAnsi="Arial" w:cs="Arial"/>
          <w:sz w:val="22"/>
          <w:szCs w:val="22"/>
        </w:rPr>
        <w:t xml:space="preserve"> </w:t>
      </w:r>
      <w:r w:rsidRPr="00780808">
        <w:rPr>
          <w:rFonts w:ascii="Arial" w:hAnsi="Arial" w:cs="Arial"/>
          <w:sz w:val="22"/>
          <w:szCs w:val="22"/>
        </w:rPr>
        <w:t>Windhoek back to the Firs</w:t>
      </w:r>
      <w:r w:rsidR="001712C4">
        <w:rPr>
          <w:rFonts w:ascii="Arial" w:hAnsi="Arial" w:cs="Arial"/>
          <w:sz w:val="22"/>
          <w:szCs w:val="22"/>
        </w:rPr>
        <w:t>t</w:t>
      </w:r>
      <w:r w:rsidRPr="00780808">
        <w:rPr>
          <w:rFonts w:ascii="Arial" w:hAnsi="Arial" w:cs="Arial"/>
          <w:sz w:val="22"/>
          <w:szCs w:val="22"/>
        </w:rPr>
        <w:t xml:space="preserve"> Defendant and on failing to do so, authorize First National Bank – </w:t>
      </w:r>
      <w:proofErr w:type="spellStart"/>
      <w:r w:rsidRPr="00780808">
        <w:rPr>
          <w:rFonts w:ascii="Arial" w:hAnsi="Arial" w:cs="Arial"/>
          <w:sz w:val="22"/>
          <w:szCs w:val="22"/>
        </w:rPr>
        <w:t>Karibib</w:t>
      </w:r>
      <w:proofErr w:type="spellEnd"/>
      <w:r w:rsidRPr="00780808">
        <w:rPr>
          <w:rFonts w:ascii="Arial" w:hAnsi="Arial" w:cs="Arial"/>
          <w:sz w:val="22"/>
          <w:szCs w:val="22"/>
        </w:rPr>
        <w:t xml:space="preserve"> Branch, to sign all the necessary documents to effect the transfer back the immovable property Erf 148, </w:t>
      </w:r>
      <w:proofErr w:type="spellStart"/>
      <w:r w:rsidRPr="00780808">
        <w:rPr>
          <w:rFonts w:ascii="Arial" w:hAnsi="Arial" w:cs="Arial"/>
          <w:sz w:val="22"/>
          <w:szCs w:val="22"/>
        </w:rPr>
        <w:t>Antilla</w:t>
      </w:r>
      <w:proofErr w:type="spellEnd"/>
      <w:r w:rsidRPr="00780808">
        <w:rPr>
          <w:rFonts w:ascii="Arial" w:hAnsi="Arial" w:cs="Arial"/>
          <w:sz w:val="22"/>
          <w:szCs w:val="22"/>
        </w:rPr>
        <w:t xml:space="preserve"> </w:t>
      </w:r>
      <w:r w:rsidR="00894DC5" w:rsidRPr="00780808">
        <w:rPr>
          <w:rFonts w:ascii="Arial" w:hAnsi="Arial" w:cs="Arial"/>
          <w:sz w:val="22"/>
          <w:szCs w:val="22"/>
        </w:rPr>
        <w:t>Street, Dorado</w:t>
      </w:r>
      <w:r w:rsidRPr="00780808">
        <w:rPr>
          <w:rFonts w:ascii="Arial" w:hAnsi="Arial" w:cs="Arial"/>
          <w:sz w:val="22"/>
          <w:szCs w:val="22"/>
        </w:rPr>
        <w:t xml:space="preserve"> Park,</w:t>
      </w:r>
      <w:r w:rsidR="00780808">
        <w:rPr>
          <w:rFonts w:ascii="Arial" w:hAnsi="Arial" w:cs="Arial"/>
          <w:sz w:val="22"/>
          <w:szCs w:val="22"/>
        </w:rPr>
        <w:t xml:space="preserve"> </w:t>
      </w:r>
      <w:r w:rsidRPr="00780808">
        <w:rPr>
          <w:rFonts w:ascii="Arial" w:hAnsi="Arial" w:cs="Arial"/>
          <w:sz w:val="22"/>
          <w:szCs w:val="22"/>
        </w:rPr>
        <w:t>Windhoek to the name of the First Defendant.</w:t>
      </w:r>
    </w:p>
    <w:p w:rsidR="0057590A" w:rsidRPr="00780808" w:rsidRDefault="0057590A" w:rsidP="0057590A">
      <w:pPr>
        <w:pStyle w:val="BodyText"/>
        <w:tabs>
          <w:tab w:val="left" w:pos="720"/>
          <w:tab w:val="left" w:pos="2268"/>
        </w:tabs>
        <w:spacing w:line="360" w:lineRule="auto"/>
        <w:ind w:left="720"/>
        <w:jc w:val="both"/>
        <w:rPr>
          <w:rFonts w:ascii="Arial" w:hAnsi="Arial" w:cs="Arial"/>
          <w:sz w:val="22"/>
          <w:szCs w:val="22"/>
        </w:rPr>
      </w:pPr>
      <w:r w:rsidRPr="00780808">
        <w:rPr>
          <w:rFonts w:ascii="Arial" w:hAnsi="Arial" w:cs="Arial"/>
          <w:sz w:val="22"/>
          <w:szCs w:val="22"/>
        </w:rPr>
        <w:t>(d) Cost of Suit</w:t>
      </w:r>
      <w:r w:rsidR="009A1C4A" w:rsidRPr="00780808">
        <w:rPr>
          <w:rFonts w:ascii="Arial" w:hAnsi="Arial" w:cs="Arial"/>
          <w:sz w:val="22"/>
          <w:szCs w:val="22"/>
        </w:rPr>
        <w:t>.</w:t>
      </w:r>
      <w:r w:rsidR="00B715CD">
        <w:rPr>
          <w:rFonts w:ascii="Arial" w:hAnsi="Arial" w:cs="Arial"/>
          <w:sz w:val="22"/>
          <w:szCs w:val="22"/>
        </w:rPr>
        <w:t>’</w:t>
      </w:r>
    </w:p>
    <w:p w:rsidR="009A1C4A" w:rsidRDefault="009A1C4A" w:rsidP="0057590A">
      <w:pPr>
        <w:pStyle w:val="BodyText"/>
        <w:tabs>
          <w:tab w:val="left" w:pos="720"/>
          <w:tab w:val="left" w:pos="2268"/>
        </w:tabs>
        <w:spacing w:line="360" w:lineRule="auto"/>
        <w:ind w:left="720"/>
        <w:jc w:val="both"/>
        <w:rPr>
          <w:rFonts w:ascii="Arial" w:hAnsi="Arial" w:cs="Arial"/>
        </w:rPr>
      </w:pPr>
    </w:p>
    <w:p w:rsidR="00C33FFD" w:rsidRDefault="00A32216" w:rsidP="00131626">
      <w:pPr>
        <w:pStyle w:val="BodyText"/>
        <w:tabs>
          <w:tab w:val="left" w:pos="720"/>
          <w:tab w:val="left" w:pos="2268"/>
        </w:tabs>
        <w:spacing w:line="360" w:lineRule="auto"/>
        <w:jc w:val="both"/>
        <w:rPr>
          <w:rFonts w:ascii="Arial" w:hAnsi="Arial" w:cs="Arial"/>
        </w:rPr>
      </w:pPr>
      <w:r>
        <w:rPr>
          <w:rFonts w:ascii="Arial" w:hAnsi="Arial" w:cs="Arial"/>
        </w:rPr>
        <w:t>[5]</w:t>
      </w:r>
      <w:r>
        <w:rPr>
          <w:rFonts w:ascii="Arial" w:hAnsi="Arial" w:cs="Arial"/>
        </w:rPr>
        <w:tab/>
      </w:r>
      <w:r w:rsidR="00087D20">
        <w:rPr>
          <w:rFonts w:ascii="Arial" w:hAnsi="Arial" w:cs="Arial"/>
        </w:rPr>
        <w:t xml:space="preserve">The </w:t>
      </w:r>
      <w:r w:rsidR="002B2DC4" w:rsidRPr="002B2DC4">
        <w:rPr>
          <w:rFonts w:ascii="Arial" w:hAnsi="Arial" w:cs="Arial"/>
        </w:rPr>
        <w:t>Plaintiffs</w:t>
      </w:r>
      <w:r w:rsidR="00780808">
        <w:rPr>
          <w:rFonts w:ascii="Arial" w:hAnsi="Arial" w:cs="Arial"/>
        </w:rPr>
        <w:t xml:space="preserve"> in their pleadings </w:t>
      </w:r>
      <w:r w:rsidR="002B2DC4" w:rsidRPr="002B2DC4">
        <w:rPr>
          <w:rFonts w:ascii="Arial" w:hAnsi="Arial" w:cs="Arial"/>
        </w:rPr>
        <w:t xml:space="preserve">denied </w:t>
      </w:r>
      <w:r w:rsidR="00131626">
        <w:rPr>
          <w:rFonts w:ascii="Arial" w:hAnsi="Arial" w:cs="Arial"/>
        </w:rPr>
        <w:t>having entered into the Memorandum of Understanding</w:t>
      </w:r>
      <w:r w:rsidR="00320B49">
        <w:rPr>
          <w:rFonts w:ascii="Arial" w:hAnsi="Arial" w:cs="Arial"/>
        </w:rPr>
        <w:t xml:space="preserve"> and </w:t>
      </w:r>
      <w:r w:rsidR="004472E4">
        <w:rPr>
          <w:rFonts w:ascii="Arial" w:hAnsi="Arial" w:cs="Arial"/>
        </w:rPr>
        <w:t xml:space="preserve">in particular that they entered into the agreement to assist the defendants or that they acted as agents for the defendants to acquire the property. The plaintiffs </w:t>
      </w:r>
      <w:r w:rsidR="002B2DC4" w:rsidRPr="002B2DC4">
        <w:rPr>
          <w:rFonts w:ascii="Arial" w:hAnsi="Arial" w:cs="Arial"/>
        </w:rPr>
        <w:t xml:space="preserve">maintained </w:t>
      </w:r>
      <w:r w:rsidR="00131626">
        <w:rPr>
          <w:rFonts w:ascii="Arial" w:hAnsi="Arial" w:cs="Arial"/>
        </w:rPr>
        <w:t xml:space="preserve">in </w:t>
      </w:r>
      <w:r w:rsidR="00C33FFD">
        <w:rPr>
          <w:rFonts w:ascii="Arial" w:hAnsi="Arial" w:cs="Arial"/>
        </w:rPr>
        <w:t xml:space="preserve">their </w:t>
      </w:r>
      <w:r w:rsidR="00131626">
        <w:rPr>
          <w:rFonts w:ascii="Arial" w:hAnsi="Arial" w:cs="Arial"/>
        </w:rPr>
        <w:t xml:space="preserve">defence to the counterclaim that the occupation of the Frist </w:t>
      </w:r>
      <w:r w:rsidR="004E1CA9">
        <w:rPr>
          <w:rFonts w:ascii="Arial" w:hAnsi="Arial" w:cs="Arial"/>
        </w:rPr>
        <w:t>Defendant</w:t>
      </w:r>
      <w:r w:rsidR="00131626">
        <w:rPr>
          <w:rFonts w:ascii="Arial" w:hAnsi="Arial" w:cs="Arial"/>
        </w:rPr>
        <w:t xml:space="preserve"> </w:t>
      </w:r>
      <w:r w:rsidR="004472E4">
        <w:rPr>
          <w:rFonts w:ascii="Arial" w:hAnsi="Arial" w:cs="Arial"/>
        </w:rPr>
        <w:t>was</w:t>
      </w:r>
      <w:r w:rsidR="00131626">
        <w:rPr>
          <w:rFonts w:ascii="Arial" w:hAnsi="Arial" w:cs="Arial"/>
        </w:rPr>
        <w:t xml:space="preserve"> grounded on lease agreement</w:t>
      </w:r>
      <w:r w:rsidR="00C33FFD">
        <w:rPr>
          <w:rFonts w:ascii="Arial" w:hAnsi="Arial" w:cs="Arial"/>
        </w:rPr>
        <w:t xml:space="preserve"> and that they are the </w:t>
      </w:r>
      <w:r w:rsidR="002B2DC4" w:rsidRPr="002B2DC4">
        <w:rPr>
          <w:rFonts w:ascii="Arial" w:hAnsi="Arial" w:cs="Arial"/>
        </w:rPr>
        <w:t>lawful owners</w:t>
      </w:r>
      <w:r w:rsidR="001C735A">
        <w:rPr>
          <w:rFonts w:ascii="Arial" w:hAnsi="Arial" w:cs="Arial"/>
        </w:rPr>
        <w:t xml:space="preserve"> of the property.</w:t>
      </w:r>
      <w:r w:rsidR="002B2DC4" w:rsidRPr="002B2DC4">
        <w:rPr>
          <w:rFonts w:ascii="Arial" w:hAnsi="Arial" w:cs="Arial"/>
        </w:rPr>
        <w:t xml:space="preserve"> </w:t>
      </w:r>
    </w:p>
    <w:p w:rsidR="00C33FFD" w:rsidRDefault="00C33FFD" w:rsidP="00131626">
      <w:pPr>
        <w:pStyle w:val="BodyText"/>
        <w:tabs>
          <w:tab w:val="left" w:pos="720"/>
          <w:tab w:val="left" w:pos="2268"/>
        </w:tabs>
        <w:spacing w:line="360" w:lineRule="auto"/>
        <w:jc w:val="both"/>
        <w:rPr>
          <w:rFonts w:ascii="Arial" w:hAnsi="Arial" w:cs="Arial"/>
        </w:rPr>
      </w:pPr>
    </w:p>
    <w:p w:rsidR="004A5575" w:rsidRDefault="004472E4" w:rsidP="00AE6D89">
      <w:pPr>
        <w:pStyle w:val="BodyText"/>
        <w:tabs>
          <w:tab w:val="left" w:pos="720"/>
          <w:tab w:val="left" w:pos="2268"/>
          <w:tab w:val="left" w:pos="6750"/>
        </w:tabs>
        <w:spacing w:line="360" w:lineRule="auto"/>
        <w:jc w:val="both"/>
        <w:rPr>
          <w:rFonts w:ascii="Arial" w:hAnsi="Arial" w:cs="Arial"/>
        </w:rPr>
      </w:pPr>
      <w:r>
        <w:rPr>
          <w:rFonts w:ascii="Arial" w:hAnsi="Arial" w:cs="Arial"/>
        </w:rPr>
        <w:t>[</w:t>
      </w:r>
      <w:r w:rsidR="00AE6D89">
        <w:rPr>
          <w:rFonts w:ascii="Arial" w:hAnsi="Arial" w:cs="Arial"/>
        </w:rPr>
        <w:t>6</w:t>
      </w:r>
      <w:r>
        <w:rPr>
          <w:rFonts w:ascii="Arial" w:hAnsi="Arial" w:cs="Arial"/>
        </w:rPr>
        <w:t>]</w:t>
      </w:r>
      <w:r>
        <w:rPr>
          <w:rFonts w:ascii="Arial" w:hAnsi="Arial" w:cs="Arial"/>
        </w:rPr>
        <w:tab/>
      </w:r>
      <w:r w:rsidR="00087D20">
        <w:rPr>
          <w:rFonts w:ascii="Arial" w:hAnsi="Arial" w:cs="Arial"/>
        </w:rPr>
        <w:t>It is common cause that on</w:t>
      </w:r>
      <w:r w:rsidR="001C735A">
        <w:rPr>
          <w:rFonts w:ascii="Arial" w:hAnsi="Arial" w:cs="Arial"/>
        </w:rPr>
        <w:t xml:space="preserve"> </w:t>
      </w:r>
      <w:r w:rsidR="0095070C">
        <w:rPr>
          <w:rFonts w:ascii="Arial" w:hAnsi="Arial" w:cs="Arial"/>
        </w:rPr>
        <w:t xml:space="preserve">20 July 2010 the plaintiffs signed a loan agreement with First National Bank for the amount of N$1 570 000 against security of a first Mortgage Bond to be </w:t>
      </w:r>
      <w:r w:rsidR="00894DC5">
        <w:rPr>
          <w:rFonts w:ascii="Arial" w:hAnsi="Arial" w:cs="Arial"/>
        </w:rPr>
        <w:t xml:space="preserve">registered over Erf 148, </w:t>
      </w:r>
      <w:proofErr w:type="spellStart"/>
      <w:r w:rsidR="00894DC5">
        <w:rPr>
          <w:rFonts w:ascii="Arial" w:hAnsi="Arial" w:cs="Arial"/>
        </w:rPr>
        <w:t>Antill</w:t>
      </w:r>
      <w:r w:rsidR="0095070C">
        <w:rPr>
          <w:rFonts w:ascii="Arial" w:hAnsi="Arial" w:cs="Arial"/>
        </w:rPr>
        <w:t>a</w:t>
      </w:r>
      <w:proofErr w:type="spellEnd"/>
      <w:r w:rsidR="0095070C">
        <w:rPr>
          <w:rFonts w:ascii="Arial" w:hAnsi="Arial" w:cs="Arial"/>
        </w:rPr>
        <w:t xml:space="preserve"> Street, Dorado Park , Windhoek. </w:t>
      </w:r>
      <w:r w:rsidR="00AE6D89">
        <w:rPr>
          <w:rFonts w:ascii="Arial" w:hAnsi="Arial" w:cs="Arial"/>
        </w:rPr>
        <w:t xml:space="preserve">On 27 </w:t>
      </w:r>
      <w:r w:rsidR="0095070C">
        <w:rPr>
          <w:rFonts w:ascii="Arial" w:hAnsi="Arial" w:cs="Arial"/>
        </w:rPr>
        <w:t>July</w:t>
      </w:r>
      <w:r w:rsidR="001C735A">
        <w:rPr>
          <w:rFonts w:ascii="Arial" w:hAnsi="Arial" w:cs="Arial"/>
        </w:rPr>
        <w:t xml:space="preserve"> 2010 the </w:t>
      </w:r>
      <w:r>
        <w:rPr>
          <w:rFonts w:ascii="Arial" w:hAnsi="Arial" w:cs="Arial"/>
        </w:rPr>
        <w:t xml:space="preserve">plaintiffs </w:t>
      </w:r>
      <w:r w:rsidR="001C735A">
        <w:rPr>
          <w:rFonts w:ascii="Arial" w:hAnsi="Arial" w:cs="Arial"/>
        </w:rPr>
        <w:t>entered into a sale agreement to purchase the property.</w:t>
      </w:r>
      <w:r w:rsidR="00AE6D89">
        <w:rPr>
          <w:rFonts w:ascii="Arial" w:hAnsi="Arial" w:cs="Arial"/>
        </w:rPr>
        <w:t xml:space="preserve"> </w:t>
      </w:r>
      <w:r w:rsidR="004A5575" w:rsidRPr="004A5575">
        <w:rPr>
          <w:rFonts w:ascii="Arial" w:hAnsi="Arial" w:cs="Arial"/>
        </w:rPr>
        <w:t>The purchase price for the property was N$1 530 000.</w:t>
      </w:r>
    </w:p>
    <w:p w:rsidR="004A5575" w:rsidRDefault="004A5575" w:rsidP="00AE6D89">
      <w:pPr>
        <w:pStyle w:val="BodyText"/>
        <w:tabs>
          <w:tab w:val="left" w:pos="720"/>
          <w:tab w:val="left" w:pos="2268"/>
          <w:tab w:val="left" w:pos="6750"/>
        </w:tabs>
        <w:spacing w:line="360" w:lineRule="auto"/>
        <w:jc w:val="both"/>
        <w:rPr>
          <w:rFonts w:ascii="Arial" w:hAnsi="Arial" w:cs="Arial"/>
        </w:rPr>
      </w:pPr>
    </w:p>
    <w:p w:rsidR="00AE6D89" w:rsidRDefault="004A5575" w:rsidP="00AE6D89">
      <w:pPr>
        <w:pStyle w:val="BodyText"/>
        <w:tabs>
          <w:tab w:val="left" w:pos="720"/>
          <w:tab w:val="left" w:pos="2268"/>
          <w:tab w:val="left" w:pos="6750"/>
        </w:tabs>
        <w:spacing w:line="360" w:lineRule="auto"/>
        <w:jc w:val="both"/>
        <w:rPr>
          <w:rFonts w:ascii="Arial" w:hAnsi="Arial" w:cs="Arial"/>
        </w:rPr>
      </w:pPr>
      <w:r>
        <w:rPr>
          <w:rFonts w:ascii="Arial" w:hAnsi="Arial" w:cs="Arial"/>
        </w:rPr>
        <w:lastRenderedPageBreak/>
        <w:t>[7]</w:t>
      </w:r>
      <w:r>
        <w:rPr>
          <w:rFonts w:ascii="Arial" w:hAnsi="Arial" w:cs="Arial"/>
        </w:rPr>
        <w:tab/>
        <w:t>On 1 September 2010 an e-mail, ostensibly authored, by first plaintiff was addressed to 2</w:t>
      </w:r>
      <w:r w:rsidRPr="004A5575">
        <w:rPr>
          <w:rFonts w:ascii="Arial" w:hAnsi="Arial" w:cs="Arial"/>
          <w:vertAlign w:val="superscript"/>
        </w:rPr>
        <w:t>nd</w:t>
      </w:r>
      <w:r>
        <w:rPr>
          <w:rFonts w:ascii="Arial" w:hAnsi="Arial" w:cs="Arial"/>
        </w:rPr>
        <w:t xml:space="preserve"> defendant and her husband and attached thereto was the e-mail from the conveyancing attorney informing the plaintiffs that the transaction was lodged at the deeds office that morning. The email reads as follow: ‘I received this today. Looks good meaning (sic) registration will thus be complete soon.” </w:t>
      </w:r>
      <w:r w:rsidR="00AE6D89">
        <w:rPr>
          <w:rFonts w:ascii="Arial" w:hAnsi="Arial" w:cs="Arial"/>
        </w:rPr>
        <w:t xml:space="preserve">The property was registered in the name of the plaintiffs on 9 September 2010. </w:t>
      </w:r>
    </w:p>
    <w:p w:rsidR="00AE6D89" w:rsidRDefault="00AE6D89" w:rsidP="00AE6D89">
      <w:pPr>
        <w:pStyle w:val="BodyText"/>
        <w:tabs>
          <w:tab w:val="left" w:pos="720"/>
          <w:tab w:val="left" w:pos="2268"/>
          <w:tab w:val="left" w:pos="6750"/>
        </w:tabs>
        <w:spacing w:line="360" w:lineRule="auto"/>
        <w:jc w:val="both"/>
        <w:rPr>
          <w:rFonts w:ascii="Arial" w:hAnsi="Arial" w:cs="Arial"/>
        </w:rPr>
      </w:pPr>
    </w:p>
    <w:p w:rsidR="00310460" w:rsidRDefault="00AE6D89" w:rsidP="00AE6D89">
      <w:pPr>
        <w:pStyle w:val="BodyText"/>
        <w:tabs>
          <w:tab w:val="left" w:pos="720"/>
          <w:tab w:val="left" w:pos="2268"/>
          <w:tab w:val="left" w:pos="6750"/>
        </w:tabs>
        <w:spacing w:line="360" w:lineRule="auto"/>
        <w:jc w:val="both"/>
        <w:rPr>
          <w:rFonts w:ascii="Arial" w:hAnsi="Arial" w:cs="Arial"/>
        </w:rPr>
      </w:pPr>
      <w:r>
        <w:rPr>
          <w:rFonts w:ascii="Arial" w:hAnsi="Arial" w:cs="Arial"/>
        </w:rPr>
        <w:t>[</w:t>
      </w:r>
      <w:r w:rsidR="0054491D">
        <w:rPr>
          <w:rFonts w:ascii="Arial" w:hAnsi="Arial" w:cs="Arial"/>
        </w:rPr>
        <w:t>8</w:t>
      </w:r>
      <w:r>
        <w:rPr>
          <w:rFonts w:ascii="Arial" w:hAnsi="Arial" w:cs="Arial"/>
        </w:rPr>
        <w:t>]</w:t>
      </w:r>
      <w:r>
        <w:rPr>
          <w:rFonts w:ascii="Arial" w:hAnsi="Arial" w:cs="Arial"/>
        </w:rPr>
        <w:tab/>
      </w:r>
      <w:r w:rsidR="00294B7A">
        <w:rPr>
          <w:rFonts w:ascii="Arial" w:hAnsi="Arial" w:cs="Arial"/>
        </w:rPr>
        <w:t xml:space="preserve">On 13 September 2010 </w:t>
      </w:r>
      <w:r w:rsidR="00C71204">
        <w:rPr>
          <w:rFonts w:ascii="Arial" w:hAnsi="Arial" w:cs="Arial"/>
        </w:rPr>
        <w:t xml:space="preserve">two </w:t>
      </w:r>
      <w:r w:rsidR="00294B7A">
        <w:rPr>
          <w:rFonts w:ascii="Arial" w:hAnsi="Arial" w:cs="Arial"/>
        </w:rPr>
        <w:t>emai</w:t>
      </w:r>
      <w:r w:rsidR="00C71204">
        <w:rPr>
          <w:rFonts w:ascii="Arial" w:hAnsi="Arial" w:cs="Arial"/>
        </w:rPr>
        <w:t xml:space="preserve">ls </w:t>
      </w:r>
      <w:r w:rsidR="00310460">
        <w:rPr>
          <w:rFonts w:ascii="Arial" w:hAnsi="Arial" w:cs="Arial"/>
        </w:rPr>
        <w:t xml:space="preserve">seemingly </w:t>
      </w:r>
      <w:r w:rsidR="00C71204">
        <w:rPr>
          <w:rFonts w:ascii="Arial" w:hAnsi="Arial" w:cs="Arial"/>
        </w:rPr>
        <w:t xml:space="preserve">were </w:t>
      </w:r>
      <w:r w:rsidR="00294B7A">
        <w:rPr>
          <w:rFonts w:ascii="Arial" w:hAnsi="Arial" w:cs="Arial"/>
        </w:rPr>
        <w:t>addressed by first plaintiff to 2</w:t>
      </w:r>
      <w:r w:rsidR="00294B7A" w:rsidRPr="00294B7A">
        <w:rPr>
          <w:rFonts w:ascii="Arial" w:hAnsi="Arial" w:cs="Arial"/>
          <w:vertAlign w:val="superscript"/>
        </w:rPr>
        <w:t>nd</w:t>
      </w:r>
      <w:r w:rsidR="00C71204">
        <w:rPr>
          <w:rFonts w:ascii="Arial" w:hAnsi="Arial" w:cs="Arial"/>
        </w:rPr>
        <w:t xml:space="preserve"> Defendant and her husband </w:t>
      </w:r>
      <w:r w:rsidR="00310460">
        <w:rPr>
          <w:rFonts w:ascii="Arial" w:hAnsi="Arial" w:cs="Arial"/>
        </w:rPr>
        <w:t>who</w:t>
      </w:r>
      <w:r w:rsidR="00C71204">
        <w:rPr>
          <w:rFonts w:ascii="Arial" w:hAnsi="Arial" w:cs="Arial"/>
        </w:rPr>
        <w:t xml:space="preserve"> in essence indicate</w:t>
      </w:r>
      <w:r w:rsidR="00310460">
        <w:rPr>
          <w:rFonts w:ascii="Arial" w:hAnsi="Arial" w:cs="Arial"/>
        </w:rPr>
        <w:t>d</w:t>
      </w:r>
      <w:r w:rsidR="00C71204">
        <w:rPr>
          <w:rFonts w:ascii="Arial" w:hAnsi="Arial" w:cs="Arial"/>
        </w:rPr>
        <w:t xml:space="preserve"> that that there was an overpayment </w:t>
      </w:r>
      <w:r w:rsidR="00310460">
        <w:rPr>
          <w:rFonts w:ascii="Arial" w:hAnsi="Arial" w:cs="Arial"/>
        </w:rPr>
        <w:t xml:space="preserve">on loan amount </w:t>
      </w:r>
      <w:r w:rsidR="00C71204">
        <w:rPr>
          <w:rFonts w:ascii="Arial" w:hAnsi="Arial" w:cs="Arial"/>
        </w:rPr>
        <w:t>in the sum of N$55665.04.</w:t>
      </w:r>
      <w:r w:rsidR="004A5575">
        <w:rPr>
          <w:rFonts w:ascii="Arial" w:hAnsi="Arial" w:cs="Arial"/>
        </w:rPr>
        <w:t xml:space="preserve"> The bank, according to first plaintiff, was insisting that N$56 000 be paid back. </w:t>
      </w:r>
    </w:p>
    <w:p w:rsidR="00310460" w:rsidRDefault="00310460" w:rsidP="00AE6D89">
      <w:pPr>
        <w:pStyle w:val="BodyText"/>
        <w:tabs>
          <w:tab w:val="left" w:pos="720"/>
          <w:tab w:val="left" w:pos="2268"/>
          <w:tab w:val="left" w:pos="6750"/>
        </w:tabs>
        <w:spacing w:line="360" w:lineRule="auto"/>
        <w:jc w:val="both"/>
        <w:rPr>
          <w:rFonts w:ascii="Arial" w:hAnsi="Arial" w:cs="Arial"/>
        </w:rPr>
      </w:pPr>
    </w:p>
    <w:p w:rsidR="00AE6D89" w:rsidRDefault="00310460" w:rsidP="00AE6D89">
      <w:pPr>
        <w:pStyle w:val="BodyText"/>
        <w:tabs>
          <w:tab w:val="left" w:pos="720"/>
          <w:tab w:val="left" w:pos="2268"/>
          <w:tab w:val="left" w:pos="6750"/>
        </w:tabs>
        <w:spacing w:line="360" w:lineRule="auto"/>
        <w:jc w:val="both"/>
        <w:rPr>
          <w:rFonts w:ascii="Arial" w:hAnsi="Arial" w:cs="Arial"/>
        </w:rPr>
      </w:pPr>
      <w:r>
        <w:rPr>
          <w:rFonts w:ascii="Arial" w:hAnsi="Arial" w:cs="Arial"/>
        </w:rPr>
        <w:t>[</w:t>
      </w:r>
      <w:r w:rsidR="0054491D">
        <w:rPr>
          <w:rFonts w:ascii="Arial" w:hAnsi="Arial" w:cs="Arial"/>
        </w:rPr>
        <w:t>9</w:t>
      </w:r>
      <w:r>
        <w:rPr>
          <w:rFonts w:ascii="Arial" w:hAnsi="Arial" w:cs="Arial"/>
        </w:rPr>
        <w:t>]</w:t>
      </w:r>
      <w:r>
        <w:rPr>
          <w:rFonts w:ascii="Arial" w:hAnsi="Arial" w:cs="Arial"/>
        </w:rPr>
        <w:tab/>
        <w:t>O</w:t>
      </w:r>
      <w:r w:rsidR="00AE6D89">
        <w:rPr>
          <w:rFonts w:ascii="Arial" w:hAnsi="Arial" w:cs="Arial"/>
        </w:rPr>
        <w:t xml:space="preserve">n </w:t>
      </w:r>
      <w:r w:rsidR="00FF6E56">
        <w:rPr>
          <w:rFonts w:ascii="Arial" w:hAnsi="Arial" w:cs="Arial"/>
        </w:rPr>
        <w:t>30</w:t>
      </w:r>
      <w:r w:rsidR="00AE6D89">
        <w:rPr>
          <w:rFonts w:ascii="Arial" w:hAnsi="Arial" w:cs="Arial"/>
        </w:rPr>
        <w:t xml:space="preserve"> September</w:t>
      </w:r>
      <w:r w:rsidR="00FF6E56">
        <w:rPr>
          <w:rFonts w:ascii="Arial" w:hAnsi="Arial" w:cs="Arial"/>
        </w:rPr>
        <w:t xml:space="preserve"> 2010</w:t>
      </w:r>
      <w:r w:rsidR="00AE6D89">
        <w:rPr>
          <w:rFonts w:ascii="Arial" w:hAnsi="Arial" w:cs="Arial"/>
        </w:rPr>
        <w:t xml:space="preserve"> an application was made on behalf of first defendant </w:t>
      </w:r>
      <w:r>
        <w:rPr>
          <w:rFonts w:ascii="Arial" w:hAnsi="Arial" w:cs="Arial"/>
        </w:rPr>
        <w:t xml:space="preserve">to the City of Windhoek </w:t>
      </w:r>
      <w:r w:rsidR="00AE6D89">
        <w:rPr>
          <w:rFonts w:ascii="Arial" w:hAnsi="Arial" w:cs="Arial"/>
        </w:rPr>
        <w:t xml:space="preserve">for the </w:t>
      </w:r>
      <w:r w:rsidR="00FF6E56">
        <w:rPr>
          <w:rFonts w:ascii="Arial" w:hAnsi="Arial" w:cs="Arial"/>
        </w:rPr>
        <w:t>supply of electricity</w:t>
      </w:r>
      <w:r w:rsidR="00AE6D89">
        <w:rPr>
          <w:rFonts w:ascii="Arial" w:hAnsi="Arial" w:cs="Arial"/>
        </w:rPr>
        <w:t>, water and refuse removal</w:t>
      </w:r>
      <w:r w:rsidR="00FF6E56">
        <w:rPr>
          <w:rFonts w:ascii="Arial" w:hAnsi="Arial" w:cs="Arial"/>
        </w:rPr>
        <w:t>.</w:t>
      </w:r>
      <w:r w:rsidR="00AE6D89">
        <w:rPr>
          <w:rFonts w:ascii="Arial" w:hAnsi="Arial" w:cs="Arial"/>
        </w:rPr>
        <w:t xml:space="preserve"> </w:t>
      </w:r>
      <w:r w:rsidR="00FF6E56">
        <w:rPr>
          <w:rFonts w:ascii="Arial" w:hAnsi="Arial" w:cs="Arial"/>
        </w:rPr>
        <w:t xml:space="preserve">Attached to this application </w:t>
      </w:r>
      <w:r>
        <w:rPr>
          <w:rFonts w:ascii="Arial" w:hAnsi="Arial" w:cs="Arial"/>
        </w:rPr>
        <w:t>was</w:t>
      </w:r>
      <w:r w:rsidR="00FF6E56">
        <w:rPr>
          <w:rFonts w:ascii="Arial" w:hAnsi="Arial" w:cs="Arial"/>
        </w:rPr>
        <w:t xml:space="preserve"> a written lease agreement between the plaintiffs and the first defendant dated 28 September 2010 in respect of the property. The defendants disputed the signature and the validity of this document.</w:t>
      </w:r>
      <w:r w:rsidR="00AE6D89">
        <w:rPr>
          <w:rFonts w:ascii="Arial" w:hAnsi="Arial" w:cs="Arial"/>
        </w:rPr>
        <w:t xml:space="preserve"> </w:t>
      </w:r>
      <w:r w:rsidR="001C735A">
        <w:rPr>
          <w:rFonts w:ascii="Arial" w:hAnsi="Arial" w:cs="Arial"/>
        </w:rPr>
        <w:t xml:space="preserve"> </w:t>
      </w:r>
    </w:p>
    <w:p w:rsidR="00294B7A" w:rsidRDefault="00294B7A" w:rsidP="00AE6D89">
      <w:pPr>
        <w:pStyle w:val="BodyText"/>
        <w:tabs>
          <w:tab w:val="left" w:pos="720"/>
          <w:tab w:val="left" w:pos="2268"/>
          <w:tab w:val="left" w:pos="6750"/>
        </w:tabs>
        <w:spacing w:line="360" w:lineRule="auto"/>
        <w:jc w:val="both"/>
        <w:rPr>
          <w:rFonts w:ascii="Arial" w:hAnsi="Arial" w:cs="Arial"/>
        </w:rPr>
      </w:pPr>
    </w:p>
    <w:p w:rsidR="004644B1" w:rsidRDefault="00FF6E56" w:rsidP="00AE6D89">
      <w:pPr>
        <w:pStyle w:val="BodyText"/>
        <w:tabs>
          <w:tab w:val="left" w:pos="720"/>
          <w:tab w:val="left" w:pos="2268"/>
          <w:tab w:val="left" w:pos="6750"/>
        </w:tabs>
        <w:spacing w:line="360" w:lineRule="auto"/>
        <w:jc w:val="both"/>
        <w:rPr>
          <w:rFonts w:ascii="Arial" w:hAnsi="Arial" w:cs="Arial"/>
        </w:rPr>
      </w:pPr>
      <w:r>
        <w:rPr>
          <w:rFonts w:ascii="Arial" w:hAnsi="Arial" w:cs="Arial"/>
        </w:rPr>
        <w:t>[</w:t>
      </w:r>
      <w:r w:rsidR="0054491D">
        <w:rPr>
          <w:rFonts w:ascii="Arial" w:hAnsi="Arial" w:cs="Arial"/>
        </w:rPr>
        <w:t>10</w:t>
      </w:r>
      <w:r>
        <w:rPr>
          <w:rFonts w:ascii="Arial" w:hAnsi="Arial" w:cs="Arial"/>
        </w:rPr>
        <w:t>]</w:t>
      </w:r>
      <w:r>
        <w:rPr>
          <w:rFonts w:ascii="Arial" w:hAnsi="Arial" w:cs="Arial"/>
        </w:rPr>
        <w:tab/>
      </w:r>
      <w:r w:rsidR="00310460">
        <w:rPr>
          <w:rFonts w:ascii="Arial" w:hAnsi="Arial" w:cs="Arial"/>
        </w:rPr>
        <w:t xml:space="preserve">On 12 October 2010 the disputed written Memorandum of Understanding was </w:t>
      </w:r>
      <w:r w:rsidR="00371E44">
        <w:rPr>
          <w:rFonts w:ascii="Arial" w:hAnsi="Arial" w:cs="Arial"/>
        </w:rPr>
        <w:tab/>
      </w:r>
      <w:r w:rsidR="00310460">
        <w:rPr>
          <w:rFonts w:ascii="Arial" w:hAnsi="Arial" w:cs="Arial"/>
        </w:rPr>
        <w:t xml:space="preserve">entered into. The material parts of the agreement reads as follow: </w:t>
      </w:r>
    </w:p>
    <w:p w:rsidR="001622FF" w:rsidRDefault="001622FF" w:rsidP="00AE6D89">
      <w:pPr>
        <w:pStyle w:val="BodyText"/>
        <w:tabs>
          <w:tab w:val="left" w:pos="720"/>
          <w:tab w:val="left" w:pos="2268"/>
          <w:tab w:val="left" w:pos="6750"/>
        </w:tabs>
        <w:spacing w:line="360" w:lineRule="auto"/>
        <w:jc w:val="both"/>
        <w:rPr>
          <w:rFonts w:ascii="Arial" w:hAnsi="Arial" w:cs="Arial"/>
        </w:rPr>
      </w:pPr>
    </w:p>
    <w:p w:rsidR="004644B1" w:rsidRPr="00C31710" w:rsidRDefault="004644B1" w:rsidP="00B715CD">
      <w:pPr>
        <w:pStyle w:val="BodyText"/>
        <w:tabs>
          <w:tab w:val="left" w:pos="720"/>
          <w:tab w:val="left" w:pos="2268"/>
          <w:tab w:val="left" w:pos="6750"/>
        </w:tabs>
        <w:spacing w:line="360" w:lineRule="auto"/>
        <w:ind w:firstLine="720"/>
        <w:jc w:val="both"/>
        <w:rPr>
          <w:rFonts w:ascii="Arial" w:hAnsi="Arial" w:cs="Arial"/>
          <w:sz w:val="22"/>
          <w:szCs w:val="22"/>
        </w:rPr>
      </w:pPr>
      <w:r w:rsidRPr="00C31710">
        <w:rPr>
          <w:rFonts w:ascii="Arial" w:hAnsi="Arial" w:cs="Arial"/>
          <w:sz w:val="22"/>
          <w:szCs w:val="22"/>
        </w:rPr>
        <w:t>‘</w:t>
      </w:r>
      <w:r w:rsidR="00310460" w:rsidRPr="00C31710">
        <w:rPr>
          <w:rFonts w:ascii="Arial" w:hAnsi="Arial" w:cs="Arial"/>
          <w:sz w:val="22"/>
          <w:szCs w:val="22"/>
        </w:rPr>
        <w:t xml:space="preserve">Mr(s) G &amp; F </w:t>
      </w:r>
      <w:proofErr w:type="spellStart"/>
      <w:r w:rsidR="00310460" w:rsidRPr="00C31710">
        <w:rPr>
          <w:rFonts w:ascii="Arial" w:hAnsi="Arial" w:cs="Arial"/>
          <w:sz w:val="22"/>
          <w:szCs w:val="22"/>
        </w:rPr>
        <w:t>Arnat</w:t>
      </w:r>
      <w:proofErr w:type="spellEnd"/>
      <w:r w:rsidR="00310460" w:rsidRPr="00C31710">
        <w:rPr>
          <w:rFonts w:ascii="Arial" w:hAnsi="Arial" w:cs="Arial"/>
          <w:sz w:val="22"/>
          <w:szCs w:val="22"/>
        </w:rPr>
        <w:t xml:space="preserve"> entered into a Loan Agreement </w:t>
      </w:r>
      <w:r w:rsidRPr="00C31710">
        <w:rPr>
          <w:rFonts w:ascii="Arial" w:hAnsi="Arial" w:cs="Arial"/>
          <w:sz w:val="22"/>
          <w:szCs w:val="22"/>
        </w:rPr>
        <w:t xml:space="preserve">with FNB. The purpose of the loan was to assist LCCC to acquire immovable property. </w:t>
      </w:r>
    </w:p>
    <w:p w:rsidR="004644B1" w:rsidRPr="00C31710" w:rsidRDefault="004644B1" w:rsidP="00B715CD">
      <w:pPr>
        <w:pStyle w:val="BodyText"/>
        <w:tabs>
          <w:tab w:val="left" w:pos="2268"/>
          <w:tab w:val="left" w:pos="6750"/>
        </w:tabs>
        <w:spacing w:line="360" w:lineRule="auto"/>
        <w:jc w:val="both"/>
        <w:rPr>
          <w:rFonts w:ascii="Arial" w:hAnsi="Arial" w:cs="Arial"/>
          <w:sz w:val="22"/>
          <w:szCs w:val="22"/>
        </w:rPr>
      </w:pPr>
      <w:r w:rsidRPr="00C31710">
        <w:rPr>
          <w:rFonts w:ascii="Arial" w:hAnsi="Arial" w:cs="Arial"/>
          <w:sz w:val="22"/>
          <w:szCs w:val="22"/>
        </w:rPr>
        <w:t>It is understood Life Changing Christian Church shall arrange for the repayment of the principal and interest on the loan.</w:t>
      </w:r>
    </w:p>
    <w:p w:rsidR="00FF6E56" w:rsidRPr="00C31710" w:rsidRDefault="004644B1" w:rsidP="00B715CD">
      <w:pPr>
        <w:pStyle w:val="BodyText"/>
        <w:tabs>
          <w:tab w:val="left" w:pos="2268"/>
          <w:tab w:val="left" w:pos="6750"/>
        </w:tabs>
        <w:spacing w:line="360" w:lineRule="auto"/>
        <w:jc w:val="both"/>
        <w:rPr>
          <w:rFonts w:ascii="Arial" w:hAnsi="Arial" w:cs="Arial"/>
          <w:sz w:val="22"/>
          <w:szCs w:val="22"/>
        </w:rPr>
      </w:pPr>
      <w:r w:rsidRPr="00C31710">
        <w:rPr>
          <w:rFonts w:ascii="Arial" w:hAnsi="Arial" w:cs="Arial"/>
          <w:sz w:val="22"/>
          <w:szCs w:val="22"/>
        </w:rPr>
        <w:t xml:space="preserve">The property is currently registered in the names of MR(s) G &amp; F </w:t>
      </w:r>
      <w:proofErr w:type="spellStart"/>
      <w:r w:rsidRPr="00C31710">
        <w:rPr>
          <w:rFonts w:ascii="Arial" w:hAnsi="Arial" w:cs="Arial"/>
          <w:sz w:val="22"/>
          <w:szCs w:val="22"/>
        </w:rPr>
        <w:t>Arnat</w:t>
      </w:r>
      <w:proofErr w:type="spellEnd"/>
      <w:r w:rsidRPr="00C31710">
        <w:rPr>
          <w:rFonts w:ascii="Arial" w:hAnsi="Arial" w:cs="Arial"/>
          <w:sz w:val="22"/>
          <w:szCs w:val="22"/>
        </w:rPr>
        <w:t xml:space="preserve">. It is agreed that upon </w:t>
      </w:r>
      <w:r w:rsidRPr="00C31710">
        <w:rPr>
          <w:rFonts w:ascii="Arial" w:hAnsi="Arial" w:cs="Arial"/>
          <w:sz w:val="22"/>
          <w:szCs w:val="22"/>
          <w:u w:val="single"/>
        </w:rPr>
        <w:t>full repayment</w:t>
      </w:r>
      <w:r w:rsidRPr="00C31710">
        <w:rPr>
          <w:rFonts w:ascii="Arial" w:hAnsi="Arial" w:cs="Arial"/>
          <w:sz w:val="22"/>
          <w:szCs w:val="22"/>
        </w:rPr>
        <w:t xml:space="preserve"> of the loan by LCCC, Mr(s) G &amp; F </w:t>
      </w:r>
      <w:proofErr w:type="spellStart"/>
      <w:r w:rsidRPr="00C31710">
        <w:rPr>
          <w:rFonts w:ascii="Arial" w:hAnsi="Arial" w:cs="Arial"/>
          <w:sz w:val="22"/>
          <w:szCs w:val="22"/>
        </w:rPr>
        <w:t>Arnat</w:t>
      </w:r>
      <w:proofErr w:type="spellEnd"/>
      <w:r w:rsidRPr="00C31710">
        <w:rPr>
          <w:rFonts w:ascii="Arial" w:hAnsi="Arial" w:cs="Arial"/>
          <w:sz w:val="22"/>
          <w:szCs w:val="22"/>
        </w:rPr>
        <w:t xml:space="preserve"> shall arrange for the immediate release of the bond and transfer of ownership to Life Changing Christian Church. ‘</w:t>
      </w:r>
    </w:p>
    <w:p w:rsidR="002F6923" w:rsidRDefault="002F6923" w:rsidP="004644B1">
      <w:pPr>
        <w:pStyle w:val="BodyText"/>
        <w:tabs>
          <w:tab w:val="left" w:pos="720"/>
          <w:tab w:val="left" w:pos="2268"/>
          <w:tab w:val="left" w:pos="6750"/>
        </w:tabs>
        <w:spacing w:line="360" w:lineRule="auto"/>
        <w:jc w:val="both"/>
        <w:rPr>
          <w:rFonts w:ascii="Arial" w:hAnsi="Arial" w:cs="Arial"/>
        </w:rPr>
      </w:pPr>
    </w:p>
    <w:p w:rsidR="00AE6D89" w:rsidRDefault="002F6923" w:rsidP="004644B1">
      <w:pPr>
        <w:pStyle w:val="BodyText"/>
        <w:tabs>
          <w:tab w:val="left" w:pos="720"/>
          <w:tab w:val="left" w:pos="2268"/>
          <w:tab w:val="left" w:pos="6750"/>
        </w:tabs>
        <w:spacing w:line="360" w:lineRule="auto"/>
        <w:jc w:val="both"/>
        <w:rPr>
          <w:rFonts w:ascii="Arial" w:hAnsi="Arial" w:cs="Arial"/>
        </w:rPr>
      </w:pPr>
      <w:r>
        <w:rPr>
          <w:rFonts w:ascii="Arial" w:hAnsi="Arial" w:cs="Arial"/>
        </w:rPr>
        <w:t>[</w:t>
      </w:r>
      <w:r w:rsidR="0054491D">
        <w:rPr>
          <w:rFonts w:ascii="Arial" w:hAnsi="Arial" w:cs="Arial"/>
        </w:rPr>
        <w:t>11</w:t>
      </w:r>
      <w:r>
        <w:rPr>
          <w:rFonts w:ascii="Arial" w:hAnsi="Arial" w:cs="Arial"/>
        </w:rPr>
        <w:t>]</w:t>
      </w:r>
      <w:r>
        <w:rPr>
          <w:rFonts w:ascii="Arial" w:hAnsi="Arial" w:cs="Arial"/>
        </w:rPr>
        <w:tab/>
      </w:r>
      <w:r w:rsidR="004644B1">
        <w:rPr>
          <w:rFonts w:ascii="Arial" w:hAnsi="Arial" w:cs="Arial"/>
        </w:rPr>
        <w:t>The document appears to be signed by the plaintiff</w:t>
      </w:r>
      <w:r>
        <w:rPr>
          <w:rFonts w:ascii="Arial" w:hAnsi="Arial" w:cs="Arial"/>
        </w:rPr>
        <w:t>s</w:t>
      </w:r>
      <w:r w:rsidR="004644B1">
        <w:rPr>
          <w:rFonts w:ascii="Arial" w:hAnsi="Arial" w:cs="Arial"/>
        </w:rPr>
        <w:t xml:space="preserve"> and the 2</w:t>
      </w:r>
      <w:r w:rsidR="004644B1" w:rsidRPr="004644B1">
        <w:rPr>
          <w:rFonts w:ascii="Arial" w:hAnsi="Arial" w:cs="Arial"/>
          <w:vertAlign w:val="superscript"/>
        </w:rPr>
        <w:t>nd</w:t>
      </w:r>
      <w:r w:rsidR="004644B1">
        <w:rPr>
          <w:rFonts w:ascii="Arial" w:hAnsi="Arial" w:cs="Arial"/>
        </w:rPr>
        <w:t xml:space="preserve"> defendant and her husband on behalf of the</w:t>
      </w:r>
      <w:r>
        <w:rPr>
          <w:rFonts w:ascii="Arial" w:hAnsi="Arial" w:cs="Arial"/>
        </w:rPr>
        <w:t xml:space="preserve"> first defendant. The agreement, </w:t>
      </w:r>
      <w:r w:rsidR="004644B1">
        <w:rPr>
          <w:rFonts w:ascii="Arial" w:hAnsi="Arial" w:cs="Arial"/>
        </w:rPr>
        <w:t xml:space="preserve">according to the daughter of </w:t>
      </w:r>
      <w:r w:rsidR="004644B1">
        <w:rPr>
          <w:rFonts w:ascii="Arial" w:hAnsi="Arial" w:cs="Arial"/>
        </w:rPr>
        <w:lastRenderedPageBreak/>
        <w:t>the plaintiffs was signed</w:t>
      </w:r>
      <w:r>
        <w:rPr>
          <w:rFonts w:ascii="Arial" w:hAnsi="Arial" w:cs="Arial"/>
        </w:rPr>
        <w:t xml:space="preserve"> by her parents </w:t>
      </w:r>
      <w:r w:rsidR="004644B1">
        <w:rPr>
          <w:rFonts w:ascii="Arial" w:hAnsi="Arial" w:cs="Arial"/>
        </w:rPr>
        <w:t xml:space="preserve">in her presence at the house of her parents. She confirmed her signature </w:t>
      </w:r>
      <w:r>
        <w:rPr>
          <w:rFonts w:ascii="Arial" w:hAnsi="Arial" w:cs="Arial"/>
        </w:rPr>
        <w:t xml:space="preserve">as a witness </w:t>
      </w:r>
      <w:r w:rsidR="004644B1">
        <w:rPr>
          <w:rFonts w:ascii="Arial" w:hAnsi="Arial" w:cs="Arial"/>
        </w:rPr>
        <w:t xml:space="preserve">on this document. </w:t>
      </w:r>
    </w:p>
    <w:p w:rsidR="005947C0" w:rsidRDefault="005947C0" w:rsidP="004644B1">
      <w:pPr>
        <w:pStyle w:val="BodyText"/>
        <w:tabs>
          <w:tab w:val="left" w:pos="720"/>
          <w:tab w:val="left" w:pos="2268"/>
          <w:tab w:val="left" w:pos="6750"/>
        </w:tabs>
        <w:spacing w:line="360" w:lineRule="auto"/>
        <w:jc w:val="both"/>
        <w:rPr>
          <w:rFonts w:ascii="Arial" w:hAnsi="Arial" w:cs="Arial"/>
        </w:rPr>
      </w:pPr>
    </w:p>
    <w:p w:rsidR="005947C0" w:rsidRDefault="005947C0" w:rsidP="004644B1">
      <w:pPr>
        <w:pStyle w:val="BodyText"/>
        <w:tabs>
          <w:tab w:val="left" w:pos="720"/>
          <w:tab w:val="left" w:pos="2268"/>
          <w:tab w:val="left" w:pos="6750"/>
        </w:tabs>
        <w:spacing w:line="360" w:lineRule="auto"/>
        <w:jc w:val="both"/>
        <w:rPr>
          <w:rFonts w:ascii="Arial" w:hAnsi="Arial" w:cs="Arial"/>
        </w:rPr>
      </w:pPr>
      <w:r>
        <w:rPr>
          <w:rFonts w:ascii="Arial" w:hAnsi="Arial" w:cs="Arial"/>
        </w:rPr>
        <w:t>[1</w:t>
      </w:r>
      <w:r w:rsidR="0054491D">
        <w:rPr>
          <w:rFonts w:ascii="Arial" w:hAnsi="Arial" w:cs="Arial"/>
        </w:rPr>
        <w:t>2</w:t>
      </w:r>
      <w:r>
        <w:rPr>
          <w:rFonts w:ascii="Arial" w:hAnsi="Arial" w:cs="Arial"/>
        </w:rPr>
        <w:t>]</w:t>
      </w:r>
      <w:r>
        <w:rPr>
          <w:rFonts w:ascii="Arial" w:hAnsi="Arial" w:cs="Arial"/>
        </w:rPr>
        <w:tab/>
        <w:t>On 13 September it appears certain renovations were affected by the first defendant to the property. It was common cause that a fire destroyed a part of the property and the renovations were done by first defendant as the insurance company initially repudiated the claim. Approximately a year thereafter pay</w:t>
      </w:r>
      <w:r w:rsidR="00780808">
        <w:rPr>
          <w:rFonts w:ascii="Arial" w:hAnsi="Arial" w:cs="Arial"/>
        </w:rPr>
        <w:t>ment was made by the Insurance C</w:t>
      </w:r>
      <w:r>
        <w:rPr>
          <w:rFonts w:ascii="Arial" w:hAnsi="Arial" w:cs="Arial"/>
        </w:rPr>
        <w:t xml:space="preserve">ompany to the plaintiffs. The plaintiffs in turn paid the money claimed to first defendant ostensibly to compensate first defendant for the costs it incurred to repair the property after the fire.  </w:t>
      </w:r>
    </w:p>
    <w:p w:rsidR="00E66933" w:rsidRDefault="00E66933" w:rsidP="004644B1">
      <w:pPr>
        <w:pStyle w:val="BodyText"/>
        <w:tabs>
          <w:tab w:val="left" w:pos="720"/>
          <w:tab w:val="left" w:pos="2268"/>
          <w:tab w:val="left" w:pos="6750"/>
        </w:tabs>
        <w:spacing w:line="360" w:lineRule="auto"/>
        <w:jc w:val="both"/>
        <w:rPr>
          <w:rFonts w:ascii="Arial" w:hAnsi="Arial" w:cs="Arial"/>
        </w:rPr>
      </w:pPr>
    </w:p>
    <w:p w:rsidR="00F66E7C" w:rsidRDefault="009D37AE" w:rsidP="004644B1">
      <w:pPr>
        <w:pStyle w:val="BodyText"/>
        <w:tabs>
          <w:tab w:val="left" w:pos="720"/>
          <w:tab w:val="left" w:pos="2268"/>
          <w:tab w:val="left" w:pos="6750"/>
        </w:tabs>
        <w:spacing w:line="360" w:lineRule="auto"/>
        <w:jc w:val="both"/>
        <w:rPr>
          <w:rFonts w:ascii="Arial" w:hAnsi="Arial" w:cs="Arial"/>
        </w:rPr>
      </w:pPr>
      <w:r>
        <w:rPr>
          <w:rFonts w:ascii="Arial" w:hAnsi="Arial" w:cs="Arial"/>
        </w:rPr>
        <w:t>[1</w:t>
      </w:r>
      <w:r w:rsidR="0054491D">
        <w:rPr>
          <w:rFonts w:ascii="Arial" w:hAnsi="Arial" w:cs="Arial"/>
        </w:rPr>
        <w:t>3</w:t>
      </w:r>
      <w:r>
        <w:rPr>
          <w:rFonts w:ascii="Arial" w:hAnsi="Arial" w:cs="Arial"/>
        </w:rPr>
        <w:t>]</w:t>
      </w:r>
      <w:r>
        <w:rPr>
          <w:rFonts w:ascii="Arial" w:hAnsi="Arial" w:cs="Arial"/>
        </w:rPr>
        <w:tab/>
      </w:r>
      <w:r w:rsidR="009A1C4A">
        <w:rPr>
          <w:rFonts w:ascii="Arial" w:hAnsi="Arial" w:cs="Arial"/>
        </w:rPr>
        <w:t xml:space="preserve">It was common cause that the defendants </w:t>
      </w:r>
      <w:r w:rsidR="00780808">
        <w:rPr>
          <w:rFonts w:ascii="Arial" w:hAnsi="Arial" w:cs="Arial"/>
        </w:rPr>
        <w:t xml:space="preserve">made monthly </w:t>
      </w:r>
      <w:r w:rsidR="009A1C4A">
        <w:rPr>
          <w:rFonts w:ascii="Arial" w:hAnsi="Arial" w:cs="Arial"/>
        </w:rPr>
        <w:t xml:space="preserve">payments into the loan account of the </w:t>
      </w:r>
      <w:r>
        <w:rPr>
          <w:rFonts w:ascii="Arial" w:hAnsi="Arial" w:cs="Arial"/>
        </w:rPr>
        <w:t xml:space="preserve">plaintiffs </w:t>
      </w:r>
      <w:r w:rsidR="009A1C4A">
        <w:rPr>
          <w:rFonts w:ascii="Arial" w:hAnsi="Arial" w:cs="Arial"/>
        </w:rPr>
        <w:t xml:space="preserve">at First </w:t>
      </w:r>
      <w:r w:rsidR="00BE2074">
        <w:rPr>
          <w:rFonts w:ascii="Arial" w:hAnsi="Arial" w:cs="Arial"/>
        </w:rPr>
        <w:t>National Bank.</w:t>
      </w:r>
      <w:r w:rsidR="00780808">
        <w:rPr>
          <w:rFonts w:ascii="Arial" w:hAnsi="Arial" w:cs="Arial"/>
        </w:rPr>
        <w:t xml:space="preserve"> </w:t>
      </w:r>
      <w:r w:rsidR="00F66E7C">
        <w:rPr>
          <w:rFonts w:ascii="Arial" w:hAnsi="Arial" w:cs="Arial"/>
        </w:rPr>
        <w:t>The documents handed into evidence by the defendants disclosed that payments were made in respect of insurance premiums as from June 2014. These payments follow e-mail correspondence which appear to be between first plaintiff and the 2</w:t>
      </w:r>
      <w:r w:rsidR="00F66E7C" w:rsidRPr="00F66E7C">
        <w:rPr>
          <w:rFonts w:ascii="Arial" w:hAnsi="Arial" w:cs="Arial"/>
          <w:vertAlign w:val="superscript"/>
        </w:rPr>
        <w:t>nd</w:t>
      </w:r>
      <w:r w:rsidR="00F66E7C">
        <w:rPr>
          <w:rFonts w:ascii="Arial" w:hAnsi="Arial" w:cs="Arial"/>
        </w:rPr>
        <w:t xml:space="preserve"> defendant and her husband during October 2013. </w:t>
      </w:r>
      <w:r w:rsidR="00296A39">
        <w:rPr>
          <w:rFonts w:ascii="Arial" w:hAnsi="Arial" w:cs="Arial"/>
        </w:rPr>
        <w:t xml:space="preserve"> </w:t>
      </w:r>
    </w:p>
    <w:p w:rsidR="00F66E7C" w:rsidRDefault="00F66E7C" w:rsidP="004644B1">
      <w:pPr>
        <w:pStyle w:val="BodyText"/>
        <w:tabs>
          <w:tab w:val="left" w:pos="720"/>
          <w:tab w:val="left" w:pos="2268"/>
          <w:tab w:val="left" w:pos="6750"/>
        </w:tabs>
        <w:spacing w:line="360" w:lineRule="auto"/>
        <w:jc w:val="both"/>
        <w:rPr>
          <w:rFonts w:ascii="Arial" w:hAnsi="Arial" w:cs="Arial"/>
        </w:rPr>
      </w:pPr>
    </w:p>
    <w:p w:rsidR="00BE121E" w:rsidRDefault="00296A39" w:rsidP="004644B1">
      <w:pPr>
        <w:pStyle w:val="BodyText"/>
        <w:tabs>
          <w:tab w:val="left" w:pos="720"/>
          <w:tab w:val="left" w:pos="2268"/>
          <w:tab w:val="left" w:pos="6750"/>
        </w:tabs>
        <w:spacing w:line="360" w:lineRule="auto"/>
        <w:jc w:val="both"/>
        <w:rPr>
          <w:rFonts w:ascii="Arial" w:hAnsi="Arial" w:cs="Arial"/>
        </w:rPr>
      </w:pPr>
      <w:r>
        <w:rPr>
          <w:rFonts w:ascii="Arial" w:hAnsi="Arial" w:cs="Arial"/>
        </w:rPr>
        <w:t>[1</w:t>
      </w:r>
      <w:r w:rsidR="0054491D">
        <w:rPr>
          <w:rFonts w:ascii="Arial" w:hAnsi="Arial" w:cs="Arial"/>
        </w:rPr>
        <w:t>4</w:t>
      </w:r>
      <w:r>
        <w:rPr>
          <w:rFonts w:ascii="Arial" w:hAnsi="Arial" w:cs="Arial"/>
        </w:rPr>
        <w:t>]</w:t>
      </w:r>
      <w:r>
        <w:rPr>
          <w:rFonts w:ascii="Arial" w:hAnsi="Arial" w:cs="Arial"/>
        </w:rPr>
        <w:tab/>
      </w:r>
      <w:r w:rsidR="002227B6">
        <w:rPr>
          <w:rFonts w:ascii="Arial" w:hAnsi="Arial" w:cs="Arial"/>
        </w:rPr>
        <w:t>On 7 October 2015 the 2</w:t>
      </w:r>
      <w:r w:rsidR="002227B6" w:rsidRPr="002227B6">
        <w:rPr>
          <w:rFonts w:ascii="Arial" w:hAnsi="Arial" w:cs="Arial"/>
          <w:vertAlign w:val="superscript"/>
        </w:rPr>
        <w:t>nd</w:t>
      </w:r>
      <w:r w:rsidR="002227B6">
        <w:rPr>
          <w:rFonts w:ascii="Arial" w:hAnsi="Arial" w:cs="Arial"/>
        </w:rPr>
        <w:t xml:space="preserve"> plaintiff addressed a letter to 2</w:t>
      </w:r>
      <w:r w:rsidR="002227B6" w:rsidRPr="002227B6">
        <w:rPr>
          <w:rFonts w:ascii="Arial" w:hAnsi="Arial" w:cs="Arial"/>
          <w:vertAlign w:val="superscript"/>
        </w:rPr>
        <w:t>nd</w:t>
      </w:r>
      <w:r w:rsidR="002227B6">
        <w:rPr>
          <w:rFonts w:ascii="Arial" w:hAnsi="Arial" w:cs="Arial"/>
        </w:rPr>
        <w:t xml:space="preserve"> defendant. In this missive the first plaintiff refer to a discussion and an agreement which was entered into </w:t>
      </w:r>
      <w:r w:rsidR="00AB11FB">
        <w:rPr>
          <w:rFonts w:ascii="Arial" w:hAnsi="Arial" w:cs="Arial"/>
        </w:rPr>
        <w:t xml:space="preserve">by </w:t>
      </w:r>
      <w:r w:rsidR="002227B6">
        <w:rPr>
          <w:rFonts w:ascii="Arial" w:hAnsi="Arial" w:cs="Arial"/>
        </w:rPr>
        <w:t>herself and the 2</w:t>
      </w:r>
      <w:r w:rsidR="002227B6" w:rsidRPr="002227B6">
        <w:rPr>
          <w:rFonts w:ascii="Arial" w:hAnsi="Arial" w:cs="Arial"/>
          <w:vertAlign w:val="superscript"/>
        </w:rPr>
        <w:t>nd</w:t>
      </w:r>
      <w:r w:rsidR="002227B6">
        <w:rPr>
          <w:rFonts w:ascii="Arial" w:hAnsi="Arial" w:cs="Arial"/>
        </w:rPr>
        <w:t xml:space="preserve"> defendant during August 2010. Second Plaintiff admitted being the author of this letter and 2</w:t>
      </w:r>
      <w:r w:rsidR="002227B6" w:rsidRPr="002227B6">
        <w:rPr>
          <w:rFonts w:ascii="Arial" w:hAnsi="Arial" w:cs="Arial"/>
          <w:vertAlign w:val="superscript"/>
        </w:rPr>
        <w:t>nd</w:t>
      </w:r>
      <w:r w:rsidR="002227B6">
        <w:rPr>
          <w:rFonts w:ascii="Arial" w:hAnsi="Arial" w:cs="Arial"/>
        </w:rPr>
        <w:t xml:space="preserve"> defendant admitted receiving this letter. The wording suggest that it was an oral agreement. Second plaintiff averred that the 2</w:t>
      </w:r>
      <w:r w:rsidR="002227B6" w:rsidRPr="002227B6">
        <w:rPr>
          <w:rFonts w:ascii="Arial" w:hAnsi="Arial" w:cs="Arial"/>
          <w:vertAlign w:val="superscript"/>
        </w:rPr>
        <w:t>nd</w:t>
      </w:r>
      <w:r w:rsidR="002227B6">
        <w:rPr>
          <w:rFonts w:ascii="Arial" w:hAnsi="Arial" w:cs="Arial"/>
        </w:rPr>
        <w:t xml:space="preserve"> defendant wanted the concerned property but did not have the amount of N$1 570 000 or the deposit and neither did she qualify for a bank loan. 2</w:t>
      </w:r>
      <w:r w:rsidR="002227B6" w:rsidRPr="002227B6">
        <w:rPr>
          <w:rFonts w:ascii="Arial" w:hAnsi="Arial" w:cs="Arial"/>
          <w:vertAlign w:val="superscript"/>
        </w:rPr>
        <w:t>nd</w:t>
      </w:r>
      <w:r w:rsidR="002227B6">
        <w:rPr>
          <w:rFonts w:ascii="Arial" w:hAnsi="Arial" w:cs="Arial"/>
        </w:rPr>
        <w:t xml:space="preserve"> defendant undertook to pay the full debt off within 3 years. She noted that the 3 year period has now lapsed and they waited patiently for another two years. She stated the following:</w:t>
      </w:r>
    </w:p>
    <w:p w:rsidR="001622FF" w:rsidRDefault="001622FF" w:rsidP="004644B1">
      <w:pPr>
        <w:pStyle w:val="BodyText"/>
        <w:tabs>
          <w:tab w:val="left" w:pos="720"/>
          <w:tab w:val="left" w:pos="2268"/>
          <w:tab w:val="left" w:pos="6750"/>
        </w:tabs>
        <w:spacing w:line="360" w:lineRule="auto"/>
        <w:jc w:val="both"/>
        <w:rPr>
          <w:rFonts w:ascii="Arial" w:hAnsi="Arial" w:cs="Arial"/>
        </w:rPr>
      </w:pPr>
    </w:p>
    <w:p w:rsidR="00BE121E" w:rsidRPr="009D1CCE" w:rsidRDefault="002227B6" w:rsidP="00B715CD">
      <w:pPr>
        <w:pStyle w:val="BodyText"/>
        <w:tabs>
          <w:tab w:val="left" w:pos="2268"/>
          <w:tab w:val="left" w:pos="6750"/>
        </w:tabs>
        <w:spacing w:line="360" w:lineRule="auto"/>
        <w:ind w:firstLine="720"/>
        <w:jc w:val="both"/>
        <w:rPr>
          <w:rFonts w:ascii="Arial" w:hAnsi="Arial" w:cs="Arial"/>
          <w:sz w:val="22"/>
          <w:szCs w:val="22"/>
        </w:rPr>
      </w:pPr>
      <w:r w:rsidRPr="009D1CCE">
        <w:rPr>
          <w:rFonts w:ascii="Arial" w:hAnsi="Arial" w:cs="Arial"/>
          <w:sz w:val="22"/>
          <w:szCs w:val="22"/>
        </w:rPr>
        <w:t xml:space="preserve">‘We never had </w:t>
      </w:r>
      <w:r w:rsidRPr="009D1CCE">
        <w:rPr>
          <w:rFonts w:ascii="Arial" w:hAnsi="Arial" w:cs="Arial"/>
          <w:sz w:val="22"/>
          <w:szCs w:val="22"/>
          <w:u w:val="single"/>
        </w:rPr>
        <w:t>debts of this magnitude</w:t>
      </w:r>
      <w:r w:rsidRPr="009D1CCE">
        <w:rPr>
          <w:rFonts w:ascii="Arial" w:hAnsi="Arial" w:cs="Arial"/>
          <w:sz w:val="22"/>
          <w:szCs w:val="22"/>
        </w:rPr>
        <w:t xml:space="preserve"> before and wish to clear our name. At the rate that you are </w:t>
      </w:r>
      <w:r w:rsidRPr="009D1CCE">
        <w:rPr>
          <w:rFonts w:ascii="Arial" w:hAnsi="Arial" w:cs="Arial"/>
          <w:sz w:val="22"/>
          <w:szCs w:val="22"/>
          <w:u w:val="single"/>
        </w:rPr>
        <w:t>paying this debt</w:t>
      </w:r>
      <w:r w:rsidRPr="009D1CCE">
        <w:rPr>
          <w:rFonts w:ascii="Arial" w:hAnsi="Arial" w:cs="Arial"/>
          <w:sz w:val="22"/>
          <w:szCs w:val="22"/>
        </w:rPr>
        <w:t xml:space="preserve"> off, it will take additional (sic) 20 more years to settle, which to us is totally unconditional and unacceptable</w:t>
      </w:r>
      <w:r w:rsidR="006E5FC7" w:rsidRPr="009D1CCE">
        <w:rPr>
          <w:rFonts w:ascii="Arial" w:hAnsi="Arial" w:cs="Arial"/>
          <w:sz w:val="22"/>
          <w:szCs w:val="22"/>
        </w:rPr>
        <w:t xml:space="preserve">…. I was only being kind to you, so called clergy, </w:t>
      </w:r>
      <w:r w:rsidR="006E5FC7" w:rsidRPr="009D1CCE">
        <w:rPr>
          <w:rFonts w:ascii="Arial" w:hAnsi="Arial" w:cs="Arial"/>
          <w:sz w:val="22"/>
          <w:szCs w:val="22"/>
          <w:u w:val="single"/>
        </w:rPr>
        <w:t>by agreeing into this whole debt</w:t>
      </w:r>
      <w:r w:rsidR="006E5FC7" w:rsidRPr="009D1CCE">
        <w:rPr>
          <w:rFonts w:ascii="Arial" w:hAnsi="Arial" w:cs="Arial"/>
          <w:sz w:val="22"/>
          <w:szCs w:val="22"/>
        </w:rPr>
        <w:t xml:space="preserve">.’ </w:t>
      </w:r>
      <w:r w:rsidR="00BE121E" w:rsidRPr="009D1CCE">
        <w:rPr>
          <w:rFonts w:ascii="Arial" w:hAnsi="Arial" w:cs="Arial"/>
          <w:sz w:val="22"/>
          <w:szCs w:val="22"/>
        </w:rPr>
        <w:t>[</w:t>
      </w:r>
      <w:proofErr w:type="gramStart"/>
      <w:r w:rsidR="00BE121E" w:rsidRPr="009D1CCE">
        <w:rPr>
          <w:rFonts w:ascii="Arial" w:hAnsi="Arial" w:cs="Arial"/>
          <w:sz w:val="22"/>
          <w:szCs w:val="22"/>
        </w:rPr>
        <w:t>my</w:t>
      </w:r>
      <w:proofErr w:type="gramEnd"/>
      <w:r w:rsidR="00BE121E" w:rsidRPr="009D1CCE">
        <w:rPr>
          <w:rFonts w:ascii="Arial" w:hAnsi="Arial" w:cs="Arial"/>
          <w:sz w:val="22"/>
          <w:szCs w:val="22"/>
        </w:rPr>
        <w:t xml:space="preserve"> emphasis]</w:t>
      </w:r>
    </w:p>
    <w:p w:rsidR="00296A39" w:rsidRPr="009D1CCE" w:rsidRDefault="006E5FC7" w:rsidP="00B715CD">
      <w:pPr>
        <w:pStyle w:val="BodyText"/>
        <w:tabs>
          <w:tab w:val="left" w:pos="2268"/>
          <w:tab w:val="left" w:pos="6750"/>
        </w:tabs>
        <w:spacing w:line="360" w:lineRule="auto"/>
        <w:jc w:val="both"/>
        <w:rPr>
          <w:rFonts w:ascii="Arial" w:hAnsi="Arial" w:cs="Arial"/>
          <w:sz w:val="22"/>
          <w:szCs w:val="22"/>
        </w:rPr>
      </w:pPr>
      <w:r w:rsidRPr="009D1CCE">
        <w:rPr>
          <w:rFonts w:ascii="Arial" w:hAnsi="Arial" w:cs="Arial"/>
          <w:sz w:val="22"/>
          <w:szCs w:val="22"/>
        </w:rPr>
        <w:t>There was no response to this letter by the 2</w:t>
      </w:r>
      <w:r w:rsidRPr="009D1CCE">
        <w:rPr>
          <w:rFonts w:ascii="Arial" w:hAnsi="Arial" w:cs="Arial"/>
          <w:sz w:val="22"/>
          <w:szCs w:val="22"/>
          <w:vertAlign w:val="superscript"/>
        </w:rPr>
        <w:t>nd</w:t>
      </w:r>
      <w:r w:rsidRPr="009D1CCE">
        <w:rPr>
          <w:rFonts w:ascii="Arial" w:hAnsi="Arial" w:cs="Arial"/>
          <w:sz w:val="22"/>
          <w:szCs w:val="22"/>
        </w:rPr>
        <w:t xml:space="preserve"> defendant.</w:t>
      </w:r>
    </w:p>
    <w:p w:rsidR="008B31D3" w:rsidRDefault="008B31D3" w:rsidP="004644B1">
      <w:pPr>
        <w:pStyle w:val="BodyText"/>
        <w:tabs>
          <w:tab w:val="left" w:pos="720"/>
          <w:tab w:val="left" w:pos="2268"/>
          <w:tab w:val="left" w:pos="6750"/>
        </w:tabs>
        <w:spacing w:line="360" w:lineRule="auto"/>
        <w:jc w:val="both"/>
        <w:rPr>
          <w:rFonts w:ascii="Arial" w:hAnsi="Arial" w:cs="Arial"/>
          <w:u w:val="single"/>
        </w:rPr>
      </w:pPr>
    </w:p>
    <w:p w:rsidR="00F17BA8" w:rsidRDefault="0054491D" w:rsidP="00131626">
      <w:pPr>
        <w:pStyle w:val="BodyText"/>
        <w:tabs>
          <w:tab w:val="left" w:pos="720"/>
          <w:tab w:val="left" w:pos="2268"/>
        </w:tabs>
        <w:spacing w:line="360" w:lineRule="auto"/>
        <w:jc w:val="both"/>
        <w:rPr>
          <w:rFonts w:ascii="Arial" w:hAnsi="Arial" w:cs="Arial"/>
        </w:rPr>
      </w:pPr>
      <w:r>
        <w:rPr>
          <w:rFonts w:ascii="Arial" w:hAnsi="Arial" w:cs="Arial"/>
        </w:rPr>
        <w:t>[15]</w:t>
      </w:r>
      <w:r w:rsidR="005947C0">
        <w:rPr>
          <w:rFonts w:ascii="Arial" w:hAnsi="Arial" w:cs="Arial"/>
        </w:rPr>
        <w:tab/>
      </w:r>
      <w:r w:rsidR="00BE2074">
        <w:rPr>
          <w:rFonts w:ascii="Arial" w:hAnsi="Arial" w:cs="Arial"/>
        </w:rPr>
        <w:t xml:space="preserve">Mr </w:t>
      </w:r>
      <w:proofErr w:type="spellStart"/>
      <w:r w:rsidR="00BE2074">
        <w:rPr>
          <w:rFonts w:ascii="Arial" w:hAnsi="Arial" w:cs="Arial"/>
        </w:rPr>
        <w:t>Narib</w:t>
      </w:r>
      <w:proofErr w:type="spellEnd"/>
      <w:r w:rsidR="005947C0">
        <w:rPr>
          <w:rFonts w:ascii="Arial" w:hAnsi="Arial" w:cs="Arial"/>
        </w:rPr>
        <w:t xml:space="preserve"> conceded that the evidence does not support a finding that the defe</w:t>
      </w:r>
      <w:r w:rsidR="009D37AE">
        <w:rPr>
          <w:rFonts w:ascii="Arial" w:hAnsi="Arial" w:cs="Arial"/>
        </w:rPr>
        <w:t>n</w:t>
      </w:r>
      <w:r w:rsidR="005947C0">
        <w:rPr>
          <w:rFonts w:ascii="Arial" w:hAnsi="Arial" w:cs="Arial"/>
        </w:rPr>
        <w:t>dants are the owners of the property</w:t>
      </w:r>
      <w:r w:rsidR="009D37AE">
        <w:rPr>
          <w:rFonts w:ascii="Arial" w:hAnsi="Arial" w:cs="Arial"/>
        </w:rPr>
        <w:t xml:space="preserve"> by virtue of the MOU.</w:t>
      </w:r>
      <w:r w:rsidR="006E5FC7">
        <w:rPr>
          <w:rFonts w:ascii="Arial" w:hAnsi="Arial" w:cs="Arial"/>
        </w:rPr>
        <w:t xml:space="preserve"> He furthermore conceded that the MOU is not original cause of action as pleaded but the prior agreement referred to by 2</w:t>
      </w:r>
      <w:r w:rsidR="006E5FC7" w:rsidRPr="006E5FC7">
        <w:rPr>
          <w:rFonts w:ascii="Arial" w:hAnsi="Arial" w:cs="Arial"/>
          <w:vertAlign w:val="superscript"/>
        </w:rPr>
        <w:t>nd</w:t>
      </w:r>
      <w:r w:rsidR="006E5FC7">
        <w:rPr>
          <w:rFonts w:ascii="Arial" w:hAnsi="Arial" w:cs="Arial"/>
        </w:rPr>
        <w:t xml:space="preserve"> plaintiff in her missive to 2</w:t>
      </w:r>
      <w:r w:rsidR="006E5FC7" w:rsidRPr="006E5FC7">
        <w:rPr>
          <w:rFonts w:ascii="Arial" w:hAnsi="Arial" w:cs="Arial"/>
          <w:vertAlign w:val="superscript"/>
        </w:rPr>
        <w:t>nd</w:t>
      </w:r>
      <w:r w:rsidR="006E5FC7">
        <w:rPr>
          <w:rFonts w:ascii="Arial" w:hAnsi="Arial" w:cs="Arial"/>
        </w:rPr>
        <w:t xml:space="preserve"> defendant dated 7 October 2015. </w:t>
      </w:r>
      <w:r w:rsidR="00F17BA8">
        <w:rPr>
          <w:rFonts w:ascii="Arial" w:hAnsi="Arial" w:cs="Arial"/>
        </w:rPr>
        <w:t>He however invited this court to nevertheless determine that the real agreement was an oral agreement before the loan agreement was applied for and granted in terms of which the defendants were vested with nominal ownership. He submitted that the correspondence, the subsequent recording of the agreement in the form of the MOU and the conduct of the parties all point in this direction. He agreed that the relief prayed for would not be valid since the evidence which was adduce clearly show that a mortgage bond has be</w:t>
      </w:r>
      <w:r w:rsidR="00AB11FB">
        <w:rPr>
          <w:rFonts w:ascii="Arial" w:hAnsi="Arial" w:cs="Arial"/>
        </w:rPr>
        <w:t>en</w:t>
      </w:r>
      <w:r w:rsidR="00F17BA8">
        <w:rPr>
          <w:rFonts w:ascii="Arial" w:hAnsi="Arial" w:cs="Arial"/>
        </w:rPr>
        <w:t xml:space="preserve"> secured over the property in favour of First National Bank who is not a party to the proceedings. He suggested</w:t>
      </w:r>
      <w:r w:rsidR="00093FC2">
        <w:rPr>
          <w:rFonts w:ascii="Arial" w:hAnsi="Arial" w:cs="Arial"/>
        </w:rPr>
        <w:t>, in short,</w:t>
      </w:r>
      <w:r w:rsidR="00F17BA8">
        <w:rPr>
          <w:rFonts w:ascii="Arial" w:hAnsi="Arial" w:cs="Arial"/>
        </w:rPr>
        <w:t xml:space="preserve"> that the court should give a declaratory order that the first defendant is the nominal owner of the</w:t>
      </w:r>
      <w:r w:rsidR="00093FC2">
        <w:rPr>
          <w:rFonts w:ascii="Arial" w:hAnsi="Arial" w:cs="Arial"/>
        </w:rPr>
        <w:t xml:space="preserve"> property, and that the plaintiffs, after full payment of the mortgage bond, when called upon, should sign the papers necessary to ensure registration. In answer to questions posed by the court he suggested that the court should order that the period for repayment of the mortgage bond should be accelerated. </w:t>
      </w:r>
      <w:r w:rsidR="00F17BA8">
        <w:rPr>
          <w:rFonts w:ascii="Arial" w:hAnsi="Arial" w:cs="Arial"/>
        </w:rPr>
        <w:t xml:space="preserve"> </w:t>
      </w:r>
    </w:p>
    <w:p w:rsidR="00093FC2" w:rsidRDefault="00093FC2" w:rsidP="00131626">
      <w:pPr>
        <w:pStyle w:val="BodyText"/>
        <w:tabs>
          <w:tab w:val="left" w:pos="720"/>
          <w:tab w:val="left" w:pos="2268"/>
        </w:tabs>
        <w:spacing w:line="360" w:lineRule="auto"/>
        <w:jc w:val="both"/>
        <w:rPr>
          <w:rFonts w:ascii="Arial" w:hAnsi="Arial" w:cs="Arial"/>
        </w:rPr>
      </w:pPr>
    </w:p>
    <w:p w:rsidR="002E1EA2" w:rsidRDefault="00093FC2" w:rsidP="00AB11FB">
      <w:pPr>
        <w:pStyle w:val="BodyText"/>
        <w:tabs>
          <w:tab w:val="left" w:pos="720"/>
          <w:tab w:val="left" w:pos="2268"/>
        </w:tabs>
        <w:spacing w:line="360" w:lineRule="auto"/>
        <w:jc w:val="both"/>
        <w:rPr>
          <w:rFonts w:ascii="Arial" w:hAnsi="Arial" w:cs="Arial"/>
        </w:rPr>
      </w:pPr>
      <w:r>
        <w:rPr>
          <w:rFonts w:ascii="Arial" w:hAnsi="Arial" w:cs="Arial"/>
        </w:rPr>
        <w:t>[1</w:t>
      </w:r>
      <w:r w:rsidR="0054491D">
        <w:rPr>
          <w:rFonts w:ascii="Arial" w:hAnsi="Arial" w:cs="Arial"/>
        </w:rPr>
        <w:t>6</w:t>
      </w:r>
      <w:r>
        <w:rPr>
          <w:rFonts w:ascii="Arial" w:hAnsi="Arial" w:cs="Arial"/>
        </w:rPr>
        <w:t>]</w:t>
      </w:r>
      <w:r>
        <w:rPr>
          <w:rFonts w:ascii="Arial" w:hAnsi="Arial" w:cs="Arial"/>
        </w:rPr>
        <w:tab/>
        <w:t xml:space="preserve">Mr </w:t>
      </w:r>
      <w:proofErr w:type="spellStart"/>
      <w:r>
        <w:rPr>
          <w:rFonts w:ascii="Arial" w:hAnsi="Arial" w:cs="Arial"/>
        </w:rPr>
        <w:t>Narib</w:t>
      </w:r>
      <w:proofErr w:type="spellEnd"/>
      <w:r>
        <w:rPr>
          <w:rFonts w:ascii="Arial" w:hAnsi="Arial" w:cs="Arial"/>
        </w:rPr>
        <w:t xml:space="preserve"> r</w:t>
      </w:r>
      <w:r w:rsidR="006E5FC7">
        <w:rPr>
          <w:rFonts w:ascii="Arial" w:hAnsi="Arial" w:cs="Arial"/>
        </w:rPr>
        <w:t xml:space="preserve">eferred this court to </w:t>
      </w:r>
      <w:r w:rsidR="006E5FC7" w:rsidRPr="006E5FC7">
        <w:rPr>
          <w:rFonts w:ascii="Arial" w:hAnsi="Arial" w:cs="Arial"/>
          <w:i/>
        </w:rPr>
        <w:t xml:space="preserve">Collen v </w:t>
      </w:r>
      <w:proofErr w:type="spellStart"/>
      <w:r w:rsidR="006E5FC7" w:rsidRPr="006E5FC7">
        <w:rPr>
          <w:rFonts w:ascii="Arial" w:hAnsi="Arial" w:cs="Arial"/>
          <w:i/>
        </w:rPr>
        <w:t>Rietfontein</w:t>
      </w:r>
      <w:proofErr w:type="spellEnd"/>
      <w:r w:rsidR="006E5FC7" w:rsidRPr="006E5FC7">
        <w:rPr>
          <w:rFonts w:ascii="Arial" w:hAnsi="Arial" w:cs="Arial"/>
          <w:i/>
        </w:rPr>
        <w:t xml:space="preserve"> Engineering Works 1948 (1) SA 413</w:t>
      </w:r>
      <w:r w:rsidR="006E5FC7">
        <w:rPr>
          <w:rFonts w:ascii="Arial" w:hAnsi="Arial" w:cs="Arial"/>
          <w:i/>
        </w:rPr>
        <w:t>,</w:t>
      </w:r>
      <w:r w:rsidR="006E5FC7" w:rsidRPr="006E5FC7">
        <w:rPr>
          <w:rFonts w:ascii="Arial" w:hAnsi="Arial" w:cs="Arial"/>
        </w:rPr>
        <w:t xml:space="preserve"> </w:t>
      </w:r>
      <w:r w:rsidR="006E5FC7" w:rsidRPr="006E5FC7">
        <w:rPr>
          <w:rFonts w:ascii="Arial" w:hAnsi="Arial" w:cs="Arial"/>
          <w:i/>
        </w:rPr>
        <w:t>(A)</w:t>
      </w:r>
      <w:r w:rsidR="006E5FC7">
        <w:rPr>
          <w:rFonts w:ascii="Arial" w:hAnsi="Arial" w:cs="Arial"/>
        </w:rPr>
        <w:t xml:space="preserve"> at page 433 where the </w:t>
      </w:r>
      <w:proofErr w:type="spellStart"/>
      <w:r w:rsidR="006E5FC7">
        <w:rPr>
          <w:rFonts w:ascii="Arial" w:hAnsi="Arial" w:cs="Arial"/>
        </w:rPr>
        <w:t>Centlivres</w:t>
      </w:r>
      <w:proofErr w:type="spellEnd"/>
      <w:r w:rsidR="006E5FC7">
        <w:rPr>
          <w:rFonts w:ascii="Arial" w:hAnsi="Arial" w:cs="Arial"/>
        </w:rPr>
        <w:t xml:space="preserve"> J. A stated as follow:</w:t>
      </w:r>
      <w:r w:rsidR="00AB11FB">
        <w:rPr>
          <w:rFonts w:ascii="Arial" w:hAnsi="Arial" w:cs="Arial"/>
        </w:rPr>
        <w:t xml:space="preserve"> </w:t>
      </w:r>
    </w:p>
    <w:p w:rsidR="001622FF" w:rsidRDefault="001622FF" w:rsidP="00AB11FB">
      <w:pPr>
        <w:pStyle w:val="BodyText"/>
        <w:tabs>
          <w:tab w:val="left" w:pos="720"/>
          <w:tab w:val="left" w:pos="2268"/>
        </w:tabs>
        <w:spacing w:line="360" w:lineRule="auto"/>
        <w:jc w:val="both"/>
        <w:rPr>
          <w:rFonts w:ascii="Arial" w:hAnsi="Arial" w:cs="Arial"/>
        </w:rPr>
      </w:pPr>
    </w:p>
    <w:p w:rsidR="008B31D3" w:rsidRPr="002E1EA2" w:rsidRDefault="001622FF" w:rsidP="00AB11FB">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sidR="00B715CD">
        <w:rPr>
          <w:rFonts w:ascii="Arial" w:hAnsi="Arial" w:cs="Arial"/>
          <w:sz w:val="22"/>
          <w:szCs w:val="22"/>
        </w:rPr>
        <w:t>‘</w:t>
      </w:r>
      <w:r w:rsidR="006E5FC7" w:rsidRPr="002E1EA2">
        <w:rPr>
          <w:rFonts w:ascii="Arial" w:hAnsi="Arial" w:cs="Arial"/>
          <w:sz w:val="22"/>
          <w:szCs w:val="22"/>
        </w:rPr>
        <w:t>I have already stated that in my view the ultimate contract between the parties was for the supply of a pump and a suitable engine. This was not the contract relied on by the defendant in his pleadings, and the position should have been regularised by an appropriate amendment. But in this case, where the contractual relationship between the parties arose partly through the interchange of letters and partly through their conduct, all the material letters (excepting one in respect of which secondary evidence, which was rightly accepted by the magistrate was led) were produced in evidence and the conduct of the parties was examined in viva voice evidence.</w:t>
      </w:r>
      <w:r w:rsidR="008B31D3" w:rsidRPr="002E1EA2">
        <w:rPr>
          <w:rFonts w:ascii="Arial" w:hAnsi="Arial" w:cs="Arial"/>
          <w:sz w:val="22"/>
          <w:szCs w:val="22"/>
        </w:rPr>
        <w:t>’</w:t>
      </w:r>
      <w:r w:rsidR="006E5FC7" w:rsidRPr="002E1EA2">
        <w:rPr>
          <w:rFonts w:ascii="Arial" w:hAnsi="Arial" w:cs="Arial"/>
          <w:sz w:val="22"/>
          <w:szCs w:val="22"/>
        </w:rPr>
        <w:t xml:space="preserve">  </w:t>
      </w:r>
      <w:r w:rsidR="009D37AE" w:rsidRPr="002E1EA2">
        <w:rPr>
          <w:rFonts w:ascii="Arial" w:hAnsi="Arial" w:cs="Arial"/>
          <w:sz w:val="22"/>
          <w:szCs w:val="22"/>
        </w:rPr>
        <w:t xml:space="preserve"> </w:t>
      </w:r>
    </w:p>
    <w:p w:rsidR="008B31D3" w:rsidRDefault="008B31D3" w:rsidP="00131626">
      <w:pPr>
        <w:pStyle w:val="BodyText"/>
        <w:tabs>
          <w:tab w:val="left" w:pos="720"/>
          <w:tab w:val="left" w:pos="2268"/>
        </w:tabs>
        <w:spacing w:line="360" w:lineRule="auto"/>
        <w:jc w:val="both"/>
        <w:rPr>
          <w:rFonts w:ascii="Arial" w:hAnsi="Arial" w:cs="Arial"/>
        </w:rPr>
      </w:pPr>
    </w:p>
    <w:p w:rsidR="008B31D3" w:rsidRDefault="00093FC2" w:rsidP="008B31D3">
      <w:pPr>
        <w:pStyle w:val="NoSpacing"/>
        <w:spacing w:line="360" w:lineRule="auto"/>
        <w:jc w:val="both"/>
        <w:rPr>
          <w:rFonts w:ascii="Arial" w:hAnsi="Arial" w:cs="Arial"/>
          <w:sz w:val="24"/>
          <w:szCs w:val="24"/>
          <w:lang w:val="en-US" w:eastAsia="en-ZA"/>
        </w:rPr>
      </w:pPr>
      <w:r>
        <w:rPr>
          <w:rFonts w:ascii="Arial" w:hAnsi="Arial" w:cs="Arial"/>
          <w:sz w:val="24"/>
          <w:szCs w:val="24"/>
        </w:rPr>
        <w:t>[1</w:t>
      </w:r>
      <w:r w:rsidR="0054491D">
        <w:rPr>
          <w:rFonts w:ascii="Arial" w:hAnsi="Arial" w:cs="Arial"/>
          <w:sz w:val="24"/>
          <w:szCs w:val="24"/>
        </w:rPr>
        <w:t>7</w:t>
      </w:r>
      <w:r>
        <w:rPr>
          <w:rFonts w:ascii="Arial" w:hAnsi="Arial" w:cs="Arial"/>
          <w:sz w:val="24"/>
          <w:szCs w:val="24"/>
        </w:rPr>
        <w:t>]</w:t>
      </w:r>
      <w:r>
        <w:rPr>
          <w:rFonts w:ascii="Arial" w:hAnsi="Arial" w:cs="Arial"/>
          <w:sz w:val="24"/>
          <w:szCs w:val="24"/>
        </w:rPr>
        <w:tab/>
      </w:r>
      <w:r w:rsidR="008B31D3" w:rsidRPr="008B31D3">
        <w:rPr>
          <w:rFonts w:ascii="Arial" w:hAnsi="Arial" w:cs="Arial"/>
          <w:sz w:val="24"/>
          <w:szCs w:val="24"/>
        </w:rPr>
        <w:t>He referred this court further to</w:t>
      </w:r>
      <w:r w:rsidR="008B31D3" w:rsidRPr="008B31D3">
        <w:rPr>
          <w:rFonts w:ascii="Arial" w:hAnsi="Arial" w:cs="Arial"/>
          <w:i/>
          <w:sz w:val="24"/>
          <w:szCs w:val="24"/>
        </w:rPr>
        <w:t xml:space="preserve"> </w:t>
      </w:r>
      <w:proofErr w:type="spellStart"/>
      <w:r w:rsidR="008B31D3" w:rsidRPr="008B31D3">
        <w:rPr>
          <w:rFonts w:ascii="Arial" w:hAnsi="Arial" w:cs="Arial"/>
          <w:i/>
          <w:sz w:val="24"/>
          <w:szCs w:val="24"/>
        </w:rPr>
        <w:t>Tjihero</w:t>
      </w:r>
      <w:proofErr w:type="spellEnd"/>
      <w:r w:rsidR="008B31D3" w:rsidRPr="008B31D3">
        <w:rPr>
          <w:rFonts w:ascii="Arial" w:hAnsi="Arial" w:cs="Arial"/>
          <w:i/>
          <w:sz w:val="24"/>
          <w:szCs w:val="24"/>
        </w:rPr>
        <w:t xml:space="preserve"> v </w:t>
      </w:r>
      <w:proofErr w:type="spellStart"/>
      <w:r w:rsidR="008B31D3" w:rsidRPr="008B31D3">
        <w:rPr>
          <w:rFonts w:ascii="Arial" w:hAnsi="Arial" w:cs="Arial"/>
          <w:i/>
          <w:sz w:val="24"/>
          <w:szCs w:val="24"/>
        </w:rPr>
        <w:t>Kauari</w:t>
      </w:r>
      <w:proofErr w:type="spellEnd"/>
      <w:r w:rsidR="008B31D3" w:rsidRPr="008B31D3">
        <w:rPr>
          <w:rFonts w:ascii="Arial" w:hAnsi="Arial" w:cs="Arial"/>
          <w:i/>
          <w:sz w:val="24"/>
          <w:szCs w:val="24"/>
        </w:rPr>
        <w:t xml:space="preserve"> (SA 59-2017) [2019] NASC (25 June 2019)</w:t>
      </w:r>
      <w:r w:rsidR="00357A66">
        <w:rPr>
          <w:rFonts w:ascii="Arial" w:hAnsi="Arial" w:cs="Arial"/>
          <w:i/>
          <w:sz w:val="24"/>
          <w:szCs w:val="24"/>
        </w:rPr>
        <w:t>.</w:t>
      </w:r>
      <w:r w:rsidR="008B31D3" w:rsidRPr="008B31D3">
        <w:rPr>
          <w:rFonts w:ascii="Arial" w:hAnsi="Arial" w:cs="Arial"/>
          <w:i/>
          <w:sz w:val="24"/>
          <w:szCs w:val="24"/>
        </w:rPr>
        <w:t xml:space="preserve"> </w:t>
      </w:r>
      <w:r w:rsidR="008B31D3" w:rsidRPr="008B31D3">
        <w:rPr>
          <w:rFonts w:ascii="Arial" w:hAnsi="Arial" w:cs="Arial"/>
          <w:sz w:val="24"/>
          <w:szCs w:val="24"/>
        </w:rPr>
        <w:t>It was held in this case that</w:t>
      </w:r>
      <w:r w:rsidR="008B31D3" w:rsidRPr="008B31D3">
        <w:rPr>
          <w:rFonts w:ascii="Arial" w:hAnsi="Arial" w:cs="Arial"/>
          <w:i/>
          <w:iCs/>
          <w:sz w:val="24"/>
          <w:szCs w:val="24"/>
          <w:lang w:val="en-US" w:eastAsia="en-ZA"/>
        </w:rPr>
        <w:t xml:space="preserve">, </w:t>
      </w:r>
      <w:r w:rsidR="008B31D3" w:rsidRPr="008B31D3">
        <w:rPr>
          <w:rFonts w:ascii="Arial" w:hAnsi="Arial" w:cs="Arial"/>
          <w:sz w:val="24"/>
          <w:szCs w:val="24"/>
          <w:lang w:val="en-US" w:eastAsia="en-ZA"/>
        </w:rPr>
        <w:t xml:space="preserve">the court is entitled to deal with issues arising at a trial even if not pleaded, although this is an exception rather than the rule, it is preferred </w:t>
      </w:r>
      <w:r w:rsidR="008B31D3" w:rsidRPr="008B31D3">
        <w:rPr>
          <w:rFonts w:ascii="Arial" w:hAnsi="Arial" w:cs="Arial"/>
          <w:sz w:val="24"/>
          <w:szCs w:val="24"/>
          <w:lang w:val="en-US" w:eastAsia="en-ZA"/>
        </w:rPr>
        <w:lastRenderedPageBreak/>
        <w:t>that an application to amend should be sought in this regard.</w:t>
      </w:r>
      <w:r w:rsidR="008B31D3">
        <w:rPr>
          <w:rFonts w:ascii="Arial" w:hAnsi="Arial" w:cs="Arial"/>
          <w:sz w:val="24"/>
          <w:szCs w:val="24"/>
          <w:lang w:val="en-US" w:eastAsia="en-ZA"/>
        </w:rPr>
        <w:t xml:space="preserve"> </w:t>
      </w:r>
      <w:r w:rsidR="008B31D3" w:rsidRPr="008B31D3">
        <w:rPr>
          <w:rFonts w:ascii="Arial" w:hAnsi="Arial" w:cs="Arial"/>
          <w:iCs/>
          <w:sz w:val="24"/>
          <w:szCs w:val="24"/>
          <w:lang w:val="en-US" w:eastAsia="en-ZA"/>
        </w:rPr>
        <w:t xml:space="preserve">It </w:t>
      </w:r>
      <w:r w:rsidR="008B31D3">
        <w:rPr>
          <w:rFonts w:ascii="Arial" w:hAnsi="Arial" w:cs="Arial"/>
          <w:iCs/>
          <w:sz w:val="24"/>
          <w:szCs w:val="24"/>
          <w:lang w:val="en-US" w:eastAsia="en-ZA"/>
        </w:rPr>
        <w:t>was f</w:t>
      </w:r>
      <w:r w:rsidR="008B31D3" w:rsidRPr="008B31D3">
        <w:rPr>
          <w:rFonts w:ascii="Arial" w:hAnsi="Arial" w:cs="Arial"/>
          <w:iCs/>
          <w:sz w:val="24"/>
          <w:szCs w:val="24"/>
          <w:lang w:val="en-US" w:eastAsia="en-ZA"/>
        </w:rPr>
        <w:t>urther held that</w:t>
      </w:r>
      <w:r w:rsidR="008B31D3" w:rsidRPr="008B31D3">
        <w:rPr>
          <w:rFonts w:ascii="Arial" w:hAnsi="Arial" w:cs="Arial"/>
          <w:i/>
          <w:iCs/>
          <w:sz w:val="24"/>
          <w:szCs w:val="24"/>
          <w:lang w:val="en-US" w:eastAsia="en-ZA"/>
        </w:rPr>
        <w:t xml:space="preserve">, </w:t>
      </w:r>
      <w:r w:rsidR="008B31D3" w:rsidRPr="008B31D3">
        <w:rPr>
          <w:rFonts w:ascii="Arial" w:hAnsi="Arial" w:cs="Arial"/>
          <w:sz w:val="24"/>
          <w:szCs w:val="24"/>
          <w:lang w:val="en-US" w:eastAsia="en-ZA"/>
        </w:rPr>
        <w:t>a court should only exercise its discretion to go outside the pleading where it is clear there has been a full investigation of the matter and there is no reasonable ground for thinking any further examination of the facts might lead to a different conclusion. It is stating the obvious to mention that the resolution of the real issue must lead to a legally valid conclusion as the court cannot sanction conduct that would otherwise not be legally valid.</w:t>
      </w:r>
    </w:p>
    <w:p w:rsidR="00093FC2" w:rsidRPr="008B31D3" w:rsidRDefault="00093FC2" w:rsidP="008B31D3">
      <w:pPr>
        <w:pStyle w:val="NoSpacing"/>
        <w:spacing w:line="360" w:lineRule="auto"/>
        <w:jc w:val="both"/>
        <w:rPr>
          <w:rFonts w:ascii="Arial" w:hAnsi="Arial" w:cs="Arial"/>
          <w:sz w:val="24"/>
          <w:szCs w:val="24"/>
          <w:lang w:val="en-US" w:eastAsia="en-ZA"/>
        </w:rPr>
      </w:pPr>
    </w:p>
    <w:p w:rsidR="008B31D3" w:rsidRDefault="008B31D3" w:rsidP="008B31D3">
      <w:pPr>
        <w:pStyle w:val="NoSpacing"/>
        <w:spacing w:line="360" w:lineRule="auto"/>
        <w:jc w:val="both"/>
        <w:rPr>
          <w:rFonts w:ascii="Arial" w:hAnsi="Arial" w:cs="Arial"/>
          <w:iCs/>
          <w:sz w:val="24"/>
          <w:szCs w:val="24"/>
          <w:lang w:val="en-US" w:eastAsia="en-ZA"/>
        </w:rPr>
      </w:pPr>
      <w:r>
        <w:rPr>
          <w:rFonts w:ascii="Arial" w:hAnsi="Arial" w:cs="Arial"/>
          <w:iCs/>
          <w:sz w:val="24"/>
          <w:szCs w:val="24"/>
          <w:lang w:val="en-US" w:eastAsia="en-ZA"/>
        </w:rPr>
        <w:t>[1</w:t>
      </w:r>
      <w:r w:rsidR="0054491D">
        <w:rPr>
          <w:rFonts w:ascii="Arial" w:hAnsi="Arial" w:cs="Arial"/>
          <w:iCs/>
          <w:sz w:val="24"/>
          <w:szCs w:val="24"/>
          <w:lang w:val="en-US" w:eastAsia="en-ZA"/>
        </w:rPr>
        <w:t>8</w:t>
      </w:r>
      <w:r>
        <w:rPr>
          <w:rFonts w:ascii="Arial" w:hAnsi="Arial" w:cs="Arial"/>
          <w:iCs/>
          <w:sz w:val="24"/>
          <w:szCs w:val="24"/>
          <w:lang w:val="en-US" w:eastAsia="en-ZA"/>
        </w:rPr>
        <w:t>]</w:t>
      </w:r>
      <w:r>
        <w:rPr>
          <w:rFonts w:ascii="Arial" w:hAnsi="Arial" w:cs="Arial"/>
          <w:iCs/>
          <w:sz w:val="24"/>
          <w:szCs w:val="24"/>
          <w:lang w:val="en-US" w:eastAsia="en-ZA"/>
        </w:rPr>
        <w:tab/>
      </w:r>
      <w:proofErr w:type="spellStart"/>
      <w:r>
        <w:rPr>
          <w:rFonts w:ascii="Arial" w:hAnsi="Arial" w:cs="Arial"/>
          <w:iCs/>
          <w:sz w:val="24"/>
          <w:szCs w:val="24"/>
          <w:lang w:val="en-US" w:eastAsia="en-ZA"/>
        </w:rPr>
        <w:t>Mr</w:t>
      </w:r>
      <w:proofErr w:type="spellEnd"/>
      <w:r>
        <w:rPr>
          <w:rFonts w:ascii="Arial" w:hAnsi="Arial" w:cs="Arial"/>
          <w:iCs/>
          <w:sz w:val="24"/>
          <w:szCs w:val="24"/>
          <w:lang w:val="en-US" w:eastAsia="en-ZA"/>
        </w:rPr>
        <w:t xml:space="preserve"> </w:t>
      </w:r>
      <w:proofErr w:type="spellStart"/>
      <w:r>
        <w:rPr>
          <w:rFonts w:ascii="Arial" w:hAnsi="Arial" w:cs="Arial"/>
          <w:iCs/>
          <w:sz w:val="24"/>
          <w:szCs w:val="24"/>
          <w:lang w:val="en-US" w:eastAsia="en-ZA"/>
        </w:rPr>
        <w:t>Rukoro</w:t>
      </w:r>
      <w:proofErr w:type="spellEnd"/>
      <w:r>
        <w:rPr>
          <w:rFonts w:ascii="Arial" w:hAnsi="Arial" w:cs="Arial"/>
          <w:iCs/>
          <w:sz w:val="24"/>
          <w:szCs w:val="24"/>
          <w:lang w:val="en-US" w:eastAsia="en-ZA"/>
        </w:rPr>
        <w:t xml:space="preserve"> simply argued that the prior agreement, as the original cause of action, was not the case they were called upon to answer. The defendant’s entire case was premised on the written agreement. In terms of the pre-trial order the court was adjudicat</w:t>
      </w:r>
      <w:r w:rsidR="007B5892">
        <w:rPr>
          <w:rFonts w:ascii="Arial" w:hAnsi="Arial" w:cs="Arial"/>
          <w:iCs/>
          <w:sz w:val="24"/>
          <w:szCs w:val="24"/>
          <w:lang w:val="en-US" w:eastAsia="en-ZA"/>
        </w:rPr>
        <w:t>ing</w:t>
      </w:r>
      <w:r>
        <w:rPr>
          <w:rFonts w:ascii="Arial" w:hAnsi="Arial" w:cs="Arial"/>
          <w:iCs/>
          <w:sz w:val="24"/>
          <w:szCs w:val="24"/>
          <w:lang w:val="en-US" w:eastAsia="en-ZA"/>
        </w:rPr>
        <w:t xml:space="preserve"> the terms and conditions of the MOU. He referred this court to</w:t>
      </w:r>
      <w:r w:rsidR="00093FC2">
        <w:rPr>
          <w:rFonts w:ascii="Arial" w:hAnsi="Arial" w:cs="Arial"/>
          <w:iCs/>
          <w:sz w:val="24"/>
          <w:szCs w:val="24"/>
          <w:lang w:val="en-US" w:eastAsia="en-ZA"/>
        </w:rPr>
        <w:t xml:space="preserve"> cases</w:t>
      </w:r>
      <w:r w:rsidR="00093FC2">
        <w:rPr>
          <w:rStyle w:val="FootnoteReference"/>
          <w:rFonts w:ascii="Arial" w:hAnsi="Arial" w:cs="Arial"/>
          <w:iCs/>
          <w:sz w:val="24"/>
          <w:szCs w:val="24"/>
          <w:lang w:val="en-US" w:eastAsia="en-ZA"/>
        </w:rPr>
        <w:footnoteReference w:id="1"/>
      </w:r>
      <w:r w:rsidR="00093FC2">
        <w:rPr>
          <w:rFonts w:ascii="Arial" w:hAnsi="Arial" w:cs="Arial"/>
          <w:iCs/>
          <w:sz w:val="24"/>
          <w:szCs w:val="24"/>
          <w:lang w:val="en-US" w:eastAsia="en-ZA"/>
        </w:rPr>
        <w:t xml:space="preserve"> of this court which deals with the effect of rule 26 (10) which provides that</w:t>
      </w:r>
      <w:r w:rsidR="00093FC2" w:rsidRPr="00093FC2">
        <w:rPr>
          <w:rFonts w:ascii="Times New Roman" w:hAnsi="Times New Roman" w:cs="Times New Roman"/>
          <w:color w:val="000000"/>
          <w:sz w:val="23"/>
          <w:szCs w:val="23"/>
          <w:lang w:val="en-US"/>
        </w:rPr>
        <w:t xml:space="preserve"> </w:t>
      </w:r>
      <w:r w:rsidR="00093FC2">
        <w:rPr>
          <w:rFonts w:ascii="Arial" w:hAnsi="Arial" w:cs="Arial"/>
          <w:iCs/>
          <w:sz w:val="24"/>
          <w:szCs w:val="24"/>
          <w:lang w:val="en-US" w:eastAsia="en-ZA"/>
        </w:rPr>
        <w:t>i</w:t>
      </w:r>
      <w:r w:rsidR="00093FC2" w:rsidRPr="00093FC2">
        <w:rPr>
          <w:rFonts w:ascii="Arial" w:hAnsi="Arial" w:cs="Arial"/>
          <w:iCs/>
          <w:sz w:val="24"/>
          <w:szCs w:val="24"/>
          <w:lang w:val="en-US" w:eastAsia="en-ZA"/>
        </w:rPr>
        <w:t xml:space="preserve">ssues and disputes not set out in the pre-trial order will not be available to the parties at the trial, except with leave of the managing judge or court granted on good cause shown. </w:t>
      </w:r>
      <w:r w:rsidR="00093FC2">
        <w:rPr>
          <w:rFonts w:ascii="Arial" w:hAnsi="Arial" w:cs="Arial"/>
          <w:iCs/>
          <w:sz w:val="24"/>
          <w:szCs w:val="24"/>
          <w:lang w:val="en-US" w:eastAsia="en-ZA"/>
        </w:rPr>
        <w:t xml:space="preserve"> </w:t>
      </w:r>
      <w:r>
        <w:rPr>
          <w:rFonts w:ascii="Arial" w:hAnsi="Arial" w:cs="Arial"/>
          <w:iCs/>
          <w:sz w:val="24"/>
          <w:szCs w:val="24"/>
          <w:lang w:val="en-US" w:eastAsia="en-ZA"/>
        </w:rPr>
        <w:t xml:space="preserve"> </w:t>
      </w:r>
    </w:p>
    <w:p w:rsidR="00093FC2" w:rsidRDefault="00093FC2" w:rsidP="008B31D3">
      <w:pPr>
        <w:pStyle w:val="NoSpacing"/>
        <w:spacing w:line="360" w:lineRule="auto"/>
        <w:jc w:val="both"/>
        <w:rPr>
          <w:rFonts w:ascii="Arial" w:hAnsi="Arial" w:cs="Arial"/>
          <w:iCs/>
          <w:sz w:val="24"/>
          <w:szCs w:val="24"/>
          <w:lang w:val="en-US" w:eastAsia="en-ZA"/>
        </w:rPr>
      </w:pPr>
    </w:p>
    <w:p w:rsidR="00093FC2" w:rsidRDefault="00093FC2" w:rsidP="008B31D3">
      <w:pPr>
        <w:pStyle w:val="NoSpacing"/>
        <w:spacing w:line="360" w:lineRule="auto"/>
        <w:jc w:val="both"/>
        <w:rPr>
          <w:rFonts w:ascii="Arial" w:hAnsi="Arial" w:cs="Arial"/>
          <w:iCs/>
          <w:sz w:val="24"/>
          <w:szCs w:val="24"/>
          <w:lang w:val="en-US" w:eastAsia="en-ZA"/>
        </w:rPr>
      </w:pPr>
      <w:r>
        <w:rPr>
          <w:rFonts w:ascii="Arial" w:hAnsi="Arial" w:cs="Arial"/>
          <w:iCs/>
          <w:sz w:val="24"/>
          <w:szCs w:val="24"/>
          <w:lang w:val="en-US" w:eastAsia="en-ZA"/>
        </w:rPr>
        <w:t>[1</w:t>
      </w:r>
      <w:r w:rsidR="0054491D">
        <w:rPr>
          <w:rFonts w:ascii="Arial" w:hAnsi="Arial" w:cs="Arial"/>
          <w:iCs/>
          <w:sz w:val="24"/>
          <w:szCs w:val="24"/>
          <w:lang w:val="en-US" w:eastAsia="en-ZA"/>
        </w:rPr>
        <w:t>9</w:t>
      </w:r>
      <w:r>
        <w:rPr>
          <w:rFonts w:ascii="Arial" w:hAnsi="Arial" w:cs="Arial"/>
          <w:iCs/>
          <w:sz w:val="24"/>
          <w:szCs w:val="24"/>
          <w:lang w:val="en-US" w:eastAsia="en-ZA"/>
        </w:rPr>
        <w:t>]</w:t>
      </w:r>
      <w:r w:rsidR="00BE121E">
        <w:rPr>
          <w:rFonts w:ascii="Arial" w:hAnsi="Arial" w:cs="Arial"/>
          <w:iCs/>
          <w:sz w:val="24"/>
          <w:szCs w:val="24"/>
          <w:lang w:val="en-US" w:eastAsia="en-ZA"/>
        </w:rPr>
        <w:tab/>
        <w:t>Evidence was in fact adduced that there was an agreement prior to the Memorandum of Understanding. This is clearly evident from the letter written by 2</w:t>
      </w:r>
      <w:r w:rsidR="00BE121E" w:rsidRPr="00BE121E">
        <w:rPr>
          <w:rFonts w:ascii="Arial" w:hAnsi="Arial" w:cs="Arial"/>
          <w:iCs/>
          <w:sz w:val="24"/>
          <w:szCs w:val="24"/>
          <w:vertAlign w:val="superscript"/>
          <w:lang w:val="en-US" w:eastAsia="en-ZA"/>
        </w:rPr>
        <w:t>nd</w:t>
      </w:r>
      <w:r w:rsidR="00BE121E">
        <w:rPr>
          <w:rFonts w:ascii="Arial" w:hAnsi="Arial" w:cs="Arial"/>
          <w:iCs/>
          <w:sz w:val="24"/>
          <w:szCs w:val="24"/>
          <w:lang w:val="en-US" w:eastAsia="en-ZA"/>
        </w:rPr>
        <w:t xml:space="preserve"> plaintiff. The wording of this letter would suggest that the 2</w:t>
      </w:r>
      <w:r w:rsidR="00BE121E" w:rsidRPr="00BE121E">
        <w:rPr>
          <w:rFonts w:ascii="Arial" w:hAnsi="Arial" w:cs="Arial"/>
          <w:iCs/>
          <w:sz w:val="24"/>
          <w:szCs w:val="24"/>
          <w:vertAlign w:val="superscript"/>
          <w:lang w:val="en-US" w:eastAsia="en-ZA"/>
        </w:rPr>
        <w:t>nd</w:t>
      </w:r>
      <w:r w:rsidR="00BE121E">
        <w:rPr>
          <w:rFonts w:ascii="Arial" w:hAnsi="Arial" w:cs="Arial"/>
          <w:iCs/>
          <w:sz w:val="24"/>
          <w:szCs w:val="24"/>
          <w:lang w:val="en-US" w:eastAsia="en-ZA"/>
        </w:rPr>
        <w:t xml:space="preserve"> plaintiff entered into the loan agreement in order to assists the 2</w:t>
      </w:r>
      <w:r w:rsidR="00BE121E" w:rsidRPr="00BE121E">
        <w:rPr>
          <w:rFonts w:ascii="Arial" w:hAnsi="Arial" w:cs="Arial"/>
          <w:iCs/>
          <w:sz w:val="24"/>
          <w:szCs w:val="24"/>
          <w:vertAlign w:val="superscript"/>
          <w:lang w:val="en-US" w:eastAsia="en-ZA"/>
        </w:rPr>
        <w:t>nd</w:t>
      </w:r>
      <w:r w:rsidR="00BE121E">
        <w:rPr>
          <w:rFonts w:ascii="Arial" w:hAnsi="Arial" w:cs="Arial"/>
          <w:iCs/>
          <w:sz w:val="24"/>
          <w:szCs w:val="24"/>
          <w:lang w:val="en-US" w:eastAsia="en-ZA"/>
        </w:rPr>
        <w:t xml:space="preserve"> defendant. The capacity in which the 2</w:t>
      </w:r>
      <w:r w:rsidR="00BE121E" w:rsidRPr="00BE121E">
        <w:rPr>
          <w:rFonts w:ascii="Arial" w:hAnsi="Arial" w:cs="Arial"/>
          <w:iCs/>
          <w:sz w:val="24"/>
          <w:szCs w:val="24"/>
          <w:vertAlign w:val="superscript"/>
          <w:lang w:val="en-US" w:eastAsia="en-ZA"/>
        </w:rPr>
        <w:t>nd</w:t>
      </w:r>
      <w:r w:rsidR="00BE121E">
        <w:rPr>
          <w:rFonts w:ascii="Arial" w:hAnsi="Arial" w:cs="Arial"/>
          <w:iCs/>
          <w:sz w:val="24"/>
          <w:szCs w:val="24"/>
          <w:lang w:val="en-US" w:eastAsia="en-ZA"/>
        </w:rPr>
        <w:t xml:space="preserve"> defendant was acting at the time is not clear. The 2</w:t>
      </w:r>
      <w:r w:rsidR="00BE121E" w:rsidRPr="00BE121E">
        <w:rPr>
          <w:rFonts w:ascii="Arial" w:hAnsi="Arial" w:cs="Arial"/>
          <w:iCs/>
          <w:sz w:val="24"/>
          <w:szCs w:val="24"/>
          <w:vertAlign w:val="superscript"/>
          <w:lang w:val="en-US" w:eastAsia="en-ZA"/>
        </w:rPr>
        <w:t>nd</w:t>
      </w:r>
      <w:r w:rsidR="00BE121E">
        <w:rPr>
          <w:rFonts w:ascii="Arial" w:hAnsi="Arial" w:cs="Arial"/>
          <w:iCs/>
          <w:sz w:val="24"/>
          <w:szCs w:val="24"/>
          <w:lang w:val="en-US" w:eastAsia="en-ZA"/>
        </w:rPr>
        <w:t xml:space="preserve"> defendant denied that there was such a discussion in August 2010 and was adamant that she only found the property in September.  </w:t>
      </w:r>
      <w:r w:rsidR="00287843">
        <w:rPr>
          <w:rFonts w:ascii="Arial" w:hAnsi="Arial" w:cs="Arial"/>
          <w:iCs/>
          <w:sz w:val="24"/>
          <w:szCs w:val="24"/>
          <w:lang w:val="en-US" w:eastAsia="en-ZA"/>
        </w:rPr>
        <w:t>It is clear from the letter from FNB to the plaintiff’s that the loan was granted against security of this specific property already on 20 July 2010. The plaintiff further aver that the term within which the debt had to be paid was 3 years and that the 2</w:t>
      </w:r>
      <w:r w:rsidR="00287843" w:rsidRPr="00287843">
        <w:rPr>
          <w:rFonts w:ascii="Arial" w:hAnsi="Arial" w:cs="Arial"/>
          <w:iCs/>
          <w:sz w:val="24"/>
          <w:szCs w:val="24"/>
          <w:vertAlign w:val="superscript"/>
          <w:lang w:val="en-US" w:eastAsia="en-ZA"/>
        </w:rPr>
        <w:t>nd</w:t>
      </w:r>
      <w:r w:rsidR="00287843">
        <w:rPr>
          <w:rFonts w:ascii="Arial" w:hAnsi="Arial" w:cs="Arial"/>
          <w:iCs/>
          <w:sz w:val="24"/>
          <w:szCs w:val="24"/>
          <w:lang w:val="en-US" w:eastAsia="en-ZA"/>
        </w:rPr>
        <w:t xml:space="preserve"> defendant defaulted on this part of the agreement. The relief claimed herein is not valid and the proposed suggestion for the declaratory order was never canvased in the pleadings or during the parties’ testimony. This court cannot under t</w:t>
      </w:r>
      <w:r w:rsidR="00BE121E">
        <w:rPr>
          <w:rFonts w:ascii="Arial" w:hAnsi="Arial" w:cs="Arial"/>
          <w:iCs/>
          <w:sz w:val="24"/>
          <w:szCs w:val="24"/>
          <w:lang w:val="en-US" w:eastAsia="en-ZA"/>
        </w:rPr>
        <w:t>he circumstances of this case</w:t>
      </w:r>
      <w:r w:rsidR="00287843">
        <w:rPr>
          <w:rFonts w:ascii="Arial" w:hAnsi="Arial" w:cs="Arial"/>
          <w:iCs/>
          <w:sz w:val="24"/>
          <w:szCs w:val="24"/>
          <w:lang w:val="en-US" w:eastAsia="en-ZA"/>
        </w:rPr>
        <w:t xml:space="preserve"> make the exception to the rule as requested</w:t>
      </w:r>
      <w:r w:rsidR="00BE121E">
        <w:rPr>
          <w:rFonts w:ascii="Arial" w:hAnsi="Arial" w:cs="Arial"/>
          <w:iCs/>
          <w:sz w:val="24"/>
          <w:szCs w:val="24"/>
          <w:lang w:val="en-US" w:eastAsia="en-ZA"/>
        </w:rPr>
        <w:t xml:space="preserve"> </w:t>
      </w:r>
      <w:r w:rsidR="00287843">
        <w:rPr>
          <w:rFonts w:ascii="Arial" w:hAnsi="Arial" w:cs="Arial"/>
          <w:iCs/>
          <w:sz w:val="24"/>
          <w:szCs w:val="24"/>
          <w:lang w:val="en-US" w:eastAsia="en-ZA"/>
        </w:rPr>
        <w:t xml:space="preserve">by </w:t>
      </w:r>
      <w:proofErr w:type="spellStart"/>
      <w:r w:rsidR="00287843">
        <w:rPr>
          <w:rFonts w:ascii="Arial" w:hAnsi="Arial" w:cs="Arial"/>
          <w:iCs/>
          <w:sz w:val="24"/>
          <w:szCs w:val="24"/>
          <w:lang w:val="en-US" w:eastAsia="en-ZA"/>
        </w:rPr>
        <w:t>Mr</w:t>
      </w:r>
      <w:proofErr w:type="spellEnd"/>
      <w:r w:rsidR="00287843">
        <w:rPr>
          <w:rFonts w:ascii="Arial" w:hAnsi="Arial" w:cs="Arial"/>
          <w:iCs/>
          <w:sz w:val="24"/>
          <w:szCs w:val="24"/>
          <w:lang w:val="en-US" w:eastAsia="en-ZA"/>
        </w:rPr>
        <w:t xml:space="preserve"> </w:t>
      </w:r>
      <w:proofErr w:type="spellStart"/>
      <w:r w:rsidR="00287843">
        <w:rPr>
          <w:rFonts w:ascii="Arial" w:hAnsi="Arial" w:cs="Arial"/>
          <w:iCs/>
          <w:sz w:val="24"/>
          <w:szCs w:val="24"/>
          <w:lang w:val="en-US" w:eastAsia="en-ZA"/>
        </w:rPr>
        <w:t>Narib</w:t>
      </w:r>
      <w:proofErr w:type="spellEnd"/>
      <w:r w:rsidR="00287843">
        <w:rPr>
          <w:rFonts w:ascii="Arial" w:hAnsi="Arial" w:cs="Arial"/>
          <w:iCs/>
          <w:sz w:val="24"/>
          <w:szCs w:val="24"/>
          <w:lang w:val="en-US" w:eastAsia="en-ZA"/>
        </w:rPr>
        <w:t xml:space="preserve">. </w:t>
      </w:r>
      <w:r w:rsidR="0054491D">
        <w:rPr>
          <w:rFonts w:ascii="Arial" w:hAnsi="Arial" w:cs="Arial"/>
          <w:iCs/>
          <w:sz w:val="24"/>
          <w:szCs w:val="24"/>
          <w:lang w:val="en-US" w:eastAsia="en-ZA"/>
        </w:rPr>
        <w:t xml:space="preserve">As conceded by </w:t>
      </w:r>
      <w:proofErr w:type="spellStart"/>
      <w:r w:rsidR="0054491D">
        <w:rPr>
          <w:rFonts w:ascii="Arial" w:hAnsi="Arial" w:cs="Arial"/>
          <w:iCs/>
          <w:sz w:val="24"/>
          <w:szCs w:val="24"/>
          <w:lang w:val="en-US" w:eastAsia="en-ZA"/>
        </w:rPr>
        <w:t>Mr</w:t>
      </w:r>
      <w:proofErr w:type="spellEnd"/>
      <w:r w:rsidR="0054491D">
        <w:rPr>
          <w:rFonts w:ascii="Arial" w:hAnsi="Arial" w:cs="Arial"/>
          <w:iCs/>
          <w:sz w:val="24"/>
          <w:szCs w:val="24"/>
          <w:lang w:val="en-US" w:eastAsia="en-ZA"/>
        </w:rPr>
        <w:t xml:space="preserve"> </w:t>
      </w:r>
      <w:proofErr w:type="spellStart"/>
      <w:r w:rsidR="0054491D">
        <w:rPr>
          <w:rFonts w:ascii="Arial" w:hAnsi="Arial" w:cs="Arial"/>
          <w:iCs/>
          <w:sz w:val="24"/>
          <w:szCs w:val="24"/>
          <w:lang w:val="en-US" w:eastAsia="en-ZA"/>
        </w:rPr>
        <w:t>Narib</w:t>
      </w:r>
      <w:proofErr w:type="spellEnd"/>
      <w:r w:rsidR="0054491D">
        <w:rPr>
          <w:rFonts w:ascii="Arial" w:hAnsi="Arial" w:cs="Arial"/>
          <w:iCs/>
          <w:sz w:val="24"/>
          <w:szCs w:val="24"/>
          <w:lang w:val="en-US" w:eastAsia="en-ZA"/>
        </w:rPr>
        <w:t xml:space="preserve">, the </w:t>
      </w:r>
      <w:r w:rsidR="0054491D">
        <w:rPr>
          <w:rFonts w:ascii="Arial" w:hAnsi="Arial" w:cs="Arial"/>
          <w:iCs/>
          <w:sz w:val="24"/>
          <w:szCs w:val="24"/>
          <w:lang w:val="en-US" w:eastAsia="en-ZA"/>
        </w:rPr>
        <w:lastRenderedPageBreak/>
        <w:t xml:space="preserve">facts adduced in evidence do not support the cause of action as stated in the defendant’s counterclaim. </w:t>
      </w:r>
      <w:r w:rsidR="00BE121E">
        <w:rPr>
          <w:rFonts w:ascii="Arial" w:hAnsi="Arial" w:cs="Arial"/>
          <w:iCs/>
          <w:sz w:val="24"/>
          <w:szCs w:val="24"/>
          <w:lang w:val="en-US" w:eastAsia="en-ZA"/>
        </w:rPr>
        <w:t xml:space="preserve"> </w:t>
      </w:r>
      <w:r>
        <w:rPr>
          <w:rFonts w:ascii="Arial" w:hAnsi="Arial" w:cs="Arial"/>
          <w:iCs/>
          <w:sz w:val="24"/>
          <w:szCs w:val="24"/>
          <w:lang w:val="en-US" w:eastAsia="en-ZA"/>
        </w:rPr>
        <w:tab/>
      </w:r>
    </w:p>
    <w:p w:rsidR="008B31D3" w:rsidRPr="008B31D3" w:rsidRDefault="008B31D3" w:rsidP="008B31D3">
      <w:pPr>
        <w:pStyle w:val="BodyText"/>
        <w:tabs>
          <w:tab w:val="left" w:pos="720"/>
          <w:tab w:val="left" w:pos="2268"/>
        </w:tabs>
        <w:spacing w:line="360" w:lineRule="auto"/>
        <w:jc w:val="both"/>
        <w:rPr>
          <w:rFonts w:ascii="Arial" w:hAnsi="Arial" w:cs="Arial"/>
        </w:rPr>
      </w:pPr>
      <w:r>
        <w:rPr>
          <w:rFonts w:ascii="Arial" w:hAnsi="Arial" w:cs="Arial"/>
        </w:rPr>
        <w:t xml:space="preserve"> </w:t>
      </w:r>
    </w:p>
    <w:p w:rsidR="00E66933" w:rsidRDefault="00287843" w:rsidP="00131626">
      <w:pPr>
        <w:pStyle w:val="BodyText"/>
        <w:tabs>
          <w:tab w:val="left" w:pos="720"/>
          <w:tab w:val="left" w:pos="2268"/>
        </w:tabs>
        <w:spacing w:line="360" w:lineRule="auto"/>
        <w:jc w:val="both"/>
        <w:rPr>
          <w:rFonts w:ascii="Arial" w:hAnsi="Arial" w:cs="Arial"/>
        </w:rPr>
      </w:pPr>
      <w:r>
        <w:rPr>
          <w:rFonts w:ascii="Arial" w:hAnsi="Arial" w:cs="Arial"/>
        </w:rPr>
        <w:t>[</w:t>
      </w:r>
      <w:r w:rsidR="0054491D">
        <w:rPr>
          <w:rFonts w:ascii="Arial" w:hAnsi="Arial" w:cs="Arial"/>
        </w:rPr>
        <w:t>20]</w:t>
      </w:r>
      <w:r>
        <w:rPr>
          <w:rFonts w:ascii="Arial" w:hAnsi="Arial" w:cs="Arial"/>
        </w:rPr>
        <w:tab/>
        <w:t xml:space="preserve"> It would appear</w:t>
      </w:r>
      <w:r w:rsidR="0054491D">
        <w:rPr>
          <w:rFonts w:ascii="Arial" w:hAnsi="Arial" w:cs="Arial"/>
        </w:rPr>
        <w:t xml:space="preserve">, from the correspondence, the Memorandum of Understanding and conduct of the parties </w:t>
      </w:r>
      <w:r>
        <w:rPr>
          <w:rFonts w:ascii="Arial" w:hAnsi="Arial" w:cs="Arial"/>
        </w:rPr>
        <w:t>that the plaintiffs were entrusted by the defendant’s to purchase the property and to secure a loan on behalf of 2</w:t>
      </w:r>
      <w:r w:rsidRPr="00287843">
        <w:rPr>
          <w:rFonts w:ascii="Arial" w:hAnsi="Arial" w:cs="Arial"/>
          <w:vertAlign w:val="superscript"/>
        </w:rPr>
        <w:t>nd</w:t>
      </w:r>
      <w:r>
        <w:rPr>
          <w:rFonts w:ascii="Arial" w:hAnsi="Arial" w:cs="Arial"/>
        </w:rPr>
        <w:t xml:space="preserve"> defendant and possibly the first defendant (See </w:t>
      </w:r>
      <w:proofErr w:type="spellStart"/>
      <w:r w:rsidR="00E66933" w:rsidRPr="00E66933">
        <w:rPr>
          <w:rFonts w:ascii="Arial" w:hAnsi="Arial" w:cs="Arial"/>
          <w:i/>
        </w:rPr>
        <w:t>Dadabhai</w:t>
      </w:r>
      <w:proofErr w:type="spellEnd"/>
      <w:r w:rsidR="00E66933" w:rsidRPr="00E66933">
        <w:rPr>
          <w:rFonts w:ascii="Arial" w:hAnsi="Arial" w:cs="Arial"/>
          <w:i/>
        </w:rPr>
        <w:t xml:space="preserve"> v </w:t>
      </w:r>
      <w:proofErr w:type="spellStart"/>
      <w:r w:rsidR="00E66933" w:rsidRPr="00E66933">
        <w:rPr>
          <w:rFonts w:ascii="Arial" w:hAnsi="Arial" w:cs="Arial"/>
          <w:i/>
        </w:rPr>
        <w:t>Dadabhay</w:t>
      </w:r>
      <w:proofErr w:type="spellEnd"/>
      <w:r w:rsidR="00E66933" w:rsidRPr="00E66933">
        <w:rPr>
          <w:rFonts w:ascii="Arial" w:hAnsi="Arial" w:cs="Arial"/>
          <w:i/>
        </w:rPr>
        <w:t xml:space="preserve"> and another 1981(3) SA 1039</w:t>
      </w:r>
      <w:r>
        <w:rPr>
          <w:rFonts w:ascii="Arial" w:hAnsi="Arial" w:cs="Arial"/>
        </w:rPr>
        <w:t xml:space="preserve">) </w:t>
      </w:r>
      <w:r w:rsidR="0054491D">
        <w:rPr>
          <w:rFonts w:ascii="Arial" w:hAnsi="Arial" w:cs="Arial"/>
        </w:rPr>
        <w:t xml:space="preserve">The first defendant remains in occupation and has made substantial payments to reduce the mortgage bond. The plaintiff in terms of the real agreement, remains the owners of the property. The matter therefore remains unresolved. In the circumstances this court deemed it appropriate to order absolution </w:t>
      </w:r>
      <w:r w:rsidR="00AA7E17">
        <w:rPr>
          <w:rFonts w:ascii="Arial" w:hAnsi="Arial" w:cs="Arial"/>
        </w:rPr>
        <w:t>from</w:t>
      </w:r>
      <w:r w:rsidR="0054491D">
        <w:rPr>
          <w:rFonts w:ascii="Arial" w:hAnsi="Arial" w:cs="Arial"/>
        </w:rPr>
        <w:t xml:space="preserve"> the instance of the defendants counterclaim. Both parties were ad idem that the cost should follow suit and that costs should include </w:t>
      </w:r>
      <w:r w:rsidR="00E66933">
        <w:rPr>
          <w:rFonts w:ascii="Arial" w:hAnsi="Arial" w:cs="Arial"/>
        </w:rPr>
        <w:t xml:space="preserve">in support of the defendant’s position. </w:t>
      </w:r>
    </w:p>
    <w:p w:rsidR="0095070C" w:rsidRDefault="0095070C" w:rsidP="00131626">
      <w:pPr>
        <w:pStyle w:val="BodyText"/>
        <w:tabs>
          <w:tab w:val="left" w:pos="720"/>
          <w:tab w:val="left" w:pos="2268"/>
        </w:tabs>
        <w:spacing w:line="360" w:lineRule="auto"/>
        <w:jc w:val="both"/>
        <w:rPr>
          <w:rFonts w:ascii="Arial" w:hAnsi="Arial" w:cs="Arial"/>
        </w:rPr>
      </w:pPr>
    </w:p>
    <w:p w:rsidR="00452C38" w:rsidRDefault="00EB3349" w:rsidP="00581EE2">
      <w:pPr>
        <w:pStyle w:val="BodyText"/>
        <w:tabs>
          <w:tab w:val="left" w:pos="720"/>
          <w:tab w:val="left" w:pos="2268"/>
        </w:tabs>
        <w:spacing w:line="360" w:lineRule="auto"/>
        <w:jc w:val="both"/>
        <w:rPr>
          <w:rFonts w:ascii="Arial" w:hAnsi="Arial" w:cs="Arial"/>
        </w:rPr>
      </w:pPr>
      <w:r>
        <w:rPr>
          <w:rFonts w:ascii="Arial" w:hAnsi="Arial" w:cs="Arial"/>
        </w:rPr>
        <w:t>[</w:t>
      </w:r>
      <w:r w:rsidR="0054491D">
        <w:rPr>
          <w:rFonts w:ascii="Arial" w:hAnsi="Arial" w:cs="Arial"/>
        </w:rPr>
        <w:t>21</w:t>
      </w:r>
      <w:r>
        <w:rPr>
          <w:rFonts w:ascii="Arial" w:hAnsi="Arial" w:cs="Arial"/>
        </w:rPr>
        <w:t xml:space="preserve">] </w:t>
      </w:r>
      <w:r w:rsidR="0054491D">
        <w:rPr>
          <w:rFonts w:ascii="Arial" w:hAnsi="Arial" w:cs="Arial"/>
        </w:rPr>
        <w:tab/>
      </w:r>
      <w:r w:rsidR="00A35552">
        <w:rPr>
          <w:rFonts w:ascii="Arial" w:hAnsi="Arial" w:cs="Arial"/>
        </w:rPr>
        <w:t>In t</w:t>
      </w:r>
      <w:r w:rsidR="003922A0">
        <w:rPr>
          <w:rFonts w:ascii="Arial" w:hAnsi="Arial" w:cs="Arial"/>
        </w:rPr>
        <w:t>he result, the following order</w:t>
      </w:r>
      <w:r w:rsidR="00A35552">
        <w:rPr>
          <w:rFonts w:ascii="Arial" w:hAnsi="Arial" w:cs="Arial"/>
        </w:rPr>
        <w:t xml:space="preserve"> is made:</w:t>
      </w:r>
      <w:r w:rsidR="00196B00">
        <w:rPr>
          <w:rFonts w:ascii="Arial" w:hAnsi="Arial" w:cs="Arial"/>
        </w:rPr>
        <w:t xml:space="preserve"> </w:t>
      </w:r>
      <w:r w:rsidR="00452C38">
        <w:rPr>
          <w:rFonts w:ascii="Arial" w:hAnsi="Arial" w:cs="Arial"/>
        </w:rPr>
        <w:t xml:space="preserve"> </w:t>
      </w:r>
    </w:p>
    <w:p w:rsidR="001622FF" w:rsidRDefault="001622FF" w:rsidP="00581EE2">
      <w:pPr>
        <w:pStyle w:val="BodyText"/>
        <w:tabs>
          <w:tab w:val="left" w:pos="720"/>
          <w:tab w:val="left" w:pos="2268"/>
        </w:tabs>
        <w:spacing w:line="360" w:lineRule="auto"/>
        <w:jc w:val="both"/>
        <w:rPr>
          <w:rFonts w:ascii="Arial" w:hAnsi="Arial" w:cs="Arial"/>
        </w:rPr>
      </w:pPr>
    </w:p>
    <w:p w:rsidR="00403B56" w:rsidRDefault="00403B56" w:rsidP="00403B56">
      <w:pPr>
        <w:pStyle w:val="BodyText"/>
        <w:tabs>
          <w:tab w:val="left" w:pos="720"/>
          <w:tab w:val="left" w:pos="2268"/>
        </w:tabs>
        <w:spacing w:line="360" w:lineRule="auto"/>
        <w:ind w:left="720" w:hanging="720"/>
        <w:jc w:val="both"/>
        <w:rPr>
          <w:rFonts w:ascii="Arial" w:hAnsi="Arial" w:cs="Arial"/>
        </w:rPr>
      </w:pPr>
      <w:r>
        <w:rPr>
          <w:rFonts w:ascii="Arial" w:hAnsi="Arial" w:cs="Arial"/>
        </w:rPr>
        <w:t xml:space="preserve">1. </w:t>
      </w:r>
      <w:r>
        <w:rPr>
          <w:rFonts w:ascii="Arial" w:hAnsi="Arial" w:cs="Arial"/>
        </w:rPr>
        <w:tab/>
        <w:t xml:space="preserve">The court grants absolution of the instance in respect of the </w:t>
      </w:r>
      <w:r w:rsidR="0054491D">
        <w:rPr>
          <w:rFonts w:ascii="Arial" w:hAnsi="Arial" w:cs="Arial"/>
        </w:rPr>
        <w:t>Defendants’ counterclaim (P</w:t>
      </w:r>
      <w:r>
        <w:rPr>
          <w:rFonts w:ascii="Arial" w:hAnsi="Arial" w:cs="Arial"/>
        </w:rPr>
        <w:t>laintiffs in reconvention</w:t>
      </w:r>
      <w:r w:rsidR="0054491D">
        <w:rPr>
          <w:rFonts w:ascii="Arial" w:hAnsi="Arial" w:cs="Arial"/>
        </w:rPr>
        <w:t>)</w:t>
      </w:r>
      <w:r>
        <w:rPr>
          <w:rFonts w:ascii="Arial" w:hAnsi="Arial" w:cs="Arial"/>
        </w:rPr>
        <w:t>;</w:t>
      </w:r>
    </w:p>
    <w:p w:rsidR="00403B56" w:rsidRDefault="00403B56" w:rsidP="00403B56">
      <w:pPr>
        <w:pStyle w:val="BodyText"/>
        <w:tabs>
          <w:tab w:val="left" w:pos="720"/>
          <w:tab w:val="left" w:pos="2268"/>
        </w:tabs>
        <w:spacing w:line="360" w:lineRule="auto"/>
        <w:ind w:left="720" w:hanging="720"/>
        <w:jc w:val="both"/>
        <w:rPr>
          <w:rFonts w:ascii="Arial" w:hAnsi="Arial" w:cs="Arial"/>
        </w:rPr>
      </w:pPr>
      <w:r>
        <w:rPr>
          <w:rFonts w:ascii="Arial" w:hAnsi="Arial" w:cs="Arial"/>
        </w:rPr>
        <w:t>2.</w:t>
      </w:r>
      <w:r>
        <w:rPr>
          <w:rFonts w:ascii="Arial" w:hAnsi="Arial" w:cs="Arial"/>
        </w:rPr>
        <w:tab/>
        <w:t>The Plaintiff</w:t>
      </w:r>
      <w:r w:rsidR="0054491D">
        <w:rPr>
          <w:rFonts w:ascii="Arial" w:hAnsi="Arial" w:cs="Arial"/>
        </w:rPr>
        <w:t>s</w:t>
      </w:r>
      <w:r>
        <w:rPr>
          <w:rFonts w:ascii="Arial" w:hAnsi="Arial" w:cs="Arial"/>
        </w:rPr>
        <w:t xml:space="preserve"> </w:t>
      </w:r>
      <w:r w:rsidR="006C72CA">
        <w:rPr>
          <w:rFonts w:ascii="Arial" w:hAnsi="Arial" w:cs="Arial"/>
        </w:rPr>
        <w:t xml:space="preserve">are </w:t>
      </w:r>
      <w:r w:rsidR="0054491D">
        <w:rPr>
          <w:rFonts w:ascii="Arial" w:hAnsi="Arial" w:cs="Arial"/>
        </w:rPr>
        <w:t xml:space="preserve">to pay </w:t>
      </w:r>
      <w:r>
        <w:rPr>
          <w:rFonts w:ascii="Arial" w:hAnsi="Arial" w:cs="Arial"/>
        </w:rPr>
        <w:t>the Defendants</w:t>
      </w:r>
      <w:r w:rsidR="006C72CA">
        <w:rPr>
          <w:rFonts w:ascii="Arial" w:hAnsi="Arial" w:cs="Arial"/>
        </w:rPr>
        <w:t>’</w:t>
      </w:r>
      <w:r>
        <w:rPr>
          <w:rFonts w:ascii="Arial" w:hAnsi="Arial" w:cs="Arial"/>
        </w:rPr>
        <w:t xml:space="preserve"> cost of suit in respect of the Plaintiff’s claim in convention, to include cost of one instructed and one instructing counsel;</w:t>
      </w:r>
    </w:p>
    <w:p w:rsidR="00403B56" w:rsidRDefault="00403B56" w:rsidP="00403B56">
      <w:pPr>
        <w:pStyle w:val="BodyText"/>
        <w:tabs>
          <w:tab w:val="left" w:pos="720"/>
          <w:tab w:val="left" w:pos="2268"/>
        </w:tabs>
        <w:spacing w:line="360" w:lineRule="auto"/>
        <w:ind w:left="720" w:hanging="720"/>
        <w:jc w:val="both"/>
        <w:rPr>
          <w:rFonts w:ascii="Arial" w:hAnsi="Arial" w:cs="Arial"/>
        </w:rPr>
      </w:pPr>
      <w:r>
        <w:rPr>
          <w:rFonts w:ascii="Arial" w:hAnsi="Arial" w:cs="Arial"/>
        </w:rPr>
        <w:t>3.</w:t>
      </w:r>
      <w:r>
        <w:rPr>
          <w:rFonts w:ascii="Arial" w:hAnsi="Arial" w:cs="Arial"/>
        </w:rPr>
        <w:tab/>
        <w:t xml:space="preserve">The Defendants </w:t>
      </w:r>
      <w:r w:rsidR="006C72CA">
        <w:rPr>
          <w:rFonts w:ascii="Arial" w:hAnsi="Arial" w:cs="Arial"/>
        </w:rPr>
        <w:t>are to pay the plaintiff</w:t>
      </w:r>
      <w:r>
        <w:rPr>
          <w:rFonts w:ascii="Arial" w:hAnsi="Arial" w:cs="Arial"/>
        </w:rPr>
        <w:t>s</w:t>
      </w:r>
      <w:r w:rsidR="006C72CA">
        <w:rPr>
          <w:rFonts w:ascii="Arial" w:hAnsi="Arial" w:cs="Arial"/>
        </w:rPr>
        <w:t>’</w:t>
      </w:r>
      <w:r>
        <w:rPr>
          <w:rFonts w:ascii="Arial" w:hAnsi="Arial" w:cs="Arial"/>
        </w:rPr>
        <w:t xml:space="preserve"> cost in respect of the Defendants’ </w:t>
      </w:r>
      <w:r w:rsidR="006C72CA">
        <w:rPr>
          <w:rFonts w:ascii="Arial" w:hAnsi="Arial" w:cs="Arial"/>
        </w:rPr>
        <w:t>counterclaim (</w:t>
      </w:r>
      <w:r>
        <w:rPr>
          <w:rFonts w:ascii="Arial" w:hAnsi="Arial" w:cs="Arial"/>
        </w:rPr>
        <w:t>claim in re-convention</w:t>
      </w:r>
      <w:r w:rsidR="006C72CA">
        <w:rPr>
          <w:rFonts w:ascii="Arial" w:hAnsi="Arial" w:cs="Arial"/>
        </w:rPr>
        <w:t>)</w:t>
      </w:r>
      <w:r>
        <w:rPr>
          <w:rFonts w:ascii="Arial" w:hAnsi="Arial" w:cs="Arial"/>
        </w:rPr>
        <w:t xml:space="preserve">, to include the cost of one instructed and one instructing counsel. </w:t>
      </w:r>
    </w:p>
    <w:p w:rsidR="00F1064E" w:rsidRDefault="00F1064E" w:rsidP="00581EE2">
      <w:pPr>
        <w:pStyle w:val="BodyText"/>
        <w:tabs>
          <w:tab w:val="left" w:pos="720"/>
          <w:tab w:val="left" w:pos="2268"/>
        </w:tabs>
        <w:spacing w:line="360" w:lineRule="auto"/>
        <w:jc w:val="both"/>
        <w:rPr>
          <w:rFonts w:ascii="Arial" w:hAnsi="Arial" w:cs="Arial"/>
        </w:rPr>
      </w:pPr>
    </w:p>
    <w:p w:rsidR="007A73AC" w:rsidRDefault="007A73AC" w:rsidP="007A73AC">
      <w:pPr>
        <w:pStyle w:val="BodyText"/>
        <w:tabs>
          <w:tab w:val="left" w:pos="720"/>
          <w:tab w:val="left" w:pos="2268"/>
        </w:tabs>
        <w:spacing w:line="360" w:lineRule="auto"/>
        <w:ind w:left="720"/>
        <w:jc w:val="both"/>
        <w:rPr>
          <w:rFonts w:ascii="Arial" w:hAnsi="Arial" w:cs="Arial"/>
        </w:rPr>
      </w:pP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w:t>
      </w:r>
    </w:p>
    <w:p w:rsidR="00FE2178" w:rsidRPr="00C2360F" w:rsidRDefault="00042D0A" w:rsidP="00FE2178">
      <w:pPr>
        <w:spacing w:after="0" w:line="360" w:lineRule="auto"/>
        <w:jc w:val="right"/>
        <w:rPr>
          <w:rFonts w:ascii="Arial" w:hAnsi="Arial" w:cs="Arial"/>
          <w:sz w:val="24"/>
          <w:szCs w:val="24"/>
        </w:rPr>
      </w:pPr>
      <w:r>
        <w:rPr>
          <w:rFonts w:ascii="Arial" w:hAnsi="Arial" w:cs="Arial"/>
          <w:sz w:val="24"/>
          <w:szCs w:val="24"/>
        </w:rPr>
        <w:t xml:space="preserve">M A TOMMASI </w:t>
      </w:r>
    </w:p>
    <w:p w:rsidR="00FE2178" w:rsidRDefault="00FE2178" w:rsidP="00FE2178">
      <w:pPr>
        <w:spacing w:after="0" w:line="360" w:lineRule="auto"/>
        <w:jc w:val="right"/>
        <w:rPr>
          <w:rFonts w:ascii="Arial" w:hAnsi="Arial" w:cs="Arial"/>
          <w:sz w:val="24"/>
          <w:szCs w:val="24"/>
        </w:rPr>
      </w:pPr>
      <w:r w:rsidRPr="00C2360F">
        <w:rPr>
          <w:rFonts w:ascii="Arial" w:hAnsi="Arial" w:cs="Arial"/>
          <w:sz w:val="24"/>
          <w:szCs w:val="24"/>
        </w:rPr>
        <w:t>Judge</w:t>
      </w:r>
    </w:p>
    <w:p w:rsidR="00FD7E85" w:rsidRDefault="00FD7E85" w:rsidP="00FE2178">
      <w:pPr>
        <w:spacing w:after="0" w:line="360" w:lineRule="auto"/>
        <w:jc w:val="right"/>
        <w:rPr>
          <w:rFonts w:ascii="Arial" w:hAnsi="Arial" w:cs="Arial"/>
          <w:sz w:val="24"/>
          <w:szCs w:val="24"/>
        </w:rPr>
      </w:pPr>
    </w:p>
    <w:p w:rsidR="00B715CD" w:rsidRDefault="00B715CD" w:rsidP="00FE2178">
      <w:pPr>
        <w:spacing w:after="0" w:line="360" w:lineRule="auto"/>
        <w:jc w:val="right"/>
        <w:rPr>
          <w:rFonts w:ascii="Arial" w:hAnsi="Arial" w:cs="Arial"/>
          <w:sz w:val="24"/>
          <w:szCs w:val="24"/>
        </w:rPr>
      </w:pPr>
    </w:p>
    <w:p w:rsidR="00B715CD" w:rsidRDefault="00B715CD" w:rsidP="00FE2178">
      <w:pPr>
        <w:spacing w:after="0" w:line="360" w:lineRule="auto"/>
        <w:jc w:val="right"/>
        <w:rPr>
          <w:rFonts w:ascii="Arial" w:hAnsi="Arial" w:cs="Arial"/>
          <w:sz w:val="24"/>
          <w:szCs w:val="24"/>
        </w:rPr>
      </w:pPr>
      <w:bookmarkStart w:id="0" w:name="_GoBack"/>
      <w:bookmarkEnd w:id="0"/>
    </w:p>
    <w:p w:rsidR="00076ECE" w:rsidRPr="00076ECE" w:rsidRDefault="00076ECE" w:rsidP="00076ECE">
      <w:pPr>
        <w:autoSpaceDE w:val="0"/>
        <w:autoSpaceDN w:val="0"/>
        <w:adjustRightInd w:val="0"/>
        <w:spacing w:after="0" w:line="360" w:lineRule="auto"/>
        <w:jc w:val="both"/>
        <w:rPr>
          <w:rFonts w:ascii="Arial" w:eastAsia="Times New Roman" w:hAnsi="Arial" w:cs="Arial"/>
          <w:sz w:val="24"/>
          <w:szCs w:val="24"/>
        </w:rPr>
      </w:pPr>
      <w:r w:rsidRPr="00076ECE">
        <w:rPr>
          <w:rFonts w:ascii="Arial" w:eastAsia="Times New Roman" w:hAnsi="Arial" w:cs="Arial"/>
          <w:sz w:val="24"/>
          <w:szCs w:val="24"/>
        </w:rPr>
        <w:lastRenderedPageBreak/>
        <w:t>APPEARANCES</w:t>
      </w:r>
    </w:p>
    <w:p w:rsidR="00076ECE" w:rsidRPr="00076ECE" w:rsidRDefault="00076ECE" w:rsidP="00076ECE">
      <w:pPr>
        <w:autoSpaceDE w:val="0"/>
        <w:autoSpaceDN w:val="0"/>
        <w:adjustRightInd w:val="0"/>
        <w:spacing w:after="0" w:line="360" w:lineRule="auto"/>
        <w:jc w:val="both"/>
        <w:rPr>
          <w:rFonts w:ascii="Arial" w:eastAsia="Times New Roman" w:hAnsi="Arial" w:cs="Arial"/>
          <w:sz w:val="24"/>
          <w:szCs w:val="24"/>
        </w:rPr>
      </w:pPr>
    </w:p>
    <w:p w:rsidR="001622FF" w:rsidRDefault="00076ECE" w:rsidP="001622FF">
      <w:pPr>
        <w:spacing w:after="0" w:line="360" w:lineRule="auto"/>
        <w:rPr>
          <w:rFonts w:ascii="Arial" w:eastAsiaTheme="minorHAnsi" w:hAnsi="Arial" w:cs="Arial"/>
          <w:sz w:val="24"/>
          <w:szCs w:val="24"/>
          <w:lang w:val="en-ZA"/>
        </w:rPr>
      </w:pPr>
      <w:r w:rsidRPr="00076ECE">
        <w:rPr>
          <w:rFonts w:ascii="Arial" w:hAnsi="Arial" w:cs="Arial"/>
          <w:sz w:val="24"/>
          <w:szCs w:val="24"/>
        </w:rPr>
        <w:t>PLAINTIFF:</w:t>
      </w:r>
      <w:r w:rsidRPr="00076ECE">
        <w:rPr>
          <w:rFonts w:ascii="Arial" w:hAnsi="Arial" w:cs="Arial"/>
          <w:sz w:val="24"/>
          <w:szCs w:val="24"/>
        </w:rPr>
        <w:tab/>
      </w:r>
      <w:r w:rsidR="001622FF">
        <w:rPr>
          <w:rFonts w:ascii="Arial" w:hAnsi="Arial" w:cs="Arial"/>
          <w:sz w:val="24"/>
          <w:szCs w:val="24"/>
        </w:rPr>
        <w:tab/>
      </w:r>
      <w:r w:rsidR="001622FF">
        <w:rPr>
          <w:rFonts w:ascii="Arial" w:hAnsi="Arial" w:cs="Arial"/>
          <w:sz w:val="24"/>
          <w:szCs w:val="24"/>
        </w:rPr>
        <w:tab/>
      </w:r>
      <w:r w:rsidR="001622FF">
        <w:rPr>
          <w:rFonts w:ascii="Arial" w:hAnsi="Arial" w:cs="Arial"/>
          <w:sz w:val="24"/>
          <w:szCs w:val="24"/>
        </w:rPr>
        <w:tab/>
      </w:r>
      <w:r w:rsidR="001622FF" w:rsidRPr="00076ECE">
        <w:rPr>
          <w:rFonts w:ascii="Arial" w:eastAsiaTheme="minorHAnsi" w:hAnsi="Arial" w:cs="Arial"/>
          <w:sz w:val="24"/>
          <w:szCs w:val="24"/>
          <w:lang w:val="en-ZA"/>
        </w:rPr>
        <w:t xml:space="preserve">Mr </w:t>
      </w:r>
      <w:proofErr w:type="spellStart"/>
      <w:r w:rsidR="001622FF" w:rsidRPr="00076ECE">
        <w:rPr>
          <w:rFonts w:ascii="Arial" w:eastAsiaTheme="minorHAnsi" w:hAnsi="Arial" w:cs="Arial"/>
          <w:sz w:val="24"/>
          <w:szCs w:val="24"/>
          <w:lang w:val="en-ZA"/>
        </w:rPr>
        <w:t>Mekumbu</w:t>
      </w:r>
      <w:proofErr w:type="spellEnd"/>
      <w:r w:rsidR="001622FF" w:rsidRPr="00076ECE">
        <w:rPr>
          <w:rFonts w:ascii="Arial" w:eastAsiaTheme="minorHAnsi" w:hAnsi="Arial" w:cs="Arial"/>
          <w:sz w:val="24"/>
          <w:szCs w:val="24"/>
          <w:lang w:val="en-ZA"/>
        </w:rPr>
        <w:t xml:space="preserve"> </w:t>
      </w:r>
      <w:proofErr w:type="spellStart"/>
      <w:r w:rsidR="001622FF" w:rsidRPr="00076ECE">
        <w:rPr>
          <w:rFonts w:ascii="Arial" w:eastAsiaTheme="minorHAnsi" w:hAnsi="Arial" w:cs="Arial"/>
          <w:sz w:val="24"/>
          <w:szCs w:val="24"/>
          <w:lang w:val="en-ZA"/>
        </w:rPr>
        <w:t>Tjitere</w:t>
      </w:r>
      <w:proofErr w:type="spellEnd"/>
    </w:p>
    <w:p w:rsidR="00076ECE" w:rsidRPr="00076ECE" w:rsidRDefault="00076ECE" w:rsidP="001622FF">
      <w:pPr>
        <w:spacing w:after="0" w:line="360" w:lineRule="auto"/>
        <w:rPr>
          <w:rFonts w:ascii="Arial" w:hAnsi="Arial" w:cs="Arial"/>
          <w:sz w:val="24"/>
          <w:szCs w:val="24"/>
        </w:rPr>
      </w:pPr>
      <w:r w:rsidRPr="00076ECE">
        <w:rPr>
          <w:rFonts w:ascii="Arial" w:hAnsi="Arial" w:cs="Arial"/>
          <w:sz w:val="24"/>
          <w:szCs w:val="24"/>
        </w:rPr>
        <w:tab/>
      </w:r>
      <w:r w:rsidRPr="00076ECE">
        <w:rPr>
          <w:rFonts w:ascii="Arial" w:hAnsi="Arial" w:cs="Arial"/>
          <w:sz w:val="24"/>
          <w:szCs w:val="24"/>
        </w:rPr>
        <w:tab/>
      </w:r>
    </w:p>
    <w:p w:rsidR="00076ECE" w:rsidRPr="00076ECE" w:rsidRDefault="00076ECE" w:rsidP="00076ECE">
      <w:pPr>
        <w:tabs>
          <w:tab w:val="left" w:pos="1394"/>
          <w:tab w:val="left" w:pos="2528"/>
          <w:tab w:val="left" w:pos="3780"/>
        </w:tabs>
        <w:spacing w:after="0" w:line="360" w:lineRule="auto"/>
        <w:jc w:val="both"/>
        <w:rPr>
          <w:rFonts w:ascii="Arial" w:eastAsiaTheme="minorHAnsi" w:hAnsi="Arial" w:cs="Arial"/>
          <w:sz w:val="24"/>
          <w:szCs w:val="24"/>
          <w:lang w:val="en-US"/>
        </w:rPr>
      </w:pPr>
      <w:r w:rsidRPr="00076ECE">
        <w:rPr>
          <w:rFonts w:ascii="Arial" w:eastAsiaTheme="minorHAnsi" w:hAnsi="Arial" w:cs="Arial"/>
          <w:sz w:val="24"/>
          <w:szCs w:val="24"/>
          <w:lang w:val="en-ZA"/>
        </w:rPr>
        <w:t xml:space="preserve">Of </w:t>
      </w:r>
      <w:r w:rsidR="001622FF">
        <w:rPr>
          <w:rFonts w:ascii="Arial" w:eastAsiaTheme="minorHAnsi" w:hAnsi="Arial" w:cs="Arial"/>
          <w:sz w:val="24"/>
          <w:szCs w:val="24"/>
          <w:lang w:val="en-ZA"/>
        </w:rPr>
        <w:tab/>
      </w:r>
      <w:r w:rsidR="001622FF">
        <w:rPr>
          <w:rFonts w:ascii="Arial" w:eastAsiaTheme="minorHAnsi" w:hAnsi="Arial" w:cs="Arial"/>
          <w:sz w:val="24"/>
          <w:szCs w:val="24"/>
          <w:lang w:val="en-ZA"/>
        </w:rPr>
        <w:tab/>
        <w:t xml:space="preserve">                 </w:t>
      </w:r>
      <w:proofErr w:type="spellStart"/>
      <w:r w:rsidRPr="00076ECE">
        <w:rPr>
          <w:rFonts w:ascii="Arial" w:eastAsiaTheme="minorHAnsi" w:hAnsi="Arial" w:cs="Arial"/>
          <w:sz w:val="24"/>
          <w:szCs w:val="24"/>
          <w:lang w:val="en-ZA"/>
        </w:rPr>
        <w:t>Weder</w:t>
      </w:r>
      <w:proofErr w:type="spellEnd"/>
      <w:r w:rsidRPr="00076ECE">
        <w:rPr>
          <w:rFonts w:ascii="Arial" w:eastAsiaTheme="minorHAnsi" w:hAnsi="Arial" w:cs="Arial"/>
          <w:sz w:val="24"/>
          <w:szCs w:val="24"/>
          <w:lang w:val="en-ZA"/>
        </w:rPr>
        <w:t xml:space="preserve"> </w:t>
      </w:r>
      <w:proofErr w:type="spellStart"/>
      <w:r w:rsidRPr="00076ECE">
        <w:rPr>
          <w:rFonts w:ascii="Arial" w:eastAsiaTheme="minorHAnsi" w:hAnsi="Arial" w:cs="Arial"/>
          <w:sz w:val="24"/>
          <w:szCs w:val="24"/>
          <w:lang w:val="en-ZA"/>
        </w:rPr>
        <w:t>Kauta</w:t>
      </w:r>
      <w:proofErr w:type="spellEnd"/>
      <w:r w:rsidRPr="00076ECE">
        <w:rPr>
          <w:rFonts w:ascii="Arial" w:eastAsiaTheme="minorHAnsi" w:hAnsi="Arial" w:cs="Arial"/>
          <w:sz w:val="24"/>
          <w:szCs w:val="24"/>
          <w:lang w:val="en-ZA"/>
        </w:rPr>
        <w:t xml:space="preserve"> and </w:t>
      </w:r>
      <w:proofErr w:type="spellStart"/>
      <w:r w:rsidRPr="00076ECE">
        <w:rPr>
          <w:rFonts w:ascii="Arial" w:eastAsiaTheme="minorHAnsi" w:hAnsi="Arial" w:cs="Arial"/>
          <w:sz w:val="24"/>
          <w:szCs w:val="24"/>
          <w:lang w:val="en-ZA"/>
        </w:rPr>
        <w:t>Hoveka</w:t>
      </w:r>
      <w:proofErr w:type="spellEnd"/>
      <w:r w:rsidRPr="00076ECE">
        <w:rPr>
          <w:rFonts w:ascii="Arial" w:eastAsiaTheme="minorHAnsi" w:hAnsi="Arial" w:cs="Arial"/>
          <w:sz w:val="24"/>
          <w:szCs w:val="24"/>
          <w:lang w:val="en-ZA"/>
        </w:rPr>
        <w:t xml:space="preserve"> </w:t>
      </w:r>
      <w:proofErr w:type="spellStart"/>
      <w:r w:rsidRPr="00076ECE">
        <w:rPr>
          <w:rFonts w:ascii="Arial" w:eastAsiaTheme="minorHAnsi" w:hAnsi="Arial" w:cs="Arial"/>
          <w:sz w:val="24"/>
          <w:szCs w:val="24"/>
          <w:lang w:val="en-ZA"/>
        </w:rPr>
        <w:t>Inc</w:t>
      </w:r>
      <w:proofErr w:type="spellEnd"/>
      <w:r w:rsidRPr="00076ECE">
        <w:rPr>
          <w:rFonts w:ascii="Arial" w:eastAsiaTheme="minorHAnsi" w:hAnsi="Arial" w:cs="Arial"/>
          <w:sz w:val="24"/>
          <w:szCs w:val="24"/>
          <w:lang w:val="en-US"/>
        </w:rPr>
        <w:t xml:space="preserve">, </w:t>
      </w:r>
    </w:p>
    <w:p w:rsidR="00076ECE" w:rsidRPr="00076ECE" w:rsidRDefault="001622FF" w:rsidP="00076ECE">
      <w:pPr>
        <w:tabs>
          <w:tab w:val="left" w:pos="1394"/>
          <w:tab w:val="left" w:pos="2528"/>
          <w:tab w:val="left" w:pos="3780"/>
        </w:tabs>
        <w:spacing w:after="0" w:line="360" w:lineRule="auto"/>
        <w:jc w:val="both"/>
        <w:rPr>
          <w:rFonts w:ascii="Arial" w:eastAsiaTheme="minorHAnsi" w:hAnsi="Arial" w:cs="Arial"/>
          <w:sz w:val="24"/>
          <w:szCs w:val="24"/>
          <w:lang w:val="en-ZA"/>
        </w:rPr>
      </w:pPr>
      <w:r>
        <w:rPr>
          <w:rFonts w:ascii="Arial" w:eastAsiaTheme="minorHAnsi" w:hAnsi="Arial" w:cs="Arial"/>
          <w:sz w:val="24"/>
          <w:szCs w:val="24"/>
          <w:lang w:val="en-US"/>
        </w:rPr>
        <w:t xml:space="preserve">                                                       </w:t>
      </w:r>
      <w:r w:rsidR="00076ECE" w:rsidRPr="00076ECE">
        <w:rPr>
          <w:rFonts w:ascii="Arial" w:eastAsiaTheme="minorHAnsi" w:hAnsi="Arial" w:cs="Arial"/>
          <w:sz w:val="24"/>
          <w:szCs w:val="24"/>
          <w:lang w:val="en-US"/>
        </w:rPr>
        <w:t>Windhoek</w:t>
      </w:r>
      <w:r w:rsidR="00076ECE" w:rsidRPr="00076ECE">
        <w:rPr>
          <w:rFonts w:ascii="Arial" w:eastAsiaTheme="minorHAnsi" w:hAnsi="Arial" w:cs="Arial"/>
          <w:sz w:val="24"/>
          <w:szCs w:val="24"/>
          <w:lang w:val="en-ZA"/>
        </w:rPr>
        <w:t>.</w:t>
      </w:r>
    </w:p>
    <w:p w:rsidR="00076ECE" w:rsidRPr="00076ECE" w:rsidRDefault="00076ECE" w:rsidP="00076ECE">
      <w:pPr>
        <w:tabs>
          <w:tab w:val="left" w:pos="1394"/>
          <w:tab w:val="left" w:pos="2528"/>
          <w:tab w:val="left" w:pos="3780"/>
        </w:tabs>
        <w:spacing w:after="0" w:line="360" w:lineRule="auto"/>
        <w:jc w:val="both"/>
        <w:rPr>
          <w:rFonts w:ascii="Arial" w:eastAsia="Times New Roman" w:hAnsi="Arial" w:cs="Arial"/>
          <w:sz w:val="24"/>
          <w:szCs w:val="24"/>
        </w:rPr>
      </w:pPr>
    </w:p>
    <w:p w:rsidR="001622FF" w:rsidRPr="00076ECE" w:rsidRDefault="00076ECE" w:rsidP="001622FF">
      <w:pPr>
        <w:spacing w:after="0" w:line="360" w:lineRule="auto"/>
        <w:rPr>
          <w:rFonts w:ascii="Arial" w:eastAsiaTheme="minorHAnsi" w:hAnsi="Arial" w:cs="Arial"/>
          <w:sz w:val="24"/>
          <w:szCs w:val="24"/>
          <w:lang w:val="en-ZA"/>
        </w:rPr>
      </w:pPr>
      <w:r w:rsidRPr="00076ECE">
        <w:rPr>
          <w:rFonts w:ascii="Arial" w:hAnsi="Arial" w:cs="Arial"/>
          <w:sz w:val="24"/>
          <w:szCs w:val="24"/>
        </w:rPr>
        <w:t>DEFENDANT:</w:t>
      </w:r>
      <w:r w:rsidRPr="00076ECE">
        <w:rPr>
          <w:rFonts w:ascii="Arial" w:hAnsi="Arial" w:cs="Arial"/>
          <w:sz w:val="24"/>
          <w:szCs w:val="24"/>
        </w:rPr>
        <w:tab/>
      </w:r>
      <w:r w:rsidR="001622FF">
        <w:rPr>
          <w:rFonts w:ascii="Arial" w:hAnsi="Arial" w:cs="Arial"/>
          <w:sz w:val="24"/>
          <w:szCs w:val="24"/>
        </w:rPr>
        <w:tab/>
      </w:r>
      <w:r w:rsidR="001622FF">
        <w:rPr>
          <w:rFonts w:ascii="Arial" w:hAnsi="Arial" w:cs="Arial"/>
          <w:sz w:val="24"/>
          <w:szCs w:val="24"/>
        </w:rPr>
        <w:tab/>
      </w:r>
      <w:r w:rsidR="001622FF" w:rsidRPr="00076ECE">
        <w:rPr>
          <w:rFonts w:ascii="Arial" w:eastAsiaTheme="minorHAnsi" w:hAnsi="Arial" w:cs="Arial"/>
          <w:sz w:val="24"/>
          <w:szCs w:val="24"/>
          <w:lang w:val="en-ZA"/>
        </w:rPr>
        <w:t xml:space="preserve">Ms Astrid </w:t>
      </w:r>
      <w:proofErr w:type="spellStart"/>
      <w:r w:rsidR="001622FF" w:rsidRPr="00076ECE">
        <w:rPr>
          <w:rFonts w:ascii="Arial" w:eastAsiaTheme="minorHAnsi" w:hAnsi="Arial" w:cs="Arial"/>
          <w:sz w:val="24"/>
          <w:szCs w:val="24"/>
          <w:lang w:val="en-ZA"/>
        </w:rPr>
        <w:t>Feris</w:t>
      </w:r>
      <w:proofErr w:type="spellEnd"/>
      <w:r w:rsidR="001622FF" w:rsidRPr="00076ECE">
        <w:rPr>
          <w:rFonts w:ascii="Arial" w:eastAsiaTheme="minorHAnsi" w:hAnsi="Arial" w:cs="Arial"/>
          <w:sz w:val="24"/>
          <w:szCs w:val="24"/>
          <w:lang w:val="en-ZA"/>
        </w:rPr>
        <w:t xml:space="preserve"> </w:t>
      </w:r>
    </w:p>
    <w:p w:rsidR="00076ECE" w:rsidRPr="00076ECE" w:rsidRDefault="00076ECE" w:rsidP="00076ECE">
      <w:pPr>
        <w:spacing w:after="160" w:line="259" w:lineRule="auto"/>
        <w:rPr>
          <w:rFonts w:ascii="Arial" w:hAnsi="Arial" w:cs="Arial"/>
          <w:sz w:val="24"/>
          <w:szCs w:val="24"/>
        </w:rPr>
      </w:pPr>
    </w:p>
    <w:p w:rsidR="00076ECE" w:rsidRPr="00076ECE" w:rsidRDefault="00076ECE" w:rsidP="00076ECE">
      <w:pPr>
        <w:spacing w:after="0" w:line="360" w:lineRule="auto"/>
        <w:rPr>
          <w:rFonts w:ascii="Arial" w:eastAsiaTheme="minorHAnsi" w:hAnsi="Arial" w:cs="Arial"/>
          <w:sz w:val="24"/>
          <w:szCs w:val="24"/>
          <w:lang w:val="en-ZA"/>
        </w:rPr>
      </w:pPr>
      <w:r w:rsidRPr="00076ECE">
        <w:rPr>
          <w:rFonts w:ascii="Arial" w:eastAsiaTheme="minorHAnsi" w:hAnsi="Arial" w:cs="Arial"/>
          <w:sz w:val="24"/>
          <w:szCs w:val="24"/>
          <w:lang w:val="en-ZA"/>
        </w:rPr>
        <w:t xml:space="preserve">Of </w:t>
      </w:r>
      <w:r w:rsidR="001622FF">
        <w:rPr>
          <w:rFonts w:ascii="Arial" w:eastAsiaTheme="minorHAnsi" w:hAnsi="Arial" w:cs="Arial"/>
          <w:sz w:val="24"/>
          <w:szCs w:val="24"/>
          <w:lang w:val="en-ZA"/>
        </w:rPr>
        <w:tab/>
      </w:r>
      <w:r w:rsidR="001622FF">
        <w:rPr>
          <w:rFonts w:ascii="Arial" w:eastAsiaTheme="minorHAnsi" w:hAnsi="Arial" w:cs="Arial"/>
          <w:sz w:val="24"/>
          <w:szCs w:val="24"/>
          <w:lang w:val="en-ZA"/>
        </w:rPr>
        <w:tab/>
      </w:r>
      <w:r w:rsidR="001622FF">
        <w:rPr>
          <w:rFonts w:ascii="Arial" w:eastAsiaTheme="minorHAnsi" w:hAnsi="Arial" w:cs="Arial"/>
          <w:sz w:val="24"/>
          <w:szCs w:val="24"/>
          <w:lang w:val="en-ZA"/>
        </w:rPr>
        <w:tab/>
      </w:r>
      <w:r w:rsidR="001622FF">
        <w:rPr>
          <w:rFonts w:ascii="Arial" w:eastAsiaTheme="minorHAnsi" w:hAnsi="Arial" w:cs="Arial"/>
          <w:sz w:val="24"/>
          <w:szCs w:val="24"/>
          <w:lang w:val="en-ZA"/>
        </w:rPr>
        <w:tab/>
      </w:r>
      <w:r w:rsidR="001622FF">
        <w:rPr>
          <w:rFonts w:ascii="Arial" w:eastAsiaTheme="minorHAnsi" w:hAnsi="Arial" w:cs="Arial"/>
          <w:sz w:val="24"/>
          <w:szCs w:val="24"/>
          <w:lang w:val="en-ZA"/>
        </w:rPr>
        <w:tab/>
      </w:r>
      <w:proofErr w:type="spellStart"/>
      <w:r w:rsidRPr="00076ECE">
        <w:rPr>
          <w:rFonts w:ascii="Arial" w:eastAsiaTheme="minorHAnsi" w:hAnsi="Arial" w:cs="Arial"/>
          <w:sz w:val="24"/>
          <w:szCs w:val="24"/>
          <w:lang w:val="en-ZA"/>
        </w:rPr>
        <w:t>Sisa</w:t>
      </w:r>
      <w:proofErr w:type="spellEnd"/>
      <w:r w:rsidRPr="00076ECE">
        <w:rPr>
          <w:rFonts w:ascii="Arial" w:eastAsiaTheme="minorHAnsi" w:hAnsi="Arial" w:cs="Arial"/>
          <w:sz w:val="24"/>
          <w:szCs w:val="24"/>
          <w:lang w:val="en-ZA"/>
        </w:rPr>
        <w:t xml:space="preserve"> </w:t>
      </w:r>
      <w:proofErr w:type="spellStart"/>
      <w:r w:rsidRPr="00076ECE">
        <w:rPr>
          <w:rFonts w:ascii="Arial" w:eastAsiaTheme="minorHAnsi" w:hAnsi="Arial" w:cs="Arial"/>
          <w:sz w:val="24"/>
          <w:szCs w:val="24"/>
          <w:lang w:val="en-ZA"/>
        </w:rPr>
        <w:t>Namandje</w:t>
      </w:r>
      <w:proofErr w:type="spellEnd"/>
      <w:r w:rsidRPr="00076ECE">
        <w:rPr>
          <w:rFonts w:ascii="Arial" w:eastAsiaTheme="minorHAnsi" w:hAnsi="Arial" w:cs="Arial"/>
          <w:sz w:val="24"/>
          <w:szCs w:val="24"/>
          <w:lang w:val="en-ZA"/>
        </w:rPr>
        <w:t xml:space="preserve"> Inc. </w:t>
      </w:r>
    </w:p>
    <w:p w:rsidR="00076ECE" w:rsidRPr="00076ECE" w:rsidRDefault="00076ECE" w:rsidP="001622FF">
      <w:pPr>
        <w:spacing w:after="160" w:line="259" w:lineRule="auto"/>
        <w:ind w:left="2880" w:firstLine="720"/>
        <w:rPr>
          <w:rFonts w:asciiTheme="minorHAnsi" w:eastAsiaTheme="minorHAnsi" w:hAnsiTheme="minorHAnsi" w:cstheme="minorBidi"/>
          <w:lang w:val="en-ZA"/>
        </w:rPr>
      </w:pPr>
      <w:r w:rsidRPr="00076ECE">
        <w:rPr>
          <w:rFonts w:ascii="Arial" w:eastAsiaTheme="minorHAnsi" w:hAnsi="Arial" w:cs="Arial"/>
          <w:sz w:val="24"/>
          <w:szCs w:val="24"/>
          <w:lang w:val="en-ZA"/>
        </w:rPr>
        <w:t>Windhoek</w:t>
      </w:r>
    </w:p>
    <w:p w:rsidR="00076ECE" w:rsidRDefault="00076ECE" w:rsidP="00076ECE">
      <w:pPr>
        <w:spacing w:after="0" w:line="360" w:lineRule="auto"/>
        <w:rPr>
          <w:rFonts w:ascii="Arial" w:hAnsi="Arial" w:cs="Arial"/>
          <w:sz w:val="24"/>
          <w:szCs w:val="24"/>
        </w:rPr>
      </w:pPr>
    </w:p>
    <w:p w:rsidR="00317026" w:rsidRPr="00C2360F" w:rsidRDefault="00317026" w:rsidP="00011150">
      <w:pPr>
        <w:pStyle w:val="BodyText"/>
        <w:autoSpaceDE w:val="0"/>
        <w:autoSpaceDN w:val="0"/>
        <w:adjustRightInd w:val="0"/>
        <w:spacing w:line="360" w:lineRule="auto"/>
        <w:jc w:val="both"/>
        <w:rPr>
          <w:rFonts w:ascii="Arial" w:hAnsi="Arial" w:cs="Arial"/>
        </w:rPr>
      </w:pPr>
    </w:p>
    <w:sectPr w:rsidR="00317026" w:rsidRPr="00C2360F" w:rsidSect="00A3555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41" w:rsidRDefault="00E75D41" w:rsidP="002A43E6">
      <w:pPr>
        <w:spacing w:after="0" w:line="240" w:lineRule="auto"/>
      </w:pPr>
      <w:r>
        <w:separator/>
      </w:r>
    </w:p>
  </w:endnote>
  <w:endnote w:type="continuationSeparator" w:id="0">
    <w:p w:rsidR="00E75D41" w:rsidRDefault="00E75D41"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41" w:rsidRDefault="00E75D41" w:rsidP="002A43E6">
      <w:pPr>
        <w:spacing w:after="0" w:line="240" w:lineRule="auto"/>
      </w:pPr>
      <w:r>
        <w:separator/>
      </w:r>
    </w:p>
  </w:footnote>
  <w:footnote w:type="continuationSeparator" w:id="0">
    <w:p w:rsidR="00E75D41" w:rsidRDefault="00E75D41" w:rsidP="002A43E6">
      <w:pPr>
        <w:spacing w:after="0" w:line="240" w:lineRule="auto"/>
      </w:pPr>
      <w:r>
        <w:continuationSeparator/>
      </w:r>
    </w:p>
  </w:footnote>
  <w:footnote w:id="1">
    <w:p w:rsidR="00093FC2" w:rsidRPr="001622FF" w:rsidRDefault="00093FC2" w:rsidP="001622FF">
      <w:pPr>
        <w:pStyle w:val="FootnoteText"/>
        <w:jc w:val="both"/>
        <w:rPr>
          <w:rFonts w:ascii="Arial" w:hAnsi="Arial" w:cs="Arial"/>
          <w:lang w:val="en-US"/>
        </w:rPr>
      </w:pPr>
      <w:r w:rsidRPr="001622FF">
        <w:rPr>
          <w:rStyle w:val="FootnoteReference"/>
          <w:rFonts w:ascii="Arial" w:hAnsi="Arial" w:cs="Arial"/>
        </w:rPr>
        <w:footnoteRef/>
      </w:r>
      <w:r w:rsidRPr="001622FF">
        <w:rPr>
          <w:rFonts w:ascii="Arial" w:hAnsi="Arial" w:cs="Arial"/>
        </w:rPr>
        <w:t xml:space="preserve"> See </w:t>
      </w:r>
      <w:r w:rsidRPr="001622FF">
        <w:rPr>
          <w:rFonts w:ascii="Arial" w:hAnsi="Arial" w:cs="Arial"/>
          <w:i/>
        </w:rPr>
        <w:t xml:space="preserve">Lee’s Investment (Pty) Ltd v </w:t>
      </w:r>
      <w:proofErr w:type="spellStart"/>
      <w:r w:rsidRPr="001622FF">
        <w:rPr>
          <w:rFonts w:ascii="Arial" w:hAnsi="Arial" w:cs="Arial"/>
          <w:i/>
        </w:rPr>
        <w:t>Shikongo</w:t>
      </w:r>
      <w:proofErr w:type="spellEnd"/>
      <w:r w:rsidR="00BE121E" w:rsidRPr="001622FF">
        <w:rPr>
          <w:rFonts w:ascii="Arial" w:eastAsia="Times New Roman" w:hAnsi="Arial" w:cs="Arial"/>
          <w:sz w:val="24"/>
          <w:szCs w:val="24"/>
        </w:rPr>
        <w:t xml:space="preserve"> </w:t>
      </w:r>
      <w:r w:rsidR="00BE121E" w:rsidRPr="001622FF">
        <w:rPr>
          <w:rFonts w:ascii="Arial" w:hAnsi="Arial" w:cs="Arial"/>
          <w:i/>
        </w:rPr>
        <w:t>HC-MD-CIV-ACT-CON-2016/03394) [2018] NAHCMD 321 (12 October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2035"/>
      <w:docPartObj>
        <w:docPartGallery w:val="Page Numbers (Top of Page)"/>
        <w:docPartUnique/>
      </w:docPartObj>
    </w:sdtPr>
    <w:sdtEndPr>
      <w:rPr>
        <w:noProof/>
      </w:rPr>
    </w:sdtEndPr>
    <w:sdtContent>
      <w:p w:rsidR="00BC3FA6" w:rsidRDefault="00BC3FA6">
        <w:pPr>
          <w:pStyle w:val="Header"/>
          <w:jc w:val="right"/>
        </w:pPr>
        <w:r>
          <w:fldChar w:fldCharType="begin"/>
        </w:r>
        <w:r>
          <w:instrText xml:space="preserve"> PAGE   \* MERGEFORMAT </w:instrText>
        </w:r>
        <w:r>
          <w:fldChar w:fldCharType="separate"/>
        </w:r>
        <w:r w:rsidR="00B715CD">
          <w:rPr>
            <w:noProof/>
          </w:rPr>
          <w:t>10</w:t>
        </w:r>
        <w:r>
          <w:rPr>
            <w:noProof/>
          </w:rPr>
          <w:fldChar w:fldCharType="end"/>
        </w:r>
      </w:p>
    </w:sdtContent>
  </w:sdt>
  <w:p w:rsidR="00BC3FA6" w:rsidRDefault="00BC3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B2618"/>
    <w:multiLevelType w:val="hybridMultilevel"/>
    <w:tmpl w:val="AA36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9316D"/>
    <w:multiLevelType w:val="hybridMultilevel"/>
    <w:tmpl w:val="FA10D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E14F2"/>
    <w:multiLevelType w:val="hybridMultilevel"/>
    <w:tmpl w:val="33CEE7E2"/>
    <w:lvl w:ilvl="0" w:tplc="2598A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78"/>
    <w:rsid w:val="00011150"/>
    <w:rsid w:val="000135A9"/>
    <w:rsid w:val="000278C6"/>
    <w:rsid w:val="00033C55"/>
    <w:rsid w:val="00035AD1"/>
    <w:rsid w:val="00042D0A"/>
    <w:rsid w:val="00076ECE"/>
    <w:rsid w:val="000772C0"/>
    <w:rsid w:val="00087D20"/>
    <w:rsid w:val="00092EE7"/>
    <w:rsid w:val="00093FC2"/>
    <w:rsid w:val="000B1E15"/>
    <w:rsid w:val="000B50C7"/>
    <w:rsid w:val="000C740D"/>
    <w:rsid w:val="000D6557"/>
    <w:rsid w:val="001150F4"/>
    <w:rsid w:val="00123549"/>
    <w:rsid w:val="00131626"/>
    <w:rsid w:val="00141DFC"/>
    <w:rsid w:val="00157F44"/>
    <w:rsid w:val="001622FF"/>
    <w:rsid w:val="0017048A"/>
    <w:rsid w:val="001712C4"/>
    <w:rsid w:val="00196B00"/>
    <w:rsid w:val="001A05DE"/>
    <w:rsid w:val="001C735A"/>
    <w:rsid w:val="001D3AEC"/>
    <w:rsid w:val="001E7287"/>
    <w:rsid w:val="001F4DFF"/>
    <w:rsid w:val="0020233C"/>
    <w:rsid w:val="002029F8"/>
    <w:rsid w:val="0020590D"/>
    <w:rsid w:val="002227B6"/>
    <w:rsid w:val="00222DE9"/>
    <w:rsid w:val="00230E12"/>
    <w:rsid w:val="0023274C"/>
    <w:rsid w:val="002461E3"/>
    <w:rsid w:val="00261C6C"/>
    <w:rsid w:val="0026303F"/>
    <w:rsid w:val="002674EF"/>
    <w:rsid w:val="00274409"/>
    <w:rsid w:val="0028186E"/>
    <w:rsid w:val="00287843"/>
    <w:rsid w:val="00294B7A"/>
    <w:rsid w:val="00295EAE"/>
    <w:rsid w:val="00296455"/>
    <w:rsid w:val="00296A39"/>
    <w:rsid w:val="002A43E6"/>
    <w:rsid w:val="002A6E64"/>
    <w:rsid w:val="002B2DC4"/>
    <w:rsid w:val="002B682B"/>
    <w:rsid w:val="002C36C9"/>
    <w:rsid w:val="002E1EA2"/>
    <w:rsid w:val="002E1F67"/>
    <w:rsid w:val="002E38A0"/>
    <w:rsid w:val="002E3B75"/>
    <w:rsid w:val="002E5DA0"/>
    <w:rsid w:val="002F6923"/>
    <w:rsid w:val="00310460"/>
    <w:rsid w:val="00310762"/>
    <w:rsid w:val="00315186"/>
    <w:rsid w:val="00317026"/>
    <w:rsid w:val="003208B6"/>
    <w:rsid w:val="00320B49"/>
    <w:rsid w:val="00322264"/>
    <w:rsid w:val="00335BE7"/>
    <w:rsid w:val="00353EB8"/>
    <w:rsid w:val="00357A66"/>
    <w:rsid w:val="00371E44"/>
    <w:rsid w:val="0037692D"/>
    <w:rsid w:val="00386460"/>
    <w:rsid w:val="003922A0"/>
    <w:rsid w:val="00397682"/>
    <w:rsid w:val="003A101A"/>
    <w:rsid w:val="003B0192"/>
    <w:rsid w:val="003B26BF"/>
    <w:rsid w:val="003C644D"/>
    <w:rsid w:val="003D3656"/>
    <w:rsid w:val="003E2251"/>
    <w:rsid w:val="003F17F6"/>
    <w:rsid w:val="003F269C"/>
    <w:rsid w:val="00403B56"/>
    <w:rsid w:val="004169FD"/>
    <w:rsid w:val="004203A9"/>
    <w:rsid w:val="00440824"/>
    <w:rsid w:val="004472E4"/>
    <w:rsid w:val="00452C38"/>
    <w:rsid w:val="004644B1"/>
    <w:rsid w:val="00466602"/>
    <w:rsid w:val="004716DD"/>
    <w:rsid w:val="004738A9"/>
    <w:rsid w:val="004943E5"/>
    <w:rsid w:val="004A3309"/>
    <w:rsid w:val="004A5575"/>
    <w:rsid w:val="004B21BB"/>
    <w:rsid w:val="004C14DE"/>
    <w:rsid w:val="004C35F5"/>
    <w:rsid w:val="004C62E4"/>
    <w:rsid w:val="004C699B"/>
    <w:rsid w:val="004E1CA9"/>
    <w:rsid w:val="004E5570"/>
    <w:rsid w:val="004F7DC7"/>
    <w:rsid w:val="0054491D"/>
    <w:rsid w:val="00554A0F"/>
    <w:rsid w:val="0057590A"/>
    <w:rsid w:val="00581EE2"/>
    <w:rsid w:val="00585C26"/>
    <w:rsid w:val="005947C0"/>
    <w:rsid w:val="005A235B"/>
    <w:rsid w:val="005A30FE"/>
    <w:rsid w:val="005A7CC8"/>
    <w:rsid w:val="005B3299"/>
    <w:rsid w:val="005C1D07"/>
    <w:rsid w:val="005C7399"/>
    <w:rsid w:val="005D76D4"/>
    <w:rsid w:val="005E0688"/>
    <w:rsid w:val="00604EF6"/>
    <w:rsid w:val="00624879"/>
    <w:rsid w:val="00627E33"/>
    <w:rsid w:val="00640256"/>
    <w:rsid w:val="0064152B"/>
    <w:rsid w:val="00671F5B"/>
    <w:rsid w:val="0067422E"/>
    <w:rsid w:val="006B7CE4"/>
    <w:rsid w:val="006C72CA"/>
    <w:rsid w:val="006D1C33"/>
    <w:rsid w:val="006E5FC7"/>
    <w:rsid w:val="006F18C6"/>
    <w:rsid w:val="007031A5"/>
    <w:rsid w:val="00704DDC"/>
    <w:rsid w:val="007264CE"/>
    <w:rsid w:val="00730DA7"/>
    <w:rsid w:val="007413CA"/>
    <w:rsid w:val="007437F3"/>
    <w:rsid w:val="00762D31"/>
    <w:rsid w:val="00772C4E"/>
    <w:rsid w:val="00780808"/>
    <w:rsid w:val="00780F98"/>
    <w:rsid w:val="0078329D"/>
    <w:rsid w:val="00787236"/>
    <w:rsid w:val="007A51BD"/>
    <w:rsid w:val="007A73AC"/>
    <w:rsid w:val="007B5892"/>
    <w:rsid w:val="007C5CC4"/>
    <w:rsid w:val="007D03FB"/>
    <w:rsid w:val="007D2625"/>
    <w:rsid w:val="007D4E32"/>
    <w:rsid w:val="007E7D82"/>
    <w:rsid w:val="00805107"/>
    <w:rsid w:val="008115A0"/>
    <w:rsid w:val="00813D95"/>
    <w:rsid w:val="00831649"/>
    <w:rsid w:val="00837050"/>
    <w:rsid w:val="00873E40"/>
    <w:rsid w:val="00892821"/>
    <w:rsid w:val="00894DC5"/>
    <w:rsid w:val="008969EA"/>
    <w:rsid w:val="008A085F"/>
    <w:rsid w:val="008B22D1"/>
    <w:rsid w:val="008B31D3"/>
    <w:rsid w:val="008B6782"/>
    <w:rsid w:val="008E6F08"/>
    <w:rsid w:val="008E6F8F"/>
    <w:rsid w:val="00903F43"/>
    <w:rsid w:val="0090414F"/>
    <w:rsid w:val="00905126"/>
    <w:rsid w:val="00915809"/>
    <w:rsid w:val="009207D2"/>
    <w:rsid w:val="00942AA3"/>
    <w:rsid w:val="0095070C"/>
    <w:rsid w:val="00987D39"/>
    <w:rsid w:val="0099763C"/>
    <w:rsid w:val="009A1C4A"/>
    <w:rsid w:val="009A1DBE"/>
    <w:rsid w:val="009B48E9"/>
    <w:rsid w:val="009D1CCE"/>
    <w:rsid w:val="009D37AE"/>
    <w:rsid w:val="009F363F"/>
    <w:rsid w:val="009F492A"/>
    <w:rsid w:val="00A07C88"/>
    <w:rsid w:val="00A11F63"/>
    <w:rsid w:val="00A25A30"/>
    <w:rsid w:val="00A32216"/>
    <w:rsid w:val="00A35552"/>
    <w:rsid w:val="00A4112E"/>
    <w:rsid w:val="00A50E18"/>
    <w:rsid w:val="00A5227D"/>
    <w:rsid w:val="00A56A57"/>
    <w:rsid w:val="00A65982"/>
    <w:rsid w:val="00A67A34"/>
    <w:rsid w:val="00A771EF"/>
    <w:rsid w:val="00A77C8A"/>
    <w:rsid w:val="00A843B8"/>
    <w:rsid w:val="00A85261"/>
    <w:rsid w:val="00AA7E17"/>
    <w:rsid w:val="00AB11FB"/>
    <w:rsid w:val="00AC49A9"/>
    <w:rsid w:val="00AC528B"/>
    <w:rsid w:val="00AD6E69"/>
    <w:rsid w:val="00AE6D89"/>
    <w:rsid w:val="00AF3776"/>
    <w:rsid w:val="00B02DE8"/>
    <w:rsid w:val="00B139BA"/>
    <w:rsid w:val="00B378BE"/>
    <w:rsid w:val="00B5195B"/>
    <w:rsid w:val="00B551AA"/>
    <w:rsid w:val="00B55913"/>
    <w:rsid w:val="00B64064"/>
    <w:rsid w:val="00B664A6"/>
    <w:rsid w:val="00B715CD"/>
    <w:rsid w:val="00B928B2"/>
    <w:rsid w:val="00BB0E43"/>
    <w:rsid w:val="00BB268B"/>
    <w:rsid w:val="00BC04B7"/>
    <w:rsid w:val="00BC3FA6"/>
    <w:rsid w:val="00BC5F13"/>
    <w:rsid w:val="00BD3164"/>
    <w:rsid w:val="00BE121E"/>
    <w:rsid w:val="00BE2074"/>
    <w:rsid w:val="00BE5B2F"/>
    <w:rsid w:val="00BE7F37"/>
    <w:rsid w:val="00C06CAF"/>
    <w:rsid w:val="00C152EE"/>
    <w:rsid w:val="00C15915"/>
    <w:rsid w:val="00C16EC5"/>
    <w:rsid w:val="00C2360F"/>
    <w:rsid w:val="00C2375F"/>
    <w:rsid w:val="00C31710"/>
    <w:rsid w:val="00C3286C"/>
    <w:rsid w:val="00C33FFD"/>
    <w:rsid w:val="00C42580"/>
    <w:rsid w:val="00C470FF"/>
    <w:rsid w:val="00C558D8"/>
    <w:rsid w:val="00C71204"/>
    <w:rsid w:val="00C85FA3"/>
    <w:rsid w:val="00C96D36"/>
    <w:rsid w:val="00CA7771"/>
    <w:rsid w:val="00CB02A1"/>
    <w:rsid w:val="00CE4588"/>
    <w:rsid w:val="00D12998"/>
    <w:rsid w:val="00D17C8B"/>
    <w:rsid w:val="00D20984"/>
    <w:rsid w:val="00D20CC4"/>
    <w:rsid w:val="00D31070"/>
    <w:rsid w:val="00D34EF1"/>
    <w:rsid w:val="00D3730A"/>
    <w:rsid w:val="00D811BB"/>
    <w:rsid w:val="00DA142B"/>
    <w:rsid w:val="00DA2CE1"/>
    <w:rsid w:val="00DD198B"/>
    <w:rsid w:val="00DD763D"/>
    <w:rsid w:val="00DF362F"/>
    <w:rsid w:val="00E1574C"/>
    <w:rsid w:val="00E15AC1"/>
    <w:rsid w:val="00E25E71"/>
    <w:rsid w:val="00E3723F"/>
    <w:rsid w:val="00E4771E"/>
    <w:rsid w:val="00E47EA2"/>
    <w:rsid w:val="00E55009"/>
    <w:rsid w:val="00E60EEC"/>
    <w:rsid w:val="00E65809"/>
    <w:rsid w:val="00E66933"/>
    <w:rsid w:val="00E75D41"/>
    <w:rsid w:val="00E90B64"/>
    <w:rsid w:val="00E97F31"/>
    <w:rsid w:val="00EB3349"/>
    <w:rsid w:val="00ED6882"/>
    <w:rsid w:val="00EE2B3E"/>
    <w:rsid w:val="00EF2E53"/>
    <w:rsid w:val="00EF3711"/>
    <w:rsid w:val="00EF49A0"/>
    <w:rsid w:val="00F02CF7"/>
    <w:rsid w:val="00F1064E"/>
    <w:rsid w:val="00F12949"/>
    <w:rsid w:val="00F15E61"/>
    <w:rsid w:val="00F17BA8"/>
    <w:rsid w:val="00F22AA5"/>
    <w:rsid w:val="00F25C69"/>
    <w:rsid w:val="00F34378"/>
    <w:rsid w:val="00F44E19"/>
    <w:rsid w:val="00F4619E"/>
    <w:rsid w:val="00F5107E"/>
    <w:rsid w:val="00F51FE7"/>
    <w:rsid w:val="00F5350C"/>
    <w:rsid w:val="00F65B06"/>
    <w:rsid w:val="00F66E7C"/>
    <w:rsid w:val="00F8228E"/>
    <w:rsid w:val="00F95B4B"/>
    <w:rsid w:val="00FA12C3"/>
    <w:rsid w:val="00FD7950"/>
    <w:rsid w:val="00FD7E85"/>
    <w:rsid w:val="00FE1372"/>
    <w:rsid w:val="00FE2178"/>
    <w:rsid w:val="00FE3790"/>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7D314-D69B-45D5-B03A-D5881C55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 w:type="paragraph" w:styleId="NoSpacing">
    <w:name w:val="No Spacing"/>
    <w:uiPriority w:val="1"/>
    <w:qFormat/>
    <w:rsid w:val="008B31D3"/>
    <w:pPr>
      <w:spacing w:line="240" w:lineRule="auto"/>
    </w:pPr>
    <w:rPr>
      <w:rFonts w:asciiTheme="minorHAnsi" w:hAnsiTheme="minorHAnsi"/>
      <w:sz w:val="22"/>
      <w:lang w:val="en-ZA"/>
    </w:rPr>
  </w:style>
  <w:style w:type="table" w:styleId="TableGrid">
    <w:name w:val="Table Grid"/>
    <w:basedOn w:val="TableNormal"/>
    <w:uiPriority w:val="39"/>
    <w:rsid w:val="002E38A0"/>
    <w:pPr>
      <w:spacing w:line="240" w:lineRule="auto"/>
    </w:pPr>
    <w:rPr>
      <w:rFonts w:asciiTheme="minorHAnsi" w:hAnsiTheme="minorHAnsi"/>
      <w:sz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 w:id="5434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2020-02-06T18:30:00+00:00</Judgment_x0020_Date>
    <Year xmlns="c1afb1bd-f2fb-40fd-9abb-aea55b4d7662">2020</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D72D-047A-459E-9369-6ACF64351881}"/>
</file>

<file path=customXml/itemProps2.xml><?xml version="1.0" encoding="utf-8"?>
<ds:datastoreItem xmlns:ds="http://schemas.openxmlformats.org/officeDocument/2006/customXml" ds:itemID="{26C96480-AC19-4DEF-BA02-0FC0A0539658}"/>
</file>

<file path=customXml/itemProps3.xml><?xml version="1.0" encoding="utf-8"?>
<ds:datastoreItem xmlns:ds="http://schemas.openxmlformats.org/officeDocument/2006/customXml" ds:itemID="{FB80CD35-1B5D-4853-8FBC-9A991B36FC42}"/>
</file>

<file path=customXml/itemProps4.xml><?xml version="1.0" encoding="utf-8"?>
<ds:datastoreItem xmlns:ds="http://schemas.openxmlformats.org/officeDocument/2006/customXml" ds:itemID="{419AF9B1-9ED4-43B1-9A59-7B3056923CDA}"/>
</file>

<file path=docProps/app.xml><?xml version="1.0" encoding="utf-8"?>
<Properties xmlns="http://schemas.openxmlformats.org/officeDocument/2006/extended-properties" xmlns:vt="http://schemas.openxmlformats.org/officeDocument/2006/docPropsVTypes">
  <Template>Normal</Template>
  <TotalTime>3</TotalTime>
  <Pages>10</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Nicolene Griffiths</dc:creator>
  <cp:lastModifiedBy>Lotta N. Ambunda</cp:lastModifiedBy>
  <cp:revision>3</cp:revision>
  <cp:lastPrinted>2020-02-14T13:40:00Z</cp:lastPrinted>
  <dcterms:created xsi:type="dcterms:W3CDTF">2020-02-14T14:14:00Z</dcterms:created>
  <dcterms:modified xsi:type="dcterms:W3CDTF">2020-02-17T09:01:00Z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