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83450" w14:textId="77777777" w:rsidR="00A973A4" w:rsidRPr="006E026B" w:rsidRDefault="006D4D17" w:rsidP="00A973A4">
      <w:pPr>
        <w:spacing w:line="360" w:lineRule="auto"/>
        <w:jc w:val="center"/>
        <w:rPr>
          <w:rFonts w:ascii="Arial" w:hAnsi="Arial" w:cs="Arial"/>
          <w:b/>
        </w:rPr>
      </w:pPr>
      <w:r>
        <w:rPr>
          <w:rFonts w:ascii="Arial" w:hAnsi="Arial" w:cs="Arial"/>
          <w:b/>
          <w:noProof/>
        </w:rPr>
        <mc:AlternateContent>
          <mc:Choice Requires="wps">
            <w:drawing>
              <wp:anchor distT="0" distB="0" distL="114300" distR="114300" simplePos="0" relativeHeight="251659264" behindDoc="0" locked="0" layoutInCell="1" allowOverlap="1" wp14:anchorId="45176697" wp14:editId="2DC78660">
                <wp:simplePos x="0" y="0"/>
                <wp:positionH relativeFrom="column">
                  <wp:posOffset>4552950</wp:posOffset>
                </wp:positionH>
                <wp:positionV relativeFrom="paragraph">
                  <wp:posOffset>-57150</wp:posOffset>
                </wp:positionV>
                <wp:extent cx="1562100" cy="247650"/>
                <wp:effectExtent l="9525" t="825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31F0F0B" w14:textId="77777777" w:rsidR="004D1653" w:rsidRDefault="004D1653" w:rsidP="00A973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76697" id="_x0000_t202" coordsize="21600,21600" o:spt="202" path="m,l,21600r21600,l21600,xe">
                <v:stroke joinstyle="miter"/>
                <v:path gradientshapeok="t" o:connecttype="rect"/>
              </v:shapetype>
              <v:shape id="Text Box 5"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9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d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kf06fSgCAABQBAAADgAAAAAAAAAAAAAAAAAuAgAAZHJzL2Uy&#10;b0RvYy54bWxQSwECLQAUAAYACAAAACEAT6Rysd8AAAAJAQAADwAAAAAAAAAAAAAAAACCBAAAZHJz&#10;L2Rvd25yZXYueG1sUEsFBgAAAAAEAAQA8wAAAI4FAAAAAA==&#10;" strokecolor="white">
                <v:textbox>
                  <w:txbxContent>
                    <w:p w14:paraId="431F0F0B" w14:textId="77777777" w:rsidR="004D1653" w:rsidRDefault="004D1653" w:rsidP="00A973A4">
                      <w:pPr>
                        <w:jc w:val="center"/>
                      </w:pPr>
                    </w:p>
                  </w:txbxContent>
                </v:textbox>
              </v:shape>
            </w:pict>
          </mc:Fallback>
        </mc:AlternateContent>
      </w:r>
      <w:r w:rsidR="00A973A4" w:rsidRPr="006E026B">
        <w:rPr>
          <w:rFonts w:ascii="Arial" w:hAnsi="Arial" w:cs="Arial"/>
          <w:b/>
        </w:rPr>
        <w:t>REPUBLIC OF NAMIBIA</w:t>
      </w:r>
    </w:p>
    <w:p w14:paraId="4E6B9AAF" w14:textId="77777777" w:rsidR="00A973A4" w:rsidRDefault="00A973A4" w:rsidP="00A973A4">
      <w:pPr>
        <w:jc w:val="center"/>
        <w:rPr>
          <w:b/>
          <w:noProof/>
          <w:sz w:val="32"/>
          <w:szCs w:val="32"/>
        </w:rPr>
      </w:pPr>
      <w:r w:rsidRPr="00552306">
        <w:rPr>
          <w:b/>
          <w:noProof/>
          <w:sz w:val="32"/>
          <w:szCs w:val="32"/>
        </w:rPr>
        <w:drawing>
          <wp:inline distT="0" distB="0" distL="0" distR="0" wp14:anchorId="5A7AE159" wp14:editId="3723F052">
            <wp:extent cx="1276350" cy="1323975"/>
            <wp:effectExtent l="0" t="0" r="0" b="0"/>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14:paraId="1119F934" w14:textId="77777777" w:rsidR="00A973A4" w:rsidRDefault="00A973A4" w:rsidP="00A973A4">
      <w:pPr>
        <w:jc w:val="center"/>
        <w:rPr>
          <w:b/>
          <w:sz w:val="32"/>
          <w:szCs w:val="32"/>
        </w:rPr>
      </w:pPr>
    </w:p>
    <w:p w14:paraId="2C79FA43" w14:textId="77777777" w:rsidR="00A973A4" w:rsidRPr="006E026B" w:rsidRDefault="00A973A4" w:rsidP="00A973A4">
      <w:pPr>
        <w:jc w:val="center"/>
        <w:rPr>
          <w:rFonts w:ascii="Arial" w:hAnsi="Arial" w:cs="Arial"/>
          <w:bCs/>
        </w:rPr>
      </w:pPr>
      <w:r w:rsidRPr="006E026B">
        <w:rPr>
          <w:rFonts w:ascii="Arial" w:hAnsi="Arial" w:cs="Arial"/>
          <w:b/>
        </w:rPr>
        <w:t>HIGH COURT OF NAMIBIA</w:t>
      </w:r>
      <w:r>
        <w:rPr>
          <w:rFonts w:ascii="Arial" w:hAnsi="Arial" w:cs="Arial"/>
          <w:b/>
        </w:rPr>
        <w:t>,</w:t>
      </w:r>
      <w:r w:rsidRPr="006E026B">
        <w:rPr>
          <w:rFonts w:ascii="Arial" w:hAnsi="Arial" w:cs="Arial"/>
          <w:b/>
        </w:rPr>
        <w:t xml:space="preserve"> MAIN DIVISION, WINDHOEK</w:t>
      </w:r>
    </w:p>
    <w:p w14:paraId="5E82A2EC" w14:textId="77777777" w:rsidR="00A973A4" w:rsidRPr="005C41E7" w:rsidRDefault="00A973A4" w:rsidP="00A973A4">
      <w:pPr>
        <w:spacing w:line="360" w:lineRule="auto"/>
        <w:jc w:val="center"/>
        <w:rPr>
          <w:rFonts w:ascii="Arial" w:hAnsi="Arial" w:cs="Arial"/>
          <w:b/>
          <w:sz w:val="10"/>
          <w:szCs w:val="10"/>
        </w:rPr>
      </w:pPr>
    </w:p>
    <w:p w14:paraId="54B1159E" w14:textId="77777777" w:rsidR="00CF14F6" w:rsidRDefault="00CF14F6" w:rsidP="00A973A4">
      <w:pPr>
        <w:spacing w:line="360" w:lineRule="auto"/>
        <w:jc w:val="center"/>
        <w:rPr>
          <w:rFonts w:ascii="Arial" w:hAnsi="Arial" w:cs="Arial"/>
          <w:b/>
        </w:rPr>
      </w:pPr>
    </w:p>
    <w:p w14:paraId="28973F18" w14:textId="77777777" w:rsidR="00A973A4" w:rsidRDefault="00CF14F6" w:rsidP="00A973A4">
      <w:pPr>
        <w:spacing w:line="360" w:lineRule="auto"/>
        <w:jc w:val="center"/>
        <w:rPr>
          <w:rFonts w:ascii="Arial" w:hAnsi="Arial" w:cs="Arial"/>
          <w:b/>
        </w:rPr>
      </w:pPr>
      <w:r>
        <w:rPr>
          <w:rFonts w:ascii="Arial" w:hAnsi="Arial" w:cs="Arial"/>
          <w:b/>
        </w:rPr>
        <w:t>RULING</w:t>
      </w:r>
    </w:p>
    <w:p w14:paraId="4D5C3663" w14:textId="77777777" w:rsidR="00A973A4" w:rsidRPr="00E379C9" w:rsidRDefault="00A973A4" w:rsidP="00A973A4">
      <w:pPr>
        <w:spacing w:line="360" w:lineRule="auto"/>
        <w:jc w:val="both"/>
        <w:rPr>
          <w:rFonts w:ascii="Arial" w:hAnsi="Arial" w:cs="Arial"/>
          <w:b/>
        </w:rPr>
      </w:pPr>
    </w:p>
    <w:p w14:paraId="659F566B" w14:textId="77777777" w:rsidR="00A973A4" w:rsidRPr="001B7E1F" w:rsidRDefault="00A973A4" w:rsidP="006D4D17">
      <w:pPr>
        <w:tabs>
          <w:tab w:val="right" w:pos="9000"/>
        </w:tabs>
        <w:spacing w:line="360" w:lineRule="auto"/>
        <w:jc w:val="right"/>
        <w:rPr>
          <w:rFonts w:ascii="Arial" w:hAnsi="Arial" w:cs="Arial"/>
          <w:b/>
        </w:rPr>
      </w:pPr>
      <w:r>
        <w:rPr>
          <w:rFonts w:ascii="Arial" w:hAnsi="Arial" w:cs="Arial"/>
          <w:b/>
        </w:rPr>
        <w:t xml:space="preserve">                                                </w:t>
      </w:r>
      <w:r w:rsidRPr="006E026B">
        <w:rPr>
          <w:rFonts w:ascii="Arial" w:hAnsi="Arial" w:cs="Arial"/>
        </w:rPr>
        <w:t>Case no</w:t>
      </w:r>
      <w:r w:rsidR="00CF14F6">
        <w:rPr>
          <w:rFonts w:ascii="Arial" w:hAnsi="Arial" w:cs="Arial"/>
        </w:rPr>
        <w:t>: HC-MD-CIV-MOT-GEN-2019-000195</w:t>
      </w:r>
      <w:r w:rsidRPr="006E026B">
        <w:rPr>
          <w:rFonts w:ascii="Arial" w:hAnsi="Arial" w:cs="Arial"/>
        </w:rPr>
        <w:t xml:space="preserve"> </w:t>
      </w:r>
    </w:p>
    <w:p w14:paraId="2CC33AA3" w14:textId="77777777" w:rsidR="00A973A4" w:rsidRPr="00A973A4" w:rsidRDefault="00A973A4" w:rsidP="00A973A4">
      <w:pPr>
        <w:spacing w:line="360" w:lineRule="auto"/>
        <w:rPr>
          <w:rFonts w:ascii="Arial" w:hAnsi="Arial" w:cs="Arial"/>
        </w:rPr>
      </w:pPr>
    </w:p>
    <w:p w14:paraId="58AD4B0B" w14:textId="77777777" w:rsidR="00A973A4" w:rsidRPr="00A973A4" w:rsidRDefault="00A973A4" w:rsidP="00A973A4">
      <w:pPr>
        <w:spacing w:line="360" w:lineRule="auto"/>
        <w:jc w:val="both"/>
        <w:rPr>
          <w:rFonts w:ascii="Arial" w:hAnsi="Arial" w:cs="Arial"/>
        </w:rPr>
      </w:pPr>
      <w:r w:rsidRPr="00A973A4">
        <w:rPr>
          <w:rFonts w:ascii="Arial" w:hAnsi="Arial" w:cs="Arial"/>
        </w:rPr>
        <w:t>In the matter between:</w:t>
      </w:r>
    </w:p>
    <w:p w14:paraId="0B24B7F2" w14:textId="77777777" w:rsidR="00A973A4" w:rsidRPr="00A973A4" w:rsidRDefault="00A973A4" w:rsidP="00A973A4">
      <w:pPr>
        <w:pStyle w:val="Heading4"/>
        <w:tabs>
          <w:tab w:val="right" w:pos="9000"/>
        </w:tabs>
        <w:spacing w:line="360" w:lineRule="auto"/>
        <w:jc w:val="both"/>
        <w:rPr>
          <w:rFonts w:ascii="Arial" w:hAnsi="Arial" w:cs="Arial"/>
          <w:b/>
          <w:i w:val="0"/>
          <w:iCs w:val="0"/>
        </w:rPr>
      </w:pPr>
    </w:p>
    <w:p w14:paraId="1AB17551" w14:textId="74C97D04" w:rsidR="00A973A4" w:rsidRPr="00535EE6" w:rsidRDefault="00535EE6" w:rsidP="00A973A4">
      <w:pPr>
        <w:spacing w:line="360" w:lineRule="auto"/>
        <w:jc w:val="both"/>
        <w:rPr>
          <w:rFonts w:ascii="Arial" w:hAnsi="Arial" w:cs="Arial"/>
          <w:b/>
        </w:rPr>
      </w:pPr>
      <w:r>
        <w:rPr>
          <w:rFonts w:ascii="Arial" w:hAnsi="Arial" w:cs="Arial"/>
          <w:b/>
        </w:rPr>
        <w:t>M G M PROPERTIES (PTY) LTD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863755">
        <w:rPr>
          <w:rFonts w:ascii="Arial" w:hAnsi="Arial" w:cs="Arial"/>
          <w:b/>
        </w:rPr>
        <w:t xml:space="preserve">      </w:t>
      </w:r>
      <w:r>
        <w:rPr>
          <w:rFonts w:ascii="Arial" w:hAnsi="Arial" w:cs="Arial"/>
          <w:b/>
        </w:rPr>
        <w:t>APPLICANT</w:t>
      </w:r>
    </w:p>
    <w:p w14:paraId="24EE52F5" w14:textId="77777777" w:rsidR="00535EE6" w:rsidRDefault="00535EE6" w:rsidP="00A973A4">
      <w:pPr>
        <w:spacing w:line="360" w:lineRule="auto"/>
        <w:jc w:val="both"/>
        <w:rPr>
          <w:rFonts w:ascii="Arial" w:hAnsi="Arial" w:cs="Arial"/>
        </w:rPr>
      </w:pPr>
    </w:p>
    <w:p w14:paraId="65F15320" w14:textId="77777777" w:rsidR="00A973A4" w:rsidRPr="00A973A4" w:rsidRDefault="00A973A4" w:rsidP="00A973A4">
      <w:pPr>
        <w:spacing w:line="360" w:lineRule="auto"/>
        <w:jc w:val="both"/>
        <w:rPr>
          <w:rFonts w:ascii="Arial" w:hAnsi="Arial" w:cs="Arial"/>
        </w:rPr>
      </w:pPr>
      <w:proofErr w:type="gramStart"/>
      <w:r w:rsidRPr="00A973A4">
        <w:rPr>
          <w:rFonts w:ascii="Arial" w:hAnsi="Arial" w:cs="Arial"/>
        </w:rPr>
        <w:t>and</w:t>
      </w:r>
      <w:proofErr w:type="gramEnd"/>
    </w:p>
    <w:p w14:paraId="760ECF75" w14:textId="77777777" w:rsidR="00A973A4" w:rsidRPr="001A0D6B" w:rsidRDefault="00A973A4" w:rsidP="00A973A4">
      <w:pPr>
        <w:spacing w:line="360" w:lineRule="auto"/>
        <w:jc w:val="both"/>
        <w:rPr>
          <w:rFonts w:ascii="Arial" w:hAnsi="Arial" w:cs="Arial"/>
        </w:rPr>
      </w:pPr>
    </w:p>
    <w:p w14:paraId="3139BDBB" w14:textId="77777777" w:rsidR="006E236B" w:rsidRDefault="00CF14F6" w:rsidP="00A973A4">
      <w:pPr>
        <w:spacing w:line="360" w:lineRule="auto"/>
        <w:rPr>
          <w:rFonts w:ascii="Arial" w:hAnsi="Arial" w:cs="Arial"/>
          <w:b/>
          <w:bCs/>
        </w:rPr>
      </w:pPr>
      <w:r>
        <w:rPr>
          <w:rFonts w:ascii="Arial" w:hAnsi="Arial" w:cs="Arial"/>
          <w:b/>
          <w:bCs/>
        </w:rPr>
        <w:t>BANK WINDHOEK LIMITED</w:t>
      </w:r>
      <w:r>
        <w:rPr>
          <w:rFonts w:ascii="Arial" w:hAnsi="Arial" w:cs="Arial"/>
          <w:b/>
          <w:bCs/>
        </w:rPr>
        <w:tab/>
      </w:r>
      <w:r>
        <w:rPr>
          <w:rFonts w:ascii="Arial" w:hAnsi="Arial" w:cs="Arial"/>
          <w:b/>
          <w:bCs/>
        </w:rPr>
        <w:tab/>
        <w:t xml:space="preserve">  </w:t>
      </w:r>
      <w:r>
        <w:rPr>
          <w:rFonts w:ascii="Arial" w:hAnsi="Arial" w:cs="Arial"/>
          <w:b/>
          <w:bCs/>
        </w:rPr>
        <w:tab/>
      </w:r>
      <w:r>
        <w:rPr>
          <w:rFonts w:ascii="Arial" w:hAnsi="Arial" w:cs="Arial"/>
          <w:b/>
          <w:bCs/>
        </w:rPr>
        <w:tab/>
        <w:t xml:space="preserve">      </w:t>
      </w:r>
      <w:r>
        <w:rPr>
          <w:rFonts w:ascii="Arial" w:hAnsi="Arial" w:cs="Arial"/>
          <w:b/>
          <w:bCs/>
        </w:rPr>
        <w:tab/>
        <w:t xml:space="preserve">  </w:t>
      </w:r>
      <w:r w:rsidR="00A973A4">
        <w:rPr>
          <w:rFonts w:ascii="Arial" w:hAnsi="Arial" w:cs="Arial"/>
          <w:b/>
          <w:bCs/>
        </w:rPr>
        <w:t>RESPONDENT</w:t>
      </w:r>
    </w:p>
    <w:p w14:paraId="0F307D16" w14:textId="77777777" w:rsidR="00A973A4" w:rsidRDefault="00A973A4" w:rsidP="00A973A4">
      <w:pPr>
        <w:spacing w:line="360" w:lineRule="auto"/>
        <w:jc w:val="center"/>
        <w:rPr>
          <w:rFonts w:ascii="Arial" w:hAnsi="Arial" w:cs="Arial"/>
          <w:b/>
          <w:bCs/>
        </w:rPr>
      </w:pPr>
    </w:p>
    <w:p w14:paraId="523B79C7" w14:textId="32131466" w:rsidR="00CF14F6" w:rsidRDefault="00295F38" w:rsidP="00A973A4">
      <w:pPr>
        <w:spacing w:line="360" w:lineRule="auto"/>
        <w:ind w:left="2160" w:hanging="2160"/>
        <w:jc w:val="both"/>
        <w:rPr>
          <w:rFonts w:ascii="Arial" w:hAnsi="Arial" w:cs="Arial"/>
        </w:rPr>
      </w:pPr>
      <w:r>
        <w:rPr>
          <w:rFonts w:ascii="Arial" w:hAnsi="Arial" w:cs="Arial"/>
          <w:b/>
        </w:rPr>
        <w:t>Neutral C</w:t>
      </w:r>
      <w:r w:rsidR="00CF14F6">
        <w:rPr>
          <w:rFonts w:ascii="Arial" w:hAnsi="Arial" w:cs="Arial"/>
          <w:b/>
        </w:rPr>
        <w:t xml:space="preserve">itation: </w:t>
      </w:r>
      <w:r w:rsidR="005C2DF2">
        <w:rPr>
          <w:rFonts w:ascii="Arial" w:hAnsi="Arial" w:cs="Arial"/>
          <w:i/>
        </w:rPr>
        <w:t>M G M Properties (Pty) Ltd v</w:t>
      </w:r>
      <w:r w:rsidR="00CF14F6" w:rsidRPr="00295F38">
        <w:rPr>
          <w:rFonts w:ascii="Arial" w:hAnsi="Arial" w:cs="Arial"/>
          <w:i/>
        </w:rPr>
        <w:t xml:space="preserve"> Bank Windhoek Limited </w:t>
      </w:r>
      <w:r w:rsidR="00CF14F6">
        <w:rPr>
          <w:rFonts w:ascii="Arial" w:hAnsi="Arial" w:cs="Arial"/>
        </w:rPr>
        <w:t>(</w:t>
      </w:r>
      <w:r w:rsidR="00CF14F6" w:rsidRPr="00CF14F6">
        <w:rPr>
          <w:rFonts w:ascii="Arial" w:hAnsi="Arial" w:cs="Arial"/>
        </w:rPr>
        <w:t>HC-</w:t>
      </w:r>
    </w:p>
    <w:p w14:paraId="4EBB9764" w14:textId="2D9906A1" w:rsidR="00A973A4" w:rsidRPr="00992F5E" w:rsidRDefault="00CF14F6" w:rsidP="00A973A4">
      <w:pPr>
        <w:spacing w:line="360" w:lineRule="auto"/>
        <w:ind w:left="2160" w:hanging="2160"/>
        <w:jc w:val="both"/>
        <w:rPr>
          <w:rFonts w:ascii="Arial" w:hAnsi="Arial" w:cs="Arial"/>
        </w:rPr>
      </w:pPr>
      <w:r w:rsidRPr="00CF14F6">
        <w:rPr>
          <w:rFonts w:ascii="Arial" w:hAnsi="Arial" w:cs="Arial"/>
        </w:rPr>
        <w:t>MD-CIV-MOT-GEN-2019-000195</w:t>
      </w:r>
      <w:r w:rsidR="007723E7">
        <w:rPr>
          <w:rFonts w:ascii="Arial" w:hAnsi="Arial" w:cs="Arial"/>
        </w:rPr>
        <w:t>) [2020] NAHCMD 511</w:t>
      </w:r>
      <w:r w:rsidR="005C2DF2">
        <w:rPr>
          <w:rFonts w:ascii="Arial" w:hAnsi="Arial" w:cs="Arial"/>
        </w:rPr>
        <w:t xml:space="preserve"> (</w:t>
      </w:r>
      <w:r w:rsidR="004B5EB2">
        <w:rPr>
          <w:rFonts w:ascii="Arial" w:hAnsi="Arial" w:cs="Arial"/>
        </w:rPr>
        <w:t>5</w:t>
      </w:r>
      <w:r>
        <w:rPr>
          <w:rFonts w:ascii="Arial" w:hAnsi="Arial" w:cs="Arial"/>
        </w:rPr>
        <w:t xml:space="preserve"> November 2020)</w:t>
      </w:r>
    </w:p>
    <w:p w14:paraId="0DABB7D7" w14:textId="77777777" w:rsidR="00A973A4" w:rsidRPr="00992F5E" w:rsidRDefault="00A973A4" w:rsidP="00A973A4">
      <w:pPr>
        <w:spacing w:line="360" w:lineRule="auto"/>
        <w:ind w:left="2160" w:hanging="2160"/>
        <w:jc w:val="both"/>
        <w:rPr>
          <w:rFonts w:ascii="Arial" w:hAnsi="Arial" w:cs="Arial"/>
        </w:rPr>
      </w:pPr>
    </w:p>
    <w:p w14:paraId="0FB864C9" w14:textId="77777777" w:rsidR="00A973A4" w:rsidRDefault="00990542" w:rsidP="00A973A4">
      <w:pPr>
        <w:spacing w:line="360" w:lineRule="auto"/>
        <w:ind w:left="1440" w:hanging="1440"/>
        <w:jc w:val="both"/>
        <w:rPr>
          <w:rFonts w:ascii="Arial" w:hAnsi="Arial" w:cs="Arial"/>
          <w:b/>
        </w:rPr>
      </w:pPr>
      <w:r>
        <w:rPr>
          <w:rFonts w:ascii="Arial" w:hAnsi="Arial" w:cs="Arial"/>
          <w:b/>
        </w:rPr>
        <w:t>CORAM</w:t>
      </w:r>
      <w:r w:rsidR="00A973A4" w:rsidRPr="00990542">
        <w:rPr>
          <w:rFonts w:ascii="Arial" w:hAnsi="Arial" w:cs="Arial"/>
          <w:b/>
        </w:rPr>
        <w:t>:</w:t>
      </w:r>
      <w:r w:rsidR="00A973A4" w:rsidRPr="00990542">
        <w:rPr>
          <w:rFonts w:ascii="Arial" w:hAnsi="Arial" w:cs="Arial"/>
          <w:b/>
        </w:rPr>
        <w:tab/>
      </w:r>
      <w:r w:rsidR="00CF14F6" w:rsidRPr="00736A33">
        <w:rPr>
          <w:rFonts w:ascii="Arial" w:hAnsi="Arial" w:cs="Arial"/>
          <w:b/>
        </w:rPr>
        <w:t>MASUKU J</w:t>
      </w:r>
    </w:p>
    <w:p w14:paraId="445E617E" w14:textId="77777777" w:rsidR="00736A33" w:rsidRDefault="00736A33" w:rsidP="00A973A4">
      <w:pPr>
        <w:spacing w:line="360" w:lineRule="auto"/>
        <w:ind w:left="1440" w:hanging="1440"/>
        <w:jc w:val="both"/>
        <w:rPr>
          <w:rFonts w:ascii="Arial" w:hAnsi="Arial" w:cs="Arial"/>
          <w:b/>
        </w:rPr>
      </w:pPr>
    </w:p>
    <w:p w14:paraId="2FFF36E8" w14:textId="77777777" w:rsidR="00A973A4" w:rsidRPr="00DE67A1" w:rsidRDefault="00A973A4" w:rsidP="00A973A4">
      <w:pPr>
        <w:spacing w:line="360" w:lineRule="auto"/>
        <w:ind w:left="1440" w:hanging="1440"/>
        <w:rPr>
          <w:rFonts w:ascii="Arial" w:hAnsi="Arial" w:cs="Arial"/>
        </w:rPr>
      </w:pPr>
      <w:r w:rsidRPr="00A0413B">
        <w:rPr>
          <w:rFonts w:ascii="Arial" w:hAnsi="Arial" w:cs="Arial"/>
          <w:b/>
          <w:bCs/>
        </w:rPr>
        <w:t>Heard</w:t>
      </w:r>
      <w:r w:rsidRPr="00A0413B">
        <w:rPr>
          <w:rFonts w:ascii="Arial" w:hAnsi="Arial" w:cs="Arial"/>
        </w:rPr>
        <w:t>:</w:t>
      </w:r>
      <w:r w:rsidRPr="00A0413B">
        <w:rPr>
          <w:rFonts w:ascii="Arial" w:hAnsi="Arial" w:cs="Arial"/>
        </w:rPr>
        <w:tab/>
      </w:r>
      <w:r w:rsidR="008712E5" w:rsidRPr="00DE67A1">
        <w:rPr>
          <w:rFonts w:ascii="Arial" w:hAnsi="Arial" w:cs="Arial"/>
        </w:rPr>
        <w:t>22</w:t>
      </w:r>
      <w:r w:rsidR="00CF14F6" w:rsidRPr="00DE67A1">
        <w:rPr>
          <w:rFonts w:ascii="Arial" w:hAnsi="Arial" w:cs="Arial"/>
        </w:rPr>
        <w:t xml:space="preserve"> October </w:t>
      </w:r>
      <w:r w:rsidRPr="00DE67A1">
        <w:rPr>
          <w:rFonts w:ascii="Arial" w:hAnsi="Arial" w:cs="Arial"/>
        </w:rPr>
        <w:t>2020</w:t>
      </w:r>
    </w:p>
    <w:p w14:paraId="6CEA2B7C" w14:textId="44FE6066" w:rsidR="00A973A4" w:rsidRPr="005C2DF2" w:rsidRDefault="00A973A4" w:rsidP="00A973A4">
      <w:pPr>
        <w:spacing w:line="360" w:lineRule="auto"/>
        <w:jc w:val="both"/>
        <w:rPr>
          <w:rFonts w:ascii="Arial" w:hAnsi="Arial" w:cs="Arial"/>
          <w:b/>
        </w:rPr>
      </w:pPr>
      <w:r w:rsidRPr="008712E5">
        <w:rPr>
          <w:rFonts w:ascii="Arial" w:hAnsi="Arial" w:cs="Arial"/>
          <w:b/>
          <w:bCs/>
        </w:rPr>
        <w:t>Delivered</w:t>
      </w:r>
      <w:r w:rsidRPr="008712E5">
        <w:rPr>
          <w:rFonts w:ascii="Arial" w:hAnsi="Arial" w:cs="Arial"/>
          <w:b/>
        </w:rPr>
        <w:t>:</w:t>
      </w:r>
      <w:r w:rsidRPr="008712E5">
        <w:rPr>
          <w:rFonts w:ascii="Arial" w:hAnsi="Arial" w:cs="Arial"/>
          <w:b/>
        </w:rPr>
        <w:tab/>
      </w:r>
      <w:r w:rsidR="004B5EB2" w:rsidRPr="005C2DF2">
        <w:rPr>
          <w:rFonts w:ascii="Arial" w:hAnsi="Arial" w:cs="Arial"/>
          <w:b/>
        </w:rPr>
        <w:t>05</w:t>
      </w:r>
      <w:r w:rsidR="00CF14F6" w:rsidRPr="005C2DF2">
        <w:rPr>
          <w:rFonts w:ascii="Arial" w:hAnsi="Arial" w:cs="Arial"/>
          <w:b/>
        </w:rPr>
        <w:t xml:space="preserve"> November 2020</w:t>
      </w:r>
    </w:p>
    <w:p w14:paraId="6E931FA4" w14:textId="77777777" w:rsidR="00A973A4" w:rsidRPr="00A0413B" w:rsidRDefault="00A973A4" w:rsidP="00A973A4">
      <w:pPr>
        <w:spacing w:line="360" w:lineRule="auto"/>
        <w:jc w:val="both"/>
        <w:rPr>
          <w:rFonts w:ascii="Arial" w:hAnsi="Arial" w:cs="Arial"/>
          <w:b/>
        </w:rPr>
      </w:pPr>
    </w:p>
    <w:p w14:paraId="1D31D07D" w14:textId="77777777" w:rsidR="00A973A4" w:rsidRDefault="00A973A4" w:rsidP="00A973A4">
      <w:pPr>
        <w:spacing w:line="360" w:lineRule="auto"/>
        <w:jc w:val="both"/>
        <w:rPr>
          <w:rFonts w:ascii="Arial" w:hAnsi="Arial" w:cs="Arial"/>
          <w:bCs/>
        </w:rPr>
      </w:pPr>
      <w:proofErr w:type="spellStart"/>
      <w:r w:rsidRPr="006E026B">
        <w:rPr>
          <w:rFonts w:ascii="Arial" w:hAnsi="Arial" w:cs="Arial"/>
          <w:b/>
        </w:rPr>
        <w:t>Flynote</w:t>
      </w:r>
      <w:proofErr w:type="spellEnd"/>
      <w:r w:rsidRPr="006E026B">
        <w:rPr>
          <w:rFonts w:ascii="Arial" w:hAnsi="Arial" w:cs="Arial"/>
          <w:b/>
        </w:rPr>
        <w:t>:</w:t>
      </w:r>
      <w:r w:rsidRPr="006E026B">
        <w:rPr>
          <w:rFonts w:ascii="Arial" w:hAnsi="Arial" w:cs="Arial"/>
          <w:b/>
        </w:rPr>
        <w:tab/>
      </w:r>
      <w:r w:rsidR="00CF14F6">
        <w:rPr>
          <w:rFonts w:ascii="Arial" w:hAnsi="Arial" w:cs="Arial"/>
          <w:bCs/>
        </w:rPr>
        <w:t xml:space="preserve">Application for stay of </w:t>
      </w:r>
      <w:r w:rsidR="00152C66">
        <w:rPr>
          <w:rFonts w:ascii="Arial" w:hAnsi="Arial" w:cs="Arial"/>
          <w:bCs/>
        </w:rPr>
        <w:t>proceedings —</w:t>
      </w:r>
      <w:r w:rsidR="00CF14F6">
        <w:rPr>
          <w:rFonts w:ascii="Arial" w:hAnsi="Arial" w:cs="Arial"/>
          <w:bCs/>
        </w:rPr>
        <w:t xml:space="preserve">   </w:t>
      </w:r>
      <w:r w:rsidR="005F756B">
        <w:rPr>
          <w:rFonts w:ascii="Arial" w:hAnsi="Arial" w:cs="Arial"/>
          <w:bCs/>
        </w:rPr>
        <w:t>Application to stay made by way of motion</w:t>
      </w:r>
      <w:r w:rsidR="00CF14F6">
        <w:rPr>
          <w:rFonts w:ascii="Arial" w:hAnsi="Arial" w:cs="Arial"/>
          <w:bCs/>
        </w:rPr>
        <w:t xml:space="preserve"> </w:t>
      </w:r>
      <w:r w:rsidRPr="004947F2">
        <w:rPr>
          <w:rFonts w:ascii="Arial" w:hAnsi="Arial" w:cs="Arial"/>
          <w:bCs/>
        </w:rPr>
        <w:t xml:space="preserve">— </w:t>
      </w:r>
      <w:r w:rsidR="005F756B" w:rsidRPr="00F445BC">
        <w:rPr>
          <w:rFonts w:ascii="Arial" w:hAnsi="Arial" w:cs="Arial"/>
          <w:bCs/>
        </w:rPr>
        <w:t>Applicant bears the onus to establish standing with evidence</w:t>
      </w:r>
      <w:r w:rsidRPr="00F445BC">
        <w:rPr>
          <w:rFonts w:ascii="Arial" w:hAnsi="Arial" w:cs="Arial"/>
          <w:bCs/>
        </w:rPr>
        <w:t xml:space="preserve"> — </w:t>
      </w:r>
      <w:r w:rsidR="005F756B" w:rsidRPr="00F445BC">
        <w:rPr>
          <w:rFonts w:ascii="Arial" w:hAnsi="Arial" w:cs="Arial"/>
          <w:bCs/>
        </w:rPr>
        <w:t xml:space="preserve">The </w:t>
      </w:r>
      <w:r w:rsidR="00F445BC" w:rsidRPr="00F445BC">
        <w:rPr>
          <w:rFonts w:ascii="Arial" w:hAnsi="Arial" w:cs="Arial"/>
          <w:bCs/>
        </w:rPr>
        <w:t>Applicant</w:t>
      </w:r>
      <w:r w:rsidR="00F445BC" w:rsidRPr="00F445BC">
        <w:t xml:space="preserve"> </w:t>
      </w:r>
      <w:r w:rsidR="00F445BC" w:rsidRPr="00F445BC">
        <w:rPr>
          <w:rFonts w:ascii="Arial" w:hAnsi="Arial" w:cs="Arial"/>
          <w:bCs/>
        </w:rPr>
        <w:t>bears the onus to prove the existence of that authority to act o</w:t>
      </w:r>
      <w:r w:rsidR="00F445BC">
        <w:rPr>
          <w:rFonts w:ascii="Arial" w:hAnsi="Arial" w:cs="Arial"/>
          <w:bCs/>
        </w:rPr>
        <w:t>n behalf of a juristic person when</w:t>
      </w:r>
      <w:r w:rsidR="00F445BC" w:rsidRPr="00F445BC">
        <w:rPr>
          <w:rFonts w:ascii="Arial" w:hAnsi="Arial" w:cs="Arial"/>
          <w:bCs/>
        </w:rPr>
        <w:t xml:space="preserve"> challenged</w:t>
      </w:r>
      <w:r w:rsidRPr="00F445BC">
        <w:rPr>
          <w:rFonts w:ascii="Arial" w:hAnsi="Arial" w:cs="Arial"/>
          <w:bCs/>
        </w:rPr>
        <w:t xml:space="preserve">— Applicant failed to discharge </w:t>
      </w:r>
      <w:r w:rsidR="00990542">
        <w:rPr>
          <w:rFonts w:ascii="Arial" w:hAnsi="Arial" w:cs="Arial"/>
          <w:bCs/>
        </w:rPr>
        <w:t>the onus — Application struck from the rol</w:t>
      </w:r>
      <w:r w:rsidR="00D31ACB">
        <w:rPr>
          <w:rFonts w:ascii="Arial" w:hAnsi="Arial" w:cs="Arial"/>
          <w:bCs/>
        </w:rPr>
        <w:t>l for want of authority to institute</w:t>
      </w:r>
      <w:r w:rsidR="00990542">
        <w:rPr>
          <w:rFonts w:ascii="Arial" w:hAnsi="Arial" w:cs="Arial"/>
          <w:bCs/>
        </w:rPr>
        <w:t xml:space="preserve"> proceedings</w:t>
      </w:r>
      <w:r w:rsidRPr="00F445BC">
        <w:rPr>
          <w:rFonts w:ascii="Arial" w:hAnsi="Arial" w:cs="Arial"/>
          <w:bCs/>
        </w:rPr>
        <w:t>.</w:t>
      </w:r>
    </w:p>
    <w:p w14:paraId="05A7F8F7" w14:textId="77777777" w:rsidR="00A973A4" w:rsidRPr="00952549" w:rsidRDefault="00A973A4" w:rsidP="00A973A4">
      <w:pPr>
        <w:spacing w:line="360" w:lineRule="auto"/>
        <w:jc w:val="both"/>
        <w:rPr>
          <w:rFonts w:ascii="Arial" w:hAnsi="Arial" w:cs="Arial"/>
        </w:rPr>
      </w:pPr>
      <w:r w:rsidRPr="00952549">
        <w:rPr>
          <w:rFonts w:ascii="Arial" w:hAnsi="Arial" w:cs="Arial"/>
          <w:b/>
        </w:rPr>
        <w:lastRenderedPageBreak/>
        <w:t>Summary:</w:t>
      </w:r>
      <w:r w:rsidRPr="00952549">
        <w:rPr>
          <w:rFonts w:ascii="Arial" w:hAnsi="Arial" w:cs="Arial"/>
        </w:rPr>
        <w:tab/>
        <w:t xml:space="preserve">The applicant instituted </w:t>
      </w:r>
      <w:r w:rsidR="00952549" w:rsidRPr="00952549">
        <w:rPr>
          <w:rFonts w:ascii="Arial" w:hAnsi="Arial" w:cs="Arial"/>
        </w:rPr>
        <w:t xml:space="preserve">an application for the stay of </w:t>
      </w:r>
      <w:r w:rsidR="00D31ACB">
        <w:rPr>
          <w:rFonts w:ascii="Arial" w:hAnsi="Arial" w:cs="Arial"/>
        </w:rPr>
        <w:t xml:space="preserve">liquidation </w:t>
      </w:r>
      <w:r w:rsidR="00952549" w:rsidRPr="00952549">
        <w:rPr>
          <w:rFonts w:ascii="Arial" w:hAnsi="Arial" w:cs="Arial"/>
        </w:rPr>
        <w:t>p</w:t>
      </w:r>
      <w:r w:rsidR="00D31ACB">
        <w:rPr>
          <w:rFonts w:ascii="Arial" w:hAnsi="Arial" w:cs="Arial"/>
        </w:rPr>
        <w:t>roceedings</w:t>
      </w:r>
      <w:r w:rsidR="00952549" w:rsidRPr="00952549">
        <w:rPr>
          <w:rFonts w:ascii="Arial" w:hAnsi="Arial" w:cs="Arial"/>
        </w:rPr>
        <w:t xml:space="preserve"> brought by the respo</w:t>
      </w:r>
      <w:r w:rsidR="00D31ACB">
        <w:rPr>
          <w:rFonts w:ascii="Arial" w:hAnsi="Arial" w:cs="Arial"/>
        </w:rPr>
        <w:t>ndent against</w:t>
      </w:r>
      <w:r w:rsidR="00952549" w:rsidRPr="00952549">
        <w:rPr>
          <w:rFonts w:ascii="Arial" w:hAnsi="Arial" w:cs="Arial"/>
        </w:rPr>
        <w:t xml:space="preserve"> the applicant</w:t>
      </w:r>
      <w:r w:rsidR="00D31ACB">
        <w:rPr>
          <w:rFonts w:ascii="Arial" w:hAnsi="Arial" w:cs="Arial"/>
        </w:rPr>
        <w:t xml:space="preserve"> pending the </w:t>
      </w:r>
      <w:proofErr w:type="spellStart"/>
      <w:r w:rsidR="00D31ACB">
        <w:rPr>
          <w:rFonts w:ascii="Arial" w:hAnsi="Arial" w:cs="Arial"/>
        </w:rPr>
        <w:t>finalisation</w:t>
      </w:r>
      <w:proofErr w:type="spellEnd"/>
      <w:r w:rsidR="00D31ACB">
        <w:rPr>
          <w:rFonts w:ascii="Arial" w:hAnsi="Arial" w:cs="Arial"/>
        </w:rPr>
        <w:t xml:space="preserve"> of an action brought by the applicant against the respondent</w:t>
      </w:r>
      <w:r w:rsidR="00952549" w:rsidRPr="00952549">
        <w:rPr>
          <w:rFonts w:ascii="Arial" w:hAnsi="Arial" w:cs="Arial"/>
        </w:rPr>
        <w:t>. The applicant filed the interlocutory application to stay</w:t>
      </w:r>
      <w:r w:rsidR="00DC22B5">
        <w:rPr>
          <w:rFonts w:ascii="Arial" w:hAnsi="Arial" w:cs="Arial"/>
        </w:rPr>
        <w:t xml:space="preserve"> </w:t>
      </w:r>
      <w:r w:rsidR="00952549" w:rsidRPr="00952549">
        <w:rPr>
          <w:rFonts w:ascii="Arial" w:hAnsi="Arial" w:cs="Arial"/>
        </w:rPr>
        <w:t xml:space="preserve">the proceedings on the grounds that it is equitable </w:t>
      </w:r>
      <w:r w:rsidR="00D31ACB">
        <w:rPr>
          <w:rFonts w:ascii="Arial" w:hAnsi="Arial" w:cs="Arial"/>
        </w:rPr>
        <w:t xml:space="preserve">to stay the liquidation proceedings </w:t>
      </w:r>
      <w:r w:rsidR="00952549" w:rsidRPr="00952549">
        <w:rPr>
          <w:rFonts w:ascii="Arial" w:hAnsi="Arial" w:cs="Arial"/>
        </w:rPr>
        <w:t>pending the civil action instituted against the respondent. The respondent opposed the applicat</w:t>
      </w:r>
      <w:r w:rsidR="00952549">
        <w:rPr>
          <w:rFonts w:ascii="Arial" w:hAnsi="Arial" w:cs="Arial"/>
        </w:rPr>
        <w:t xml:space="preserve">ion for the stay of proceedings, </w:t>
      </w:r>
      <w:r w:rsidR="00D31ACB">
        <w:rPr>
          <w:rFonts w:ascii="Arial" w:hAnsi="Arial" w:cs="Arial"/>
        </w:rPr>
        <w:t xml:space="preserve">and </w:t>
      </w:r>
      <w:r w:rsidR="00952549">
        <w:rPr>
          <w:rFonts w:ascii="Arial" w:hAnsi="Arial" w:cs="Arial"/>
        </w:rPr>
        <w:t xml:space="preserve">raised a point </w:t>
      </w:r>
      <w:r w:rsidR="00952549" w:rsidRPr="00952549">
        <w:rPr>
          <w:rFonts w:ascii="Arial" w:hAnsi="Arial" w:cs="Arial"/>
          <w:i/>
        </w:rPr>
        <w:t xml:space="preserve">in </w:t>
      </w:r>
      <w:proofErr w:type="spellStart"/>
      <w:r w:rsidR="00952549" w:rsidRPr="00952549">
        <w:rPr>
          <w:rFonts w:ascii="Arial" w:hAnsi="Arial" w:cs="Arial"/>
          <w:i/>
        </w:rPr>
        <w:t>limine</w:t>
      </w:r>
      <w:proofErr w:type="spellEnd"/>
      <w:r w:rsidR="00952549" w:rsidRPr="00952549">
        <w:rPr>
          <w:rFonts w:ascii="Arial" w:hAnsi="Arial" w:cs="Arial"/>
          <w:i/>
        </w:rPr>
        <w:t xml:space="preserve"> </w:t>
      </w:r>
      <w:r w:rsidR="00B87C42" w:rsidRPr="00B87C42">
        <w:rPr>
          <w:rFonts w:ascii="Arial" w:hAnsi="Arial" w:cs="Arial"/>
        </w:rPr>
        <w:t>that the deponent on behalf of the applicant lacked authority to bring the application</w:t>
      </w:r>
      <w:r w:rsidR="00B87C42">
        <w:rPr>
          <w:rFonts w:ascii="Arial" w:hAnsi="Arial" w:cs="Arial"/>
          <w:i/>
        </w:rPr>
        <w:t xml:space="preserve"> </w:t>
      </w:r>
      <w:r w:rsidR="00952549">
        <w:rPr>
          <w:rFonts w:ascii="Arial" w:hAnsi="Arial" w:cs="Arial"/>
        </w:rPr>
        <w:t xml:space="preserve">and </w:t>
      </w:r>
      <w:r w:rsidR="00B87C42">
        <w:rPr>
          <w:rFonts w:ascii="Arial" w:hAnsi="Arial" w:cs="Arial"/>
        </w:rPr>
        <w:t>cited</w:t>
      </w:r>
      <w:r w:rsidR="00952549" w:rsidRPr="00952549">
        <w:rPr>
          <w:rFonts w:ascii="Arial" w:hAnsi="Arial" w:cs="Arial"/>
        </w:rPr>
        <w:t xml:space="preserve"> abuse of process</w:t>
      </w:r>
      <w:r w:rsidRPr="00952549">
        <w:rPr>
          <w:rFonts w:ascii="Arial" w:hAnsi="Arial" w:cs="Arial"/>
        </w:rPr>
        <w:t xml:space="preserve">. </w:t>
      </w:r>
      <w:r w:rsidR="002E5DD8">
        <w:rPr>
          <w:rFonts w:ascii="Arial" w:hAnsi="Arial" w:cs="Arial"/>
        </w:rPr>
        <w:t>The application for the s</w:t>
      </w:r>
      <w:r w:rsidR="00A97707">
        <w:rPr>
          <w:rFonts w:ascii="Arial" w:hAnsi="Arial" w:cs="Arial"/>
        </w:rPr>
        <w:t>tay of proceedings was struck from the roll</w:t>
      </w:r>
      <w:r w:rsidR="002E5DD8">
        <w:rPr>
          <w:rFonts w:ascii="Arial" w:hAnsi="Arial" w:cs="Arial"/>
        </w:rPr>
        <w:t xml:space="preserve"> with costs.</w:t>
      </w:r>
    </w:p>
    <w:p w14:paraId="1806C65E" w14:textId="77777777" w:rsidR="00A973A4" w:rsidRPr="001B5B4C" w:rsidRDefault="00A973A4" w:rsidP="00A973A4">
      <w:pPr>
        <w:spacing w:line="360" w:lineRule="auto"/>
        <w:jc w:val="both"/>
        <w:rPr>
          <w:rFonts w:ascii="Arial" w:hAnsi="Arial" w:cs="Arial"/>
          <w:bCs/>
          <w:highlight w:val="yellow"/>
        </w:rPr>
      </w:pPr>
    </w:p>
    <w:p w14:paraId="56F4C52F" w14:textId="77777777" w:rsidR="00A973A4" w:rsidRPr="003E47DE" w:rsidRDefault="00D31ACB" w:rsidP="00A973A4">
      <w:pPr>
        <w:spacing w:line="360" w:lineRule="auto"/>
        <w:jc w:val="both"/>
        <w:rPr>
          <w:rFonts w:ascii="Arial" w:hAnsi="Arial" w:cs="Arial"/>
          <w:bCs/>
        </w:rPr>
      </w:pPr>
      <w:r>
        <w:rPr>
          <w:rFonts w:ascii="Arial" w:hAnsi="Arial" w:cs="Arial"/>
          <w:bCs/>
        </w:rPr>
        <w:t>Held: that</w:t>
      </w:r>
      <w:r w:rsidR="00A973A4" w:rsidRPr="003E47DE">
        <w:rPr>
          <w:rFonts w:ascii="Arial" w:hAnsi="Arial" w:cs="Arial"/>
          <w:bCs/>
        </w:rPr>
        <w:t xml:space="preserve"> </w:t>
      </w:r>
      <w:r w:rsidR="003B4B54" w:rsidRPr="003E47DE">
        <w:rPr>
          <w:rFonts w:ascii="Arial" w:hAnsi="Arial" w:cs="Arial"/>
          <w:bCs/>
        </w:rPr>
        <w:t xml:space="preserve">where authority to act </w:t>
      </w:r>
      <w:r w:rsidR="00C20A1A" w:rsidRPr="003E47DE">
        <w:rPr>
          <w:rFonts w:ascii="Arial" w:hAnsi="Arial" w:cs="Arial"/>
          <w:bCs/>
        </w:rPr>
        <w:t xml:space="preserve">on behalf of a juristic person </w:t>
      </w:r>
      <w:r w:rsidR="003B4B54" w:rsidRPr="003E47DE">
        <w:rPr>
          <w:rFonts w:ascii="Arial" w:hAnsi="Arial" w:cs="Arial"/>
          <w:bCs/>
        </w:rPr>
        <w:t xml:space="preserve">is challenged the </w:t>
      </w:r>
      <w:r w:rsidR="00A973A4" w:rsidRPr="003E47DE">
        <w:rPr>
          <w:rFonts w:ascii="Arial" w:hAnsi="Arial" w:cs="Arial"/>
          <w:bCs/>
        </w:rPr>
        <w:t xml:space="preserve">applicant bears the onus to prove </w:t>
      </w:r>
      <w:r w:rsidR="00C20A1A" w:rsidRPr="003E47DE">
        <w:rPr>
          <w:rFonts w:ascii="Arial" w:hAnsi="Arial" w:cs="Arial"/>
          <w:bCs/>
        </w:rPr>
        <w:t>the existence of that authority.</w:t>
      </w:r>
      <w:r w:rsidR="00A973A4" w:rsidRPr="003E47DE">
        <w:rPr>
          <w:rFonts w:ascii="Arial" w:hAnsi="Arial" w:cs="Arial"/>
          <w:bCs/>
        </w:rPr>
        <w:t xml:space="preserve"> </w:t>
      </w:r>
    </w:p>
    <w:p w14:paraId="073D8F65" w14:textId="77777777" w:rsidR="00A973A4" w:rsidRPr="001B5B4C" w:rsidRDefault="00A973A4" w:rsidP="00A973A4">
      <w:pPr>
        <w:spacing w:line="360" w:lineRule="auto"/>
        <w:jc w:val="both"/>
        <w:rPr>
          <w:rFonts w:ascii="Arial" w:hAnsi="Arial" w:cs="Arial"/>
          <w:bCs/>
          <w:highlight w:val="yellow"/>
        </w:rPr>
      </w:pPr>
    </w:p>
    <w:p w14:paraId="5FB2B7B5" w14:textId="77777777" w:rsidR="00D31ACB" w:rsidRDefault="00D31ACB" w:rsidP="00A973A4">
      <w:pPr>
        <w:spacing w:line="360" w:lineRule="auto"/>
        <w:jc w:val="both"/>
        <w:rPr>
          <w:rFonts w:ascii="Arial" w:hAnsi="Arial" w:cs="Arial"/>
          <w:bCs/>
        </w:rPr>
      </w:pPr>
      <w:r>
        <w:rPr>
          <w:rFonts w:ascii="Arial" w:hAnsi="Arial" w:cs="Arial"/>
          <w:bCs/>
        </w:rPr>
        <w:t>Held</w:t>
      </w:r>
      <w:r w:rsidR="005F756B" w:rsidRPr="003E47DE">
        <w:rPr>
          <w:rFonts w:ascii="Arial" w:hAnsi="Arial" w:cs="Arial"/>
          <w:bCs/>
        </w:rPr>
        <w:t xml:space="preserve"> </w:t>
      </w:r>
      <w:r w:rsidR="005F756B" w:rsidRPr="005F756B">
        <w:rPr>
          <w:rFonts w:ascii="Arial" w:hAnsi="Arial" w:cs="Arial"/>
          <w:bCs/>
        </w:rPr>
        <w:t>that</w:t>
      </w:r>
      <w:r>
        <w:rPr>
          <w:rFonts w:ascii="Arial" w:hAnsi="Arial" w:cs="Arial"/>
          <w:bCs/>
        </w:rPr>
        <w:t>:</w:t>
      </w:r>
      <w:r w:rsidR="005F756B" w:rsidRPr="005F756B">
        <w:rPr>
          <w:rFonts w:ascii="Arial" w:hAnsi="Arial" w:cs="Arial"/>
          <w:bCs/>
        </w:rPr>
        <w:t xml:space="preserve"> the lack of a</w:t>
      </w:r>
      <w:r w:rsidR="006473DA">
        <w:rPr>
          <w:rFonts w:ascii="Arial" w:hAnsi="Arial" w:cs="Arial"/>
          <w:bCs/>
        </w:rPr>
        <w:t>uthority to bring</w:t>
      </w:r>
      <w:r>
        <w:rPr>
          <w:rFonts w:ascii="Arial" w:hAnsi="Arial" w:cs="Arial"/>
          <w:bCs/>
        </w:rPr>
        <w:t xml:space="preserve"> proceedings</w:t>
      </w:r>
      <w:r w:rsidR="005F756B" w:rsidRPr="005F756B">
        <w:rPr>
          <w:rFonts w:ascii="Arial" w:hAnsi="Arial" w:cs="Arial"/>
          <w:bCs/>
        </w:rPr>
        <w:t xml:space="preserve"> could be ratified retrospectively</w:t>
      </w:r>
      <w:r>
        <w:rPr>
          <w:rFonts w:ascii="Arial" w:hAnsi="Arial" w:cs="Arial"/>
          <w:bCs/>
        </w:rPr>
        <w:t xml:space="preserve"> but in the instant case, the applicant did not, despite the issue being raised, </w:t>
      </w:r>
      <w:r w:rsidR="006473DA">
        <w:rPr>
          <w:rFonts w:ascii="Arial" w:hAnsi="Arial" w:cs="Arial"/>
          <w:bCs/>
        </w:rPr>
        <w:t xml:space="preserve">applicant could have </w:t>
      </w:r>
      <w:r>
        <w:rPr>
          <w:rFonts w:ascii="Arial" w:hAnsi="Arial" w:cs="Arial"/>
          <w:bCs/>
        </w:rPr>
        <w:t>file</w:t>
      </w:r>
      <w:r w:rsidR="006473DA">
        <w:rPr>
          <w:rFonts w:ascii="Arial" w:hAnsi="Arial" w:cs="Arial"/>
          <w:bCs/>
        </w:rPr>
        <w:t>d</w:t>
      </w:r>
      <w:r>
        <w:rPr>
          <w:rFonts w:ascii="Arial" w:hAnsi="Arial" w:cs="Arial"/>
          <w:bCs/>
        </w:rPr>
        <w:t xml:space="preserve"> its authority, even in reply</w:t>
      </w:r>
      <w:r w:rsidR="005F756B">
        <w:rPr>
          <w:rFonts w:ascii="Arial" w:hAnsi="Arial" w:cs="Arial"/>
          <w:bCs/>
        </w:rPr>
        <w:t>.</w:t>
      </w:r>
    </w:p>
    <w:p w14:paraId="663E866D" w14:textId="77777777" w:rsidR="00D31ACB" w:rsidRDefault="00D31ACB" w:rsidP="00A973A4">
      <w:pPr>
        <w:spacing w:line="360" w:lineRule="auto"/>
        <w:jc w:val="both"/>
        <w:rPr>
          <w:rFonts w:ascii="Arial" w:hAnsi="Arial" w:cs="Arial"/>
          <w:bCs/>
        </w:rPr>
      </w:pPr>
    </w:p>
    <w:p w14:paraId="07B7DE1D" w14:textId="77777777" w:rsidR="00D31ACB" w:rsidRDefault="00D31ACB" w:rsidP="00A973A4">
      <w:pPr>
        <w:spacing w:line="360" w:lineRule="auto"/>
        <w:jc w:val="both"/>
        <w:rPr>
          <w:rFonts w:ascii="Arial" w:hAnsi="Arial" w:cs="Arial"/>
          <w:bCs/>
        </w:rPr>
      </w:pPr>
      <w:r>
        <w:rPr>
          <w:rFonts w:ascii="Arial" w:hAnsi="Arial" w:cs="Arial"/>
          <w:bCs/>
        </w:rPr>
        <w:t xml:space="preserve">Held further: that in terms of the law, he who alleges must prove and that the best evidence available, must be placed before court and in the instant case, the best evidence that a party has been authorised to institute proceedings on behalf of a legal </w:t>
      </w:r>
      <w:r>
        <w:rPr>
          <w:rFonts w:ascii="Arial" w:hAnsi="Arial" w:cs="Arial"/>
          <w:bCs/>
          <w:i/>
        </w:rPr>
        <w:t xml:space="preserve">persona, </w:t>
      </w:r>
      <w:r>
        <w:rPr>
          <w:rFonts w:ascii="Arial" w:hAnsi="Arial" w:cs="Arial"/>
          <w:bCs/>
        </w:rPr>
        <w:t>is the resolution.</w:t>
      </w:r>
    </w:p>
    <w:p w14:paraId="33D0C232" w14:textId="77777777" w:rsidR="00D31ACB" w:rsidRDefault="00D31ACB" w:rsidP="00A973A4">
      <w:pPr>
        <w:spacing w:line="360" w:lineRule="auto"/>
        <w:jc w:val="both"/>
        <w:rPr>
          <w:rFonts w:ascii="Arial" w:hAnsi="Arial" w:cs="Arial"/>
          <w:bCs/>
        </w:rPr>
      </w:pPr>
    </w:p>
    <w:p w14:paraId="092FB976" w14:textId="21026972" w:rsidR="00C7023E" w:rsidRDefault="00D31ACB" w:rsidP="005C2DF2">
      <w:pPr>
        <w:spacing w:line="360" w:lineRule="auto"/>
        <w:jc w:val="both"/>
        <w:rPr>
          <w:rFonts w:ascii="Arial" w:hAnsi="Arial" w:cs="Arial"/>
          <w:bCs/>
        </w:rPr>
      </w:pPr>
      <w:r>
        <w:rPr>
          <w:rFonts w:ascii="Arial" w:hAnsi="Arial" w:cs="Arial"/>
          <w:bCs/>
        </w:rPr>
        <w:t>The application was thus struck from the roll with costs for want of authority to institute the proceedings for stay.</w:t>
      </w:r>
    </w:p>
    <w:p w14:paraId="06EA8FDB" w14:textId="77777777" w:rsidR="00A973A4" w:rsidRPr="006E026B" w:rsidRDefault="00A973A4" w:rsidP="003859A1">
      <w:pPr>
        <w:pBdr>
          <w:top w:val="single" w:sz="4" w:space="1" w:color="auto"/>
        </w:pBdr>
        <w:jc w:val="both"/>
        <w:rPr>
          <w:rFonts w:ascii="Arial" w:hAnsi="Arial" w:cs="Arial"/>
          <w:bCs/>
        </w:rPr>
      </w:pPr>
    </w:p>
    <w:p w14:paraId="6F9D8090" w14:textId="77777777" w:rsidR="00A973A4" w:rsidRDefault="00A973A4" w:rsidP="003859A1">
      <w:pPr>
        <w:jc w:val="center"/>
        <w:rPr>
          <w:rFonts w:ascii="Arial" w:hAnsi="Arial" w:cs="Arial"/>
          <w:b/>
          <w:bCs/>
        </w:rPr>
      </w:pPr>
      <w:r w:rsidRPr="006E026B">
        <w:rPr>
          <w:rFonts w:ascii="Arial" w:hAnsi="Arial" w:cs="Arial"/>
          <w:b/>
          <w:bCs/>
        </w:rPr>
        <w:t>ORDER</w:t>
      </w:r>
    </w:p>
    <w:p w14:paraId="085A1838" w14:textId="77777777" w:rsidR="003859A1" w:rsidRPr="003859A1" w:rsidRDefault="003859A1" w:rsidP="003859A1">
      <w:pPr>
        <w:pBdr>
          <w:bottom w:val="single" w:sz="4" w:space="1" w:color="auto"/>
        </w:pBdr>
        <w:jc w:val="center"/>
        <w:rPr>
          <w:rFonts w:ascii="Arial" w:hAnsi="Arial" w:cs="Arial"/>
          <w:b/>
          <w:bCs/>
        </w:rPr>
      </w:pPr>
    </w:p>
    <w:p w14:paraId="035FCB54" w14:textId="77777777" w:rsidR="00A973A4" w:rsidRPr="003859A1" w:rsidRDefault="00A973A4" w:rsidP="003859A1">
      <w:pPr>
        <w:jc w:val="center"/>
        <w:rPr>
          <w:rFonts w:ascii="Arial" w:hAnsi="Arial" w:cs="Arial"/>
          <w:b/>
          <w:bCs/>
        </w:rPr>
      </w:pPr>
    </w:p>
    <w:p w14:paraId="0D0804B9" w14:textId="77777777" w:rsidR="00A973A4" w:rsidRPr="003859A1" w:rsidRDefault="00A973A4" w:rsidP="00A973A4">
      <w:pPr>
        <w:spacing w:line="360" w:lineRule="auto"/>
        <w:jc w:val="both"/>
        <w:rPr>
          <w:rFonts w:ascii="Arial" w:hAnsi="Arial" w:cs="Arial"/>
        </w:rPr>
      </w:pPr>
    </w:p>
    <w:p w14:paraId="07A9F152" w14:textId="72686EED" w:rsidR="007768A0" w:rsidRDefault="00D57CEE" w:rsidP="00A973A4">
      <w:pPr>
        <w:pStyle w:val="BodyText"/>
        <w:numPr>
          <w:ilvl w:val="0"/>
          <w:numId w:val="34"/>
        </w:numPr>
        <w:spacing w:line="360" w:lineRule="auto"/>
        <w:jc w:val="both"/>
        <w:rPr>
          <w:rFonts w:ascii="Arial" w:hAnsi="Arial" w:cs="Arial"/>
        </w:rPr>
      </w:pPr>
      <w:r>
        <w:rPr>
          <w:rFonts w:ascii="Arial" w:hAnsi="Arial" w:cs="Arial"/>
        </w:rPr>
        <w:t>The A</w:t>
      </w:r>
      <w:r w:rsidR="00315781" w:rsidRPr="007716AD">
        <w:rPr>
          <w:rFonts w:ascii="Arial" w:hAnsi="Arial" w:cs="Arial"/>
        </w:rPr>
        <w:t xml:space="preserve">pplicant’s application for a stay of </w:t>
      </w:r>
      <w:r>
        <w:rPr>
          <w:rFonts w:ascii="Arial" w:hAnsi="Arial" w:cs="Arial"/>
        </w:rPr>
        <w:t xml:space="preserve">liquidation </w:t>
      </w:r>
      <w:r w:rsidR="00315781" w:rsidRPr="007716AD">
        <w:rPr>
          <w:rFonts w:ascii="Arial" w:hAnsi="Arial" w:cs="Arial"/>
        </w:rPr>
        <w:t>proceedings</w:t>
      </w:r>
      <w:r>
        <w:rPr>
          <w:rFonts w:ascii="Arial" w:hAnsi="Arial" w:cs="Arial"/>
        </w:rPr>
        <w:t xml:space="preserve"> instituted by the Respondent,</w:t>
      </w:r>
      <w:r w:rsidR="007768A0">
        <w:rPr>
          <w:rFonts w:ascii="Arial" w:hAnsi="Arial" w:cs="Arial"/>
        </w:rPr>
        <w:t xml:space="preserve"> pending </w:t>
      </w:r>
      <w:r>
        <w:rPr>
          <w:rFonts w:ascii="Arial" w:hAnsi="Arial" w:cs="Arial"/>
        </w:rPr>
        <w:t xml:space="preserve">the finalisation of </w:t>
      </w:r>
      <w:r w:rsidR="007768A0">
        <w:rPr>
          <w:rFonts w:ascii="Arial" w:hAnsi="Arial" w:cs="Arial"/>
        </w:rPr>
        <w:t>case HC-MD-CIV-ACT-CON-2020/01839</w:t>
      </w:r>
      <w:r>
        <w:rPr>
          <w:rFonts w:ascii="Arial" w:hAnsi="Arial" w:cs="Arial"/>
        </w:rPr>
        <w:t>,</w:t>
      </w:r>
      <w:r w:rsidR="00D31ACB">
        <w:rPr>
          <w:rFonts w:ascii="Arial" w:hAnsi="Arial" w:cs="Arial"/>
        </w:rPr>
        <w:t xml:space="preserve"> is struck from the roll for want of au</w:t>
      </w:r>
      <w:r w:rsidR="004F4CB7">
        <w:rPr>
          <w:rFonts w:ascii="Arial" w:hAnsi="Arial" w:cs="Arial"/>
        </w:rPr>
        <w:t>thority to institute the</w:t>
      </w:r>
      <w:r w:rsidR="00D31ACB">
        <w:rPr>
          <w:rFonts w:ascii="Arial" w:hAnsi="Arial" w:cs="Arial"/>
        </w:rPr>
        <w:t xml:space="preserve"> proceedings</w:t>
      </w:r>
      <w:r w:rsidR="004F4CB7">
        <w:rPr>
          <w:rFonts w:ascii="Arial" w:hAnsi="Arial" w:cs="Arial"/>
        </w:rPr>
        <w:t xml:space="preserve"> for stay</w:t>
      </w:r>
      <w:r w:rsidR="007768A0">
        <w:rPr>
          <w:rFonts w:ascii="Arial" w:hAnsi="Arial" w:cs="Arial"/>
        </w:rPr>
        <w:t>.</w:t>
      </w:r>
    </w:p>
    <w:p w14:paraId="1D9B8E8A" w14:textId="77777777" w:rsidR="00A973A4" w:rsidRDefault="007768A0" w:rsidP="00A973A4">
      <w:pPr>
        <w:pStyle w:val="BodyText"/>
        <w:numPr>
          <w:ilvl w:val="0"/>
          <w:numId w:val="34"/>
        </w:numPr>
        <w:spacing w:line="360" w:lineRule="auto"/>
        <w:jc w:val="both"/>
        <w:rPr>
          <w:rFonts w:ascii="Arial" w:hAnsi="Arial" w:cs="Arial"/>
        </w:rPr>
      </w:pPr>
      <w:r>
        <w:rPr>
          <w:rFonts w:ascii="Arial" w:hAnsi="Arial" w:cs="Arial"/>
        </w:rPr>
        <w:t xml:space="preserve">The applicant is ordered to pay the </w:t>
      </w:r>
      <w:r w:rsidR="00315781" w:rsidRPr="007716AD">
        <w:rPr>
          <w:rFonts w:ascii="Arial" w:hAnsi="Arial" w:cs="Arial"/>
        </w:rPr>
        <w:t>costs</w:t>
      </w:r>
      <w:r>
        <w:rPr>
          <w:rFonts w:ascii="Arial" w:hAnsi="Arial" w:cs="Arial"/>
        </w:rPr>
        <w:t xml:space="preserve"> of the application</w:t>
      </w:r>
      <w:r w:rsidR="007716AD">
        <w:rPr>
          <w:rFonts w:ascii="Arial" w:hAnsi="Arial" w:cs="Arial"/>
        </w:rPr>
        <w:t>,</w:t>
      </w:r>
      <w:r w:rsidR="007716AD" w:rsidRPr="007716AD">
        <w:rPr>
          <w:rFonts w:ascii="Arial" w:hAnsi="Arial" w:cs="Arial"/>
        </w:rPr>
        <w:t xml:space="preserve"> </w:t>
      </w:r>
      <w:r w:rsidR="00D31ACB">
        <w:rPr>
          <w:rFonts w:ascii="Arial" w:hAnsi="Arial" w:cs="Arial"/>
        </w:rPr>
        <w:t>consequent upon the employment of</w:t>
      </w:r>
      <w:r w:rsidR="007716AD" w:rsidRPr="007716AD">
        <w:rPr>
          <w:rFonts w:ascii="Arial" w:hAnsi="Arial" w:cs="Arial"/>
        </w:rPr>
        <w:t xml:space="preserve"> one </w:t>
      </w:r>
      <w:r w:rsidR="005F5669">
        <w:rPr>
          <w:rFonts w:ascii="Arial" w:hAnsi="Arial" w:cs="Arial"/>
        </w:rPr>
        <w:t xml:space="preserve">instructing and one instructed legal </w:t>
      </w:r>
      <w:r w:rsidR="005F5669">
        <w:rPr>
          <w:rFonts w:ascii="Arial" w:hAnsi="Arial" w:cs="Arial"/>
        </w:rPr>
        <w:lastRenderedPageBreak/>
        <w:t>practitioner, but subject to the provisions of Rule 32(11) of this Court’s Rules.</w:t>
      </w:r>
    </w:p>
    <w:p w14:paraId="7471E408" w14:textId="25AFFA11" w:rsidR="003859A1" w:rsidRPr="005C2DF2" w:rsidRDefault="002544BA" w:rsidP="005C2DF2">
      <w:pPr>
        <w:pStyle w:val="BodyText"/>
        <w:numPr>
          <w:ilvl w:val="0"/>
          <w:numId w:val="34"/>
        </w:numPr>
        <w:spacing w:line="360" w:lineRule="auto"/>
        <w:jc w:val="both"/>
        <w:rPr>
          <w:rFonts w:ascii="Arial" w:hAnsi="Arial" w:cs="Arial"/>
        </w:rPr>
      </w:pPr>
      <w:r>
        <w:rPr>
          <w:rFonts w:ascii="Arial" w:hAnsi="Arial" w:cs="Arial"/>
        </w:rPr>
        <w:t xml:space="preserve">The </w:t>
      </w:r>
      <w:r w:rsidR="0092649C" w:rsidRPr="006E4D79">
        <w:rPr>
          <w:rFonts w:ascii="Arial" w:hAnsi="Arial" w:cs="Arial"/>
        </w:rPr>
        <w:t>application</w:t>
      </w:r>
      <w:r>
        <w:rPr>
          <w:rFonts w:ascii="Arial" w:hAnsi="Arial" w:cs="Arial"/>
        </w:rPr>
        <w:t xml:space="preserve"> for liquidation</w:t>
      </w:r>
      <w:r w:rsidR="0092649C" w:rsidRPr="006E4D79">
        <w:rPr>
          <w:rFonts w:ascii="Arial" w:hAnsi="Arial" w:cs="Arial"/>
        </w:rPr>
        <w:t xml:space="preserve"> is postponed to 19</w:t>
      </w:r>
      <w:r w:rsidR="005F5669" w:rsidRPr="006E4D79">
        <w:rPr>
          <w:rFonts w:ascii="Arial" w:hAnsi="Arial" w:cs="Arial"/>
        </w:rPr>
        <w:t xml:space="preserve"> November 2020, at 08:30 for a case management conference hearing.</w:t>
      </w:r>
    </w:p>
    <w:p w14:paraId="5045EAA3" w14:textId="77777777" w:rsidR="003859A1" w:rsidRPr="00D31ACB" w:rsidRDefault="003859A1" w:rsidP="003859A1">
      <w:pPr>
        <w:pStyle w:val="BodyText"/>
        <w:ind w:left="360"/>
        <w:jc w:val="both"/>
        <w:rPr>
          <w:rFonts w:ascii="Arial" w:hAnsi="Arial" w:cs="Arial"/>
        </w:rPr>
      </w:pPr>
    </w:p>
    <w:p w14:paraId="25474010" w14:textId="77777777" w:rsidR="00A973A4" w:rsidRPr="00134F2B" w:rsidRDefault="00A973A4" w:rsidP="003859A1">
      <w:pPr>
        <w:pBdr>
          <w:top w:val="single" w:sz="4" w:space="1" w:color="auto"/>
        </w:pBdr>
        <w:jc w:val="both"/>
        <w:rPr>
          <w:rFonts w:ascii="Arial" w:hAnsi="Arial" w:cs="Arial"/>
          <w:bCs/>
        </w:rPr>
      </w:pPr>
    </w:p>
    <w:p w14:paraId="39717F47" w14:textId="77777777" w:rsidR="00A973A4" w:rsidRPr="00134F2B" w:rsidRDefault="00C7023E" w:rsidP="003859A1">
      <w:pPr>
        <w:jc w:val="center"/>
        <w:rPr>
          <w:rFonts w:ascii="Arial" w:hAnsi="Arial" w:cs="Arial"/>
          <w:b/>
        </w:rPr>
      </w:pPr>
      <w:r>
        <w:rPr>
          <w:rFonts w:ascii="Arial" w:hAnsi="Arial" w:cs="Arial"/>
          <w:b/>
        </w:rPr>
        <w:t>RULING</w:t>
      </w:r>
    </w:p>
    <w:p w14:paraId="522C9BFC" w14:textId="77777777" w:rsidR="00A973A4" w:rsidRPr="00134F2B" w:rsidRDefault="00A973A4" w:rsidP="003859A1">
      <w:pPr>
        <w:pBdr>
          <w:bottom w:val="single" w:sz="4" w:space="1" w:color="auto"/>
        </w:pBdr>
        <w:jc w:val="center"/>
        <w:rPr>
          <w:rFonts w:ascii="Arial" w:hAnsi="Arial" w:cs="Arial"/>
          <w:b/>
        </w:rPr>
      </w:pPr>
    </w:p>
    <w:p w14:paraId="1469008B" w14:textId="77777777" w:rsidR="00A973A4" w:rsidRPr="00134F2B" w:rsidRDefault="00A973A4" w:rsidP="00A973A4">
      <w:pPr>
        <w:spacing w:line="360" w:lineRule="auto"/>
        <w:ind w:left="1440" w:hanging="1440"/>
        <w:jc w:val="both"/>
        <w:rPr>
          <w:rFonts w:ascii="Arial" w:hAnsi="Arial" w:cs="Arial"/>
        </w:rPr>
      </w:pPr>
    </w:p>
    <w:p w14:paraId="1B46A0DA" w14:textId="77777777" w:rsidR="00A973A4" w:rsidRPr="00736A33" w:rsidRDefault="00B15EFA" w:rsidP="00A973A4">
      <w:pPr>
        <w:spacing w:line="360" w:lineRule="auto"/>
        <w:ind w:left="1440" w:hanging="1440"/>
        <w:jc w:val="both"/>
        <w:rPr>
          <w:rFonts w:ascii="Arial" w:hAnsi="Arial" w:cs="Arial"/>
          <w:b/>
          <w:i/>
        </w:rPr>
      </w:pPr>
      <w:r w:rsidRPr="00736A33">
        <w:rPr>
          <w:rFonts w:ascii="Arial" w:hAnsi="Arial" w:cs="Arial"/>
          <w:b/>
        </w:rPr>
        <w:t xml:space="preserve">MASUKU </w:t>
      </w:r>
      <w:r w:rsidR="00A973A4" w:rsidRPr="00736A33">
        <w:rPr>
          <w:rFonts w:ascii="Arial" w:hAnsi="Arial" w:cs="Arial"/>
          <w:b/>
        </w:rPr>
        <w:t>J:</w:t>
      </w:r>
    </w:p>
    <w:p w14:paraId="7F958230" w14:textId="77777777" w:rsidR="00A973A4" w:rsidRPr="00295381" w:rsidRDefault="00A973A4" w:rsidP="00A973A4">
      <w:pPr>
        <w:spacing w:line="360" w:lineRule="auto"/>
        <w:rPr>
          <w:rFonts w:ascii="Arial" w:hAnsi="Arial" w:cs="Arial"/>
        </w:rPr>
      </w:pPr>
    </w:p>
    <w:p w14:paraId="25B07814"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Introduction </w:t>
      </w:r>
    </w:p>
    <w:p w14:paraId="7DFB6EDA" w14:textId="77777777" w:rsidR="00A973A4" w:rsidRDefault="00A973A4" w:rsidP="00A973A4">
      <w:pPr>
        <w:spacing w:line="360" w:lineRule="auto"/>
        <w:jc w:val="both"/>
        <w:rPr>
          <w:rFonts w:ascii="Arial" w:hAnsi="Arial" w:cs="Arial"/>
        </w:rPr>
      </w:pPr>
    </w:p>
    <w:p w14:paraId="506B9EA1" w14:textId="77777777" w:rsidR="00736A33" w:rsidRDefault="00A973A4" w:rsidP="00A973A4">
      <w:pPr>
        <w:spacing w:line="360" w:lineRule="auto"/>
        <w:jc w:val="both"/>
        <w:rPr>
          <w:rFonts w:ascii="Arial" w:hAnsi="Arial" w:cs="Arial"/>
        </w:rPr>
      </w:pPr>
      <w:r>
        <w:rPr>
          <w:rFonts w:ascii="Arial" w:hAnsi="Arial" w:cs="Arial"/>
        </w:rPr>
        <w:t xml:space="preserve">[1] </w:t>
      </w:r>
      <w:r>
        <w:rPr>
          <w:rFonts w:ascii="Arial" w:hAnsi="Arial" w:cs="Arial"/>
        </w:rPr>
        <w:tab/>
      </w:r>
      <w:r w:rsidR="00562885">
        <w:rPr>
          <w:rFonts w:ascii="Arial" w:hAnsi="Arial" w:cs="Arial"/>
        </w:rPr>
        <w:t xml:space="preserve"> </w:t>
      </w:r>
      <w:r w:rsidR="00454CE0">
        <w:rPr>
          <w:rFonts w:ascii="Arial" w:hAnsi="Arial" w:cs="Arial"/>
        </w:rPr>
        <w:t>The question for determination in this matter revolves around the propriety of the staying of opposed liquidation proceedings instituted by the r</w:t>
      </w:r>
      <w:r w:rsidR="00736A33">
        <w:rPr>
          <w:rFonts w:ascii="Arial" w:hAnsi="Arial" w:cs="Arial"/>
        </w:rPr>
        <w:t>espondent against the applicant. The application for stay is sought</w:t>
      </w:r>
      <w:r w:rsidR="00454CE0">
        <w:rPr>
          <w:rFonts w:ascii="Arial" w:hAnsi="Arial" w:cs="Arial"/>
        </w:rPr>
        <w:t xml:space="preserve"> pending the </w:t>
      </w:r>
      <w:proofErr w:type="spellStart"/>
      <w:r w:rsidR="00454CE0">
        <w:rPr>
          <w:rFonts w:ascii="Arial" w:hAnsi="Arial" w:cs="Arial"/>
        </w:rPr>
        <w:t>finalisation</w:t>
      </w:r>
      <w:proofErr w:type="spellEnd"/>
      <w:r w:rsidR="00454CE0">
        <w:rPr>
          <w:rFonts w:ascii="Arial" w:hAnsi="Arial" w:cs="Arial"/>
        </w:rPr>
        <w:t xml:space="preserve"> of </w:t>
      </w:r>
      <w:r w:rsidR="00736A33">
        <w:rPr>
          <w:rFonts w:ascii="Arial" w:hAnsi="Arial" w:cs="Arial"/>
        </w:rPr>
        <w:t xml:space="preserve">an </w:t>
      </w:r>
      <w:r w:rsidR="00454CE0">
        <w:rPr>
          <w:rFonts w:ascii="Arial" w:hAnsi="Arial" w:cs="Arial"/>
        </w:rPr>
        <w:t>action for damages instituted by the applicant aga</w:t>
      </w:r>
      <w:r w:rsidR="00736A33">
        <w:rPr>
          <w:rFonts w:ascii="Arial" w:hAnsi="Arial" w:cs="Arial"/>
        </w:rPr>
        <w:t>inst the respondent</w:t>
      </w:r>
      <w:r w:rsidR="00925AEA">
        <w:rPr>
          <w:rFonts w:ascii="Arial" w:hAnsi="Arial" w:cs="Arial"/>
        </w:rPr>
        <w:t xml:space="preserve"> under case number HC-MD-CIV-ACT-CON-2020/01839</w:t>
      </w:r>
      <w:r>
        <w:rPr>
          <w:rFonts w:ascii="Arial" w:hAnsi="Arial" w:cs="Arial"/>
        </w:rPr>
        <w:t xml:space="preserve">. </w:t>
      </w:r>
    </w:p>
    <w:p w14:paraId="6FA97E19" w14:textId="77777777" w:rsidR="00736A33" w:rsidRDefault="00736A33" w:rsidP="00A973A4">
      <w:pPr>
        <w:spacing w:line="360" w:lineRule="auto"/>
        <w:jc w:val="both"/>
        <w:rPr>
          <w:rFonts w:ascii="Arial" w:hAnsi="Arial" w:cs="Arial"/>
        </w:rPr>
      </w:pPr>
    </w:p>
    <w:p w14:paraId="56C3230B" w14:textId="3A622D22" w:rsidR="00A973A4" w:rsidRDefault="00736A33" w:rsidP="00A973A4">
      <w:pPr>
        <w:spacing w:line="360" w:lineRule="auto"/>
        <w:jc w:val="both"/>
        <w:rPr>
          <w:rFonts w:ascii="Arial" w:hAnsi="Arial" w:cs="Arial"/>
        </w:rPr>
      </w:pPr>
      <w:r>
        <w:rPr>
          <w:rFonts w:ascii="Arial" w:hAnsi="Arial" w:cs="Arial"/>
        </w:rPr>
        <w:t>[2]</w:t>
      </w:r>
      <w:r>
        <w:rPr>
          <w:rFonts w:ascii="Arial" w:hAnsi="Arial" w:cs="Arial"/>
        </w:rPr>
        <w:tab/>
        <w:t>It is important to point out that t</w:t>
      </w:r>
      <w:r w:rsidR="00454CE0">
        <w:rPr>
          <w:rFonts w:ascii="Arial" w:hAnsi="Arial" w:cs="Arial"/>
        </w:rPr>
        <w:t>he application for stay is opposed by the respondent.</w:t>
      </w:r>
    </w:p>
    <w:p w14:paraId="172445AC" w14:textId="77777777" w:rsidR="00A973A4" w:rsidRDefault="00A973A4" w:rsidP="00A973A4">
      <w:pPr>
        <w:spacing w:line="360" w:lineRule="auto"/>
        <w:jc w:val="both"/>
        <w:rPr>
          <w:rFonts w:ascii="Arial" w:hAnsi="Arial" w:cs="Arial"/>
        </w:rPr>
      </w:pPr>
    </w:p>
    <w:p w14:paraId="6591A7CE"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The parties </w:t>
      </w:r>
    </w:p>
    <w:p w14:paraId="1FDF7F40" w14:textId="77777777" w:rsidR="00A973A4" w:rsidRDefault="00A973A4" w:rsidP="00A973A4">
      <w:pPr>
        <w:spacing w:line="360" w:lineRule="auto"/>
        <w:jc w:val="both"/>
        <w:rPr>
          <w:rFonts w:ascii="Arial" w:hAnsi="Arial" w:cs="Arial"/>
        </w:rPr>
      </w:pPr>
    </w:p>
    <w:p w14:paraId="5C2185ED" w14:textId="77777777" w:rsidR="00A973A4" w:rsidRDefault="006D4D17" w:rsidP="00A973A4">
      <w:pPr>
        <w:spacing w:line="360" w:lineRule="auto"/>
        <w:jc w:val="both"/>
        <w:rPr>
          <w:rFonts w:ascii="Arial" w:hAnsi="Arial" w:cs="Arial"/>
        </w:rPr>
      </w:pPr>
      <w:r>
        <w:rPr>
          <w:rFonts w:ascii="Arial" w:hAnsi="Arial" w:cs="Arial"/>
        </w:rPr>
        <w:t>[3]</w:t>
      </w:r>
      <w:r>
        <w:rPr>
          <w:rFonts w:ascii="Arial" w:hAnsi="Arial" w:cs="Arial"/>
        </w:rPr>
        <w:tab/>
      </w:r>
      <w:r w:rsidR="00A973A4">
        <w:rPr>
          <w:rFonts w:ascii="Arial" w:hAnsi="Arial" w:cs="Arial"/>
        </w:rPr>
        <w:t>The ap</w:t>
      </w:r>
      <w:r w:rsidR="00925AEA">
        <w:rPr>
          <w:rFonts w:ascii="Arial" w:hAnsi="Arial" w:cs="Arial"/>
        </w:rPr>
        <w:t>plicant is M G M Properties (Pty) Ltd.</w:t>
      </w:r>
      <w:r w:rsidR="005878F6">
        <w:rPr>
          <w:rFonts w:ascii="Arial" w:hAnsi="Arial" w:cs="Arial"/>
        </w:rPr>
        <w:t xml:space="preserve">, a juristic person, with </w:t>
      </w:r>
      <w:r w:rsidR="00807B20">
        <w:rPr>
          <w:rFonts w:ascii="Arial" w:hAnsi="Arial" w:cs="Arial"/>
        </w:rPr>
        <w:t xml:space="preserve">its </w:t>
      </w:r>
      <w:r w:rsidR="005878F6">
        <w:rPr>
          <w:rFonts w:ascii="Arial" w:hAnsi="Arial" w:cs="Arial"/>
        </w:rPr>
        <w:t>registered offices situate at first floor, Moth Centre Building, Windhoek, within the Republic</w:t>
      </w:r>
      <w:r w:rsidR="00807B20">
        <w:rPr>
          <w:rFonts w:ascii="Arial" w:hAnsi="Arial" w:cs="Arial"/>
        </w:rPr>
        <w:t xml:space="preserve"> of Namibia</w:t>
      </w:r>
      <w:r w:rsidR="00A973A4">
        <w:rPr>
          <w:rFonts w:ascii="Arial" w:hAnsi="Arial" w:cs="Arial"/>
        </w:rPr>
        <w:t>.</w:t>
      </w:r>
      <w:r w:rsidR="005878F6">
        <w:rPr>
          <w:rFonts w:ascii="Arial" w:hAnsi="Arial" w:cs="Arial"/>
        </w:rPr>
        <w:t xml:space="preserve"> The applicant will</w:t>
      </w:r>
      <w:r w:rsidR="00807B20">
        <w:rPr>
          <w:rFonts w:ascii="Arial" w:hAnsi="Arial" w:cs="Arial"/>
        </w:rPr>
        <w:t>, in this ruling, for ease of reference,</w:t>
      </w:r>
      <w:r w:rsidR="005878F6">
        <w:rPr>
          <w:rFonts w:ascii="Arial" w:hAnsi="Arial" w:cs="Arial"/>
        </w:rPr>
        <w:t xml:space="preserve"> be referred to as</w:t>
      </w:r>
      <w:r w:rsidR="00454CE0">
        <w:rPr>
          <w:rFonts w:ascii="Arial" w:hAnsi="Arial" w:cs="Arial"/>
        </w:rPr>
        <w:t xml:space="preserve"> such</w:t>
      </w:r>
      <w:r w:rsidR="00807B20">
        <w:rPr>
          <w:rFonts w:ascii="Arial" w:hAnsi="Arial" w:cs="Arial"/>
        </w:rPr>
        <w:t>, alternatively, as</w:t>
      </w:r>
      <w:r w:rsidR="005878F6">
        <w:rPr>
          <w:rFonts w:ascii="Arial" w:hAnsi="Arial" w:cs="Arial"/>
        </w:rPr>
        <w:t xml:space="preserve"> </w:t>
      </w:r>
      <w:r w:rsidR="008D1DB4">
        <w:rPr>
          <w:rFonts w:ascii="Arial" w:hAnsi="Arial" w:cs="Arial"/>
        </w:rPr>
        <w:t>“</w:t>
      </w:r>
      <w:r w:rsidR="005878F6">
        <w:rPr>
          <w:rFonts w:ascii="Arial" w:hAnsi="Arial" w:cs="Arial"/>
        </w:rPr>
        <w:t>MGM</w:t>
      </w:r>
      <w:r w:rsidR="008D1DB4">
        <w:rPr>
          <w:rFonts w:ascii="Arial" w:hAnsi="Arial" w:cs="Arial"/>
        </w:rPr>
        <w:t>”</w:t>
      </w:r>
      <w:r w:rsidR="009271B1">
        <w:rPr>
          <w:rFonts w:ascii="Arial" w:hAnsi="Arial" w:cs="Arial"/>
        </w:rPr>
        <w:t>.</w:t>
      </w:r>
    </w:p>
    <w:p w14:paraId="0D1BC079" w14:textId="77777777" w:rsidR="00A973A4" w:rsidRDefault="00A973A4" w:rsidP="00A973A4">
      <w:pPr>
        <w:spacing w:line="360" w:lineRule="auto"/>
        <w:jc w:val="both"/>
        <w:rPr>
          <w:rFonts w:ascii="Arial" w:hAnsi="Arial" w:cs="Arial"/>
        </w:rPr>
      </w:pPr>
    </w:p>
    <w:p w14:paraId="7CB3A098" w14:textId="3CB87A7A" w:rsidR="00A973A4" w:rsidRDefault="005878F6" w:rsidP="00A973A4">
      <w:pPr>
        <w:spacing w:line="360" w:lineRule="auto"/>
        <w:jc w:val="both"/>
        <w:rPr>
          <w:rFonts w:ascii="Arial" w:hAnsi="Arial" w:cs="Arial"/>
        </w:rPr>
      </w:pPr>
      <w:r>
        <w:rPr>
          <w:rFonts w:ascii="Arial" w:hAnsi="Arial" w:cs="Arial"/>
        </w:rPr>
        <w:t>[4]</w:t>
      </w:r>
      <w:r>
        <w:rPr>
          <w:rFonts w:ascii="Arial" w:hAnsi="Arial" w:cs="Arial"/>
        </w:rPr>
        <w:tab/>
        <w:t>The respondent</w:t>
      </w:r>
      <w:r w:rsidR="00807B20">
        <w:rPr>
          <w:rFonts w:ascii="Arial" w:hAnsi="Arial" w:cs="Arial"/>
        </w:rPr>
        <w:t>, Bank Windhoek Limited,</w:t>
      </w:r>
      <w:r>
        <w:rPr>
          <w:rFonts w:ascii="Arial" w:hAnsi="Arial" w:cs="Arial"/>
        </w:rPr>
        <w:t xml:space="preserve"> is also a juristic person</w:t>
      </w:r>
      <w:r w:rsidR="00807B20">
        <w:rPr>
          <w:rFonts w:ascii="Arial" w:hAnsi="Arial" w:cs="Arial"/>
        </w:rPr>
        <w:t xml:space="preserve">, namely, a public company, duly registered as a commercial bank. Its principal place of business </w:t>
      </w:r>
      <w:r w:rsidR="00871011">
        <w:rPr>
          <w:rFonts w:ascii="Arial" w:hAnsi="Arial" w:cs="Arial"/>
        </w:rPr>
        <w:t>is situate</w:t>
      </w:r>
      <w:r w:rsidR="00807B20">
        <w:rPr>
          <w:rFonts w:ascii="Arial" w:hAnsi="Arial" w:cs="Arial"/>
        </w:rPr>
        <w:t xml:space="preserve"> at 6</w:t>
      </w:r>
      <w:r w:rsidR="00807B20" w:rsidRPr="00807B20">
        <w:rPr>
          <w:rFonts w:ascii="Arial" w:hAnsi="Arial" w:cs="Arial"/>
          <w:vertAlign w:val="superscript"/>
        </w:rPr>
        <w:t>th</w:t>
      </w:r>
      <w:r w:rsidR="00807B20">
        <w:rPr>
          <w:rFonts w:ascii="Arial" w:hAnsi="Arial" w:cs="Arial"/>
        </w:rPr>
        <w:t xml:space="preserve"> Floor, CIH House, </w:t>
      </w:r>
      <w:proofErr w:type="spellStart"/>
      <w:proofErr w:type="gramStart"/>
      <w:r w:rsidR="00807B20">
        <w:rPr>
          <w:rFonts w:ascii="Arial" w:hAnsi="Arial" w:cs="Arial"/>
        </w:rPr>
        <w:t>Kasino</w:t>
      </w:r>
      <w:proofErr w:type="spellEnd"/>
      <w:proofErr w:type="gramEnd"/>
      <w:r w:rsidR="00807B20">
        <w:rPr>
          <w:rFonts w:ascii="Arial" w:hAnsi="Arial" w:cs="Arial"/>
        </w:rPr>
        <w:t xml:space="preserve"> Street, Windhoek. </w:t>
      </w:r>
      <w:r>
        <w:rPr>
          <w:rFonts w:ascii="Arial" w:hAnsi="Arial" w:cs="Arial"/>
        </w:rPr>
        <w:t>The re</w:t>
      </w:r>
      <w:r w:rsidR="00807B20">
        <w:rPr>
          <w:rFonts w:ascii="Arial" w:hAnsi="Arial" w:cs="Arial"/>
        </w:rPr>
        <w:t>spondent will,</w:t>
      </w:r>
      <w:r>
        <w:rPr>
          <w:rFonts w:ascii="Arial" w:hAnsi="Arial" w:cs="Arial"/>
        </w:rPr>
        <w:t xml:space="preserve"> for </w:t>
      </w:r>
      <w:r w:rsidR="002C3BDB">
        <w:rPr>
          <w:rFonts w:ascii="Arial" w:hAnsi="Arial" w:cs="Arial"/>
        </w:rPr>
        <w:t xml:space="preserve">the </w:t>
      </w:r>
      <w:r>
        <w:rPr>
          <w:rFonts w:ascii="Arial" w:hAnsi="Arial" w:cs="Arial"/>
        </w:rPr>
        <w:t>sake of convenience</w:t>
      </w:r>
      <w:r w:rsidR="00807B20">
        <w:rPr>
          <w:rFonts w:ascii="Arial" w:hAnsi="Arial" w:cs="Arial"/>
        </w:rPr>
        <w:t>, be referred to as such, or simply as ‘the Bank’</w:t>
      </w:r>
      <w:r>
        <w:rPr>
          <w:rFonts w:ascii="Arial" w:hAnsi="Arial" w:cs="Arial"/>
        </w:rPr>
        <w:t xml:space="preserve">. </w:t>
      </w:r>
      <w:r w:rsidR="005C2DF2">
        <w:rPr>
          <w:rFonts w:ascii="Arial" w:hAnsi="Arial" w:cs="Arial"/>
        </w:rPr>
        <w:t xml:space="preserve"> </w:t>
      </w:r>
    </w:p>
    <w:p w14:paraId="1224E1BB" w14:textId="77777777" w:rsidR="000064D9" w:rsidRDefault="000064D9" w:rsidP="00A973A4">
      <w:pPr>
        <w:spacing w:line="360" w:lineRule="auto"/>
        <w:jc w:val="both"/>
        <w:rPr>
          <w:rFonts w:ascii="Arial" w:hAnsi="Arial" w:cs="Arial"/>
        </w:rPr>
      </w:pPr>
    </w:p>
    <w:p w14:paraId="2BF475D0" w14:textId="77777777" w:rsidR="00A973A4" w:rsidRPr="00B4008E" w:rsidRDefault="00A973A4" w:rsidP="00A973A4">
      <w:pPr>
        <w:spacing w:line="360" w:lineRule="auto"/>
        <w:jc w:val="both"/>
        <w:rPr>
          <w:rFonts w:ascii="Arial" w:hAnsi="Arial" w:cs="Arial"/>
          <w:u w:val="single"/>
        </w:rPr>
      </w:pPr>
      <w:r w:rsidRPr="00B4008E">
        <w:rPr>
          <w:rFonts w:ascii="Arial" w:hAnsi="Arial" w:cs="Arial"/>
          <w:u w:val="single"/>
        </w:rPr>
        <w:t xml:space="preserve">Background </w:t>
      </w:r>
    </w:p>
    <w:p w14:paraId="5C586CD9" w14:textId="77777777" w:rsidR="00A973A4" w:rsidRDefault="00A973A4" w:rsidP="00A973A4">
      <w:pPr>
        <w:spacing w:line="360" w:lineRule="auto"/>
        <w:jc w:val="both"/>
        <w:rPr>
          <w:rFonts w:ascii="Arial" w:hAnsi="Arial" w:cs="Arial"/>
        </w:rPr>
      </w:pPr>
    </w:p>
    <w:p w14:paraId="4754BB31" w14:textId="73954AED" w:rsidR="006009B1" w:rsidRDefault="00255859" w:rsidP="00A973A4">
      <w:pPr>
        <w:spacing w:line="360" w:lineRule="auto"/>
        <w:jc w:val="both"/>
        <w:rPr>
          <w:rFonts w:ascii="Arial" w:hAnsi="Arial" w:cs="Arial"/>
        </w:rPr>
      </w:pPr>
      <w:r>
        <w:rPr>
          <w:rFonts w:ascii="Arial" w:hAnsi="Arial" w:cs="Arial"/>
        </w:rPr>
        <w:t>[5</w:t>
      </w:r>
      <w:r w:rsidR="00A973A4">
        <w:rPr>
          <w:rFonts w:ascii="Arial" w:hAnsi="Arial" w:cs="Arial"/>
        </w:rPr>
        <w:t>]</w:t>
      </w:r>
      <w:r w:rsidR="00A973A4">
        <w:rPr>
          <w:rFonts w:ascii="Arial" w:hAnsi="Arial" w:cs="Arial"/>
        </w:rPr>
        <w:tab/>
      </w:r>
      <w:r w:rsidR="00722819">
        <w:rPr>
          <w:rFonts w:ascii="Arial" w:hAnsi="Arial" w:cs="Arial"/>
        </w:rPr>
        <w:t>The Bank</w:t>
      </w:r>
      <w:r w:rsidR="00736A33">
        <w:rPr>
          <w:rFonts w:ascii="Arial" w:hAnsi="Arial" w:cs="Arial"/>
        </w:rPr>
        <w:t xml:space="preserve">, by </w:t>
      </w:r>
      <w:r w:rsidR="00871011">
        <w:rPr>
          <w:rFonts w:ascii="Arial" w:hAnsi="Arial" w:cs="Arial"/>
        </w:rPr>
        <w:t>n</w:t>
      </w:r>
      <w:r w:rsidR="00736A33">
        <w:rPr>
          <w:rFonts w:ascii="Arial" w:hAnsi="Arial" w:cs="Arial"/>
        </w:rPr>
        <w:t>otice of motion</w:t>
      </w:r>
      <w:r w:rsidR="00871011">
        <w:rPr>
          <w:rFonts w:ascii="Arial" w:hAnsi="Arial" w:cs="Arial"/>
        </w:rPr>
        <w:t xml:space="preserve"> dated 6 June </w:t>
      </w:r>
      <w:r w:rsidR="00807B20">
        <w:rPr>
          <w:rFonts w:ascii="Arial" w:hAnsi="Arial" w:cs="Arial"/>
        </w:rPr>
        <w:t>2020, moved an application on notice, seeking the winding up of the applicant in the hands of the Master of the High Court</w:t>
      </w:r>
      <w:r w:rsidR="006009B1">
        <w:rPr>
          <w:rFonts w:ascii="Arial" w:hAnsi="Arial" w:cs="Arial"/>
        </w:rPr>
        <w:t>, together with an order for costs to be in the winding up</w:t>
      </w:r>
      <w:r w:rsidR="00807B20">
        <w:rPr>
          <w:rFonts w:ascii="Arial" w:hAnsi="Arial" w:cs="Arial"/>
        </w:rPr>
        <w:t>.</w:t>
      </w:r>
      <w:r w:rsidR="006009B1">
        <w:rPr>
          <w:rFonts w:ascii="Arial" w:hAnsi="Arial" w:cs="Arial"/>
        </w:rPr>
        <w:t xml:space="preserve"> Needless to say, the applicant opposed these proceedings and on grounds that need not be </w:t>
      </w:r>
      <w:r w:rsidR="00736A33">
        <w:rPr>
          <w:rFonts w:ascii="Arial" w:hAnsi="Arial" w:cs="Arial"/>
        </w:rPr>
        <w:t>travers</w:t>
      </w:r>
      <w:r w:rsidR="006009B1">
        <w:rPr>
          <w:rFonts w:ascii="Arial" w:hAnsi="Arial" w:cs="Arial"/>
        </w:rPr>
        <w:t>ed in the current proceedings.</w:t>
      </w:r>
    </w:p>
    <w:p w14:paraId="189E1208" w14:textId="77777777" w:rsidR="006009B1" w:rsidRDefault="006009B1" w:rsidP="00A973A4">
      <w:pPr>
        <w:spacing w:line="360" w:lineRule="auto"/>
        <w:jc w:val="both"/>
        <w:rPr>
          <w:rFonts w:ascii="Arial" w:hAnsi="Arial" w:cs="Arial"/>
        </w:rPr>
      </w:pPr>
    </w:p>
    <w:p w14:paraId="03267E79" w14:textId="1A331ADA" w:rsidR="006009B1" w:rsidRDefault="00255859" w:rsidP="00A973A4">
      <w:pPr>
        <w:spacing w:line="360" w:lineRule="auto"/>
        <w:jc w:val="both"/>
        <w:rPr>
          <w:rFonts w:ascii="Arial" w:hAnsi="Arial" w:cs="Arial"/>
        </w:rPr>
      </w:pPr>
      <w:r>
        <w:rPr>
          <w:rFonts w:ascii="Arial" w:hAnsi="Arial" w:cs="Arial"/>
        </w:rPr>
        <w:t>[6</w:t>
      </w:r>
      <w:r w:rsidR="006009B1">
        <w:rPr>
          <w:rFonts w:ascii="Arial" w:hAnsi="Arial" w:cs="Arial"/>
        </w:rPr>
        <w:t>]</w:t>
      </w:r>
      <w:r w:rsidR="006009B1">
        <w:rPr>
          <w:rFonts w:ascii="Arial" w:hAnsi="Arial" w:cs="Arial"/>
        </w:rPr>
        <w:tab/>
        <w:t>The liquidation application has reached the stage where the parties are due to file a proposed case management order, all the sets of affidavits having been filed by the parties. It must be stated in this context that the matter stalled at some stage due to attempts to settle the dispute out of court</w:t>
      </w:r>
      <w:r w:rsidR="00736A33">
        <w:rPr>
          <w:rFonts w:ascii="Arial" w:hAnsi="Arial" w:cs="Arial"/>
        </w:rPr>
        <w:t xml:space="preserve"> and some minor misunderstanding between the parties’ representatives</w:t>
      </w:r>
      <w:r w:rsidR="006009B1">
        <w:rPr>
          <w:rFonts w:ascii="Arial" w:hAnsi="Arial" w:cs="Arial"/>
        </w:rPr>
        <w:t xml:space="preserve">. </w:t>
      </w:r>
    </w:p>
    <w:p w14:paraId="76CE98F5" w14:textId="77777777" w:rsidR="006009B1" w:rsidRDefault="006009B1" w:rsidP="00A973A4">
      <w:pPr>
        <w:spacing w:line="360" w:lineRule="auto"/>
        <w:jc w:val="both"/>
        <w:rPr>
          <w:rFonts w:ascii="Arial" w:hAnsi="Arial" w:cs="Arial"/>
        </w:rPr>
      </w:pPr>
    </w:p>
    <w:p w14:paraId="6ECEE743" w14:textId="3599CB47" w:rsidR="006009B1" w:rsidRDefault="00255859" w:rsidP="00A973A4">
      <w:pPr>
        <w:spacing w:line="360" w:lineRule="auto"/>
        <w:jc w:val="both"/>
        <w:rPr>
          <w:rFonts w:ascii="Arial" w:hAnsi="Arial" w:cs="Arial"/>
        </w:rPr>
      </w:pPr>
      <w:r>
        <w:rPr>
          <w:rFonts w:ascii="Arial" w:hAnsi="Arial" w:cs="Arial"/>
        </w:rPr>
        <w:t>[7</w:t>
      </w:r>
      <w:r w:rsidR="006009B1">
        <w:rPr>
          <w:rFonts w:ascii="Arial" w:hAnsi="Arial" w:cs="Arial"/>
        </w:rPr>
        <w:t>]</w:t>
      </w:r>
      <w:r w:rsidR="006009B1">
        <w:rPr>
          <w:rFonts w:ascii="Arial" w:hAnsi="Arial" w:cs="Arial"/>
        </w:rPr>
        <w:tab/>
        <w:t xml:space="preserve">It is while the matter was due for case management that the applicant then brought the interlocutory application for the stay of the liquidation proceedings, as stated, pending the </w:t>
      </w:r>
      <w:proofErr w:type="spellStart"/>
      <w:r w:rsidR="006009B1">
        <w:rPr>
          <w:rFonts w:ascii="Arial" w:hAnsi="Arial" w:cs="Arial"/>
        </w:rPr>
        <w:t>finalisation</w:t>
      </w:r>
      <w:proofErr w:type="spellEnd"/>
      <w:r w:rsidR="006009B1">
        <w:rPr>
          <w:rFonts w:ascii="Arial" w:hAnsi="Arial" w:cs="Arial"/>
        </w:rPr>
        <w:t xml:space="preserve"> of an action that the applicant has instituted against the respondent</w:t>
      </w:r>
      <w:r w:rsidR="00736A33">
        <w:rPr>
          <w:rFonts w:ascii="Arial" w:hAnsi="Arial" w:cs="Arial"/>
        </w:rPr>
        <w:t>. In the action, the applicant sues</w:t>
      </w:r>
      <w:r w:rsidR="006009B1">
        <w:rPr>
          <w:rFonts w:ascii="Arial" w:hAnsi="Arial" w:cs="Arial"/>
        </w:rPr>
        <w:t xml:space="preserve"> for payment of damages in the amount of N$ 61 Million. That action is defended by the respondent.</w:t>
      </w:r>
    </w:p>
    <w:p w14:paraId="128AFAA4" w14:textId="77777777" w:rsidR="006009B1" w:rsidRDefault="006009B1" w:rsidP="00A973A4">
      <w:pPr>
        <w:spacing w:line="360" w:lineRule="auto"/>
        <w:jc w:val="both"/>
        <w:rPr>
          <w:rFonts w:ascii="Arial" w:hAnsi="Arial" w:cs="Arial"/>
        </w:rPr>
      </w:pPr>
    </w:p>
    <w:p w14:paraId="78BE1E72" w14:textId="77777777" w:rsidR="007F6111" w:rsidRDefault="007F6111" w:rsidP="00A973A4">
      <w:pPr>
        <w:spacing w:line="360" w:lineRule="auto"/>
        <w:jc w:val="both"/>
        <w:rPr>
          <w:rFonts w:ascii="Arial" w:hAnsi="Arial" w:cs="Arial"/>
          <w:i/>
          <w:u w:val="single"/>
        </w:rPr>
      </w:pPr>
      <w:r w:rsidRPr="007F6111">
        <w:rPr>
          <w:rFonts w:ascii="Arial" w:hAnsi="Arial" w:cs="Arial"/>
          <w:u w:val="single"/>
        </w:rPr>
        <w:t>Point</w:t>
      </w:r>
      <w:r w:rsidRPr="007F6111">
        <w:rPr>
          <w:rFonts w:ascii="Arial" w:hAnsi="Arial" w:cs="Arial"/>
          <w:i/>
          <w:u w:val="single"/>
        </w:rPr>
        <w:t xml:space="preserve"> in </w:t>
      </w:r>
      <w:proofErr w:type="spellStart"/>
      <w:r w:rsidRPr="007F6111">
        <w:rPr>
          <w:rFonts w:ascii="Arial" w:hAnsi="Arial" w:cs="Arial"/>
          <w:i/>
          <w:u w:val="single"/>
        </w:rPr>
        <w:t>limine</w:t>
      </w:r>
      <w:proofErr w:type="spellEnd"/>
    </w:p>
    <w:p w14:paraId="30A2F673" w14:textId="77777777" w:rsidR="007F6111" w:rsidRPr="007F6111" w:rsidRDefault="007F6111" w:rsidP="00A973A4">
      <w:pPr>
        <w:spacing w:line="360" w:lineRule="auto"/>
        <w:jc w:val="both"/>
        <w:rPr>
          <w:rFonts w:ascii="Arial" w:hAnsi="Arial" w:cs="Arial"/>
          <w:i/>
          <w:u w:val="single"/>
        </w:rPr>
      </w:pPr>
    </w:p>
    <w:p w14:paraId="76D55724" w14:textId="74204C8D" w:rsidR="007F6111" w:rsidRDefault="00255859" w:rsidP="00A973A4">
      <w:pPr>
        <w:spacing w:line="360" w:lineRule="auto"/>
        <w:jc w:val="both"/>
        <w:rPr>
          <w:rFonts w:ascii="Arial" w:hAnsi="Arial" w:cs="Arial"/>
        </w:rPr>
      </w:pPr>
      <w:r>
        <w:rPr>
          <w:rFonts w:ascii="Arial" w:hAnsi="Arial" w:cs="Arial"/>
        </w:rPr>
        <w:t>[8</w:t>
      </w:r>
      <w:r w:rsidR="006009B1">
        <w:rPr>
          <w:rFonts w:ascii="Arial" w:hAnsi="Arial" w:cs="Arial"/>
        </w:rPr>
        <w:t>]</w:t>
      </w:r>
      <w:r w:rsidR="006009B1">
        <w:rPr>
          <w:rFonts w:ascii="Arial" w:hAnsi="Arial" w:cs="Arial"/>
        </w:rPr>
        <w:tab/>
      </w:r>
      <w:r w:rsidR="008F2A72">
        <w:rPr>
          <w:rFonts w:ascii="Arial" w:hAnsi="Arial" w:cs="Arial"/>
        </w:rPr>
        <w:t xml:space="preserve">Before </w:t>
      </w:r>
      <w:r w:rsidR="00BA1913">
        <w:rPr>
          <w:rFonts w:ascii="Arial" w:hAnsi="Arial" w:cs="Arial"/>
        </w:rPr>
        <w:t xml:space="preserve">getting </w:t>
      </w:r>
      <w:r w:rsidR="00B858C7">
        <w:rPr>
          <w:rFonts w:ascii="Arial" w:hAnsi="Arial" w:cs="Arial"/>
        </w:rPr>
        <w:t xml:space="preserve">to </w:t>
      </w:r>
      <w:r w:rsidR="00BA1913">
        <w:rPr>
          <w:rFonts w:ascii="Arial" w:hAnsi="Arial" w:cs="Arial"/>
        </w:rPr>
        <w:t>the crux of the</w:t>
      </w:r>
      <w:r w:rsidR="006009B1">
        <w:rPr>
          <w:rFonts w:ascii="Arial" w:hAnsi="Arial" w:cs="Arial"/>
        </w:rPr>
        <w:t xml:space="preserve"> application for</w:t>
      </w:r>
      <w:r w:rsidR="00BA1913">
        <w:rPr>
          <w:rFonts w:ascii="Arial" w:hAnsi="Arial" w:cs="Arial"/>
        </w:rPr>
        <w:t xml:space="preserve"> </w:t>
      </w:r>
      <w:r w:rsidR="00736A33">
        <w:rPr>
          <w:rFonts w:ascii="Arial" w:hAnsi="Arial" w:cs="Arial"/>
        </w:rPr>
        <w:t xml:space="preserve">the </w:t>
      </w:r>
      <w:r w:rsidR="00BA1913">
        <w:rPr>
          <w:rFonts w:ascii="Arial" w:hAnsi="Arial" w:cs="Arial"/>
        </w:rPr>
        <w:t xml:space="preserve">stay </w:t>
      </w:r>
      <w:r w:rsidR="006009B1">
        <w:rPr>
          <w:rFonts w:ascii="Arial" w:hAnsi="Arial" w:cs="Arial"/>
        </w:rPr>
        <w:t xml:space="preserve">of proceedings </w:t>
      </w:r>
      <w:r w:rsidR="00BA1913">
        <w:rPr>
          <w:rFonts w:ascii="Arial" w:hAnsi="Arial" w:cs="Arial"/>
        </w:rPr>
        <w:t xml:space="preserve">sought, </w:t>
      </w:r>
      <w:r w:rsidR="00B858C7">
        <w:rPr>
          <w:rFonts w:ascii="Arial" w:hAnsi="Arial" w:cs="Arial"/>
        </w:rPr>
        <w:t xml:space="preserve">the </w:t>
      </w:r>
      <w:r w:rsidR="00BA1913">
        <w:rPr>
          <w:rFonts w:ascii="Arial" w:hAnsi="Arial" w:cs="Arial"/>
        </w:rPr>
        <w:t xml:space="preserve">court has </w:t>
      </w:r>
      <w:r w:rsidR="00B858C7">
        <w:rPr>
          <w:rFonts w:ascii="Arial" w:hAnsi="Arial" w:cs="Arial"/>
        </w:rPr>
        <w:t xml:space="preserve">been halted in its tracks by </w:t>
      </w:r>
      <w:r w:rsidR="006009B1">
        <w:rPr>
          <w:rFonts w:ascii="Arial" w:hAnsi="Arial" w:cs="Arial"/>
        </w:rPr>
        <w:t>a</w:t>
      </w:r>
      <w:r w:rsidR="00BA1913">
        <w:rPr>
          <w:rFonts w:ascii="Arial" w:hAnsi="Arial" w:cs="Arial"/>
        </w:rPr>
        <w:t xml:space="preserve"> point </w:t>
      </w:r>
      <w:r w:rsidR="00BA1913" w:rsidRPr="00B858C7">
        <w:rPr>
          <w:rFonts w:ascii="Arial" w:hAnsi="Arial" w:cs="Arial"/>
          <w:i/>
        </w:rPr>
        <w:t xml:space="preserve">in </w:t>
      </w:r>
      <w:proofErr w:type="spellStart"/>
      <w:r w:rsidR="00BA1913" w:rsidRPr="00B858C7">
        <w:rPr>
          <w:rFonts w:ascii="Arial" w:hAnsi="Arial" w:cs="Arial"/>
          <w:i/>
        </w:rPr>
        <w:t>limine</w:t>
      </w:r>
      <w:proofErr w:type="spellEnd"/>
      <w:r w:rsidR="00BA1913">
        <w:rPr>
          <w:rFonts w:ascii="Arial" w:hAnsi="Arial" w:cs="Arial"/>
        </w:rPr>
        <w:t xml:space="preserve"> raised by the </w:t>
      </w:r>
      <w:r w:rsidR="00B858C7">
        <w:rPr>
          <w:rFonts w:ascii="Arial" w:hAnsi="Arial" w:cs="Arial"/>
        </w:rPr>
        <w:t>Bank</w:t>
      </w:r>
      <w:r w:rsidR="006009B1">
        <w:rPr>
          <w:rFonts w:ascii="Arial" w:hAnsi="Arial" w:cs="Arial"/>
        </w:rPr>
        <w:t>, namely,</w:t>
      </w:r>
      <w:r w:rsidR="00B174DB">
        <w:rPr>
          <w:rFonts w:ascii="Arial" w:hAnsi="Arial" w:cs="Arial"/>
        </w:rPr>
        <w:t xml:space="preserve"> that Mr. </w:t>
      </w:r>
      <w:r w:rsidR="007F6111">
        <w:rPr>
          <w:rFonts w:ascii="Arial" w:hAnsi="Arial" w:cs="Arial"/>
        </w:rPr>
        <w:t xml:space="preserve">Nathan Pieter </w:t>
      </w:r>
      <w:proofErr w:type="spellStart"/>
      <w:r w:rsidR="00B174DB">
        <w:rPr>
          <w:rFonts w:ascii="Arial" w:hAnsi="Arial" w:cs="Arial"/>
        </w:rPr>
        <w:t>Mbutu</w:t>
      </w:r>
      <w:proofErr w:type="spellEnd"/>
      <w:r w:rsidR="006009B1">
        <w:rPr>
          <w:rFonts w:ascii="Arial" w:hAnsi="Arial" w:cs="Arial"/>
        </w:rPr>
        <w:t>, who deposed to the affidavit allegedly on behalf of the applicant</w:t>
      </w:r>
      <w:r w:rsidR="00B174DB">
        <w:rPr>
          <w:rFonts w:ascii="Arial" w:hAnsi="Arial" w:cs="Arial"/>
        </w:rPr>
        <w:t xml:space="preserve"> lacks the authority to act on behalf of MGM</w:t>
      </w:r>
      <w:r w:rsidR="007F6111">
        <w:rPr>
          <w:rFonts w:ascii="Arial" w:hAnsi="Arial" w:cs="Arial"/>
        </w:rPr>
        <w:t xml:space="preserve"> and to bring the proceedings for stay</w:t>
      </w:r>
      <w:r w:rsidR="00B174DB">
        <w:rPr>
          <w:rFonts w:ascii="Arial" w:hAnsi="Arial" w:cs="Arial"/>
        </w:rPr>
        <w:t xml:space="preserve">. </w:t>
      </w:r>
      <w:r w:rsidR="007F6111">
        <w:rPr>
          <w:rFonts w:ascii="Arial" w:hAnsi="Arial" w:cs="Arial"/>
        </w:rPr>
        <w:t>It is this issue that must first be decided before the cou</w:t>
      </w:r>
      <w:r w:rsidR="00736A33">
        <w:rPr>
          <w:rFonts w:ascii="Arial" w:hAnsi="Arial" w:cs="Arial"/>
        </w:rPr>
        <w:t>rt proceeds, if at all, to det</w:t>
      </w:r>
      <w:r w:rsidR="007F6111">
        <w:rPr>
          <w:rFonts w:ascii="Arial" w:hAnsi="Arial" w:cs="Arial"/>
        </w:rPr>
        <w:t>e</w:t>
      </w:r>
      <w:r w:rsidR="00736A33">
        <w:rPr>
          <w:rFonts w:ascii="Arial" w:hAnsi="Arial" w:cs="Arial"/>
        </w:rPr>
        <w:t>rmine</w:t>
      </w:r>
      <w:r w:rsidR="007F6111">
        <w:rPr>
          <w:rFonts w:ascii="Arial" w:hAnsi="Arial" w:cs="Arial"/>
        </w:rPr>
        <w:t xml:space="preserve"> the propriety of the application for stay of proceedings.</w:t>
      </w:r>
    </w:p>
    <w:p w14:paraId="717CF736" w14:textId="77777777" w:rsidR="007F6111" w:rsidRDefault="007F6111" w:rsidP="00A973A4">
      <w:pPr>
        <w:spacing w:line="360" w:lineRule="auto"/>
        <w:jc w:val="both"/>
        <w:rPr>
          <w:rFonts w:ascii="Arial" w:hAnsi="Arial" w:cs="Arial"/>
        </w:rPr>
      </w:pPr>
    </w:p>
    <w:p w14:paraId="6224CBA0" w14:textId="06BF3097" w:rsidR="003241E3" w:rsidRDefault="00255859" w:rsidP="00A973A4">
      <w:pPr>
        <w:spacing w:line="360" w:lineRule="auto"/>
        <w:jc w:val="both"/>
        <w:rPr>
          <w:rFonts w:ascii="Arial" w:hAnsi="Arial" w:cs="Arial"/>
        </w:rPr>
      </w:pPr>
      <w:r>
        <w:rPr>
          <w:rFonts w:ascii="Arial" w:hAnsi="Arial" w:cs="Arial"/>
        </w:rPr>
        <w:t>[9</w:t>
      </w:r>
      <w:r w:rsidR="007F6111">
        <w:rPr>
          <w:rFonts w:ascii="Arial" w:hAnsi="Arial" w:cs="Arial"/>
        </w:rPr>
        <w:t>]</w:t>
      </w:r>
      <w:r w:rsidR="007F6111">
        <w:rPr>
          <w:rFonts w:ascii="Arial" w:hAnsi="Arial" w:cs="Arial"/>
        </w:rPr>
        <w:tab/>
      </w:r>
      <w:r w:rsidR="00B174DB">
        <w:rPr>
          <w:rFonts w:ascii="Arial" w:hAnsi="Arial" w:cs="Arial"/>
        </w:rPr>
        <w:t xml:space="preserve">Mr. </w:t>
      </w:r>
      <w:proofErr w:type="spellStart"/>
      <w:r w:rsidR="00B174DB">
        <w:rPr>
          <w:rFonts w:ascii="Arial" w:hAnsi="Arial" w:cs="Arial"/>
        </w:rPr>
        <w:t>Mbutu</w:t>
      </w:r>
      <w:proofErr w:type="spellEnd"/>
      <w:r w:rsidR="007F6111">
        <w:rPr>
          <w:rFonts w:ascii="Arial" w:hAnsi="Arial" w:cs="Arial"/>
        </w:rPr>
        <w:t>, in</w:t>
      </w:r>
      <w:r w:rsidR="00B174DB">
        <w:rPr>
          <w:rFonts w:ascii="Arial" w:hAnsi="Arial" w:cs="Arial"/>
        </w:rPr>
        <w:t xml:space="preserve"> his founding </w:t>
      </w:r>
      <w:r w:rsidR="007F6111">
        <w:rPr>
          <w:rFonts w:ascii="Arial" w:hAnsi="Arial" w:cs="Arial"/>
        </w:rPr>
        <w:t>affidavit states that he is ‘</w:t>
      </w:r>
      <w:r w:rsidR="007F6111" w:rsidRPr="00736A33">
        <w:rPr>
          <w:rFonts w:ascii="Arial" w:hAnsi="Arial" w:cs="Arial"/>
        </w:rPr>
        <w:t xml:space="preserve">duly authorized to institute this interlocutory application in support of the relief the applicant seeks, and competent to depose to the facts herein stated in support of the </w:t>
      </w:r>
      <w:r w:rsidR="007F6111" w:rsidRPr="00736A33">
        <w:rPr>
          <w:rFonts w:ascii="Arial" w:hAnsi="Arial" w:cs="Arial"/>
        </w:rPr>
        <w:lastRenderedPageBreak/>
        <w:t>application</w:t>
      </w:r>
      <w:r w:rsidR="007F6111">
        <w:rPr>
          <w:rFonts w:ascii="Arial" w:hAnsi="Arial" w:cs="Arial"/>
        </w:rPr>
        <w:t>.’</w:t>
      </w:r>
      <w:r w:rsidR="007F6111">
        <w:rPr>
          <w:rStyle w:val="FootnoteReference"/>
          <w:rFonts w:ascii="Arial" w:hAnsi="Arial" w:cs="Arial"/>
        </w:rPr>
        <w:footnoteReference w:id="1"/>
      </w:r>
      <w:r w:rsidR="007F6111">
        <w:rPr>
          <w:rFonts w:ascii="Arial" w:hAnsi="Arial" w:cs="Arial"/>
        </w:rPr>
        <w:t xml:space="preserve"> In its answering affidavit, the respondent takes is</w:t>
      </w:r>
      <w:r w:rsidR="00736A33">
        <w:rPr>
          <w:rFonts w:ascii="Arial" w:hAnsi="Arial" w:cs="Arial"/>
        </w:rPr>
        <w:t>sue with the question</w:t>
      </w:r>
      <w:r w:rsidR="007F6111">
        <w:rPr>
          <w:rFonts w:ascii="Arial" w:hAnsi="Arial" w:cs="Arial"/>
        </w:rPr>
        <w:t xml:space="preserve"> of</w:t>
      </w:r>
      <w:r w:rsidR="00736A33">
        <w:rPr>
          <w:rFonts w:ascii="Arial" w:hAnsi="Arial" w:cs="Arial"/>
        </w:rPr>
        <w:t xml:space="preserve"> the deponent’s</w:t>
      </w:r>
      <w:r w:rsidR="007F6111">
        <w:rPr>
          <w:rFonts w:ascii="Arial" w:hAnsi="Arial" w:cs="Arial"/>
        </w:rPr>
        <w:t xml:space="preserve"> authority by den</w:t>
      </w:r>
      <w:r w:rsidR="003241E3">
        <w:rPr>
          <w:rFonts w:ascii="Arial" w:hAnsi="Arial" w:cs="Arial"/>
        </w:rPr>
        <w:t xml:space="preserve">ying that Mr. </w:t>
      </w:r>
      <w:proofErr w:type="spellStart"/>
      <w:r w:rsidR="003241E3">
        <w:rPr>
          <w:rFonts w:ascii="Arial" w:hAnsi="Arial" w:cs="Arial"/>
        </w:rPr>
        <w:t>Mbutu</w:t>
      </w:r>
      <w:proofErr w:type="spellEnd"/>
      <w:r w:rsidR="003241E3">
        <w:rPr>
          <w:rFonts w:ascii="Arial" w:hAnsi="Arial" w:cs="Arial"/>
        </w:rPr>
        <w:t xml:space="preserve"> is duly authorised by the applicant to institute the interlocutory proceedings.</w:t>
      </w:r>
      <w:r w:rsidR="003241E3">
        <w:rPr>
          <w:rStyle w:val="FootnoteReference"/>
          <w:rFonts w:ascii="Arial" w:hAnsi="Arial" w:cs="Arial"/>
        </w:rPr>
        <w:footnoteReference w:id="2"/>
      </w:r>
      <w:r w:rsidR="00772C67">
        <w:rPr>
          <w:rFonts w:ascii="Arial" w:hAnsi="Arial" w:cs="Arial"/>
        </w:rPr>
        <w:t xml:space="preserve"> </w:t>
      </w:r>
    </w:p>
    <w:p w14:paraId="38A4A074" w14:textId="77777777" w:rsidR="003241E3" w:rsidRDefault="003241E3" w:rsidP="00A973A4">
      <w:pPr>
        <w:spacing w:line="360" w:lineRule="auto"/>
        <w:jc w:val="both"/>
        <w:rPr>
          <w:rFonts w:ascii="Arial" w:hAnsi="Arial" w:cs="Arial"/>
        </w:rPr>
      </w:pPr>
    </w:p>
    <w:p w14:paraId="7A410809" w14:textId="03D29952" w:rsidR="00736A33" w:rsidRDefault="00255859" w:rsidP="00A973A4">
      <w:pPr>
        <w:spacing w:line="360" w:lineRule="auto"/>
        <w:jc w:val="both"/>
        <w:rPr>
          <w:rFonts w:ascii="Arial" w:hAnsi="Arial" w:cs="Arial"/>
        </w:rPr>
      </w:pPr>
      <w:r>
        <w:rPr>
          <w:rFonts w:ascii="Arial" w:hAnsi="Arial" w:cs="Arial"/>
        </w:rPr>
        <w:t>[10</w:t>
      </w:r>
      <w:r w:rsidR="003241E3">
        <w:rPr>
          <w:rFonts w:ascii="Arial" w:hAnsi="Arial" w:cs="Arial"/>
        </w:rPr>
        <w:t xml:space="preserve">] </w:t>
      </w:r>
      <w:r w:rsidR="003241E3">
        <w:rPr>
          <w:rFonts w:ascii="Arial" w:hAnsi="Arial" w:cs="Arial"/>
        </w:rPr>
        <w:tab/>
        <w:t xml:space="preserve">In its </w:t>
      </w:r>
      <w:r w:rsidR="00772C67">
        <w:rPr>
          <w:rFonts w:ascii="Arial" w:hAnsi="Arial" w:cs="Arial"/>
        </w:rPr>
        <w:t xml:space="preserve">replying </w:t>
      </w:r>
      <w:r w:rsidR="00B174DB">
        <w:rPr>
          <w:rFonts w:ascii="Arial" w:hAnsi="Arial" w:cs="Arial"/>
        </w:rPr>
        <w:t>affidavit</w:t>
      </w:r>
      <w:r w:rsidR="003241E3">
        <w:rPr>
          <w:rFonts w:ascii="Arial" w:hAnsi="Arial" w:cs="Arial"/>
        </w:rPr>
        <w:t>, the applicant, in response to the contents of para</w:t>
      </w:r>
      <w:r w:rsidR="00736A33">
        <w:rPr>
          <w:rFonts w:ascii="Arial" w:hAnsi="Arial" w:cs="Arial"/>
        </w:rPr>
        <w:t xml:space="preserve"> 13 of the answering affidavit, </w:t>
      </w:r>
      <w:r w:rsidR="003241E3">
        <w:rPr>
          <w:rFonts w:ascii="Arial" w:hAnsi="Arial" w:cs="Arial"/>
        </w:rPr>
        <w:t xml:space="preserve">challenging the applicant’s authority </w:t>
      </w:r>
      <w:r w:rsidR="006E6A2E">
        <w:rPr>
          <w:rFonts w:ascii="Arial" w:hAnsi="Arial" w:cs="Arial"/>
        </w:rPr>
        <w:t>t</w:t>
      </w:r>
      <w:r w:rsidR="003241E3">
        <w:rPr>
          <w:rFonts w:ascii="Arial" w:hAnsi="Arial" w:cs="Arial"/>
        </w:rPr>
        <w:t>o launch the procee</w:t>
      </w:r>
      <w:r w:rsidR="00736A33">
        <w:rPr>
          <w:rFonts w:ascii="Arial" w:hAnsi="Arial" w:cs="Arial"/>
        </w:rPr>
        <w:t xml:space="preserve">dings, Mr. </w:t>
      </w:r>
      <w:proofErr w:type="spellStart"/>
      <w:r w:rsidR="00736A33">
        <w:rPr>
          <w:rFonts w:ascii="Arial" w:hAnsi="Arial" w:cs="Arial"/>
        </w:rPr>
        <w:t>Mbutu</w:t>
      </w:r>
      <w:proofErr w:type="spellEnd"/>
      <w:r w:rsidR="00736A33">
        <w:rPr>
          <w:rFonts w:ascii="Arial" w:hAnsi="Arial" w:cs="Arial"/>
        </w:rPr>
        <w:t xml:space="preserve"> states as follows:</w:t>
      </w:r>
    </w:p>
    <w:p w14:paraId="085492C7" w14:textId="77777777" w:rsidR="00736A33" w:rsidRDefault="00736A33" w:rsidP="00A973A4">
      <w:pPr>
        <w:spacing w:line="360" w:lineRule="auto"/>
        <w:jc w:val="both"/>
        <w:rPr>
          <w:rFonts w:ascii="Arial" w:hAnsi="Arial" w:cs="Arial"/>
        </w:rPr>
      </w:pPr>
    </w:p>
    <w:p w14:paraId="1EAC4820" w14:textId="1B605947" w:rsidR="00A973A4" w:rsidRDefault="003241E3" w:rsidP="00A973A4">
      <w:pPr>
        <w:spacing w:line="360" w:lineRule="auto"/>
        <w:jc w:val="both"/>
        <w:rPr>
          <w:rFonts w:ascii="Arial" w:hAnsi="Arial" w:cs="Arial"/>
        </w:rPr>
      </w:pPr>
      <w:r>
        <w:rPr>
          <w:rFonts w:ascii="Arial" w:hAnsi="Arial" w:cs="Arial"/>
        </w:rPr>
        <w:t xml:space="preserve"> </w:t>
      </w:r>
      <w:r w:rsidR="00736A33">
        <w:rPr>
          <w:rFonts w:ascii="Arial" w:hAnsi="Arial" w:cs="Arial"/>
          <w:sz w:val="22"/>
          <w:szCs w:val="22"/>
        </w:rPr>
        <w:tab/>
        <w:t>‘T</w:t>
      </w:r>
      <w:r w:rsidRPr="006E6A2E">
        <w:rPr>
          <w:rFonts w:ascii="Arial" w:hAnsi="Arial" w:cs="Arial"/>
          <w:sz w:val="22"/>
          <w:szCs w:val="22"/>
        </w:rPr>
        <w:t>he respondent has put up a weak and unspecified challenge, unsupported by any fact, and I do not know how to respond thereto. The respondent does not say on what basis it is alleged that I am not authorized to institute this application, and thus I restate with reference to the founding papers, both herein and in the main application, my authority</w:t>
      </w:r>
      <w:r>
        <w:rPr>
          <w:rFonts w:ascii="Arial" w:hAnsi="Arial" w:cs="Arial"/>
        </w:rPr>
        <w:t xml:space="preserve">. </w:t>
      </w:r>
      <w:r w:rsidRPr="006E6A2E">
        <w:rPr>
          <w:rFonts w:ascii="Arial" w:hAnsi="Arial" w:cs="Arial"/>
          <w:sz w:val="22"/>
          <w:szCs w:val="22"/>
        </w:rPr>
        <w:t xml:space="preserve">I also further refer to paragraph 1 </w:t>
      </w:r>
      <w:r w:rsidRPr="006E6A2E">
        <w:rPr>
          <w:rFonts w:ascii="Arial" w:hAnsi="Arial" w:cs="Arial"/>
          <w:i/>
          <w:sz w:val="22"/>
          <w:szCs w:val="22"/>
        </w:rPr>
        <w:t>supra</w:t>
      </w:r>
      <w:r w:rsidRPr="006E6A2E">
        <w:rPr>
          <w:rFonts w:ascii="Arial" w:hAnsi="Arial" w:cs="Arial"/>
          <w:sz w:val="22"/>
          <w:szCs w:val="22"/>
        </w:rPr>
        <w:t>.</w:t>
      </w:r>
      <w:r>
        <w:rPr>
          <w:rFonts w:ascii="Arial" w:hAnsi="Arial" w:cs="Arial"/>
        </w:rPr>
        <w:t>’</w:t>
      </w:r>
      <w:r w:rsidR="00B174DB">
        <w:rPr>
          <w:rFonts w:ascii="Arial" w:hAnsi="Arial" w:cs="Arial"/>
        </w:rPr>
        <w:t xml:space="preserve"> </w:t>
      </w:r>
    </w:p>
    <w:p w14:paraId="5257C020" w14:textId="77777777" w:rsidR="003241E3" w:rsidRDefault="003241E3" w:rsidP="00A973A4">
      <w:pPr>
        <w:spacing w:line="360" w:lineRule="auto"/>
        <w:jc w:val="both"/>
        <w:rPr>
          <w:rFonts w:ascii="Arial" w:hAnsi="Arial" w:cs="Arial"/>
        </w:rPr>
      </w:pPr>
    </w:p>
    <w:p w14:paraId="0B7276ED" w14:textId="2576564F" w:rsidR="003241E3" w:rsidRDefault="00255859" w:rsidP="00A973A4">
      <w:pPr>
        <w:spacing w:line="360" w:lineRule="auto"/>
        <w:jc w:val="both"/>
        <w:rPr>
          <w:rFonts w:ascii="Arial" w:hAnsi="Arial" w:cs="Arial"/>
        </w:rPr>
      </w:pPr>
      <w:r>
        <w:rPr>
          <w:rFonts w:ascii="Arial" w:hAnsi="Arial" w:cs="Arial"/>
        </w:rPr>
        <w:t>[11</w:t>
      </w:r>
      <w:r w:rsidR="00295F38">
        <w:rPr>
          <w:rFonts w:ascii="Arial" w:hAnsi="Arial" w:cs="Arial"/>
        </w:rPr>
        <w:t>]</w:t>
      </w:r>
      <w:r w:rsidR="00295F38">
        <w:rPr>
          <w:rFonts w:ascii="Arial" w:hAnsi="Arial" w:cs="Arial"/>
        </w:rPr>
        <w:tab/>
        <w:t>On 21 October 2020,</w:t>
      </w:r>
      <w:r w:rsidR="00736A33">
        <w:rPr>
          <w:rFonts w:ascii="Arial" w:hAnsi="Arial" w:cs="Arial"/>
        </w:rPr>
        <w:t xml:space="preserve"> the eve of</w:t>
      </w:r>
      <w:r w:rsidR="003241E3">
        <w:rPr>
          <w:rFonts w:ascii="Arial" w:hAnsi="Arial" w:cs="Arial"/>
        </w:rPr>
        <w:t xml:space="preserve"> the hearing of the interlocutory application, the applicant filed with the court a status report of even date, </w:t>
      </w:r>
      <w:r w:rsidR="00736A33">
        <w:rPr>
          <w:rFonts w:ascii="Arial" w:hAnsi="Arial" w:cs="Arial"/>
        </w:rPr>
        <w:t xml:space="preserve">in which </w:t>
      </w:r>
      <w:r w:rsidR="003241E3">
        <w:rPr>
          <w:rFonts w:ascii="Arial" w:hAnsi="Arial" w:cs="Arial"/>
        </w:rPr>
        <w:t xml:space="preserve">the applicant appears to have had a change of mind regarding the stance on the issue of authority raised by the respondent. The applicant </w:t>
      </w:r>
      <w:r w:rsidR="007B3987">
        <w:rPr>
          <w:rFonts w:ascii="Arial" w:hAnsi="Arial" w:cs="Arial"/>
        </w:rPr>
        <w:t xml:space="preserve">attached a resolution of the applicant authorizing the deponent, Mr. </w:t>
      </w:r>
      <w:proofErr w:type="spellStart"/>
      <w:r w:rsidR="007B3987">
        <w:rPr>
          <w:rFonts w:ascii="Arial" w:hAnsi="Arial" w:cs="Arial"/>
        </w:rPr>
        <w:t>Mbutu</w:t>
      </w:r>
      <w:proofErr w:type="spellEnd"/>
      <w:r w:rsidR="007B3987">
        <w:rPr>
          <w:rFonts w:ascii="Arial" w:hAnsi="Arial" w:cs="Arial"/>
        </w:rPr>
        <w:t xml:space="preserve"> to institute the proceedings on the applicant’s behalf.</w:t>
      </w:r>
    </w:p>
    <w:p w14:paraId="414919C5" w14:textId="77777777" w:rsidR="007B3987" w:rsidRDefault="007B3987" w:rsidP="00A973A4">
      <w:pPr>
        <w:spacing w:line="360" w:lineRule="auto"/>
        <w:jc w:val="both"/>
        <w:rPr>
          <w:rFonts w:ascii="Arial" w:hAnsi="Arial" w:cs="Arial"/>
        </w:rPr>
      </w:pPr>
    </w:p>
    <w:p w14:paraId="24382E2C" w14:textId="366CE8D4" w:rsidR="007B3987" w:rsidRDefault="00255859" w:rsidP="00A973A4">
      <w:pPr>
        <w:spacing w:line="360" w:lineRule="auto"/>
        <w:jc w:val="both"/>
        <w:rPr>
          <w:rFonts w:ascii="Arial" w:hAnsi="Arial" w:cs="Arial"/>
        </w:rPr>
      </w:pPr>
      <w:r>
        <w:rPr>
          <w:rFonts w:ascii="Arial" w:hAnsi="Arial" w:cs="Arial"/>
        </w:rPr>
        <w:t>[12</w:t>
      </w:r>
      <w:r w:rsidR="007B3987">
        <w:rPr>
          <w:rFonts w:ascii="Arial" w:hAnsi="Arial" w:cs="Arial"/>
        </w:rPr>
        <w:t>]</w:t>
      </w:r>
      <w:r w:rsidR="007B3987">
        <w:rPr>
          <w:rFonts w:ascii="Arial" w:hAnsi="Arial" w:cs="Arial"/>
        </w:rPr>
        <w:tab/>
        <w:t xml:space="preserve">On the date of hearing of the application, i.e. 22 October 2020, the applicant again filed another status report in which it indicated that it was withdrawing the previous status report and the resolution it had filed ‘due to some errors and mistakes in the Resolution.’ Ms. </w:t>
      </w:r>
      <w:proofErr w:type="spellStart"/>
      <w:r w:rsidR="007B3987">
        <w:rPr>
          <w:rFonts w:ascii="Arial" w:hAnsi="Arial" w:cs="Arial"/>
        </w:rPr>
        <w:t>Garbe</w:t>
      </w:r>
      <w:r w:rsidR="0067053E">
        <w:rPr>
          <w:rFonts w:ascii="Arial" w:hAnsi="Arial" w:cs="Arial"/>
        </w:rPr>
        <w:t>rs</w:t>
      </w:r>
      <w:proofErr w:type="spellEnd"/>
      <w:r w:rsidR="0067053E">
        <w:rPr>
          <w:rFonts w:ascii="Arial" w:hAnsi="Arial" w:cs="Arial"/>
        </w:rPr>
        <w:t xml:space="preserve"> for the respondent</w:t>
      </w:r>
      <w:r w:rsidR="007B3987">
        <w:rPr>
          <w:rFonts w:ascii="Arial" w:hAnsi="Arial" w:cs="Arial"/>
        </w:rPr>
        <w:t xml:space="preserve"> indicated that </w:t>
      </w:r>
      <w:r w:rsidR="00736A33">
        <w:rPr>
          <w:rFonts w:ascii="Arial" w:hAnsi="Arial" w:cs="Arial"/>
        </w:rPr>
        <w:t xml:space="preserve">in the light of the latest status report, </w:t>
      </w:r>
      <w:r w:rsidR="007B3987">
        <w:rPr>
          <w:rFonts w:ascii="Arial" w:hAnsi="Arial" w:cs="Arial"/>
        </w:rPr>
        <w:t xml:space="preserve">her client had no issue with the withdrawal </w:t>
      </w:r>
      <w:r w:rsidR="00736A33">
        <w:rPr>
          <w:rFonts w:ascii="Arial" w:hAnsi="Arial" w:cs="Arial"/>
        </w:rPr>
        <w:t xml:space="preserve">of the resolution for correction, </w:t>
      </w:r>
      <w:r w:rsidR="007B3987">
        <w:rPr>
          <w:rFonts w:ascii="Arial" w:hAnsi="Arial" w:cs="Arial"/>
        </w:rPr>
        <w:t>but that the applicant could, in due course, file the corrected resolution, devoid of the mistakes alleged.</w:t>
      </w:r>
    </w:p>
    <w:p w14:paraId="0C3F72F7" w14:textId="77777777" w:rsidR="005C2DF2" w:rsidRDefault="005C2DF2" w:rsidP="00A973A4">
      <w:pPr>
        <w:spacing w:line="360" w:lineRule="auto"/>
        <w:jc w:val="both"/>
        <w:rPr>
          <w:rFonts w:ascii="Arial" w:hAnsi="Arial" w:cs="Arial"/>
        </w:rPr>
      </w:pPr>
    </w:p>
    <w:p w14:paraId="1A500AD4" w14:textId="47D9C94C" w:rsidR="007B3987" w:rsidRDefault="00255859" w:rsidP="00A973A4">
      <w:pPr>
        <w:spacing w:line="360" w:lineRule="auto"/>
        <w:jc w:val="both"/>
        <w:rPr>
          <w:rFonts w:ascii="Arial" w:hAnsi="Arial" w:cs="Arial"/>
        </w:rPr>
      </w:pPr>
      <w:r>
        <w:rPr>
          <w:rFonts w:ascii="Arial" w:hAnsi="Arial" w:cs="Arial"/>
        </w:rPr>
        <w:t>[13</w:t>
      </w:r>
      <w:r w:rsidR="007B3987">
        <w:rPr>
          <w:rFonts w:ascii="Arial" w:hAnsi="Arial" w:cs="Arial"/>
        </w:rPr>
        <w:t>]</w:t>
      </w:r>
      <w:r w:rsidR="007B3987">
        <w:rPr>
          <w:rFonts w:ascii="Arial" w:hAnsi="Arial" w:cs="Arial"/>
        </w:rPr>
        <w:tab/>
        <w:t>I was</w:t>
      </w:r>
      <w:r w:rsidR="00736A33">
        <w:rPr>
          <w:rFonts w:ascii="Arial" w:hAnsi="Arial" w:cs="Arial"/>
        </w:rPr>
        <w:t>, in view of those developments</w:t>
      </w:r>
      <w:r w:rsidR="00295F38">
        <w:rPr>
          <w:rFonts w:ascii="Arial" w:hAnsi="Arial" w:cs="Arial"/>
        </w:rPr>
        <w:t>,</w:t>
      </w:r>
      <w:r w:rsidR="007B3987">
        <w:rPr>
          <w:rFonts w:ascii="Arial" w:hAnsi="Arial" w:cs="Arial"/>
        </w:rPr>
        <w:t xml:space="preserve"> of the </w:t>
      </w:r>
      <w:r w:rsidR="00736A33">
        <w:rPr>
          <w:rFonts w:ascii="Arial" w:hAnsi="Arial" w:cs="Arial"/>
        </w:rPr>
        <w:t>considered opinion</w:t>
      </w:r>
      <w:r w:rsidR="007B3987">
        <w:rPr>
          <w:rFonts w:ascii="Arial" w:hAnsi="Arial" w:cs="Arial"/>
        </w:rPr>
        <w:t xml:space="preserve"> tha</w:t>
      </w:r>
      <w:r w:rsidR="00736A33">
        <w:rPr>
          <w:rFonts w:ascii="Arial" w:hAnsi="Arial" w:cs="Arial"/>
        </w:rPr>
        <w:t>t the question of the authority to institute the application</w:t>
      </w:r>
      <w:r w:rsidR="007B3987">
        <w:rPr>
          <w:rFonts w:ascii="Arial" w:hAnsi="Arial" w:cs="Arial"/>
        </w:rPr>
        <w:t xml:space="preserve"> had been put to bed once and for all but I was wrong. Mr. </w:t>
      </w:r>
      <w:proofErr w:type="spellStart"/>
      <w:r w:rsidR="007B3987">
        <w:rPr>
          <w:rFonts w:ascii="Arial" w:hAnsi="Arial" w:cs="Arial"/>
        </w:rPr>
        <w:t>Diedericks</w:t>
      </w:r>
      <w:proofErr w:type="spellEnd"/>
      <w:r w:rsidR="007B3987">
        <w:rPr>
          <w:rFonts w:ascii="Arial" w:hAnsi="Arial" w:cs="Arial"/>
        </w:rPr>
        <w:t xml:space="preserve"> changed tack and argued that the applicant was not obliged to have filed the resolution after all. He insisted that </w:t>
      </w:r>
      <w:r w:rsidR="007B3987">
        <w:rPr>
          <w:rFonts w:ascii="Arial" w:hAnsi="Arial" w:cs="Arial"/>
        </w:rPr>
        <w:lastRenderedPageBreak/>
        <w:t>the applicant would not file any resolution and that it was unnecessary for it to have attempted to have done so in the first place.</w:t>
      </w:r>
    </w:p>
    <w:p w14:paraId="0BBC2D60" w14:textId="77777777" w:rsidR="007B3987" w:rsidRDefault="007B3987" w:rsidP="00A973A4">
      <w:pPr>
        <w:spacing w:line="360" w:lineRule="auto"/>
        <w:jc w:val="both"/>
        <w:rPr>
          <w:rFonts w:ascii="Arial" w:hAnsi="Arial" w:cs="Arial"/>
        </w:rPr>
      </w:pPr>
    </w:p>
    <w:p w14:paraId="4D2584DB" w14:textId="2C60FF86" w:rsidR="007B3987" w:rsidRPr="007F6111" w:rsidRDefault="00255859" w:rsidP="00A973A4">
      <w:pPr>
        <w:spacing w:line="360" w:lineRule="auto"/>
        <w:jc w:val="both"/>
        <w:rPr>
          <w:rFonts w:ascii="Arial" w:hAnsi="Arial" w:cs="Arial"/>
        </w:rPr>
      </w:pPr>
      <w:r>
        <w:rPr>
          <w:rFonts w:ascii="Arial" w:hAnsi="Arial" w:cs="Arial"/>
        </w:rPr>
        <w:t>[14</w:t>
      </w:r>
      <w:r w:rsidR="007B3987">
        <w:rPr>
          <w:rFonts w:ascii="Arial" w:hAnsi="Arial" w:cs="Arial"/>
        </w:rPr>
        <w:t>]</w:t>
      </w:r>
      <w:r w:rsidR="007B3987">
        <w:rPr>
          <w:rFonts w:ascii="Arial" w:hAnsi="Arial" w:cs="Arial"/>
        </w:rPr>
        <w:tab/>
        <w:t xml:space="preserve">In fairness to him, Mr. </w:t>
      </w:r>
      <w:proofErr w:type="spellStart"/>
      <w:r w:rsidR="004F4CB7">
        <w:rPr>
          <w:rFonts w:ascii="Arial" w:hAnsi="Arial" w:cs="Arial"/>
        </w:rPr>
        <w:t>Diedricks</w:t>
      </w:r>
      <w:proofErr w:type="spellEnd"/>
      <w:r w:rsidR="007B3987">
        <w:rPr>
          <w:rFonts w:ascii="Arial" w:hAnsi="Arial" w:cs="Arial"/>
        </w:rPr>
        <w:t xml:space="preserve"> stance appears consonant with the </w:t>
      </w:r>
      <w:r w:rsidR="003D4C20">
        <w:rPr>
          <w:rFonts w:ascii="Arial" w:hAnsi="Arial" w:cs="Arial"/>
        </w:rPr>
        <w:t xml:space="preserve">relevant </w:t>
      </w:r>
      <w:r w:rsidR="007B3987">
        <w:rPr>
          <w:rFonts w:ascii="Arial" w:hAnsi="Arial" w:cs="Arial"/>
        </w:rPr>
        <w:t xml:space="preserve">contents of the replying affidavit quoted in full above, namely, that because the respondent had not put up any facts supporting the challenge to authority, the challenge was weak and thus liable to be dismissed. This is the line of argument Mr. </w:t>
      </w:r>
      <w:proofErr w:type="spellStart"/>
      <w:r w:rsidR="007B3987">
        <w:rPr>
          <w:rFonts w:ascii="Arial" w:hAnsi="Arial" w:cs="Arial"/>
        </w:rPr>
        <w:t>Di</w:t>
      </w:r>
      <w:r w:rsidR="00F4616B">
        <w:rPr>
          <w:rFonts w:ascii="Arial" w:hAnsi="Arial" w:cs="Arial"/>
        </w:rPr>
        <w:t>edericks</w:t>
      </w:r>
      <w:proofErr w:type="spellEnd"/>
      <w:r w:rsidR="00F4616B">
        <w:rPr>
          <w:rFonts w:ascii="Arial" w:hAnsi="Arial" w:cs="Arial"/>
        </w:rPr>
        <w:t xml:space="preserve"> adop</w:t>
      </w:r>
      <w:r w:rsidR="00295F38">
        <w:rPr>
          <w:rFonts w:ascii="Arial" w:hAnsi="Arial" w:cs="Arial"/>
        </w:rPr>
        <w:t>ted in his oral submissions</w:t>
      </w:r>
      <w:r w:rsidR="00F4616B">
        <w:rPr>
          <w:rFonts w:ascii="Arial" w:hAnsi="Arial" w:cs="Arial"/>
        </w:rPr>
        <w:t>. He</w:t>
      </w:r>
      <w:r w:rsidR="007B3987">
        <w:rPr>
          <w:rFonts w:ascii="Arial" w:hAnsi="Arial" w:cs="Arial"/>
        </w:rPr>
        <w:t xml:space="preserve"> laid much store in this regard on </w:t>
      </w:r>
      <w:proofErr w:type="spellStart"/>
      <w:r w:rsidR="007B3987">
        <w:rPr>
          <w:rFonts w:ascii="Arial" w:hAnsi="Arial" w:cs="Arial"/>
          <w:i/>
        </w:rPr>
        <w:t>Nangolo</w:t>
      </w:r>
      <w:proofErr w:type="spellEnd"/>
      <w:r w:rsidR="007B3987">
        <w:rPr>
          <w:rFonts w:ascii="Arial" w:hAnsi="Arial" w:cs="Arial"/>
          <w:i/>
        </w:rPr>
        <w:t xml:space="preserve"> v Metropolitan Namibia Limited and Another</w:t>
      </w:r>
      <w:r w:rsidR="005D2422">
        <w:rPr>
          <w:rFonts w:ascii="Arial" w:hAnsi="Arial" w:cs="Arial"/>
          <w:i/>
        </w:rPr>
        <w:t>.</w:t>
      </w:r>
      <w:r w:rsidR="00311D2C">
        <w:rPr>
          <w:rStyle w:val="FootnoteReference"/>
          <w:rFonts w:ascii="Arial" w:hAnsi="Arial" w:cs="Arial"/>
          <w:i/>
        </w:rPr>
        <w:footnoteReference w:id="3"/>
      </w:r>
      <w:r w:rsidR="007B3987">
        <w:rPr>
          <w:rFonts w:ascii="Arial" w:hAnsi="Arial" w:cs="Arial"/>
        </w:rPr>
        <w:t xml:space="preserve">  </w:t>
      </w:r>
    </w:p>
    <w:p w14:paraId="33669C40" w14:textId="77777777" w:rsidR="00A973A4" w:rsidRDefault="00A973A4" w:rsidP="00A973A4">
      <w:pPr>
        <w:spacing w:line="360" w:lineRule="auto"/>
        <w:jc w:val="both"/>
        <w:rPr>
          <w:rFonts w:ascii="Arial" w:hAnsi="Arial" w:cs="Arial"/>
        </w:rPr>
      </w:pPr>
    </w:p>
    <w:p w14:paraId="0285232A" w14:textId="4CB892F4" w:rsidR="005D2422" w:rsidRPr="00F4616B" w:rsidRDefault="00255859" w:rsidP="00A973A4">
      <w:pPr>
        <w:spacing w:line="360" w:lineRule="auto"/>
        <w:jc w:val="both"/>
        <w:rPr>
          <w:rFonts w:ascii="Arial" w:hAnsi="Arial" w:cs="Arial"/>
        </w:rPr>
      </w:pPr>
      <w:r>
        <w:rPr>
          <w:rFonts w:ascii="Arial" w:hAnsi="Arial" w:cs="Arial"/>
        </w:rPr>
        <w:t>[15</w:t>
      </w:r>
      <w:r w:rsidR="00A973A4">
        <w:rPr>
          <w:rFonts w:ascii="Arial" w:hAnsi="Arial" w:cs="Arial"/>
        </w:rPr>
        <w:t>]</w:t>
      </w:r>
      <w:r w:rsidR="00621F3B">
        <w:rPr>
          <w:rFonts w:ascii="Arial" w:hAnsi="Arial" w:cs="Arial"/>
        </w:rPr>
        <w:tab/>
      </w:r>
      <w:r w:rsidR="005D2422">
        <w:rPr>
          <w:rFonts w:ascii="Arial" w:hAnsi="Arial" w:cs="Arial"/>
        </w:rPr>
        <w:t xml:space="preserve">He </w:t>
      </w:r>
      <w:r w:rsidR="00ED0DBE">
        <w:rPr>
          <w:rFonts w:ascii="Arial" w:hAnsi="Arial" w:cs="Arial"/>
        </w:rPr>
        <w:t xml:space="preserve">argued that the challenge to the </w:t>
      </w:r>
      <w:r w:rsidR="005D2422">
        <w:rPr>
          <w:rFonts w:ascii="Arial" w:hAnsi="Arial" w:cs="Arial"/>
        </w:rPr>
        <w:t xml:space="preserve">applicant’s </w:t>
      </w:r>
      <w:r w:rsidR="00ED0DBE">
        <w:rPr>
          <w:rFonts w:ascii="Arial" w:hAnsi="Arial" w:cs="Arial"/>
        </w:rPr>
        <w:t xml:space="preserve">authority </w:t>
      </w:r>
      <w:r w:rsidR="005D2422">
        <w:rPr>
          <w:rFonts w:ascii="Arial" w:hAnsi="Arial" w:cs="Arial"/>
        </w:rPr>
        <w:t xml:space="preserve">in this case, </w:t>
      </w:r>
      <w:r w:rsidR="00ED0DBE">
        <w:rPr>
          <w:rFonts w:ascii="Arial" w:hAnsi="Arial" w:cs="Arial"/>
        </w:rPr>
        <w:t>was not supported by any fact</w:t>
      </w:r>
      <w:r w:rsidR="005D2422">
        <w:rPr>
          <w:rFonts w:ascii="Arial" w:hAnsi="Arial" w:cs="Arial"/>
        </w:rPr>
        <w:t>ual allegation</w:t>
      </w:r>
      <w:r w:rsidR="00ED0DBE">
        <w:rPr>
          <w:rFonts w:ascii="Arial" w:hAnsi="Arial" w:cs="Arial"/>
        </w:rPr>
        <w:t>s</w:t>
      </w:r>
      <w:r w:rsidR="005D2422">
        <w:rPr>
          <w:rFonts w:ascii="Arial" w:hAnsi="Arial" w:cs="Arial"/>
        </w:rPr>
        <w:t>. In this regard the court was</w:t>
      </w:r>
      <w:r w:rsidR="00ED306B">
        <w:rPr>
          <w:rFonts w:ascii="Arial" w:hAnsi="Arial" w:cs="Arial"/>
        </w:rPr>
        <w:t xml:space="preserve"> referred</w:t>
      </w:r>
      <w:r w:rsidR="00ED0DBE">
        <w:rPr>
          <w:rFonts w:ascii="Arial" w:hAnsi="Arial" w:cs="Arial"/>
        </w:rPr>
        <w:t xml:space="preserve"> to the matter of </w:t>
      </w:r>
      <w:proofErr w:type="spellStart"/>
      <w:r w:rsidR="005D2422">
        <w:rPr>
          <w:rFonts w:ascii="Arial" w:hAnsi="Arial" w:cs="Arial"/>
          <w:i/>
        </w:rPr>
        <w:t>Nangolo</w:t>
      </w:r>
      <w:proofErr w:type="spellEnd"/>
      <w:r w:rsidR="005D2422">
        <w:rPr>
          <w:rFonts w:ascii="Arial" w:hAnsi="Arial" w:cs="Arial"/>
          <w:i/>
        </w:rPr>
        <w:t xml:space="preserve"> </w:t>
      </w:r>
      <w:r w:rsidR="005D2422">
        <w:rPr>
          <w:rFonts w:ascii="Arial" w:hAnsi="Arial" w:cs="Arial"/>
        </w:rPr>
        <w:t>where</w:t>
      </w:r>
      <w:r w:rsidR="00F4616B">
        <w:rPr>
          <w:rFonts w:ascii="Arial" w:hAnsi="Arial" w:cs="Arial"/>
        </w:rPr>
        <w:t xml:space="preserve"> this court</w:t>
      </w:r>
      <w:r w:rsidR="008B6F5B">
        <w:rPr>
          <w:rFonts w:ascii="Arial" w:hAnsi="Arial" w:cs="Arial"/>
        </w:rPr>
        <w:t xml:space="preserve"> </w:t>
      </w:r>
      <w:r w:rsidR="00C31B22">
        <w:rPr>
          <w:rFonts w:ascii="Arial" w:hAnsi="Arial" w:cs="Arial"/>
        </w:rPr>
        <w:t>stated that</w:t>
      </w:r>
      <w:r w:rsidR="00ED0DBE">
        <w:rPr>
          <w:rFonts w:ascii="Arial" w:hAnsi="Arial" w:cs="Arial"/>
        </w:rPr>
        <w:t xml:space="preserve"> </w:t>
      </w:r>
      <w:r w:rsidR="005D2422" w:rsidRPr="00E071FE">
        <w:rPr>
          <w:rFonts w:ascii="Arial" w:hAnsi="Arial" w:cs="Arial"/>
          <w:sz w:val="22"/>
          <w:szCs w:val="22"/>
        </w:rPr>
        <w:t>‘</w:t>
      </w:r>
      <w:r w:rsidR="008B6F5B" w:rsidRPr="00E071FE">
        <w:rPr>
          <w:rFonts w:ascii="Arial" w:hAnsi="Arial" w:cs="Arial"/>
          <w:sz w:val="22"/>
          <w:szCs w:val="22"/>
        </w:rPr>
        <w:t>…</w:t>
      </w:r>
      <w:r w:rsidR="008B6F5B" w:rsidRPr="00F4616B">
        <w:rPr>
          <w:rFonts w:ascii="Arial" w:hAnsi="Arial" w:cs="Arial"/>
        </w:rPr>
        <w:t>since the applicant made a bare denial of lack of authority based on legal advice received. It is indeed the legal position that where a litigant acts in a representative capacity, he or she must have the requisite capacity. [33] It however depends upon what factual allegations, if any, are put before Court which will determine the response by the opposing party and whether a Court will subsequently be satisfied that enough has been placed before it or not</w:t>
      </w:r>
      <w:r w:rsidR="00AB2A52" w:rsidRPr="00F4616B">
        <w:rPr>
          <w:rFonts w:ascii="Arial" w:hAnsi="Arial" w:cs="Arial"/>
        </w:rPr>
        <w:t>, regarding the issue o</w:t>
      </w:r>
      <w:r w:rsidR="008B6F5B" w:rsidRPr="00F4616B">
        <w:rPr>
          <w:rFonts w:ascii="Arial" w:hAnsi="Arial" w:cs="Arial"/>
        </w:rPr>
        <w:t>f authority’</w:t>
      </w:r>
      <w:r w:rsidR="005D2422" w:rsidRPr="00F4616B">
        <w:rPr>
          <w:rFonts w:ascii="Arial" w:hAnsi="Arial" w:cs="Arial"/>
        </w:rPr>
        <w:t>.</w:t>
      </w:r>
    </w:p>
    <w:p w14:paraId="48A2A28D" w14:textId="77777777" w:rsidR="005D2422" w:rsidRDefault="005D2422" w:rsidP="00A973A4">
      <w:pPr>
        <w:spacing w:line="360" w:lineRule="auto"/>
        <w:jc w:val="both"/>
        <w:rPr>
          <w:rFonts w:ascii="Arial" w:hAnsi="Arial" w:cs="Arial"/>
        </w:rPr>
      </w:pPr>
    </w:p>
    <w:p w14:paraId="2242E015" w14:textId="77777777" w:rsidR="005D2422" w:rsidRDefault="00255859" w:rsidP="00A973A4">
      <w:pPr>
        <w:spacing w:line="360" w:lineRule="auto"/>
        <w:jc w:val="both"/>
        <w:rPr>
          <w:rFonts w:ascii="Arial" w:hAnsi="Arial" w:cs="Arial"/>
        </w:rPr>
      </w:pPr>
      <w:r>
        <w:rPr>
          <w:rFonts w:ascii="Arial" w:hAnsi="Arial" w:cs="Arial"/>
        </w:rPr>
        <w:t>[16</w:t>
      </w:r>
      <w:r w:rsidR="005D2422">
        <w:rPr>
          <w:rFonts w:ascii="Arial" w:hAnsi="Arial" w:cs="Arial"/>
        </w:rPr>
        <w:t>]</w:t>
      </w:r>
      <w:r w:rsidR="005D2422">
        <w:rPr>
          <w:rFonts w:ascii="Arial" w:hAnsi="Arial" w:cs="Arial"/>
        </w:rPr>
        <w:tab/>
        <w:t xml:space="preserve">In conclusion, the court, in </w:t>
      </w:r>
      <w:proofErr w:type="spellStart"/>
      <w:r w:rsidR="005D2422">
        <w:rPr>
          <w:rFonts w:ascii="Arial" w:hAnsi="Arial" w:cs="Arial"/>
          <w:i/>
        </w:rPr>
        <w:t>Nangolo</w:t>
      </w:r>
      <w:proofErr w:type="spellEnd"/>
      <w:r w:rsidR="005D2422">
        <w:rPr>
          <w:rFonts w:ascii="Arial" w:hAnsi="Arial" w:cs="Arial"/>
          <w:i/>
        </w:rPr>
        <w:t xml:space="preserve"> </w:t>
      </w:r>
      <w:r w:rsidR="005D2422">
        <w:rPr>
          <w:rFonts w:ascii="Arial" w:hAnsi="Arial" w:cs="Arial"/>
        </w:rPr>
        <w:t>summed</w:t>
      </w:r>
      <w:r w:rsidR="008B6F5B" w:rsidRPr="005D2422">
        <w:rPr>
          <w:rFonts w:ascii="Arial" w:hAnsi="Arial" w:cs="Arial"/>
        </w:rPr>
        <w:t xml:space="preserve"> </w:t>
      </w:r>
      <w:r w:rsidR="005D2422">
        <w:rPr>
          <w:rFonts w:ascii="Arial" w:hAnsi="Arial" w:cs="Arial"/>
        </w:rPr>
        <w:t>up the position and concluded as follows at para [34] and [35]:</w:t>
      </w:r>
    </w:p>
    <w:p w14:paraId="7A9B3C79" w14:textId="77777777" w:rsidR="005D2422" w:rsidRDefault="005D2422" w:rsidP="00A973A4">
      <w:pPr>
        <w:spacing w:line="360" w:lineRule="auto"/>
        <w:jc w:val="both"/>
        <w:rPr>
          <w:rFonts w:ascii="Arial" w:hAnsi="Arial" w:cs="Arial"/>
        </w:rPr>
      </w:pPr>
    </w:p>
    <w:p w14:paraId="306BECA9" w14:textId="77777777" w:rsidR="005D2422" w:rsidRDefault="005D2422" w:rsidP="00A973A4">
      <w:pPr>
        <w:spacing w:line="360" w:lineRule="auto"/>
        <w:jc w:val="both"/>
        <w:rPr>
          <w:rFonts w:ascii="Arial" w:hAnsi="Arial" w:cs="Arial"/>
          <w:sz w:val="22"/>
          <w:szCs w:val="22"/>
        </w:rPr>
      </w:pPr>
      <w:r>
        <w:rPr>
          <w:rFonts w:ascii="Arial" w:hAnsi="Arial" w:cs="Arial"/>
        </w:rPr>
        <w:tab/>
        <w:t>‘</w:t>
      </w:r>
      <w:r>
        <w:rPr>
          <w:rFonts w:ascii="Arial" w:hAnsi="Arial" w:cs="Arial"/>
          <w:sz w:val="22"/>
          <w:szCs w:val="22"/>
        </w:rPr>
        <w:t xml:space="preserve">In the present matter the applicant did not refer to any </w:t>
      </w:r>
      <w:r>
        <w:rPr>
          <w:rFonts w:ascii="Arial" w:hAnsi="Arial" w:cs="Arial"/>
          <w:i/>
          <w:sz w:val="22"/>
          <w:szCs w:val="22"/>
        </w:rPr>
        <w:t xml:space="preserve">fact </w:t>
      </w:r>
      <w:r>
        <w:rPr>
          <w:rFonts w:ascii="Arial" w:hAnsi="Arial" w:cs="Arial"/>
          <w:sz w:val="22"/>
          <w:szCs w:val="22"/>
        </w:rPr>
        <w:t xml:space="preserve">upon which he based his </w:t>
      </w:r>
      <w:r>
        <w:rPr>
          <w:rFonts w:ascii="Arial" w:hAnsi="Arial" w:cs="Arial"/>
          <w:i/>
          <w:sz w:val="22"/>
          <w:szCs w:val="22"/>
        </w:rPr>
        <w:t xml:space="preserve">submission </w:t>
      </w:r>
      <w:r>
        <w:rPr>
          <w:rFonts w:ascii="Arial" w:hAnsi="Arial" w:cs="Arial"/>
          <w:sz w:val="22"/>
          <w:szCs w:val="22"/>
        </w:rPr>
        <w:t>that the first respondent did not have the requisite authority to oppose the application.</w:t>
      </w:r>
    </w:p>
    <w:p w14:paraId="3762EF3B" w14:textId="77777777" w:rsidR="005D2422" w:rsidRDefault="005D2422" w:rsidP="00A973A4">
      <w:pPr>
        <w:spacing w:line="360" w:lineRule="auto"/>
        <w:jc w:val="both"/>
        <w:rPr>
          <w:rFonts w:ascii="Arial" w:hAnsi="Arial" w:cs="Arial"/>
          <w:sz w:val="22"/>
          <w:szCs w:val="22"/>
        </w:rPr>
      </w:pPr>
    </w:p>
    <w:p w14:paraId="69806A1F" w14:textId="50ED5D3E" w:rsidR="005D2422" w:rsidRDefault="005D2422" w:rsidP="00A973A4">
      <w:pPr>
        <w:spacing w:line="360" w:lineRule="auto"/>
        <w:jc w:val="both"/>
        <w:rPr>
          <w:rFonts w:ascii="Arial" w:hAnsi="Arial" w:cs="Arial"/>
          <w:sz w:val="22"/>
          <w:szCs w:val="22"/>
        </w:rPr>
      </w:pPr>
      <w:r>
        <w:rPr>
          <w:rFonts w:ascii="Arial" w:hAnsi="Arial" w:cs="Arial"/>
          <w:sz w:val="22"/>
          <w:szCs w:val="22"/>
        </w:rPr>
        <w:t xml:space="preserve">[35] </w:t>
      </w:r>
      <w:r w:rsidR="005C2DF2">
        <w:rPr>
          <w:rFonts w:ascii="Arial" w:hAnsi="Arial" w:cs="Arial"/>
          <w:sz w:val="22"/>
          <w:szCs w:val="22"/>
        </w:rPr>
        <w:tab/>
      </w:r>
      <w:r>
        <w:rPr>
          <w:rFonts w:ascii="Arial" w:hAnsi="Arial" w:cs="Arial"/>
          <w:sz w:val="22"/>
          <w:szCs w:val="22"/>
        </w:rPr>
        <w:t>A minimum of evidence would thus in my view be required by the first respondent to refute the submission of lack of authority</w:t>
      </w:r>
      <w:r w:rsidR="00F4616B">
        <w:rPr>
          <w:rFonts w:ascii="Arial" w:hAnsi="Arial" w:cs="Arial"/>
          <w:sz w:val="22"/>
          <w:szCs w:val="22"/>
        </w:rPr>
        <w:t>…</w:t>
      </w:r>
      <w:r>
        <w:rPr>
          <w:rFonts w:ascii="Arial" w:hAnsi="Arial" w:cs="Arial"/>
          <w:sz w:val="22"/>
          <w:szCs w:val="22"/>
        </w:rPr>
        <w:t>’</w:t>
      </w:r>
    </w:p>
    <w:p w14:paraId="7E74103C" w14:textId="77777777" w:rsidR="00827BB5" w:rsidRDefault="00827BB5" w:rsidP="00A973A4">
      <w:pPr>
        <w:spacing w:line="360" w:lineRule="auto"/>
        <w:jc w:val="both"/>
        <w:rPr>
          <w:rFonts w:ascii="Arial" w:hAnsi="Arial" w:cs="Arial"/>
        </w:rPr>
      </w:pPr>
    </w:p>
    <w:p w14:paraId="459FB9FE" w14:textId="08BA6EA4" w:rsidR="005D2422" w:rsidRDefault="00255859" w:rsidP="00A973A4">
      <w:pPr>
        <w:spacing w:line="360" w:lineRule="auto"/>
        <w:jc w:val="both"/>
        <w:rPr>
          <w:rFonts w:ascii="Arial" w:hAnsi="Arial" w:cs="Arial"/>
        </w:rPr>
      </w:pPr>
      <w:r>
        <w:rPr>
          <w:rFonts w:ascii="Arial" w:hAnsi="Arial" w:cs="Arial"/>
        </w:rPr>
        <w:t>[17</w:t>
      </w:r>
      <w:r w:rsidR="005D2422">
        <w:rPr>
          <w:rFonts w:ascii="Arial" w:hAnsi="Arial" w:cs="Arial"/>
        </w:rPr>
        <w:t>]</w:t>
      </w:r>
      <w:r w:rsidR="005D2422">
        <w:rPr>
          <w:rFonts w:ascii="Arial" w:hAnsi="Arial" w:cs="Arial"/>
        </w:rPr>
        <w:tab/>
        <w:t xml:space="preserve">I need to make one or two observations regarding the excerpts </w:t>
      </w:r>
      <w:r w:rsidR="00F4616B">
        <w:rPr>
          <w:rFonts w:ascii="Arial" w:hAnsi="Arial" w:cs="Arial"/>
        </w:rPr>
        <w:t xml:space="preserve">quoted above and on which the applicant </w:t>
      </w:r>
      <w:r w:rsidR="005D2422">
        <w:rPr>
          <w:rFonts w:ascii="Arial" w:hAnsi="Arial" w:cs="Arial"/>
        </w:rPr>
        <w:t xml:space="preserve">relied on in </w:t>
      </w:r>
      <w:proofErr w:type="spellStart"/>
      <w:r w:rsidR="005D2422">
        <w:rPr>
          <w:rFonts w:ascii="Arial" w:hAnsi="Arial" w:cs="Arial"/>
          <w:i/>
        </w:rPr>
        <w:t>Nangolo</w:t>
      </w:r>
      <w:proofErr w:type="spellEnd"/>
      <w:r w:rsidR="005D2422">
        <w:rPr>
          <w:rFonts w:ascii="Arial" w:hAnsi="Arial" w:cs="Arial"/>
          <w:i/>
        </w:rPr>
        <w:t xml:space="preserve">. </w:t>
      </w:r>
      <w:r w:rsidR="005D2422">
        <w:rPr>
          <w:rFonts w:ascii="Arial" w:hAnsi="Arial" w:cs="Arial"/>
        </w:rPr>
        <w:t xml:space="preserve">First, it is clear that the </w:t>
      </w:r>
      <w:r w:rsidR="005D2422">
        <w:rPr>
          <w:rFonts w:ascii="Arial" w:hAnsi="Arial" w:cs="Arial"/>
        </w:rPr>
        <w:lastRenderedPageBreak/>
        <w:t>party taking issue with the question of authority in that judgment, did not raise the issue propitiously. It was only raised in the replying affidavit, which is generally impermissible</w:t>
      </w:r>
      <w:r w:rsidR="00F4616B">
        <w:rPr>
          <w:rFonts w:ascii="Arial" w:hAnsi="Arial" w:cs="Arial"/>
        </w:rPr>
        <w:t>, particularly</w:t>
      </w:r>
      <w:r w:rsidR="005D2422">
        <w:rPr>
          <w:rFonts w:ascii="Arial" w:hAnsi="Arial" w:cs="Arial"/>
        </w:rPr>
        <w:t xml:space="preserve"> as that was done </w:t>
      </w:r>
      <w:r w:rsidR="00F4616B">
        <w:rPr>
          <w:rFonts w:ascii="Arial" w:hAnsi="Arial" w:cs="Arial"/>
        </w:rPr>
        <w:t>without applying for and being granted</w:t>
      </w:r>
      <w:r w:rsidR="005D2422">
        <w:rPr>
          <w:rFonts w:ascii="Arial" w:hAnsi="Arial" w:cs="Arial"/>
        </w:rPr>
        <w:t xml:space="preserve"> leave.</w:t>
      </w:r>
    </w:p>
    <w:p w14:paraId="1BAF2A34" w14:textId="77777777" w:rsidR="005D2422" w:rsidRDefault="005D2422" w:rsidP="00A973A4">
      <w:pPr>
        <w:spacing w:line="360" w:lineRule="auto"/>
        <w:jc w:val="both"/>
        <w:rPr>
          <w:rFonts w:ascii="Arial" w:hAnsi="Arial" w:cs="Arial"/>
        </w:rPr>
      </w:pPr>
    </w:p>
    <w:p w14:paraId="29F2DA12" w14:textId="460640F6" w:rsidR="00A44196" w:rsidRDefault="00255859" w:rsidP="00A973A4">
      <w:pPr>
        <w:spacing w:line="360" w:lineRule="auto"/>
        <w:jc w:val="both"/>
        <w:rPr>
          <w:rFonts w:ascii="Arial" w:hAnsi="Arial" w:cs="Arial"/>
        </w:rPr>
      </w:pPr>
      <w:r>
        <w:rPr>
          <w:rFonts w:ascii="Arial" w:hAnsi="Arial" w:cs="Arial"/>
        </w:rPr>
        <w:t>[18</w:t>
      </w:r>
      <w:r w:rsidR="005D2422">
        <w:rPr>
          <w:rFonts w:ascii="Arial" w:hAnsi="Arial" w:cs="Arial"/>
        </w:rPr>
        <w:t>]</w:t>
      </w:r>
      <w:r w:rsidR="005D2422">
        <w:rPr>
          <w:rFonts w:ascii="Arial" w:hAnsi="Arial" w:cs="Arial"/>
        </w:rPr>
        <w:tab/>
        <w:t>Secondly, whilst I agree that issues of authority should not become the hotbed of spurious attacks on proceedings, it must not be forgotten that there are two legal propositions that should always guide matters of this nature. First, it is a trite principle</w:t>
      </w:r>
      <w:r w:rsidR="00F4616B">
        <w:rPr>
          <w:rFonts w:ascii="Arial" w:hAnsi="Arial" w:cs="Arial"/>
        </w:rPr>
        <w:t xml:space="preserve"> of the law</w:t>
      </w:r>
      <w:r w:rsidR="005D2422">
        <w:rPr>
          <w:rFonts w:ascii="Arial" w:hAnsi="Arial" w:cs="Arial"/>
        </w:rPr>
        <w:t xml:space="preserve"> that he who alleges must prove. Following upon th</w:t>
      </w:r>
      <w:r w:rsidR="00F4616B">
        <w:rPr>
          <w:rFonts w:ascii="Arial" w:hAnsi="Arial" w:cs="Arial"/>
        </w:rPr>
        <w:t>at, where a party alleges that he or she is</w:t>
      </w:r>
      <w:r w:rsidR="005D2422">
        <w:rPr>
          <w:rFonts w:ascii="Arial" w:hAnsi="Arial" w:cs="Arial"/>
        </w:rPr>
        <w:t xml:space="preserve"> au</w:t>
      </w:r>
      <w:r w:rsidR="00A44196">
        <w:rPr>
          <w:rFonts w:ascii="Arial" w:hAnsi="Arial" w:cs="Arial"/>
        </w:rPr>
        <w:t>thorised to institute or defend</w:t>
      </w:r>
      <w:r w:rsidR="005D2422">
        <w:rPr>
          <w:rFonts w:ascii="Arial" w:hAnsi="Arial" w:cs="Arial"/>
        </w:rPr>
        <w:t xml:space="preserve"> proceedings</w:t>
      </w:r>
      <w:r w:rsidR="00F4616B">
        <w:rPr>
          <w:rFonts w:ascii="Arial" w:hAnsi="Arial" w:cs="Arial"/>
        </w:rPr>
        <w:t xml:space="preserve"> on behalf of a legal person, the onus is on the deponent</w:t>
      </w:r>
      <w:r w:rsidR="005D2422">
        <w:rPr>
          <w:rFonts w:ascii="Arial" w:hAnsi="Arial" w:cs="Arial"/>
        </w:rPr>
        <w:t xml:space="preserve"> to prove that allegation</w:t>
      </w:r>
      <w:r w:rsidR="00F4616B">
        <w:rPr>
          <w:rFonts w:ascii="Arial" w:hAnsi="Arial" w:cs="Arial"/>
        </w:rPr>
        <w:t>, particularly if the issue of authority is questioned</w:t>
      </w:r>
      <w:r w:rsidR="005D2422">
        <w:rPr>
          <w:rFonts w:ascii="Arial" w:hAnsi="Arial" w:cs="Arial"/>
        </w:rPr>
        <w:t xml:space="preserve">. </w:t>
      </w:r>
    </w:p>
    <w:p w14:paraId="64A49B76" w14:textId="77777777" w:rsidR="00A44196" w:rsidRDefault="00A44196" w:rsidP="00A973A4">
      <w:pPr>
        <w:spacing w:line="360" w:lineRule="auto"/>
        <w:jc w:val="both"/>
        <w:rPr>
          <w:rFonts w:ascii="Arial" w:hAnsi="Arial" w:cs="Arial"/>
        </w:rPr>
      </w:pPr>
    </w:p>
    <w:p w14:paraId="19ECDD2E" w14:textId="3695F0FE" w:rsidR="00A44196" w:rsidRDefault="00255859" w:rsidP="00A973A4">
      <w:pPr>
        <w:spacing w:line="360" w:lineRule="auto"/>
        <w:jc w:val="both"/>
        <w:rPr>
          <w:rFonts w:ascii="Arial" w:hAnsi="Arial" w:cs="Arial"/>
        </w:rPr>
      </w:pPr>
      <w:r>
        <w:rPr>
          <w:rFonts w:ascii="Arial" w:hAnsi="Arial" w:cs="Arial"/>
        </w:rPr>
        <w:t>[19</w:t>
      </w:r>
      <w:r w:rsidR="00C13E19">
        <w:rPr>
          <w:rFonts w:ascii="Arial" w:hAnsi="Arial" w:cs="Arial"/>
        </w:rPr>
        <w:t>]</w:t>
      </w:r>
      <w:r w:rsidR="00C13E19">
        <w:rPr>
          <w:rFonts w:ascii="Arial" w:hAnsi="Arial" w:cs="Arial"/>
        </w:rPr>
        <w:tab/>
        <w:t>Third</w:t>
      </w:r>
      <w:r w:rsidR="00A44196">
        <w:rPr>
          <w:rFonts w:ascii="Arial" w:hAnsi="Arial" w:cs="Arial"/>
        </w:rPr>
        <w:t xml:space="preserve">, a party to proceedings must place before court the best evidence available. Where a party alleges that he or she has </w:t>
      </w:r>
      <w:r w:rsidR="00F4616B">
        <w:rPr>
          <w:rFonts w:ascii="Arial" w:hAnsi="Arial" w:cs="Arial"/>
        </w:rPr>
        <w:t>authority to institute or oppose</w:t>
      </w:r>
      <w:r w:rsidR="00A44196">
        <w:rPr>
          <w:rFonts w:ascii="Arial" w:hAnsi="Arial" w:cs="Arial"/>
        </w:rPr>
        <w:t xml:space="preserve"> proceedings, it is incumbent, particularly where the opposite party takes issue with the allegation of authority even made under oath, to place the best evidence of that authority before court, even in a replying affidavit. </w:t>
      </w:r>
    </w:p>
    <w:p w14:paraId="2EEDE2FC" w14:textId="77777777" w:rsidR="00A44196" w:rsidRDefault="00A44196" w:rsidP="00A973A4">
      <w:pPr>
        <w:spacing w:line="360" w:lineRule="auto"/>
        <w:jc w:val="both"/>
        <w:rPr>
          <w:rFonts w:ascii="Arial" w:hAnsi="Arial" w:cs="Arial"/>
        </w:rPr>
      </w:pPr>
      <w:r>
        <w:rPr>
          <w:rFonts w:ascii="Arial" w:hAnsi="Arial" w:cs="Arial"/>
        </w:rPr>
        <w:t xml:space="preserve"> </w:t>
      </w:r>
    </w:p>
    <w:p w14:paraId="7729BD01" w14:textId="638CDAFA" w:rsidR="005D2422" w:rsidRDefault="00255859" w:rsidP="00A973A4">
      <w:pPr>
        <w:spacing w:line="360" w:lineRule="auto"/>
        <w:jc w:val="both"/>
        <w:rPr>
          <w:rFonts w:ascii="Arial" w:hAnsi="Arial" w:cs="Arial"/>
        </w:rPr>
      </w:pPr>
      <w:r>
        <w:rPr>
          <w:rFonts w:ascii="Arial" w:hAnsi="Arial" w:cs="Arial"/>
        </w:rPr>
        <w:t>[20</w:t>
      </w:r>
      <w:r w:rsidR="00A44196">
        <w:rPr>
          <w:rFonts w:ascii="Arial" w:hAnsi="Arial" w:cs="Arial"/>
        </w:rPr>
        <w:t>]</w:t>
      </w:r>
      <w:r w:rsidR="00A44196">
        <w:rPr>
          <w:rFonts w:ascii="Arial" w:hAnsi="Arial" w:cs="Arial"/>
        </w:rPr>
        <w:tab/>
      </w:r>
      <w:r w:rsidR="005D2422">
        <w:rPr>
          <w:rFonts w:ascii="Arial" w:hAnsi="Arial" w:cs="Arial"/>
        </w:rPr>
        <w:t xml:space="preserve">It would be </w:t>
      </w:r>
      <w:r w:rsidR="00A44196">
        <w:rPr>
          <w:rFonts w:ascii="Arial" w:hAnsi="Arial" w:cs="Arial"/>
        </w:rPr>
        <w:t>the incorrect end of principle to require a party who faces a bare allegation on oath that the other party has authority</w:t>
      </w:r>
      <w:r w:rsidR="004D1653">
        <w:rPr>
          <w:rFonts w:ascii="Arial" w:hAnsi="Arial" w:cs="Arial"/>
        </w:rPr>
        <w:t xml:space="preserve"> to institute proceedings</w:t>
      </w:r>
      <w:r w:rsidR="00A44196">
        <w:rPr>
          <w:rFonts w:ascii="Arial" w:hAnsi="Arial" w:cs="Arial"/>
        </w:rPr>
        <w:t xml:space="preserve">, without observing the requirements of the best evidence rule, to then throw out that challenge because there are no factual allegations </w:t>
      </w:r>
      <w:r w:rsidR="00F4616B">
        <w:rPr>
          <w:rFonts w:ascii="Arial" w:hAnsi="Arial" w:cs="Arial"/>
        </w:rPr>
        <w:t xml:space="preserve">placed before the court </w:t>
      </w:r>
      <w:r w:rsidR="00A44196">
        <w:rPr>
          <w:rFonts w:ascii="Arial" w:hAnsi="Arial" w:cs="Arial"/>
        </w:rPr>
        <w:t>in regard thereto. In my view, where the deponent alleges auth</w:t>
      </w:r>
      <w:r w:rsidR="00F4616B">
        <w:rPr>
          <w:rFonts w:ascii="Arial" w:hAnsi="Arial" w:cs="Arial"/>
        </w:rPr>
        <w:t>ority to act but does not attach the resolution</w:t>
      </w:r>
      <w:r w:rsidR="00A44196">
        <w:rPr>
          <w:rFonts w:ascii="Arial" w:hAnsi="Arial" w:cs="Arial"/>
        </w:rPr>
        <w:t xml:space="preserve">, it is within the rights of the opposite party to take issue with that bare allegation, </w:t>
      </w:r>
      <w:r w:rsidR="00C9642D">
        <w:rPr>
          <w:rFonts w:ascii="Arial" w:hAnsi="Arial" w:cs="Arial"/>
        </w:rPr>
        <w:t>and insist</w:t>
      </w:r>
      <w:r w:rsidR="00A44196">
        <w:rPr>
          <w:rFonts w:ascii="Arial" w:hAnsi="Arial" w:cs="Arial"/>
        </w:rPr>
        <w:t xml:space="preserve"> on proof</w:t>
      </w:r>
      <w:r w:rsidR="004D1653">
        <w:rPr>
          <w:rFonts w:ascii="Arial" w:hAnsi="Arial" w:cs="Arial"/>
        </w:rPr>
        <w:t xml:space="preserve"> of the authority</w:t>
      </w:r>
      <w:r w:rsidR="00A44196">
        <w:rPr>
          <w:rFonts w:ascii="Arial" w:hAnsi="Arial" w:cs="Arial"/>
        </w:rPr>
        <w:t xml:space="preserve">. This is important because purporting to act on behalf of a legal entity, as is well known, is a serious matter that must </w:t>
      </w:r>
      <w:r w:rsidR="00F4616B">
        <w:rPr>
          <w:rFonts w:ascii="Arial" w:hAnsi="Arial" w:cs="Arial"/>
        </w:rPr>
        <w:t xml:space="preserve">be shown to have </w:t>
      </w:r>
      <w:r w:rsidR="00A44196">
        <w:rPr>
          <w:rFonts w:ascii="Arial" w:hAnsi="Arial" w:cs="Arial"/>
        </w:rPr>
        <w:t>be</w:t>
      </w:r>
      <w:r w:rsidR="00F4616B">
        <w:rPr>
          <w:rFonts w:ascii="Arial" w:hAnsi="Arial" w:cs="Arial"/>
        </w:rPr>
        <w:t>en</w:t>
      </w:r>
      <w:r w:rsidR="00A44196">
        <w:rPr>
          <w:rFonts w:ascii="Arial" w:hAnsi="Arial" w:cs="Arial"/>
        </w:rPr>
        <w:t xml:space="preserve"> properly authorised</w:t>
      </w:r>
      <w:r w:rsidR="00F4616B">
        <w:rPr>
          <w:rFonts w:ascii="Arial" w:hAnsi="Arial" w:cs="Arial"/>
        </w:rPr>
        <w:t xml:space="preserve"> by appropriate officers of the legal person concerned</w:t>
      </w:r>
      <w:r w:rsidR="00A44196">
        <w:rPr>
          <w:rFonts w:ascii="Arial" w:hAnsi="Arial" w:cs="Arial"/>
        </w:rPr>
        <w:t>.</w:t>
      </w:r>
    </w:p>
    <w:p w14:paraId="1744B8F1" w14:textId="77777777" w:rsidR="00A44196" w:rsidRDefault="00A44196" w:rsidP="00A973A4">
      <w:pPr>
        <w:spacing w:line="360" w:lineRule="auto"/>
        <w:jc w:val="both"/>
        <w:rPr>
          <w:rFonts w:ascii="Arial" w:hAnsi="Arial" w:cs="Arial"/>
        </w:rPr>
      </w:pPr>
    </w:p>
    <w:p w14:paraId="4277A67B" w14:textId="195960CF" w:rsidR="00295C33" w:rsidRDefault="00255859" w:rsidP="00A973A4">
      <w:pPr>
        <w:spacing w:line="360" w:lineRule="auto"/>
        <w:jc w:val="both"/>
        <w:rPr>
          <w:rFonts w:ascii="Arial" w:hAnsi="Arial" w:cs="Arial"/>
        </w:rPr>
      </w:pPr>
      <w:r>
        <w:rPr>
          <w:rFonts w:ascii="Arial" w:hAnsi="Arial" w:cs="Arial"/>
        </w:rPr>
        <w:t>[21</w:t>
      </w:r>
      <w:r w:rsidR="00F4616B">
        <w:rPr>
          <w:rFonts w:ascii="Arial" w:hAnsi="Arial" w:cs="Arial"/>
        </w:rPr>
        <w:t>]</w:t>
      </w:r>
      <w:r w:rsidR="00F4616B">
        <w:rPr>
          <w:rFonts w:ascii="Arial" w:hAnsi="Arial" w:cs="Arial"/>
        </w:rPr>
        <w:tab/>
        <w:t>It also becomes</w:t>
      </w:r>
      <w:r w:rsidR="00A44196">
        <w:rPr>
          <w:rFonts w:ascii="Arial" w:hAnsi="Arial" w:cs="Arial"/>
        </w:rPr>
        <w:t xml:space="preserve"> difficult to understand what factual allegations a party in the respondent’s shoes should make in circumstances as the present where the d</w:t>
      </w:r>
      <w:r w:rsidR="00E7725B">
        <w:rPr>
          <w:rFonts w:ascii="Arial" w:hAnsi="Arial" w:cs="Arial"/>
        </w:rPr>
        <w:t>eponent makes a bare allegation</w:t>
      </w:r>
      <w:r w:rsidR="00A44196">
        <w:rPr>
          <w:rFonts w:ascii="Arial" w:hAnsi="Arial" w:cs="Arial"/>
        </w:rPr>
        <w:t xml:space="preserve"> and does not, in the affidavit, attach proof of the authority, in line with the principle that he who alleges, must prove. In my considered view, there are limited circumstances in which a party in the </w:t>
      </w:r>
      <w:r w:rsidR="00A44196">
        <w:rPr>
          <w:rFonts w:ascii="Arial" w:hAnsi="Arial" w:cs="Arial"/>
        </w:rPr>
        <w:lastRenderedPageBreak/>
        <w:t>respondent’s shoes would be able to make factual allegations regarding the authority</w:t>
      </w:r>
      <w:r w:rsidR="00F4616B">
        <w:rPr>
          <w:rFonts w:ascii="Arial" w:hAnsi="Arial" w:cs="Arial"/>
        </w:rPr>
        <w:t xml:space="preserve"> or lack thereof</w:t>
      </w:r>
      <w:r w:rsidR="00A44196">
        <w:rPr>
          <w:rFonts w:ascii="Arial" w:hAnsi="Arial" w:cs="Arial"/>
        </w:rPr>
        <w:t>.</w:t>
      </w:r>
      <w:r w:rsidR="00295C33">
        <w:rPr>
          <w:rFonts w:ascii="Arial" w:hAnsi="Arial" w:cs="Arial"/>
        </w:rPr>
        <w:t xml:space="preserve"> One that comes to mind is if the person taking issue with the authority has knowledge of the inner policies and procedures of the company</w:t>
      </w:r>
      <w:r w:rsidR="002201F0">
        <w:rPr>
          <w:rFonts w:ascii="Arial" w:hAnsi="Arial" w:cs="Arial"/>
        </w:rPr>
        <w:t xml:space="preserve"> instituting or opposing the proceedings in issue</w:t>
      </w:r>
      <w:r w:rsidR="00295C33">
        <w:rPr>
          <w:rFonts w:ascii="Arial" w:hAnsi="Arial" w:cs="Arial"/>
        </w:rPr>
        <w:t xml:space="preserve">. </w:t>
      </w:r>
    </w:p>
    <w:p w14:paraId="033A879E" w14:textId="77777777" w:rsidR="00295C33" w:rsidRDefault="00295C33" w:rsidP="00A973A4">
      <w:pPr>
        <w:spacing w:line="360" w:lineRule="auto"/>
        <w:jc w:val="both"/>
        <w:rPr>
          <w:rFonts w:ascii="Arial" w:hAnsi="Arial" w:cs="Arial"/>
        </w:rPr>
      </w:pPr>
    </w:p>
    <w:p w14:paraId="77715E16" w14:textId="2DB99AA3" w:rsidR="00295C33" w:rsidRDefault="00255859" w:rsidP="00A973A4">
      <w:pPr>
        <w:spacing w:line="360" w:lineRule="auto"/>
        <w:jc w:val="both"/>
        <w:rPr>
          <w:rFonts w:ascii="Arial" w:hAnsi="Arial" w:cs="Arial"/>
        </w:rPr>
      </w:pPr>
      <w:r>
        <w:rPr>
          <w:rFonts w:ascii="Arial" w:hAnsi="Arial" w:cs="Arial"/>
        </w:rPr>
        <w:t>[22</w:t>
      </w:r>
      <w:r w:rsidR="00295C33">
        <w:rPr>
          <w:rFonts w:ascii="Arial" w:hAnsi="Arial" w:cs="Arial"/>
        </w:rPr>
        <w:t>]</w:t>
      </w:r>
      <w:r w:rsidR="00295C33">
        <w:rPr>
          <w:rFonts w:ascii="Arial" w:hAnsi="Arial" w:cs="Arial"/>
        </w:rPr>
        <w:tab/>
        <w:t>Where the deponent has not passed the hurdle of proving the allegation of authority, when it is challenged, it would be asking a lot of a respondent to place facts before court in support of the challenge, when the reason</w:t>
      </w:r>
      <w:r w:rsidR="002201F0">
        <w:rPr>
          <w:rFonts w:ascii="Arial" w:hAnsi="Arial" w:cs="Arial"/>
        </w:rPr>
        <w:t xml:space="preserve"> for the challenge</w:t>
      </w:r>
      <w:r w:rsidR="00295C33">
        <w:rPr>
          <w:rFonts w:ascii="Arial" w:hAnsi="Arial" w:cs="Arial"/>
        </w:rPr>
        <w:t xml:space="preserve"> is that the deponent has made a bare allegation, unsupported by any proof of the allegations and in violation of the best evidence rule. Where a bare allegation of authority is made, the opposite party should be able to challenge that because the onus is not on the other party but the one who alleges authority to prove that authority</w:t>
      </w:r>
      <w:r w:rsidR="002201F0">
        <w:rPr>
          <w:rFonts w:ascii="Arial" w:hAnsi="Arial" w:cs="Arial"/>
        </w:rPr>
        <w:t xml:space="preserve"> by placing admissible evidence before court</w:t>
      </w:r>
      <w:r w:rsidR="00295C33">
        <w:rPr>
          <w:rFonts w:ascii="Arial" w:hAnsi="Arial" w:cs="Arial"/>
        </w:rPr>
        <w:t xml:space="preserve">. </w:t>
      </w:r>
      <w:r w:rsidR="004D1653">
        <w:rPr>
          <w:rFonts w:ascii="Arial" w:hAnsi="Arial" w:cs="Arial"/>
        </w:rPr>
        <w:t>The concept of a reverse onus does not apply in this case.</w:t>
      </w:r>
    </w:p>
    <w:p w14:paraId="533359D8" w14:textId="77777777" w:rsidR="00295C33" w:rsidRDefault="00295C33" w:rsidP="00A973A4">
      <w:pPr>
        <w:spacing w:line="360" w:lineRule="auto"/>
        <w:jc w:val="both"/>
        <w:rPr>
          <w:rFonts w:ascii="Arial" w:hAnsi="Arial" w:cs="Arial"/>
        </w:rPr>
      </w:pPr>
    </w:p>
    <w:p w14:paraId="740A9AF1" w14:textId="77777777" w:rsidR="00A44196" w:rsidRDefault="00255859" w:rsidP="00A973A4">
      <w:pPr>
        <w:spacing w:line="360" w:lineRule="auto"/>
        <w:jc w:val="both"/>
        <w:rPr>
          <w:rFonts w:ascii="Arial" w:hAnsi="Arial" w:cs="Arial"/>
        </w:rPr>
      </w:pPr>
      <w:r>
        <w:rPr>
          <w:rFonts w:ascii="Arial" w:hAnsi="Arial" w:cs="Arial"/>
        </w:rPr>
        <w:t>[23</w:t>
      </w:r>
      <w:r w:rsidR="00295C33">
        <w:rPr>
          <w:rFonts w:ascii="Arial" w:hAnsi="Arial" w:cs="Arial"/>
        </w:rPr>
        <w:t>]</w:t>
      </w:r>
      <w:r w:rsidR="00295C33">
        <w:rPr>
          <w:rFonts w:ascii="Arial" w:hAnsi="Arial" w:cs="Arial"/>
        </w:rPr>
        <w:tab/>
        <w:t xml:space="preserve">It would be incorrect to saddle the other party with the burden of making </w:t>
      </w:r>
      <w:r w:rsidR="009D691E">
        <w:rPr>
          <w:rFonts w:ascii="Arial" w:hAnsi="Arial" w:cs="Arial"/>
        </w:rPr>
        <w:t xml:space="preserve">factual </w:t>
      </w:r>
      <w:r w:rsidR="00295C33">
        <w:rPr>
          <w:rFonts w:ascii="Arial" w:hAnsi="Arial" w:cs="Arial"/>
        </w:rPr>
        <w:t>allegations on oath in that particular scenario.</w:t>
      </w:r>
      <w:r w:rsidR="00A44196">
        <w:rPr>
          <w:rFonts w:ascii="Arial" w:hAnsi="Arial" w:cs="Arial"/>
        </w:rPr>
        <w:t xml:space="preserve"> </w:t>
      </w:r>
      <w:r w:rsidR="00295C33">
        <w:rPr>
          <w:rFonts w:ascii="Arial" w:hAnsi="Arial" w:cs="Arial"/>
        </w:rPr>
        <w:t>A different consideration may follow where the proof of authority is attached onto the affidavit and the other party still makes bones about that. It would, in my considered view be in those circumstances that the party taking issue would have to make factual averments as to why it persists with the alleged lack of authority</w:t>
      </w:r>
      <w:r w:rsidR="009D691E">
        <w:rPr>
          <w:rFonts w:ascii="Arial" w:hAnsi="Arial" w:cs="Arial"/>
        </w:rPr>
        <w:t xml:space="preserve"> in the light of the resolution filed</w:t>
      </w:r>
      <w:r w:rsidR="00295C33">
        <w:rPr>
          <w:rFonts w:ascii="Arial" w:hAnsi="Arial" w:cs="Arial"/>
        </w:rPr>
        <w:t>.</w:t>
      </w:r>
    </w:p>
    <w:p w14:paraId="55E709D5" w14:textId="77777777" w:rsidR="009D691E" w:rsidRDefault="009D691E" w:rsidP="00A973A4">
      <w:pPr>
        <w:spacing w:line="360" w:lineRule="auto"/>
        <w:jc w:val="both"/>
        <w:rPr>
          <w:rFonts w:ascii="Arial" w:hAnsi="Arial" w:cs="Arial"/>
        </w:rPr>
      </w:pPr>
    </w:p>
    <w:p w14:paraId="5D25BB0C" w14:textId="6808E8FF" w:rsidR="009D691E" w:rsidRDefault="00255859" w:rsidP="00A973A4">
      <w:pPr>
        <w:spacing w:line="360" w:lineRule="auto"/>
        <w:jc w:val="both"/>
        <w:rPr>
          <w:rFonts w:ascii="Arial" w:hAnsi="Arial" w:cs="Arial"/>
        </w:rPr>
      </w:pPr>
      <w:r>
        <w:rPr>
          <w:rFonts w:ascii="Arial" w:hAnsi="Arial" w:cs="Arial"/>
        </w:rPr>
        <w:t>[24</w:t>
      </w:r>
      <w:r w:rsidR="009D691E">
        <w:rPr>
          <w:rFonts w:ascii="Arial" w:hAnsi="Arial" w:cs="Arial"/>
        </w:rPr>
        <w:t>]</w:t>
      </w:r>
      <w:r w:rsidR="009D691E">
        <w:rPr>
          <w:rFonts w:ascii="Arial" w:hAnsi="Arial" w:cs="Arial"/>
        </w:rPr>
        <w:tab/>
        <w:t xml:space="preserve">I accordingly do not agree with Mr. </w:t>
      </w:r>
      <w:proofErr w:type="spellStart"/>
      <w:r w:rsidR="009D691E">
        <w:rPr>
          <w:rFonts w:ascii="Arial" w:hAnsi="Arial" w:cs="Arial"/>
        </w:rPr>
        <w:t>Diedericks</w:t>
      </w:r>
      <w:proofErr w:type="spellEnd"/>
      <w:r w:rsidR="009D691E">
        <w:rPr>
          <w:rFonts w:ascii="Arial" w:hAnsi="Arial" w:cs="Arial"/>
        </w:rPr>
        <w:t xml:space="preserve">’ position in this matter and I </w:t>
      </w:r>
      <w:r w:rsidR="00295F38">
        <w:rPr>
          <w:rFonts w:ascii="Arial" w:hAnsi="Arial" w:cs="Arial"/>
        </w:rPr>
        <w:t xml:space="preserve">respectfully </w:t>
      </w:r>
      <w:r w:rsidR="009D691E">
        <w:rPr>
          <w:rFonts w:ascii="Arial" w:hAnsi="Arial" w:cs="Arial"/>
        </w:rPr>
        <w:t xml:space="preserve">differ with the </w:t>
      </w:r>
      <w:r w:rsidR="00295F38">
        <w:rPr>
          <w:rFonts w:ascii="Arial" w:hAnsi="Arial" w:cs="Arial"/>
        </w:rPr>
        <w:t xml:space="preserve">reasoning and </w:t>
      </w:r>
      <w:r w:rsidR="009D691E">
        <w:rPr>
          <w:rFonts w:ascii="Arial" w:hAnsi="Arial" w:cs="Arial"/>
        </w:rPr>
        <w:t xml:space="preserve">conclusion in </w:t>
      </w:r>
      <w:proofErr w:type="spellStart"/>
      <w:r w:rsidR="009D691E">
        <w:rPr>
          <w:rFonts w:ascii="Arial" w:hAnsi="Arial" w:cs="Arial"/>
          <w:i/>
        </w:rPr>
        <w:t>Nangolo</w:t>
      </w:r>
      <w:proofErr w:type="spellEnd"/>
      <w:r w:rsidR="009D691E">
        <w:rPr>
          <w:rFonts w:ascii="Arial" w:hAnsi="Arial" w:cs="Arial"/>
        </w:rPr>
        <w:t>. In this case, the applicant was thrown the lifeline in</w:t>
      </w:r>
      <w:r w:rsidR="002201F0">
        <w:rPr>
          <w:rFonts w:ascii="Arial" w:hAnsi="Arial" w:cs="Arial"/>
        </w:rPr>
        <w:t xml:space="preserve"> at least two respects. One,</w:t>
      </w:r>
      <w:r w:rsidR="009D691E">
        <w:rPr>
          <w:rFonts w:ascii="Arial" w:hAnsi="Arial" w:cs="Arial"/>
        </w:rPr>
        <w:t xml:space="preserve"> it could have filed the resolution in reply. It </w:t>
      </w:r>
      <w:r w:rsidR="002201F0">
        <w:rPr>
          <w:rFonts w:ascii="Arial" w:hAnsi="Arial" w:cs="Arial"/>
        </w:rPr>
        <w:t xml:space="preserve">however, </w:t>
      </w:r>
      <w:r w:rsidR="009D691E">
        <w:rPr>
          <w:rFonts w:ascii="Arial" w:hAnsi="Arial" w:cs="Arial"/>
        </w:rPr>
        <w:t>chose not to do so. Secondly, well after the papers were</w:t>
      </w:r>
      <w:r w:rsidR="005C2DF2">
        <w:rPr>
          <w:rFonts w:ascii="Arial" w:hAnsi="Arial" w:cs="Arial"/>
        </w:rPr>
        <w:t xml:space="preserve"> filed, it purported to file a</w:t>
      </w:r>
      <w:r w:rsidR="009D691E">
        <w:rPr>
          <w:rFonts w:ascii="Arial" w:hAnsi="Arial" w:cs="Arial"/>
        </w:rPr>
        <w:t xml:space="preserve"> </w:t>
      </w:r>
      <w:r w:rsidR="002201F0">
        <w:rPr>
          <w:rFonts w:ascii="Arial" w:hAnsi="Arial" w:cs="Arial"/>
        </w:rPr>
        <w:t xml:space="preserve">resolution </w:t>
      </w:r>
      <w:r w:rsidR="009D691E">
        <w:rPr>
          <w:rFonts w:ascii="Arial" w:hAnsi="Arial" w:cs="Arial"/>
        </w:rPr>
        <w:t>but then withdrew it, arguing as now app</w:t>
      </w:r>
      <w:r w:rsidR="002201F0">
        <w:rPr>
          <w:rFonts w:ascii="Arial" w:hAnsi="Arial" w:cs="Arial"/>
        </w:rPr>
        <w:t xml:space="preserve">ears to be the position, that the resolution did not contain </w:t>
      </w:r>
      <w:r w:rsidR="004F4CB7">
        <w:rPr>
          <w:rFonts w:ascii="Arial" w:hAnsi="Arial" w:cs="Arial"/>
        </w:rPr>
        <w:t>errors but</w:t>
      </w:r>
      <w:r w:rsidR="009D691E">
        <w:rPr>
          <w:rFonts w:ascii="Arial" w:hAnsi="Arial" w:cs="Arial"/>
        </w:rPr>
        <w:t xml:space="preserve"> </w:t>
      </w:r>
      <w:r w:rsidR="002201F0">
        <w:rPr>
          <w:rFonts w:ascii="Arial" w:hAnsi="Arial" w:cs="Arial"/>
        </w:rPr>
        <w:t xml:space="preserve">it was </w:t>
      </w:r>
      <w:r w:rsidR="009D691E">
        <w:rPr>
          <w:rFonts w:ascii="Arial" w:hAnsi="Arial" w:cs="Arial"/>
        </w:rPr>
        <w:t>totally unnecessary</w:t>
      </w:r>
      <w:r w:rsidR="002201F0">
        <w:rPr>
          <w:rFonts w:ascii="Arial" w:hAnsi="Arial" w:cs="Arial"/>
        </w:rPr>
        <w:t xml:space="preserve"> to file it</w:t>
      </w:r>
      <w:r w:rsidR="009D691E">
        <w:rPr>
          <w:rFonts w:ascii="Arial" w:hAnsi="Arial" w:cs="Arial"/>
        </w:rPr>
        <w:t>.</w:t>
      </w:r>
    </w:p>
    <w:p w14:paraId="446E35AF" w14:textId="77777777" w:rsidR="004D1653" w:rsidRDefault="004D1653" w:rsidP="00A973A4">
      <w:pPr>
        <w:spacing w:line="360" w:lineRule="auto"/>
        <w:jc w:val="both"/>
        <w:rPr>
          <w:rFonts w:ascii="Arial" w:hAnsi="Arial" w:cs="Arial"/>
        </w:rPr>
      </w:pPr>
    </w:p>
    <w:p w14:paraId="0B85925B" w14:textId="38DF6B22" w:rsidR="00A973A4" w:rsidRDefault="00255859" w:rsidP="00A973A4">
      <w:pPr>
        <w:spacing w:line="360" w:lineRule="auto"/>
        <w:jc w:val="both"/>
        <w:rPr>
          <w:rFonts w:ascii="Arial" w:hAnsi="Arial" w:cs="Arial"/>
        </w:rPr>
      </w:pPr>
      <w:r>
        <w:rPr>
          <w:rFonts w:ascii="Arial" w:hAnsi="Arial" w:cs="Arial"/>
        </w:rPr>
        <w:t>[25</w:t>
      </w:r>
      <w:r w:rsidR="009D691E">
        <w:rPr>
          <w:rFonts w:ascii="Arial" w:hAnsi="Arial" w:cs="Arial"/>
        </w:rPr>
        <w:t>]</w:t>
      </w:r>
      <w:r w:rsidR="009D691E">
        <w:rPr>
          <w:rFonts w:ascii="Arial" w:hAnsi="Arial" w:cs="Arial"/>
        </w:rPr>
        <w:tab/>
        <w:t xml:space="preserve">Even a tender by Ms. </w:t>
      </w:r>
      <w:proofErr w:type="spellStart"/>
      <w:r w:rsidR="009D691E">
        <w:rPr>
          <w:rFonts w:ascii="Arial" w:hAnsi="Arial" w:cs="Arial"/>
        </w:rPr>
        <w:t>Garbers</w:t>
      </w:r>
      <w:proofErr w:type="spellEnd"/>
      <w:r w:rsidR="009D691E">
        <w:rPr>
          <w:rFonts w:ascii="Arial" w:hAnsi="Arial" w:cs="Arial"/>
        </w:rPr>
        <w:t xml:space="preserve"> that the matter proceeds on the basis that the res</w:t>
      </w:r>
      <w:r w:rsidR="007301DB">
        <w:rPr>
          <w:rFonts w:ascii="Arial" w:hAnsi="Arial" w:cs="Arial"/>
        </w:rPr>
        <w:t>olution, in its corrected form c</w:t>
      </w:r>
      <w:r w:rsidR="009D691E">
        <w:rPr>
          <w:rFonts w:ascii="Arial" w:hAnsi="Arial" w:cs="Arial"/>
        </w:rPr>
        <w:t xml:space="preserve">ould be filed belatedly, was not sufficient to persuade the applicant to abandon </w:t>
      </w:r>
      <w:r w:rsidR="007301DB">
        <w:rPr>
          <w:rFonts w:ascii="Arial" w:hAnsi="Arial" w:cs="Arial"/>
        </w:rPr>
        <w:t xml:space="preserve">its </w:t>
      </w:r>
      <w:r w:rsidR="009D691E">
        <w:rPr>
          <w:rFonts w:ascii="Arial" w:hAnsi="Arial" w:cs="Arial"/>
        </w:rPr>
        <w:t>argument on authority</w:t>
      </w:r>
      <w:r w:rsidR="007301DB">
        <w:rPr>
          <w:rFonts w:ascii="Arial" w:hAnsi="Arial" w:cs="Arial"/>
        </w:rPr>
        <w:t xml:space="preserve"> in the form it chose</w:t>
      </w:r>
      <w:r w:rsidR="009D691E">
        <w:rPr>
          <w:rFonts w:ascii="Arial" w:hAnsi="Arial" w:cs="Arial"/>
        </w:rPr>
        <w:t xml:space="preserve">. In the premises, I am of the view that the applicant has shot itself in the </w:t>
      </w:r>
      <w:r w:rsidR="009D691E">
        <w:rPr>
          <w:rFonts w:ascii="Arial" w:hAnsi="Arial" w:cs="Arial"/>
        </w:rPr>
        <w:lastRenderedPageBreak/>
        <w:t xml:space="preserve">foot. It could still have maintained its argument that the resolution was unnecessary but still filed it </w:t>
      </w:r>
      <w:r w:rsidR="009D691E">
        <w:rPr>
          <w:rFonts w:ascii="Arial" w:hAnsi="Arial" w:cs="Arial"/>
          <w:i/>
        </w:rPr>
        <w:t xml:space="preserve">ex </w:t>
      </w:r>
      <w:proofErr w:type="spellStart"/>
      <w:r w:rsidR="009D691E" w:rsidRPr="009D691E">
        <w:rPr>
          <w:rFonts w:ascii="Arial" w:hAnsi="Arial" w:cs="Arial"/>
          <w:i/>
        </w:rPr>
        <w:t>abudanti</w:t>
      </w:r>
      <w:proofErr w:type="spellEnd"/>
      <w:r w:rsidR="009D691E" w:rsidRPr="009D691E">
        <w:rPr>
          <w:rFonts w:ascii="Arial" w:hAnsi="Arial" w:cs="Arial"/>
          <w:i/>
        </w:rPr>
        <w:t xml:space="preserve"> </w:t>
      </w:r>
      <w:proofErr w:type="spellStart"/>
      <w:r w:rsidR="009D691E" w:rsidRPr="009D691E">
        <w:rPr>
          <w:rFonts w:ascii="Arial" w:hAnsi="Arial" w:cs="Arial"/>
          <w:i/>
        </w:rPr>
        <w:t>cautela</w:t>
      </w:r>
      <w:proofErr w:type="spellEnd"/>
      <w:r w:rsidR="00C13E19">
        <w:rPr>
          <w:rFonts w:ascii="Arial" w:hAnsi="Arial" w:cs="Arial"/>
        </w:rPr>
        <w:t>. In that event,</w:t>
      </w:r>
      <w:r w:rsidR="009D691E">
        <w:rPr>
          <w:rFonts w:ascii="Arial" w:hAnsi="Arial" w:cs="Arial"/>
        </w:rPr>
        <w:t xml:space="preserve"> the matter would </w:t>
      </w:r>
      <w:r w:rsidR="002201F0">
        <w:rPr>
          <w:rFonts w:ascii="Arial" w:hAnsi="Arial" w:cs="Arial"/>
        </w:rPr>
        <w:t xml:space="preserve">have </w:t>
      </w:r>
      <w:r w:rsidR="009D691E">
        <w:rPr>
          <w:rFonts w:ascii="Arial" w:hAnsi="Arial" w:cs="Arial"/>
        </w:rPr>
        <w:t>proceed</w:t>
      </w:r>
      <w:r w:rsidR="002201F0">
        <w:rPr>
          <w:rFonts w:ascii="Arial" w:hAnsi="Arial" w:cs="Arial"/>
        </w:rPr>
        <w:t>ed</w:t>
      </w:r>
      <w:r w:rsidR="009D691E">
        <w:rPr>
          <w:rFonts w:ascii="Arial" w:hAnsi="Arial" w:cs="Arial"/>
        </w:rPr>
        <w:t xml:space="preserve"> and </w:t>
      </w:r>
      <w:r w:rsidR="00AF59AB">
        <w:rPr>
          <w:rFonts w:ascii="Arial" w:hAnsi="Arial" w:cs="Arial"/>
        </w:rPr>
        <w:t>even if the applicant’s</w:t>
      </w:r>
      <w:r w:rsidR="002201F0">
        <w:rPr>
          <w:rFonts w:ascii="Arial" w:hAnsi="Arial" w:cs="Arial"/>
        </w:rPr>
        <w:t xml:space="preserve"> position predicated on </w:t>
      </w:r>
      <w:proofErr w:type="spellStart"/>
      <w:r w:rsidR="009D691E">
        <w:rPr>
          <w:rFonts w:ascii="Arial" w:hAnsi="Arial" w:cs="Arial"/>
          <w:i/>
        </w:rPr>
        <w:t>Nangolo</w:t>
      </w:r>
      <w:proofErr w:type="spellEnd"/>
      <w:r w:rsidR="00C13E19">
        <w:rPr>
          <w:rFonts w:ascii="Arial" w:hAnsi="Arial" w:cs="Arial"/>
          <w:i/>
        </w:rPr>
        <w:t xml:space="preserve"> </w:t>
      </w:r>
      <w:r w:rsidR="002201F0">
        <w:rPr>
          <w:rFonts w:ascii="Arial" w:hAnsi="Arial" w:cs="Arial"/>
        </w:rPr>
        <w:t>wa</w:t>
      </w:r>
      <w:r w:rsidR="00C13E19">
        <w:rPr>
          <w:rFonts w:ascii="Arial" w:hAnsi="Arial" w:cs="Arial"/>
        </w:rPr>
        <w:t>s not upheld as correct in law</w:t>
      </w:r>
      <w:r w:rsidR="002201F0">
        <w:rPr>
          <w:rFonts w:ascii="Arial" w:hAnsi="Arial" w:cs="Arial"/>
        </w:rPr>
        <w:t>, as has been the case</w:t>
      </w:r>
      <w:r w:rsidR="009D691E">
        <w:rPr>
          <w:rFonts w:ascii="Arial" w:hAnsi="Arial" w:cs="Arial"/>
        </w:rPr>
        <w:t>.</w:t>
      </w:r>
    </w:p>
    <w:p w14:paraId="345466F5" w14:textId="77777777" w:rsidR="00295F38" w:rsidRDefault="00295F38" w:rsidP="00A973A4">
      <w:pPr>
        <w:spacing w:line="360" w:lineRule="auto"/>
        <w:jc w:val="both"/>
        <w:rPr>
          <w:rFonts w:ascii="Arial" w:hAnsi="Arial" w:cs="Arial"/>
        </w:rPr>
      </w:pPr>
    </w:p>
    <w:p w14:paraId="3FBF1E58" w14:textId="0A59479D" w:rsidR="00295F38" w:rsidRDefault="00295F38" w:rsidP="00A973A4">
      <w:pPr>
        <w:spacing w:line="360" w:lineRule="auto"/>
        <w:jc w:val="both"/>
        <w:rPr>
          <w:rFonts w:ascii="Arial" w:hAnsi="Arial" w:cs="Arial"/>
        </w:rPr>
      </w:pPr>
      <w:r>
        <w:rPr>
          <w:rFonts w:ascii="Arial" w:hAnsi="Arial" w:cs="Arial"/>
        </w:rPr>
        <w:t>[26]</w:t>
      </w:r>
      <w:r>
        <w:rPr>
          <w:rFonts w:ascii="Arial" w:hAnsi="Arial" w:cs="Arial"/>
        </w:rPr>
        <w:tab/>
        <w:t xml:space="preserve">I should pertinently point out that </w:t>
      </w:r>
      <w:proofErr w:type="spellStart"/>
      <w:r>
        <w:rPr>
          <w:rFonts w:ascii="Arial" w:hAnsi="Arial" w:cs="Arial"/>
          <w:i/>
        </w:rPr>
        <w:t>Nangolo</w:t>
      </w:r>
      <w:proofErr w:type="spellEnd"/>
      <w:r>
        <w:rPr>
          <w:rFonts w:ascii="Arial" w:hAnsi="Arial" w:cs="Arial"/>
          <w:i/>
        </w:rPr>
        <w:t xml:space="preserve"> </w:t>
      </w:r>
      <w:r>
        <w:rPr>
          <w:rFonts w:ascii="Arial" w:hAnsi="Arial" w:cs="Arial"/>
        </w:rPr>
        <w:t xml:space="preserve">is a judgment of a single Judge of this court but which appears to go against the tide of judicial </w:t>
      </w:r>
      <w:r w:rsidR="00346BE3">
        <w:rPr>
          <w:rFonts w:ascii="Arial" w:hAnsi="Arial" w:cs="Arial"/>
        </w:rPr>
        <w:t>opinion</w:t>
      </w:r>
      <w:r>
        <w:rPr>
          <w:rFonts w:ascii="Arial" w:hAnsi="Arial" w:cs="Arial"/>
        </w:rPr>
        <w:t xml:space="preserve"> adopted by this court</w:t>
      </w:r>
      <w:r w:rsidR="00927917">
        <w:rPr>
          <w:rFonts w:ascii="Arial" w:hAnsi="Arial" w:cs="Arial"/>
        </w:rPr>
        <w:t xml:space="preserve"> for a considerable period of time</w:t>
      </w:r>
      <w:r>
        <w:rPr>
          <w:rFonts w:ascii="Arial" w:hAnsi="Arial" w:cs="Arial"/>
        </w:rPr>
        <w:t xml:space="preserve">. To illustrate this point, in </w:t>
      </w:r>
      <w:r>
        <w:rPr>
          <w:rFonts w:ascii="Arial" w:hAnsi="Arial" w:cs="Arial"/>
          <w:i/>
        </w:rPr>
        <w:t xml:space="preserve">AJ </w:t>
      </w:r>
      <w:proofErr w:type="gramStart"/>
      <w:r>
        <w:rPr>
          <w:rFonts w:ascii="Arial" w:hAnsi="Arial" w:cs="Arial"/>
          <w:i/>
        </w:rPr>
        <w:t>Jacobs</w:t>
      </w:r>
      <w:proofErr w:type="gramEnd"/>
      <w:r>
        <w:rPr>
          <w:rFonts w:ascii="Arial" w:hAnsi="Arial" w:cs="Arial"/>
          <w:i/>
        </w:rPr>
        <w:t xml:space="preserve"> t/a Southern Engineering v The Chairman of the Board of the Namibia Power Corporation (Pty) Ltd and Another</w:t>
      </w:r>
      <w:r>
        <w:rPr>
          <w:rStyle w:val="FootnoteReference"/>
          <w:rFonts w:ascii="Arial" w:hAnsi="Arial" w:cs="Arial"/>
          <w:i/>
        </w:rPr>
        <w:footnoteReference w:id="4"/>
      </w:r>
      <w:r>
        <w:rPr>
          <w:rFonts w:ascii="Arial" w:hAnsi="Arial" w:cs="Arial"/>
        </w:rPr>
        <w:t xml:space="preserve"> </w:t>
      </w:r>
      <w:proofErr w:type="spellStart"/>
      <w:r>
        <w:rPr>
          <w:rFonts w:ascii="Arial" w:hAnsi="Arial" w:cs="Arial"/>
        </w:rPr>
        <w:t>Silungwe</w:t>
      </w:r>
      <w:proofErr w:type="spellEnd"/>
      <w:r>
        <w:rPr>
          <w:rFonts w:ascii="Arial" w:hAnsi="Arial" w:cs="Arial"/>
        </w:rPr>
        <w:t xml:space="preserve"> AJ dealt with this very issue.</w:t>
      </w:r>
    </w:p>
    <w:p w14:paraId="58C42E87" w14:textId="77777777" w:rsidR="00295F38" w:rsidRDefault="00295F38" w:rsidP="00A973A4">
      <w:pPr>
        <w:spacing w:line="360" w:lineRule="auto"/>
        <w:jc w:val="both"/>
        <w:rPr>
          <w:rFonts w:ascii="Arial" w:hAnsi="Arial" w:cs="Arial"/>
        </w:rPr>
      </w:pPr>
    </w:p>
    <w:p w14:paraId="1741166A" w14:textId="77777777" w:rsidR="00295F38" w:rsidRDefault="00295F38" w:rsidP="00A973A4">
      <w:pPr>
        <w:spacing w:line="360" w:lineRule="auto"/>
        <w:jc w:val="both"/>
        <w:rPr>
          <w:rFonts w:ascii="Arial" w:hAnsi="Arial" w:cs="Arial"/>
        </w:rPr>
      </w:pPr>
      <w:r>
        <w:rPr>
          <w:rFonts w:ascii="Arial" w:hAnsi="Arial" w:cs="Arial"/>
        </w:rPr>
        <w:t>[27]</w:t>
      </w:r>
      <w:r>
        <w:rPr>
          <w:rFonts w:ascii="Arial" w:hAnsi="Arial" w:cs="Arial"/>
        </w:rPr>
        <w:tab/>
        <w:t>At para 7 of the cyclostyled judgment, the learned Judge reasoned as follows:</w:t>
      </w:r>
    </w:p>
    <w:p w14:paraId="6BE59DE6" w14:textId="77777777" w:rsidR="00295F38" w:rsidRDefault="00295F38" w:rsidP="00A973A4">
      <w:pPr>
        <w:spacing w:line="360" w:lineRule="auto"/>
        <w:jc w:val="both"/>
        <w:rPr>
          <w:rFonts w:ascii="Arial" w:hAnsi="Arial" w:cs="Arial"/>
        </w:rPr>
      </w:pPr>
    </w:p>
    <w:p w14:paraId="62FC052B" w14:textId="651B9693" w:rsidR="00346BE3" w:rsidRPr="00DA4DDD" w:rsidRDefault="00295F38" w:rsidP="00A973A4">
      <w:pPr>
        <w:spacing w:line="360" w:lineRule="auto"/>
        <w:jc w:val="both"/>
        <w:rPr>
          <w:rFonts w:ascii="Arial" w:hAnsi="Arial" w:cs="Arial"/>
          <w:sz w:val="22"/>
          <w:szCs w:val="22"/>
        </w:rPr>
      </w:pPr>
      <w:r>
        <w:rPr>
          <w:rFonts w:ascii="Arial" w:hAnsi="Arial" w:cs="Arial"/>
        </w:rPr>
        <w:tab/>
        <w:t>‘</w:t>
      </w:r>
      <w:r w:rsidR="00346BE3">
        <w:rPr>
          <w:rFonts w:ascii="Arial" w:hAnsi="Arial" w:cs="Arial"/>
          <w:sz w:val="22"/>
          <w:szCs w:val="22"/>
        </w:rPr>
        <w:t xml:space="preserve">[7] </w:t>
      </w:r>
      <w:r>
        <w:rPr>
          <w:rFonts w:ascii="Arial" w:hAnsi="Arial" w:cs="Arial"/>
          <w:sz w:val="22"/>
          <w:szCs w:val="22"/>
        </w:rPr>
        <w:t xml:space="preserve">Where the alleged authority is challenged by an applicant, as in </w:t>
      </w:r>
      <w:proofErr w:type="spellStart"/>
      <w:r>
        <w:rPr>
          <w:rFonts w:ascii="Arial" w:hAnsi="Arial" w:cs="Arial"/>
          <w:sz w:val="22"/>
          <w:szCs w:val="22"/>
        </w:rPr>
        <w:t>casu</w:t>
      </w:r>
      <w:proofErr w:type="spellEnd"/>
      <w:r>
        <w:rPr>
          <w:rFonts w:ascii="Arial" w:hAnsi="Arial" w:cs="Arial"/>
          <w:sz w:val="22"/>
          <w:szCs w:val="22"/>
        </w:rPr>
        <w:t xml:space="preserve">, then the onus of proof rests upon the respondent(s) to confirm that such authority was duly given. See </w:t>
      </w:r>
      <w:r>
        <w:rPr>
          <w:rFonts w:ascii="Arial" w:hAnsi="Arial" w:cs="Arial"/>
          <w:i/>
          <w:sz w:val="22"/>
          <w:szCs w:val="22"/>
        </w:rPr>
        <w:t xml:space="preserve">National Union of Namibian Workers </w:t>
      </w:r>
      <w:r>
        <w:rPr>
          <w:rFonts w:ascii="Arial" w:hAnsi="Arial" w:cs="Arial"/>
          <w:sz w:val="22"/>
          <w:szCs w:val="22"/>
        </w:rPr>
        <w:t xml:space="preserve">case, </w:t>
      </w:r>
      <w:r>
        <w:rPr>
          <w:rFonts w:ascii="Arial" w:hAnsi="Arial" w:cs="Arial"/>
          <w:i/>
          <w:sz w:val="22"/>
          <w:szCs w:val="22"/>
        </w:rPr>
        <w:t>supra</w:t>
      </w:r>
      <w:r w:rsidR="00346BE3">
        <w:rPr>
          <w:rStyle w:val="FootnoteReference"/>
          <w:rFonts w:ascii="Arial" w:hAnsi="Arial" w:cs="Arial"/>
          <w:i/>
          <w:sz w:val="22"/>
          <w:szCs w:val="22"/>
        </w:rPr>
        <w:footnoteReference w:id="5"/>
      </w:r>
      <w:r>
        <w:rPr>
          <w:rFonts w:ascii="Arial" w:hAnsi="Arial" w:cs="Arial"/>
          <w:i/>
          <w:sz w:val="22"/>
          <w:szCs w:val="22"/>
        </w:rPr>
        <w:t xml:space="preserve">, </w:t>
      </w:r>
      <w:r>
        <w:rPr>
          <w:rFonts w:ascii="Arial" w:hAnsi="Arial" w:cs="Arial"/>
          <w:sz w:val="22"/>
          <w:szCs w:val="22"/>
        </w:rPr>
        <w:t>at 669D-E. A</w:t>
      </w:r>
      <w:r w:rsidR="00DA4DDD">
        <w:rPr>
          <w:rFonts w:ascii="Arial" w:hAnsi="Arial" w:cs="Arial"/>
          <w:sz w:val="22"/>
          <w:szCs w:val="22"/>
        </w:rPr>
        <w:t xml:space="preserve">s Patel J, aptly observed in </w:t>
      </w:r>
      <w:proofErr w:type="spellStart"/>
      <w:r w:rsidR="00DA4DDD">
        <w:rPr>
          <w:rFonts w:ascii="Arial" w:hAnsi="Arial" w:cs="Arial"/>
          <w:i/>
          <w:sz w:val="22"/>
          <w:szCs w:val="22"/>
        </w:rPr>
        <w:t>Eleveth</w:t>
      </w:r>
      <w:proofErr w:type="spellEnd"/>
      <w:r w:rsidR="00DA4DDD">
        <w:rPr>
          <w:rStyle w:val="FootnoteReference"/>
          <w:rFonts w:ascii="Arial" w:hAnsi="Arial" w:cs="Arial"/>
          <w:i/>
          <w:sz w:val="22"/>
          <w:szCs w:val="22"/>
        </w:rPr>
        <w:footnoteReference w:id="6"/>
      </w:r>
      <w:r w:rsidR="00DA4DDD">
        <w:rPr>
          <w:rFonts w:ascii="Arial" w:hAnsi="Arial" w:cs="Arial"/>
          <w:i/>
          <w:sz w:val="22"/>
          <w:szCs w:val="22"/>
        </w:rPr>
        <w:t xml:space="preserve">, supra, </w:t>
      </w:r>
      <w:r w:rsidR="00DA4DDD">
        <w:rPr>
          <w:rFonts w:ascii="Arial" w:hAnsi="Arial" w:cs="Arial"/>
          <w:sz w:val="22"/>
          <w:szCs w:val="22"/>
        </w:rPr>
        <w:t>at 1227C:</w:t>
      </w:r>
    </w:p>
    <w:p w14:paraId="6E1DD1CA" w14:textId="77777777" w:rsidR="005C2DF2" w:rsidRDefault="005C2DF2" w:rsidP="00A973A4">
      <w:pPr>
        <w:spacing w:line="360" w:lineRule="auto"/>
        <w:jc w:val="both"/>
        <w:rPr>
          <w:rFonts w:ascii="Arial" w:hAnsi="Arial" w:cs="Arial"/>
          <w:sz w:val="22"/>
          <w:szCs w:val="22"/>
        </w:rPr>
      </w:pPr>
    </w:p>
    <w:p w14:paraId="24FE9DF2" w14:textId="371CCD43" w:rsidR="00295F38" w:rsidRDefault="00346BE3" w:rsidP="005C2DF2">
      <w:pPr>
        <w:spacing w:line="360" w:lineRule="auto"/>
        <w:ind w:left="720"/>
        <w:jc w:val="both"/>
        <w:rPr>
          <w:rFonts w:ascii="Arial" w:hAnsi="Arial" w:cs="Arial"/>
          <w:sz w:val="22"/>
          <w:szCs w:val="22"/>
        </w:rPr>
      </w:pPr>
      <w:r>
        <w:rPr>
          <w:rFonts w:ascii="Arial" w:hAnsi="Arial" w:cs="Arial"/>
          <w:sz w:val="22"/>
          <w:szCs w:val="22"/>
        </w:rPr>
        <w:t>“It is trite law and practice that where one person . . . is authorised by another, then the person so authorizing is required to confirm that authority when that authority is challenged.”</w:t>
      </w:r>
    </w:p>
    <w:p w14:paraId="4971489F" w14:textId="77777777" w:rsidR="005C2DF2" w:rsidRDefault="005C2DF2" w:rsidP="005C2DF2">
      <w:pPr>
        <w:spacing w:line="360" w:lineRule="auto"/>
        <w:jc w:val="both"/>
        <w:rPr>
          <w:rFonts w:ascii="Arial" w:hAnsi="Arial" w:cs="Arial"/>
          <w:sz w:val="22"/>
          <w:szCs w:val="22"/>
        </w:rPr>
      </w:pPr>
    </w:p>
    <w:p w14:paraId="66FB5516" w14:textId="09061571" w:rsidR="00346BE3" w:rsidRPr="00295F38" w:rsidRDefault="00346BE3" w:rsidP="005C2DF2">
      <w:pPr>
        <w:spacing w:line="360" w:lineRule="auto"/>
        <w:jc w:val="both"/>
        <w:rPr>
          <w:rFonts w:ascii="Arial" w:hAnsi="Arial" w:cs="Arial"/>
        </w:rPr>
      </w:pPr>
      <w:r>
        <w:rPr>
          <w:rFonts w:ascii="Arial" w:hAnsi="Arial" w:cs="Arial"/>
          <w:sz w:val="22"/>
          <w:szCs w:val="22"/>
        </w:rPr>
        <w:t xml:space="preserve">[8] </w:t>
      </w:r>
      <w:r w:rsidR="005C2DF2">
        <w:rPr>
          <w:rFonts w:ascii="Arial" w:hAnsi="Arial" w:cs="Arial"/>
          <w:sz w:val="22"/>
          <w:szCs w:val="22"/>
        </w:rPr>
        <w:tab/>
      </w:r>
      <w:r>
        <w:rPr>
          <w:rFonts w:ascii="Arial" w:hAnsi="Arial" w:cs="Arial"/>
          <w:sz w:val="22"/>
          <w:szCs w:val="22"/>
        </w:rPr>
        <w:t>An artificial person can, of course, take decisions only by the passing of resolutions in accordance with its regulatory framework such as articles of association, a constitution, rules or regulations. Proof of authority would then be provided in the form of an affidavit deposed to by an official of the artificial person, annexing thereto a copy of the resolution, or an extract of minutes of a meeting at which the resolution was taken which confers such authority or delegation.’</w:t>
      </w:r>
    </w:p>
    <w:p w14:paraId="1E4C5C1E" w14:textId="77777777" w:rsidR="00AF59AB" w:rsidRDefault="00AF59AB" w:rsidP="00A973A4">
      <w:pPr>
        <w:spacing w:line="360" w:lineRule="auto"/>
        <w:jc w:val="both"/>
        <w:rPr>
          <w:rFonts w:ascii="Arial" w:hAnsi="Arial" w:cs="Arial"/>
        </w:rPr>
      </w:pPr>
    </w:p>
    <w:p w14:paraId="16E7D1FC" w14:textId="530E4594" w:rsidR="00DA4DDD" w:rsidRDefault="00DA4DDD" w:rsidP="00A973A4">
      <w:pPr>
        <w:spacing w:line="360" w:lineRule="auto"/>
        <w:jc w:val="both"/>
        <w:rPr>
          <w:rFonts w:ascii="Arial" w:hAnsi="Arial" w:cs="Arial"/>
        </w:rPr>
      </w:pPr>
      <w:r>
        <w:rPr>
          <w:rFonts w:ascii="Arial" w:hAnsi="Arial" w:cs="Arial"/>
        </w:rPr>
        <w:lastRenderedPageBreak/>
        <w:t>[28]</w:t>
      </w:r>
      <w:r>
        <w:rPr>
          <w:rFonts w:ascii="Arial" w:hAnsi="Arial" w:cs="Arial"/>
        </w:rPr>
        <w:tab/>
        <w:t xml:space="preserve">A close reading of </w:t>
      </w:r>
      <w:proofErr w:type="spellStart"/>
      <w:r>
        <w:rPr>
          <w:rFonts w:ascii="Arial" w:hAnsi="Arial" w:cs="Arial"/>
          <w:i/>
        </w:rPr>
        <w:t>Nangolo</w:t>
      </w:r>
      <w:proofErr w:type="spellEnd"/>
      <w:r>
        <w:rPr>
          <w:rFonts w:ascii="Arial" w:hAnsi="Arial" w:cs="Arial"/>
          <w:i/>
        </w:rPr>
        <w:t xml:space="preserve"> </w:t>
      </w:r>
      <w:r>
        <w:rPr>
          <w:rFonts w:ascii="Arial" w:hAnsi="Arial" w:cs="Arial"/>
        </w:rPr>
        <w:t xml:space="preserve">does not, on the issue in question, cite any authority </w:t>
      </w:r>
      <w:r w:rsidR="00927917">
        <w:rPr>
          <w:rFonts w:ascii="Arial" w:hAnsi="Arial" w:cs="Arial"/>
        </w:rPr>
        <w:t>for that approach and which</w:t>
      </w:r>
      <w:r>
        <w:rPr>
          <w:rFonts w:ascii="Arial" w:hAnsi="Arial" w:cs="Arial"/>
        </w:rPr>
        <w:t xml:space="preserve"> is binding </w:t>
      </w:r>
      <w:r w:rsidR="00927917">
        <w:rPr>
          <w:rFonts w:ascii="Arial" w:hAnsi="Arial" w:cs="Arial"/>
        </w:rPr>
        <w:t>on this court</w:t>
      </w:r>
      <w:r>
        <w:rPr>
          <w:rFonts w:ascii="Arial" w:hAnsi="Arial" w:cs="Arial"/>
        </w:rPr>
        <w:t xml:space="preserve">. That being the case, I am not persuaded that the </w:t>
      </w:r>
      <w:r>
        <w:rPr>
          <w:rFonts w:ascii="Arial" w:hAnsi="Arial" w:cs="Arial"/>
          <w:i/>
        </w:rPr>
        <w:t xml:space="preserve">ratio </w:t>
      </w:r>
      <w:proofErr w:type="spellStart"/>
      <w:r>
        <w:rPr>
          <w:rFonts w:ascii="Arial" w:hAnsi="Arial" w:cs="Arial"/>
          <w:i/>
        </w:rPr>
        <w:t>decidendi</w:t>
      </w:r>
      <w:proofErr w:type="spellEnd"/>
      <w:r>
        <w:rPr>
          <w:rFonts w:ascii="Arial" w:hAnsi="Arial" w:cs="Arial"/>
          <w:i/>
        </w:rPr>
        <w:t xml:space="preserve"> </w:t>
      </w:r>
      <w:r>
        <w:rPr>
          <w:rFonts w:ascii="Arial" w:hAnsi="Arial" w:cs="Arial"/>
        </w:rPr>
        <w:t xml:space="preserve">in </w:t>
      </w:r>
      <w:proofErr w:type="spellStart"/>
      <w:r>
        <w:rPr>
          <w:rFonts w:ascii="Arial" w:hAnsi="Arial" w:cs="Arial"/>
          <w:i/>
        </w:rPr>
        <w:t>Nangolo</w:t>
      </w:r>
      <w:proofErr w:type="spellEnd"/>
      <w:r>
        <w:rPr>
          <w:rFonts w:ascii="Arial" w:hAnsi="Arial" w:cs="Arial"/>
          <w:i/>
        </w:rPr>
        <w:t xml:space="preserve"> </w:t>
      </w:r>
      <w:r>
        <w:rPr>
          <w:rFonts w:ascii="Arial" w:hAnsi="Arial" w:cs="Arial"/>
        </w:rPr>
        <w:t xml:space="preserve">is an accurate reflection of what appears to be a long </w:t>
      </w:r>
      <w:r w:rsidR="00927917">
        <w:rPr>
          <w:rFonts w:ascii="Arial" w:hAnsi="Arial" w:cs="Arial"/>
        </w:rPr>
        <w:t xml:space="preserve">and settled </w:t>
      </w:r>
      <w:r>
        <w:rPr>
          <w:rFonts w:ascii="Arial" w:hAnsi="Arial" w:cs="Arial"/>
        </w:rPr>
        <w:t xml:space="preserve">line of authority in this jurisdiction. Nor can I, from my reading of </w:t>
      </w:r>
      <w:proofErr w:type="spellStart"/>
      <w:r>
        <w:rPr>
          <w:rFonts w:ascii="Arial" w:hAnsi="Arial" w:cs="Arial"/>
          <w:i/>
        </w:rPr>
        <w:t>Nangolo</w:t>
      </w:r>
      <w:proofErr w:type="spellEnd"/>
      <w:r>
        <w:rPr>
          <w:rFonts w:ascii="Arial" w:hAnsi="Arial" w:cs="Arial"/>
          <w:i/>
        </w:rPr>
        <w:t xml:space="preserve"> </w:t>
      </w:r>
      <w:r>
        <w:rPr>
          <w:rFonts w:ascii="Arial" w:hAnsi="Arial" w:cs="Arial"/>
        </w:rPr>
        <w:t xml:space="preserve">come to the conclusion that there was a reason advanced as to why the beaten track </w:t>
      </w:r>
      <w:r w:rsidR="00927917">
        <w:rPr>
          <w:rFonts w:ascii="Arial" w:hAnsi="Arial" w:cs="Arial"/>
        </w:rPr>
        <w:t xml:space="preserve">and weight </w:t>
      </w:r>
      <w:r>
        <w:rPr>
          <w:rFonts w:ascii="Arial" w:hAnsi="Arial" w:cs="Arial"/>
        </w:rPr>
        <w:t>of judicial opinion on this issue can be said to have been wrong</w:t>
      </w:r>
      <w:r w:rsidR="004D1653">
        <w:rPr>
          <w:rFonts w:ascii="Arial" w:hAnsi="Arial" w:cs="Arial"/>
        </w:rPr>
        <w:t>, thus necessitating the charting of a new course</w:t>
      </w:r>
      <w:r>
        <w:rPr>
          <w:rFonts w:ascii="Arial" w:hAnsi="Arial" w:cs="Arial"/>
        </w:rPr>
        <w:t xml:space="preserve">. I accordingly take the view that </w:t>
      </w:r>
      <w:proofErr w:type="spellStart"/>
      <w:r>
        <w:rPr>
          <w:rFonts w:ascii="Arial" w:hAnsi="Arial" w:cs="Arial"/>
          <w:i/>
        </w:rPr>
        <w:t>Nangolo</w:t>
      </w:r>
      <w:proofErr w:type="spellEnd"/>
      <w:r>
        <w:rPr>
          <w:rFonts w:ascii="Arial" w:hAnsi="Arial" w:cs="Arial"/>
          <w:i/>
        </w:rPr>
        <w:t xml:space="preserve"> </w:t>
      </w:r>
      <w:r>
        <w:rPr>
          <w:rFonts w:ascii="Arial" w:hAnsi="Arial" w:cs="Arial"/>
        </w:rPr>
        <w:t>is not binding on me.</w:t>
      </w:r>
    </w:p>
    <w:p w14:paraId="59467D2D" w14:textId="77777777" w:rsidR="00DA4DDD" w:rsidRPr="00DA4DDD" w:rsidRDefault="00DA4DDD" w:rsidP="00A973A4">
      <w:pPr>
        <w:spacing w:line="360" w:lineRule="auto"/>
        <w:jc w:val="both"/>
        <w:rPr>
          <w:rFonts w:ascii="Arial" w:hAnsi="Arial" w:cs="Arial"/>
        </w:rPr>
      </w:pPr>
    </w:p>
    <w:p w14:paraId="7276A112" w14:textId="054916E8" w:rsidR="003F008E" w:rsidRDefault="00DA4DDD" w:rsidP="00621F3B">
      <w:pPr>
        <w:spacing w:line="360" w:lineRule="auto"/>
        <w:jc w:val="both"/>
        <w:rPr>
          <w:rFonts w:ascii="Arial" w:hAnsi="Arial" w:cs="Arial"/>
        </w:rPr>
      </w:pPr>
      <w:r>
        <w:rPr>
          <w:rFonts w:ascii="Arial" w:hAnsi="Arial" w:cs="Arial"/>
        </w:rPr>
        <w:t>[29</w:t>
      </w:r>
      <w:r w:rsidR="00A973A4">
        <w:rPr>
          <w:rFonts w:ascii="Arial" w:hAnsi="Arial" w:cs="Arial"/>
        </w:rPr>
        <w:t>]</w:t>
      </w:r>
      <w:r w:rsidR="00A973A4">
        <w:rPr>
          <w:rFonts w:ascii="Arial" w:hAnsi="Arial" w:cs="Arial"/>
        </w:rPr>
        <w:tab/>
      </w:r>
      <w:r>
        <w:rPr>
          <w:rFonts w:ascii="Arial" w:hAnsi="Arial" w:cs="Arial"/>
        </w:rPr>
        <w:t>If there should be</w:t>
      </w:r>
      <w:r w:rsidR="004D1653">
        <w:rPr>
          <w:rFonts w:ascii="Arial" w:hAnsi="Arial" w:cs="Arial"/>
        </w:rPr>
        <w:t xml:space="preserve"> any doubt on the proper approach to the question in issue in this jurisdiction</w:t>
      </w:r>
      <w:r>
        <w:rPr>
          <w:rFonts w:ascii="Arial" w:hAnsi="Arial" w:cs="Arial"/>
        </w:rPr>
        <w:t>, I am of t</w:t>
      </w:r>
      <w:r w:rsidR="004D1653">
        <w:rPr>
          <w:rFonts w:ascii="Arial" w:hAnsi="Arial" w:cs="Arial"/>
        </w:rPr>
        <w:t xml:space="preserve">he considered view that the applicable position is </w:t>
      </w:r>
      <w:r>
        <w:rPr>
          <w:rFonts w:ascii="Arial" w:hAnsi="Arial" w:cs="Arial"/>
        </w:rPr>
        <w:t>authoritatively and finally settled by</w:t>
      </w:r>
      <w:r w:rsidR="00C13E19">
        <w:rPr>
          <w:rFonts w:ascii="Arial" w:hAnsi="Arial" w:cs="Arial"/>
        </w:rPr>
        <w:t xml:space="preserve"> a recent judgment of the Supreme Court. </w:t>
      </w:r>
      <w:r w:rsidR="00621F3B">
        <w:rPr>
          <w:rFonts w:ascii="Arial" w:hAnsi="Arial" w:cs="Arial"/>
        </w:rPr>
        <w:t xml:space="preserve"> </w:t>
      </w:r>
      <w:r w:rsidR="00C13E19">
        <w:rPr>
          <w:rFonts w:ascii="Arial" w:hAnsi="Arial" w:cs="Arial"/>
        </w:rPr>
        <w:t>I</w:t>
      </w:r>
      <w:r w:rsidR="00C31C48">
        <w:rPr>
          <w:rFonts w:ascii="Arial" w:hAnsi="Arial" w:cs="Arial"/>
        </w:rPr>
        <w:t xml:space="preserve">n the case of </w:t>
      </w:r>
      <w:r w:rsidR="00C31C48" w:rsidRPr="003F008E">
        <w:rPr>
          <w:rFonts w:ascii="Arial" w:hAnsi="Arial" w:cs="Arial"/>
          <w:i/>
        </w:rPr>
        <w:t>Christian</w:t>
      </w:r>
      <w:r w:rsidR="00621F3B" w:rsidRPr="003F008E">
        <w:rPr>
          <w:rFonts w:ascii="Arial" w:hAnsi="Arial" w:cs="Arial"/>
          <w:i/>
        </w:rPr>
        <w:t xml:space="preserve"> t/ a Hope Financial Services v Namibia </w:t>
      </w:r>
      <w:r w:rsidR="00C31C48" w:rsidRPr="003F008E">
        <w:rPr>
          <w:rFonts w:ascii="Arial" w:hAnsi="Arial" w:cs="Arial"/>
          <w:i/>
        </w:rPr>
        <w:t>Financial Institutions Supervisory Authority</w:t>
      </w:r>
      <w:r w:rsidR="005C2DF2">
        <w:rPr>
          <w:rFonts w:ascii="Arial" w:hAnsi="Arial" w:cs="Arial"/>
          <w:i/>
        </w:rPr>
        <w:t>,</w:t>
      </w:r>
      <w:r w:rsidR="00C31C48">
        <w:rPr>
          <w:rStyle w:val="FootnoteReference"/>
          <w:rFonts w:ascii="Arial" w:hAnsi="Arial" w:cs="Arial"/>
        </w:rPr>
        <w:footnoteReference w:id="7"/>
      </w:r>
      <w:r w:rsidR="002201F0">
        <w:rPr>
          <w:rFonts w:ascii="Arial" w:hAnsi="Arial" w:cs="Arial"/>
        </w:rPr>
        <w:t xml:space="preserve"> the Supreme C</w:t>
      </w:r>
      <w:r w:rsidR="003F008E">
        <w:rPr>
          <w:rFonts w:ascii="Arial" w:hAnsi="Arial" w:cs="Arial"/>
        </w:rPr>
        <w:t xml:space="preserve">ourt reiterated the principles pertaining to the </w:t>
      </w:r>
      <w:r w:rsidR="002201F0">
        <w:rPr>
          <w:rFonts w:ascii="Arial" w:hAnsi="Arial" w:cs="Arial"/>
        </w:rPr>
        <w:t>authoris</w:t>
      </w:r>
      <w:r w:rsidR="003F008E" w:rsidRPr="003F008E">
        <w:rPr>
          <w:rFonts w:ascii="Arial" w:hAnsi="Arial" w:cs="Arial"/>
        </w:rPr>
        <w:t xml:space="preserve">ation to act on behalf of a legal entity </w:t>
      </w:r>
      <w:r w:rsidR="003F008E">
        <w:rPr>
          <w:rFonts w:ascii="Arial" w:hAnsi="Arial" w:cs="Arial"/>
        </w:rPr>
        <w:t xml:space="preserve">as sketched in </w:t>
      </w:r>
      <w:r w:rsidR="003F008E" w:rsidRPr="000A485C">
        <w:rPr>
          <w:rFonts w:ascii="Arial" w:hAnsi="Arial" w:cs="Arial"/>
          <w:i/>
        </w:rPr>
        <w:t xml:space="preserve">Mall (Cape) Limited v Merino </w:t>
      </w:r>
      <w:proofErr w:type="spellStart"/>
      <w:r w:rsidR="003F008E" w:rsidRPr="000A485C">
        <w:rPr>
          <w:rFonts w:ascii="Arial" w:hAnsi="Arial" w:cs="Arial"/>
          <w:i/>
        </w:rPr>
        <w:t>Ko-operasie</w:t>
      </w:r>
      <w:proofErr w:type="spellEnd"/>
      <w:r w:rsidR="003F008E" w:rsidRPr="000A485C">
        <w:rPr>
          <w:rFonts w:ascii="Arial" w:hAnsi="Arial" w:cs="Arial"/>
          <w:i/>
        </w:rPr>
        <w:t xml:space="preserve"> </w:t>
      </w:r>
      <w:proofErr w:type="spellStart"/>
      <w:r w:rsidR="003F008E" w:rsidRPr="000A485C">
        <w:rPr>
          <w:rFonts w:ascii="Arial" w:hAnsi="Arial" w:cs="Arial"/>
          <w:i/>
        </w:rPr>
        <w:t>Beperk</w:t>
      </w:r>
      <w:proofErr w:type="spellEnd"/>
      <w:r w:rsidR="003F008E" w:rsidRPr="000A485C">
        <w:rPr>
          <w:rFonts w:ascii="Arial" w:hAnsi="Arial" w:cs="Arial"/>
          <w:i/>
        </w:rPr>
        <w:t xml:space="preserve"> </w:t>
      </w:r>
      <w:r w:rsidR="003F008E">
        <w:rPr>
          <w:rFonts w:ascii="Arial" w:hAnsi="Arial" w:cs="Arial"/>
        </w:rPr>
        <w:t>1957 (2) SA 347 (</w:t>
      </w:r>
      <w:r w:rsidR="002201F0">
        <w:rPr>
          <w:rFonts w:ascii="Arial" w:hAnsi="Arial" w:cs="Arial"/>
        </w:rPr>
        <w:t>C), namely:</w:t>
      </w:r>
    </w:p>
    <w:p w14:paraId="4C0E15E4" w14:textId="77777777" w:rsidR="003F008E" w:rsidRDefault="003F008E" w:rsidP="00621F3B">
      <w:pPr>
        <w:spacing w:line="360" w:lineRule="auto"/>
        <w:jc w:val="both"/>
        <w:rPr>
          <w:rFonts w:ascii="Arial" w:hAnsi="Arial" w:cs="Arial"/>
        </w:rPr>
      </w:pPr>
    </w:p>
    <w:p w14:paraId="536AAA76" w14:textId="77777777" w:rsidR="003F008E" w:rsidRPr="000A485C" w:rsidRDefault="00BB7771" w:rsidP="00621F3B">
      <w:pPr>
        <w:spacing w:line="360" w:lineRule="auto"/>
        <w:jc w:val="both"/>
        <w:rPr>
          <w:rFonts w:ascii="Arial" w:hAnsi="Arial" w:cs="Arial"/>
          <w:sz w:val="22"/>
          <w:szCs w:val="22"/>
        </w:rPr>
      </w:pPr>
      <w:r>
        <w:rPr>
          <w:rFonts w:ascii="Arial" w:hAnsi="Arial" w:cs="Arial"/>
          <w:sz w:val="22"/>
          <w:szCs w:val="22"/>
        </w:rPr>
        <w:tab/>
      </w:r>
      <w:r w:rsidR="000A485C">
        <w:rPr>
          <w:rFonts w:ascii="Arial" w:hAnsi="Arial" w:cs="Arial"/>
          <w:sz w:val="22"/>
          <w:szCs w:val="22"/>
        </w:rPr>
        <w:t>‘</w:t>
      </w:r>
      <w:r w:rsidR="003F008E" w:rsidRPr="000A485C">
        <w:rPr>
          <w:rFonts w:ascii="Arial" w:hAnsi="Arial" w:cs="Arial"/>
          <w:sz w:val="22"/>
          <w:szCs w:val="22"/>
        </w:rPr>
        <w:t>[T]</w:t>
      </w:r>
      <w:r w:rsidR="003F008E" w:rsidRPr="000A485C">
        <w:rPr>
          <w:sz w:val="22"/>
          <w:szCs w:val="22"/>
        </w:rPr>
        <w:t xml:space="preserve"> </w:t>
      </w:r>
      <w:proofErr w:type="gramStart"/>
      <w:r w:rsidR="003F008E" w:rsidRPr="000A485C">
        <w:rPr>
          <w:rFonts w:ascii="Arial" w:hAnsi="Arial" w:cs="Arial"/>
          <w:sz w:val="22"/>
          <w:szCs w:val="22"/>
        </w:rPr>
        <w:t>hat</w:t>
      </w:r>
      <w:proofErr w:type="gramEnd"/>
      <w:r w:rsidR="003F008E" w:rsidRPr="000A485C">
        <w:rPr>
          <w:rFonts w:ascii="Arial" w:hAnsi="Arial" w:cs="Arial"/>
          <w:sz w:val="22"/>
          <w:szCs w:val="22"/>
        </w:rPr>
        <w:t xml:space="preserve"> the minimum evidence required whenever someone acts on behalf of a corporate entity is a resolution of that entity and that there can be no authorisation in the absence of such resolution</w:t>
      </w:r>
      <w:r w:rsidR="00552706" w:rsidRPr="000A485C">
        <w:rPr>
          <w:rFonts w:ascii="Arial" w:hAnsi="Arial" w:cs="Arial"/>
          <w:sz w:val="22"/>
          <w:szCs w:val="22"/>
        </w:rPr>
        <w:t>.</w:t>
      </w:r>
      <w:r w:rsidR="000A485C">
        <w:rPr>
          <w:rFonts w:ascii="Arial" w:hAnsi="Arial" w:cs="Arial"/>
          <w:sz w:val="22"/>
          <w:szCs w:val="22"/>
        </w:rPr>
        <w:t>’</w:t>
      </w:r>
    </w:p>
    <w:p w14:paraId="3E1A5A84" w14:textId="77777777" w:rsidR="003F008E" w:rsidRDefault="003F008E" w:rsidP="00621F3B">
      <w:pPr>
        <w:spacing w:line="360" w:lineRule="auto"/>
        <w:jc w:val="both"/>
        <w:rPr>
          <w:rFonts w:ascii="Arial" w:hAnsi="Arial" w:cs="Arial"/>
        </w:rPr>
      </w:pPr>
    </w:p>
    <w:p w14:paraId="140F5824" w14:textId="54C3DD02" w:rsidR="00C13E19" w:rsidRDefault="00DA4DDD" w:rsidP="007C3D43">
      <w:pPr>
        <w:spacing w:line="360" w:lineRule="auto"/>
        <w:jc w:val="both"/>
        <w:rPr>
          <w:rFonts w:ascii="Arial" w:hAnsi="Arial" w:cs="Arial"/>
        </w:rPr>
      </w:pPr>
      <w:r>
        <w:rPr>
          <w:rFonts w:ascii="Arial" w:hAnsi="Arial" w:cs="Arial"/>
        </w:rPr>
        <w:t>[30</w:t>
      </w:r>
      <w:r w:rsidR="00552706">
        <w:rPr>
          <w:rFonts w:ascii="Arial" w:hAnsi="Arial" w:cs="Arial"/>
        </w:rPr>
        <w:t>]</w:t>
      </w:r>
      <w:r w:rsidR="00552706">
        <w:rPr>
          <w:rFonts w:ascii="Arial" w:hAnsi="Arial" w:cs="Arial"/>
        </w:rPr>
        <w:tab/>
      </w:r>
      <w:r w:rsidR="002201F0">
        <w:rPr>
          <w:rFonts w:ascii="Arial" w:hAnsi="Arial" w:cs="Arial"/>
        </w:rPr>
        <w:t>It must be recalled that c</w:t>
      </w:r>
      <w:r w:rsidR="003E48F3">
        <w:rPr>
          <w:rFonts w:ascii="Arial" w:hAnsi="Arial" w:cs="Arial"/>
        </w:rPr>
        <w:t>orporate e</w:t>
      </w:r>
      <w:r w:rsidR="002201F0">
        <w:rPr>
          <w:rFonts w:ascii="Arial" w:hAnsi="Arial" w:cs="Arial"/>
        </w:rPr>
        <w:t>ntities do not act on their own. T</w:t>
      </w:r>
      <w:r w:rsidR="003E48F3">
        <w:rPr>
          <w:rFonts w:ascii="Arial" w:hAnsi="Arial" w:cs="Arial"/>
        </w:rPr>
        <w:t>h</w:t>
      </w:r>
      <w:r w:rsidR="002201F0">
        <w:rPr>
          <w:rFonts w:ascii="Arial" w:hAnsi="Arial" w:cs="Arial"/>
        </w:rPr>
        <w:t>eir hands and feet consist of</w:t>
      </w:r>
      <w:r w:rsidR="00C13E19">
        <w:rPr>
          <w:rFonts w:ascii="Arial" w:hAnsi="Arial" w:cs="Arial"/>
        </w:rPr>
        <w:t xml:space="preserve"> authorised agents</w:t>
      </w:r>
      <w:r w:rsidR="003E48F3">
        <w:rPr>
          <w:rFonts w:ascii="Arial" w:hAnsi="Arial" w:cs="Arial"/>
        </w:rPr>
        <w:t xml:space="preserve">. The authority </w:t>
      </w:r>
      <w:r w:rsidR="002201F0">
        <w:rPr>
          <w:rFonts w:ascii="Arial" w:hAnsi="Arial" w:cs="Arial"/>
        </w:rPr>
        <w:t xml:space="preserve">to act on behalf of a corporate entity </w:t>
      </w:r>
      <w:r w:rsidR="003E48F3">
        <w:rPr>
          <w:rFonts w:ascii="Arial" w:hAnsi="Arial" w:cs="Arial"/>
        </w:rPr>
        <w:t>needs to be independently verifiable so that one ascertains that the act</w:t>
      </w:r>
      <w:r w:rsidR="008720D5">
        <w:rPr>
          <w:rFonts w:ascii="Arial" w:hAnsi="Arial" w:cs="Arial"/>
        </w:rPr>
        <w:t>s</w:t>
      </w:r>
      <w:r w:rsidR="003E48F3">
        <w:rPr>
          <w:rFonts w:ascii="Arial" w:hAnsi="Arial" w:cs="Arial"/>
        </w:rPr>
        <w:t>, omissions and intentions are those of the entity</w:t>
      </w:r>
      <w:r w:rsidR="00927917">
        <w:rPr>
          <w:rFonts w:ascii="Arial" w:hAnsi="Arial" w:cs="Arial"/>
        </w:rPr>
        <w:t xml:space="preserve"> and not the result of </w:t>
      </w:r>
      <w:r w:rsidR="00C24040">
        <w:rPr>
          <w:rFonts w:ascii="Arial" w:hAnsi="Arial" w:cs="Arial"/>
        </w:rPr>
        <w:t>usurpation</w:t>
      </w:r>
      <w:r w:rsidR="00927917">
        <w:rPr>
          <w:rFonts w:ascii="Arial" w:hAnsi="Arial" w:cs="Arial"/>
        </w:rPr>
        <w:t xml:space="preserve"> by an impostor</w:t>
      </w:r>
      <w:r w:rsidR="003E48F3">
        <w:rPr>
          <w:rFonts w:ascii="Arial" w:hAnsi="Arial" w:cs="Arial"/>
        </w:rPr>
        <w:t xml:space="preserve">. </w:t>
      </w:r>
      <w:r w:rsidR="00552706">
        <w:rPr>
          <w:rFonts w:ascii="Arial" w:hAnsi="Arial" w:cs="Arial"/>
        </w:rPr>
        <w:t xml:space="preserve">The very idea that a person can act on behalf of a corporate </w:t>
      </w:r>
      <w:r w:rsidR="003E48F3">
        <w:rPr>
          <w:rFonts w:ascii="Arial" w:hAnsi="Arial" w:cs="Arial"/>
        </w:rPr>
        <w:t>entity</w:t>
      </w:r>
      <w:r w:rsidR="00552706">
        <w:rPr>
          <w:rFonts w:ascii="Arial" w:hAnsi="Arial" w:cs="Arial"/>
        </w:rPr>
        <w:t xml:space="preserve"> and suggest that </w:t>
      </w:r>
      <w:r w:rsidR="003E48F3">
        <w:rPr>
          <w:rFonts w:ascii="Arial" w:hAnsi="Arial" w:cs="Arial"/>
        </w:rPr>
        <w:t xml:space="preserve">only an affidavit such as in these circumstances will suffice to cement </w:t>
      </w:r>
      <w:r w:rsidR="008720D5">
        <w:rPr>
          <w:rFonts w:ascii="Arial" w:hAnsi="Arial" w:cs="Arial"/>
        </w:rPr>
        <w:t xml:space="preserve">the </w:t>
      </w:r>
      <w:r w:rsidR="002201F0">
        <w:rPr>
          <w:rFonts w:ascii="Arial" w:hAnsi="Arial" w:cs="Arial"/>
        </w:rPr>
        <w:t>authority is unsustainable in the face of an attack on the issue of authority to act</w:t>
      </w:r>
      <w:r w:rsidR="003E48F3">
        <w:rPr>
          <w:rFonts w:ascii="Arial" w:hAnsi="Arial" w:cs="Arial"/>
        </w:rPr>
        <w:t xml:space="preserve">. </w:t>
      </w:r>
    </w:p>
    <w:p w14:paraId="2BB51CEB" w14:textId="77777777" w:rsidR="00C13E19" w:rsidRDefault="00C13E19" w:rsidP="007C3D43">
      <w:pPr>
        <w:spacing w:line="360" w:lineRule="auto"/>
        <w:jc w:val="both"/>
        <w:rPr>
          <w:rFonts w:ascii="Arial" w:hAnsi="Arial" w:cs="Arial"/>
        </w:rPr>
      </w:pPr>
    </w:p>
    <w:p w14:paraId="5E2333EB" w14:textId="5CAE7354" w:rsidR="007C3D43" w:rsidRPr="00C13E19" w:rsidRDefault="00927917" w:rsidP="007C3D43">
      <w:pPr>
        <w:spacing w:line="360" w:lineRule="auto"/>
        <w:jc w:val="both"/>
        <w:rPr>
          <w:rFonts w:ascii="Arial" w:hAnsi="Arial" w:cs="Arial"/>
        </w:rPr>
      </w:pPr>
      <w:r>
        <w:rPr>
          <w:rFonts w:ascii="Arial" w:hAnsi="Arial" w:cs="Arial"/>
        </w:rPr>
        <w:lastRenderedPageBreak/>
        <w:t>[31</w:t>
      </w:r>
      <w:r w:rsidR="00C13E19">
        <w:rPr>
          <w:rFonts w:ascii="Arial" w:hAnsi="Arial" w:cs="Arial"/>
        </w:rPr>
        <w:t>]</w:t>
      </w:r>
      <w:r w:rsidR="00C13E19">
        <w:rPr>
          <w:rFonts w:ascii="Arial" w:hAnsi="Arial" w:cs="Arial"/>
        </w:rPr>
        <w:tab/>
      </w:r>
      <w:proofErr w:type="spellStart"/>
      <w:r w:rsidR="007C3D43">
        <w:rPr>
          <w:rFonts w:ascii="Arial" w:hAnsi="Arial" w:cs="Arial"/>
        </w:rPr>
        <w:t>Nkabinde</w:t>
      </w:r>
      <w:proofErr w:type="spellEnd"/>
      <w:r w:rsidR="00C31C48" w:rsidRPr="00C31C48">
        <w:rPr>
          <w:rFonts w:ascii="Arial" w:hAnsi="Arial" w:cs="Arial"/>
        </w:rPr>
        <w:t xml:space="preserve"> AJA</w:t>
      </w:r>
      <w:r w:rsidR="008720D5">
        <w:rPr>
          <w:rFonts w:ascii="Arial" w:hAnsi="Arial" w:cs="Arial"/>
        </w:rPr>
        <w:t xml:space="preserve"> in </w:t>
      </w:r>
      <w:r w:rsidR="008720D5">
        <w:rPr>
          <w:rFonts w:ascii="Arial" w:hAnsi="Arial" w:cs="Arial"/>
          <w:i/>
        </w:rPr>
        <w:t>Christian</w:t>
      </w:r>
      <w:r w:rsidR="008720D5">
        <w:rPr>
          <w:rStyle w:val="FootnoteReference"/>
          <w:rFonts w:ascii="Arial" w:hAnsi="Arial" w:cs="Arial"/>
          <w:i/>
        </w:rPr>
        <w:footnoteReference w:id="8"/>
      </w:r>
      <w:r w:rsidR="007C3D43">
        <w:t xml:space="preserve"> </w:t>
      </w:r>
      <w:r w:rsidR="007C3D43" w:rsidRPr="007C3D43">
        <w:rPr>
          <w:rFonts w:ascii="Arial" w:hAnsi="Arial" w:cs="Arial"/>
        </w:rPr>
        <w:t xml:space="preserve">reasoned </w:t>
      </w:r>
      <w:r w:rsidR="007C3D43">
        <w:rPr>
          <w:rFonts w:ascii="Arial" w:hAnsi="Arial" w:cs="Arial"/>
        </w:rPr>
        <w:t xml:space="preserve">that </w:t>
      </w:r>
      <w:r w:rsidR="00481085">
        <w:rPr>
          <w:rFonts w:ascii="Arial" w:hAnsi="Arial" w:cs="Arial"/>
        </w:rPr>
        <w:t xml:space="preserve">one </w:t>
      </w:r>
      <w:r w:rsidR="00481085" w:rsidRPr="00C13E19">
        <w:rPr>
          <w:rFonts w:ascii="Arial" w:hAnsi="Arial" w:cs="Arial"/>
        </w:rPr>
        <w:t>is not normally privy to the resolution tabled and passed at meetings of a board to know that t</w:t>
      </w:r>
      <w:r w:rsidR="002201F0">
        <w:rPr>
          <w:rFonts w:ascii="Arial" w:hAnsi="Arial" w:cs="Arial"/>
        </w:rPr>
        <w:t>he corporate</w:t>
      </w:r>
      <w:r w:rsidR="00481085" w:rsidRPr="00C13E19">
        <w:rPr>
          <w:rFonts w:ascii="Arial" w:hAnsi="Arial" w:cs="Arial"/>
        </w:rPr>
        <w:t xml:space="preserve"> actually resolved to so authorize </w:t>
      </w:r>
      <w:r w:rsidR="002201F0">
        <w:rPr>
          <w:rFonts w:ascii="Arial" w:hAnsi="Arial" w:cs="Arial"/>
        </w:rPr>
        <w:t>the person</w:t>
      </w:r>
      <w:r w:rsidR="00C72175" w:rsidRPr="00C13E19">
        <w:rPr>
          <w:rFonts w:ascii="Arial" w:hAnsi="Arial" w:cs="Arial"/>
        </w:rPr>
        <w:t xml:space="preserve"> </w:t>
      </w:r>
      <w:r w:rsidR="00C72175" w:rsidRPr="00C72175">
        <w:rPr>
          <w:rFonts w:ascii="Arial" w:hAnsi="Arial" w:cs="Arial"/>
        </w:rPr>
        <w:t>so acting</w:t>
      </w:r>
      <w:r w:rsidR="00481085">
        <w:rPr>
          <w:rFonts w:ascii="Arial" w:hAnsi="Arial" w:cs="Arial"/>
        </w:rPr>
        <w:t xml:space="preserve">. </w:t>
      </w:r>
      <w:r w:rsidR="00F43AEC">
        <w:rPr>
          <w:rFonts w:ascii="Arial" w:hAnsi="Arial" w:cs="Arial"/>
        </w:rPr>
        <w:t xml:space="preserve">The position is </w:t>
      </w:r>
      <w:r w:rsidR="002201F0">
        <w:rPr>
          <w:rFonts w:ascii="Arial" w:hAnsi="Arial" w:cs="Arial"/>
        </w:rPr>
        <w:t xml:space="preserve">thus </w:t>
      </w:r>
      <w:r w:rsidR="00974CAC">
        <w:rPr>
          <w:rFonts w:ascii="Arial" w:hAnsi="Arial" w:cs="Arial"/>
        </w:rPr>
        <w:t xml:space="preserve">very clear and </w:t>
      </w:r>
      <w:r w:rsidR="00C72175">
        <w:rPr>
          <w:rFonts w:ascii="Arial" w:hAnsi="Arial" w:cs="Arial"/>
        </w:rPr>
        <w:t xml:space="preserve">to </w:t>
      </w:r>
      <w:r w:rsidR="00974CAC">
        <w:rPr>
          <w:rFonts w:ascii="Arial" w:hAnsi="Arial" w:cs="Arial"/>
        </w:rPr>
        <w:t>drive the point home due to many different viewpoints</w:t>
      </w:r>
      <w:r w:rsidR="002201F0">
        <w:rPr>
          <w:rFonts w:ascii="Arial" w:hAnsi="Arial" w:cs="Arial"/>
        </w:rPr>
        <w:t>,</w:t>
      </w:r>
      <w:r w:rsidR="00974CAC">
        <w:rPr>
          <w:rFonts w:ascii="Arial" w:hAnsi="Arial" w:cs="Arial"/>
        </w:rPr>
        <w:t xml:space="preserve"> </w:t>
      </w:r>
      <w:r w:rsidR="00974CAC" w:rsidRPr="00974CAC">
        <w:rPr>
          <w:rFonts w:ascii="Arial" w:hAnsi="Arial" w:cs="Arial"/>
          <w:i/>
        </w:rPr>
        <w:t>Christian</w:t>
      </w:r>
      <w:r w:rsidR="00974CAC">
        <w:rPr>
          <w:rFonts w:ascii="Arial" w:hAnsi="Arial" w:cs="Arial"/>
        </w:rPr>
        <w:t xml:space="preserve"> </w:t>
      </w:r>
      <w:r w:rsidR="00C13E19">
        <w:rPr>
          <w:rFonts w:ascii="Arial" w:hAnsi="Arial" w:cs="Arial"/>
        </w:rPr>
        <w:t>reiterates A</w:t>
      </w:r>
      <w:r w:rsidR="00974CAC" w:rsidRPr="00974CAC">
        <w:rPr>
          <w:rFonts w:ascii="Arial" w:hAnsi="Arial" w:cs="Arial"/>
        </w:rPr>
        <w:t>rt</w:t>
      </w:r>
      <w:r w:rsidR="00C72175">
        <w:rPr>
          <w:rFonts w:ascii="Arial" w:hAnsi="Arial" w:cs="Arial"/>
        </w:rPr>
        <w:t>icle</w:t>
      </w:r>
      <w:r w:rsidR="00974CAC" w:rsidRPr="00974CAC">
        <w:rPr>
          <w:rFonts w:ascii="Arial" w:hAnsi="Arial" w:cs="Arial"/>
        </w:rPr>
        <w:t xml:space="preserve"> 81 of the Constitution </w:t>
      </w:r>
      <w:r w:rsidR="00974CAC">
        <w:rPr>
          <w:rFonts w:ascii="Arial" w:hAnsi="Arial" w:cs="Arial"/>
        </w:rPr>
        <w:t xml:space="preserve">that </w:t>
      </w:r>
      <w:r w:rsidR="00974CAC" w:rsidRPr="00C13E19">
        <w:rPr>
          <w:rFonts w:ascii="Arial" w:hAnsi="Arial" w:cs="Arial"/>
        </w:rPr>
        <w:t>‘…</w:t>
      </w:r>
      <w:proofErr w:type="spellStart"/>
      <w:r w:rsidR="00642744" w:rsidRPr="00C13E19">
        <w:rPr>
          <w:rFonts w:ascii="Arial" w:hAnsi="Arial" w:cs="Arial"/>
        </w:rPr>
        <w:t>th</w:t>
      </w:r>
      <w:proofErr w:type="spellEnd"/>
      <w:r w:rsidR="00642744" w:rsidRPr="00C13E19">
        <w:rPr>
          <w:rFonts w:ascii="Arial" w:hAnsi="Arial" w:cs="Arial"/>
        </w:rPr>
        <w:t>[is]</w:t>
      </w:r>
      <w:r w:rsidR="00974CAC" w:rsidRPr="00C13E19">
        <w:rPr>
          <w:rFonts w:ascii="Arial" w:hAnsi="Arial" w:cs="Arial"/>
        </w:rPr>
        <w:t xml:space="preserve"> decision is thus not only binding on all other Courts of Namibia but is also binding on this apex Court to its earlier decision.’</w:t>
      </w:r>
      <w:r w:rsidR="00C13E19">
        <w:rPr>
          <w:rFonts w:ascii="Arial" w:hAnsi="Arial" w:cs="Arial"/>
        </w:rPr>
        <w:t xml:space="preserve"> This court is therefor bound by</w:t>
      </w:r>
      <w:r w:rsidR="00C13E19" w:rsidRPr="00C13E19">
        <w:rPr>
          <w:rFonts w:ascii="Arial" w:hAnsi="Arial" w:cs="Arial"/>
          <w:i/>
        </w:rPr>
        <w:t xml:space="preserve"> Christian</w:t>
      </w:r>
      <w:r w:rsidR="00C13E19">
        <w:rPr>
          <w:rFonts w:ascii="Arial" w:hAnsi="Arial" w:cs="Arial"/>
          <w:i/>
        </w:rPr>
        <w:t xml:space="preserve"> </w:t>
      </w:r>
      <w:r w:rsidR="00C13E19">
        <w:rPr>
          <w:rFonts w:ascii="Arial" w:hAnsi="Arial" w:cs="Arial"/>
        </w:rPr>
        <w:t>in this particular regard.</w:t>
      </w:r>
    </w:p>
    <w:p w14:paraId="078BA254" w14:textId="77777777" w:rsidR="007D38BC" w:rsidRDefault="007D38BC" w:rsidP="007C3D43">
      <w:pPr>
        <w:spacing w:line="360" w:lineRule="auto"/>
        <w:jc w:val="both"/>
        <w:rPr>
          <w:rFonts w:ascii="Arial" w:hAnsi="Arial" w:cs="Arial"/>
          <w:sz w:val="22"/>
          <w:szCs w:val="22"/>
        </w:rPr>
      </w:pPr>
    </w:p>
    <w:p w14:paraId="21FE97A1" w14:textId="77777777" w:rsidR="00927917" w:rsidRDefault="007D38BC" w:rsidP="00690881">
      <w:pPr>
        <w:spacing w:line="360" w:lineRule="auto"/>
        <w:jc w:val="both"/>
        <w:rPr>
          <w:rFonts w:ascii="Arial" w:hAnsi="Arial" w:cs="Arial"/>
        </w:rPr>
      </w:pPr>
      <w:r w:rsidRPr="007D38BC">
        <w:rPr>
          <w:rFonts w:ascii="Arial" w:hAnsi="Arial" w:cs="Arial"/>
        </w:rPr>
        <w:t>[</w:t>
      </w:r>
      <w:r w:rsidR="00927917">
        <w:rPr>
          <w:rFonts w:ascii="Arial" w:hAnsi="Arial" w:cs="Arial"/>
        </w:rPr>
        <w:t>3</w:t>
      </w:r>
      <w:r>
        <w:rPr>
          <w:rFonts w:ascii="Arial" w:hAnsi="Arial" w:cs="Arial"/>
        </w:rPr>
        <w:t>2]</w:t>
      </w:r>
      <w:r>
        <w:rPr>
          <w:rFonts w:ascii="Arial" w:hAnsi="Arial" w:cs="Arial"/>
        </w:rPr>
        <w:tab/>
      </w:r>
      <w:r w:rsidR="00927917">
        <w:rPr>
          <w:rFonts w:ascii="Arial" w:hAnsi="Arial" w:cs="Arial"/>
        </w:rPr>
        <w:t>Reverting to the instant case, t</w:t>
      </w:r>
      <w:r w:rsidR="004B2EAC">
        <w:rPr>
          <w:rFonts w:ascii="Arial" w:hAnsi="Arial" w:cs="Arial"/>
        </w:rPr>
        <w:t>he moment the authority to bring these proceedings was challenged</w:t>
      </w:r>
      <w:r w:rsidR="00EA5E64">
        <w:rPr>
          <w:rFonts w:ascii="Arial" w:hAnsi="Arial" w:cs="Arial"/>
        </w:rPr>
        <w:t>,</w:t>
      </w:r>
      <w:r w:rsidR="004B2EAC">
        <w:rPr>
          <w:rFonts w:ascii="Arial" w:hAnsi="Arial" w:cs="Arial"/>
        </w:rPr>
        <w:t xml:space="preserve"> it was incumbent upon MGM to provide the proof of authority</w:t>
      </w:r>
      <w:r w:rsidR="00EA5E64">
        <w:rPr>
          <w:rFonts w:ascii="Arial" w:hAnsi="Arial" w:cs="Arial"/>
        </w:rPr>
        <w:t xml:space="preserve"> by filing a resolution of its board of directors. The</w:t>
      </w:r>
      <w:r w:rsidR="004B2EAC">
        <w:rPr>
          <w:rFonts w:ascii="Arial" w:hAnsi="Arial" w:cs="Arial"/>
        </w:rPr>
        <w:t xml:space="preserve"> nega</w:t>
      </w:r>
      <w:r w:rsidR="00EA5E64">
        <w:rPr>
          <w:rFonts w:ascii="Arial" w:hAnsi="Arial" w:cs="Arial"/>
        </w:rPr>
        <w:t>tion of the challenge</w:t>
      </w:r>
      <w:r w:rsidR="004B2EAC">
        <w:rPr>
          <w:rFonts w:ascii="Arial" w:hAnsi="Arial" w:cs="Arial"/>
        </w:rPr>
        <w:t xml:space="preserve"> by a mere shrug and continuous insistence of that authority by l</w:t>
      </w:r>
      <w:r w:rsidR="009A2C48">
        <w:rPr>
          <w:rFonts w:ascii="Arial" w:hAnsi="Arial" w:cs="Arial"/>
        </w:rPr>
        <w:t>ip service in the affidavit is insufficient to sustain the application.</w:t>
      </w:r>
      <w:r w:rsidR="008E4600">
        <w:rPr>
          <w:rFonts w:ascii="Arial" w:hAnsi="Arial" w:cs="Arial"/>
        </w:rPr>
        <w:t xml:space="preserve"> </w:t>
      </w:r>
    </w:p>
    <w:p w14:paraId="3E77C913" w14:textId="77777777" w:rsidR="00927917" w:rsidRDefault="00927917" w:rsidP="00690881">
      <w:pPr>
        <w:spacing w:line="360" w:lineRule="auto"/>
        <w:jc w:val="both"/>
        <w:rPr>
          <w:rFonts w:ascii="Arial" w:hAnsi="Arial" w:cs="Arial"/>
        </w:rPr>
      </w:pPr>
    </w:p>
    <w:p w14:paraId="12DF2FD5" w14:textId="0D957AEF" w:rsidR="00690881" w:rsidRDefault="00927917" w:rsidP="00690881">
      <w:pPr>
        <w:spacing w:line="360" w:lineRule="auto"/>
        <w:jc w:val="both"/>
        <w:rPr>
          <w:rFonts w:ascii="Arial" w:hAnsi="Arial" w:cs="Arial"/>
        </w:rPr>
      </w:pPr>
      <w:r>
        <w:rPr>
          <w:rFonts w:ascii="Arial" w:hAnsi="Arial" w:cs="Arial"/>
        </w:rPr>
        <w:t>[33]</w:t>
      </w:r>
      <w:r>
        <w:rPr>
          <w:rFonts w:ascii="Arial" w:hAnsi="Arial" w:cs="Arial"/>
        </w:rPr>
        <w:tab/>
      </w:r>
      <w:r w:rsidR="005C2DF2">
        <w:rPr>
          <w:rFonts w:ascii="Arial" w:hAnsi="Arial" w:cs="Arial"/>
        </w:rPr>
        <w:t>As</w:t>
      </w:r>
      <w:r>
        <w:rPr>
          <w:rFonts w:ascii="Arial" w:hAnsi="Arial" w:cs="Arial"/>
        </w:rPr>
        <w:t xml:space="preserve"> pointed out above, t</w:t>
      </w:r>
      <w:r w:rsidR="008E4600">
        <w:rPr>
          <w:rFonts w:ascii="Arial" w:hAnsi="Arial" w:cs="Arial"/>
        </w:rPr>
        <w:t xml:space="preserve">he applicant </w:t>
      </w:r>
      <w:r w:rsidR="00A20E53">
        <w:rPr>
          <w:rFonts w:ascii="Arial" w:hAnsi="Arial" w:cs="Arial"/>
        </w:rPr>
        <w:t>bears the onus to make out the case of</w:t>
      </w:r>
      <w:r w:rsidR="00690881">
        <w:rPr>
          <w:rFonts w:ascii="Arial" w:hAnsi="Arial" w:cs="Arial"/>
        </w:rPr>
        <w:t xml:space="preserve"> standing </w:t>
      </w:r>
      <w:r w:rsidR="00EA5E64">
        <w:rPr>
          <w:rFonts w:ascii="Arial" w:hAnsi="Arial" w:cs="Arial"/>
        </w:rPr>
        <w:t xml:space="preserve">and authority to institute the proceedings </w:t>
      </w:r>
      <w:r w:rsidR="00690881">
        <w:rPr>
          <w:rFonts w:ascii="Arial" w:hAnsi="Arial" w:cs="Arial"/>
        </w:rPr>
        <w:t>in the founding papers (</w:t>
      </w:r>
      <w:r w:rsidR="00690881" w:rsidRPr="007E4226">
        <w:rPr>
          <w:rFonts w:ascii="Arial" w:hAnsi="Arial" w:cs="Arial"/>
          <w:i/>
        </w:rPr>
        <w:t>Coin Security Namibia (Pty) Ltd v Jacobs</w:t>
      </w:r>
      <w:r w:rsidR="00690881">
        <w:rPr>
          <w:rFonts w:ascii="Arial" w:hAnsi="Arial" w:cs="Arial"/>
        </w:rPr>
        <w:t xml:space="preserve"> 1996 </w:t>
      </w:r>
      <w:r w:rsidR="00690881" w:rsidRPr="00690881">
        <w:rPr>
          <w:rFonts w:ascii="Arial" w:hAnsi="Arial" w:cs="Arial"/>
        </w:rPr>
        <w:t>NR 279 (HC)</w:t>
      </w:r>
      <w:r w:rsidR="00EA5E64">
        <w:rPr>
          <w:rFonts w:ascii="Arial" w:hAnsi="Arial" w:cs="Arial"/>
        </w:rPr>
        <w:t>. In t</w:t>
      </w:r>
      <w:r w:rsidR="00690881">
        <w:rPr>
          <w:rFonts w:ascii="Arial" w:hAnsi="Arial" w:cs="Arial"/>
        </w:rPr>
        <w:t xml:space="preserve">he matter of </w:t>
      </w:r>
      <w:r w:rsidR="00690881" w:rsidRPr="00690881">
        <w:rPr>
          <w:rFonts w:ascii="Arial" w:hAnsi="Arial" w:cs="Arial"/>
          <w:i/>
        </w:rPr>
        <w:t xml:space="preserve">Pinkster </w:t>
      </w:r>
      <w:proofErr w:type="spellStart"/>
      <w:r w:rsidR="00690881" w:rsidRPr="00690881">
        <w:rPr>
          <w:rFonts w:ascii="Arial" w:hAnsi="Arial" w:cs="Arial"/>
          <w:i/>
        </w:rPr>
        <w:t>Gemeente</w:t>
      </w:r>
      <w:proofErr w:type="spellEnd"/>
      <w:r w:rsidR="00690881" w:rsidRPr="00690881">
        <w:rPr>
          <w:rFonts w:ascii="Arial" w:hAnsi="Arial" w:cs="Arial"/>
          <w:i/>
        </w:rPr>
        <w:t xml:space="preserve"> van Namibia (Previously </w:t>
      </w:r>
      <w:proofErr w:type="spellStart"/>
      <w:r w:rsidR="00690881" w:rsidRPr="00690881">
        <w:rPr>
          <w:rFonts w:ascii="Arial" w:hAnsi="Arial" w:cs="Arial"/>
          <w:i/>
        </w:rPr>
        <w:t>Swa</w:t>
      </w:r>
      <w:proofErr w:type="spellEnd"/>
      <w:r w:rsidR="00690881" w:rsidRPr="00690881">
        <w:rPr>
          <w:rFonts w:ascii="Arial" w:hAnsi="Arial" w:cs="Arial"/>
          <w:i/>
        </w:rPr>
        <w:t xml:space="preserve">) v </w:t>
      </w:r>
      <w:proofErr w:type="spellStart"/>
      <w:r w:rsidR="00690881" w:rsidRPr="00690881">
        <w:rPr>
          <w:rFonts w:ascii="Arial" w:hAnsi="Arial" w:cs="Arial"/>
          <w:i/>
        </w:rPr>
        <w:t>Navolgers</w:t>
      </w:r>
      <w:proofErr w:type="spellEnd"/>
      <w:r w:rsidR="00690881" w:rsidRPr="00690881">
        <w:rPr>
          <w:rFonts w:ascii="Arial" w:hAnsi="Arial" w:cs="Arial"/>
          <w:i/>
        </w:rPr>
        <w:t xml:space="preserve"> Van </w:t>
      </w:r>
      <w:proofErr w:type="spellStart"/>
      <w:r w:rsidR="00690881" w:rsidRPr="00690881">
        <w:rPr>
          <w:rFonts w:ascii="Arial" w:hAnsi="Arial" w:cs="Arial"/>
          <w:i/>
        </w:rPr>
        <w:t>Christus</w:t>
      </w:r>
      <w:proofErr w:type="spellEnd"/>
      <w:r w:rsidR="00690881" w:rsidRPr="00690881">
        <w:rPr>
          <w:rFonts w:ascii="Arial" w:hAnsi="Arial" w:cs="Arial"/>
          <w:i/>
        </w:rPr>
        <w:t xml:space="preserve"> </w:t>
      </w:r>
      <w:proofErr w:type="spellStart"/>
      <w:r w:rsidR="00690881" w:rsidRPr="00690881">
        <w:rPr>
          <w:rFonts w:ascii="Arial" w:hAnsi="Arial" w:cs="Arial"/>
          <w:i/>
        </w:rPr>
        <w:t>Kerk</w:t>
      </w:r>
      <w:proofErr w:type="spellEnd"/>
      <w:r w:rsidR="00690881" w:rsidRPr="00690881">
        <w:rPr>
          <w:rFonts w:ascii="Arial" w:hAnsi="Arial" w:cs="Arial"/>
          <w:i/>
        </w:rPr>
        <w:t xml:space="preserve"> Van SA and Another</w:t>
      </w:r>
      <w:r w:rsidR="00690881">
        <w:rPr>
          <w:rFonts w:ascii="Arial" w:hAnsi="Arial" w:cs="Arial"/>
        </w:rPr>
        <w:t xml:space="preserve"> 1998 NR 50 (HC)</w:t>
      </w:r>
      <w:r w:rsidR="00EA5E64">
        <w:rPr>
          <w:rFonts w:ascii="Arial" w:hAnsi="Arial" w:cs="Arial"/>
        </w:rPr>
        <w:t>, the</w:t>
      </w:r>
      <w:r w:rsidR="00690881">
        <w:rPr>
          <w:rFonts w:ascii="Arial" w:hAnsi="Arial" w:cs="Arial"/>
        </w:rPr>
        <w:t xml:space="preserve"> court held that the lack of a</w:t>
      </w:r>
      <w:r w:rsidR="00690881" w:rsidRPr="00690881">
        <w:rPr>
          <w:rFonts w:ascii="Arial" w:hAnsi="Arial" w:cs="Arial"/>
        </w:rPr>
        <w:t>uthority to bring</w:t>
      </w:r>
      <w:r w:rsidR="00690881">
        <w:rPr>
          <w:rFonts w:ascii="Arial" w:hAnsi="Arial" w:cs="Arial"/>
        </w:rPr>
        <w:t xml:space="preserve"> an application could </w:t>
      </w:r>
      <w:r w:rsidR="00690881" w:rsidRPr="00690881">
        <w:rPr>
          <w:rFonts w:ascii="Arial" w:hAnsi="Arial" w:cs="Arial"/>
        </w:rPr>
        <w:t>be ratified retrospectively.</w:t>
      </w:r>
      <w:r w:rsidR="00C13E19">
        <w:rPr>
          <w:rFonts w:ascii="Arial" w:hAnsi="Arial" w:cs="Arial"/>
        </w:rPr>
        <w:t xml:space="preserve"> Even so</w:t>
      </w:r>
      <w:r w:rsidR="00917BC9">
        <w:rPr>
          <w:rFonts w:ascii="Arial" w:hAnsi="Arial" w:cs="Arial"/>
        </w:rPr>
        <w:t>, MGM opted to</w:t>
      </w:r>
      <w:r w:rsidR="00C13E19">
        <w:rPr>
          <w:rFonts w:ascii="Arial" w:hAnsi="Arial" w:cs="Arial"/>
        </w:rPr>
        <w:t xml:space="preserve"> withdraw the resolution it had belatedly filed</w:t>
      </w:r>
      <w:r w:rsidR="00EA5E64">
        <w:rPr>
          <w:rFonts w:ascii="Arial" w:hAnsi="Arial" w:cs="Arial"/>
        </w:rPr>
        <w:t>, leaving the allegation of authority unsupported by admissible evidence</w:t>
      </w:r>
      <w:r>
        <w:rPr>
          <w:rFonts w:ascii="Arial" w:hAnsi="Arial" w:cs="Arial"/>
        </w:rPr>
        <w:t>, which could have been supplied in reply</w:t>
      </w:r>
      <w:r w:rsidR="00690881">
        <w:rPr>
          <w:rFonts w:ascii="Arial" w:hAnsi="Arial" w:cs="Arial"/>
        </w:rPr>
        <w:t>.</w:t>
      </w:r>
    </w:p>
    <w:p w14:paraId="7C3CD37A" w14:textId="77777777" w:rsidR="004D1653" w:rsidRDefault="004D1653" w:rsidP="00A973A4">
      <w:pPr>
        <w:spacing w:line="360" w:lineRule="auto"/>
        <w:jc w:val="both"/>
        <w:rPr>
          <w:rFonts w:ascii="Arial" w:hAnsi="Arial" w:cs="Arial"/>
        </w:rPr>
      </w:pPr>
    </w:p>
    <w:p w14:paraId="4491B007" w14:textId="77777777" w:rsidR="00A973A4" w:rsidRPr="000E62D6" w:rsidRDefault="00A973A4" w:rsidP="00A973A4">
      <w:pPr>
        <w:spacing w:line="360" w:lineRule="auto"/>
        <w:jc w:val="both"/>
        <w:rPr>
          <w:rFonts w:ascii="Arial" w:hAnsi="Arial" w:cs="Arial"/>
          <w:u w:val="single"/>
        </w:rPr>
      </w:pPr>
      <w:r w:rsidRPr="000E62D6">
        <w:rPr>
          <w:rFonts w:ascii="Arial" w:hAnsi="Arial" w:cs="Arial"/>
          <w:u w:val="single"/>
        </w:rPr>
        <w:t>Conclusion</w:t>
      </w:r>
    </w:p>
    <w:p w14:paraId="241ADF9A" w14:textId="77777777" w:rsidR="00A973A4" w:rsidRDefault="00A973A4" w:rsidP="00A973A4">
      <w:pPr>
        <w:spacing w:line="360" w:lineRule="auto"/>
        <w:jc w:val="both"/>
        <w:rPr>
          <w:rFonts w:ascii="Arial" w:hAnsi="Arial" w:cs="Arial"/>
        </w:rPr>
      </w:pPr>
    </w:p>
    <w:p w14:paraId="3600CF5E" w14:textId="5EDCD949" w:rsidR="00A973A4" w:rsidRDefault="00927917" w:rsidP="00A973A4">
      <w:pPr>
        <w:spacing w:line="360" w:lineRule="auto"/>
        <w:jc w:val="both"/>
        <w:rPr>
          <w:rFonts w:ascii="Arial" w:hAnsi="Arial" w:cs="Arial"/>
        </w:rPr>
      </w:pPr>
      <w:r>
        <w:rPr>
          <w:rFonts w:ascii="Arial" w:hAnsi="Arial" w:cs="Arial"/>
        </w:rPr>
        <w:t>[34]</w:t>
      </w:r>
      <w:r>
        <w:rPr>
          <w:rFonts w:ascii="Arial" w:hAnsi="Arial" w:cs="Arial"/>
        </w:rPr>
        <w:tab/>
        <w:t>In the premises, the ineluctable conclusion is that t</w:t>
      </w:r>
      <w:r w:rsidR="00A973A4">
        <w:rPr>
          <w:rFonts w:ascii="Arial" w:hAnsi="Arial" w:cs="Arial"/>
        </w:rPr>
        <w:t xml:space="preserve">he applicant failed to </w:t>
      </w:r>
      <w:r w:rsidR="00B04889">
        <w:rPr>
          <w:rFonts w:ascii="Arial" w:hAnsi="Arial" w:cs="Arial"/>
        </w:rPr>
        <w:t>successfully engage</w:t>
      </w:r>
      <w:r w:rsidR="00DD7FF0">
        <w:rPr>
          <w:rFonts w:ascii="Arial" w:hAnsi="Arial" w:cs="Arial"/>
        </w:rPr>
        <w:t xml:space="preserve"> the challenge to the lack of authority to bring the interlocutory application (stay of proceedings to the </w:t>
      </w:r>
      <w:r w:rsidR="000156B7">
        <w:rPr>
          <w:rFonts w:ascii="Arial" w:hAnsi="Arial" w:cs="Arial"/>
        </w:rPr>
        <w:t xml:space="preserve">winding up application). There is </w:t>
      </w:r>
      <w:r w:rsidR="00B04889">
        <w:rPr>
          <w:rFonts w:ascii="Arial" w:hAnsi="Arial" w:cs="Arial"/>
        </w:rPr>
        <w:t xml:space="preserve">thus </w:t>
      </w:r>
      <w:r w:rsidR="000156B7">
        <w:rPr>
          <w:rFonts w:ascii="Arial" w:hAnsi="Arial" w:cs="Arial"/>
        </w:rPr>
        <w:t xml:space="preserve">no </w:t>
      </w:r>
      <w:r w:rsidR="00B04889">
        <w:rPr>
          <w:rFonts w:ascii="Arial" w:hAnsi="Arial" w:cs="Arial"/>
        </w:rPr>
        <w:t>properly authorised application</w:t>
      </w:r>
      <w:r w:rsidR="000156B7">
        <w:rPr>
          <w:rFonts w:ascii="Arial" w:hAnsi="Arial" w:cs="Arial"/>
        </w:rPr>
        <w:t xml:space="preserve"> before court. </w:t>
      </w:r>
      <w:r w:rsidR="00B04889">
        <w:rPr>
          <w:rFonts w:ascii="Arial" w:hAnsi="Arial" w:cs="Arial"/>
        </w:rPr>
        <w:t xml:space="preserve">In the circumstances, the applicant has, by its own hands, paved way to the inevitable </w:t>
      </w:r>
      <w:r w:rsidR="00B04889">
        <w:rPr>
          <w:rFonts w:ascii="Arial" w:hAnsi="Arial" w:cs="Arial"/>
        </w:rPr>
        <w:lastRenderedPageBreak/>
        <w:t>destination of this application</w:t>
      </w:r>
      <w:r w:rsidR="00EA5E64">
        <w:rPr>
          <w:rFonts w:ascii="Arial" w:hAnsi="Arial" w:cs="Arial"/>
        </w:rPr>
        <w:t>, namely the striking of the application from the roll</w:t>
      </w:r>
      <w:r w:rsidR="00B04889">
        <w:rPr>
          <w:rFonts w:ascii="Arial" w:hAnsi="Arial" w:cs="Arial"/>
        </w:rPr>
        <w:t>.</w:t>
      </w:r>
    </w:p>
    <w:p w14:paraId="2B7FDEDD" w14:textId="77777777" w:rsidR="00EA5E64" w:rsidRDefault="00EA5E64" w:rsidP="00A973A4">
      <w:pPr>
        <w:spacing w:line="360" w:lineRule="auto"/>
        <w:jc w:val="both"/>
        <w:rPr>
          <w:rFonts w:ascii="Arial" w:hAnsi="Arial" w:cs="Arial"/>
        </w:rPr>
      </w:pPr>
    </w:p>
    <w:p w14:paraId="63958E50" w14:textId="3DA1D869" w:rsidR="00EA5E64" w:rsidRPr="00D57CEE" w:rsidRDefault="00927917" w:rsidP="00A973A4">
      <w:pPr>
        <w:spacing w:line="360" w:lineRule="auto"/>
        <w:jc w:val="both"/>
        <w:rPr>
          <w:rFonts w:ascii="Arial" w:hAnsi="Arial" w:cs="Arial"/>
        </w:rPr>
      </w:pPr>
      <w:r>
        <w:rPr>
          <w:rFonts w:ascii="Arial" w:hAnsi="Arial" w:cs="Arial"/>
        </w:rPr>
        <w:t>[35</w:t>
      </w:r>
      <w:r w:rsidR="00EA5E64">
        <w:rPr>
          <w:rFonts w:ascii="Arial" w:hAnsi="Arial" w:cs="Arial"/>
        </w:rPr>
        <w:t>]</w:t>
      </w:r>
      <w:r w:rsidR="00EA5E64">
        <w:rPr>
          <w:rFonts w:ascii="Arial" w:hAnsi="Arial" w:cs="Arial"/>
        </w:rPr>
        <w:tab/>
        <w:t>It is, in my considered view inappropriate to dismiss the application in the present circumstances.</w:t>
      </w:r>
      <w:r w:rsidR="00D57CEE">
        <w:rPr>
          <w:rFonts w:ascii="Arial" w:hAnsi="Arial" w:cs="Arial"/>
        </w:rPr>
        <w:t xml:space="preserve"> In</w:t>
      </w:r>
      <w:r w:rsidR="00EA5E64">
        <w:rPr>
          <w:rFonts w:ascii="Arial" w:hAnsi="Arial" w:cs="Arial"/>
        </w:rPr>
        <w:t xml:space="preserve"> </w:t>
      </w:r>
      <w:proofErr w:type="spellStart"/>
      <w:r w:rsidR="00EA5E64">
        <w:rPr>
          <w:rFonts w:ascii="Arial" w:hAnsi="Arial" w:cs="Arial"/>
          <w:i/>
        </w:rPr>
        <w:t>Shetu</w:t>
      </w:r>
      <w:proofErr w:type="spellEnd"/>
      <w:r w:rsidR="00EA5E64">
        <w:rPr>
          <w:rFonts w:ascii="Arial" w:hAnsi="Arial" w:cs="Arial"/>
          <w:i/>
        </w:rPr>
        <w:t xml:space="preserve"> Trading CC v The Chair of the Tender Board of Namibia</w:t>
      </w:r>
      <w:r w:rsidR="005C2DF2">
        <w:rPr>
          <w:rFonts w:ascii="Arial" w:hAnsi="Arial" w:cs="Arial"/>
          <w:i/>
        </w:rPr>
        <w:t>,</w:t>
      </w:r>
      <w:r w:rsidR="00EA5E64">
        <w:rPr>
          <w:rStyle w:val="FootnoteReference"/>
          <w:rFonts w:ascii="Arial" w:hAnsi="Arial" w:cs="Arial"/>
          <w:i/>
        </w:rPr>
        <w:footnoteReference w:id="9"/>
      </w:r>
      <w:r w:rsidR="00D57CEE">
        <w:rPr>
          <w:rFonts w:ascii="Arial" w:hAnsi="Arial" w:cs="Arial"/>
          <w:i/>
        </w:rPr>
        <w:t xml:space="preserve"> </w:t>
      </w:r>
      <w:r w:rsidR="00D57CEE">
        <w:rPr>
          <w:rFonts w:ascii="Arial" w:hAnsi="Arial" w:cs="Arial"/>
        </w:rPr>
        <w:t xml:space="preserve">the Supreme Court provides the trite learning that where proceedings have not been entertained by the court on the merits, it is generally inappropriate to dismiss the </w:t>
      </w:r>
      <w:r>
        <w:rPr>
          <w:rFonts w:ascii="Arial" w:hAnsi="Arial" w:cs="Arial"/>
        </w:rPr>
        <w:t xml:space="preserve">said </w:t>
      </w:r>
      <w:r w:rsidR="00D57CEE">
        <w:rPr>
          <w:rFonts w:ascii="Arial" w:hAnsi="Arial" w:cs="Arial"/>
        </w:rPr>
        <w:t>proceedings. I accordingly heed that clarion call.</w:t>
      </w:r>
    </w:p>
    <w:p w14:paraId="58201A5F" w14:textId="77777777" w:rsidR="00535081" w:rsidRDefault="00535081" w:rsidP="00A973A4">
      <w:pPr>
        <w:spacing w:line="360" w:lineRule="auto"/>
        <w:jc w:val="both"/>
        <w:rPr>
          <w:rFonts w:ascii="Arial" w:hAnsi="Arial" w:cs="Arial"/>
        </w:rPr>
      </w:pPr>
    </w:p>
    <w:p w14:paraId="62A08474" w14:textId="77777777" w:rsidR="00535081" w:rsidRDefault="00535081" w:rsidP="00A973A4">
      <w:pPr>
        <w:spacing w:line="360" w:lineRule="auto"/>
        <w:jc w:val="both"/>
        <w:rPr>
          <w:rFonts w:ascii="Arial" w:hAnsi="Arial" w:cs="Arial"/>
          <w:u w:val="single"/>
        </w:rPr>
      </w:pPr>
      <w:r w:rsidRPr="00535081">
        <w:rPr>
          <w:rFonts w:ascii="Arial" w:hAnsi="Arial" w:cs="Arial"/>
          <w:u w:val="single"/>
        </w:rPr>
        <w:t>Costs</w:t>
      </w:r>
    </w:p>
    <w:p w14:paraId="43063D18" w14:textId="77777777" w:rsidR="00535081" w:rsidRPr="00535081" w:rsidRDefault="00535081" w:rsidP="00A973A4">
      <w:pPr>
        <w:spacing w:line="360" w:lineRule="auto"/>
        <w:jc w:val="both"/>
        <w:rPr>
          <w:rFonts w:ascii="Arial" w:hAnsi="Arial" w:cs="Arial"/>
          <w:u w:val="single"/>
        </w:rPr>
      </w:pPr>
    </w:p>
    <w:p w14:paraId="61628B39" w14:textId="6917C663" w:rsidR="00535081" w:rsidRDefault="00927917" w:rsidP="00535081">
      <w:pPr>
        <w:spacing w:line="360" w:lineRule="auto"/>
        <w:jc w:val="both"/>
        <w:rPr>
          <w:rFonts w:ascii="Arial" w:hAnsi="Arial" w:cs="Arial"/>
        </w:rPr>
      </w:pPr>
      <w:r>
        <w:rPr>
          <w:rFonts w:ascii="Arial" w:hAnsi="Arial" w:cs="Arial"/>
        </w:rPr>
        <w:t>[36</w:t>
      </w:r>
      <w:r w:rsidR="00535081">
        <w:rPr>
          <w:rFonts w:ascii="Arial" w:hAnsi="Arial" w:cs="Arial"/>
        </w:rPr>
        <w:t>]</w:t>
      </w:r>
      <w:r w:rsidR="00535081">
        <w:rPr>
          <w:rFonts w:ascii="Arial" w:hAnsi="Arial" w:cs="Arial"/>
        </w:rPr>
        <w:tab/>
      </w:r>
      <w:r w:rsidR="00B04889">
        <w:rPr>
          <w:rFonts w:ascii="Arial" w:hAnsi="Arial" w:cs="Arial"/>
        </w:rPr>
        <w:t>I find there are no persuasive</w:t>
      </w:r>
      <w:r w:rsidR="00DE06AF">
        <w:rPr>
          <w:rFonts w:ascii="Arial" w:hAnsi="Arial" w:cs="Arial"/>
        </w:rPr>
        <w:t xml:space="preserve"> circumstances </w:t>
      </w:r>
      <w:r w:rsidR="00B04889">
        <w:rPr>
          <w:rFonts w:ascii="Arial" w:hAnsi="Arial" w:cs="Arial"/>
        </w:rPr>
        <w:t xml:space="preserve">alleged </w:t>
      </w:r>
      <w:r w:rsidR="00EA5E64">
        <w:rPr>
          <w:rFonts w:ascii="Arial" w:hAnsi="Arial" w:cs="Arial"/>
        </w:rPr>
        <w:t xml:space="preserve">or apparent, </w:t>
      </w:r>
      <w:r w:rsidR="00DE06AF" w:rsidRPr="00535081">
        <w:rPr>
          <w:rFonts w:ascii="Arial" w:hAnsi="Arial" w:cs="Arial"/>
        </w:rPr>
        <w:t>that</w:t>
      </w:r>
      <w:r w:rsidR="00535081" w:rsidRPr="00535081">
        <w:rPr>
          <w:rFonts w:ascii="Arial" w:hAnsi="Arial" w:cs="Arial"/>
        </w:rPr>
        <w:t xml:space="preserve"> would render the court </w:t>
      </w:r>
      <w:r w:rsidR="00B04889">
        <w:rPr>
          <w:rFonts w:ascii="Arial" w:hAnsi="Arial" w:cs="Arial"/>
        </w:rPr>
        <w:t xml:space="preserve">entitled </w:t>
      </w:r>
      <w:r w:rsidR="00535081" w:rsidRPr="00535081">
        <w:rPr>
          <w:rFonts w:ascii="Arial" w:hAnsi="Arial" w:cs="Arial"/>
        </w:rPr>
        <w:t>to deviate from the</w:t>
      </w:r>
      <w:r w:rsidR="00B04889">
        <w:rPr>
          <w:rFonts w:ascii="Arial" w:hAnsi="Arial" w:cs="Arial"/>
        </w:rPr>
        <w:t xml:space="preserve"> </w:t>
      </w:r>
      <w:r w:rsidR="00EA5E64">
        <w:rPr>
          <w:rFonts w:ascii="Arial" w:hAnsi="Arial" w:cs="Arial"/>
        </w:rPr>
        <w:t xml:space="preserve">otherwise </w:t>
      </w:r>
      <w:r w:rsidR="00B04889">
        <w:rPr>
          <w:rFonts w:ascii="Arial" w:hAnsi="Arial" w:cs="Arial"/>
        </w:rPr>
        <w:t>trite</w:t>
      </w:r>
      <w:r w:rsidR="00535081" w:rsidRPr="00535081">
        <w:rPr>
          <w:rFonts w:ascii="Arial" w:hAnsi="Arial" w:cs="Arial"/>
        </w:rPr>
        <w:t xml:space="preserve"> principle that costs follo</w:t>
      </w:r>
      <w:r w:rsidR="00535081">
        <w:rPr>
          <w:rFonts w:ascii="Arial" w:hAnsi="Arial" w:cs="Arial"/>
        </w:rPr>
        <w:t xml:space="preserve">w the event. </w:t>
      </w:r>
      <w:r w:rsidR="00DE06AF">
        <w:rPr>
          <w:rFonts w:ascii="Arial" w:hAnsi="Arial" w:cs="Arial"/>
        </w:rPr>
        <w:t>The successful party under these circumstances</w:t>
      </w:r>
      <w:r w:rsidR="00B04889">
        <w:rPr>
          <w:rFonts w:ascii="Arial" w:hAnsi="Arial" w:cs="Arial"/>
        </w:rPr>
        <w:t>, namely, the respondent,</w:t>
      </w:r>
      <w:r w:rsidR="00DE06AF">
        <w:rPr>
          <w:rFonts w:ascii="Arial" w:hAnsi="Arial" w:cs="Arial"/>
        </w:rPr>
        <w:t xml:space="preserve"> is entitled to </w:t>
      </w:r>
      <w:r w:rsidR="005F5669">
        <w:rPr>
          <w:rFonts w:ascii="Arial" w:hAnsi="Arial" w:cs="Arial"/>
        </w:rPr>
        <w:t xml:space="preserve">its </w:t>
      </w:r>
      <w:r w:rsidR="00B04889">
        <w:rPr>
          <w:rFonts w:ascii="Arial" w:hAnsi="Arial" w:cs="Arial"/>
        </w:rPr>
        <w:t xml:space="preserve">costs. </w:t>
      </w:r>
      <w:r w:rsidR="00DE06AF">
        <w:rPr>
          <w:rFonts w:ascii="Arial" w:hAnsi="Arial" w:cs="Arial"/>
        </w:rPr>
        <w:t xml:space="preserve"> </w:t>
      </w:r>
    </w:p>
    <w:p w14:paraId="1C83EAD1" w14:textId="77777777" w:rsidR="00A973A4" w:rsidRDefault="00A973A4" w:rsidP="00A973A4">
      <w:pPr>
        <w:spacing w:line="360" w:lineRule="auto"/>
        <w:jc w:val="both"/>
        <w:rPr>
          <w:rFonts w:ascii="Arial" w:hAnsi="Arial" w:cs="Arial"/>
        </w:rPr>
      </w:pPr>
    </w:p>
    <w:p w14:paraId="0BD416FD" w14:textId="77777777" w:rsidR="005F5669" w:rsidRDefault="005F5669" w:rsidP="00A973A4">
      <w:pPr>
        <w:spacing w:line="360" w:lineRule="auto"/>
        <w:jc w:val="both"/>
        <w:rPr>
          <w:rFonts w:ascii="Arial" w:hAnsi="Arial" w:cs="Arial"/>
          <w:u w:val="single"/>
        </w:rPr>
      </w:pPr>
      <w:r>
        <w:rPr>
          <w:rFonts w:ascii="Arial" w:hAnsi="Arial" w:cs="Arial"/>
          <w:u w:val="single"/>
        </w:rPr>
        <w:t>Order</w:t>
      </w:r>
    </w:p>
    <w:p w14:paraId="6282B130" w14:textId="77777777" w:rsidR="005F5669" w:rsidRPr="005F5669" w:rsidRDefault="005F5669" w:rsidP="00A973A4">
      <w:pPr>
        <w:spacing w:line="360" w:lineRule="auto"/>
        <w:jc w:val="both"/>
        <w:rPr>
          <w:rFonts w:ascii="Arial" w:hAnsi="Arial" w:cs="Arial"/>
          <w:u w:val="single"/>
        </w:rPr>
      </w:pPr>
    </w:p>
    <w:p w14:paraId="4AD47101" w14:textId="60C9976C" w:rsidR="00A973A4" w:rsidRDefault="00927917" w:rsidP="00A973A4">
      <w:pPr>
        <w:spacing w:line="360" w:lineRule="auto"/>
        <w:jc w:val="both"/>
        <w:rPr>
          <w:rFonts w:ascii="Arial" w:hAnsi="Arial" w:cs="Arial"/>
        </w:rPr>
      </w:pPr>
      <w:r>
        <w:rPr>
          <w:rFonts w:ascii="Arial" w:hAnsi="Arial" w:cs="Arial"/>
        </w:rPr>
        <w:t>[37</w:t>
      </w:r>
      <w:r w:rsidR="00A973A4" w:rsidRPr="00BA77CD">
        <w:rPr>
          <w:rFonts w:ascii="Arial" w:hAnsi="Arial" w:cs="Arial"/>
        </w:rPr>
        <w:t>]</w:t>
      </w:r>
      <w:r w:rsidR="00A973A4" w:rsidRPr="00BA77CD">
        <w:rPr>
          <w:rFonts w:ascii="Arial" w:hAnsi="Arial" w:cs="Arial"/>
        </w:rPr>
        <w:tab/>
        <w:t xml:space="preserve">In </w:t>
      </w:r>
      <w:r w:rsidR="005F5669">
        <w:rPr>
          <w:rFonts w:ascii="Arial" w:hAnsi="Arial" w:cs="Arial"/>
        </w:rPr>
        <w:t>the result, the following order commends itself as appropriate in the circumstances:</w:t>
      </w:r>
    </w:p>
    <w:p w14:paraId="530002C9" w14:textId="77777777" w:rsidR="00646A60" w:rsidRPr="0052309E" w:rsidRDefault="00646A60" w:rsidP="00646A60">
      <w:pPr>
        <w:spacing w:line="360" w:lineRule="auto"/>
        <w:jc w:val="both"/>
        <w:rPr>
          <w:rFonts w:ascii="Arial" w:hAnsi="Arial" w:cs="Arial"/>
        </w:rPr>
      </w:pPr>
    </w:p>
    <w:p w14:paraId="4277C78A" w14:textId="1160C6D0" w:rsidR="00646A60" w:rsidRDefault="00D57CEE" w:rsidP="00646A60">
      <w:pPr>
        <w:pStyle w:val="BodyText"/>
        <w:numPr>
          <w:ilvl w:val="0"/>
          <w:numId w:val="36"/>
        </w:numPr>
        <w:spacing w:line="360" w:lineRule="auto"/>
        <w:jc w:val="both"/>
        <w:rPr>
          <w:rFonts w:ascii="Arial" w:hAnsi="Arial" w:cs="Arial"/>
        </w:rPr>
      </w:pPr>
      <w:r>
        <w:rPr>
          <w:rFonts w:ascii="Arial" w:hAnsi="Arial" w:cs="Arial"/>
        </w:rPr>
        <w:t>The A</w:t>
      </w:r>
      <w:r w:rsidR="00646A60" w:rsidRPr="007716AD">
        <w:rPr>
          <w:rFonts w:ascii="Arial" w:hAnsi="Arial" w:cs="Arial"/>
        </w:rPr>
        <w:t xml:space="preserve">pplicant’s application for a stay of </w:t>
      </w:r>
      <w:r>
        <w:rPr>
          <w:rFonts w:ascii="Arial" w:hAnsi="Arial" w:cs="Arial"/>
        </w:rPr>
        <w:t xml:space="preserve">liquidation </w:t>
      </w:r>
      <w:r w:rsidR="00646A60" w:rsidRPr="007716AD">
        <w:rPr>
          <w:rFonts w:ascii="Arial" w:hAnsi="Arial" w:cs="Arial"/>
        </w:rPr>
        <w:t>proceedings</w:t>
      </w:r>
      <w:r>
        <w:rPr>
          <w:rFonts w:ascii="Arial" w:hAnsi="Arial" w:cs="Arial"/>
        </w:rPr>
        <w:t xml:space="preserve"> instituted by the Respondent,</w:t>
      </w:r>
      <w:r w:rsidR="00646A60">
        <w:rPr>
          <w:rFonts w:ascii="Arial" w:hAnsi="Arial" w:cs="Arial"/>
        </w:rPr>
        <w:t xml:space="preserve"> pending </w:t>
      </w:r>
      <w:r>
        <w:rPr>
          <w:rFonts w:ascii="Arial" w:hAnsi="Arial" w:cs="Arial"/>
        </w:rPr>
        <w:t xml:space="preserve">the finalisation of </w:t>
      </w:r>
      <w:r w:rsidR="00646A60">
        <w:rPr>
          <w:rFonts w:ascii="Arial" w:hAnsi="Arial" w:cs="Arial"/>
        </w:rPr>
        <w:t>case HC-MD-CIV-ACT-CON-2020/01839</w:t>
      </w:r>
      <w:r>
        <w:rPr>
          <w:rFonts w:ascii="Arial" w:hAnsi="Arial" w:cs="Arial"/>
        </w:rPr>
        <w:t>,</w:t>
      </w:r>
      <w:r w:rsidR="005F5669">
        <w:rPr>
          <w:rFonts w:ascii="Arial" w:hAnsi="Arial" w:cs="Arial"/>
        </w:rPr>
        <w:t xml:space="preserve"> is struck from the roll for want of aut</w:t>
      </w:r>
      <w:r w:rsidR="004F4CB7">
        <w:rPr>
          <w:rFonts w:ascii="Arial" w:hAnsi="Arial" w:cs="Arial"/>
        </w:rPr>
        <w:t xml:space="preserve">hority to institute the </w:t>
      </w:r>
      <w:r w:rsidR="005F5669">
        <w:rPr>
          <w:rFonts w:ascii="Arial" w:hAnsi="Arial" w:cs="Arial"/>
        </w:rPr>
        <w:t>proceedings</w:t>
      </w:r>
      <w:r w:rsidR="004F4CB7">
        <w:rPr>
          <w:rFonts w:ascii="Arial" w:hAnsi="Arial" w:cs="Arial"/>
        </w:rPr>
        <w:t xml:space="preserve"> for stay</w:t>
      </w:r>
      <w:r w:rsidR="00646A60">
        <w:rPr>
          <w:rFonts w:ascii="Arial" w:hAnsi="Arial" w:cs="Arial"/>
        </w:rPr>
        <w:t>.</w:t>
      </w:r>
    </w:p>
    <w:p w14:paraId="494E3CEE" w14:textId="42A0774B" w:rsidR="006E4D79" w:rsidRPr="00D57CEE" w:rsidRDefault="00D57CEE" w:rsidP="00D57CEE">
      <w:pPr>
        <w:pStyle w:val="BodyText"/>
        <w:numPr>
          <w:ilvl w:val="0"/>
          <w:numId w:val="36"/>
        </w:numPr>
        <w:spacing w:line="360" w:lineRule="auto"/>
        <w:jc w:val="both"/>
        <w:rPr>
          <w:rFonts w:ascii="Arial" w:hAnsi="Arial" w:cs="Arial"/>
        </w:rPr>
      </w:pPr>
      <w:r>
        <w:rPr>
          <w:rFonts w:ascii="Arial" w:hAnsi="Arial" w:cs="Arial"/>
        </w:rPr>
        <w:t>The A</w:t>
      </w:r>
      <w:r w:rsidR="00646A60">
        <w:rPr>
          <w:rFonts w:ascii="Arial" w:hAnsi="Arial" w:cs="Arial"/>
        </w:rPr>
        <w:t xml:space="preserve">pplicant is ordered to pay the </w:t>
      </w:r>
      <w:r w:rsidR="00646A60" w:rsidRPr="007716AD">
        <w:rPr>
          <w:rFonts w:ascii="Arial" w:hAnsi="Arial" w:cs="Arial"/>
        </w:rPr>
        <w:t>costs</w:t>
      </w:r>
      <w:r w:rsidR="00646A60">
        <w:rPr>
          <w:rFonts w:ascii="Arial" w:hAnsi="Arial" w:cs="Arial"/>
        </w:rPr>
        <w:t xml:space="preserve"> of the application,</w:t>
      </w:r>
      <w:r w:rsidR="00646A60" w:rsidRPr="007716AD">
        <w:rPr>
          <w:rFonts w:ascii="Arial" w:hAnsi="Arial" w:cs="Arial"/>
        </w:rPr>
        <w:t xml:space="preserve"> </w:t>
      </w:r>
      <w:r w:rsidR="005F5669">
        <w:rPr>
          <w:rFonts w:ascii="Arial" w:hAnsi="Arial" w:cs="Arial"/>
        </w:rPr>
        <w:t>consequent upon the employment of one instructing and one instructed legal practitioner, but subject to the provisions of Rule 32(11) of this Court’s Rules</w:t>
      </w:r>
      <w:r>
        <w:rPr>
          <w:rFonts w:ascii="Arial" w:hAnsi="Arial" w:cs="Arial"/>
        </w:rPr>
        <w:t>.</w:t>
      </w:r>
    </w:p>
    <w:p w14:paraId="59844A3B" w14:textId="77777777" w:rsidR="006E4D79" w:rsidRPr="006E4D79" w:rsidRDefault="006E4D79" w:rsidP="006E4D79">
      <w:pPr>
        <w:pStyle w:val="BodyText"/>
        <w:numPr>
          <w:ilvl w:val="0"/>
          <w:numId w:val="36"/>
        </w:numPr>
        <w:spacing w:line="360" w:lineRule="auto"/>
        <w:jc w:val="both"/>
        <w:rPr>
          <w:rFonts w:ascii="Arial" w:hAnsi="Arial" w:cs="Arial"/>
        </w:rPr>
      </w:pPr>
      <w:r>
        <w:rPr>
          <w:rFonts w:ascii="Arial" w:hAnsi="Arial" w:cs="Arial"/>
        </w:rPr>
        <w:t xml:space="preserve">The </w:t>
      </w:r>
      <w:r w:rsidRPr="006E4D79">
        <w:rPr>
          <w:rFonts w:ascii="Arial" w:hAnsi="Arial" w:cs="Arial"/>
        </w:rPr>
        <w:t>application</w:t>
      </w:r>
      <w:r>
        <w:rPr>
          <w:rFonts w:ascii="Arial" w:hAnsi="Arial" w:cs="Arial"/>
        </w:rPr>
        <w:t xml:space="preserve"> for liquidation</w:t>
      </w:r>
      <w:r w:rsidRPr="006E4D79">
        <w:rPr>
          <w:rFonts w:ascii="Arial" w:hAnsi="Arial" w:cs="Arial"/>
        </w:rPr>
        <w:t xml:space="preserve"> is postponed to 19 November 2020, at 08:30 for a case management conference hearing.</w:t>
      </w:r>
    </w:p>
    <w:p w14:paraId="34D094AE" w14:textId="77777777" w:rsidR="00646A60" w:rsidRDefault="00646A60" w:rsidP="00A973A4">
      <w:pPr>
        <w:spacing w:line="360" w:lineRule="auto"/>
        <w:jc w:val="both"/>
        <w:rPr>
          <w:rFonts w:ascii="Arial" w:hAnsi="Arial" w:cs="Arial"/>
        </w:rPr>
      </w:pPr>
    </w:p>
    <w:p w14:paraId="40E4B3AC" w14:textId="77777777" w:rsidR="00646A60" w:rsidRPr="00BA77CD" w:rsidRDefault="00646A60" w:rsidP="00A973A4">
      <w:pPr>
        <w:spacing w:line="360" w:lineRule="auto"/>
        <w:jc w:val="both"/>
        <w:rPr>
          <w:rFonts w:ascii="Arial" w:hAnsi="Arial" w:cs="Arial"/>
        </w:rPr>
      </w:pPr>
    </w:p>
    <w:p w14:paraId="20CDACDF" w14:textId="77777777" w:rsidR="00A973A4" w:rsidRPr="00BA77CD" w:rsidRDefault="00A973A4" w:rsidP="00A973A4">
      <w:pPr>
        <w:pStyle w:val="BodyText"/>
        <w:spacing w:line="360" w:lineRule="auto"/>
        <w:jc w:val="both"/>
        <w:rPr>
          <w:rFonts w:ascii="Arial" w:hAnsi="Arial" w:cs="Arial"/>
        </w:rPr>
      </w:pPr>
    </w:p>
    <w:p w14:paraId="0D6DA342" w14:textId="77777777" w:rsidR="00A973A4" w:rsidRPr="006E026B" w:rsidRDefault="00A973A4" w:rsidP="00A973A4">
      <w:pPr>
        <w:spacing w:line="360" w:lineRule="auto"/>
        <w:jc w:val="right"/>
        <w:rPr>
          <w:rFonts w:ascii="Arial" w:hAnsi="Arial" w:cs="Arial"/>
        </w:rPr>
      </w:pPr>
      <w:r>
        <w:rPr>
          <w:rFonts w:ascii="Arial" w:hAnsi="Arial" w:cs="Arial"/>
        </w:rPr>
        <w:t>__________</w:t>
      </w:r>
    </w:p>
    <w:p w14:paraId="421CCFF3" w14:textId="77777777" w:rsidR="00A973A4" w:rsidRPr="006E026B" w:rsidRDefault="000156B7" w:rsidP="00A973A4">
      <w:pPr>
        <w:spacing w:line="360" w:lineRule="auto"/>
        <w:jc w:val="right"/>
        <w:rPr>
          <w:rFonts w:ascii="Arial" w:hAnsi="Arial" w:cs="Arial"/>
        </w:rPr>
      </w:pPr>
      <w:r>
        <w:rPr>
          <w:rFonts w:ascii="Arial" w:hAnsi="Arial" w:cs="Arial"/>
        </w:rPr>
        <w:t xml:space="preserve">T S </w:t>
      </w:r>
      <w:proofErr w:type="spellStart"/>
      <w:r>
        <w:rPr>
          <w:rFonts w:ascii="Arial" w:hAnsi="Arial" w:cs="Arial"/>
        </w:rPr>
        <w:t>Masuku</w:t>
      </w:r>
      <w:proofErr w:type="spellEnd"/>
    </w:p>
    <w:p w14:paraId="66628739" w14:textId="77777777" w:rsidR="00A973A4" w:rsidRDefault="00A973A4" w:rsidP="006D4D17">
      <w:pPr>
        <w:spacing w:line="360" w:lineRule="auto"/>
        <w:jc w:val="right"/>
        <w:rPr>
          <w:rFonts w:ascii="Arial" w:hAnsi="Arial" w:cs="Arial"/>
        </w:rPr>
      </w:pPr>
      <w:r>
        <w:rPr>
          <w:rFonts w:ascii="Arial" w:hAnsi="Arial" w:cs="Arial"/>
        </w:rPr>
        <w:t>Judge</w:t>
      </w:r>
    </w:p>
    <w:p w14:paraId="6CEA8FC3" w14:textId="77777777" w:rsidR="00A973A4" w:rsidRPr="00813195" w:rsidRDefault="00A973A4" w:rsidP="00A973A4">
      <w:pPr>
        <w:spacing w:line="360" w:lineRule="auto"/>
        <w:jc w:val="both"/>
        <w:rPr>
          <w:rFonts w:ascii="Arial" w:hAnsi="Arial" w:cs="Arial"/>
          <w:sz w:val="2"/>
          <w:szCs w:val="2"/>
        </w:rPr>
      </w:pPr>
    </w:p>
    <w:p w14:paraId="7D9A27EB" w14:textId="77777777" w:rsidR="00A973A4" w:rsidRPr="00813195" w:rsidRDefault="00A973A4" w:rsidP="00A973A4">
      <w:pPr>
        <w:jc w:val="both"/>
        <w:rPr>
          <w:rFonts w:ascii="Arial" w:hAnsi="Arial" w:cs="Arial"/>
          <w:sz w:val="2"/>
          <w:szCs w:val="2"/>
        </w:rPr>
      </w:pPr>
      <w:r w:rsidRPr="00813195">
        <w:rPr>
          <w:rFonts w:ascii="Arial" w:hAnsi="Arial" w:cs="Arial"/>
          <w:sz w:val="2"/>
          <w:szCs w:val="2"/>
        </w:rPr>
        <w:br w:type="page"/>
      </w:r>
    </w:p>
    <w:p w14:paraId="1DFA5AC9" w14:textId="77777777" w:rsidR="00A973A4" w:rsidRDefault="00A973A4" w:rsidP="00A973A4">
      <w:pPr>
        <w:pStyle w:val="BodyText"/>
        <w:autoSpaceDE w:val="0"/>
        <w:autoSpaceDN w:val="0"/>
        <w:adjustRightInd w:val="0"/>
        <w:spacing w:line="360" w:lineRule="auto"/>
        <w:jc w:val="both"/>
        <w:rPr>
          <w:rFonts w:ascii="Arial" w:hAnsi="Arial" w:cs="Arial"/>
        </w:rPr>
      </w:pPr>
    </w:p>
    <w:p w14:paraId="2879809A" w14:textId="77777777" w:rsidR="00A973A4" w:rsidRPr="00936A1C" w:rsidRDefault="00A973A4" w:rsidP="00A973A4">
      <w:pPr>
        <w:pStyle w:val="BodyText"/>
        <w:autoSpaceDE w:val="0"/>
        <w:autoSpaceDN w:val="0"/>
        <w:adjustRightInd w:val="0"/>
        <w:spacing w:line="360" w:lineRule="auto"/>
        <w:jc w:val="both"/>
        <w:rPr>
          <w:rFonts w:ascii="Arial" w:hAnsi="Arial" w:cs="Arial"/>
        </w:rPr>
      </w:pPr>
      <w:r w:rsidRPr="00936A1C">
        <w:rPr>
          <w:rFonts w:ascii="Arial" w:hAnsi="Arial" w:cs="Arial"/>
        </w:rPr>
        <w:t>APPEARANCES</w:t>
      </w:r>
      <w:r w:rsidR="006D4D17">
        <w:rPr>
          <w:rFonts w:ascii="Arial" w:hAnsi="Arial" w:cs="Arial"/>
        </w:rPr>
        <w:t>:</w:t>
      </w:r>
      <w:r w:rsidR="00E63072">
        <w:rPr>
          <w:rFonts w:ascii="Arial" w:hAnsi="Arial" w:cs="Arial"/>
        </w:rPr>
        <w:t xml:space="preserve">  </w:t>
      </w:r>
    </w:p>
    <w:p w14:paraId="58475488" w14:textId="77777777" w:rsidR="00A973A4" w:rsidRDefault="00A973A4" w:rsidP="00A973A4">
      <w:pPr>
        <w:pStyle w:val="BodyText"/>
        <w:autoSpaceDE w:val="0"/>
        <w:autoSpaceDN w:val="0"/>
        <w:adjustRightInd w:val="0"/>
        <w:spacing w:line="360" w:lineRule="auto"/>
        <w:jc w:val="both"/>
        <w:rPr>
          <w:rFonts w:ascii="Arial" w:hAnsi="Arial" w:cs="Arial"/>
        </w:rPr>
      </w:pPr>
    </w:p>
    <w:p w14:paraId="4382D546" w14:textId="77777777" w:rsidR="00A973A4" w:rsidRPr="000E7777" w:rsidRDefault="00A973A4" w:rsidP="00A973A4">
      <w:pPr>
        <w:pStyle w:val="BodyText"/>
        <w:autoSpaceDE w:val="0"/>
        <w:autoSpaceDN w:val="0"/>
        <w:adjustRightInd w:val="0"/>
        <w:spacing w:line="360" w:lineRule="auto"/>
        <w:jc w:val="both"/>
        <w:rPr>
          <w:rFonts w:ascii="Arial" w:hAnsi="Arial" w:cs="Arial"/>
        </w:rPr>
      </w:pPr>
    </w:p>
    <w:p w14:paraId="0D3CBF8A" w14:textId="09B85F7E" w:rsidR="00A973A4" w:rsidRDefault="00A973A4" w:rsidP="000156B7">
      <w:pPr>
        <w:tabs>
          <w:tab w:val="left" w:pos="1394"/>
          <w:tab w:val="left" w:pos="2790"/>
        </w:tabs>
        <w:spacing w:line="360" w:lineRule="auto"/>
        <w:jc w:val="both"/>
        <w:rPr>
          <w:rFonts w:ascii="Arial" w:hAnsi="Arial" w:cs="Arial"/>
        </w:rPr>
      </w:pPr>
      <w:r>
        <w:rPr>
          <w:rFonts w:ascii="Arial" w:hAnsi="Arial" w:cs="Arial"/>
        </w:rPr>
        <w:t>APPLICANT</w:t>
      </w:r>
      <w:r>
        <w:rPr>
          <w:rFonts w:ascii="Arial" w:hAnsi="Arial" w:cs="Arial"/>
        </w:rPr>
        <w:tab/>
      </w:r>
      <w:r w:rsidRPr="0004272A">
        <w:rPr>
          <w:rFonts w:ascii="Arial" w:hAnsi="Arial" w:cs="Arial"/>
        </w:rPr>
        <w:t>:</w:t>
      </w:r>
      <w:r w:rsidRPr="0004272A">
        <w:rPr>
          <w:rFonts w:ascii="Arial" w:hAnsi="Arial" w:cs="Arial"/>
        </w:rPr>
        <w:tab/>
      </w:r>
      <w:r w:rsidR="004F4CB7">
        <w:rPr>
          <w:rFonts w:ascii="Arial" w:hAnsi="Arial" w:cs="Arial"/>
        </w:rPr>
        <w:tab/>
      </w:r>
      <w:r w:rsidR="004F4CB7">
        <w:rPr>
          <w:rFonts w:ascii="Arial" w:hAnsi="Arial" w:cs="Arial"/>
        </w:rPr>
        <w:tab/>
        <w:t xml:space="preserve">J. </w:t>
      </w:r>
      <w:proofErr w:type="spellStart"/>
      <w:r w:rsidR="004F4CB7">
        <w:rPr>
          <w:rFonts w:ascii="Arial" w:hAnsi="Arial" w:cs="Arial"/>
        </w:rPr>
        <w:t>Diedericks</w:t>
      </w:r>
      <w:proofErr w:type="spellEnd"/>
    </w:p>
    <w:p w14:paraId="6E8CD431" w14:textId="0A9AC041" w:rsidR="00A973A4" w:rsidRDefault="004F4CB7" w:rsidP="004F4CB7">
      <w:pPr>
        <w:autoSpaceDE w:val="0"/>
        <w:autoSpaceDN w:val="0"/>
        <w:adjustRightInd w:val="0"/>
        <w:spacing w:line="360" w:lineRule="auto"/>
        <w:ind w:left="3780" w:hanging="180"/>
        <w:jc w:val="both"/>
        <w:rPr>
          <w:rFonts w:ascii="Arial" w:hAnsi="Arial" w:cs="Arial"/>
        </w:rPr>
      </w:pPr>
      <w:r>
        <w:rPr>
          <w:rFonts w:ascii="Arial" w:hAnsi="Arial" w:cs="Arial"/>
        </w:rPr>
        <w:t>I</w:t>
      </w:r>
      <w:r w:rsidR="0017151F">
        <w:rPr>
          <w:rFonts w:ascii="Arial" w:hAnsi="Arial" w:cs="Arial"/>
        </w:rPr>
        <w:t>nstructed by F. B. Law Chambers</w:t>
      </w:r>
      <w:bookmarkStart w:id="0" w:name="_GoBack"/>
      <w:bookmarkEnd w:id="0"/>
      <w:r>
        <w:rPr>
          <w:rFonts w:ascii="Arial" w:hAnsi="Arial" w:cs="Arial"/>
        </w:rPr>
        <w:t xml:space="preserve"> </w:t>
      </w:r>
    </w:p>
    <w:p w14:paraId="2BB54B72" w14:textId="40C565CA" w:rsidR="00A973A4" w:rsidRPr="009244D1" w:rsidRDefault="004F4CB7" w:rsidP="00A973A4">
      <w:pPr>
        <w:autoSpaceDE w:val="0"/>
        <w:autoSpaceDN w:val="0"/>
        <w:adjustRightInd w:val="0"/>
        <w:spacing w:line="360" w:lineRule="auto"/>
        <w:ind w:left="3780" w:hanging="3780"/>
        <w:jc w:val="both"/>
        <w:rPr>
          <w:rFonts w:ascii="Arial" w:hAnsi="Arial" w:cs="Arial"/>
        </w:rPr>
      </w:pPr>
      <w:r>
        <w:rPr>
          <w:rFonts w:ascii="Arial" w:hAnsi="Arial" w:cs="Arial"/>
        </w:rPr>
        <w:t xml:space="preserve">                                                      Windhoek</w:t>
      </w:r>
    </w:p>
    <w:p w14:paraId="6FDEBAF1" w14:textId="77777777" w:rsidR="004F4CB7" w:rsidRDefault="004F4CB7" w:rsidP="000156B7">
      <w:pPr>
        <w:tabs>
          <w:tab w:val="left" w:pos="1394"/>
          <w:tab w:val="left" w:pos="2528"/>
          <w:tab w:val="left" w:pos="2790"/>
        </w:tabs>
        <w:spacing w:line="360" w:lineRule="auto"/>
        <w:jc w:val="both"/>
        <w:rPr>
          <w:rFonts w:ascii="Arial" w:hAnsi="Arial" w:cs="Arial"/>
        </w:rPr>
      </w:pPr>
    </w:p>
    <w:p w14:paraId="4EB6911B" w14:textId="77777777" w:rsidR="004F4CB7" w:rsidRDefault="004F4CB7" w:rsidP="000156B7">
      <w:pPr>
        <w:tabs>
          <w:tab w:val="left" w:pos="1394"/>
          <w:tab w:val="left" w:pos="2528"/>
          <w:tab w:val="left" w:pos="2790"/>
        </w:tabs>
        <w:spacing w:line="360" w:lineRule="auto"/>
        <w:jc w:val="both"/>
        <w:rPr>
          <w:rFonts w:ascii="Arial" w:hAnsi="Arial" w:cs="Arial"/>
        </w:rPr>
      </w:pPr>
    </w:p>
    <w:p w14:paraId="651C20C4" w14:textId="42813CCE" w:rsidR="000156B7" w:rsidRPr="006D4D17" w:rsidRDefault="00A973A4" w:rsidP="000156B7">
      <w:pPr>
        <w:tabs>
          <w:tab w:val="left" w:pos="1394"/>
          <w:tab w:val="left" w:pos="2528"/>
          <w:tab w:val="left" w:pos="2790"/>
        </w:tabs>
        <w:spacing w:line="360" w:lineRule="auto"/>
        <w:jc w:val="both"/>
        <w:rPr>
          <w:rFonts w:ascii="Arial" w:hAnsi="Arial" w:cs="Arial"/>
        </w:rPr>
      </w:pPr>
      <w:r w:rsidRPr="009244D1">
        <w:rPr>
          <w:rFonts w:ascii="Arial" w:hAnsi="Arial" w:cs="Arial"/>
        </w:rPr>
        <w:t>RESPONDENT:</w:t>
      </w:r>
      <w:r w:rsidRPr="009244D1">
        <w:rPr>
          <w:rFonts w:ascii="Arial" w:hAnsi="Arial" w:cs="Arial"/>
        </w:rPr>
        <w:tab/>
      </w:r>
      <w:r w:rsidRPr="009244D1">
        <w:rPr>
          <w:rFonts w:ascii="Arial" w:hAnsi="Arial" w:cs="Arial"/>
        </w:rPr>
        <w:tab/>
      </w:r>
      <w:r w:rsidR="004F4CB7">
        <w:rPr>
          <w:rFonts w:ascii="Arial" w:hAnsi="Arial" w:cs="Arial"/>
        </w:rPr>
        <w:tab/>
      </w:r>
      <w:r w:rsidR="004F4CB7">
        <w:rPr>
          <w:rFonts w:ascii="Arial" w:hAnsi="Arial" w:cs="Arial"/>
        </w:rPr>
        <w:tab/>
        <w:t xml:space="preserve">H. </w:t>
      </w:r>
      <w:proofErr w:type="spellStart"/>
      <w:r w:rsidR="004F4CB7">
        <w:rPr>
          <w:rFonts w:ascii="Arial" w:hAnsi="Arial" w:cs="Arial"/>
        </w:rPr>
        <w:t>Garbers</w:t>
      </w:r>
      <w:proofErr w:type="spellEnd"/>
      <w:r w:rsidR="004F4CB7">
        <w:rPr>
          <w:rFonts w:ascii="Arial" w:hAnsi="Arial" w:cs="Arial"/>
        </w:rPr>
        <w:t>-Kirsten</w:t>
      </w:r>
    </w:p>
    <w:p w14:paraId="0321DC91" w14:textId="0257CF02" w:rsidR="00A973A4" w:rsidRDefault="004F4CB7" w:rsidP="006D4D17">
      <w:pPr>
        <w:tabs>
          <w:tab w:val="left" w:pos="1394"/>
          <w:tab w:val="left" w:pos="2528"/>
          <w:tab w:val="left" w:pos="279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Instructed by Dr. </w:t>
      </w:r>
      <w:proofErr w:type="spellStart"/>
      <w:r>
        <w:rPr>
          <w:rFonts w:ascii="Arial" w:hAnsi="Arial" w:cs="Arial"/>
        </w:rPr>
        <w:t>Weder</w:t>
      </w:r>
      <w:proofErr w:type="spellEnd"/>
      <w:r>
        <w:rPr>
          <w:rFonts w:ascii="Arial" w:hAnsi="Arial" w:cs="Arial"/>
        </w:rPr>
        <w:t xml:space="preserve">, </w:t>
      </w:r>
      <w:proofErr w:type="spellStart"/>
      <w:r>
        <w:rPr>
          <w:rFonts w:ascii="Arial" w:hAnsi="Arial" w:cs="Arial"/>
        </w:rPr>
        <w:t>Kauta</w:t>
      </w:r>
      <w:proofErr w:type="spellEnd"/>
      <w:r>
        <w:rPr>
          <w:rFonts w:ascii="Arial" w:hAnsi="Arial" w:cs="Arial"/>
        </w:rPr>
        <w:t xml:space="preserve"> &amp; </w:t>
      </w:r>
      <w:proofErr w:type="spellStart"/>
      <w:r>
        <w:rPr>
          <w:rFonts w:ascii="Arial" w:hAnsi="Arial" w:cs="Arial"/>
        </w:rPr>
        <w:t>Hoveka</w:t>
      </w:r>
      <w:proofErr w:type="spellEnd"/>
    </w:p>
    <w:p w14:paraId="29D598E8" w14:textId="37AE1737" w:rsidR="004F4CB7" w:rsidRPr="006D4D17" w:rsidRDefault="005C2DF2" w:rsidP="006D4D17">
      <w:pPr>
        <w:tabs>
          <w:tab w:val="left" w:pos="1394"/>
          <w:tab w:val="left" w:pos="2528"/>
          <w:tab w:val="left" w:pos="2790"/>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Windhoek</w:t>
      </w:r>
    </w:p>
    <w:sectPr w:rsidR="004F4CB7" w:rsidRPr="006D4D17" w:rsidSect="00990542">
      <w:headerReference w:type="default" r:id="rId12"/>
      <w:footerReference w:type="even" r:id="rId13"/>
      <w:footerReference w:type="default" r:id="rId14"/>
      <w:pgSz w:w="11906" w:h="16838"/>
      <w:pgMar w:top="1258" w:right="1800" w:bottom="108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2796A" w14:textId="77777777" w:rsidR="00AE1611" w:rsidRDefault="00AE1611">
      <w:r>
        <w:separator/>
      </w:r>
    </w:p>
  </w:endnote>
  <w:endnote w:type="continuationSeparator" w:id="0">
    <w:p w14:paraId="0B13A9C6" w14:textId="77777777" w:rsidR="00AE1611" w:rsidRDefault="00AE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8E988" w14:textId="77777777" w:rsidR="004D1653" w:rsidRDefault="004D1653" w:rsidP="00990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93C5F3" w14:textId="77777777" w:rsidR="004D1653" w:rsidRDefault="004D16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3F1B8" w14:textId="77777777" w:rsidR="004D1653" w:rsidRDefault="004D1653" w:rsidP="00990542">
    <w:pPr>
      <w:pStyle w:val="Footer"/>
      <w:framePr w:wrap="around" w:vAnchor="text" w:hAnchor="margin" w:xAlign="center" w:y="1"/>
      <w:rPr>
        <w:rStyle w:val="PageNumber"/>
      </w:rPr>
    </w:pPr>
  </w:p>
  <w:p w14:paraId="068CDDAA" w14:textId="77777777" w:rsidR="004D1653" w:rsidRDefault="004D1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E222A" w14:textId="77777777" w:rsidR="00AE1611" w:rsidRDefault="00AE1611">
      <w:r>
        <w:separator/>
      </w:r>
    </w:p>
  </w:footnote>
  <w:footnote w:type="continuationSeparator" w:id="0">
    <w:p w14:paraId="2F553760" w14:textId="77777777" w:rsidR="00AE1611" w:rsidRDefault="00AE1611">
      <w:r>
        <w:continuationSeparator/>
      </w:r>
    </w:p>
  </w:footnote>
  <w:footnote w:id="1">
    <w:p w14:paraId="4B30C478" w14:textId="77777777" w:rsidR="004D1653" w:rsidRPr="007F6111" w:rsidRDefault="004D1653" w:rsidP="005C2DF2">
      <w:pPr>
        <w:pStyle w:val="FootnoteText"/>
        <w:spacing w:after="0"/>
        <w:rPr>
          <w:rFonts w:ascii="Arial" w:hAnsi="Arial"/>
        </w:rPr>
      </w:pPr>
      <w:r>
        <w:rPr>
          <w:rStyle w:val="FootnoteReference"/>
        </w:rPr>
        <w:footnoteRef/>
      </w:r>
      <w:r>
        <w:t xml:space="preserve"> </w:t>
      </w:r>
      <w:r>
        <w:rPr>
          <w:rFonts w:ascii="Arial" w:hAnsi="Arial"/>
        </w:rPr>
        <w:t>Para 1.3 of the founding affidavit.</w:t>
      </w:r>
    </w:p>
  </w:footnote>
  <w:footnote w:id="2">
    <w:p w14:paraId="28EE06D0" w14:textId="77777777" w:rsidR="004D1653" w:rsidRPr="003241E3" w:rsidRDefault="004D1653" w:rsidP="005C2DF2">
      <w:pPr>
        <w:pStyle w:val="FootnoteText"/>
        <w:spacing w:after="0"/>
        <w:rPr>
          <w:rFonts w:ascii="Arial" w:hAnsi="Arial"/>
        </w:rPr>
      </w:pPr>
      <w:r>
        <w:rPr>
          <w:rStyle w:val="FootnoteReference"/>
        </w:rPr>
        <w:footnoteRef/>
      </w:r>
      <w:r>
        <w:t xml:space="preserve"> </w:t>
      </w:r>
      <w:r>
        <w:rPr>
          <w:rFonts w:ascii="Arial" w:hAnsi="Arial"/>
        </w:rPr>
        <w:t>Para 13 of the answering affidavit.</w:t>
      </w:r>
    </w:p>
  </w:footnote>
  <w:footnote w:id="3">
    <w:p w14:paraId="4E881D86" w14:textId="77777777" w:rsidR="004D1653" w:rsidRDefault="004D1653">
      <w:pPr>
        <w:pStyle w:val="FootnoteText"/>
      </w:pPr>
      <w:r>
        <w:rPr>
          <w:rStyle w:val="FootnoteReference"/>
        </w:rPr>
        <w:footnoteRef/>
      </w:r>
      <w:r>
        <w:t xml:space="preserve"> </w:t>
      </w:r>
      <w:r w:rsidRPr="002544BA">
        <w:rPr>
          <w:rFonts w:ascii="Arial" w:hAnsi="Arial" w:cs="Arial"/>
        </w:rPr>
        <w:t>(LC 44/2009) [2010] NALC 2 (13 August 2010).</w:t>
      </w:r>
    </w:p>
  </w:footnote>
  <w:footnote w:id="4">
    <w:p w14:paraId="4076DAC1" w14:textId="1990C26E" w:rsidR="004D1653" w:rsidRPr="00295F38" w:rsidRDefault="004D1653" w:rsidP="005C2DF2">
      <w:pPr>
        <w:pStyle w:val="FootnoteText"/>
        <w:spacing w:after="0"/>
        <w:rPr>
          <w:rFonts w:ascii="Arial" w:hAnsi="Arial"/>
        </w:rPr>
      </w:pPr>
      <w:r>
        <w:rPr>
          <w:rStyle w:val="FootnoteReference"/>
        </w:rPr>
        <w:footnoteRef/>
      </w:r>
      <w:r>
        <w:t xml:space="preserve"> </w:t>
      </w:r>
      <w:r>
        <w:rPr>
          <w:rFonts w:ascii="Arial" w:hAnsi="Arial"/>
        </w:rPr>
        <w:t>Case No. A 140/2007</w:t>
      </w:r>
    </w:p>
  </w:footnote>
  <w:footnote w:id="5">
    <w:p w14:paraId="78722B5F" w14:textId="59436086" w:rsidR="004D1653" w:rsidRPr="00346BE3" w:rsidRDefault="004D1653" w:rsidP="005C2DF2">
      <w:pPr>
        <w:pStyle w:val="FootnoteText"/>
        <w:spacing w:after="0"/>
        <w:rPr>
          <w:rFonts w:ascii="Arial" w:hAnsi="Arial"/>
        </w:rPr>
      </w:pPr>
      <w:r>
        <w:rPr>
          <w:rStyle w:val="FootnoteReference"/>
        </w:rPr>
        <w:footnoteRef/>
      </w:r>
      <w:r>
        <w:t xml:space="preserve"> </w:t>
      </w:r>
      <w:r>
        <w:rPr>
          <w:rFonts w:ascii="Arial" w:hAnsi="Arial"/>
        </w:rPr>
        <w:t>2006 (2) NR 659.</w:t>
      </w:r>
    </w:p>
  </w:footnote>
  <w:footnote w:id="6">
    <w:p w14:paraId="17768DDF" w14:textId="6E1BBCE6" w:rsidR="004D1653" w:rsidRDefault="004D1653" w:rsidP="005C2DF2">
      <w:pPr>
        <w:pStyle w:val="FootnoteText"/>
        <w:spacing w:after="0"/>
        <w:rPr>
          <w:rFonts w:ascii="Arial" w:hAnsi="Arial"/>
        </w:rPr>
      </w:pPr>
      <w:r>
        <w:rPr>
          <w:rStyle w:val="FootnoteReference"/>
        </w:rPr>
        <w:footnoteRef/>
      </w:r>
      <w:r>
        <w:t xml:space="preserve"> </w:t>
      </w:r>
      <w:proofErr w:type="spellStart"/>
      <w:r>
        <w:rPr>
          <w:rFonts w:ascii="Arial" w:hAnsi="Arial"/>
        </w:rPr>
        <w:t>Eleveth</w:t>
      </w:r>
      <w:proofErr w:type="spellEnd"/>
      <w:r>
        <w:rPr>
          <w:rFonts w:ascii="Arial" w:hAnsi="Arial"/>
        </w:rPr>
        <w:t xml:space="preserve"> v Minister of Home Affairs and Another 2004 (11) BCLR 1223 (T). </w:t>
      </w:r>
    </w:p>
    <w:p w14:paraId="392AAE2E" w14:textId="77777777" w:rsidR="004D1653" w:rsidRDefault="004D1653">
      <w:pPr>
        <w:pStyle w:val="FootnoteText"/>
        <w:rPr>
          <w:rFonts w:ascii="Arial" w:hAnsi="Arial"/>
        </w:rPr>
      </w:pPr>
    </w:p>
    <w:p w14:paraId="3568F766" w14:textId="77777777" w:rsidR="004D1653" w:rsidRPr="00DA4DDD" w:rsidRDefault="004D1653">
      <w:pPr>
        <w:pStyle w:val="FootnoteText"/>
        <w:rPr>
          <w:rFonts w:ascii="Arial" w:hAnsi="Arial"/>
        </w:rPr>
      </w:pPr>
    </w:p>
  </w:footnote>
  <w:footnote w:id="7">
    <w:p w14:paraId="56E16DDA" w14:textId="44C47AE7" w:rsidR="004D1653" w:rsidRPr="00C31C48" w:rsidRDefault="004D1653">
      <w:pPr>
        <w:pStyle w:val="FootnoteText"/>
        <w:rPr>
          <w:rFonts w:ascii="Arial" w:hAnsi="Arial" w:cs="Arial"/>
          <w:lang w:val="en-ZA"/>
        </w:rPr>
      </w:pPr>
      <w:r>
        <w:rPr>
          <w:rStyle w:val="FootnoteReference"/>
        </w:rPr>
        <w:footnoteRef/>
      </w:r>
      <w:r>
        <w:t xml:space="preserve"> </w:t>
      </w:r>
      <w:r>
        <w:rPr>
          <w:rFonts w:ascii="Arial" w:hAnsi="Arial" w:cs="Arial"/>
          <w:lang w:val="en-ZA"/>
        </w:rPr>
        <w:t>2019 (4) NR 1109 (SC).</w:t>
      </w:r>
    </w:p>
  </w:footnote>
  <w:footnote w:id="8">
    <w:p w14:paraId="21402BAC" w14:textId="77777777" w:rsidR="004D1653" w:rsidRPr="008720D5" w:rsidRDefault="004D1653">
      <w:pPr>
        <w:pStyle w:val="FootnoteText"/>
        <w:rPr>
          <w:rFonts w:ascii="Arial" w:hAnsi="Arial" w:cs="Arial"/>
          <w:lang w:val="en-ZA"/>
        </w:rPr>
      </w:pPr>
      <w:r>
        <w:rPr>
          <w:rStyle w:val="FootnoteReference"/>
        </w:rPr>
        <w:footnoteRef/>
      </w:r>
      <w:r>
        <w:t xml:space="preserve"> </w:t>
      </w:r>
      <w:r w:rsidRPr="008720D5">
        <w:rPr>
          <w:rFonts w:ascii="Arial" w:hAnsi="Arial" w:cs="Arial"/>
          <w:lang w:val="en-ZA"/>
        </w:rPr>
        <w:t>Supra</w:t>
      </w:r>
    </w:p>
  </w:footnote>
  <w:footnote w:id="9">
    <w:p w14:paraId="4A875AE1" w14:textId="79C3D1FF" w:rsidR="004D1653" w:rsidRPr="00D57CEE" w:rsidRDefault="004D1653">
      <w:pPr>
        <w:pStyle w:val="FootnoteText"/>
        <w:rPr>
          <w:rFonts w:ascii="Arial" w:hAnsi="Arial"/>
        </w:rPr>
      </w:pPr>
      <w:r>
        <w:rPr>
          <w:rStyle w:val="FootnoteReference"/>
        </w:rPr>
        <w:footnoteRef/>
      </w:r>
      <w:r>
        <w:t xml:space="preserve"> 2012 (1) NR 162, p167.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648657"/>
      <w:docPartObj>
        <w:docPartGallery w:val="Page Numbers (Top of Page)"/>
        <w:docPartUnique/>
      </w:docPartObj>
    </w:sdtPr>
    <w:sdtEndPr>
      <w:rPr>
        <w:noProof/>
      </w:rPr>
    </w:sdtEndPr>
    <w:sdtContent>
      <w:p w14:paraId="2A838F6F" w14:textId="77777777" w:rsidR="004D1653" w:rsidRDefault="004D1653">
        <w:pPr>
          <w:pStyle w:val="Header"/>
          <w:jc w:val="right"/>
        </w:pPr>
        <w:r>
          <w:fldChar w:fldCharType="begin"/>
        </w:r>
        <w:r>
          <w:instrText xml:space="preserve"> PAGE   \* MERGEFORMAT </w:instrText>
        </w:r>
        <w:r>
          <w:fldChar w:fldCharType="separate"/>
        </w:r>
        <w:r w:rsidR="0017151F">
          <w:rPr>
            <w:noProof/>
          </w:rPr>
          <w:t>14</w:t>
        </w:r>
        <w:r>
          <w:rPr>
            <w:noProof/>
          </w:rPr>
          <w:fldChar w:fldCharType="end"/>
        </w:r>
      </w:p>
    </w:sdtContent>
  </w:sdt>
  <w:p w14:paraId="14225CE2" w14:textId="77777777" w:rsidR="004D1653" w:rsidRDefault="004D16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Roman"/>
      <w:lvlText w:val="(%1)"/>
      <w:lvlJc w:val="left"/>
      <w:pPr>
        <w:ind w:left="1080" w:hanging="720"/>
      </w:pPr>
    </w:lvl>
  </w:abstractNum>
  <w:abstractNum w:abstractNumId="1" w15:restartNumberingAfterBreak="0">
    <w:nsid w:val="00F266AE"/>
    <w:multiLevelType w:val="multilevel"/>
    <w:tmpl w:val="634A9B9A"/>
    <w:lvl w:ilvl="0">
      <w:start w:val="1"/>
      <w:numFmt w:val="decimal"/>
      <w:lvlText w:val="%1."/>
      <w:lvlJc w:val="left"/>
      <w:pPr>
        <w:ind w:left="360" w:hanging="360"/>
      </w:pPr>
    </w:lvl>
    <w:lvl w:ilvl="1">
      <w:start w:val="1"/>
      <w:numFmt w:val="decimal"/>
      <w:isLgl/>
      <w:lvlText w:val="%1.%2"/>
      <w:lvlJc w:val="left"/>
      <w:pPr>
        <w:ind w:left="1440" w:hanging="1080"/>
      </w:pPr>
    </w:lvl>
    <w:lvl w:ilvl="2">
      <w:start w:val="1"/>
      <w:numFmt w:val="decimal"/>
      <w:isLgl/>
      <w:lvlText w:val="%1.%2.%3"/>
      <w:lvlJc w:val="left"/>
      <w:pPr>
        <w:ind w:left="1800" w:hanging="108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960" w:hanging="180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 w15:restartNumberingAfterBreak="0">
    <w:nsid w:val="0C83378C"/>
    <w:multiLevelType w:val="hybridMultilevel"/>
    <w:tmpl w:val="AB847BCA"/>
    <w:lvl w:ilvl="0" w:tplc="654207AC">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3" w15:restartNumberingAfterBreak="0">
    <w:nsid w:val="0F306A0C"/>
    <w:multiLevelType w:val="hybridMultilevel"/>
    <w:tmpl w:val="A826666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783D57"/>
    <w:multiLevelType w:val="hybridMultilevel"/>
    <w:tmpl w:val="D806DA1A"/>
    <w:lvl w:ilvl="0" w:tplc="F83CC52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15423372"/>
    <w:multiLevelType w:val="hybridMultilevel"/>
    <w:tmpl w:val="8D7EABF2"/>
    <w:lvl w:ilvl="0" w:tplc="0B4A8F3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F43B88"/>
    <w:multiLevelType w:val="hybridMultilevel"/>
    <w:tmpl w:val="0A0CDFA0"/>
    <w:lvl w:ilvl="0" w:tplc="BF4AF312">
      <w:start w:val="1"/>
      <w:numFmt w:val="lowerRoman"/>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AD5084"/>
    <w:multiLevelType w:val="hybridMultilevel"/>
    <w:tmpl w:val="98D0CF7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1" w15:restartNumberingAfterBreak="0">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6EE4430"/>
    <w:multiLevelType w:val="hybridMultilevel"/>
    <w:tmpl w:val="3FE2373C"/>
    <w:lvl w:ilvl="0" w:tplc="7752E4C0">
      <w:start w:val="1"/>
      <w:numFmt w:val="lowerRoman"/>
      <w:lvlText w:val="(%1)"/>
      <w:lvlJc w:val="left"/>
      <w:pPr>
        <w:ind w:left="2070" w:hanging="720"/>
      </w:pPr>
      <w:rPr>
        <w:rFonts w:hint="default"/>
      </w:rPr>
    </w:lvl>
    <w:lvl w:ilvl="1" w:tplc="1C090019" w:tentative="1">
      <w:start w:val="1"/>
      <w:numFmt w:val="lowerLetter"/>
      <w:lvlText w:val="%2."/>
      <w:lvlJc w:val="left"/>
      <w:pPr>
        <w:ind w:left="2430" w:hanging="360"/>
      </w:pPr>
    </w:lvl>
    <w:lvl w:ilvl="2" w:tplc="1C09001B" w:tentative="1">
      <w:start w:val="1"/>
      <w:numFmt w:val="lowerRoman"/>
      <w:lvlText w:val="%3."/>
      <w:lvlJc w:val="right"/>
      <w:pPr>
        <w:ind w:left="3150" w:hanging="180"/>
      </w:pPr>
    </w:lvl>
    <w:lvl w:ilvl="3" w:tplc="1C09000F" w:tentative="1">
      <w:start w:val="1"/>
      <w:numFmt w:val="decimal"/>
      <w:lvlText w:val="%4."/>
      <w:lvlJc w:val="left"/>
      <w:pPr>
        <w:ind w:left="3870" w:hanging="360"/>
      </w:pPr>
    </w:lvl>
    <w:lvl w:ilvl="4" w:tplc="1C090019" w:tentative="1">
      <w:start w:val="1"/>
      <w:numFmt w:val="lowerLetter"/>
      <w:lvlText w:val="%5."/>
      <w:lvlJc w:val="left"/>
      <w:pPr>
        <w:ind w:left="4590" w:hanging="360"/>
      </w:pPr>
    </w:lvl>
    <w:lvl w:ilvl="5" w:tplc="1C09001B" w:tentative="1">
      <w:start w:val="1"/>
      <w:numFmt w:val="lowerRoman"/>
      <w:lvlText w:val="%6."/>
      <w:lvlJc w:val="right"/>
      <w:pPr>
        <w:ind w:left="5310" w:hanging="180"/>
      </w:pPr>
    </w:lvl>
    <w:lvl w:ilvl="6" w:tplc="1C09000F" w:tentative="1">
      <w:start w:val="1"/>
      <w:numFmt w:val="decimal"/>
      <w:lvlText w:val="%7."/>
      <w:lvlJc w:val="left"/>
      <w:pPr>
        <w:ind w:left="6030" w:hanging="360"/>
      </w:pPr>
    </w:lvl>
    <w:lvl w:ilvl="7" w:tplc="1C090019" w:tentative="1">
      <w:start w:val="1"/>
      <w:numFmt w:val="lowerLetter"/>
      <w:lvlText w:val="%8."/>
      <w:lvlJc w:val="left"/>
      <w:pPr>
        <w:ind w:left="6750" w:hanging="360"/>
      </w:pPr>
    </w:lvl>
    <w:lvl w:ilvl="8" w:tplc="1C09001B" w:tentative="1">
      <w:start w:val="1"/>
      <w:numFmt w:val="lowerRoman"/>
      <w:lvlText w:val="%9."/>
      <w:lvlJc w:val="right"/>
      <w:pPr>
        <w:ind w:left="7470" w:hanging="180"/>
      </w:pPr>
    </w:lvl>
  </w:abstractNum>
  <w:abstractNum w:abstractNumId="13" w15:restartNumberingAfterBreak="0">
    <w:nsid w:val="27E54072"/>
    <w:multiLevelType w:val="hybridMultilevel"/>
    <w:tmpl w:val="EF9E0204"/>
    <w:lvl w:ilvl="0" w:tplc="373A3F1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89629F2"/>
    <w:multiLevelType w:val="hybridMultilevel"/>
    <w:tmpl w:val="71D6B5EC"/>
    <w:lvl w:ilvl="0" w:tplc="F6E2BC9E">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5" w15:restartNumberingAfterBreak="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F3456"/>
    <w:multiLevelType w:val="hybridMultilevel"/>
    <w:tmpl w:val="19A880C4"/>
    <w:lvl w:ilvl="0" w:tplc="08C6CE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5F16AE"/>
    <w:multiLevelType w:val="hybridMultilevel"/>
    <w:tmpl w:val="8A102CE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15:restartNumberingAfterBreak="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DE173B1"/>
    <w:multiLevelType w:val="hybridMultilevel"/>
    <w:tmpl w:val="98D0CF7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5" w15:restartNumberingAfterBreak="0">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5F865E5"/>
    <w:multiLevelType w:val="hybridMultilevel"/>
    <w:tmpl w:val="E954EBE8"/>
    <w:lvl w:ilvl="0" w:tplc="7518865C">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897656F"/>
    <w:multiLevelType w:val="multilevel"/>
    <w:tmpl w:val="56DA691A"/>
    <w:lvl w:ilvl="0">
      <w:start w:val="1"/>
      <w:numFmt w:val="decimal"/>
      <w:lvlText w:val="%1."/>
      <w:lvlJc w:val="left"/>
      <w:pPr>
        <w:ind w:left="720" w:hanging="360"/>
      </w:pPr>
      <w:rPr>
        <w:rFonts w:ascii="Arial Narrow" w:hAnsi="Arial Narrow" w:hint="default"/>
        <w:b w:val="0"/>
        <w:bCs/>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F24128"/>
    <w:multiLevelType w:val="hybridMultilevel"/>
    <w:tmpl w:val="A87A0396"/>
    <w:lvl w:ilvl="0" w:tplc="D8860F8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984428D"/>
    <w:multiLevelType w:val="hybridMultilevel"/>
    <w:tmpl w:val="092EA4A8"/>
    <w:lvl w:ilvl="0" w:tplc="5DE2047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1A110C"/>
    <w:multiLevelType w:val="hybridMultilevel"/>
    <w:tmpl w:val="5C94F4AA"/>
    <w:lvl w:ilvl="0" w:tplc="FD96EFE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73FA15D1"/>
    <w:multiLevelType w:val="hybridMultilevel"/>
    <w:tmpl w:val="356E4040"/>
    <w:lvl w:ilvl="0" w:tplc="B3B0EDB8">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8"/>
  </w:num>
  <w:num w:numId="4">
    <w:abstractNumId w:val="25"/>
  </w:num>
  <w:num w:numId="5">
    <w:abstractNumId w:val="29"/>
  </w:num>
  <w:num w:numId="6">
    <w:abstractNumId w:val="35"/>
  </w:num>
  <w:num w:numId="7">
    <w:abstractNumId w:val="16"/>
  </w:num>
  <w:num w:numId="8">
    <w:abstractNumId w:val="23"/>
  </w:num>
  <w:num w:numId="9">
    <w:abstractNumId w:val="11"/>
  </w:num>
  <w:num w:numId="10">
    <w:abstractNumId w:val="15"/>
  </w:num>
  <w:num w:numId="11">
    <w:abstractNumId w:val="5"/>
  </w:num>
  <w:num w:numId="12">
    <w:abstractNumId w:val="8"/>
  </w:num>
  <w:num w:numId="13">
    <w:abstractNumId w:val="20"/>
  </w:num>
  <w:num w:numId="14">
    <w:abstractNumId w:val="4"/>
  </w:num>
  <w:num w:numId="15">
    <w:abstractNumId w:val="32"/>
  </w:num>
  <w:num w:numId="16">
    <w:abstractNumId w:val="18"/>
  </w:num>
  <w:num w:numId="17">
    <w:abstractNumId w:val="21"/>
  </w:num>
  <w:num w:numId="18">
    <w:abstractNumId w:val="22"/>
  </w:num>
  <w:num w:numId="19">
    <w:abstractNumId w:val="33"/>
  </w:num>
  <w:num w:numId="20">
    <w:abstractNumId w:val="7"/>
  </w:num>
  <w:num w:numId="21">
    <w:abstractNumId w:val="2"/>
  </w:num>
  <w:num w:numId="22">
    <w:abstractNumId w:val="14"/>
  </w:num>
  <w:num w:numId="23">
    <w:abstractNumId w:val="6"/>
  </w:num>
  <w:num w:numId="24">
    <w:abstractNumId w:val="13"/>
  </w:num>
  <w:num w:numId="25">
    <w:abstractNumId w:val="17"/>
  </w:num>
  <w:num w:numId="26">
    <w:abstractNumId w:val="31"/>
  </w:num>
  <w:num w:numId="27">
    <w:abstractNumId w:val="12"/>
  </w:num>
  <w:num w:numId="28">
    <w:abstractNumId w:val="9"/>
  </w:num>
  <w:num w:numId="29">
    <w:abstractNumId w:val="0"/>
  </w:num>
  <w:num w:numId="30">
    <w:abstractNumId w:val="19"/>
  </w:num>
  <w:num w:numId="31">
    <w:abstractNumId w:val="26"/>
  </w:num>
  <w:num w:numId="32">
    <w:abstractNumId w:val="30"/>
  </w:num>
  <w:num w:numId="33">
    <w:abstractNumId w:val="34"/>
  </w:num>
  <w:num w:numId="34">
    <w:abstractNumId w:val="10"/>
  </w:num>
  <w:num w:numId="35">
    <w:abstractNumId w:val="3"/>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1C"/>
    <w:rsid w:val="00002D49"/>
    <w:rsid w:val="000064D9"/>
    <w:rsid w:val="000156B7"/>
    <w:rsid w:val="000447FF"/>
    <w:rsid w:val="00093FD5"/>
    <w:rsid w:val="000A485C"/>
    <w:rsid w:val="000C1878"/>
    <w:rsid w:val="000C1E34"/>
    <w:rsid w:val="00152C66"/>
    <w:rsid w:val="00163010"/>
    <w:rsid w:val="00170F21"/>
    <w:rsid w:val="0017151F"/>
    <w:rsid w:val="0019048E"/>
    <w:rsid w:val="001B5B4C"/>
    <w:rsid w:val="001C51D7"/>
    <w:rsid w:val="001E0ECA"/>
    <w:rsid w:val="001E209F"/>
    <w:rsid w:val="00211F30"/>
    <w:rsid w:val="002201F0"/>
    <w:rsid w:val="00223688"/>
    <w:rsid w:val="002334C3"/>
    <w:rsid w:val="00234A95"/>
    <w:rsid w:val="002367BC"/>
    <w:rsid w:val="002544BA"/>
    <w:rsid w:val="00255859"/>
    <w:rsid w:val="00295C33"/>
    <w:rsid w:val="00295F38"/>
    <w:rsid w:val="002C3BDB"/>
    <w:rsid w:val="002E5DD8"/>
    <w:rsid w:val="00311D2C"/>
    <w:rsid w:val="00312764"/>
    <w:rsid w:val="00315781"/>
    <w:rsid w:val="00315B81"/>
    <w:rsid w:val="003241E3"/>
    <w:rsid w:val="00337820"/>
    <w:rsid w:val="00340D67"/>
    <w:rsid w:val="00346BE3"/>
    <w:rsid w:val="00374372"/>
    <w:rsid w:val="003859A1"/>
    <w:rsid w:val="003A610E"/>
    <w:rsid w:val="003B4B54"/>
    <w:rsid w:val="003D4C20"/>
    <w:rsid w:val="003E47DE"/>
    <w:rsid w:val="003E48F3"/>
    <w:rsid w:val="003F008E"/>
    <w:rsid w:val="003F5242"/>
    <w:rsid w:val="00430C98"/>
    <w:rsid w:val="004402DF"/>
    <w:rsid w:val="00441B21"/>
    <w:rsid w:val="004533CC"/>
    <w:rsid w:val="00454CE0"/>
    <w:rsid w:val="00462954"/>
    <w:rsid w:val="00481085"/>
    <w:rsid w:val="00494C4E"/>
    <w:rsid w:val="004B2EAC"/>
    <w:rsid w:val="004B5EB2"/>
    <w:rsid w:val="004D1653"/>
    <w:rsid w:val="004E57D6"/>
    <w:rsid w:val="004F4CB7"/>
    <w:rsid w:val="00511520"/>
    <w:rsid w:val="00535081"/>
    <w:rsid w:val="00535EE6"/>
    <w:rsid w:val="00544D09"/>
    <w:rsid w:val="005511DC"/>
    <w:rsid w:val="00552706"/>
    <w:rsid w:val="005560AC"/>
    <w:rsid w:val="00562885"/>
    <w:rsid w:val="00581E48"/>
    <w:rsid w:val="005878F6"/>
    <w:rsid w:val="005A49A7"/>
    <w:rsid w:val="005B092B"/>
    <w:rsid w:val="005B54E3"/>
    <w:rsid w:val="005C17B0"/>
    <w:rsid w:val="005C2A20"/>
    <w:rsid w:val="005C2DF2"/>
    <w:rsid w:val="005D2422"/>
    <w:rsid w:val="005F5669"/>
    <w:rsid w:val="005F6B46"/>
    <w:rsid w:val="005F756B"/>
    <w:rsid w:val="006009B1"/>
    <w:rsid w:val="00621F3B"/>
    <w:rsid w:val="00642744"/>
    <w:rsid w:val="00646A60"/>
    <w:rsid w:val="006473DA"/>
    <w:rsid w:val="00657CEF"/>
    <w:rsid w:val="00663D35"/>
    <w:rsid w:val="0067053E"/>
    <w:rsid w:val="006758D0"/>
    <w:rsid w:val="00690881"/>
    <w:rsid w:val="00697581"/>
    <w:rsid w:val="006C1492"/>
    <w:rsid w:val="006C5487"/>
    <w:rsid w:val="006D4D17"/>
    <w:rsid w:val="006E236B"/>
    <w:rsid w:val="006E4D79"/>
    <w:rsid w:val="006E6A2E"/>
    <w:rsid w:val="00715293"/>
    <w:rsid w:val="00722819"/>
    <w:rsid w:val="007301DB"/>
    <w:rsid w:val="00736A33"/>
    <w:rsid w:val="007552BE"/>
    <w:rsid w:val="007616F4"/>
    <w:rsid w:val="00763D0C"/>
    <w:rsid w:val="007716AD"/>
    <w:rsid w:val="007723E7"/>
    <w:rsid w:val="00772C67"/>
    <w:rsid w:val="007768A0"/>
    <w:rsid w:val="007B3987"/>
    <w:rsid w:val="007C3D43"/>
    <w:rsid w:val="007D38BC"/>
    <w:rsid w:val="007E4226"/>
    <w:rsid w:val="007E6AAC"/>
    <w:rsid w:val="007E6B0E"/>
    <w:rsid w:val="007E7078"/>
    <w:rsid w:val="007F6111"/>
    <w:rsid w:val="00807B20"/>
    <w:rsid w:val="00827BB5"/>
    <w:rsid w:val="00863755"/>
    <w:rsid w:val="00871011"/>
    <w:rsid w:val="008712E5"/>
    <w:rsid w:val="008720D5"/>
    <w:rsid w:val="00881102"/>
    <w:rsid w:val="00897B8A"/>
    <w:rsid w:val="008A104C"/>
    <w:rsid w:val="008A3355"/>
    <w:rsid w:val="008A63F1"/>
    <w:rsid w:val="008A740A"/>
    <w:rsid w:val="008B46F4"/>
    <w:rsid w:val="008B6F5B"/>
    <w:rsid w:val="008D1DB4"/>
    <w:rsid w:val="008E4600"/>
    <w:rsid w:val="008F2A72"/>
    <w:rsid w:val="008F6D1C"/>
    <w:rsid w:val="00917BC9"/>
    <w:rsid w:val="00925AEA"/>
    <w:rsid w:val="0092649C"/>
    <w:rsid w:val="009271B1"/>
    <w:rsid w:val="00927917"/>
    <w:rsid w:val="00932C92"/>
    <w:rsid w:val="00952549"/>
    <w:rsid w:val="0095680B"/>
    <w:rsid w:val="00972CF4"/>
    <w:rsid w:val="00974CAC"/>
    <w:rsid w:val="00990542"/>
    <w:rsid w:val="00991917"/>
    <w:rsid w:val="009A2C48"/>
    <w:rsid w:val="009A550D"/>
    <w:rsid w:val="009D691E"/>
    <w:rsid w:val="009E274B"/>
    <w:rsid w:val="009E5203"/>
    <w:rsid w:val="009E71B9"/>
    <w:rsid w:val="00A02645"/>
    <w:rsid w:val="00A20E53"/>
    <w:rsid w:val="00A30FAB"/>
    <w:rsid w:val="00A44196"/>
    <w:rsid w:val="00A509D4"/>
    <w:rsid w:val="00A518CD"/>
    <w:rsid w:val="00A973A4"/>
    <w:rsid w:val="00A97707"/>
    <w:rsid w:val="00AB2A52"/>
    <w:rsid w:val="00AB2D13"/>
    <w:rsid w:val="00AC09D3"/>
    <w:rsid w:val="00AE1611"/>
    <w:rsid w:val="00AE3204"/>
    <w:rsid w:val="00AF2DED"/>
    <w:rsid w:val="00AF59AB"/>
    <w:rsid w:val="00B04889"/>
    <w:rsid w:val="00B15EFA"/>
    <w:rsid w:val="00B174DB"/>
    <w:rsid w:val="00B32C69"/>
    <w:rsid w:val="00B355AA"/>
    <w:rsid w:val="00B5711E"/>
    <w:rsid w:val="00B83E56"/>
    <w:rsid w:val="00B858C7"/>
    <w:rsid w:val="00B87C42"/>
    <w:rsid w:val="00B947A9"/>
    <w:rsid w:val="00BA1913"/>
    <w:rsid w:val="00BB7771"/>
    <w:rsid w:val="00BD2231"/>
    <w:rsid w:val="00C13E19"/>
    <w:rsid w:val="00C20A1A"/>
    <w:rsid w:val="00C24040"/>
    <w:rsid w:val="00C31B22"/>
    <w:rsid w:val="00C31C48"/>
    <w:rsid w:val="00C51D01"/>
    <w:rsid w:val="00C7023E"/>
    <w:rsid w:val="00C72175"/>
    <w:rsid w:val="00C92035"/>
    <w:rsid w:val="00C9642D"/>
    <w:rsid w:val="00CB6166"/>
    <w:rsid w:val="00CE37BA"/>
    <w:rsid w:val="00CF14F6"/>
    <w:rsid w:val="00CF512C"/>
    <w:rsid w:val="00D31ACB"/>
    <w:rsid w:val="00D43005"/>
    <w:rsid w:val="00D57CEE"/>
    <w:rsid w:val="00D615B2"/>
    <w:rsid w:val="00DA4DDD"/>
    <w:rsid w:val="00DC22B5"/>
    <w:rsid w:val="00DD7FF0"/>
    <w:rsid w:val="00DE06AF"/>
    <w:rsid w:val="00DE67A1"/>
    <w:rsid w:val="00E071FE"/>
    <w:rsid w:val="00E63072"/>
    <w:rsid w:val="00E7725B"/>
    <w:rsid w:val="00EA5E64"/>
    <w:rsid w:val="00ED0BD0"/>
    <w:rsid w:val="00ED0DBE"/>
    <w:rsid w:val="00ED306B"/>
    <w:rsid w:val="00EE37AD"/>
    <w:rsid w:val="00F43AEC"/>
    <w:rsid w:val="00F445BC"/>
    <w:rsid w:val="00F4616B"/>
    <w:rsid w:val="00FA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EAE33C"/>
  <w15:docId w15:val="{7D8BF631-2A4E-46B4-B5D5-42B5A70F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60"/>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7616F4"/>
    <w:pPr>
      <w:keepNext/>
      <w:widowControl w:val="0"/>
      <w:snapToGrid w:val="0"/>
      <w:spacing w:line="360" w:lineRule="auto"/>
      <w:jc w:val="both"/>
      <w:outlineLvl w:val="2"/>
    </w:pPr>
    <w:rPr>
      <w:b/>
      <w:szCs w:val="20"/>
    </w:rPr>
  </w:style>
  <w:style w:type="paragraph" w:styleId="Heading4">
    <w:name w:val="heading 4"/>
    <w:basedOn w:val="Normal"/>
    <w:next w:val="Normal"/>
    <w:link w:val="Heading4Char"/>
    <w:unhideWhenUsed/>
    <w:qFormat/>
    <w:rsid w:val="00A973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1C"/>
    <w:pPr>
      <w:ind w:left="720"/>
      <w:contextualSpacing/>
    </w:pPr>
  </w:style>
  <w:style w:type="character" w:customStyle="1" w:styleId="Heading3Char">
    <w:name w:val="Heading 3 Char"/>
    <w:basedOn w:val="DefaultParagraphFont"/>
    <w:link w:val="Heading3"/>
    <w:semiHidden/>
    <w:rsid w:val="007616F4"/>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616F4"/>
    <w:pPr>
      <w:tabs>
        <w:tab w:val="center" w:pos="4320"/>
        <w:tab w:val="right" w:pos="8640"/>
      </w:tabs>
    </w:pPr>
  </w:style>
  <w:style w:type="character" w:customStyle="1" w:styleId="HeaderChar">
    <w:name w:val="Header Char"/>
    <w:basedOn w:val="DefaultParagraphFont"/>
    <w:link w:val="Header"/>
    <w:uiPriority w:val="99"/>
    <w:rsid w:val="007616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18CD"/>
    <w:pPr>
      <w:tabs>
        <w:tab w:val="center" w:pos="4680"/>
        <w:tab w:val="right" w:pos="9360"/>
      </w:tabs>
    </w:pPr>
  </w:style>
  <w:style w:type="character" w:customStyle="1" w:styleId="FooterChar">
    <w:name w:val="Footer Char"/>
    <w:basedOn w:val="DefaultParagraphFont"/>
    <w:link w:val="Footer"/>
    <w:uiPriority w:val="99"/>
    <w:rsid w:val="00A518CD"/>
    <w:rPr>
      <w:rFonts w:ascii="Times New Roman" w:eastAsia="Times New Roman" w:hAnsi="Times New Roman" w:cs="Times New Roman"/>
      <w:sz w:val="24"/>
      <w:szCs w:val="24"/>
    </w:rPr>
  </w:style>
  <w:style w:type="character" w:styleId="PageNumber">
    <w:name w:val="page number"/>
    <w:basedOn w:val="DefaultParagraphFont"/>
    <w:rsid w:val="00A518CD"/>
  </w:style>
  <w:style w:type="character" w:customStyle="1" w:styleId="Heading4Char">
    <w:name w:val="Heading 4 Char"/>
    <w:basedOn w:val="DefaultParagraphFont"/>
    <w:link w:val="Heading4"/>
    <w:rsid w:val="00A973A4"/>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A973A4"/>
    <w:pPr>
      <w:jc w:val="center"/>
    </w:pPr>
    <w:rPr>
      <w:lang w:val="en-GB"/>
    </w:rPr>
  </w:style>
  <w:style w:type="character" w:customStyle="1" w:styleId="BodyTextChar">
    <w:name w:val="Body Text Char"/>
    <w:basedOn w:val="DefaultParagraphFont"/>
    <w:link w:val="BodyText"/>
    <w:rsid w:val="00A973A4"/>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A973A4"/>
    <w:pPr>
      <w:ind w:left="1440"/>
    </w:pPr>
    <w:rPr>
      <w:lang w:val="en-GB"/>
    </w:rPr>
  </w:style>
  <w:style w:type="character" w:customStyle="1" w:styleId="BodyTextIndentChar">
    <w:name w:val="Body Text Indent Char"/>
    <w:basedOn w:val="DefaultParagraphFont"/>
    <w:link w:val="BodyTextIndent"/>
    <w:rsid w:val="00A973A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973A4"/>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973A4"/>
    <w:rPr>
      <w:rFonts w:ascii="Tahoma" w:eastAsia="Calibri" w:hAnsi="Tahoma" w:cs="Tahoma"/>
      <w:sz w:val="16"/>
      <w:szCs w:val="16"/>
    </w:rPr>
  </w:style>
  <w:style w:type="paragraph" w:styleId="BodyTextIndent2">
    <w:name w:val="Body Text Indent 2"/>
    <w:basedOn w:val="Normal"/>
    <w:link w:val="BodyTextIndent2Char"/>
    <w:uiPriority w:val="99"/>
    <w:semiHidden/>
    <w:unhideWhenUsed/>
    <w:rsid w:val="00A973A4"/>
    <w:pPr>
      <w:spacing w:after="120" w:line="480" w:lineRule="auto"/>
      <w:ind w:left="360"/>
    </w:pPr>
    <w:rPr>
      <w:rFonts w:ascii="Calibri" w:eastAsia="Calibri" w:hAnsi="Calibri"/>
      <w:sz w:val="22"/>
      <w:szCs w:val="22"/>
    </w:rPr>
  </w:style>
  <w:style w:type="character" w:customStyle="1" w:styleId="BodyTextIndent2Char">
    <w:name w:val="Body Text Indent 2 Char"/>
    <w:basedOn w:val="DefaultParagraphFont"/>
    <w:link w:val="BodyTextIndent2"/>
    <w:uiPriority w:val="99"/>
    <w:semiHidden/>
    <w:rsid w:val="00A973A4"/>
    <w:rPr>
      <w:rFonts w:ascii="Calibri" w:eastAsia="Calibri" w:hAnsi="Calibri" w:cs="Times New Roman"/>
    </w:rPr>
  </w:style>
  <w:style w:type="paragraph" w:styleId="FootnoteText">
    <w:name w:val="footnote text"/>
    <w:basedOn w:val="Normal"/>
    <w:link w:val="FootnoteTextChar"/>
    <w:unhideWhenUsed/>
    <w:rsid w:val="00A973A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rsid w:val="00A973A4"/>
    <w:rPr>
      <w:rFonts w:ascii="Calibri" w:eastAsia="Calibri" w:hAnsi="Calibri" w:cs="Times New Roman"/>
      <w:sz w:val="20"/>
      <w:szCs w:val="20"/>
    </w:rPr>
  </w:style>
  <w:style w:type="character" w:styleId="FootnoteReference">
    <w:name w:val="footnote reference"/>
    <w:unhideWhenUsed/>
    <w:rsid w:val="00A973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912992">
      <w:bodyDiv w:val="1"/>
      <w:marLeft w:val="0"/>
      <w:marRight w:val="0"/>
      <w:marTop w:val="0"/>
      <w:marBottom w:val="0"/>
      <w:divBdr>
        <w:top w:val="none" w:sz="0" w:space="0" w:color="auto"/>
        <w:left w:val="none" w:sz="0" w:space="0" w:color="auto"/>
        <w:bottom w:val="none" w:sz="0" w:space="0" w:color="auto"/>
        <w:right w:val="none" w:sz="0" w:space="0" w:color="auto"/>
      </w:divBdr>
    </w:div>
    <w:div w:id="18559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2020-11-04T18:30:00+00:00</Judgment_x0020_Date>
    <Year xmlns="c1afb1bd-f2fb-40fd-9abb-aea55b4d7662">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187C-6090-47DE-A604-D932DAEEB71C}"/>
</file>

<file path=customXml/itemProps2.xml><?xml version="1.0" encoding="utf-8"?>
<ds:datastoreItem xmlns:ds="http://schemas.openxmlformats.org/officeDocument/2006/customXml" ds:itemID="{15AA8EA8-DFC6-46AF-949D-35829A76E428}"/>
</file>

<file path=customXml/itemProps3.xml><?xml version="1.0" encoding="utf-8"?>
<ds:datastoreItem xmlns:ds="http://schemas.openxmlformats.org/officeDocument/2006/customXml" ds:itemID="{83D410BD-13C7-4268-9AFF-FD718C10EF44}"/>
</file>

<file path=customXml/itemProps4.xml><?xml version="1.0" encoding="utf-8"?>
<ds:datastoreItem xmlns:ds="http://schemas.openxmlformats.org/officeDocument/2006/customXml" ds:itemID="{400DAAE3-DDF8-4B34-9FBE-9390E733183E}"/>
</file>

<file path=docProps/app.xml><?xml version="1.0" encoding="utf-8"?>
<Properties xmlns="http://schemas.openxmlformats.org/officeDocument/2006/extended-properties" xmlns:vt="http://schemas.openxmlformats.org/officeDocument/2006/docPropsVTypes">
  <Template>Normal</Template>
  <TotalTime>1</TotalTime>
  <Pages>14</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Christian v The Judicial Service Commission (HC-MD-CIV-MOT-REV-2020-00025) [2020] NAHCMD 466 (9 October 2020)</vt:lpstr>
    </vt:vector>
  </TitlesOfParts>
  <Company>Hewlett-Packard</Company>
  <LinksUpToDate>false</LinksUpToDate>
  <CharactersWithSpaces>22215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G M Properties (Pty) Ltd v Bank Windhoek Ltd (HC-MD-CIV-MOT-GEN-2019-000195) [2020] NAHCMD 511 (5 November 2020)</dc:title>
  <dc:creator>Kalundu</dc:creator>
  <cp:lastModifiedBy>Administrator</cp:lastModifiedBy>
  <cp:revision>4</cp:revision>
  <dcterms:created xsi:type="dcterms:W3CDTF">2020-11-09T12:57:00Z</dcterms:created>
  <dcterms:modified xsi:type="dcterms:W3CDTF">2020-11-09T12:58:00Z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