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DD" w:rsidRPr="00187BDD" w:rsidRDefault="00187BDD" w:rsidP="00187BDD">
      <w:pPr>
        <w:widowControl w:val="0"/>
        <w:spacing w:after="0" w:line="360" w:lineRule="auto"/>
        <w:ind w:firstLine="720"/>
        <w:jc w:val="center"/>
        <w:rPr>
          <w:rFonts w:ascii="Arial" w:eastAsia="Times New Roman" w:hAnsi="Arial" w:cs="Arial"/>
          <w:b/>
          <w:spacing w:val="-3"/>
          <w:sz w:val="24"/>
          <w:szCs w:val="24"/>
          <w:lang w:val="en-GB"/>
        </w:rPr>
      </w:pPr>
      <w:r w:rsidRPr="00187BDD">
        <w:rPr>
          <w:rFonts w:ascii="Arial" w:eastAsia="Calibri" w:hAnsi="Arial" w:cs="Arial"/>
          <w:noProof/>
        </w:rPr>
        <mc:AlternateContent>
          <mc:Choice Requires="wps">
            <w:drawing>
              <wp:anchor distT="0" distB="0" distL="114300" distR="114300" simplePos="0" relativeHeight="251659264" behindDoc="0" locked="0" layoutInCell="1" allowOverlap="1" wp14:anchorId="7FC455C9" wp14:editId="2A1BFCC7">
                <wp:simplePos x="0" y="0"/>
                <wp:positionH relativeFrom="column">
                  <wp:posOffset>4552950</wp:posOffset>
                </wp:positionH>
                <wp:positionV relativeFrom="paragraph">
                  <wp:posOffset>-57150</wp:posOffset>
                </wp:positionV>
                <wp:extent cx="15621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40B41" w:rsidRDefault="00340B41" w:rsidP="00187BDD">
                            <w:pPr>
                              <w:jc w:val="right"/>
                              <w:rPr>
                                <w:rFonts w:cs="Calibri"/>
                              </w:rPr>
                            </w:pPr>
                            <w:r>
                              <w:rPr>
                                <w:rFonts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55C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Ld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p4SwzRK&#10;9CTGQD7ASIrIzmB9iZceLV4LIx6jyqlSbx+A//TEwLZnphN3zsHQC9ZgdvP4Mrt4OuH4CFIPX6DB&#10;MGwfIAGNrdOROiSDIDqqdDwrE1PhMeRyVcxzdHH0FYur1TJJl7Hy+bV1PnwSoEncVNSh8gmdHR58&#10;iNmw8vlKDOZByWYnlUqG6+qtcuTAsEt26UsFvLimDBkqerMslhMBr4DQMmC7K6krep3Hb2rASNtH&#10;06RmDEyqaY8pK3PiMVI3kRjGejzpUkNzREYdTG2NY4ibHtxvSgZs6Yr6X3vmBCXqs0FVbuaLRZyB&#10;ZCyWVwUa7tJTX3qY4QhV0UDJtN2GaW721smux0hTHxi4QyVbmUiOkk9ZnfLGtk3cn0YszsWlnW79&#10;/RFs/gA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G0Ky3SUCAABQBAAADgAAAAAAAAAAAAAAAAAuAgAAZHJzL2Uyb0Rv&#10;Yy54bWxQSwECLQAUAAYACAAAACEAT6Rysd8AAAAJAQAADwAAAAAAAAAAAAAAAAB/BAAAZHJzL2Rv&#10;d25yZXYueG1sUEsFBgAAAAAEAAQA8wAAAIsFAAAAAA==&#10;" strokecolor="white">
                <v:textbox>
                  <w:txbxContent>
                    <w:p w:rsidR="00340B41" w:rsidRDefault="00340B41" w:rsidP="00187BDD">
                      <w:pPr>
                        <w:jc w:val="right"/>
                        <w:rPr>
                          <w:rFonts w:cs="Calibri"/>
                        </w:rPr>
                      </w:pPr>
                      <w:r>
                        <w:rPr>
                          <w:rFonts w:cs="Calibri"/>
                        </w:rPr>
                        <w:t>NOT REPORTABLE</w:t>
                      </w:r>
                    </w:p>
                  </w:txbxContent>
                </v:textbox>
              </v:shape>
            </w:pict>
          </mc:Fallback>
        </mc:AlternateContent>
      </w:r>
      <w:r w:rsidRPr="00187BDD">
        <w:rPr>
          <w:rFonts w:ascii="Arial" w:eastAsia="Times New Roman" w:hAnsi="Arial" w:cs="Arial"/>
          <w:b/>
          <w:spacing w:val="-3"/>
          <w:sz w:val="24"/>
          <w:szCs w:val="24"/>
          <w:lang w:val="en-GB"/>
        </w:rPr>
        <w:t>REPUBLIC OF NAMIBIA</w:t>
      </w:r>
    </w:p>
    <w:p w:rsidR="00187BDD" w:rsidRPr="00187BDD" w:rsidRDefault="00187BDD" w:rsidP="00187BDD">
      <w:pPr>
        <w:widowControl w:val="0"/>
        <w:spacing w:after="0" w:line="360" w:lineRule="auto"/>
        <w:jc w:val="center"/>
        <w:rPr>
          <w:rFonts w:ascii="Arial" w:eastAsia="Times New Roman" w:hAnsi="Arial" w:cs="Arial"/>
          <w:b/>
          <w:spacing w:val="-3"/>
          <w:sz w:val="32"/>
          <w:szCs w:val="32"/>
          <w:lang w:val="en-GB"/>
        </w:rPr>
      </w:pPr>
      <w:r w:rsidRPr="00187BDD">
        <w:rPr>
          <w:rFonts w:ascii="Arial" w:eastAsia="Times New Roman" w:hAnsi="Arial" w:cs="Arial"/>
          <w:b/>
          <w:noProof/>
          <w:spacing w:val="-3"/>
          <w:sz w:val="32"/>
          <w:szCs w:val="32"/>
        </w:rPr>
        <w:drawing>
          <wp:inline distT="0" distB="0" distL="0" distR="0" wp14:anchorId="0EBD2268" wp14:editId="08DDA788">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87BDD" w:rsidRPr="00187BDD" w:rsidRDefault="00187BDD" w:rsidP="00187BDD">
      <w:pPr>
        <w:widowControl w:val="0"/>
        <w:spacing w:after="0" w:line="360" w:lineRule="auto"/>
        <w:jc w:val="center"/>
        <w:rPr>
          <w:rFonts w:ascii="Arial" w:eastAsia="Times New Roman" w:hAnsi="Arial" w:cs="Arial"/>
          <w:b/>
          <w:spacing w:val="-3"/>
          <w:sz w:val="24"/>
          <w:szCs w:val="24"/>
          <w:lang w:val="en-GB"/>
        </w:rPr>
      </w:pPr>
    </w:p>
    <w:p w:rsidR="00187BDD" w:rsidRPr="00187BDD" w:rsidRDefault="00187BDD" w:rsidP="00187BDD">
      <w:pPr>
        <w:widowControl w:val="0"/>
        <w:spacing w:after="0" w:line="360" w:lineRule="auto"/>
        <w:jc w:val="center"/>
        <w:rPr>
          <w:rFonts w:ascii="Arial" w:eastAsia="Times New Roman" w:hAnsi="Arial" w:cs="Arial"/>
          <w:bCs/>
          <w:spacing w:val="-3"/>
          <w:sz w:val="24"/>
          <w:szCs w:val="24"/>
          <w:lang w:val="en-GB"/>
        </w:rPr>
      </w:pPr>
      <w:r w:rsidRPr="00187BDD">
        <w:rPr>
          <w:rFonts w:ascii="Arial" w:eastAsia="Times New Roman" w:hAnsi="Arial" w:cs="Arial"/>
          <w:b/>
          <w:spacing w:val="-3"/>
          <w:sz w:val="24"/>
          <w:szCs w:val="24"/>
          <w:lang w:val="en-GB"/>
        </w:rPr>
        <w:t>HIGH COURT OF NAMIBIA MAIN DIVISION, WINDHOEK</w:t>
      </w:r>
    </w:p>
    <w:p w:rsidR="00187BDD" w:rsidRPr="00187BDD" w:rsidRDefault="00187BDD" w:rsidP="00187BDD">
      <w:pPr>
        <w:widowControl w:val="0"/>
        <w:spacing w:after="0" w:line="360" w:lineRule="auto"/>
        <w:jc w:val="center"/>
        <w:rPr>
          <w:rFonts w:ascii="Arial" w:eastAsia="Times New Roman" w:hAnsi="Arial" w:cs="Arial"/>
          <w:b/>
          <w:spacing w:val="-3"/>
          <w:sz w:val="24"/>
          <w:szCs w:val="24"/>
          <w:lang w:val="en-GB"/>
        </w:rPr>
      </w:pPr>
    </w:p>
    <w:p w:rsidR="0018708B" w:rsidRPr="0018708B" w:rsidRDefault="0018708B" w:rsidP="00AB78A1">
      <w:pPr>
        <w:widowControl w:val="0"/>
        <w:spacing w:after="0" w:line="360" w:lineRule="auto"/>
        <w:jc w:val="center"/>
        <w:rPr>
          <w:rFonts w:ascii="Arial" w:eastAsia="Times New Roman" w:hAnsi="Arial" w:cs="Arial"/>
          <w:b/>
          <w:spacing w:val="-3"/>
          <w:sz w:val="24"/>
          <w:szCs w:val="24"/>
        </w:rPr>
      </w:pPr>
      <w:r w:rsidRPr="0018708B">
        <w:rPr>
          <w:rFonts w:ascii="Arial" w:eastAsia="Times New Roman" w:hAnsi="Arial" w:cs="Arial"/>
          <w:b/>
          <w:spacing w:val="-3"/>
          <w:sz w:val="24"/>
          <w:szCs w:val="24"/>
        </w:rPr>
        <w:t>RULING ON APPLICATION FOR ABSOLUTION FROM THE INSTANCE</w:t>
      </w:r>
    </w:p>
    <w:p w:rsidR="00187BDD" w:rsidRPr="00187BDD" w:rsidRDefault="00187BDD" w:rsidP="00187BDD">
      <w:pPr>
        <w:widowControl w:val="0"/>
        <w:spacing w:after="0" w:line="360" w:lineRule="auto"/>
        <w:jc w:val="right"/>
        <w:rPr>
          <w:rFonts w:ascii="Arial" w:eastAsia="Times New Roman" w:hAnsi="Arial" w:cs="Arial"/>
          <w:spacing w:val="-3"/>
          <w:sz w:val="24"/>
          <w:szCs w:val="24"/>
          <w:lang w:val="en-GB"/>
        </w:rPr>
      </w:pPr>
    </w:p>
    <w:p w:rsidR="00187BDD" w:rsidRPr="00187BDD" w:rsidRDefault="00187BDD" w:rsidP="00187BDD">
      <w:pPr>
        <w:widowControl w:val="0"/>
        <w:spacing w:after="0" w:line="360" w:lineRule="auto"/>
        <w:jc w:val="right"/>
        <w:rPr>
          <w:rFonts w:ascii="Arial" w:eastAsia="Times New Roman" w:hAnsi="Arial" w:cs="Arial"/>
          <w:spacing w:val="-3"/>
          <w:sz w:val="24"/>
          <w:szCs w:val="24"/>
          <w:lang w:val="en-GB"/>
        </w:rPr>
      </w:pPr>
      <w:r w:rsidRPr="00187BDD">
        <w:rPr>
          <w:rFonts w:ascii="Arial" w:eastAsia="Times New Roman" w:hAnsi="Arial" w:cs="Arial"/>
          <w:spacing w:val="-3"/>
          <w:sz w:val="24"/>
          <w:szCs w:val="24"/>
          <w:lang w:val="en-GB"/>
        </w:rPr>
        <w:t xml:space="preserve">             Case no:</w:t>
      </w:r>
      <w:r w:rsidR="00FB70C9">
        <w:rPr>
          <w:rFonts w:ascii="Arial" w:eastAsia="Times New Roman" w:hAnsi="Arial" w:cs="Arial"/>
          <w:spacing w:val="-3"/>
          <w:sz w:val="24"/>
          <w:szCs w:val="24"/>
          <w:lang w:val="en-GB"/>
        </w:rPr>
        <w:t xml:space="preserve"> </w:t>
      </w:r>
      <w:r w:rsidR="00FB70C9">
        <w:rPr>
          <w:rFonts w:ascii="Arial" w:eastAsia="Times New Roman" w:hAnsi="Arial" w:cs="Arial"/>
          <w:b/>
          <w:bCs/>
          <w:spacing w:val="-3"/>
          <w:sz w:val="24"/>
          <w:szCs w:val="24"/>
          <w:lang w:val="en-GB"/>
        </w:rPr>
        <w:t>HC-MD-CIV-ACT-CON-2018/04675</w:t>
      </w: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r w:rsidRPr="00187BDD">
        <w:rPr>
          <w:rFonts w:ascii="Arial" w:eastAsia="Times New Roman" w:hAnsi="Arial" w:cs="Arial"/>
          <w:spacing w:val="-3"/>
          <w:sz w:val="24"/>
          <w:szCs w:val="24"/>
          <w:lang w:val="en-GB"/>
        </w:rPr>
        <w:t>In the matter between:</w:t>
      </w: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rsidR="00187BDD" w:rsidRPr="00187BDD" w:rsidRDefault="00FB70C9" w:rsidP="00187BDD">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GRAND TRADING CC</w:t>
      </w:r>
      <w:r w:rsidR="00187BDD" w:rsidRPr="00187BDD">
        <w:rPr>
          <w:rFonts w:ascii="Arial" w:eastAsia="Times New Roman" w:hAnsi="Arial" w:cs="Arial"/>
          <w:b/>
          <w:spacing w:val="-3"/>
          <w:sz w:val="24"/>
          <w:szCs w:val="24"/>
          <w:lang w:val="en-GB"/>
        </w:rPr>
        <w:tab/>
      </w:r>
      <w:r w:rsidR="00187BDD">
        <w:rPr>
          <w:rFonts w:ascii="Arial" w:eastAsia="Times New Roman" w:hAnsi="Arial" w:cs="Arial"/>
          <w:b/>
          <w:spacing w:val="-3"/>
          <w:sz w:val="24"/>
          <w:szCs w:val="24"/>
          <w:lang w:val="en-GB"/>
        </w:rPr>
        <w:t>PLAINTIFF</w:t>
      </w:r>
    </w:p>
    <w:p w:rsidR="00187BDD" w:rsidRPr="00187BDD" w:rsidRDefault="00187BDD" w:rsidP="00187BDD">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187BDD" w:rsidRPr="00187BDD" w:rsidRDefault="00FB6C28" w:rsidP="00187BDD">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a</w:t>
      </w:r>
      <w:r w:rsidR="00514B1F" w:rsidRPr="00187BDD">
        <w:rPr>
          <w:rFonts w:ascii="Arial" w:eastAsia="Times New Roman" w:hAnsi="Arial" w:cs="Arial"/>
          <w:spacing w:val="-3"/>
          <w:sz w:val="24"/>
          <w:szCs w:val="24"/>
          <w:lang w:val="en-GB"/>
        </w:rPr>
        <w:t>nd</w:t>
      </w: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rsidR="00187BDD" w:rsidRPr="00187BDD" w:rsidRDefault="00FB70C9" w:rsidP="00187BDD">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ZHONG-MEI ENGINEERING (PTY) LTD</w:t>
      </w:r>
      <w:r w:rsidR="00187BDD" w:rsidRPr="00187BDD">
        <w:rPr>
          <w:rFonts w:ascii="Arial" w:eastAsia="Times New Roman" w:hAnsi="Arial" w:cs="Arial"/>
          <w:b/>
          <w:spacing w:val="-3"/>
          <w:sz w:val="24"/>
          <w:szCs w:val="24"/>
          <w:lang w:val="en-GB"/>
        </w:rPr>
        <w:tab/>
        <w:t xml:space="preserve"> </w:t>
      </w:r>
      <w:r w:rsidR="00187BDD">
        <w:rPr>
          <w:rFonts w:ascii="Arial" w:eastAsia="Times New Roman" w:hAnsi="Arial" w:cs="Arial"/>
          <w:b/>
          <w:spacing w:val="-3"/>
          <w:sz w:val="24"/>
          <w:szCs w:val="24"/>
          <w:lang w:val="en-GB"/>
        </w:rPr>
        <w:t>DEFENDANT</w:t>
      </w:r>
    </w:p>
    <w:p w:rsidR="00187BDD" w:rsidRPr="00187BDD" w:rsidRDefault="00187BDD" w:rsidP="00187BDD">
      <w:pPr>
        <w:widowControl w:val="0"/>
        <w:spacing w:after="0" w:line="360" w:lineRule="auto"/>
        <w:jc w:val="both"/>
        <w:rPr>
          <w:rFonts w:ascii="Arial" w:eastAsia="Times New Roman" w:hAnsi="Arial" w:cs="Arial"/>
          <w:b/>
          <w:spacing w:val="-3"/>
          <w:sz w:val="24"/>
          <w:szCs w:val="24"/>
          <w:u w:val="single"/>
          <w:lang w:val="en-GB"/>
        </w:rPr>
      </w:pPr>
    </w:p>
    <w:p w:rsidR="00340B41" w:rsidRPr="005D6C92" w:rsidRDefault="00187BDD" w:rsidP="00340B41">
      <w:pPr>
        <w:spacing w:after="0" w:line="360" w:lineRule="auto"/>
        <w:ind w:left="2160" w:hanging="2160"/>
        <w:jc w:val="both"/>
        <w:rPr>
          <w:rFonts w:ascii="Arial" w:hAnsi="Arial" w:cs="Arial"/>
          <w:sz w:val="24"/>
          <w:szCs w:val="24"/>
        </w:rPr>
      </w:pPr>
      <w:r w:rsidRPr="00187BDD">
        <w:rPr>
          <w:rFonts w:ascii="Arial" w:eastAsia="Times New Roman" w:hAnsi="Arial" w:cs="Arial"/>
          <w:b/>
          <w:spacing w:val="-3"/>
          <w:sz w:val="24"/>
          <w:szCs w:val="24"/>
          <w:lang w:val="en-GB"/>
        </w:rPr>
        <w:t>Neutral citation:</w:t>
      </w:r>
      <w:r w:rsidRPr="00187BDD">
        <w:rPr>
          <w:rFonts w:ascii="Arial" w:eastAsia="Times New Roman" w:hAnsi="Arial" w:cs="Arial"/>
          <w:b/>
          <w:spacing w:val="-3"/>
          <w:sz w:val="24"/>
          <w:szCs w:val="24"/>
          <w:lang w:val="en-GB"/>
        </w:rPr>
        <w:tab/>
      </w:r>
      <w:r w:rsidR="00340B41">
        <w:rPr>
          <w:rFonts w:ascii="Arial" w:hAnsi="Arial" w:cs="Arial"/>
          <w:i/>
          <w:sz w:val="24"/>
          <w:szCs w:val="24"/>
        </w:rPr>
        <w:t xml:space="preserve">Grand Trading cc v Zhong-Mei Engineering (Pty) Ltd </w:t>
      </w:r>
      <w:r w:rsidR="00340B41" w:rsidRPr="00466C0D">
        <w:rPr>
          <w:rFonts w:ascii="Arial" w:hAnsi="Arial" w:cs="Arial"/>
          <w:sz w:val="24"/>
          <w:szCs w:val="24"/>
        </w:rPr>
        <w:t>(HC-MD-CIV-</w:t>
      </w:r>
      <w:r w:rsidR="00340B41">
        <w:rPr>
          <w:rFonts w:ascii="Arial" w:hAnsi="Arial" w:cs="Arial"/>
          <w:sz w:val="24"/>
          <w:szCs w:val="24"/>
        </w:rPr>
        <w:t>ACT</w:t>
      </w:r>
      <w:r w:rsidR="00340B41" w:rsidRPr="00466C0D">
        <w:rPr>
          <w:rFonts w:ascii="Arial" w:hAnsi="Arial" w:cs="Arial"/>
          <w:sz w:val="24"/>
          <w:szCs w:val="24"/>
        </w:rPr>
        <w:t>-</w:t>
      </w:r>
      <w:r w:rsidR="00340B41">
        <w:rPr>
          <w:rFonts w:ascii="Arial" w:hAnsi="Arial" w:cs="Arial"/>
          <w:sz w:val="24"/>
          <w:szCs w:val="24"/>
        </w:rPr>
        <w:t>CON</w:t>
      </w:r>
      <w:r w:rsidR="00340B41" w:rsidRPr="00466C0D">
        <w:rPr>
          <w:rFonts w:ascii="Arial" w:hAnsi="Arial" w:cs="Arial"/>
          <w:sz w:val="24"/>
          <w:szCs w:val="24"/>
        </w:rPr>
        <w:t>-201</w:t>
      </w:r>
      <w:r w:rsidR="00340B41">
        <w:rPr>
          <w:rFonts w:ascii="Arial" w:hAnsi="Arial" w:cs="Arial"/>
          <w:sz w:val="24"/>
          <w:szCs w:val="24"/>
        </w:rPr>
        <w:t>8</w:t>
      </w:r>
      <w:r w:rsidR="00340B41" w:rsidRPr="00466C0D">
        <w:rPr>
          <w:rFonts w:ascii="Arial" w:hAnsi="Arial" w:cs="Arial"/>
          <w:sz w:val="24"/>
          <w:szCs w:val="24"/>
        </w:rPr>
        <w:t>/</w:t>
      </w:r>
      <w:r w:rsidR="00340B41">
        <w:rPr>
          <w:rFonts w:ascii="Arial" w:hAnsi="Arial" w:cs="Arial"/>
          <w:sz w:val="24"/>
          <w:szCs w:val="24"/>
        </w:rPr>
        <w:t>04675</w:t>
      </w:r>
      <w:r w:rsidR="00340B41" w:rsidRPr="005D6C92">
        <w:rPr>
          <w:rFonts w:ascii="Arial" w:hAnsi="Arial" w:cs="Arial"/>
          <w:sz w:val="24"/>
          <w:szCs w:val="24"/>
        </w:rPr>
        <w:t>) [20</w:t>
      </w:r>
      <w:r w:rsidR="00340B41">
        <w:rPr>
          <w:rFonts w:ascii="Arial" w:hAnsi="Arial" w:cs="Arial"/>
          <w:sz w:val="24"/>
          <w:szCs w:val="24"/>
        </w:rPr>
        <w:t>20</w:t>
      </w:r>
      <w:r w:rsidR="00340B41" w:rsidRPr="005D6C92">
        <w:rPr>
          <w:rFonts w:ascii="Arial" w:hAnsi="Arial" w:cs="Arial"/>
          <w:sz w:val="24"/>
          <w:szCs w:val="24"/>
        </w:rPr>
        <w:t>] NAHC</w:t>
      </w:r>
      <w:r w:rsidR="00340B41">
        <w:rPr>
          <w:rFonts w:ascii="Arial" w:hAnsi="Arial" w:cs="Arial"/>
          <w:sz w:val="24"/>
          <w:szCs w:val="24"/>
        </w:rPr>
        <w:t>M</w:t>
      </w:r>
      <w:r w:rsidR="00340B41" w:rsidRPr="005D6C92">
        <w:rPr>
          <w:rFonts w:ascii="Arial" w:hAnsi="Arial" w:cs="Arial"/>
          <w:sz w:val="24"/>
          <w:szCs w:val="24"/>
        </w:rPr>
        <w:t xml:space="preserve">D </w:t>
      </w:r>
      <w:r w:rsidR="00340B41">
        <w:rPr>
          <w:rFonts w:ascii="Arial" w:hAnsi="Arial" w:cs="Arial"/>
          <w:sz w:val="24"/>
          <w:szCs w:val="24"/>
        </w:rPr>
        <w:t>516</w:t>
      </w:r>
      <w:r w:rsidR="00340B41" w:rsidRPr="005D6C92">
        <w:rPr>
          <w:rFonts w:ascii="Arial" w:hAnsi="Arial" w:cs="Arial"/>
          <w:sz w:val="24"/>
          <w:szCs w:val="24"/>
        </w:rPr>
        <w:t xml:space="preserve"> (</w:t>
      </w:r>
      <w:r w:rsidR="00340B41">
        <w:rPr>
          <w:rFonts w:ascii="Arial" w:hAnsi="Arial" w:cs="Arial"/>
          <w:sz w:val="24"/>
          <w:szCs w:val="24"/>
        </w:rPr>
        <w:t xml:space="preserve">12 November </w:t>
      </w:r>
      <w:r w:rsidR="00340B41" w:rsidRPr="005D6C92">
        <w:rPr>
          <w:rFonts w:ascii="Arial" w:hAnsi="Arial" w:cs="Arial"/>
          <w:sz w:val="24"/>
          <w:szCs w:val="24"/>
        </w:rPr>
        <w:t>20</w:t>
      </w:r>
      <w:r w:rsidR="00340B41">
        <w:rPr>
          <w:rFonts w:ascii="Arial" w:hAnsi="Arial" w:cs="Arial"/>
          <w:sz w:val="24"/>
          <w:szCs w:val="24"/>
        </w:rPr>
        <w:t>20</w:t>
      </w:r>
      <w:r w:rsidR="00340B41" w:rsidRPr="005D6C92">
        <w:rPr>
          <w:rFonts w:ascii="Arial" w:hAnsi="Arial" w:cs="Arial"/>
          <w:sz w:val="24"/>
          <w:szCs w:val="24"/>
        </w:rPr>
        <w:t>)</w:t>
      </w: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rsidR="00187BDD" w:rsidRPr="00187BDD" w:rsidRDefault="00187BDD" w:rsidP="006F1B33">
      <w:pPr>
        <w:widowControl w:val="0"/>
        <w:spacing w:after="0" w:line="360" w:lineRule="auto"/>
        <w:jc w:val="both"/>
        <w:rPr>
          <w:rFonts w:ascii="Arial" w:eastAsia="Times New Roman" w:hAnsi="Arial" w:cs="Arial"/>
          <w:b/>
          <w:bCs/>
          <w:spacing w:val="-3"/>
          <w:sz w:val="24"/>
          <w:szCs w:val="24"/>
          <w:lang w:val="en-GB"/>
        </w:rPr>
      </w:pPr>
      <w:r w:rsidRPr="00187BDD">
        <w:rPr>
          <w:rFonts w:ascii="Arial" w:eastAsia="Times New Roman" w:hAnsi="Arial" w:cs="Arial"/>
          <w:b/>
          <w:spacing w:val="-3"/>
          <w:sz w:val="24"/>
          <w:szCs w:val="24"/>
          <w:lang w:val="en-GB"/>
        </w:rPr>
        <w:t>Coram:</w:t>
      </w:r>
      <w:r w:rsidRPr="00187BDD">
        <w:rPr>
          <w:rFonts w:ascii="Arial" w:eastAsia="Times New Roman" w:hAnsi="Arial" w:cs="Arial"/>
          <w:spacing w:val="-3"/>
          <w:sz w:val="24"/>
          <w:szCs w:val="24"/>
          <w:lang w:val="en-GB"/>
        </w:rPr>
        <w:tab/>
      </w:r>
      <w:r w:rsidR="00FB70C9">
        <w:rPr>
          <w:rFonts w:ascii="Arial" w:eastAsia="Times New Roman" w:hAnsi="Arial" w:cs="Arial"/>
          <w:spacing w:val="-3"/>
          <w:sz w:val="24"/>
          <w:szCs w:val="24"/>
          <w:lang w:val="en-GB"/>
        </w:rPr>
        <w:t>Schimming-Chase AJ</w:t>
      </w:r>
    </w:p>
    <w:p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b/>
          <w:bCs/>
          <w:spacing w:val="-3"/>
          <w:sz w:val="24"/>
          <w:szCs w:val="24"/>
          <w:lang w:val="en-GB"/>
        </w:rPr>
        <w:t>Heard:</w:t>
      </w:r>
      <w:r>
        <w:rPr>
          <w:rFonts w:ascii="Arial" w:eastAsia="Times New Roman" w:hAnsi="Arial" w:cs="Arial"/>
          <w:b/>
          <w:bCs/>
          <w:spacing w:val="-3"/>
          <w:sz w:val="24"/>
          <w:szCs w:val="24"/>
          <w:lang w:val="en-GB"/>
        </w:rPr>
        <w:tab/>
      </w:r>
      <w:r w:rsidR="00195E5C" w:rsidRPr="00195E5C">
        <w:rPr>
          <w:rFonts w:ascii="Arial" w:eastAsia="Times New Roman" w:hAnsi="Arial" w:cs="Arial"/>
          <w:spacing w:val="-3"/>
          <w:sz w:val="24"/>
          <w:szCs w:val="24"/>
          <w:lang w:val="en-GB"/>
        </w:rPr>
        <w:t>9 November</w:t>
      </w:r>
      <w:r w:rsidR="00663DB1">
        <w:rPr>
          <w:rFonts w:ascii="Arial" w:eastAsia="Times New Roman" w:hAnsi="Arial" w:cs="Arial"/>
          <w:spacing w:val="-3"/>
          <w:sz w:val="24"/>
          <w:szCs w:val="24"/>
          <w:lang w:val="en-GB"/>
        </w:rPr>
        <w:t xml:space="preserve">, </w:t>
      </w:r>
      <w:r w:rsidR="00195E5C">
        <w:rPr>
          <w:rFonts w:ascii="Arial" w:eastAsia="Times New Roman" w:hAnsi="Arial" w:cs="Arial"/>
          <w:spacing w:val="-3"/>
          <w:sz w:val="24"/>
          <w:szCs w:val="24"/>
          <w:lang w:val="en-GB"/>
        </w:rPr>
        <w:t>10 November 2020</w:t>
      </w:r>
    </w:p>
    <w:p w:rsidR="00187BDD" w:rsidRPr="007F6103" w:rsidRDefault="00E94773" w:rsidP="00187BDD">
      <w:pPr>
        <w:widowControl w:val="0"/>
        <w:spacing w:after="0" w:line="360" w:lineRule="auto"/>
        <w:ind w:hanging="2160"/>
        <w:jc w:val="both"/>
        <w:rPr>
          <w:rFonts w:ascii="Arial" w:eastAsia="Times New Roman" w:hAnsi="Arial" w:cs="Arial"/>
          <w:b/>
          <w:bCs/>
          <w:spacing w:val="-3"/>
          <w:sz w:val="24"/>
          <w:szCs w:val="24"/>
          <w:lang w:val="en-GB"/>
        </w:rPr>
      </w:pPr>
      <w:r>
        <w:rPr>
          <w:rFonts w:ascii="Arial" w:eastAsia="Times New Roman" w:hAnsi="Arial" w:cs="Arial"/>
          <w:b/>
          <w:bCs/>
          <w:spacing w:val="-3"/>
          <w:sz w:val="24"/>
          <w:szCs w:val="24"/>
          <w:lang w:val="en-GB"/>
        </w:rPr>
        <w:tab/>
        <w:t>Delivered:</w:t>
      </w:r>
      <w:r>
        <w:rPr>
          <w:rFonts w:ascii="Arial" w:eastAsia="Times New Roman" w:hAnsi="Arial" w:cs="Arial"/>
          <w:b/>
          <w:bCs/>
          <w:spacing w:val="-3"/>
          <w:sz w:val="24"/>
          <w:szCs w:val="24"/>
          <w:lang w:val="en-GB"/>
        </w:rPr>
        <w:tab/>
      </w:r>
      <w:r w:rsidR="00195E5C" w:rsidRPr="007F6103">
        <w:rPr>
          <w:rFonts w:ascii="Arial" w:eastAsia="Times New Roman" w:hAnsi="Arial" w:cs="Arial"/>
          <w:b/>
          <w:bCs/>
          <w:spacing w:val="-3"/>
          <w:sz w:val="24"/>
          <w:szCs w:val="24"/>
          <w:lang w:val="en-GB"/>
        </w:rPr>
        <w:t>12 November 2020</w:t>
      </w:r>
    </w:p>
    <w:p w:rsidR="00187BDD" w:rsidRDefault="00187BDD" w:rsidP="00187BDD">
      <w:pPr>
        <w:widowControl w:val="0"/>
        <w:spacing w:after="0" w:line="360" w:lineRule="auto"/>
        <w:jc w:val="both"/>
        <w:rPr>
          <w:rFonts w:ascii="Arial" w:eastAsia="Times New Roman" w:hAnsi="Arial" w:cs="Arial"/>
          <w:spacing w:val="-3"/>
          <w:sz w:val="24"/>
          <w:szCs w:val="24"/>
          <w:lang w:val="en-GB"/>
        </w:rPr>
      </w:pPr>
    </w:p>
    <w:p w:rsidR="002D23A9" w:rsidRDefault="00873948" w:rsidP="00FB78D7">
      <w:pPr>
        <w:widowControl w:val="0"/>
        <w:tabs>
          <w:tab w:val="left" w:pos="1440"/>
        </w:tabs>
        <w:spacing w:after="0" w:line="360" w:lineRule="auto"/>
        <w:jc w:val="both"/>
        <w:rPr>
          <w:rFonts w:ascii="Arial" w:eastAsia="Times New Roman" w:hAnsi="Arial" w:cs="Arial"/>
          <w:spacing w:val="-3"/>
          <w:sz w:val="24"/>
          <w:szCs w:val="24"/>
        </w:rPr>
      </w:pPr>
      <w:r w:rsidRPr="00FB78D7">
        <w:rPr>
          <w:rFonts w:ascii="Arial" w:eastAsia="Times New Roman" w:hAnsi="Arial" w:cs="Arial"/>
          <w:b/>
          <w:spacing w:val="-3"/>
          <w:sz w:val="24"/>
          <w:szCs w:val="24"/>
          <w:lang w:val="en-GB"/>
        </w:rPr>
        <w:t>Flynote:</w:t>
      </w:r>
      <w:r w:rsidRPr="00FB78D7">
        <w:rPr>
          <w:rFonts w:ascii="Arial" w:eastAsia="Times New Roman" w:hAnsi="Arial" w:cs="Arial"/>
          <w:b/>
          <w:spacing w:val="-3"/>
          <w:sz w:val="24"/>
          <w:szCs w:val="24"/>
          <w:lang w:val="en-GB"/>
        </w:rPr>
        <w:tab/>
      </w:r>
      <w:r w:rsidR="00C91218" w:rsidRPr="00C91218">
        <w:rPr>
          <w:rFonts w:ascii="Arial" w:eastAsia="Times New Roman" w:hAnsi="Arial" w:cs="Arial"/>
          <w:b/>
          <w:spacing w:val="-3"/>
          <w:sz w:val="24"/>
          <w:szCs w:val="24"/>
          <w:lang w:val="en-GB"/>
        </w:rPr>
        <w:t>C</w:t>
      </w:r>
      <w:r w:rsidR="00C91218">
        <w:rPr>
          <w:rFonts w:ascii="Arial" w:eastAsia="Times New Roman" w:hAnsi="Arial" w:cs="Arial"/>
          <w:b/>
          <w:spacing w:val="-3"/>
          <w:sz w:val="24"/>
          <w:szCs w:val="24"/>
          <w:lang w:val="en-GB"/>
        </w:rPr>
        <w:t>ivil</w:t>
      </w:r>
      <w:r w:rsidR="00C91218" w:rsidRPr="00C91218">
        <w:rPr>
          <w:rFonts w:ascii="Arial" w:eastAsia="Times New Roman" w:hAnsi="Arial" w:cs="Arial"/>
          <w:b/>
          <w:spacing w:val="-3"/>
          <w:sz w:val="24"/>
          <w:szCs w:val="24"/>
          <w:lang w:val="en-GB"/>
        </w:rPr>
        <w:t xml:space="preserve"> P</w:t>
      </w:r>
      <w:r w:rsidR="00C91218">
        <w:rPr>
          <w:rFonts w:ascii="Arial" w:eastAsia="Times New Roman" w:hAnsi="Arial" w:cs="Arial"/>
          <w:b/>
          <w:spacing w:val="-3"/>
          <w:sz w:val="24"/>
          <w:szCs w:val="24"/>
          <w:lang w:val="en-GB"/>
        </w:rPr>
        <w:t xml:space="preserve">rocedure </w:t>
      </w:r>
      <w:r w:rsidR="00C91218" w:rsidRPr="00C91218">
        <w:rPr>
          <w:rFonts w:ascii="Arial" w:eastAsia="Times New Roman" w:hAnsi="Arial" w:cs="Arial"/>
          <w:b/>
          <w:spacing w:val="-3"/>
          <w:sz w:val="24"/>
          <w:szCs w:val="24"/>
          <w:lang w:val="en-GB"/>
        </w:rPr>
        <w:t xml:space="preserve">– </w:t>
      </w:r>
      <w:r w:rsidR="00C91218" w:rsidRPr="002D23A9">
        <w:rPr>
          <w:rFonts w:ascii="Arial" w:eastAsia="Times New Roman" w:hAnsi="Arial" w:cs="Arial"/>
          <w:bCs/>
          <w:spacing w:val="-3"/>
          <w:sz w:val="24"/>
          <w:szCs w:val="24"/>
          <w:lang w:val="en-GB"/>
        </w:rPr>
        <w:t xml:space="preserve">Absolution from the instance – principles governing the application – when absolution from the instance is sought at the close of plaintiff’s case, the test to be applied is not whether the evidence led by the plaintiff establishes what would </w:t>
      </w:r>
      <w:r w:rsidR="00C91218" w:rsidRPr="002D23A9">
        <w:rPr>
          <w:rFonts w:ascii="Arial" w:eastAsia="Times New Roman" w:hAnsi="Arial" w:cs="Arial"/>
          <w:bCs/>
          <w:spacing w:val="-3"/>
          <w:sz w:val="24"/>
          <w:szCs w:val="24"/>
          <w:lang w:val="en-GB"/>
        </w:rPr>
        <w:lastRenderedPageBreak/>
        <w:t xml:space="preserve">finally be required to be established </w:t>
      </w:r>
      <w:r w:rsidR="002D23A9">
        <w:rPr>
          <w:rFonts w:ascii="Arial" w:eastAsia="Times New Roman" w:hAnsi="Arial" w:cs="Arial"/>
          <w:bCs/>
          <w:spacing w:val="-3"/>
          <w:sz w:val="24"/>
          <w:szCs w:val="24"/>
          <w:lang w:val="en-GB"/>
        </w:rPr>
        <w:t xml:space="preserve">– Whether </w:t>
      </w:r>
      <w:r w:rsidR="00C91218" w:rsidRPr="002D23A9">
        <w:rPr>
          <w:rFonts w:ascii="Arial" w:eastAsia="Times New Roman" w:hAnsi="Arial" w:cs="Arial"/>
          <w:bCs/>
          <w:spacing w:val="-3"/>
          <w:sz w:val="24"/>
          <w:szCs w:val="24"/>
          <w:lang w:val="en-GB"/>
        </w:rPr>
        <w:t>the court has to consider the strength and quality of the plaintiff’s evidence at this stage</w:t>
      </w:r>
      <w:r w:rsidR="00C86CDC">
        <w:rPr>
          <w:rFonts w:ascii="Arial" w:eastAsia="Times New Roman" w:hAnsi="Arial" w:cs="Arial"/>
          <w:bCs/>
          <w:spacing w:val="-3"/>
          <w:sz w:val="24"/>
          <w:szCs w:val="24"/>
          <w:lang w:val="en-GB"/>
        </w:rPr>
        <w:t xml:space="preserve"> </w:t>
      </w:r>
      <w:r w:rsidR="002D23A9">
        <w:rPr>
          <w:rFonts w:ascii="Arial" w:eastAsia="Times New Roman" w:hAnsi="Arial" w:cs="Arial"/>
          <w:bCs/>
          <w:spacing w:val="-3"/>
          <w:sz w:val="24"/>
          <w:szCs w:val="24"/>
          <w:lang w:val="en-GB"/>
        </w:rPr>
        <w:t>-</w:t>
      </w:r>
      <w:r>
        <w:rPr>
          <w:rFonts w:ascii="Arial" w:eastAsia="Times New Roman" w:hAnsi="Arial" w:cs="Arial"/>
          <w:spacing w:val="-3"/>
          <w:sz w:val="24"/>
          <w:szCs w:val="24"/>
          <w:lang w:val="en-ZA"/>
        </w:rPr>
        <w:t xml:space="preserve"> </w:t>
      </w:r>
      <w:r w:rsidRPr="00873948">
        <w:rPr>
          <w:rFonts w:ascii="Arial" w:eastAsia="Times New Roman" w:hAnsi="Arial" w:cs="Arial"/>
          <w:spacing w:val="-3"/>
          <w:sz w:val="24"/>
          <w:szCs w:val="24"/>
        </w:rPr>
        <w:t>Court concluded that in the instant case</w:t>
      </w:r>
      <w:r w:rsidR="002D23A9">
        <w:rPr>
          <w:rFonts w:ascii="Arial" w:eastAsia="Times New Roman" w:hAnsi="Arial" w:cs="Arial"/>
          <w:spacing w:val="-3"/>
          <w:sz w:val="24"/>
          <w:szCs w:val="24"/>
        </w:rPr>
        <w:t>, although the evidence of the plaintiff was unreliable, i</w:t>
      </w:r>
      <w:r w:rsidR="00C86CDC">
        <w:rPr>
          <w:rFonts w:ascii="Arial" w:eastAsia="Times New Roman" w:hAnsi="Arial" w:cs="Arial"/>
          <w:spacing w:val="-3"/>
          <w:sz w:val="24"/>
          <w:szCs w:val="24"/>
        </w:rPr>
        <w:t>t</w:t>
      </w:r>
      <w:r w:rsidR="002D23A9">
        <w:rPr>
          <w:rFonts w:ascii="Arial" w:eastAsia="Times New Roman" w:hAnsi="Arial" w:cs="Arial"/>
          <w:spacing w:val="-3"/>
          <w:sz w:val="24"/>
          <w:szCs w:val="24"/>
        </w:rPr>
        <w:t xml:space="preserve"> was not such that it amounted to a pool of contradictions or improbabilities</w:t>
      </w:r>
      <w:r w:rsidR="00C86CDC">
        <w:rPr>
          <w:rFonts w:ascii="Arial" w:eastAsia="Times New Roman" w:hAnsi="Arial" w:cs="Arial"/>
          <w:spacing w:val="-3"/>
          <w:sz w:val="24"/>
          <w:szCs w:val="24"/>
        </w:rPr>
        <w:t>, rendering the totality of the evidence inherently false for purposes of absolution from the instance</w:t>
      </w:r>
      <w:r w:rsidR="002D23A9">
        <w:rPr>
          <w:rFonts w:ascii="Arial" w:eastAsia="Times New Roman" w:hAnsi="Arial" w:cs="Arial"/>
          <w:spacing w:val="-3"/>
          <w:sz w:val="24"/>
          <w:szCs w:val="24"/>
        </w:rPr>
        <w:t xml:space="preserve">. </w:t>
      </w:r>
    </w:p>
    <w:p w:rsidR="00FB78D7" w:rsidRDefault="00FB78D7" w:rsidP="00873948">
      <w:pPr>
        <w:widowControl w:val="0"/>
        <w:tabs>
          <w:tab w:val="left" w:pos="1170"/>
        </w:tabs>
        <w:spacing w:after="0" w:line="360" w:lineRule="auto"/>
        <w:jc w:val="both"/>
        <w:rPr>
          <w:rFonts w:ascii="Arial" w:eastAsia="Times New Roman" w:hAnsi="Arial" w:cs="Arial"/>
          <w:spacing w:val="-3"/>
          <w:sz w:val="24"/>
          <w:szCs w:val="24"/>
          <w:lang w:val="af-ZA"/>
        </w:rPr>
      </w:pPr>
    </w:p>
    <w:p w:rsidR="00EF049C" w:rsidRDefault="00FB78D7" w:rsidP="009E6197">
      <w:pPr>
        <w:widowControl w:val="0"/>
        <w:tabs>
          <w:tab w:val="left" w:pos="1260"/>
        </w:tabs>
        <w:spacing w:after="0" w:line="360" w:lineRule="auto"/>
        <w:jc w:val="both"/>
        <w:rPr>
          <w:rFonts w:ascii="Arial" w:eastAsia="Times New Roman" w:hAnsi="Arial" w:cs="Arial"/>
          <w:spacing w:val="-3"/>
          <w:sz w:val="24"/>
          <w:szCs w:val="24"/>
        </w:rPr>
      </w:pPr>
      <w:r w:rsidRPr="00FB78D7">
        <w:rPr>
          <w:rFonts w:ascii="Arial" w:eastAsia="Times New Roman" w:hAnsi="Arial" w:cs="Arial"/>
          <w:b/>
          <w:spacing w:val="-3"/>
          <w:sz w:val="24"/>
          <w:szCs w:val="24"/>
          <w:lang w:val="af-ZA"/>
        </w:rPr>
        <w:t>Summary:</w:t>
      </w:r>
      <w:r w:rsidRPr="00FB78D7">
        <w:rPr>
          <w:rFonts w:ascii="Arial" w:eastAsia="Times New Roman" w:hAnsi="Arial" w:cs="Arial"/>
          <w:b/>
          <w:spacing w:val="-3"/>
          <w:sz w:val="24"/>
          <w:szCs w:val="24"/>
          <w:lang w:val="af-ZA"/>
        </w:rPr>
        <w:tab/>
      </w:r>
      <w:r>
        <w:rPr>
          <w:rFonts w:ascii="Arial" w:eastAsia="Times New Roman" w:hAnsi="Arial" w:cs="Arial"/>
          <w:b/>
          <w:spacing w:val="-3"/>
          <w:sz w:val="24"/>
          <w:szCs w:val="24"/>
          <w:lang w:val="af-ZA"/>
        </w:rPr>
        <w:tab/>
      </w:r>
      <w:r w:rsidR="00EC3040" w:rsidRPr="00EC3040">
        <w:rPr>
          <w:rFonts w:ascii="Arial" w:eastAsia="Times New Roman" w:hAnsi="Arial" w:cs="Arial"/>
          <w:spacing w:val="-3"/>
          <w:sz w:val="24"/>
          <w:szCs w:val="24"/>
        </w:rPr>
        <w:t>Plaintiff instituted action agai</w:t>
      </w:r>
      <w:r w:rsidR="00EC3040">
        <w:rPr>
          <w:rFonts w:ascii="Arial" w:eastAsia="Times New Roman" w:hAnsi="Arial" w:cs="Arial"/>
          <w:spacing w:val="-3"/>
          <w:sz w:val="24"/>
          <w:szCs w:val="24"/>
        </w:rPr>
        <w:t>ns</w:t>
      </w:r>
      <w:r w:rsidR="00622976">
        <w:rPr>
          <w:rFonts w:ascii="Arial" w:eastAsia="Times New Roman" w:hAnsi="Arial" w:cs="Arial"/>
          <w:spacing w:val="-3"/>
          <w:sz w:val="24"/>
          <w:szCs w:val="24"/>
        </w:rPr>
        <w:t>t the defendant</w:t>
      </w:r>
      <w:r w:rsidR="002D23A9">
        <w:rPr>
          <w:rFonts w:ascii="Arial" w:eastAsia="Times New Roman" w:hAnsi="Arial" w:cs="Arial"/>
          <w:spacing w:val="-3"/>
          <w:sz w:val="24"/>
          <w:szCs w:val="24"/>
        </w:rPr>
        <w:t xml:space="preserve"> </w:t>
      </w:r>
      <w:r w:rsidR="006F6812">
        <w:rPr>
          <w:rFonts w:ascii="Arial" w:eastAsia="Times New Roman" w:hAnsi="Arial" w:cs="Arial"/>
          <w:spacing w:val="-3"/>
          <w:sz w:val="24"/>
          <w:szCs w:val="24"/>
        </w:rPr>
        <w:t xml:space="preserve">for payment of an amount of N$6,204,008.09, </w:t>
      </w:r>
      <w:r w:rsidR="00622976">
        <w:rPr>
          <w:rFonts w:ascii="Arial" w:eastAsia="Times New Roman" w:hAnsi="Arial" w:cs="Arial"/>
          <w:spacing w:val="-3"/>
          <w:sz w:val="24"/>
          <w:szCs w:val="24"/>
        </w:rPr>
        <w:t xml:space="preserve"> </w:t>
      </w:r>
      <w:r w:rsidR="006F6812">
        <w:rPr>
          <w:rFonts w:ascii="Arial" w:eastAsia="Times New Roman" w:hAnsi="Arial" w:cs="Arial"/>
          <w:spacing w:val="-3"/>
          <w:sz w:val="24"/>
          <w:szCs w:val="24"/>
        </w:rPr>
        <w:t xml:space="preserve">due and payable in terms of a written consultancy agreement concluded between the parties. The conclusion of the consultancy agreement was common cause between the parties. At issue </w:t>
      </w:r>
      <w:r w:rsidR="009E6197">
        <w:rPr>
          <w:rFonts w:ascii="Arial" w:eastAsia="Times New Roman" w:hAnsi="Arial" w:cs="Arial"/>
          <w:spacing w:val="-3"/>
          <w:sz w:val="24"/>
          <w:szCs w:val="24"/>
        </w:rPr>
        <w:t xml:space="preserve">between the parties </w:t>
      </w:r>
      <w:r w:rsidR="006F6812">
        <w:rPr>
          <w:rFonts w:ascii="Arial" w:eastAsia="Times New Roman" w:hAnsi="Arial" w:cs="Arial"/>
          <w:spacing w:val="-3"/>
          <w:sz w:val="24"/>
          <w:szCs w:val="24"/>
        </w:rPr>
        <w:t xml:space="preserve">was whether the defendant was indebted to the plaintiff, the defendant’s case being that the amount claimed was paid in full. </w:t>
      </w:r>
      <w:r w:rsidR="009E6197">
        <w:rPr>
          <w:rFonts w:ascii="Arial" w:eastAsia="Times New Roman" w:hAnsi="Arial" w:cs="Arial"/>
          <w:spacing w:val="-3"/>
          <w:sz w:val="24"/>
          <w:szCs w:val="24"/>
        </w:rPr>
        <w:t xml:space="preserve">It is apparent from the plaintiff’s evidence that there were business dealings between the parties over a period of time, and with one entity other than the </w:t>
      </w:r>
      <w:r w:rsidR="004117C8">
        <w:rPr>
          <w:rFonts w:ascii="Arial" w:eastAsia="Times New Roman" w:hAnsi="Arial" w:cs="Arial"/>
          <w:spacing w:val="-3"/>
          <w:sz w:val="24"/>
          <w:szCs w:val="24"/>
        </w:rPr>
        <w:t>plaintiff</w:t>
      </w:r>
      <w:r w:rsidR="00F21165">
        <w:rPr>
          <w:rFonts w:ascii="Arial" w:eastAsia="Times New Roman" w:hAnsi="Arial" w:cs="Arial"/>
          <w:spacing w:val="-3"/>
          <w:sz w:val="24"/>
          <w:szCs w:val="24"/>
        </w:rPr>
        <w:t>. The</w:t>
      </w:r>
      <w:r w:rsidR="00BD793F">
        <w:rPr>
          <w:rFonts w:ascii="Arial" w:eastAsia="Times New Roman" w:hAnsi="Arial" w:cs="Arial"/>
          <w:spacing w:val="-3"/>
          <w:sz w:val="24"/>
          <w:szCs w:val="24"/>
        </w:rPr>
        <w:t xml:space="preserve"> plaintiff’s evidence was that the amounts paid by the defendant were in respect of different agreements between the parties, and that the amou</w:t>
      </w:r>
      <w:r w:rsidR="00344ABA">
        <w:rPr>
          <w:rFonts w:ascii="Arial" w:eastAsia="Times New Roman" w:hAnsi="Arial" w:cs="Arial"/>
          <w:spacing w:val="-3"/>
          <w:sz w:val="24"/>
          <w:szCs w:val="24"/>
        </w:rPr>
        <w:t>nts due</w:t>
      </w:r>
      <w:r w:rsidR="00BD793F">
        <w:rPr>
          <w:rFonts w:ascii="Arial" w:eastAsia="Times New Roman" w:hAnsi="Arial" w:cs="Arial"/>
          <w:spacing w:val="-3"/>
          <w:sz w:val="24"/>
          <w:szCs w:val="24"/>
        </w:rPr>
        <w:t xml:space="preserve"> for the consultancy agreement </w:t>
      </w:r>
      <w:r w:rsidR="00F21165">
        <w:rPr>
          <w:rFonts w:ascii="Arial" w:eastAsia="Times New Roman" w:hAnsi="Arial" w:cs="Arial"/>
          <w:spacing w:val="-3"/>
          <w:sz w:val="24"/>
          <w:szCs w:val="24"/>
        </w:rPr>
        <w:t>remained</w:t>
      </w:r>
      <w:r w:rsidR="00BD793F">
        <w:rPr>
          <w:rFonts w:ascii="Arial" w:eastAsia="Times New Roman" w:hAnsi="Arial" w:cs="Arial"/>
          <w:spacing w:val="-3"/>
          <w:sz w:val="24"/>
          <w:szCs w:val="24"/>
        </w:rPr>
        <w:t xml:space="preserve"> outstanding</w:t>
      </w:r>
      <w:r w:rsidR="00344ABA">
        <w:rPr>
          <w:rFonts w:ascii="Arial" w:eastAsia="Times New Roman" w:hAnsi="Arial" w:cs="Arial"/>
          <w:spacing w:val="-3"/>
          <w:sz w:val="24"/>
          <w:szCs w:val="24"/>
        </w:rPr>
        <w:t xml:space="preserve">. </w:t>
      </w:r>
    </w:p>
    <w:p w:rsidR="00EF049C" w:rsidRDefault="00EF049C" w:rsidP="009E6197">
      <w:pPr>
        <w:widowControl w:val="0"/>
        <w:tabs>
          <w:tab w:val="left" w:pos="1260"/>
        </w:tabs>
        <w:spacing w:after="0" w:line="360" w:lineRule="auto"/>
        <w:jc w:val="both"/>
        <w:rPr>
          <w:rFonts w:ascii="Arial" w:eastAsia="Times New Roman" w:hAnsi="Arial" w:cs="Arial"/>
          <w:spacing w:val="-3"/>
          <w:sz w:val="24"/>
          <w:szCs w:val="24"/>
        </w:rPr>
      </w:pPr>
    </w:p>
    <w:p w:rsidR="00622976" w:rsidRDefault="00EF049C" w:rsidP="009E6197">
      <w:pPr>
        <w:widowControl w:val="0"/>
        <w:tabs>
          <w:tab w:val="left" w:pos="1260"/>
        </w:tabs>
        <w:spacing w:after="0" w:line="360" w:lineRule="auto"/>
        <w:jc w:val="both"/>
        <w:rPr>
          <w:rFonts w:ascii="Arial" w:hAnsi="Arial" w:cs="Arial"/>
          <w:sz w:val="24"/>
          <w:szCs w:val="24"/>
        </w:rPr>
      </w:pPr>
      <w:r>
        <w:rPr>
          <w:rFonts w:ascii="Arial" w:eastAsia="Times New Roman" w:hAnsi="Arial" w:cs="Arial"/>
          <w:spacing w:val="-3"/>
          <w:sz w:val="24"/>
          <w:szCs w:val="24"/>
        </w:rPr>
        <w:t xml:space="preserve">Held - </w:t>
      </w:r>
      <w:r w:rsidR="00344ABA">
        <w:rPr>
          <w:rFonts w:ascii="Arial" w:eastAsia="Times New Roman" w:hAnsi="Arial" w:cs="Arial"/>
          <w:spacing w:val="-3"/>
          <w:sz w:val="24"/>
          <w:szCs w:val="24"/>
        </w:rPr>
        <w:t xml:space="preserve">The plaintiff’s evidence left much to be desired on the manner in which the defendant was invoiced, the contents of the invoices, </w:t>
      </w:r>
      <w:r w:rsidR="00F21165">
        <w:rPr>
          <w:rFonts w:ascii="Arial" w:eastAsia="Times New Roman" w:hAnsi="Arial" w:cs="Arial"/>
          <w:spacing w:val="-3"/>
          <w:sz w:val="24"/>
          <w:szCs w:val="24"/>
        </w:rPr>
        <w:t xml:space="preserve">the existence of some of the business arrangements between the parties, </w:t>
      </w:r>
      <w:r w:rsidR="00344ABA">
        <w:rPr>
          <w:rFonts w:ascii="Arial" w:eastAsia="Times New Roman" w:hAnsi="Arial" w:cs="Arial"/>
          <w:spacing w:val="-3"/>
          <w:sz w:val="24"/>
          <w:szCs w:val="24"/>
        </w:rPr>
        <w:t xml:space="preserve">as well as the </w:t>
      </w:r>
      <w:r w:rsidR="009B42BE">
        <w:rPr>
          <w:rFonts w:ascii="Arial" w:eastAsia="Times New Roman" w:hAnsi="Arial" w:cs="Arial"/>
          <w:spacing w:val="-3"/>
          <w:sz w:val="24"/>
          <w:szCs w:val="24"/>
        </w:rPr>
        <w:t>different entity</w:t>
      </w:r>
      <w:r w:rsidR="00344ABA">
        <w:rPr>
          <w:rFonts w:ascii="Arial" w:eastAsia="Times New Roman" w:hAnsi="Arial" w:cs="Arial"/>
          <w:spacing w:val="-3"/>
          <w:sz w:val="24"/>
          <w:szCs w:val="24"/>
        </w:rPr>
        <w:t xml:space="preserve"> utilised by the plaintiff for receipt of</w:t>
      </w:r>
      <w:r w:rsidR="009B42BE">
        <w:rPr>
          <w:rFonts w:ascii="Arial" w:eastAsia="Times New Roman" w:hAnsi="Arial" w:cs="Arial"/>
          <w:spacing w:val="-3"/>
          <w:sz w:val="24"/>
          <w:szCs w:val="24"/>
        </w:rPr>
        <w:t xml:space="preserve"> some</w:t>
      </w:r>
      <w:r w:rsidR="00344ABA">
        <w:rPr>
          <w:rFonts w:ascii="Arial" w:eastAsia="Times New Roman" w:hAnsi="Arial" w:cs="Arial"/>
          <w:spacing w:val="-3"/>
          <w:sz w:val="24"/>
          <w:szCs w:val="24"/>
        </w:rPr>
        <w:t xml:space="preserve"> payments made by the defendant. However, given the </w:t>
      </w:r>
      <w:r>
        <w:rPr>
          <w:rFonts w:ascii="Arial" w:eastAsia="Times New Roman" w:hAnsi="Arial" w:cs="Arial"/>
          <w:spacing w:val="-3"/>
          <w:sz w:val="24"/>
          <w:szCs w:val="24"/>
        </w:rPr>
        <w:t>long-standing</w:t>
      </w:r>
      <w:r w:rsidR="00344ABA">
        <w:rPr>
          <w:rFonts w:ascii="Arial" w:eastAsia="Times New Roman" w:hAnsi="Arial" w:cs="Arial"/>
          <w:spacing w:val="-3"/>
          <w:sz w:val="24"/>
          <w:szCs w:val="24"/>
        </w:rPr>
        <w:t xml:space="preserve"> business dealings between plaintiff and defendant and the </w:t>
      </w:r>
      <w:r w:rsidR="00F21165">
        <w:rPr>
          <w:rFonts w:ascii="Arial" w:eastAsia="Times New Roman" w:hAnsi="Arial" w:cs="Arial"/>
          <w:spacing w:val="-3"/>
          <w:sz w:val="24"/>
          <w:szCs w:val="24"/>
        </w:rPr>
        <w:t xml:space="preserve">fact that </w:t>
      </w:r>
      <w:r w:rsidR="00344ABA">
        <w:rPr>
          <w:rFonts w:ascii="Arial" w:eastAsia="Times New Roman" w:hAnsi="Arial" w:cs="Arial"/>
          <w:spacing w:val="-3"/>
          <w:sz w:val="24"/>
          <w:szCs w:val="24"/>
        </w:rPr>
        <w:t xml:space="preserve">payments </w:t>
      </w:r>
      <w:r w:rsidR="00F21165">
        <w:rPr>
          <w:rFonts w:ascii="Arial" w:eastAsia="Times New Roman" w:hAnsi="Arial" w:cs="Arial"/>
          <w:spacing w:val="-3"/>
          <w:sz w:val="24"/>
          <w:szCs w:val="24"/>
        </w:rPr>
        <w:t xml:space="preserve">were indeed </w:t>
      </w:r>
      <w:r w:rsidR="00344ABA">
        <w:rPr>
          <w:rFonts w:ascii="Arial" w:eastAsia="Times New Roman" w:hAnsi="Arial" w:cs="Arial"/>
          <w:spacing w:val="-3"/>
          <w:sz w:val="24"/>
          <w:szCs w:val="24"/>
        </w:rPr>
        <w:t xml:space="preserve">made by the defendant </w:t>
      </w:r>
      <w:r w:rsidR="009B42BE">
        <w:rPr>
          <w:rFonts w:ascii="Arial" w:eastAsia="Times New Roman" w:hAnsi="Arial" w:cs="Arial"/>
          <w:spacing w:val="-3"/>
          <w:sz w:val="24"/>
          <w:szCs w:val="24"/>
        </w:rPr>
        <w:t>as requested by the plaintiff</w:t>
      </w:r>
      <w:r w:rsidR="00344ABA">
        <w:rPr>
          <w:rFonts w:ascii="Arial" w:eastAsia="Times New Roman" w:hAnsi="Arial" w:cs="Arial"/>
          <w:spacing w:val="-3"/>
          <w:sz w:val="24"/>
          <w:szCs w:val="24"/>
        </w:rPr>
        <w:t xml:space="preserve">, the plaintiff’s evidence was not so </w:t>
      </w:r>
      <w:r>
        <w:rPr>
          <w:rFonts w:ascii="Arial" w:eastAsia="Times New Roman" w:hAnsi="Arial" w:cs="Arial"/>
          <w:spacing w:val="-3"/>
          <w:sz w:val="24"/>
          <w:szCs w:val="24"/>
        </w:rPr>
        <w:t>farfetched</w:t>
      </w:r>
      <w:r w:rsidR="00344ABA">
        <w:rPr>
          <w:rFonts w:ascii="Arial" w:eastAsia="Times New Roman" w:hAnsi="Arial" w:cs="Arial"/>
          <w:spacing w:val="-3"/>
          <w:sz w:val="24"/>
          <w:szCs w:val="24"/>
        </w:rPr>
        <w:t xml:space="preserve"> or </w:t>
      </w:r>
      <w:r>
        <w:rPr>
          <w:rFonts w:ascii="Arial" w:eastAsia="Times New Roman" w:hAnsi="Arial" w:cs="Arial"/>
          <w:spacing w:val="-3"/>
          <w:sz w:val="24"/>
          <w:szCs w:val="24"/>
        </w:rPr>
        <w:t>unreliable</w:t>
      </w:r>
      <w:r w:rsidR="00344ABA">
        <w:rPr>
          <w:rFonts w:ascii="Arial" w:eastAsia="Times New Roman" w:hAnsi="Arial" w:cs="Arial"/>
          <w:spacing w:val="-3"/>
          <w:sz w:val="24"/>
          <w:szCs w:val="24"/>
        </w:rPr>
        <w:t xml:space="preserve"> as to fall into being rejected at the absolution stage. </w:t>
      </w:r>
    </w:p>
    <w:p w:rsidR="00622976" w:rsidRDefault="00622976" w:rsidP="00EC3040">
      <w:pPr>
        <w:widowControl w:val="0"/>
        <w:tabs>
          <w:tab w:val="left" w:pos="1260"/>
        </w:tabs>
        <w:spacing w:after="0" w:line="360" w:lineRule="auto"/>
        <w:jc w:val="both"/>
        <w:rPr>
          <w:rFonts w:ascii="Arial" w:hAnsi="Arial" w:cs="Arial"/>
          <w:sz w:val="24"/>
          <w:szCs w:val="24"/>
        </w:rPr>
      </w:pPr>
    </w:p>
    <w:p w:rsidR="00082537" w:rsidRDefault="008765BD" w:rsidP="008422CB">
      <w:pPr>
        <w:widowControl w:val="0"/>
        <w:tabs>
          <w:tab w:val="left" w:pos="1440"/>
        </w:tabs>
        <w:spacing w:after="0" w:line="360" w:lineRule="auto"/>
        <w:jc w:val="both"/>
        <w:rPr>
          <w:rFonts w:ascii="Arial" w:eastAsia="Times New Roman" w:hAnsi="Arial" w:cs="Arial"/>
          <w:spacing w:val="-3"/>
          <w:sz w:val="24"/>
          <w:szCs w:val="24"/>
          <w:lang w:val="af-ZA"/>
        </w:rPr>
      </w:pPr>
      <w:r>
        <w:rPr>
          <w:rFonts w:ascii="Arial" w:eastAsia="Times New Roman" w:hAnsi="Arial" w:cs="Arial"/>
          <w:spacing w:val="-3"/>
          <w:sz w:val="24"/>
          <w:szCs w:val="24"/>
          <w:lang w:val="af-ZA"/>
        </w:rPr>
        <w:t xml:space="preserve">Held - </w:t>
      </w:r>
      <w:r w:rsidR="009E6197" w:rsidRPr="009E6197">
        <w:rPr>
          <w:rFonts w:ascii="Arial" w:eastAsia="Times New Roman" w:hAnsi="Arial" w:cs="Arial"/>
          <w:spacing w:val="-3"/>
          <w:sz w:val="24"/>
          <w:szCs w:val="24"/>
          <w:lang w:val="af-ZA"/>
        </w:rPr>
        <w:t xml:space="preserve">The application for absolution from the instance </w:t>
      </w:r>
      <w:r w:rsidR="00F21165">
        <w:rPr>
          <w:rFonts w:ascii="Arial" w:eastAsia="Times New Roman" w:hAnsi="Arial" w:cs="Arial"/>
          <w:spacing w:val="-3"/>
          <w:sz w:val="24"/>
          <w:szCs w:val="24"/>
          <w:lang w:val="af-ZA"/>
        </w:rPr>
        <w:t>was</w:t>
      </w:r>
      <w:r w:rsidR="009E6197" w:rsidRPr="009E6197">
        <w:rPr>
          <w:rFonts w:ascii="Arial" w:eastAsia="Times New Roman" w:hAnsi="Arial" w:cs="Arial"/>
          <w:spacing w:val="-3"/>
          <w:sz w:val="24"/>
          <w:szCs w:val="24"/>
          <w:lang w:val="af-ZA"/>
        </w:rPr>
        <w:t xml:space="preserve"> dismissed </w:t>
      </w:r>
      <w:r w:rsidR="00F21165">
        <w:rPr>
          <w:rFonts w:ascii="Arial" w:eastAsia="Times New Roman" w:hAnsi="Arial" w:cs="Arial"/>
          <w:spacing w:val="-3"/>
          <w:sz w:val="24"/>
          <w:szCs w:val="24"/>
          <w:lang w:val="af-ZA"/>
        </w:rPr>
        <w:t>with costs.</w:t>
      </w:r>
      <w:r w:rsidR="008151E3" w:rsidRPr="008151E3">
        <w:rPr>
          <w:rFonts w:ascii="Arial" w:eastAsia="Times New Roman" w:hAnsi="Arial" w:cs="Arial"/>
          <w:spacing w:val="-3"/>
          <w:sz w:val="24"/>
          <w:szCs w:val="24"/>
        </w:rPr>
        <w:t xml:space="preserve"> </w:t>
      </w:r>
    </w:p>
    <w:p w:rsidR="00C9085E" w:rsidRDefault="00C9085E" w:rsidP="00C9085E">
      <w:pPr>
        <w:widowControl w:val="0"/>
        <w:pBdr>
          <w:bottom w:val="single" w:sz="4" w:space="1" w:color="auto"/>
        </w:pBdr>
        <w:tabs>
          <w:tab w:val="left" w:pos="1440"/>
          <w:tab w:val="left" w:pos="1530"/>
        </w:tabs>
        <w:spacing w:after="0" w:line="360" w:lineRule="auto"/>
        <w:jc w:val="both"/>
        <w:rPr>
          <w:rFonts w:ascii="Arial" w:eastAsia="Times New Roman" w:hAnsi="Arial" w:cs="Arial"/>
          <w:spacing w:val="-3"/>
          <w:sz w:val="24"/>
          <w:szCs w:val="24"/>
          <w:lang w:val="af-ZA"/>
        </w:rPr>
      </w:pPr>
    </w:p>
    <w:p w:rsidR="008151E3" w:rsidRPr="008151E3" w:rsidRDefault="008151E3" w:rsidP="00C9085E">
      <w:pPr>
        <w:widowControl w:val="0"/>
        <w:tabs>
          <w:tab w:val="left" w:pos="1440"/>
          <w:tab w:val="left" w:pos="1530"/>
        </w:tabs>
        <w:spacing w:after="0" w:line="240" w:lineRule="auto"/>
        <w:jc w:val="both"/>
        <w:rPr>
          <w:rFonts w:ascii="Arial" w:eastAsia="Times New Roman" w:hAnsi="Arial" w:cs="Arial"/>
          <w:spacing w:val="-3"/>
          <w:sz w:val="24"/>
          <w:szCs w:val="24"/>
          <w:lang w:val="af-ZA"/>
        </w:rPr>
      </w:pPr>
    </w:p>
    <w:p w:rsidR="00082537" w:rsidRPr="00082537" w:rsidRDefault="00082537" w:rsidP="00C9085E">
      <w:pPr>
        <w:spacing w:after="0" w:line="240" w:lineRule="auto"/>
        <w:jc w:val="center"/>
        <w:rPr>
          <w:rFonts w:ascii="Arial" w:hAnsi="Arial" w:cs="Arial"/>
          <w:b/>
          <w:sz w:val="24"/>
          <w:szCs w:val="24"/>
        </w:rPr>
      </w:pPr>
      <w:r w:rsidRPr="00082537">
        <w:rPr>
          <w:rFonts w:ascii="Arial" w:hAnsi="Arial" w:cs="Arial"/>
          <w:b/>
          <w:sz w:val="24"/>
          <w:szCs w:val="24"/>
        </w:rPr>
        <w:t>ORDER</w:t>
      </w:r>
    </w:p>
    <w:p w:rsidR="00082537" w:rsidRDefault="00082537" w:rsidP="00C9085E">
      <w:pPr>
        <w:pBdr>
          <w:bottom w:val="single" w:sz="4" w:space="1" w:color="auto"/>
          <w:between w:val="single" w:sz="4" w:space="1" w:color="auto"/>
        </w:pBdr>
        <w:spacing w:after="0" w:line="240" w:lineRule="auto"/>
        <w:jc w:val="center"/>
        <w:rPr>
          <w:rFonts w:ascii="Arial" w:hAnsi="Arial" w:cs="Arial"/>
          <w:sz w:val="24"/>
          <w:szCs w:val="24"/>
        </w:rPr>
      </w:pPr>
    </w:p>
    <w:p w:rsidR="00082537" w:rsidRPr="00082537" w:rsidRDefault="00082537" w:rsidP="00C9085E">
      <w:pPr>
        <w:spacing w:after="0" w:line="360" w:lineRule="auto"/>
        <w:rPr>
          <w:rFonts w:ascii="Arial" w:hAnsi="Arial" w:cs="Arial"/>
          <w:sz w:val="24"/>
          <w:szCs w:val="24"/>
        </w:rPr>
      </w:pPr>
    </w:p>
    <w:p w:rsidR="00082537" w:rsidRPr="00C9085E" w:rsidRDefault="003844B3" w:rsidP="00C9085E">
      <w:pPr>
        <w:spacing w:after="0" w:line="360" w:lineRule="auto"/>
        <w:rPr>
          <w:rFonts w:ascii="Arial" w:hAnsi="Arial" w:cs="Arial"/>
          <w:sz w:val="24"/>
          <w:szCs w:val="24"/>
        </w:rPr>
      </w:pPr>
      <w:r w:rsidRPr="00C9085E">
        <w:rPr>
          <w:rFonts w:ascii="Arial" w:hAnsi="Arial" w:cs="Arial"/>
          <w:sz w:val="24"/>
          <w:szCs w:val="24"/>
        </w:rPr>
        <w:t xml:space="preserve">Application for absolution from the instance is </w:t>
      </w:r>
      <w:r w:rsidR="00F21165" w:rsidRPr="00C9085E">
        <w:rPr>
          <w:rFonts w:ascii="Arial" w:hAnsi="Arial" w:cs="Arial"/>
          <w:sz w:val="24"/>
          <w:szCs w:val="24"/>
        </w:rPr>
        <w:t xml:space="preserve">dismissed </w:t>
      </w:r>
      <w:r w:rsidRPr="00C9085E">
        <w:rPr>
          <w:rFonts w:ascii="Arial" w:hAnsi="Arial" w:cs="Arial"/>
          <w:sz w:val="24"/>
          <w:szCs w:val="24"/>
        </w:rPr>
        <w:t>with costs</w:t>
      </w:r>
      <w:r w:rsidR="008422CB" w:rsidRPr="00C9085E">
        <w:rPr>
          <w:rFonts w:ascii="Arial" w:hAnsi="Arial" w:cs="Arial"/>
          <w:sz w:val="24"/>
          <w:szCs w:val="24"/>
        </w:rPr>
        <w:t>.</w:t>
      </w:r>
      <w:r w:rsidRPr="00C9085E">
        <w:rPr>
          <w:rFonts w:ascii="Arial" w:hAnsi="Arial" w:cs="Arial"/>
          <w:sz w:val="24"/>
          <w:szCs w:val="24"/>
        </w:rPr>
        <w:t xml:space="preserve"> </w:t>
      </w:r>
    </w:p>
    <w:p w:rsidR="00082537" w:rsidRDefault="00082537" w:rsidP="00C9085E">
      <w:pPr>
        <w:pBdr>
          <w:bottom w:val="single" w:sz="4" w:space="1" w:color="auto"/>
        </w:pBdr>
        <w:tabs>
          <w:tab w:val="left" w:pos="1035"/>
        </w:tabs>
        <w:spacing w:after="0" w:line="360" w:lineRule="auto"/>
        <w:rPr>
          <w:rFonts w:ascii="Arial" w:hAnsi="Arial" w:cs="Arial"/>
          <w:sz w:val="24"/>
          <w:szCs w:val="24"/>
        </w:rPr>
      </w:pPr>
    </w:p>
    <w:p w:rsidR="00C9085E" w:rsidRDefault="00C9085E" w:rsidP="00C9085E">
      <w:pPr>
        <w:tabs>
          <w:tab w:val="left" w:pos="1035"/>
        </w:tabs>
        <w:spacing w:after="0" w:line="240" w:lineRule="auto"/>
        <w:jc w:val="center"/>
        <w:rPr>
          <w:rFonts w:ascii="Arial" w:hAnsi="Arial" w:cs="Arial"/>
          <w:b/>
          <w:sz w:val="24"/>
          <w:szCs w:val="24"/>
        </w:rPr>
      </w:pPr>
    </w:p>
    <w:p w:rsidR="00082537" w:rsidRPr="00082537" w:rsidRDefault="00082537" w:rsidP="00C9085E">
      <w:pPr>
        <w:tabs>
          <w:tab w:val="left" w:pos="1035"/>
        </w:tabs>
        <w:spacing w:after="0" w:line="240" w:lineRule="auto"/>
        <w:jc w:val="center"/>
        <w:rPr>
          <w:rFonts w:ascii="Arial" w:hAnsi="Arial" w:cs="Arial"/>
          <w:b/>
          <w:sz w:val="24"/>
          <w:szCs w:val="24"/>
        </w:rPr>
      </w:pPr>
      <w:r w:rsidRPr="00082537">
        <w:rPr>
          <w:rFonts w:ascii="Arial" w:hAnsi="Arial" w:cs="Arial"/>
          <w:b/>
          <w:sz w:val="24"/>
          <w:szCs w:val="24"/>
        </w:rPr>
        <w:t>JUDGMENT</w:t>
      </w:r>
    </w:p>
    <w:p w:rsidR="00082537" w:rsidRDefault="00082537" w:rsidP="00C9085E">
      <w:pPr>
        <w:pBdr>
          <w:bottom w:val="single" w:sz="4" w:space="1" w:color="auto"/>
        </w:pBdr>
        <w:tabs>
          <w:tab w:val="left" w:pos="1035"/>
        </w:tabs>
        <w:spacing w:after="0" w:line="240" w:lineRule="auto"/>
        <w:jc w:val="center"/>
        <w:rPr>
          <w:rFonts w:ascii="Arial" w:hAnsi="Arial" w:cs="Arial"/>
          <w:sz w:val="24"/>
          <w:szCs w:val="24"/>
        </w:rPr>
      </w:pPr>
    </w:p>
    <w:p w:rsidR="00082537" w:rsidRDefault="00082537" w:rsidP="00187BDD">
      <w:pPr>
        <w:tabs>
          <w:tab w:val="left" w:pos="1035"/>
        </w:tabs>
        <w:spacing w:after="0" w:line="360" w:lineRule="auto"/>
        <w:jc w:val="center"/>
        <w:rPr>
          <w:rFonts w:ascii="Arial" w:hAnsi="Arial" w:cs="Arial"/>
          <w:sz w:val="24"/>
          <w:szCs w:val="24"/>
        </w:rPr>
      </w:pPr>
    </w:p>
    <w:p w:rsidR="00082537" w:rsidRPr="00030651" w:rsidRDefault="008422CB" w:rsidP="00187BDD">
      <w:pPr>
        <w:tabs>
          <w:tab w:val="left" w:pos="1035"/>
        </w:tabs>
        <w:spacing w:after="0" w:line="360" w:lineRule="auto"/>
        <w:jc w:val="both"/>
        <w:rPr>
          <w:rFonts w:ascii="Arial" w:hAnsi="Arial" w:cs="Arial"/>
          <w:sz w:val="24"/>
          <w:szCs w:val="24"/>
        </w:rPr>
      </w:pPr>
      <w:r w:rsidRPr="00030651">
        <w:rPr>
          <w:rFonts w:ascii="Arial" w:hAnsi="Arial" w:cs="Arial"/>
          <w:sz w:val="24"/>
          <w:szCs w:val="24"/>
        </w:rPr>
        <w:t>Schimming</w:t>
      </w:r>
      <w:r w:rsidR="009F2074" w:rsidRPr="00030651">
        <w:rPr>
          <w:rFonts w:ascii="Arial" w:hAnsi="Arial" w:cs="Arial"/>
          <w:sz w:val="24"/>
          <w:szCs w:val="24"/>
        </w:rPr>
        <w:t>-</w:t>
      </w:r>
      <w:r w:rsidRPr="00030651">
        <w:rPr>
          <w:rFonts w:ascii="Arial" w:hAnsi="Arial" w:cs="Arial"/>
          <w:sz w:val="24"/>
          <w:szCs w:val="24"/>
        </w:rPr>
        <w:t>Chase AJ</w:t>
      </w:r>
    </w:p>
    <w:p w:rsidR="00082537" w:rsidRPr="00030651" w:rsidRDefault="00082537" w:rsidP="00187BDD">
      <w:pPr>
        <w:tabs>
          <w:tab w:val="left" w:pos="1035"/>
        </w:tabs>
        <w:spacing w:after="0" w:line="360" w:lineRule="auto"/>
        <w:jc w:val="both"/>
        <w:rPr>
          <w:rFonts w:ascii="Arial" w:hAnsi="Arial" w:cs="Arial"/>
          <w:sz w:val="24"/>
          <w:szCs w:val="24"/>
        </w:rPr>
      </w:pPr>
    </w:p>
    <w:p w:rsidR="00E22238" w:rsidRPr="00030651" w:rsidRDefault="00082537" w:rsidP="0050225D">
      <w:pPr>
        <w:tabs>
          <w:tab w:val="left" w:pos="720"/>
        </w:tabs>
        <w:spacing w:after="0" w:line="360" w:lineRule="auto"/>
        <w:jc w:val="both"/>
        <w:rPr>
          <w:rFonts w:ascii="Arial" w:hAnsi="Arial" w:cs="Arial"/>
          <w:sz w:val="24"/>
          <w:szCs w:val="24"/>
        </w:rPr>
      </w:pPr>
      <w:r w:rsidRPr="00030651">
        <w:rPr>
          <w:rFonts w:ascii="Arial" w:hAnsi="Arial" w:cs="Arial"/>
          <w:sz w:val="24"/>
          <w:szCs w:val="24"/>
        </w:rPr>
        <w:t>[1]</w:t>
      </w:r>
      <w:r w:rsidR="00E91C4A" w:rsidRPr="00030651">
        <w:rPr>
          <w:rFonts w:ascii="Arial" w:hAnsi="Arial" w:cs="Arial"/>
          <w:sz w:val="24"/>
          <w:szCs w:val="24"/>
        </w:rPr>
        <w:tab/>
        <w:t xml:space="preserve">The plaintiff is </w:t>
      </w:r>
      <w:r w:rsidR="00D026B8" w:rsidRPr="00030651">
        <w:rPr>
          <w:rFonts w:ascii="Arial" w:hAnsi="Arial" w:cs="Arial"/>
          <w:sz w:val="24"/>
          <w:szCs w:val="24"/>
        </w:rPr>
        <w:t>Grand Trading CC, a duly registered Namibian close corporation</w:t>
      </w:r>
      <w:r w:rsidR="00E31DDE" w:rsidRPr="00030651">
        <w:rPr>
          <w:rFonts w:ascii="Arial" w:hAnsi="Arial" w:cs="Arial"/>
          <w:sz w:val="24"/>
          <w:szCs w:val="24"/>
        </w:rPr>
        <w:t xml:space="preserve">. The defendant is Zhong Mei Engineering (Pty) Ltd, a </w:t>
      </w:r>
      <w:r w:rsidR="00E22238" w:rsidRPr="00030651">
        <w:rPr>
          <w:rFonts w:ascii="Arial" w:hAnsi="Arial" w:cs="Arial"/>
          <w:sz w:val="24"/>
          <w:szCs w:val="24"/>
        </w:rPr>
        <w:t xml:space="preserve">duly registered Namibian </w:t>
      </w:r>
      <w:r w:rsidR="00E31DDE" w:rsidRPr="00030651">
        <w:rPr>
          <w:rFonts w:ascii="Arial" w:hAnsi="Arial" w:cs="Arial"/>
          <w:sz w:val="24"/>
          <w:szCs w:val="24"/>
        </w:rPr>
        <w:t xml:space="preserve">company with limited </w:t>
      </w:r>
      <w:r w:rsidR="00E22238" w:rsidRPr="00030651">
        <w:rPr>
          <w:rFonts w:ascii="Arial" w:hAnsi="Arial" w:cs="Arial"/>
          <w:sz w:val="24"/>
          <w:szCs w:val="24"/>
        </w:rPr>
        <w:t>liability.</w:t>
      </w:r>
    </w:p>
    <w:p w:rsidR="00E91C4A" w:rsidRPr="00030651" w:rsidRDefault="00E91C4A" w:rsidP="00187BDD">
      <w:pPr>
        <w:tabs>
          <w:tab w:val="left" w:pos="1035"/>
        </w:tabs>
        <w:spacing w:after="0" w:line="360" w:lineRule="auto"/>
        <w:jc w:val="both"/>
        <w:rPr>
          <w:rFonts w:ascii="Arial" w:hAnsi="Arial" w:cs="Arial"/>
          <w:sz w:val="24"/>
          <w:szCs w:val="24"/>
        </w:rPr>
      </w:pPr>
    </w:p>
    <w:p w:rsidR="002C2DD5" w:rsidRPr="00030651" w:rsidRDefault="00E91C4A" w:rsidP="0050225D">
      <w:pPr>
        <w:tabs>
          <w:tab w:val="left" w:pos="720"/>
        </w:tabs>
        <w:spacing w:after="0" w:line="360" w:lineRule="auto"/>
        <w:jc w:val="both"/>
        <w:rPr>
          <w:rFonts w:ascii="Arial" w:hAnsi="Arial" w:cs="Arial"/>
          <w:sz w:val="24"/>
          <w:szCs w:val="24"/>
        </w:rPr>
      </w:pPr>
      <w:r w:rsidRPr="00030651">
        <w:rPr>
          <w:rFonts w:ascii="Arial" w:hAnsi="Arial" w:cs="Arial"/>
          <w:sz w:val="24"/>
          <w:szCs w:val="24"/>
        </w:rPr>
        <w:t>[2]</w:t>
      </w:r>
      <w:r w:rsidRPr="00030651">
        <w:rPr>
          <w:rFonts w:ascii="Arial" w:hAnsi="Arial" w:cs="Arial"/>
          <w:sz w:val="24"/>
          <w:szCs w:val="24"/>
        </w:rPr>
        <w:tab/>
      </w:r>
      <w:r w:rsidR="00E22238" w:rsidRPr="00030651">
        <w:rPr>
          <w:rFonts w:ascii="Arial" w:hAnsi="Arial" w:cs="Arial"/>
          <w:sz w:val="24"/>
          <w:szCs w:val="24"/>
        </w:rPr>
        <w:t>On 2 November 2014 and at Windhoek, the plaintiff, represented by its main member Bernard Mumbashu, and the defendant, represented by Meng Aijun concluded a written consultancy agreement</w:t>
      </w:r>
      <w:r w:rsidR="002C2DD5" w:rsidRPr="00030651">
        <w:rPr>
          <w:rFonts w:ascii="Arial" w:hAnsi="Arial" w:cs="Arial"/>
          <w:sz w:val="24"/>
          <w:szCs w:val="24"/>
        </w:rPr>
        <w:t>. In terms of this agreement, the plaintiff was required to “negotiate the tendering process to perfection, acquire, complete and submit the above mention (</w:t>
      </w:r>
      <w:r w:rsidR="002C2DD5" w:rsidRPr="00030651">
        <w:rPr>
          <w:rFonts w:ascii="Arial" w:hAnsi="Arial" w:cs="Arial"/>
          <w:i/>
          <w:iCs/>
          <w:sz w:val="24"/>
          <w:szCs w:val="24"/>
        </w:rPr>
        <w:t xml:space="preserve">sic) </w:t>
      </w:r>
      <w:r w:rsidR="002C2DD5" w:rsidRPr="00030651">
        <w:rPr>
          <w:rFonts w:ascii="Arial" w:hAnsi="Arial" w:cs="Arial"/>
          <w:sz w:val="24"/>
          <w:szCs w:val="24"/>
        </w:rPr>
        <w:t>project TENDER document as local partners on behalf of ZME</w:t>
      </w:r>
      <w:r w:rsidR="009B42BE" w:rsidRPr="00030651">
        <w:rPr>
          <w:rStyle w:val="FootnoteReference"/>
          <w:rFonts w:ascii="Arial" w:hAnsi="Arial" w:cs="Arial"/>
          <w:sz w:val="24"/>
          <w:szCs w:val="24"/>
        </w:rPr>
        <w:footnoteReference w:id="2"/>
      </w:r>
      <w:r w:rsidR="002C2DD5" w:rsidRPr="00030651">
        <w:rPr>
          <w:rFonts w:ascii="Arial" w:hAnsi="Arial" w:cs="Arial"/>
          <w:sz w:val="24"/>
          <w:szCs w:val="24"/>
        </w:rPr>
        <w:t xml:space="preserve">.” </w:t>
      </w:r>
    </w:p>
    <w:p w:rsidR="002C2DD5" w:rsidRPr="00030651" w:rsidRDefault="002C2DD5" w:rsidP="0050225D">
      <w:pPr>
        <w:tabs>
          <w:tab w:val="left" w:pos="720"/>
        </w:tabs>
        <w:spacing w:after="0" w:line="360" w:lineRule="auto"/>
        <w:jc w:val="both"/>
        <w:rPr>
          <w:rFonts w:ascii="Arial" w:hAnsi="Arial" w:cs="Arial"/>
          <w:sz w:val="24"/>
          <w:szCs w:val="24"/>
        </w:rPr>
      </w:pPr>
    </w:p>
    <w:p w:rsidR="00A54838" w:rsidRPr="00030651" w:rsidRDefault="002C2DD5" w:rsidP="0050225D">
      <w:pPr>
        <w:tabs>
          <w:tab w:val="left" w:pos="720"/>
        </w:tabs>
        <w:spacing w:after="0" w:line="360" w:lineRule="auto"/>
        <w:jc w:val="both"/>
        <w:rPr>
          <w:rFonts w:ascii="Arial" w:hAnsi="Arial" w:cs="Arial"/>
          <w:sz w:val="24"/>
          <w:szCs w:val="24"/>
        </w:rPr>
      </w:pPr>
      <w:r w:rsidRPr="00030651">
        <w:rPr>
          <w:rFonts w:ascii="Arial" w:hAnsi="Arial" w:cs="Arial"/>
          <w:sz w:val="24"/>
          <w:szCs w:val="24"/>
        </w:rPr>
        <w:t>[3]</w:t>
      </w:r>
      <w:r w:rsidRPr="00030651">
        <w:rPr>
          <w:rFonts w:ascii="Arial" w:hAnsi="Arial" w:cs="Arial"/>
          <w:sz w:val="24"/>
          <w:szCs w:val="24"/>
        </w:rPr>
        <w:tab/>
        <w:t xml:space="preserve">The Tender in question related to the upgrading to bitumen standard of the district road from Oshakati to Ohangwena </w:t>
      </w:r>
      <w:r w:rsidR="00A54838" w:rsidRPr="00030651">
        <w:rPr>
          <w:rFonts w:ascii="Arial" w:hAnsi="Arial" w:cs="Arial"/>
          <w:sz w:val="24"/>
          <w:szCs w:val="24"/>
        </w:rPr>
        <w:t>(Contract No RA/DC-CR/13-2013) valued at N$216,800,289.87.</w:t>
      </w:r>
    </w:p>
    <w:p w:rsidR="00AD16B0" w:rsidRPr="00030651" w:rsidRDefault="00AD16B0" w:rsidP="00187BDD">
      <w:pPr>
        <w:tabs>
          <w:tab w:val="left" w:pos="1035"/>
        </w:tabs>
        <w:spacing w:after="0" w:line="360" w:lineRule="auto"/>
        <w:jc w:val="both"/>
        <w:rPr>
          <w:rFonts w:ascii="Arial" w:hAnsi="Arial" w:cs="Arial"/>
          <w:sz w:val="24"/>
          <w:szCs w:val="24"/>
        </w:rPr>
      </w:pPr>
    </w:p>
    <w:p w:rsidR="00A54838" w:rsidRPr="00030651" w:rsidRDefault="00E91C4A" w:rsidP="0050225D">
      <w:pPr>
        <w:tabs>
          <w:tab w:val="left" w:pos="720"/>
        </w:tabs>
        <w:spacing w:after="0" w:line="360" w:lineRule="auto"/>
        <w:jc w:val="both"/>
        <w:rPr>
          <w:rFonts w:ascii="Arial" w:hAnsi="Arial" w:cs="Arial"/>
          <w:sz w:val="24"/>
          <w:szCs w:val="24"/>
        </w:rPr>
      </w:pPr>
      <w:r w:rsidRPr="00030651">
        <w:rPr>
          <w:rFonts w:ascii="Arial" w:hAnsi="Arial" w:cs="Arial"/>
          <w:sz w:val="24"/>
          <w:szCs w:val="24"/>
        </w:rPr>
        <w:t>[4</w:t>
      </w:r>
      <w:r w:rsidR="00AD16B0" w:rsidRPr="00030651">
        <w:rPr>
          <w:rFonts w:ascii="Arial" w:hAnsi="Arial" w:cs="Arial"/>
          <w:sz w:val="24"/>
          <w:szCs w:val="24"/>
        </w:rPr>
        <w:t>]</w:t>
      </w:r>
      <w:r w:rsidR="00AD16B0" w:rsidRPr="00030651">
        <w:rPr>
          <w:rFonts w:ascii="Arial" w:hAnsi="Arial" w:cs="Arial"/>
          <w:sz w:val="24"/>
          <w:szCs w:val="24"/>
        </w:rPr>
        <w:tab/>
      </w:r>
      <w:r w:rsidR="00A54838" w:rsidRPr="00030651">
        <w:rPr>
          <w:rFonts w:ascii="Arial" w:hAnsi="Arial" w:cs="Arial"/>
          <w:sz w:val="24"/>
          <w:szCs w:val="24"/>
        </w:rPr>
        <w:t>For the consultancy services rendered by the plaintiff to the defendant, and in the event that the defendant</w:t>
      </w:r>
      <w:r w:rsidR="0078194D" w:rsidRPr="00030651">
        <w:rPr>
          <w:rFonts w:ascii="Arial" w:hAnsi="Arial" w:cs="Arial"/>
          <w:sz w:val="24"/>
          <w:szCs w:val="24"/>
        </w:rPr>
        <w:t xml:space="preserve"> was</w:t>
      </w:r>
      <w:r w:rsidR="00A54838" w:rsidRPr="00030651">
        <w:rPr>
          <w:rFonts w:ascii="Arial" w:hAnsi="Arial" w:cs="Arial"/>
          <w:sz w:val="24"/>
          <w:szCs w:val="24"/>
        </w:rPr>
        <w:t xml:space="preserve"> awarded the tender, the </w:t>
      </w:r>
      <w:r w:rsidR="00F21165" w:rsidRPr="00030651">
        <w:rPr>
          <w:rFonts w:ascii="Arial" w:hAnsi="Arial" w:cs="Arial"/>
          <w:sz w:val="24"/>
          <w:szCs w:val="24"/>
        </w:rPr>
        <w:t xml:space="preserve">consultancy </w:t>
      </w:r>
      <w:r w:rsidR="004B60DB" w:rsidRPr="00030651">
        <w:rPr>
          <w:rFonts w:ascii="Arial" w:hAnsi="Arial" w:cs="Arial"/>
          <w:sz w:val="24"/>
          <w:szCs w:val="24"/>
        </w:rPr>
        <w:t xml:space="preserve">agreement provided that the </w:t>
      </w:r>
      <w:r w:rsidR="00A54838" w:rsidRPr="00030651">
        <w:rPr>
          <w:rFonts w:ascii="Arial" w:hAnsi="Arial" w:cs="Arial"/>
          <w:sz w:val="24"/>
          <w:szCs w:val="24"/>
        </w:rPr>
        <w:t>defendant would remunerate the plaintiff the value of 3% of the tender, being N</w:t>
      </w:r>
      <w:r w:rsidR="0078194D" w:rsidRPr="00030651">
        <w:rPr>
          <w:rFonts w:ascii="Arial" w:hAnsi="Arial" w:cs="Arial"/>
          <w:sz w:val="24"/>
          <w:szCs w:val="24"/>
        </w:rPr>
        <w:t>$</w:t>
      </w:r>
      <w:r w:rsidR="00A54838" w:rsidRPr="00030651">
        <w:rPr>
          <w:rFonts w:ascii="Arial" w:hAnsi="Arial" w:cs="Arial"/>
          <w:sz w:val="24"/>
          <w:szCs w:val="24"/>
        </w:rPr>
        <w:t>6,504,008.69 (excluding VAT)</w:t>
      </w:r>
      <w:r w:rsidR="007F6103">
        <w:rPr>
          <w:rFonts w:ascii="Arial" w:hAnsi="Arial" w:cs="Arial"/>
          <w:sz w:val="24"/>
          <w:szCs w:val="24"/>
        </w:rPr>
        <w:t>.</w:t>
      </w:r>
      <w:r w:rsidR="0078194D" w:rsidRPr="00030651">
        <w:rPr>
          <w:rStyle w:val="FootnoteReference"/>
          <w:rFonts w:ascii="Arial" w:hAnsi="Arial" w:cs="Arial"/>
          <w:sz w:val="24"/>
          <w:szCs w:val="24"/>
        </w:rPr>
        <w:footnoteReference w:id="3"/>
      </w:r>
    </w:p>
    <w:p w:rsidR="00E91C4A" w:rsidRPr="00030651" w:rsidRDefault="00E91C4A" w:rsidP="00187BDD">
      <w:pPr>
        <w:tabs>
          <w:tab w:val="left" w:pos="1035"/>
        </w:tabs>
        <w:spacing w:after="0" w:line="360" w:lineRule="auto"/>
        <w:jc w:val="both"/>
        <w:rPr>
          <w:rFonts w:ascii="Arial" w:hAnsi="Arial" w:cs="Arial"/>
          <w:sz w:val="24"/>
          <w:szCs w:val="24"/>
        </w:rPr>
      </w:pPr>
    </w:p>
    <w:p w:rsidR="0078194D" w:rsidRPr="00030651" w:rsidRDefault="00E91C4A" w:rsidP="0050225D">
      <w:pPr>
        <w:spacing w:after="0" w:line="360" w:lineRule="auto"/>
        <w:jc w:val="both"/>
        <w:rPr>
          <w:rFonts w:ascii="Arial" w:hAnsi="Arial" w:cs="Arial"/>
          <w:sz w:val="24"/>
          <w:szCs w:val="24"/>
        </w:rPr>
      </w:pPr>
      <w:r w:rsidRPr="00030651">
        <w:rPr>
          <w:rFonts w:ascii="Arial" w:hAnsi="Arial" w:cs="Arial"/>
          <w:sz w:val="24"/>
          <w:szCs w:val="24"/>
        </w:rPr>
        <w:t>[5]</w:t>
      </w:r>
      <w:r w:rsidRPr="00030651">
        <w:rPr>
          <w:rFonts w:ascii="Arial" w:hAnsi="Arial" w:cs="Arial"/>
          <w:sz w:val="24"/>
          <w:szCs w:val="24"/>
        </w:rPr>
        <w:tab/>
        <w:t xml:space="preserve">The </w:t>
      </w:r>
      <w:r w:rsidR="00A54838" w:rsidRPr="00030651">
        <w:rPr>
          <w:rFonts w:ascii="Arial" w:hAnsi="Arial" w:cs="Arial"/>
          <w:sz w:val="24"/>
          <w:szCs w:val="24"/>
        </w:rPr>
        <w:t>above facts are not in dispute between the parties</w:t>
      </w:r>
      <w:r w:rsidR="0078194D" w:rsidRPr="00030651">
        <w:rPr>
          <w:rFonts w:ascii="Arial" w:hAnsi="Arial" w:cs="Arial"/>
          <w:sz w:val="24"/>
          <w:szCs w:val="24"/>
        </w:rPr>
        <w:t>. Also not in dispute</w:t>
      </w:r>
      <w:r w:rsidR="00F21165" w:rsidRPr="00030651">
        <w:rPr>
          <w:rFonts w:ascii="Arial" w:hAnsi="Arial" w:cs="Arial"/>
          <w:sz w:val="24"/>
          <w:szCs w:val="24"/>
        </w:rPr>
        <w:t>,</w:t>
      </w:r>
      <w:r w:rsidR="0078194D" w:rsidRPr="00030651">
        <w:rPr>
          <w:rFonts w:ascii="Arial" w:hAnsi="Arial" w:cs="Arial"/>
          <w:sz w:val="24"/>
          <w:szCs w:val="24"/>
        </w:rPr>
        <w:t xml:space="preserve"> </w:t>
      </w:r>
      <w:r w:rsidR="00A54838" w:rsidRPr="00030651">
        <w:rPr>
          <w:rFonts w:ascii="Arial" w:hAnsi="Arial" w:cs="Arial"/>
          <w:sz w:val="24"/>
          <w:szCs w:val="24"/>
        </w:rPr>
        <w:t xml:space="preserve">is the fact that the tender was awarded to the defendant, and </w:t>
      </w:r>
      <w:r w:rsidR="00F21165" w:rsidRPr="00030651">
        <w:rPr>
          <w:rFonts w:ascii="Arial" w:hAnsi="Arial" w:cs="Arial"/>
          <w:sz w:val="24"/>
          <w:szCs w:val="24"/>
        </w:rPr>
        <w:t xml:space="preserve">that </w:t>
      </w:r>
      <w:r w:rsidR="004B60DB" w:rsidRPr="00030651">
        <w:rPr>
          <w:rFonts w:ascii="Arial" w:hAnsi="Arial" w:cs="Arial"/>
          <w:sz w:val="24"/>
          <w:szCs w:val="24"/>
        </w:rPr>
        <w:t xml:space="preserve">the defendant </w:t>
      </w:r>
      <w:r w:rsidR="00A54838" w:rsidRPr="00030651">
        <w:rPr>
          <w:rFonts w:ascii="Arial" w:hAnsi="Arial" w:cs="Arial"/>
          <w:sz w:val="24"/>
          <w:szCs w:val="24"/>
        </w:rPr>
        <w:t>accordingly became obliged to pay to the plaintiff the amount of N$6,504,008.69</w:t>
      </w:r>
      <w:r w:rsidR="007F6103">
        <w:rPr>
          <w:rFonts w:ascii="Arial" w:hAnsi="Arial" w:cs="Arial"/>
          <w:sz w:val="24"/>
          <w:szCs w:val="24"/>
        </w:rPr>
        <w:t>.</w:t>
      </w:r>
      <w:r w:rsidR="00A54838" w:rsidRPr="00030651">
        <w:rPr>
          <w:rStyle w:val="FootnoteReference"/>
          <w:rFonts w:ascii="Arial" w:hAnsi="Arial" w:cs="Arial"/>
          <w:sz w:val="24"/>
          <w:szCs w:val="24"/>
        </w:rPr>
        <w:footnoteReference w:id="4"/>
      </w:r>
    </w:p>
    <w:p w:rsidR="0078194D" w:rsidRPr="00030651" w:rsidRDefault="0078194D" w:rsidP="0050225D">
      <w:pPr>
        <w:spacing w:after="0" w:line="360" w:lineRule="auto"/>
        <w:jc w:val="both"/>
        <w:rPr>
          <w:rFonts w:ascii="Arial" w:hAnsi="Arial" w:cs="Arial"/>
          <w:sz w:val="24"/>
          <w:szCs w:val="24"/>
        </w:rPr>
      </w:pPr>
    </w:p>
    <w:p w:rsidR="007C0977" w:rsidRPr="00030651" w:rsidRDefault="00E91C4A" w:rsidP="0078194D">
      <w:pPr>
        <w:tabs>
          <w:tab w:val="left" w:pos="720"/>
        </w:tabs>
        <w:spacing w:after="0" w:line="360" w:lineRule="auto"/>
        <w:jc w:val="both"/>
        <w:rPr>
          <w:rFonts w:ascii="Arial" w:hAnsi="Arial" w:cs="Arial"/>
          <w:sz w:val="24"/>
          <w:szCs w:val="24"/>
        </w:rPr>
      </w:pPr>
      <w:r w:rsidRPr="00030651">
        <w:rPr>
          <w:rFonts w:ascii="Arial" w:hAnsi="Arial" w:cs="Arial"/>
          <w:sz w:val="24"/>
          <w:szCs w:val="24"/>
        </w:rPr>
        <w:t>[6]</w:t>
      </w:r>
      <w:r w:rsidRPr="00030651">
        <w:rPr>
          <w:rFonts w:ascii="Arial" w:hAnsi="Arial" w:cs="Arial"/>
          <w:sz w:val="24"/>
          <w:szCs w:val="24"/>
        </w:rPr>
        <w:tab/>
      </w:r>
      <w:r w:rsidR="0078194D" w:rsidRPr="00030651">
        <w:rPr>
          <w:rFonts w:ascii="Arial" w:hAnsi="Arial" w:cs="Arial"/>
          <w:sz w:val="24"/>
          <w:szCs w:val="24"/>
        </w:rPr>
        <w:t>What is in dispute between the parties is whether the defendant is indebted to the plaintiff in the amount claimed</w:t>
      </w:r>
      <w:r w:rsidR="007C0977" w:rsidRPr="00030651">
        <w:rPr>
          <w:rFonts w:ascii="Arial" w:hAnsi="Arial" w:cs="Arial"/>
          <w:sz w:val="24"/>
          <w:szCs w:val="24"/>
        </w:rPr>
        <w:t>,</w:t>
      </w:r>
      <w:r w:rsidR="0078194D" w:rsidRPr="00030651">
        <w:rPr>
          <w:rFonts w:ascii="Arial" w:hAnsi="Arial" w:cs="Arial"/>
          <w:sz w:val="24"/>
          <w:szCs w:val="24"/>
        </w:rPr>
        <w:t xml:space="preserve"> and </w:t>
      </w:r>
      <w:r w:rsidR="004B60DB" w:rsidRPr="00030651">
        <w:rPr>
          <w:rFonts w:ascii="Arial" w:hAnsi="Arial" w:cs="Arial"/>
          <w:sz w:val="24"/>
          <w:szCs w:val="24"/>
        </w:rPr>
        <w:t xml:space="preserve">in particular, </w:t>
      </w:r>
      <w:r w:rsidR="0078194D" w:rsidRPr="00030651">
        <w:rPr>
          <w:rFonts w:ascii="Arial" w:hAnsi="Arial" w:cs="Arial"/>
          <w:sz w:val="24"/>
          <w:szCs w:val="24"/>
        </w:rPr>
        <w:t>whether the defendant paid the full amount owing to the plaintiff between 27 November 2014</w:t>
      </w:r>
      <w:r w:rsidR="007C0977" w:rsidRPr="00030651">
        <w:rPr>
          <w:rFonts w:ascii="Arial" w:hAnsi="Arial" w:cs="Arial"/>
          <w:sz w:val="24"/>
          <w:szCs w:val="24"/>
        </w:rPr>
        <w:t xml:space="preserve"> and </w:t>
      </w:r>
      <w:r w:rsidR="0078194D" w:rsidRPr="00030651">
        <w:rPr>
          <w:rFonts w:ascii="Arial" w:hAnsi="Arial" w:cs="Arial"/>
          <w:sz w:val="24"/>
          <w:szCs w:val="24"/>
        </w:rPr>
        <w:t>May 2016</w:t>
      </w:r>
      <w:r w:rsidR="007C0977" w:rsidRPr="00030651">
        <w:rPr>
          <w:rFonts w:ascii="Arial" w:hAnsi="Arial" w:cs="Arial"/>
          <w:sz w:val="24"/>
          <w:szCs w:val="24"/>
        </w:rPr>
        <w:t xml:space="preserve"> by way of cash and payments to the personal bank account of Mr Mumbashu, and payments to a close corporation (of which Mr Mumbashu is also the main member), Joevani Properties CC.</w:t>
      </w:r>
    </w:p>
    <w:p w:rsidR="00806565" w:rsidRPr="00030651" w:rsidRDefault="00806565" w:rsidP="00187BDD">
      <w:pPr>
        <w:tabs>
          <w:tab w:val="left" w:pos="1035"/>
        </w:tabs>
        <w:spacing w:after="0" w:line="360" w:lineRule="auto"/>
        <w:ind w:hanging="1035"/>
        <w:jc w:val="both"/>
        <w:rPr>
          <w:rFonts w:ascii="Arial" w:hAnsi="Arial" w:cs="Arial"/>
          <w:sz w:val="24"/>
          <w:szCs w:val="24"/>
        </w:rPr>
      </w:pPr>
    </w:p>
    <w:p w:rsidR="00D429BB" w:rsidRPr="00030651" w:rsidRDefault="00D47503" w:rsidP="0050225D">
      <w:pPr>
        <w:tabs>
          <w:tab w:val="left" w:pos="720"/>
        </w:tabs>
        <w:spacing w:after="0" w:line="360" w:lineRule="auto"/>
        <w:ind w:hanging="1035"/>
        <w:jc w:val="both"/>
        <w:rPr>
          <w:rFonts w:ascii="Arial" w:hAnsi="Arial" w:cs="Arial"/>
          <w:sz w:val="24"/>
          <w:szCs w:val="24"/>
        </w:rPr>
      </w:pPr>
      <w:r w:rsidRPr="00030651">
        <w:rPr>
          <w:rFonts w:ascii="Arial" w:hAnsi="Arial" w:cs="Arial"/>
          <w:sz w:val="24"/>
          <w:szCs w:val="24"/>
        </w:rPr>
        <w:tab/>
      </w:r>
      <w:r w:rsidR="00806565" w:rsidRPr="00030651">
        <w:rPr>
          <w:rFonts w:ascii="Arial" w:hAnsi="Arial" w:cs="Arial"/>
          <w:sz w:val="24"/>
          <w:szCs w:val="24"/>
        </w:rPr>
        <w:t>[7]</w:t>
      </w:r>
      <w:r w:rsidR="00806565" w:rsidRPr="00030651">
        <w:rPr>
          <w:rFonts w:ascii="Arial" w:hAnsi="Arial" w:cs="Arial"/>
          <w:sz w:val="24"/>
          <w:szCs w:val="24"/>
        </w:rPr>
        <w:tab/>
        <w:t>In th</w:t>
      </w:r>
      <w:r w:rsidR="00E31D45" w:rsidRPr="00030651">
        <w:rPr>
          <w:rFonts w:ascii="Arial" w:hAnsi="Arial" w:cs="Arial"/>
          <w:sz w:val="24"/>
          <w:szCs w:val="24"/>
        </w:rPr>
        <w:t>is regard, the plaintiff’s Mr M</w:t>
      </w:r>
      <w:r w:rsidR="009B42BE" w:rsidRPr="00030651">
        <w:rPr>
          <w:rFonts w:ascii="Arial" w:hAnsi="Arial" w:cs="Arial"/>
          <w:sz w:val="24"/>
          <w:szCs w:val="24"/>
        </w:rPr>
        <w:t>u</w:t>
      </w:r>
      <w:r w:rsidR="00E31D45" w:rsidRPr="00030651">
        <w:rPr>
          <w:rFonts w:ascii="Arial" w:hAnsi="Arial" w:cs="Arial"/>
          <w:sz w:val="24"/>
          <w:szCs w:val="24"/>
        </w:rPr>
        <w:t xml:space="preserve">mbashu, the only witness for the plaintiff, testified that the amounts paid by the defendant were not in terms of the consultancy agreement, but rather for </w:t>
      </w:r>
      <w:r w:rsidR="009B42BE" w:rsidRPr="00030651">
        <w:rPr>
          <w:rFonts w:ascii="Arial" w:hAnsi="Arial" w:cs="Arial"/>
          <w:sz w:val="24"/>
          <w:szCs w:val="24"/>
        </w:rPr>
        <w:t xml:space="preserve">different tender related </w:t>
      </w:r>
      <w:r w:rsidR="00E31D45" w:rsidRPr="00030651">
        <w:rPr>
          <w:rFonts w:ascii="Arial" w:hAnsi="Arial" w:cs="Arial"/>
          <w:sz w:val="24"/>
          <w:szCs w:val="24"/>
        </w:rPr>
        <w:t xml:space="preserve">work </w:t>
      </w:r>
      <w:r w:rsidR="009B42BE" w:rsidRPr="00030651">
        <w:rPr>
          <w:rFonts w:ascii="Arial" w:hAnsi="Arial" w:cs="Arial"/>
          <w:sz w:val="24"/>
          <w:szCs w:val="24"/>
        </w:rPr>
        <w:t>undertaken</w:t>
      </w:r>
      <w:r w:rsidR="00E31D45" w:rsidRPr="00030651">
        <w:rPr>
          <w:rFonts w:ascii="Arial" w:hAnsi="Arial" w:cs="Arial"/>
          <w:sz w:val="24"/>
          <w:szCs w:val="24"/>
        </w:rPr>
        <w:t xml:space="preserve"> by Joevani Properties CC for the defendant. </w:t>
      </w:r>
      <w:r w:rsidR="009B42BE" w:rsidRPr="00030651">
        <w:rPr>
          <w:rFonts w:ascii="Arial" w:hAnsi="Arial" w:cs="Arial"/>
          <w:sz w:val="24"/>
          <w:szCs w:val="24"/>
        </w:rPr>
        <w:t>Mr Mumbashu</w:t>
      </w:r>
      <w:r w:rsidR="00E31D45" w:rsidRPr="00030651">
        <w:rPr>
          <w:rFonts w:ascii="Arial" w:hAnsi="Arial" w:cs="Arial"/>
          <w:sz w:val="24"/>
          <w:szCs w:val="24"/>
        </w:rPr>
        <w:t xml:space="preserve"> further testified that various tax invoices were submitted to the defendant by Joevani Properties CC for services rendered </w:t>
      </w:r>
      <w:r w:rsidR="00B27BF0" w:rsidRPr="00030651">
        <w:rPr>
          <w:rFonts w:ascii="Arial" w:hAnsi="Arial" w:cs="Arial"/>
          <w:sz w:val="24"/>
          <w:szCs w:val="24"/>
        </w:rPr>
        <w:t>b</w:t>
      </w:r>
      <w:r w:rsidR="00E31D45" w:rsidRPr="00030651">
        <w:rPr>
          <w:rFonts w:ascii="Arial" w:hAnsi="Arial" w:cs="Arial"/>
          <w:sz w:val="24"/>
          <w:szCs w:val="24"/>
        </w:rPr>
        <w:t xml:space="preserve">y Joevani </w:t>
      </w:r>
      <w:r w:rsidR="00CE3A9B" w:rsidRPr="00030651">
        <w:rPr>
          <w:rFonts w:ascii="Arial" w:hAnsi="Arial" w:cs="Arial"/>
          <w:sz w:val="24"/>
          <w:szCs w:val="24"/>
        </w:rPr>
        <w:t>Properties</w:t>
      </w:r>
      <w:r w:rsidR="00E31D45" w:rsidRPr="00030651">
        <w:rPr>
          <w:rFonts w:ascii="Arial" w:hAnsi="Arial" w:cs="Arial"/>
          <w:sz w:val="24"/>
          <w:szCs w:val="24"/>
        </w:rPr>
        <w:t xml:space="preserve"> CC to the defendant, and that the defendant paid Joevani Properties CC for th</w:t>
      </w:r>
      <w:r w:rsidR="0007545F" w:rsidRPr="00030651">
        <w:rPr>
          <w:rFonts w:ascii="Arial" w:hAnsi="Arial" w:cs="Arial"/>
          <w:sz w:val="24"/>
          <w:szCs w:val="24"/>
        </w:rPr>
        <w:t>ose</w:t>
      </w:r>
      <w:r w:rsidR="00E31D45" w:rsidRPr="00030651">
        <w:rPr>
          <w:rFonts w:ascii="Arial" w:hAnsi="Arial" w:cs="Arial"/>
          <w:sz w:val="24"/>
          <w:szCs w:val="24"/>
        </w:rPr>
        <w:t xml:space="preserve"> services</w:t>
      </w:r>
      <w:r w:rsidR="009B42BE" w:rsidRPr="00030651">
        <w:rPr>
          <w:rFonts w:ascii="Arial" w:hAnsi="Arial" w:cs="Arial"/>
          <w:sz w:val="24"/>
          <w:szCs w:val="24"/>
        </w:rPr>
        <w:t>.</w:t>
      </w:r>
      <w:r w:rsidR="00CE3A9B" w:rsidRPr="00030651">
        <w:rPr>
          <w:rFonts w:ascii="Arial" w:hAnsi="Arial" w:cs="Arial"/>
          <w:sz w:val="24"/>
          <w:szCs w:val="24"/>
        </w:rPr>
        <w:t xml:space="preserve"> Some payments were made directly into the bank account of Jovani Properties CC, and some payments were made directly in cash to</w:t>
      </w:r>
      <w:r w:rsidR="002C6DAE" w:rsidRPr="00030651">
        <w:rPr>
          <w:rFonts w:ascii="Arial" w:hAnsi="Arial" w:cs="Arial"/>
          <w:sz w:val="24"/>
          <w:szCs w:val="24"/>
        </w:rPr>
        <w:t xml:space="preserve"> </w:t>
      </w:r>
      <w:r w:rsidR="00CE3A9B" w:rsidRPr="00030651">
        <w:rPr>
          <w:rFonts w:ascii="Arial" w:hAnsi="Arial" w:cs="Arial"/>
          <w:sz w:val="24"/>
          <w:szCs w:val="24"/>
        </w:rPr>
        <w:t>Mr M</w:t>
      </w:r>
      <w:r w:rsidR="009B42BE" w:rsidRPr="00030651">
        <w:rPr>
          <w:rFonts w:ascii="Arial" w:hAnsi="Arial" w:cs="Arial"/>
          <w:sz w:val="24"/>
          <w:szCs w:val="24"/>
        </w:rPr>
        <w:t>u</w:t>
      </w:r>
      <w:r w:rsidR="00CE3A9B" w:rsidRPr="00030651">
        <w:rPr>
          <w:rFonts w:ascii="Arial" w:hAnsi="Arial" w:cs="Arial"/>
          <w:sz w:val="24"/>
          <w:szCs w:val="24"/>
        </w:rPr>
        <w:t>mbashu</w:t>
      </w:r>
      <w:r w:rsidR="00B27BF0" w:rsidRPr="00030651">
        <w:rPr>
          <w:rFonts w:ascii="Arial" w:hAnsi="Arial" w:cs="Arial"/>
          <w:sz w:val="24"/>
          <w:szCs w:val="24"/>
        </w:rPr>
        <w:t xml:space="preserve">, on his instructions. </w:t>
      </w:r>
    </w:p>
    <w:p w:rsidR="00D429BB" w:rsidRPr="00030651" w:rsidRDefault="00D429BB" w:rsidP="0050225D">
      <w:pPr>
        <w:tabs>
          <w:tab w:val="left" w:pos="720"/>
        </w:tabs>
        <w:spacing w:after="0" w:line="360" w:lineRule="auto"/>
        <w:ind w:hanging="1035"/>
        <w:jc w:val="both"/>
        <w:rPr>
          <w:rFonts w:ascii="Arial" w:hAnsi="Arial" w:cs="Arial"/>
          <w:sz w:val="24"/>
          <w:szCs w:val="24"/>
        </w:rPr>
      </w:pPr>
    </w:p>
    <w:p w:rsidR="00CE3A9B" w:rsidRPr="00030651" w:rsidRDefault="00D429BB" w:rsidP="0050225D">
      <w:pPr>
        <w:tabs>
          <w:tab w:val="left" w:pos="720"/>
        </w:tabs>
        <w:spacing w:after="0" w:line="360" w:lineRule="auto"/>
        <w:ind w:hanging="1035"/>
        <w:jc w:val="both"/>
        <w:rPr>
          <w:rFonts w:ascii="Arial" w:hAnsi="Arial" w:cs="Arial"/>
          <w:sz w:val="24"/>
          <w:szCs w:val="24"/>
        </w:rPr>
      </w:pPr>
      <w:r w:rsidRPr="00030651">
        <w:rPr>
          <w:rFonts w:ascii="Arial" w:hAnsi="Arial" w:cs="Arial"/>
          <w:sz w:val="24"/>
          <w:szCs w:val="24"/>
        </w:rPr>
        <w:tab/>
        <w:t>[8]</w:t>
      </w:r>
      <w:r w:rsidRPr="00030651">
        <w:rPr>
          <w:rFonts w:ascii="Arial" w:hAnsi="Arial" w:cs="Arial"/>
          <w:sz w:val="24"/>
          <w:szCs w:val="24"/>
        </w:rPr>
        <w:tab/>
      </w:r>
      <w:r w:rsidR="00B27BF0" w:rsidRPr="00030651">
        <w:rPr>
          <w:rFonts w:ascii="Arial" w:hAnsi="Arial" w:cs="Arial"/>
          <w:sz w:val="24"/>
          <w:szCs w:val="24"/>
        </w:rPr>
        <w:t>On 2</w:t>
      </w:r>
      <w:r w:rsidRPr="00030651">
        <w:rPr>
          <w:rFonts w:ascii="Arial" w:hAnsi="Arial" w:cs="Arial"/>
          <w:sz w:val="24"/>
          <w:szCs w:val="24"/>
        </w:rPr>
        <w:t>7</w:t>
      </w:r>
      <w:r w:rsidR="00B27BF0" w:rsidRPr="00030651">
        <w:rPr>
          <w:rFonts w:ascii="Arial" w:hAnsi="Arial" w:cs="Arial"/>
          <w:sz w:val="24"/>
          <w:szCs w:val="24"/>
        </w:rPr>
        <w:t xml:space="preserve"> October 2015, </w:t>
      </w:r>
      <w:r w:rsidRPr="00030651">
        <w:rPr>
          <w:rFonts w:ascii="Arial" w:hAnsi="Arial" w:cs="Arial"/>
          <w:sz w:val="24"/>
          <w:szCs w:val="24"/>
        </w:rPr>
        <w:t xml:space="preserve">an invoice was transmitted to the defendant by Joevani Properties </w:t>
      </w:r>
      <w:r w:rsidR="009B42BE" w:rsidRPr="00030651">
        <w:rPr>
          <w:rFonts w:ascii="Arial" w:hAnsi="Arial" w:cs="Arial"/>
          <w:sz w:val="24"/>
          <w:szCs w:val="24"/>
        </w:rPr>
        <w:t xml:space="preserve">CC </w:t>
      </w:r>
      <w:r w:rsidRPr="00030651">
        <w:rPr>
          <w:rFonts w:ascii="Arial" w:hAnsi="Arial" w:cs="Arial"/>
          <w:sz w:val="24"/>
          <w:szCs w:val="24"/>
        </w:rPr>
        <w:t>for payment of an amount of N$1,150,000</w:t>
      </w:r>
      <w:r w:rsidRPr="00030651">
        <w:rPr>
          <w:rStyle w:val="FootnoteReference"/>
          <w:rFonts w:ascii="Arial" w:hAnsi="Arial" w:cs="Arial"/>
          <w:sz w:val="24"/>
          <w:szCs w:val="24"/>
        </w:rPr>
        <w:footnoteReference w:id="5"/>
      </w:r>
      <w:r w:rsidRPr="00030651">
        <w:rPr>
          <w:rFonts w:ascii="Arial" w:hAnsi="Arial" w:cs="Arial"/>
          <w:sz w:val="24"/>
          <w:szCs w:val="24"/>
        </w:rPr>
        <w:t xml:space="preserve"> for “Grand Trading contractual agreement</w:t>
      </w:r>
      <w:r w:rsidR="00F21165" w:rsidRPr="00030651">
        <w:rPr>
          <w:rFonts w:ascii="Arial" w:hAnsi="Arial" w:cs="Arial"/>
          <w:sz w:val="24"/>
          <w:szCs w:val="24"/>
        </w:rPr>
        <w:t>”</w:t>
      </w:r>
      <w:r w:rsidRPr="00030651">
        <w:rPr>
          <w:rFonts w:ascii="Arial" w:hAnsi="Arial" w:cs="Arial"/>
          <w:sz w:val="24"/>
          <w:szCs w:val="24"/>
        </w:rPr>
        <w:t xml:space="preserve">. On 28 October 2015, </w:t>
      </w:r>
      <w:r w:rsidR="00B27BF0" w:rsidRPr="00030651">
        <w:rPr>
          <w:rFonts w:ascii="Arial" w:hAnsi="Arial" w:cs="Arial"/>
          <w:sz w:val="24"/>
          <w:szCs w:val="24"/>
        </w:rPr>
        <w:t>Mr M</w:t>
      </w:r>
      <w:r w:rsidR="00F21165" w:rsidRPr="00030651">
        <w:rPr>
          <w:rFonts w:ascii="Arial" w:hAnsi="Arial" w:cs="Arial"/>
          <w:sz w:val="24"/>
          <w:szCs w:val="24"/>
        </w:rPr>
        <w:t>u</w:t>
      </w:r>
      <w:r w:rsidR="00B27BF0" w:rsidRPr="00030651">
        <w:rPr>
          <w:rFonts w:ascii="Arial" w:hAnsi="Arial" w:cs="Arial"/>
          <w:sz w:val="24"/>
          <w:szCs w:val="24"/>
        </w:rPr>
        <w:t xml:space="preserve">mbashu on behalf of the plaintiff instructed the defendant to transfer the funds reflecting in the contract between the plaintiff </w:t>
      </w:r>
      <w:r w:rsidRPr="00030651">
        <w:rPr>
          <w:rFonts w:ascii="Arial" w:hAnsi="Arial" w:cs="Arial"/>
          <w:sz w:val="24"/>
          <w:szCs w:val="24"/>
        </w:rPr>
        <w:t xml:space="preserve">and the defendant </w:t>
      </w:r>
      <w:r w:rsidR="0007545F" w:rsidRPr="00030651">
        <w:rPr>
          <w:rFonts w:ascii="Arial" w:hAnsi="Arial" w:cs="Arial"/>
          <w:sz w:val="24"/>
          <w:szCs w:val="24"/>
        </w:rPr>
        <w:t>t</w:t>
      </w:r>
      <w:r w:rsidR="00F21165" w:rsidRPr="00030651">
        <w:rPr>
          <w:rFonts w:ascii="Arial" w:hAnsi="Arial" w:cs="Arial"/>
          <w:sz w:val="24"/>
          <w:szCs w:val="24"/>
        </w:rPr>
        <w:t>o</w:t>
      </w:r>
      <w:r w:rsidR="0007545F" w:rsidRPr="00030651">
        <w:rPr>
          <w:rFonts w:ascii="Arial" w:hAnsi="Arial" w:cs="Arial"/>
          <w:sz w:val="24"/>
          <w:szCs w:val="24"/>
        </w:rPr>
        <w:t xml:space="preserve"> the </w:t>
      </w:r>
      <w:r w:rsidR="009B42BE" w:rsidRPr="00030651">
        <w:rPr>
          <w:rFonts w:ascii="Arial" w:hAnsi="Arial" w:cs="Arial"/>
          <w:sz w:val="24"/>
          <w:szCs w:val="24"/>
        </w:rPr>
        <w:t xml:space="preserve">bank </w:t>
      </w:r>
      <w:r w:rsidR="0007545F" w:rsidRPr="00030651">
        <w:rPr>
          <w:rFonts w:ascii="Arial" w:hAnsi="Arial" w:cs="Arial"/>
          <w:sz w:val="24"/>
          <w:szCs w:val="24"/>
        </w:rPr>
        <w:t>account of Joevani Properties</w:t>
      </w:r>
      <w:r w:rsidR="009B42BE" w:rsidRPr="00030651">
        <w:rPr>
          <w:rFonts w:ascii="Arial" w:hAnsi="Arial" w:cs="Arial"/>
          <w:sz w:val="24"/>
          <w:szCs w:val="24"/>
        </w:rPr>
        <w:t xml:space="preserve"> CC</w:t>
      </w:r>
      <w:r w:rsidR="0007545F" w:rsidRPr="00030651">
        <w:rPr>
          <w:rFonts w:ascii="Arial" w:hAnsi="Arial" w:cs="Arial"/>
          <w:sz w:val="24"/>
          <w:szCs w:val="24"/>
        </w:rPr>
        <w:t xml:space="preserve">.  </w:t>
      </w:r>
      <w:r w:rsidR="009B42BE" w:rsidRPr="00030651">
        <w:rPr>
          <w:rFonts w:ascii="Arial" w:hAnsi="Arial" w:cs="Arial"/>
          <w:sz w:val="24"/>
          <w:szCs w:val="24"/>
        </w:rPr>
        <w:t>The defendant paid this amount into the bank account of Joeva</w:t>
      </w:r>
      <w:r w:rsidR="00FB6C28">
        <w:rPr>
          <w:rFonts w:ascii="Arial" w:hAnsi="Arial" w:cs="Arial"/>
          <w:sz w:val="24"/>
          <w:szCs w:val="24"/>
        </w:rPr>
        <w:t>ni Properties CC as requested.</w:t>
      </w:r>
    </w:p>
    <w:p w:rsidR="006B5333" w:rsidRPr="00030651" w:rsidRDefault="006B5333" w:rsidP="00187BDD">
      <w:pPr>
        <w:tabs>
          <w:tab w:val="left" w:pos="1035"/>
        </w:tabs>
        <w:spacing w:after="0" w:line="360" w:lineRule="auto"/>
        <w:jc w:val="both"/>
        <w:rPr>
          <w:rFonts w:ascii="Arial" w:hAnsi="Arial" w:cs="Arial"/>
          <w:sz w:val="24"/>
          <w:szCs w:val="24"/>
        </w:rPr>
      </w:pPr>
    </w:p>
    <w:p w:rsidR="002C6DAE" w:rsidRPr="00030651" w:rsidRDefault="00D47503" w:rsidP="007D4AE3">
      <w:pPr>
        <w:spacing w:after="0" w:line="360" w:lineRule="auto"/>
        <w:jc w:val="both"/>
        <w:rPr>
          <w:rFonts w:ascii="Arial" w:hAnsi="Arial" w:cs="Arial"/>
          <w:sz w:val="24"/>
          <w:szCs w:val="24"/>
        </w:rPr>
      </w:pPr>
      <w:r w:rsidRPr="00030651">
        <w:rPr>
          <w:rFonts w:ascii="Arial" w:hAnsi="Arial" w:cs="Arial"/>
          <w:sz w:val="24"/>
          <w:szCs w:val="24"/>
        </w:rPr>
        <w:t>[</w:t>
      </w:r>
      <w:r w:rsidR="00D429BB" w:rsidRPr="00030651">
        <w:rPr>
          <w:rFonts w:ascii="Arial" w:hAnsi="Arial" w:cs="Arial"/>
          <w:sz w:val="24"/>
          <w:szCs w:val="24"/>
        </w:rPr>
        <w:t>9</w:t>
      </w:r>
      <w:r w:rsidR="00A42487" w:rsidRPr="00030651">
        <w:rPr>
          <w:rFonts w:ascii="Arial" w:hAnsi="Arial" w:cs="Arial"/>
          <w:sz w:val="24"/>
          <w:szCs w:val="24"/>
        </w:rPr>
        <w:t>]</w:t>
      </w:r>
      <w:r w:rsidR="00A42487" w:rsidRPr="00030651">
        <w:rPr>
          <w:rFonts w:ascii="Arial" w:hAnsi="Arial" w:cs="Arial"/>
          <w:sz w:val="24"/>
          <w:szCs w:val="24"/>
        </w:rPr>
        <w:tab/>
      </w:r>
      <w:r w:rsidR="009B42BE" w:rsidRPr="00030651">
        <w:rPr>
          <w:rFonts w:ascii="Arial" w:hAnsi="Arial" w:cs="Arial"/>
          <w:sz w:val="24"/>
          <w:szCs w:val="24"/>
        </w:rPr>
        <w:t xml:space="preserve">Mr Mumbashu </w:t>
      </w:r>
      <w:r w:rsidR="002C6DAE" w:rsidRPr="00030651">
        <w:rPr>
          <w:rFonts w:ascii="Arial" w:hAnsi="Arial" w:cs="Arial"/>
          <w:sz w:val="24"/>
          <w:szCs w:val="24"/>
        </w:rPr>
        <w:t xml:space="preserve">testified that there were many dealings between Joevani Properties </w:t>
      </w:r>
      <w:r w:rsidR="009B42BE" w:rsidRPr="00030651">
        <w:rPr>
          <w:rFonts w:ascii="Arial" w:hAnsi="Arial" w:cs="Arial"/>
          <w:sz w:val="24"/>
          <w:szCs w:val="24"/>
        </w:rPr>
        <w:t>CC</w:t>
      </w:r>
      <w:r w:rsidR="00756C31" w:rsidRPr="00030651">
        <w:rPr>
          <w:rFonts w:ascii="Arial" w:hAnsi="Arial" w:cs="Arial"/>
          <w:sz w:val="24"/>
          <w:szCs w:val="24"/>
        </w:rPr>
        <w:t xml:space="preserve"> </w:t>
      </w:r>
      <w:r w:rsidR="002C6DAE" w:rsidRPr="00030651">
        <w:rPr>
          <w:rFonts w:ascii="Arial" w:hAnsi="Arial" w:cs="Arial"/>
          <w:sz w:val="24"/>
          <w:szCs w:val="24"/>
        </w:rPr>
        <w:t xml:space="preserve">and the defendant. Initially Joevani </w:t>
      </w:r>
      <w:r w:rsidR="0073400E" w:rsidRPr="00030651">
        <w:rPr>
          <w:rFonts w:ascii="Arial" w:hAnsi="Arial" w:cs="Arial"/>
          <w:sz w:val="24"/>
          <w:szCs w:val="24"/>
        </w:rPr>
        <w:t xml:space="preserve">Properties CC </w:t>
      </w:r>
      <w:r w:rsidR="002C6DAE" w:rsidRPr="00030651">
        <w:rPr>
          <w:rFonts w:ascii="Arial" w:hAnsi="Arial" w:cs="Arial"/>
          <w:sz w:val="24"/>
          <w:szCs w:val="24"/>
        </w:rPr>
        <w:t>was appointed by the defendant as a cons</w:t>
      </w:r>
      <w:r w:rsidR="0073400E" w:rsidRPr="00030651">
        <w:rPr>
          <w:rFonts w:ascii="Arial" w:hAnsi="Arial" w:cs="Arial"/>
          <w:sz w:val="24"/>
          <w:szCs w:val="24"/>
        </w:rPr>
        <w:t>ultant, a</w:t>
      </w:r>
      <w:r w:rsidR="002C6DAE" w:rsidRPr="00030651">
        <w:rPr>
          <w:rFonts w:ascii="Arial" w:hAnsi="Arial" w:cs="Arial"/>
          <w:sz w:val="24"/>
          <w:szCs w:val="24"/>
        </w:rPr>
        <w:t xml:space="preserve">nd later Joevani Properties CC became a </w:t>
      </w:r>
      <w:r w:rsidR="00756C31" w:rsidRPr="00030651">
        <w:rPr>
          <w:rFonts w:ascii="Arial" w:hAnsi="Arial" w:cs="Arial"/>
          <w:sz w:val="24"/>
          <w:szCs w:val="24"/>
        </w:rPr>
        <w:t xml:space="preserve">local </w:t>
      </w:r>
      <w:r w:rsidR="002C6DAE" w:rsidRPr="00030651">
        <w:rPr>
          <w:rFonts w:ascii="Arial" w:hAnsi="Arial" w:cs="Arial"/>
          <w:sz w:val="24"/>
          <w:szCs w:val="24"/>
        </w:rPr>
        <w:t>partner to the defendant. After the award of the tender</w:t>
      </w:r>
      <w:r w:rsidR="00856FA8">
        <w:rPr>
          <w:rFonts w:ascii="Arial" w:hAnsi="Arial" w:cs="Arial"/>
          <w:sz w:val="24"/>
          <w:szCs w:val="24"/>
        </w:rPr>
        <w:t xml:space="preserve"> for the </w:t>
      </w:r>
      <w:r w:rsidR="00756C31" w:rsidRPr="00030651">
        <w:rPr>
          <w:rFonts w:ascii="Arial" w:hAnsi="Arial" w:cs="Arial"/>
          <w:sz w:val="24"/>
          <w:szCs w:val="24"/>
        </w:rPr>
        <w:t xml:space="preserve">Oshakati Ohangwena road to the defendant, </w:t>
      </w:r>
      <w:r w:rsidR="002C6DAE" w:rsidRPr="00030651">
        <w:rPr>
          <w:rFonts w:ascii="Arial" w:hAnsi="Arial" w:cs="Arial"/>
          <w:sz w:val="24"/>
          <w:szCs w:val="24"/>
        </w:rPr>
        <w:t xml:space="preserve">the plaintiff continued its relationship with the defendant as a consultant, and Joevani Properties CC remained the local partner </w:t>
      </w:r>
      <w:r w:rsidR="00756C31" w:rsidRPr="00030651">
        <w:rPr>
          <w:rFonts w:ascii="Arial" w:hAnsi="Arial" w:cs="Arial"/>
          <w:sz w:val="24"/>
          <w:szCs w:val="24"/>
        </w:rPr>
        <w:t>to</w:t>
      </w:r>
      <w:r w:rsidR="002C6DAE" w:rsidRPr="00030651">
        <w:rPr>
          <w:rFonts w:ascii="Arial" w:hAnsi="Arial" w:cs="Arial"/>
          <w:sz w:val="24"/>
          <w:szCs w:val="24"/>
        </w:rPr>
        <w:t xml:space="preserve"> with the defendant, and provided construction related services such as vehicles and labour. </w:t>
      </w:r>
    </w:p>
    <w:p w:rsidR="002C6DAE" w:rsidRPr="00030651" w:rsidRDefault="002C6DAE" w:rsidP="007D4AE3">
      <w:pPr>
        <w:spacing w:after="0" w:line="360" w:lineRule="auto"/>
        <w:jc w:val="both"/>
        <w:rPr>
          <w:rFonts w:ascii="Arial" w:hAnsi="Arial" w:cs="Arial"/>
          <w:sz w:val="24"/>
          <w:szCs w:val="24"/>
        </w:rPr>
      </w:pPr>
    </w:p>
    <w:p w:rsidR="00030651" w:rsidRPr="00030651" w:rsidRDefault="00FD713A" w:rsidP="00030651">
      <w:pPr>
        <w:spacing w:after="0" w:line="360" w:lineRule="auto"/>
        <w:jc w:val="both"/>
        <w:rPr>
          <w:rFonts w:ascii="Arial" w:hAnsi="Arial" w:cs="Arial"/>
          <w:sz w:val="24"/>
          <w:szCs w:val="24"/>
        </w:rPr>
      </w:pPr>
      <w:r w:rsidRPr="00030651">
        <w:rPr>
          <w:rFonts w:ascii="Arial" w:hAnsi="Arial" w:cs="Arial"/>
          <w:sz w:val="24"/>
          <w:szCs w:val="24"/>
        </w:rPr>
        <w:t>[10</w:t>
      </w:r>
      <w:r w:rsidR="00AD16B0" w:rsidRPr="00030651">
        <w:rPr>
          <w:rFonts w:ascii="Arial" w:hAnsi="Arial" w:cs="Arial"/>
          <w:sz w:val="24"/>
          <w:szCs w:val="24"/>
        </w:rPr>
        <w:t>]</w:t>
      </w:r>
      <w:r w:rsidR="00AD16B0" w:rsidRPr="00030651">
        <w:rPr>
          <w:rFonts w:ascii="Arial" w:hAnsi="Arial" w:cs="Arial"/>
          <w:sz w:val="24"/>
          <w:szCs w:val="24"/>
        </w:rPr>
        <w:tab/>
      </w:r>
      <w:r w:rsidR="002C6DAE" w:rsidRPr="00030651">
        <w:rPr>
          <w:rFonts w:ascii="Arial" w:hAnsi="Arial" w:cs="Arial"/>
          <w:sz w:val="24"/>
          <w:szCs w:val="24"/>
        </w:rPr>
        <w:t>M</w:t>
      </w:r>
      <w:r w:rsidR="00B27BF0" w:rsidRPr="00030651">
        <w:rPr>
          <w:rFonts w:ascii="Arial" w:hAnsi="Arial" w:cs="Arial"/>
          <w:sz w:val="24"/>
          <w:szCs w:val="24"/>
        </w:rPr>
        <w:t>r</w:t>
      </w:r>
      <w:r w:rsidR="002C6DAE" w:rsidRPr="00030651">
        <w:rPr>
          <w:rFonts w:ascii="Arial" w:hAnsi="Arial" w:cs="Arial"/>
          <w:sz w:val="24"/>
          <w:szCs w:val="24"/>
        </w:rPr>
        <w:t xml:space="preserve"> M</w:t>
      </w:r>
      <w:r w:rsidR="00756C31" w:rsidRPr="00030651">
        <w:rPr>
          <w:rFonts w:ascii="Arial" w:hAnsi="Arial" w:cs="Arial"/>
          <w:sz w:val="24"/>
          <w:szCs w:val="24"/>
        </w:rPr>
        <w:t>u</w:t>
      </w:r>
      <w:r w:rsidR="002C6DAE" w:rsidRPr="00030651">
        <w:rPr>
          <w:rFonts w:ascii="Arial" w:hAnsi="Arial" w:cs="Arial"/>
          <w:sz w:val="24"/>
          <w:szCs w:val="24"/>
        </w:rPr>
        <w:t xml:space="preserve">mbashu </w:t>
      </w:r>
      <w:r w:rsidR="0007545F" w:rsidRPr="00030651">
        <w:rPr>
          <w:rFonts w:ascii="Arial" w:hAnsi="Arial" w:cs="Arial"/>
          <w:sz w:val="24"/>
          <w:szCs w:val="24"/>
        </w:rPr>
        <w:t xml:space="preserve">further </w:t>
      </w:r>
      <w:r w:rsidR="002C6DAE" w:rsidRPr="00030651">
        <w:rPr>
          <w:rFonts w:ascii="Arial" w:hAnsi="Arial" w:cs="Arial"/>
          <w:sz w:val="24"/>
          <w:szCs w:val="24"/>
        </w:rPr>
        <w:t xml:space="preserve">testified </w:t>
      </w:r>
      <w:r w:rsidR="003D2A02" w:rsidRPr="00030651">
        <w:rPr>
          <w:rFonts w:ascii="Arial" w:hAnsi="Arial" w:cs="Arial"/>
          <w:sz w:val="24"/>
          <w:szCs w:val="24"/>
        </w:rPr>
        <w:t>that as</w:t>
      </w:r>
      <w:r w:rsidR="00B27BF0" w:rsidRPr="00030651">
        <w:rPr>
          <w:rFonts w:ascii="Arial" w:hAnsi="Arial" w:cs="Arial"/>
          <w:sz w:val="24"/>
          <w:szCs w:val="24"/>
        </w:rPr>
        <w:t xml:space="preserve"> there were several dealings between Joevani Properties CC and the defendant,  the payments made by the defendant to him directly were not only in respect of the consultancy agreement between the plaintiff and the defendant but also in respect of the dealings the defendant had with Joevani Properties CC. Furthermore, </w:t>
      </w:r>
      <w:r w:rsidR="002C6DAE" w:rsidRPr="00030651">
        <w:rPr>
          <w:rFonts w:ascii="Arial" w:hAnsi="Arial" w:cs="Arial"/>
          <w:sz w:val="24"/>
          <w:szCs w:val="24"/>
        </w:rPr>
        <w:t xml:space="preserve">during 9 September 2014, a joint venture agreement was also concluded between the defendant and Joevani Properties CC in respect of the construction of Phase 2 of the head office of the Ministry of Fisheries and Marine Resources. In terms of this joint venture agreement, Joevani Properties </w:t>
      </w:r>
      <w:r w:rsidR="003D2A02" w:rsidRPr="00030651">
        <w:rPr>
          <w:rFonts w:ascii="Arial" w:hAnsi="Arial" w:cs="Arial"/>
          <w:sz w:val="24"/>
          <w:szCs w:val="24"/>
        </w:rPr>
        <w:t xml:space="preserve">CC </w:t>
      </w:r>
      <w:r w:rsidR="002C6DAE" w:rsidRPr="00030651">
        <w:rPr>
          <w:rFonts w:ascii="Arial" w:hAnsi="Arial" w:cs="Arial"/>
          <w:sz w:val="24"/>
          <w:szCs w:val="24"/>
        </w:rPr>
        <w:t xml:space="preserve">was to receive 70% from the proceeds of such tender. A further </w:t>
      </w:r>
      <w:r w:rsidR="00B27BF0" w:rsidRPr="00030651">
        <w:rPr>
          <w:rFonts w:ascii="Arial" w:hAnsi="Arial" w:cs="Arial"/>
          <w:sz w:val="24"/>
          <w:szCs w:val="24"/>
        </w:rPr>
        <w:t xml:space="preserve">oral consultancy agreement was </w:t>
      </w:r>
      <w:r w:rsidR="00647ACB" w:rsidRPr="00030651">
        <w:rPr>
          <w:rFonts w:ascii="Arial" w:hAnsi="Arial" w:cs="Arial"/>
          <w:sz w:val="24"/>
          <w:szCs w:val="24"/>
        </w:rPr>
        <w:t xml:space="preserve">also </w:t>
      </w:r>
      <w:r w:rsidR="00B27BF0" w:rsidRPr="00030651">
        <w:rPr>
          <w:rFonts w:ascii="Arial" w:hAnsi="Arial" w:cs="Arial"/>
          <w:sz w:val="24"/>
          <w:szCs w:val="24"/>
        </w:rPr>
        <w:t>concluded between Joevani Properfties CC and the defendant for the Swakopmund-Uis tender.</w:t>
      </w:r>
    </w:p>
    <w:p w:rsidR="00663DB1" w:rsidRPr="00030651" w:rsidRDefault="00663DB1" w:rsidP="00030651">
      <w:pPr>
        <w:spacing w:after="0" w:line="360" w:lineRule="auto"/>
        <w:jc w:val="both"/>
        <w:rPr>
          <w:rFonts w:ascii="Arial" w:hAnsi="Arial" w:cs="Arial"/>
          <w:sz w:val="24"/>
          <w:szCs w:val="24"/>
        </w:rPr>
      </w:pPr>
    </w:p>
    <w:p w:rsidR="0018708B" w:rsidRPr="00030651" w:rsidRDefault="00C41A3F" w:rsidP="00030651">
      <w:pPr>
        <w:spacing w:after="0" w:line="360" w:lineRule="auto"/>
        <w:jc w:val="both"/>
        <w:rPr>
          <w:rFonts w:ascii="Arial" w:hAnsi="Arial" w:cs="Arial"/>
          <w:i/>
          <w:sz w:val="24"/>
          <w:szCs w:val="24"/>
          <w:u w:val="single"/>
        </w:rPr>
      </w:pPr>
      <w:r w:rsidRPr="00030651">
        <w:rPr>
          <w:rFonts w:ascii="Arial" w:hAnsi="Arial" w:cs="Arial"/>
          <w:sz w:val="24"/>
          <w:szCs w:val="24"/>
        </w:rPr>
        <w:t>[</w:t>
      </w:r>
      <w:r w:rsidR="00A219B8" w:rsidRPr="00030651">
        <w:rPr>
          <w:rFonts w:ascii="Arial" w:hAnsi="Arial" w:cs="Arial"/>
          <w:sz w:val="24"/>
          <w:szCs w:val="24"/>
        </w:rPr>
        <w:t>11</w:t>
      </w:r>
      <w:r w:rsidRPr="00030651">
        <w:rPr>
          <w:rFonts w:ascii="Arial" w:hAnsi="Arial" w:cs="Arial"/>
          <w:sz w:val="24"/>
          <w:szCs w:val="24"/>
        </w:rPr>
        <w:t>]</w:t>
      </w:r>
      <w:r w:rsidRPr="00030651">
        <w:rPr>
          <w:rFonts w:ascii="Arial" w:hAnsi="Arial" w:cs="Arial"/>
          <w:sz w:val="24"/>
          <w:szCs w:val="24"/>
        </w:rPr>
        <w:tab/>
      </w:r>
      <w:r w:rsidR="003D2A02" w:rsidRPr="00030651">
        <w:rPr>
          <w:rFonts w:ascii="Arial" w:hAnsi="Arial" w:cs="Arial"/>
          <w:sz w:val="24"/>
          <w:szCs w:val="24"/>
        </w:rPr>
        <w:t>Mr Mumbashu</w:t>
      </w:r>
      <w:r w:rsidR="00B27BF0" w:rsidRPr="00030651">
        <w:rPr>
          <w:rFonts w:ascii="Arial" w:hAnsi="Arial" w:cs="Arial"/>
          <w:sz w:val="24"/>
          <w:szCs w:val="24"/>
        </w:rPr>
        <w:t xml:space="preserve"> was cross examined at length about each of the various invoices</w:t>
      </w:r>
      <w:r w:rsidR="003D2A02" w:rsidRPr="00030651">
        <w:rPr>
          <w:rFonts w:ascii="Arial" w:hAnsi="Arial" w:cs="Arial"/>
          <w:sz w:val="24"/>
          <w:szCs w:val="24"/>
        </w:rPr>
        <w:t xml:space="preserve"> submitted to the defendant under the Jovanni Properties CC letterhead. He was also questioned about </w:t>
      </w:r>
      <w:r w:rsidR="00B27BF0" w:rsidRPr="00030651">
        <w:rPr>
          <w:rFonts w:ascii="Arial" w:hAnsi="Arial" w:cs="Arial"/>
          <w:sz w:val="24"/>
          <w:szCs w:val="24"/>
        </w:rPr>
        <w:t xml:space="preserve">transfers made </w:t>
      </w:r>
      <w:r w:rsidR="003D2A02" w:rsidRPr="00030651">
        <w:rPr>
          <w:rFonts w:ascii="Arial" w:hAnsi="Arial" w:cs="Arial"/>
          <w:sz w:val="24"/>
          <w:szCs w:val="24"/>
        </w:rPr>
        <w:t xml:space="preserve">directly to him </w:t>
      </w:r>
      <w:r w:rsidR="00B27BF0" w:rsidRPr="00030651">
        <w:rPr>
          <w:rFonts w:ascii="Arial" w:hAnsi="Arial" w:cs="Arial"/>
          <w:sz w:val="24"/>
          <w:szCs w:val="24"/>
        </w:rPr>
        <w:t xml:space="preserve">in cash, </w:t>
      </w:r>
      <w:r w:rsidR="00D429BB" w:rsidRPr="00030651">
        <w:rPr>
          <w:rFonts w:ascii="Arial" w:hAnsi="Arial" w:cs="Arial"/>
          <w:sz w:val="24"/>
          <w:szCs w:val="24"/>
        </w:rPr>
        <w:t xml:space="preserve">the main thrust of the cross examination being to show that the plaintiff had been paid in full, and that although the business relationship between the defendant and Joevani Properties </w:t>
      </w:r>
      <w:r w:rsidR="003D2A02" w:rsidRPr="00030651">
        <w:rPr>
          <w:rFonts w:ascii="Arial" w:hAnsi="Arial" w:cs="Arial"/>
          <w:sz w:val="24"/>
          <w:szCs w:val="24"/>
        </w:rPr>
        <w:t xml:space="preserve">CC </w:t>
      </w:r>
      <w:r w:rsidR="00D429BB" w:rsidRPr="00030651">
        <w:rPr>
          <w:rFonts w:ascii="Arial" w:hAnsi="Arial" w:cs="Arial"/>
          <w:sz w:val="24"/>
          <w:szCs w:val="24"/>
        </w:rPr>
        <w:t>was not disputed, the other business dealings with the defendant alleged to have existed by Mr Mambashu, were non</w:t>
      </w:r>
      <w:r w:rsidR="003D2A02" w:rsidRPr="00030651">
        <w:rPr>
          <w:rFonts w:ascii="Arial" w:hAnsi="Arial" w:cs="Arial"/>
          <w:sz w:val="24"/>
          <w:szCs w:val="24"/>
        </w:rPr>
        <w:t>-</w:t>
      </w:r>
      <w:r w:rsidR="00D429BB" w:rsidRPr="00030651">
        <w:rPr>
          <w:rFonts w:ascii="Arial" w:hAnsi="Arial" w:cs="Arial"/>
          <w:sz w:val="24"/>
          <w:szCs w:val="24"/>
        </w:rPr>
        <w:t>existent</w:t>
      </w:r>
      <w:r w:rsidR="003D2A02" w:rsidRPr="00030651">
        <w:rPr>
          <w:rFonts w:ascii="Arial" w:hAnsi="Arial" w:cs="Arial"/>
          <w:sz w:val="24"/>
          <w:szCs w:val="24"/>
        </w:rPr>
        <w:t xml:space="preserve">. It was put to plaintiff that it </w:t>
      </w:r>
      <w:r w:rsidR="00D429BB" w:rsidRPr="00030651">
        <w:rPr>
          <w:rFonts w:ascii="Arial" w:hAnsi="Arial" w:cs="Arial"/>
          <w:sz w:val="24"/>
          <w:szCs w:val="24"/>
        </w:rPr>
        <w:t xml:space="preserve">was claiming </w:t>
      </w:r>
      <w:r w:rsidR="00647ACB" w:rsidRPr="00030651">
        <w:rPr>
          <w:rFonts w:ascii="Arial" w:hAnsi="Arial" w:cs="Arial"/>
          <w:sz w:val="24"/>
          <w:szCs w:val="24"/>
        </w:rPr>
        <w:t xml:space="preserve">much </w:t>
      </w:r>
      <w:r w:rsidR="00D429BB" w:rsidRPr="00030651">
        <w:rPr>
          <w:rFonts w:ascii="Arial" w:hAnsi="Arial" w:cs="Arial"/>
          <w:sz w:val="24"/>
          <w:szCs w:val="24"/>
        </w:rPr>
        <w:t>more than he was entitled to.</w:t>
      </w:r>
      <w:r w:rsidR="00634FB8" w:rsidRPr="00030651">
        <w:rPr>
          <w:rFonts w:ascii="Arial" w:hAnsi="Arial" w:cs="Arial"/>
          <w:sz w:val="24"/>
          <w:szCs w:val="24"/>
        </w:rPr>
        <w:t xml:space="preserve"> This precipitated the absolution application before court. </w:t>
      </w:r>
    </w:p>
    <w:p w:rsidR="002E7AAD" w:rsidRPr="00030651" w:rsidRDefault="002E7AAD" w:rsidP="0018708B">
      <w:pPr>
        <w:tabs>
          <w:tab w:val="left" w:pos="1035"/>
        </w:tabs>
        <w:spacing w:after="0" w:line="360" w:lineRule="auto"/>
        <w:jc w:val="both"/>
        <w:rPr>
          <w:rFonts w:ascii="Arial" w:hAnsi="Arial" w:cs="Arial"/>
          <w:sz w:val="24"/>
          <w:szCs w:val="24"/>
          <w:u w:val="single"/>
        </w:rPr>
      </w:pPr>
    </w:p>
    <w:p w:rsidR="00AB748A" w:rsidRPr="00030651" w:rsidRDefault="0018708B" w:rsidP="00247EBC">
      <w:pPr>
        <w:tabs>
          <w:tab w:val="left" w:pos="810"/>
        </w:tabs>
        <w:spacing w:after="0" w:line="360" w:lineRule="auto"/>
        <w:jc w:val="both"/>
        <w:rPr>
          <w:rFonts w:ascii="Arial" w:hAnsi="Arial" w:cs="Arial"/>
          <w:sz w:val="24"/>
          <w:szCs w:val="24"/>
          <w:lang w:val="en-ZA"/>
        </w:rPr>
      </w:pPr>
      <w:r w:rsidRPr="00030651">
        <w:rPr>
          <w:rFonts w:ascii="Arial" w:hAnsi="Arial" w:cs="Arial"/>
          <w:sz w:val="24"/>
          <w:szCs w:val="24"/>
        </w:rPr>
        <w:t>[</w:t>
      </w:r>
      <w:r w:rsidR="00634FB8" w:rsidRPr="00030651">
        <w:rPr>
          <w:rFonts w:ascii="Arial" w:hAnsi="Arial" w:cs="Arial"/>
          <w:sz w:val="24"/>
          <w:szCs w:val="24"/>
        </w:rPr>
        <w:t>12</w:t>
      </w:r>
      <w:r w:rsidRPr="00030651">
        <w:rPr>
          <w:rFonts w:ascii="Arial" w:hAnsi="Arial" w:cs="Arial"/>
          <w:sz w:val="24"/>
          <w:szCs w:val="24"/>
        </w:rPr>
        <w:t>]</w:t>
      </w:r>
      <w:r w:rsidR="00AB748A" w:rsidRPr="00030651">
        <w:rPr>
          <w:rFonts w:ascii="Arial" w:hAnsi="Arial" w:cs="Arial"/>
          <w:sz w:val="24"/>
          <w:szCs w:val="24"/>
        </w:rPr>
        <w:tab/>
      </w:r>
      <w:r w:rsidR="00634FB8" w:rsidRPr="00030651">
        <w:rPr>
          <w:rFonts w:ascii="Arial" w:hAnsi="Arial" w:cs="Arial"/>
          <w:sz w:val="24"/>
          <w:szCs w:val="24"/>
        </w:rPr>
        <w:t xml:space="preserve">The well-established test applied in cases where absolution from the instance is sought was succinctly set out by the Supreme Court in </w:t>
      </w:r>
      <w:r w:rsidR="00AB748A" w:rsidRPr="00030651">
        <w:rPr>
          <w:rFonts w:ascii="Arial" w:hAnsi="Arial" w:cs="Arial"/>
          <w:i/>
          <w:sz w:val="24"/>
          <w:szCs w:val="24"/>
          <w:lang w:val="en-ZA"/>
        </w:rPr>
        <w:t>Stier and Another v Henke</w:t>
      </w:r>
      <w:r w:rsidR="00634FB8" w:rsidRPr="00030651">
        <w:rPr>
          <w:rFonts w:ascii="Arial" w:hAnsi="Arial" w:cs="Arial"/>
          <w:sz w:val="24"/>
          <w:szCs w:val="24"/>
          <w:lang w:val="en-ZA"/>
        </w:rPr>
        <w:t>.</w:t>
      </w:r>
      <w:r w:rsidR="00AB748A" w:rsidRPr="00030651">
        <w:rPr>
          <w:rStyle w:val="FootnoteReference"/>
          <w:rFonts w:ascii="Arial" w:hAnsi="Arial" w:cs="Arial"/>
          <w:sz w:val="24"/>
          <w:szCs w:val="24"/>
          <w:lang w:val="en-ZA"/>
        </w:rPr>
        <w:footnoteReference w:id="6"/>
      </w:r>
    </w:p>
    <w:p w:rsidR="00AB748A" w:rsidRPr="00030651" w:rsidRDefault="00AB748A" w:rsidP="0018708B">
      <w:pPr>
        <w:tabs>
          <w:tab w:val="left" w:pos="1035"/>
        </w:tabs>
        <w:spacing w:after="0" w:line="360" w:lineRule="auto"/>
        <w:jc w:val="both"/>
        <w:rPr>
          <w:rFonts w:ascii="Arial" w:hAnsi="Arial" w:cs="Arial"/>
          <w:sz w:val="24"/>
          <w:szCs w:val="24"/>
          <w:lang w:val="en-ZA"/>
        </w:rPr>
      </w:pPr>
    </w:p>
    <w:p w:rsidR="00AB748A" w:rsidRPr="00030651" w:rsidRDefault="00AB748A" w:rsidP="00AB748A">
      <w:pPr>
        <w:tabs>
          <w:tab w:val="left" w:pos="1035"/>
        </w:tabs>
        <w:spacing w:after="0" w:line="360" w:lineRule="auto"/>
        <w:jc w:val="both"/>
        <w:rPr>
          <w:rFonts w:ascii="Arial" w:hAnsi="Arial" w:cs="Arial"/>
          <w:lang w:val="en-ZA"/>
        </w:rPr>
      </w:pPr>
      <w:r w:rsidRPr="00030651">
        <w:rPr>
          <w:rFonts w:ascii="Arial" w:hAnsi="Arial" w:cs="Arial"/>
          <w:sz w:val="24"/>
          <w:szCs w:val="24"/>
        </w:rPr>
        <w:tab/>
      </w:r>
      <w:r w:rsidR="00856FA8">
        <w:rPr>
          <w:rFonts w:ascii="Arial" w:hAnsi="Arial" w:cs="Arial"/>
          <w:lang w:val="en-ZA"/>
        </w:rPr>
        <w:t>‘</w:t>
      </w:r>
      <w:r w:rsidR="00247EBC" w:rsidRPr="00030651">
        <w:rPr>
          <w:rFonts w:ascii="Arial" w:hAnsi="Arial" w:cs="Arial"/>
          <w:lang w:val="en-ZA"/>
        </w:rPr>
        <w:t>… (</w:t>
      </w:r>
      <w:r w:rsidRPr="00030651">
        <w:rPr>
          <w:rFonts w:ascii="Arial" w:hAnsi="Arial" w:cs="Arial"/>
          <w:lang w:val="en-ZA"/>
        </w:rPr>
        <w:t xml:space="preserve">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w:t>
      </w:r>
      <w:r w:rsidRPr="00030651">
        <w:rPr>
          <w:rFonts w:ascii="Arial" w:hAnsi="Arial" w:cs="Arial"/>
          <w:lang w:val="en-ZA"/>
        </w:rPr>
        <w:lastRenderedPageBreak/>
        <w:t>(</w:t>
      </w:r>
      <w:r w:rsidRPr="00030651">
        <w:rPr>
          <w:rFonts w:ascii="Arial" w:hAnsi="Arial" w:cs="Arial"/>
          <w:i/>
          <w:lang w:val="en-ZA"/>
        </w:rPr>
        <w:t>Gascoyne v Paul</w:t>
      </w:r>
      <w:r w:rsidRPr="00030651">
        <w:rPr>
          <w:rFonts w:ascii="Arial" w:hAnsi="Arial" w:cs="Arial"/>
          <w:lang w:val="en-ZA"/>
        </w:rPr>
        <w:t xml:space="preserve"> </w:t>
      </w:r>
      <w:r w:rsidRPr="00030651">
        <w:rPr>
          <w:rFonts w:ascii="Arial" w:hAnsi="Arial" w:cs="Arial"/>
          <w:i/>
          <w:lang w:val="en-ZA"/>
        </w:rPr>
        <w:t>and Hunter</w:t>
      </w:r>
      <w:r w:rsidRPr="00030651">
        <w:rPr>
          <w:rFonts w:ascii="Arial" w:hAnsi="Arial" w:cs="Arial"/>
          <w:lang w:val="en-ZA"/>
        </w:rPr>
        <w:t xml:space="preserve"> 1917 TPD 170 at 173; </w:t>
      </w:r>
      <w:r w:rsidRPr="00030651">
        <w:rPr>
          <w:rFonts w:ascii="Arial" w:hAnsi="Arial" w:cs="Arial"/>
          <w:i/>
          <w:lang w:val="en-ZA"/>
        </w:rPr>
        <w:t>Ruto Flour Mills (Pty) Ltd v Adelson</w:t>
      </w:r>
      <w:r w:rsidR="00FB6C28">
        <w:rPr>
          <w:rFonts w:ascii="Arial" w:hAnsi="Arial" w:cs="Arial"/>
          <w:lang w:val="en-ZA"/>
        </w:rPr>
        <w:t xml:space="preserve"> (2) 1958(4) SA 307 (T).</w:t>
      </w:r>
    </w:p>
    <w:p w:rsidR="00AB748A" w:rsidRPr="00030651" w:rsidRDefault="00AB748A" w:rsidP="00AB748A">
      <w:pPr>
        <w:tabs>
          <w:tab w:val="left" w:pos="1035"/>
        </w:tabs>
        <w:spacing w:after="0" w:line="360" w:lineRule="auto"/>
        <w:jc w:val="both"/>
        <w:rPr>
          <w:rFonts w:ascii="Arial" w:hAnsi="Arial" w:cs="Arial"/>
          <w:lang w:val="en-ZA"/>
        </w:rPr>
      </w:pPr>
    </w:p>
    <w:p w:rsidR="00AB748A" w:rsidRPr="00030651" w:rsidRDefault="00634FB8" w:rsidP="00634FB8">
      <w:pPr>
        <w:tabs>
          <w:tab w:val="left" w:pos="810"/>
        </w:tabs>
        <w:spacing w:after="0" w:line="360" w:lineRule="auto"/>
        <w:jc w:val="both"/>
        <w:rPr>
          <w:rFonts w:ascii="Arial" w:hAnsi="Arial" w:cs="Arial"/>
          <w:lang w:val="en-ZA"/>
        </w:rPr>
      </w:pPr>
      <w:r w:rsidRPr="00030651">
        <w:rPr>
          <w:rFonts w:ascii="Arial" w:hAnsi="Arial" w:cs="Arial"/>
          <w:lang w:val="en-ZA"/>
        </w:rPr>
        <w:tab/>
      </w:r>
      <w:r w:rsidR="00AB748A" w:rsidRPr="00030651">
        <w:rPr>
          <w:rFonts w:ascii="Arial" w:hAnsi="Arial" w:cs="Arial"/>
          <w:lang w:val="en-ZA"/>
        </w:rPr>
        <w:t xml:space="preserve">This implies that a plaintiff has to make out a </w:t>
      </w:r>
      <w:r w:rsidR="00AB748A" w:rsidRPr="00030651">
        <w:rPr>
          <w:rFonts w:ascii="Arial" w:hAnsi="Arial" w:cs="Arial"/>
          <w:i/>
          <w:lang w:val="en-ZA"/>
        </w:rPr>
        <w:t xml:space="preserve">prima facie </w:t>
      </w:r>
      <w:r w:rsidR="00AB748A" w:rsidRPr="00030651">
        <w:rPr>
          <w:rFonts w:ascii="Arial" w:hAnsi="Arial" w:cs="Arial"/>
          <w:lang w:val="en-ZA"/>
        </w:rPr>
        <w:t>case – in the sense that there is evidence relating to all the elements of the claim – to survive absolution because without such evidence no court could find for the plaintiff (</w:t>
      </w:r>
      <w:r w:rsidR="00AB748A" w:rsidRPr="00030651">
        <w:rPr>
          <w:rFonts w:ascii="Arial" w:hAnsi="Arial" w:cs="Arial"/>
          <w:i/>
          <w:lang w:val="en-ZA"/>
        </w:rPr>
        <w:t xml:space="preserve">Marine &amp; Trade Insurance Co Ltd v Van der Schyff </w:t>
      </w:r>
      <w:r w:rsidR="00AB748A" w:rsidRPr="00030651">
        <w:rPr>
          <w:rFonts w:ascii="Arial" w:hAnsi="Arial" w:cs="Arial"/>
          <w:lang w:val="en-ZA"/>
        </w:rPr>
        <w:t xml:space="preserve">1972(1) SA 26 (A) at 37G-38A; Schmidt </w:t>
      </w:r>
      <w:r w:rsidR="00AB748A" w:rsidRPr="00030651">
        <w:rPr>
          <w:rFonts w:ascii="Arial" w:hAnsi="Arial" w:cs="Arial"/>
          <w:i/>
          <w:lang w:val="en-ZA"/>
        </w:rPr>
        <w:t xml:space="preserve">Bewysreg </w:t>
      </w:r>
      <w:r w:rsidR="00AB748A" w:rsidRPr="00030651">
        <w:rPr>
          <w:rFonts w:ascii="Arial" w:hAnsi="Arial" w:cs="Arial"/>
          <w:lang w:val="en-ZA"/>
        </w:rPr>
        <w:t>4</w:t>
      </w:r>
      <w:r w:rsidR="00AB748A" w:rsidRPr="00030651">
        <w:rPr>
          <w:rFonts w:ascii="Arial" w:hAnsi="Arial" w:cs="Arial"/>
          <w:vertAlign w:val="superscript"/>
          <w:lang w:val="en-ZA"/>
        </w:rPr>
        <w:t>th</w:t>
      </w:r>
      <w:r w:rsidR="00AB748A" w:rsidRPr="00030651">
        <w:rPr>
          <w:rFonts w:ascii="Arial" w:hAnsi="Arial" w:cs="Arial"/>
          <w:lang w:val="en-ZA"/>
        </w:rPr>
        <w:t xml:space="preserve"> ed at 91-2). As far as inferences from the evidence are concerned, the inference relied upon by the plaintiff must be a reasonable one, not the only reasonable one (</w:t>
      </w:r>
      <w:r w:rsidR="00AB748A" w:rsidRPr="00030651">
        <w:rPr>
          <w:rFonts w:ascii="Arial" w:hAnsi="Arial" w:cs="Arial"/>
          <w:i/>
          <w:lang w:val="en-ZA"/>
        </w:rPr>
        <w:t xml:space="preserve">Schmidt </w:t>
      </w:r>
      <w:r w:rsidR="00AB748A" w:rsidRPr="00030651">
        <w:rPr>
          <w:rFonts w:ascii="Arial" w:hAnsi="Arial" w:cs="Arial"/>
          <w:lang w:val="en-ZA"/>
        </w:rPr>
        <w:t>at 93).  The test has from time to time been formulated in different terms, especially it has been said that the court must consider whether there is ‘evidence upon which a reasonable man might find for the plaintiff’ (</w:t>
      </w:r>
      <w:r w:rsidR="00AB748A" w:rsidRPr="00030651">
        <w:rPr>
          <w:rFonts w:ascii="Arial" w:hAnsi="Arial" w:cs="Arial"/>
          <w:i/>
          <w:lang w:val="en-ZA"/>
        </w:rPr>
        <w:t xml:space="preserve">Gascoyne (loc cit)) </w:t>
      </w:r>
      <w:r w:rsidR="00AB748A" w:rsidRPr="00030651">
        <w:rPr>
          <w:rFonts w:ascii="Arial" w:hAnsi="Arial" w:cs="Arial"/>
          <w:lang w:val="en-ZA"/>
        </w:rPr>
        <w:t>– a test which had its origin in jury trials when the ‘reasonable man’ was a reasonable member of the jury (</w:t>
      </w:r>
      <w:r w:rsidR="00AB748A" w:rsidRPr="00030651">
        <w:rPr>
          <w:rFonts w:ascii="Arial" w:hAnsi="Arial" w:cs="Arial"/>
          <w:i/>
          <w:lang w:val="en-ZA"/>
        </w:rPr>
        <w:t>Ruto Flour Mills</w:t>
      </w:r>
      <w:r w:rsidR="00AB748A" w:rsidRPr="00030651">
        <w:rPr>
          <w:rFonts w:ascii="Arial" w:hAnsi="Arial" w:cs="Arial"/>
          <w:lang w:val="en-ZA"/>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r w:rsidR="00FB6C28">
        <w:rPr>
          <w:rFonts w:ascii="Arial" w:hAnsi="Arial" w:cs="Arial"/>
          <w:lang w:val="en-ZA"/>
        </w:rPr>
        <w:t>’</w:t>
      </w:r>
    </w:p>
    <w:p w:rsidR="00AB748A" w:rsidRPr="00030651" w:rsidRDefault="00AB748A" w:rsidP="0018708B">
      <w:pPr>
        <w:tabs>
          <w:tab w:val="left" w:pos="1035"/>
        </w:tabs>
        <w:spacing w:after="0" w:line="360" w:lineRule="auto"/>
        <w:jc w:val="both"/>
        <w:rPr>
          <w:rFonts w:ascii="Arial" w:hAnsi="Arial" w:cs="Arial"/>
          <w:sz w:val="24"/>
          <w:szCs w:val="24"/>
        </w:rPr>
      </w:pPr>
    </w:p>
    <w:p w:rsidR="008446BC" w:rsidRPr="00030651" w:rsidRDefault="00AB748A" w:rsidP="008446BC">
      <w:pPr>
        <w:spacing w:after="0" w:line="360" w:lineRule="auto"/>
        <w:jc w:val="both"/>
        <w:rPr>
          <w:rFonts w:ascii="Arial" w:hAnsi="Arial" w:cs="Arial"/>
          <w:sz w:val="24"/>
          <w:szCs w:val="24"/>
        </w:rPr>
      </w:pPr>
      <w:r w:rsidRPr="00030651">
        <w:rPr>
          <w:rFonts w:ascii="Arial" w:hAnsi="Arial" w:cs="Arial"/>
          <w:sz w:val="24"/>
          <w:szCs w:val="24"/>
          <w:lang w:val="af-ZA"/>
        </w:rPr>
        <w:t>[</w:t>
      </w:r>
      <w:r w:rsidR="00571152" w:rsidRPr="00030651">
        <w:rPr>
          <w:rFonts w:ascii="Arial" w:hAnsi="Arial" w:cs="Arial"/>
          <w:sz w:val="24"/>
          <w:szCs w:val="24"/>
          <w:lang w:val="af-ZA"/>
        </w:rPr>
        <w:t>13</w:t>
      </w:r>
      <w:r w:rsidRPr="00030651">
        <w:rPr>
          <w:rFonts w:ascii="Arial" w:hAnsi="Arial" w:cs="Arial"/>
          <w:sz w:val="24"/>
          <w:szCs w:val="24"/>
          <w:lang w:val="af-ZA"/>
        </w:rPr>
        <w:t>]</w:t>
      </w:r>
      <w:r w:rsidR="00AA3A20" w:rsidRPr="00030651">
        <w:rPr>
          <w:rFonts w:ascii="Arial" w:hAnsi="Arial" w:cs="Arial"/>
          <w:sz w:val="24"/>
          <w:szCs w:val="24"/>
          <w:lang w:val="af-ZA"/>
        </w:rPr>
        <w:tab/>
      </w:r>
      <w:r w:rsidR="008446BC" w:rsidRPr="00030651">
        <w:rPr>
          <w:rFonts w:ascii="Arial" w:hAnsi="Arial" w:cs="Arial"/>
          <w:sz w:val="24"/>
          <w:szCs w:val="24"/>
        </w:rPr>
        <w:t xml:space="preserve">In </w:t>
      </w:r>
      <w:r w:rsidR="008446BC" w:rsidRPr="00030651">
        <w:rPr>
          <w:rFonts w:ascii="Arial" w:hAnsi="Arial" w:cs="Arial"/>
          <w:i/>
          <w:sz w:val="24"/>
          <w:szCs w:val="24"/>
        </w:rPr>
        <w:t>Factcrown Ltd v Namibia Broadcasting Corporation,</w:t>
      </w:r>
      <w:r w:rsidR="008446BC" w:rsidRPr="00030651">
        <w:rPr>
          <w:rStyle w:val="FootnoteReference"/>
          <w:rFonts w:ascii="Arial" w:hAnsi="Arial" w:cs="Arial"/>
          <w:i/>
          <w:sz w:val="24"/>
          <w:szCs w:val="24"/>
        </w:rPr>
        <w:footnoteReference w:id="7"/>
      </w:r>
      <w:r w:rsidR="008446BC" w:rsidRPr="00030651">
        <w:rPr>
          <w:rFonts w:ascii="Arial" w:hAnsi="Arial" w:cs="Arial"/>
          <w:i/>
          <w:sz w:val="24"/>
          <w:szCs w:val="24"/>
        </w:rPr>
        <w:t xml:space="preserve"> </w:t>
      </w:r>
      <w:r w:rsidR="008446BC" w:rsidRPr="00030651">
        <w:rPr>
          <w:rFonts w:ascii="Arial" w:hAnsi="Arial" w:cs="Arial"/>
          <w:sz w:val="24"/>
          <w:szCs w:val="24"/>
        </w:rPr>
        <w:t>the Supreme Court expressed itself in the following terms:</w:t>
      </w:r>
    </w:p>
    <w:p w:rsidR="008446BC" w:rsidRPr="00030651" w:rsidRDefault="008446BC" w:rsidP="008446BC">
      <w:pPr>
        <w:spacing w:after="0" w:line="360" w:lineRule="auto"/>
        <w:jc w:val="both"/>
        <w:rPr>
          <w:rFonts w:ascii="Arial" w:hAnsi="Arial" w:cs="Arial"/>
          <w:sz w:val="24"/>
          <w:szCs w:val="24"/>
        </w:rPr>
      </w:pPr>
    </w:p>
    <w:p w:rsidR="008446BC" w:rsidRPr="00FB6C28" w:rsidRDefault="008446BC" w:rsidP="008446BC">
      <w:pPr>
        <w:spacing w:after="0" w:line="360" w:lineRule="auto"/>
        <w:jc w:val="both"/>
        <w:rPr>
          <w:rFonts w:ascii="Arial" w:hAnsi="Arial" w:cs="Arial"/>
        </w:rPr>
      </w:pPr>
      <w:r w:rsidRPr="00030651">
        <w:rPr>
          <w:rFonts w:ascii="Arial" w:hAnsi="Arial" w:cs="Arial"/>
          <w:sz w:val="24"/>
          <w:szCs w:val="24"/>
        </w:rPr>
        <w:tab/>
      </w:r>
      <w:r w:rsidRPr="00FB6C28">
        <w:rPr>
          <w:rFonts w:ascii="Arial" w:hAnsi="Arial" w:cs="Arial"/>
        </w:rPr>
        <w:t xml:space="preserve">‘This implies that a plaintiff has to make out a </w:t>
      </w:r>
      <w:r w:rsidRPr="00FB6C28">
        <w:rPr>
          <w:rFonts w:ascii="Arial" w:hAnsi="Arial" w:cs="Arial"/>
          <w:i/>
        </w:rPr>
        <w:t xml:space="preserve">prima facie </w:t>
      </w:r>
      <w:r w:rsidRPr="00FB6C28">
        <w:rPr>
          <w:rFonts w:ascii="Arial" w:hAnsi="Arial" w:cs="Arial"/>
        </w:rPr>
        <w:t>case – in the sense that there is evidence relating to all the elements of the claim – to survive absolution from the instance because without such evidence no court could find for the plaintiff.’</w:t>
      </w:r>
    </w:p>
    <w:p w:rsidR="008446BC" w:rsidRPr="00030651" w:rsidRDefault="008446BC" w:rsidP="000257AA">
      <w:pPr>
        <w:tabs>
          <w:tab w:val="left" w:pos="810"/>
        </w:tabs>
        <w:spacing w:after="0" w:line="360" w:lineRule="auto"/>
        <w:jc w:val="both"/>
        <w:rPr>
          <w:rFonts w:ascii="Arial" w:hAnsi="Arial" w:cs="Arial"/>
          <w:sz w:val="24"/>
          <w:szCs w:val="24"/>
          <w:lang w:val="af-ZA"/>
        </w:rPr>
      </w:pPr>
    </w:p>
    <w:p w:rsidR="00AA3A20" w:rsidRPr="00030651" w:rsidRDefault="008446BC" w:rsidP="000257AA">
      <w:pPr>
        <w:tabs>
          <w:tab w:val="left" w:pos="810"/>
        </w:tabs>
        <w:spacing w:after="0" w:line="360" w:lineRule="auto"/>
        <w:jc w:val="both"/>
        <w:rPr>
          <w:rFonts w:ascii="Arial" w:hAnsi="Arial" w:cs="Arial"/>
          <w:sz w:val="24"/>
          <w:szCs w:val="24"/>
        </w:rPr>
      </w:pPr>
      <w:r w:rsidRPr="00030651">
        <w:rPr>
          <w:rFonts w:ascii="Arial" w:hAnsi="Arial" w:cs="Arial"/>
          <w:sz w:val="24"/>
          <w:szCs w:val="24"/>
        </w:rPr>
        <w:t>[1</w:t>
      </w:r>
      <w:r w:rsidR="00006737" w:rsidRPr="00030651">
        <w:rPr>
          <w:rFonts w:ascii="Arial" w:hAnsi="Arial" w:cs="Arial"/>
          <w:sz w:val="24"/>
          <w:szCs w:val="24"/>
        </w:rPr>
        <w:t>4</w:t>
      </w:r>
      <w:r w:rsidRPr="00030651">
        <w:rPr>
          <w:rFonts w:ascii="Arial" w:hAnsi="Arial" w:cs="Arial"/>
          <w:sz w:val="24"/>
          <w:szCs w:val="24"/>
        </w:rPr>
        <w:t>]</w:t>
      </w:r>
      <w:r w:rsidRPr="00030651">
        <w:rPr>
          <w:rFonts w:ascii="Arial" w:hAnsi="Arial" w:cs="Arial"/>
          <w:sz w:val="24"/>
          <w:szCs w:val="24"/>
        </w:rPr>
        <w:tab/>
      </w:r>
      <w:r w:rsidR="00AA3A20" w:rsidRPr="00030651">
        <w:rPr>
          <w:rFonts w:ascii="Arial" w:hAnsi="Arial" w:cs="Arial"/>
          <w:sz w:val="24"/>
          <w:szCs w:val="24"/>
        </w:rPr>
        <w:t xml:space="preserve">In </w:t>
      </w:r>
      <w:r w:rsidR="00AA3A20" w:rsidRPr="00030651">
        <w:rPr>
          <w:rFonts w:ascii="Arial" w:hAnsi="Arial" w:cs="Arial"/>
          <w:i/>
          <w:sz w:val="24"/>
          <w:szCs w:val="24"/>
        </w:rPr>
        <w:t>Dannecker v Leopard Tours Car &amp; Camping Hire CC</w:t>
      </w:r>
      <w:r w:rsidR="00FB6C28">
        <w:rPr>
          <w:rFonts w:ascii="Arial" w:hAnsi="Arial" w:cs="Arial"/>
          <w:i/>
          <w:sz w:val="24"/>
          <w:szCs w:val="24"/>
        </w:rPr>
        <w:t>,</w:t>
      </w:r>
      <w:r w:rsidR="00AA3A20" w:rsidRPr="00030651">
        <w:rPr>
          <w:rFonts w:ascii="Arial" w:hAnsi="Arial" w:cs="Arial"/>
          <w:i/>
          <w:sz w:val="24"/>
          <w:szCs w:val="24"/>
          <w:vertAlign w:val="superscript"/>
        </w:rPr>
        <w:footnoteReference w:id="8"/>
      </w:r>
      <w:r w:rsidR="00571152" w:rsidRPr="00030651">
        <w:rPr>
          <w:rFonts w:ascii="Arial" w:hAnsi="Arial" w:cs="Arial"/>
          <w:i/>
          <w:sz w:val="24"/>
          <w:szCs w:val="24"/>
        </w:rPr>
        <w:t xml:space="preserve"> </w:t>
      </w:r>
      <w:r w:rsidR="00571152" w:rsidRPr="00030651">
        <w:rPr>
          <w:rFonts w:ascii="Arial" w:hAnsi="Arial" w:cs="Arial"/>
          <w:iCs/>
          <w:sz w:val="24"/>
          <w:szCs w:val="24"/>
        </w:rPr>
        <w:t xml:space="preserve">the </w:t>
      </w:r>
      <w:r w:rsidR="00571152" w:rsidRPr="00030651">
        <w:rPr>
          <w:rFonts w:ascii="Arial" w:hAnsi="Arial" w:cs="Arial"/>
          <w:sz w:val="24"/>
          <w:szCs w:val="24"/>
        </w:rPr>
        <w:t>following</w:t>
      </w:r>
      <w:r w:rsidR="00AA3A20" w:rsidRPr="00030651">
        <w:rPr>
          <w:rFonts w:ascii="Arial" w:hAnsi="Arial" w:cs="Arial"/>
          <w:sz w:val="24"/>
          <w:szCs w:val="24"/>
        </w:rPr>
        <w:t xml:space="preserve"> considerations relevant to absolution at closing of the plaintiff’s case </w:t>
      </w:r>
      <w:r w:rsidR="00571152" w:rsidRPr="00030651">
        <w:rPr>
          <w:rFonts w:ascii="Arial" w:hAnsi="Arial" w:cs="Arial"/>
          <w:sz w:val="24"/>
          <w:szCs w:val="24"/>
        </w:rPr>
        <w:t>were stated</w:t>
      </w:r>
      <w:r w:rsidR="00AA3A20" w:rsidRPr="00030651">
        <w:rPr>
          <w:rFonts w:ascii="Arial" w:hAnsi="Arial" w:cs="Arial"/>
          <w:sz w:val="24"/>
          <w:szCs w:val="24"/>
        </w:rPr>
        <w:t xml:space="preserve">: </w:t>
      </w:r>
    </w:p>
    <w:p w:rsidR="00AA3A20" w:rsidRPr="00030651" w:rsidRDefault="00AA3A20" w:rsidP="00AA3A20">
      <w:pPr>
        <w:tabs>
          <w:tab w:val="left" w:pos="1035"/>
        </w:tabs>
        <w:spacing w:after="0" w:line="360" w:lineRule="auto"/>
        <w:jc w:val="both"/>
        <w:rPr>
          <w:rFonts w:ascii="Arial" w:hAnsi="Arial" w:cs="Arial"/>
          <w:sz w:val="24"/>
          <w:szCs w:val="24"/>
        </w:rPr>
      </w:pPr>
    </w:p>
    <w:p w:rsidR="00AA3A20" w:rsidRPr="00030651" w:rsidRDefault="00BC6892" w:rsidP="00030651">
      <w:pPr>
        <w:spacing w:after="0" w:line="360" w:lineRule="auto"/>
        <w:ind w:firstLine="720"/>
        <w:jc w:val="both"/>
        <w:rPr>
          <w:rFonts w:ascii="Arial" w:hAnsi="Arial" w:cs="Arial"/>
        </w:rPr>
      </w:pPr>
      <w:r w:rsidRPr="00030651">
        <w:rPr>
          <w:rFonts w:ascii="Arial" w:hAnsi="Arial" w:cs="Arial"/>
        </w:rPr>
        <w:t>‘</w:t>
      </w:r>
      <w:r w:rsidR="00AA3A20" w:rsidRPr="00030651">
        <w:rPr>
          <w:rFonts w:ascii="Arial" w:hAnsi="Arial" w:cs="Arial"/>
        </w:rPr>
        <w:t xml:space="preserve">Absolution at the end of plaintiff’s case ought only to be granted </w:t>
      </w:r>
      <w:r w:rsidR="00AA3A20" w:rsidRPr="00030651">
        <w:rPr>
          <w:rFonts w:ascii="Arial" w:hAnsi="Arial" w:cs="Arial"/>
          <w:u w:val="single"/>
        </w:rPr>
        <w:t>in a very clear case where the plaintiff has not made out any case at all, in fact and law</w:t>
      </w:r>
      <w:r w:rsidR="00FB6C28">
        <w:rPr>
          <w:rFonts w:ascii="Arial" w:hAnsi="Arial" w:cs="Arial"/>
          <w:u w:val="single"/>
        </w:rPr>
        <w:t>,</w:t>
      </w:r>
      <w:r w:rsidR="00571152" w:rsidRPr="00030651">
        <w:rPr>
          <w:rStyle w:val="FootnoteReference"/>
          <w:rFonts w:ascii="Arial" w:hAnsi="Arial" w:cs="Arial"/>
          <w:u w:val="single"/>
        </w:rPr>
        <w:footnoteReference w:id="9"/>
      </w:r>
    </w:p>
    <w:p w:rsidR="00314EF1" w:rsidRPr="00030651" w:rsidRDefault="00314EF1" w:rsidP="00030651">
      <w:pPr>
        <w:tabs>
          <w:tab w:val="left" w:pos="1035"/>
        </w:tabs>
        <w:spacing w:after="0" w:line="360" w:lineRule="auto"/>
        <w:jc w:val="both"/>
        <w:rPr>
          <w:rFonts w:ascii="Arial" w:hAnsi="Arial" w:cs="Arial"/>
        </w:rPr>
      </w:pPr>
    </w:p>
    <w:p w:rsidR="00AA3A20" w:rsidRDefault="00AA3A20" w:rsidP="00030651">
      <w:pPr>
        <w:numPr>
          <w:ilvl w:val="0"/>
          <w:numId w:val="5"/>
        </w:numPr>
        <w:spacing w:after="0" w:line="360" w:lineRule="auto"/>
        <w:ind w:left="0" w:firstLine="0"/>
        <w:jc w:val="both"/>
        <w:rPr>
          <w:rFonts w:ascii="Arial" w:hAnsi="Arial" w:cs="Arial"/>
        </w:rPr>
      </w:pPr>
      <w:r w:rsidRPr="00030651">
        <w:rPr>
          <w:rFonts w:ascii="Arial" w:hAnsi="Arial" w:cs="Arial"/>
        </w:rPr>
        <w:t>The plaintiff is not to be lightly shut out where the defence relied on by the defendant is peculiarly within the latter’s knowledge while the plaintiff has made out a case calling for an answer (or rebuttal) on oath;</w:t>
      </w:r>
    </w:p>
    <w:p w:rsidR="00030651" w:rsidRPr="00030651" w:rsidRDefault="00030651" w:rsidP="00030651">
      <w:pPr>
        <w:spacing w:after="0" w:line="360" w:lineRule="auto"/>
        <w:jc w:val="both"/>
        <w:rPr>
          <w:rFonts w:ascii="Arial" w:hAnsi="Arial" w:cs="Arial"/>
        </w:rPr>
      </w:pPr>
    </w:p>
    <w:p w:rsidR="00AA3A20" w:rsidRDefault="00AA3A20" w:rsidP="00030651">
      <w:pPr>
        <w:numPr>
          <w:ilvl w:val="0"/>
          <w:numId w:val="5"/>
        </w:numPr>
        <w:spacing w:after="0" w:line="360" w:lineRule="auto"/>
        <w:ind w:left="0" w:firstLine="0"/>
        <w:jc w:val="both"/>
        <w:rPr>
          <w:rFonts w:ascii="Arial" w:hAnsi="Arial" w:cs="Arial"/>
        </w:rPr>
      </w:pPr>
      <w:r w:rsidRPr="00030651">
        <w:rPr>
          <w:rFonts w:ascii="Arial" w:hAnsi="Arial" w:cs="Arial"/>
        </w:rPr>
        <w:t>The trier of fact should be on the guard for a defendant who attempts to invoke the absolution procedure to avoid coming into the witness box to answer uncomfortable facts having a bearing on both credibility and the weight of probabilities in the case;</w:t>
      </w:r>
    </w:p>
    <w:p w:rsidR="00030651" w:rsidRPr="00030651" w:rsidRDefault="00030651" w:rsidP="00030651">
      <w:pPr>
        <w:spacing w:after="0" w:line="360" w:lineRule="auto"/>
        <w:jc w:val="both"/>
        <w:rPr>
          <w:rFonts w:ascii="Arial" w:hAnsi="Arial" w:cs="Arial"/>
        </w:rPr>
      </w:pPr>
    </w:p>
    <w:p w:rsidR="00AA3A20" w:rsidRDefault="00AA3A20" w:rsidP="00030651">
      <w:pPr>
        <w:numPr>
          <w:ilvl w:val="0"/>
          <w:numId w:val="5"/>
        </w:numPr>
        <w:spacing w:after="0" w:line="360" w:lineRule="auto"/>
        <w:ind w:left="0" w:firstLine="0"/>
        <w:jc w:val="both"/>
        <w:rPr>
          <w:rFonts w:ascii="Arial" w:hAnsi="Arial" w:cs="Arial"/>
        </w:rPr>
      </w:pPr>
      <w:r w:rsidRPr="00030651">
        <w:rPr>
          <w:rFonts w:ascii="Arial" w:hAnsi="Arial" w:cs="Arial"/>
        </w:rPr>
        <w:t>Where the plaintiff’s evidence gives rise to more than one plausible inference, anyone of which is in his or her favour in the sense of supporting his or her cause of action and destructive of the version of the defence, absolution is an inappropriate remedy;</w:t>
      </w:r>
    </w:p>
    <w:p w:rsidR="00030651" w:rsidRPr="00030651" w:rsidRDefault="00030651" w:rsidP="00030651">
      <w:pPr>
        <w:tabs>
          <w:tab w:val="left" w:pos="1035"/>
        </w:tabs>
        <w:spacing w:after="0" w:line="360" w:lineRule="auto"/>
        <w:jc w:val="both"/>
        <w:rPr>
          <w:rFonts w:ascii="Arial" w:hAnsi="Arial" w:cs="Arial"/>
        </w:rPr>
      </w:pPr>
    </w:p>
    <w:p w:rsidR="00BC6892" w:rsidRPr="00030651" w:rsidRDefault="00AA3A20" w:rsidP="00030651">
      <w:pPr>
        <w:numPr>
          <w:ilvl w:val="0"/>
          <w:numId w:val="5"/>
        </w:numPr>
        <w:spacing w:after="0" w:line="360" w:lineRule="auto"/>
        <w:ind w:left="0" w:firstLine="0"/>
        <w:jc w:val="both"/>
        <w:rPr>
          <w:rFonts w:ascii="Arial" w:hAnsi="Arial" w:cs="Arial"/>
          <w:sz w:val="24"/>
          <w:szCs w:val="24"/>
        </w:rPr>
      </w:pPr>
      <w:r w:rsidRPr="00030651">
        <w:rPr>
          <w:rFonts w:ascii="Arial" w:hAnsi="Arial" w:cs="Arial"/>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00BC6892" w:rsidRPr="00030651">
        <w:rPr>
          <w:rFonts w:ascii="Arial" w:hAnsi="Arial" w:cs="Arial"/>
          <w:sz w:val="24"/>
          <w:szCs w:val="24"/>
          <w:lang w:val="af-ZA"/>
        </w:rPr>
        <w:tab/>
      </w:r>
    </w:p>
    <w:p w:rsidR="00D34F5C" w:rsidRPr="00030651" w:rsidRDefault="00D34F5C" w:rsidP="00B9277B">
      <w:pPr>
        <w:tabs>
          <w:tab w:val="left" w:pos="1035"/>
        </w:tabs>
        <w:spacing w:after="0" w:line="360" w:lineRule="auto"/>
        <w:jc w:val="both"/>
        <w:rPr>
          <w:rFonts w:ascii="Arial" w:hAnsi="Arial" w:cs="Arial"/>
          <w:sz w:val="24"/>
          <w:szCs w:val="24"/>
          <w:lang w:val="af-ZA"/>
        </w:rPr>
      </w:pPr>
    </w:p>
    <w:p w:rsidR="001B70AF" w:rsidRPr="00030651" w:rsidRDefault="00A208F7" w:rsidP="001B70AF">
      <w:pPr>
        <w:tabs>
          <w:tab w:val="left" w:pos="810"/>
        </w:tabs>
        <w:spacing w:after="0" w:line="360" w:lineRule="auto"/>
        <w:jc w:val="both"/>
        <w:rPr>
          <w:rFonts w:ascii="Arial" w:hAnsi="Arial" w:cs="Arial"/>
          <w:i/>
          <w:sz w:val="24"/>
          <w:szCs w:val="24"/>
        </w:rPr>
      </w:pPr>
      <w:r w:rsidRPr="00030651">
        <w:rPr>
          <w:rFonts w:ascii="Arial" w:hAnsi="Arial" w:cs="Arial"/>
          <w:sz w:val="24"/>
          <w:szCs w:val="24"/>
          <w:lang w:val="af-ZA"/>
        </w:rPr>
        <w:t>[</w:t>
      </w:r>
      <w:r w:rsidR="00360335" w:rsidRPr="00030651">
        <w:rPr>
          <w:rFonts w:ascii="Arial" w:hAnsi="Arial" w:cs="Arial"/>
          <w:sz w:val="24"/>
          <w:szCs w:val="24"/>
          <w:lang w:val="af-ZA"/>
        </w:rPr>
        <w:t>15</w:t>
      </w:r>
      <w:r w:rsidRPr="00030651">
        <w:rPr>
          <w:rFonts w:ascii="Arial" w:hAnsi="Arial" w:cs="Arial"/>
          <w:sz w:val="24"/>
          <w:szCs w:val="24"/>
          <w:lang w:val="af-ZA"/>
        </w:rPr>
        <w:t>]</w:t>
      </w:r>
      <w:r w:rsidRPr="00030651">
        <w:rPr>
          <w:rFonts w:ascii="Arial" w:hAnsi="Arial" w:cs="Arial"/>
          <w:sz w:val="24"/>
          <w:szCs w:val="24"/>
          <w:lang w:val="af-ZA"/>
        </w:rPr>
        <w:tab/>
      </w:r>
      <w:r w:rsidR="001B70AF" w:rsidRPr="00030651">
        <w:rPr>
          <w:rFonts w:ascii="Arial" w:hAnsi="Arial" w:cs="Arial"/>
          <w:sz w:val="24"/>
          <w:szCs w:val="24"/>
          <w:lang w:val="af-ZA"/>
        </w:rPr>
        <w:t xml:space="preserve">As regards inconsistencies in the plaintiff’s evidence, in </w:t>
      </w:r>
      <w:r w:rsidR="001B70AF" w:rsidRPr="00030651">
        <w:rPr>
          <w:rFonts w:ascii="Arial" w:hAnsi="Arial" w:cs="Arial"/>
          <w:i/>
          <w:sz w:val="24"/>
          <w:szCs w:val="24"/>
        </w:rPr>
        <w:t>General Francois Olenga v Erwin Spranger,</w:t>
      </w:r>
      <w:r w:rsidR="001B70AF" w:rsidRPr="00030651">
        <w:rPr>
          <w:rFonts w:ascii="Arial" w:hAnsi="Arial" w:cs="Arial"/>
          <w:i/>
          <w:sz w:val="24"/>
          <w:szCs w:val="24"/>
          <w:vertAlign w:val="superscript"/>
        </w:rPr>
        <w:footnoteReference w:id="10"/>
      </w:r>
      <w:r w:rsidR="001B70AF" w:rsidRPr="00030651">
        <w:rPr>
          <w:rFonts w:ascii="Arial" w:hAnsi="Arial" w:cs="Arial"/>
          <w:iCs/>
          <w:sz w:val="24"/>
          <w:szCs w:val="24"/>
        </w:rPr>
        <w:t xml:space="preserve"> Masuku J approved the following principle enunciated by </w:t>
      </w:r>
      <w:r w:rsidR="003D2A02" w:rsidRPr="00030651">
        <w:rPr>
          <w:rFonts w:ascii="Arial" w:hAnsi="Arial" w:cs="Arial"/>
          <w:iCs/>
          <w:sz w:val="24"/>
          <w:szCs w:val="24"/>
        </w:rPr>
        <w:t xml:space="preserve">the </w:t>
      </w:r>
      <w:r w:rsidR="001B70AF" w:rsidRPr="00030651">
        <w:rPr>
          <w:rFonts w:ascii="Arial" w:hAnsi="Arial" w:cs="Arial"/>
          <w:iCs/>
          <w:sz w:val="24"/>
          <w:szCs w:val="24"/>
        </w:rPr>
        <w:t xml:space="preserve">learned authors Herbstein </w:t>
      </w:r>
      <w:r w:rsidR="001B70AF" w:rsidRPr="00030651">
        <w:rPr>
          <w:rFonts w:ascii="Arial" w:hAnsi="Arial" w:cs="Arial"/>
          <w:i/>
          <w:sz w:val="24"/>
          <w:szCs w:val="24"/>
        </w:rPr>
        <w:t xml:space="preserve">et al: </w:t>
      </w:r>
    </w:p>
    <w:p w:rsidR="001B70AF" w:rsidRPr="00030651" w:rsidRDefault="001B70AF" w:rsidP="001B70AF">
      <w:pPr>
        <w:tabs>
          <w:tab w:val="left" w:pos="810"/>
        </w:tabs>
        <w:spacing w:after="0" w:line="360" w:lineRule="auto"/>
        <w:jc w:val="both"/>
        <w:rPr>
          <w:rFonts w:ascii="Arial" w:hAnsi="Arial" w:cs="Arial"/>
          <w:i/>
          <w:sz w:val="24"/>
          <w:szCs w:val="24"/>
        </w:rPr>
      </w:pPr>
    </w:p>
    <w:p w:rsidR="001B70AF" w:rsidRPr="00FB6C28" w:rsidRDefault="001B70AF" w:rsidP="001B70AF">
      <w:pPr>
        <w:tabs>
          <w:tab w:val="left" w:pos="810"/>
        </w:tabs>
        <w:spacing w:after="0" w:line="360" w:lineRule="auto"/>
        <w:jc w:val="both"/>
        <w:rPr>
          <w:rFonts w:ascii="Arial" w:hAnsi="Arial" w:cs="Arial"/>
        </w:rPr>
      </w:pPr>
      <w:r w:rsidRPr="00030651">
        <w:rPr>
          <w:rFonts w:ascii="Arial" w:hAnsi="Arial" w:cs="Arial"/>
          <w:i/>
          <w:sz w:val="24"/>
          <w:szCs w:val="24"/>
        </w:rPr>
        <w:tab/>
      </w:r>
      <w:r w:rsidRPr="00FB6C28">
        <w:rPr>
          <w:rFonts w:ascii="Arial" w:hAnsi="Arial" w:cs="Arial"/>
        </w:rPr>
        <w:t xml:space="preserve">‘In deciding whether or not absolution should be granted, </w:t>
      </w:r>
      <w:r w:rsidRPr="00FB6C28">
        <w:rPr>
          <w:rFonts w:ascii="Arial" w:hAnsi="Arial" w:cs="Arial"/>
          <w:u w:val="single"/>
        </w:rPr>
        <w:t xml:space="preserve">the court must assume that in the absence of very special circumstances, such as the inherent unacceptability of the evidence adduced, the evidence is true. The court should not at this stage evaluate and reject the plaintiff’s evidence. </w:t>
      </w:r>
      <w:r w:rsidRPr="00FB6C28">
        <w:rPr>
          <w:rFonts w:ascii="Arial" w:hAnsi="Arial" w:cs="Arial"/>
        </w:rPr>
        <w:t>The test to be applied is not whether the evidence led by the plaintiff establishes what will finally have to be established.</w:t>
      </w:r>
      <w:r w:rsidRPr="00FB6C28">
        <w:rPr>
          <w:rStyle w:val="FootnoteReference"/>
          <w:rFonts w:ascii="Arial" w:hAnsi="Arial" w:cs="Arial"/>
        </w:rPr>
        <w:footnoteReference w:id="11"/>
      </w:r>
      <w:r w:rsidRPr="00FB6C28">
        <w:rPr>
          <w:rFonts w:ascii="Arial" w:hAnsi="Arial" w:cs="Arial"/>
        </w:rPr>
        <w:t>’</w:t>
      </w:r>
    </w:p>
    <w:p w:rsidR="00A208F7" w:rsidRPr="00FB6C28" w:rsidRDefault="00A208F7" w:rsidP="00B9277B">
      <w:pPr>
        <w:tabs>
          <w:tab w:val="left" w:pos="1035"/>
        </w:tabs>
        <w:spacing w:after="0" w:line="360" w:lineRule="auto"/>
        <w:jc w:val="both"/>
        <w:rPr>
          <w:rFonts w:ascii="Arial" w:hAnsi="Arial" w:cs="Arial"/>
          <w:sz w:val="24"/>
          <w:szCs w:val="24"/>
          <w:lang w:val="af-ZA"/>
        </w:rPr>
      </w:pPr>
    </w:p>
    <w:p w:rsidR="00A208F7" w:rsidRPr="00030651" w:rsidRDefault="00A208F7" w:rsidP="000257AA">
      <w:pPr>
        <w:tabs>
          <w:tab w:val="left" w:pos="810"/>
        </w:tabs>
        <w:spacing w:after="0" w:line="360" w:lineRule="auto"/>
        <w:jc w:val="both"/>
        <w:rPr>
          <w:rFonts w:ascii="Arial" w:hAnsi="Arial" w:cs="Arial"/>
          <w:sz w:val="24"/>
          <w:szCs w:val="24"/>
          <w:lang w:val="af-ZA"/>
        </w:rPr>
      </w:pPr>
      <w:r w:rsidRPr="00030651">
        <w:rPr>
          <w:rFonts w:ascii="Arial" w:hAnsi="Arial" w:cs="Arial"/>
          <w:sz w:val="24"/>
          <w:szCs w:val="24"/>
          <w:lang w:val="af-ZA"/>
        </w:rPr>
        <w:t>[</w:t>
      </w:r>
      <w:r w:rsidR="00F81C1D" w:rsidRPr="00030651">
        <w:rPr>
          <w:rFonts w:ascii="Arial" w:hAnsi="Arial" w:cs="Arial"/>
          <w:sz w:val="24"/>
          <w:szCs w:val="24"/>
          <w:lang w:val="af-ZA"/>
        </w:rPr>
        <w:t>1</w:t>
      </w:r>
      <w:r w:rsidRPr="00030651">
        <w:rPr>
          <w:rFonts w:ascii="Arial" w:hAnsi="Arial" w:cs="Arial"/>
          <w:sz w:val="24"/>
          <w:szCs w:val="24"/>
          <w:lang w:val="af-ZA"/>
        </w:rPr>
        <w:t>6]</w:t>
      </w:r>
      <w:r w:rsidRPr="00030651">
        <w:rPr>
          <w:rFonts w:ascii="Arial" w:hAnsi="Arial" w:cs="Arial"/>
          <w:sz w:val="24"/>
          <w:szCs w:val="24"/>
          <w:lang w:val="af-ZA"/>
        </w:rPr>
        <w:tab/>
      </w:r>
      <w:r w:rsidR="001B70AF" w:rsidRPr="00030651">
        <w:rPr>
          <w:rFonts w:ascii="Arial" w:hAnsi="Arial" w:cs="Arial"/>
          <w:sz w:val="24"/>
          <w:szCs w:val="24"/>
          <w:lang w:val="af-ZA"/>
        </w:rPr>
        <w:t xml:space="preserve">Similarly, Masuku J in </w:t>
      </w:r>
      <w:r w:rsidR="001B70AF" w:rsidRPr="00030651">
        <w:rPr>
          <w:rFonts w:ascii="Arial" w:hAnsi="Arial" w:cs="Arial"/>
          <w:i/>
          <w:iCs/>
          <w:sz w:val="24"/>
          <w:szCs w:val="24"/>
          <w:lang w:val="af-ZA"/>
        </w:rPr>
        <w:t>Soltec CC v Swakopmund Super Spar</w:t>
      </w:r>
      <w:r w:rsidR="00FB6C28">
        <w:rPr>
          <w:rFonts w:ascii="Arial" w:hAnsi="Arial" w:cs="Arial"/>
          <w:i/>
          <w:iCs/>
          <w:sz w:val="24"/>
          <w:szCs w:val="24"/>
          <w:lang w:val="af-ZA"/>
        </w:rPr>
        <w:t>,</w:t>
      </w:r>
      <w:r w:rsidR="009C773F" w:rsidRPr="00030651">
        <w:rPr>
          <w:rStyle w:val="FootnoteReference"/>
          <w:rFonts w:ascii="Arial" w:hAnsi="Arial" w:cs="Arial"/>
          <w:i/>
          <w:iCs/>
          <w:sz w:val="24"/>
          <w:szCs w:val="24"/>
          <w:lang w:val="af-ZA"/>
        </w:rPr>
        <w:footnoteReference w:id="12"/>
      </w:r>
      <w:r w:rsidR="001B70AF" w:rsidRPr="00030651">
        <w:rPr>
          <w:rFonts w:ascii="Arial" w:hAnsi="Arial" w:cs="Arial"/>
          <w:sz w:val="24"/>
          <w:szCs w:val="24"/>
          <w:lang w:val="af-ZA"/>
        </w:rPr>
        <w:t xml:space="preserve">  </w:t>
      </w:r>
      <w:r w:rsidR="003D2A02" w:rsidRPr="00030651">
        <w:rPr>
          <w:rFonts w:ascii="Arial" w:hAnsi="Arial" w:cs="Arial"/>
          <w:sz w:val="24"/>
          <w:szCs w:val="24"/>
          <w:lang w:val="af-ZA"/>
        </w:rPr>
        <w:t>held</w:t>
      </w:r>
      <w:r w:rsidR="001B70AF" w:rsidRPr="00030651">
        <w:rPr>
          <w:rFonts w:ascii="Arial" w:hAnsi="Arial" w:cs="Arial"/>
          <w:sz w:val="24"/>
          <w:szCs w:val="24"/>
          <w:lang w:val="af-ZA"/>
        </w:rPr>
        <w:t xml:space="preserve"> that it would be proper to jettison the evidence adduced by the plaintiff </w:t>
      </w:r>
      <w:r w:rsidR="001B70AF" w:rsidRPr="00030651">
        <w:rPr>
          <w:rFonts w:ascii="Arial" w:hAnsi="Arial" w:cs="Arial"/>
          <w:sz w:val="24"/>
          <w:szCs w:val="24"/>
          <w:u w:val="single"/>
          <w:lang w:val="af-ZA"/>
        </w:rPr>
        <w:t xml:space="preserve">if ‘the evidence led is poor, </w:t>
      </w:r>
      <w:r w:rsidR="001B70AF" w:rsidRPr="00030651">
        <w:rPr>
          <w:rFonts w:ascii="Arial" w:hAnsi="Arial" w:cs="Arial"/>
          <w:sz w:val="24"/>
          <w:szCs w:val="24"/>
          <w:u w:val="single"/>
          <w:lang w:val="af-ZA"/>
        </w:rPr>
        <w:lastRenderedPageBreak/>
        <w:t>vacillating or of so romancing a character. . .’ such that a court, properly directed, cannot place reliance on it. This speaks to a high degree of unreliability.</w:t>
      </w:r>
      <w:r w:rsidR="001B70AF" w:rsidRPr="00030651">
        <w:rPr>
          <w:rFonts w:ascii="Arial" w:hAnsi="Arial" w:cs="Arial"/>
          <w:sz w:val="24"/>
          <w:szCs w:val="24"/>
          <w:lang w:val="af-ZA"/>
        </w:rPr>
        <w:t xml:space="preserve"> </w:t>
      </w:r>
      <w:r w:rsidR="009C773F" w:rsidRPr="00030651">
        <w:rPr>
          <w:rFonts w:ascii="Arial" w:hAnsi="Arial" w:cs="Arial"/>
          <w:sz w:val="24"/>
          <w:szCs w:val="24"/>
          <w:lang w:val="af-ZA"/>
        </w:rPr>
        <w:t>It was also said  that</w:t>
      </w:r>
      <w:r w:rsidR="001B70AF" w:rsidRPr="00030651">
        <w:rPr>
          <w:rFonts w:ascii="Arial" w:hAnsi="Arial" w:cs="Arial"/>
          <w:sz w:val="24"/>
          <w:szCs w:val="24"/>
          <w:lang w:val="af-ZA"/>
        </w:rPr>
        <w:t>, ‘The court should therefore avoid compelling a defendant at a great cost, to flog what is clearly a horse that has kicked the bucket at the end of the plaintiff’s case, so to speak.’</w:t>
      </w:r>
      <w:r w:rsidRPr="00030651">
        <w:rPr>
          <w:rFonts w:ascii="Arial" w:hAnsi="Arial" w:cs="Arial"/>
          <w:sz w:val="24"/>
          <w:szCs w:val="24"/>
          <w:lang w:val="af-ZA"/>
        </w:rPr>
        <w:t xml:space="preserve"> </w:t>
      </w:r>
    </w:p>
    <w:p w:rsidR="003844B3" w:rsidRPr="00030651" w:rsidRDefault="003844B3" w:rsidP="00B9277B">
      <w:pPr>
        <w:tabs>
          <w:tab w:val="left" w:pos="1035"/>
        </w:tabs>
        <w:spacing w:after="0" w:line="360" w:lineRule="auto"/>
        <w:jc w:val="both"/>
        <w:rPr>
          <w:rFonts w:ascii="Arial" w:hAnsi="Arial" w:cs="Arial"/>
          <w:sz w:val="24"/>
          <w:szCs w:val="24"/>
          <w:lang w:val="af-ZA"/>
        </w:rPr>
      </w:pPr>
    </w:p>
    <w:p w:rsidR="009C773F" w:rsidRPr="00030651" w:rsidRDefault="003844B3" w:rsidP="000257AA">
      <w:pPr>
        <w:tabs>
          <w:tab w:val="left" w:pos="810"/>
        </w:tabs>
        <w:spacing w:after="0" w:line="360" w:lineRule="auto"/>
        <w:jc w:val="both"/>
        <w:rPr>
          <w:rFonts w:ascii="Arial" w:hAnsi="Arial" w:cs="Arial"/>
          <w:sz w:val="24"/>
          <w:szCs w:val="24"/>
          <w:lang w:val="af-ZA"/>
        </w:rPr>
      </w:pPr>
      <w:r w:rsidRPr="00030651">
        <w:rPr>
          <w:rFonts w:ascii="Arial" w:hAnsi="Arial" w:cs="Arial"/>
          <w:sz w:val="24"/>
          <w:szCs w:val="24"/>
          <w:lang w:val="af-ZA"/>
        </w:rPr>
        <w:t>[</w:t>
      </w:r>
      <w:r w:rsidR="00F81C1D" w:rsidRPr="00030651">
        <w:rPr>
          <w:rFonts w:ascii="Arial" w:hAnsi="Arial" w:cs="Arial"/>
          <w:sz w:val="24"/>
          <w:szCs w:val="24"/>
          <w:lang w:val="af-ZA"/>
        </w:rPr>
        <w:t>1</w:t>
      </w:r>
      <w:r w:rsidRPr="00030651">
        <w:rPr>
          <w:rFonts w:ascii="Arial" w:hAnsi="Arial" w:cs="Arial"/>
          <w:sz w:val="24"/>
          <w:szCs w:val="24"/>
          <w:lang w:val="af-ZA"/>
        </w:rPr>
        <w:t xml:space="preserve">7] </w:t>
      </w:r>
      <w:r w:rsidRPr="00030651">
        <w:rPr>
          <w:rFonts w:ascii="Arial" w:hAnsi="Arial" w:cs="Arial"/>
          <w:sz w:val="24"/>
          <w:szCs w:val="24"/>
          <w:lang w:val="af-ZA"/>
        </w:rPr>
        <w:tab/>
      </w:r>
      <w:r w:rsidR="009C773F" w:rsidRPr="00030651">
        <w:rPr>
          <w:rFonts w:ascii="Arial" w:hAnsi="Arial" w:cs="Arial"/>
          <w:sz w:val="24"/>
          <w:szCs w:val="24"/>
          <w:lang w:val="af-ZA"/>
        </w:rPr>
        <w:t xml:space="preserve">It was argued on behalf of the defendant, that the plaintiff’s evidence was highly contradictory in many respects on simple factual issues, especially as regards what the monies paid were allocated for, and the various business relationships which the plaintiff </w:t>
      </w:r>
      <w:r w:rsidR="00F81C1D" w:rsidRPr="00030651">
        <w:rPr>
          <w:rFonts w:ascii="Arial" w:hAnsi="Arial" w:cs="Arial"/>
          <w:sz w:val="24"/>
          <w:szCs w:val="24"/>
          <w:lang w:val="af-ZA"/>
        </w:rPr>
        <w:t xml:space="preserve">apparently </w:t>
      </w:r>
      <w:r w:rsidR="009C773F" w:rsidRPr="00030651">
        <w:rPr>
          <w:rFonts w:ascii="Arial" w:hAnsi="Arial" w:cs="Arial"/>
          <w:sz w:val="24"/>
          <w:szCs w:val="24"/>
          <w:lang w:val="af-ZA"/>
        </w:rPr>
        <w:t xml:space="preserve">could not prove </w:t>
      </w:r>
      <w:r w:rsidR="00F81C1D" w:rsidRPr="00030651">
        <w:rPr>
          <w:rFonts w:ascii="Arial" w:hAnsi="Arial" w:cs="Arial"/>
          <w:sz w:val="24"/>
          <w:szCs w:val="24"/>
          <w:lang w:val="af-ZA"/>
        </w:rPr>
        <w:t xml:space="preserve">even </w:t>
      </w:r>
      <w:r w:rsidR="009C773F" w:rsidRPr="00030651">
        <w:rPr>
          <w:rFonts w:ascii="Arial" w:hAnsi="Arial" w:cs="Arial"/>
          <w:sz w:val="24"/>
          <w:szCs w:val="24"/>
          <w:lang w:val="af-ZA"/>
        </w:rPr>
        <w:t xml:space="preserve">existed. </w:t>
      </w:r>
      <w:r w:rsidR="003D2A02" w:rsidRPr="00030651">
        <w:rPr>
          <w:rFonts w:ascii="Arial" w:hAnsi="Arial" w:cs="Arial"/>
          <w:sz w:val="24"/>
          <w:szCs w:val="24"/>
          <w:lang w:val="af-ZA"/>
        </w:rPr>
        <w:t xml:space="preserve">Much cross examination was also devoted to the vague descriptions of work undertaken in the various invoices, and the failure to claim VAT. </w:t>
      </w:r>
      <w:r w:rsidR="009C773F" w:rsidRPr="00030651">
        <w:rPr>
          <w:rFonts w:ascii="Arial" w:hAnsi="Arial" w:cs="Arial"/>
          <w:sz w:val="24"/>
          <w:szCs w:val="24"/>
          <w:lang w:val="af-ZA"/>
        </w:rPr>
        <w:t>In essence, so the argument goes, the plaintiff was unable, on any construction to prove his claim, because there were material contradictions on simple factual issues.</w:t>
      </w:r>
    </w:p>
    <w:p w:rsidR="009C773F" w:rsidRPr="00030651" w:rsidRDefault="009C773F" w:rsidP="000257AA">
      <w:pPr>
        <w:tabs>
          <w:tab w:val="left" w:pos="810"/>
        </w:tabs>
        <w:spacing w:after="0" w:line="360" w:lineRule="auto"/>
        <w:jc w:val="both"/>
        <w:rPr>
          <w:rFonts w:ascii="Arial" w:hAnsi="Arial" w:cs="Arial"/>
          <w:sz w:val="24"/>
          <w:szCs w:val="24"/>
          <w:lang w:val="af-ZA"/>
        </w:rPr>
      </w:pPr>
    </w:p>
    <w:p w:rsidR="003844B3" w:rsidRPr="00030651" w:rsidRDefault="002B5C8C" w:rsidP="000257AA">
      <w:pPr>
        <w:tabs>
          <w:tab w:val="left" w:pos="810"/>
        </w:tabs>
        <w:spacing w:after="0" w:line="360" w:lineRule="auto"/>
        <w:jc w:val="both"/>
        <w:rPr>
          <w:rFonts w:ascii="Arial" w:hAnsi="Arial" w:cs="Arial"/>
          <w:sz w:val="24"/>
          <w:szCs w:val="24"/>
          <w:lang w:val="af-ZA"/>
        </w:rPr>
      </w:pPr>
      <w:r w:rsidRPr="00030651">
        <w:rPr>
          <w:rFonts w:ascii="Arial" w:hAnsi="Arial" w:cs="Arial"/>
          <w:sz w:val="24"/>
          <w:szCs w:val="24"/>
          <w:lang w:val="af-ZA"/>
        </w:rPr>
        <w:t>[</w:t>
      </w:r>
      <w:r w:rsidR="00F81C1D" w:rsidRPr="00030651">
        <w:rPr>
          <w:rFonts w:ascii="Arial" w:hAnsi="Arial" w:cs="Arial"/>
          <w:sz w:val="24"/>
          <w:szCs w:val="24"/>
          <w:lang w:val="af-ZA"/>
        </w:rPr>
        <w:t>18</w:t>
      </w:r>
      <w:r w:rsidRPr="00030651">
        <w:rPr>
          <w:rFonts w:ascii="Arial" w:hAnsi="Arial" w:cs="Arial"/>
          <w:sz w:val="24"/>
          <w:szCs w:val="24"/>
          <w:lang w:val="af-ZA"/>
        </w:rPr>
        <w:t xml:space="preserve"> ] </w:t>
      </w:r>
      <w:r w:rsidRPr="00030651">
        <w:rPr>
          <w:rFonts w:ascii="Arial" w:hAnsi="Arial" w:cs="Arial"/>
          <w:sz w:val="24"/>
          <w:szCs w:val="24"/>
          <w:lang w:val="af-ZA"/>
        </w:rPr>
        <w:tab/>
        <w:t xml:space="preserve">I agree that there are aspects of the plaintiff’s testimony that are unreliable, but the evidence, taken in totality as it relates to the  claim before court </w:t>
      </w:r>
      <w:r w:rsidR="00F81C1D" w:rsidRPr="00030651">
        <w:rPr>
          <w:rFonts w:ascii="Arial" w:hAnsi="Arial" w:cs="Arial"/>
          <w:sz w:val="24"/>
          <w:szCs w:val="24"/>
          <w:lang w:val="af-ZA"/>
        </w:rPr>
        <w:t xml:space="preserve">and </w:t>
      </w:r>
      <w:r w:rsidR="00C0095D" w:rsidRPr="00030651">
        <w:rPr>
          <w:rFonts w:ascii="Arial" w:hAnsi="Arial" w:cs="Arial"/>
          <w:sz w:val="24"/>
          <w:szCs w:val="24"/>
          <w:lang w:val="af-ZA"/>
        </w:rPr>
        <w:t xml:space="preserve">clear evidence of an extensive business relationship between the parties that has gone sour due to disputes over payment, </w:t>
      </w:r>
      <w:r w:rsidRPr="00030651">
        <w:rPr>
          <w:rFonts w:ascii="Arial" w:hAnsi="Arial" w:cs="Arial"/>
          <w:sz w:val="24"/>
          <w:szCs w:val="24"/>
          <w:lang w:val="af-ZA"/>
        </w:rPr>
        <w:t>is not inherently unreliable as to fall within the ambit of cases where the court will, on the basis of the  manifest unreliability of the plaintiff</w:t>
      </w:r>
      <w:r w:rsidR="003D2A02" w:rsidRPr="00030651">
        <w:rPr>
          <w:rFonts w:ascii="Arial" w:hAnsi="Arial" w:cs="Arial"/>
          <w:sz w:val="24"/>
          <w:szCs w:val="24"/>
          <w:lang w:val="af-ZA"/>
        </w:rPr>
        <w:t>’s evidence</w:t>
      </w:r>
      <w:r w:rsidRPr="00030651">
        <w:rPr>
          <w:rFonts w:ascii="Arial" w:hAnsi="Arial" w:cs="Arial"/>
          <w:sz w:val="24"/>
          <w:szCs w:val="24"/>
          <w:lang w:val="af-ZA"/>
        </w:rPr>
        <w:t>, grant absulotion</w:t>
      </w:r>
      <w:r w:rsidR="00D51E50" w:rsidRPr="00030651">
        <w:rPr>
          <w:rFonts w:ascii="Arial" w:hAnsi="Arial" w:cs="Arial"/>
          <w:sz w:val="24"/>
          <w:szCs w:val="24"/>
          <w:lang w:val="af-ZA"/>
        </w:rPr>
        <w:t>.</w:t>
      </w:r>
      <w:r w:rsidR="00D51E50" w:rsidRPr="00030651">
        <w:rPr>
          <w:rStyle w:val="FootnoteReference"/>
          <w:rFonts w:ascii="Arial" w:hAnsi="Arial" w:cs="Arial"/>
          <w:sz w:val="24"/>
          <w:szCs w:val="24"/>
          <w:lang w:val="af-ZA"/>
        </w:rPr>
        <w:footnoteReference w:id="13"/>
      </w:r>
      <w:r w:rsidR="00D51E50" w:rsidRPr="00030651">
        <w:rPr>
          <w:rFonts w:ascii="Arial" w:hAnsi="Arial" w:cs="Arial"/>
          <w:sz w:val="24"/>
          <w:szCs w:val="24"/>
          <w:lang w:val="af-ZA"/>
        </w:rPr>
        <w:t xml:space="preserve">  </w:t>
      </w:r>
    </w:p>
    <w:p w:rsidR="003844B3" w:rsidRPr="00030651" w:rsidRDefault="003844B3" w:rsidP="00B9277B">
      <w:pPr>
        <w:tabs>
          <w:tab w:val="left" w:pos="1035"/>
        </w:tabs>
        <w:spacing w:after="0" w:line="360" w:lineRule="auto"/>
        <w:jc w:val="both"/>
        <w:rPr>
          <w:rFonts w:ascii="Arial" w:hAnsi="Arial" w:cs="Arial"/>
          <w:sz w:val="24"/>
          <w:szCs w:val="24"/>
          <w:lang w:val="af-ZA"/>
        </w:rPr>
      </w:pPr>
    </w:p>
    <w:p w:rsidR="00D63C47" w:rsidRPr="00030651" w:rsidRDefault="00D63C47" w:rsidP="00E80C9A">
      <w:pPr>
        <w:tabs>
          <w:tab w:val="left" w:pos="900"/>
        </w:tabs>
        <w:spacing w:after="0" w:line="360" w:lineRule="auto"/>
        <w:jc w:val="both"/>
        <w:rPr>
          <w:rFonts w:ascii="Arial" w:hAnsi="Arial" w:cs="Arial"/>
          <w:sz w:val="24"/>
          <w:szCs w:val="24"/>
        </w:rPr>
      </w:pPr>
      <w:r w:rsidRPr="00030651">
        <w:rPr>
          <w:rFonts w:ascii="Arial" w:hAnsi="Arial" w:cs="Arial"/>
          <w:sz w:val="24"/>
          <w:szCs w:val="24"/>
        </w:rPr>
        <w:t>[1</w:t>
      </w:r>
      <w:r w:rsidR="005B0FAD" w:rsidRPr="00030651">
        <w:rPr>
          <w:rFonts w:ascii="Arial" w:hAnsi="Arial" w:cs="Arial"/>
          <w:sz w:val="24"/>
          <w:szCs w:val="24"/>
        </w:rPr>
        <w:t>9</w:t>
      </w:r>
      <w:r w:rsidRPr="00030651">
        <w:rPr>
          <w:rFonts w:ascii="Arial" w:hAnsi="Arial" w:cs="Arial"/>
          <w:sz w:val="24"/>
          <w:szCs w:val="24"/>
        </w:rPr>
        <w:t>]</w:t>
      </w:r>
      <w:r w:rsidRPr="00030651">
        <w:rPr>
          <w:rFonts w:ascii="Arial" w:hAnsi="Arial" w:cs="Arial"/>
          <w:sz w:val="24"/>
          <w:szCs w:val="24"/>
        </w:rPr>
        <w:tab/>
        <w:t xml:space="preserve">My order is therefore as follows: </w:t>
      </w:r>
    </w:p>
    <w:p w:rsidR="00E80C9A" w:rsidRPr="00030651" w:rsidRDefault="00E80C9A" w:rsidP="00E80C9A">
      <w:pPr>
        <w:tabs>
          <w:tab w:val="left" w:pos="900"/>
        </w:tabs>
        <w:spacing w:after="0" w:line="360" w:lineRule="auto"/>
        <w:jc w:val="both"/>
        <w:rPr>
          <w:rFonts w:ascii="Arial" w:hAnsi="Arial" w:cs="Arial"/>
          <w:sz w:val="24"/>
          <w:szCs w:val="24"/>
        </w:rPr>
      </w:pPr>
    </w:p>
    <w:p w:rsidR="00972CC4" w:rsidRPr="00030651" w:rsidRDefault="00972CC4" w:rsidP="00CA02B7">
      <w:pPr>
        <w:spacing w:after="0" w:line="360" w:lineRule="auto"/>
        <w:rPr>
          <w:rFonts w:ascii="Arial" w:hAnsi="Arial" w:cs="Arial"/>
          <w:sz w:val="24"/>
          <w:szCs w:val="24"/>
        </w:rPr>
      </w:pPr>
      <w:r w:rsidRPr="00030651">
        <w:rPr>
          <w:rFonts w:ascii="Arial" w:hAnsi="Arial" w:cs="Arial"/>
          <w:sz w:val="24"/>
          <w:szCs w:val="24"/>
        </w:rPr>
        <w:t xml:space="preserve">Application for absolution from the instance is </w:t>
      </w:r>
      <w:r w:rsidR="000326FE" w:rsidRPr="00030651">
        <w:rPr>
          <w:rFonts w:ascii="Arial" w:hAnsi="Arial" w:cs="Arial"/>
          <w:sz w:val="24"/>
          <w:szCs w:val="24"/>
        </w:rPr>
        <w:t xml:space="preserve">refused </w:t>
      </w:r>
      <w:r w:rsidRPr="00030651">
        <w:rPr>
          <w:rFonts w:ascii="Arial" w:hAnsi="Arial" w:cs="Arial"/>
          <w:sz w:val="24"/>
          <w:szCs w:val="24"/>
        </w:rPr>
        <w:t xml:space="preserve">with costs. </w:t>
      </w:r>
    </w:p>
    <w:p w:rsidR="00972CC4" w:rsidRDefault="00972CC4" w:rsidP="00972CC4">
      <w:pPr>
        <w:tabs>
          <w:tab w:val="left" w:pos="1035"/>
        </w:tabs>
        <w:spacing w:after="0" w:line="360" w:lineRule="auto"/>
        <w:rPr>
          <w:rFonts w:ascii="Arial" w:hAnsi="Arial" w:cs="Arial"/>
          <w:sz w:val="24"/>
          <w:szCs w:val="24"/>
        </w:rPr>
      </w:pPr>
    </w:p>
    <w:p w:rsidR="00972CC4" w:rsidRDefault="00972CC4" w:rsidP="00972CC4">
      <w:pPr>
        <w:tabs>
          <w:tab w:val="left" w:pos="1035"/>
        </w:tabs>
        <w:spacing w:after="0" w:line="360" w:lineRule="auto"/>
        <w:rPr>
          <w:rFonts w:ascii="Arial" w:hAnsi="Arial" w:cs="Arial"/>
          <w:sz w:val="24"/>
          <w:szCs w:val="24"/>
        </w:rPr>
      </w:pPr>
    </w:p>
    <w:p w:rsidR="00972CC4" w:rsidRDefault="00972CC4" w:rsidP="00E80C9A">
      <w:pPr>
        <w:tabs>
          <w:tab w:val="left" w:pos="1035"/>
        </w:tabs>
        <w:spacing w:after="0" w:line="360" w:lineRule="auto"/>
        <w:jc w:val="right"/>
        <w:rPr>
          <w:rFonts w:ascii="Arial" w:hAnsi="Arial" w:cs="Arial"/>
          <w:sz w:val="24"/>
          <w:szCs w:val="24"/>
        </w:rPr>
      </w:pPr>
      <w:r>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t>---------------------------------</w:t>
      </w:r>
    </w:p>
    <w:p w:rsidR="00E80C9A" w:rsidRDefault="00972CC4" w:rsidP="00E80C9A">
      <w:pPr>
        <w:tabs>
          <w:tab w:val="left" w:pos="1035"/>
        </w:tabs>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70485">
        <w:rPr>
          <w:rFonts w:ascii="Arial" w:hAnsi="Arial" w:cs="Arial"/>
          <w:sz w:val="24"/>
          <w:szCs w:val="24"/>
        </w:rPr>
        <w:t>EM SCHIMMING-CHASE</w:t>
      </w:r>
    </w:p>
    <w:p w:rsidR="00972CC4" w:rsidRDefault="00D70485" w:rsidP="00E80C9A">
      <w:pPr>
        <w:tabs>
          <w:tab w:val="left" w:pos="1035"/>
        </w:tabs>
        <w:spacing w:after="0" w:line="360" w:lineRule="auto"/>
        <w:jc w:val="right"/>
        <w:rPr>
          <w:rFonts w:ascii="Arial" w:hAnsi="Arial" w:cs="Arial"/>
          <w:sz w:val="24"/>
          <w:szCs w:val="24"/>
        </w:rPr>
      </w:pPr>
      <w:r>
        <w:rPr>
          <w:rFonts w:ascii="Arial" w:hAnsi="Arial" w:cs="Arial"/>
          <w:sz w:val="24"/>
          <w:szCs w:val="24"/>
        </w:rPr>
        <w:t xml:space="preserve">ACTING </w:t>
      </w:r>
      <w:r w:rsidR="00972CC4">
        <w:rPr>
          <w:rFonts w:ascii="Arial" w:hAnsi="Arial" w:cs="Arial"/>
          <w:sz w:val="24"/>
          <w:szCs w:val="24"/>
        </w:rPr>
        <w:t>JUDGE</w:t>
      </w:r>
    </w:p>
    <w:p w:rsidR="00E80C9A" w:rsidRDefault="00E80C9A" w:rsidP="00E80C9A">
      <w:pPr>
        <w:tabs>
          <w:tab w:val="left" w:pos="1035"/>
        </w:tabs>
        <w:spacing w:after="0" w:line="360" w:lineRule="auto"/>
        <w:jc w:val="right"/>
        <w:rPr>
          <w:rFonts w:ascii="Arial" w:hAnsi="Arial" w:cs="Arial"/>
          <w:sz w:val="24"/>
          <w:szCs w:val="24"/>
        </w:rPr>
      </w:pPr>
    </w:p>
    <w:p w:rsidR="00E80C9A" w:rsidRDefault="00E80C9A" w:rsidP="00E80C9A">
      <w:pPr>
        <w:tabs>
          <w:tab w:val="left" w:pos="1035"/>
        </w:tabs>
        <w:spacing w:after="0" w:line="360" w:lineRule="auto"/>
        <w:jc w:val="right"/>
        <w:rPr>
          <w:rFonts w:ascii="Arial" w:hAnsi="Arial" w:cs="Arial"/>
          <w:sz w:val="24"/>
          <w:szCs w:val="24"/>
        </w:rPr>
      </w:pPr>
    </w:p>
    <w:p w:rsidR="00CA02B7" w:rsidRDefault="00CA02B7" w:rsidP="00E80C9A">
      <w:pPr>
        <w:tabs>
          <w:tab w:val="left" w:pos="1035"/>
        </w:tabs>
        <w:spacing w:after="0" w:line="360" w:lineRule="auto"/>
        <w:jc w:val="both"/>
        <w:rPr>
          <w:rFonts w:ascii="Arial" w:hAnsi="Arial" w:cs="Arial"/>
          <w:sz w:val="24"/>
          <w:szCs w:val="24"/>
        </w:rPr>
      </w:pPr>
      <w:bookmarkStart w:id="0" w:name="_GoBack"/>
      <w:bookmarkEnd w:id="0"/>
    </w:p>
    <w:p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APPEARANCE:</w:t>
      </w:r>
    </w:p>
    <w:p w:rsidR="00E80C9A" w:rsidRDefault="00E80C9A" w:rsidP="00E80C9A">
      <w:pPr>
        <w:tabs>
          <w:tab w:val="left" w:pos="1035"/>
        </w:tabs>
        <w:spacing w:after="0" w:line="360" w:lineRule="auto"/>
        <w:jc w:val="both"/>
        <w:rPr>
          <w:rFonts w:ascii="Arial" w:hAnsi="Arial" w:cs="Arial"/>
          <w:sz w:val="24"/>
          <w:szCs w:val="24"/>
        </w:rPr>
      </w:pPr>
    </w:p>
    <w:p w:rsidR="00E80C9A" w:rsidRDefault="00421241" w:rsidP="00E80C9A">
      <w:pPr>
        <w:tabs>
          <w:tab w:val="left" w:pos="1035"/>
        </w:tabs>
        <w:spacing w:after="0" w:line="360" w:lineRule="auto"/>
        <w:jc w:val="both"/>
        <w:rPr>
          <w:rFonts w:ascii="Arial" w:hAnsi="Arial" w:cs="Arial"/>
          <w:sz w:val="24"/>
          <w:szCs w:val="24"/>
        </w:rPr>
      </w:pPr>
      <w:r>
        <w:rPr>
          <w:rFonts w:ascii="Arial" w:hAnsi="Arial" w:cs="Arial"/>
          <w:sz w:val="24"/>
          <w:szCs w:val="24"/>
        </w:rPr>
        <w:t>P</w:t>
      </w:r>
      <w:r w:rsidR="00E80C9A">
        <w:rPr>
          <w:rFonts w:ascii="Arial" w:hAnsi="Arial" w:cs="Arial"/>
          <w:sz w:val="24"/>
          <w:szCs w:val="24"/>
        </w:rPr>
        <w:t>LAINTIFF:</w:t>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CA02B7">
        <w:rPr>
          <w:rFonts w:ascii="Arial" w:hAnsi="Arial" w:cs="Arial"/>
          <w:sz w:val="24"/>
          <w:szCs w:val="24"/>
        </w:rPr>
        <w:tab/>
      </w:r>
      <w:r w:rsidR="00CA02B7">
        <w:rPr>
          <w:rFonts w:ascii="Arial" w:hAnsi="Arial" w:cs="Arial"/>
          <w:sz w:val="24"/>
          <w:szCs w:val="24"/>
        </w:rPr>
        <w:tab/>
      </w:r>
      <w:r>
        <w:rPr>
          <w:rFonts w:ascii="Arial" w:hAnsi="Arial" w:cs="Arial"/>
          <w:sz w:val="24"/>
          <w:szCs w:val="24"/>
        </w:rPr>
        <w:t>T</w:t>
      </w:r>
      <w:r w:rsidR="00E80C9A">
        <w:rPr>
          <w:rFonts w:ascii="Arial" w:hAnsi="Arial" w:cs="Arial"/>
          <w:sz w:val="24"/>
          <w:szCs w:val="24"/>
        </w:rPr>
        <w:t xml:space="preserve"> </w:t>
      </w:r>
      <w:r>
        <w:rPr>
          <w:rFonts w:ascii="Arial" w:hAnsi="Arial" w:cs="Arial"/>
          <w:sz w:val="24"/>
          <w:szCs w:val="24"/>
        </w:rPr>
        <w:t>Muhongo</w:t>
      </w:r>
    </w:p>
    <w:p w:rsidR="00F40B22" w:rsidRDefault="00421241" w:rsidP="00E80C9A">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0C9A">
        <w:rPr>
          <w:rFonts w:ascii="Arial" w:hAnsi="Arial" w:cs="Arial"/>
          <w:sz w:val="24"/>
          <w:szCs w:val="24"/>
        </w:rPr>
        <w:t>Instructed by</w:t>
      </w:r>
      <w:r>
        <w:rPr>
          <w:rFonts w:ascii="Arial" w:hAnsi="Arial" w:cs="Arial"/>
          <w:sz w:val="24"/>
          <w:szCs w:val="24"/>
        </w:rPr>
        <w:t xml:space="preserve"> Fisher, Quarmby &amp; Pfeifer</w:t>
      </w:r>
      <w:r w:rsidR="00F40B22">
        <w:rPr>
          <w:rFonts w:ascii="Arial" w:hAnsi="Arial" w:cs="Arial"/>
          <w:sz w:val="24"/>
          <w:szCs w:val="24"/>
        </w:rPr>
        <w:t xml:space="preserve">, </w:t>
      </w:r>
    </w:p>
    <w:p w:rsidR="00E80C9A" w:rsidRDefault="00F40B22" w:rsidP="00E80C9A">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80C9A" w:rsidRDefault="00E80C9A" w:rsidP="00E80C9A">
      <w:pPr>
        <w:tabs>
          <w:tab w:val="left" w:pos="1035"/>
        </w:tabs>
        <w:spacing w:after="0" w:line="360" w:lineRule="auto"/>
        <w:jc w:val="both"/>
        <w:rPr>
          <w:rFonts w:ascii="Arial" w:hAnsi="Arial" w:cs="Arial"/>
          <w:sz w:val="24"/>
          <w:szCs w:val="24"/>
        </w:rPr>
      </w:pPr>
    </w:p>
    <w:p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sidR="00CA02B7">
        <w:rPr>
          <w:rFonts w:ascii="Arial" w:hAnsi="Arial" w:cs="Arial"/>
          <w:sz w:val="24"/>
          <w:szCs w:val="24"/>
        </w:rPr>
        <w:tab/>
      </w:r>
      <w:r w:rsidR="00CA02B7">
        <w:rPr>
          <w:rFonts w:ascii="Arial" w:hAnsi="Arial" w:cs="Arial"/>
          <w:sz w:val="24"/>
          <w:szCs w:val="24"/>
        </w:rPr>
        <w:tab/>
      </w:r>
      <w:r w:rsidR="00421241">
        <w:rPr>
          <w:rFonts w:ascii="Arial" w:hAnsi="Arial" w:cs="Arial"/>
          <w:sz w:val="24"/>
          <w:szCs w:val="24"/>
        </w:rPr>
        <w:tab/>
        <w:t>C J</w:t>
      </w:r>
      <w:r>
        <w:rPr>
          <w:rFonts w:ascii="Arial" w:hAnsi="Arial" w:cs="Arial"/>
          <w:sz w:val="24"/>
          <w:szCs w:val="24"/>
        </w:rPr>
        <w:t xml:space="preserve"> </w:t>
      </w:r>
      <w:r w:rsidR="00421241">
        <w:rPr>
          <w:rFonts w:ascii="Arial" w:hAnsi="Arial" w:cs="Arial"/>
          <w:sz w:val="24"/>
          <w:szCs w:val="24"/>
        </w:rPr>
        <w:t>van Vuuren</w:t>
      </w:r>
    </w:p>
    <w:p w:rsidR="00FB6C28" w:rsidRDefault="00421241" w:rsidP="00E80C9A">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Krüger van Vurren </w:t>
      </w:r>
      <w:r w:rsidR="00F40B22">
        <w:rPr>
          <w:rFonts w:ascii="Arial" w:hAnsi="Arial" w:cs="Arial"/>
          <w:sz w:val="24"/>
          <w:szCs w:val="24"/>
        </w:rPr>
        <w:t xml:space="preserve">&amp; Co, </w:t>
      </w:r>
    </w:p>
    <w:p w:rsidR="00710184" w:rsidRPr="00FB6C28" w:rsidRDefault="00FB6C28" w:rsidP="0018708B">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0B22">
        <w:rPr>
          <w:rFonts w:ascii="Arial" w:hAnsi="Arial" w:cs="Arial"/>
          <w:sz w:val="24"/>
          <w:szCs w:val="24"/>
        </w:rPr>
        <w:t>Windhoek</w:t>
      </w:r>
    </w:p>
    <w:sectPr w:rsidR="00710184" w:rsidRPr="00FB6C28" w:rsidSect="0047017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8A" w:rsidRDefault="00643E8A" w:rsidP="009917E7">
      <w:pPr>
        <w:spacing w:after="0" w:line="240" w:lineRule="auto"/>
      </w:pPr>
      <w:r>
        <w:separator/>
      </w:r>
    </w:p>
  </w:endnote>
  <w:endnote w:type="continuationSeparator" w:id="0">
    <w:p w:rsidR="00643E8A" w:rsidRDefault="00643E8A" w:rsidP="009917E7">
      <w:pPr>
        <w:spacing w:after="0" w:line="240" w:lineRule="auto"/>
      </w:pPr>
      <w:r>
        <w:continuationSeparator/>
      </w:r>
    </w:p>
  </w:endnote>
  <w:endnote w:type="continuationNotice" w:id="1">
    <w:p w:rsidR="00643E8A" w:rsidRDefault="00643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8A" w:rsidRDefault="00643E8A" w:rsidP="009917E7">
      <w:pPr>
        <w:spacing w:after="0" w:line="240" w:lineRule="auto"/>
      </w:pPr>
      <w:r>
        <w:separator/>
      </w:r>
    </w:p>
  </w:footnote>
  <w:footnote w:type="continuationSeparator" w:id="0">
    <w:p w:rsidR="00643E8A" w:rsidRDefault="00643E8A" w:rsidP="009917E7">
      <w:pPr>
        <w:spacing w:after="0" w:line="240" w:lineRule="auto"/>
      </w:pPr>
      <w:r>
        <w:continuationSeparator/>
      </w:r>
    </w:p>
  </w:footnote>
  <w:footnote w:type="continuationNotice" w:id="1">
    <w:p w:rsidR="00643E8A" w:rsidRDefault="00643E8A">
      <w:pPr>
        <w:spacing w:after="0" w:line="240" w:lineRule="auto"/>
      </w:pPr>
    </w:p>
  </w:footnote>
  <w:footnote w:id="2">
    <w:p w:rsidR="00340B41" w:rsidRPr="00030651" w:rsidRDefault="00340B41">
      <w:pPr>
        <w:pStyle w:val="FootnoteText"/>
        <w:rPr>
          <w:rFonts w:ascii="Arial" w:hAnsi="Arial" w:cs="Arial"/>
          <w:lang w:val="en-GB"/>
        </w:rPr>
      </w:pPr>
      <w:r w:rsidRPr="00030651">
        <w:rPr>
          <w:rStyle w:val="FootnoteReference"/>
          <w:rFonts w:ascii="Arial" w:hAnsi="Arial" w:cs="Arial"/>
        </w:rPr>
        <w:footnoteRef/>
      </w:r>
      <w:r w:rsidRPr="00030651">
        <w:rPr>
          <w:rFonts w:ascii="Arial" w:hAnsi="Arial" w:cs="Arial"/>
        </w:rPr>
        <w:t xml:space="preserve"> </w:t>
      </w:r>
      <w:r w:rsidRPr="00030651">
        <w:rPr>
          <w:rFonts w:ascii="Arial" w:hAnsi="Arial" w:cs="Arial"/>
          <w:lang w:val="en-GB"/>
        </w:rPr>
        <w:t>ZME was an acronym used in the agreement for the defendant.</w:t>
      </w:r>
    </w:p>
  </w:footnote>
  <w:footnote w:id="3">
    <w:p w:rsidR="00340B41" w:rsidRPr="00030651" w:rsidRDefault="00340B41" w:rsidP="00030651">
      <w:pPr>
        <w:pStyle w:val="FootnoteText"/>
        <w:jc w:val="both"/>
        <w:rPr>
          <w:rFonts w:ascii="Arial" w:hAnsi="Arial" w:cs="Arial"/>
          <w:lang w:val="en-GB"/>
        </w:rPr>
      </w:pPr>
      <w:r w:rsidRPr="00030651">
        <w:rPr>
          <w:rStyle w:val="FootnoteReference"/>
          <w:rFonts w:ascii="Arial" w:hAnsi="Arial" w:cs="Arial"/>
        </w:rPr>
        <w:footnoteRef/>
      </w:r>
      <w:r w:rsidRPr="00030651">
        <w:rPr>
          <w:rFonts w:ascii="Arial" w:hAnsi="Arial" w:cs="Arial"/>
        </w:rPr>
        <w:t xml:space="preserve"> </w:t>
      </w:r>
      <w:r w:rsidRPr="00030651">
        <w:rPr>
          <w:rFonts w:ascii="Arial" w:hAnsi="Arial" w:cs="Arial"/>
          <w:lang w:val="en-GB"/>
        </w:rPr>
        <w:t>VAT was not added or claimed in the particulars of claim.</w:t>
      </w:r>
    </w:p>
  </w:footnote>
  <w:footnote w:id="4">
    <w:p w:rsidR="00340B41" w:rsidRPr="00030651" w:rsidRDefault="00340B41" w:rsidP="00030651">
      <w:pPr>
        <w:pStyle w:val="FootnoteText"/>
        <w:jc w:val="both"/>
        <w:rPr>
          <w:rFonts w:ascii="Arial" w:hAnsi="Arial" w:cs="Arial"/>
          <w:lang w:val="en-GB"/>
        </w:rPr>
      </w:pPr>
      <w:r w:rsidRPr="00030651">
        <w:rPr>
          <w:rStyle w:val="FootnoteReference"/>
          <w:rFonts w:ascii="Arial" w:hAnsi="Arial" w:cs="Arial"/>
        </w:rPr>
        <w:footnoteRef/>
      </w:r>
      <w:r w:rsidRPr="00030651">
        <w:rPr>
          <w:rFonts w:ascii="Arial" w:hAnsi="Arial" w:cs="Arial"/>
        </w:rPr>
        <w:t xml:space="preserve"> </w:t>
      </w:r>
      <w:r w:rsidRPr="00030651">
        <w:rPr>
          <w:rFonts w:ascii="Arial" w:hAnsi="Arial" w:cs="Arial"/>
          <w:lang w:val="en-GB"/>
        </w:rPr>
        <w:t>The amount claimed was reduced at the commencement of the hearing to N$5,054,008.69 when the plaintiff confirmed that it had received payment of the amount of N$1,450,000.00 from the defendant. N$ 1,150,000 was paid on 28 October 2015. On 15 December 2015 the defendant made a</w:t>
      </w:r>
      <w:r w:rsidR="007F6103">
        <w:rPr>
          <w:rFonts w:ascii="Arial" w:hAnsi="Arial" w:cs="Arial"/>
          <w:lang w:val="en-GB"/>
        </w:rPr>
        <w:t xml:space="preserve"> further payment of N$300,000.</w:t>
      </w:r>
    </w:p>
  </w:footnote>
  <w:footnote w:id="5">
    <w:p w:rsidR="00340B41" w:rsidRPr="00030651" w:rsidRDefault="00340B41" w:rsidP="00030651">
      <w:pPr>
        <w:pStyle w:val="FootnoteText"/>
        <w:jc w:val="both"/>
        <w:rPr>
          <w:rFonts w:ascii="Arial" w:hAnsi="Arial" w:cs="Arial"/>
          <w:lang w:val="en-GB"/>
        </w:rPr>
      </w:pPr>
      <w:r w:rsidRPr="00030651">
        <w:rPr>
          <w:rStyle w:val="FootnoteReference"/>
          <w:rFonts w:ascii="Arial" w:hAnsi="Arial" w:cs="Arial"/>
        </w:rPr>
        <w:footnoteRef/>
      </w:r>
      <w:r w:rsidRPr="00030651">
        <w:rPr>
          <w:rFonts w:ascii="Arial" w:hAnsi="Arial" w:cs="Arial"/>
        </w:rPr>
        <w:t xml:space="preserve"> </w:t>
      </w:r>
      <w:r w:rsidRPr="00030651">
        <w:rPr>
          <w:rFonts w:ascii="Arial" w:hAnsi="Arial" w:cs="Arial"/>
          <w:lang w:val="en-GB"/>
        </w:rPr>
        <w:t xml:space="preserve">This invoice included VAT. </w:t>
      </w:r>
    </w:p>
  </w:footnote>
  <w:footnote w:id="6">
    <w:p w:rsidR="00340B41" w:rsidRPr="00030651" w:rsidRDefault="00340B41">
      <w:pPr>
        <w:pStyle w:val="FootnoteText"/>
        <w:rPr>
          <w:rFonts w:ascii="Arial" w:hAnsi="Arial" w:cs="Arial"/>
          <w:lang w:val="en-ZA"/>
        </w:rPr>
      </w:pPr>
      <w:r w:rsidRPr="00AB748A">
        <w:rPr>
          <w:rStyle w:val="FootnoteReference"/>
          <w:rFonts w:ascii="Arial" w:hAnsi="Arial" w:cs="Arial"/>
        </w:rPr>
        <w:footnoteRef/>
      </w:r>
      <w:r w:rsidRPr="00AB748A">
        <w:rPr>
          <w:rFonts w:ascii="Arial" w:hAnsi="Arial" w:cs="Arial"/>
        </w:rPr>
        <w:t xml:space="preserve"> </w:t>
      </w:r>
      <w:r>
        <w:rPr>
          <w:rFonts w:ascii="Arial" w:hAnsi="Arial" w:cs="Arial"/>
        </w:rPr>
        <w:t xml:space="preserve">2012 (1) 370 SC at 373 D-I and the authorities approved there. </w:t>
      </w:r>
    </w:p>
  </w:footnote>
  <w:footnote w:id="7">
    <w:p w:rsidR="00340B41" w:rsidRPr="00ED4F7B" w:rsidRDefault="00340B41" w:rsidP="008446BC">
      <w:pPr>
        <w:pStyle w:val="FootnoteText"/>
        <w:rPr>
          <w:rFonts w:ascii="Arial" w:hAnsi="Arial" w:cs="Arial"/>
        </w:rPr>
      </w:pPr>
      <w:r w:rsidRPr="00ED4F7B">
        <w:rPr>
          <w:rStyle w:val="FootnoteReference"/>
          <w:rFonts w:ascii="Arial" w:hAnsi="Arial" w:cs="Arial"/>
        </w:rPr>
        <w:footnoteRef/>
      </w:r>
      <w:r w:rsidRPr="00ED4F7B">
        <w:rPr>
          <w:rFonts w:ascii="Arial" w:hAnsi="Arial" w:cs="Arial"/>
        </w:rPr>
        <w:t xml:space="preserve"> 2014 (2) NR 447 (SC) at para 72.</w:t>
      </w:r>
    </w:p>
  </w:footnote>
  <w:footnote w:id="8">
    <w:p w:rsidR="00340B41" w:rsidRPr="00CA02B7" w:rsidRDefault="00340B41" w:rsidP="00AA3A20">
      <w:pPr>
        <w:spacing w:after="0" w:line="240" w:lineRule="auto"/>
        <w:jc w:val="both"/>
        <w:rPr>
          <w:rFonts w:ascii="Arial" w:hAnsi="Arial" w:cs="Arial"/>
          <w:sz w:val="20"/>
          <w:szCs w:val="20"/>
        </w:rPr>
      </w:pPr>
      <w:r w:rsidRPr="00CA02B7">
        <w:rPr>
          <w:rStyle w:val="FootnoteReference"/>
          <w:rFonts w:ascii="Arial" w:hAnsi="Arial" w:cs="Arial"/>
          <w:sz w:val="20"/>
          <w:szCs w:val="20"/>
        </w:rPr>
        <w:footnoteRef/>
      </w:r>
      <w:r w:rsidRPr="00CA02B7">
        <w:rPr>
          <w:rFonts w:ascii="Arial" w:hAnsi="Arial" w:cs="Arial"/>
          <w:sz w:val="20"/>
          <w:szCs w:val="20"/>
        </w:rPr>
        <w:t xml:space="preserve"> (I 2909/2006) [2015] NAHCMD 30 (20 February 2015).</w:t>
      </w:r>
    </w:p>
  </w:footnote>
  <w:footnote w:id="9">
    <w:p w:rsidR="00340B41" w:rsidRPr="00CA02B7" w:rsidRDefault="00340B41">
      <w:pPr>
        <w:pStyle w:val="FootnoteText"/>
        <w:rPr>
          <w:rFonts w:ascii="Arial" w:hAnsi="Arial" w:cs="Arial"/>
          <w:lang w:val="en-GB"/>
        </w:rPr>
      </w:pPr>
      <w:r w:rsidRPr="00CA02B7">
        <w:rPr>
          <w:rStyle w:val="FootnoteReference"/>
          <w:rFonts w:ascii="Arial" w:hAnsi="Arial" w:cs="Arial"/>
        </w:rPr>
        <w:footnoteRef/>
      </w:r>
      <w:r w:rsidRPr="00CA02B7">
        <w:rPr>
          <w:rFonts w:ascii="Arial" w:hAnsi="Arial" w:cs="Arial"/>
        </w:rPr>
        <w:t xml:space="preserve"> </w:t>
      </w:r>
      <w:r w:rsidRPr="00CA02B7">
        <w:rPr>
          <w:rFonts w:ascii="Arial" w:hAnsi="Arial" w:cs="Arial"/>
          <w:lang w:val="en-GB"/>
        </w:rPr>
        <w:t>Emphasis supplied</w:t>
      </w:r>
      <w:r w:rsidR="00CA02B7">
        <w:rPr>
          <w:rFonts w:ascii="Arial" w:hAnsi="Arial" w:cs="Arial"/>
          <w:lang w:val="en-GB"/>
        </w:rPr>
        <w:t>.</w:t>
      </w:r>
    </w:p>
  </w:footnote>
  <w:footnote w:id="10">
    <w:p w:rsidR="00340B41" w:rsidRPr="00CA02B7" w:rsidRDefault="00340B41" w:rsidP="001B70AF">
      <w:pPr>
        <w:pStyle w:val="FootnoteText"/>
        <w:rPr>
          <w:rFonts w:ascii="Arial" w:hAnsi="Arial" w:cs="Arial"/>
          <w:lang w:val="en-GB"/>
        </w:rPr>
      </w:pPr>
      <w:r w:rsidRPr="00CA02B7">
        <w:rPr>
          <w:rStyle w:val="FootnoteReference"/>
          <w:rFonts w:ascii="Arial" w:hAnsi="Arial" w:cs="Arial"/>
        </w:rPr>
        <w:footnoteRef/>
      </w:r>
      <w:r w:rsidRPr="00CA02B7">
        <w:rPr>
          <w:rFonts w:ascii="Arial" w:hAnsi="Arial" w:cs="Arial"/>
        </w:rPr>
        <w:t xml:space="preserve"> Unreported (I 3826/2011) [2016] NAHCMD 330 (28 October 2016)</w:t>
      </w:r>
      <w:r w:rsidR="00CA02B7">
        <w:rPr>
          <w:rFonts w:ascii="Arial" w:hAnsi="Arial" w:cs="Arial"/>
        </w:rPr>
        <w:t>.</w:t>
      </w:r>
    </w:p>
  </w:footnote>
  <w:footnote w:id="11">
    <w:p w:rsidR="00340B41" w:rsidRPr="00CA02B7" w:rsidRDefault="00340B41">
      <w:pPr>
        <w:pStyle w:val="FootnoteText"/>
        <w:rPr>
          <w:rFonts w:ascii="Arial" w:hAnsi="Arial" w:cs="Arial"/>
          <w:lang w:val="en-GB"/>
        </w:rPr>
      </w:pPr>
      <w:r w:rsidRPr="00CA02B7">
        <w:rPr>
          <w:rStyle w:val="FootnoteReference"/>
          <w:rFonts w:ascii="Arial" w:hAnsi="Arial" w:cs="Arial"/>
        </w:rPr>
        <w:footnoteRef/>
      </w:r>
      <w:r w:rsidRPr="00CA02B7">
        <w:rPr>
          <w:rFonts w:ascii="Arial" w:hAnsi="Arial" w:cs="Arial"/>
        </w:rPr>
        <w:t xml:space="preserve"> At paragraph 26 (emphasis supplied)</w:t>
      </w:r>
      <w:r w:rsidR="00CA02B7">
        <w:rPr>
          <w:rFonts w:ascii="Arial" w:hAnsi="Arial" w:cs="Arial"/>
        </w:rPr>
        <w:t>.</w:t>
      </w:r>
    </w:p>
  </w:footnote>
  <w:footnote w:id="12">
    <w:p w:rsidR="00340B41" w:rsidRPr="00CA02B7" w:rsidRDefault="00340B41">
      <w:pPr>
        <w:pStyle w:val="FootnoteText"/>
        <w:rPr>
          <w:rFonts w:ascii="Arial" w:hAnsi="Arial" w:cs="Arial"/>
          <w:lang w:val="en-GB"/>
        </w:rPr>
      </w:pPr>
      <w:r w:rsidRPr="00CA02B7">
        <w:rPr>
          <w:rStyle w:val="FootnoteReference"/>
          <w:rFonts w:ascii="Arial" w:hAnsi="Arial" w:cs="Arial"/>
        </w:rPr>
        <w:footnoteRef/>
      </w:r>
      <w:r w:rsidRPr="00CA02B7">
        <w:rPr>
          <w:rFonts w:ascii="Arial" w:hAnsi="Arial" w:cs="Arial"/>
        </w:rPr>
        <w:t xml:space="preserve"> (I 160/2015 [2016] NAHCMD 159 (3 June 2016) at para 14.</w:t>
      </w:r>
    </w:p>
  </w:footnote>
  <w:footnote w:id="13">
    <w:p w:rsidR="00340B41" w:rsidRPr="00CA02B7" w:rsidRDefault="00340B41">
      <w:pPr>
        <w:pStyle w:val="FootnoteText"/>
        <w:rPr>
          <w:rFonts w:ascii="Arial" w:hAnsi="Arial" w:cs="Arial"/>
        </w:rPr>
      </w:pPr>
      <w:r w:rsidRPr="00CA02B7">
        <w:rPr>
          <w:rStyle w:val="FootnoteReference"/>
          <w:rFonts w:ascii="Arial" w:hAnsi="Arial" w:cs="Arial"/>
        </w:rPr>
        <w:footnoteRef/>
      </w:r>
      <w:r w:rsidRPr="00CA02B7">
        <w:rPr>
          <w:rFonts w:ascii="Arial" w:hAnsi="Arial" w:cs="Arial"/>
        </w:rPr>
        <w:t xml:space="preserve"> </w:t>
      </w:r>
      <w:r w:rsidRPr="00CA02B7">
        <w:rPr>
          <w:rFonts w:ascii="Arial" w:hAnsi="Arial" w:cs="Arial"/>
          <w:u w:val="single"/>
        </w:rPr>
        <w:t>Klein v Kaura</w:t>
      </w:r>
      <w:r w:rsidRPr="00CA02B7">
        <w:rPr>
          <w:rFonts w:ascii="Arial" w:hAnsi="Arial" w:cs="Arial"/>
        </w:rPr>
        <w:t>, unreported, (I 4315/2013) [2017] NAHCMD (15 January 2017) at para 95 and 101</w:t>
      </w:r>
      <w:r w:rsidR="00CA02B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76553"/>
      <w:docPartObj>
        <w:docPartGallery w:val="Page Numbers (Top of Page)"/>
        <w:docPartUnique/>
      </w:docPartObj>
    </w:sdtPr>
    <w:sdtEndPr>
      <w:rPr>
        <w:noProof/>
      </w:rPr>
    </w:sdtEndPr>
    <w:sdtContent>
      <w:p w:rsidR="00340B41" w:rsidRDefault="00340B41">
        <w:pPr>
          <w:pStyle w:val="Header"/>
          <w:jc w:val="right"/>
        </w:pPr>
        <w:r>
          <w:fldChar w:fldCharType="begin"/>
        </w:r>
        <w:r>
          <w:instrText xml:space="preserve"> PAGE   \* MERGEFORMAT </w:instrText>
        </w:r>
        <w:r>
          <w:fldChar w:fldCharType="separate"/>
        </w:r>
        <w:r w:rsidR="007819F1">
          <w:rPr>
            <w:noProof/>
          </w:rPr>
          <w:t>2</w:t>
        </w:r>
        <w:r>
          <w:rPr>
            <w:noProof/>
          </w:rPr>
          <w:fldChar w:fldCharType="end"/>
        </w:r>
      </w:p>
    </w:sdtContent>
  </w:sdt>
  <w:p w:rsidR="00340B41" w:rsidRDefault="00340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70F"/>
    <w:multiLevelType w:val="hybridMultilevel"/>
    <w:tmpl w:val="75C80B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DD49E3"/>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7F44C2"/>
    <w:multiLevelType w:val="hybridMultilevel"/>
    <w:tmpl w:val="5B8696DE"/>
    <w:lvl w:ilvl="0" w:tplc="3ADC8FA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579239EE"/>
    <w:multiLevelType w:val="hybridMultilevel"/>
    <w:tmpl w:val="4DBEF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0A2BFE"/>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15:restartNumberingAfterBreak="0">
    <w:nsid w:val="7D30777A"/>
    <w:multiLevelType w:val="hybridMultilevel"/>
    <w:tmpl w:val="2BF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7"/>
    <w:rsid w:val="0000186E"/>
    <w:rsid w:val="00006737"/>
    <w:rsid w:val="00016659"/>
    <w:rsid w:val="000257AA"/>
    <w:rsid w:val="00030651"/>
    <w:rsid w:val="000326FE"/>
    <w:rsid w:val="000478F1"/>
    <w:rsid w:val="00066BD0"/>
    <w:rsid w:val="0007545F"/>
    <w:rsid w:val="00082537"/>
    <w:rsid w:val="0009200A"/>
    <w:rsid w:val="00097FF5"/>
    <w:rsid w:val="000A2D3D"/>
    <w:rsid w:val="000A594B"/>
    <w:rsid w:val="000B34F7"/>
    <w:rsid w:val="000C1D0E"/>
    <w:rsid w:val="000C478D"/>
    <w:rsid w:val="000D42FF"/>
    <w:rsid w:val="000F33FA"/>
    <w:rsid w:val="000F48F7"/>
    <w:rsid w:val="000F69D8"/>
    <w:rsid w:val="001060C2"/>
    <w:rsid w:val="00115AFA"/>
    <w:rsid w:val="001352C0"/>
    <w:rsid w:val="0014233C"/>
    <w:rsid w:val="0014375A"/>
    <w:rsid w:val="00145288"/>
    <w:rsid w:val="00176D69"/>
    <w:rsid w:val="001842E3"/>
    <w:rsid w:val="0018708B"/>
    <w:rsid w:val="00187BDD"/>
    <w:rsid w:val="001939B2"/>
    <w:rsid w:val="00195E5C"/>
    <w:rsid w:val="001A28BA"/>
    <w:rsid w:val="001B70AF"/>
    <w:rsid w:val="001B758F"/>
    <w:rsid w:val="001E54F7"/>
    <w:rsid w:val="00210FDD"/>
    <w:rsid w:val="002318C4"/>
    <w:rsid w:val="00247EBC"/>
    <w:rsid w:val="002518C8"/>
    <w:rsid w:val="00253254"/>
    <w:rsid w:val="00267C94"/>
    <w:rsid w:val="00274DD9"/>
    <w:rsid w:val="00275D8C"/>
    <w:rsid w:val="00286F3B"/>
    <w:rsid w:val="002958B2"/>
    <w:rsid w:val="002A7F75"/>
    <w:rsid w:val="002B5C8C"/>
    <w:rsid w:val="002C2DD5"/>
    <w:rsid w:val="002C5EEE"/>
    <w:rsid w:val="002C6DAE"/>
    <w:rsid w:val="002D23A9"/>
    <w:rsid w:val="002E25FD"/>
    <w:rsid w:val="002E7AAD"/>
    <w:rsid w:val="002F5708"/>
    <w:rsid w:val="00314EF1"/>
    <w:rsid w:val="00320337"/>
    <w:rsid w:val="00324F1E"/>
    <w:rsid w:val="00340B41"/>
    <w:rsid w:val="00344ABA"/>
    <w:rsid w:val="00356130"/>
    <w:rsid w:val="00356D3E"/>
    <w:rsid w:val="00360335"/>
    <w:rsid w:val="003629C9"/>
    <w:rsid w:val="003844B3"/>
    <w:rsid w:val="00390F95"/>
    <w:rsid w:val="00396D16"/>
    <w:rsid w:val="003B3F4F"/>
    <w:rsid w:val="003C5AE5"/>
    <w:rsid w:val="003C7EEA"/>
    <w:rsid w:val="003D2A02"/>
    <w:rsid w:val="003E2115"/>
    <w:rsid w:val="00403BC9"/>
    <w:rsid w:val="004117C8"/>
    <w:rsid w:val="00420B44"/>
    <w:rsid w:val="00421241"/>
    <w:rsid w:val="0047017B"/>
    <w:rsid w:val="004938D7"/>
    <w:rsid w:val="004A6F4A"/>
    <w:rsid w:val="004A7448"/>
    <w:rsid w:val="004B0948"/>
    <w:rsid w:val="004B60DB"/>
    <w:rsid w:val="004D62D0"/>
    <w:rsid w:val="004E5614"/>
    <w:rsid w:val="004F5705"/>
    <w:rsid w:val="005000D6"/>
    <w:rsid w:val="0050225D"/>
    <w:rsid w:val="00502CAA"/>
    <w:rsid w:val="00514B1F"/>
    <w:rsid w:val="005262EF"/>
    <w:rsid w:val="00527782"/>
    <w:rsid w:val="005632DC"/>
    <w:rsid w:val="00571152"/>
    <w:rsid w:val="0057720B"/>
    <w:rsid w:val="00592247"/>
    <w:rsid w:val="005952FD"/>
    <w:rsid w:val="005A26EA"/>
    <w:rsid w:val="005B0FAD"/>
    <w:rsid w:val="005C0FE8"/>
    <w:rsid w:val="005C1728"/>
    <w:rsid w:val="00622976"/>
    <w:rsid w:val="006244B6"/>
    <w:rsid w:val="00634CCD"/>
    <w:rsid w:val="00634FB8"/>
    <w:rsid w:val="00635465"/>
    <w:rsid w:val="00636723"/>
    <w:rsid w:val="00643E8A"/>
    <w:rsid w:val="00644907"/>
    <w:rsid w:val="00647ACB"/>
    <w:rsid w:val="00652E34"/>
    <w:rsid w:val="006616D7"/>
    <w:rsid w:val="00663DB1"/>
    <w:rsid w:val="006B5333"/>
    <w:rsid w:val="006D337C"/>
    <w:rsid w:val="006F0156"/>
    <w:rsid w:val="006F1B33"/>
    <w:rsid w:val="006F1BD7"/>
    <w:rsid w:val="006F41D7"/>
    <w:rsid w:val="006F6812"/>
    <w:rsid w:val="00710184"/>
    <w:rsid w:val="0073400E"/>
    <w:rsid w:val="0073689D"/>
    <w:rsid w:val="007441C5"/>
    <w:rsid w:val="0074758E"/>
    <w:rsid w:val="00754C3E"/>
    <w:rsid w:val="00756C31"/>
    <w:rsid w:val="007653C6"/>
    <w:rsid w:val="00767C2E"/>
    <w:rsid w:val="00774022"/>
    <w:rsid w:val="0078109B"/>
    <w:rsid w:val="0078194D"/>
    <w:rsid w:val="007819F1"/>
    <w:rsid w:val="007874EA"/>
    <w:rsid w:val="00795BB6"/>
    <w:rsid w:val="007B219F"/>
    <w:rsid w:val="007C0977"/>
    <w:rsid w:val="007C53AF"/>
    <w:rsid w:val="007D4AE3"/>
    <w:rsid w:val="007F1745"/>
    <w:rsid w:val="007F248C"/>
    <w:rsid w:val="007F6103"/>
    <w:rsid w:val="00806565"/>
    <w:rsid w:val="008151E3"/>
    <w:rsid w:val="0081584B"/>
    <w:rsid w:val="0083189A"/>
    <w:rsid w:val="008368DC"/>
    <w:rsid w:val="008422CB"/>
    <w:rsid w:val="00843EE2"/>
    <w:rsid w:val="008446BC"/>
    <w:rsid w:val="00856D75"/>
    <w:rsid w:val="00856FA8"/>
    <w:rsid w:val="00861567"/>
    <w:rsid w:val="00864DD4"/>
    <w:rsid w:val="00873948"/>
    <w:rsid w:val="008765BD"/>
    <w:rsid w:val="0088394F"/>
    <w:rsid w:val="008A2262"/>
    <w:rsid w:val="008B3640"/>
    <w:rsid w:val="009122A2"/>
    <w:rsid w:val="009235E5"/>
    <w:rsid w:val="00924C80"/>
    <w:rsid w:val="0095557C"/>
    <w:rsid w:val="00957C98"/>
    <w:rsid w:val="00972077"/>
    <w:rsid w:val="00972855"/>
    <w:rsid w:val="00972CC4"/>
    <w:rsid w:val="00976AD0"/>
    <w:rsid w:val="00987D64"/>
    <w:rsid w:val="009917E7"/>
    <w:rsid w:val="009B42BE"/>
    <w:rsid w:val="009C773F"/>
    <w:rsid w:val="009E2D61"/>
    <w:rsid w:val="009E6197"/>
    <w:rsid w:val="009F0B58"/>
    <w:rsid w:val="009F2074"/>
    <w:rsid w:val="009F4786"/>
    <w:rsid w:val="00A00882"/>
    <w:rsid w:val="00A208F7"/>
    <w:rsid w:val="00A219B8"/>
    <w:rsid w:val="00A24E49"/>
    <w:rsid w:val="00A42487"/>
    <w:rsid w:val="00A435B0"/>
    <w:rsid w:val="00A50037"/>
    <w:rsid w:val="00A54838"/>
    <w:rsid w:val="00A61224"/>
    <w:rsid w:val="00A65308"/>
    <w:rsid w:val="00A6677D"/>
    <w:rsid w:val="00A810F2"/>
    <w:rsid w:val="00A944BE"/>
    <w:rsid w:val="00AA3A20"/>
    <w:rsid w:val="00AB748A"/>
    <w:rsid w:val="00AB78A1"/>
    <w:rsid w:val="00AC623E"/>
    <w:rsid w:val="00AD16B0"/>
    <w:rsid w:val="00B01DE4"/>
    <w:rsid w:val="00B06EA6"/>
    <w:rsid w:val="00B075C7"/>
    <w:rsid w:val="00B2607D"/>
    <w:rsid w:val="00B27BF0"/>
    <w:rsid w:val="00B3164C"/>
    <w:rsid w:val="00B3354A"/>
    <w:rsid w:val="00B41587"/>
    <w:rsid w:val="00B60CDF"/>
    <w:rsid w:val="00B62A07"/>
    <w:rsid w:val="00B91323"/>
    <w:rsid w:val="00B9277B"/>
    <w:rsid w:val="00BA46A4"/>
    <w:rsid w:val="00BB6BF0"/>
    <w:rsid w:val="00BC6892"/>
    <w:rsid w:val="00BD793F"/>
    <w:rsid w:val="00BE6E24"/>
    <w:rsid w:val="00BF20B0"/>
    <w:rsid w:val="00C0095D"/>
    <w:rsid w:val="00C02E71"/>
    <w:rsid w:val="00C033BF"/>
    <w:rsid w:val="00C05361"/>
    <w:rsid w:val="00C40BCE"/>
    <w:rsid w:val="00C417BC"/>
    <w:rsid w:val="00C41A3F"/>
    <w:rsid w:val="00C71C51"/>
    <w:rsid w:val="00C86CDC"/>
    <w:rsid w:val="00C9085E"/>
    <w:rsid w:val="00C91218"/>
    <w:rsid w:val="00C948B7"/>
    <w:rsid w:val="00CA02B7"/>
    <w:rsid w:val="00CA5FBC"/>
    <w:rsid w:val="00CB33C1"/>
    <w:rsid w:val="00CE3A9B"/>
    <w:rsid w:val="00CF6210"/>
    <w:rsid w:val="00D026B8"/>
    <w:rsid w:val="00D05264"/>
    <w:rsid w:val="00D12DB2"/>
    <w:rsid w:val="00D15D1E"/>
    <w:rsid w:val="00D242D7"/>
    <w:rsid w:val="00D313E3"/>
    <w:rsid w:val="00D34F5C"/>
    <w:rsid w:val="00D41616"/>
    <w:rsid w:val="00D429BB"/>
    <w:rsid w:val="00D47503"/>
    <w:rsid w:val="00D51E50"/>
    <w:rsid w:val="00D52EC2"/>
    <w:rsid w:val="00D561D1"/>
    <w:rsid w:val="00D601A9"/>
    <w:rsid w:val="00D608D3"/>
    <w:rsid w:val="00D6399C"/>
    <w:rsid w:val="00D63C47"/>
    <w:rsid w:val="00D70485"/>
    <w:rsid w:val="00D756B0"/>
    <w:rsid w:val="00DB5EDC"/>
    <w:rsid w:val="00DB7187"/>
    <w:rsid w:val="00DD6ED7"/>
    <w:rsid w:val="00DE2B71"/>
    <w:rsid w:val="00DE2BB6"/>
    <w:rsid w:val="00DE7791"/>
    <w:rsid w:val="00E040AA"/>
    <w:rsid w:val="00E064D4"/>
    <w:rsid w:val="00E16A0E"/>
    <w:rsid w:val="00E22238"/>
    <w:rsid w:val="00E31D45"/>
    <w:rsid w:val="00E31DDE"/>
    <w:rsid w:val="00E460C5"/>
    <w:rsid w:val="00E465CF"/>
    <w:rsid w:val="00E80C9A"/>
    <w:rsid w:val="00E833BC"/>
    <w:rsid w:val="00E91C4A"/>
    <w:rsid w:val="00E9422E"/>
    <w:rsid w:val="00E94773"/>
    <w:rsid w:val="00E952FC"/>
    <w:rsid w:val="00EA2D0E"/>
    <w:rsid w:val="00EC181A"/>
    <w:rsid w:val="00EC3040"/>
    <w:rsid w:val="00EF049C"/>
    <w:rsid w:val="00F00000"/>
    <w:rsid w:val="00F21165"/>
    <w:rsid w:val="00F35BE9"/>
    <w:rsid w:val="00F40B22"/>
    <w:rsid w:val="00F54F42"/>
    <w:rsid w:val="00F70570"/>
    <w:rsid w:val="00F76B9F"/>
    <w:rsid w:val="00F81C1D"/>
    <w:rsid w:val="00F83BB8"/>
    <w:rsid w:val="00FB4ABD"/>
    <w:rsid w:val="00FB6C28"/>
    <w:rsid w:val="00FB70C9"/>
    <w:rsid w:val="00FB78D7"/>
    <w:rsid w:val="00FC22B2"/>
    <w:rsid w:val="00FD2DE6"/>
    <w:rsid w:val="00FD4BB9"/>
    <w:rsid w:val="00FD517F"/>
    <w:rsid w:val="00FD713A"/>
    <w:rsid w:val="00FF45AB"/>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BC15F-8315-409F-9D37-0CFD5A5C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7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37"/>
    <w:pPr>
      <w:ind w:left="720"/>
      <w:contextualSpacing/>
    </w:pPr>
  </w:style>
  <w:style w:type="paragraph" w:styleId="FootnoteText">
    <w:name w:val="footnote text"/>
    <w:basedOn w:val="Normal"/>
    <w:link w:val="FootnoteTextChar"/>
    <w:uiPriority w:val="99"/>
    <w:unhideWhenUsed/>
    <w:rsid w:val="00991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7E7"/>
    <w:rPr>
      <w:sz w:val="20"/>
      <w:szCs w:val="20"/>
    </w:rPr>
  </w:style>
  <w:style w:type="character" w:styleId="FootnoteReference">
    <w:name w:val="footnote reference"/>
    <w:basedOn w:val="DefaultParagraphFont"/>
    <w:uiPriority w:val="99"/>
    <w:unhideWhenUsed/>
    <w:rsid w:val="009917E7"/>
    <w:rPr>
      <w:vertAlign w:val="superscript"/>
    </w:rPr>
  </w:style>
  <w:style w:type="character" w:styleId="CommentReference">
    <w:name w:val="annotation reference"/>
    <w:basedOn w:val="DefaultParagraphFont"/>
    <w:uiPriority w:val="99"/>
    <w:semiHidden/>
    <w:unhideWhenUsed/>
    <w:rsid w:val="000A2D3D"/>
    <w:rPr>
      <w:sz w:val="16"/>
      <w:szCs w:val="16"/>
    </w:rPr>
  </w:style>
  <w:style w:type="paragraph" w:styleId="CommentText">
    <w:name w:val="annotation text"/>
    <w:basedOn w:val="Normal"/>
    <w:link w:val="CommentTextChar"/>
    <w:uiPriority w:val="99"/>
    <w:semiHidden/>
    <w:unhideWhenUsed/>
    <w:rsid w:val="000A2D3D"/>
    <w:pPr>
      <w:spacing w:line="240" w:lineRule="auto"/>
    </w:pPr>
    <w:rPr>
      <w:sz w:val="20"/>
      <w:szCs w:val="20"/>
    </w:rPr>
  </w:style>
  <w:style w:type="character" w:customStyle="1" w:styleId="CommentTextChar">
    <w:name w:val="Comment Text Char"/>
    <w:basedOn w:val="DefaultParagraphFont"/>
    <w:link w:val="CommentText"/>
    <w:uiPriority w:val="99"/>
    <w:semiHidden/>
    <w:rsid w:val="000A2D3D"/>
    <w:rPr>
      <w:sz w:val="20"/>
      <w:szCs w:val="20"/>
    </w:rPr>
  </w:style>
  <w:style w:type="paragraph" w:styleId="CommentSubject">
    <w:name w:val="annotation subject"/>
    <w:basedOn w:val="CommentText"/>
    <w:next w:val="CommentText"/>
    <w:link w:val="CommentSubjectChar"/>
    <w:uiPriority w:val="99"/>
    <w:semiHidden/>
    <w:unhideWhenUsed/>
    <w:rsid w:val="000A2D3D"/>
    <w:rPr>
      <w:b/>
      <w:bCs/>
    </w:rPr>
  </w:style>
  <w:style w:type="character" w:customStyle="1" w:styleId="CommentSubjectChar">
    <w:name w:val="Comment Subject Char"/>
    <w:basedOn w:val="CommentTextChar"/>
    <w:link w:val="CommentSubject"/>
    <w:uiPriority w:val="99"/>
    <w:semiHidden/>
    <w:rsid w:val="000A2D3D"/>
    <w:rPr>
      <w:b/>
      <w:bCs/>
      <w:sz w:val="20"/>
      <w:szCs w:val="20"/>
    </w:rPr>
  </w:style>
  <w:style w:type="paragraph" w:styleId="BalloonText">
    <w:name w:val="Balloon Text"/>
    <w:basedOn w:val="Normal"/>
    <w:link w:val="BalloonTextChar"/>
    <w:uiPriority w:val="99"/>
    <w:semiHidden/>
    <w:unhideWhenUsed/>
    <w:rsid w:val="000A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D"/>
    <w:rPr>
      <w:rFonts w:ascii="Segoe UI" w:hAnsi="Segoe UI" w:cs="Segoe UI"/>
      <w:sz w:val="18"/>
      <w:szCs w:val="18"/>
    </w:rPr>
  </w:style>
  <w:style w:type="character" w:styleId="Hyperlink">
    <w:name w:val="Hyperlink"/>
    <w:basedOn w:val="DefaultParagraphFont"/>
    <w:uiPriority w:val="99"/>
    <w:unhideWhenUsed/>
    <w:rsid w:val="00AB748A"/>
    <w:rPr>
      <w:color w:val="0563C1" w:themeColor="hyperlink"/>
      <w:u w:val="single"/>
    </w:rPr>
  </w:style>
  <w:style w:type="character" w:customStyle="1" w:styleId="Heading2Char">
    <w:name w:val="Heading 2 Char"/>
    <w:basedOn w:val="DefaultParagraphFont"/>
    <w:link w:val="Heading2"/>
    <w:uiPriority w:val="9"/>
    <w:semiHidden/>
    <w:rsid w:val="00AB74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87"/>
  </w:style>
  <w:style w:type="paragraph" w:styleId="Footer">
    <w:name w:val="footer"/>
    <w:basedOn w:val="Normal"/>
    <w:link w:val="FooterChar"/>
    <w:uiPriority w:val="99"/>
    <w:unhideWhenUsed/>
    <w:rsid w:val="00B4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87"/>
  </w:style>
  <w:style w:type="paragraph" w:styleId="Revision">
    <w:name w:val="Revision"/>
    <w:hidden/>
    <w:uiPriority w:val="99"/>
    <w:semiHidden/>
    <w:rsid w:val="00B41587"/>
    <w:pPr>
      <w:spacing w:after="0" w:line="240" w:lineRule="auto"/>
    </w:pPr>
  </w:style>
  <w:style w:type="character" w:customStyle="1" w:styleId="Heading1Char">
    <w:name w:val="Heading 1 Char"/>
    <w:basedOn w:val="DefaultParagraphFont"/>
    <w:link w:val="Heading1"/>
    <w:uiPriority w:val="9"/>
    <w:rsid w:val="003603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2020-11-11T18:30:00+00:00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2802-08F0-4D1D-8244-D067BB745315}"/>
</file>

<file path=customXml/itemProps2.xml><?xml version="1.0" encoding="utf-8"?>
<ds:datastoreItem xmlns:ds="http://schemas.openxmlformats.org/officeDocument/2006/customXml" ds:itemID="{182DE5B1-54FC-43C5-B23C-B1AEA805BBD9}"/>
</file>

<file path=customXml/itemProps3.xml><?xml version="1.0" encoding="utf-8"?>
<ds:datastoreItem xmlns:ds="http://schemas.openxmlformats.org/officeDocument/2006/customXml" ds:itemID="{A6777B6D-716F-46A4-BDFD-EC164428A401}"/>
</file>

<file path=customXml/itemProps4.xml><?xml version="1.0" encoding="utf-8"?>
<ds:datastoreItem xmlns:ds="http://schemas.openxmlformats.org/officeDocument/2006/customXml" ds:itemID="{7C701A96-2E67-4415-B1DE-B710BBB2D6B8}"/>
</file>

<file path=docProps/app.xml><?xml version="1.0" encoding="utf-8"?>
<Properties xmlns="http://schemas.openxmlformats.org/officeDocument/2006/extended-properties" xmlns:vt="http://schemas.openxmlformats.org/officeDocument/2006/docPropsVTypes">
  <Template>Normal</Template>
  <TotalTime>2</TotalTime>
  <Pages>9</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Trading CC v Zhong-Mei Engineering (HC-MD-CIV-ACT-CON-2018-04675) [2020] NAHCMD 516 (12 November 2020)</dc:title>
  <dc:subject/>
  <dc:creator>Martha Nambahu</dc:creator>
  <cp:keywords/>
  <dc:description/>
  <cp:lastModifiedBy>Administrator</cp:lastModifiedBy>
  <cp:revision>3</cp:revision>
  <cp:lastPrinted>2020-11-12T07:02:00Z</cp:lastPrinted>
  <dcterms:created xsi:type="dcterms:W3CDTF">2020-11-12T13:38:00Z</dcterms:created>
  <dcterms:modified xsi:type="dcterms:W3CDTF">2020-11-12T13:39:00Z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