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2A2E3" w14:textId="3E013778" w:rsidR="00707223" w:rsidRDefault="00E47A69" w:rsidP="00CC4446">
      <w:pPr>
        <w:spacing w:line="360" w:lineRule="auto"/>
        <w:jc w:val="center"/>
        <w:rPr>
          <w:rFonts w:ascii="Arial" w:hAnsi="Arial" w:cs="Arial"/>
          <w:b/>
          <w:bCs/>
          <w:sz w:val="24"/>
          <w:szCs w:val="24"/>
        </w:rPr>
      </w:pPr>
      <w:r>
        <w:rPr>
          <w:rFonts w:ascii="Arial" w:hAnsi="Arial" w:cs="Arial"/>
          <w:b/>
          <w:bCs/>
          <w:sz w:val="24"/>
          <w:szCs w:val="24"/>
        </w:rPr>
        <w:t>REPUBLIC OF NAMIBIA</w:t>
      </w:r>
    </w:p>
    <w:p w14:paraId="24696CE5" w14:textId="3AC8592C" w:rsidR="00E47A69" w:rsidRDefault="006A7B7C" w:rsidP="00CC4446">
      <w:pPr>
        <w:spacing w:line="360" w:lineRule="auto"/>
        <w:jc w:val="center"/>
        <w:rPr>
          <w:rFonts w:ascii="Arial" w:hAnsi="Arial" w:cs="Arial"/>
          <w:b/>
          <w:bCs/>
          <w:sz w:val="24"/>
          <w:szCs w:val="24"/>
        </w:rPr>
      </w:pPr>
      <w:r w:rsidRPr="006A7B7C">
        <w:rPr>
          <w:rFonts w:ascii="Calibri" w:eastAsia="Calibri" w:hAnsi="Calibri" w:cs="Times New Roman"/>
          <w:b/>
          <w:noProof/>
          <w:sz w:val="32"/>
          <w:szCs w:val="32"/>
        </w:rPr>
        <w:drawing>
          <wp:inline distT="0" distB="0" distL="0" distR="0" wp14:anchorId="2914929D" wp14:editId="15494DCE">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71D364D9" w14:textId="3EDE5CBE" w:rsidR="006A7B7C" w:rsidRDefault="00E47A69" w:rsidP="00CC4446">
      <w:pPr>
        <w:spacing w:before="240" w:line="360" w:lineRule="auto"/>
        <w:jc w:val="center"/>
        <w:rPr>
          <w:rFonts w:ascii="Arial" w:hAnsi="Arial" w:cs="Arial"/>
          <w:b/>
          <w:bCs/>
          <w:sz w:val="24"/>
          <w:szCs w:val="24"/>
        </w:rPr>
      </w:pPr>
      <w:r>
        <w:rPr>
          <w:rFonts w:ascii="Arial" w:hAnsi="Arial" w:cs="Arial"/>
          <w:b/>
          <w:bCs/>
          <w:sz w:val="24"/>
          <w:szCs w:val="24"/>
        </w:rPr>
        <w:t>HIGH COURT OF NAMIBIA MAIN DIVISION, WINDHOEK</w:t>
      </w:r>
    </w:p>
    <w:p w14:paraId="161C9F00" w14:textId="4CD9ACAD" w:rsidR="006A7B7C" w:rsidRDefault="00B96FA1" w:rsidP="00126FC3">
      <w:pPr>
        <w:spacing w:before="240" w:line="240" w:lineRule="auto"/>
        <w:jc w:val="center"/>
        <w:rPr>
          <w:rFonts w:ascii="Arial" w:hAnsi="Arial" w:cs="Arial"/>
          <w:b/>
          <w:bCs/>
          <w:sz w:val="24"/>
          <w:szCs w:val="24"/>
        </w:rPr>
      </w:pPr>
      <w:r>
        <w:rPr>
          <w:rFonts w:ascii="Arial" w:hAnsi="Arial" w:cs="Arial"/>
          <w:b/>
          <w:bCs/>
          <w:sz w:val="24"/>
          <w:szCs w:val="24"/>
        </w:rPr>
        <w:t>JUDG</w:t>
      </w:r>
      <w:r w:rsidR="006A7B7C">
        <w:rPr>
          <w:rFonts w:ascii="Arial" w:hAnsi="Arial" w:cs="Arial"/>
          <w:b/>
          <w:bCs/>
          <w:sz w:val="24"/>
          <w:szCs w:val="24"/>
        </w:rPr>
        <w:t>MENT</w:t>
      </w:r>
    </w:p>
    <w:p w14:paraId="74870B0D" w14:textId="7BBFFA2A" w:rsidR="00E47A69" w:rsidRDefault="00E47A69" w:rsidP="00CC4446">
      <w:pPr>
        <w:spacing w:line="360" w:lineRule="auto"/>
        <w:jc w:val="center"/>
        <w:rPr>
          <w:rFonts w:ascii="Arial" w:hAnsi="Arial" w:cs="Arial"/>
          <w:b/>
          <w:bCs/>
          <w:sz w:val="24"/>
          <w:szCs w:val="24"/>
        </w:rPr>
      </w:pPr>
    </w:p>
    <w:p w14:paraId="0EED149F" w14:textId="1E3F3FB7" w:rsidR="00E47A69" w:rsidRDefault="00126FC3" w:rsidP="00CC4446">
      <w:pPr>
        <w:spacing w:line="360" w:lineRule="auto"/>
        <w:jc w:val="right"/>
        <w:rPr>
          <w:rFonts w:ascii="Arial" w:hAnsi="Arial" w:cs="Arial"/>
          <w:sz w:val="24"/>
          <w:szCs w:val="24"/>
        </w:rPr>
      </w:pPr>
      <w:r>
        <w:rPr>
          <w:rFonts w:ascii="Arial" w:hAnsi="Arial" w:cs="Arial"/>
          <w:sz w:val="24"/>
          <w:szCs w:val="24"/>
        </w:rPr>
        <w:t>Case no: HC-MD-CIV-ACT-CON</w:t>
      </w:r>
      <w:r w:rsidR="00E47A69">
        <w:rPr>
          <w:rFonts w:ascii="Arial" w:hAnsi="Arial" w:cs="Arial"/>
          <w:sz w:val="24"/>
          <w:szCs w:val="24"/>
        </w:rPr>
        <w:t>-2019/0</w:t>
      </w:r>
      <w:r>
        <w:rPr>
          <w:rFonts w:ascii="Arial" w:hAnsi="Arial" w:cs="Arial"/>
          <w:sz w:val="24"/>
          <w:szCs w:val="24"/>
        </w:rPr>
        <w:t>0761</w:t>
      </w:r>
    </w:p>
    <w:p w14:paraId="3F17D451" w14:textId="38D22D76" w:rsidR="00E47A69" w:rsidRDefault="00E47A69" w:rsidP="00CC4446">
      <w:pPr>
        <w:spacing w:line="360" w:lineRule="auto"/>
        <w:jc w:val="both"/>
        <w:rPr>
          <w:rFonts w:ascii="Arial" w:hAnsi="Arial" w:cs="Arial"/>
          <w:sz w:val="24"/>
          <w:szCs w:val="24"/>
        </w:rPr>
      </w:pPr>
      <w:r>
        <w:rPr>
          <w:rFonts w:ascii="Arial" w:hAnsi="Arial" w:cs="Arial"/>
          <w:sz w:val="24"/>
          <w:szCs w:val="24"/>
        </w:rPr>
        <w:t>In the matter between:</w:t>
      </w:r>
    </w:p>
    <w:p w14:paraId="7226E1B4" w14:textId="619B2AE1" w:rsidR="00E47A69" w:rsidRDefault="00126FC3" w:rsidP="00CC4446">
      <w:pPr>
        <w:spacing w:line="360" w:lineRule="auto"/>
        <w:jc w:val="both"/>
        <w:rPr>
          <w:rFonts w:ascii="Arial" w:hAnsi="Arial" w:cs="Arial"/>
          <w:b/>
          <w:bCs/>
          <w:sz w:val="24"/>
          <w:szCs w:val="24"/>
        </w:rPr>
      </w:pPr>
      <w:r>
        <w:rPr>
          <w:rFonts w:ascii="Arial" w:hAnsi="Arial" w:cs="Arial"/>
          <w:b/>
          <w:bCs/>
          <w:sz w:val="24"/>
          <w:szCs w:val="24"/>
        </w:rPr>
        <w:t>AGRA LIMITED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E47A69">
        <w:rPr>
          <w:rFonts w:ascii="Arial" w:hAnsi="Arial" w:cs="Arial"/>
          <w:b/>
          <w:bCs/>
          <w:sz w:val="24"/>
          <w:szCs w:val="24"/>
        </w:rPr>
        <w:tab/>
      </w:r>
      <w:r w:rsidR="00E47A69">
        <w:rPr>
          <w:rFonts w:ascii="Arial" w:hAnsi="Arial" w:cs="Arial"/>
          <w:b/>
          <w:bCs/>
          <w:sz w:val="24"/>
          <w:szCs w:val="24"/>
        </w:rPr>
        <w:tab/>
      </w:r>
      <w:r w:rsidR="00E47A69">
        <w:rPr>
          <w:rFonts w:ascii="Arial" w:hAnsi="Arial" w:cs="Arial"/>
          <w:b/>
          <w:bCs/>
          <w:sz w:val="24"/>
          <w:szCs w:val="24"/>
        </w:rPr>
        <w:tab/>
      </w:r>
      <w:r w:rsidR="00A22FB6">
        <w:rPr>
          <w:rFonts w:ascii="Arial" w:hAnsi="Arial" w:cs="Arial"/>
          <w:b/>
          <w:bCs/>
          <w:sz w:val="24"/>
          <w:szCs w:val="24"/>
        </w:rPr>
        <w:tab/>
      </w:r>
      <w:r w:rsidR="00A22FB6">
        <w:rPr>
          <w:rFonts w:ascii="Arial" w:hAnsi="Arial" w:cs="Arial"/>
          <w:b/>
          <w:bCs/>
          <w:sz w:val="24"/>
          <w:szCs w:val="24"/>
        </w:rPr>
        <w:tab/>
      </w:r>
      <w:r w:rsidR="00E47A69">
        <w:rPr>
          <w:rFonts w:ascii="Arial" w:hAnsi="Arial" w:cs="Arial"/>
          <w:b/>
          <w:bCs/>
          <w:sz w:val="24"/>
          <w:szCs w:val="24"/>
        </w:rPr>
        <w:tab/>
      </w:r>
      <w:r w:rsidR="00A22FB6">
        <w:rPr>
          <w:rFonts w:ascii="Arial" w:hAnsi="Arial" w:cs="Arial"/>
          <w:b/>
          <w:bCs/>
          <w:sz w:val="24"/>
          <w:szCs w:val="24"/>
        </w:rPr>
        <w:t xml:space="preserve">   </w:t>
      </w:r>
      <w:r w:rsidR="00E47A69">
        <w:rPr>
          <w:rFonts w:ascii="Arial" w:hAnsi="Arial" w:cs="Arial"/>
          <w:b/>
          <w:bCs/>
          <w:sz w:val="24"/>
          <w:szCs w:val="24"/>
        </w:rPr>
        <w:t>PLAINTIFF</w:t>
      </w:r>
    </w:p>
    <w:p w14:paraId="0DF28B3A" w14:textId="77777777" w:rsidR="00E47A69" w:rsidRDefault="00E47A69" w:rsidP="00CC4446">
      <w:pPr>
        <w:spacing w:line="360" w:lineRule="auto"/>
        <w:jc w:val="both"/>
        <w:rPr>
          <w:rFonts w:ascii="Arial" w:hAnsi="Arial" w:cs="Arial"/>
          <w:b/>
          <w:bCs/>
          <w:sz w:val="24"/>
          <w:szCs w:val="24"/>
        </w:rPr>
      </w:pPr>
    </w:p>
    <w:p w14:paraId="51C5BA68" w14:textId="2CD3EE30" w:rsidR="00E47A69" w:rsidRDefault="00E47A69" w:rsidP="00CC4446">
      <w:pPr>
        <w:spacing w:line="360" w:lineRule="auto"/>
        <w:jc w:val="both"/>
        <w:rPr>
          <w:rFonts w:ascii="Arial" w:hAnsi="Arial" w:cs="Arial"/>
          <w:sz w:val="24"/>
          <w:szCs w:val="24"/>
        </w:rPr>
      </w:pPr>
      <w:proofErr w:type="gramStart"/>
      <w:r>
        <w:rPr>
          <w:rFonts w:ascii="Arial" w:hAnsi="Arial" w:cs="Arial"/>
          <w:sz w:val="24"/>
          <w:szCs w:val="24"/>
        </w:rPr>
        <w:t>and</w:t>
      </w:r>
      <w:proofErr w:type="gramEnd"/>
    </w:p>
    <w:p w14:paraId="5965712A" w14:textId="77777777" w:rsidR="00E47A69" w:rsidRDefault="00E47A69" w:rsidP="00CC4446">
      <w:pPr>
        <w:spacing w:line="360" w:lineRule="auto"/>
        <w:jc w:val="both"/>
        <w:rPr>
          <w:rFonts w:ascii="Arial" w:hAnsi="Arial" w:cs="Arial"/>
          <w:sz w:val="24"/>
          <w:szCs w:val="24"/>
        </w:rPr>
      </w:pPr>
    </w:p>
    <w:p w14:paraId="1831A0E1" w14:textId="69DD400E" w:rsidR="00E47A69" w:rsidRDefault="00126FC3" w:rsidP="00CC4446">
      <w:pPr>
        <w:spacing w:line="360" w:lineRule="auto"/>
        <w:jc w:val="both"/>
        <w:rPr>
          <w:rFonts w:ascii="Arial" w:hAnsi="Arial" w:cs="Arial"/>
          <w:b/>
          <w:bCs/>
          <w:sz w:val="24"/>
          <w:szCs w:val="24"/>
        </w:rPr>
      </w:pPr>
      <w:r>
        <w:rPr>
          <w:rFonts w:ascii="Arial" w:hAnsi="Arial" w:cs="Arial"/>
          <w:b/>
          <w:bCs/>
          <w:sz w:val="24"/>
          <w:szCs w:val="24"/>
        </w:rPr>
        <w:t>LEONARDUS ABRAHAM ERASMUS</w:t>
      </w:r>
      <w:r>
        <w:rPr>
          <w:rFonts w:ascii="Arial" w:hAnsi="Arial" w:cs="Arial"/>
          <w:b/>
          <w:bCs/>
          <w:sz w:val="24"/>
          <w:szCs w:val="24"/>
        </w:rPr>
        <w:tab/>
      </w:r>
      <w:r w:rsidR="00E47A69">
        <w:rPr>
          <w:rFonts w:ascii="Arial" w:hAnsi="Arial" w:cs="Arial"/>
          <w:b/>
          <w:bCs/>
          <w:sz w:val="24"/>
          <w:szCs w:val="24"/>
        </w:rPr>
        <w:tab/>
      </w:r>
      <w:r w:rsidR="00E47A69">
        <w:rPr>
          <w:rFonts w:ascii="Arial" w:hAnsi="Arial" w:cs="Arial"/>
          <w:b/>
          <w:bCs/>
          <w:sz w:val="24"/>
          <w:szCs w:val="24"/>
        </w:rPr>
        <w:tab/>
      </w:r>
      <w:r w:rsidR="00E47A69">
        <w:rPr>
          <w:rFonts w:ascii="Arial" w:hAnsi="Arial" w:cs="Arial"/>
          <w:b/>
          <w:bCs/>
          <w:sz w:val="24"/>
          <w:szCs w:val="24"/>
        </w:rPr>
        <w:tab/>
      </w:r>
      <w:r w:rsidR="00E47A69">
        <w:rPr>
          <w:rFonts w:ascii="Arial" w:hAnsi="Arial" w:cs="Arial"/>
          <w:b/>
          <w:bCs/>
          <w:sz w:val="24"/>
          <w:szCs w:val="24"/>
        </w:rPr>
        <w:tab/>
      </w:r>
      <w:r>
        <w:rPr>
          <w:rFonts w:ascii="Arial" w:hAnsi="Arial" w:cs="Arial"/>
          <w:b/>
          <w:bCs/>
          <w:sz w:val="24"/>
          <w:szCs w:val="24"/>
        </w:rPr>
        <w:t xml:space="preserve">      </w:t>
      </w:r>
      <w:r w:rsidR="00AE7B57">
        <w:rPr>
          <w:rFonts w:ascii="Arial" w:hAnsi="Arial" w:cs="Arial"/>
          <w:b/>
          <w:bCs/>
          <w:sz w:val="24"/>
          <w:szCs w:val="24"/>
        </w:rPr>
        <w:t xml:space="preserve">  </w:t>
      </w:r>
      <w:r>
        <w:rPr>
          <w:rFonts w:ascii="Arial" w:hAnsi="Arial" w:cs="Arial"/>
          <w:b/>
          <w:bCs/>
          <w:sz w:val="24"/>
          <w:szCs w:val="24"/>
        </w:rPr>
        <w:t xml:space="preserve"> </w:t>
      </w:r>
      <w:r w:rsidR="00E47A69">
        <w:rPr>
          <w:rFonts w:ascii="Arial" w:hAnsi="Arial" w:cs="Arial"/>
          <w:b/>
          <w:bCs/>
          <w:sz w:val="24"/>
          <w:szCs w:val="24"/>
        </w:rPr>
        <w:t xml:space="preserve"> DEFENDANT</w:t>
      </w:r>
    </w:p>
    <w:p w14:paraId="23B71C61" w14:textId="56818A54" w:rsidR="00E47A69" w:rsidRDefault="00E47A69" w:rsidP="00CC4446">
      <w:pPr>
        <w:spacing w:line="360" w:lineRule="auto"/>
        <w:jc w:val="both"/>
        <w:rPr>
          <w:rFonts w:ascii="Arial" w:hAnsi="Arial" w:cs="Arial"/>
          <w:sz w:val="24"/>
          <w:szCs w:val="24"/>
        </w:rPr>
      </w:pPr>
    </w:p>
    <w:p w14:paraId="42A496DA" w14:textId="08D26A39" w:rsidR="00E47A69" w:rsidRPr="00AF7FC2" w:rsidRDefault="00E47A69" w:rsidP="000012F6">
      <w:pPr>
        <w:spacing w:line="360" w:lineRule="auto"/>
        <w:ind w:left="2410" w:hanging="2410"/>
        <w:jc w:val="both"/>
        <w:rPr>
          <w:rFonts w:ascii="Arial" w:hAnsi="Arial" w:cs="Arial"/>
          <w:bCs/>
          <w:sz w:val="24"/>
          <w:szCs w:val="24"/>
        </w:rPr>
      </w:pPr>
      <w:r>
        <w:rPr>
          <w:rFonts w:ascii="Arial" w:hAnsi="Arial" w:cs="Arial"/>
          <w:b/>
          <w:bCs/>
          <w:sz w:val="24"/>
          <w:szCs w:val="24"/>
        </w:rPr>
        <w:t>Neutral citation:</w:t>
      </w:r>
      <w:r w:rsidR="0074426C">
        <w:rPr>
          <w:rFonts w:ascii="Arial" w:hAnsi="Arial" w:cs="Arial"/>
          <w:b/>
          <w:bCs/>
          <w:sz w:val="24"/>
          <w:szCs w:val="24"/>
        </w:rPr>
        <w:tab/>
      </w:r>
      <w:r w:rsidR="00126FC3" w:rsidRPr="00126FC3">
        <w:rPr>
          <w:rFonts w:ascii="Arial" w:hAnsi="Arial" w:cs="Arial"/>
          <w:bCs/>
          <w:i/>
          <w:sz w:val="24"/>
          <w:szCs w:val="24"/>
        </w:rPr>
        <w:t>Agra Limited</w:t>
      </w:r>
      <w:r w:rsidR="00AF7FC2" w:rsidRPr="001E7D75">
        <w:rPr>
          <w:rFonts w:ascii="Arial" w:hAnsi="Arial" w:cs="Arial"/>
          <w:bCs/>
          <w:i/>
          <w:sz w:val="24"/>
          <w:szCs w:val="24"/>
        </w:rPr>
        <w:t xml:space="preserve"> v </w:t>
      </w:r>
      <w:r w:rsidR="00126FC3">
        <w:rPr>
          <w:rFonts w:ascii="Arial" w:hAnsi="Arial" w:cs="Arial"/>
          <w:bCs/>
          <w:i/>
          <w:sz w:val="24"/>
          <w:szCs w:val="24"/>
        </w:rPr>
        <w:t>Erasmus</w:t>
      </w:r>
      <w:r w:rsidR="00B96FA1">
        <w:rPr>
          <w:rFonts w:ascii="Arial" w:hAnsi="Arial" w:cs="Arial"/>
          <w:bCs/>
          <w:i/>
          <w:sz w:val="24"/>
          <w:szCs w:val="24"/>
        </w:rPr>
        <w:t xml:space="preserve"> </w:t>
      </w:r>
      <w:r w:rsidR="00AF7FC2">
        <w:rPr>
          <w:rFonts w:ascii="Arial" w:hAnsi="Arial" w:cs="Arial"/>
          <w:bCs/>
          <w:sz w:val="24"/>
          <w:szCs w:val="24"/>
        </w:rPr>
        <w:t>(</w:t>
      </w:r>
      <w:r w:rsidR="00AF7FC2">
        <w:rPr>
          <w:rFonts w:ascii="Arial" w:hAnsi="Arial" w:cs="Arial"/>
          <w:sz w:val="24"/>
          <w:szCs w:val="24"/>
        </w:rPr>
        <w:t>HC-MD-CIV-ACT-</w:t>
      </w:r>
      <w:r w:rsidR="00126FC3">
        <w:rPr>
          <w:rFonts w:ascii="Arial" w:hAnsi="Arial" w:cs="Arial"/>
          <w:sz w:val="24"/>
          <w:szCs w:val="24"/>
        </w:rPr>
        <w:t>CON</w:t>
      </w:r>
      <w:r w:rsidR="00AF7FC2">
        <w:rPr>
          <w:rFonts w:ascii="Arial" w:hAnsi="Arial" w:cs="Arial"/>
          <w:sz w:val="24"/>
          <w:szCs w:val="24"/>
        </w:rPr>
        <w:t>-2019/0</w:t>
      </w:r>
      <w:r w:rsidR="00126FC3">
        <w:rPr>
          <w:rFonts w:ascii="Arial" w:hAnsi="Arial" w:cs="Arial"/>
          <w:sz w:val="24"/>
          <w:szCs w:val="24"/>
        </w:rPr>
        <w:t>0761</w:t>
      </w:r>
      <w:r w:rsidR="00AF7FC2">
        <w:rPr>
          <w:rFonts w:ascii="Arial" w:hAnsi="Arial" w:cs="Arial"/>
          <w:sz w:val="24"/>
          <w:szCs w:val="24"/>
        </w:rPr>
        <w:t>)</w:t>
      </w:r>
      <w:r w:rsidR="00B96FA1">
        <w:rPr>
          <w:rFonts w:ascii="Arial" w:hAnsi="Arial" w:cs="Arial"/>
          <w:sz w:val="24"/>
          <w:szCs w:val="24"/>
        </w:rPr>
        <w:t xml:space="preserve"> </w:t>
      </w:r>
      <w:r w:rsidR="00AF7FC2">
        <w:rPr>
          <w:rFonts w:ascii="Arial" w:hAnsi="Arial" w:cs="Arial"/>
          <w:sz w:val="24"/>
          <w:szCs w:val="24"/>
        </w:rPr>
        <w:t xml:space="preserve">[2020] NAHCMD </w:t>
      </w:r>
      <w:r w:rsidR="006021CF">
        <w:rPr>
          <w:rFonts w:ascii="Arial" w:hAnsi="Arial" w:cs="Arial"/>
          <w:sz w:val="24"/>
          <w:szCs w:val="24"/>
        </w:rPr>
        <w:t>526</w:t>
      </w:r>
      <w:r w:rsidR="00126FC3">
        <w:rPr>
          <w:rFonts w:ascii="Arial" w:hAnsi="Arial" w:cs="Arial"/>
          <w:sz w:val="24"/>
          <w:szCs w:val="24"/>
        </w:rPr>
        <w:t xml:space="preserve"> </w:t>
      </w:r>
      <w:r w:rsidR="0074426C">
        <w:rPr>
          <w:rFonts w:ascii="Arial" w:hAnsi="Arial" w:cs="Arial"/>
          <w:sz w:val="24"/>
          <w:szCs w:val="24"/>
        </w:rPr>
        <w:t>(</w:t>
      </w:r>
      <w:r w:rsidR="00126FC3">
        <w:rPr>
          <w:rFonts w:ascii="Arial" w:hAnsi="Arial" w:cs="Arial"/>
          <w:sz w:val="24"/>
          <w:szCs w:val="24"/>
        </w:rPr>
        <w:t>1</w:t>
      </w:r>
      <w:r w:rsidR="00714FE4">
        <w:rPr>
          <w:rFonts w:ascii="Arial" w:hAnsi="Arial" w:cs="Arial"/>
          <w:sz w:val="24"/>
          <w:szCs w:val="24"/>
        </w:rPr>
        <w:t>7</w:t>
      </w:r>
      <w:r w:rsidR="00126FC3">
        <w:rPr>
          <w:rFonts w:ascii="Arial" w:hAnsi="Arial" w:cs="Arial"/>
          <w:sz w:val="24"/>
          <w:szCs w:val="24"/>
        </w:rPr>
        <w:t xml:space="preserve"> </w:t>
      </w:r>
      <w:r w:rsidR="00714FE4">
        <w:rPr>
          <w:rFonts w:ascii="Arial" w:hAnsi="Arial" w:cs="Arial"/>
          <w:sz w:val="24"/>
          <w:szCs w:val="24"/>
        </w:rPr>
        <w:t>November</w:t>
      </w:r>
      <w:r w:rsidR="00AF7FC2">
        <w:rPr>
          <w:rFonts w:ascii="Arial" w:hAnsi="Arial" w:cs="Arial"/>
          <w:sz w:val="24"/>
          <w:szCs w:val="24"/>
        </w:rPr>
        <w:t xml:space="preserve"> 202</w:t>
      </w:r>
      <w:r w:rsidR="00714FE4">
        <w:rPr>
          <w:rFonts w:ascii="Arial" w:hAnsi="Arial" w:cs="Arial"/>
          <w:sz w:val="24"/>
          <w:szCs w:val="24"/>
        </w:rPr>
        <w:t>0</w:t>
      </w:r>
      <w:r w:rsidR="0074426C">
        <w:rPr>
          <w:rFonts w:ascii="Arial" w:hAnsi="Arial" w:cs="Arial"/>
          <w:sz w:val="24"/>
          <w:szCs w:val="24"/>
        </w:rPr>
        <w:t>)</w:t>
      </w:r>
    </w:p>
    <w:p w14:paraId="1C4465BC" w14:textId="06FF9951" w:rsidR="00E47A69" w:rsidRDefault="00E47A69" w:rsidP="00CC4446">
      <w:pPr>
        <w:spacing w:after="0" w:line="360" w:lineRule="auto"/>
        <w:jc w:val="both"/>
        <w:rPr>
          <w:rFonts w:ascii="Arial" w:hAnsi="Arial" w:cs="Arial"/>
          <w:b/>
          <w:bCs/>
          <w:sz w:val="24"/>
          <w:szCs w:val="24"/>
        </w:rPr>
      </w:pPr>
    </w:p>
    <w:p w14:paraId="30D39342" w14:textId="5DD81324" w:rsidR="00E47A69" w:rsidRPr="00B96FA1" w:rsidRDefault="00E47A69" w:rsidP="001E7D75">
      <w:pPr>
        <w:tabs>
          <w:tab w:val="left" w:pos="720"/>
          <w:tab w:val="left" w:pos="1440"/>
          <w:tab w:val="left" w:pos="2160"/>
          <w:tab w:val="right" w:pos="9360"/>
        </w:tabs>
        <w:spacing w:after="0" w:line="480" w:lineRule="auto"/>
        <w:jc w:val="both"/>
        <w:rPr>
          <w:rFonts w:ascii="Arial" w:hAnsi="Arial" w:cs="Arial"/>
          <w:b/>
          <w:sz w:val="24"/>
          <w:szCs w:val="24"/>
        </w:rPr>
      </w:pPr>
      <w:r w:rsidRPr="00B96FA1">
        <w:rPr>
          <w:rFonts w:ascii="Arial" w:hAnsi="Arial" w:cs="Arial"/>
          <w:bCs/>
          <w:sz w:val="24"/>
          <w:szCs w:val="24"/>
        </w:rPr>
        <w:t>Coram:</w:t>
      </w:r>
      <w:r>
        <w:rPr>
          <w:rFonts w:ascii="Arial" w:hAnsi="Arial" w:cs="Arial"/>
          <w:b/>
          <w:bCs/>
          <w:sz w:val="24"/>
          <w:szCs w:val="24"/>
        </w:rPr>
        <w:t xml:space="preserve"> </w:t>
      </w:r>
      <w:r>
        <w:rPr>
          <w:rFonts w:ascii="Arial" w:hAnsi="Arial" w:cs="Arial"/>
          <w:b/>
          <w:bCs/>
          <w:sz w:val="24"/>
          <w:szCs w:val="24"/>
        </w:rPr>
        <w:tab/>
      </w:r>
      <w:r w:rsidR="001E7D75" w:rsidRPr="00B96FA1">
        <w:rPr>
          <w:rFonts w:ascii="Arial" w:hAnsi="Arial" w:cs="Arial"/>
          <w:b/>
          <w:sz w:val="24"/>
          <w:szCs w:val="24"/>
        </w:rPr>
        <w:t>UNENGU, AJ</w:t>
      </w:r>
    </w:p>
    <w:p w14:paraId="50FA9506" w14:textId="6C243BAA" w:rsidR="009835E1" w:rsidRDefault="009835E1" w:rsidP="009835E1">
      <w:pPr>
        <w:spacing w:after="0" w:line="480" w:lineRule="auto"/>
        <w:jc w:val="both"/>
        <w:rPr>
          <w:rFonts w:ascii="Arial" w:hAnsi="Arial" w:cs="Arial"/>
          <w:sz w:val="24"/>
          <w:szCs w:val="24"/>
        </w:rPr>
      </w:pPr>
      <w:r w:rsidRPr="00B96FA1">
        <w:rPr>
          <w:rFonts w:ascii="Arial" w:hAnsi="Arial" w:cs="Arial"/>
          <w:bCs/>
          <w:sz w:val="24"/>
          <w:szCs w:val="24"/>
        </w:rPr>
        <w:t xml:space="preserve">Heard: </w:t>
      </w:r>
      <w:r w:rsidRPr="00B96FA1">
        <w:rPr>
          <w:rFonts w:ascii="Arial" w:hAnsi="Arial" w:cs="Arial"/>
          <w:bCs/>
          <w:sz w:val="24"/>
          <w:szCs w:val="24"/>
        </w:rPr>
        <w:tab/>
      </w:r>
      <w:r w:rsidR="006117DA">
        <w:rPr>
          <w:rFonts w:ascii="Arial" w:hAnsi="Arial" w:cs="Arial"/>
          <w:sz w:val="24"/>
          <w:szCs w:val="24"/>
        </w:rPr>
        <w:t>27</w:t>
      </w:r>
      <w:r w:rsidRPr="001E7D75">
        <w:rPr>
          <w:rFonts w:ascii="Arial" w:hAnsi="Arial" w:cs="Arial"/>
          <w:sz w:val="24"/>
          <w:szCs w:val="24"/>
        </w:rPr>
        <w:t xml:space="preserve"> </w:t>
      </w:r>
      <w:r w:rsidR="006117DA">
        <w:rPr>
          <w:rFonts w:ascii="Arial" w:hAnsi="Arial" w:cs="Arial"/>
          <w:sz w:val="24"/>
          <w:szCs w:val="24"/>
        </w:rPr>
        <w:t>Octo</w:t>
      </w:r>
      <w:r w:rsidRPr="001E7D75">
        <w:rPr>
          <w:rFonts w:ascii="Arial" w:hAnsi="Arial" w:cs="Arial"/>
          <w:sz w:val="24"/>
          <w:szCs w:val="24"/>
        </w:rPr>
        <w:t>ber 2020</w:t>
      </w:r>
    </w:p>
    <w:p w14:paraId="73487452" w14:textId="5DC0FA54" w:rsidR="00E47A69" w:rsidRPr="00B96FA1" w:rsidRDefault="00E47A69" w:rsidP="001E7D75">
      <w:pPr>
        <w:spacing w:after="0" w:line="480" w:lineRule="auto"/>
        <w:jc w:val="both"/>
        <w:rPr>
          <w:rFonts w:ascii="Arial" w:hAnsi="Arial" w:cs="Arial"/>
          <w:b/>
          <w:sz w:val="24"/>
          <w:szCs w:val="24"/>
        </w:rPr>
      </w:pPr>
      <w:r>
        <w:rPr>
          <w:rFonts w:ascii="Arial" w:hAnsi="Arial" w:cs="Arial"/>
          <w:b/>
          <w:bCs/>
          <w:sz w:val="24"/>
          <w:szCs w:val="24"/>
        </w:rPr>
        <w:t xml:space="preserve">Delivered: </w:t>
      </w:r>
      <w:r>
        <w:rPr>
          <w:rFonts w:ascii="Arial" w:hAnsi="Arial" w:cs="Arial"/>
          <w:b/>
          <w:bCs/>
          <w:sz w:val="24"/>
          <w:szCs w:val="24"/>
        </w:rPr>
        <w:tab/>
      </w:r>
      <w:r w:rsidR="00714FE4" w:rsidRPr="00B96FA1">
        <w:rPr>
          <w:rFonts w:ascii="Arial" w:hAnsi="Arial" w:cs="Arial"/>
          <w:b/>
          <w:sz w:val="24"/>
          <w:szCs w:val="24"/>
        </w:rPr>
        <w:t>17 November</w:t>
      </w:r>
      <w:r w:rsidR="00126FC3" w:rsidRPr="00B96FA1">
        <w:rPr>
          <w:rFonts w:ascii="Arial" w:hAnsi="Arial" w:cs="Arial"/>
          <w:b/>
          <w:sz w:val="24"/>
          <w:szCs w:val="24"/>
        </w:rPr>
        <w:t xml:space="preserve"> 202</w:t>
      </w:r>
      <w:r w:rsidR="00714FE4" w:rsidRPr="00B96FA1">
        <w:rPr>
          <w:rFonts w:ascii="Arial" w:hAnsi="Arial" w:cs="Arial"/>
          <w:b/>
          <w:sz w:val="24"/>
          <w:szCs w:val="24"/>
        </w:rPr>
        <w:t>0</w:t>
      </w:r>
    </w:p>
    <w:p w14:paraId="6A5FDF9B" w14:textId="66F2A136" w:rsidR="006A7B7C" w:rsidRDefault="006A7B7C" w:rsidP="00CC4446">
      <w:pPr>
        <w:spacing w:line="360" w:lineRule="auto"/>
        <w:jc w:val="both"/>
        <w:rPr>
          <w:rFonts w:ascii="Arial" w:hAnsi="Arial" w:cs="Arial"/>
          <w:sz w:val="24"/>
          <w:szCs w:val="24"/>
        </w:rPr>
      </w:pPr>
    </w:p>
    <w:p w14:paraId="0BA075C5" w14:textId="7B292219" w:rsidR="00126FC3" w:rsidRDefault="00CB0EEB" w:rsidP="00784195">
      <w:pPr>
        <w:spacing w:line="360" w:lineRule="auto"/>
        <w:jc w:val="both"/>
        <w:rPr>
          <w:rFonts w:ascii="Arial" w:eastAsia="Arial" w:hAnsi="Arial" w:cs="Arial"/>
          <w:sz w:val="24"/>
          <w:szCs w:val="24"/>
          <w:lang w:val="en" w:eastAsia="en-ZA"/>
        </w:rPr>
      </w:pPr>
      <w:proofErr w:type="spellStart"/>
      <w:r>
        <w:rPr>
          <w:rFonts w:ascii="Arial" w:hAnsi="Arial" w:cs="Arial"/>
          <w:b/>
          <w:sz w:val="24"/>
          <w:szCs w:val="24"/>
        </w:rPr>
        <w:lastRenderedPageBreak/>
        <w:t>Flynote</w:t>
      </w:r>
      <w:proofErr w:type="spellEnd"/>
      <w:r>
        <w:rPr>
          <w:rFonts w:ascii="Arial" w:hAnsi="Arial" w:cs="Arial"/>
          <w:b/>
          <w:sz w:val="24"/>
          <w:szCs w:val="24"/>
        </w:rPr>
        <w:t>:</w:t>
      </w:r>
      <w:r>
        <w:rPr>
          <w:rFonts w:ascii="Arial" w:hAnsi="Arial" w:cs="Arial"/>
          <w:b/>
          <w:sz w:val="24"/>
          <w:szCs w:val="24"/>
        </w:rPr>
        <w:tab/>
      </w:r>
      <w:r w:rsidR="00784195" w:rsidRPr="00784195">
        <w:rPr>
          <w:rFonts w:ascii="Arial" w:eastAsia="Arial" w:hAnsi="Arial" w:cs="Arial"/>
          <w:sz w:val="24"/>
          <w:szCs w:val="24"/>
          <w:lang w:val="en" w:eastAsia="en-ZA"/>
        </w:rPr>
        <w:t xml:space="preserve">Civil Practice – Jurisdiction – Special Plea – Plaintiff claiming damages from defendant in High Court – Defendant raising special plea </w:t>
      </w:r>
      <w:r w:rsidR="005A702C">
        <w:rPr>
          <w:rFonts w:ascii="Arial" w:eastAsia="Arial" w:hAnsi="Arial" w:cs="Arial"/>
          <w:sz w:val="24"/>
          <w:szCs w:val="24"/>
          <w:lang w:val="en" w:eastAsia="en-ZA"/>
        </w:rPr>
        <w:t>of</w:t>
      </w:r>
      <w:r w:rsidR="00784195" w:rsidRPr="00784195">
        <w:rPr>
          <w:rFonts w:ascii="Arial" w:eastAsia="Arial" w:hAnsi="Arial" w:cs="Arial"/>
          <w:sz w:val="24"/>
          <w:szCs w:val="24"/>
          <w:lang w:val="en" w:eastAsia="en-ZA"/>
        </w:rPr>
        <w:t xml:space="preserve"> jurisdiction – Court dismisses Special plea with cost – Held that High </w:t>
      </w:r>
      <w:r w:rsidR="005A702C">
        <w:rPr>
          <w:rFonts w:ascii="Arial" w:eastAsia="Arial" w:hAnsi="Arial" w:cs="Arial"/>
          <w:sz w:val="24"/>
          <w:szCs w:val="24"/>
          <w:lang w:val="en" w:eastAsia="en-ZA"/>
        </w:rPr>
        <w:t xml:space="preserve">Court jurisdiction not excluded by s 86 of the </w:t>
      </w:r>
      <w:proofErr w:type="spellStart"/>
      <w:r w:rsidR="005A702C">
        <w:rPr>
          <w:rFonts w:ascii="Arial" w:eastAsia="Arial" w:hAnsi="Arial" w:cs="Arial"/>
          <w:sz w:val="24"/>
          <w:szCs w:val="24"/>
          <w:lang w:val="en" w:eastAsia="en-ZA"/>
        </w:rPr>
        <w:t>Labour</w:t>
      </w:r>
      <w:proofErr w:type="spellEnd"/>
      <w:r w:rsidR="005A702C">
        <w:rPr>
          <w:rFonts w:ascii="Arial" w:eastAsia="Arial" w:hAnsi="Arial" w:cs="Arial"/>
          <w:sz w:val="24"/>
          <w:szCs w:val="24"/>
          <w:lang w:val="en" w:eastAsia="en-ZA"/>
        </w:rPr>
        <w:t xml:space="preserve"> Act.</w:t>
      </w:r>
    </w:p>
    <w:p w14:paraId="0A855675" w14:textId="77777777" w:rsidR="00784195" w:rsidRPr="00784195" w:rsidRDefault="00784195" w:rsidP="00784195">
      <w:pPr>
        <w:spacing w:line="360" w:lineRule="auto"/>
        <w:jc w:val="both"/>
        <w:rPr>
          <w:rFonts w:ascii="Arial" w:eastAsia="Arial" w:hAnsi="Arial" w:cs="Arial"/>
          <w:sz w:val="24"/>
          <w:szCs w:val="24"/>
          <w:lang w:val="en" w:eastAsia="en-ZA"/>
        </w:rPr>
      </w:pPr>
    </w:p>
    <w:p w14:paraId="385273FC" w14:textId="2B8F068B" w:rsidR="00784195" w:rsidRDefault="00CB0EEB" w:rsidP="00784195">
      <w:pPr>
        <w:spacing w:after="0" w:line="360" w:lineRule="auto"/>
        <w:jc w:val="both"/>
        <w:rPr>
          <w:rFonts w:ascii="Arial" w:hAnsi="Arial" w:cs="Arial"/>
          <w:sz w:val="24"/>
          <w:szCs w:val="24"/>
          <w:lang w:val="en"/>
        </w:rPr>
      </w:pPr>
      <w:r>
        <w:rPr>
          <w:rFonts w:ascii="Arial" w:hAnsi="Arial" w:cs="Arial"/>
          <w:b/>
          <w:sz w:val="24"/>
          <w:szCs w:val="24"/>
        </w:rPr>
        <w:t>Summary:</w:t>
      </w:r>
      <w:r>
        <w:rPr>
          <w:rFonts w:ascii="Arial" w:hAnsi="Arial" w:cs="Arial"/>
          <w:sz w:val="24"/>
          <w:szCs w:val="24"/>
        </w:rPr>
        <w:tab/>
      </w:r>
      <w:r w:rsidR="00784195" w:rsidRPr="00784195">
        <w:rPr>
          <w:rFonts w:ascii="Arial" w:hAnsi="Arial" w:cs="Arial"/>
          <w:sz w:val="24"/>
          <w:szCs w:val="24"/>
          <w:lang w:val="en"/>
        </w:rPr>
        <w:t>The plaintiff has issued combined summons against the defendant claiming damages in the amount of</w:t>
      </w:r>
      <w:r w:rsidR="005A702C">
        <w:rPr>
          <w:rFonts w:ascii="Arial" w:hAnsi="Arial" w:cs="Arial"/>
          <w:sz w:val="24"/>
          <w:szCs w:val="24"/>
          <w:lang w:val="en"/>
        </w:rPr>
        <w:t xml:space="preserve"> N$ 30 538.97 with interest </w:t>
      </w:r>
      <w:r w:rsidR="00784195" w:rsidRPr="00784195">
        <w:rPr>
          <w:rFonts w:ascii="Arial" w:hAnsi="Arial" w:cs="Arial"/>
          <w:sz w:val="24"/>
          <w:szCs w:val="24"/>
          <w:lang w:val="en"/>
        </w:rPr>
        <w:t>at the rate of 20% per annum and costs suits arising from a breach of agreement and employment relationship.</w:t>
      </w:r>
    </w:p>
    <w:p w14:paraId="65E88AB1" w14:textId="77777777" w:rsidR="00784195" w:rsidRPr="00784195" w:rsidRDefault="00784195" w:rsidP="00784195">
      <w:pPr>
        <w:spacing w:after="0" w:line="360" w:lineRule="auto"/>
        <w:jc w:val="both"/>
        <w:rPr>
          <w:rFonts w:ascii="Arial" w:hAnsi="Arial" w:cs="Arial"/>
          <w:sz w:val="24"/>
          <w:szCs w:val="24"/>
          <w:lang w:val="en"/>
        </w:rPr>
      </w:pPr>
    </w:p>
    <w:p w14:paraId="27A5C7B7" w14:textId="77777777" w:rsidR="00784195" w:rsidRPr="00784195" w:rsidRDefault="00784195" w:rsidP="00784195">
      <w:pPr>
        <w:spacing w:after="0" w:line="360" w:lineRule="auto"/>
        <w:jc w:val="both"/>
        <w:rPr>
          <w:rFonts w:ascii="Arial" w:hAnsi="Arial" w:cs="Arial"/>
          <w:sz w:val="24"/>
          <w:szCs w:val="24"/>
          <w:lang w:val="en"/>
        </w:rPr>
      </w:pPr>
      <w:r w:rsidRPr="00784195">
        <w:rPr>
          <w:rFonts w:ascii="Arial" w:hAnsi="Arial" w:cs="Arial"/>
          <w:sz w:val="24"/>
          <w:szCs w:val="24"/>
          <w:lang w:val="en"/>
        </w:rPr>
        <w:t>The plaintiff and the defendant agreed in clause 16 of the agreement that any party to the agreement may terminate the employment relationship by giving one month written notice to the manager or a person under whose control the party is placed. They further agreed in clause 17 of the agreement that should the employee decides to leave the service of the plaintiff without the required period of notice, the employee shall pay the plaintiff on demand an amount equal to the amount the employee would have received as remuneration from the plaintiff had the employee has given the correct notice.</w:t>
      </w:r>
    </w:p>
    <w:p w14:paraId="1DEB7A05" w14:textId="77777777" w:rsidR="00784195" w:rsidRPr="00784195" w:rsidRDefault="00784195" w:rsidP="00784195">
      <w:pPr>
        <w:spacing w:after="0" w:line="360" w:lineRule="auto"/>
        <w:jc w:val="both"/>
        <w:rPr>
          <w:rFonts w:ascii="Arial" w:hAnsi="Arial" w:cs="Arial"/>
          <w:sz w:val="24"/>
          <w:szCs w:val="24"/>
          <w:lang w:val="en"/>
        </w:rPr>
      </w:pPr>
    </w:p>
    <w:p w14:paraId="6DB4D0AE" w14:textId="0D031767" w:rsidR="00784195" w:rsidRPr="00784195" w:rsidRDefault="00784195" w:rsidP="00784195">
      <w:pPr>
        <w:spacing w:after="0" w:line="360" w:lineRule="auto"/>
        <w:jc w:val="both"/>
        <w:rPr>
          <w:rFonts w:ascii="Arial" w:hAnsi="Arial" w:cs="Arial"/>
          <w:sz w:val="24"/>
          <w:szCs w:val="24"/>
          <w:lang w:val="en"/>
        </w:rPr>
      </w:pPr>
      <w:r w:rsidRPr="00784195">
        <w:rPr>
          <w:rFonts w:ascii="Arial" w:hAnsi="Arial" w:cs="Arial"/>
          <w:sz w:val="24"/>
          <w:szCs w:val="24"/>
          <w:lang w:val="en"/>
        </w:rPr>
        <w:t xml:space="preserve">In </w:t>
      </w:r>
      <w:proofErr w:type="spellStart"/>
      <w:r w:rsidRPr="00784195">
        <w:rPr>
          <w:rFonts w:ascii="Arial" w:hAnsi="Arial" w:cs="Arial"/>
          <w:i/>
          <w:sz w:val="24"/>
          <w:szCs w:val="24"/>
          <w:lang w:val="en"/>
        </w:rPr>
        <w:t>casu</w:t>
      </w:r>
      <w:proofErr w:type="spellEnd"/>
      <w:r w:rsidRPr="00784195">
        <w:rPr>
          <w:rFonts w:ascii="Arial" w:hAnsi="Arial" w:cs="Arial"/>
          <w:sz w:val="24"/>
          <w:szCs w:val="24"/>
          <w:lang w:val="en"/>
        </w:rPr>
        <w:t xml:space="preserve">, the defendant instead of giving </w:t>
      </w:r>
      <w:r w:rsidR="00E46BBE">
        <w:rPr>
          <w:rFonts w:ascii="Arial" w:hAnsi="Arial" w:cs="Arial"/>
          <w:sz w:val="24"/>
          <w:szCs w:val="24"/>
          <w:lang w:val="en"/>
        </w:rPr>
        <w:t xml:space="preserve">written </w:t>
      </w:r>
      <w:r w:rsidRPr="00784195">
        <w:rPr>
          <w:rFonts w:ascii="Arial" w:hAnsi="Arial" w:cs="Arial"/>
          <w:sz w:val="24"/>
          <w:szCs w:val="24"/>
          <w:lang w:val="en"/>
        </w:rPr>
        <w:t>notice of one month as agreed in clause 16 of the agreement, he gave one day notice. As a result thereof, the defendant was then required in terms of clause 17 to pay the plaintiff on demand the amount equal to the amount the plaintiff would have paid</w:t>
      </w:r>
      <w:r w:rsidR="00E46BBE">
        <w:rPr>
          <w:rFonts w:ascii="Arial" w:hAnsi="Arial" w:cs="Arial"/>
          <w:sz w:val="24"/>
          <w:szCs w:val="24"/>
          <w:lang w:val="en"/>
        </w:rPr>
        <w:t xml:space="preserve"> him</w:t>
      </w:r>
      <w:r w:rsidRPr="00784195">
        <w:rPr>
          <w:rFonts w:ascii="Arial" w:hAnsi="Arial" w:cs="Arial"/>
          <w:sz w:val="24"/>
          <w:szCs w:val="24"/>
          <w:lang w:val="en"/>
        </w:rPr>
        <w:t xml:space="preserve"> had he given the correct</w:t>
      </w:r>
      <w:r w:rsidR="00E46BBE">
        <w:rPr>
          <w:rFonts w:ascii="Arial" w:hAnsi="Arial" w:cs="Arial"/>
          <w:sz w:val="24"/>
          <w:szCs w:val="24"/>
          <w:lang w:val="en"/>
        </w:rPr>
        <w:t xml:space="preserve"> written </w:t>
      </w:r>
      <w:r w:rsidRPr="00784195">
        <w:rPr>
          <w:rFonts w:ascii="Arial" w:hAnsi="Arial" w:cs="Arial"/>
          <w:sz w:val="24"/>
          <w:szCs w:val="24"/>
          <w:lang w:val="en"/>
        </w:rPr>
        <w:t>notice. The defendant again refused to pay the plaintiff this amount. When the plaintiff sued him for damages suffered for breach of the agreement in the High Court, he raised a special plea that the High Court has no jurisdiction to entertain and adjudicate on the matter.</w:t>
      </w:r>
    </w:p>
    <w:p w14:paraId="4CB68C43" w14:textId="77777777" w:rsidR="00784195" w:rsidRPr="00784195" w:rsidRDefault="00784195" w:rsidP="00784195">
      <w:pPr>
        <w:spacing w:after="0" w:line="360" w:lineRule="auto"/>
        <w:jc w:val="both"/>
        <w:rPr>
          <w:rFonts w:ascii="Arial" w:hAnsi="Arial" w:cs="Arial"/>
          <w:sz w:val="24"/>
          <w:szCs w:val="24"/>
          <w:lang w:val="en"/>
        </w:rPr>
      </w:pPr>
    </w:p>
    <w:p w14:paraId="122FB34B" w14:textId="77777777" w:rsidR="00784195" w:rsidRPr="00784195" w:rsidRDefault="00784195" w:rsidP="00784195">
      <w:pPr>
        <w:spacing w:after="0" w:line="360" w:lineRule="auto"/>
        <w:jc w:val="both"/>
        <w:rPr>
          <w:rFonts w:ascii="Arial" w:hAnsi="Arial" w:cs="Arial"/>
          <w:sz w:val="24"/>
          <w:szCs w:val="24"/>
          <w:lang w:val="en"/>
        </w:rPr>
      </w:pPr>
      <w:r w:rsidRPr="00784195">
        <w:rPr>
          <w:rFonts w:ascii="Arial" w:hAnsi="Arial" w:cs="Arial"/>
          <w:i/>
          <w:sz w:val="24"/>
          <w:szCs w:val="24"/>
          <w:u w:val="single"/>
          <w:lang w:val="en"/>
        </w:rPr>
        <w:t>Held</w:t>
      </w:r>
      <w:r w:rsidRPr="00784195">
        <w:rPr>
          <w:rFonts w:ascii="Arial" w:hAnsi="Arial" w:cs="Arial"/>
          <w:sz w:val="24"/>
          <w:szCs w:val="24"/>
          <w:lang w:val="en"/>
        </w:rPr>
        <w:t>: that the High Court has inherent jurisdiction to adjudicate on the dispute between the plaintiff and defendant.</w:t>
      </w:r>
    </w:p>
    <w:p w14:paraId="4AFE0CA0" w14:textId="77777777" w:rsidR="00784195" w:rsidRPr="00784195" w:rsidRDefault="00784195" w:rsidP="00784195">
      <w:pPr>
        <w:spacing w:after="0" w:line="360" w:lineRule="auto"/>
        <w:jc w:val="both"/>
        <w:rPr>
          <w:rFonts w:ascii="Arial" w:hAnsi="Arial" w:cs="Arial"/>
          <w:sz w:val="24"/>
          <w:szCs w:val="24"/>
          <w:lang w:val="en"/>
        </w:rPr>
      </w:pPr>
    </w:p>
    <w:p w14:paraId="0F3741CD" w14:textId="77777777" w:rsidR="00784195" w:rsidRPr="00784195" w:rsidRDefault="00784195" w:rsidP="00784195">
      <w:pPr>
        <w:spacing w:after="0" w:line="360" w:lineRule="auto"/>
        <w:jc w:val="both"/>
        <w:rPr>
          <w:rFonts w:ascii="Arial" w:hAnsi="Arial" w:cs="Arial"/>
          <w:sz w:val="24"/>
          <w:szCs w:val="24"/>
          <w:lang w:val="en"/>
        </w:rPr>
      </w:pPr>
      <w:r w:rsidRPr="00784195">
        <w:rPr>
          <w:rFonts w:ascii="Arial" w:hAnsi="Arial" w:cs="Arial"/>
          <w:i/>
          <w:sz w:val="24"/>
          <w:szCs w:val="24"/>
          <w:u w:val="single"/>
          <w:lang w:val="en"/>
        </w:rPr>
        <w:t>Held</w:t>
      </w:r>
      <w:r w:rsidRPr="00784195">
        <w:rPr>
          <w:rFonts w:ascii="Arial" w:hAnsi="Arial" w:cs="Arial"/>
          <w:sz w:val="24"/>
          <w:szCs w:val="24"/>
          <w:lang w:val="en"/>
        </w:rPr>
        <w:t xml:space="preserve"> further, that s 86 of the </w:t>
      </w:r>
      <w:proofErr w:type="spellStart"/>
      <w:r w:rsidRPr="00784195">
        <w:rPr>
          <w:rFonts w:ascii="Arial" w:hAnsi="Arial" w:cs="Arial"/>
          <w:sz w:val="24"/>
          <w:szCs w:val="24"/>
          <w:lang w:val="en"/>
        </w:rPr>
        <w:t>Labour</w:t>
      </w:r>
      <w:proofErr w:type="spellEnd"/>
      <w:r w:rsidRPr="00784195">
        <w:rPr>
          <w:rFonts w:ascii="Arial" w:hAnsi="Arial" w:cs="Arial"/>
          <w:sz w:val="24"/>
          <w:szCs w:val="24"/>
          <w:lang w:val="en"/>
        </w:rPr>
        <w:t xml:space="preserve"> Act 11 of 2007 does exclude the jurisdiction of the High Court from adjudication upon the dispute.</w:t>
      </w:r>
    </w:p>
    <w:p w14:paraId="55E4099F" w14:textId="77777777" w:rsidR="00784195" w:rsidRPr="00784195" w:rsidRDefault="00784195" w:rsidP="00784195">
      <w:pPr>
        <w:spacing w:after="0" w:line="360" w:lineRule="auto"/>
        <w:jc w:val="both"/>
        <w:rPr>
          <w:rFonts w:ascii="Arial" w:hAnsi="Arial" w:cs="Arial"/>
          <w:sz w:val="24"/>
          <w:szCs w:val="24"/>
          <w:lang w:val="en"/>
        </w:rPr>
      </w:pPr>
    </w:p>
    <w:p w14:paraId="285202C9" w14:textId="77777777" w:rsidR="00784195" w:rsidRPr="00784195" w:rsidRDefault="00784195" w:rsidP="00784195">
      <w:pPr>
        <w:spacing w:after="0" w:line="360" w:lineRule="auto"/>
        <w:jc w:val="both"/>
        <w:rPr>
          <w:rFonts w:ascii="Arial" w:hAnsi="Arial" w:cs="Arial"/>
          <w:sz w:val="24"/>
          <w:szCs w:val="24"/>
          <w:lang w:val="en"/>
        </w:rPr>
      </w:pPr>
      <w:r w:rsidRPr="00784195">
        <w:rPr>
          <w:rFonts w:ascii="Arial" w:hAnsi="Arial" w:cs="Arial"/>
          <w:i/>
          <w:sz w:val="24"/>
          <w:szCs w:val="24"/>
          <w:u w:val="single"/>
          <w:lang w:val="en"/>
        </w:rPr>
        <w:lastRenderedPageBreak/>
        <w:t>Held</w:t>
      </w:r>
      <w:r w:rsidRPr="00784195">
        <w:rPr>
          <w:rFonts w:ascii="Arial" w:hAnsi="Arial" w:cs="Arial"/>
          <w:sz w:val="24"/>
          <w:szCs w:val="24"/>
          <w:lang w:val="en"/>
        </w:rPr>
        <w:t xml:space="preserve"> furthermore, that s 86 of the </w:t>
      </w:r>
      <w:proofErr w:type="spellStart"/>
      <w:r w:rsidRPr="00784195">
        <w:rPr>
          <w:rFonts w:ascii="Arial" w:hAnsi="Arial" w:cs="Arial"/>
          <w:sz w:val="24"/>
          <w:szCs w:val="24"/>
          <w:lang w:val="en"/>
        </w:rPr>
        <w:t>Labour</w:t>
      </w:r>
      <w:proofErr w:type="spellEnd"/>
      <w:r w:rsidRPr="00784195">
        <w:rPr>
          <w:rFonts w:ascii="Arial" w:hAnsi="Arial" w:cs="Arial"/>
          <w:sz w:val="24"/>
          <w:szCs w:val="24"/>
          <w:lang w:val="en"/>
        </w:rPr>
        <w:t xml:space="preserve"> Act does not empower arbitrators to make awards of damages whether or not arising from a breach of employment agreement.</w:t>
      </w:r>
    </w:p>
    <w:p w14:paraId="5A245C95" w14:textId="25D2C402" w:rsidR="00CB0EEB" w:rsidRDefault="00CB0EEB" w:rsidP="00CB0EEB">
      <w:pPr>
        <w:spacing w:after="0" w:line="360" w:lineRule="auto"/>
        <w:jc w:val="both"/>
        <w:rPr>
          <w:rFonts w:ascii="Arial" w:hAnsi="Arial" w:cs="Arial"/>
          <w:sz w:val="24"/>
          <w:szCs w:val="24"/>
        </w:rPr>
      </w:pPr>
    </w:p>
    <w:p w14:paraId="4D79E915" w14:textId="77777777" w:rsidR="001E7D75" w:rsidRPr="008B5CDA" w:rsidRDefault="00F636A8" w:rsidP="001E7D75">
      <w:pPr>
        <w:spacing w:after="0" w:line="360" w:lineRule="auto"/>
        <w:jc w:val="both"/>
        <w:rPr>
          <w:rFonts w:ascii="Arial" w:hAnsi="Arial" w:cs="Arial"/>
          <w:bCs/>
          <w:sz w:val="24"/>
          <w:szCs w:val="24"/>
        </w:rPr>
      </w:pPr>
      <w:r>
        <w:rPr>
          <w:rFonts w:ascii="Arial" w:hAnsi="Arial" w:cs="Arial"/>
          <w:bCs/>
          <w:sz w:val="24"/>
          <w:szCs w:val="24"/>
        </w:rPr>
        <w:pict w14:anchorId="48E7B381">
          <v:rect id="_x0000_i1025" style="width:0;height:1.5pt" o:hralign="center" o:hrstd="t" o:hr="t" fillcolor="#a0a0a0" stroked="f"/>
        </w:pict>
      </w:r>
    </w:p>
    <w:p w14:paraId="58EFB1BB" w14:textId="77777777" w:rsidR="001E7D75" w:rsidRPr="008B5CDA" w:rsidRDefault="001E7D75" w:rsidP="001E7D75">
      <w:pPr>
        <w:spacing w:after="0" w:line="360" w:lineRule="auto"/>
        <w:jc w:val="center"/>
        <w:rPr>
          <w:rFonts w:ascii="Arial" w:hAnsi="Arial" w:cs="Arial"/>
          <w:b/>
          <w:bCs/>
          <w:sz w:val="24"/>
          <w:szCs w:val="24"/>
        </w:rPr>
      </w:pPr>
      <w:r w:rsidRPr="008B5CDA">
        <w:rPr>
          <w:rFonts w:ascii="Arial" w:hAnsi="Arial" w:cs="Arial"/>
          <w:b/>
          <w:bCs/>
          <w:sz w:val="24"/>
          <w:szCs w:val="24"/>
        </w:rPr>
        <w:t>ORDER</w:t>
      </w:r>
    </w:p>
    <w:p w14:paraId="7E822A5F" w14:textId="77777777" w:rsidR="001E7D75" w:rsidRPr="008B5CDA" w:rsidRDefault="00F636A8" w:rsidP="001E7D75">
      <w:pPr>
        <w:spacing w:after="0" w:line="360" w:lineRule="auto"/>
        <w:jc w:val="center"/>
        <w:rPr>
          <w:rFonts w:ascii="Arial" w:hAnsi="Arial" w:cs="Arial"/>
          <w:b/>
          <w:bCs/>
          <w:sz w:val="24"/>
          <w:szCs w:val="24"/>
        </w:rPr>
      </w:pPr>
      <w:r>
        <w:rPr>
          <w:rFonts w:ascii="Arial" w:hAnsi="Arial" w:cs="Arial"/>
          <w:bCs/>
          <w:sz w:val="24"/>
          <w:szCs w:val="24"/>
        </w:rPr>
        <w:pict w14:anchorId="7BDE25F7">
          <v:rect id="_x0000_i1026" style="width:0;height:1.5pt" o:hralign="center" o:hrstd="t" o:hr="t" fillcolor="#a0a0a0" stroked="f"/>
        </w:pict>
      </w:r>
    </w:p>
    <w:p w14:paraId="7DAFE79D" w14:textId="649CC9BA" w:rsidR="00126FC3" w:rsidRDefault="008F3216" w:rsidP="001E7D75">
      <w:pPr>
        <w:spacing w:after="0" w:line="360" w:lineRule="auto"/>
        <w:jc w:val="both"/>
        <w:rPr>
          <w:rFonts w:ascii="Arial" w:hAnsi="Arial" w:cs="Arial"/>
          <w:bCs/>
          <w:sz w:val="24"/>
          <w:szCs w:val="24"/>
        </w:rPr>
      </w:pPr>
      <w:r>
        <w:rPr>
          <w:rFonts w:ascii="Arial" w:hAnsi="Arial" w:cs="Arial"/>
          <w:bCs/>
          <w:sz w:val="24"/>
          <w:szCs w:val="24"/>
          <w:lang w:val="en"/>
        </w:rPr>
        <w:t>T</w:t>
      </w:r>
      <w:r w:rsidR="00126FC3" w:rsidRPr="00126FC3">
        <w:rPr>
          <w:rFonts w:ascii="Arial" w:hAnsi="Arial" w:cs="Arial"/>
          <w:bCs/>
          <w:sz w:val="24"/>
          <w:szCs w:val="24"/>
          <w:lang w:val="en"/>
        </w:rPr>
        <w:t xml:space="preserve">he special plea </w:t>
      </w:r>
      <w:r w:rsidR="00094092">
        <w:rPr>
          <w:rFonts w:ascii="Arial" w:hAnsi="Arial" w:cs="Arial"/>
          <w:bCs/>
          <w:sz w:val="24"/>
          <w:szCs w:val="24"/>
          <w:lang w:val="en"/>
        </w:rPr>
        <w:t xml:space="preserve">that the High Court does not have jurisdiction to hear the matter </w:t>
      </w:r>
      <w:r w:rsidR="00683A1B">
        <w:rPr>
          <w:rFonts w:ascii="Arial" w:hAnsi="Arial" w:cs="Arial"/>
          <w:bCs/>
          <w:sz w:val="24"/>
          <w:szCs w:val="24"/>
          <w:lang w:val="en"/>
        </w:rPr>
        <w:t xml:space="preserve">is dismissed </w:t>
      </w:r>
      <w:r w:rsidR="00126FC3" w:rsidRPr="00126FC3">
        <w:rPr>
          <w:rFonts w:ascii="Arial" w:hAnsi="Arial" w:cs="Arial"/>
          <w:bCs/>
          <w:sz w:val="24"/>
          <w:szCs w:val="24"/>
          <w:lang w:val="en"/>
        </w:rPr>
        <w:t>with costs.</w:t>
      </w:r>
    </w:p>
    <w:p w14:paraId="5CD06E51" w14:textId="77777777" w:rsidR="001E7D75" w:rsidRPr="008B5CDA" w:rsidRDefault="00F636A8" w:rsidP="001E7D75">
      <w:pPr>
        <w:spacing w:after="0" w:line="360" w:lineRule="auto"/>
        <w:jc w:val="both"/>
        <w:rPr>
          <w:rFonts w:ascii="Arial" w:hAnsi="Arial" w:cs="Arial"/>
          <w:bCs/>
          <w:sz w:val="24"/>
          <w:szCs w:val="24"/>
        </w:rPr>
      </w:pPr>
      <w:r>
        <w:rPr>
          <w:rFonts w:ascii="Arial" w:hAnsi="Arial" w:cs="Arial"/>
          <w:bCs/>
          <w:sz w:val="24"/>
          <w:szCs w:val="24"/>
        </w:rPr>
        <w:pict w14:anchorId="14636739">
          <v:rect id="_x0000_i1027" style="width:0;height:1.5pt" o:hralign="center" o:hrstd="t" o:hr="t" fillcolor="#a0a0a0" stroked="f"/>
        </w:pict>
      </w:r>
    </w:p>
    <w:p w14:paraId="432513B5" w14:textId="11C0805E" w:rsidR="001E7D75" w:rsidRPr="008B5CDA" w:rsidRDefault="00126FC3" w:rsidP="001E7D75">
      <w:pPr>
        <w:spacing w:after="0" w:line="360" w:lineRule="auto"/>
        <w:jc w:val="center"/>
        <w:rPr>
          <w:rFonts w:ascii="Arial" w:hAnsi="Arial" w:cs="Arial"/>
          <w:b/>
          <w:sz w:val="24"/>
          <w:szCs w:val="24"/>
        </w:rPr>
      </w:pPr>
      <w:r>
        <w:rPr>
          <w:rFonts w:ascii="Arial" w:hAnsi="Arial" w:cs="Arial"/>
          <w:b/>
          <w:sz w:val="24"/>
          <w:szCs w:val="24"/>
        </w:rPr>
        <w:t>SPECIAL PLEA</w:t>
      </w:r>
    </w:p>
    <w:p w14:paraId="0071F162" w14:textId="77777777" w:rsidR="001E7D75" w:rsidRPr="008B5CDA" w:rsidRDefault="001E7D75" w:rsidP="001E7D75">
      <w:pPr>
        <w:spacing w:after="0" w:line="360" w:lineRule="auto"/>
        <w:jc w:val="center"/>
        <w:rPr>
          <w:rFonts w:ascii="Arial" w:hAnsi="Arial" w:cs="Arial"/>
          <w:b/>
          <w:sz w:val="24"/>
          <w:szCs w:val="24"/>
        </w:rPr>
      </w:pPr>
      <w:r w:rsidRPr="008B5CDA">
        <w:rPr>
          <w:rFonts w:ascii="Arial" w:hAnsi="Arial" w:cs="Arial"/>
          <w:b/>
          <w:sz w:val="24"/>
          <w:szCs w:val="24"/>
        </w:rPr>
        <w:t>JUDGMENT</w:t>
      </w:r>
    </w:p>
    <w:p w14:paraId="2E45DBEC" w14:textId="77777777" w:rsidR="001E7D75" w:rsidRPr="008B5CDA" w:rsidRDefault="00F636A8" w:rsidP="001E7D75">
      <w:pPr>
        <w:spacing w:after="0" w:line="360" w:lineRule="auto"/>
        <w:jc w:val="center"/>
        <w:rPr>
          <w:rFonts w:ascii="Arial" w:hAnsi="Arial" w:cs="Arial"/>
          <w:b/>
          <w:sz w:val="24"/>
          <w:szCs w:val="24"/>
        </w:rPr>
      </w:pPr>
      <w:r>
        <w:rPr>
          <w:rFonts w:ascii="Arial" w:hAnsi="Arial" w:cs="Arial"/>
          <w:bCs/>
          <w:sz w:val="24"/>
          <w:szCs w:val="24"/>
        </w:rPr>
        <w:pict w14:anchorId="447BBE2A">
          <v:rect id="_x0000_i1028" style="width:0;height:1.5pt" o:hralign="center" o:hrstd="t" o:hr="t" fillcolor="#a0a0a0" stroked="f"/>
        </w:pict>
      </w:r>
    </w:p>
    <w:p w14:paraId="4912C3BA" w14:textId="77777777" w:rsidR="001E7D75" w:rsidRPr="008B5CDA" w:rsidRDefault="001E7D75" w:rsidP="001E7D75">
      <w:pPr>
        <w:rPr>
          <w:rFonts w:ascii="Arial" w:hAnsi="Arial" w:cs="Arial"/>
        </w:rPr>
      </w:pPr>
    </w:p>
    <w:p w14:paraId="448EBEC6" w14:textId="3B133C1B" w:rsidR="00E47A69" w:rsidRDefault="00E47A69" w:rsidP="00701251">
      <w:pPr>
        <w:spacing w:line="360" w:lineRule="auto"/>
        <w:jc w:val="both"/>
        <w:rPr>
          <w:rFonts w:ascii="Arial" w:hAnsi="Arial" w:cs="Arial"/>
          <w:bCs/>
          <w:sz w:val="24"/>
          <w:szCs w:val="24"/>
        </w:rPr>
      </w:pPr>
      <w:r w:rsidRPr="006A7B7C">
        <w:rPr>
          <w:rFonts w:ascii="Arial" w:hAnsi="Arial" w:cs="Arial"/>
          <w:bCs/>
          <w:sz w:val="24"/>
          <w:szCs w:val="24"/>
        </w:rPr>
        <w:t>UNENGU, AJ</w:t>
      </w:r>
    </w:p>
    <w:p w14:paraId="7BB63C88" w14:textId="77777777" w:rsidR="00126FC3" w:rsidRDefault="00126FC3" w:rsidP="00701251">
      <w:pPr>
        <w:spacing w:line="360" w:lineRule="auto"/>
        <w:jc w:val="both"/>
        <w:rPr>
          <w:rFonts w:ascii="Arial" w:hAnsi="Arial" w:cs="Arial"/>
          <w:bCs/>
          <w:sz w:val="24"/>
          <w:szCs w:val="24"/>
        </w:rPr>
      </w:pPr>
    </w:p>
    <w:p w14:paraId="0CA0E0CF" w14:textId="77777777"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[1]</w:t>
      </w:r>
      <w:r w:rsidRPr="00126FC3">
        <w:rPr>
          <w:rFonts w:ascii="Arial" w:hAnsi="Arial" w:cs="Arial"/>
          <w:bCs/>
          <w:sz w:val="24"/>
          <w:szCs w:val="24"/>
          <w:lang w:val="en"/>
        </w:rPr>
        <w:tab/>
        <w:t xml:space="preserve">In this matter, Agra the plaintiff has issued combined summons against the defendant </w:t>
      </w:r>
      <w:proofErr w:type="spellStart"/>
      <w:r w:rsidRPr="00126FC3">
        <w:rPr>
          <w:rFonts w:ascii="Arial" w:hAnsi="Arial" w:cs="Arial"/>
          <w:bCs/>
          <w:sz w:val="24"/>
          <w:szCs w:val="24"/>
          <w:lang w:val="en"/>
        </w:rPr>
        <w:t>Mr</w:t>
      </w:r>
      <w:proofErr w:type="spellEnd"/>
      <w:r w:rsidRPr="00126FC3">
        <w:rPr>
          <w:rFonts w:ascii="Arial" w:hAnsi="Arial" w:cs="Arial"/>
          <w:bCs/>
          <w:sz w:val="24"/>
          <w:szCs w:val="24"/>
          <w:lang w:val="en"/>
        </w:rPr>
        <w:t xml:space="preserve"> </w:t>
      </w:r>
      <w:proofErr w:type="spellStart"/>
      <w:r w:rsidRPr="00126FC3">
        <w:rPr>
          <w:rFonts w:ascii="Arial" w:hAnsi="Arial" w:cs="Arial"/>
          <w:bCs/>
          <w:sz w:val="24"/>
          <w:szCs w:val="24"/>
          <w:lang w:val="en"/>
        </w:rPr>
        <w:t>Leonardus</w:t>
      </w:r>
      <w:proofErr w:type="spellEnd"/>
      <w:r w:rsidRPr="00126FC3">
        <w:rPr>
          <w:rFonts w:ascii="Arial" w:hAnsi="Arial" w:cs="Arial"/>
          <w:bCs/>
          <w:sz w:val="24"/>
          <w:szCs w:val="24"/>
          <w:lang w:val="en"/>
        </w:rPr>
        <w:t xml:space="preserve"> Abraham Erasmus for payment of N$ 30 538.97 with interest on the amount at the rate of 20% per annum from the date of demand to the date of payment and costs of suit. The claim is for damages suffered by the plaintiff as a result of a breach of the agreement and the employment relationship entered into between the plaintiff and the defendant signed on 11 August 2004.</w:t>
      </w:r>
    </w:p>
    <w:p w14:paraId="461141A4" w14:textId="77777777"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[2]</w:t>
      </w:r>
      <w:r w:rsidRPr="00126FC3">
        <w:rPr>
          <w:rFonts w:ascii="Arial" w:hAnsi="Arial" w:cs="Arial"/>
          <w:bCs/>
          <w:sz w:val="24"/>
          <w:szCs w:val="24"/>
          <w:lang w:val="en"/>
        </w:rPr>
        <w:tab/>
        <w:t>It was agreed between them in clause 16 of the agreement that any party may terminate the agreement and the employment relationship by giving one month written notice to the manager or a person under whose control the defendant was placed. Clause 16 stipulates, amongst others, as follows:</w:t>
      </w:r>
    </w:p>
    <w:p w14:paraId="46B9ED8B" w14:textId="77777777" w:rsidR="00126FC3" w:rsidRPr="00B96FA1" w:rsidRDefault="00126FC3" w:rsidP="00B96FA1">
      <w:pPr>
        <w:spacing w:line="360" w:lineRule="auto"/>
        <w:ind w:firstLine="720"/>
        <w:jc w:val="both"/>
        <w:rPr>
          <w:rFonts w:ascii="Arial" w:hAnsi="Arial" w:cs="Arial"/>
          <w:bCs/>
          <w:lang w:val="en"/>
        </w:rPr>
      </w:pPr>
      <w:r w:rsidRPr="00B96FA1">
        <w:rPr>
          <w:rFonts w:ascii="Arial" w:hAnsi="Arial" w:cs="Arial"/>
          <w:bCs/>
          <w:lang w:val="en"/>
        </w:rPr>
        <w:t>‘Agra or the employee may end this agreement and the employment relationship by giving notice in writing. When the employee gives notice, he/she should address and give notice to the manager or other person under whose control he/she has been placed. Unless otherwise agreed, the notice period shall begin on the first (1</w:t>
      </w:r>
      <w:r w:rsidRPr="00B96FA1">
        <w:rPr>
          <w:rFonts w:ascii="Arial" w:hAnsi="Arial" w:cs="Arial"/>
          <w:bCs/>
          <w:vertAlign w:val="superscript"/>
          <w:lang w:val="en"/>
        </w:rPr>
        <w:t>st</w:t>
      </w:r>
      <w:r w:rsidRPr="00B96FA1">
        <w:rPr>
          <w:rFonts w:ascii="Arial" w:hAnsi="Arial" w:cs="Arial"/>
          <w:bCs/>
          <w:lang w:val="en"/>
        </w:rPr>
        <w:t>) or fifteenth (15</w:t>
      </w:r>
      <w:r w:rsidRPr="00B96FA1">
        <w:rPr>
          <w:rFonts w:ascii="Arial" w:hAnsi="Arial" w:cs="Arial"/>
          <w:bCs/>
          <w:vertAlign w:val="superscript"/>
          <w:lang w:val="en"/>
        </w:rPr>
        <w:t>th</w:t>
      </w:r>
      <w:r w:rsidRPr="00B96FA1">
        <w:rPr>
          <w:rFonts w:ascii="Arial" w:hAnsi="Arial" w:cs="Arial"/>
          <w:bCs/>
          <w:lang w:val="en"/>
        </w:rPr>
        <w:t>) day of the month on such notice is received by the manager or such other person under whose control the employee has been placed.’</w:t>
      </w:r>
    </w:p>
    <w:p w14:paraId="12665F37" w14:textId="2C5D9163"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lastRenderedPageBreak/>
        <w:t>[3]</w:t>
      </w:r>
      <w:r w:rsidRPr="00126FC3">
        <w:rPr>
          <w:rFonts w:ascii="Arial" w:hAnsi="Arial" w:cs="Arial"/>
          <w:bCs/>
          <w:sz w:val="24"/>
          <w:szCs w:val="24"/>
          <w:lang w:val="en"/>
        </w:rPr>
        <w:tab/>
        <w:t xml:space="preserve">Meanwhile, clause 17 of the agreement stipulates that if the </w:t>
      </w:r>
      <w:r w:rsidR="007409AD">
        <w:rPr>
          <w:rFonts w:ascii="Arial" w:hAnsi="Arial" w:cs="Arial"/>
          <w:bCs/>
          <w:sz w:val="24"/>
          <w:szCs w:val="24"/>
          <w:lang w:val="en"/>
        </w:rPr>
        <w:t>defendant</w:t>
      </w:r>
      <w:r w:rsidRPr="00126FC3">
        <w:rPr>
          <w:rFonts w:ascii="Arial" w:hAnsi="Arial" w:cs="Arial"/>
          <w:bCs/>
          <w:sz w:val="24"/>
          <w:szCs w:val="24"/>
          <w:lang w:val="en"/>
        </w:rPr>
        <w:t xml:space="preserve"> leaves the services of </w:t>
      </w:r>
      <w:r w:rsidR="007409AD">
        <w:rPr>
          <w:rFonts w:ascii="Arial" w:hAnsi="Arial" w:cs="Arial"/>
          <w:bCs/>
          <w:sz w:val="24"/>
          <w:szCs w:val="24"/>
          <w:lang w:val="en"/>
        </w:rPr>
        <w:t>the plaintiff</w:t>
      </w:r>
      <w:r w:rsidRPr="00126FC3">
        <w:rPr>
          <w:rFonts w:ascii="Arial" w:hAnsi="Arial" w:cs="Arial"/>
          <w:bCs/>
          <w:sz w:val="24"/>
          <w:szCs w:val="24"/>
          <w:lang w:val="en"/>
        </w:rPr>
        <w:t xml:space="preserve"> without giving th</w:t>
      </w:r>
      <w:r w:rsidR="007409AD">
        <w:rPr>
          <w:rFonts w:ascii="Arial" w:hAnsi="Arial" w:cs="Arial"/>
          <w:bCs/>
          <w:sz w:val="24"/>
          <w:szCs w:val="24"/>
          <w:lang w:val="en"/>
        </w:rPr>
        <w:t>e required period of notice, he</w:t>
      </w:r>
      <w:r w:rsidRPr="00126FC3">
        <w:rPr>
          <w:rFonts w:ascii="Arial" w:hAnsi="Arial" w:cs="Arial"/>
          <w:bCs/>
          <w:sz w:val="24"/>
          <w:szCs w:val="24"/>
          <w:lang w:val="en"/>
        </w:rPr>
        <w:t xml:space="preserve"> shall pay </w:t>
      </w:r>
      <w:r w:rsidR="007409AD">
        <w:rPr>
          <w:rFonts w:ascii="Arial" w:hAnsi="Arial" w:cs="Arial"/>
          <w:bCs/>
          <w:sz w:val="24"/>
          <w:szCs w:val="24"/>
          <w:lang w:val="en"/>
        </w:rPr>
        <w:t>the plaintiff</w:t>
      </w:r>
      <w:r w:rsidRPr="00126FC3">
        <w:rPr>
          <w:rFonts w:ascii="Arial" w:hAnsi="Arial" w:cs="Arial"/>
          <w:bCs/>
          <w:sz w:val="24"/>
          <w:szCs w:val="24"/>
          <w:lang w:val="en"/>
        </w:rPr>
        <w:t xml:space="preserve"> on demand an amount equal to the amount the </w:t>
      </w:r>
      <w:r w:rsidR="007409AD">
        <w:rPr>
          <w:rFonts w:ascii="Arial" w:hAnsi="Arial" w:cs="Arial"/>
          <w:bCs/>
          <w:sz w:val="24"/>
          <w:szCs w:val="24"/>
          <w:lang w:val="en"/>
        </w:rPr>
        <w:t>defendant</w:t>
      </w:r>
      <w:r w:rsidRPr="00126FC3">
        <w:rPr>
          <w:rFonts w:ascii="Arial" w:hAnsi="Arial" w:cs="Arial"/>
          <w:bCs/>
          <w:sz w:val="24"/>
          <w:szCs w:val="24"/>
          <w:lang w:val="en"/>
        </w:rPr>
        <w:t xml:space="preserve"> would have received as </w:t>
      </w:r>
      <w:proofErr w:type="gramStart"/>
      <w:r w:rsidRPr="00126FC3">
        <w:rPr>
          <w:rFonts w:ascii="Arial" w:hAnsi="Arial" w:cs="Arial"/>
          <w:bCs/>
          <w:sz w:val="24"/>
          <w:szCs w:val="24"/>
          <w:lang w:val="en"/>
        </w:rPr>
        <w:t>remuneration</w:t>
      </w:r>
      <w:proofErr w:type="gramEnd"/>
      <w:r w:rsidRPr="00126FC3">
        <w:rPr>
          <w:rFonts w:ascii="Arial" w:hAnsi="Arial" w:cs="Arial"/>
          <w:bCs/>
          <w:sz w:val="24"/>
          <w:szCs w:val="24"/>
          <w:lang w:val="en"/>
        </w:rPr>
        <w:t xml:space="preserve"> from Agra had he</w:t>
      </w:r>
      <w:r w:rsidR="007409AD">
        <w:rPr>
          <w:rFonts w:ascii="Arial" w:hAnsi="Arial" w:cs="Arial"/>
          <w:bCs/>
          <w:sz w:val="24"/>
          <w:szCs w:val="24"/>
          <w:lang w:val="en"/>
        </w:rPr>
        <w:t xml:space="preserve"> </w:t>
      </w:r>
      <w:r w:rsidRPr="00126FC3">
        <w:rPr>
          <w:rFonts w:ascii="Arial" w:hAnsi="Arial" w:cs="Arial"/>
          <w:bCs/>
          <w:sz w:val="24"/>
          <w:szCs w:val="24"/>
          <w:lang w:val="en"/>
        </w:rPr>
        <w:t>h</w:t>
      </w:r>
      <w:r w:rsidR="007409AD">
        <w:rPr>
          <w:rFonts w:ascii="Arial" w:hAnsi="Arial" w:cs="Arial"/>
          <w:bCs/>
          <w:sz w:val="24"/>
          <w:szCs w:val="24"/>
          <w:lang w:val="en"/>
        </w:rPr>
        <w:t>as</w:t>
      </w:r>
      <w:r w:rsidRPr="00126FC3">
        <w:rPr>
          <w:rFonts w:ascii="Arial" w:hAnsi="Arial" w:cs="Arial"/>
          <w:bCs/>
          <w:sz w:val="24"/>
          <w:szCs w:val="24"/>
          <w:lang w:val="en"/>
        </w:rPr>
        <w:t xml:space="preserve"> given the correct notice.</w:t>
      </w:r>
    </w:p>
    <w:p w14:paraId="74EC7F35" w14:textId="7D885E97"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[4]</w:t>
      </w:r>
      <w:r w:rsidRPr="00126FC3">
        <w:rPr>
          <w:rFonts w:ascii="Arial" w:hAnsi="Arial" w:cs="Arial"/>
          <w:bCs/>
          <w:sz w:val="24"/>
          <w:szCs w:val="24"/>
          <w:lang w:val="en"/>
        </w:rPr>
        <w:tab/>
        <w:t xml:space="preserve">It is clear from the </w:t>
      </w:r>
      <w:r w:rsidR="007409AD">
        <w:rPr>
          <w:rFonts w:ascii="Arial" w:hAnsi="Arial" w:cs="Arial"/>
          <w:bCs/>
          <w:sz w:val="24"/>
          <w:szCs w:val="24"/>
          <w:lang w:val="en"/>
        </w:rPr>
        <w:t xml:space="preserve">language used in </w:t>
      </w:r>
      <w:r w:rsidRPr="00126FC3">
        <w:rPr>
          <w:rFonts w:ascii="Arial" w:hAnsi="Arial" w:cs="Arial"/>
          <w:bCs/>
          <w:sz w:val="24"/>
          <w:szCs w:val="24"/>
          <w:lang w:val="en"/>
        </w:rPr>
        <w:t xml:space="preserve">the agreement that the terms of employment </w:t>
      </w:r>
      <w:r w:rsidR="00530325">
        <w:rPr>
          <w:rFonts w:ascii="Arial" w:hAnsi="Arial" w:cs="Arial"/>
          <w:bCs/>
          <w:sz w:val="24"/>
          <w:szCs w:val="24"/>
          <w:lang w:val="en"/>
        </w:rPr>
        <w:t xml:space="preserve">agreement </w:t>
      </w:r>
      <w:r w:rsidRPr="00126FC3">
        <w:rPr>
          <w:rFonts w:ascii="Arial" w:hAnsi="Arial" w:cs="Arial"/>
          <w:bCs/>
          <w:sz w:val="24"/>
          <w:szCs w:val="24"/>
          <w:lang w:val="en"/>
        </w:rPr>
        <w:t>are standard and applicable not only to the defendant</w:t>
      </w:r>
      <w:r w:rsidR="007409AD">
        <w:rPr>
          <w:rFonts w:ascii="Arial" w:hAnsi="Arial" w:cs="Arial"/>
          <w:bCs/>
          <w:sz w:val="24"/>
          <w:szCs w:val="24"/>
          <w:lang w:val="en"/>
        </w:rPr>
        <w:t xml:space="preserve"> alone</w:t>
      </w:r>
      <w:r w:rsidRPr="00126FC3">
        <w:rPr>
          <w:rFonts w:ascii="Arial" w:hAnsi="Arial" w:cs="Arial"/>
          <w:bCs/>
          <w:sz w:val="24"/>
          <w:szCs w:val="24"/>
          <w:lang w:val="en"/>
        </w:rPr>
        <w:t xml:space="preserve"> but to all employees of Agra who had signed an agreement of employment with it. In this matter though, the defendant gave one day written notice to end both the agreement and employment relationship with the plaintiff contrary to clause 16. By </w:t>
      </w:r>
      <w:r w:rsidR="00530325">
        <w:rPr>
          <w:rFonts w:ascii="Arial" w:hAnsi="Arial" w:cs="Arial"/>
          <w:bCs/>
          <w:sz w:val="24"/>
          <w:szCs w:val="24"/>
          <w:lang w:val="en"/>
        </w:rPr>
        <w:t>failing</w:t>
      </w:r>
      <w:r w:rsidR="007409AD">
        <w:rPr>
          <w:rFonts w:ascii="Arial" w:hAnsi="Arial" w:cs="Arial"/>
          <w:bCs/>
          <w:sz w:val="24"/>
          <w:szCs w:val="24"/>
          <w:lang w:val="en"/>
        </w:rPr>
        <w:t xml:space="preserve"> to comply</w:t>
      </w:r>
      <w:r w:rsidRPr="00126FC3">
        <w:rPr>
          <w:rFonts w:ascii="Arial" w:hAnsi="Arial" w:cs="Arial"/>
          <w:bCs/>
          <w:sz w:val="24"/>
          <w:szCs w:val="24"/>
          <w:lang w:val="en"/>
        </w:rPr>
        <w:t xml:space="preserve"> with t</w:t>
      </w:r>
      <w:r w:rsidR="007409AD">
        <w:rPr>
          <w:rFonts w:ascii="Arial" w:hAnsi="Arial" w:cs="Arial"/>
          <w:bCs/>
          <w:sz w:val="24"/>
          <w:szCs w:val="24"/>
          <w:lang w:val="en"/>
        </w:rPr>
        <w:t>he notice period provided in</w:t>
      </w:r>
      <w:r w:rsidRPr="00126FC3">
        <w:rPr>
          <w:rFonts w:ascii="Arial" w:hAnsi="Arial" w:cs="Arial"/>
          <w:bCs/>
          <w:sz w:val="24"/>
          <w:szCs w:val="24"/>
          <w:lang w:val="en"/>
        </w:rPr>
        <w:t xml:space="preserve"> clause</w:t>
      </w:r>
      <w:r w:rsidR="007409AD">
        <w:rPr>
          <w:rFonts w:ascii="Arial" w:hAnsi="Arial" w:cs="Arial"/>
          <w:bCs/>
          <w:sz w:val="24"/>
          <w:szCs w:val="24"/>
          <w:lang w:val="en"/>
        </w:rPr>
        <w:t xml:space="preserve"> 16</w:t>
      </w:r>
      <w:r w:rsidRPr="00126FC3">
        <w:rPr>
          <w:rFonts w:ascii="Arial" w:hAnsi="Arial" w:cs="Arial"/>
          <w:bCs/>
          <w:sz w:val="24"/>
          <w:szCs w:val="24"/>
          <w:lang w:val="en"/>
        </w:rPr>
        <w:t xml:space="preserve">, the defendant was obliged to comply with clause 17 by paying the plaintiff on demand the amount the plaintiff is now claiming from him. This is mandatory as the word ‘shall’ not </w:t>
      </w:r>
      <w:r w:rsidR="007409AD">
        <w:rPr>
          <w:rFonts w:ascii="Arial" w:hAnsi="Arial" w:cs="Arial"/>
          <w:bCs/>
          <w:sz w:val="24"/>
          <w:szCs w:val="24"/>
          <w:lang w:val="en"/>
        </w:rPr>
        <w:t>“</w:t>
      </w:r>
      <w:r w:rsidRPr="00126FC3">
        <w:rPr>
          <w:rFonts w:ascii="Arial" w:hAnsi="Arial" w:cs="Arial"/>
          <w:bCs/>
          <w:sz w:val="24"/>
          <w:szCs w:val="24"/>
          <w:lang w:val="en"/>
        </w:rPr>
        <w:t>may</w:t>
      </w:r>
      <w:r w:rsidR="007409AD">
        <w:rPr>
          <w:rFonts w:ascii="Arial" w:hAnsi="Arial" w:cs="Arial"/>
          <w:bCs/>
          <w:sz w:val="24"/>
          <w:szCs w:val="24"/>
          <w:lang w:val="en"/>
        </w:rPr>
        <w:t>”</w:t>
      </w:r>
      <w:r w:rsidRPr="00126FC3">
        <w:rPr>
          <w:rFonts w:ascii="Arial" w:hAnsi="Arial" w:cs="Arial"/>
          <w:bCs/>
          <w:sz w:val="24"/>
          <w:szCs w:val="24"/>
          <w:lang w:val="en"/>
        </w:rPr>
        <w:t xml:space="preserve"> was used in the clause.</w:t>
      </w:r>
    </w:p>
    <w:p w14:paraId="35182815" w14:textId="79E3BEDB"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[5]</w:t>
      </w:r>
      <w:r w:rsidRPr="00126FC3">
        <w:rPr>
          <w:rFonts w:ascii="Arial" w:hAnsi="Arial" w:cs="Arial"/>
          <w:bCs/>
          <w:sz w:val="24"/>
          <w:szCs w:val="24"/>
          <w:lang w:val="en"/>
        </w:rPr>
        <w:tab/>
        <w:t xml:space="preserve">In his plea to the particulars of claim, the defendant, amongst others, pleaded that this court does not have jurisdiction to adjudicate on the matter. In addition, the defendant filed a counterclaim for overtime payment against the plaintiff. The issue of lack of jurisdiction by this court was repeated on 27 October 2020 at the start of the trial by </w:t>
      </w:r>
      <w:proofErr w:type="spellStart"/>
      <w:r w:rsidRPr="00126FC3">
        <w:rPr>
          <w:rFonts w:ascii="Arial" w:hAnsi="Arial" w:cs="Arial"/>
          <w:bCs/>
          <w:sz w:val="24"/>
          <w:szCs w:val="24"/>
          <w:lang w:val="en"/>
        </w:rPr>
        <w:t>Ms</w:t>
      </w:r>
      <w:proofErr w:type="spellEnd"/>
      <w:r w:rsidRPr="00126FC3">
        <w:rPr>
          <w:rFonts w:ascii="Arial" w:hAnsi="Arial" w:cs="Arial"/>
          <w:bCs/>
          <w:sz w:val="24"/>
          <w:szCs w:val="24"/>
          <w:lang w:val="en"/>
        </w:rPr>
        <w:t xml:space="preserve"> </w:t>
      </w:r>
      <w:proofErr w:type="spellStart"/>
      <w:r w:rsidRPr="00126FC3">
        <w:rPr>
          <w:rFonts w:ascii="Arial" w:hAnsi="Arial" w:cs="Arial"/>
          <w:bCs/>
          <w:sz w:val="24"/>
          <w:szCs w:val="24"/>
          <w:lang w:val="en"/>
        </w:rPr>
        <w:t>C</w:t>
      </w:r>
      <w:r w:rsidR="007409AD">
        <w:rPr>
          <w:rFonts w:ascii="Arial" w:hAnsi="Arial" w:cs="Arial"/>
          <w:bCs/>
          <w:sz w:val="24"/>
          <w:szCs w:val="24"/>
          <w:lang w:val="en"/>
        </w:rPr>
        <w:t>e</w:t>
      </w:r>
      <w:r w:rsidRPr="00126FC3">
        <w:rPr>
          <w:rFonts w:ascii="Arial" w:hAnsi="Arial" w:cs="Arial"/>
          <w:bCs/>
          <w:sz w:val="24"/>
          <w:szCs w:val="24"/>
          <w:lang w:val="en"/>
        </w:rPr>
        <w:t>lli</w:t>
      </w:r>
      <w:r w:rsidR="007409AD">
        <w:rPr>
          <w:rFonts w:ascii="Arial" w:hAnsi="Arial" w:cs="Arial"/>
          <w:bCs/>
          <w:sz w:val="24"/>
          <w:szCs w:val="24"/>
          <w:lang w:val="en"/>
        </w:rPr>
        <w:t>ers</w:t>
      </w:r>
      <w:proofErr w:type="spellEnd"/>
      <w:r w:rsidR="007409AD">
        <w:rPr>
          <w:rFonts w:ascii="Arial" w:hAnsi="Arial" w:cs="Arial"/>
          <w:bCs/>
          <w:sz w:val="24"/>
          <w:szCs w:val="24"/>
          <w:lang w:val="en"/>
        </w:rPr>
        <w:t xml:space="preserve"> counsel for the defendant. </w:t>
      </w:r>
      <w:r w:rsidRPr="00126FC3">
        <w:rPr>
          <w:rFonts w:ascii="Arial" w:hAnsi="Arial" w:cs="Arial"/>
          <w:bCs/>
          <w:sz w:val="24"/>
          <w:szCs w:val="24"/>
          <w:lang w:val="en"/>
        </w:rPr>
        <w:t>Counsel raised lack of jurisdiction by the court in the form of a special plea whi</w:t>
      </w:r>
      <w:r w:rsidR="007409AD">
        <w:rPr>
          <w:rFonts w:ascii="Arial" w:hAnsi="Arial" w:cs="Arial"/>
          <w:bCs/>
          <w:sz w:val="24"/>
          <w:szCs w:val="24"/>
          <w:lang w:val="en"/>
        </w:rPr>
        <w:t xml:space="preserve">ch was opposed by </w:t>
      </w:r>
      <w:proofErr w:type="spellStart"/>
      <w:r w:rsidR="007409AD">
        <w:rPr>
          <w:rFonts w:ascii="Arial" w:hAnsi="Arial" w:cs="Arial"/>
          <w:bCs/>
          <w:sz w:val="24"/>
          <w:szCs w:val="24"/>
          <w:lang w:val="en"/>
        </w:rPr>
        <w:t>Mr</w:t>
      </w:r>
      <w:proofErr w:type="spellEnd"/>
      <w:r w:rsidR="007409AD">
        <w:rPr>
          <w:rFonts w:ascii="Arial" w:hAnsi="Arial" w:cs="Arial"/>
          <w:bCs/>
          <w:sz w:val="24"/>
          <w:szCs w:val="24"/>
          <w:lang w:val="en"/>
        </w:rPr>
        <w:t xml:space="preserve"> Kennedy </w:t>
      </w:r>
      <w:proofErr w:type="spellStart"/>
      <w:r w:rsidR="007409AD">
        <w:rPr>
          <w:rFonts w:ascii="Arial" w:hAnsi="Arial" w:cs="Arial"/>
          <w:bCs/>
          <w:sz w:val="24"/>
          <w:szCs w:val="24"/>
          <w:lang w:val="en"/>
        </w:rPr>
        <w:t>Ha</w:t>
      </w:r>
      <w:r w:rsidRPr="00126FC3">
        <w:rPr>
          <w:rFonts w:ascii="Arial" w:hAnsi="Arial" w:cs="Arial"/>
          <w:bCs/>
          <w:sz w:val="24"/>
          <w:szCs w:val="24"/>
          <w:lang w:val="en"/>
        </w:rPr>
        <w:t>raseb</w:t>
      </w:r>
      <w:proofErr w:type="spellEnd"/>
      <w:r w:rsidRPr="00126FC3">
        <w:rPr>
          <w:rFonts w:ascii="Arial" w:hAnsi="Arial" w:cs="Arial"/>
          <w:bCs/>
          <w:sz w:val="24"/>
          <w:szCs w:val="24"/>
          <w:lang w:val="en"/>
        </w:rPr>
        <w:t xml:space="preserve">, counsel for the plaintiff. The defendant having raised jurisdiction as a special plea, I ordered counsel to address the court on the point first. It is only after the court has </w:t>
      </w:r>
      <w:r w:rsidR="007409AD">
        <w:rPr>
          <w:rFonts w:ascii="Arial" w:hAnsi="Arial" w:cs="Arial"/>
          <w:bCs/>
          <w:sz w:val="24"/>
          <w:szCs w:val="24"/>
          <w:lang w:val="en"/>
        </w:rPr>
        <w:t>resolved the issue</w:t>
      </w:r>
      <w:r w:rsidRPr="00126FC3">
        <w:rPr>
          <w:rFonts w:ascii="Arial" w:hAnsi="Arial" w:cs="Arial"/>
          <w:bCs/>
          <w:sz w:val="24"/>
          <w:szCs w:val="24"/>
          <w:lang w:val="en"/>
        </w:rPr>
        <w:t xml:space="preserve"> with regard to jurisdiction that the court would either proceed or not proceed with the trial of the case.</w:t>
      </w:r>
    </w:p>
    <w:p w14:paraId="2973A45E" w14:textId="73A1C69B"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[6]</w:t>
      </w:r>
      <w:r w:rsidRPr="00126FC3">
        <w:rPr>
          <w:rFonts w:ascii="Arial" w:hAnsi="Arial" w:cs="Arial"/>
          <w:bCs/>
          <w:sz w:val="24"/>
          <w:szCs w:val="24"/>
          <w:lang w:val="en"/>
        </w:rPr>
        <w:tab/>
        <w:t xml:space="preserve">As stated earlier, the defendant pleaded that the court does not have jurisdiction to adjudicate on the matter. By so pleading, the defendant challenged the competence of the court to entertain the matter. It is trite law that for the court to make a binding order, as is the position in </w:t>
      </w:r>
      <w:proofErr w:type="spellStart"/>
      <w:r w:rsidRPr="00126FC3">
        <w:rPr>
          <w:rFonts w:ascii="Arial" w:hAnsi="Arial" w:cs="Arial"/>
          <w:bCs/>
          <w:i/>
          <w:sz w:val="24"/>
          <w:szCs w:val="24"/>
          <w:lang w:val="en"/>
        </w:rPr>
        <w:t>casu</w:t>
      </w:r>
      <w:proofErr w:type="spellEnd"/>
      <w:r w:rsidRPr="00126FC3">
        <w:rPr>
          <w:rFonts w:ascii="Arial" w:hAnsi="Arial" w:cs="Arial"/>
          <w:bCs/>
          <w:sz w:val="24"/>
          <w:szCs w:val="24"/>
          <w:lang w:val="en"/>
        </w:rPr>
        <w:t>, the court must have jurisdiction. A court cannot entertain a case and make orders when jurisdiction is put in issue by one of the litigants. If the court does, such orders</w:t>
      </w:r>
      <w:r w:rsidR="007409AD">
        <w:rPr>
          <w:rFonts w:ascii="Arial" w:hAnsi="Arial" w:cs="Arial"/>
          <w:bCs/>
          <w:sz w:val="24"/>
          <w:szCs w:val="24"/>
          <w:lang w:val="en"/>
        </w:rPr>
        <w:t xml:space="preserve"> would</w:t>
      </w:r>
      <w:r w:rsidRPr="00126FC3">
        <w:rPr>
          <w:rFonts w:ascii="Arial" w:hAnsi="Arial" w:cs="Arial"/>
          <w:bCs/>
          <w:sz w:val="24"/>
          <w:szCs w:val="24"/>
          <w:lang w:val="en"/>
        </w:rPr>
        <w:t xml:space="preserve"> be null and void. It follows therefore, that the managing judge in this matter was required to first have resolved the issue of jurisdiction before conducting judicial case management proceedings in the case which was not done. In that regard, </w:t>
      </w:r>
      <w:r w:rsidRPr="00126FC3">
        <w:rPr>
          <w:rFonts w:ascii="Arial" w:hAnsi="Arial" w:cs="Arial"/>
          <w:bCs/>
          <w:sz w:val="24"/>
          <w:szCs w:val="24"/>
          <w:lang w:val="en"/>
        </w:rPr>
        <w:lastRenderedPageBreak/>
        <w:t>the cart was put before the horse</w:t>
      </w:r>
      <w:r w:rsidR="007409AD">
        <w:rPr>
          <w:rFonts w:ascii="Arial" w:hAnsi="Arial" w:cs="Arial"/>
          <w:bCs/>
          <w:sz w:val="24"/>
          <w:szCs w:val="24"/>
          <w:lang w:val="en"/>
        </w:rPr>
        <w:t xml:space="preserve">, the position which does </w:t>
      </w:r>
      <w:proofErr w:type="spellStart"/>
      <w:proofErr w:type="gramStart"/>
      <w:r w:rsidR="007409AD">
        <w:rPr>
          <w:rFonts w:ascii="Arial" w:hAnsi="Arial" w:cs="Arial"/>
          <w:bCs/>
          <w:sz w:val="24"/>
          <w:szCs w:val="24"/>
          <w:lang w:val="en"/>
        </w:rPr>
        <w:t>ot</w:t>
      </w:r>
      <w:proofErr w:type="spellEnd"/>
      <w:proofErr w:type="gramEnd"/>
      <w:r w:rsidR="007409AD">
        <w:rPr>
          <w:rFonts w:ascii="Arial" w:hAnsi="Arial" w:cs="Arial"/>
          <w:bCs/>
          <w:sz w:val="24"/>
          <w:szCs w:val="24"/>
          <w:lang w:val="en"/>
        </w:rPr>
        <w:t xml:space="preserve"> make sense because a cart cannot pull the horse</w:t>
      </w:r>
      <w:r w:rsidRPr="00126FC3">
        <w:rPr>
          <w:rFonts w:ascii="Arial" w:hAnsi="Arial" w:cs="Arial"/>
          <w:bCs/>
          <w:sz w:val="24"/>
          <w:szCs w:val="24"/>
          <w:lang w:val="en"/>
        </w:rPr>
        <w:t>.</w:t>
      </w:r>
    </w:p>
    <w:p w14:paraId="3927ABAC" w14:textId="1448CBBF"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[7]</w:t>
      </w:r>
      <w:r w:rsidRPr="00126FC3">
        <w:rPr>
          <w:rFonts w:ascii="Arial" w:hAnsi="Arial" w:cs="Arial"/>
          <w:bCs/>
          <w:sz w:val="24"/>
          <w:szCs w:val="24"/>
          <w:lang w:val="en"/>
        </w:rPr>
        <w:tab/>
        <w:t xml:space="preserve">In the matter of </w:t>
      </w:r>
      <w:proofErr w:type="spellStart"/>
      <w:r w:rsidRPr="00126FC3">
        <w:rPr>
          <w:rFonts w:ascii="Arial" w:hAnsi="Arial" w:cs="Arial"/>
          <w:bCs/>
          <w:i/>
          <w:sz w:val="24"/>
          <w:szCs w:val="24"/>
          <w:lang w:val="en"/>
        </w:rPr>
        <w:t>Haindongo</w:t>
      </w:r>
      <w:proofErr w:type="spellEnd"/>
      <w:r w:rsidRPr="00126FC3">
        <w:rPr>
          <w:rFonts w:ascii="Arial" w:hAnsi="Arial" w:cs="Arial"/>
          <w:bCs/>
          <w:i/>
          <w:sz w:val="24"/>
          <w:szCs w:val="24"/>
          <w:lang w:val="en"/>
        </w:rPr>
        <w:t xml:space="preserve"> v </w:t>
      </w:r>
      <w:proofErr w:type="spellStart"/>
      <w:r w:rsidRPr="00126FC3">
        <w:rPr>
          <w:rFonts w:ascii="Arial" w:hAnsi="Arial" w:cs="Arial"/>
          <w:bCs/>
          <w:i/>
          <w:sz w:val="24"/>
          <w:szCs w:val="24"/>
          <w:lang w:val="en"/>
        </w:rPr>
        <w:t>Khomas</w:t>
      </w:r>
      <w:proofErr w:type="spellEnd"/>
      <w:r w:rsidRPr="00126FC3">
        <w:rPr>
          <w:rFonts w:ascii="Arial" w:hAnsi="Arial" w:cs="Arial"/>
          <w:bCs/>
          <w:i/>
          <w:sz w:val="24"/>
          <w:szCs w:val="24"/>
          <w:lang w:val="en"/>
        </w:rPr>
        <w:t xml:space="preserve"> Regional Council and others</w:t>
      </w:r>
      <w:r w:rsidRPr="00126FC3">
        <w:rPr>
          <w:rFonts w:ascii="Arial" w:hAnsi="Arial" w:cs="Arial"/>
          <w:bCs/>
          <w:i/>
          <w:sz w:val="24"/>
          <w:szCs w:val="24"/>
          <w:vertAlign w:val="superscript"/>
          <w:lang w:val="en"/>
        </w:rPr>
        <w:footnoteReference w:id="1"/>
      </w:r>
      <w:r w:rsidRPr="00126FC3">
        <w:rPr>
          <w:rFonts w:ascii="Arial" w:hAnsi="Arial" w:cs="Arial"/>
          <w:bCs/>
          <w:sz w:val="24"/>
          <w:szCs w:val="24"/>
          <w:lang w:val="en"/>
        </w:rPr>
        <w:t xml:space="preserve">, referred to by </w:t>
      </w:r>
      <w:proofErr w:type="spellStart"/>
      <w:r w:rsidRPr="00126FC3">
        <w:rPr>
          <w:rFonts w:ascii="Arial" w:hAnsi="Arial" w:cs="Arial"/>
          <w:bCs/>
          <w:sz w:val="24"/>
          <w:szCs w:val="24"/>
          <w:lang w:val="en"/>
        </w:rPr>
        <w:t>Ms</w:t>
      </w:r>
      <w:proofErr w:type="spellEnd"/>
      <w:r w:rsidRPr="00126FC3">
        <w:rPr>
          <w:rFonts w:ascii="Arial" w:hAnsi="Arial" w:cs="Arial"/>
          <w:bCs/>
          <w:sz w:val="24"/>
          <w:szCs w:val="24"/>
          <w:lang w:val="en"/>
        </w:rPr>
        <w:t xml:space="preserve"> </w:t>
      </w:r>
      <w:proofErr w:type="spellStart"/>
      <w:r w:rsidRPr="00126FC3">
        <w:rPr>
          <w:rFonts w:ascii="Arial" w:hAnsi="Arial" w:cs="Arial"/>
          <w:bCs/>
          <w:sz w:val="24"/>
          <w:szCs w:val="24"/>
          <w:lang w:val="en"/>
        </w:rPr>
        <w:t>Celliers</w:t>
      </w:r>
      <w:proofErr w:type="spellEnd"/>
      <w:r w:rsidRPr="00126FC3">
        <w:rPr>
          <w:rFonts w:ascii="Arial" w:hAnsi="Arial" w:cs="Arial"/>
          <w:bCs/>
          <w:sz w:val="24"/>
          <w:szCs w:val="24"/>
          <w:lang w:val="en"/>
        </w:rPr>
        <w:t xml:space="preserve">, it was stated that if the jurisdiction of this court, sitting as the High Court, was being challenged at the threshold, it would not be competent for this court to determine anything else without first deciding </w:t>
      </w:r>
      <w:r w:rsidR="007409AD">
        <w:rPr>
          <w:rFonts w:ascii="Arial" w:hAnsi="Arial" w:cs="Arial"/>
          <w:bCs/>
          <w:sz w:val="24"/>
          <w:szCs w:val="24"/>
          <w:lang w:val="en"/>
        </w:rPr>
        <w:t>the issue of jurisdiction. A</w:t>
      </w:r>
      <w:r w:rsidRPr="00126FC3">
        <w:rPr>
          <w:rFonts w:ascii="Arial" w:hAnsi="Arial" w:cs="Arial"/>
          <w:bCs/>
          <w:sz w:val="24"/>
          <w:szCs w:val="24"/>
          <w:lang w:val="en"/>
        </w:rPr>
        <w:t>lso</w:t>
      </w:r>
      <w:r w:rsidR="008D6BBE">
        <w:rPr>
          <w:rFonts w:ascii="Arial" w:hAnsi="Arial" w:cs="Arial"/>
          <w:bCs/>
          <w:sz w:val="24"/>
          <w:szCs w:val="24"/>
          <w:lang w:val="en"/>
        </w:rPr>
        <w:t xml:space="preserve"> in</w:t>
      </w:r>
      <w:r w:rsidRPr="00126FC3">
        <w:rPr>
          <w:rFonts w:ascii="Arial" w:hAnsi="Arial" w:cs="Arial"/>
          <w:bCs/>
          <w:sz w:val="24"/>
          <w:szCs w:val="24"/>
          <w:lang w:val="en"/>
        </w:rPr>
        <w:t xml:space="preserve"> the matter of </w:t>
      </w:r>
      <w:proofErr w:type="spellStart"/>
      <w:r w:rsidRPr="00126FC3">
        <w:rPr>
          <w:rFonts w:ascii="Arial" w:hAnsi="Arial" w:cs="Arial"/>
          <w:bCs/>
          <w:i/>
          <w:sz w:val="24"/>
          <w:szCs w:val="24"/>
          <w:lang w:val="en"/>
        </w:rPr>
        <w:t>Usakos</w:t>
      </w:r>
      <w:proofErr w:type="spellEnd"/>
      <w:r w:rsidRPr="00126FC3">
        <w:rPr>
          <w:rFonts w:ascii="Arial" w:hAnsi="Arial" w:cs="Arial"/>
          <w:bCs/>
          <w:i/>
          <w:sz w:val="24"/>
          <w:szCs w:val="24"/>
          <w:lang w:val="en"/>
        </w:rPr>
        <w:t xml:space="preserve"> Town Council v </w:t>
      </w:r>
      <w:proofErr w:type="spellStart"/>
      <w:r w:rsidRPr="00126FC3">
        <w:rPr>
          <w:rFonts w:ascii="Arial" w:hAnsi="Arial" w:cs="Arial"/>
          <w:bCs/>
          <w:i/>
          <w:sz w:val="24"/>
          <w:szCs w:val="24"/>
          <w:lang w:val="en"/>
        </w:rPr>
        <w:t>Jantjies</w:t>
      </w:r>
      <w:proofErr w:type="spellEnd"/>
      <w:r w:rsidRPr="00126FC3">
        <w:rPr>
          <w:rFonts w:ascii="Arial" w:hAnsi="Arial" w:cs="Arial"/>
          <w:bCs/>
          <w:i/>
          <w:sz w:val="24"/>
          <w:szCs w:val="24"/>
          <w:lang w:val="en"/>
        </w:rPr>
        <w:t xml:space="preserve"> &amp; Others</w:t>
      </w:r>
      <w:r w:rsidRPr="00126FC3">
        <w:rPr>
          <w:rFonts w:ascii="Arial" w:hAnsi="Arial" w:cs="Arial"/>
          <w:bCs/>
          <w:i/>
          <w:sz w:val="24"/>
          <w:szCs w:val="24"/>
          <w:vertAlign w:val="superscript"/>
          <w:lang w:val="en"/>
        </w:rPr>
        <w:footnoteReference w:id="2"/>
      </w:r>
      <w:r w:rsidRPr="00126FC3">
        <w:rPr>
          <w:rFonts w:ascii="Arial" w:hAnsi="Arial" w:cs="Arial"/>
          <w:bCs/>
          <w:sz w:val="24"/>
          <w:szCs w:val="24"/>
          <w:lang w:val="en"/>
        </w:rPr>
        <w:t xml:space="preserve"> the court said the following:</w:t>
      </w:r>
    </w:p>
    <w:p w14:paraId="7148B034" w14:textId="0CC915F0" w:rsidR="00126FC3" w:rsidRPr="006117DA" w:rsidRDefault="00126FC3" w:rsidP="006117DA">
      <w:pPr>
        <w:spacing w:line="360" w:lineRule="auto"/>
        <w:ind w:firstLine="720"/>
        <w:jc w:val="both"/>
        <w:rPr>
          <w:rFonts w:ascii="Arial" w:hAnsi="Arial" w:cs="Arial"/>
          <w:bCs/>
          <w:lang w:val="en"/>
        </w:rPr>
      </w:pPr>
      <w:r w:rsidRPr="006117DA">
        <w:rPr>
          <w:rFonts w:ascii="Arial" w:hAnsi="Arial" w:cs="Arial"/>
          <w:bCs/>
          <w:lang w:val="en"/>
        </w:rPr>
        <w:t>‘For the High Court not to entertain a matter it must be clear that the original and unlimited jurisdiction it enjoys under Article 80 of the constitution (sic) and Section 16 of the High Court Act has been excluded by legis</w:t>
      </w:r>
      <w:r w:rsidR="00B96FA1">
        <w:rPr>
          <w:rFonts w:ascii="Arial" w:hAnsi="Arial" w:cs="Arial"/>
          <w:bCs/>
          <w:lang w:val="en"/>
        </w:rPr>
        <w:t>lature in the clearest terms …</w:t>
      </w:r>
    </w:p>
    <w:p w14:paraId="0C9CA5AB" w14:textId="77777777" w:rsidR="00126FC3" w:rsidRPr="006117DA" w:rsidRDefault="00126FC3" w:rsidP="00126FC3">
      <w:pPr>
        <w:spacing w:line="360" w:lineRule="auto"/>
        <w:jc w:val="both"/>
        <w:rPr>
          <w:rFonts w:ascii="Arial" w:hAnsi="Arial" w:cs="Arial"/>
          <w:bCs/>
          <w:lang w:val="en"/>
        </w:rPr>
      </w:pPr>
      <w:r w:rsidRPr="006117DA">
        <w:rPr>
          <w:rFonts w:ascii="Arial" w:hAnsi="Arial" w:cs="Arial"/>
          <w:bCs/>
          <w:lang w:val="en"/>
        </w:rPr>
        <w:t xml:space="preserve">The issue in my view is not so much whether the </w:t>
      </w:r>
      <w:proofErr w:type="spellStart"/>
      <w:r w:rsidRPr="006117DA">
        <w:rPr>
          <w:rFonts w:ascii="Arial" w:hAnsi="Arial" w:cs="Arial"/>
          <w:bCs/>
          <w:lang w:val="en"/>
        </w:rPr>
        <w:t>Labour</w:t>
      </w:r>
      <w:proofErr w:type="spellEnd"/>
      <w:r w:rsidRPr="006117DA">
        <w:rPr>
          <w:rFonts w:ascii="Arial" w:hAnsi="Arial" w:cs="Arial"/>
          <w:bCs/>
          <w:lang w:val="en"/>
        </w:rPr>
        <w:t xml:space="preserve"> Court does have jurisdiction, but whether the legislature intended to exclude the High Court‘s jurisdiction in the kind of dispute before court.’</w:t>
      </w:r>
    </w:p>
    <w:p w14:paraId="4F44BDDC" w14:textId="0C10E7AC" w:rsidR="00126FC3" w:rsidRPr="00126FC3" w:rsidRDefault="007409AD" w:rsidP="00126FC3">
      <w:pPr>
        <w:spacing w:line="360" w:lineRule="auto"/>
        <w:jc w:val="both"/>
        <w:rPr>
          <w:rFonts w:ascii="Arial" w:hAnsi="Arial" w:cs="Arial"/>
          <w:bCs/>
          <w:sz w:val="24"/>
          <w:szCs w:val="24"/>
          <w:lang w:val="en"/>
        </w:rPr>
      </w:pPr>
      <w:r>
        <w:rPr>
          <w:rFonts w:ascii="Arial" w:hAnsi="Arial" w:cs="Arial"/>
          <w:bCs/>
          <w:sz w:val="24"/>
          <w:szCs w:val="24"/>
          <w:lang w:val="en"/>
        </w:rPr>
        <w:t>[8]</w:t>
      </w:r>
      <w:r>
        <w:rPr>
          <w:rFonts w:ascii="Arial" w:hAnsi="Arial" w:cs="Arial"/>
          <w:bCs/>
          <w:sz w:val="24"/>
          <w:szCs w:val="24"/>
          <w:lang w:val="en"/>
        </w:rPr>
        <w:tab/>
      </w:r>
      <w:r w:rsidR="00C768E5">
        <w:rPr>
          <w:rFonts w:ascii="Arial" w:hAnsi="Arial" w:cs="Arial"/>
          <w:bCs/>
          <w:sz w:val="24"/>
          <w:szCs w:val="24"/>
          <w:lang w:val="en"/>
        </w:rPr>
        <w:t>It is</w:t>
      </w:r>
      <w:r w:rsidR="00126FC3" w:rsidRPr="00126FC3">
        <w:rPr>
          <w:rFonts w:ascii="Arial" w:hAnsi="Arial" w:cs="Arial"/>
          <w:bCs/>
          <w:sz w:val="24"/>
          <w:szCs w:val="24"/>
          <w:lang w:val="en"/>
        </w:rPr>
        <w:t xml:space="preserve"> clear from the above authorities relied upon by the defendant</w:t>
      </w:r>
      <w:r w:rsidR="003001AF">
        <w:rPr>
          <w:rFonts w:ascii="Arial" w:hAnsi="Arial" w:cs="Arial"/>
          <w:bCs/>
          <w:sz w:val="24"/>
          <w:szCs w:val="24"/>
          <w:lang w:val="en"/>
        </w:rPr>
        <w:t xml:space="preserve"> that </w:t>
      </w:r>
      <w:r w:rsidR="00126FC3" w:rsidRPr="00126FC3">
        <w:rPr>
          <w:rFonts w:ascii="Arial" w:hAnsi="Arial" w:cs="Arial"/>
          <w:bCs/>
          <w:sz w:val="24"/>
          <w:szCs w:val="24"/>
          <w:lang w:val="en"/>
        </w:rPr>
        <w:t xml:space="preserve">the authorities </w:t>
      </w:r>
      <w:r>
        <w:rPr>
          <w:rFonts w:ascii="Arial" w:hAnsi="Arial" w:cs="Arial"/>
          <w:bCs/>
          <w:sz w:val="24"/>
          <w:szCs w:val="24"/>
          <w:lang w:val="en"/>
        </w:rPr>
        <w:t>do</w:t>
      </w:r>
      <w:r w:rsidR="00126FC3" w:rsidRPr="00126FC3">
        <w:rPr>
          <w:rFonts w:ascii="Arial" w:hAnsi="Arial" w:cs="Arial"/>
          <w:bCs/>
          <w:sz w:val="24"/>
          <w:szCs w:val="24"/>
          <w:lang w:val="en"/>
        </w:rPr>
        <w:t xml:space="preserve"> not support the defendant’s contention that the High Court does not have competence to entertain</w:t>
      </w:r>
      <w:r w:rsidR="00126FC3">
        <w:rPr>
          <w:rFonts w:ascii="Arial" w:hAnsi="Arial" w:cs="Arial"/>
          <w:bCs/>
          <w:sz w:val="24"/>
          <w:szCs w:val="24"/>
          <w:lang w:val="en"/>
        </w:rPr>
        <w:t xml:space="preserve"> and adjudicate on the matter. </w:t>
      </w:r>
      <w:r w:rsidR="00126FC3" w:rsidRPr="00126FC3">
        <w:rPr>
          <w:rFonts w:ascii="Arial" w:hAnsi="Arial" w:cs="Arial"/>
          <w:bCs/>
          <w:sz w:val="24"/>
          <w:szCs w:val="24"/>
          <w:lang w:val="en"/>
        </w:rPr>
        <w:t xml:space="preserve">The defendant is alleging that the plaintiff sued him in </w:t>
      </w:r>
      <w:r w:rsidR="003001AF">
        <w:rPr>
          <w:rFonts w:ascii="Arial" w:hAnsi="Arial" w:cs="Arial"/>
          <w:bCs/>
          <w:sz w:val="24"/>
          <w:szCs w:val="24"/>
          <w:lang w:val="en"/>
        </w:rPr>
        <w:t xml:space="preserve">a </w:t>
      </w:r>
      <w:r w:rsidR="00126FC3" w:rsidRPr="00126FC3">
        <w:rPr>
          <w:rFonts w:ascii="Arial" w:hAnsi="Arial" w:cs="Arial"/>
          <w:bCs/>
          <w:sz w:val="24"/>
          <w:szCs w:val="24"/>
          <w:lang w:val="en"/>
        </w:rPr>
        <w:t xml:space="preserve">wrong court, the High Court, instead of the </w:t>
      </w:r>
      <w:proofErr w:type="spellStart"/>
      <w:r w:rsidR="00126FC3" w:rsidRPr="00126FC3">
        <w:rPr>
          <w:rFonts w:ascii="Arial" w:hAnsi="Arial" w:cs="Arial"/>
          <w:bCs/>
          <w:sz w:val="24"/>
          <w:szCs w:val="24"/>
          <w:lang w:val="en"/>
        </w:rPr>
        <w:t>Labour</w:t>
      </w:r>
      <w:proofErr w:type="spellEnd"/>
      <w:r w:rsidR="00126FC3" w:rsidRPr="00126FC3">
        <w:rPr>
          <w:rFonts w:ascii="Arial" w:hAnsi="Arial" w:cs="Arial"/>
          <w:bCs/>
          <w:sz w:val="24"/>
          <w:szCs w:val="24"/>
          <w:lang w:val="en"/>
        </w:rPr>
        <w:t xml:space="preserve"> Court.  According to counsel, the </w:t>
      </w:r>
      <w:proofErr w:type="spellStart"/>
      <w:r w:rsidR="00126FC3" w:rsidRPr="00126FC3">
        <w:rPr>
          <w:rFonts w:ascii="Arial" w:hAnsi="Arial" w:cs="Arial"/>
          <w:bCs/>
          <w:sz w:val="24"/>
          <w:szCs w:val="24"/>
          <w:lang w:val="en"/>
        </w:rPr>
        <w:t>Labour</w:t>
      </w:r>
      <w:proofErr w:type="spellEnd"/>
      <w:r w:rsidR="00126FC3" w:rsidRPr="00126FC3">
        <w:rPr>
          <w:rFonts w:ascii="Arial" w:hAnsi="Arial" w:cs="Arial"/>
          <w:bCs/>
          <w:sz w:val="24"/>
          <w:szCs w:val="24"/>
          <w:lang w:val="en"/>
        </w:rPr>
        <w:t xml:space="preserve"> Act</w:t>
      </w:r>
      <w:r>
        <w:rPr>
          <w:rStyle w:val="FootnoteReference"/>
          <w:rFonts w:ascii="Arial" w:hAnsi="Arial" w:cs="Arial"/>
          <w:bCs/>
          <w:sz w:val="24"/>
          <w:szCs w:val="24"/>
          <w:lang w:val="en"/>
        </w:rPr>
        <w:footnoteReference w:id="3"/>
      </w:r>
      <w:r w:rsidR="00126FC3" w:rsidRPr="00126FC3">
        <w:rPr>
          <w:rFonts w:ascii="Arial" w:hAnsi="Arial" w:cs="Arial"/>
          <w:bCs/>
          <w:sz w:val="24"/>
          <w:szCs w:val="24"/>
          <w:lang w:val="en"/>
        </w:rPr>
        <w:t xml:space="preserve"> gives the </w:t>
      </w:r>
      <w:proofErr w:type="spellStart"/>
      <w:r w:rsidR="00126FC3" w:rsidRPr="00126FC3">
        <w:rPr>
          <w:rFonts w:ascii="Arial" w:hAnsi="Arial" w:cs="Arial"/>
          <w:bCs/>
          <w:sz w:val="24"/>
          <w:szCs w:val="24"/>
          <w:lang w:val="en"/>
        </w:rPr>
        <w:t>Labour</w:t>
      </w:r>
      <w:proofErr w:type="spellEnd"/>
      <w:r w:rsidR="00126FC3" w:rsidRPr="00126FC3">
        <w:rPr>
          <w:rFonts w:ascii="Arial" w:hAnsi="Arial" w:cs="Arial"/>
          <w:bCs/>
          <w:sz w:val="24"/>
          <w:szCs w:val="24"/>
          <w:lang w:val="en"/>
        </w:rPr>
        <w:t xml:space="preserve"> Court exclusive jurisdiction to hear disputes provided for in s 84 of the Act. However, s 117 does not state that the High Court has been precluded from hearing and making any determination on disputes mentioned in s 84.</w:t>
      </w:r>
    </w:p>
    <w:p w14:paraId="462B69F6" w14:textId="77777777"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[9]</w:t>
      </w:r>
      <w:r w:rsidRPr="00126FC3">
        <w:rPr>
          <w:rFonts w:ascii="Arial" w:hAnsi="Arial" w:cs="Arial"/>
          <w:bCs/>
          <w:sz w:val="24"/>
          <w:szCs w:val="24"/>
          <w:lang w:val="en"/>
        </w:rPr>
        <w:tab/>
        <w:t xml:space="preserve">The claim of the plaintiff is in respect of damages in lieu of a required notice of resignation the defendant was supposed to give. Put differently, it is a claim of damages arising from a breach of an employment agreement by failure on the part of the defendant to comply with clause 16 of the agreement. In any event, s 84 of the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Act does not include damages as one of the issues to be resolved solely by the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Court.</w:t>
      </w:r>
    </w:p>
    <w:p w14:paraId="59D46452" w14:textId="0E6333BF"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[10]</w:t>
      </w:r>
      <w:r w:rsidRPr="00126FC3">
        <w:rPr>
          <w:rFonts w:ascii="Arial" w:hAnsi="Arial" w:cs="Arial"/>
          <w:bCs/>
          <w:sz w:val="24"/>
          <w:szCs w:val="24"/>
          <w:lang w:val="en"/>
        </w:rPr>
        <w:tab/>
        <w:t xml:space="preserve">Section 84 (a) of the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Act, defines a dispute as a complaint relating to </w:t>
      </w:r>
      <w:r w:rsidR="006A23F8">
        <w:rPr>
          <w:rFonts w:ascii="Arial" w:hAnsi="Arial" w:cs="Arial"/>
          <w:bCs/>
          <w:sz w:val="24"/>
          <w:szCs w:val="24"/>
          <w:lang w:val="en"/>
        </w:rPr>
        <w:t>a</w:t>
      </w:r>
      <w:r w:rsidRPr="00126FC3">
        <w:rPr>
          <w:rFonts w:ascii="Arial" w:hAnsi="Arial" w:cs="Arial"/>
          <w:bCs/>
          <w:sz w:val="24"/>
          <w:szCs w:val="24"/>
          <w:lang w:val="en"/>
        </w:rPr>
        <w:t xml:space="preserve"> breach of a contract of employment or a collective agreement. But there is nothing in the </w:t>
      </w:r>
      <w:r w:rsidR="006A23F8">
        <w:rPr>
          <w:rFonts w:ascii="Arial" w:hAnsi="Arial" w:cs="Arial"/>
          <w:bCs/>
          <w:sz w:val="24"/>
          <w:szCs w:val="24"/>
          <w:lang w:val="en"/>
        </w:rPr>
        <w:lastRenderedPageBreak/>
        <w:t>section stating</w:t>
      </w:r>
      <w:r w:rsidRPr="00126FC3">
        <w:rPr>
          <w:rFonts w:ascii="Arial" w:hAnsi="Arial" w:cs="Arial"/>
          <w:bCs/>
          <w:sz w:val="24"/>
          <w:szCs w:val="24"/>
          <w:lang w:val="en"/>
        </w:rPr>
        <w:t xml:space="preserve"> that the High Court is precluded from hearing a complaint relating to a </w:t>
      </w:r>
      <w:r w:rsidR="00E4260A">
        <w:rPr>
          <w:rFonts w:ascii="Arial" w:hAnsi="Arial" w:cs="Arial"/>
          <w:bCs/>
          <w:sz w:val="24"/>
          <w:szCs w:val="24"/>
          <w:lang w:val="en"/>
        </w:rPr>
        <w:t>b</w:t>
      </w:r>
      <w:r w:rsidRPr="00126FC3">
        <w:rPr>
          <w:rFonts w:ascii="Arial" w:hAnsi="Arial" w:cs="Arial"/>
          <w:bCs/>
          <w:sz w:val="24"/>
          <w:szCs w:val="24"/>
          <w:lang w:val="en"/>
        </w:rPr>
        <w:t>reach of a contract of employ</w:t>
      </w:r>
      <w:r w:rsidR="006A23F8">
        <w:rPr>
          <w:rFonts w:ascii="Arial" w:hAnsi="Arial" w:cs="Arial"/>
          <w:bCs/>
          <w:sz w:val="24"/>
          <w:szCs w:val="24"/>
          <w:lang w:val="en"/>
        </w:rPr>
        <w:t>ment or a collective agreement.</w:t>
      </w:r>
    </w:p>
    <w:p w14:paraId="2117A144" w14:textId="233660A0"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[11]</w:t>
      </w:r>
      <w:r w:rsidRPr="00126FC3">
        <w:rPr>
          <w:rFonts w:ascii="Arial" w:hAnsi="Arial" w:cs="Arial"/>
          <w:bCs/>
          <w:sz w:val="24"/>
          <w:szCs w:val="24"/>
          <w:lang w:val="en"/>
        </w:rPr>
        <w:tab/>
        <w:t>On his part,</w:t>
      </w:r>
      <w:r>
        <w:rPr>
          <w:rFonts w:ascii="Arial" w:hAnsi="Arial" w:cs="Arial"/>
          <w:bCs/>
          <w:sz w:val="24"/>
          <w:szCs w:val="24"/>
          <w:lang w:val="en"/>
        </w:rPr>
        <w:t xml:space="preserve"> </w:t>
      </w:r>
      <w:proofErr w:type="spellStart"/>
      <w:r>
        <w:rPr>
          <w:rFonts w:ascii="Arial" w:hAnsi="Arial" w:cs="Arial"/>
          <w:bCs/>
          <w:sz w:val="24"/>
          <w:szCs w:val="24"/>
          <w:lang w:val="en"/>
        </w:rPr>
        <w:t>Mr</w:t>
      </w:r>
      <w:proofErr w:type="spellEnd"/>
      <w:r>
        <w:rPr>
          <w:rFonts w:ascii="Arial" w:hAnsi="Arial" w:cs="Arial"/>
          <w:bCs/>
          <w:sz w:val="24"/>
          <w:szCs w:val="24"/>
          <w:lang w:val="en"/>
        </w:rPr>
        <w:t xml:space="preserve"> </w:t>
      </w:r>
      <w:proofErr w:type="spellStart"/>
      <w:r>
        <w:rPr>
          <w:rFonts w:ascii="Arial" w:hAnsi="Arial" w:cs="Arial"/>
          <w:bCs/>
          <w:sz w:val="24"/>
          <w:szCs w:val="24"/>
          <w:lang w:val="en"/>
        </w:rPr>
        <w:t>Haraseb</w:t>
      </w:r>
      <w:proofErr w:type="spellEnd"/>
      <w:r w:rsidRPr="00126FC3">
        <w:rPr>
          <w:rFonts w:ascii="Arial" w:hAnsi="Arial" w:cs="Arial"/>
          <w:bCs/>
          <w:sz w:val="24"/>
          <w:szCs w:val="24"/>
          <w:lang w:val="en"/>
        </w:rPr>
        <w:t xml:space="preserve">, counsel for the plaintiff argued that the plaintiff is claiming damages suffered as a result of short notice of termination of the agreement of employment and their employment relationship. Therefore, the plaintiff is correct to sue the defendant in the High Court, he said. </w:t>
      </w:r>
      <w:r w:rsidR="00E4260A">
        <w:rPr>
          <w:rFonts w:ascii="Arial" w:hAnsi="Arial" w:cs="Arial"/>
          <w:bCs/>
          <w:sz w:val="24"/>
          <w:szCs w:val="24"/>
          <w:lang w:val="en"/>
        </w:rPr>
        <w:t>D</w:t>
      </w:r>
      <w:r w:rsidRPr="00126FC3">
        <w:rPr>
          <w:rFonts w:ascii="Arial" w:hAnsi="Arial" w:cs="Arial"/>
          <w:bCs/>
          <w:sz w:val="24"/>
          <w:szCs w:val="24"/>
          <w:lang w:val="en"/>
        </w:rPr>
        <w:t xml:space="preserve">amages are not mentioned in s 86. In his book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Law in Namibia, on p 115 para. 6.3.3 </w:t>
      </w:r>
      <w:proofErr w:type="gramStart"/>
      <w:r w:rsidRPr="00126FC3">
        <w:rPr>
          <w:rFonts w:ascii="Arial" w:hAnsi="Arial" w:cs="Arial"/>
          <w:bCs/>
          <w:sz w:val="24"/>
          <w:szCs w:val="24"/>
          <w:lang w:val="en"/>
        </w:rPr>
        <w:t>titled</w:t>
      </w:r>
      <w:proofErr w:type="gramEnd"/>
      <w:r w:rsidRPr="00126FC3">
        <w:rPr>
          <w:rFonts w:ascii="Arial" w:hAnsi="Arial" w:cs="Arial"/>
          <w:bCs/>
          <w:sz w:val="24"/>
          <w:szCs w:val="24"/>
          <w:lang w:val="en"/>
        </w:rPr>
        <w:t xml:space="preserve"> </w:t>
      </w:r>
      <w:r w:rsidR="00E4260A">
        <w:rPr>
          <w:rFonts w:ascii="Arial" w:hAnsi="Arial" w:cs="Arial"/>
          <w:bCs/>
          <w:sz w:val="24"/>
          <w:szCs w:val="24"/>
          <w:lang w:val="en"/>
        </w:rPr>
        <w:t>“</w:t>
      </w:r>
      <w:r w:rsidRPr="00126FC3">
        <w:rPr>
          <w:rFonts w:ascii="Arial" w:hAnsi="Arial" w:cs="Arial"/>
          <w:bCs/>
          <w:sz w:val="24"/>
          <w:szCs w:val="24"/>
          <w:lang w:val="en"/>
        </w:rPr>
        <w:t>Damages</w:t>
      </w:r>
      <w:r w:rsidR="00E4260A">
        <w:rPr>
          <w:rFonts w:ascii="Arial" w:hAnsi="Arial" w:cs="Arial"/>
          <w:bCs/>
          <w:sz w:val="24"/>
          <w:szCs w:val="24"/>
          <w:lang w:val="en"/>
        </w:rPr>
        <w:t>”</w:t>
      </w:r>
      <w:r w:rsidR="00590DCF">
        <w:rPr>
          <w:rFonts w:ascii="Arial" w:hAnsi="Arial" w:cs="Arial"/>
          <w:bCs/>
          <w:sz w:val="24"/>
          <w:szCs w:val="24"/>
          <w:lang w:val="en"/>
        </w:rPr>
        <w:t xml:space="preserve">, Collins Parker authored that the </w:t>
      </w:r>
      <w:proofErr w:type="spellStart"/>
      <w:r w:rsidR="00590DCF">
        <w:rPr>
          <w:rFonts w:ascii="Arial" w:hAnsi="Arial" w:cs="Arial"/>
          <w:bCs/>
          <w:sz w:val="24"/>
          <w:szCs w:val="24"/>
          <w:lang w:val="en"/>
        </w:rPr>
        <w:t>Labour</w:t>
      </w:r>
      <w:proofErr w:type="spellEnd"/>
      <w:r w:rsidR="00590DCF">
        <w:rPr>
          <w:rFonts w:ascii="Arial" w:hAnsi="Arial" w:cs="Arial"/>
          <w:bCs/>
          <w:sz w:val="24"/>
          <w:szCs w:val="24"/>
          <w:lang w:val="en"/>
        </w:rPr>
        <w:t xml:space="preserve"> Act 2007</w:t>
      </w:r>
      <w:r w:rsidRPr="00126FC3">
        <w:rPr>
          <w:rFonts w:ascii="Arial" w:hAnsi="Arial" w:cs="Arial"/>
          <w:bCs/>
          <w:sz w:val="24"/>
          <w:szCs w:val="24"/>
          <w:lang w:val="en"/>
        </w:rPr>
        <w:t xml:space="preserve"> does not provide for the grant of damages. It follows therefore, that the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Court which draws its powers from the Act, does not have jurisdiction to adjudicate and determine a claim for damages. That being the case, the employer has to utilize his or her common law right to sue the employee for damages in the High Court. </w:t>
      </w:r>
    </w:p>
    <w:p w14:paraId="65422C66" w14:textId="5CA97EFE"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[12]</w:t>
      </w:r>
      <w:r w:rsidRPr="00126FC3">
        <w:rPr>
          <w:rFonts w:ascii="Arial" w:hAnsi="Arial" w:cs="Arial"/>
          <w:bCs/>
          <w:sz w:val="24"/>
          <w:szCs w:val="24"/>
          <w:lang w:val="en"/>
        </w:rPr>
        <w:tab/>
        <w:t>Section 16 of the High Court Act</w:t>
      </w:r>
      <w:r w:rsidR="00B96FA1">
        <w:rPr>
          <w:rFonts w:ascii="Arial" w:hAnsi="Arial" w:cs="Arial"/>
          <w:bCs/>
          <w:sz w:val="24"/>
          <w:szCs w:val="24"/>
          <w:lang w:val="en"/>
        </w:rPr>
        <w:t>,</w:t>
      </w:r>
      <w:r w:rsidR="00E4260A">
        <w:rPr>
          <w:rStyle w:val="FootnoteReference"/>
          <w:rFonts w:ascii="Arial" w:hAnsi="Arial" w:cs="Arial"/>
          <w:bCs/>
          <w:sz w:val="24"/>
          <w:szCs w:val="24"/>
          <w:lang w:val="en"/>
        </w:rPr>
        <w:footnoteReference w:id="4"/>
      </w:r>
      <w:r w:rsidRPr="00126FC3">
        <w:rPr>
          <w:rFonts w:ascii="Arial" w:hAnsi="Arial" w:cs="Arial"/>
          <w:bCs/>
          <w:sz w:val="24"/>
          <w:szCs w:val="24"/>
          <w:lang w:val="en"/>
        </w:rPr>
        <w:t xml:space="preserve"> grants the High Court jurisdiction over all persons residing or those finding themselves in Namibia and in relation to all causes arising from within Namibia, unless specifically excluded by legislation. Subsection (2) thereof provides that the High Court shall have original jurisdiction to hear and adjudicate upon all civil disputes and criminal prosecutions, including cases which involve the interpretation, implementation and upholding of the Constitution and the fundamental rights and freedoms guaranteed thereunder as well as jurisdiction to hear and adjudicate upon appeals from Lower Courts. This jurisdiction is generally referred to as inherent jurisdiction</w:t>
      </w:r>
      <w:r w:rsidR="00E4260A">
        <w:rPr>
          <w:rFonts w:ascii="Arial" w:hAnsi="Arial" w:cs="Arial"/>
          <w:bCs/>
          <w:sz w:val="24"/>
          <w:szCs w:val="24"/>
          <w:lang w:val="en"/>
        </w:rPr>
        <w:t>. T</w:t>
      </w:r>
      <w:r w:rsidRPr="00126FC3">
        <w:rPr>
          <w:rFonts w:ascii="Arial" w:hAnsi="Arial" w:cs="Arial"/>
          <w:bCs/>
          <w:sz w:val="24"/>
          <w:szCs w:val="24"/>
          <w:lang w:val="en"/>
        </w:rPr>
        <w:t>hus</w:t>
      </w:r>
      <w:r w:rsidR="00590DCF">
        <w:rPr>
          <w:rFonts w:ascii="Arial" w:hAnsi="Arial" w:cs="Arial"/>
          <w:bCs/>
          <w:sz w:val="24"/>
          <w:szCs w:val="24"/>
          <w:lang w:val="en"/>
        </w:rPr>
        <w:t>,</w:t>
      </w:r>
      <w:r w:rsidRPr="00126FC3">
        <w:rPr>
          <w:rFonts w:ascii="Arial" w:hAnsi="Arial" w:cs="Arial"/>
          <w:bCs/>
          <w:sz w:val="24"/>
          <w:szCs w:val="24"/>
          <w:lang w:val="en"/>
        </w:rPr>
        <w:t xml:space="preserve"> to deny it its inherent power, </w:t>
      </w:r>
      <w:r w:rsidR="00E4260A">
        <w:rPr>
          <w:rFonts w:ascii="Arial" w:hAnsi="Arial" w:cs="Arial"/>
          <w:bCs/>
          <w:sz w:val="24"/>
          <w:szCs w:val="24"/>
          <w:lang w:val="en"/>
        </w:rPr>
        <w:t>an</w:t>
      </w:r>
      <w:r w:rsidRPr="00126FC3">
        <w:rPr>
          <w:rFonts w:ascii="Arial" w:hAnsi="Arial" w:cs="Arial"/>
          <w:bCs/>
          <w:sz w:val="24"/>
          <w:szCs w:val="24"/>
          <w:lang w:val="en"/>
        </w:rPr>
        <w:t xml:space="preserve"> Act </w:t>
      </w:r>
      <w:r w:rsidR="00E4260A">
        <w:rPr>
          <w:rFonts w:ascii="Arial" w:hAnsi="Arial" w:cs="Arial"/>
          <w:bCs/>
          <w:sz w:val="24"/>
          <w:szCs w:val="24"/>
          <w:lang w:val="en"/>
        </w:rPr>
        <w:t xml:space="preserve">or </w:t>
      </w:r>
      <w:r w:rsidR="00590DCF">
        <w:rPr>
          <w:rFonts w:ascii="Arial" w:hAnsi="Arial" w:cs="Arial"/>
          <w:bCs/>
          <w:sz w:val="24"/>
          <w:szCs w:val="24"/>
          <w:lang w:val="en"/>
        </w:rPr>
        <w:t>legisl</w:t>
      </w:r>
      <w:r w:rsidR="00E4260A">
        <w:rPr>
          <w:rFonts w:ascii="Arial" w:hAnsi="Arial" w:cs="Arial"/>
          <w:bCs/>
          <w:sz w:val="24"/>
          <w:szCs w:val="24"/>
          <w:lang w:val="en"/>
        </w:rPr>
        <w:t xml:space="preserve">ation </w:t>
      </w:r>
      <w:r w:rsidRPr="00126FC3">
        <w:rPr>
          <w:rFonts w:ascii="Arial" w:hAnsi="Arial" w:cs="Arial"/>
          <w:bCs/>
          <w:sz w:val="24"/>
          <w:szCs w:val="24"/>
          <w:lang w:val="en"/>
        </w:rPr>
        <w:t xml:space="preserve">must expressly </w:t>
      </w:r>
      <w:r w:rsidR="00E4260A">
        <w:rPr>
          <w:rFonts w:ascii="Arial" w:hAnsi="Arial" w:cs="Arial"/>
          <w:bCs/>
          <w:sz w:val="24"/>
          <w:szCs w:val="24"/>
          <w:lang w:val="en"/>
        </w:rPr>
        <w:t>state that</w:t>
      </w:r>
      <w:r w:rsidRPr="00126FC3">
        <w:rPr>
          <w:rFonts w:ascii="Arial" w:hAnsi="Arial" w:cs="Arial"/>
          <w:bCs/>
          <w:sz w:val="24"/>
          <w:szCs w:val="24"/>
          <w:lang w:val="en"/>
        </w:rPr>
        <w:t>.</w:t>
      </w:r>
    </w:p>
    <w:p w14:paraId="51F7FC72" w14:textId="1A78A2EB"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[13]</w:t>
      </w:r>
      <w:r w:rsidRPr="00126FC3">
        <w:rPr>
          <w:rFonts w:ascii="Arial" w:hAnsi="Arial" w:cs="Arial"/>
          <w:bCs/>
          <w:sz w:val="24"/>
          <w:szCs w:val="24"/>
          <w:lang w:val="en"/>
        </w:rPr>
        <w:tab/>
        <w:t xml:space="preserve">In this instance, jurisdiction has not been ousted by section 86 of the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Act, expressly or by implication. As already indicated</w:t>
      </w:r>
      <w:r w:rsidR="00E4260A">
        <w:rPr>
          <w:rFonts w:ascii="Arial" w:hAnsi="Arial" w:cs="Arial"/>
          <w:bCs/>
          <w:sz w:val="24"/>
          <w:szCs w:val="24"/>
          <w:lang w:val="en"/>
        </w:rPr>
        <w:t>,</w:t>
      </w:r>
      <w:r w:rsidRPr="00126FC3">
        <w:rPr>
          <w:rFonts w:ascii="Arial" w:hAnsi="Arial" w:cs="Arial"/>
          <w:bCs/>
          <w:sz w:val="24"/>
          <w:szCs w:val="24"/>
          <w:lang w:val="en"/>
        </w:rPr>
        <w:t xml:space="preserve"> section 84 defines a dispute to include a complaint relating to the breach of a contract of employment or a collective</w:t>
      </w:r>
      <w:r w:rsidR="00E4260A">
        <w:rPr>
          <w:rFonts w:ascii="Arial" w:hAnsi="Arial" w:cs="Arial"/>
          <w:bCs/>
          <w:sz w:val="24"/>
          <w:szCs w:val="24"/>
          <w:lang w:val="en"/>
        </w:rPr>
        <w:t xml:space="preserve"> agreement</w:t>
      </w:r>
      <w:r w:rsidRPr="00126FC3">
        <w:rPr>
          <w:rFonts w:ascii="Arial" w:hAnsi="Arial" w:cs="Arial"/>
          <w:bCs/>
          <w:sz w:val="24"/>
          <w:szCs w:val="24"/>
          <w:lang w:val="en"/>
        </w:rPr>
        <w:t xml:space="preserve">. Similarly, s 86 also provides that a party to a dispute may refer the dispute in writing to the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Commissioner or any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office. Using the term may, the legislature intended to allow a complainant to a dispute </w:t>
      </w:r>
      <w:r w:rsidR="00E4260A">
        <w:rPr>
          <w:rFonts w:ascii="Arial" w:hAnsi="Arial" w:cs="Arial"/>
          <w:bCs/>
          <w:sz w:val="24"/>
          <w:szCs w:val="24"/>
          <w:lang w:val="en"/>
        </w:rPr>
        <w:t xml:space="preserve">mentioned in s 86 </w:t>
      </w:r>
      <w:r w:rsidRPr="00126FC3">
        <w:rPr>
          <w:rFonts w:ascii="Arial" w:hAnsi="Arial" w:cs="Arial"/>
          <w:bCs/>
          <w:sz w:val="24"/>
          <w:szCs w:val="24"/>
          <w:lang w:val="en"/>
        </w:rPr>
        <w:t xml:space="preserve">to choose a forum of his or her own choice. Subsection (15) thereof empowers the arbitrator to make an </w:t>
      </w:r>
      <w:r w:rsidRPr="00126FC3">
        <w:rPr>
          <w:rFonts w:ascii="Arial" w:hAnsi="Arial" w:cs="Arial"/>
          <w:bCs/>
          <w:sz w:val="24"/>
          <w:szCs w:val="24"/>
          <w:lang w:val="en"/>
        </w:rPr>
        <w:lastRenderedPageBreak/>
        <w:t>appropriate arbitration award and certain orders including an award of compensation</w:t>
      </w:r>
      <w:r w:rsidR="00E4260A">
        <w:rPr>
          <w:rFonts w:ascii="Arial" w:hAnsi="Arial" w:cs="Arial"/>
          <w:bCs/>
          <w:sz w:val="24"/>
          <w:szCs w:val="24"/>
          <w:lang w:val="en"/>
        </w:rPr>
        <w:t xml:space="preserve"> </w:t>
      </w:r>
      <w:r w:rsidRPr="00126FC3">
        <w:rPr>
          <w:rFonts w:ascii="Arial" w:hAnsi="Arial" w:cs="Arial"/>
          <w:bCs/>
          <w:sz w:val="24"/>
          <w:szCs w:val="24"/>
          <w:lang w:val="en"/>
        </w:rPr>
        <w:t>but not an award for damages.</w:t>
      </w:r>
    </w:p>
    <w:p w14:paraId="5F13D189" w14:textId="510C8EB3"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[14]</w:t>
      </w:r>
      <w:r w:rsidRPr="00126FC3">
        <w:rPr>
          <w:rFonts w:ascii="Arial" w:hAnsi="Arial" w:cs="Arial"/>
          <w:bCs/>
          <w:sz w:val="24"/>
          <w:szCs w:val="24"/>
          <w:lang w:val="en"/>
        </w:rPr>
        <w:tab/>
        <w:t xml:space="preserve">Section 16 (2) of the High Act above is coached in peremptory terms to emphasize the power this court has to hear and adjudicate upon all civil disputes and criminal prosecutions as long as the cause of action arose within the boundaries of </w:t>
      </w:r>
      <w:r w:rsidR="00E4260A">
        <w:rPr>
          <w:rFonts w:ascii="Arial" w:hAnsi="Arial" w:cs="Arial"/>
          <w:bCs/>
          <w:sz w:val="24"/>
          <w:szCs w:val="24"/>
          <w:lang w:val="en"/>
        </w:rPr>
        <w:t>the country</w:t>
      </w:r>
      <w:r w:rsidRPr="00126FC3">
        <w:rPr>
          <w:rFonts w:ascii="Arial" w:hAnsi="Arial" w:cs="Arial"/>
          <w:bCs/>
          <w:sz w:val="24"/>
          <w:szCs w:val="24"/>
          <w:lang w:val="en"/>
        </w:rPr>
        <w:t>; and over offences or crimes committed withi</w:t>
      </w:r>
      <w:r w:rsidR="00E4260A">
        <w:rPr>
          <w:rFonts w:ascii="Arial" w:hAnsi="Arial" w:cs="Arial"/>
          <w:bCs/>
          <w:sz w:val="24"/>
          <w:szCs w:val="24"/>
          <w:lang w:val="en"/>
        </w:rPr>
        <w:t xml:space="preserve">n by residents </w:t>
      </w:r>
      <w:r w:rsidRPr="00126FC3">
        <w:rPr>
          <w:rFonts w:ascii="Arial" w:hAnsi="Arial" w:cs="Arial"/>
          <w:bCs/>
          <w:sz w:val="24"/>
          <w:szCs w:val="24"/>
          <w:lang w:val="en"/>
        </w:rPr>
        <w:t>if not specif</w:t>
      </w:r>
      <w:r w:rsidR="00590DCF">
        <w:rPr>
          <w:rFonts w:ascii="Arial" w:hAnsi="Arial" w:cs="Arial"/>
          <w:bCs/>
          <w:sz w:val="24"/>
          <w:szCs w:val="24"/>
          <w:lang w:val="en"/>
        </w:rPr>
        <w:t>ically excluded by legislation.</w:t>
      </w:r>
    </w:p>
    <w:p w14:paraId="263DD207" w14:textId="4D797EB3"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[15]</w:t>
      </w:r>
      <w:r w:rsidRPr="00126FC3">
        <w:rPr>
          <w:rFonts w:ascii="Arial" w:hAnsi="Arial" w:cs="Arial"/>
          <w:bCs/>
          <w:sz w:val="24"/>
          <w:szCs w:val="24"/>
          <w:lang w:val="en"/>
        </w:rPr>
        <w:tab/>
        <w:t>Counsel f</w:t>
      </w:r>
      <w:r w:rsidR="00590DCF">
        <w:rPr>
          <w:rFonts w:ascii="Arial" w:hAnsi="Arial" w:cs="Arial"/>
          <w:bCs/>
          <w:sz w:val="24"/>
          <w:szCs w:val="24"/>
          <w:lang w:val="en"/>
        </w:rPr>
        <w:t xml:space="preserve">or the plaintiff, </w:t>
      </w:r>
      <w:proofErr w:type="spellStart"/>
      <w:r w:rsidR="00590DCF">
        <w:rPr>
          <w:rFonts w:ascii="Arial" w:hAnsi="Arial" w:cs="Arial"/>
          <w:bCs/>
          <w:sz w:val="24"/>
          <w:szCs w:val="24"/>
          <w:lang w:val="en"/>
        </w:rPr>
        <w:t>Mr</w:t>
      </w:r>
      <w:proofErr w:type="spellEnd"/>
      <w:r w:rsidR="00590DCF">
        <w:rPr>
          <w:rFonts w:ascii="Arial" w:hAnsi="Arial" w:cs="Arial"/>
          <w:bCs/>
          <w:sz w:val="24"/>
          <w:szCs w:val="24"/>
          <w:lang w:val="en"/>
        </w:rPr>
        <w:t xml:space="preserve"> </w:t>
      </w:r>
      <w:proofErr w:type="spellStart"/>
      <w:r w:rsidR="00590DCF">
        <w:rPr>
          <w:rFonts w:ascii="Arial" w:hAnsi="Arial" w:cs="Arial"/>
          <w:bCs/>
          <w:sz w:val="24"/>
          <w:szCs w:val="24"/>
          <w:lang w:val="en"/>
        </w:rPr>
        <w:t>Haraseb</w:t>
      </w:r>
      <w:proofErr w:type="spellEnd"/>
      <w:r w:rsidRPr="00126FC3">
        <w:rPr>
          <w:rFonts w:ascii="Arial" w:hAnsi="Arial" w:cs="Arial"/>
          <w:bCs/>
          <w:sz w:val="24"/>
          <w:szCs w:val="24"/>
          <w:lang w:val="en"/>
        </w:rPr>
        <w:t xml:space="preserve"> referred to a Supreme Court judgment in the case of </w:t>
      </w:r>
      <w:r w:rsidRPr="00126FC3">
        <w:rPr>
          <w:rFonts w:ascii="Arial" w:hAnsi="Arial" w:cs="Arial"/>
          <w:bCs/>
          <w:i/>
          <w:sz w:val="24"/>
          <w:szCs w:val="24"/>
          <w:lang w:val="en"/>
        </w:rPr>
        <w:t xml:space="preserve">Reinhold </w:t>
      </w:r>
      <w:proofErr w:type="spellStart"/>
      <w:r w:rsidRPr="00126FC3">
        <w:rPr>
          <w:rFonts w:ascii="Arial" w:hAnsi="Arial" w:cs="Arial"/>
          <w:bCs/>
          <w:i/>
          <w:sz w:val="24"/>
          <w:szCs w:val="24"/>
          <w:lang w:val="en"/>
        </w:rPr>
        <w:t>Hashetu</w:t>
      </w:r>
      <w:proofErr w:type="spellEnd"/>
      <w:r w:rsidRPr="00126FC3">
        <w:rPr>
          <w:rFonts w:ascii="Arial" w:hAnsi="Arial" w:cs="Arial"/>
          <w:bCs/>
          <w:i/>
          <w:sz w:val="24"/>
          <w:szCs w:val="24"/>
          <w:lang w:val="en"/>
        </w:rPr>
        <w:t xml:space="preserve"> </w:t>
      </w:r>
      <w:proofErr w:type="spellStart"/>
      <w:r w:rsidRPr="00126FC3">
        <w:rPr>
          <w:rFonts w:ascii="Arial" w:hAnsi="Arial" w:cs="Arial"/>
          <w:bCs/>
          <w:i/>
          <w:sz w:val="24"/>
          <w:szCs w:val="24"/>
          <w:lang w:val="en"/>
        </w:rPr>
        <w:t>Nghifoka</w:t>
      </w:r>
      <w:proofErr w:type="spellEnd"/>
      <w:r w:rsidRPr="00126FC3">
        <w:rPr>
          <w:rFonts w:ascii="Arial" w:hAnsi="Arial" w:cs="Arial"/>
          <w:bCs/>
          <w:i/>
          <w:sz w:val="24"/>
          <w:szCs w:val="24"/>
          <w:lang w:val="en"/>
        </w:rPr>
        <w:t xml:space="preserve"> v Classic Engines CC</w:t>
      </w:r>
      <w:r w:rsidRPr="00126FC3">
        <w:rPr>
          <w:rFonts w:ascii="Arial" w:hAnsi="Arial" w:cs="Arial"/>
          <w:bCs/>
          <w:sz w:val="24"/>
          <w:szCs w:val="24"/>
          <w:vertAlign w:val="superscript"/>
          <w:lang w:val="en"/>
        </w:rPr>
        <w:footnoteReference w:id="5"/>
      </w:r>
      <w:r w:rsidRPr="00126FC3">
        <w:rPr>
          <w:rFonts w:ascii="Arial" w:hAnsi="Arial" w:cs="Arial"/>
          <w:bCs/>
          <w:sz w:val="24"/>
          <w:szCs w:val="24"/>
          <w:lang w:val="en"/>
        </w:rPr>
        <w:t xml:space="preserve"> wherein the Supreme Court dismissed with costs a point in </w:t>
      </w:r>
      <w:proofErr w:type="spellStart"/>
      <w:r w:rsidRPr="00126FC3">
        <w:rPr>
          <w:rFonts w:ascii="Arial" w:hAnsi="Arial" w:cs="Arial"/>
          <w:bCs/>
          <w:i/>
          <w:sz w:val="24"/>
          <w:szCs w:val="24"/>
          <w:lang w:val="en"/>
        </w:rPr>
        <w:t>limine</w:t>
      </w:r>
      <w:proofErr w:type="spellEnd"/>
      <w:r w:rsidRPr="00126FC3">
        <w:rPr>
          <w:rFonts w:ascii="Arial" w:hAnsi="Arial" w:cs="Arial"/>
          <w:bCs/>
          <w:sz w:val="24"/>
          <w:szCs w:val="24"/>
          <w:lang w:val="en"/>
        </w:rPr>
        <w:t xml:space="preserve"> </w:t>
      </w:r>
      <w:r w:rsidR="00E4260A">
        <w:rPr>
          <w:rFonts w:ascii="Arial" w:hAnsi="Arial" w:cs="Arial"/>
          <w:bCs/>
          <w:sz w:val="24"/>
          <w:szCs w:val="24"/>
          <w:lang w:val="en"/>
        </w:rPr>
        <w:t xml:space="preserve">raised </w:t>
      </w:r>
      <w:r w:rsidRPr="00126FC3">
        <w:rPr>
          <w:rFonts w:ascii="Arial" w:hAnsi="Arial" w:cs="Arial"/>
          <w:bCs/>
          <w:sz w:val="24"/>
          <w:szCs w:val="24"/>
          <w:lang w:val="en"/>
        </w:rPr>
        <w:t>against the decision of this court holding that this court has jurisdiction to hear and adjudica</w:t>
      </w:r>
      <w:r w:rsidR="00590DCF">
        <w:rPr>
          <w:rFonts w:ascii="Arial" w:hAnsi="Arial" w:cs="Arial"/>
          <w:bCs/>
          <w:sz w:val="24"/>
          <w:szCs w:val="24"/>
          <w:lang w:val="en"/>
        </w:rPr>
        <w:t xml:space="preserve">te upon a dispute of damages </w:t>
      </w:r>
      <w:r w:rsidRPr="00126FC3">
        <w:rPr>
          <w:rFonts w:ascii="Arial" w:hAnsi="Arial" w:cs="Arial"/>
          <w:bCs/>
          <w:sz w:val="24"/>
          <w:szCs w:val="24"/>
          <w:lang w:val="en"/>
        </w:rPr>
        <w:t xml:space="preserve">between </w:t>
      </w:r>
      <w:proofErr w:type="spellStart"/>
      <w:r w:rsidRPr="00126FC3">
        <w:rPr>
          <w:rFonts w:ascii="Arial" w:hAnsi="Arial" w:cs="Arial"/>
          <w:bCs/>
          <w:sz w:val="24"/>
          <w:szCs w:val="24"/>
          <w:lang w:val="en"/>
        </w:rPr>
        <w:t>Mr</w:t>
      </w:r>
      <w:proofErr w:type="spellEnd"/>
      <w:r w:rsidRPr="00126FC3">
        <w:rPr>
          <w:rFonts w:ascii="Arial" w:hAnsi="Arial" w:cs="Arial"/>
          <w:bCs/>
          <w:sz w:val="24"/>
          <w:szCs w:val="24"/>
          <w:lang w:val="en"/>
        </w:rPr>
        <w:t xml:space="preserve"> </w:t>
      </w:r>
      <w:proofErr w:type="spellStart"/>
      <w:r w:rsidRPr="00126FC3">
        <w:rPr>
          <w:rFonts w:ascii="Arial" w:hAnsi="Arial" w:cs="Arial"/>
          <w:bCs/>
          <w:sz w:val="24"/>
          <w:szCs w:val="24"/>
          <w:lang w:val="en"/>
        </w:rPr>
        <w:t>Nghifoka</w:t>
      </w:r>
      <w:proofErr w:type="spellEnd"/>
      <w:r w:rsidR="00E4260A">
        <w:rPr>
          <w:rFonts w:ascii="Arial" w:hAnsi="Arial" w:cs="Arial"/>
          <w:bCs/>
          <w:sz w:val="24"/>
          <w:szCs w:val="24"/>
          <w:lang w:val="en"/>
        </w:rPr>
        <w:t>, an employee</w:t>
      </w:r>
      <w:r w:rsidRPr="00126FC3">
        <w:rPr>
          <w:rFonts w:ascii="Arial" w:hAnsi="Arial" w:cs="Arial"/>
          <w:bCs/>
          <w:sz w:val="24"/>
          <w:szCs w:val="24"/>
          <w:lang w:val="en"/>
        </w:rPr>
        <w:t xml:space="preserve"> and Classic Engines</w:t>
      </w:r>
      <w:r w:rsidR="00E4260A">
        <w:rPr>
          <w:rFonts w:ascii="Arial" w:hAnsi="Arial" w:cs="Arial"/>
          <w:bCs/>
          <w:sz w:val="24"/>
          <w:szCs w:val="24"/>
          <w:lang w:val="en"/>
        </w:rPr>
        <w:t xml:space="preserve"> an employer,</w:t>
      </w:r>
      <w:r w:rsidRPr="00126FC3">
        <w:rPr>
          <w:rFonts w:ascii="Arial" w:hAnsi="Arial" w:cs="Arial"/>
          <w:bCs/>
          <w:sz w:val="24"/>
          <w:szCs w:val="24"/>
          <w:lang w:val="en"/>
        </w:rPr>
        <w:t xml:space="preserve"> in relation to </w:t>
      </w:r>
      <w:r w:rsidR="00E4260A">
        <w:rPr>
          <w:rFonts w:ascii="Arial" w:hAnsi="Arial" w:cs="Arial"/>
          <w:bCs/>
          <w:sz w:val="24"/>
          <w:szCs w:val="24"/>
          <w:lang w:val="en"/>
        </w:rPr>
        <w:t>a</w:t>
      </w:r>
      <w:r w:rsidRPr="00126FC3">
        <w:rPr>
          <w:rFonts w:ascii="Arial" w:hAnsi="Arial" w:cs="Arial"/>
          <w:bCs/>
          <w:sz w:val="24"/>
          <w:szCs w:val="24"/>
          <w:lang w:val="en"/>
        </w:rPr>
        <w:t xml:space="preserve"> contract of employment. In the appeal, the appellant argued that the respondent was precluded from issuing summons in the High Court to re</w:t>
      </w:r>
      <w:r w:rsidR="00590DCF">
        <w:rPr>
          <w:rFonts w:ascii="Arial" w:hAnsi="Arial" w:cs="Arial"/>
          <w:bCs/>
          <w:sz w:val="24"/>
          <w:szCs w:val="24"/>
          <w:lang w:val="en"/>
        </w:rPr>
        <w:t xml:space="preserve">cover damages </w:t>
      </w:r>
      <w:r w:rsidRPr="00126FC3">
        <w:rPr>
          <w:rFonts w:ascii="Arial" w:hAnsi="Arial" w:cs="Arial"/>
          <w:bCs/>
          <w:sz w:val="24"/>
          <w:szCs w:val="24"/>
          <w:lang w:val="en"/>
        </w:rPr>
        <w:t xml:space="preserve">related to a dispute arising from a contract of employment in terms of s 86 of the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Act and that the High Court has no jurisdiction to entertain such a claim.</w:t>
      </w:r>
    </w:p>
    <w:p w14:paraId="572239CF" w14:textId="599D2CD8"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[16]</w:t>
      </w:r>
      <w:r w:rsidRPr="00126FC3">
        <w:rPr>
          <w:rFonts w:ascii="Arial" w:hAnsi="Arial" w:cs="Arial"/>
          <w:bCs/>
          <w:sz w:val="24"/>
          <w:szCs w:val="24"/>
          <w:lang w:val="en"/>
        </w:rPr>
        <w:tab/>
        <w:t xml:space="preserve">Dismissing the arguments </w:t>
      </w:r>
      <w:proofErr w:type="spellStart"/>
      <w:r w:rsidRPr="00126FC3">
        <w:rPr>
          <w:rFonts w:ascii="Arial" w:hAnsi="Arial" w:cs="Arial"/>
          <w:bCs/>
          <w:sz w:val="24"/>
          <w:szCs w:val="24"/>
          <w:lang w:val="en"/>
        </w:rPr>
        <w:t>O’Regan</w:t>
      </w:r>
      <w:proofErr w:type="spellEnd"/>
      <w:r w:rsidRPr="00126FC3">
        <w:rPr>
          <w:rFonts w:ascii="Arial" w:hAnsi="Arial" w:cs="Arial"/>
          <w:bCs/>
          <w:sz w:val="24"/>
          <w:szCs w:val="24"/>
          <w:lang w:val="en"/>
        </w:rPr>
        <w:t xml:space="preserve">, AJA who wrote for the </w:t>
      </w:r>
      <w:r w:rsidR="008E1CEE">
        <w:rPr>
          <w:rFonts w:ascii="Arial" w:hAnsi="Arial" w:cs="Arial"/>
          <w:bCs/>
          <w:sz w:val="24"/>
          <w:szCs w:val="24"/>
          <w:lang w:val="en"/>
        </w:rPr>
        <w:t xml:space="preserve">court </w:t>
      </w:r>
      <w:r w:rsidRPr="00126FC3">
        <w:rPr>
          <w:rFonts w:ascii="Arial" w:hAnsi="Arial" w:cs="Arial"/>
          <w:bCs/>
          <w:sz w:val="24"/>
          <w:szCs w:val="24"/>
          <w:lang w:val="en"/>
        </w:rPr>
        <w:t>d</w:t>
      </w:r>
      <w:r w:rsidR="008E1CEE">
        <w:rPr>
          <w:rFonts w:ascii="Arial" w:hAnsi="Arial" w:cs="Arial"/>
          <w:bCs/>
          <w:sz w:val="24"/>
          <w:szCs w:val="24"/>
          <w:lang w:val="en"/>
        </w:rPr>
        <w:t>isagreed and said the following.</w:t>
      </w:r>
    </w:p>
    <w:p w14:paraId="327F1022" w14:textId="77777777" w:rsidR="00126FC3" w:rsidRPr="00126FC3" w:rsidRDefault="00126FC3" w:rsidP="00126FC3">
      <w:pPr>
        <w:spacing w:line="360" w:lineRule="auto"/>
        <w:ind w:firstLine="720"/>
        <w:jc w:val="both"/>
        <w:rPr>
          <w:rFonts w:ascii="Arial" w:hAnsi="Arial" w:cs="Arial"/>
          <w:bCs/>
          <w:lang w:val="en-GB"/>
        </w:rPr>
      </w:pPr>
      <w:r w:rsidRPr="00126FC3">
        <w:rPr>
          <w:rFonts w:ascii="Arial" w:hAnsi="Arial" w:cs="Arial"/>
          <w:bCs/>
          <w:lang w:val="en-GB"/>
        </w:rPr>
        <w:t>‘[16]</w:t>
      </w:r>
      <w:r w:rsidRPr="00126FC3">
        <w:rPr>
          <w:rFonts w:ascii="Arial" w:hAnsi="Arial" w:cs="Arial"/>
          <w:bCs/>
          <w:lang w:val="en-GB"/>
        </w:rPr>
        <w:tab/>
        <w:t xml:space="preserve">Section 84 of the Act defines 'dispute' to include 'a complaint relating to the breach of a contract of employment of a collective agreement.' Section 86 then provides that a party to a dispute </w:t>
      </w:r>
      <w:r w:rsidRPr="00126FC3">
        <w:rPr>
          <w:rFonts w:ascii="Arial" w:hAnsi="Arial" w:cs="Arial"/>
          <w:bCs/>
          <w:i/>
          <w:lang w:val="en-GB"/>
        </w:rPr>
        <w:t xml:space="preserve">may </w:t>
      </w:r>
      <w:r w:rsidRPr="00126FC3">
        <w:rPr>
          <w:rFonts w:ascii="Arial" w:hAnsi="Arial" w:cs="Arial"/>
          <w:bCs/>
          <w:lang w:val="en-GB"/>
        </w:rPr>
        <w:t xml:space="preserve">refer the dispute in writing to the Labour Commissioner or any labour office, which, in turn, may then be referred to conciliation as happened here. </w:t>
      </w:r>
    </w:p>
    <w:p w14:paraId="7D5277E7" w14:textId="77777777" w:rsidR="00126FC3" w:rsidRPr="00126FC3" w:rsidRDefault="00126FC3" w:rsidP="00126FC3">
      <w:pPr>
        <w:spacing w:line="360" w:lineRule="auto"/>
        <w:jc w:val="both"/>
        <w:rPr>
          <w:rFonts w:ascii="Arial" w:hAnsi="Arial" w:cs="Arial"/>
          <w:bCs/>
          <w:lang w:val="en-GB"/>
        </w:rPr>
      </w:pPr>
      <w:r w:rsidRPr="00126FC3">
        <w:rPr>
          <w:rFonts w:ascii="Arial" w:hAnsi="Arial" w:cs="Arial"/>
          <w:bCs/>
          <w:lang w:val="en-GB"/>
        </w:rPr>
        <w:t>[17]</w:t>
      </w:r>
      <w:r w:rsidRPr="00126FC3">
        <w:rPr>
          <w:rFonts w:ascii="Arial" w:hAnsi="Arial" w:cs="Arial"/>
          <w:bCs/>
          <w:lang w:val="en-GB"/>
        </w:rPr>
        <w:tab/>
        <w:t>It appears that at no stage during the proceedings before the Labour Commissioner did the respondent raise the question of the contractual damages it had suffered. The Act does not expressly confer the power to determine contractual damages upon an arbitrator although s 86(15</w:t>
      </w:r>
      <w:proofErr w:type="gramStart"/>
      <w:r w:rsidRPr="00126FC3">
        <w:rPr>
          <w:rFonts w:ascii="Arial" w:hAnsi="Arial" w:cs="Arial"/>
          <w:bCs/>
          <w:lang w:val="en-GB"/>
        </w:rPr>
        <w:t>)</w:t>
      </w:r>
      <w:r w:rsidRPr="00126FC3">
        <w:rPr>
          <w:rFonts w:ascii="Arial" w:hAnsi="Arial" w:cs="Arial"/>
          <w:bCs/>
          <w:i/>
          <w:lang w:val="en-GB"/>
        </w:rPr>
        <w:t>(</w:t>
      </w:r>
      <w:proofErr w:type="gramEnd"/>
      <w:r w:rsidRPr="00126FC3">
        <w:rPr>
          <w:rFonts w:ascii="Arial" w:hAnsi="Arial" w:cs="Arial"/>
          <w:bCs/>
          <w:i/>
          <w:lang w:val="en-GB"/>
        </w:rPr>
        <w:t>d)</w:t>
      </w:r>
      <w:r w:rsidRPr="00126FC3">
        <w:rPr>
          <w:rFonts w:ascii="Arial" w:hAnsi="Arial" w:cs="Arial"/>
          <w:bCs/>
          <w:lang w:val="en-GB"/>
        </w:rPr>
        <w:t xml:space="preserve"> of the Act empowers an arbitrator to make 'an award of co</w:t>
      </w:r>
      <w:bookmarkStart w:id="0" w:name="_GoBack"/>
      <w:bookmarkEnd w:id="0"/>
      <w:r w:rsidRPr="00126FC3">
        <w:rPr>
          <w:rFonts w:ascii="Arial" w:hAnsi="Arial" w:cs="Arial"/>
          <w:bCs/>
          <w:lang w:val="en-GB"/>
        </w:rPr>
        <w:t xml:space="preserve">mpensation' but does not expressly mention damages. The High Court judge, in his judgment in this matter, expressed the view that an arbitration tribunal acting in terms of s 85 of the Act has no power to determine claims based on damages arising from contracts of employment. It is not necessary for this court to determine that question here. It is only necessary for this court to determine the narrower </w:t>
      </w:r>
      <w:r w:rsidRPr="00126FC3">
        <w:rPr>
          <w:rFonts w:ascii="Arial" w:hAnsi="Arial" w:cs="Arial"/>
          <w:bCs/>
          <w:lang w:val="en-GB"/>
        </w:rPr>
        <w:lastRenderedPageBreak/>
        <w:t>question: assuming that the respondent could have raised its damages claim before the Labour Commissioner, was it compelled to do so?</w:t>
      </w:r>
    </w:p>
    <w:p w14:paraId="1D32CE99" w14:textId="77777777" w:rsidR="00126FC3" w:rsidRPr="00126FC3" w:rsidRDefault="00126FC3" w:rsidP="00126FC3">
      <w:pPr>
        <w:spacing w:line="360" w:lineRule="auto"/>
        <w:jc w:val="both"/>
        <w:rPr>
          <w:rFonts w:ascii="Arial" w:hAnsi="Arial" w:cs="Arial"/>
          <w:bCs/>
          <w:lang w:val="en"/>
        </w:rPr>
      </w:pPr>
      <w:r w:rsidRPr="00126FC3">
        <w:rPr>
          <w:rFonts w:ascii="Arial" w:hAnsi="Arial" w:cs="Arial"/>
          <w:bCs/>
          <w:lang w:val="en"/>
        </w:rPr>
        <w:t>[18]</w:t>
      </w:r>
      <w:r w:rsidRPr="00126FC3">
        <w:rPr>
          <w:rFonts w:ascii="Arial" w:hAnsi="Arial" w:cs="Arial"/>
          <w:bCs/>
          <w:lang w:val="en"/>
        </w:rPr>
        <w:tab/>
        <w:t xml:space="preserve">There is nothing in the Act that expressly purports to exclude the jurisdiction of the High Court in relation to damages claims arising from contracts of employment. Indeed, as pointed out above s 86(2) of the Act provides that a party </w:t>
      </w:r>
      <w:r w:rsidRPr="00126FC3">
        <w:rPr>
          <w:rFonts w:ascii="Arial" w:hAnsi="Arial" w:cs="Arial"/>
          <w:bCs/>
          <w:i/>
          <w:lang w:val="en"/>
        </w:rPr>
        <w:t xml:space="preserve">may </w:t>
      </w:r>
      <w:r w:rsidRPr="00126FC3">
        <w:rPr>
          <w:rFonts w:ascii="Arial" w:hAnsi="Arial" w:cs="Arial"/>
          <w:bCs/>
          <w:lang w:val="en"/>
        </w:rPr>
        <w:t xml:space="preserve">refer a dispute to the </w:t>
      </w:r>
      <w:proofErr w:type="spellStart"/>
      <w:r w:rsidRPr="00126FC3">
        <w:rPr>
          <w:rFonts w:ascii="Arial" w:hAnsi="Arial" w:cs="Arial"/>
          <w:bCs/>
          <w:lang w:val="en"/>
        </w:rPr>
        <w:t>Labour</w:t>
      </w:r>
      <w:proofErr w:type="spellEnd"/>
      <w:r w:rsidRPr="00126FC3">
        <w:rPr>
          <w:rFonts w:ascii="Arial" w:hAnsi="Arial" w:cs="Arial"/>
          <w:bCs/>
          <w:lang w:val="en"/>
        </w:rPr>
        <w:t xml:space="preserve"> Commissioner, and is thus not compelled to do so. A court will ordinarily be slow to interpret a statute to destroy a litigant’s cause of action (see </w:t>
      </w:r>
      <w:proofErr w:type="spellStart"/>
      <w:r w:rsidRPr="00126FC3">
        <w:rPr>
          <w:rFonts w:ascii="Arial" w:hAnsi="Arial" w:cs="Arial"/>
          <w:bCs/>
          <w:i/>
          <w:lang w:val="en"/>
        </w:rPr>
        <w:t>Fedlife</w:t>
      </w:r>
      <w:proofErr w:type="spellEnd"/>
      <w:r w:rsidRPr="00126FC3">
        <w:rPr>
          <w:rFonts w:ascii="Arial" w:hAnsi="Arial" w:cs="Arial"/>
          <w:bCs/>
          <w:i/>
          <w:lang w:val="en"/>
        </w:rPr>
        <w:t xml:space="preserve"> Assurance Ltd v </w:t>
      </w:r>
      <w:proofErr w:type="spellStart"/>
      <w:r w:rsidRPr="00126FC3">
        <w:rPr>
          <w:rFonts w:ascii="Arial" w:hAnsi="Arial" w:cs="Arial"/>
          <w:bCs/>
          <w:i/>
          <w:lang w:val="en"/>
        </w:rPr>
        <w:t>Wolfaardt</w:t>
      </w:r>
      <w:proofErr w:type="spellEnd"/>
      <w:r w:rsidRPr="00126FC3">
        <w:rPr>
          <w:rFonts w:ascii="Arial" w:hAnsi="Arial" w:cs="Arial"/>
          <w:bCs/>
          <w:i/>
          <w:lang w:val="en"/>
        </w:rPr>
        <w:t xml:space="preserve"> </w:t>
      </w:r>
      <w:r w:rsidRPr="00126FC3">
        <w:rPr>
          <w:rFonts w:ascii="Arial" w:hAnsi="Arial" w:cs="Arial"/>
          <w:bCs/>
          <w:lang w:val="en"/>
        </w:rPr>
        <w:t xml:space="preserve">2002 (1) SA 49 (SCA) at para 16). In the absence of a clear rule that if a litigant fails to counterclaim for damages arising from a contract of employment that has been placed before the </w:t>
      </w:r>
      <w:proofErr w:type="spellStart"/>
      <w:r w:rsidRPr="00126FC3">
        <w:rPr>
          <w:rFonts w:ascii="Arial" w:hAnsi="Arial" w:cs="Arial"/>
          <w:bCs/>
          <w:lang w:val="en"/>
        </w:rPr>
        <w:t>Labour</w:t>
      </w:r>
      <w:proofErr w:type="spellEnd"/>
      <w:r w:rsidRPr="00126FC3">
        <w:rPr>
          <w:rFonts w:ascii="Arial" w:hAnsi="Arial" w:cs="Arial"/>
          <w:bCs/>
          <w:lang w:val="en"/>
        </w:rPr>
        <w:t xml:space="preserve"> Commissioner in relation to a different dispute, the court will rarely conclude that such a rule is implicit in legislation.’</w:t>
      </w:r>
    </w:p>
    <w:p w14:paraId="63B4D70A" w14:textId="63758CBC"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[17]</w:t>
      </w:r>
      <w:r w:rsidRPr="00126FC3">
        <w:rPr>
          <w:rFonts w:ascii="Arial" w:hAnsi="Arial" w:cs="Arial"/>
          <w:bCs/>
          <w:sz w:val="24"/>
          <w:szCs w:val="24"/>
          <w:lang w:val="en"/>
        </w:rPr>
        <w:tab/>
        <w:t xml:space="preserve">Counsel for the appellant </w:t>
      </w:r>
      <w:r w:rsidR="008E1CEE">
        <w:rPr>
          <w:rFonts w:ascii="Arial" w:hAnsi="Arial" w:cs="Arial"/>
          <w:bCs/>
          <w:sz w:val="24"/>
          <w:szCs w:val="24"/>
          <w:lang w:val="en"/>
        </w:rPr>
        <w:t xml:space="preserve">in that appeal, </w:t>
      </w:r>
      <w:r w:rsidRPr="00126FC3">
        <w:rPr>
          <w:rFonts w:ascii="Arial" w:hAnsi="Arial" w:cs="Arial"/>
          <w:bCs/>
          <w:sz w:val="24"/>
          <w:szCs w:val="24"/>
          <w:lang w:val="en"/>
        </w:rPr>
        <w:t>was at pains to convince the court to find in favour of his client. Counsel suggested that if the court were to apply the principle of fairness in the case, the court would prevent respondent from suing the appellant in the High Court because the matter has already been settled i</w:t>
      </w:r>
      <w:r w:rsidR="00590DCF">
        <w:rPr>
          <w:rFonts w:ascii="Arial" w:hAnsi="Arial" w:cs="Arial"/>
          <w:bCs/>
          <w:sz w:val="24"/>
          <w:szCs w:val="24"/>
          <w:lang w:val="en"/>
        </w:rPr>
        <w:t>n proceedings under the Act. That</w:t>
      </w:r>
      <w:r w:rsidRPr="00126FC3">
        <w:rPr>
          <w:rFonts w:ascii="Arial" w:hAnsi="Arial" w:cs="Arial"/>
          <w:bCs/>
          <w:sz w:val="24"/>
          <w:szCs w:val="24"/>
          <w:lang w:val="en"/>
        </w:rPr>
        <w:t xml:space="preserve"> suggestion was rejected by the court</w:t>
      </w:r>
      <w:r w:rsidR="008E1CEE">
        <w:rPr>
          <w:rFonts w:ascii="Arial" w:hAnsi="Arial" w:cs="Arial"/>
          <w:bCs/>
          <w:sz w:val="24"/>
          <w:szCs w:val="24"/>
          <w:lang w:val="en"/>
        </w:rPr>
        <w:t xml:space="preserve"> and held that t</w:t>
      </w:r>
      <w:r w:rsidRPr="00126FC3">
        <w:rPr>
          <w:rFonts w:ascii="Arial" w:hAnsi="Arial" w:cs="Arial"/>
          <w:bCs/>
          <w:sz w:val="24"/>
          <w:szCs w:val="24"/>
          <w:lang w:val="en"/>
        </w:rPr>
        <w:t>he principle of fairness does not apply to the interest of one party only but to the interests of all parties to a dispute.</w:t>
      </w:r>
    </w:p>
    <w:p w14:paraId="480357F2" w14:textId="0CD0B812" w:rsidR="00126FC3" w:rsidRPr="00126FC3" w:rsidRDefault="002F7F4C" w:rsidP="00126FC3">
      <w:pPr>
        <w:spacing w:line="360" w:lineRule="auto"/>
        <w:jc w:val="both"/>
        <w:rPr>
          <w:rFonts w:ascii="Arial" w:hAnsi="Arial" w:cs="Arial"/>
          <w:bCs/>
          <w:sz w:val="24"/>
          <w:szCs w:val="24"/>
          <w:lang w:val="en"/>
        </w:rPr>
      </w:pPr>
      <w:r>
        <w:rPr>
          <w:rFonts w:ascii="Arial" w:hAnsi="Arial" w:cs="Arial"/>
          <w:bCs/>
          <w:sz w:val="24"/>
          <w:szCs w:val="24"/>
          <w:lang w:val="en"/>
        </w:rPr>
        <w:t>[18]</w:t>
      </w:r>
      <w:r>
        <w:rPr>
          <w:rFonts w:ascii="Arial" w:hAnsi="Arial" w:cs="Arial"/>
          <w:bCs/>
          <w:sz w:val="24"/>
          <w:szCs w:val="24"/>
          <w:lang w:val="en"/>
        </w:rPr>
        <w:tab/>
        <w:t>Applying the legal</w:t>
      </w:r>
      <w:r w:rsidR="00126FC3" w:rsidRPr="00126FC3">
        <w:rPr>
          <w:rFonts w:ascii="Arial" w:hAnsi="Arial" w:cs="Arial"/>
          <w:bCs/>
          <w:sz w:val="24"/>
          <w:szCs w:val="24"/>
          <w:lang w:val="en"/>
        </w:rPr>
        <w:t xml:space="preserve"> principles laid in the case of </w:t>
      </w:r>
      <w:proofErr w:type="spellStart"/>
      <w:r w:rsidR="00126FC3" w:rsidRPr="00126FC3">
        <w:rPr>
          <w:rFonts w:ascii="Arial" w:hAnsi="Arial" w:cs="Arial"/>
          <w:bCs/>
          <w:i/>
          <w:sz w:val="24"/>
          <w:szCs w:val="24"/>
          <w:lang w:val="en"/>
        </w:rPr>
        <w:t>Nghikofa</w:t>
      </w:r>
      <w:proofErr w:type="spellEnd"/>
      <w:r w:rsidR="00126FC3" w:rsidRPr="00126FC3">
        <w:rPr>
          <w:rFonts w:ascii="Arial" w:hAnsi="Arial" w:cs="Arial"/>
          <w:bCs/>
          <w:i/>
          <w:sz w:val="24"/>
          <w:szCs w:val="24"/>
          <w:lang w:val="en"/>
        </w:rPr>
        <w:t xml:space="preserve"> v Classic Engines supra</w:t>
      </w:r>
      <w:r w:rsidR="00126FC3" w:rsidRPr="00126FC3">
        <w:rPr>
          <w:rFonts w:ascii="Arial" w:hAnsi="Arial" w:cs="Arial"/>
          <w:bCs/>
          <w:sz w:val="24"/>
          <w:szCs w:val="24"/>
          <w:lang w:val="en"/>
        </w:rPr>
        <w:t xml:space="preserve"> </w:t>
      </w:r>
      <w:r>
        <w:rPr>
          <w:rFonts w:ascii="Arial" w:hAnsi="Arial" w:cs="Arial"/>
          <w:bCs/>
          <w:sz w:val="24"/>
          <w:szCs w:val="24"/>
          <w:lang w:val="en"/>
        </w:rPr>
        <w:t>by in</w:t>
      </w:r>
      <w:r w:rsidR="008E1CEE" w:rsidRPr="00126FC3">
        <w:rPr>
          <w:rFonts w:ascii="Arial" w:hAnsi="Arial" w:cs="Arial"/>
          <w:bCs/>
          <w:sz w:val="24"/>
          <w:szCs w:val="24"/>
          <w:lang w:val="en"/>
        </w:rPr>
        <w:t xml:space="preserve"> </w:t>
      </w:r>
      <w:r w:rsidR="008E1CEE">
        <w:rPr>
          <w:rFonts w:ascii="Arial" w:hAnsi="Arial" w:cs="Arial"/>
          <w:bCs/>
          <w:sz w:val="24"/>
          <w:szCs w:val="24"/>
          <w:lang w:val="en"/>
        </w:rPr>
        <w:t xml:space="preserve">the </w:t>
      </w:r>
      <w:r w:rsidR="008E1CEE" w:rsidRPr="00126FC3">
        <w:rPr>
          <w:rFonts w:ascii="Arial" w:hAnsi="Arial" w:cs="Arial"/>
          <w:bCs/>
          <w:sz w:val="24"/>
          <w:szCs w:val="24"/>
          <w:lang w:val="en"/>
        </w:rPr>
        <w:t xml:space="preserve">High and Supreme Courts </w:t>
      </w:r>
      <w:r w:rsidR="00126FC3" w:rsidRPr="00126FC3">
        <w:rPr>
          <w:rFonts w:ascii="Arial" w:hAnsi="Arial" w:cs="Arial"/>
          <w:bCs/>
          <w:sz w:val="24"/>
          <w:szCs w:val="24"/>
          <w:lang w:val="en"/>
        </w:rPr>
        <w:t>to the facts of the instant matter</w:t>
      </w:r>
      <w:r w:rsidR="008E1CEE">
        <w:rPr>
          <w:rFonts w:ascii="Arial" w:hAnsi="Arial" w:cs="Arial"/>
          <w:bCs/>
          <w:sz w:val="24"/>
          <w:szCs w:val="24"/>
          <w:lang w:val="en"/>
        </w:rPr>
        <w:t>,</w:t>
      </w:r>
      <w:r w:rsidR="00126FC3" w:rsidRPr="00126FC3">
        <w:rPr>
          <w:rFonts w:ascii="Arial" w:hAnsi="Arial" w:cs="Arial"/>
          <w:bCs/>
          <w:sz w:val="24"/>
          <w:szCs w:val="24"/>
          <w:lang w:val="en"/>
        </w:rPr>
        <w:t xml:space="preserve"> and if regard is </w:t>
      </w:r>
      <w:r w:rsidR="008E1CEE">
        <w:rPr>
          <w:rFonts w:ascii="Arial" w:hAnsi="Arial" w:cs="Arial"/>
          <w:bCs/>
          <w:sz w:val="24"/>
          <w:szCs w:val="24"/>
          <w:lang w:val="en"/>
        </w:rPr>
        <w:t xml:space="preserve">also </w:t>
      </w:r>
      <w:r w:rsidR="00126FC3" w:rsidRPr="00126FC3">
        <w:rPr>
          <w:rFonts w:ascii="Arial" w:hAnsi="Arial" w:cs="Arial"/>
          <w:bCs/>
          <w:sz w:val="24"/>
          <w:szCs w:val="24"/>
          <w:lang w:val="en"/>
        </w:rPr>
        <w:t xml:space="preserve">had </w:t>
      </w:r>
      <w:r w:rsidR="008E1CEE">
        <w:rPr>
          <w:rFonts w:ascii="Arial" w:hAnsi="Arial" w:cs="Arial"/>
          <w:bCs/>
          <w:sz w:val="24"/>
          <w:szCs w:val="24"/>
          <w:lang w:val="en"/>
        </w:rPr>
        <w:t xml:space="preserve">to </w:t>
      </w:r>
      <w:r w:rsidR="00126FC3" w:rsidRPr="00126FC3">
        <w:rPr>
          <w:rFonts w:ascii="Arial" w:hAnsi="Arial" w:cs="Arial"/>
          <w:bCs/>
          <w:sz w:val="24"/>
          <w:szCs w:val="24"/>
          <w:lang w:val="en"/>
        </w:rPr>
        <w:t xml:space="preserve">the authorities referred </w:t>
      </w:r>
      <w:r w:rsidR="008E1CEE">
        <w:rPr>
          <w:rFonts w:ascii="Arial" w:hAnsi="Arial" w:cs="Arial"/>
          <w:bCs/>
          <w:sz w:val="24"/>
          <w:szCs w:val="24"/>
          <w:lang w:val="en"/>
        </w:rPr>
        <w:t xml:space="preserve">to </w:t>
      </w:r>
      <w:r w:rsidR="00126FC3" w:rsidRPr="00126FC3">
        <w:rPr>
          <w:rFonts w:ascii="Arial" w:hAnsi="Arial" w:cs="Arial"/>
          <w:bCs/>
          <w:sz w:val="24"/>
          <w:szCs w:val="24"/>
          <w:lang w:val="en"/>
        </w:rPr>
        <w:t>by counsel for the plaintiff in his wri</w:t>
      </w:r>
      <w:r w:rsidR="008E1CEE">
        <w:rPr>
          <w:rFonts w:ascii="Arial" w:hAnsi="Arial" w:cs="Arial"/>
          <w:bCs/>
          <w:sz w:val="24"/>
          <w:szCs w:val="24"/>
          <w:lang w:val="en"/>
        </w:rPr>
        <w:t xml:space="preserve">tten heads of argument, I </w:t>
      </w:r>
      <w:r w:rsidR="00126FC3" w:rsidRPr="00126FC3">
        <w:rPr>
          <w:rFonts w:ascii="Arial" w:hAnsi="Arial" w:cs="Arial"/>
          <w:bCs/>
          <w:sz w:val="24"/>
          <w:szCs w:val="24"/>
          <w:lang w:val="en"/>
        </w:rPr>
        <w:t xml:space="preserve">agree with </w:t>
      </w:r>
      <w:proofErr w:type="spellStart"/>
      <w:r w:rsidR="00126FC3" w:rsidRPr="00126FC3">
        <w:rPr>
          <w:rFonts w:ascii="Arial" w:hAnsi="Arial" w:cs="Arial"/>
          <w:bCs/>
          <w:sz w:val="24"/>
          <w:szCs w:val="24"/>
          <w:lang w:val="en"/>
        </w:rPr>
        <w:t>Mr</w:t>
      </w:r>
      <w:proofErr w:type="spellEnd"/>
      <w:r w:rsidR="00126FC3" w:rsidRPr="00126FC3">
        <w:rPr>
          <w:rFonts w:ascii="Arial" w:hAnsi="Arial" w:cs="Arial"/>
          <w:bCs/>
          <w:sz w:val="24"/>
          <w:szCs w:val="24"/>
          <w:lang w:val="en"/>
        </w:rPr>
        <w:t xml:space="preserve"> </w:t>
      </w:r>
      <w:proofErr w:type="spellStart"/>
      <w:r w:rsidR="00126FC3" w:rsidRPr="00126FC3">
        <w:rPr>
          <w:rFonts w:ascii="Arial" w:hAnsi="Arial" w:cs="Arial"/>
          <w:bCs/>
          <w:sz w:val="24"/>
          <w:szCs w:val="24"/>
          <w:lang w:val="en"/>
        </w:rPr>
        <w:t>Haraseb</w:t>
      </w:r>
      <w:proofErr w:type="spellEnd"/>
      <w:r>
        <w:rPr>
          <w:rFonts w:ascii="Arial" w:hAnsi="Arial" w:cs="Arial"/>
          <w:bCs/>
          <w:sz w:val="24"/>
          <w:szCs w:val="24"/>
          <w:lang w:val="en"/>
        </w:rPr>
        <w:t>,</w:t>
      </w:r>
      <w:r w:rsidR="00126FC3" w:rsidRPr="00126FC3">
        <w:rPr>
          <w:rFonts w:ascii="Arial" w:hAnsi="Arial" w:cs="Arial"/>
          <w:bCs/>
          <w:sz w:val="24"/>
          <w:szCs w:val="24"/>
          <w:lang w:val="en"/>
        </w:rPr>
        <w:t xml:space="preserve"> counsel for plaintiff that by using the word </w:t>
      </w:r>
      <w:r w:rsidR="008E1CEE">
        <w:rPr>
          <w:rFonts w:ascii="Arial" w:hAnsi="Arial" w:cs="Arial"/>
          <w:bCs/>
          <w:sz w:val="24"/>
          <w:szCs w:val="24"/>
          <w:lang w:val="en"/>
        </w:rPr>
        <w:t>“</w:t>
      </w:r>
      <w:r w:rsidR="00126FC3" w:rsidRPr="00126FC3">
        <w:rPr>
          <w:rFonts w:ascii="Arial" w:hAnsi="Arial" w:cs="Arial"/>
          <w:bCs/>
          <w:sz w:val="24"/>
          <w:szCs w:val="24"/>
          <w:lang w:val="en"/>
        </w:rPr>
        <w:t>may</w:t>
      </w:r>
      <w:r w:rsidR="008E1CEE">
        <w:rPr>
          <w:rFonts w:ascii="Arial" w:hAnsi="Arial" w:cs="Arial"/>
          <w:bCs/>
          <w:sz w:val="24"/>
          <w:szCs w:val="24"/>
          <w:lang w:val="en"/>
        </w:rPr>
        <w:t>”</w:t>
      </w:r>
      <w:r w:rsidR="00126FC3" w:rsidRPr="00126FC3">
        <w:rPr>
          <w:rFonts w:ascii="Arial" w:hAnsi="Arial" w:cs="Arial"/>
          <w:bCs/>
          <w:sz w:val="24"/>
          <w:szCs w:val="24"/>
          <w:lang w:val="en"/>
        </w:rPr>
        <w:t xml:space="preserve">, in s 86 of the </w:t>
      </w:r>
      <w:proofErr w:type="spellStart"/>
      <w:r w:rsidR="00126FC3" w:rsidRPr="00126FC3">
        <w:rPr>
          <w:rFonts w:ascii="Arial" w:hAnsi="Arial" w:cs="Arial"/>
          <w:bCs/>
          <w:sz w:val="24"/>
          <w:szCs w:val="24"/>
          <w:lang w:val="en"/>
        </w:rPr>
        <w:t>Labour</w:t>
      </w:r>
      <w:proofErr w:type="spellEnd"/>
      <w:r w:rsidR="00126FC3" w:rsidRPr="00126FC3">
        <w:rPr>
          <w:rFonts w:ascii="Arial" w:hAnsi="Arial" w:cs="Arial"/>
          <w:bCs/>
          <w:sz w:val="24"/>
          <w:szCs w:val="24"/>
          <w:lang w:val="en"/>
        </w:rPr>
        <w:t xml:space="preserve"> Act, the legislature‘s intention was not to exclude the High Court from assuming jurisdiction </w:t>
      </w:r>
      <w:r>
        <w:rPr>
          <w:rFonts w:ascii="Arial" w:hAnsi="Arial" w:cs="Arial"/>
          <w:bCs/>
          <w:sz w:val="24"/>
          <w:szCs w:val="24"/>
          <w:lang w:val="en"/>
        </w:rPr>
        <w:t>to entertain claims of disputes</w:t>
      </w:r>
      <w:r w:rsidR="00126FC3" w:rsidRPr="00126FC3">
        <w:rPr>
          <w:rFonts w:ascii="Arial" w:hAnsi="Arial" w:cs="Arial"/>
          <w:bCs/>
          <w:sz w:val="24"/>
          <w:szCs w:val="24"/>
          <w:lang w:val="en"/>
        </w:rPr>
        <w:t xml:space="preserve"> similar to the one in this case. If the intention of the legislature was to give exclusive jurisdiction to the </w:t>
      </w:r>
      <w:proofErr w:type="spellStart"/>
      <w:r w:rsidR="00126FC3" w:rsidRPr="00126FC3">
        <w:rPr>
          <w:rFonts w:ascii="Arial" w:hAnsi="Arial" w:cs="Arial"/>
          <w:bCs/>
          <w:sz w:val="24"/>
          <w:szCs w:val="24"/>
          <w:lang w:val="en"/>
        </w:rPr>
        <w:t>Labour</w:t>
      </w:r>
      <w:proofErr w:type="spellEnd"/>
      <w:r w:rsidR="00126FC3" w:rsidRPr="00126FC3">
        <w:rPr>
          <w:rFonts w:ascii="Arial" w:hAnsi="Arial" w:cs="Arial"/>
          <w:bCs/>
          <w:sz w:val="24"/>
          <w:szCs w:val="24"/>
          <w:lang w:val="en"/>
        </w:rPr>
        <w:t xml:space="preserve"> Court</w:t>
      </w:r>
      <w:r w:rsidRPr="002F7F4C">
        <w:rPr>
          <w:rFonts w:ascii="Arial" w:hAnsi="Arial" w:cs="Arial"/>
          <w:bCs/>
          <w:sz w:val="24"/>
          <w:szCs w:val="24"/>
          <w:lang w:val="en"/>
        </w:rPr>
        <w:t xml:space="preserve"> </w:t>
      </w:r>
      <w:r w:rsidRPr="00126FC3">
        <w:rPr>
          <w:rFonts w:ascii="Arial" w:hAnsi="Arial" w:cs="Arial"/>
          <w:bCs/>
          <w:sz w:val="24"/>
          <w:szCs w:val="24"/>
          <w:lang w:val="en"/>
        </w:rPr>
        <w:t>to the exclusion of the High Court</w:t>
      </w:r>
      <w:r w:rsidR="00126FC3" w:rsidRPr="00126FC3">
        <w:rPr>
          <w:rFonts w:ascii="Arial" w:hAnsi="Arial" w:cs="Arial"/>
          <w:bCs/>
          <w:sz w:val="24"/>
          <w:szCs w:val="24"/>
          <w:lang w:val="en"/>
        </w:rPr>
        <w:t xml:space="preserve"> to entertain these claims</w:t>
      </w:r>
      <w:r>
        <w:rPr>
          <w:rFonts w:ascii="Arial" w:hAnsi="Arial" w:cs="Arial"/>
          <w:bCs/>
          <w:sz w:val="24"/>
          <w:szCs w:val="24"/>
          <w:lang w:val="en"/>
        </w:rPr>
        <w:t>,</w:t>
      </w:r>
      <w:r w:rsidR="00126FC3" w:rsidRPr="00126FC3">
        <w:rPr>
          <w:rFonts w:ascii="Arial" w:hAnsi="Arial" w:cs="Arial"/>
          <w:bCs/>
          <w:sz w:val="24"/>
          <w:szCs w:val="24"/>
          <w:lang w:val="en"/>
        </w:rPr>
        <w:t xml:space="preserve"> </w:t>
      </w:r>
      <w:r w:rsidR="008E1CEE">
        <w:rPr>
          <w:rFonts w:ascii="Arial" w:hAnsi="Arial" w:cs="Arial"/>
          <w:bCs/>
          <w:sz w:val="24"/>
          <w:szCs w:val="24"/>
          <w:lang w:val="en"/>
        </w:rPr>
        <w:t>the legislature would have say so in peremptory terms.</w:t>
      </w:r>
    </w:p>
    <w:p w14:paraId="2F43CBA4" w14:textId="3E1D2A05" w:rsidR="00126FC3" w:rsidRPr="00126FC3"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t>[19]</w:t>
      </w:r>
      <w:r w:rsidRPr="00126FC3">
        <w:rPr>
          <w:rFonts w:ascii="Arial" w:hAnsi="Arial" w:cs="Arial"/>
          <w:bCs/>
          <w:sz w:val="24"/>
          <w:szCs w:val="24"/>
          <w:lang w:val="en"/>
        </w:rPr>
        <w:tab/>
        <w:t xml:space="preserve">In addition, the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Act does not empower the arbitrator</w:t>
      </w:r>
      <w:r w:rsidR="008E1CEE">
        <w:rPr>
          <w:rFonts w:ascii="Arial" w:hAnsi="Arial" w:cs="Arial"/>
          <w:bCs/>
          <w:sz w:val="24"/>
          <w:szCs w:val="24"/>
          <w:lang w:val="en"/>
        </w:rPr>
        <w:t>s</w:t>
      </w:r>
      <w:r w:rsidRPr="00126FC3">
        <w:rPr>
          <w:rFonts w:ascii="Arial" w:hAnsi="Arial" w:cs="Arial"/>
          <w:bCs/>
          <w:sz w:val="24"/>
          <w:szCs w:val="24"/>
          <w:lang w:val="en"/>
        </w:rPr>
        <w:t xml:space="preserve"> </w:t>
      </w:r>
      <w:r w:rsidR="008E1CEE">
        <w:rPr>
          <w:rFonts w:ascii="Arial" w:hAnsi="Arial" w:cs="Arial"/>
          <w:bCs/>
          <w:sz w:val="24"/>
          <w:szCs w:val="24"/>
          <w:lang w:val="en"/>
        </w:rPr>
        <w:t>to make</w:t>
      </w:r>
      <w:r w:rsidRPr="00126FC3">
        <w:rPr>
          <w:rFonts w:ascii="Arial" w:hAnsi="Arial" w:cs="Arial"/>
          <w:bCs/>
          <w:sz w:val="24"/>
          <w:szCs w:val="24"/>
          <w:lang w:val="en"/>
        </w:rPr>
        <w:t xml:space="preserve"> award</w:t>
      </w:r>
      <w:r w:rsidR="008E1CEE">
        <w:rPr>
          <w:rFonts w:ascii="Arial" w:hAnsi="Arial" w:cs="Arial"/>
          <w:bCs/>
          <w:sz w:val="24"/>
          <w:szCs w:val="24"/>
          <w:lang w:val="en"/>
        </w:rPr>
        <w:t>s</w:t>
      </w:r>
      <w:r w:rsidRPr="00126FC3">
        <w:rPr>
          <w:rFonts w:ascii="Arial" w:hAnsi="Arial" w:cs="Arial"/>
          <w:bCs/>
          <w:sz w:val="24"/>
          <w:szCs w:val="24"/>
          <w:lang w:val="en"/>
        </w:rPr>
        <w:t xml:space="preserve"> for damages, arising from a breach of employment agreement or </w:t>
      </w:r>
      <w:r w:rsidR="008A1779">
        <w:rPr>
          <w:rFonts w:ascii="Arial" w:hAnsi="Arial" w:cs="Arial"/>
          <w:bCs/>
          <w:sz w:val="24"/>
          <w:szCs w:val="24"/>
          <w:lang w:val="en"/>
        </w:rPr>
        <w:t>from an employment relationship</w:t>
      </w:r>
      <w:r w:rsidRPr="00126FC3">
        <w:rPr>
          <w:rFonts w:ascii="Arial" w:hAnsi="Arial" w:cs="Arial"/>
          <w:bCs/>
          <w:sz w:val="24"/>
          <w:szCs w:val="24"/>
          <w:lang w:val="en"/>
        </w:rPr>
        <w:t xml:space="preserve">. This is also an indication that the legislature intended to deny the arbitrator the power to entertain claims of damages in terms of the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Act. Once more, nothing was in the way of the legislature to give such power to the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Court to the exclusion of the High Court.</w:t>
      </w:r>
    </w:p>
    <w:p w14:paraId="2C70407F" w14:textId="77777777" w:rsidR="00714FE4" w:rsidRDefault="00126FC3" w:rsidP="00126FC3">
      <w:pPr>
        <w:spacing w:line="360" w:lineRule="auto"/>
        <w:jc w:val="both"/>
        <w:rPr>
          <w:rFonts w:ascii="Arial" w:hAnsi="Arial" w:cs="Arial"/>
          <w:bCs/>
          <w:sz w:val="24"/>
          <w:szCs w:val="24"/>
          <w:lang w:val="en"/>
        </w:rPr>
      </w:pPr>
      <w:r w:rsidRPr="00126FC3">
        <w:rPr>
          <w:rFonts w:ascii="Arial" w:hAnsi="Arial" w:cs="Arial"/>
          <w:bCs/>
          <w:sz w:val="24"/>
          <w:szCs w:val="24"/>
          <w:lang w:val="en"/>
        </w:rPr>
        <w:lastRenderedPageBreak/>
        <w:t>[20]</w:t>
      </w:r>
      <w:r w:rsidRPr="00126FC3">
        <w:rPr>
          <w:rFonts w:ascii="Arial" w:hAnsi="Arial" w:cs="Arial"/>
          <w:bCs/>
          <w:sz w:val="24"/>
          <w:szCs w:val="24"/>
          <w:lang w:val="en"/>
        </w:rPr>
        <w:tab/>
        <w:t xml:space="preserve">Taking all </w:t>
      </w:r>
      <w:r w:rsidR="008E1CEE">
        <w:rPr>
          <w:rFonts w:ascii="Arial" w:hAnsi="Arial" w:cs="Arial"/>
          <w:bCs/>
          <w:sz w:val="24"/>
          <w:szCs w:val="24"/>
          <w:lang w:val="en"/>
        </w:rPr>
        <w:t xml:space="preserve">the </w:t>
      </w:r>
      <w:r w:rsidR="008A1779">
        <w:rPr>
          <w:rFonts w:ascii="Arial" w:hAnsi="Arial" w:cs="Arial"/>
          <w:bCs/>
          <w:sz w:val="24"/>
          <w:szCs w:val="24"/>
          <w:lang w:val="en"/>
        </w:rPr>
        <w:t xml:space="preserve">above </w:t>
      </w:r>
      <w:r w:rsidRPr="00126FC3">
        <w:rPr>
          <w:rFonts w:ascii="Arial" w:hAnsi="Arial" w:cs="Arial"/>
          <w:bCs/>
          <w:sz w:val="24"/>
          <w:szCs w:val="24"/>
          <w:lang w:val="en"/>
        </w:rPr>
        <w:t>into consideration and authorities cited in heads of argument by counsel, I am not persuaded by the defendant to uphold his special plea. He has failed to prove</w:t>
      </w:r>
      <w:r w:rsidR="008A1779">
        <w:rPr>
          <w:rFonts w:ascii="Arial" w:hAnsi="Arial" w:cs="Arial"/>
          <w:bCs/>
          <w:sz w:val="24"/>
          <w:szCs w:val="24"/>
          <w:lang w:val="en"/>
        </w:rPr>
        <w:t xml:space="preserve"> </w:t>
      </w:r>
      <w:r w:rsidR="008E1CEE">
        <w:rPr>
          <w:rFonts w:ascii="Arial" w:hAnsi="Arial" w:cs="Arial"/>
          <w:bCs/>
          <w:sz w:val="24"/>
          <w:szCs w:val="24"/>
          <w:lang w:val="en"/>
        </w:rPr>
        <w:t>on a balance of probabilities</w:t>
      </w:r>
      <w:r w:rsidRPr="00126FC3">
        <w:rPr>
          <w:rFonts w:ascii="Arial" w:hAnsi="Arial" w:cs="Arial"/>
          <w:bCs/>
          <w:sz w:val="24"/>
          <w:szCs w:val="24"/>
          <w:lang w:val="en"/>
        </w:rPr>
        <w:t xml:space="preserve"> that the </w:t>
      </w:r>
      <w:proofErr w:type="spellStart"/>
      <w:r w:rsidRPr="00126FC3">
        <w:rPr>
          <w:rFonts w:ascii="Arial" w:hAnsi="Arial" w:cs="Arial"/>
          <w:bCs/>
          <w:sz w:val="24"/>
          <w:szCs w:val="24"/>
          <w:lang w:val="en"/>
        </w:rPr>
        <w:t>Labour</w:t>
      </w:r>
      <w:proofErr w:type="spellEnd"/>
      <w:r w:rsidRPr="00126FC3">
        <w:rPr>
          <w:rFonts w:ascii="Arial" w:hAnsi="Arial" w:cs="Arial"/>
          <w:bCs/>
          <w:sz w:val="24"/>
          <w:szCs w:val="24"/>
          <w:lang w:val="en"/>
        </w:rPr>
        <w:t xml:space="preserve"> Act or any other law excluded this court (High Court) from adjudicating and determining the claim in the matter at hand. That said</w:t>
      </w:r>
      <w:r w:rsidR="008E1CEE">
        <w:rPr>
          <w:rFonts w:ascii="Arial" w:hAnsi="Arial" w:cs="Arial"/>
          <w:bCs/>
          <w:sz w:val="24"/>
          <w:szCs w:val="24"/>
          <w:lang w:val="en"/>
        </w:rPr>
        <w:t>,</w:t>
      </w:r>
      <w:r w:rsidRPr="00126FC3">
        <w:rPr>
          <w:rFonts w:ascii="Arial" w:hAnsi="Arial" w:cs="Arial"/>
          <w:bCs/>
          <w:sz w:val="24"/>
          <w:szCs w:val="24"/>
          <w:lang w:val="en"/>
        </w:rPr>
        <w:t xml:space="preserve"> I reject the argument that this court does not have jurisdiction to hear the </w:t>
      </w:r>
      <w:proofErr w:type="spellStart"/>
      <w:r w:rsidRPr="00126FC3">
        <w:rPr>
          <w:rFonts w:ascii="Arial" w:hAnsi="Arial" w:cs="Arial"/>
          <w:bCs/>
          <w:sz w:val="24"/>
          <w:szCs w:val="24"/>
          <w:lang w:val="en"/>
        </w:rPr>
        <w:t>matter</w:t>
      </w:r>
      <w:r w:rsidR="00714FE4">
        <w:rPr>
          <w:rFonts w:ascii="Arial" w:hAnsi="Arial" w:cs="Arial"/>
          <w:bCs/>
          <w:sz w:val="24"/>
          <w:szCs w:val="24"/>
          <w:lang w:val="en"/>
        </w:rPr>
        <w:t>and</w:t>
      </w:r>
      <w:proofErr w:type="spellEnd"/>
      <w:r w:rsidR="00714FE4">
        <w:rPr>
          <w:rFonts w:ascii="Arial" w:hAnsi="Arial" w:cs="Arial"/>
          <w:bCs/>
          <w:sz w:val="24"/>
          <w:szCs w:val="24"/>
          <w:lang w:val="en"/>
        </w:rPr>
        <w:t xml:space="preserve"> make the following order:</w:t>
      </w:r>
    </w:p>
    <w:p w14:paraId="1950AA0F" w14:textId="77777777" w:rsidR="00714FE4" w:rsidRDefault="00714FE4" w:rsidP="00714FE4">
      <w:pPr>
        <w:spacing w:after="0" w:line="360" w:lineRule="auto"/>
        <w:jc w:val="both"/>
        <w:rPr>
          <w:rFonts w:ascii="Arial" w:hAnsi="Arial" w:cs="Arial"/>
          <w:bCs/>
          <w:sz w:val="24"/>
          <w:szCs w:val="24"/>
          <w:lang w:val="en"/>
        </w:rPr>
      </w:pPr>
    </w:p>
    <w:p w14:paraId="59B1E951" w14:textId="77777777" w:rsidR="00714FE4" w:rsidRDefault="00714FE4" w:rsidP="00B96FA1">
      <w:pPr>
        <w:spacing w:after="0" w:line="360" w:lineRule="auto"/>
        <w:jc w:val="both"/>
        <w:rPr>
          <w:rFonts w:ascii="Arial" w:hAnsi="Arial" w:cs="Arial"/>
          <w:bCs/>
          <w:sz w:val="24"/>
          <w:szCs w:val="24"/>
        </w:rPr>
      </w:pPr>
      <w:r>
        <w:rPr>
          <w:rFonts w:ascii="Arial" w:hAnsi="Arial" w:cs="Arial"/>
          <w:bCs/>
          <w:sz w:val="24"/>
          <w:szCs w:val="24"/>
          <w:lang w:val="en"/>
        </w:rPr>
        <w:t>T</w:t>
      </w:r>
      <w:r w:rsidRPr="00126FC3">
        <w:rPr>
          <w:rFonts w:ascii="Arial" w:hAnsi="Arial" w:cs="Arial"/>
          <w:bCs/>
          <w:sz w:val="24"/>
          <w:szCs w:val="24"/>
          <w:lang w:val="en"/>
        </w:rPr>
        <w:t xml:space="preserve">he special plea </w:t>
      </w:r>
      <w:r>
        <w:rPr>
          <w:rFonts w:ascii="Arial" w:hAnsi="Arial" w:cs="Arial"/>
          <w:bCs/>
          <w:sz w:val="24"/>
          <w:szCs w:val="24"/>
          <w:lang w:val="en"/>
        </w:rPr>
        <w:t xml:space="preserve">that the High Court does not have jurisdiction to hear the matter is dismissed </w:t>
      </w:r>
      <w:r w:rsidRPr="00126FC3">
        <w:rPr>
          <w:rFonts w:ascii="Arial" w:hAnsi="Arial" w:cs="Arial"/>
          <w:bCs/>
          <w:sz w:val="24"/>
          <w:szCs w:val="24"/>
          <w:lang w:val="en"/>
        </w:rPr>
        <w:t>with costs.</w:t>
      </w:r>
    </w:p>
    <w:p w14:paraId="27D39DE8" w14:textId="77777777" w:rsidR="00126FC3" w:rsidRPr="00126FC3" w:rsidRDefault="00126FC3" w:rsidP="00126FC3">
      <w:pPr>
        <w:spacing w:line="360" w:lineRule="auto"/>
        <w:jc w:val="both"/>
        <w:rPr>
          <w:rFonts w:ascii="Arial" w:hAnsi="Arial" w:cs="Arial"/>
          <w:bCs/>
          <w:sz w:val="24"/>
          <w:szCs w:val="24"/>
          <w:lang w:val="en"/>
        </w:rPr>
      </w:pPr>
    </w:p>
    <w:p w14:paraId="2557DBA6" w14:textId="77777777" w:rsidR="00126FC3" w:rsidRDefault="00126FC3" w:rsidP="00701251">
      <w:pPr>
        <w:spacing w:line="360" w:lineRule="auto"/>
        <w:jc w:val="both"/>
        <w:rPr>
          <w:rFonts w:ascii="Arial" w:hAnsi="Arial" w:cs="Arial"/>
          <w:bCs/>
          <w:sz w:val="24"/>
          <w:szCs w:val="24"/>
        </w:rPr>
      </w:pPr>
    </w:p>
    <w:p w14:paraId="36923870" w14:textId="77777777" w:rsidR="00126FC3" w:rsidRDefault="00126FC3" w:rsidP="00701251">
      <w:pPr>
        <w:spacing w:line="360" w:lineRule="auto"/>
        <w:jc w:val="both"/>
        <w:rPr>
          <w:rFonts w:ascii="Arial" w:hAnsi="Arial" w:cs="Arial"/>
          <w:bCs/>
          <w:sz w:val="24"/>
          <w:szCs w:val="24"/>
        </w:rPr>
      </w:pPr>
    </w:p>
    <w:p w14:paraId="717DC8D5" w14:textId="77777777" w:rsidR="00AF06C9" w:rsidRPr="006E026B" w:rsidRDefault="00AF06C9" w:rsidP="00AF06C9">
      <w:pPr>
        <w:spacing w:after="0" w:line="360" w:lineRule="auto"/>
        <w:jc w:val="right"/>
        <w:rPr>
          <w:rFonts w:ascii="Arial" w:hAnsi="Arial" w:cs="Arial"/>
          <w:sz w:val="24"/>
          <w:szCs w:val="24"/>
        </w:rPr>
      </w:pPr>
      <w:r w:rsidRPr="006E026B">
        <w:rPr>
          <w:rFonts w:ascii="Arial" w:hAnsi="Arial" w:cs="Arial"/>
          <w:sz w:val="24"/>
          <w:szCs w:val="24"/>
        </w:rPr>
        <w:t>----------------------------------</w:t>
      </w:r>
    </w:p>
    <w:p w14:paraId="018E9502" w14:textId="2B62C9BE" w:rsidR="00AF06C9" w:rsidRPr="006E026B" w:rsidRDefault="00B96FA1" w:rsidP="00AF06C9">
      <w:pPr>
        <w:spacing w:after="0" w:line="360" w:lineRule="auto"/>
        <w:jc w:val="right"/>
        <w:rPr>
          <w:rFonts w:ascii="Arial" w:hAnsi="Arial" w:cs="Arial"/>
          <w:sz w:val="24"/>
          <w:szCs w:val="24"/>
        </w:rPr>
      </w:pPr>
      <w:r>
        <w:rPr>
          <w:rFonts w:ascii="Arial" w:hAnsi="Arial" w:cs="Arial"/>
          <w:sz w:val="24"/>
          <w:szCs w:val="24"/>
        </w:rPr>
        <w:t xml:space="preserve">E P </w:t>
      </w:r>
      <w:r w:rsidR="00AF06C9">
        <w:rPr>
          <w:rFonts w:ascii="Arial" w:hAnsi="Arial" w:cs="Arial"/>
          <w:sz w:val="24"/>
          <w:szCs w:val="24"/>
        </w:rPr>
        <w:t>UNENGU</w:t>
      </w:r>
    </w:p>
    <w:p w14:paraId="55F72A7E" w14:textId="77777777" w:rsidR="00AF06C9" w:rsidRDefault="00AF06C9" w:rsidP="00AF06C9">
      <w:pPr>
        <w:spacing w:after="0" w:line="360" w:lineRule="auto"/>
        <w:jc w:val="right"/>
        <w:rPr>
          <w:rFonts w:ascii="Arial" w:hAnsi="Arial" w:cs="Arial"/>
          <w:sz w:val="24"/>
          <w:szCs w:val="24"/>
        </w:rPr>
      </w:pPr>
      <w:r>
        <w:rPr>
          <w:rFonts w:ascii="Arial" w:hAnsi="Arial" w:cs="Arial"/>
          <w:sz w:val="24"/>
          <w:szCs w:val="24"/>
        </w:rPr>
        <w:t>Acting Judge</w:t>
      </w:r>
    </w:p>
    <w:p w14:paraId="5B1A3F25" w14:textId="77777777" w:rsidR="000173FE" w:rsidRDefault="000173FE" w:rsidP="00AF06C9">
      <w:pPr>
        <w:spacing w:after="0" w:line="360" w:lineRule="auto"/>
        <w:jc w:val="right"/>
        <w:rPr>
          <w:rFonts w:ascii="Arial" w:hAnsi="Arial" w:cs="Arial"/>
          <w:sz w:val="24"/>
          <w:szCs w:val="24"/>
        </w:rPr>
      </w:pPr>
    </w:p>
    <w:p w14:paraId="18F54AFB" w14:textId="77777777" w:rsidR="000173FE" w:rsidRDefault="000173FE" w:rsidP="000173FE">
      <w:pPr>
        <w:spacing w:after="0" w:line="360" w:lineRule="auto"/>
        <w:rPr>
          <w:rFonts w:ascii="Arial" w:hAnsi="Arial" w:cs="Arial"/>
          <w:sz w:val="24"/>
          <w:szCs w:val="24"/>
        </w:rPr>
      </w:pPr>
    </w:p>
    <w:p w14:paraId="154A3F2D" w14:textId="77777777" w:rsidR="000173FE" w:rsidRDefault="000173FE" w:rsidP="000173FE">
      <w:pPr>
        <w:spacing w:after="0" w:line="360" w:lineRule="auto"/>
        <w:rPr>
          <w:rFonts w:ascii="Arial" w:hAnsi="Arial" w:cs="Arial"/>
          <w:sz w:val="24"/>
          <w:szCs w:val="24"/>
        </w:rPr>
      </w:pPr>
    </w:p>
    <w:p w14:paraId="40C989AC" w14:textId="77777777" w:rsidR="00784195" w:rsidRDefault="00784195" w:rsidP="000173FE">
      <w:pPr>
        <w:spacing w:after="0" w:line="360" w:lineRule="auto"/>
        <w:rPr>
          <w:rFonts w:ascii="Arial" w:hAnsi="Arial" w:cs="Arial"/>
          <w:sz w:val="24"/>
          <w:szCs w:val="24"/>
        </w:rPr>
      </w:pPr>
    </w:p>
    <w:p w14:paraId="0EB35238" w14:textId="77777777" w:rsidR="00784195" w:rsidRDefault="00784195" w:rsidP="000173FE">
      <w:pPr>
        <w:spacing w:after="0" w:line="360" w:lineRule="auto"/>
        <w:rPr>
          <w:rFonts w:ascii="Arial" w:hAnsi="Arial" w:cs="Arial"/>
          <w:sz w:val="24"/>
          <w:szCs w:val="24"/>
        </w:rPr>
      </w:pPr>
    </w:p>
    <w:p w14:paraId="1065F3CE" w14:textId="77777777" w:rsidR="00784195" w:rsidRDefault="00784195" w:rsidP="000173FE">
      <w:pPr>
        <w:spacing w:after="0" w:line="360" w:lineRule="auto"/>
        <w:rPr>
          <w:rFonts w:ascii="Arial" w:hAnsi="Arial" w:cs="Arial"/>
          <w:sz w:val="24"/>
          <w:szCs w:val="24"/>
        </w:rPr>
      </w:pPr>
    </w:p>
    <w:p w14:paraId="3246E7ED" w14:textId="77777777" w:rsidR="00784195" w:rsidRDefault="00784195" w:rsidP="000173FE">
      <w:pPr>
        <w:spacing w:after="0" w:line="360" w:lineRule="auto"/>
        <w:rPr>
          <w:rFonts w:ascii="Arial" w:hAnsi="Arial" w:cs="Arial"/>
          <w:sz w:val="24"/>
          <w:szCs w:val="24"/>
        </w:rPr>
      </w:pPr>
    </w:p>
    <w:p w14:paraId="653C2A84" w14:textId="77777777" w:rsidR="00784195" w:rsidRDefault="00784195" w:rsidP="000173FE">
      <w:pPr>
        <w:spacing w:after="0" w:line="360" w:lineRule="auto"/>
        <w:rPr>
          <w:rFonts w:ascii="Arial" w:hAnsi="Arial" w:cs="Arial"/>
          <w:sz w:val="24"/>
          <w:szCs w:val="24"/>
        </w:rPr>
      </w:pPr>
    </w:p>
    <w:p w14:paraId="5037E55D" w14:textId="77777777" w:rsidR="00784195" w:rsidRDefault="00784195" w:rsidP="000173FE">
      <w:pPr>
        <w:spacing w:after="0" w:line="360" w:lineRule="auto"/>
        <w:rPr>
          <w:rFonts w:ascii="Arial" w:hAnsi="Arial" w:cs="Arial"/>
          <w:sz w:val="24"/>
          <w:szCs w:val="24"/>
        </w:rPr>
      </w:pPr>
    </w:p>
    <w:p w14:paraId="0B6711B5" w14:textId="77777777" w:rsidR="00784195" w:rsidRDefault="00784195" w:rsidP="000173FE">
      <w:pPr>
        <w:spacing w:after="0" w:line="360" w:lineRule="auto"/>
        <w:rPr>
          <w:rFonts w:ascii="Arial" w:hAnsi="Arial" w:cs="Arial"/>
          <w:sz w:val="24"/>
          <w:szCs w:val="24"/>
        </w:rPr>
      </w:pPr>
    </w:p>
    <w:p w14:paraId="0C1EF5F8" w14:textId="77777777" w:rsidR="00784195" w:rsidRDefault="00784195" w:rsidP="000173FE">
      <w:pPr>
        <w:spacing w:after="0" w:line="360" w:lineRule="auto"/>
        <w:rPr>
          <w:rFonts w:ascii="Arial" w:hAnsi="Arial" w:cs="Arial"/>
          <w:sz w:val="24"/>
          <w:szCs w:val="24"/>
        </w:rPr>
      </w:pPr>
    </w:p>
    <w:p w14:paraId="1ACEDAD3" w14:textId="77777777" w:rsidR="00784195" w:rsidRDefault="00784195" w:rsidP="000173FE">
      <w:pPr>
        <w:spacing w:after="0" w:line="360" w:lineRule="auto"/>
        <w:rPr>
          <w:rFonts w:ascii="Arial" w:hAnsi="Arial" w:cs="Arial"/>
          <w:sz w:val="24"/>
          <w:szCs w:val="24"/>
        </w:rPr>
      </w:pPr>
    </w:p>
    <w:p w14:paraId="0CAD9F2E" w14:textId="77777777" w:rsidR="00784195" w:rsidRDefault="00784195" w:rsidP="000173FE">
      <w:pPr>
        <w:spacing w:after="0" w:line="360" w:lineRule="auto"/>
        <w:rPr>
          <w:rFonts w:ascii="Arial" w:hAnsi="Arial" w:cs="Arial"/>
          <w:sz w:val="24"/>
          <w:szCs w:val="24"/>
        </w:rPr>
      </w:pPr>
    </w:p>
    <w:p w14:paraId="7BC068F8" w14:textId="77777777" w:rsidR="00784195" w:rsidRDefault="00784195" w:rsidP="000173FE">
      <w:pPr>
        <w:spacing w:after="0" w:line="360" w:lineRule="auto"/>
        <w:rPr>
          <w:rFonts w:ascii="Arial" w:hAnsi="Arial" w:cs="Arial"/>
          <w:sz w:val="24"/>
          <w:szCs w:val="24"/>
        </w:rPr>
      </w:pPr>
    </w:p>
    <w:p w14:paraId="1F87FA51" w14:textId="77777777" w:rsidR="00784195" w:rsidRDefault="00784195" w:rsidP="000173FE">
      <w:pPr>
        <w:spacing w:after="0" w:line="360" w:lineRule="auto"/>
        <w:rPr>
          <w:rFonts w:ascii="Arial" w:hAnsi="Arial" w:cs="Arial"/>
          <w:sz w:val="24"/>
          <w:szCs w:val="24"/>
        </w:rPr>
      </w:pPr>
    </w:p>
    <w:p w14:paraId="5C665978" w14:textId="77777777" w:rsidR="000173FE" w:rsidRPr="008D7641" w:rsidRDefault="000173FE" w:rsidP="000173FE">
      <w:pPr>
        <w:spacing w:after="0" w:line="360" w:lineRule="auto"/>
        <w:rPr>
          <w:rFonts w:ascii="Arial" w:hAnsi="Arial" w:cs="Arial"/>
          <w:sz w:val="24"/>
          <w:szCs w:val="24"/>
        </w:rPr>
      </w:pPr>
    </w:p>
    <w:p w14:paraId="63E4629D" w14:textId="0F0A1D8C" w:rsidR="00015A1A" w:rsidRPr="00B96FA1" w:rsidRDefault="00E65BC4" w:rsidP="00015A1A">
      <w:pPr>
        <w:spacing w:before="240" w:line="360" w:lineRule="auto"/>
        <w:jc w:val="both"/>
        <w:rPr>
          <w:rFonts w:ascii="Arial" w:hAnsi="Arial" w:cs="Arial"/>
          <w:bCs/>
          <w:sz w:val="24"/>
          <w:szCs w:val="24"/>
        </w:rPr>
      </w:pPr>
      <w:r w:rsidRPr="00B96FA1">
        <w:rPr>
          <w:rFonts w:ascii="Arial" w:hAnsi="Arial" w:cs="Arial"/>
          <w:bCs/>
          <w:sz w:val="24"/>
          <w:szCs w:val="24"/>
        </w:rPr>
        <w:lastRenderedPageBreak/>
        <w:t>APPEARANCES:</w:t>
      </w:r>
    </w:p>
    <w:p w14:paraId="579CFF2B" w14:textId="77777777" w:rsidR="008C7EA5" w:rsidRDefault="008C7EA5" w:rsidP="00015A1A">
      <w:pPr>
        <w:spacing w:before="240" w:line="360" w:lineRule="auto"/>
        <w:jc w:val="both"/>
        <w:rPr>
          <w:rFonts w:ascii="Arial" w:hAnsi="Arial" w:cs="Arial"/>
          <w:bCs/>
          <w:sz w:val="24"/>
          <w:szCs w:val="24"/>
        </w:rPr>
      </w:pPr>
    </w:p>
    <w:p w14:paraId="51F8E485" w14:textId="69CE235E" w:rsidR="00440B0F" w:rsidRDefault="00E65BC4" w:rsidP="00440B0F">
      <w:pPr>
        <w:spacing w:before="240" w:line="360" w:lineRule="auto"/>
        <w:contextualSpacing/>
        <w:jc w:val="both"/>
        <w:rPr>
          <w:rFonts w:ascii="Arial" w:hAnsi="Arial" w:cs="Arial"/>
          <w:bCs/>
          <w:sz w:val="24"/>
          <w:szCs w:val="24"/>
        </w:rPr>
      </w:pPr>
      <w:r>
        <w:rPr>
          <w:rFonts w:ascii="Arial" w:hAnsi="Arial" w:cs="Arial"/>
          <w:bCs/>
          <w:sz w:val="24"/>
          <w:szCs w:val="24"/>
        </w:rPr>
        <w:t xml:space="preserve">PLAINTIFF: </w:t>
      </w:r>
      <w:r w:rsidR="00E34F81">
        <w:rPr>
          <w:rFonts w:ascii="Arial" w:hAnsi="Arial" w:cs="Arial"/>
          <w:bCs/>
          <w:sz w:val="24"/>
          <w:szCs w:val="24"/>
        </w:rPr>
        <w:tab/>
      </w:r>
      <w:r w:rsidR="00E34F8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t xml:space="preserve">            K</w:t>
      </w:r>
      <w:r w:rsidR="00440B0F">
        <w:rPr>
          <w:rFonts w:ascii="Arial" w:hAnsi="Arial" w:cs="Arial"/>
          <w:bCs/>
          <w:sz w:val="24"/>
          <w:szCs w:val="24"/>
        </w:rPr>
        <w:t xml:space="preserve"> </w:t>
      </w:r>
      <w:proofErr w:type="spellStart"/>
      <w:r w:rsidR="00440B0F">
        <w:rPr>
          <w:rFonts w:ascii="Arial" w:hAnsi="Arial" w:cs="Arial"/>
          <w:bCs/>
          <w:sz w:val="24"/>
          <w:szCs w:val="24"/>
        </w:rPr>
        <w:t>Haraseb</w:t>
      </w:r>
      <w:proofErr w:type="spellEnd"/>
    </w:p>
    <w:p w14:paraId="54639E7A" w14:textId="09BCAA01" w:rsidR="00440B0F" w:rsidRDefault="00440B0F" w:rsidP="00440B0F">
      <w:pPr>
        <w:spacing w:before="240" w:line="360" w:lineRule="auto"/>
        <w:contextualSpacing/>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Pr>
          <w:rFonts w:ascii="Arial" w:hAnsi="Arial" w:cs="Arial"/>
          <w:bCs/>
          <w:sz w:val="24"/>
          <w:szCs w:val="24"/>
        </w:rPr>
        <w:t xml:space="preserve">ENSAFRICA I NAMIBIA </w:t>
      </w:r>
    </w:p>
    <w:p w14:paraId="2758B8E6" w14:textId="289195E4" w:rsidR="00B96FA1" w:rsidRDefault="00B96FA1" w:rsidP="00B96FA1">
      <w:pPr>
        <w:spacing w:before="240" w:line="360" w:lineRule="auto"/>
        <w:ind w:left="3600"/>
        <w:contextualSpacing/>
        <w:jc w:val="both"/>
        <w:rPr>
          <w:rFonts w:ascii="Arial" w:hAnsi="Arial" w:cs="Arial"/>
          <w:bCs/>
          <w:sz w:val="24"/>
          <w:szCs w:val="24"/>
        </w:rPr>
      </w:pPr>
      <w:r>
        <w:rPr>
          <w:rFonts w:ascii="Arial" w:hAnsi="Arial" w:cs="Arial"/>
          <w:bCs/>
          <w:sz w:val="24"/>
          <w:szCs w:val="24"/>
        </w:rPr>
        <w:t xml:space="preserve">                       </w:t>
      </w:r>
      <w:r w:rsidR="00440B0F">
        <w:rPr>
          <w:rFonts w:ascii="Arial" w:hAnsi="Arial" w:cs="Arial"/>
          <w:bCs/>
          <w:sz w:val="24"/>
          <w:szCs w:val="24"/>
        </w:rPr>
        <w:t>(</w:t>
      </w:r>
      <w:proofErr w:type="spellStart"/>
      <w:r w:rsidR="00440B0F">
        <w:rPr>
          <w:rFonts w:ascii="Arial" w:hAnsi="Arial" w:cs="Arial"/>
          <w:bCs/>
          <w:sz w:val="24"/>
          <w:szCs w:val="24"/>
        </w:rPr>
        <w:t>Incoporated</w:t>
      </w:r>
      <w:proofErr w:type="spellEnd"/>
      <w:r w:rsidR="00440B0F">
        <w:rPr>
          <w:rFonts w:ascii="Arial" w:hAnsi="Arial" w:cs="Arial"/>
          <w:bCs/>
          <w:sz w:val="24"/>
          <w:szCs w:val="24"/>
        </w:rPr>
        <w:t xml:space="preserve"> as Lorentz </w:t>
      </w:r>
      <w:proofErr w:type="spellStart"/>
      <w:r w:rsidR="00440B0F">
        <w:rPr>
          <w:rFonts w:ascii="Arial" w:hAnsi="Arial" w:cs="Arial"/>
          <w:bCs/>
          <w:sz w:val="24"/>
          <w:szCs w:val="24"/>
        </w:rPr>
        <w:t>Angula</w:t>
      </w:r>
      <w:proofErr w:type="spellEnd"/>
      <w:r w:rsidR="00440B0F">
        <w:rPr>
          <w:rFonts w:ascii="Arial" w:hAnsi="Arial" w:cs="Arial"/>
          <w:bCs/>
          <w:sz w:val="24"/>
          <w:szCs w:val="24"/>
        </w:rPr>
        <w:t xml:space="preserve"> </w:t>
      </w:r>
      <w:proofErr w:type="spellStart"/>
      <w:r w:rsidR="00440B0F">
        <w:rPr>
          <w:rFonts w:ascii="Arial" w:hAnsi="Arial" w:cs="Arial"/>
          <w:bCs/>
          <w:sz w:val="24"/>
          <w:szCs w:val="24"/>
        </w:rPr>
        <w:t>Incl</w:t>
      </w:r>
      <w:proofErr w:type="spellEnd"/>
      <w:r w:rsidR="00440B0F">
        <w:rPr>
          <w:rFonts w:ascii="Arial" w:hAnsi="Arial" w:cs="Arial"/>
          <w:bCs/>
          <w:sz w:val="24"/>
          <w:szCs w:val="24"/>
        </w:rPr>
        <w:t xml:space="preserve">), </w:t>
      </w:r>
    </w:p>
    <w:p w14:paraId="0CC39833" w14:textId="11BA0655" w:rsidR="00440B0F" w:rsidRDefault="00440B0F" w:rsidP="00B96FA1">
      <w:pPr>
        <w:spacing w:before="240" w:line="360" w:lineRule="auto"/>
        <w:ind w:left="7200" w:firstLine="720"/>
        <w:contextualSpacing/>
        <w:jc w:val="both"/>
        <w:rPr>
          <w:rFonts w:ascii="Arial" w:hAnsi="Arial" w:cs="Arial"/>
          <w:bCs/>
          <w:sz w:val="24"/>
          <w:szCs w:val="24"/>
        </w:rPr>
      </w:pPr>
      <w:r>
        <w:rPr>
          <w:rFonts w:ascii="Arial" w:hAnsi="Arial" w:cs="Arial"/>
          <w:bCs/>
          <w:sz w:val="24"/>
          <w:szCs w:val="24"/>
        </w:rPr>
        <w:t>Windhoek.</w:t>
      </w:r>
    </w:p>
    <w:p w14:paraId="46B282E4" w14:textId="77777777" w:rsidR="00440B0F" w:rsidRDefault="00440B0F" w:rsidP="008C7EA5">
      <w:pPr>
        <w:spacing w:before="240" w:line="360" w:lineRule="auto"/>
        <w:contextualSpacing/>
        <w:jc w:val="both"/>
        <w:rPr>
          <w:rFonts w:ascii="Arial" w:hAnsi="Arial" w:cs="Arial"/>
          <w:bCs/>
          <w:sz w:val="24"/>
          <w:szCs w:val="24"/>
        </w:rPr>
      </w:pPr>
    </w:p>
    <w:p w14:paraId="68C7C11D" w14:textId="77777777" w:rsidR="008B5EAD" w:rsidRDefault="008B5EAD" w:rsidP="008C7EA5">
      <w:pPr>
        <w:spacing w:before="240" w:line="360" w:lineRule="auto"/>
        <w:contextualSpacing/>
        <w:jc w:val="both"/>
        <w:rPr>
          <w:rFonts w:ascii="Arial" w:hAnsi="Arial" w:cs="Arial"/>
          <w:bCs/>
          <w:sz w:val="24"/>
          <w:szCs w:val="24"/>
        </w:rPr>
      </w:pPr>
    </w:p>
    <w:p w14:paraId="1D35CB78" w14:textId="3FA13BC3" w:rsidR="00440B0F" w:rsidRDefault="00E65BC4" w:rsidP="00440B0F">
      <w:pPr>
        <w:spacing w:before="240" w:line="240" w:lineRule="auto"/>
        <w:jc w:val="both"/>
        <w:rPr>
          <w:rFonts w:ascii="Arial" w:hAnsi="Arial" w:cs="Arial"/>
          <w:bCs/>
          <w:sz w:val="24"/>
          <w:szCs w:val="24"/>
        </w:rPr>
      </w:pPr>
      <w:r>
        <w:rPr>
          <w:rFonts w:ascii="Arial" w:hAnsi="Arial" w:cs="Arial"/>
          <w:bCs/>
          <w:sz w:val="24"/>
          <w:szCs w:val="24"/>
        </w:rPr>
        <w:t>DEFENDANT</w:t>
      </w:r>
      <w:r w:rsidR="001E7D75">
        <w:rPr>
          <w:rFonts w:ascii="Arial" w:hAnsi="Arial" w:cs="Arial"/>
          <w:bCs/>
          <w:sz w:val="24"/>
          <w:szCs w:val="24"/>
        </w:rPr>
        <w:t>S</w:t>
      </w:r>
      <w:r>
        <w:rPr>
          <w:rFonts w:ascii="Arial" w:hAnsi="Arial" w:cs="Arial"/>
          <w:bCs/>
          <w:sz w:val="24"/>
          <w:szCs w:val="24"/>
        </w:rPr>
        <w:t>:</w:t>
      </w:r>
      <w:r w:rsidR="006117DA">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t xml:space="preserve">                       C </w:t>
      </w:r>
      <w:proofErr w:type="spellStart"/>
      <w:r w:rsidR="00440B0F">
        <w:rPr>
          <w:rFonts w:ascii="Arial" w:hAnsi="Arial" w:cs="Arial"/>
          <w:bCs/>
          <w:sz w:val="24"/>
          <w:szCs w:val="24"/>
        </w:rPr>
        <w:t>Cilliers</w:t>
      </w:r>
      <w:proofErr w:type="spellEnd"/>
    </w:p>
    <w:p w14:paraId="149665B0" w14:textId="277E8BDF" w:rsidR="008B5EAD" w:rsidRDefault="00440B0F" w:rsidP="008B5EAD">
      <w:pPr>
        <w:spacing w:before="24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r>
      <w:r w:rsidR="00B96FA1">
        <w:rPr>
          <w:rFonts w:ascii="Arial" w:hAnsi="Arial" w:cs="Arial"/>
          <w:bCs/>
          <w:sz w:val="24"/>
          <w:szCs w:val="24"/>
        </w:rPr>
        <w:tab/>
        <w:t xml:space="preserve"> </w:t>
      </w:r>
      <w:r>
        <w:rPr>
          <w:rFonts w:ascii="Arial" w:hAnsi="Arial" w:cs="Arial"/>
          <w:bCs/>
          <w:sz w:val="24"/>
          <w:szCs w:val="24"/>
        </w:rPr>
        <w:t>Erasmus &amp; Associates</w:t>
      </w:r>
    </w:p>
    <w:p w14:paraId="70259638" w14:textId="3CC8B04C" w:rsidR="00B96FA1" w:rsidRPr="00015A1A" w:rsidRDefault="00B96FA1" w:rsidP="008B5EAD">
      <w:pPr>
        <w:spacing w:before="24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Windhoek</w:t>
      </w:r>
    </w:p>
    <w:sectPr w:rsidR="00B96FA1" w:rsidRPr="00015A1A" w:rsidSect="009835E1">
      <w:headerReference w:type="default" r:id="rId9"/>
      <w:pgSz w:w="12240" w:h="15840"/>
      <w:pgMar w:top="1440" w:right="1440" w:bottom="851"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9880C" w14:textId="77777777" w:rsidR="00F636A8" w:rsidRDefault="00F636A8" w:rsidP="00914DE0">
      <w:pPr>
        <w:spacing w:after="0" w:line="240" w:lineRule="auto"/>
      </w:pPr>
      <w:r>
        <w:separator/>
      </w:r>
    </w:p>
  </w:endnote>
  <w:endnote w:type="continuationSeparator" w:id="0">
    <w:p w14:paraId="21985EE3" w14:textId="77777777" w:rsidR="00F636A8" w:rsidRDefault="00F636A8" w:rsidP="0091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D375C" w14:textId="77777777" w:rsidR="00F636A8" w:rsidRDefault="00F636A8" w:rsidP="00914DE0">
      <w:pPr>
        <w:spacing w:after="0" w:line="240" w:lineRule="auto"/>
      </w:pPr>
      <w:r>
        <w:separator/>
      </w:r>
    </w:p>
  </w:footnote>
  <w:footnote w:type="continuationSeparator" w:id="0">
    <w:p w14:paraId="5935EE0A" w14:textId="77777777" w:rsidR="00F636A8" w:rsidRDefault="00F636A8" w:rsidP="00914DE0">
      <w:pPr>
        <w:spacing w:after="0" w:line="240" w:lineRule="auto"/>
      </w:pPr>
      <w:r>
        <w:continuationSeparator/>
      </w:r>
    </w:p>
  </w:footnote>
  <w:footnote w:id="1">
    <w:p w14:paraId="7C5D907D" w14:textId="77777777" w:rsidR="00126FC3" w:rsidRPr="00FB6BA8" w:rsidRDefault="00126FC3" w:rsidP="00126FC3">
      <w:pPr>
        <w:pStyle w:val="FootnoteText"/>
        <w:rPr>
          <w:lang w:val="en-ZA"/>
        </w:rPr>
      </w:pPr>
      <w:r>
        <w:rPr>
          <w:rStyle w:val="FootnoteReference"/>
        </w:rPr>
        <w:footnoteRef/>
      </w:r>
      <w:r>
        <w:t xml:space="preserve"> Case No. </w:t>
      </w:r>
      <w:r w:rsidRPr="00FB6BA8">
        <w:t>1 A364 /2008, delivered on 24 December 2008</w:t>
      </w:r>
      <w:r>
        <w:t>.</w:t>
      </w:r>
    </w:p>
  </w:footnote>
  <w:footnote w:id="2">
    <w:p w14:paraId="2C7D08FE" w14:textId="77777777" w:rsidR="00126FC3" w:rsidRPr="00AE29A2" w:rsidRDefault="00126FC3" w:rsidP="00126FC3">
      <w:pPr>
        <w:pStyle w:val="FootnoteText"/>
        <w:rPr>
          <w:lang w:val="en-ZA"/>
        </w:rPr>
      </w:pPr>
      <w:r>
        <w:rPr>
          <w:rStyle w:val="FootnoteReference"/>
        </w:rPr>
        <w:footnoteRef/>
      </w:r>
      <w:r>
        <w:t xml:space="preserve"> </w:t>
      </w:r>
      <w:r w:rsidRPr="00FB6BA8">
        <w:t xml:space="preserve">Case No. </w:t>
      </w:r>
      <w:r w:rsidRPr="00FB6BA8">
        <w:rPr>
          <w:rFonts w:ascii="Arial" w:hAnsi="Arial" w:cs="Arial"/>
        </w:rPr>
        <w:t>1 A222/2015</w:t>
      </w:r>
      <w:r w:rsidRPr="00FB6BA8">
        <w:t xml:space="preserve"> [2015] NAHCMD 225 (0</w:t>
      </w:r>
      <w:r w:rsidRPr="00FB6BA8">
        <w:rPr>
          <w:rFonts w:ascii="Arial" w:hAnsi="Arial" w:cs="Arial"/>
        </w:rPr>
        <w:t>6 September 2015</w:t>
      </w:r>
      <w:r w:rsidRPr="00FB6BA8">
        <w:t>).</w:t>
      </w:r>
    </w:p>
  </w:footnote>
  <w:footnote w:id="3">
    <w:p w14:paraId="7A5A88BD" w14:textId="67CC58AA" w:rsidR="007409AD" w:rsidRPr="007409AD" w:rsidRDefault="007409AD">
      <w:pPr>
        <w:pStyle w:val="FootnoteText"/>
        <w:rPr>
          <w:rFonts w:ascii="Arial" w:hAnsi="Arial" w:cs="Arial"/>
          <w:lang w:val="en-ZA"/>
        </w:rPr>
      </w:pPr>
      <w:r w:rsidRPr="007409AD">
        <w:rPr>
          <w:rStyle w:val="FootnoteReference"/>
          <w:rFonts w:ascii="Arial" w:hAnsi="Arial" w:cs="Arial"/>
        </w:rPr>
        <w:footnoteRef/>
      </w:r>
      <w:r w:rsidRPr="007409AD">
        <w:rPr>
          <w:rFonts w:ascii="Arial" w:hAnsi="Arial" w:cs="Arial"/>
        </w:rPr>
        <w:t xml:space="preserve"> </w:t>
      </w:r>
      <w:r>
        <w:rPr>
          <w:rFonts w:ascii="Arial" w:hAnsi="Arial" w:cs="Arial"/>
        </w:rPr>
        <w:t xml:space="preserve">S 117 of the </w:t>
      </w:r>
      <w:proofErr w:type="spellStart"/>
      <w:r>
        <w:rPr>
          <w:rFonts w:ascii="Arial" w:hAnsi="Arial" w:cs="Arial"/>
        </w:rPr>
        <w:t>Labour</w:t>
      </w:r>
      <w:proofErr w:type="spellEnd"/>
      <w:r>
        <w:rPr>
          <w:rFonts w:ascii="Arial" w:hAnsi="Arial" w:cs="Arial"/>
        </w:rPr>
        <w:t xml:space="preserve"> Act</w:t>
      </w:r>
      <w:r w:rsidR="00E4260A">
        <w:rPr>
          <w:rFonts w:ascii="Arial" w:hAnsi="Arial" w:cs="Arial"/>
        </w:rPr>
        <w:t xml:space="preserve"> </w:t>
      </w:r>
      <w:r>
        <w:rPr>
          <w:rFonts w:ascii="Arial" w:hAnsi="Arial" w:cs="Arial"/>
        </w:rPr>
        <w:t>11 of 2007.</w:t>
      </w:r>
    </w:p>
  </w:footnote>
  <w:footnote w:id="4">
    <w:p w14:paraId="7FB54924" w14:textId="1969A90C" w:rsidR="00E4260A" w:rsidRPr="00E4260A" w:rsidRDefault="00E4260A">
      <w:pPr>
        <w:pStyle w:val="FootnoteText"/>
        <w:rPr>
          <w:rFonts w:ascii="Arial" w:hAnsi="Arial" w:cs="Arial"/>
          <w:lang w:val="en-ZA"/>
        </w:rPr>
      </w:pPr>
      <w:r w:rsidRPr="00E4260A">
        <w:rPr>
          <w:rStyle w:val="FootnoteReference"/>
          <w:rFonts w:ascii="Arial" w:hAnsi="Arial" w:cs="Arial"/>
        </w:rPr>
        <w:footnoteRef/>
      </w:r>
      <w:r w:rsidRPr="00E4260A">
        <w:rPr>
          <w:rFonts w:ascii="Arial" w:hAnsi="Arial" w:cs="Arial"/>
        </w:rPr>
        <w:t xml:space="preserve"> Act 16 of 1990.</w:t>
      </w:r>
    </w:p>
  </w:footnote>
  <w:footnote w:id="5">
    <w:p w14:paraId="53CEBC3C" w14:textId="77777777" w:rsidR="00126FC3" w:rsidRPr="00B96FA1" w:rsidRDefault="00126FC3" w:rsidP="00126FC3">
      <w:pPr>
        <w:pStyle w:val="FootnoteText"/>
        <w:rPr>
          <w:rFonts w:ascii="Arial" w:hAnsi="Arial" w:cs="Arial"/>
          <w:lang w:val="en-ZA"/>
        </w:rPr>
      </w:pPr>
      <w:r>
        <w:rPr>
          <w:rStyle w:val="FootnoteReference"/>
        </w:rPr>
        <w:footnoteRef/>
      </w:r>
      <w:r>
        <w:t xml:space="preserve"> </w:t>
      </w:r>
      <w:r w:rsidRPr="00B96FA1">
        <w:rPr>
          <w:rFonts w:ascii="Arial" w:hAnsi="Arial" w:cs="Arial"/>
        </w:rPr>
        <w:t>Case No: SA 52/2012, delivered on 26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80701"/>
      <w:docPartObj>
        <w:docPartGallery w:val="Page Numbers (Top of Page)"/>
        <w:docPartUnique/>
      </w:docPartObj>
    </w:sdtPr>
    <w:sdtEndPr>
      <w:rPr>
        <w:noProof/>
      </w:rPr>
    </w:sdtEndPr>
    <w:sdtContent>
      <w:p w14:paraId="6E2D6064" w14:textId="3A00E416" w:rsidR="00CC4446" w:rsidRDefault="00CC4446">
        <w:pPr>
          <w:pStyle w:val="Header"/>
          <w:jc w:val="right"/>
        </w:pPr>
        <w:r>
          <w:fldChar w:fldCharType="begin"/>
        </w:r>
        <w:r>
          <w:instrText xml:space="preserve"> PAGE   \* MERGEFORMAT </w:instrText>
        </w:r>
        <w:r>
          <w:fldChar w:fldCharType="separate"/>
        </w:r>
        <w:r w:rsidR="00B96FA1">
          <w:rPr>
            <w:noProof/>
          </w:rPr>
          <w:t>10</w:t>
        </w:r>
        <w:r>
          <w:rPr>
            <w:noProof/>
          </w:rPr>
          <w:fldChar w:fldCharType="end"/>
        </w:r>
      </w:p>
    </w:sdtContent>
  </w:sdt>
  <w:p w14:paraId="37B31621" w14:textId="77777777" w:rsidR="00CC4446" w:rsidRDefault="00CC4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319"/>
    <w:multiLevelType w:val="hybridMultilevel"/>
    <w:tmpl w:val="9D542A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B77D9A"/>
    <w:multiLevelType w:val="hybridMultilevel"/>
    <w:tmpl w:val="2C24DF52"/>
    <w:lvl w:ilvl="0" w:tplc="4D345BE0">
      <w:start w:val="1"/>
      <w:numFmt w:val="lowerRoman"/>
      <w:lvlText w:val="(%1)"/>
      <w:lvlJc w:val="left"/>
      <w:pPr>
        <w:ind w:left="1080" w:hanging="72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44D3C4F"/>
    <w:multiLevelType w:val="hybridMultilevel"/>
    <w:tmpl w:val="AA7A9BFE"/>
    <w:lvl w:ilvl="0" w:tplc="C34A8E1E">
      <w:start w:val="126"/>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6190B8D"/>
    <w:multiLevelType w:val="hybridMultilevel"/>
    <w:tmpl w:val="62827F0E"/>
    <w:lvl w:ilvl="0" w:tplc="E0BC0A9C">
      <w:start w:val="1"/>
      <w:numFmt w:val="lowerRoman"/>
      <w:lvlText w:val="(%1)"/>
      <w:lvlJc w:val="left"/>
      <w:pPr>
        <w:ind w:left="1080" w:hanging="72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8B2D0C"/>
    <w:multiLevelType w:val="hybridMultilevel"/>
    <w:tmpl w:val="564E3E8A"/>
    <w:lvl w:ilvl="0" w:tplc="B324FC1C">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A2C7A99"/>
    <w:multiLevelType w:val="hybridMultilevel"/>
    <w:tmpl w:val="47F25F22"/>
    <w:lvl w:ilvl="0" w:tplc="362A74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B72171F"/>
    <w:multiLevelType w:val="hybridMultilevel"/>
    <w:tmpl w:val="7B8AC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D53A31"/>
    <w:multiLevelType w:val="hybridMultilevel"/>
    <w:tmpl w:val="C4FC7E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29"/>
    <w:rsid w:val="000012F6"/>
    <w:rsid w:val="00006BCB"/>
    <w:rsid w:val="00015A1A"/>
    <w:rsid w:val="00015D34"/>
    <w:rsid w:val="00017349"/>
    <w:rsid w:val="000173FE"/>
    <w:rsid w:val="0003126C"/>
    <w:rsid w:val="00041CC8"/>
    <w:rsid w:val="00050FFC"/>
    <w:rsid w:val="00060E6A"/>
    <w:rsid w:val="00094092"/>
    <w:rsid w:val="000A567A"/>
    <w:rsid w:val="000C4FA2"/>
    <w:rsid w:val="000C7180"/>
    <w:rsid w:val="001254CB"/>
    <w:rsid w:val="00126FC3"/>
    <w:rsid w:val="00175D1D"/>
    <w:rsid w:val="001800B1"/>
    <w:rsid w:val="00193DE9"/>
    <w:rsid w:val="0019799B"/>
    <w:rsid w:val="00197D09"/>
    <w:rsid w:val="001B6D18"/>
    <w:rsid w:val="001E2571"/>
    <w:rsid w:val="001E7D75"/>
    <w:rsid w:val="00202285"/>
    <w:rsid w:val="00202D6A"/>
    <w:rsid w:val="00245EE1"/>
    <w:rsid w:val="00251AED"/>
    <w:rsid w:val="00275D5F"/>
    <w:rsid w:val="002E682B"/>
    <w:rsid w:val="002F7F4C"/>
    <w:rsid w:val="003001AF"/>
    <w:rsid w:val="00333D9E"/>
    <w:rsid w:val="00381A70"/>
    <w:rsid w:val="0038378D"/>
    <w:rsid w:val="003866B7"/>
    <w:rsid w:val="003E5329"/>
    <w:rsid w:val="0041693F"/>
    <w:rsid w:val="00440B0F"/>
    <w:rsid w:val="004631AB"/>
    <w:rsid w:val="00463D82"/>
    <w:rsid w:val="004742BC"/>
    <w:rsid w:val="00492CE0"/>
    <w:rsid w:val="004B58F3"/>
    <w:rsid w:val="004D2A85"/>
    <w:rsid w:val="00511605"/>
    <w:rsid w:val="00530325"/>
    <w:rsid w:val="00547E68"/>
    <w:rsid w:val="00561DB9"/>
    <w:rsid w:val="005857D4"/>
    <w:rsid w:val="00590DCF"/>
    <w:rsid w:val="005A702C"/>
    <w:rsid w:val="005B2FAA"/>
    <w:rsid w:val="005C1C99"/>
    <w:rsid w:val="005E24D3"/>
    <w:rsid w:val="006021CF"/>
    <w:rsid w:val="006117DA"/>
    <w:rsid w:val="0062563B"/>
    <w:rsid w:val="00630853"/>
    <w:rsid w:val="00650D81"/>
    <w:rsid w:val="00674E40"/>
    <w:rsid w:val="00683A1B"/>
    <w:rsid w:val="006A23F8"/>
    <w:rsid w:val="006A7B7C"/>
    <w:rsid w:val="00701251"/>
    <w:rsid w:val="00707223"/>
    <w:rsid w:val="00712D87"/>
    <w:rsid w:val="00714FE4"/>
    <w:rsid w:val="007409AD"/>
    <w:rsid w:val="0074426C"/>
    <w:rsid w:val="00761609"/>
    <w:rsid w:val="00767807"/>
    <w:rsid w:val="0077487B"/>
    <w:rsid w:val="007818E1"/>
    <w:rsid w:val="00784195"/>
    <w:rsid w:val="00784A6B"/>
    <w:rsid w:val="00785BFA"/>
    <w:rsid w:val="007B5509"/>
    <w:rsid w:val="007D7A5D"/>
    <w:rsid w:val="00891C8D"/>
    <w:rsid w:val="008A1779"/>
    <w:rsid w:val="008B5EAD"/>
    <w:rsid w:val="008C7EA5"/>
    <w:rsid w:val="008D6BBE"/>
    <w:rsid w:val="008E1CEE"/>
    <w:rsid w:val="008F3216"/>
    <w:rsid w:val="008F523E"/>
    <w:rsid w:val="008F67F5"/>
    <w:rsid w:val="008F7BA8"/>
    <w:rsid w:val="00914DE0"/>
    <w:rsid w:val="00943AD7"/>
    <w:rsid w:val="00954689"/>
    <w:rsid w:val="00972521"/>
    <w:rsid w:val="00972899"/>
    <w:rsid w:val="00973055"/>
    <w:rsid w:val="0097389C"/>
    <w:rsid w:val="009835E1"/>
    <w:rsid w:val="009D47B0"/>
    <w:rsid w:val="009D4F31"/>
    <w:rsid w:val="009E24CC"/>
    <w:rsid w:val="00A22FB6"/>
    <w:rsid w:val="00A57CA4"/>
    <w:rsid w:val="00A632BD"/>
    <w:rsid w:val="00A70398"/>
    <w:rsid w:val="00A92446"/>
    <w:rsid w:val="00AA2007"/>
    <w:rsid w:val="00AA41C3"/>
    <w:rsid w:val="00AC10E0"/>
    <w:rsid w:val="00AC1CC3"/>
    <w:rsid w:val="00AC6485"/>
    <w:rsid w:val="00AC7880"/>
    <w:rsid w:val="00AC7AD2"/>
    <w:rsid w:val="00AE7B57"/>
    <w:rsid w:val="00AE7C5E"/>
    <w:rsid w:val="00AF06C9"/>
    <w:rsid w:val="00AF7FC2"/>
    <w:rsid w:val="00B11BBD"/>
    <w:rsid w:val="00B16BC7"/>
    <w:rsid w:val="00B41F05"/>
    <w:rsid w:val="00B42B7D"/>
    <w:rsid w:val="00B441A7"/>
    <w:rsid w:val="00B46041"/>
    <w:rsid w:val="00B50497"/>
    <w:rsid w:val="00B61489"/>
    <w:rsid w:val="00B63186"/>
    <w:rsid w:val="00B707DF"/>
    <w:rsid w:val="00B96FA1"/>
    <w:rsid w:val="00BB417D"/>
    <w:rsid w:val="00BE641A"/>
    <w:rsid w:val="00BE78F5"/>
    <w:rsid w:val="00C256F8"/>
    <w:rsid w:val="00C30490"/>
    <w:rsid w:val="00C30F1A"/>
    <w:rsid w:val="00C768E5"/>
    <w:rsid w:val="00CA7DA2"/>
    <w:rsid w:val="00CB0EEB"/>
    <w:rsid w:val="00CB3C37"/>
    <w:rsid w:val="00CB7529"/>
    <w:rsid w:val="00CC4446"/>
    <w:rsid w:val="00CD41BA"/>
    <w:rsid w:val="00D17417"/>
    <w:rsid w:val="00D324AE"/>
    <w:rsid w:val="00D44AF9"/>
    <w:rsid w:val="00DC1D3F"/>
    <w:rsid w:val="00DC2F2C"/>
    <w:rsid w:val="00DD5144"/>
    <w:rsid w:val="00E027EA"/>
    <w:rsid w:val="00E0769D"/>
    <w:rsid w:val="00E320FE"/>
    <w:rsid w:val="00E34CE5"/>
    <w:rsid w:val="00E34F81"/>
    <w:rsid w:val="00E4260A"/>
    <w:rsid w:val="00E46BBE"/>
    <w:rsid w:val="00E47A69"/>
    <w:rsid w:val="00E65BC4"/>
    <w:rsid w:val="00EE526B"/>
    <w:rsid w:val="00F13CF8"/>
    <w:rsid w:val="00F27F6B"/>
    <w:rsid w:val="00F437D4"/>
    <w:rsid w:val="00F54F5F"/>
    <w:rsid w:val="00F5573B"/>
    <w:rsid w:val="00F60CBF"/>
    <w:rsid w:val="00F6124D"/>
    <w:rsid w:val="00F636A8"/>
    <w:rsid w:val="00F64390"/>
    <w:rsid w:val="00F76271"/>
    <w:rsid w:val="00F8739B"/>
    <w:rsid w:val="00F87D9C"/>
    <w:rsid w:val="00FA20D8"/>
    <w:rsid w:val="00FB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494B"/>
  <w15:chartTrackingRefBased/>
  <w15:docId w15:val="{6FB7001C-57CE-4D2F-B9EB-2F3B6DBD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807"/>
    <w:pPr>
      <w:ind w:left="720"/>
      <w:contextualSpacing/>
    </w:pPr>
  </w:style>
  <w:style w:type="paragraph" w:styleId="FootnoteText">
    <w:name w:val="footnote text"/>
    <w:basedOn w:val="Normal"/>
    <w:link w:val="FootnoteTextChar"/>
    <w:uiPriority w:val="99"/>
    <w:semiHidden/>
    <w:unhideWhenUsed/>
    <w:rsid w:val="00914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DE0"/>
    <w:rPr>
      <w:sz w:val="20"/>
      <w:szCs w:val="20"/>
    </w:rPr>
  </w:style>
  <w:style w:type="character" w:styleId="FootnoteReference">
    <w:name w:val="footnote reference"/>
    <w:basedOn w:val="DefaultParagraphFont"/>
    <w:uiPriority w:val="99"/>
    <w:semiHidden/>
    <w:unhideWhenUsed/>
    <w:rsid w:val="00914DE0"/>
    <w:rPr>
      <w:vertAlign w:val="superscript"/>
    </w:rPr>
  </w:style>
  <w:style w:type="paragraph" w:styleId="Header">
    <w:name w:val="header"/>
    <w:basedOn w:val="Normal"/>
    <w:link w:val="HeaderChar"/>
    <w:uiPriority w:val="99"/>
    <w:unhideWhenUsed/>
    <w:rsid w:val="00AF7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FC2"/>
  </w:style>
  <w:style w:type="paragraph" w:styleId="Footer">
    <w:name w:val="footer"/>
    <w:basedOn w:val="Normal"/>
    <w:link w:val="FooterChar"/>
    <w:uiPriority w:val="99"/>
    <w:unhideWhenUsed/>
    <w:rsid w:val="00AF7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FC2"/>
  </w:style>
  <w:style w:type="paragraph" w:styleId="BalloonText">
    <w:name w:val="Balloon Text"/>
    <w:basedOn w:val="Normal"/>
    <w:link w:val="BalloonTextChar"/>
    <w:uiPriority w:val="99"/>
    <w:semiHidden/>
    <w:unhideWhenUsed/>
    <w:rsid w:val="00E34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2020-11-16T18:30:00+00:00</Judgment_x0020_Date>
    <Year xmlns="c1afb1bd-f2fb-40fd-9abb-aea55b4d7662">2020</Year>
  </documentManagement>
</p:properties>
</file>

<file path=customXml/itemProps1.xml><?xml version="1.0" encoding="utf-8"?>
<ds:datastoreItem xmlns:ds="http://schemas.openxmlformats.org/officeDocument/2006/customXml" ds:itemID="{522E39F4-144F-45AD-A92A-73F15588FAE9}"/>
</file>

<file path=customXml/itemProps2.xml><?xml version="1.0" encoding="utf-8"?>
<ds:datastoreItem xmlns:ds="http://schemas.openxmlformats.org/officeDocument/2006/customXml" ds:itemID="{F83EECAE-B0E7-42DD-9ACE-8A9DB1386032}"/>
</file>

<file path=customXml/itemProps3.xml><?xml version="1.0" encoding="utf-8"?>
<ds:datastoreItem xmlns:ds="http://schemas.openxmlformats.org/officeDocument/2006/customXml" ds:itemID="{7A7AAE54-A357-4BD9-B276-A96CED42927E}"/>
</file>

<file path=customXml/itemProps4.xml><?xml version="1.0" encoding="utf-8"?>
<ds:datastoreItem xmlns:ds="http://schemas.openxmlformats.org/officeDocument/2006/customXml" ds:itemID="{85350830-62C8-4F3E-953E-6A7736BBE8DD}"/>
</file>

<file path=docProps/app.xml><?xml version="1.0" encoding="utf-8"?>
<Properties xmlns="http://schemas.openxmlformats.org/officeDocument/2006/extended-properties" xmlns:vt="http://schemas.openxmlformats.org/officeDocument/2006/docPropsVTypes">
  <Template>Normal</Template>
  <TotalTime>0</TotalTime>
  <Pages>10</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 Limited v Erasmus (HC-MD-CIV-ACT-CON-2019-00761) [2020] NAHCMD 526 (17 November 2020)</dc:title>
  <dc:subject/>
  <dc:creator>pc</dc:creator>
  <cp:keywords/>
  <dc:description/>
  <cp:lastModifiedBy>Administrator</cp:lastModifiedBy>
  <cp:revision>2</cp:revision>
  <cp:lastPrinted>2020-11-16T10:02:00Z</cp:lastPrinted>
  <dcterms:created xsi:type="dcterms:W3CDTF">2020-11-20T13:44:00Z</dcterms:created>
  <dcterms:modified xsi:type="dcterms:W3CDTF">2020-11-20T13:44:00Z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