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CE" w:rsidRPr="00050022" w:rsidRDefault="004223CE" w:rsidP="004223CE">
      <w:pPr>
        <w:spacing w:after="0" w:line="360" w:lineRule="auto"/>
        <w:jc w:val="center"/>
        <w:rPr>
          <w:rFonts w:eastAsia="Times New Roman"/>
          <w:b/>
        </w:rPr>
      </w:pPr>
      <w:r w:rsidRPr="00050022">
        <w:rPr>
          <w:rFonts w:eastAsia="Times New Roman"/>
          <w:noProof/>
        </w:rPr>
        <mc:AlternateContent>
          <mc:Choice Requires="wps">
            <w:drawing>
              <wp:anchor distT="0" distB="0" distL="114300" distR="114300" simplePos="0" relativeHeight="251659264" behindDoc="0" locked="0" layoutInCell="1" allowOverlap="1" wp14:anchorId="395334CA" wp14:editId="481CF4D6">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4223CE" w:rsidRPr="000A0FD8" w:rsidRDefault="004223CE" w:rsidP="004223CE">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334CA"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4223CE" w:rsidRPr="000A0FD8" w:rsidRDefault="004223CE" w:rsidP="004223CE">
                      <w:pPr>
                        <w:jc w:val="right"/>
                        <w:rPr>
                          <w:b/>
                        </w:rPr>
                      </w:pPr>
                    </w:p>
                  </w:txbxContent>
                </v:textbox>
                <w10:wrap anchorx="margin"/>
              </v:shape>
            </w:pict>
          </mc:Fallback>
        </mc:AlternateContent>
      </w:r>
      <w:r w:rsidRPr="00050022">
        <w:rPr>
          <w:rFonts w:eastAsia="Times New Roman"/>
          <w:b/>
        </w:rPr>
        <w:t>REPUBLIC OF NAMIBIA</w:t>
      </w:r>
    </w:p>
    <w:p w:rsidR="004223CE" w:rsidRPr="00050022" w:rsidRDefault="004223CE" w:rsidP="004223CE">
      <w:pPr>
        <w:spacing w:after="0" w:line="360" w:lineRule="auto"/>
        <w:rPr>
          <w:rFonts w:eastAsia="Times New Roman"/>
          <w:b/>
        </w:rPr>
      </w:pPr>
      <w:r w:rsidRPr="00050022">
        <w:rPr>
          <w:rFonts w:eastAsia="Times New Roman"/>
          <w:noProof/>
        </w:rPr>
        <w:drawing>
          <wp:anchor distT="0" distB="0" distL="114300" distR="114300" simplePos="0" relativeHeight="251660288" behindDoc="0" locked="0" layoutInCell="1" allowOverlap="1" wp14:anchorId="19E98C36" wp14:editId="2FB4BE9F">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3CE" w:rsidRPr="00050022" w:rsidRDefault="004223CE" w:rsidP="004223CE">
      <w:pPr>
        <w:spacing w:after="0" w:line="360" w:lineRule="auto"/>
        <w:rPr>
          <w:rFonts w:eastAsia="Times New Roman"/>
          <w:b/>
        </w:rPr>
      </w:pPr>
    </w:p>
    <w:p w:rsidR="004223CE" w:rsidRPr="00050022" w:rsidRDefault="004223CE" w:rsidP="004223CE">
      <w:pPr>
        <w:spacing w:after="0" w:line="360" w:lineRule="auto"/>
        <w:rPr>
          <w:rFonts w:eastAsia="Times New Roman"/>
          <w:b/>
        </w:rPr>
      </w:pPr>
    </w:p>
    <w:p w:rsidR="004223CE" w:rsidRPr="00050022" w:rsidRDefault="004223CE" w:rsidP="004223CE">
      <w:pPr>
        <w:spacing w:after="0" w:line="360" w:lineRule="auto"/>
        <w:rPr>
          <w:rFonts w:eastAsia="Times New Roman"/>
          <w:b/>
        </w:rPr>
      </w:pPr>
    </w:p>
    <w:p w:rsidR="004223CE" w:rsidRPr="00050022" w:rsidRDefault="004223CE" w:rsidP="004223CE">
      <w:pPr>
        <w:spacing w:after="0" w:line="360" w:lineRule="auto"/>
        <w:rPr>
          <w:rFonts w:eastAsia="Times New Roman"/>
          <w:b/>
        </w:rPr>
      </w:pPr>
    </w:p>
    <w:p w:rsidR="004223CE" w:rsidRPr="00050022" w:rsidRDefault="004223CE" w:rsidP="004223CE">
      <w:pPr>
        <w:spacing w:after="0" w:line="360" w:lineRule="auto"/>
        <w:jc w:val="center"/>
        <w:rPr>
          <w:rFonts w:eastAsia="Times New Roman"/>
          <w:b/>
        </w:rPr>
      </w:pPr>
    </w:p>
    <w:p w:rsidR="004223CE" w:rsidRPr="00050022" w:rsidRDefault="004223CE" w:rsidP="004223CE">
      <w:pPr>
        <w:spacing w:after="0" w:line="360" w:lineRule="auto"/>
        <w:rPr>
          <w:rFonts w:eastAsia="Times New Roman"/>
          <w:b/>
        </w:rPr>
      </w:pPr>
      <w:r>
        <w:rPr>
          <w:rFonts w:eastAsia="Times New Roman"/>
          <w:b/>
        </w:rPr>
        <w:t xml:space="preserve">                   IN THE </w:t>
      </w:r>
      <w:r w:rsidRPr="00050022">
        <w:rPr>
          <w:rFonts w:eastAsia="Times New Roman"/>
          <w:b/>
        </w:rPr>
        <w:t>HIGH COURT OF NAMIBIA, MAIN DIVISION, WINDHOEK</w:t>
      </w:r>
    </w:p>
    <w:p w:rsidR="004223CE" w:rsidRPr="00050022" w:rsidRDefault="004223CE" w:rsidP="004223CE">
      <w:pPr>
        <w:spacing w:after="0" w:line="360" w:lineRule="auto"/>
        <w:rPr>
          <w:rFonts w:eastAsia="Times New Roman"/>
          <w:b/>
        </w:rPr>
      </w:pPr>
    </w:p>
    <w:p w:rsidR="004223CE" w:rsidRPr="00050022" w:rsidRDefault="004223CE" w:rsidP="004223CE">
      <w:pPr>
        <w:spacing w:after="0" w:line="360" w:lineRule="auto"/>
        <w:jc w:val="center"/>
        <w:rPr>
          <w:rFonts w:eastAsia="Times New Roman"/>
          <w:b/>
        </w:rPr>
      </w:pPr>
      <w:r w:rsidRPr="00050022">
        <w:rPr>
          <w:rFonts w:eastAsia="Times New Roman"/>
          <w:b/>
        </w:rPr>
        <w:t>JUDGMENT</w:t>
      </w:r>
    </w:p>
    <w:p w:rsidR="009C2E53" w:rsidRPr="007C332D" w:rsidRDefault="009C2E53" w:rsidP="009C2E53">
      <w:pPr>
        <w:spacing w:after="0" w:line="360" w:lineRule="auto"/>
        <w:jc w:val="both"/>
        <w:rPr>
          <w:rFonts w:ascii="Arial Narrow" w:hAnsi="Arial Narrow"/>
        </w:rPr>
      </w:pPr>
    </w:p>
    <w:tbl>
      <w:tblPr>
        <w:tblStyle w:val="TableGrid"/>
        <w:tblW w:w="9720" w:type="dxa"/>
        <w:tblInd w:w="-275" w:type="dxa"/>
        <w:tblLook w:val="04A0" w:firstRow="1" w:lastRow="0" w:firstColumn="1" w:lastColumn="0" w:noHBand="0" w:noVBand="1"/>
      </w:tblPr>
      <w:tblGrid>
        <w:gridCol w:w="4770"/>
        <w:gridCol w:w="627"/>
        <w:gridCol w:w="4323"/>
      </w:tblGrid>
      <w:tr w:rsidR="009C2E53" w:rsidRPr="00763EED" w:rsidTr="006F0D59">
        <w:trPr>
          <w:trHeight w:val="744"/>
        </w:trPr>
        <w:tc>
          <w:tcPr>
            <w:tcW w:w="5397" w:type="dxa"/>
            <w:gridSpan w:val="2"/>
            <w:vMerge w:val="restart"/>
          </w:tcPr>
          <w:p w:rsidR="009C2E53" w:rsidRPr="00763EED" w:rsidRDefault="009C2E53" w:rsidP="006F0D59">
            <w:pPr>
              <w:spacing w:line="360" w:lineRule="auto"/>
              <w:jc w:val="both"/>
              <w:rPr>
                <w:rFonts w:ascii="Arial" w:hAnsi="Arial" w:cs="Arial"/>
                <w:sz w:val="24"/>
                <w:szCs w:val="24"/>
              </w:rPr>
            </w:pPr>
            <w:r w:rsidRPr="00763EED">
              <w:rPr>
                <w:rFonts w:ascii="Arial" w:hAnsi="Arial" w:cs="Arial"/>
                <w:b/>
                <w:sz w:val="24"/>
                <w:szCs w:val="24"/>
              </w:rPr>
              <w:t>Case Title:</w:t>
            </w:r>
          </w:p>
          <w:p w:rsidR="009C2E53" w:rsidRPr="00763EED" w:rsidRDefault="00C219DD" w:rsidP="00763EED">
            <w:pPr>
              <w:spacing w:line="360" w:lineRule="auto"/>
              <w:jc w:val="both"/>
              <w:rPr>
                <w:rFonts w:ascii="Arial" w:hAnsi="Arial" w:cs="Arial"/>
                <w:sz w:val="24"/>
                <w:szCs w:val="24"/>
              </w:rPr>
            </w:pPr>
            <w:r w:rsidRPr="00763EED">
              <w:rPr>
                <w:rFonts w:ascii="Arial" w:hAnsi="Arial" w:cs="Arial"/>
                <w:sz w:val="24"/>
                <w:szCs w:val="24"/>
              </w:rPr>
              <w:t xml:space="preserve">Frankie </w:t>
            </w:r>
            <w:proofErr w:type="spellStart"/>
            <w:r w:rsidRPr="00763EED">
              <w:rPr>
                <w:rFonts w:ascii="Arial" w:hAnsi="Arial" w:cs="Arial"/>
                <w:sz w:val="24"/>
                <w:szCs w:val="24"/>
              </w:rPr>
              <w:t>Ngurimuje</w:t>
            </w:r>
            <w:proofErr w:type="spellEnd"/>
            <w:r w:rsidRPr="00763EED">
              <w:rPr>
                <w:rFonts w:ascii="Arial" w:hAnsi="Arial" w:cs="Arial"/>
                <w:sz w:val="24"/>
                <w:szCs w:val="24"/>
              </w:rPr>
              <w:t xml:space="preserve"> </w:t>
            </w:r>
            <w:proofErr w:type="spellStart"/>
            <w:r w:rsidRPr="00763EED">
              <w:rPr>
                <w:rFonts w:ascii="Arial" w:hAnsi="Arial" w:cs="Arial"/>
                <w:sz w:val="24"/>
                <w:szCs w:val="24"/>
              </w:rPr>
              <w:t>Khoe-Aub</w:t>
            </w:r>
            <w:proofErr w:type="spellEnd"/>
            <w:r w:rsidRPr="00763EED">
              <w:rPr>
                <w:rFonts w:ascii="Arial" w:hAnsi="Arial" w:cs="Arial"/>
                <w:sz w:val="24"/>
                <w:szCs w:val="24"/>
              </w:rPr>
              <w:t xml:space="preserve"> </w:t>
            </w:r>
            <w:r w:rsidR="00763EED">
              <w:rPr>
                <w:rFonts w:ascii="Arial" w:hAnsi="Arial" w:cs="Arial"/>
                <w:sz w:val="24"/>
                <w:szCs w:val="24"/>
                <w:shd w:val="clear" w:color="auto" w:fill="FFFFFF"/>
              </w:rPr>
              <w:t xml:space="preserve">v </w:t>
            </w:r>
            <w:proofErr w:type="spellStart"/>
            <w:r w:rsidRPr="00763EED">
              <w:rPr>
                <w:rFonts w:ascii="Arial" w:hAnsi="Arial" w:cs="Arial"/>
                <w:sz w:val="24"/>
                <w:szCs w:val="24"/>
              </w:rPr>
              <w:t>Aljo</w:t>
            </w:r>
            <w:proofErr w:type="spellEnd"/>
            <w:r w:rsidRPr="00763EED">
              <w:rPr>
                <w:rFonts w:ascii="Arial" w:hAnsi="Arial" w:cs="Arial"/>
                <w:sz w:val="24"/>
                <w:szCs w:val="24"/>
              </w:rPr>
              <w:t xml:space="preserve"> Investments CC</w:t>
            </w:r>
          </w:p>
        </w:tc>
        <w:tc>
          <w:tcPr>
            <w:tcW w:w="4323" w:type="dxa"/>
          </w:tcPr>
          <w:p w:rsidR="009C2E53" w:rsidRPr="00763EED" w:rsidRDefault="009C2E53" w:rsidP="006F0D59">
            <w:pPr>
              <w:spacing w:line="360" w:lineRule="auto"/>
              <w:jc w:val="both"/>
              <w:rPr>
                <w:rFonts w:ascii="Arial" w:hAnsi="Arial" w:cs="Arial"/>
                <w:sz w:val="24"/>
                <w:szCs w:val="24"/>
              </w:rPr>
            </w:pPr>
            <w:r w:rsidRPr="00763EED">
              <w:rPr>
                <w:rFonts w:ascii="Arial" w:hAnsi="Arial" w:cs="Arial"/>
                <w:b/>
                <w:sz w:val="24"/>
                <w:szCs w:val="24"/>
              </w:rPr>
              <w:t>Case No:</w:t>
            </w:r>
          </w:p>
          <w:p w:rsidR="009C2E53" w:rsidRPr="00763EED" w:rsidRDefault="00763EED" w:rsidP="006F0D59">
            <w:pPr>
              <w:spacing w:line="360" w:lineRule="auto"/>
              <w:jc w:val="both"/>
              <w:rPr>
                <w:rFonts w:ascii="Arial" w:hAnsi="Arial" w:cs="Arial"/>
                <w:b/>
                <w:sz w:val="24"/>
                <w:szCs w:val="24"/>
              </w:rPr>
            </w:pPr>
            <w:r>
              <w:rPr>
                <w:rFonts w:ascii="Arial" w:hAnsi="Arial" w:cs="Arial"/>
                <w:sz w:val="24"/>
                <w:szCs w:val="24"/>
              </w:rPr>
              <w:t>(</w:t>
            </w:r>
            <w:r w:rsidR="00C219DD" w:rsidRPr="00763EED">
              <w:rPr>
                <w:rFonts w:ascii="Arial" w:hAnsi="Arial" w:cs="Arial"/>
                <w:sz w:val="24"/>
                <w:szCs w:val="24"/>
              </w:rPr>
              <w:t>HC-MD-CIV-ACT-DEL-2018/04550</w:t>
            </w:r>
            <w:r>
              <w:rPr>
                <w:rFonts w:ascii="Arial" w:hAnsi="Arial" w:cs="Arial"/>
                <w:sz w:val="24"/>
                <w:szCs w:val="24"/>
              </w:rPr>
              <w:t>)</w:t>
            </w:r>
          </w:p>
        </w:tc>
      </w:tr>
      <w:tr w:rsidR="009C2E53" w:rsidRPr="00763EED" w:rsidTr="006F0D59">
        <w:trPr>
          <w:trHeight w:val="844"/>
        </w:trPr>
        <w:tc>
          <w:tcPr>
            <w:tcW w:w="5397" w:type="dxa"/>
            <w:gridSpan w:val="2"/>
            <w:vMerge/>
          </w:tcPr>
          <w:p w:rsidR="009C2E53" w:rsidRPr="00763EED" w:rsidRDefault="009C2E53" w:rsidP="006F0D59">
            <w:pPr>
              <w:spacing w:line="360" w:lineRule="auto"/>
              <w:jc w:val="both"/>
              <w:rPr>
                <w:rFonts w:ascii="Arial" w:hAnsi="Arial" w:cs="Arial"/>
                <w:sz w:val="24"/>
                <w:szCs w:val="24"/>
              </w:rPr>
            </w:pPr>
          </w:p>
        </w:tc>
        <w:tc>
          <w:tcPr>
            <w:tcW w:w="4323" w:type="dxa"/>
          </w:tcPr>
          <w:p w:rsidR="009C2E53" w:rsidRPr="00763EED" w:rsidRDefault="009C2E53" w:rsidP="006F0D59">
            <w:pPr>
              <w:spacing w:line="360" w:lineRule="auto"/>
              <w:jc w:val="both"/>
              <w:rPr>
                <w:rFonts w:ascii="Arial" w:hAnsi="Arial" w:cs="Arial"/>
                <w:sz w:val="24"/>
                <w:szCs w:val="24"/>
              </w:rPr>
            </w:pPr>
            <w:r w:rsidRPr="00763EED">
              <w:rPr>
                <w:rFonts w:ascii="Arial" w:hAnsi="Arial" w:cs="Arial"/>
                <w:b/>
                <w:sz w:val="24"/>
                <w:szCs w:val="24"/>
              </w:rPr>
              <w:t>Division of Court:</w:t>
            </w:r>
          </w:p>
          <w:p w:rsidR="009C2E53" w:rsidRPr="00763EED" w:rsidRDefault="009C2E53" w:rsidP="006F0D59">
            <w:pPr>
              <w:spacing w:line="360" w:lineRule="auto"/>
              <w:jc w:val="both"/>
              <w:rPr>
                <w:rFonts w:ascii="Arial" w:hAnsi="Arial" w:cs="Arial"/>
                <w:sz w:val="24"/>
                <w:szCs w:val="24"/>
              </w:rPr>
            </w:pPr>
            <w:r w:rsidRPr="00763EED">
              <w:rPr>
                <w:rFonts w:ascii="Arial" w:hAnsi="Arial" w:cs="Arial"/>
                <w:sz w:val="24"/>
                <w:szCs w:val="24"/>
              </w:rPr>
              <w:t>HIGH COURT(MAIN DIVISION)</w:t>
            </w:r>
          </w:p>
        </w:tc>
      </w:tr>
      <w:tr w:rsidR="009C2E53" w:rsidRPr="00763EED" w:rsidTr="006F0D59">
        <w:trPr>
          <w:trHeight w:val="645"/>
        </w:trPr>
        <w:tc>
          <w:tcPr>
            <w:tcW w:w="5397" w:type="dxa"/>
            <w:gridSpan w:val="2"/>
            <w:vMerge w:val="restart"/>
          </w:tcPr>
          <w:p w:rsidR="009C2E53" w:rsidRPr="00763EED" w:rsidRDefault="009C2E53" w:rsidP="006F0D59">
            <w:pPr>
              <w:spacing w:line="360" w:lineRule="auto"/>
              <w:jc w:val="both"/>
              <w:rPr>
                <w:rFonts w:ascii="Arial" w:hAnsi="Arial" w:cs="Arial"/>
                <w:b/>
                <w:sz w:val="24"/>
                <w:szCs w:val="24"/>
              </w:rPr>
            </w:pPr>
            <w:r w:rsidRPr="00763EED">
              <w:rPr>
                <w:rFonts w:ascii="Arial" w:hAnsi="Arial" w:cs="Arial"/>
                <w:b/>
                <w:sz w:val="24"/>
                <w:szCs w:val="24"/>
              </w:rPr>
              <w:t>Heard before:</w:t>
            </w:r>
          </w:p>
          <w:p w:rsidR="009C2E53" w:rsidRPr="00763EED" w:rsidRDefault="009C2E53" w:rsidP="006F0D59">
            <w:pPr>
              <w:spacing w:line="360" w:lineRule="auto"/>
              <w:jc w:val="both"/>
              <w:rPr>
                <w:rFonts w:ascii="Arial" w:hAnsi="Arial" w:cs="Arial"/>
                <w:sz w:val="24"/>
                <w:szCs w:val="24"/>
              </w:rPr>
            </w:pPr>
            <w:r w:rsidRPr="00763EED">
              <w:rPr>
                <w:rFonts w:ascii="Arial" w:hAnsi="Arial" w:cs="Arial"/>
                <w:sz w:val="24"/>
                <w:szCs w:val="24"/>
              </w:rPr>
              <w:t>HONOURABLE LADY JUSTICE PRINSLOO, JUDGE</w:t>
            </w:r>
          </w:p>
        </w:tc>
        <w:tc>
          <w:tcPr>
            <w:tcW w:w="4323" w:type="dxa"/>
          </w:tcPr>
          <w:p w:rsidR="009C2E53" w:rsidRPr="00763EED" w:rsidRDefault="009C2E53" w:rsidP="006F0D59">
            <w:pPr>
              <w:spacing w:line="360" w:lineRule="auto"/>
              <w:jc w:val="both"/>
              <w:rPr>
                <w:rFonts w:ascii="Arial" w:hAnsi="Arial" w:cs="Arial"/>
                <w:b/>
                <w:sz w:val="24"/>
                <w:szCs w:val="24"/>
              </w:rPr>
            </w:pPr>
            <w:r w:rsidRPr="00763EED">
              <w:rPr>
                <w:rFonts w:ascii="Arial" w:hAnsi="Arial" w:cs="Arial"/>
                <w:b/>
                <w:sz w:val="24"/>
                <w:szCs w:val="24"/>
              </w:rPr>
              <w:t>Date of hearing:</w:t>
            </w:r>
          </w:p>
          <w:p w:rsidR="009C2E53" w:rsidRPr="00763EED" w:rsidRDefault="00C219DD" w:rsidP="00C219DD">
            <w:pPr>
              <w:spacing w:line="360" w:lineRule="auto"/>
              <w:rPr>
                <w:rFonts w:ascii="Arial" w:hAnsi="Arial" w:cs="Arial"/>
                <w:sz w:val="24"/>
                <w:szCs w:val="24"/>
              </w:rPr>
            </w:pPr>
            <w:r w:rsidRPr="00763EED">
              <w:rPr>
                <w:rFonts w:ascii="Arial" w:hAnsi="Arial" w:cs="Arial"/>
                <w:sz w:val="24"/>
                <w:szCs w:val="24"/>
              </w:rPr>
              <w:t>9 November</w:t>
            </w:r>
            <w:r w:rsidR="00EF5666" w:rsidRPr="00763EED">
              <w:rPr>
                <w:rFonts w:ascii="Arial" w:hAnsi="Arial" w:cs="Arial"/>
                <w:sz w:val="24"/>
                <w:szCs w:val="24"/>
              </w:rPr>
              <w:t xml:space="preserve"> 20</w:t>
            </w:r>
            <w:r w:rsidRPr="00763EED">
              <w:rPr>
                <w:rFonts w:ascii="Arial" w:hAnsi="Arial" w:cs="Arial"/>
                <w:sz w:val="24"/>
                <w:szCs w:val="24"/>
              </w:rPr>
              <w:t>20</w:t>
            </w:r>
          </w:p>
        </w:tc>
      </w:tr>
      <w:tr w:rsidR="009C2E53" w:rsidRPr="00763EED" w:rsidTr="006F0D59">
        <w:trPr>
          <w:trHeight w:val="588"/>
        </w:trPr>
        <w:tc>
          <w:tcPr>
            <w:tcW w:w="5397" w:type="dxa"/>
            <w:gridSpan w:val="2"/>
            <w:vMerge/>
          </w:tcPr>
          <w:p w:rsidR="009C2E53" w:rsidRPr="00763EED" w:rsidRDefault="009C2E53" w:rsidP="006F0D59">
            <w:pPr>
              <w:spacing w:line="360" w:lineRule="auto"/>
              <w:jc w:val="both"/>
              <w:rPr>
                <w:rFonts w:ascii="Arial" w:hAnsi="Arial" w:cs="Arial"/>
                <w:b/>
                <w:sz w:val="24"/>
                <w:szCs w:val="24"/>
              </w:rPr>
            </w:pPr>
          </w:p>
        </w:tc>
        <w:tc>
          <w:tcPr>
            <w:tcW w:w="4323" w:type="dxa"/>
          </w:tcPr>
          <w:p w:rsidR="00EF5666" w:rsidRPr="00763EED" w:rsidRDefault="009C2E53" w:rsidP="006F0D59">
            <w:pPr>
              <w:spacing w:line="360" w:lineRule="auto"/>
              <w:jc w:val="both"/>
              <w:rPr>
                <w:rFonts w:ascii="Arial" w:hAnsi="Arial" w:cs="Arial"/>
                <w:b/>
                <w:sz w:val="24"/>
                <w:szCs w:val="24"/>
              </w:rPr>
            </w:pPr>
            <w:r w:rsidRPr="00763EED">
              <w:rPr>
                <w:rFonts w:ascii="Arial" w:hAnsi="Arial" w:cs="Arial"/>
                <w:b/>
                <w:sz w:val="24"/>
                <w:szCs w:val="24"/>
              </w:rPr>
              <w:t xml:space="preserve">Date of order: </w:t>
            </w:r>
          </w:p>
          <w:p w:rsidR="009C2E53" w:rsidRPr="00763EED" w:rsidRDefault="00C219DD" w:rsidP="006F0D59">
            <w:pPr>
              <w:spacing w:line="360" w:lineRule="auto"/>
              <w:jc w:val="both"/>
              <w:rPr>
                <w:rFonts w:ascii="Arial" w:hAnsi="Arial" w:cs="Arial"/>
                <w:b/>
                <w:sz w:val="24"/>
                <w:szCs w:val="24"/>
              </w:rPr>
            </w:pPr>
            <w:r w:rsidRPr="00763EED">
              <w:rPr>
                <w:rFonts w:ascii="Arial" w:hAnsi="Arial" w:cs="Arial"/>
                <w:b/>
                <w:sz w:val="24"/>
                <w:szCs w:val="24"/>
              </w:rPr>
              <w:t>26 November</w:t>
            </w:r>
            <w:r w:rsidR="00EF5666" w:rsidRPr="00763EED">
              <w:rPr>
                <w:rFonts w:ascii="Arial" w:hAnsi="Arial" w:cs="Arial"/>
                <w:b/>
                <w:sz w:val="24"/>
                <w:szCs w:val="24"/>
              </w:rPr>
              <w:t xml:space="preserve"> 20</w:t>
            </w:r>
            <w:r w:rsidRPr="00763EED">
              <w:rPr>
                <w:rFonts w:ascii="Arial" w:hAnsi="Arial" w:cs="Arial"/>
                <w:b/>
                <w:sz w:val="24"/>
                <w:szCs w:val="24"/>
              </w:rPr>
              <w:t>20</w:t>
            </w:r>
          </w:p>
          <w:p w:rsidR="00EF5666" w:rsidRPr="00763EED" w:rsidRDefault="009C2E53" w:rsidP="006F0D59">
            <w:pPr>
              <w:spacing w:line="360" w:lineRule="auto"/>
              <w:jc w:val="both"/>
              <w:rPr>
                <w:rFonts w:ascii="Arial" w:hAnsi="Arial" w:cs="Arial"/>
                <w:b/>
                <w:sz w:val="24"/>
                <w:szCs w:val="24"/>
              </w:rPr>
            </w:pPr>
            <w:r w:rsidRPr="00763EED">
              <w:rPr>
                <w:rFonts w:ascii="Arial" w:hAnsi="Arial" w:cs="Arial"/>
                <w:b/>
                <w:sz w:val="24"/>
                <w:szCs w:val="24"/>
              </w:rPr>
              <w:t xml:space="preserve">Reasons delivered on: </w:t>
            </w:r>
          </w:p>
          <w:p w:rsidR="009C2E53" w:rsidRPr="00763EED" w:rsidRDefault="00287260" w:rsidP="00C219DD">
            <w:pPr>
              <w:spacing w:line="360" w:lineRule="auto"/>
              <w:jc w:val="both"/>
              <w:rPr>
                <w:rFonts w:ascii="Arial" w:hAnsi="Arial" w:cs="Arial"/>
                <w:b/>
                <w:sz w:val="24"/>
                <w:szCs w:val="24"/>
              </w:rPr>
            </w:pPr>
            <w:r w:rsidRPr="00763EED">
              <w:rPr>
                <w:rFonts w:ascii="Arial" w:hAnsi="Arial" w:cs="Arial"/>
                <w:b/>
                <w:sz w:val="24"/>
                <w:szCs w:val="24"/>
              </w:rPr>
              <w:t>2</w:t>
            </w:r>
            <w:r w:rsidR="00C219DD" w:rsidRPr="00763EED">
              <w:rPr>
                <w:rFonts w:ascii="Arial" w:hAnsi="Arial" w:cs="Arial"/>
                <w:b/>
                <w:sz w:val="24"/>
                <w:szCs w:val="24"/>
              </w:rPr>
              <w:t>6</w:t>
            </w:r>
            <w:r w:rsidR="00903018" w:rsidRPr="00763EED">
              <w:rPr>
                <w:rFonts w:ascii="Arial" w:hAnsi="Arial" w:cs="Arial"/>
                <w:b/>
                <w:sz w:val="24"/>
                <w:szCs w:val="24"/>
              </w:rPr>
              <w:t xml:space="preserve"> November</w:t>
            </w:r>
            <w:r w:rsidR="0083558F" w:rsidRPr="00763EED">
              <w:rPr>
                <w:rFonts w:ascii="Arial" w:hAnsi="Arial" w:cs="Arial"/>
                <w:b/>
                <w:sz w:val="24"/>
                <w:szCs w:val="24"/>
              </w:rPr>
              <w:t xml:space="preserve"> </w:t>
            </w:r>
            <w:r w:rsidR="00EF5666" w:rsidRPr="00763EED">
              <w:rPr>
                <w:rFonts w:ascii="Arial" w:hAnsi="Arial" w:cs="Arial"/>
                <w:b/>
                <w:sz w:val="24"/>
                <w:szCs w:val="24"/>
              </w:rPr>
              <w:t>20</w:t>
            </w:r>
            <w:r w:rsidR="00C219DD" w:rsidRPr="00763EED">
              <w:rPr>
                <w:rFonts w:ascii="Arial" w:hAnsi="Arial" w:cs="Arial"/>
                <w:b/>
                <w:sz w:val="24"/>
                <w:szCs w:val="24"/>
              </w:rPr>
              <w:t>20</w:t>
            </w:r>
          </w:p>
        </w:tc>
      </w:tr>
      <w:tr w:rsidR="009C2E53" w:rsidRPr="00763EED" w:rsidTr="00EF5666">
        <w:trPr>
          <w:trHeight w:val="710"/>
        </w:trPr>
        <w:tc>
          <w:tcPr>
            <w:tcW w:w="9720" w:type="dxa"/>
            <w:gridSpan w:val="3"/>
          </w:tcPr>
          <w:p w:rsidR="00EF5666" w:rsidRPr="00763EED" w:rsidRDefault="00EF5666" w:rsidP="00F5745F">
            <w:pPr>
              <w:pStyle w:val="form-control-static"/>
              <w:shd w:val="clear" w:color="auto" w:fill="FFFFFF"/>
              <w:spacing w:before="0" w:beforeAutospacing="0" w:after="0" w:afterAutospacing="0"/>
              <w:jc w:val="both"/>
              <w:rPr>
                <w:rFonts w:ascii="Arial" w:hAnsi="Arial" w:cs="Arial"/>
                <w:b/>
                <w:sz w:val="24"/>
                <w:szCs w:val="24"/>
              </w:rPr>
            </w:pPr>
          </w:p>
          <w:p w:rsidR="009C2E53" w:rsidRPr="00763EED" w:rsidRDefault="009C2E53" w:rsidP="001C016D">
            <w:pPr>
              <w:pStyle w:val="form-control-static"/>
              <w:shd w:val="clear" w:color="auto" w:fill="FFFFFF"/>
              <w:spacing w:before="0" w:beforeAutospacing="0" w:after="0" w:afterAutospacing="0"/>
              <w:jc w:val="both"/>
              <w:rPr>
                <w:rFonts w:ascii="Arial" w:hAnsi="Arial" w:cs="Arial"/>
                <w:color w:val="333333"/>
                <w:sz w:val="24"/>
                <w:szCs w:val="24"/>
              </w:rPr>
            </w:pPr>
            <w:r w:rsidRPr="00763EED">
              <w:rPr>
                <w:rFonts w:ascii="Arial" w:hAnsi="Arial" w:cs="Arial"/>
                <w:b/>
                <w:sz w:val="24"/>
                <w:szCs w:val="24"/>
              </w:rPr>
              <w:t>Neutral citation:</w:t>
            </w:r>
            <w:r w:rsidR="00EF5666" w:rsidRPr="00763EED">
              <w:rPr>
                <w:rFonts w:ascii="Arial" w:hAnsi="Arial" w:cs="Arial"/>
                <w:sz w:val="24"/>
                <w:szCs w:val="24"/>
              </w:rPr>
              <w:t xml:space="preserve"> </w:t>
            </w:r>
            <w:proofErr w:type="spellStart"/>
            <w:r w:rsidR="00C219DD" w:rsidRPr="00763EED">
              <w:rPr>
                <w:rFonts w:ascii="Arial" w:hAnsi="Arial" w:cs="Arial"/>
                <w:i/>
                <w:sz w:val="24"/>
                <w:szCs w:val="24"/>
              </w:rPr>
              <w:t>Khoe-Aub</w:t>
            </w:r>
            <w:proofErr w:type="spellEnd"/>
            <w:r w:rsidR="008967AD" w:rsidRPr="00763EED">
              <w:rPr>
                <w:rFonts w:ascii="Arial" w:hAnsi="Arial" w:cs="Arial"/>
                <w:i/>
                <w:sz w:val="24"/>
                <w:szCs w:val="24"/>
                <w:shd w:val="clear" w:color="auto" w:fill="FFFFFF"/>
              </w:rPr>
              <w:t xml:space="preserve"> </w:t>
            </w:r>
            <w:r w:rsidR="00763EED">
              <w:rPr>
                <w:rFonts w:ascii="Arial" w:hAnsi="Arial" w:cs="Arial"/>
                <w:i/>
                <w:sz w:val="24"/>
                <w:szCs w:val="24"/>
                <w:shd w:val="clear" w:color="auto" w:fill="FFFFFF"/>
              </w:rPr>
              <w:t>v</w:t>
            </w:r>
            <w:r w:rsidR="0083558F" w:rsidRPr="00763EED">
              <w:rPr>
                <w:rFonts w:ascii="Arial" w:hAnsi="Arial" w:cs="Arial"/>
                <w:i/>
                <w:sz w:val="24"/>
                <w:szCs w:val="24"/>
                <w:shd w:val="clear" w:color="auto" w:fill="FFFFFF"/>
              </w:rPr>
              <w:t xml:space="preserve"> </w:t>
            </w:r>
            <w:proofErr w:type="spellStart"/>
            <w:r w:rsidR="004223CE" w:rsidRPr="00763EED">
              <w:rPr>
                <w:rFonts w:ascii="Arial" w:hAnsi="Arial" w:cs="Arial"/>
                <w:i/>
                <w:sz w:val="24"/>
                <w:szCs w:val="24"/>
              </w:rPr>
              <w:t>Aljo</w:t>
            </w:r>
            <w:proofErr w:type="spellEnd"/>
            <w:r w:rsidR="004223CE" w:rsidRPr="00763EED">
              <w:rPr>
                <w:rFonts w:ascii="Arial" w:hAnsi="Arial" w:cs="Arial"/>
                <w:i/>
                <w:sz w:val="24"/>
                <w:szCs w:val="24"/>
              </w:rPr>
              <w:t xml:space="preserve"> Investments C</w:t>
            </w:r>
            <w:r w:rsidR="00C219DD" w:rsidRPr="00763EED">
              <w:rPr>
                <w:rFonts w:ascii="Arial" w:hAnsi="Arial" w:cs="Arial"/>
                <w:i/>
                <w:sz w:val="24"/>
                <w:szCs w:val="24"/>
              </w:rPr>
              <w:t xml:space="preserve">C </w:t>
            </w:r>
            <w:r w:rsidR="00EF5666" w:rsidRPr="00763EED">
              <w:rPr>
                <w:rFonts w:ascii="Arial" w:hAnsi="Arial" w:cs="Arial"/>
                <w:sz w:val="24"/>
                <w:szCs w:val="24"/>
              </w:rPr>
              <w:t>(</w:t>
            </w:r>
            <w:r w:rsidR="00C219DD" w:rsidRPr="00763EED">
              <w:rPr>
                <w:rFonts w:ascii="Arial" w:hAnsi="Arial" w:cs="Arial"/>
                <w:sz w:val="24"/>
                <w:szCs w:val="24"/>
              </w:rPr>
              <w:t>HC-MD-CIV-ACT-DEL-2018/04550</w:t>
            </w:r>
            <w:r w:rsidR="00EF5666" w:rsidRPr="00763EED">
              <w:rPr>
                <w:rFonts w:ascii="Arial" w:hAnsi="Arial" w:cs="Arial"/>
                <w:sz w:val="24"/>
                <w:szCs w:val="24"/>
              </w:rPr>
              <w:t>)</w:t>
            </w:r>
            <w:r w:rsidR="00EF5666" w:rsidRPr="00763EED">
              <w:rPr>
                <w:rFonts w:ascii="Arial" w:hAnsi="Arial" w:cs="Arial"/>
                <w:i/>
                <w:sz w:val="24"/>
                <w:szCs w:val="24"/>
              </w:rPr>
              <w:t xml:space="preserve"> </w:t>
            </w:r>
            <w:r w:rsidR="00EF5666" w:rsidRPr="00763EED">
              <w:rPr>
                <w:rFonts w:ascii="Arial" w:hAnsi="Arial" w:cs="Arial"/>
                <w:sz w:val="24"/>
                <w:szCs w:val="24"/>
              </w:rPr>
              <w:t>[20</w:t>
            </w:r>
            <w:r w:rsidR="00C219DD" w:rsidRPr="00763EED">
              <w:rPr>
                <w:rFonts w:ascii="Arial" w:hAnsi="Arial" w:cs="Arial"/>
                <w:sz w:val="24"/>
                <w:szCs w:val="24"/>
              </w:rPr>
              <w:t>20</w:t>
            </w:r>
            <w:r w:rsidR="00EF5666" w:rsidRPr="00763EED">
              <w:rPr>
                <w:rFonts w:ascii="Arial" w:hAnsi="Arial" w:cs="Arial"/>
                <w:sz w:val="24"/>
                <w:szCs w:val="24"/>
              </w:rPr>
              <w:t xml:space="preserve">] NAHCMD </w:t>
            </w:r>
            <w:r w:rsidR="001C016D" w:rsidRPr="00763EED">
              <w:rPr>
                <w:rFonts w:ascii="Arial" w:hAnsi="Arial" w:cs="Arial"/>
                <w:sz w:val="24"/>
                <w:szCs w:val="24"/>
              </w:rPr>
              <w:t xml:space="preserve">546 </w:t>
            </w:r>
            <w:r w:rsidR="00EF5666" w:rsidRPr="00763EED">
              <w:rPr>
                <w:rFonts w:ascii="Arial" w:hAnsi="Arial" w:cs="Arial"/>
                <w:sz w:val="24"/>
                <w:szCs w:val="24"/>
              </w:rPr>
              <w:t>(</w:t>
            </w:r>
            <w:r w:rsidR="004223CE" w:rsidRPr="00763EED">
              <w:rPr>
                <w:rFonts w:ascii="Arial" w:hAnsi="Arial" w:cs="Arial"/>
                <w:sz w:val="24"/>
                <w:szCs w:val="24"/>
              </w:rPr>
              <w:t xml:space="preserve">26 </w:t>
            </w:r>
            <w:r w:rsidR="00C219DD" w:rsidRPr="00763EED">
              <w:rPr>
                <w:rFonts w:ascii="Arial" w:hAnsi="Arial" w:cs="Arial"/>
                <w:sz w:val="24"/>
                <w:szCs w:val="24"/>
              </w:rPr>
              <w:t>November</w:t>
            </w:r>
            <w:r w:rsidR="00EF5666" w:rsidRPr="00763EED">
              <w:rPr>
                <w:rFonts w:ascii="Arial" w:hAnsi="Arial" w:cs="Arial"/>
                <w:sz w:val="24"/>
                <w:szCs w:val="24"/>
              </w:rPr>
              <w:t xml:space="preserve"> 20</w:t>
            </w:r>
            <w:r w:rsidR="00C219DD" w:rsidRPr="00763EED">
              <w:rPr>
                <w:rFonts w:ascii="Arial" w:hAnsi="Arial" w:cs="Arial"/>
                <w:sz w:val="24"/>
                <w:szCs w:val="24"/>
              </w:rPr>
              <w:t>20</w:t>
            </w:r>
            <w:r w:rsidR="00EF5666" w:rsidRPr="00763EED">
              <w:rPr>
                <w:rFonts w:ascii="Arial" w:hAnsi="Arial" w:cs="Arial"/>
                <w:sz w:val="24"/>
                <w:szCs w:val="24"/>
              </w:rPr>
              <w:t>)</w:t>
            </w:r>
          </w:p>
        </w:tc>
      </w:tr>
      <w:tr w:rsidR="009C2E53" w:rsidRPr="00763EED" w:rsidTr="006F0D59">
        <w:tc>
          <w:tcPr>
            <w:tcW w:w="9720" w:type="dxa"/>
            <w:gridSpan w:val="3"/>
          </w:tcPr>
          <w:p w:rsidR="009C2E53" w:rsidRPr="00763EED" w:rsidRDefault="009C2E53" w:rsidP="006F0D59">
            <w:pPr>
              <w:pStyle w:val="form-control-static"/>
              <w:shd w:val="clear" w:color="auto" w:fill="FFFFFF"/>
              <w:spacing w:before="0" w:beforeAutospacing="0" w:after="0" w:afterAutospacing="0"/>
              <w:rPr>
                <w:rFonts w:ascii="Arial" w:hAnsi="Arial" w:cs="Arial"/>
                <w:b/>
                <w:sz w:val="24"/>
                <w:szCs w:val="24"/>
              </w:rPr>
            </w:pPr>
            <w:r w:rsidRPr="00763EED">
              <w:rPr>
                <w:rFonts w:ascii="Arial" w:hAnsi="Arial" w:cs="Arial"/>
                <w:b/>
                <w:sz w:val="24"/>
                <w:szCs w:val="24"/>
              </w:rPr>
              <w:t>Results on merits:</w:t>
            </w:r>
          </w:p>
          <w:p w:rsidR="009C2E53" w:rsidRPr="00763EED" w:rsidRDefault="009C2E53" w:rsidP="006F0D59">
            <w:pPr>
              <w:pStyle w:val="form-control-static"/>
              <w:shd w:val="clear" w:color="auto" w:fill="FFFFFF"/>
              <w:spacing w:before="0" w:beforeAutospacing="0" w:after="0" w:afterAutospacing="0"/>
              <w:rPr>
                <w:rFonts w:ascii="Arial" w:hAnsi="Arial" w:cs="Arial"/>
                <w:sz w:val="24"/>
                <w:szCs w:val="24"/>
              </w:rPr>
            </w:pPr>
            <w:r w:rsidRPr="00763EED">
              <w:rPr>
                <w:rFonts w:ascii="Arial" w:hAnsi="Arial" w:cs="Arial"/>
                <w:sz w:val="24"/>
                <w:szCs w:val="24"/>
              </w:rPr>
              <w:t>Merits not considered.</w:t>
            </w:r>
          </w:p>
        </w:tc>
      </w:tr>
      <w:tr w:rsidR="009C2E53" w:rsidRPr="00763EED" w:rsidTr="006F0D59">
        <w:tc>
          <w:tcPr>
            <w:tcW w:w="9720" w:type="dxa"/>
            <w:gridSpan w:val="3"/>
          </w:tcPr>
          <w:p w:rsidR="009C2E53" w:rsidRPr="00763EED" w:rsidRDefault="009C2E53" w:rsidP="0083558F">
            <w:pPr>
              <w:tabs>
                <w:tab w:val="left" w:pos="2100"/>
              </w:tabs>
              <w:spacing w:line="360" w:lineRule="auto"/>
              <w:jc w:val="both"/>
              <w:rPr>
                <w:rFonts w:ascii="Arial" w:hAnsi="Arial" w:cs="Arial"/>
                <w:b/>
                <w:sz w:val="24"/>
                <w:szCs w:val="24"/>
              </w:rPr>
            </w:pPr>
            <w:r w:rsidRPr="00763EED">
              <w:rPr>
                <w:rFonts w:ascii="Arial" w:hAnsi="Arial" w:cs="Arial"/>
                <w:b/>
                <w:sz w:val="24"/>
                <w:szCs w:val="24"/>
              </w:rPr>
              <w:t>The order:</w:t>
            </w:r>
            <w:r w:rsidR="0083558F" w:rsidRPr="00763EED">
              <w:rPr>
                <w:rFonts w:ascii="Arial" w:hAnsi="Arial" w:cs="Arial"/>
                <w:b/>
                <w:sz w:val="24"/>
                <w:szCs w:val="24"/>
              </w:rPr>
              <w:tab/>
            </w:r>
          </w:p>
          <w:p w:rsidR="009C2E53" w:rsidRPr="00763EED" w:rsidRDefault="009C2E53" w:rsidP="006F0D59">
            <w:pPr>
              <w:spacing w:line="360" w:lineRule="auto"/>
              <w:jc w:val="both"/>
              <w:rPr>
                <w:rFonts w:ascii="Arial" w:hAnsi="Arial" w:cs="Arial"/>
                <w:sz w:val="24"/>
                <w:szCs w:val="24"/>
              </w:rPr>
            </w:pPr>
            <w:r w:rsidRPr="00763EED">
              <w:rPr>
                <w:rFonts w:ascii="Arial" w:hAnsi="Arial" w:cs="Arial"/>
                <w:sz w:val="24"/>
                <w:szCs w:val="24"/>
              </w:rPr>
              <w:t xml:space="preserve">Having heard </w:t>
            </w:r>
            <w:r w:rsidR="003D2C50" w:rsidRPr="00763EED">
              <w:rPr>
                <w:rFonts w:ascii="Arial" w:hAnsi="Arial" w:cs="Arial"/>
                <w:b/>
                <w:sz w:val="24"/>
                <w:szCs w:val="24"/>
              </w:rPr>
              <w:t xml:space="preserve">ADV GARBERS-KIRSTEN </w:t>
            </w:r>
            <w:r w:rsidR="00C219DD" w:rsidRPr="00763EED">
              <w:rPr>
                <w:rFonts w:ascii="Arial" w:hAnsi="Arial" w:cs="Arial"/>
                <w:sz w:val="24"/>
                <w:szCs w:val="24"/>
              </w:rPr>
              <w:t>Plaintiff</w:t>
            </w:r>
            <w:r w:rsidR="00C219DD" w:rsidRPr="00763EED">
              <w:rPr>
                <w:rFonts w:ascii="Arial" w:hAnsi="Arial" w:cs="Arial"/>
                <w:b/>
                <w:sz w:val="24"/>
                <w:szCs w:val="24"/>
              </w:rPr>
              <w:t>/</w:t>
            </w:r>
            <w:r w:rsidRPr="00763EED">
              <w:rPr>
                <w:rFonts w:ascii="Arial" w:hAnsi="Arial" w:cs="Arial"/>
                <w:sz w:val="24"/>
                <w:szCs w:val="24"/>
              </w:rPr>
              <w:t xml:space="preserve">Respondent and </w:t>
            </w:r>
            <w:r w:rsidR="003D2C50" w:rsidRPr="00763EED">
              <w:rPr>
                <w:rFonts w:ascii="Arial" w:hAnsi="Arial" w:cs="Arial"/>
                <w:b/>
                <w:sz w:val="24"/>
                <w:szCs w:val="24"/>
              </w:rPr>
              <w:t xml:space="preserve">MR ASHLEY BRENDELL </w:t>
            </w:r>
            <w:r w:rsidRPr="00763EED">
              <w:rPr>
                <w:rFonts w:ascii="Arial" w:hAnsi="Arial" w:cs="Arial"/>
                <w:sz w:val="24"/>
                <w:szCs w:val="24"/>
              </w:rPr>
              <w:t xml:space="preserve">for the </w:t>
            </w:r>
            <w:r w:rsidR="00C219DD" w:rsidRPr="00763EED">
              <w:rPr>
                <w:rFonts w:ascii="Arial" w:hAnsi="Arial" w:cs="Arial"/>
                <w:sz w:val="24"/>
                <w:szCs w:val="24"/>
              </w:rPr>
              <w:t>First Defendant/</w:t>
            </w:r>
            <w:r w:rsidRPr="00763EED">
              <w:rPr>
                <w:rFonts w:ascii="Arial" w:hAnsi="Arial" w:cs="Arial"/>
                <w:sz w:val="24"/>
                <w:szCs w:val="24"/>
              </w:rPr>
              <w:t>Applicant, and having read the document</w:t>
            </w:r>
            <w:r w:rsidR="00903018" w:rsidRPr="00763EED">
              <w:rPr>
                <w:rFonts w:ascii="Arial" w:hAnsi="Arial" w:cs="Arial"/>
                <w:sz w:val="24"/>
                <w:szCs w:val="24"/>
              </w:rPr>
              <w:t>s</w:t>
            </w:r>
            <w:r w:rsidRPr="00763EED">
              <w:rPr>
                <w:rFonts w:ascii="Arial" w:hAnsi="Arial" w:cs="Arial"/>
                <w:sz w:val="24"/>
                <w:szCs w:val="24"/>
              </w:rPr>
              <w:t xml:space="preserve"> filed of record:</w:t>
            </w:r>
          </w:p>
          <w:p w:rsidR="00EF5666" w:rsidRPr="00763EED" w:rsidRDefault="00EF5666" w:rsidP="006F0D59">
            <w:pPr>
              <w:spacing w:line="360" w:lineRule="auto"/>
              <w:jc w:val="both"/>
              <w:rPr>
                <w:rFonts w:ascii="Arial" w:hAnsi="Arial" w:cs="Arial"/>
                <w:sz w:val="24"/>
                <w:szCs w:val="24"/>
              </w:rPr>
            </w:pPr>
          </w:p>
          <w:p w:rsidR="009C2E53" w:rsidRPr="00763EED" w:rsidRDefault="009C2E53" w:rsidP="006F0D59">
            <w:pPr>
              <w:spacing w:line="360" w:lineRule="auto"/>
              <w:jc w:val="both"/>
              <w:rPr>
                <w:rFonts w:ascii="Arial" w:hAnsi="Arial" w:cs="Arial"/>
                <w:b/>
                <w:sz w:val="24"/>
                <w:szCs w:val="24"/>
              </w:rPr>
            </w:pPr>
            <w:r w:rsidRPr="00763EED">
              <w:rPr>
                <w:rFonts w:ascii="Arial" w:hAnsi="Arial" w:cs="Arial"/>
                <w:b/>
                <w:sz w:val="24"/>
                <w:szCs w:val="24"/>
              </w:rPr>
              <w:t>IT IS HEREBY ORDERED THAT:</w:t>
            </w:r>
          </w:p>
          <w:p w:rsidR="00477431" w:rsidRPr="00763EED" w:rsidRDefault="00477431" w:rsidP="006F0D59">
            <w:pPr>
              <w:spacing w:line="360" w:lineRule="auto"/>
              <w:jc w:val="both"/>
              <w:rPr>
                <w:rFonts w:ascii="Arial" w:hAnsi="Arial" w:cs="Arial"/>
                <w:b/>
                <w:sz w:val="24"/>
                <w:szCs w:val="24"/>
              </w:rPr>
            </w:pPr>
          </w:p>
          <w:p w:rsidR="00C219DD" w:rsidRPr="00763EED" w:rsidRDefault="00C219DD" w:rsidP="00C219DD">
            <w:pPr>
              <w:pStyle w:val="ListParagraph"/>
              <w:numPr>
                <w:ilvl w:val="0"/>
                <w:numId w:val="9"/>
              </w:numPr>
              <w:spacing w:line="360" w:lineRule="auto"/>
              <w:jc w:val="both"/>
              <w:rPr>
                <w:rFonts w:ascii="Arial" w:hAnsi="Arial" w:cs="Arial"/>
                <w:sz w:val="24"/>
                <w:szCs w:val="24"/>
              </w:rPr>
            </w:pPr>
            <w:r w:rsidRPr="00763EED">
              <w:rPr>
                <w:rFonts w:ascii="Arial" w:hAnsi="Arial" w:cs="Arial"/>
                <w:sz w:val="24"/>
                <w:szCs w:val="24"/>
              </w:rPr>
              <w:t>The application for rescission of judgment is struck from the roll for failure to comply with Rule 32(9) and (10)</w:t>
            </w:r>
            <w:r w:rsidR="00AA03CE" w:rsidRPr="00763EED">
              <w:rPr>
                <w:rFonts w:ascii="Arial" w:hAnsi="Arial" w:cs="Arial"/>
                <w:sz w:val="24"/>
                <w:szCs w:val="24"/>
              </w:rPr>
              <w:t xml:space="preserve"> in respect of the late filing of the application</w:t>
            </w:r>
            <w:r w:rsidRPr="00763EED">
              <w:rPr>
                <w:rFonts w:ascii="Arial" w:hAnsi="Arial" w:cs="Arial"/>
                <w:sz w:val="24"/>
                <w:szCs w:val="24"/>
              </w:rPr>
              <w:t>.</w:t>
            </w:r>
          </w:p>
          <w:p w:rsidR="00C219DD" w:rsidRPr="00763EED" w:rsidRDefault="00C219DD" w:rsidP="00C219DD">
            <w:pPr>
              <w:pStyle w:val="ListParagraph"/>
              <w:numPr>
                <w:ilvl w:val="0"/>
                <w:numId w:val="9"/>
              </w:numPr>
              <w:spacing w:before="100" w:beforeAutospacing="1" w:after="100" w:afterAutospacing="1"/>
              <w:jc w:val="both"/>
              <w:rPr>
                <w:rFonts w:ascii="Arial" w:eastAsia="Times New Roman" w:hAnsi="Arial" w:cs="Arial"/>
                <w:color w:val="000000"/>
                <w:sz w:val="24"/>
                <w:szCs w:val="24"/>
                <w:lang w:eastAsia="en-ZA"/>
              </w:rPr>
            </w:pPr>
            <w:r w:rsidRPr="00763EED">
              <w:rPr>
                <w:rFonts w:ascii="Arial" w:hAnsi="Arial" w:cs="Arial"/>
                <w:sz w:val="24"/>
                <w:szCs w:val="24"/>
              </w:rPr>
              <w:t>The first defendant is ordered to pay the costs</w:t>
            </w:r>
            <w:r w:rsidR="00AA03CE" w:rsidRPr="00763EED">
              <w:rPr>
                <w:rFonts w:ascii="Arial" w:hAnsi="Arial" w:cs="Arial"/>
                <w:sz w:val="24"/>
                <w:szCs w:val="24"/>
              </w:rPr>
              <w:t xml:space="preserve"> of this application</w:t>
            </w:r>
            <w:r w:rsidRPr="00763EED">
              <w:rPr>
                <w:rFonts w:ascii="Arial" w:hAnsi="Arial" w:cs="Arial"/>
                <w:sz w:val="24"/>
                <w:szCs w:val="24"/>
              </w:rPr>
              <w:t xml:space="preserve"> limited in terms of the provisions of Rule 32(11). Such cost to include the costs of one instructing and one instructed counsel, where engaged.</w:t>
            </w:r>
          </w:p>
          <w:p w:rsidR="00C219DD" w:rsidRPr="00763EED" w:rsidRDefault="00C219DD" w:rsidP="00C219DD">
            <w:pPr>
              <w:pStyle w:val="ListParagraph"/>
              <w:spacing w:before="100" w:beforeAutospacing="1" w:after="100" w:afterAutospacing="1"/>
              <w:jc w:val="both"/>
              <w:rPr>
                <w:rFonts w:ascii="Arial" w:eastAsia="Times New Roman" w:hAnsi="Arial" w:cs="Arial"/>
                <w:color w:val="000000"/>
                <w:sz w:val="24"/>
                <w:szCs w:val="24"/>
                <w:lang w:eastAsia="en-ZA"/>
              </w:rPr>
            </w:pPr>
          </w:p>
          <w:p w:rsidR="00C219DD" w:rsidRPr="00763EED" w:rsidRDefault="00C219DD" w:rsidP="00C219DD">
            <w:pPr>
              <w:pStyle w:val="ListParagraph"/>
              <w:numPr>
                <w:ilvl w:val="0"/>
                <w:numId w:val="9"/>
              </w:numPr>
              <w:spacing w:before="100" w:beforeAutospacing="1" w:after="100" w:afterAutospacing="1"/>
              <w:jc w:val="both"/>
              <w:rPr>
                <w:rFonts w:ascii="Arial" w:eastAsia="Times New Roman" w:hAnsi="Arial" w:cs="Arial"/>
                <w:color w:val="000000"/>
                <w:sz w:val="24"/>
                <w:szCs w:val="24"/>
                <w:lang w:eastAsia="en-ZA"/>
              </w:rPr>
            </w:pPr>
            <w:r w:rsidRPr="00763EED">
              <w:rPr>
                <w:rFonts w:ascii="Arial" w:eastAsia="Times New Roman" w:hAnsi="Arial" w:cs="Arial"/>
                <w:color w:val="000000"/>
                <w:sz w:val="24"/>
                <w:szCs w:val="24"/>
                <w:lang w:eastAsia="en-ZA"/>
              </w:rPr>
              <w:t>The parties must comply with the following procedural steps: </w:t>
            </w:r>
          </w:p>
          <w:p w:rsidR="00C219DD" w:rsidRPr="00763EED" w:rsidRDefault="00C219DD" w:rsidP="00C219DD">
            <w:pPr>
              <w:spacing w:before="100" w:beforeAutospacing="1" w:after="100" w:afterAutospacing="1"/>
              <w:ind w:left="1080"/>
              <w:jc w:val="both"/>
              <w:rPr>
                <w:rFonts w:ascii="Arial" w:eastAsia="Times New Roman" w:hAnsi="Arial" w:cs="Arial"/>
                <w:color w:val="000000"/>
                <w:sz w:val="24"/>
                <w:szCs w:val="24"/>
                <w:lang w:eastAsia="en-ZA"/>
              </w:rPr>
            </w:pPr>
            <w:r w:rsidRPr="00763EED">
              <w:rPr>
                <w:rFonts w:ascii="Arial" w:eastAsia="Times New Roman" w:hAnsi="Arial" w:cs="Arial"/>
                <w:color w:val="000000"/>
                <w:sz w:val="24"/>
                <w:szCs w:val="24"/>
                <w:lang w:eastAsia="en-ZA"/>
              </w:rPr>
              <w:t>3.1 The first defendant must comply with Rule 32(9) on or before 4 December 202</w:t>
            </w:r>
            <w:r w:rsidR="00154350" w:rsidRPr="00763EED">
              <w:rPr>
                <w:rFonts w:ascii="Arial" w:eastAsia="Times New Roman" w:hAnsi="Arial" w:cs="Arial"/>
                <w:color w:val="000000"/>
                <w:sz w:val="24"/>
                <w:szCs w:val="24"/>
                <w:lang w:eastAsia="en-ZA"/>
              </w:rPr>
              <w:t>0</w:t>
            </w:r>
            <w:r w:rsidRPr="00763EED">
              <w:rPr>
                <w:rFonts w:ascii="Arial" w:eastAsia="Times New Roman" w:hAnsi="Arial" w:cs="Arial"/>
                <w:color w:val="000000"/>
                <w:sz w:val="24"/>
                <w:szCs w:val="24"/>
                <w:lang w:eastAsia="en-ZA"/>
              </w:rPr>
              <w:t>;</w:t>
            </w:r>
          </w:p>
          <w:p w:rsidR="00C219DD" w:rsidRPr="00763EED" w:rsidRDefault="00C219DD" w:rsidP="00C219DD">
            <w:pPr>
              <w:spacing w:before="100" w:beforeAutospacing="1" w:after="100" w:afterAutospacing="1"/>
              <w:ind w:left="1080"/>
              <w:jc w:val="both"/>
              <w:rPr>
                <w:rFonts w:ascii="Arial" w:eastAsia="Times New Roman" w:hAnsi="Arial" w:cs="Arial"/>
                <w:color w:val="000000"/>
                <w:sz w:val="24"/>
                <w:szCs w:val="24"/>
                <w:lang w:eastAsia="en-ZA"/>
              </w:rPr>
            </w:pPr>
            <w:r w:rsidRPr="00763EED">
              <w:rPr>
                <w:rFonts w:ascii="Arial" w:eastAsia="Times New Roman" w:hAnsi="Arial" w:cs="Arial"/>
                <w:color w:val="000000"/>
                <w:sz w:val="24"/>
                <w:szCs w:val="24"/>
                <w:lang w:eastAsia="en-ZA"/>
              </w:rPr>
              <w:t>3.2 The first defendant must file the report in terms of Rule 32(10) on or before 11 December 2020;</w:t>
            </w:r>
          </w:p>
          <w:p w:rsidR="00C219DD" w:rsidRPr="00763EED" w:rsidRDefault="00C219DD" w:rsidP="00C219DD">
            <w:pPr>
              <w:spacing w:before="100" w:beforeAutospacing="1" w:after="100" w:afterAutospacing="1"/>
              <w:ind w:left="1080"/>
              <w:jc w:val="both"/>
              <w:rPr>
                <w:rFonts w:ascii="Arial" w:eastAsia="Times New Roman" w:hAnsi="Arial" w:cs="Arial"/>
                <w:color w:val="000000"/>
                <w:sz w:val="24"/>
                <w:szCs w:val="24"/>
                <w:lang w:eastAsia="en-ZA"/>
              </w:rPr>
            </w:pPr>
            <w:r w:rsidRPr="00763EED">
              <w:rPr>
                <w:rFonts w:ascii="Arial" w:eastAsia="Times New Roman" w:hAnsi="Arial" w:cs="Arial"/>
                <w:color w:val="000000"/>
                <w:sz w:val="24"/>
                <w:szCs w:val="24"/>
                <w:lang w:eastAsia="en-ZA"/>
              </w:rPr>
              <w:t xml:space="preserve">3.3 The </w:t>
            </w:r>
            <w:r w:rsidR="00154350" w:rsidRPr="00763EED">
              <w:rPr>
                <w:rFonts w:ascii="Arial" w:eastAsia="Times New Roman" w:hAnsi="Arial" w:cs="Arial"/>
                <w:sz w:val="24"/>
                <w:szCs w:val="24"/>
                <w:lang w:eastAsia="en-ZA"/>
              </w:rPr>
              <w:t xml:space="preserve">first </w:t>
            </w:r>
            <w:r w:rsidRPr="00763EED">
              <w:rPr>
                <w:rFonts w:ascii="Arial" w:eastAsia="Times New Roman" w:hAnsi="Arial" w:cs="Arial"/>
                <w:sz w:val="24"/>
                <w:szCs w:val="24"/>
                <w:lang w:eastAsia="en-ZA"/>
              </w:rPr>
              <w:t xml:space="preserve">defendant </w:t>
            </w:r>
            <w:r w:rsidRPr="00763EED">
              <w:rPr>
                <w:rFonts w:ascii="Arial" w:eastAsia="Times New Roman" w:hAnsi="Arial" w:cs="Arial"/>
                <w:color w:val="000000"/>
                <w:sz w:val="24"/>
                <w:szCs w:val="24"/>
                <w:lang w:eastAsia="en-ZA"/>
              </w:rPr>
              <w:t xml:space="preserve">must file a fresh application for condonation </w:t>
            </w:r>
            <w:r w:rsidR="00AA03CE" w:rsidRPr="00763EED">
              <w:rPr>
                <w:rFonts w:ascii="Arial" w:eastAsia="Times New Roman" w:hAnsi="Arial" w:cs="Arial"/>
                <w:color w:val="000000"/>
                <w:sz w:val="24"/>
                <w:szCs w:val="24"/>
                <w:lang w:eastAsia="en-ZA"/>
              </w:rPr>
              <w:t xml:space="preserve">on or before 18 January 2021 </w:t>
            </w:r>
            <w:r w:rsidRPr="00763EED">
              <w:rPr>
                <w:rFonts w:ascii="Arial" w:eastAsia="Times New Roman" w:hAnsi="Arial" w:cs="Arial"/>
                <w:color w:val="000000"/>
                <w:sz w:val="24"/>
                <w:szCs w:val="24"/>
                <w:lang w:eastAsia="en-ZA"/>
              </w:rPr>
              <w:t xml:space="preserve">in respect of the late filing of the application for rescission and </w:t>
            </w:r>
            <w:r w:rsidR="00AA03CE" w:rsidRPr="00763EED">
              <w:rPr>
                <w:rFonts w:ascii="Arial" w:eastAsia="Times New Roman" w:hAnsi="Arial" w:cs="Arial"/>
                <w:color w:val="000000"/>
                <w:sz w:val="24"/>
                <w:szCs w:val="24"/>
                <w:lang w:eastAsia="en-ZA"/>
              </w:rPr>
              <w:t>its failure to attach the relevant annexures to founding affidavit</w:t>
            </w:r>
            <w:r w:rsidRPr="00763EED">
              <w:rPr>
                <w:rFonts w:ascii="Arial" w:eastAsia="Times New Roman" w:hAnsi="Arial" w:cs="Arial"/>
                <w:color w:val="000000"/>
                <w:sz w:val="24"/>
                <w:szCs w:val="24"/>
                <w:lang w:eastAsia="en-ZA"/>
              </w:rPr>
              <w:t>;</w:t>
            </w:r>
          </w:p>
          <w:p w:rsidR="00C219DD" w:rsidRPr="00763EED" w:rsidRDefault="00C219DD" w:rsidP="00C219DD">
            <w:pPr>
              <w:pStyle w:val="ListParagraph"/>
              <w:numPr>
                <w:ilvl w:val="1"/>
                <w:numId w:val="10"/>
              </w:numPr>
              <w:spacing w:before="100" w:beforeAutospacing="1" w:after="100" w:afterAutospacing="1"/>
              <w:jc w:val="both"/>
              <w:rPr>
                <w:rFonts w:ascii="Arial" w:eastAsia="Times New Roman" w:hAnsi="Arial" w:cs="Arial"/>
                <w:color w:val="000000"/>
                <w:sz w:val="24"/>
                <w:szCs w:val="24"/>
                <w:lang w:eastAsia="en-ZA"/>
              </w:rPr>
            </w:pPr>
            <w:r w:rsidRPr="00763EED">
              <w:rPr>
                <w:rFonts w:ascii="Arial" w:eastAsia="Times New Roman" w:hAnsi="Arial" w:cs="Arial"/>
                <w:color w:val="000000"/>
                <w:sz w:val="24"/>
                <w:szCs w:val="24"/>
                <w:lang w:eastAsia="en-ZA"/>
              </w:rPr>
              <w:t>The plaintiff must file amplified answering papers</w:t>
            </w:r>
            <w:r w:rsidR="00AA03CE" w:rsidRPr="00763EED">
              <w:rPr>
                <w:rFonts w:ascii="Arial" w:eastAsia="Times New Roman" w:hAnsi="Arial" w:cs="Arial"/>
                <w:color w:val="000000"/>
                <w:sz w:val="24"/>
                <w:szCs w:val="24"/>
                <w:lang w:eastAsia="en-ZA"/>
              </w:rPr>
              <w:t>, if so advised,</w:t>
            </w:r>
            <w:r w:rsidRPr="00763EED">
              <w:rPr>
                <w:rFonts w:ascii="Arial" w:eastAsia="Times New Roman" w:hAnsi="Arial" w:cs="Arial"/>
                <w:color w:val="000000"/>
                <w:sz w:val="24"/>
                <w:szCs w:val="24"/>
                <w:lang w:eastAsia="en-ZA"/>
              </w:rPr>
              <w:t xml:space="preserve"> on or before 2</w:t>
            </w:r>
            <w:r w:rsidR="00AA03CE" w:rsidRPr="00763EED">
              <w:rPr>
                <w:rFonts w:ascii="Arial" w:eastAsia="Times New Roman" w:hAnsi="Arial" w:cs="Arial"/>
                <w:color w:val="000000"/>
                <w:sz w:val="24"/>
                <w:szCs w:val="24"/>
                <w:lang w:eastAsia="en-ZA"/>
              </w:rPr>
              <w:t>8</w:t>
            </w:r>
            <w:r w:rsidRPr="00763EED">
              <w:rPr>
                <w:rFonts w:ascii="Arial" w:eastAsia="Times New Roman" w:hAnsi="Arial" w:cs="Arial"/>
                <w:color w:val="000000"/>
                <w:sz w:val="24"/>
                <w:szCs w:val="24"/>
                <w:lang w:eastAsia="en-ZA"/>
              </w:rPr>
              <w:t xml:space="preserve"> </w:t>
            </w:r>
            <w:r w:rsidR="00AA03CE" w:rsidRPr="00763EED">
              <w:rPr>
                <w:rFonts w:ascii="Arial" w:eastAsia="Times New Roman" w:hAnsi="Arial" w:cs="Arial"/>
                <w:color w:val="000000"/>
                <w:sz w:val="24"/>
                <w:szCs w:val="24"/>
                <w:lang w:eastAsia="en-ZA"/>
              </w:rPr>
              <w:t>January 2021.</w:t>
            </w:r>
          </w:p>
          <w:p w:rsidR="00C219DD" w:rsidRPr="00763EED" w:rsidRDefault="00C219DD" w:rsidP="00C219DD">
            <w:pPr>
              <w:pStyle w:val="ListParagraph"/>
              <w:spacing w:before="100" w:beforeAutospacing="1" w:after="100" w:afterAutospacing="1"/>
              <w:ind w:left="360"/>
              <w:jc w:val="both"/>
              <w:rPr>
                <w:rFonts w:ascii="Arial" w:eastAsia="Times New Roman" w:hAnsi="Arial" w:cs="Arial"/>
                <w:color w:val="000000"/>
                <w:sz w:val="24"/>
                <w:szCs w:val="24"/>
                <w:lang w:eastAsia="en-ZA"/>
              </w:rPr>
            </w:pPr>
          </w:p>
          <w:p w:rsidR="00C219DD" w:rsidRPr="00763EED" w:rsidRDefault="00C219DD" w:rsidP="00C219DD">
            <w:pPr>
              <w:pStyle w:val="ListParagraph"/>
              <w:numPr>
                <w:ilvl w:val="0"/>
                <w:numId w:val="9"/>
              </w:numPr>
              <w:spacing w:before="100" w:beforeAutospacing="1" w:after="100" w:afterAutospacing="1"/>
              <w:jc w:val="both"/>
              <w:rPr>
                <w:rFonts w:ascii="Arial" w:eastAsia="Times New Roman" w:hAnsi="Arial" w:cs="Arial"/>
                <w:color w:val="000000"/>
                <w:sz w:val="24"/>
                <w:szCs w:val="24"/>
                <w:lang w:eastAsia="en-ZA"/>
              </w:rPr>
            </w:pPr>
            <w:r w:rsidRPr="00763EED">
              <w:rPr>
                <w:rFonts w:ascii="Arial" w:eastAsia="Times New Roman" w:hAnsi="Arial" w:cs="Arial"/>
                <w:color w:val="000000"/>
                <w:sz w:val="24"/>
                <w:szCs w:val="24"/>
                <w:lang w:eastAsia="en-ZA"/>
              </w:rPr>
              <w:t xml:space="preserve">The case is postponed to </w:t>
            </w:r>
            <w:r w:rsidR="00154350" w:rsidRPr="00763EED">
              <w:rPr>
                <w:rFonts w:ascii="Arial" w:eastAsia="Times New Roman" w:hAnsi="Arial" w:cs="Arial"/>
                <w:b/>
                <w:color w:val="000000"/>
                <w:sz w:val="24"/>
                <w:szCs w:val="24"/>
                <w:lang w:eastAsia="en-ZA"/>
              </w:rPr>
              <w:t xml:space="preserve">4 February </w:t>
            </w:r>
            <w:r w:rsidR="00AA03CE" w:rsidRPr="00763EED">
              <w:rPr>
                <w:rFonts w:ascii="Arial" w:eastAsia="Times New Roman" w:hAnsi="Arial" w:cs="Arial"/>
                <w:b/>
                <w:color w:val="000000"/>
                <w:sz w:val="24"/>
                <w:szCs w:val="24"/>
                <w:lang w:eastAsia="en-ZA"/>
              </w:rPr>
              <w:t>2021</w:t>
            </w:r>
            <w:r w:rsidRPr="00763EED">
              <w:rPr>
                <w:rFonts w:ascii="Arial" w:eastAsia="Times New Roman" w:hAnsi="Arial" w:cs="Arial"/>
                <w:color w:val="000000"/>
                <w:sz w:val="24"/>
                <w:szCs w:val="24"/>
                <w:lang w:eastAsia="en-ZA"/>
              </w:rPr>
              <w:t xml:space="preserve"> at </w:t>
            </w:r>
            <w:r w:rsidRPr="00763EED">
              <w:rPr>
                <w:rFonts w:ascii="Arial" w:eastAsia="Times New Roman" w:hAnsi="Arial" w:cs="Arial"/>
                <w:b/>
                <w:color w:val="000000"/>
                <w:sz w:val="24"/>
                <w:szCs w:val="24"/>
                <w:lang w:eastAsia="en-ZA"/>
              </w:rPr>
              <w:t>15:00</w:t>
            </w:r>
            <w:r w:rsidRPr="00763EED">
              <w:rPr>
                <w:rFonts w:ascii="Arial" w:eastAsia="Times New Roman" w:hAnsi="Arial" w:cs="Arial"/>
                <w:color w:val="000000"/>
                <w:sz w:val="24"/>
                <w:szCs w:val="24"/>
                <w:lang w:eastAsia="en-ZA"/>
              </w:rPr>
              <w:t xml:space="preserve"> for Status hearing (Reason: Interlocutory (To Bring)).</w:t>
            </w:r>
          </w:p>
          <w:p w:rsidR="00732ACD" w:rsidRPr="00763EED" w:rsidRDefault="00732ACD" w:rsidP="00AD7322">
            <w:pPr>
              <w:spacing w:line="360" w:lineRule="auto"/>
              <w:ind w:left="360"/>
              <w:jc w:val="both"/>
              <w:rPr>
                <w:rFonts w:ascii="Arial" w:hAnsi="Arial" w:cs="Arial"/>
                <w:color w:val="333333"/>
                <w:sz w:val="24"/>
                <w:szCs w:val="24"/>
              </w:rPr>
            </w:pPr>
          </w:p>
        </w:tc>
      </w:tr>
      <w:tr w:rsidR="009C2E53" w:rsidRPr="00763EED" w:rsidTr="006F0D59">
        <w:tc>
          <w:tcPr>
            <w:tcW w:w="9720" w:type="dxa"/>
            <w:gridSpan w:val="3"/>
          </w:tcPr>
          <w:p w:rsidR="009C2E53" w:rsidRPr="00763EED" w:rsidRDefault="009C2E53" w:rsidP="006F0D59">
            <w:pPr>
              <w:spacing w:line="360" w:lineRule="auto"/>
              <w:jc w:val="both"/>
              <w:rPr>
                <w:rFonts w:ascii="Arial" w:hAnsi="Arial" w:cs="Arial"/>
                <w:b/>
                <w:sz w:val="24"/>
                <w:szCs w:val="24"/>
              </w:rPr>
            </w:pPr>
            <w:r w:rsidRPr="00763EED">
              <w:rPr>
                <w:rFonts w:ascii="Arial" w:hAnsi="Arial" w:cs="Arial"/>
                <w:b/>
                <w:sz w:val="24"/>
                <w:szCs w:val="24"/>
              </w:rPr>
              <w:lastRenderedPageBreak/>
              <w:t>Reasons for orders:</w:t>
            </w:r>
          </w:p>
        </w:tc>
      </w:tr>
      <w:tr w:rsidR="009C2E53" w:rsidRPr="00763EED" w:rsidTr="006F0D59">
        <w:tc>
          <w:tcPr>
            <w:tcW w:w="9720" w:type="dxa"/>
            <w:gridSpan w:val="3"/>
          </w:tcPr>
          <w:p w:rsidR="00CF2C83" w:rsidRPr="00763EED" w:rsidRDefault="00CF2C83" w:rsidP="00AD7322">
            <w:pPr>
              <w:spacing w:line="360" w:lineRule="auto"/>
              <w:jc w:val="both"/>
              <w:rPr>
                <w:rFonts w:ascii="Arial" w:hAnsi="Arial" w:cs="Arial"/>
                <w:sz w:val="24"/>
                <w:szCs w:val="24"/>
              </w:rPr>
            </w:pPr>
          </w:p>
          <w:p w:rsidR="0091718C" w:rsidRPr="00763EED" w:rsidRDefault="0091718C" w:rsidP="0091718C">
            <w:pPr>
              <w:spacing w:line="360" w:lineRule="auto"/>
              <w:jc w:val="both"/>
              <w:rPr>
                <w:rFonts w:ascii="Arial" w:hAnsi="Arial" w:cs="Arial"/>
                <w:sz w:val="24"/>
                <w:szCs w:val="24"/>
              </w:rPr>
            </w:pPr>
            <w:r w:rsidRPr="00763EED">
              <w:rPr>
                <w:rFonts w:ascii="Arial" w:hAnsi="Arial" w:cs="Arial"/>
                <w:sz w:val="24"/>
                <w:szCs w:val="24"/>
              </w:rPr>
              <w:t>[1]</w:t>
            </w:r>
            <w:r w:rsidRPr="00763EED">
              <w:rPr>
                <w:rFonts w:ascii="Arial" w:hAnsi="Arial" w:cs="Arial"/>
                <w:sz w:val="24"/>
                <w:szCs w:val="24"/>
              </w:rPr>
              <w:tab/>
              <w:t xml:space="preserve">The parties relevant to the application before me is Frankie </w:t>
            </w:r>
            <w:proofErr w:type="spellStart"/>
            <w:r w:rsidRPr="00763EED">
              <w:rPr>
                <w:rFonts w:ascii="Arial" w:hAnsi="Arial" w:cs="Arial"/>
                <w:sz w:val="24"/>
                <w:szCs w:val="24"/>
              </w:rPr>
              <w:t>Ngurimuje</w:t>
            </w:r>
            <w:proofErr w:type="spellEnd"/>
            <w:r w:rsidRPr="00763EED">
              <w:rPr>
                <w:rFonts w:ascii="Arial" w:hAnsi="Arial" w:cs="Arial"/>
                <w:sz w:val="24"/>
                <w:szCs w:val="24"/>
              </w:rPr>
              <w:t xml:space="preserve"> </w:t>
            </w:r>
            <w:proofErr w:type="spellStart"/>
            <w:r w:rsidRPr="00763EED">
              <w:rPr>
                <w:rFonts w:ascii="Arial" w:hAnsi="Arial" w:cs="Arial"/>
                <w:sz w:val="24"/>
                <w:szCs w:val="24"/>
              </w:rPr>
              <w:t>Khoe-Aub</w:t>
            </w:r>
            <w:proofErr w:type="spellEnd"/>
            <w:r w:rsidRPr="00763EED">
              <w:rPr>
                <w:rFonts w:ascii="Arial" w:hAnsi="Arial" w:cs="Arial"/>
                <w:sz w:val="24"/>
                <w:szCs w:val="24"/>
              </w:rPr>
              <w:t xml:space="preserve"> with full legal capacity to sue and be sued, and is residing in </w:t>
            </w:r>
            <w:proofErr w:type="spellStart"/>
            <w:r w:rsidRPr="00763EED">
              <w:rPr>
                <w:rFonts w:ascii="Arial" w:hAnsi="Arial" w:cs="Arial"/>
                <w:sz w:val="24"/>
                <w:szCs w:val="24"/>
              </w:rPr>
              <w:t>Swakopmund</w:t>
            </w:r>
            <w:proofErr w:type="spellEnd"/>
            <w:r w:rsidRPr="00763EED">
              <w:rPr>
                <w:rFonts w:ascii="Arial" w:hAnsi="Arial" w:cs="Arial"/>
                <w:sz w:val="24"/>
                <w:szCs w:val="24"/>
              </w:rPr>
              <w:t xml:space="preserve">. The first defendant </w:t>
            </w:r>
            <w:r w:rsidR="00AA03CE" w:rsidRPr="00763EED">
              <w:rPr>
                <w:rFonts w:ascii="Arial" w:hAnsi="Arial" w:cs="Arial"/>
                <w:sz w:val="24"/>
                <w:szCs w:val="24"/>
              </w:rPr>
              <w:t>i</w:t>
            </w:r>
            <w:r w:rsidRPr="00763EED">
              <w:rPr>
                <w:rFonts w:ascii="Arial" w:hAnsi="Arial" w:cs="Arial"/>
                <w:sz w:val="24"/>
                <w:szCs w:val="24"/>
              </w:rPr>
              <w:t xml:space="preserve">s </w:t>
            </w:r>
            <w:proofErr w:type="spellStart"/>
            <w:r w:rsidRPr="00763EED">
              <w:rPr>
                <w:rFonts w:ascii="Arial" w:hAnsi="Arial" w:cs="Arial"/>
                <w:sz w:val="24"/>
                <w:szCs w:val="24"/>
              </w:rPr>
              <w:t>Aljo</w:t>
            </w:r>
            <w:proofErr w:type="spellEnd"/>
            <w:r w:rsidRPr="00763EED">
              <w:rPr>
                <w:rFonts w:ascii="Arial" w:hAnsi="Arial" w:cs="Arial"/>
                <w:sz w:val="24"/>
                <w:szCs w:val="24"/>
              </w:rPr>
              <w:t xml:space="preserve"> Investments CC, a close corporation duly registered and incorporated in terms of the Close Corporation Act 1988 with its principal place of business situated in </w:t>
            </w:r>
            <w:proofErr w:type="spellStart"/>
            <w:r w:rsidRPr="00763EED">
              <w:rPr>
                <w:rFonts w:ascii="Arial" w:hAnsi="Arial" w:cs="Arial"/>
                <w:sz w:val="24"/>
                <w:szCs w:val="24"/>
              </w:rPr>
              <w:t>Otjiwarongo</w:t>
            </w:r>
            <w:proofErr w:type="spellEnd"/>
            <w:r w:rsidRPr="00763EED">
              <w:rPr>
                <w:rFonts w:ascii="Arial" w:hAnsi="Arial" w:cs="Arial"/>
                <w:sz w:val="24"/>
                <w:szCs w:val="24"/>
              </w:rPr>
              <w:t xml:space="preserve">. </w:t>
            </w:r>
            <w:r w:rsidR="00AA03CE" w:rsidRPr="00763EED">
              <w:rPr>
                <w:rFonts w:ascii="Arial" w:hAnsi="Arial" w:cs="Arial"/>
                <w:sz w:val="24"/>
                <w:szCs w:val="24"/>
              </w:rPr>
              <w:t xml:space="preserve"> The second defendant is </w:t>
            </w:r>
            <w:proofErr w:type="spellStart"/>
            <w:r w:rsidR="00AA03CE" w:rsidRPr="00763EED">
              <w:rPr>
                <w:rFonts w:ascii="Arial" w:hAnsi="Arial" w:cs="Arial"/>
                <w:sz w:val="24"/>
                <w:szCs w:val="24"/>
              </w:rPr>
              <w:t>Kabat</w:t>
            </w:r>
            <w:proofErr w:type="spellEnd"/>
            <w:r w:rsidR="00AA03CE" w:rsidRPr="00763EED">
              <w:rPr>
                <w:rFonts w:ascii="Arial" w:hAnsi="Arial" w:cs="Arial"/>
                <w:sz w:val="24"/>
                <w:szCs w:val="24"/>
              </w:rPr>
              <w:t xml:space="preserve"> </w:t>
            </w:r>
            <w:proofErr w:type="spellStart"/>
            <w:r w:rsidR="00AA03CE" w:rsidRPr="00763EED">
              <w:rPr>
                <w:rFonts w:ascii="Arial" w:hAnsi="Arial" w:cs="Arial"/>
                <w:sz w:val="24"/>
                <w:szCs w:val="24"/>
              </w:rPr>
              <w:t>Kvetoslav</w:t>
            </w:r>
            <w:proofErr w:type="spellEnd"/>
            <w:r w:rsidR="00AA03CE" w:rsidRPr="00763EED">
              <w:rPr>
                <w:rFonts w:ascii="Arial" w:hAnsi="Arial" w:cs="Arial"/>
                <w:sz w:val="24"/>
                <w:szCs w:val="24"/>
              </w:rPr>
              <w:t xml:space="preserve">, an adult business man residing in </w:t>
            </w:r>
            <w:proofErr w:type="spellStart"/>
            <w:r w:rsidR="00AA03CE" w:rsidRPr="00763EED">
              <w:rPr>
                <w:rFonts w:ascii="Arial" w:hAnsi="Arial" w:cs="Arial"/>
                <w:sz w:val="24"/>
                <w:szCs w:val="24"/>
              </w:rPr>
              <w:t>Otjiwarongo</w:t>
            </w:r>
            <w:proofErr w:type="spellEnd"/>
            <w:r w:rsidR="00AA03CE" w:rsidRPr="00763EED">
              <w:rPr>
                <w:rFonts w:ascii="Arial" w:hAnsi="Arial" w:cs="Arial"/>
                <w:sz w:val="24"/>
                <w:szCs w:val="24"/>
              </w:rPr>
              <w:t xml:space="preserve">.  </w:t>
            </w:r>
            <w:r w:rsidRPr="00763EED">
              <w:rPr>
                <w:rFonts w:ascii="Arial" w:hAnsi="Arial" w:cs="Arial"/>
                <w:sz w:val="24"/>
                <w:szCs w:val="24"/>
              </w:rPr>
              <w:t xml:space="preserve">I will refer to the parties as they are in the main action. </w:t>
            </w:r>
          </w:p>
          <w:p w:rsidR="0091718C" w:rsidRPr="00763EED" w:rsidRDefault="0091718C" w:rsidP="0091718C">
            <w:pPr>
              <w:spacing w:line="360" w:lineRule="auto"/>
              <w:jc w:val="both"/>
              <w:rPr>
                <w:rFonts w:ascii="Arial" w:hAnsi="Arial" w:cs="Arial"/>
                <w:sz w:val="24"/>
                <w:szCs w:val="24"/>
              </w:rPr>
            </w:pPr>
          </w:p>
          <w:p w:rsidR="0091718C" w:rsidRPr="00763EED" w:rsidRDefault="0091718C" w:rsidP="0091718C">
            <w:pPr>
              <w:spacing w:line="360" w:lineRule="auto"/>
              <w:jc w:val="both"/>
              <w:rPr>
                <w:rFonts w:ascii="Arial" w:hAnsi="Arial" w:cs="Arial"/>
                <w:sz w:val="24"/>
                <w:szCs w:val="24"/>
                <w:u w:val="single"/>
              </w:rPr>
            </w:pPr>
            <w:r w:rsidRPr="00763EED">
              <w:rPr>
                <w:rFonts w:ascii="Arial" w:hAnsi="Arial" w:cs="Arial"/>
                <w:sz w:val="24"/>
                <w:szCs w:val="24"/>
                <w:u w:val="single"/>
              </w:rPr>
              <w:t>Brief background</w:t>
            </w:r>
          </w:p>
          <w:p w:rsidR="00154350" w:rsidRPr="00763EED" w:rsidRDefault="00154350" w:rsidP="0091718C">
            <w:pPr>
              <w:spacing w:line="360" w:lineRule="auto"/>
              <w:jc w:val="both"/>
              <w:rPr>
                <w:rFonts w:ascii="Arial" w:hAnsi="Arial" w:cs="Arial"/>
                <w:sz w:val="24"/>
                <w:szCs w:val="24"/>
                <w:u w:val="single"/>
              </w:rPr>
            </w:pPr>
          </w:p>
          <w:p w:rsidR="0091718C" w:rsidRPr="00763EED" w:rsidRDefault="0091718C" w:rsidP="0091718C">
            <w:pPr>
              <w:spacing w:line="360" w:lineRule="auto"/>
              <w:jc w:val="both"/>
              <w:rPr>
                <w:rFonts w:ascii="Arial" w:hAnsi="Arial" w:cs="Arial"/>
                <w:sz w:val="24"/>
                <w:szCs w:val="24"/>
              </w:rPr>
            </w:pPr>
            <w:r w:rsidRPr="00763EED">
              <w:rPr>
                <w:rFonts w:ascii="Arial" w:hAnsi="Arial" w:cs="Arial"/>
                <w:sz w:val="24"/>
                <w:szCs w:val="24"/>
              </w:rPr>
              <w:lastRenderedPageBreak/>
              <w:t>[2]</w:t>
            </w:r>
            <w:r w:rsidRPr="00763EED">
              <w:rPr>
                <w:rFonts w:ascii="Arial" w:hAnsi="Arial" w:cs="Arial"/>
                <w:sz w:val="24"/>
                <w:szCs w:val="24"/>
              </w:rPr>
              <w:tab/>
              <w:t xml:space="preserve">The plaintiff issued summons against the defendants on 8 November 2018. The summons </w:t>
            </w:r>
            <w:r w:rsidR="00154350" w:rsidRPr="00763EED">
              <w:rPr>
                <w:rFonts w:ascii="Arial" w:hAnsi="Arial" w:cs="Arial"/>
                <w:sz w:val="24"/>
                <w:szCs w:val="24"/>
              </w:rPr>
              <w:t>were</w:t>
            </w:r>
            <w:r w:rsidRPr="00763EED">
              <w:rPr>
                <w:rFonts w:ascii="Arial" w:hAnsi="Arial" w:cs="Arial"/>
                <w:sz w:val="24"/>
                <w:szCs w:val="24"/>
              </w:rPr>
              <w:t xml:space="preserve"> duly served on the first defendant but the defendant</w:t>
            </w:r>
            <w:r w:rsidR="00AA03CE" w:rsidRPr="00763EED">
              <w:rPr>
                <w:rFonts w:ascii="Arial" w:hAnsi="Arial" w:cs="Arial"/>
                <w:sz w:val="24"/>
                <w:szCs w:val="24"/>
              </w:rPr>
              <w:t>s</w:t>
            </w:r>
            <w:r w:rsidRPr="00763EED">
              <w:rPr>
                <w:rFonts w:ascii="Arial" w:hAnsi="Arial" w:cs="Arial"/>
                <w:sz w:val="24"/>
                <w:szCs w:val="24"/>
              </w:rPr>
              <w:t xml:space="preserve"> failed to defend the matter. On 8 March 2019 the matter was enrolled on the residual roll where the Honourable Justice </w:t>
            </w:r>
            <w:proofErr w:type="spellStart"/>
            <w:r w:rsidRPr="00763EED">
              <w:rPr>
                <w:rFonts w:ascii="Arial" w:hAnsi="Arial" w:cs="Arial"/>
                <w:sz w:val="24"/>
                <w:szCs w:val="24"/>
              </w:rPr>
              <w:t>Tommasi</w:t>
            </w:r>
            <w:proofErr w:type="spellEnd"/>
            <w:r w:rsidRPr="00763EED">
              <w:rPr>
                <w:rFonts w:ascii="Arial" w:hAnsi="Arial" w:cs="Arial"/>
                <w:sz w:val="24"/>
                <w:szCs w:val="24"/>
              </w:rPr>
              <w:t xml:space="preserve"> granted default judgment in favour of the plaintiff against the firs</w:t>
            </w:r>
            <w:r w:rsidR="00154350" w:rsidRPr="00763EED">
              <w:rPr>
                <w:rFonts w:ascii="Arial" w:hAnsi="Arial" w:cs="Arial"/>
                <w:sz w:val="24"/>
                <w:szCs w:val="24"/>
              </w:rPr>
              <w:t>t</w:t>
            </w:r>
            <w:r w:rsidRPr="00763EED">
              <w:rPr>
                <w:rFonts w:ascii="Arial" w:hAnsi="Arial" w:cs="Arial"/>
                <w:sz w:val="24"/>
                <w:szCs w:val="24"/>
              </w:rPr>
              <w:t xml:space="preserve"> defendant for payment in the amount of N$139,529.82.</w:t>
            </w:r>
            <w:r w:rsidR="00AA03CE" w:rsidRPr="00763EED">
              <w:rPr>
                <w:rFonts w:ascii="Arial" w:hAnsi="Arial" w:cs="Arial"/>
                <w:sz w:val="24"/>
                <w:szCs w:val="24"/>
              </w:rPr>
              <w:t xml:space="preserve"> </w:t>
            </w:r>
            <w:r w:rsidR="00154350" w:rsidRPr="00763EED">
              <w:rPr>
                <w:rFonts w:ascii="Arial" w:hAnsi="Arial" w:cs="Arial"/>
                <w:sz w:val="24"/>
                <w:szCs w:val="24"/>
              </w:rPr>
              <w:t xml:space="preserve"> On 25 April 2019 the first d</w:t>
            </w:r>
            <w:r w:rsidRPr="00763EED">
              <w:rPr>
                <w:rFonts w:ascii="Arial" w:hAnsi="Arial" w:cs="Arial"/>
                <w:sz w:val="24"/>
                <w:szCs w:val="24"/>
              </w:rPr>
              <w:t>efendant’s current legal practitioners of record filed a notice of intention to defend the action.</w:t>
            </w:r>
            <w:r w:rsidR="00AA03CE" w:rsidRPr="00763EED">
              <w:rPr>
                <w:rFonts w:ascii="Arial" w:hAnsi="Arial" w:cs="Arial"/>
                <w:sz w:val="24"/>
                <w:szCs w:val="24"/>
              </w:rPr>
              <w:t xml:space="preserve"> </w:t>
            </w:r>
            <w:r w:rsidR="00110D9A" w:rsidRPr="00763EED">
              <w:rPr>
                <w:rFonts w:ascii="Arial" w:hAnsi="Arial" w:cs="Arial"/>
                <w:sz w:val="24"/>
                <w:szCs w:val="24"/>
              </w:rPr>
              <w:t>For completeness of the record it is necessary to note that on</w:t>
            </w:r>
            <w:r w:rsidR="00AA03CE" w:rsidRPr="00763EED">
              <w:rPr>
                <w:rFonts w:ascii="Arial" w:hAnsi="Arial" w:cs="Arial"/>
                <w:sz w:val="24"/>
                <w:szCs w:val="24"/>
              </w:rPr>
              <w:t xml:space="preserve"> 2 September 2019 </w:t>
            </w:r>
            <w:proofErr w:type="spellStart"/>
            <w:r w:rsidR="00AA03CE" w:rsidRPr="00763EED">
              <w:rPr>
                <w:rFonts w:ascii="Arial" w:hAnsi="Arial" w:cs="Arial"/>
                <w:sz w:val="24"/>
                <w:szCs w:val="24"/>
              </w:rPr>
              <w:t>Usiku</w:t>
            </w:r>
            <w:proofErr w:type="spellEnd"/>
            <w:r w:rsidR="00AA03CE" w:rsidRPr="00763EED">
              <w:rPr>
                <w:rFonts w:ascii="Arial" w:hAnsi="Arial" w:cs="Arial"/>
                <w:sz w:val="24"/>
                <w:szCs w:val="24"/>
              </w:rPr>
              <w:t xml:space="preserve"> J granted default judgment </w:t>
            </w:r>
            <w:r w:rsidR="00110D9A" w:rsidRPr="00763EED">
              <w:rPr>
                <w:rFonts w:ascii="Arial" w:hAnsi="Arial" w:cs="Arial"/>
                <w:sz w:val="24"/>
                <w:szCs w:val="24"/>
              </w:rPr>
              <w:t xml:space="preserve">against the second defendant. The second defendant did not bring an application for rescission of judgment and is not part of the current proceedings. </w:t>
            </w:r>
          </w:p>
          <w:p w:rsidR="00AA03CE" w:rsidRPr="00763EED" w:rsidRDefault="00AA03CE" w:rsidP="0091718C">
            <w:pPr>
              <w:spacing w:line="360" w:lineRule="auto"/>
              <w:jc w:val="both"/>
              <w:rPr>
                <w:rFonts w:ascii="Arial" w:hAnsi="Arial" w:cs="Arial"/>
                <w:sz w:val="24"/>
                <w:szCs w:val="24"/>
              </w:rPr>
            </w:pPr>
          </w:p>
          <w:p w:rsidR="0091718C" w:rsidRPr="00763EED" w:rsidRDefault="0091718C" w:rsidP="0091718C">
            <w:pPr>
              <w:spacing w:line="360" w:lineRule="auto"/>
              <w:jc w:val="both"/>
              <w:rPr>
                <w:rFonts w:ascii="Arial" w:hAnsi="Arial" w:cs="Arial"/>
                <w:sz w:val="24"/>
                <w:szCs w:val="24"/>
              </w:rPr>
            </w:pPr>
            <w:r w:rsidRPr="00763EED">
              <w:rPr>
                <w:rFonts w:ascii="Arial" w:hAnsi="Arial" w:cs="Arial"/>
                <w:sz w:val="24"/>
                <w:szCs w:val="24"/>
              </w:rPr>
              <w:t>[3]</w:t>
            </w:r>
            <w:r w:rsidRPr="00763EED">
              <w:rPr>
                <w:rFonts w:ascii="Arial" w:hAnsi="Arial" w:cs="Arial"/>
                <w:sz w:val="24"/>
                <w:szCs w:val="24"/>
              </w:rPr>
              <w:tab/>
              <w:t>The first defendant proceeded to launch an a</w:t>
            </w:r>
            <w:r w:rsidR="00110D9A" w:rsidRPr="00763EED">
              <w:rPr>
                <w:rFonts w:ascii="Arial" w:hAnsi="Arial" w:cs="Arial"/>
                <w:sz w:val="24"/>
                <w:szCs w:val="24"/>
              </w:rPr>
              <w:t xml:space="preserve">pplication for rescission for </w:t>
            </w:r>
            <w:r w:rsidRPr="00763EED">
              <w:rPr>
                <w:rFonts w:ascii="Arial" w:hAnsi="Arial" w:cs="Arial"/>
                <w:sz w:val="24"/>
                <w:szCs w:val="24"/>
              </w:rPr>
              <w:t>some reason on three different dates, i</w:t>
            </w:r>
            <w:r w:rsidR="00B15644" w:rsidRPr="00763EED">
              <w:rPr>
                <w:rFonts w:ascii="Arial" w:hAnsi="Arial" w:cs="Arial"/>
                <w:sz w:val="24"/>
                <w:szCs w:val="24"/>
              </w:rPr>
              <w:t>.</w:t>
            </w:r>
            <w:r w:rsidRPr="00763EED">
              <w:rPr>
                <w:rFonts w:ascii="Arial" w:hAnsi="Arial" w:cs="Arial"/>
                <w:sz w:val="24"/>
                <w:szCs w:val="24"/>
              </w:rPr>
              <w:t>e</w:t>
            </w:r>
            <w:r w:rsidR="00B15644" w:rsidRPr="00763EED">
              <w:rPr>
                <w:rFonts w:ascii="Arial" w:hAnsi="Arial" w:cs="Arial"/>
                <w:sz w:val="24"/>
                <w:szCs w:val="24"/>
              </w:rPr>
              <w:t>.</w:t>
            </w:r>
            <w:r w:rsidR="00154350" w:rsidRPr="00763EED">
              <w:rPr>
                <w:rFonts w:ascii="Arial" w:hAnsi="Arial" w:cs="Arial"/>
                <w:sz w:val="24"/>
                <w:szCs w:val="24"/>
              </w:rPr>
              <w:t xml:space="preserve"> </w:t>
            </w:r>
            <w:r w:rsidRPr="00763EED">
              <w:rPr>
                <w:rFonts w:ascii="Arial" w:hAnsi="Arial" w:cs="Arial"/>
                <w:sz w:val="24"/>
                <w:szCs w:val="24"/>
              </w:rPr>
              <w:t>4 October 2019, 22 October 2019 and 23 October 2019. The applicat</w:t>
            </w:r>
            <w:r w:rsidR="00110D9A" w:rsidRPr="00763EED">
              <w:rPr>
                <w:rFonts w:ascii="Arial" w:hAnsi="Arial" w:cs="Arial"/>
                <w:sz w:val="24"/>
                <w:szCs w:val="24"/>
              </w:rPr>
              <w:t>ion for rescission of judgment was</w:t>
            </w:r>
            <w:r w:rsidRPr="00763EED">
              <w:rPr>
                <w:rFonts w:ascii="Arial" w:hAnsi="Arial" w:cs="Arial"/>
                <w:sz w:val="24"/>
                <w:szCs w:val="24"/>
              </w:rPr>
              <w:t xml:space="preserve"> opposed by the plaintiff where after the matter was docket allocated. The application for rescission should however have been dealt with as an opposed motion in terms of Part 8 of the Rules of Court instead of being subjected to judicial case management. However, due to the undue delay already experience</w:t>
            </w:r>
            <w:r w:rsidR="00154350" w:rsidRPr="00763EED">
              <w:rPr>
                <w:rFonts w:ascii="Arial" w:hAnsi="Arial" w:cs="Arial"/>
                <w:sz w:val="24"/>
                <w:szCs w:val="24"/>
              </w:rPr>
              <w:t>d</w:t>
            </w:r>
            <w:r w:rsidRPr="00763EED">
              <w:rPr>
                <w:rFonts w:ascii="Arial" w:hAnsi="Arial" w:cs="Arial"/>
                <w:sz w:val="24"/>
                <w:szCs w:val="24"/>
              </w:rPr>
              <w:t xml:space="preserve"> in bringing the matter to finality I decided to proceed to deal with the matter instead of referring it back to the correct court roll. </w:t>
            </w:r>
          </w:p>
          <w:p w:rsidR="00110D9A" w:rsidRPr="00763EED" w:rsidRDefault="00110D9A" w:rsidP="0091718C">
            <w:pPr>
              <w:spacing w:line="360" w:lineRule="auto"/>
              <w:jc w:val="both"/>
              <w:rPr>
                <w:rFonts w:ascii="Arial" w:hAnsi="Arial" w:cs="Arial"/>
                <w:sz w:val="24"/>
                <w:szCs w:val="24"/>
              </w:rPr>
            </w:pPr>
          </w:p>
          <w:p w:rsidR="0091718C" w:rsidRPr="00763EED" w:rsidRDefault="0091718C" w:rsidP="0091718C">
            <w:pPr>
              <w:spacing w:line="360" w:lineRule="auto"/>
              <w:jc w:val="both"/>
              <w:rPr>
                <w:rFonts w:ascii="Arial" w:hAnsi="Arial" w:cs="Arial"/>
                <w:sz w:val="24"/>
                <w:szCs w:val="24"/>
                <w:u w:val="single"/>
              </w:rPr>
            </w:pPr>
            <w:r w:rsidRPr="00763EED">
              <w:rPr>
                <w:rFonts w:ascii="Arial" w:hAnsi="Arial" w:cs="Arial"/>
                <w:sz w:val="24"/>
                <w:szCs w:val="24"/>
                <w:u w:val="single"/>
              </w:rPr>
              <w:t>The application</w:t>
            </w:r>
          </w:p>
          <w:p w:rsidR="00154350" w:rsidRPr="00763EED" w:rsidRDefault="00154350" w:rsidP="0091718C">
            <w:pPr>
              <w:spacing w:line="360" w:lineRule="auto"/>
              <w:jc w:val="both"/>
              <w:rPr>
                <w:rFonts w:ascii="Arial" w:hAnsi="Arial" w:cs="Arial"/>
                <w:sz w:val="24"/>
                <w:szCs w:val="24"/>
                <w:u w:val="single"/>
              </w:rPr>
            </w:pPr>
          </w:p>
          <w:p w:rsidR="0091718C" w:rsidRPr="00763EED" w:rsidRDefault="0091718C" w:rsidP="0091718C">
            <w:pPr>
              <w:spacing w:line="360" w:lineRule="auto"/>
              <w:jc w:val="both"/>
              <w:rPr>
                <w:rFonts w:ascii="Arial" w:hAnsi="Arial" w:cs="Arial"/>
                <w:sz w:val="24"/>
                <w:szCs w:val="24"/>
              </w:rPr>
            </w:pPr>
            <w:r w:rsidRPr="00763EED">
              <w:rPr>
                <w:rFonts w:ascii="Arial" w:hAnsi="Arial" w:cs="Arial"/>
                <w:sz w:val="24"/>
                <w:szCs w:val="24"/>
              </w:rPr>
              <w:t>[4]</w:t>
            </w:r>
            <w:r w:rsidRPr="00763EED">
              <w:rPr>
                <w:rFonts w:ascii="Arial" w:hAnsi="Arial" w:cs="Arial"/>
                <w:sz w:val="24"/>
                <w:szCs w:val="24"/>
              </w:rPr>
              <w:tab/>
              <w:t xml:space="preserve">The application for rescission of judgment was duly set down for hearing however the plaintiff raised a number of different of points </w:t>
            </w:r>
            <w:r w:rsidRPr="00763EED">
              <w:rPr>
                <w:rFonts w:ascii="Arial" w:hAnsi="Arial" w:cs="Arial"/>
                <w:i/>
                <w:sz w:val="24"/>
                <w:szCs w:val="24"/>
              </w:rPr>
              <w:t xml:space="preserve">in </w:t>
            </w:r>
            <w:proofErr w:type="spellStart"/>
            <w:r w:rsidRPr="00763EED">
              <w:rPr>
                <w:rFonts w:ascii="Arial" w:hAnsi="Arial" w:cs="Arial"/>
                <w:i/>
                <w:sz w:val="24"/>
                <w:szCs w:val="24"/>
              </w:rPr>
              <w:t>limine</w:t>
            </w:r>
            <w:proofErr w:type="spellEnd"/>
            <w:r w:rsidRPr="00763EED">
              <w:rPr>
                <w:rFonts w:ascii="Arial" w:hAnsi="Arial" w:cs="Arial"/>
                <w:sz w:val="24"/>
                <w:szCs w:val="24"/>
              </w:rPr>
              <w:t xml:space="preserve"> which had to be attended to before I could consider the merits of the application. </w:t>
            </w:r>
          </w:p>
          <w:p w:rsidR="00110D9A" w:rsidRPr="00763EED" w:rsidRDefault="00110D9A" w:rsidP="0091718C">
            <w:pPr>
              <w:spacing w:line="360" w:lineRule="auto"/>
              <w:jc w:val="both"/>
              <w:rPr>
                <w:rFonts w:ascii="Arial" w:hAnsi="Arial" w:cs="Arial"/>
                <w:sz w:val="24"/>
                <w:szCs w:val="24"/>
              </w:rPr>
            </w:pPr>
          </w:p>
          <w:p w:rsidR="0091718C" w:rsidRPr="00763EED" w:rsidRDefault="0091718C" w:rsidP="0091718C">
            <w:pPr>
              <w:spacing w:line="360" w:lineRule="auto"/>
              <w:jc w:val="both"/>
              <w:rPr>
                <w:rFonts w:ascii="Arial" w:hAnsi="Arial" w:cs="Arial"/>
                <w:sz w:val="24"/>
                <w:szCs w:val="24"/>
              </w:rPr>
            </w:pPr>
            <w:r w:rsidRPr="00763EED">
              <w:rPr>
                <w:rFonts w:ascii="Arial" w:hAnsi="Arial" w:cs="Arial"/>
                <w:sz w:val="24"/>
                <w:szCs w:val="24"/>
              </w:rPr>
              <w:t>[5]</w:t>
            </w:r>
            <w:r w:rsidRPr="00763EED">
              <w:rPr>
                <w:rFonts w:ascii="Arial" w:hAnsi="Arial" w:cs="Arial"/>
                <w:sz w:val="24"/>
                <w:szCs w:val="24"/>
              </w:rPr>
              <w:tab/>
              <w:t xml:space="preserve"> The points </w:t>
            </w:r>
            <w:r w:rsidRPr="00763EED">
              <w:rPr>
                <w:rFonts w:ascii="Arial" w:hAnsi="Arial" w:cs="Arial"/>
                <w:i/>
                <w:sz w:val="24"/>
                <w:szCs w:val="24"/>
              </w:rPr>
              <w:t xml:space="preserve">in </w:t>
            </w:r>
            <w:proofErr w:type="spellStart"/>
            <w:r w:rsidRPr="00763EED">
              <w:rPr>
                <w:rFonts w:ascii="Arial" w:hAnsi="Arial" w:cs="Arial"/>
                <w:i/>
                <w:sz w:val="24"/>
                <w:szCs w:val="24"/>
              </w:rPr>
              <w:t>limine</w:t>
            </w:r>
            <w:proofErr w:type="spellEnd"/>
            <w:r w:rsidRPr="00763EED">
              <w:rPr>
                <w:rFonts w:ascii="Arial" w:hAnsi="Arial" w:cs="Arial"/>
                <w:sz w:val="24"/>
                <w:szCs w:val="24"/>
              </w:rPr>
              <w:t xml:space="preserve"> raised are as follows: </w:t>
            </w:r>
          </w:p>
          <w:p w:rsidR="0091718C" w:rsidRPr="00763EED" w:rsidRDefault="0091718C" w:rsidP="0091718C">
            <w:pPr>
              <w:pStyle w:val="ListParagraph"/>
              <w:numPr>
                <w:ilvl w:val="0"/>
                <w:numId w:val="7"/>
              </w:numPr>
              <w:spacing w:line="360" w:lineRule="auto"/>
              <w:jc w:val="both"/>
              <w:rPr>
                <w:rFonts w:ascii="Arial" w:hAnsi="Arial" w:cs="Arial"/>
                <w:sz w:val="24"/>
                <w:szCs w:val="24"/>
              </w:rPr>
            </w:pPr>
            <w:r w:rsidRPr="00763EED">
              <w:rPr>
                <w:rFonts w:ascii="Arial" w:hAnsi="Arial" w:cs="Arial"/>
                <w:sz w:val="24"/>
                <w:szCs w:val="24"/>
              </w:rPr>
              <w:t>Failure by the first defendant to en</w:t>
            </w:r>
            <w:r w:rsidR="00763EED">
              <w:rPr>
                <w:rFonts w:ascii="Arial" w:hAnsi="Arial" w:cs="Arial"/>
                <w:sz w:val="24"/>
                <w:szCs w:val="24"/>
              </w:rPr>
              <w:t>gage the plaintiff in terms of R</w:t>
            </w:r>
            <w:r w:rsidRPr="00763EED">
              <w:rPr>
                <w:rFonts w:ascii="Arial" w:hAnsi="Arial" w:cs="Arial"/>
                <w:sz w:val="24"/>
                <w:szCs w:val="24"/>
              </w:rPr>
              <w:t xml:space="preserve"> 32(9) in respect of the late filing of the first defendant’s application for rescission of judgment; </w:t>
            </w:r>
          </w:p>
          <w:p w:rsidR="0091718C" w:rsidRPr="00763EED" w:rsidRDefault="0091718C" w:rsidP="0091718C">
            <w:pPr>
              <w:pStyle w:val="ListParagraph"/>
              <w:numPr>
                <w:ilvl w:val="0"/>
                <w:numId w:val="7"/>
              </w:numPr>
              <w:spacing w:line="360" w:lineRule="auto"/>
              <w:jc w:val="both"/>
              <w:rPr>
                <w:rFonts w:ascii="Arial" w:hAnsi="Arial" w:cs="Arial"/>
                <w:sz w:val="24"/>
                <w:szCs w:val="24"/>
              </w:rPr>
            </w:pPr>
            <w:r w:rsidRPr="00763EED">
              <w:rPr>
                <w:rFonts w:ascii="Arial" w:hAnsi="Arial" w:cs="Arial"/>
                <w:sz w:val="24"/>
                <w:szCs w:val="24"/>
              </w:rPr>
              <w:t>Impermissible hearsay contained in the founding affidavit;</w:t>
            </w:r>
          </w:p>
          <w:p w:rsidR="0091718C" w:rsidRPr="00763EED" w:rsidRDefault="0091718C" w:rsidP="0091718C">
            <w:pPr>
              <w:pStyle w:val="ListParagraph"/>
              <w:numPr>
                <w:ilvl w:val="0"/>
                <w:numId w:val="7"/>
              </w:numPr>
              <w:spacing w:line="360" w:lineRule="auto"/>
              <w:jc w:val="both"/>
              <w:rPr>
                <w:rFonts w:ascii="Arial" w:hAnsi="Arial" w:cs="Arial"/>
                <w:sz w:val="24"/>
                <w:szCs w:val="24"/>
              </w:rPr>
            </w:pPr>
            <w:r w:rsidRPr="00763EED">
              <w:rPr>
                <w:rFonts w:ascii="Arial" w:hAnsi="Arial" w:cs="Arial"/>
                <w:sz w:val="24"/>
                <w:szCs w:val="24"/>
              </w:rPr>
              <w:lastRenderedPageBreak/>
              <w:t>The deponent to the founding a</w:t>
            </w:r>
            <w:r w:rsidR="00154350" w:rsidRPr="00763EED">
              <w:rPr>
                <w:rFonts w:ascii="Arial" w:hAnsi="Arial" w:cs="Arial"/>
                <w:sz w:val="24"/>
                <w:szCs w:val="24"/>
              </w:rPr>
              <w:t>ffidavit failed to attach any or</w:t>
            </w:r>
            <w:r w:rsidRPr="00763EED">
              <w:rPr>
                <w:rFonts w:ascii="Arial" w:hAnsi="Arial" w:cs="Arial"/>
                <w:sz w:val="24"/>
                <w:szCs w:val="24"/>
              </w:rPr>
              <w:t xml:space="preserve"> the annexures referred to in the said founding affidavit. </w:t>
            </w:r>
          </w:p>
          <w:p w:rsidR="0091718C" w:rsidRPr="00763EED" w:rsidRDefault="0091718C" w:rsidP="0091718C">
            <w:pPr>
              <w:spacing w:line="360" w:lineRule="auto"/>
              <w:jc w:val="both"/>
              <w:rPr>
                <w:rFonts w:ascii="Arial" w:hAnsi="Arial" w:cs="Arial"/>
                <w:sz w:val="24"/>
                <w:szCs w:val="24"/>
              </w:rPr>
            </w:pPr>
            <w:r w:rsidRPr="00763EED">
              <w:rPr>
                <w:rFonts w:ascii="Arial" w:hAnsi="Arial" w:cs="Arial"/>
                <w:sz w:val="24"/>
                <w:szCs w:val="24"/>
              </w:rPr>
              <w:t>[6]</w:t>
            </w:r>
            <w:r w:rsidRPr="00763EED">
              <w:rPr>
                <w:rFonts w:ascii="Arial" w:hAnsi="Arial" w:cs="Arial"/>
                <w:sz w:val="24"/>
                <w:szCs w:val="24"/>
              </w:rPr>
              <w:tab/>
              <w:t xml:space="preserve">This ruling herein is on the points </w:t>
            </w:r>
            <w:r w:rsidRPr="00763EED">
              <w:rPr>
                <w:rFonts w:ascii="Arial" w:hAnsi="Arial" w:cs="Arial"/>
                <w:i/>
                <w:sz w:val="24"/>
                <w:szCs w:val="24"/>
              </w:rPr>
              <w:t xml:space="preserve">in </w:t>
            </w:r>
            <w:proofErr w:type="spellStart"/>
            <w:r w:rsidRPr="00763EED">
              <w:rPr>
                <w:rFonts w:ascii="Arial" w:hAnsi="Arial" w:cs="Arial"/>
                <w:i/>
                <w:sz w:val="24"/>
                <w:szCs w:val="24"/>
              </w:rPr>
              <w:t>limine</w:t>
            </w:r>
            <w:proofErr w:type="spellEnd"/>
            <w:r w:rsidRPr="00763EED">
              <w:rPr>
                <w:rFonts w:ascii="Arial" w:hAnsi="Arial" w:cs="Arial"/>
                <w:sz w:val="24"/>
                <w:szCs w:val="24"/>
              </w:rPr>
              <w:t xml:space="preserve"> only.</w:t>
            </w:r>
          </w:p>
          <w:p w:rsidR="0091718C" w:rsidRPr="00763EED" w:rsidRDefault="0091718C" w:rsidP="0091718C">
            <w:pPr>
              <w:spacing w:line="360" w:lineRule="auto"/>
              <w:jc w:val="both"/>
              <w:rPr>
                <w:rFonts w:ascii="Arial" w:hAnsi="Arial" w:cs="Arial"/>
                <w:sz w:val="24"/>
                <w:szCs w:val="24"/>
              </w:rPr>
            </w:pPr>
          </w:p>
          <w:p w:rsidR="0091718C" w:rsidRPr="00763EED" w:rsidRDefault="0091718C" w:rsidP="0091718C">
            <w:pPr>
              <w:spacing w:line="360" w:lineRule="auto"/>
              <w:jc w:val="both"/>
              <w:rPr>
                <w:rFonts w:ascii="Arial" w:hAnsi="Arial" w:cs="Arial"/>
                <w:sz w:val="24"/>
                <w:szCs w:val="24"/>
                <w:u w:val="single"/>
              </w:rPr>
            </w:pPr>
            <w:r w:rsidRPr="00763EED">
              <w:rPr>
                <w:rFonts w:ascii="Arial" w:hAnsi="Arial" w:cs="Arial"/>
                <w:sz w:val="24"/>
                <w:szCs w:val="24"/>
                <w:u w:val="single"/>
              </w:rPr>
              <w:t xml:space="preserve">First point </w:t>
            </w:r>
            <w:r w:rsidRPr="00763EED">
              <w:rPr>
                <w:rFonts w:ascii="Arial" w:hAnsi="Arial" w:cs="Arial"/>
                <w:i/>
                <w:sz w:val="24"/>
                <w:szCs w:val="24"/>
                <w:u w:val="single"/>
              </w:rPr>
              <w:t xml:space="preserve">in </w:t>
            </w:r>
            <w:proofErr w:type="spellStart"/>
            <w:r w:rsidRPr="00763EED">
              <w:rPr>
                <w:rFonts w:ascii="Arial" w:hAnsi="Arial" w:cs="Arial"/>
                <w:i/>
                <w:sz w:val="24"/>
                <w:szCs w:val="24"/>
                <w:u w:val="single"/>
              </w:rPr>
              <w:t>limine</w:t>
            </w:r>
            <w:proofErr w:type="spellEnd"/>
            <w:r w:rsidRPr="00763EED">
              <w:rPr>
                <w:rFonts w:ascii="Arial" w:hAnsi="Arial" w:cs="Arial"/>
                <w:sz w:val="24"/>
                <w:szCs w:val="24"/>
                <w:u w:val="single"/>
              </w:rPr>
              <w:t>: compliance with rule 32(9) and (10)</w:t>
            </w:r>
          </w:p>
          <w:p w:rsidR="00154350" w:rsidRPr="00763EED" w:rsidRDefault="00154350" w:rsidP="0091718C">
            <w:pPr>
              <w:spacing w:line="360" w:lineRule="auto"/>
              <w:jc w:val="both"/>
              <w:rPr>
                <w:rFonts w:ascii="Arial" w:hAnsi="Arial" w:cs="Arial"/>
                <w:sz w:val="24"/>
                <w:szCs w:val="24"/>
                <w:u w:val="single"/>
              </w:rPr>
            </w:pPr>
          </w:p>
          <w:p w:rsidR="0091718C" w:rsidRPr="00763EED" w:rsidRDefault="0091718C" w:rsidP="0091718C">
            <w:pPr>
              <w:spacing w:line="360" w:lineRule="auto"/>
              <w:jc w:val="both"/>
              <w:rPr>
                <w:rFonts w:ascii="Arial" w:hAnsi="Arial" w:cs="Arial"/>
                <w:sz w:val="24"/>
                <w:szCs w:val="24"/>
              </w:rPr>
            </w:pPr>
            <w:r w:rsidRPr="00763EED">
              <w:rPr>
                <w:rFonts w:ascii="Arial" w:hAnsi="Arial" w:cs="Arial"/>
                <w:sz w:val="24"/>
                <w:szCs w:val="24"/>
              </w:rPr>
              <w:t>[7]</w:t>
            </w:r>
            <w:r w:rsidRPr="00763EED">
              <w:rPr>
                <w:rFonts w:ascii="Arial" w:hAnsi="Arial" w:cs="Arial"/>
                <w:sz w:val="24"/>
                <w:szCs w:val="24"/>
              </w:rPr>
              <w:tab/>
              <w:t xml:space="preserve">Mrs </w:t>
            </w:r>
            <w:proofErr w:type="spellStart"/>
            <w:r w:rsidRPr="00763EED">
              <w:rPr>
                <w:rFonts w:ascii="Arial" w:hAnsi="Arial" w:cs="Arial"/>
                <w:sz w:val="24"/>
                <w:szCs w:val="24"/>
              </w:rPr>
              <w:t>Garbers</w:t>
            </w:r>
            <w:proofErr w:type="spellEnd"/>
            <w:r w:rsidRPr="00763EED">
              <w:rPr>
                <w:rFonts w:ascii="Arial" w:hAnsi="Arial" w:cs="Arial"/>
                <w:sz w:val="24"/>
                <w:szCs w:val="24"/>
              </w:rPr>
              <w:t xml:space="preserve">-Kirsten argued that first defendant has engaged the plaintiff in terms of rule 32(9) regarding the application for rescission of default judgment prior to launching same. However, </w:t>
            </w:r>
            <w:r w:rsidR="00110D9A" w:rsidRPr="00763EED">
              <w:rPr>
                <w:rFonts w:ascii="Arial" w:hAnsi="Arial" w:cs="Arial"/>
                <w:sz w:val="24"/>
                <w:szCs w:val="24"/>
              </w:rPr>
              <w:t>the f</w:t>
            </w:r>
            <w:r w:rsidRPr="00763EED">
              <w:rPr>
                <w:rFonts w:ascii="Arial" w:hAnsi="Arial" w:cs="Arial"/>
                <w:sz w:val="24"/>
                <w:szCs w:val="24"/>
              </w:rPr>
              <w:t xml:space="preserve">irst </w:t>
            </w:r>
            <w:r w:rsidR="00110D9A" w:rsidRPr="00763EED">
              <w:rPr>
                <w:rFonts w:ascii="Arial" w:hAnsi="Arial" w:cs="Arial"/>
                <w:sz w:val="24"/>
                <w:szCs w:val="24"/>
              </w:rPr>
              <w:t>d</w:t>
            </w:r>
            <w:r w:rsidRPr="00763EED">
              <w:rPr>
                <w:rFonts w:ascii="Arial" w:hAnsi="Arial" w:cs="Arial"/>
                <w:sz w:val="24"/>
                <w:szCs w:val="24"/>
              </w:rPr>
              <w:t>efendant has failed to engage the plaintiff regarding its application for condonation for the late filing of its application for rescission of default judgment.</w:t>
            </w:r>
          </w:p>
          <w:p w:rsidR="00110D9A" w:rsidRPr="00763EED" w:rsidRDefault="00110D9A" w:rsidP="0091718C">
            <w:pPr>
              <w:spacing w:line="360" w:lineRule="auto"/>
              <w:jc w:val="both"/>
              <w:rPr>
                <w:rFonts w:ascii="Arial" w:hAnsi="Arial" w:cs="Arial"/>
                <w:sz w:val="24"/>
                <w:szCs w:val="24"/>
              </w:rPr>
            </w:pPr>
          </w:p>
          <w:p w:rsidR="0091718C" w:rsidRPr="00763EED" w:rsidRDefault="0091718C" w:rsidP="0091718C">
            <w:pPr>
              <w:tabs>
                <w:tab w:val="left" w:pos="4815"/>
              </w:tabs>
              <w:spacing w:line="360" w:lineRule="auto"/>
              <w:jc w:val="both"/>
              <w:rPr>
                <w:rFonts w:ascii="Arial" w:hAnsi="Arial" w:cs="Arial"/>
                <w:sz w:val="24"/>
                <w:szCs w:val="24"/>
              </w:rPr>
            </w:pPr>
            <w:r w:rsidRPr="00763EED">
              <w:rPr>
                <w:rFonts w:ascii="Arial" w:hAnsi="Arial" w:cs="Arial"/>
                <w:sz w:val="24"/>
                <w:szCs w:val="24"/>
              </w:rPr>
              <w:t>[8]      There are many cases wherein this court ruled that the application for condonation is an interlocutory application and the parties thus have to comply with the mandatory provisions of Rule 32 (9) and 32 (10)</w:t>
            </w:r>
            <w:r w:rsidR="00763EED">
              <w:rPr>
                <w:rFonts w:ascii="Arial" w:hAnsi="Arial" w:cs="Arial"/>
                <w:sz w:val="24"/>
                <w:szCs w:val="24"/>
              </w:rPr>
              <w:t>.</w:t>
            </w:r>
            <w:r w:rsidRPr="00763EED">
              <w:rPr>
                <w:rStyle w:val="FootnoteReference"/>
                <w:rFonts w:ascii="Arial" w:hAnsi="Arial" w:cs="Arial"/>
                <w:sz w:val="24"/>
                <w:szCs w:val="24"/>
              </w:rPr>
              <w:footnoteReference w:id="1"/>
            </w:r>
            <w:r w:rsidRPr="00763EED">
              <w:rPr>
                <w:rFonts w:ascii="Arial" w:hAnsi="Arial" w:cs="Arial"/>
                <w:sz w:val="24"/>
                <w:szCs w:val="24"/>
              </w:rPr>
              <w:t xml:space="preserve"> This remains the position until such time that the rules of court in this regard is reviewed or amended and on this point alone the matter stand to be struck from the roll. The first point </w:t>
            </w:r>
            <w:r w:rsidRPr="00763EED">
              <w:rPr>
                <w:rFonts w:ascii="Arial" w:hAnsi="Arial" w:cs="Arial"/>
                <w:i/>
                <w:sz w:val="24"/>
                <w:szCs w:val="24"/>
              </w:rPr>
              <w:t>in lime</w:t>
            </w:r>
            <w:r w:rsidRPr="00763EED">
              <w:rPr>
                <w:rFonts w:ascii="Arial" w:hAnsi="Arial" w:cs="Arial"/>
                <w:sz w:val="24"/>
                <w:szCs w:val="24"/>
              </w:rPr>
              <w:t xml:space="preserve"> is therefore upheld.</w:t>
            </w:r>
          </w:p>
          <w:p w:rsidR="00110D9A" w:rsidRPr="00763EED" w:rsidRDefault="00110D9A" w:rsidP="0091718C">
            <w:pPr>
              <w:tabs>
                <w:tab w:val="left" w:pos="4815"/>
              </w:tabs>
              <w:spacing w:line="360" w:lineRule="auto"/>
              <w:jc w:val="both"/>
              <w:rPr>
                <w:rFonts w:ascii="Arial" w:hAnsi="Arial" w:cs="Arial"/>
                <w:sz w:val="24"/>
                <w:szCs w:val="24"/>
              </w:rPr>
            </w:pPr>
          </w:p>
          <w:p w:rsidR="0091718C" w:rsidRPr="00763EED" w:rsidRDefault="0091718C" w:rsidP="0091718C">
            <w:pPr>
              <w:spacing w:line="360" w:lineRule="auto"/>
              <w:jc w:val="both"/>
              <w:rPr>
                <w:rFonts w:ascii="Arial" w:hAnsi="Arial" w:cs="Arial"/>
                <w:sz w:val="24"/>
                <w:szCs w:val="24"/>
                <w:u w:val="single"/>
              </w:rPr>
            </w:pPr>
            <w:r w:rsidRPr="00763EED">
              <w:rPr>
                <w:rFonts w:ascii="Arial" w:hAnsi="Arial" w:cs="Arial"/>
                <w:sz w:val="24"/>
                <w:szCs w:val="24"/>
                <w:u w:val="single"/>
              </w:rPr>
              <w:t xml:space="preserve">Second point </w:t>
            </w:r>
            <w:r w:rsidRPr="00763EED">
              <w:rPr>
                <w:rFonts w:ascii="Arial" w:hAnsi="Arial" w:cs="Arial"/>
                <w:i/>
                <w:sz w:val="24"/>
                <w:szCs w:val="24"/>
                <w:u w:val="single"/>
              </w:rPr>
              <w:t xml:space="preserve">in </w:t>
            </w:r>
            <w:proofErr w:type="spellStart"/>
            <w:r w:rsidRPr="00763EED">
              <w:rPr>
                <w:rFonts w:ascii="Arial" w:hAnsi="Arial" w:cs="Arial"/>
                <w:i/>
                <w:sz w:val="24"/>
                <w:szCs w:val="24"/>
                <w:u w:val="single"/>
              </w:rPr>
              <w:t>limine</w:t>
            </w:r>
            <w:proofErr w:type="spellEnd"/>
            <w:r w:rsidRPr="00763EED">
              <w:rPr>
                <w:rFonts w:ascii="Arial" w:hAnsi="Arial" w:cs="Arial"/>
                <w:sz w:val="24"/>
                <w:szCs w:val="24"/>
                <w:u w:val="single"/>
              </w:rPr>
              <w:t>: impermissible hearsay contained in the founding affidavit</w:t>
            </w:r>
          </w:p>
          <w:p w:rsidR="00154350" w:rsidRPr="00763EED" w:rsidRDefault="00154350" w:rsidP="0091718C">
            <w:pPr>
              <w:spacing w:line="360" w:lineRule="auto"/>
              <w:jc w:val="both"/>
              <w:rPr>
                <w:rFonts w:ascii="Arial" w:hAnsi="Arial" w:cs="Arial"/>
                <w:sz w:val="24"/>
                <w:szCs w:val="24"/>
                <w:u w:val="single"/>
              </w:rPr>
            </w:pPr>
          </w:p>
          <w:p w:rsidR="0091718C" w:rsidRPr="00763EED" w:rsidRDefault="0091718C" w:rsidP="0091718C">
            <w:pPr>
              <w:spacing w:line="360" w:lineRule="auto"/>
              <w:jc w:val="both"/>
              <w:rPr>
                <w:rFonts w:ascii="Arial" w:hAnsi="Arial" w:cs="Arial"/>
                <w:sz w:val="24"/>
                <w:szCs w:val="24"/>
              </w:rPr>
            </w:pPr>
            <w:r w:rsidRPr="00763EED">
              <w:rPr>
                <w:rFonts w:ascii="Arial" w:hAnsi="Arial" w:cs="Arial"/>
                <w:sz w:val="24"/>
                <w:szCs w:val="24"/>
              </w:rPr>
              <w:t>[9]</w:t>
            </w:r>
            <w:r w:rsidRPr="00763EED">
              <w:rPr>
                <w:rFonts w:ascii="Arial" w:hAnsi="Arial" w:cs="Arial"/>
                <w:sz w:val="24"/>
                <w:szCs w:val="24"/>
              </w:rPr>
              <w:tab/>
              <w:t>On behalf of the plaintiff M</w:t>
            </w:r>
            <w:r w:rsidR="00B15644" w:rsidRPr="00763EED">
              <w:rPr>
                <w:rFonts w:ascii="Arial" w:hAnsi="Arial" w:cs="Arial"/>
                <w:sz w:val="24"/>
                <w:szCs w:val="24"/>
              </w:rPr>
              <w:t>r</w:t>
            </w:r>
            <w:r w:rsidRPr="00763EED">
              <w:rPr>
                <w:rFonts w:ascii="Arial" w:hAnsi="Arial" w:cs="Arial"/>
                <w:sz w:val="24"/>
                <w:szCs w:val="24"/>
              </w:rPr>
              <w:t xml:space="preserve">s </w:t>
            </w:r>
            <w:proofErr w:type="spellStart"/>
            <w:r w:rsidRPr="00763EED">
              <w:rPr>
                <w:rFonts w:ascii="Arial" w:hAnsi="Arial" w:cs="Arial"/>
                <w:sz w:val="24"/>
                <w:szCs w:val="24"/>
              </w:rPr>
              <w:t>Garbers</w:t>
            </w:r>
            <w:proofErr w:type="spellEnd"/>
            <w:r w:rsidRPr="00763EED">
              <w:rPr>
                <w:rFonts w:ascii="Arial" w:hAnsi="Arial" w:cs="Arial"/>
                <w:sz w:val="24"/>
                <w:szCs w:val="24"/>
              </w:rPr>
              <w:t xml:space="preserve">-Kirsten pointed out three paragraphs </w:t>
            </w:r>
            <w:r w:rsidR="00110D9A" w:rsidRPr="00763EED">
              <w:rPr>
                <w:rFonts w:ascii="Arial" w:hAnsi="Arial" w:cs="Arial"/>
                <w:sz w:val="24"/>
                <w:szCs w:val="24"/>
              </w:rPr>
              <w:t xml:space="preserve">which </w:t>
            </w:r>
            <w:r w:rsidRPr="00763EED">
              <w:rPr>
                <w:rFonts w:ascii="Arial" w:hAnsi="Arial" w:cs="Arial"/>
                <w:sz w:val="24"/>
                <w:szCs w:val="24"/>
              </w:rPr>
              <w:t xml:space="preserve">she argued contains hearsay. These paragraphs are paragraph 4, 8 and 9 of the founding affidavit. </w:t>
            </w:r>
          </w:p>
          <w:p w:rsidR="00110D9A" w:rsidRPr="00763EED" w:rsidRDefault="00110D9A" w:rsidP="0091718C">
            <w:pPr>
              <w:spacing w:line="360" w:lineRule="auto"/>
              <w:jc w:val="both"/>
              <w:rPr>
                <w:rFonts w:ascii="Arial" w:hAnsi="Arial" w:cs="Arial"/>
                <w:sz w:val="24"/>
                <w:szCs w:val="24"/>
              </w:rPr>
            </w:pPr>
          </w:p>
          <w:p w:rsidR="0091718C" w:rsidRPr="00763EED" w:rsidRDefault="0091718C" w:rsidP="0091718C">
            <w:pPr>
              <w:spacing w:line="360" w:lineRule="auto"/>
              <w:jc w:val="both"/>
              <w:rPr>
                <w:rFonts w:ascii="Arial" w:hAnsi="Arial" w:cs="Arial"/>
                <w:sz w:val="24"/>
                <w:szCs w:val="24"/>
              </w:rPr>
            </w:pPr>
            <w:r w:rsidRPr="00763EED">
              <w:rPr>
                <w:rFonts w:ascii="Arial" w:hAnsi="Arial" w:cs="Arial"/>
                <w:sz w:val="24"/>
                <w:szCs w:val="24"/>
              </w:rPr>
              <w:t>[10]</w:t>
            </w:r>
            <w:r w:rsidRPr="00763EED">
              <w:rPr>
                <w:rFonts w:ascii="Arial" w:hAnsi="Arial" w:cs="Arial"/>
                <w:sz w:val="24"/>
                <w:szCs w:val="24"/>
              </w:rPr>
              <w:tab/>
              <w:t xml:space="preserve">Mr </w:t>
            </w:r>
            <w:proofErr w:type="spellStart"/>
            <w:r w:rsidRPr="00763EED">
              <w:rPr>
                <w:rFonts w:ascii="Arial" w:hAnsi="Arial" w:cs="Arial"/>
                <w:sz w:val="24"/>
                <w:szCs w:val="24"/>
              </w:rPr>
              <w:t>Brendell</w:t>
            </w:r>
            <w:proofErr w:type="spellEnd"/>
            <w:r w:rsidR="00110D9A" w:rsidRPr="00763EED">
              <w:rPr>
                <w:rFonts w:ascii="Arial" w:hAnsi="Arial" w:cs="Arial"/>
                <w:sz w:val="24"/>
                <w:szCs w:val="24"/>
              </w:rPr>
              <w:t>,</w:t>
            </w:r>
            <w:r w:rsidRPr="00763EED">
              <w:rPr>
                <w:rFonts w:ascii="Arial" w:hAnsi="Arial" w:cs="Arial"/>
                <w:sz w:val="24"/>
                <w:szCs w:val="24"/>
              </w:rPr>
              <w:t xml:space="preserve"> </w:t>
            </w:r>
            <w:r w:rsidR="00110D9A" w:rsidRPr="00763EED">
              <w:rPr>
                <w:rFonts w:ascii="Arial" w:hAnsi="Arial" w:cs="Arial"/>
                <w:sz w:val="24"/>
                <w:szCs w:val="24"/>
              </w:rPr>
              <w:t>acting</w:t>
            </w:r>
            <w:r w:rsidRPr="00763EED">
              <w:rPr>
                <w:rFonts w:ascii="Arial" w:hAnsi="Arial" w:cs="Arial"/>
                <w:sz w:val="24"/>
                <w:szCs w:val="24"/>
              </w:rPr>
              <w:t xml:space="preserve"> on behalf of the first defendant</w:t>
            </w:r>
            <w:r w:rsidR="00110D9A" w:rsidRPr="00763EED">
              <w:rPr>
                <w:rFonts w:ascii="Arial" w:hAnsi="Arial" w:cs="Arial"/>
                <w:sz w:val="24"/>
                <w:szCs w:val="24"/>
              </w:rPr>
              <w:t>,</w:t>
            </w:r>
            <w:r w:rsidRPr="00763EED">
              <w:rPr>
                <w:rFonts w:ascii="Arial" w:hAnsi="Arial" w:cs="Arial"/>
                <w:sz w:val="24"/>
                <w:szCs w:val="24"/>
              </w:rPr>
              <w:t xml:space="preserve"> did not share the views of M</w:t>
            </w:r>
            <w:r w:rsidR="00B15644" w:rsidRPr="00763EED">
              <w:rPr>
                <w:rFonts w:ascii="Arial" w:hAnsi="Arial" w:cs="Arial"/>
                <w:sz w:val="24"/>
                <w:szCs w:val="24"/>
              </w:rPr>
              <w:t>r</w:t>
            </w:r>
            <w:r w:rsidRPr="00763EED">
              <w:rPr>
                <w:rFonts w:ascii="Arial" w:hAnsi="Arial" w:cs="Arial"/>
                <w:sz w:val="24"/>
                <w:szCs w:val="24"/>
              </w:rPr>
              <w:t xml:space="preserve">s </w:t>
            </w:r>
            <w:proofErr w:type="spellStart"/>
            <w:r w:rsidRPr="00763EED">
              <w:rPr>
                <w:rFonts w:ascii="Arial" w:hAnsi="Arial" w:cs="Arial"/>
                <w:sz w:val="24"/>
                <w:szCs w:val="24"/>
              </w:rPr>
              <w:t>Garbers</w:t>
            </w:r>
            <w:proofErr w:type="spellEnd"/>
            <w:r w:rsidRPr="00763EED">
              <w:rPr>
                <w:rFonts w:ascii="Arial" w:hAnsi="Arial" w:cs="Arial"/>
                <w:sz w:val="24"/>
                <w:szCs w:val="24"/>
              </w:rPr>
              <w:t>-Kirsten and argued that the deponent may relay whatever information was imparted to him and the portions complained of by the plaintiff does not constitute hearsay.</w:t>
            </w:r>
          </w:p>
          <w:p w:rsidR="00110D9A" w:rsidRPr="00763EED" w:rsidRDefault="00110D9A" w:rsidP="0091718C">
            <w:pPr>
              <w:spacing w:line="360" w:lineRule="auto"/>
              <w:jc w:val="both"/>
              <w:rPr>
                <w:rFonts w:ascii="Arial" w:hAnsi="Arial" w:cs="Arial"/>
                <w:sz w:val="24"/>
                <w:szCs w:val="24"/>
              </w:rPr>
            </w:pPr>
          </w:p>
          <w:p w:rsidR="0091718C" w:rsidRDefault="0091718C" w:rsidP="0091718C">
            <w:pPr>
              <w:spacing w:line="360" w:lineRule="auto"/>
              <w:jc w:val="both"/>
              <w:rPr>
                <w:rFonts w:ascii="Arial" w:hAnsi="Arial" w:cs="Arial"/>
                <w:sz w:val="24"/>
                <w:szCs w:val="24"/>
              </w:rPr>
            </w:pPr>
            <w:r w:rsidRPr="00763EED">
              <w:rPr>
                <w:rFonts w:ascii="Arial" w:hAnsi="Arial" w:cs="Arial"/>
                <w:sz w:val="24"/>
                <w:szCs w:val="24"/>
              </w:rPr>
              <w:lastRenderedPageBreak/>
              <w:t>[11]</w:t>
            </w:r>
            <w:r w:rsidRPr="00763EED">
              <w:rPr>
                <w:rFonts w:ascii="Arial" w:hAnsi="Arial" w:cs="Arial"/>
                <w:sz w:val="24"/>
                <w:szCs w:val="24"/>
              </w:rPr>
              <w:tab/>
              <w:t xml:space="preserve">For purposes of the completeness I will refer to the para 8 and 9, which reads as follows: </w:t>
            </w:r>
          </w:p>
          <w:p w:rsidR="00763EED" w:rsidRPr="00763EED" w:rsidRDefault="00763EED" w:rsidP="0091718C">
            <w:pPr>
              <w:spacing w:line="360" w:lineRule="auto"/>
              <w:jc w:val="both"/>
              <w:rPr>
                <w:rFonts w:ascii="Arial" w:hAnsi="Arial" w:cs="Arial"/>
                <w:sz w:val="24"/>
                <w:szCs w:val="24"/>
              </w:rPr>
            </w:pPr>
          </w:p>
          <w:p w:rsidR="0091718C" w:rsidRPr="00763EED" w:rsidRDefault="00763EED" w:rsidP="00763EED">
            <w:pPr>
              <w:spacing w:line="360" w:lineRule="auto"/>
              <w:jc w:val="both"/>
              <w:rPr>
                <w:rFonts w:ascii="Arial" w:hAnsi="Arial" w:cs="Arial"/>
              </w:rPr>
            </w:pPr>
            <w:r>
              <w:rPr>
                <w:rFonts w:ascii="Arial" w:hAnsi="Arial" w:cs="Arial"/>
              </w:rPr>
              <w:t xml:space="preserve">            </w:t>
            </w:r>
            <w:proofErr w:type="gramStart"/>
            <w:r w:rsidR="00AA71CE" w:rsidRPr="00763EED">
              <w:rPr>
                <w:rFonts w:ascii="Arial" w:hAnsi="Arial" w:cs="Arial"/>
              </w:rPr>
              <w:t>‘ 8</w:t>
            </w:r>
            <w:proofErr w:type="gramEnd"/>
            <w:r w:rsidR="00AA71CE" w:rsidRPr="00763EED">
              <w:rPr>
                <w:rFonts w:ascii="Arial" w:hAnsi="Arial" w:cs="Arial"/>
              </w:rPr>
              <w:t>.      ..</w:t>
            </w:r>
            <w:r w:rsidR="0091718C" w:rsidRPr="00763EED">
              <w:rPr>
                <w:rFonts w:ascii="Arial" w:hAnsi="Arial" w:cs="Arial"/>
              </w:rPr>
              <w:t>.Upon receipt of the summons, I consulted my colleagues who read the papers for me and explained that the cause of action and the claim to me because I could not comprehend the contents of the document. I was informed then and there that the claim pertains to a motor vehicle accident involving a vehicle I sold to the Second Respondent a few years ago. He failed to transfer the vehicle in his own name and on that basis alone I was linked to the claim.</w:t>
            </w:r>
          </w:p>
          <w:p w:rsidR="0091718C" w:rsidRPr="00763EED" w:rsidRDefault="0091718C" w:rsidP="00763EED">
            <w:pPr>
              <w:spacing w:line="360" w:lineRule="auto"/>
              <w:jc w:val="both"/>
              <w:rPr>
                <w:rFonts w:ascii="Arial" w:hAnsi="Arial" w:cs="Arial"/>
              </w:rPr>
            </w:pPr>
            <w:r w:rsidRPr="00763EED">
              <w:rPr>
                <w:rFonts w:ascii="Arial" w:hAnsi="Arial" w:cs="Arial"/>
              </w:rPr>
              <w:t>9.</w:t>
            </w:r>
            <w:r w:rsidRPr="00763EED">
              <w:rPr>
                <w:rFonts w:ascii="Arial" w:hAnsi="Arial" w:cs="Arial"/>
              </w:rPr>
              <w:tab/>
              <w:t xml:space="preserve">As a lay person, I was not informed of the procedure to defend the </w:t>
            </w:r>
            <w:r w:rsidR="00154350" w:rsidRPr="00763EED">
              <w:rPr>
                <w:rFonts w:ascii="Arial" w:hAnsi="Arial" w:cs="Arial"/>
              </w:rPr>
              <w:t>action and did not then realize</w:t>
            </w:r>
            <w:r w:rsidRPr="00763EED">
              <w:rPr>
                <w:rFonts w:ascii="Arial" w:hAnsi="Arial" w:cs="Arial"/>
              </w:rPr>
              <w:t xml:space="preserve"> the danger of not noting a defence. I also contacted the Second Respondent about the action against me and the latter assured me that, he would handle the matter and I need not worry as I have nothing to do with the matter. Since then I truly and genuinely believed that there was no further obligation on me to take any legal action and hence forgot about the matter.’ </w:t>
            </w:r>
          </w:p>
          <w:p w:rsidR="0091718C" w:rsidRPr="00763EED" w:rsidRDefault="0091718C" w:rsidP="0091718C">
            <w:pPr>
              <w:spacing w:line="360" w:lineRule="auto"/>
              <w:jc w:val="both"/>
              <w:rPr>
                <w:rFonts w:ascii="Arial" w:hAnsi="Arial" w:cs="Arial"/>
                <w:sz w:val="24"/>
                <w:szCs w:val="24"/>
              </w:rPr>
            </w:pPr>
          </w:p>
          <w:p w:rsidR="0091718C" w:rsidRPr="00763EED" w:rsidRDefault="0091718C" w:rsidP="0091718C">
            <w:pPr>
              <w:spacing w:line="360" w:lineRule="auto"/>
              <w:jc w:val="both"/>
              <w:rPr>
                <w:rFonts w:ascii="Arial" w:hAnsi="Arial" w:cs="Arial"/>
                <w:sz w:val="24"/>
                <w:szCs w:val="24"/>
              </w:rPr>
            </w:pPr>
            <w:r w:rsidRPr="00763EED">
              <w:rPr>
                <w:rFonts w:ascii="Arial" w:hAnsi="Arial" w:cs="Arial"/>
                <w:sz w:val="24"/>
                <w:szCs w:val="24"/>
              </w:rPr>
              <w:t>[12]</w:t>
            </w:r>
            <w:r w:rsidRPr="00763EED">
              <w:rPr>
                <w:rFonts w:ascii="Arial" w:hAnsi="Arial" w:cs="Arial"/>
                <w:sz w:val="24"/>
                <w:szCs w:val="24"/>
              </w:rPr>
              <w:tab/>
              <w:t xml:space="preserve"> No confirmatory affidavits were filed on behalf of either the second defendant or the first defendant’s colleagues</w:t>
            </w:r>
            <w:r w:rsidR="00110D9A" w:rsidRPr="00763EED">
              <w:rPr>
                <w:rFonts w:ascii="Arial" w:hAnsi="Arial" w:cs="Arial"/>
                <w:sz w:val="24"/>
                <w:szCs w:val="24"/>
              </w:rPr>
              <w:t>,</w:t>
            </w:r>
            <w:r w:rsidRPr="00763EED">
              <w:rPr>
                <w:rFonts w:ascii="Arial" w:hAnsi="Arial" w:cs="Arial"/>
                <w:sz w:val="24"/>
                <w:szCs w:val="24"/>
              </w:rPr>
              <w:t xml:space="preserve"> who advised the first defendant. There can be no doubt that what is contained in the aforementioned paragraphs amounts to hearsay. It is a requirement to file affidavits of persons other than the applicant who can depose to the facts in these circumstances.</w:t>
            </w:r>
          </w:p>
          <w:p w:rsidR="0091718C" w:rsidRPr="00763EED" w:rsidRDefault="0091718C" w:rsidP="0091718C">
            <w:pPr>
              <w:spacing w:line="360" w:lineRule="auto"/>
              <w:jc w:val="both"/>
              <w:rPr>
                <w:rFonts w:ascii="Arial" w:hAnsi="Arial" w:cs="Arial"/>
                <w:sz w:val="24"/>
                <w:szCs w:val="24"/>
              </w:rPr>
            </w:pPr>
          </w:p>
          <w:p w:rsidR="0091718C" w:rsidRPr="00763EED" w:rsidRDefault="0091718C" w:rsidP="0091718C">
            <w:pPr>
              <w:spacing w:line="360" w:lineRule="auto"/>
              <w:jc w:val="both"/>
              <w:rPr>
                <w:rFonts w:ascii="Arial" w:eastAsia="Calibri" w:hAnsi="Arial" w:cs="Arial"/>
                <w:sz w:val="24"/>
                <w:szCs w:val="24"/>
              </w:rPr>
            </w:pPr>
            <w:r w:rsidRPr="00763EED">
              <w:rPr>
                <w:rFonts w:ascii="Arial" w:hAnsi="Arial" w:cs="Arial"/>
                <w:sz w:val="24"/>
                <w:szCs w:val="24"/>
              </w:rPr>
              <w:t>[13]</w:t>
            </w:r>
            <w:r w:rsidRPr="00763EED">
              <w:rPr>
                <w:rFonts w:ascii="Arial" w:hAnsi="Arial" w:cs="Arial"/>
                <w:sz w:val="24"/>
                <w:szCs w:val="24"/>
              </w:rPr>
              <w:tab/>
              <w:t xml:space="preserve">In </w:t>
            </w:r>
            <w:r w:rsidRPr="00763EED">
              <w:rPr>
                <w:rFonts w:ascii="Arial" w:eastAsia="Calibri" w:hAnsi="Arial" w:cs="Arial"/>
                <w:i/>
                <w:sz w:val="24"/>
                <w:szCs w:val="24"/>
              </w:rPr>
              <w:t xml:space="preserve">Paulus v </w:t>
            </w:r>
            <w:proofErr w:type="spellStart"/>
            <w:r w:rsidRPr="00763EED">
              <w:rPr>
                <w:rFonts w:ascii="Arial" w:eastAsia="Calibri" w:hAnsi="Arial" w:cs="Arial"/>
                <w:i/>
                <w:sz w:val="24"/>
                <w:szCs w:val="24"/>
              </w:rPr>
              <w:t>Ashipala</w:t>
            </w:r>
            <w:proofErr w:type="spellEnd"/>
            <w:r w:rsidRPr="00763EED">
              <w:rPr>
                <w:rFonts w:ascii="Arial" w:eastAsia="Calibri" w:hAnsi="Arial" w:cs="Arial"/>
                <w:sz w:val="24"/>
                <w:szCs w:val="24"/>
              </w:rPr>
              <w:t xml:space="preserve"> </w:t>
            </w:r>
            <w:r w:rsidRPr="00763EED">
              <w:rPr>
                <w:rStyle w:val="FootnoteReference"/>
                <w:rFonts w:ascii="Arial" w:eastAsia="Calibri" w:hAnsi="Arial" w:cs="Arial"/>
                <w:sz w:val="24"/>
                <w:szCs w:val="24"/>
              </w:rPr>
              <w:footnoteReference w:id="2"/>
            </w:r>
            <w:r w:rsidRPr="00763EED">
              <w:rPr>
                <w:rFonts w:ascii="Arial" w:eastAsia="Calibri" w:hAnsi="Arial" w:cs="Arial"/>
                <w:sz w:val="24"/>
                <w:szCs w:val="24"/>
              </w:rPr>
              <w:t xml:space="preserve"> </w:t>
            </w:r>
            <w:proofErr w:type="spellStart"/>
            <w:r w:rsidRPr="00763EED">
              <w:rPr>
                <w:rFonts w:ascii="Arial" w:eastAsia="Calibri" w:hAnsi="Arial" w:cs="Arial"/>
                <w:sz w:val="24"/>
                <w:szCs w:val="24"/>
              </w:rPr>
              <w:t>Cheda</w:t>
            </w:r>
            <w:proofErr w:type="spellEnd"/>
            <w:r w:rsidRPr="00763EED">
              <w:rPr>
                <w:rFonts w:ascii="Arial" w:eastAsia="Calibri" w:hAnsi="Arial" w:cs="Arial"/>
                <w:sz w:val="24"/>
                <w:szCs w:val="24"/>
              </w:rPr>
              <w:t xml:space="preserve"> J (as he then was) remarked as follows:</w:t>
            </w:r>
          </w:p>
          <w:p w:rsidR="00154350" w:rsidRPr="00763EED" w:rsidRDefault="00154350" w:rsidP="0091718C">
            <w:pPr>
              <w:spacing w:line="360" w:lineRule="auto"/>
              <w:jc w:val="both"/>
              <w:rPr>
                <w:rFonts w:ascii="Arial" w:eastAsia="Calibri" w:hAnsi="Arial" w:cs="Arial"/>
              </w:rPr>
            </w:pPr>
          </w:p>
          <w:p w:rsidR="0091718C" w:rsidRPr="00763EED" w:rsidRDefault="0091718C" w:rsidP="0091718C">
            <w:pPr>
              <w:spacing w:line="360" w:lineRule="auto"/>
              <w:ind w:firstLine="720"/>
              <w:jc w:val="both"/>
              <w:rPr>
                <w:rFonts w:ascii="Arial" w:hAnsi="Arial" w:cs="Arial"/>
              </w:rPr>
            </w:pPr>
            <w:r w:rsidRPr="00763EED">
              <w:rPr>
                <w:rFonts w:ascii="Arial" w:eastAsia="Calibri" w:hAnsi="Arial" w:cs="Arial"/>
              </w:rPr>
              <w:t>‘</w:t>
            </w:r>
            <w:r w:rsidRPr="00763EED">
              <w:rPr>
                <w:rFonts w:ascii="Arial" w:hAnsi="Arial" w:cs="Arial"/>
              </w:rPr>
              <w:t>[10]</w:t>
            </w:r>
            <w:r w:rsidRPr="00763EED">
              <w:rPr>
                <w:rFonts w:ascii="Arial" w:hAnsi="Arial" w:cs="Arial"/>
              </w:rPr>
              <w:tab/>
              <w:t xml:space="preserve">What, therefore, is clear is that the evidence contained in the founding affidavit is hearsay, see </w:t>
            </w:r>
            <w:proofErr w:type="spellStart"/>
            <w:r w:rsidRPr="00763EED">
              <w:rPr>
                <w:rFonts w:ascii="Arial" w:hAnsi="Arial" w:cs="Arial"/>
                <w:i/>
              </w:rPr>
              <w:t>Mahamat</w:t>
            </w:r>
            <w:proofErr w:type="spellEnd"/>
            <w:r w:rsidRPr="00763EED">
              <w:rPr>
                <w:rFonts w:ascii="Arial" w:hAnsi="Arial" w:cs="Arial"/>
                <w:i/>
              </w:rPr>
              <w:t xml:space="preserve"> v First National Bank of Namibia Ltd 1995 NR 199 (HC) and Namibia Estate Agents Board v Like and Another No. 2015 (1) NR 112 (LC). </w:t>
            </w:r>
            <w:r w:rsidRPr="00763EED">
              <w:rPr>
                <w:rFonts w:ascii="Arial" w:hAnsi="Arial" w:cs="Arial"/>
              </w:rPr>
              <w:t xml:space="preserve"> This is the general rule.  The only exception to this rule is where the application is urgent or is interlocutory in nature.  The courts will not allow hearsay evidence where the decision will affect the rights of the parties, the effect of which is final.  This was clearly laid down in </w:t>
            </w:r>
            <w:proofErr w:type="spellStart"/>
            <w:r w:rsidRPr="00763EED">
              <w:rPr>
                <w:rFonts w:ascii="Arial" w:hAnsi="Arial" w:cs="Arial"/>
                <w:i/>
              </w:rPr>
              <w:t>Mahamat</w:t>
            </w:r>
            <w:proofErr w:type="spellEnd"/>
            <w:r w:rsidRPr="00763EED">
              <w:rPr>
                <w:rFonts w:ascii="Arial" w:hAnsi="Arial" w:cs="Arial"/>
              </w:rPr>
              <w:t xml:space="preserve"> (supra) and </w:t>
            </w:r>
            <w:proofErr w:type="spellStart"/>
            <w:r w:rsidRPr="00763EED">
              <w:rPr>
                <w:rFonts w:ascii="Arial" w:hAnsi="Arial" w:cs="Arial"/>
                <w:i/>
              </w:rPr>
              <w:t>Harsis</w:t>
            </w:r>
            <w:proofErr w:type="spellEnd"/>
            <w:r w:rsidRPr="00763EED">
              <w:rPr>
                <w:rFonts w:ascii="Arial" w:hAnsi="Arial" w:cs="Arial"/>
                <w:i/>
              </w:rPr>
              <w:t>’ Executors v Weinberg</w:t>
            </w:r>
            <w:r w:rsidR="00B477A7" w:rsidRPr="00763EED">
              <w:rPr>
                <w:rFonts w:ascii="Arial" w:hAnsi="Arial" w:cs="Arial"/>
              </w:rPr>
              <w:t xml:space="preserve"> 1938 CPD 134.  This point was </w:t>
            </w:r>
            <w:proofErr w:type="spellStart"/>
            <w:r w:rsidRPr="00763EED">
              <w:rPr>
                <w:rFonts w:ascii="Arial" w:hAnsi="Arial" w:cs="Arial"/>
              </w:rPr>
              <w:t>illuminately</w:t>
            </w:r>
            <w:proofErr w:type="spellEnd"/>
            <w:r w:rsidRPr="00763EED">
              <w:rPr>
                <w:rFonts w:ascii="Arial" w:hAnsi="Arial" w:cs="Arial"/>
              </w:rPr>
              <w:t xml:space="preserve"> stated in </w:t>
            </w:r>
            <w:r w:rsidRPr="00763EED">
              <w:rPr>
                <w:rFonts w:ascii="Arial" w:hAnsi="Arial" w:cs="Arial"/>
                <w:i/>
              </w:rPr>
              <w:t xml:space="preserve">Galp v </w:t>
            </w:r>
            <w:proofErr w:type="spellStart"/>
            <w:r w:rsidRPr="00763EED">
              <w:rPr>
                <w:rFonts w:ascii="Arial" w:hAnsi="Arial" w:cs="Arial"/>
                <w:i/>
              </w:rPr>
              <w:t>Tansley</w:t>
            </w:r>
            <w:proofErr w:type="spellEnd"/>
            <w:r w:rsidRPr="00763EED">
              <w:rPr>
                <w:rFonts w:ascii="Arial" w:hAnsi="Arial" w:cs="Arial"/>
                <w:i/>
              </w:rPr>
              <w:t xml:space="preserve"> NO and Another </w:t>
            </w:r>
            <w:r w:rsidRPr="00763EED">
              <w:rPr>
                <w:rFonts w:ascii="Arial" w:hAnsi="Arial" w:cs="Arial"/>
              </w:rPr>
              <w:t>1966 (4) SA 555 (c) at 559 H where he remarked:</w:t>
            </w:r>
          </w:p>
          <w:p w:rsidR="0091718C" w:rsidRPr="00763EED" w:rsidRDefault="0091718C" w:rsidP="0091718C">
            <w:pPr>
              <w:spacing w:line="360" w:lineRule="auto"/>
              <w:jc w:val="both"/>
              <w:rPr>
                <w:rFonts w:ascii="Arial" w:hAnsi="Arial" w:cs="Arial"/>
              </w:rPr>
            </w:pPr>
          </w:p>
          <w:p w:rsidR="0091718C" w:rsidRPr="00763EED" w:rsidRDefault="0091718C" w:rsidP="0091718C">
            <w:pPr>
              <w:spacing w:line="360" w:lineRule="auto"/>
              <w:ind w:left="720"/>
              <w:jc w:val="both"/>
              <w:rPr>
                <w:rFonts w:ascii="Arial" w:hAnsi="Arial" w:cs="Arial"/>
              </w:rPr>
            </w:pPr>
            <w:r w:rsidRPr="00763EED">
              <w:rPr>
                <w:rFonts w:ascii="Arial" w:hAnsi="Arial" w:cs="Arial"/>
              </w:rPr>
              <w:lastRenderedPageBreak/>
              <w:t xml:space="preserve">“But one important point emerging from the cases which I have enumerated in the preceding paragraph is this, viz., that our courts have consistently refused to countenance the admission as evidence for any purpose whatever of any statement embodying hearsay material, save where such statement has properly been made the subject of an affidavit (or solemn affirmation) of information and belief, i.e., save where the deponent (or affirmer) has not only revealed the source of the information concerned but in  addition has sworn (or solemnly affirmed) that he believes such information to be true and furnished the grounds for his belief.” </w:t>
            </w:r>
          </w:p>
          <w:p w:rsidR="0091718C" w:rsidRPr="00763EED" w:rsidRDefault="0091718C" w:rsidP="0091718C">
            <w:pPr>
              <w:spacing w:line="360" w:lineRule="auto"/>
              <w:jc w:val="both"/>
              <w:rPr>
                <w:rFonts w:ascii="Arial" w:hAnsi="Arial" w:cs="Arial"/>
              </w:rPr>
            </w:pPr>
          </w:p>
          <w:p w:rsidR="0091718C" w:rsidRPr="00763EED" w:rsidRDefault="0091718C" w:rsidP="0091718C">
            <w:pPr>
              <w:spacing w:line="360" w:lineRule="auto"/>
              <w:ind w:firstLine="720"/>
              <w:jc w:val="both"/>
              <w:rPr>
                <w:rFonts w:ascii="Arial" w:hAnsi="Arial" w:cs="Arial"/>
              </w:rPr>
            </w:pPr>
            <w:r w:rsidRPr="00763EED">
              <w:rPr>
                <w:rFonts w:ascii="Arial" w:hAnsi="Arial" w:cs="Arial"/>
              </w:rPr>
              <w:t>[11]</w:t>
            </w:r>
            <w:r w:rsidRPr="00763EED">
              <w:rPr>
                <w:rFonts w:ascii="Arial" w:hAnsi="Arial" w:cs="Arial"/>
              </w:rPr>
              <w:tab/>
              <w:t xml:space="preserve">Hearsay evidence is only permissible in certain specified and exceptional circumstance.  In that regard </w:t>
            </w:r>
            <w:r w:rsidR="00AA71CE" w:rsidRPr="00763EED">
              <w:rPr>
                <w:rFonts w:ascii="Arial" w:hAnsi="Arial" w:cs="Arial"/>
              </w:rPr>
              <w:t xml:space="preserve">  </w:t>
            </w:r>
            <w:r w:rsidRPr="00763EED">
              <w:rPr>
                <w:rFonts w:ascii="Arial" w:hAnsi="Arial" w:cs="Arial"/>
              </w:rPr>
              <w:t>where the matter is one of urgency or interlocutory and the person relying on it must state:</w:t>
            </w:r>
          </w:p>
          <w:p w:rsidR="0091718C" w:rsidRPr="00763EED" w:rsidRDefault="0091718C" w:rsidP="0091718C">
            <w:pPr>
              <w:pStyle w:val="ListParagraph"/>
              <w:numPr>
                <w:ilvl w:val="0"/>
                <w:numId w:val="8"/>
              </w:numPr>
              <w:spacing w:line="360" w:lineRule="auto"/>
              <w:jc w:val="both"/>
              <w:rPr>
                <w:rFonts w:ascii="Arial" w:hAnsi="Arial" w:cs="Arial"/>
              </w:rPr>
            </w:pPr>
            <w:r w:rsidRPr="00763EED">
              <w:rPr>
                <w:rFonts w:ascii="Arial" w:hAnsi="Arial" w:cs="Arial"/>
              </w:rPr>
              <w:t xml:space="preserve">why he could not obtain </w:t>
            </w:r>
            <w:r w:rsidR="0037347C" w:rsidRPr="00763EED">
              <w:rPr>
                <w:rFonts w:ascii="Arial" w:hAnsi="Arial" w:cs="Arial"/>
              </w:rPr>
              <w:t>first-hand</w:t>
            </w:r>
            <w:r w:rsidRPr="00763EED">
              <w:rPr>
                <w:rFonts w:ascii="Arial" w:hAnsi="Arial" w:cs="Arial"/>
              </w:rPr>
              <w:t xml:space="preserve"> information;</w:t>
            </w:r>
          </w:p>
          <w:p w:rsidR="0091718C" w:rsidRPr="00763EED" w:rsidRDefault="0091718C" w:rsidP="0091718C">
            <w:pPr>
              <w:pStyle w:val="ListParagraph"/>
              <w:numPr>
                <w:ilvl w:val="0"/>
                <w:numId w:val="8"/>
              </w:numPr>
              <w:spacing w:line="360" w:lineRule="auto"/>
              <w:jc w:val="both"/>
              <w:rPr>
                <w:rFonts w:ascii="Arial" w:hAnsi="Arial" w:cs="Arial"/>
              </w:rPr>
            </w:pPr>
            <w:r w:rsidRPr="00763EED">
              <w:rPr>
                <w:rFonts w:ascii="Arial" w:hAnsi="Arial" w:cs="Arial"/>
              </w:rPr>
              <w:t>who the source of such knowledge is; and</w:t>
            </w:r>
          </w:p>
          <w:p w:rsidR="0091718C" w:rsidRPr="00763EED" w:rsidRDefault="0091718C" w:rsidP="0091718C">
            <w:pPr>
              <w:pStyle w:val="ListParagraph"/>
              <w:numPr>
                <w:ilvl w:val="0"/>
                <w:numId w:val="8"/>
              </w:numPr>
              <w:spacing w:line="360" w:lineRule="auto"/>
              <w:jc w:val="both"/>
              <w:rPr>
                <w:rFonts w:ascii="Arial" w:hAnsi="Arial" w:cs="Arial"/>
              </w:rPr>
            </w:pPr>
            <w:r w:rsidRPr="00763EED">
              <w:rPr>
                <w:rFonts w:ascii="Arial" w:hAnsi="Arial" w:cs="Arial"/>
              </w:rPr>
              <w:t xml:space="preserve">why he/she believes that knowledge to be true; see </w:t>
            </w:r>
            <w:proofErr w:type="spellStart"/>
            <w:r w:rsidRPr="00763EED">
              <w:rPr>
                <w:rFonts w:ascii="Arial" w:hAnsi="Arial" w:cs="Arial"/>
                <w:i/>
              </w:rPr>
              <w:t>Oshakati</w:t>
            </w:r>
            <w:proofErr w:type="spellEnd"/>
            <w:r w:rsidRPr="00763EED">
              <w:rPr>
                <w:rFonts w:ascii="Arial" w:hAnsi="Arial" w:cs="Arial"/>
                <w:i/>
              </w:rPr>
              <w:t xml:space="preserve"> Tower (Pty) Ltd v Executive Properties CC &amp; Others</w:t>
            </w:r>
            <w:r w:rsidRPr="00763EED">
              <w:rPr>
                <w:rFonts w:ascii="Arial" w:hAnsi="Arial" w:cs="Arial"/>
              </w:rPr>
              <w:t xml:space="preserve"> (2) 2009 (1) NR 232 (HC)’</w:t>
            </w:r>
          </w:p>
          <w:p w:rsidR="00110D9A" w:rsidRPr="00763EED" w:rsidRDefault="00110D9A" w:rsidP="00110D9A">
            <w:pPr>
              <w:pStyle w:val="ListParagraph"/>
              <w:spacing w:line="360" w:lineRule="auto"/>
              <w:ind w:left="1080"/>
              <w:jc w:val="both"/>
              <w:rPr>
                <w:rFonts w:ascii="Arial" w:hAnsi="Arial" w:cs="Arial"/>
                <w:sz w:val="24"/>
                <w:szCs w:val="24"/>
              </w:rPr>
            </w:pPr>
          </w:p>
          <w:p w:rsidR="0091718C" w:rsidRPr="00763EED" w:rsidRDefault="0091718C" w:rsidP="0091718C">
            <w:pPr>
              <w:spacing w:line="360" w:lineRule="auto"/>
              <w:jc w:val="both"/>
              <w:rPr>
                <w:rFonts w:ascii="Arial" w:hAnsi="Arial" w:cs="Arial"/>
                <w:sz w:val="24"/>
                <w:szCs w:val="24"/>
              </w:rPr>
            </w:pPr>
            <w:r w:rsidRPr="00763EED">
              <w:rPr>
                <w:rFonts w:ascii="Arial" w:hAnsi="Arial" w:cs="Arial"/>
                <w:sz w:val="24"/>
                <w:szCs w:val="24"/>
              </w:rPr>
              <w:t>[14]</w:t>
            </w:r>
            <w:r w:rsidRPr="00763EED">
              <w:rPr>
                <w:rFonts w:ascii="Arial" w:hAnsi="Arial" w:cs="Arial"/>
                <w:sz w:val="24"/>
                <w:szCs w:val="24"/>
              </w:rPr>
              <w:tab/>
              <w:t xml:space="preserve">The current matter is neither before court on an urgent basis nor can it be said that there </w:t>
            </w:r>
            <w:r w:rsidR="00110D9A" w:rsidRPr="00763EED">
              <w:rPr>
                <w:rFonts w:ascii="Arial" w:hAnsi="Arial" w:cs="Arial"/>
                <w:sz w:val="24"/>
                <w:szCs w:val="24"/>
              </w:rPr>
              <w:t xml:space="preserve">are </w:t>
            </w:r>
            <w:r w:rsidRPr="00763EED">
              <w:rPr>
                <w:rFonts w:ascii="Arial" w:hAnsi="Arial" w:cs="Arial"/>
                <w:sz w:val="24"/>
                <w:szCs w:val="24"/>
              </w:rPr>
              <w:t>specified or exceptional circumstance</w:t>
            </w:r>
            <w:r w:rsidR="0037347C" w:rsidRPr="00763EED">
              <w:rPr>
                <w:rFonts w:ascii="Arial" w:hAnsi="Arial" w:cs="Arial"/>
                <w:sz w:val="24"/>
                <w:szCs w:val="24"/>
              </w:rPr>
              <w:t>s</w:t>
            </w:r>
            <w:r w:rsidRPr="00763EED">
              <w:rPr>
                <w:rFonts w:ascii="Arial" w:hAnsi="Arial" w:cs="Arial"/>
                <w:sz w:val="24"/>
                <w:szCs w:val="24"/>
              </w:rPr>
              <w:t xml:space="preserve"> present that will encourage this court to allow the hearsay evidence to s</w:t>
            </w:r>
            <w:r w:rsidR="0037347C" w:rsidRPr="00763EED">
              <w:rPr>
                <w:rFonts w:ascii="Arial" w:hAnsi="Arial" w:cs="Arial"/>
                <w:sz w:val="24"/>
                <w:szCs w:val="24"/>
              </w:rPr>
              <w:t xml:space="preserve">tand. No reasons were advanced </w:t>
            </w:r>
            <w:r w:rsidR="00110D9A" w:rsidRPr="00763EED">
              <w:rPr>
                <w:rFonts w:ascii="Arial" w:hAnsi="Arial" w:cs="Arial"/>
                <w:sz w:val="24"/>
                <w:szCs w:val="24"/>
              </w:rPr>
              <w:t>as to</w:t>
            </w:r>
            <w:r w:rsidRPr="00763EED">
              <w:rPr>
                <w:rFonts w:ascii="Arial" w:hAnsi="Arial" w:cs="Arial"/>
                <w:sz w:val="24"/>
                <w:szCs w:val="24"/>
              </w:rPr>
              <w:t xml:space="preserve"> why the first defendant could not obtain confirmatory affidavits were necessary. </w:t>
            </w:r>
          </w:p>
          <w:p w:rsidR="00110D9A" w:rsidRPr="00763EED" w:rsidRDefault="00110D9A" w:rsidP="0091718C">
            <w:pPr>
              <w:spacing w:line="360" w:lineRule="auto"/>
              <w:jc w:val="both"/>
              <w:rPr>
                <w:rFonts w:ascii="Arial" w:hAnsi="Arial" w:cs="Arial"/>
                <w:sz w:val="24"/>
                <w:szCs w:val="24"/>
              </w:rPr>
            </w:pPr>
          </w:p>
          <w:p w:rsidR="0091718C" w:rsidRPr="00763EED" w:rsidRDefault="0091718C" w:rsidP="0091718C">
            <w:pPr>
              <w:spacing w:line="360" w:lineRule="auto"/>
              <w:jc w:val="both"/>
              <w:rPr>
                <w:rFonts w:ascii="Arial" w:hAnsi="Arial" w:cs="Arial"/>
                <w:sz w:val="24"/>
                <w:szCs w:val="24"/>
              </w:rPr>
            </w:pPr>
            <w:r w:rsidRPr="00763EED">
              <w:rPr>
                <w:rFonts w:ascii="Arial" w:hAnsi="Arial" w:cs="Arial"/>
                <w:sz w:val="24"/>
                <w:szCs w:val="24"/>
              </w:rPr>
              <w:t>[1</w:t>
            </w:r>
            <w:r w:rsidR="00110D9A" w:rsidRPr="00763EED">
              <w:rPr>
                <w:rFonts w:ascii="Arial" w:hAnsi="Arial" w:cs="Arial"/>
                <w:sz w:val="24"/>
                <w:szCs w:val="24"/>
              </w:rPr>
              <w:t>5</w:t>
            </w:r>
            <w:r w:rsidRPr="00763EED">
              <w:rPr>
                <w:rFonts w:ascii="Arial" w:hAnsi="Arial" w:cs="Arial"/>
                <w:sz w:val="24"/>
                <w:szCs w:val="24"/>
              </w:rPr>
              <w:t>]</w:t>
            </w:r>
            <w:r w:rsidRPr="00763EED">
              <w:rPr>
                <w:rFonts w:ascii="Arial" w:hAnsi="Arial" w:cs="Arial"/>
                <w:sz w:val="24"/>
                <w:szCs w:val="24"/>
              </w:rPr>
              <w:tab/>
              <w:t xml:space="preserve">The second point </w:t>
            </w:r>
            <w:r w:rsidRPr="00763EED">
              <w:rPr>
                <w:rFonts w:ascii="Arial" w:hAnsi="Arial" w:cs="Arial"/>
                <w:i/>
                <w:sz w:val="24"/>
                <w:szCs w:val="24"/>
              </w:rPr>
              <w:t xml:space="preserve">in </w:t>
            </w:r>
            <w:proofErr w:type="spellStart"/>
            <w:r w:rsidRPr="00763EED">
              <w:rPr>
                <w:rFonts w:ascii="Arial" w:hAnsi="Arial" w:cs="Arial"/>
                <w:i/>
                <w:sz w:val="24"/>
                <w:szCs w:val="24"/>
              </w:rPr>
              <w:t>limine</w:t>
            </w:r>
            <w:proofErr w:type="spellEnd"/>
            <w:r w:rsidRPr="00763EED">
              <w:rPr>
                <w:rFonts w:ascii="Arial" w:hAnsi="Arial" w:cs="Arial"/>
                <w:sz w:val="24"/>
                <w:szCs w:val="24"/>
              </w:rPr>
              <w:t xml:space="preserve"> is therefore upheld and the hearsay portion in paras 4, 8, 9 will be duly disregarded. </w:t>
            </w:r>
          </w:p>
          <w:p w:rsidR="0091718C" w:rsidRPr="00763EED" w:rsidRDefault="0091718C" w:rsidP="0091718C">
            <w:pPr>
              <w:spacing w:line="360" w:lineRule="auto"/>
              <w:jc w:val="both"/>
              <w:rPr>
                <w:rFonts w:ascii="Arial" w:hAnsi="Arial" w:cs="Arial"/>
                <w:sz w:val="24"/>
                <w:szCs w:val="24"/>
              </w:rPr>
            </w:pPr>
          </w:p>
          <w:p w:rsidR="0091718C" w:rsidRPr="00763EED" w:rsidRDefault="0091718C" w:rsidP="0091718C">
            <w:pPr>
              <w:spacing w:line="360" w:lineRule="auto"/>
              <w:jc w:val="both"/>
              <w:rPr>
                <w:rFonts w:ascii="Arial" w:hAnsi="Arial" w:cs="Arial"/>
                <w:sz w:val="24"/>
                <w:szCs w:val="24"/>
                <w:u w:val="single"/>
              </w:rPr>
            </w:pPr>
            <w:r w:rsidRPr="00763EED">
              <w:rPr>
                <w:rFonts w:ascii="Arial" w:hAnsi="Arial" w:cs="Arial"/>
                <w:sz w:val="24"/>
                <w:szCs w:val="24"/>
                <w:u w:val="single"/>
              </w:rPr>
              <w:t xml:space="preserve">Third point </w:t>
            </w:r>
            <w:r w:rsidRPr="00763EED">
              <w:rPr>
                <w:rFonts w:ascii="Arial" w:hAnsi="Arial" w:cs="Arial"/>
                <w:i/>
                <w:sz w:val="24"/>
                <w:szCs w:val="24"/>
                <w:u w:val="single"/>
              </w:rPr>
              <w:t xml:space="preserve">in </w:t>
            </w:r>
            <w:proofErr w:type="spellStart"/>
            <w:r w:rsidRPr="00763EED">
              <w:rPr>
                <w:rFonts w:ascii="Arial" w:hAnsi="Arial" w:cs="Arial"/>
                <w:i/>
                <w:sz w:val="24"/>
                <w:szCs w:val="24"/>
                <w:u w:val="single"/>
              </w:rPr>
              <w:t>limine</w:t>
            </w:r>
            <w:proofErr w:type="spellEnd"/>
            <w:r w:rsidRPr="00763EED">
              <w:rPr>
                <w:rFonts w:ascii="Arial" w:hAnsi="Arial" w:cs="Arial"/>
                <w:sz w:val="24"/>
                <w:szCs w:val="24"/>
                <w:u w:val="single"/>
              </w:rPr>
              <w:t xml:space="preserve">: failure to attach any or the annexures referred to in the said founding affidavit. </w:t>
            </w:r>
          </w:p>
          <w:p w:rsidR="00110D9A" w:rsidRPr="00763EED" w:rsidRDefault="00110D9A" w:rsidP="0091718C">
            <w:pPr>
              <w:spacing w:line="360" w:lineRule="auto"/>
              <w:jc w:val="both"/>
              <w:rPr>
                <w:rFonts w:ascii="Arial" w:hAnsi="Arial" w:cs="Arial"/>
                <w:sz w:val="24"/>
                <w:szCs w:val="24"/>
                <w:u w:val="single"/>
              </w:rPr>
            </w:pPr>
          </w:p>
          <w:p w:rsidR="0091718C" w:rsidRPr="00763EED" w:rsidRDefault="0091718C" w:rsidP="0091718C">
            <w:pPr>
              <w:spacing w:line="360" w:lineRule="auto"/>
              <w:jc w:val="both"/>
              <w:rPr>
                <w:rFonts w:ascii="Arial" w:hAnsi="Arial" w:cs="Arial"/>
                <w:sz w:val="24"/>
                <w:szCs w:val="24"/>
              </w:rPr>
            </w:pPr>
            <w:r w:rsidRPr="00763EED">
              <w:rPr>
                <w:rFonts w:ascii="Arial" w:hAnsi="Arial" w:cs="Arial"/>
                <w:sz w:val="24"/>
                <w:szCs w:val="24"/>
              </w:rPr>
              <w:t>[1</w:t>
            </w:r>
            <w:r w:rsidR="00110D9A" w:rsidRPr="00763EED">
              <w:rPr>
                <w:rFonts w:ascii="Arial" w:hAnsi="Arial" w:cs="Arial"/>
                <w:sz w:val="24"/>
                <w:szCs w:val="24"/>
              </w:rPr>
              <w:t>6</w:t>
            </w:r>
            <w:r w:rsidRPr="00763EED">
              <w:rPr>
                <w:rFonts w:ascii="Arial" w:hAnsi="Arial" w:cs="Arial"/>
                <w:sz w:val="24"/>
                <w:szCs w:val="24"/>
              </w:rPr>
              <w:t>]</w:t>
            </w:r>
            <w:r w:rsidRPr="00763EED">
              <w:rPr>
                <w:rFonts w:ascii="Arial" w:hAnsi="Arial" w:cs="Arial"/>
                <w:sz w:val="24"/>
                <w:szCs w:val="24"/>
              </w:rPr>
              <w:tab/>
              <w:t>When the founding affidavit deposed to Mr Paulus was filed in support of the application for rescission no annexure</w:t>
            </w:r>
            <w:r w:rsidR="0037347C" w:rsidRPr="00763EED">
              <w:rPr>
                <w:rFonts w:ascii="Arial" w:hAnsi="Arial" w:cs="Arial"/>
                <w:sz w:val="24"/>
                <w:szCs w:val="24"/>
              </w:rPr>
              <w:t>s</w:t>
            </w:r>
            <w:r w:rsidRPr="00763EED">
              <w:rPr>
                <w:rFonts w:ascii="Arial" w:hAnsi="Arial" w:cs="Arial"/>
                <w:sz w:val="24"/>
                <w:szCs w:val="24"/>
              </w:rPr>
              <w:t xml:space="preserve"> as referred to in the affidavit were attached to the said affidavit. Only after the first defendant’s legal representative was made aware of the omission did the first defe</w:t>
            </w:r>
            <w:r w:rsidR="0037347C" w:rsidRPr="00763EED">
              <w:rPr>
                <w:rFonts w:ascii="Arial" w:hAnsi="Arial" w:cs="Arial"/>
                <w:sz w:val="24"/>
                <w:szCs w:val="24"/>
              </w:rPr>
              <w:t>ndant’s legal practitioner file</w:t>
            </w:r>
            <w:r w:rsidRPr="00763EED">
              <w:rPr>
                <w:rFonts w:ascii="Arial" w:hAnsi="Arial" w:cs="Arial"/>
                <w:sz w:val="24"/>
                <w:szCs w:val="24"/>
              </w:rPr>
              <w:t xml:space="preserve"> the annexures by attaching same to </w:t>
            </w:r>
            <w:r w:rsidRPr="00763EED">
              <w:rPr>
                <w:rFonts w:ascii="Arial" w:hAnsi="Arial" w:cs="Arial"/>
                <w:sz w:val="24"/>
                <w:szCs w:val="24"/>
              </w:rPr>
              <w:lastRenderedPageBreak/>
              <w:t xml:space="preserve">the replying affidavit.  He did so without leave of court and without seeking any condonation for the omission. </w:t>
            </w:r>
          </w:p>
          <w:p w:rsidR="0091718C" w:rsidRPr="00763EED" w:rsidRDefault="0091718C" w:rsidP="0091718C">
            <w:pPr>
              <w:spacing w:line="360" w:lineRule="auto"/>
              <w:jc w:val="both"/>
              <w:rPr>
                <w:rFonts w:ascii="Arial" w:hAnsi="Arial" w:cs="Arial"/>
                <w:sz w:val="24"/>
                <w:szCs w:val="24"/>
              </w:rPr>
            </w:pPr>
          </w:p>
          <w:p w:rsidR="0091718C" w:rsidRPr="00763EED" w:rsidRDefault="0091718C" w:rsidP="0091718C">
            <w:pPr>
              <w:spacing w:line="360" w:lineRule="auto"/>
              <w:jc w:val="both"/>
              <w:rPr>
                <w:rFonts w:ascii="Arial" w:hAnsi="Arial" w:cs="Arial"/>
                <w:sz w:val="24"/>
                <w:szCs w:val="24"/>
              </w:rPr>
            </w:pPr>
            <w:r w:rsidRPr="00763EED">
              <w:rPr>
                <w:rFonts w:ascii="Arial" w:hAnsi="Arial" w:cs="Arial"/>
                <w:sz w:val="24"/>
                <w:szCs w:val="24"/>
              </w:rPr>
              <w:t>[1</w:t>
            </w:r>
            <w:r w:rsidR="00110D9A" w:rsidRPr="00763EED">
              <w:rPr>
                <w:rFonts w:ascii="Arial" w:hAnsi="Arial" w:cs="Arial"/>
                <w:sz w:val="24"/>
                <w:szCs w:val="24"/>
              </w:rPr>
              <w:t>7</w:t>
            </w:r>
            <w:r w:rsidRPr="00763EED">
              <w:rPr>
                <w:rFonts w:ascii="Arial" w:hAnsi="Arial" w:cs="Arial"/>
                <w:sz w:val="24"/>
                <w:szCs w:val="24"/>
              </w:rPr>
              <w:t>]</w:t>
            </w:r>
            <w:r w:rsidRPr="00763EED">
              <w:rPr>
                <w:rFonts w:ascii="Arial" w:hAnsi="Arial" w:cs="Arial"/>
                <w:sz w:val="24"/>
                <w:szCs w:val="24"/>
              </w:rPr>
              <w:tab/>
              <w:t xml:space="preserve">The first defendant maintains that the failure to attach the annexures referred to in the founding affidavit was merely a human error and an oversight. </w:t>
            </w:r>
          </w:p>
          <w:p w:rsidR="005A2AAF" w:rsidRPr="00763EED" w:rsidRDefault="005A2AAF" w:rsidP="005A2AAF">
            <w:pPr>
              <w:pStyle w:val="Heading1"/>
              <w:numPr>
                <w:ilvl w:val="0"/>
                <w:numId w:val="0"/>
              </w:numPr>
              <w:outlineLvl w:val="0"/>
              <w:rPr>
                <w:rFonts w:ascii="Arial" w:eastAsiaTheme="minorHAnsi" w:hAnsi="Arial" w:cs="Arial"/>
                <w:spacing w:val="0"/>
                <w:sz w:val="24"/>
                <w:szCs w:val="24"/>
                <w:lang w:val="en-ZA"/>
              </w:rPr>
            </w:pPr>
          </w:p>
          <w:p w:rsidR="005A2AAF" w:rsidRPr="00763EED" w:rsidRDefault="0091718C" w:rsidP="005A2AAF">
            <w:pPr>
              <w:pStyle w:val="Heading1"/>
              <w:numPr>
                <w:ilvl w:val="0"/>
                <w:numId w:val="0"/>
              </w:numPr>
              <w:outlineLvl w:val="0"/>
              <w:rPr>
                <w:rFonts w:ascii="Arial" w:hAnsi="Arial" w:cs="Arial"/>
                <w:sz w:val="24"/>
                <w:szCs w:val="24"/>
              </w:rPr>
            </w:pPr>
            <w:r w:rsidRPr="00763EED">
              <w:rPr>
                <w:rFonts w:ascii="Arial" w:eastAsia="Calibri" w:hAnsi="Arial" w:cs="Arial"/>
                <w:sz w:val="24"/>
                <w:szCs w:val="24"/>
              </w:rPr>
              <w:t>[</w:t>
            </w:r>
            <w:r w:rsidR="00110D9A" w:rsidRPr="00763EED">
              <w:rPr>
                <w:rFonts w:ascii="Arial" w:eastAsia="Calibri" w:hAnsi="Arial" w:cs="Arial"/>
                <w:sz w:val="24"/>
                <w:szCs w:val="24"/>
              </w:rPr>
              <w:t>18</w:t>
            </w:r>
            <w:r w:rsidRPr="00763EED">
              <w:rPr>
                <w:rFonts w:ascii="Arial" w:eastAsia="Calibri" w:hAnsi="Arial" w:cs="Arial"/>
                <w:sz w:val="24"/>
                <w:szCs w:val="24"/>
              </w:rPr>
              <w:t>]</w:t>
            </w:r>
            <w:r w:rsidRPr="00763EED">
              <w:rPr>
                <w:rFonts w:ascii="Arial" w:eastAsia="Calibri" w:hAnsi="Arial" w:cs="Arial"/>
                <w:sz w:val="24"/>
                <w:szCs w:val="24"/>
              </w:rPr>
              <w:tab/>
            </w:r>
            <w:r w:rsidRPr="00763EED">
              <w:rPr>
                <w:rFonts w:ascii="Arial" w:hAnsi="Arial" w:cs="Arial"/>
                <w:sz w:val="24"/>
                <w:szCs w:val="24"/>
              </w:rPr>
              <w:t>It is a trite principle that affidavits, constituting both evidence and pleadings as they are, are expected to be clear and to accurately identify issues so that both the court and the litigants can be properly appraised of relevant facts.</w:t>
            </w:r>
          </w:p>
          <w:p w:rsidR="005A2AAF" w:rsidRPr="00763EED" w:rsidRDefault="005A2AAF" w:rsidP="005A2AAF">
            <w:pPr>
              <w:rPr>
                <w:rFonts w:ascii="Arial" w:hAnsi="Arial" w:cs="Arial"/>
                <w:sz w:val="24"/>
                <w:szCs w:val="24"/>
                <w:lang w:val="en-GB"/>
              </w:rPr>
            </w:pPr>
          </w:p>
          <w:p w:rsidR="005A2AAF" w:rsidRPr="00763EED" w:rsidRDefault="00763EED" w:rsidP="005A2AAF">
            <w:pPr>
              <w:pStyle w:val="Heading1"/>
              <w:numPr>
                <w:ilvl w:val="0"/>
                <w:numId w:val="0"/>
              </w:numPr>
              <w:outlineLvl w:val="0"/>
              <w:rPr>
                <w:rFonts w:ascii="Arial" w:hAnsi="Arial" w:cs="Arial"/>
                <w:sz w:val="24"/>
                <w:szCs w:val="24"/>
              </w:rPr>
            </w:pPr>
            <w:r>
              <w:rPr>
                <w:rFonts w:ascii="Arial" w:hAnsi="Arial" w:cs="Arial"/>
                <w:sz w:val="24"/>
                <w:szCs w:val="24"/>
              </w:rPr>
              <w:t xml:space="preserve">[19]     </w:t>
            </w:r>
            <w:r w:rsidR="005A2AAF" w:rsidRPr="00763EED">
              <w:rPr>
                <w:rFonts w:ascii="Arial" w:hAnsi="Arial" w:cs="Arial"/>
                <w:sz w:val="24"/>
                <w:szCs w:val="24"/>
              </w:rPr>
              <w:t xml:space="preserve">In in </w:t>
            </w:r>
            <w:proofErr w:type="spellStart"/>
            <w:r w:rsidR="005A2AAF" w:rsidRPr="00763EED">
              <w:rPr>
                <w:rFonts w:ascii="Arial" w:hAnsi="Arial" w:cs="Arial"/>
                <w:i/>
                <w:sz w:val="24"/>
                <w:szCs w:val="24"/>
              </w:rPr>
              <w:t>Swissborough</w:t>
            </w:r>
            <w:proofErr w:type="spellEnd"/>
            <w:r w:rsidR="005A2AAF" w:rsidRPr="00763EED">
              <w:rPr>
                <w:rFonts w:ascii="Arial" w:hAnsi="Arial" w:cs="Arial"/>
                <w:i/>
                <w:sz w:val="24"/>
                <w:szCs w:val="24"/>
              </w:rPr>
              <w:t xml:space="preserve"> Diamond Mines (Pty) Ltd v Government of the Republic of South Africa</w:t>
            </w:r>
            <w:r w:rsidR="005A2AAF" w:rsidRPr="00763EED">
              <w:rPr>
                <w:rFonts w:ascii="Arial" w:hAnsi="Arial" w:cs="Arial"/>
                <w:sz w:val="24"/>
                <w:szCs w:val="24"/>
              </w:rPr>
              <w:t xml:space="preserve"> </w:t>
            </w:r>
            <w:r w:rsidR="005A2AAF" w:rsidRPr="00763EED">
              <w:rPr>
                <w:rStyle w:val="FootnoteReference"/>
                <w:rFonts w:ascii="Arial" w:hAnsi="Arial" w:cs="Arial"/>
                <w:sz w:val="24"/>
                <w:szCs w:val="24"/>
              </w:rPr>
              <w:footnoteReference w:id="3"/>
            </w:r>
            <w:r w:rsidR="005A2AAF" w:rsidRPr="00763EED">
              <w:rPr>
                <w:rFonts w:ascii="Arial" w:hAnsi="Arial" w:cs="Arial"/>
                <w:sz w:val="24"/>
                <w:szCs w:val="24"/>
              </w:rPr>
              <w:t xml:space="preserve"> as follows:  </w:t>
            </w:r>
          </w:p>
          <w:p w:rsidR="005A2AAF" w:rsidRPr="00763EED" w:rsidRDefault="005A2AAF" w:rsidP="005A2AAF">
            <w:pPr>
              <w:rPr>
                <w:rFonts w:ascii="Arial" w:hAnsi="Arial" w:cs="Arial"/>
                <w:sz w:val="24"/>
                <w:szCs w:val="24"/>
              </w:rPr>
            </w:pPr>
          </w:p>
          <w:p w:rsidR="0037347C" w:rsidRPr="00763EED" w:rsidRDefault="0037347C" w:rsidP="0037347C">
            <w:pPr>
              <w:ind w:left="720"/>
              <w:rPr>
                <w:rFonts w:ascii="Arial" w:hAnsi="Arial" w:cs="Arial"/>
                <w:sz w:val="24"/>
                <w:szCs w:val="24"/>
              </w:rPr>
            </w:pPr>
          </w:p>
          <w:p w:rsidR="005A2AAF" w:rsidRPr="00763EED" w:rsidRDefault="00763EED" w:rsidP="00763EED">
            <w:pPr>
              <w:jc w:val="both"/>
              <w:rPr>
                <w:rFonts w:ascii="Arial" w:hAnsi="Arial" w:cs="Arial"/>
                <w:sz w:val="24"/>
                <w:szCs w:val="24"/>
              </w:rPr>
            </w:pPr>
            <w:r>
              <w:rPr>
                <w:rFonts w:ascii="Arial" w:hAnsi="Arial" w:cs="Arial"/>
                <w:sz w:val="24"/>
                <w:szCs w:val="24"/>
              </w:rPr>
              <w:t xml:space="preserve">           </w:t>
            </w:r>
            <w:r w:rsidR="0037347C" w:rsidRPr="00763EED">
              <w:rPr>
                <w:rFonts w:ascii="Arial" w:hAnsi="Arial" w:cs="Arial"/>
                <w:sz w:val="24"/>
                <w:szCs w:val="24"/>
              </w:rPr>
              <w:t>‘</w:t>
            </w:r>
            <w:r w:rsidR="005A2AAF" w:rsidRPr="00763EED">
              <w:rPr>
                <w:rFonts w:ascii="Arial" w:hAnsi="Arial" w:cs="Arial"/>
                <w:sz w:val="24"/>
                <w:szCs w:val="24"/>
              </w:rPr>
              <w:t>It is trite law that in motion pr</w:t>
            </w:r>
            <w:bookmarkStart w:id="0" w:name="_GoBack"/>
            <w:bookmarkEnd w:id="0"/>
            <w:r w:rsidR="005A2AAF" w:rsidRPr="00763EED">
              <w:rPr>
                <w:rFonts w:ascii="Arial" w:hAnsi="Arial" w:cs="Arial"/>
                <w:sz w:val="24"/>
                <w:szCs w:val="24"/>
              </w:rPr>
              <w:t>oceedings the affidavits serve not only to place evidence before the Court but also to define the issues between the parties.  In so doing the issues between the parties are identified.  This is not only for the benefit of the Court but also, and primarily, for the parties.  The parties must know the case that must be met and in respect of which they must add</w:t>
            </w:r>
            <w:r w:rsidR="0037347C" w:rsidRPr="00763EED">
              <w:rPr>
                <w:rFonts w:ascii="Arial" w:hAnsi="Arial" w:cs="Arial"/>
                <w:sz w:val="24"/>
                <w:szCs w:val="24"/>
              </w:rPr>
              <w:t>uce evidence in the affidavits.’</w:t>
            </w:r>
          </w:p>
          <w:p w:rsidR="005A2AAF" w:rsidRPr="00763EED" w:rsidRDefault="005A2AAF" w:rsidP="005A2AAF">
            <w:pPr>
              <w:pStyle w:val="Heading1"/>
              <w:numPr>
                <w:ilvl w:val="0"/>
                <w:numId w:val="0"/>
              </w:numPr>
              <w:outlineLvl w:val="0"/>
              <w:rPr>
                <w:rFonts w:ascii="Arial" w:hAnsi="Arial" w:cs="Arial"/>
                <w:sz w:val="24"/>
                <w:szCs w:val="24"/>
              </w:rPr>
            </w:pPr>
          </w:p>
          <w:p w:rsidR="005A2AAF" w:rsidRPr="00763EED" w:rsidRDefault="005A2AAF" w:rsidP="005A2AAF">
            <w:pPr>
              <w:pStyle w:val="Heading1"/>
              <w:numPr>
                <w:ilvl w:val="0"/>
                <w:numId w:val="0"/>
              </w:numPr>
              <w:outlineLvl w:val="0"/>
              <w:rPr>
                <w:rFonts w:ascii="Arial" w:hAnsi="Arial" w:cs="Arial"/>
                <w:sz w:val="24"/>
                <w:szCs w:val="24"/>
              </w:rPr>
            </w:pPr>
            <w:r w:rsidRPr="00763EED">
              <w:rPr>
                <w:rFonts w:ascii="Arial" w:hAnsi="Arial" w:cs="Arial"/>
                <w:sz w:val="24"/>
                <w:szCs w:val="24"/>
              </w:rPr>
              <w:t xml:space="preserve">[20]       I must reiterate the principle set out in </w:t>
            </w:r>
            <w:r w:rsidRPr="00763EED">
              <w:rPr>
                <w:rFonts w:ascii="Arial" w:hAnsi="Arial" w:cs="Arial"/>
                <w:i/>
                <w:sz w:val="24"/>
                <w:szCs w:val="24"/>
              </w:rPr>
              <w:t xml:space="preserve">Port </w:t>
            </w:r>
            <w:proofErr w:type="spellStart"/>
            <w:r w:rsidRPr="00763EED">
              <w:rPr>
                <w:rFonts w:ascii="Arial" w:hAnsi="Arial" w:cs="Arial"/>
                <w:i/>
                <w:sz w:val="24"/>
                <w:szCs w:val="24"/>
              </w:rPr>
              <w:t>Nolloth</w:t>
            </w:r>
            <w:proofErr w:type="spellEnd"/>
            <w:r w:rsidRPr="00763EED">
              <w:rPr>
                <w:rFonts w:ascii="Arial" w:hAnsi="Arial" w:cs="Arial"/>
                <w:i/>
                <w:sz w:val="24"/>
                <w:szCs w:val="24"/>
              </w:rPr>
              <w:t xml:space="preserve"> Municipality v </w:t>
            </w:r>
            <w:proofErr w:type="spellStart"/>
            <w:r w:rsidRPr="00763EED">
              <w:rPr>
                <w:rFonts w:ascii="Arial" w:hAnsi="Arial" w:cs="Arial"/>
                <w:i/>
                <w:sz w:val="24"/>
                <w:szCs w:val="24"/>
              </w:rPr>
              <w:t>Xhalisa</w:t>
            </w:r>
            <w:proofErr w:type="spellEnd"/>
            <w:r w:rsidRPr="00763EED">
              <w:rPr>
                <w:rFonts w:ascii="Arial" w:hAnsi="Arial" w:cs="Arial"/>
                <w:i/>
                <w:sz w:val="24"/>
                <w:szCs w:val="24"/>
              </w:rPr>
              <w:t xml:space="preserve">; </w:t>
            </w:r>
            <w:proofErr w:type="spellStart"/>
            <w:r w:rsidRPr="00763EED">
              <w:rPr>
                <w:rFonts w:ascii="Arial" w:hAnsi="Arial" w:cs="Arial"/>
                <w:i/>
                <w:sz w:val="24"/>
                <w:szCs w:val="24"/>
              </w:rPr>
              <w:t>Luwalala</w:t>
            </w:r>
            <w:proofErr w:type="spellEnd"/>
            <w:r w:rsidRPr="00763EED">
              <w:rPr>
                <w:rFonts w:ascii="Arial" w:hAnsi="Arial" w:cs="Arial"/>
                <w:i/>
                <w:sz w:val="24"/>
                <w:szCs w:val="24"/>
              </w:rPr>
              <w:t xml:space="preserve"> v Port </w:t>
            </w:r>
            <w:proofErr w:type="spellStart"/>
            <w:r w:rsidRPr="00763EED">
              <w:rPr>
                <w:rFonts w:ascii="Arial" w:hAnsi="Arial" w:cs="Arial"/>
                <w:i/>
                <w:sz w:val="24"/>
                <w:szCs w:val="24"/>
              </w:rPr>
              <w:t>Nolloth</w:t>
            </w:r>
            <w:proofErr w:type="spellEnd"/>
            <w:r w:rsidRPr="00763EED">
              <w:rPr>
                <w:rFonts w:ascii="Arial" w:hAnsi="Arial" w:cs="Arial"/>
                <w:i/>
                <w:sz w:val="24"/>
                <w:szCs w:val="24"/>
              </w:rPr>
              <w:t xml:space="preserve"> Municipality</w:t>
            </w:r>
            <w:r w:rsidRPr="00763EED">
              <w:rPr>
                <w:rFonts w:ascii="Arial" w:hAnsi="Arial" w:cs="Arial"/>
                <w:sz w:val="24"/>
                <w:szCs w:val="24"/>
              </w:rPr>
              <w:t xml:space="preserve"> </w:t>
            </w:r>
            <w:r w:rsidRPr="00763EED">
              <w:rPr>
                <w:rStyle w:val="FootnoteReference"/>
                <w:rFonts w:ascii="Arial" w:hAnsi="Arial" w:cs="Arial"/>
                <w:sz w:val="24"/>
                <w:szCs w:val="24"/>
              </w:rPr>
              <w:footnoteReference w:id="4"/>
            </w:r>
            <w:r w:rsidRPr="00763EED">
              <w:rPr>
                <w:rFonts w:ascii="Arial" w:hAnsi="Arial" w:cs="Arial"/>
                <w:sz w:val="24"/>
                <w:szCs w:val="24"/>
              </w:rPr>
              <w:t xml:space="preserve"> that the annexures to an affidavit are not an integral part of it, and an applicant cannot justify its case by relying on facts which emerge from annexures to the founding affidavit but which have not been alleged in the affidavit and to which the attention of the respondent has not been specifically directed. </w:t>
            </w:r>
          </w:p>
          <w:p w:rsidR="005A2AAF" w:rsidRPr="00763EED" w:rsidRDefault="005A2AAF" w:rsidP="005A2AAF">
            <w:pPr>
              <w:rPr>
                <w:rFonts w:ascii="Arial" w:hAnsi="Arial" w:cs="Arial"/>
                <w:sz w:val="24"/>
                <w:szCs w:val="24"/>
                <w:lang w:val="en-GB"/>
              </w:rPr>
            </w:pPr>
          </w:p>
          <w:p w:rsidR="0091718C" w:rsidRPr="00763EED" w:rsidRDefault="005A2AAF" w:rsidP="0091718C">
            <w:pPr>
              <w:spacing w:line="360" w:lineRule="auto"/>
              <w:jc w:val="both"/>
              <w:rPr>
                <w:rFonts w:ascii="Arial" w:hAnsi="Arial" w:cs="Arial"/>
                <w:sz w:val="24"/>
                <w:szCs w:val="24"/>
              </w:rPr>
            </w:pPr>
            <w:r w:rsidRPr="00763EED">
              <w:rPr>
                <w:rFonts w:ascii="Arial" w:hAnsi="Arial" w:cs="Arial"/>
                <w:sz w:val="24"/>
                <w:szCs w:val="24"/>
                <w:lang w:val="en-GB"/>
              </w:rPr>
              <w:t xml:space="preserve">[21]      The contrary is also true however. If the annexures are not attached to the founding affidavit but reference is made in the founding affidavit to portions extracted from the annexures and the opposing party does not have the opportunity to consider the </w:t>
            </w:r>
            <w:r w:rsidR="00A3153D" w:rsidRPr="00763EED">
              <w:rPr>
                <w:rFonts w:ascii="Arial" w:hAnsi="Arial" w:cs="Arial"/>
                <w:sz w:val="24"/>
                <w:szCs w:val="24"/>
                <w:lang w:val="en-GB"/>
              </w:rPr>
              <w:t xml:space="preserve">contents of the </w:t>
            </w:r>
            <w:r w:rsidRPr="00763EED">
              <w:rPr>
                <w:rFonts w:ascii="Arial" w:hAnsi="Arial" w:cs="Arial"/>
                <w:sz w:val="24"/>
                <w:szCs w:val="24"/>
                <w:lang w:val="en-GB"/>
              </w:rPr>
              <w:t xml:space="preserve">annexures </w:t>
            </w:r>
            <w:r w:rsidR="00A3153D" w:rsidRPr="00763EED">
              <w:rPr>
                <w:rFonts w:ascii="Arial" w:hAnsi="Arial" w:cs="Arial"/>
                <w:sz w:val="24"/>
                <w:szCs w:val="24"/>
                <w:lang w:val="en-GB"/>
              </w:rPr>
              <w:t>and the context in which the extracts are referred to it will be to the prejudice of the opposing party. By failing to file the relevant annexures referred to in the founding affidavit it cannot be said the applicant made out his or her case on the papers.</w:t>
            </w:r>
          </w:p>
          <w:p w:rsidR="0091718C" w:rsidRPr="00763EED" w:rsidRDefault="0091718C" w:rsidP="0091718C">
            <w:pPr>
              <w:spacing w:line="360" w:lineRule="auto"/>
              <w:jc w:val="both"/>
              <w:rPr>
                <w:rFonts w:ascii="Arial" w:hAnsi="Arial" w:cs="Arial"/>
                <w:sz w:val="24"/>
                <w:szCs w:val="24"/>
              </w:rPr>
            </w:pPr>
          </w:p>
          <w:p w:rsidR="0091718C" w:rsidRPr="00763EED" w:rsidRDefault="0091718C" w:rsidP="0091718C">
            <w:pPr>
              <w:pStyle w:val="NormalWeb"/>
              <w:shd w:val="clear" w:color="auto" w:fill="FCFCFC"/>
              <w:spacing w:before="0" w:beforeAutospacing="0" w:after="375" w:afterAutospacing="0" w:line="360" w:lineRule="auto"/>
              <w:jc w:val="both"/>
              <w:rPr>
                <w:rFonts w:ascii="Arial" w:hAnsi="Arial" w:cs="Arial"/>
                <w:sz w:val="24"/>
                <w:szCs w:val="24"/>
              </w:rPr>
            </w:pPr>
            <w:r w:rsidRPr="00763EED">
              <w:rPr>
                <w:rFonts w:ascii="Arial" w:hAnsi="Arial" w:cs="Arial"/>
                <w:sz w:val="24"/>
                <w:szCs w:val="24"/>
              </w:rPr>
              <w:t>[2</w:t>
            </w:r>
            <w:r w:rsidR="00A3153D" w:rsidRPr="00763EED">
              <w:rPr>
                <w:rFonts w:ascii="Arial" w:hAnsi="Arial" w:cs="Arial"/>
                <w:sz w:val="24"/>
                <w:szCs w:val="24"/>
              </w:rPr>
              <w:t>2</w:t>
            </w:r>
            <w:r w:rsidRPr="00763EED">
              <w:rPr>
                <w:rFonts w:ascii="Arial" w:hAnsi="Arial" w:cs="Arial"/>
                <w:sz w:val="24"/>
                <w:szCs w:val="24"/>
              </w:rPr>
              <w:t>]</w:t>
            </w:r>
            <w:r w:rsidRPr="00763EED">
              <w:rPr>
                <w:rFonts w:ascii="Arial" w:hAnsi="Arial" w:cs="Arial"/>
                <w:sz w:val="24"/>
                <w:szCs w:val="24"/>
              </w:rPr>
              <w:tab/>
              <w:t>The first defendant failed to bring a proper application for condonation for its oversight to have attached annexures “JP1” to “JP16” to its founding affidavit and just randomly attached it to its replying affidavit</w:t>
            </w:r>
            <w:r w:rsidR="00A3153D" w:rsidRPr="00763EED">
              <w:rPr>
                <w:rFonts w:ascii="Arial" w:hAnsi="Arial" w:cs="Arial"/>
                <w:sz w:val="24"/>
                <w:szCs w:val="24"/>
              </w:rPr>
              <w:t>, which is impermissible</w:t>
            </w:r>
            <w:r w:rsidRPr="00763EED">
              <w:rPr>
                <w:rFonts w:ascii="Arial" w:hAnsi="Arial" w:cs="Arial"/>
                <w:sz w:val="24"/>
                <w:szCs w:val="24"/>
              </w:rPr>
              <w:t>. Such application should have been accompanied by proper engagement in terms of rule 32 of the Rules</w:t>
            </w:r>
            <w:r w:rsidR="00A3153D" w:rsidRPr="00763EED">
              <w:rPr>
                <w:rFonts w:ascii="Arial" w:hAnsi="Arial" w:cs="Arial"/>
                <w:sz w:val="24"/>
                <w:szCs w:val="24"/>
              </w:rPr>
              <w:t xml:space="preserve"> of Court</w:t>
            </w:r>
            <w:r w:rsidRPr="00763EED">
              <w:rPr>
                <w:rFonts w:ascii="Arial" w:hAnsi="Arial" w:cs="Arial"/>
                <w:sz w:val="24"/>
                <w:szCs w:val="24"/>
              </w:rPr>
              <w:t xml:space="preserve">. This was not complied with. As a result the annexures on which the first defendant wishes to rely is not properly before court and stands to be disregarded unless the first defendant brings the relevant application in this regard. </w:t>
            </w:r>
          </w:p>
          <w:p w:rsidR="0091718C" w:rsidRPr="00763EED" w:rsidRDefault="0091718C" w:rsidP="0091718C">
            <w:pPr>
              <w:pStyle w:val="NormalWeb"/>
              <w:shd w:val="clear" w:color="auto" w:fill="FCFCFC"/>
              <w:spacing w:before="0" w:beforeAutospacing="0" w:after="375" w:afterAutospacing="0" w:line="360" w:lineRule="auto"/>
              <w:jc w:val="both"/>
              <w:rPr>
                <w:rFonts w:ascii="Arial" w:hAnsi="Arial" w:cs="Arial"/>
                <w:sz w:val="24"/>
                <w:szCs w:val="24"/>
              </w:rPr>
            </w:pPr>
            <w:r w:rsidRPr="00763EED">
              <w:rPr>
                <w:rFonts w:ascii="Arial" w:hAnsi="Arial" w:cs="Arial"/>
                <w:sz w:val="24"/>
                <w:szCs w:val="24"/>
              </w:rPr>
              <w:t>[2</w:t>
            </w:r>
            <w:r w:rsidR="00A3153D" w:rsidRPr="00763EED">
              <w:rPr>
                <w:rFonts w:ascii="Arial" w:hAnsi="Arial" w:cs="Arial"/>
                <w:sz w:val="24"/>
                <w:szCs w:val="24"/>
              </w:rPr>
              <w:t>3</w:t>
            </w:r>
            <w:r w:rsidRPr="00763EED">
              <w:rPr>
                <w:rFonts w:ascii="Arial" w:hAnsi="Arial" w:cs="Arial"/>
                <w:sz w:val="24"/>
                <w:szCs w:val="24"/>
              </w:rPr>
              <w:t>]</w:t>
            </w:r>
            <w:r w:rsidRPr="00763EED">
              <w:rPr>
                <w:rFonts w:ascii="Arial" w:hAnsi="Arial" w:cs="Arial"/>
                <w:sz w:val="24"/>
                <w:szCs w:val="24"/>
              </w:rPr>
              <w:tab/>
              <w:t xml:space="preserve">The third point </w:t>
            </w:r>
            <w:r w:rsidRPr="00763EED">
              <w:rPr>
                <w:rFonts w:ascii="Arial" w:hAnsi="Arial" w:cs="Arial"/>
                <w:i/>
                <w:sz w:val="24"/>
                <w:szCs w:val="24"/>
              </w:rPr>
              <w:t xml:space="preserve">in </w:t>
            </w:r>
            <w:proofErr w:type="spellStart"/>
            <w:r w:rsidRPr="00763EED">
              <w:rPr>
                <w:rFonts w:ascii="Arial" w:hAnsi="Arial" w:cs="Arial"/>
                <w:i/>
                <w:sz w:val="24"/>
                <w:szCs w:val="24"/>
              </w:rPr>
              <w:t>limine</w:t>
            </w:r>
            <w:proofErr w:type="spellEnd"/>
            <w:r w:rsidRPr="00763EED">
              <w:rPr>
                <w:rFonts w:ascii="Arial" w:hAnsi="Arial" w:cs="Arial"/>
                <w:sz w:val="24"/>
                <w:szCs w:val="24"/>
              </w:rPr>
              <w:t xml:space="preserve"> is therefore upheld. </w:t>
            </w:r>
          </w:p>
          <w:p w:rsidR="0091718C" w:rsidRPr="00763EED" w:rsidRDefault="0091718C" w:rsidP="0091718C">
            <w:pPr>
              <w:pStyle w:val="NormalWeb"/>
              <w:shd w:val="clear" w:color="auto" w:fill="FCFCFC"/>
              <w:spacing w:before="0" w:beforeAutospacing="0" w:after="375" w:afterAutospacing="0" w:line="360" w:lineRule="auto"/>
              <w:jc w:val="both"/>
              <w:rPr>
                <w:rFonts w:ascii="Arial" w:hAnsi="Arial" w:cs="Arial"/>
                <w:sz w:val="24"/>
                <w:szCs w:val="24"/>
                <w:u w:val="single"/>
              </w:rPr>
            </w:pPr>
            <w:r w:rsidRPr="00763EED">
              <w:rPr>
                <w:rFonts w:ascii="Arial" w:hAnsi="Arial" w:cs="Arial"/>
                <w:sz w:val="24"/>
                <w:szCs w:val="24"/>
                <w:u w:val="single"/>
              </w:rPr>
              <w:t>Conclusion</w:t>
            </w:r>
          </w:p>
          <w:p w:rsidR="0091718C" w:rsidRPr="00763EED" w:rsidRDefault="0091718C" w:rsidP="0091718C">
            <w:pPr>
              <w:pStyle w:val="BodyText"/>
              <w:tabs>
                <w:tab w:val="left" w:pos="720"/>
                <w:tab w:val="left" w:pos="2268"/>
              </w:tabs>
              <w:spacing w:line="360" w:lineRule="auto"/>
              <w:jc w:val="both"/>
              <w:rPr>
                <w:rFonts w:ascii="Arial" w:hAnsi="Arial" w:cs="Arial"/>
                <w:sz w:val="24"/>
                <w:szCs w:val="24"/>
              </w:rPr>
            </w:pPr>
            <w:r w:rsidRPr="00763EED">
              <w:rPr>
                <w:rFonts w:ascii="Arial" w:hAnsi="Arial" w:cs="Arial"/>
                <w:sz w:val="24"/>
                <w:szCs w:val="24"/>
              </w:rPr>
              <w:t>[2</w:t>
            </w:r>
            <w:r w:rsidR="00A3153D" w:rsidRPr="00763EED">
              <w:rPr>
                <w:rFonts w:ascii="Arial" w:hAnsi="Arial" w:cs="Arial"/>
                <w:sz w:val="24"/>
                <w:szCs w:val="24"/>
              </w:rPr>
              <w:t>4</w:t>
            </w:r>
            <w:r w:rsidRPr="00763EED">
              <w:rPr>
                <w:rFonts w:ascii="Arial" w:hAnsi="Arial" w:cs="Arial"/>
                <w:sz w:val="24"/>
                <w:szCs w:val="24"/>
              </w:rPr>
              <w:t>]</w:t>
            </w:r>
            <w:r w:rsidRPr="00763EED">
              <w:rPr>
                <w:rFonts w:ascii="Arial" w:hAnsi="Arial" w:cs="Arial"/>
                <w:sz w:val="24"/>
                <w:szCs w:val="24"/>
              </w:rPr>
              <w:tab/>
              <w:t>Without dealing with the merits of the application it must be struck for lack of compliance with rule 32 (9) and (10). As a result of the hearing of the resciss</w:t>
            </w:r>
            <w:r w:rsidR="00A3153D" w:rsidRPr="00763EED">
              <w:rPr>
                <w:rFonts w:ascii="Arial" w:hAnsi="Arial" w:cs="Arial"/>
                <w:sz w:val="24"/>
                <w:szCs w:val="24"/>
              </w:rPr>
              <w:t>i</w:t>
            </w:r>
            <w:r w:rsidRPr="00763EED">
              <w:rPr>
                <w:rFonts w:ascii="Arial" w:hAnsi="Arial" w:cs="Arial"/>
                <w:sz w:val="24"/>
                <w:szCs w:val="24"/>
              </w:rPr>
              <w:t>on application will be deferred pending the outcome of fresh condonation application and the parties are directed to comply with the directions as set out in my order above.</w:t>
            </w:r>
          </w:p>
          <w:p w:rsidR="009C2E53" w:rsidRPr="00763EED" w:rsidRDefault="009C2E53" w:rsidP="0091718C">
            <w:pPr>
              <w:spacing w:line="360" w:lineRule="auto"/>
              <w:jc w:val="both"/>
              <w:rPr>
                <w:rFonts w:ascii="Arial" w:hAnsi="Arial" w:cs="Arial"/>
                <w:sz w:val="24"/>
                <w:szCs w:val="24"/>
              </w:rPr>
            </w:pPr>
          </w:p>
        </w:tc>
      </w:tr>
      <w:tr w:rsidR="009C2E53" w:rsidRPr="00763EED" w:rsidTr="006F0D59">
        <w:tc>
          <w:tcPr>
            <w:tcW w:w="4770" w:type="dxa"/>
          </w:tcPr>
          <w:p w:rsidR="009C2E53" w:rsidRPr="00763EED" w:rsidRDefault="005A2AAF" w:rsidP="006F0D59">
            <w:pPr>
              <w:spacing w:line="360" w:lineRule="auto"/>
              <w:jc w:val="center"/>
              <w:rPr>
                <w:rFonts w:ascii="Arial" w:hAnsi="Arial" w:cs="Arial"/>
                <w:b/>
                <w:sz w:val="24"/>
                <w:szCs w:val="24"/>
              </w:rPr>
            </w:pPr>
            <w:r w:rsidRPr="00763EED">
              <w:rPr>
                <w:rFonts w:ascii="Arial" w:hAnsi="Arial" w:cs="Arial"/>
                <w:b/>
                <w:sz w:val="24"/>
                <w:szCs w:val="24"/>
              </w:rPr>
              <w:lastRenderedPageBreak/>
              <w:t xml:space="preserve"> </w:t>
            </w:r>
          </w:p>
        </w:tc>
        <w:tc>
          <w:tcPr>
            <w:tcW w:w="4950" w:type="dxa"/>
            <w:gridSpan w:val="2"/>
          </w:tcPr>
          <w:p w:rsidR="009C2E53" w:rsidRPr="00763EED" w:rsidRDefault="009C2E53" w:rsidP="006F0D59">
            <w:pPr>
              <w:spacing w:line="360" w:lineRule="auto"/>
              <w:jc w:val="center"/>
              <w:rPr>
                <w:rFonts w:ascii="Arial" w:hAnsi="Arial" w:cs="Arial"/>
                <w:b/>
                <w:sz w:val="24"/>
                <w:szCs w:val="24"/>
              </w:rPr>
            </w:pPr>
            <w:r w:rsidRPr="00763EED">
              <w:rPr>
                <w:rFonts w:ascii="Arial" w:hAnsi="Arial" w:cs="Arial"/>
                <w:b/>
                <w:sz w:val="24"/>
                <w:szCs w:val="24"/>
              </w:rPr>
              <w:t>Note to the parties:</w:t>
            </w:r>
          </w:p>
        </w:tc>
      </w:tr>
      <w:tr w:rsidR="009C2E53" w:rsidRPr="00763EED" w:rsidTr="006F0D59">
        <w:trPr>
          <w:trHeight w:val="1114"/>
        </w:trPr>
        <w:tc>
          <w:tcPr>
            <w:tcW w:w="4770" w:type="dxa"/>
          </w:tcPr>
          <w:p w:rsidR="009C2E53" w:rsidRPr="00763EED" w:rsidRDefault="009C2E53" w:rsidP="006F0D59">
            <w:pPr>
              <w:spacing w:line="360" w:lineRule="auto"/>
              <w:jc w:val="both"/>
              <w:rPr>
                <w:rFonts w:ascii="Arial" w:hAnsi="Arial" w:cs="Arial"/>
                <w:sz w:val="24"/>
                <w:szCs w:val="24"/>
              </w:rPr>
            </w:pPr>
          </w:p>
        </w:tc>
        <w:tc>
          <w:tcPr>
            <w:tcW w:w="4950" w:type="dxa"/>
            <w:gridSpan w:val="2"/>
          </w:tcPr>
          <w:p w:rsidR="009C2E53" w:rsidRPr="00763EED" w:rsidRDefault="009C2E53" w:rsidP="006F0D59">
            <w:pPr>
              <w:spacing w:line="360" w:lineRule="auto"/>
              <w:jc w:val="both"/>
              <w:rPr>
                <w:rFonts w:ascii="Arial" w:hAnsi="Arial" w:cs="Arial"/>
                <w:sz w:val="24"/>
                <w:szCs w:val="24"/>
              </w:rPr>
            </w:pPr>
            <w:r w:rsidRPr="00763EED">
              <w:rPr>
                <w:rFonts w:ascii="Arial" w:hAnsi="Arial" w:cs="Arial"/>
                <w:sz w:val="24"/>
                <w:szCs w:val="24"/>
              </w:rPr>
              <w:t>Not applicable.</w:t>
            </w:r>
          </w:p>
        </w:tc>
      </w:tr>
      <w:tr w:rsidR="009C2E53" w:rsidRPr="00763EED" w:rsidTr="006F0D59">
        <w:tc>
          <w:tcPr>
            <w:tcW w:w="9720" w:type="dxa"/>
            <w:gridSpan w:val="3"/>
          </w:tcPr>
          <w:p w:rsidR="009C2E53" w:rsidRPr="00763EED" w:rsidRDefault="009C2E53" w:rsidP="006F0D59">
            <w:pPr>
              <w:spacing w:line="360" w:lineRule="auto"/>
              <w:jc w:val="center"/>
              <w:rPr>
                <w:rFonts w:ascii="Arial" w:hAnsi="Arial" w:cs="Arial"/>
                <w:b/>
                <w:sz w:val="24"/>
                <w:szCs w:val="24"/>
              </w:rPr>
            </w:pPr>
            <w:r w:rsidRPr="00763EED">
              <w:rPr>
                <w:rFonts w:ascii="Arial" w:hAnsi="Arial" w:cs="Arial"/>
                <w:b/>
                <w:sz w:val="24"/>
                <w:szCs w:val="24"/>
              </w:rPr>
              <w:t>Counsel:</w:t>
            </w:r>
          </w:p>
        </w:tc>
      </w:tr>
      <w:tr w:rsidR="009C2E53" w:rsidRPr="00763EED" w:rsidTr="006F0D59">
        <w:tc>
          <w:tcPr>
            <w:tcW w:w="4770" w:type="dxa"/>
          </w:tcPr>
          <w:p w:rsidR="009C2E53" w:rsidRPr="00763EED" w:rsidRDefault="009C2E53" w:rsidP="006F0D59">
            <w:pPr>
              <w:spacing w:line="360" w:lineRule="auto"/>
              <w:jc w:val="center"/>
              <w:rPr>
                <w:rFonts w:ascii="Arial" w:hAnsi="Arial" w:cs="Arial"/>
                <w:b/>
                <w:sz w:val="24"/>
                <w:szCs w:val="24"/>
              </w:rPr>
            </w:pPr>
            <w:r w:rsidRPr="00763EED">
              <w:rPr>
                <w:rFonts w:ascii="Arial" w:hAnsi="Arial" w:cs="Arial"/>
                <w:b/>
                <w:sz w:val="24"/>
                <w:szCs w:val="24"/>
              </w:rPr>
              <w:t>Applicant</w:t>
            </w:r>
          </w:p>
        </w:tc>
        <w:tc>
          <w:tcPr>
            <w:tcW w:w="4950" w:type="dxa"/>
            <w:gridSpan w:val="2"/>
          </w:tcPr>
          <w:p w:rsidR="009C2E53" w:rsidRPr="00763EED" w:rsidRDefault="009C2E53" w:rsidP="006F0D59">
            <w:pPr>
              <w:spacing w:line="360" w:lineRule="auto"/>
              <w:jc w:val="center"/>
              <w:rPr>
                <w:rFonts w:ascii="Arial" w:hAnsi="Arial" w:cs="Arial"/>
                <w:b/>
                <w:sz w:val="24"/>
                <w:szCs w:val="24"/>
              </w:rPr>
            </w:pPr>
            <w:r w:rsidRPr="00763EED">
              <w:rPr>
                <w:rFonts w:ascii="Arial" w:hAnsi="Arial" w:cs="Arial"/>
                <w:b/>
                <w:sz w:val="24"/>
                <w:szCs w:val="24"/>
              </w:rPr>
              <w:t xml:space="preserve"> Respondent</w:t>
            </w:r>
          </w:p>
        </w:tc>
      </w:tr>
      <w:tr w:rsidR="009C2E53" w:rsidRPr="00763EED" w:rsidTr="006F0D59">
        <w:tc>
          <w:tcPr>
            <w:tcW w:w="4770" w:type="dxa"/>
          </w:tcPr>
          <w:p w:rsidR="00616F75" w:rsidRPr="00763EED" w:rsidRDefault="00B477A7" w:rsidP="00616F75">
            <w:pPr>
              <w:spacing w:line="360" w:lineRule="auto"/>
              <w:jc w:val="center"/>
              <w:rPr>
                <w:rFonts w:ascii="Arial" w:hAnsi="Arial" w:cs="Arial"/>
                <w:sz w:val="24"/>
                <w:szCs w:val="24"/>
              </w:rPr>
            </w:pPr>
            <w:r w:rsidRPr="00763EED">
              <w:rPr>
                <w:rFonts w:ascii="Arial" w:hAnsi="Arial" w:cs="Arial"/>
                <w:sz w:val="24"/>
                <w:szCs w:val="24"/>
              </w:rPr>
              <w:t>Adv</w:t>
            </w:r>
            <w:r w:rsidR="00AA71CE" w:rsidRPr="00763EED">
              <w:rPr>
                <w:rFonts w:ascii="Arial" w:hAnsi="Arial" w:cs="Arial"/>
                <w:sz w:val="24"/>
                <w:szCs w:val="24"/>
              </w:rPr>
              <w:t xml:space="preserve">. H. </w:t>
            </w:r>
            <w:proofErr w:type="spellStart"/>
            <w:r w:rsidR="00AA71CE" w:rsidRPr="00763EED">
              <w:rPr>
                <w:rFonts w:ascii="Arial" w:hAnsi="Arial" w:cs="Arial"/>
                <w:sz w:val="24"/>
                <w:szCs w:val="24"/>
              </w:rPr>
              <w:t>Garbers</w:t>
            </w:r>
            <w:proofErr w:type="spellEnd"/>
            <w:r w:rsidR="00AA71CE" w:rsidRPr="00763EED">
              <w:rPr>
                <w:rFonts w:ascii="Arial" w:hAnsi="Arial" w:cs="Arial"/>
                <w:sz w:val="24"/>
                <w:szCs w:val="24"/>
              </w:rPr>
              <w:t>-Kirsten</w:t>
            </w:r>
          </w:p>
          <w:p w:rsidR="00AD7322" w:rsidRPr="00763EED" w:rsidRDefault="00AD7322" w:rsidP="00AD7322">
            <w:pPr>
              <w:spacing w:line="360" w:lineRule="auto"/>
              <w:jc w:val="center"/>
              <w:rPr>
                <w:rFonts w:ascii="Arial" w:hAnsi="Arial" w:cs="Arial"/>
                <w:sz w:val="24"/>
                <w:szCs w:val="24"/>
              </w:rPr>
            </w:pPr>
            <w:r w:rsidRPr="00763EED">
              <w:rPr>
                <w:rFonts w:ascii="Arial" w:hAnsi="Arial" w:cs="Arial"/>
                <w:sz w:val="24"/>
                <w:szCs w:val="24"/>
              </w:rPr>
              <w:t xml:space="preserve">Instructed by </w:t>
            </w:r>
          </w:p>
          <w:p w:rsidR="009C2E53" w:rsidRDefault="00AA71CE" w:rsidP="00616F75">
            <w:pPr>
              <w:spacing w:line="360" w:lineRule="auto"/>
              <w:jc w:val="center"/>
              <w:rPr>
                <w:rFonts w:ascii="Arial" w:hAnsi="Arial" w:cs="Arial"/>
                <w:sz w:val="24"/>
                <w:szCs w:val="24"/>
              </w:rPr>
            </w:pPr>
            <w:r w:rsidRPr="00763EED">
              <w:rPr>
                <w:rFonts w:ascii="Arial" w:hAnsi="Arial" w:cs="Arial"/>
                <w:sz w:val="24"/>
                <w:szCs w:val="24"/>
              </w:rPr>
              <w:t>Kloppers Legal Practitioners</w:t>
            </w:r>
          </w:p>
          <w:p w:rsidR="00763EED" w:rsidRPr="00763EED" w:rsidRDefault="00763EED" w:rsidP="00616F75">
            <w:pPr>
              <w:spacing w:line="360" w:lineRule="auto"/>
              <w:jc w:val="center"/>
              <w:rPr>
                <w:rFonts w:ascii="Arial" w:hAnsi="Arial" w:cs="Arial"/>
                <w:sz w:val="24"/>
                <w:szCs w:val="24"/>
              </w:rPr>
            </w:pPr>
            <w:r>
              <w:rPr>
                <w:rFonts w:ascii="Arial" w:hAnsi="Arial" w:cs="Arial"/>
                <w:sz w:val="24"/>
                <w:szCs w:val="24"/>
              </w:rPr>
              <w:t>Windhoek</w:t>
            </w:r>
          </w:p>
        </w:tc>
        <w:tc>
          <w:tcPr>
            <w:tcW w:w="4950" w:type="dxa"/>
            <w:gridSpan w:val="2"/>
          </w:tcPr>
          <w:p w:rsidR="00616F75" w:rsidRPr="00763EED" w:rsidRDefault="00AA71CE" w:rsidP="00616F75">
            <w:pPr>
              <w:spacing w:line="360" w:lineRule="auto"/>
              <w:jc w:val="center"/>
              <w:rPr>
                <w:rFonts w:ascii="Arial" w:hAnsi="Arial" w:cs="Arial"/>
                <w:sz w:val="24"/>
                <w:szCs w:val="24"/>
              </w:rPr>
            </w:pPr>
            <w:r w:rsidRPr="00763EED">
              <w:rPr>
                <w:rFonts w:ascii="Arial" w:hAnsi="Arial" w:cs="Arial"/>
                <w:sz w:val="24"/>
                <w:szCs w:val="24"/>
              </w:rPr>
              <w:t xml:space="preserve">Mr A. </w:t>
            </w:r>
            <w:proofErr w:type="spellStart"/>
            <w:r w:rsidRPr="00763EED">
              <w:rPr>
                <w:rFonts w:ascii="Arial" w:hAnsi="Arial" w:cs="Arial"/>
                <w:sz w:val="24"/>
                <w:szCs w:val="24"/>
              </w:rPr>
              <w:t>Brendell</w:t>
            </w:r>
            <w:proofErr w:type="spellEnd"/>
          </w:p>
          <w:p w:rsidR="00616F75" w:rsidRPr="00763EED" w:rsidRDefault="00B477A7" w:rsidP="00616F75">
            <w:pPr>
              <w:spacing w:line="360" w:lineRule="auto"/>
              <w:jc w:val="center"/>
              <w:rPr>
                <w:rFonts w:ascii="Arial" w:hAnsi="Arial" w:cs="Arial"/>
                <w:sz w:val="24"/>
                <w:szCs w:val="24"/>
              </w:rPr>
            </w:pPr>
            <w:r w:rsidRPr="00763EED">
              <w:rPr>
                <w:rFonts w:ascii="Arial" w:hAnsi="Arial" w:cs="Arial"/>
                <w:sz w:val="24"/>
                <w:szCs w:val="24"/>
              </w:rPr>
              <w:t>of</w:t>
            </w:r>
          </w:p>
          <w:p w:rsidR="009C2E53" w:rsidRDefault="00AA71CE" w:rsidP="00616F75">
            <w:pPr>
              <w:spacing w:line="360" w:lineRule="auto"/>
              <w:jc w:val="center"/>
              <w:rPr>
                <w:rFonts w:ascii="Arial" w:hAnsi="Arial" w:cs="Arial"/>
                <w:sz w:val="24"/>
                <w:szCs w:val="24"/>
                <w:shd w:val="clear" w:color="auto" w:fill="FFFFFF"/>
              </w:rPr>
            </w:pPr>
            <w:proofErr w:type="spellStart"/>
            <w:r w:rsidRPr="00763EED">
              <w:rPr>
                <w:rFonts w:ascii="Arial" w:hAnsi="Arial" w:cs="Arial"/>
                <w:sz w:val="24"/>
                <w:szCs w:val="24"/>
                <w:shd w:val="clear" w:color="auto" w:fill="FFFFFF"/>
              </w:rPr>
              <w:t>Kishi</w:t>
            </w:r>
            <w:proofErr w:type="spellEnd"/>
            <w:r w:rsidRPr="00763EED">
              <w:rPr>
                <w:rFonts w:ascii="Arial" w:hAnsi="Arial" w:cs="Arial"/>
                <w:sz w:val="24"/>
                <w:szCs w:val="24"/>
                <w:shd w:val="clear" w:color="auto" w:fill="FFFFFF"/>
              </w:rPr>
              <w:t xml:space="preserve"> </w:t>
            </w:r>
            <w:proofErr w:type="spellStart"/>
            <w:r w:rsidRPr="00763EED">
              <w:rPr>
                <w:rFonts w:ascii="Arial" w:hAnsi="Arial" w:cs="Arial"/>
                <w:sz w:val="24"/>
                <w:szCs w:val="24"/>
                <w:shd w:val="clear" w:color="auto" w:fill="FFFFFF"/>
              </w:rPr>
              <w:t>Shakumu</w:t>
            </w:r>
            <w:proofErr w:type="spellEnd"/>
            <w:r w:rsidRPr="00763EED">
              <w:rPr>
                <w:rFonts w:ascii="Arial" w:hAnsi="Arial" w:cs="Arial"/>
                <w:sz w:val="24"/>
                <w:szCs w:val="24"/>
                <w:shd w:val="clear" w:color="auto" w:fill="FFFFFF"/>
              </w:rPr>
              <w:t xml:space="preserve"> &amp; Co. </w:t>
            </w:r>
            <w:proofErr w:type="spellStart"/>
            <w:r w:rsidRPr="00763EED">
              <w:rPr>
                <w:rFonts w:ascii="Arial" w:hAnsi="Arial" w:cs="Arial"/>
                <w:sz w:val="24"/>
                <w:szCs w:val="24"/>
                <w:shd w:val="clear" w:color="auto" w:fill="FFFFFF"/>
              </w:rPr>
              <w:t>Inc</w:t>
            </w:r>
            <w:proofErr w:type="spellEnd"/>
          </w:p>
          <w:p w:rsidR="00763EED" w:rsidRPr="00763EED" w:rsidRDefault="00763EED" w:rsidP="00616F75">
            <w:pPr>
              <w:spacing w:line="360" w:lineRule="auto"/>
              <w:jc w:val="center"/>
              <w:rPr>
                <w:rFonts w:ascii="Arial" w:hAnsi="Arial" w:cs="Arial"/>
                <w:sz w:val="24"/>
                <w:szCs w:val="24"/>
              </w:rPr>
            </w:pPr>
            <w:r w:rsidRPr="00763EED">
              <w:rPr>
                <w:rFonts w:ascii="Arial" w:hAnsi="Arial" w:cs="Arial"/>
                <w:sz w:val="24"/>
                <w:szCs w:val="24"/>
              </w:rPr>
              <w:t>Windhoek</w:t>
            </w:r>
          </w:p>
        </w:tc>
      </w:tr>
    </w:tbl>
    <w:p w:rsidR="009C2E53" w:rsidRPr="007C332D" w:rsidRDefault="009C2E53" w:rsidP="009C2E53">
      <w:pPr>
        <w:rPr>
          <w:rFonts w:ascii="Arial Narrow" w:hAnsi="Arial Narrow"/>
        </w:rPr>
      </w:pPr>
    </w:p>
    <w:p w:rsidR="009C2E53" w:rsidRPr="007C332D" w:rsidRDefault="009C2E53" w:rsidP="009C2E53">
      <w:pPr>
        <w:rPr>
          <w:rFonts w:ascii="Arial Narrow" w:hAnsi="Arial Narrow"/>
        </w:rPr>
      </w:pPr>
    </w:p>
    <w:p w:rsidR="006F0D59" w:rsidRPr="007C332D" w:rsidRDefault="006F0D59">
      <w:pPr>
        <w:rPr>
          <w:rFonts w:ascii="Arial Narrow" w:hAnsi="Arial Narrow"/>
        </w:rPr>
      </w:pPr>
    </w:p>
    <w:sectPr w:rsidR="006F0D59" w:rsidRPr="007C332D" w:rsidSect="0092145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B17" w:rsidRDefault="00E84B17" w:rsidP="009C2E53">
      <w:pPr>
        <w:spacing w:after="0" w:line="240" w:lineRule="auto"/>
      </w:pPr>
      <w:r>
        <w:separator/>
      </w:r>
    </w:p>
  </w:endnote>
  <w:endnote w:type="continuationSeparator" w:id="0">
    <w:p w:rsidR="00E84B17" w:rsidRDefault="00E84B17"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B17" w:rsidRDefault="00E84B17" w:rsidP="009C2E53">
      <w:pPr>
        <w:spacing w:after="0" w:line="240" w:lineRule="auto"/>
      </w:pPr>
      <w:r>
        <w:separator/>
      </w:r>
    </w:p>
  </w:footnote>
  <w:footnote w:type="continuationSeparator" w:id="0">
    <w:p w:rsidR="00E84B17" w:rsidRDefault="00E84B17" w:rsidP="009C2E53">
      <w:pPr>
        <w:spacing w:after="0" w:line="240" w:lineRule="auto"/>
      </w:pPr>
      <w:r>
        <w:continuationSeparator/>
      </w:r>
    </w:p>
  </w:footnote>
  <w:footnote w:id="1">
    <w:p w:rsidR="0091718C" w:rsidRPr="00763EED" w:rsidRDefault="0091718C" w:rsidP="0091718C">
      <w:pPr>
        <w:spacing w:after="0" w:line="240" w:lineRule="auto"/>
        <w:outlineLvl w:val="0"/>
        <w:rPr>
          <w:rFonts w:eastAsia="Times New Roman"/>
          <w:kern w:val="36"/>
          <w:sz w:val="20"/>
          <w:szCs w:val="20"/>
          <w:lang w:eastAsia="en-ZA"/>
        </w:rPr>
      </w:pPr>
      <w:r>
        <w:rPr>
          <w:rStyle w:val="FootnoteReference"/>
        </w:rPr>
        <w:footnoteRef/>
      </w:r>
      <w:r>
        <w:t xml:space="preserve"> </w:t>
      </w:r>
      <w:r w:rsidRPr="00763EED">
        <w:rPr>
          <w:rFonts w:eastAsia="Times New Roman"/>
          <w:i/>
          <w:kern w:val="36"/>
          <w:sz w:val="20"/>
          <w:szCs w:val="20"/>
          <w:lang w:eastAsia="en-ZA"/>
        </w:rPr>
        <w:t xml:space="preserve">South African Airways </w:t>
      </w:r>
      <w:proofErr w:type="spellStart"/>
      <w:r w:rsidRPr="00763EED">
        <w:rPr>
          <w:rFonts w:eastAsia="Times New Roman"/>
          <w:i/>
          <w:kern w:val="36"/>
          <w:sz w:val="20"/>
          <w:szCs w:val="20"/>
          <w:lang w:eastAsia="en-ZA"/>
        </w:rPr>
        <w:t>Soc</w:t>
      </w:r>
      <w:proofErr w:type="spellEnd"/>
      <w:r w:rsidRPr="00763EED">
        <w:rPr>
          <w:rFonts w:eastAsia="Times New Roman"/>
          <w:i/>
          <w:kern w:val="36"/>
          <w:sz w:val="20"/>
          <w:szCs w:val="20"/>
          <w:lang w:eastAsia="en-ZA"/>
        </w:rPr>
        <w:t xml:space="preserve"> Limited v </w:t>
      </w:r>
      <w:proofErr w:type="spellStart"/>
      <w:r w:rsidRPr="00763EED">
        <w:rPr>
          <w:rFonts w:eastAsia="Times New Roman"/>
          <w:i/>
          <w:kern w:val="36"/>
          <w:sz w:val="20"/>
          <w:szCs w:val="20"/>
          <w:lang w:eastAsia="en-ZA"/>
        </w:rPr>
        <w:t>Camm</w:t>
      </w:r>
      <w:proofErr w:type="spellEnd"/>
      <w:r w:rsidRPr="00763EED">
        <w:rPr>
          <w:rFonts w:eastAsia="Times New Roman"/>
          <w:i/>
          <w:kern w:val="36"/>
          <w:sz w:val="20"/>
          <w:szCs w:val="20"/>
          <w:lang w:eastAsia="en-ZA"/>
        </w:rPr>
        <w:t xml:space="preserve"> and Others</w:t>
      </w:r>
      <w:r w:rsidRPr="00763EED">
        <w:rPr>
          <w:rFonts w:eastAsia="Times New Roman"/>
          <w:kern w:val="36"/>
          <w:sz w:val="20"/>
          <w:szCs w:val="20"/>
          <w:lang w:eastAsia="en-ZA"/>
        </w:rPr>
        <w:t xml:space="preserve"> (HC-MD-CIV-ACT-DEL-2016/02479) [2019]</w:t>
      </w:r>
      <w:r w:rsidR="00B477A7" w:rsidRPr="00763EED">
        <w:rPr>
          <w:rFonts w:eastAsia="Times New Roman"/>
          <w:kern w:val="36"/>
          <w:sz w:val="20"/>
          <w:szCs w:val="20"/>
          <w:lang w:eastAsia="en-ZA"/>
        </w:rPr>
        <w:t xml:space="preserve"> </w:t>
      </w:r>
      <w:r w:rsidRPr="00763EED">
        <w:rPr>
          <w:rFonts w:eastAsia="Times New Roman"/>
          <w:kern w:val="36"/>
          <w:sz w:val="20"/>
          <w:szCs w:val="20"/>
          <w:lang w:eastAsia="en-ZA"/>
        </w:rPr>
        <w:t>NAHCMD 14 (31 January 2019)</w:t>
      </w:r>
      <w:r w:rsidR="00154350" w:rsidRPr="00763EED">
        <w:rPr>
          <w:rFonts w:eastAsia="Times New Roman"/>
          <w:kern w:val="36"/>
          <w:sz w:val="20"/>
          <w:szCs w:val="20"/>
          <w:lang w:eastAsia="en-ZA"/>
        </w:rPr>
        <w:t>.</w:t>
      </w:r>
    </w:p>
    <w:p w:rsidR="0091718C" w:rsidRDefault="0091718C" w:rsidP="0091718C">
      <w:pPr>
        <w:pStyle w:val="FootnoteText"/>
      </w:pPr>
    </w:p>
  </w:footnote>
  <w:footnote w:id="2">
    <w:p w:rsidR="0091718C" w:rsidRPr="00763EED" w:rsidRDefault="0091718C" w:rsidP="0091718C">
      <w:pPr>
        <w:pStyle w:val="FootnoteText"/>
        <w:rPr>
          <w:rFonts w:ascii="Arial" w:hAnsi="Arial" w:cs="Arial"/>
          <w:lang w:val="en-ZA"/>
        </w:rPr>
      </w:pPr>
      <w:r>
        <w:rPr>
          <w:rStyle w:val="FootnoteReference"/>
        </w:rPr>
        <w:footnoteRef/>
      </w:r>
      <w:r>
        <w:t xml:space="preserve"> </w:t>
      </w:r>
      <w:r w:rsidRPr="00D6711B">
        <w:rPr>
          <w:rFonts w:eastAsia="Calibri"/>
        </w:rPr>
        <w:t>(</w:t>
      </w:r>
      <w:r w:rsidRPr="00763EED">
        <w:rPr>
          <w:rFonts w:ascii="Arial" w:eastAsia="Calibri" w:hAnsi="Arial" w:cs="Arial"/>
        </w:rPr>
        <w:t>I 226/2013) [2016] NAHCNLD 22 (07 March 2016)</w:t>
      </w:r>
      <w:r w:rsidR="0037347C" w:rsidRPr="00763EED">
        <w:rPr>
          <w:rFonts w:ascii="Arial" w:eastAsia="Calibri" w:hAnsi="Arial" w:cs="Arial"/>
        </w:rPr>
        <w:t>.</w:t>
      </w:r>
    </w:p>
  </w:footnote>
  <w:footnote w:id="3">
    <w:p w:rsidR="005A2AAF" w:rsidRPr="00763EED" w:rsidRDefault="005A2AAF" w:rsidP="005A2AAF">
      <w:pPr>
        <w:pStyle w:val="FootnoteText"/>
        <w:rPr>
          <w:rFonts w:ascii="Arial" w:hAnsi="Arial" w:cs="Arial"/>
          <w:lang w:val="en-US"/>
        </w:rPr>
      </w:pPr>
      <w:r>
        <w:rPr>
          <w:rStyle w:val="FootnoteReference"/>
        </w:rPr>
        <w:footnoteRef/>
      </w:r>
      <w:r>
        <w:t xml:space="preserve"> </w:t>
      </w:r>
      <w:r w:rsidRPr="00763EED">
        <w:rPr>
          <w:rFonts w:ascii="Arial" w:hAnsi="Arial" w:cs="Arial"/>
          <w:lang w:val="en-US"/>
        </w:rPr>
        <w:t>1999 (2) SA 279 (T) at 323 F</w:t>
      </w:r>
      <w:r w:rsidR="003D2C50" w:rsidRPr="00763EED">
        <w:rPr>
          <w:rFonts w:ascii="Arial" w:hAnsi="Arial" w:cs="Arial"/>
          <w:lang w:val="en-US"/>
        </w:rPr>
        <w:t>.</w:t>
      </w:r>
    </w:p>
  </w:footnote>
  <w:footnote w:id="4">
    <w:p w:rsidR="005A2AAF" w:rsidRPr="00763EED" w:rsidRDefault="005A2AAF" w:rsidP="005A2AAF">
      <w:pPr>
        <w:pStyle w:val="FootnoteText"/>
        <w:rPr>
          <w:rFonts w:ascii="Arial" w:hAnsi="Arial" w:cs="Arial"/>
          <w:lang w:val="en-US"/>
        </w:rPr>
      </w:pPr>
      <w:r w:rsidRPr="00763EED">
        <w:rPr>
          <w:rStyle w:val="FootnoteReference"/>
          <w:rFonts w:ascii="Arial" w:hAnsi="Arial" w:cs="Arial"/>
        </w:rPr>
        <w:footnoteRef/>
      </w:r>
      <w:r w:rsidRPr="00763EED">
        <w:rPr>
          <w:rFonts w:ascii="Arial" w:hAnsi="Arial" w:cs="Arial"/>
        </w:rPr>
        <w:t xml:space="preserve"> </w:t>
      </w:r>
      <w:r w:rsidRPr="00763EED">
        <w:rPr>
          <w:rFonts w:ascii="Arial" w:hAnsi="Arial" w:cs="Arial"/>
          <w:lang w:val="en-US"/>
        </w:rPr>
        <w:t>1991 (3) SA 98 (C) at 111 B-I</w:t>
      </w:r>
      <w:r w:rsidR="003D2C50" w:rsidRPr="00763EED">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74228"/>
      <w:docPartObj>
        <w:docPartGallery w:val="Page Numbers (Top of Page)"/>
        <w:docPartUnique/>
      </w:docPartObj>
    </w:sdtPr>
    <w:sdtEndPr>
      <w:rPr>
        <w:rFonts w:ascii="Arial Narrow" w:hAnsi="Arial Narrow"/>
        <w:noProof/>
      </w:rPr>
    </w:sdtEndPr>
    <w:sdtContent>
      <w:p w:rsidR="00921456" w:rsidRPr="00921456" w:rsidRDefault="00921456">
        <w:pPr>
          <w:pStyle w:val="Header"/>
          <w:jc w:val="right"/>
          <w:rPr>
            <w:rFonts w:ascii="Arial Narrow" w:hAnsi="Arial Narrow"/>
          </w:rPr>
        </w:pPr>
        <w:r w:rsidRPr="00921456">
          <w:rPr>
            <w:rFonts w:ascii="Arial Narrow" w:hAnsi="Arial Narrow"/>
          </w:rPr>
          <w:fldChar w:fldCharType="begin"/>
        </w:r>
        <w:r w:rsidRPr="00921456">
          <w:rPr>
            <w:rFonts w:ascii="Arial Narrow" w:hAnsi="Arial Narrow"/>
          </w:rPr>
          <w:instrText xml:space="preserve"> PAGE   \* MERGEFORMAT </w:instrText>
        </w:r>
        <w:r w:rsidRPr="00921456">
          <w:rPr>
            <w:rFonts w:ascii="Arial Narrow" w:hAnsi="Arial Narrow"/>
          </w:rPr>
          <w:fldChar w:fldCharType="separate"/>
        </w:r>
        <w:r w:rsidR="00763EED">
          <w:rPr>
            <w:rFonts w:ascii="Arial Narrow" w:hAnsi="Arial Narrow"/>
            <w:noProof/>
          </w:rPr>
          <w:t>8</w:t>
        </w:r>
        <w:r w:rsidRPr="00921456">
          <w:rPr>
            <w:rFonts w:ascii="Arial Narrow" w:hAnsi="Arial Narrow"/>
            <w:noProof/>
          </w:rPr>
          <w:fldChar w:fldCharType="end"/>
        </w:r>
      </w:p>
    </w:sdtContent>
  </w:sdt>
  <w:p w:rsidR="00921456"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5B83B86"/>
    <w:lvl w:ilvl="0">
      <w:start w:val="1"/>
      <w:numFmt w:val="decimal"/>
      <w:pStyle w:val="Heading1"/>
      <w:lvlText w:val="[%1]"/>
      <w:lvlJc w:val="left"/>
      <w:pPr>
        <w:tabs>
          <w:tab w:val="num" w:pos="73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15:restartNumberingAfterBreak="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0574A"/>
    <w:multiLevelType w:val="multilevel"/>
    <w:tmpl w:val="FA3C886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353A4036"/>
    <w:multiLevelType w:val="hybridMultilevel"/>
    <w:tmpl w:val="4E2C81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7FE4B0E"/>
    <w:multiLevelType w:val="hybridMultilevel"/>
    <w:tmpl w:val="1C44DE6A"/>
    <w:lvl w:ilvl="0" w:tplc="2DF2EE6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48C02EB"/>
    <w:multiLevelType w:val="hybridMultilevel"/>
    <w:tmpl w:val="80A0FD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D846B1"/>
    <w:multiLevelType w:val="hybridMultilevel"/>
    <w:tmpl w:val="8EACFECE"/>
    <w:lvl w:ilvl="0" w:tplc="87C88C4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
  </w:num>
  <w:num w:numId="3">
    <w:abstractNumId w:val="2"/>
  </w:num>
  <w:num w:numId="4">
    <w:abstractNumId w:val="8"/>
  </w:num>
  <w:num w:numId="5">
    <w:abstractNumId w:val="7"/>
  </w:num>
  <w:num w:numId="6">
    <w:abstractNumId w:val="5"/>
  </w:num>
  <w:num w:numId="7">
    <w:abstractNumId w:val="10"/>
  </w:num>
  <w:num w:numId="8">
    <w:abstractNumId w:val="6"/>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53"/>
    <w:rsid w:val="00004E1C"/>
    <w:rsid w:val="0001446E"/>
    <w:rsid w:val="000151DD"/>
    <w:rsid w:val="00025639"/>
    <w:rsid w:val="000424AD"/>
    <w:rsid w:val="00046770"/>
    <w:rsid w:val="000736B6"/>
    <w:rsid w:val="000A193C"/>
    <w:rsid w:val="000B2A0C"/>
    <w:rsid w:val="000B2FEC"/>
    <w:rsid w:val="000C61B9"/>
    <w:rsid w:val="000C665C"/>
    <w:rsid w:val="000D4D37"/>
    <w:rsid w:val="0010178E"/>
    <w:rsid w:val="00110D9A"/>
    <w:rsid w:val="0013278F"/>
    <w:rsid w:val="00137D18"/>
    <w:rsid w:val="0014516C"/>
    <w:rsid w:val="00154350"/>
    <w:rsid w:val="001704E1"/>
    <w:rsid w:val="001779B3"/>
    <w:rsid w:val="001844BF"/>
    <w:rsid w:val="001A5C0F"/>
    <w:rsid w:val="001B27F4"/>
    <w:rsid w:val="001C016D"/>
    <w:rsid w:val="001D2A5E"/>
    <w:rsid w:val="001D51E3"/>
    <w:rsid w:val="001E704F"/>
    <w:rsid w:val="00210099"/>
    <w:rsid w:val="002120B7"/>
    <w:rsid w:val="0021222B"/>
    <w:rsid w:val="002158A2"/>
    <w:rsid w:val="00222BB5"/>
    <w:rsid w:val="00225D4A"/>
    <w:rsid w:val="00236038"/>
    <w:rsid w:val="00241358"/>
    <w:rsid w:val="00287260"/>
    <w:rsid w:val="00297DDA"/>
    <w:rsid w:val="002D0858"/>
    <w:rsid w:val="002D269C"/>
    <w:rsid w:val="002D5299"/>
    <w:rsid w:val="002D6C03"/>
    <w:rsid w:val="002E66C4"/>
    <w:rsid w:val="002E779F"/>
    <w:rsid w:val="00324AA6"/>
    <w:rsid w:val="00333FE2"/>
    <w:rsid w:val="0034027A"/>
    <w:rsid w:val="00341784"/>
    <w:rsid w:val="0037347C"/>
    <w:rsid w:val="003A1812"/>
    <w:rsid w:val="003B0C0D"/>
    <w:rsid w:val="003D2C50"/>
    <w:rsid w:val="003D5992"/>
    <w:rsid w:val="003E72DC"/>
    <w:rsid w:val="004144C1"/>
    <w:rsid w:val="00415ECC"/>
    <w:rsid w:val="004223CE"/>
    <w:rsid w:val="00425504"/>
    <w:rsid w:val="00434726"/>
    <w:rsid w:val="00451B47"/>
    <w:rsid w:val="00477431"/>
    <w:rsid w:val="00485708"/>
    <w:rsid w:val="004871A9"/>
    <w:rsid w:val="00491EAE"/>
    <w:rsid w:val="004B2FE6"/>
    <w:rsid w:val="004C0859"/>
    <w:rsid w:val="00505F77"/>
    <w:rsid w:val="005216C7"/>
    <w:rsid w:val="00526AE0"/>
    <w:rsid w:val="00545657"/>
    <w:rsid w:val="005508CE"/>
    <w:rsid w:val="005A2AAF"/>
    <w:rsid w:val="005A6186"/>
    <w:rsid w:val="005B6AF5"/>
    <w:rsid w:val="005C7CE9"/>
    <w:rsid w:val="00610D63"/>
    <w:rsid w:val="00615C9E"/>
    <w:rsid w:val="00616F75"/>
    <w:rsid w:val="00623D17"/>
    <w:rsid w:val="00635F3C"/>
    <w:rsid w:val="006541D3"/>
    <w:rsid w:val="0068252C"/>
    <w:rsid w:val="00696D63"/>
    <w:rsid w:val="006A70AE"/>
    <w:rsid w:val="006B1FAF"/>
    <w:rsid w:val="006E333C"/>
    <w:rsid w:val="006F0D59"/>
    <w:rsid w:val="006F4187"/>
    <w:rsid w:val="006F46F0"/>
    <w:rsid w:val="0070040A"/>
    <w:rsid w:val="00702353"/>
    <w:rsid w:val="0071150C"/>
    <w:rsid w:val="00732ACD"/>
    <w:rsid w:val="00747D74"/>
    <w:rsid w:val="00763EED"/>
    <w:rsid w:val="00766BCC"/>
    <w:rsid w:val="007769C4"/>
    <w:rsid w:val="0078556A"/>
    <w:rsid w:val="00786210"/>
    <w:rsid w:val="007869DA"/>
    <w:rsid w:val="007A1297"/>
    <w:rsid w:val="007C332D"/>
    <w:rsid w:val="007C3A10"/>
    <w:rsid w:val="007D16A2"/>
    <w:rsid w:val="007E02B3"/>
    <w:rsid w:val="007E07B7"/>
    <w:rsid w:val="0080430F"/>
    <w:rsid w:val="008305AC"/>
    <w:rsid w:val="0083558F"/>
    <w:rsid w:val="00844048"/>
    <w:rsid w:val="008606C6"/>
    <w:rsid w:val="00860CCB"/>
    <w:rsid w:val="00860DD8"/>
    <w:rsid w:val="00892829"/>
    <w:rsid w:val="008967AD"/>
    <w:rsid w:val="008A0762"/>
    <w:rsid w:val="008A08AC"/>
    <w:rsid w:val="008A538A"/>
    <w:rsid w:val="008B3CED"/>
    <w:rsid w:val="008B5105"/>
    <w:rsid w:val="008D19DA"/>
    <w:rsid w:val="008E45D1"/>
    <w:rsid w:val="008F25A9"/>
    <w:rsid w:val="00903018"/>
    <w:rsid w:val="0091718C"/>
    <w:rsid w:val="00921456"/>
    <w:rsid w:val="009263CF"/>
    <w:rsid w:val="00955D5B"/>
    <w:rsid w:val="00985AEF"/>
    <w:rsid w:val="009A0698"/>
    <w:rsid w:val="009A546A"/>
    <w:rsid w:val="009B4064"/>
    <w:rsid w:val="009C2E53"/>
    <w:rsid w:val="009E2E4C"/>
    <w:rsid w:val="009E5A4E"/>
    <w:rsid w:val="009F5E08"/>
    <w:rsid w:val="00A1092D"/>
    <w:rsid w:val="00A11253"/>
    <w:rsid w:val="00A21FEC"/>
    <w:rsid w:val="00A23D7A"/>
    <w:rsid w:val="00A3153D"/>
    <w:rsid w:val="00A323D3"/>
    <w:rsid w:val="00A4043F"/>
    <w:rsid w:val="00A425A3"/>
    <w:rsid w:val="00A6384C"/>
    <w:rsid w:val="00A64F72"/>
    <w:rsid w:val="00A87B0D"/>
    <w:rsid w:val="00A91A42"/>
    <w:rsid w:val="00AA03CE"/>
    <w:rsid w:val="00AA2426"/>
    <w:rsid w:val="00AA5692"/>
    <w:rsid w:val="00AA71CE"/>
    <w:rsid w:val="00AD0B95"/>
    <w:rsid w:val="00AD7322"/>
    <w:rsid w:val="00AE74DE"/>
    <w:rsid w:val="00AF5CB7"/>
    <w:rsid w:val="00B02BBA"/>
    <w:rsid w:val="00B054C7"/>
    <w:rsid w:val="00B150A5"/>
    <w:rsid w:val="00B15644"/>
    <w:rsid w:val="00B1705C"/>
    <w:rsid w:val="00B34271"/>
    <w:rsid w:val="00B477A7"/>
    <w:rsid w:val="00B51EC6"/>
    <w:rsid w:val="00B72EF0"/>
    <w:rsid w:val="00B83D2B"/>
    <w:rsid w:val="00B86B6C"/>
    <w:rsid w:val="00B9293D"/>
    <w:rsid w:val="00B977BB"/>
    <w:rsid w:val="00BA0064"/>
    <w:rsid w:val="00BA30AF"/>
    <w:rsid w:val="00BA589D"/>
    <w:rsid w:val="00BB389F"/>
    <w:rsid w:val="00BB4C55"/>
    <w:rsid w:val="00BD1D47"/>
    <w:rsid w:val="00BE2D9E"/>
    <w:rsid w:val="00BE4D00"/>
    <w:rsid w:val="00BE51C3"/>
    <w:rsid w:val="00BF01F9"/>
    <w:rsid w:val="00C04427"/>
    <w:rsid w:val="00C110A8"/>
    <w:rsid w:val="00C219DD"/>
    <w:rsid w:val="00C5296F"/>
    <w:rsid w:val="00C82668"/>
    <w:rsid w:val="00C9626D"/>
    <w:rsid w:val="00CA718B"/>
    <w:rsid w:val="00CB18E2"/>
    <w:rsid w:val="00CC1C2A"/>
    <w:rsid w:val="00CE7562"/>
    <w:rsid w:val="00CF2C83"/>
    <w:rsid w:val="00D20765"/>
    <w:rsid w:val="00D27B89"/>
    <w:rsid w:val="00D40C34"/>
    <w:rsid w:val="00D824EC"/>
    <w:rsid w:val="00D9033A"/>
    <w:rsid w:val="00D9575E"/>
    <w:rsid w:val="00DB74B4"/>
    <w:rsid w:val="00DD344A"/>
    <w:rsid w:val="00DF1513"/>
    <w:rsid w:val="00E51483"/>
    <w:rsid w:val="00E6536C"/>
    <w:rsid w:val="00E65ECF"/>
    <w:rsid w:val="00E81E4F"/>
    <w:rsid w:val="00E84B17"/>
    <w:rsid w:val="00EA38E7"/>
    <w:rsid w:val="00EE6EEE"/>
    <w:rsid w:val="00EF5666"/>
    <w:rsid w:val="00EF706E"/>
    <w:rsid w:val="00F275ED"/>
    <w:rsid w:val="00F359A1"/>
    <w:rsid w:val="00F5745F"/>
    <w:rsid w:val="00F7230F"/>
    <w:rsid w:val="00F771BA"/>
    <w:rsid w:val="00FC28F3"/>
    <w:rsid w:val="00FF0593"/>
    <w:rsid w:val="00FF162B"/>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3881E-8575-46A1-88B8-27EAC63B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53"/>
  </w:style>
  <w:style w:type="paragraph" w:styleId="Heading1">
    <w:name w:val="heading 1"/>
    <w:basedOn w:val="Normal"/>
    <w:next w:val="Normal"/>
    <w:link w:val="Heading1Char"/>
    <w:qFormat/>
    <w:rsid w:val="005A2AAF"/>
    <w:pPr>
      <w:widowControl w:val="0"/>
      <w:numPr>
        <w:numId w:val="11"/>
      </w:numPr>
      <w:spacing w:after="0" w:line="360" w:lineRule="auto"/>
      <w:jc w:val="both"/>
      <w:outlineLvl w:val="0"/>
    </w:pPr>
    <w:rPr>
      <w:rFonts w:eastAsia="Times New Roman"/>
      <w:spacing w:val="-3"/>
      <w:lang w:val="en-GB"/>
    </w:rPr>
  </w:style>
  <w:style w:type="paragraph" w:styleId="Heading3">
    <w:name w:val="heading 3"/>
    <w:basedOn w:val="Normal"/>
    <w:next w:val="Normal"/>
    <w:link w:val="Heading3Char"/>
    <w:qFormat/>
    <w:rsid w:val="005A2AAF"/>
    <w:pPr>
      <w:widowControl w:val="0"/>
      <w:numPr>
        <w:ilvl w:val="2"/>
        <w:numId w:val="11"/>
      </w:numPr>
      <w:tabs>
        <w:tab w:val="left" w:pos="2552"/>
      </w:tabs>
      <w:spacing w:after="0" w:line="360" w:lineRule="auto"/>
      <w:jc w:val="both"/>
      <w:outlineLvl w:val="2"/>
    </w:pPr>
    <w:rPr>
      <w:rFonts w:eastAsia="Times New Roman"/>
      <w:spacing w:val="-3"/>
      <w:lang w:val="en-GB"/>
    </w:rPr>
  </w:style>
  <w:style w:type="paragraph" w:styleId="Heading4">
    <w:name w:val="heading 4"/>
    <w:basedOn w:val="Normal"/>
    <w:next w:val="Normal"/>
    <w:link w:val="Heading4Char"/>
    <w:qFormat/>
    <w:rsid w:val="005A2AAF"/>
    <w:pPr>
      <w:widowControl w:val="0"/>
      <w:numPr>
        <w:ilvl w:val="3"/>
        <w:numId w:val="11"/>
      </w:numPr>
      <w:tabs>
        <w:tab w:val="left" w:pos="3686"/>
      </w:tabs>
      <w:spacing w:after="0" w:line="360" w:lineRule="auto"/>
      <w:jc w:val="both"/>
      <w:outlineLvl w:val="3"/>
    </w:pPr>
    <w:rPr>
      <w:rFonts w:eastAsia="Times New Roman"/>
      <w:spacing w:val="-3"/>
      <w:lang w:val="en-GB"/>
    </w:rPr>
  </w:style>
  <w:style w:type="paragraph" w:styleId="Heading5">
    <w:name w:val="heading 5"/>
    <w:basedOn w:val="Normal"/>
    <w:next w:val="Normal"/>
    <w:link w:val="Heading5Char"/>
    <w:qFormat/>
    <w:rsid w:val="005A2AAF"/>
    <w:pPr>
      <w:widowControl w:val="0"/>
      <w:numPr>
        <w:ilvl w:val="4"/>
        <w:numId w:val="11"/>
      </w:numPr>
      <w:spacing w:after="0" w:line="360" w:lineRule="auto"/>
      <w:jc w:val="both"/>
      <w:outlineLvl w:val="4"/>
    </w:pPr>
    <w:rPr>
      <w:rFonts w:eastAsia="Times New Roman"/>
      <w:spacing w:val="-3"/>
      <w:lang w:val="en-GB"/>
    </w:rPr>
  </w:style>
  <w:style w:type="paragraph" w:styleId="Heading6">
    <w:name w:val="heading 6"/>
    <w:basedOn w:val="Normal"/>
    <w:next w:val="Normal"/>
    <w:link w:val="Heading6Char"/>
    <w:qFormat/>
    <w:rsid w:val="005A2AAF"/>
    <w:pPr>
      <w:widowControl w:val="0"/>
      <w:numPr>
        <w:ilvl w:val="5"/>
        <w:numId w:val="11"/>
      </w:numPr>
      <w:spacing w:after="0" w:line="360" w:lineRule="auto"/>
      <w:jc w:val="both"/>
      <w:outlineLvl w:val="5"/>
    </w:pPr>
    <w:rPr>
      <w:rFonts w:eastAsia="Times New Roman"/>
      <w:i/>
      <w:spacing w:val="-3"/>
      <w:sz w:val="22"/>
      <w:lang w:val="en-GB"/>
    </w:rPr>
  </w:style>
  <w:style w:type="paragraph" w:styleId="Heading7">
    <w:name w:val="heading 7"/>
    <w:basedOn w:val="Normal"/>
    <w:next w:val="Normal"/>
    <w:link w:val="Heading7Char"/>
    <w:qFormat/>
    <w:rsid w:val="005A2AAF"/>
    <w:pPr>
      <w:widowControl w:val="0"/>
      <w:numPr>
        <w:ilvl w:val="6"/>
        <w:numId w:val="11"/>
      </w:numPr>
      <w:spacing w:after="0" w:line="360" w:lineRule="auto"/>
      <w:jc w:val="both"/>
      <w:outlineLvl w:val="6"/>
    </w:pPr>
    <w:rPr>
      <w:rFonts w:eastAsia="Times New Roman"/>
      <w:spacing w:val="-3"/>
      <w:lang w:val="en-GB"/>
    </w:rPr>
  </w:style>
  <w:style w:type="paragraph" w:styleId="Heading8">
    <w:name w:val="heading 8"/>
    <w:basedOn w:val="Normal"/>
    <w:next w:val="Normal"/>
    <w:link w:val="Heading8Char"/>
    <w:qFormat/>
    <w:rsid w:val="005A2AAF"/>
    <w:pPr>
      <w:widowControl w:val="0"/>
      <w:numPr>
        <w:ilvl w:val="7"/>
        <w:numId w:val="11"/>
      </w:numPr>
      <w:spacing w:after="0" w:line="360" w:lineRule="auto"/>
      <w:jc w:val="both"/>
      <w:outlineLvl w:val="7"/>
    </w:pPr>
    <w:rPr>
      <w:rFonts w:eastAsia="Times New Roman"/>
      <w:i/>
      <w:spacing w:val="-3"/>
      <w:lang w:val="en-GB"/>
    </w:rPr>
  </w:style>
  <w:style w:type="paragraph" w:styleId="Heading9">
    <w:name w:val="heading 9"/>
    <w:basedOn w:val="Normal"/>
    <w:next w:val="Normal"/>
    <w:link w:val="Heading9Char"/>
    <w:qFormat/>
    <w:rsid w:val="005A2AAF"/>
    <w:pPr>
      <w:widowControl w:val="0"/>
      <w:numPr>
        <w:ilvl w:val="8"/>
        <w:numId w:val="11"/>
      </w:numPr>
      <w:spacing w:after="0" w:line="360" w:lineRule="auto"/>
      <w:jc w:val="both"/>
      <w:outlineLvl w:val="8"/>
    </w:pPr>
    <w:rPr>
      <w:rFonts w:eastAsia="Times New Roman"/>
      <w:i/>
      <w:spacing w:val="-3"/>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basedOn w:val="Normal"/>
    <w:link w:val="FootnoteTextChar"/>
    <w:unhideWhenUsed/>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rsid w:val="009C2E53"/>
    <w:rPr>
      <w:rFonts w:asciiTheme="minorHAnsi" w:hAnsiTheme="minorHAnsi" w:cstheme="minorBidi"/>
      <w:sz w:val="20"/>
      <w:szCs w:val="20"/>
      <w:lang w:val="en-GB"/>
    </w:rPr>
  </w:style>
  <w:style w:type="character" w:styleId="FootnoteReference">
    <w:name w:val="footnote reference"/>
    <w:basedOn w:val="DefaultParagraphFont"/>
    <w:unhideWhenUsed/>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character" w:customStyle="1" w:styleId="Heading1Char">
    <w:name w:val="Heading 1 Char"/>
    <w:basedOn w:val="DefaultParagraphFont"/>
    <w:link w:val="Heading1"/>
    <w:rsid w:val="005A2AAF"/>
    <w:rPr>
      <w:rFonts w:eastAsia="Times New Roman"/>
      <w:spacing w:val="-3"/>
      <w:lang w:val="en-GB"/>
    </w:rPr>
  </w:style>
  <w:style w:type="character" w:customStyle="1" w:styleId="Heading3Char">
    <w:name w:val="Heading 3 Char"/>
    <w:basedOn w:val="DefaultParagraphFont"/>
    <w:link w:val="Heading3"/>
    <w:rsid w:val="005A2AAF"/>
    <w:rPr>
      <w:rFonts w:eastAsia="Times New Roman"/>
      <w:spacing w:val="-3"/>
      <w:lang w:val="en-GB"/>
    </w:rPr>
  </w:style>
  <w:style w:type="character" w:customStyle="1" w:styleId="Heading4Char">
    <w:name w:val="Heading 4 Char"/>
    <w:basedOn w:val="DefaultParagraphFont"/>
    <w:link w:val="Heading4"/>
    <w:rsid w:val="005A2AAF"/>
    <w:rPr>
      <w:rFonts w:eastAsia="Times New Roman"/>
      <w:spacing w:val="-3"/>
      <w:lang w:val="en-GB"/>
    </w:rPr>
  </w:style>
  <w:style w:type="character" w:customStyle="1" w:styleId="Heading5Char">
    <w:name w:val="Heading 5 Char"/>
    <w:basedOn w:val="DefaultParagraphFont"/>
    <w:link w:val="Heading5"/>
    <w:rsid w:val="005A2AAF"/>
    <w:rPr>
      <w:rFonts w:eastAsia="Times New Roman"/>
      <w:spacing w:val="-3"/>
      <w:lang w:val="en-GB"/>
    </w:rPr>
  </w:style>
  <w:style w:type="character" w:customStyle="1" w:styleId="Heading6Char">
    <w:name w:val="Heading 6 Char"/>
    <w:basedOn w:val="DefaultParagraphFont"/>
    <w:link w:val="Heading6"/>
    <w:rsid w:val="005A2AAF"/>
    <w:rPr>
      <w:rFonts w:eastAsia="Times New Roman"/>
      <w:i/>
      <w:spacing w:val="-3"/>
      <w:sz w:val="22"/>
      <w:lang w:val="en-GB"/>
    </w:rPr>
  </w:style>
  <w:style w:type="character" w:customStyle="1" w:styleId="Heading7Char">
    <w:name w:val="Heading 7 Char"/>
    <w:basedOn w:val="DefaultParagraphFont"/>
    <w:link w:val="Heading7"/>
    <w:rsid w:val="005A2AAF"/>
    <w:rPr>
      <w:rFonts w:eastAsia="Times New Roman"/>
      <w:spacing w:val="-3"/>
      <w:lang w:val="en-GB"/>
    </w:rPr>
  </w:style>
  <w:style w:type="character" w:customStyle="1" w:styleId="Heading8Char">
    <w:name w:val="Heading 8 Char"/>
    <w:basedOn w:val="DefaultParagraphFont"/>
    <w:link w:val="Heading8"/>
    <w:rsid w:val="005A2AAF"/>
    <w:rPr>
      <w:rFonts w:eastAsia="Times New Roman"/>
      <w:i/>
      <w:spacing w:val="-3"/>
      <w:lang w:val="en-GB"/>
    </w:rPr>
  </w:style>
  <w:style w:type="character" w:customStyle="1" w:styleId="Heading9Char">
    <w:name w:val="Heading 9 Char"/>
    <w:basedOn w:val="DefaultParagraphFont"/>
    <w:link w:val="Heading9"/>
    <w:rsid w:val="005A2AAF"/>
    <w:rPr>
      <w:rFonts w:eastAsia="Times New Roman"/>
      <w:i/>
      <w:spacing w:val="-3"/>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2020-11-25T18:30:00+00:00</Judgment_x0020_Date>
    <Year xmlns="c1afb1bd-f2fb-40fd-9abb-aea55b4d7662">2020</Year>
  </documentManagement>
</p:properties>
</file>

<file path=customXml/itemProps1.xml><?xml version="1.0" encoding="utf-8"?>
<ds:datastoreItem xmlns:ds="http://schemas.openxmlformats.org/officeDocument/2006/customXml" ds:itemID="{C5341E80-F989-47F6-A089-DF7BB1B72FB2}"/>
</file>

<file path=customXml/itemProps2.xml><?xml version="1.0" encoding="utf-8"?>
<ds:datastoreItem xmlns:ds="http://schemas.openxmlformats.org/officeDocument/2006/customXml" ds:itemID="{7C937B0F-2CF4-43A2-BAFF-77C89AAF2993}"/>
</file>

<file path=customXml/itemProps3.xml><?xml version="1.0" encoding="utf-8"?>
<ds:datastoreItem xmlns:ds="http://schemas.openxmlformats.org/officeDocument/2006/customXml" ds:itemID="{55ABEF71-5678-46CB-81E3-B2DC7BA20672}"/>
</file>

<file path=customXml/itemProps4.xml><?xml version="1.0" encoding="utf-8"?>
<ds:datastoreItem xmlns:ds="http://schemas.openxmlformats.org/officeDocument/2006/customXml" ds:itemID="{71AD501E-0948-47CC-A117-FF1F004978EE}"/>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Khoe-Aub v Aljo Investments CC (HC-MD-CIV-ACT-DEL-2018-04550) [2020] NAHCMD 546 (26 November 2020)</dc:title>
  <dc:subject/>
  <dc:creator>Prinsloo Hannelie</dc:creator>
  <cp:keywords/>
  <dc:description/>
  <cp:lastModifiedBy>Administrator</cp:lastModifiedBy>
  <cp:revision>2</cp:revision>
  <cp:lastPrinted>2019-08-06T15:01:00Z</cp:lastPrinted>
  <dcterms:created xsi:type="dcterms:W3CDTF">2020-12-09T09:03:00Z</dcterms:created>
  <dcterms:modified xsi:type="dcterms:W3CDTF">2020-12-09T09:03:00Z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