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18" w:rsidRPr="008B318E" w:rsidRDefault="008B318E" w:rsidP="008B318E">
      <w:pPr>
        <w:tabs>
          <w:tab w:val="center" w:pos="4513"/>
          <w:tab w:val="left" w:pos="6210"/>
        </w:tabs>
        <w:spacing w:after="0" w:line="360" w:lineRule="auto"/>
        <w:rPr>
          <w:rFonts w:ascii="Arial" w:hAnsi="Arial" w:cs="Arial"/>
          <w:b/>
          <w:sz w:val="24"/>
          <w:szCs w:val="24"/>
        </w:rPr>
      </w:pPr>
      <w:r w:rsidRPr="008B318E">
        <w:rPr>
          <w:rFonts w:ascii="Arial" w:hAnsi="Arial" w:cs="Arial"/>
          <w:b/>
          <w:sz w:val="24"/>
          <w:szCs w:val="24"/>
        </w:rPr>
        <w:tab/>
      </w:r>
      <w:r w:rsidR="009F6718" w:rsidRPr="008B318E">
        <w:rPr>
          <w:rFonts w:ascii="Arial" w:hAnsi="Arial" w:cs="Arial"/>
          <w:b/>
          <w:sz w:val="24"/>
          <w:szCs w:val="24"/>
        </w:rPr>
        <w:t>REPUBLIC OF NAMIBIA</w:t>
      </w:r>
      <w:r w:rsidRPr="008B318E">
        <w:rPr>
          <w:rFonts w:ascii="Arial" w:hAnsi="Arial" w:cs="Arial"/>
          <w:b/>
          <w:sz w:val="24"/>
          <w:szCs w:val="24"/>
        </w:rPr>
        <w:tab/>
      </w:r>
    </w:p>
    <w:p w:rsidR="009F6718" w:rsidRPr="009F6718" w:rsidRDefault="009F6718" w:rsidP="00C73154">
      <w:pPr>
        <w:spacing w:after="0" w:line="360" w:lineRule="auto"/>
        <w:jc w:val="center"/>
        <w:rPr>
          <w:rFonts w:ascii="Arial" w:hAnsi="Arial" w:cs="Arial"/>
          <w:b/>
          <w:sz w:val="28"/>
          <w:szCs w:val="28"/>
        </w:rPr>
      </w:pPr>
      <w:r w:rsidRPr="00652CDE">
        <w:rPr>
          <w:rFonts w:ascii="Arial" w:hAnsi="Arial" w:cs="Arial"/>
          <w:b/>
          <w:noProof/>
          <w:lang w:val="en-US"/>
        </w:rPr>
        <w:drawing>
          <wp:inline distT="0" distB="0" distL="0" distR="0" wp14:anchorId="2F9A6D84" wp14:editId="5268347F">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9F6718" w:rsidRPr="008B318E" w:rsidRDefault="009F6718" w:rsidP="009F6718">
      <w:pPr>
        <w:spacing w:after="0" w:line="360" w:lineRule="auto"/>
        <w:jc w:val="center"/>
        <w:rPr>
          <w:rFonts w:ascii="Arial" w:hAnsi="Arial" w:cs="Arial"/>
          <w:b/>
          <w:sz w:val="24"/>
          <w:szCs w:val="24"/>
        </w:rPr>
      </w:pPr>
      <w:r w:rsidRPr="008B318E">
        <w:rPr>
          <w:rFonts w:ascii="Arial" w:hAnsi="Arial" w:cs="Arial"/>
          <w:b/>
          <w:sz w:val="24"/>
          <w:szCs w:val="24"/>
        </w:rPr>
        <w:t>HIGH COURT OF NAMIBIA, WINDHOEK, MAIN DIVISION</w:t>
      </w:r>
    </w:p>
    <w:p w:rsidR="009F6718" w:rsidRPr="008B318E" w:rsidRDefault="009F6718" w:rsidP="009F6718">
      <w:pPr>
        <w:spacing w:after="0" w:line="360" w:lineRule="auto"/>
        <w:jc w:val="center"/>
        <w:rPr>
          <w:rFonts w:ascii="Arial" w:hAnsi="Arial" w:cs="Arial"/>
          <w:b/>
          <w:sz w:val="24"/>
          <w:szCs w:val="24"/>
        </w:rPr>
      </w:pPr>
    </w:p>
    <w:p w:rsidR="00281FAB" w:rsidRPr="008B318E" w:rsidRDefault="009F6718" w:rsidP="008B318E">
      <w:pPr>
        <w:spacing w:after="0" w:line="360" w:lineRule="auto"/>
        <w:jc w:val="center"/>
        <w:rPr>
          <w:rFonts w:ascii="Arial" w:hAnsi="Arial" w:cs="Arial"/>
          <w:b/>
          <w:sz w:val="24"/>
          <w:szCs w:val="24"/>
        </w:rPr>
      </w:pPr>
      <w:r w:rsidRPr="008B318E">
        <w:rPr>
          <w:rFonts w:ascii="Arial" w:hAnsi="Arial" w:cs="Arial"/>
          <w:b/>
          <w:sz w:val="24"/>
          <w:szCs w:val="24"/>
        </w:rPr>
        <w:t>RULING</w:t>
      </w:r>
      <w:bookmarkStart w:id="0" w:name="_GoBack"/>
      <w:bookmarkEnd w:id="0"/>
    </w:p>
    <w:p w:rsidR="009F6718" w:rsidRPr="00A566DA" w:rsidRDefault="009F6718" w:rsidP="009F6718">
      <w:pPr>
        <w:spacing w:after="0" w:line="360" w:lineRule="auto"/>
        <w:jc w:val="both"/>
        <w:rPr>
          <w:rFonts w:ascii="Arial" w:hAnsi="Arial" w:cs="Arial"/>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A566DA" w:rsidTr="005403D8">
        <w:trPr>
          <w:trHeight w:val="744"/>
        </w:trPr>
        <w:tc>
          <w:tcPr>
            <w:tcW w:w="5397" w:type="dxa"/>
            <w:gridSpan w:val="2"/>
            <w:vMerge w:val="restart"/>
          </w:tcPr>
          <w:p w:rsidR="00C73154" w:rsidRPr="00A566DA" w:rsidRDefault="00C73154" w:rsidP="00EB27A0">
            <w:pPr>
              <w:spacing w:line="360" w:lineRule="auto"/>
              <w:jc w:val="both"/>
              <w:rPr>
                <w:rFonts w:ascii="Arial" w:hAnsi="Arial" w:cs="Arial"/>
                <w:sz w:val="24"/>
                <w:szCs w:val="24"/>
              </w:rPr>
            </w:pPr>
            <w:r w:rsidRPr="00A566DA">
              <w:rPr>
                <w:rFonts w:ascii="Arial" w:hAnsi="Arial" w:cs="Arial"/>
                <w:b/>
                <w:sz w:val="24"/>
                <w:szCs w:val="24"/>
              </w:rPr>
              <w:t>Case Title:</w:t>
            </w:r>
          </w:p>
          <w:p w:rsidR="00C73154" w:rsidRPr="009F6718" w:rsidRDefault="009F6718" w:rsidP="009F6718">
            <w:pPr>
              <w:rPr>
                <w:rFonts w:ascii="Arial" w:hAnsi="Arial" w:cs="Arial"/>
                <w:sz w:val="24"/>
                <w:szCs w:val="24"/>
              </w:rPr>
            </w:pPr>
            <w:r w:rsidRPr="009F6718">
              <w:rPr>
                <w:rFonts w:ascii="Arial" w:hAnsi="Arial" w:cs="Arial"/>
                <w:sz w:val="24"/>
                <w:szCs w:val="24"/>
              </w:rPr>
              <w:t>A</w:t>
            </w:r>
            <w:r>
              <w:rPr>
                <w:rFonts w:ascii="Arial" w:hAnsi="Arial" w:cs="Arial"/>
                <w:sz w:val="24"/>
                <w:szCs w:val="24"/>
              </w:rPr>
              <w:t>m</w:t>
            </w:r>
            <w:r w:rsidRPr="009F6718">
              <w:rPr>
                <w:rFonts w:ascii="Arial" w:hAnsi="Arial" w:cs="Arial"/>
                <w:sz w:val="24"/>
                <w:szCs w:val="24"/>
              </w:rPr>
              <w:t>-C</w:t>
            </w:r>
            <w:r>
              <w:rPr>
                <w:rFonts w:ascii="Arial" w:hAnsi="Arial" w:cs="Arial"/>
                <w:sz w:val="24"/>
                <w:szCs w:val="24"/>
              </w:rPr>
              <w:t>hagas</w:t>
            </w:r>
            <w:r w:rsidRPr="009F6718">
              <w:rPr>
                <w:rFonts w:ascii="Arial" w:hAnsi="Arial" w:cs="Arial"/>
                <w:sz w:val="24"/>
                <w:szCs w:val="24"/>
              </w:rPr>
              <w:t xml:space="preserve"> &amp; G</w:t>
            </w:r>
            <w:r>
              <w:rPr>
                <w:rFonts w:ascii="Arial" w:hAnsi="Arial" w:cs="Arial"/>
                <w:sz w:val="24"/>
                <w:szCs w:val="24"/>
              </w:rPr>
              <w:t>ilhos</w:t>
            </w:r>
            <w:r w:rsidRPr="009F6718">
              <w:rPr>
                <w:rFonts w:ascii="Arial" w:hAnsi="Arial" w:cs="Arial"/>
                <w:sz w:val="24"/>
                <w:szCs w:val="24"/>
              </w:rPr>
              <w:t xml:space="preserve"> L</w:t>
            </w:r>
            <w:r>
              <w:rPr>
                <w:rFonts w:ascii="Arial" w:hAnsi="Arial" w:cs="Arial"/>
                <w:sz w:val="24"/>
                <w:szCs w:val="24"/>
              </w:rPr>
              <w:t xml:space="preserve">DA vs </w:t>
            </w:r>
            <w:r w:rsidRPr="009F6718">
              <w:rPr>
                <w:rFonts w:ascii="Arial" w:hAnsi="Arial" w:cs="Arial"/>
                <w:sz w:val="24"/>
                <w:szCs w:val="24"/>
              </w:rPr>
              <w:t>F</w:t>
            </w:r>
            <w:r>
              <w:rPr>
                <w:rFonts w:ascii="Arial" w:hAnsi="Arial" w:cs="Arial"/>
                <w:sz w:val="24"/>
                <w:szCs w:val="24"/>
              </w:rPr>
              <w:t>eist</w:t>
            </w:r>
            <w:r w:rsidRPr="009F6718">
              <w:rPr>
                <w:rFonts w:ascii="Arial" w:hAnsi="Arial" w:cs="Arial"/>
                <w:sz w:val="24"/>
                <w:szCs w:val="24"/>
              </w:rPr>
              <w:t xml:space="preserve"> I</w:t>
            </w:r>
            <w:r>
              <w:rPr>
                <w:rFonts w:ascii="Arial" w:hAnsi="Arial" w:cs="Arial"/>
                <w:sz w:val="24"/>
                <w:szCs w:val="24"/>
              </w:rPr>
              <w:t>nvestments</w:t>
            </w:r>
            <w:r w:rsidRPr="009F6718">
              <w:rPr>
                <w:rFonts w:ascii="Arial" w:hAnsi="Arial" w:cs="Arial"/>
                <w:sz w:val="24"/>
                <w:szCs w:val="24"/>
              </w:rPr>
              <w:t xml:space="preserve"> N</w:t>
            </w:r>
            <w:r>
              <w:rPr>
                <w:rFonts w:ascii="Arial" w:hAnsi="Arial" w:cs="Arial"/>
                <w:sz w:val="24"/>
                <w:szCs w:val="24"/>
              </w:rPr>
              <w:t>umber</w:t>
            </w:r>
            <w:r w:rsidRPr="009F6718">
              <w:rPr>
                <w:rFonts w:ascii="Arial" w:hAnsi="Arial" w:cs="Arial"/>
                <w:sz w:val="24"/>
                <w:szCs w:val="24"/>
              </w:rPr>
              <w:t xml:space="preserve"> S</w:t>
            </w:r>
            <w:r>
              <w:rPr>
                <w:rFonts w:ascii="Arial" w:hAnsi="Arial" w:cs="Arial"/>
                <w:sz w:val="24"/>
                <w:szCs w:val="24"/>
              </w:rPr>
              <w:t>eventy</w:t>
            </w:r>
            <w:r w:rsidRPr="009F6718">
              <w:rPr>
                <w:rFonts w:ascii="Arial" w:hAnsi="Arial" w:cs="Arial"/>
                <w:sz w:val="24"/>
                <w:szCs w:val="24"/>
              </w:rPr>
              <w:t>-T</w:t>
            </w:r>
            <w:r>
              <w:rPr>
                <w:rFonts w:ascii="Arial" w:hAnsi="Arial" w:cs="Arial"/>
                <w:sz w:val="24"/>
                <w:szCs w:val="24"/>
              </w:rPr>
              <w:t>wo</w:t>
            </w:r>
            <w:r w:rsidRPr="009F6718">
              <w:rPr>
                <w:rFonts w:ascii="Arial" w:hAnsi="Arial" w:cs="Arial"/>
                <w:sz w:val="24"/>
                <w:szCs w:val="24"/>
              </w:rPr>
              <w:t xml:space="preserve"> CC</w:t>
            </w:r>
            <w:r>
              <w:rPr>
                <w:rFonts w:ascii="Arial" w:hAnsi="Arial" w:cs="Arial"/>
                <w:sz w:val="24"/>
                <w:szCs w:val="24"/>
              </w:rPr>
              <w:t xml:space="preserve"> and Another</w:t>
            </w:r>
          </w:p>
        </w:tc>
        <w:tc>
          <w:tcPr>
            <w:tcW w:w="4323" w:type="dxa"/>
          </w:tcPr>
          <w:p w:rsidR="00C73154" w:rsidRPr="00A566DA" w:rsidRDefault="00C73154" w:rsidP="00905A48">
            <w:pPr>
              <w:spacing w:line="360" w:lineRule="auto"/>
              <w:jc w:val="both"/>
              <w:rPr>
                <w:rFonts w:ascii="Arial" w:hAnsi="Arial" w:cs="Arial"/>
                <w:b/>
                <w:sz w:val="24"/>
                <w:szCs w:val="24"/>
              </w:rPr>
            </w:pPr>
            <w:r w:rsidRPr="00A566DA">
              <w:rPr>
                <w:rFonts w:ascii="Arial" w:hAnsi="Arial" w:cs="Arial"/>
                <w:b/>
                <w:sz w:val="24"/>
                <w:szCs w:val="24"/>
              </w:rPr>
              <w:t>Case No:</w:t>
            </w:r>
          </w:p>
          <w:p w:rsidR="00676F46" w:rsidRDefault="009F6718" w:rsidP="00555A59">
            <w:pPr>
              <w:spacing w:line="360" w:lineRule="auto"/>
              <w:jc w:val="both"/>
              <w:rPr>
                <w:rFonts w:ascii="Arial" w:hAnsi="Arial" w:cs="Arial"/>
                <w:sz w:val="24"/>
                <w:szCs w:val="24"/>
              </w:rPr>
            </w:pPr>
            <w:r w:rsidRPr="00EF704A">
              <w:rPr>
                <w:rFonts w:ascii="Arial" w:hAnsi="Arial" w:cs="Arial"/>
                <w:sz w:val="24"/>
                <w:szCs w:val="24"/>
              </w:rPr>
              <w:t>HC-MD-CIV-ACT-CON-2019/04676</w:t>
            </w:r>
          </w:p>
          <w:p w:rsidR="009F6718" w:rsidRPr="00A566DA" w:rsidRDefault="009F6718" w:rsidP="00555A59">
            <w:pPr>
              <w:spacing w:line="360" w:lineRule="auto"/>
              <w:jc w:val="both"/>
              <w:rPr>
                <w:rFonts w:ascii="Arial" w:hAnsi="Arial" w:cs="Arial"/>
                <w:sz w:val="24"/>
                <w:szCs w:val="24"/>
              </w:rPr>
            </w:pPr>
          </w:p>
        </w:tc>
      </w:tr>
      <w:tr w:rsidR="00C73154" w:rsidRPr="00A566DA" w:rsidTr="005403D8">
        <w:trPr>
          <w:trHeight w:val="844"/>
        </w:trPr>
        <w:tc>
          <w:tcPr>
            <w:tcW w:w="5397" w:type="dxa"/>
            <w:gridSpan w:val="2"/>
            <w:vMerge/>
          </w:tcPr>
          <w:p w:rsidR="00C73154" w:rsidRPr="00A566DA" w:rsidRDefault="00C73154" w:rsidP="00EB27A0">
            <w:pPr>
              <w:spacing w:line="360" w:lineRule="auto"/>
              <w:jc w:val="both"/>
              <w:rPr>
                <w:rFonts w:ascii="Arial" w:hAnsi="Arial" w:cs="Arial"/>
                <w:sz w:val="24"/>
                <w:szCs w:val="24"/>
              </w:rPr>
            </w:pPr>
          </w:p>
        </w:tc>
        <w:tc>
          <w:tcPr>
            <w:tcW w:w="4323" w:type="dxa"/>
          </w:tcPr>
          <w:p w:rsidR="00C73154" w:rsidRPr="00A566DA" w:rsidRDefault="00C73154" w:rsidP="00EB27A0">
            <w:pPr>
              <w:spacing w:line="360" w:lineRule="auto"/>
              <w:jc w:val="both"/>
              <w:rPr>
                <w:rFonts w:ascii="Arial" w:hAnsi="Arial" w:cs="Arial"/>
                <w:sz w:val="24"/>
                <w:szCs w:val="24"/>
              </w:rPr>
            </w:pPr>
            <w:r w:rsidRPr="00A566DA">
              <w:rPr>
                <w:rFonts w:ascii="Arial" w:hAnsi="Arial" w:cs="Arial"/>
                <w:b/>
                <w:sz w:val="24"/>
                <w:szCs w:val="24"/>
              </w:rPr>
              <w:t>Division of Court:</w:t>
            </w:r>
          </w:p>
          <w:p w:rsidR="00C73154" w:rsidRPr="00A566DA" w:rsidRDefault="00C73154" w:rsidP="00EB27A0">
            <w:pPr>
              <w:spacing w:line="360" w:lineRule="auto"/>
              <w:jc w:val="both"/>
              <w:rPr>
                <w:rFonts w:ascii="Arial" w:hAnsi="Arial" w:cs="Arial"/>
                <w:sz w:val="24"/>
                <w:szCs w:val="24"/>
              </w:rPr>
            </w:pPr>
            <w:r w:rsidRPr="00A566DA">
              <w:rPr>
                <w:rFonts w:ascii="Arial" w:hAnsi="Arial" w:cs="Arial"/>
                <w:sz w:val="24"/>
                <w:szCs w:val="24"/>
              </w:rPr>
              <w:t>High Court</w:t>
            </w:r>
          </w:p>
        </w:tc>
      </w:tr>
      <w:tr w:rsidR="005403D8" w:rsidRPr="00A566DA" w:rsidTr="005403D8">
        <w:trPr>
          <w:trHeight w:val="645"/>
        </w:trPr>
        <w:tc>
          <w:tcPr>
            <w:tcW w:w="5397" w:type="dxa"/>
            <w:gridSpan w:val="2"/>
            <w:vMerge w:val="restart"/>
          </w:tcPr>
          <w:p w:rsidR="005403D8" w:rsidRPr="00A566DA" w:rsidRDefault="009F6718" w:rsidP="00EB27A0">
            <w:pPr>
              <w:spacing w:line="360" w:lineRule="auto"/>
              <w:jc w:val="both"/>
              <w:rPr>
                <w:rFonts w:ascii="Arial" w:hAnsi="Arial" w:cs="Arial"/>
                <w:b/>
                <w:sz w:val="24"/>
                <w:szCs w:val="24"/>
              </w:rPr>
            </w:pPr>
            <w:r>
              <w:rPr>
                <w:rFonts w:ascii="Arial" w:hAnsi="Arial" w:cs="Arial"/>
                <w:b/>
                <w:sz w:val="24"/>
                <w:szCs w:val="24"/>
              </w:rPr>
              <w:t>Heard B</w:t>
            </w:r>
            <w:r w:rsidR="005403D8" w:rsidRPr="00A566DA">
              <w:rPr>
                <w:rFonts w:ascii="Arial" w:hAnsi="Arial" w:cs="Arial"/>
                <w:b/>
                <w:sz w:val="24"/>
                <w:szCs w:val="24"/>
              </w:rPr>
              <w:t>efore:</w:t>
            </w:r>
          </w:p>
          <w:p w:rsidR="005403D8" w:rsidRPr="00A566DA" w:rsidRDefault="005403D8" w:rsidP="009F6718">
            <w:pPr>
              <w:spacing w:line="360" w:lineRule="auto"/>
              <w:jc w:val="both"/>
              <w:rPr>
                <w:rFonts w:ascii="Arial" w:hAnsi="Arial" w:cs="Arial"/>
                <w:sz w:val="24"/>
                <w:szCs w:val="24"/>
              </w:rPr>
            </w:pPr>
            <w:r w:rsidRPr="00A566DA">
              <w:rPr>
                <w:rFonts w:ascii="Arial" w:hAnsi="Arial" w:cs="Arial"/>
                <w:sz w:val="24"/>
                <w:szCs w:val="24"/>
              </w:rPr>
              <w:t xml:space="preserve">Honourable </w:t>
            </w:r>
            <w:r w:rsidR="006A0DA3" w:rsidRPr="00A566DA">
              <w:rPr>
                <w:rFonts w:ascii="Arial" w:hAnsi="Arial" w:cs="Arial"/>
                <w:sz w:val="24"/>
                <w:szCs w:val="24"/>
              </w:rPr>
              <w:t>Justice</w:t>
            </w:r>
            <w:r w:rsidRPr="00A566DA">
              <w:rPr>
                <w:rFonts w:ascii="Arial" w:hAnsi="Arial" w:cs="Arial"/>
                <w:sz w:val="24"/>
                <w:szCs w:val="24"/>
              </w:rPr>
              <w:t xml:space="preserve"> </w:t>
            </w:r>
            <w:r w:rsidR="009F6718">
              <w:rPr>
                <w:rFonts w:ascii="Arial" w:hAnsi="Arial" w:cs="Arial"/>
                <w:sz w:val="24"/>
                <w:szCs w:val="24"/>
              </w:rPr>
              <w:t>Shafimana Ueitele</w:t>
            </w:r>
          </w:p>
        </w:tc>
        <w:tc>
          <w:tcPr>
            <w:tcW w:w="4323" w:type="dxa"/>
          </w:tcPr>
          <w:p w:rsidR="005403D8" w:rsidRPr="00A566DA" w:rsidRDefault="005403D8" w:rsidP="00EB27A0">
            <w:pPr>
              <w:spacing w:line="360" w:lineRule="auto"/>
              <w:jc w:val="both"/>
              <w:rPr>
                <w:rFonts w:ascii="Arial" w:hAnsi="Arial" w:cs="Arial"/>
                <w:b/>
                <w:sz w:val="24"/>
                <w:szCs w:val="24"/>
              </w:rPr>
            </w:pPr>
            <w:r w:rsidRPr="00A566DA">
              <w:rPr>
                <w:rFonts w:ascii="Arial" w:hAnsi="Arial" w:cs="Arial"/>
                <w:b/>
                <w:sz w:val="24"/>
                <w:szCs w:val="24"/>
              </w:rPr>
              <w:t>D</w:t>
            </w:r>
            <w:r w:rsidR="009F6718">
              <w:rPr>
                <w:rFonts w:ascii="Arial" w:hAnsi="Arial" w:cs="Arial"/>
                <w:b/>
                <w:sz w:val="24"/>
                <w:szCs w:val="24"/>
              </w:rPr>
              <w:t>ate of H</w:t>
            </w:r>
            <w:r w:rsidRPr="00A566DA">
              <w:rPr>
                <w:rFonts w:ascii="Arial" w:hAnsi="Arial" w:cs="Arial"/>
                <w:b/>
                <w:sz w:val="24"/>
                <w:szCs w:val="24"/>
              </w:rPr>
              <w:t>earing:</w:t>
            </w:r>
          </w:p>
          <w:p w:rsidR="005403D8" w:rsidRPr="00A566DA" w:rsidRDefault="009F6718" w:rsidP="008C0AC7">
            <w:pPr>
              <w:spacing w:line="360" w:lineRule="auto"/>
              <w:rPr>
                <w:rFonts w:ascii="Arial" w:hAnsi="Arial" w:cs="Arial"/>
                <w:sz w:val="24"/>
                <w:szCs w:val="24"/>
              </w:rPr>
            </w:pPr>
            <w:r>
              <w:rPr>
                <w:rFonts w:ascii="Arial" w:hAnsi="Arial" w:cs="Arial"/>
                <w:sz w:val="24"/>
                <w:szCs w:val="24"/>
              </w:rPr>
              <w:t>13 October 2020</w:t>
            </w:r>
          </w:p>
        </w:tc>
      </w:tr>
      <w:tr w:rsidR="005403D8" w:rsidRPr="00A566DA" w:rsidTr="00FD38C2">
        <w:trPr>
          <w:trHeight w:val="588"/>
        </w:trPr>
        <w:tc>
          <w:tcPr>
            <w:tcW w:w="5397" w:type="dxa"/>
            <w:gridSpan w:val="2"/>
            <w:vMerge/>
          </w:tcPr>
          <w:p w:rsidR="005403D8" w:rsidRPr="00A566DA" w:rsidRDefault="005403D8" w:rsidP="00EB27A0">
            <w:pPr>
              <w:spacing w:line="360" w:lineRule="auto"/>
              <w:jc w:val="both"/>
              <w:rPr>
                <w:rFonts w:ascii="Arial" w:hAnsi="Arial" w:cs="Arial"/>
                <w:b/>
                <w:sz w:val="24"/>
                <w:szCs w:val="24"/>
              </w:rPr>
            </w:pPr>
          </w:p>
        </w:tc>
        <w:tc>
          <w:tcPr>
            <w:tcW w:w="4323" w:type="dxa"/>
          </w:tcPr>
          <w:p w:rsidR="005403D8" w:rsidRPr="00A566DA" w:rsidRDefault="005403D8" w:rsidP="005403D8">
            <w:pPr>
              <w:spacing w:line="360" w:lineRule="auto"/>
              <w:jc w:val="both"/>
              <w:rPr>
                <w:rFonts w:ascii="Arial" w:hAnsi="Arial" w:cs="Arial"/>
                <w:b/>
                <w:sz w:val="24"/>
                <w:szCs w:val="24"/>
              </w:rPr>
            </w:pPr>
            <w:r w:rsidRPr="00A566DA">
              <w:rPr>
                <w:rFonts w:ascii="Arial" w:hAnsi="Arial" w:cs="Arial"/>
                <w:b/>
                <w:sz w:val="24"/>
                <w:szCs w:val="24"/>
              </w:rPr>
              <w:t>Delivered on:</w:t>
            </w:r>
          </w:p>
          <w:p w:rsidR="005403D8" w:rsidRPr="002462AF" w:rsidRDefault="009F6718" w:rsidP="004756D8">
            <w:pPr>
              <w:spacing w:line="360" w:lineRule="auto"/>
              <w:jc w:val="both"/>
              <w:rPr>
                <w:rFonts w:ascii="Arial" w:hAnsi="Arial" w:cs="Arial"/>
                <w:b/>
                <w:sz w:val="24"/>
                <w:szCs w:val="24"/>
              </w:rPr>
            </w:pPr>
            <w:r w:rsidRPr="002462AF">
              <w:rPr>
                <w:rFonts w:ascii="Arial" w:hAnsi="Arial" w:cs="Arial"/>
                <w:b/>
                <w:sz w:val="24"/>
                <w:szCs w:val="24"/>
              </w:rPr>
              <w:t>10 November 2020</w:t>
            </w:r>
          </w:p>
        </w:tc>
      </w:tr>
      <w:tr w:rsidR="005955B1" w:rsidRPr="00A566DA" w:rsidTr="00EB27A0">
        <w:tc>
          <w:tcPr>
            <w:tcW w:w="9720" w:type="dxa"/>
            <w:gridSpan w:val="3"/>
          </w:tcPr>
          <w:p w:rsidR="00D217B7" w:rsidRPr="00A566DA" w:rsidRDefault="009F6718" w:rsidP="00D217B7">
            <w:pPr>
              <w:rPr>
                <w:rFonts w:ascii="Arial" w:hAnsi="Arial" w:cs="Arial"/>
                <w:sz w:val="24"/>
                <w:szCs w:val="24"/>
              </w:rPr>
            </w:pPr>
            <w:r>
              <w:rPr>
                <w:rFonts w:ascii="Arial" w:hAnsi="Arial" w:cs="Arial"/>
                <w:b/>
                <w:sz w:val="24"/>
                <w:szCs w:val="24"/>
              </w:rPr>
              <w:t>Neutral C</w:t>
            </w:r>
            <w:r w:rsidR="005955B1" w:rsidRPr="00A566DA">
              <w:rPr>
                <w:rFonts w:ascii="Arial" w:hAnsi="Arial" w:cs="Arial"/>
                <w:b/>
                <w:sz w:val="24"/>
                <w:szCs w:val="24"/>
              </w:rPr>
              <w:t xml:space="preserve">itation: </w:t>
            </w:r>
            <w:r w:rsidR="00631027" w:rsidRPr="00A566DA">
              <w:rPr>
                <w:rFonts w:ascii="Arial" w:hAnsi="Arial" w:cs="Arial"/>
                <w:b/>
                <w:sz w:val="24"/>
                <w:szCs w:val="24"/>
              </w:rPr>
              <w:t xml:space="preserve"> </w:t>
            </w:r>
            <w:r>
              <w:rPr>
                <w:rFonts w:ascii="Arial" w:hAnsi="Arial" w:cs="Arial"/>
                <w:i/>
                <w:sz w:val="24"/>
                <w:szCs w:val="24"/>
              </w:rPr>
              <w:t>Am-Chagas &amp; Gilhos Lda v Feist Investments Nu</w:t>
            </w:r>
            <w:r w:rsidR="002462AF">
              <w:rPr>
                <w:rFonts w:ascii="Arial" w:hAnsi="Arial" w:cs="Arial"/>
                <w:i/>
                <w:sz w:val="24"/>
                <w:szCs w:val="24"/>
              </w:rPr>
              <w:t xml:space="preserve">mber Seventy-Two CC </w:t>
            </w:r>
            <w:r w:rsidRPr="009705C0">
              <w:rPr>
                <w:rFonts w:ascii="Arial" w:hAnsi="Arial" w:cs="Arial"/>
                <w:sz w:val="24"/>
                <w:szCs w:val="24"/>
                <w:lang w:val="en-GB"/>
              </w:rPr>
              <w:t>(</w:t>
            </w:r>
            <w:r w:rsidR="002462AF" w:rsidRPr="002462AF">
              <w:rPr>
                <w:rFonts w:ascii="Arial" w:hAnsi="Arial" w:cs="Arial"/>
                <w:sz w:val="24"/>
                <w:szCs w:val="24"/>
                <w:lang w:val="en-GB"/>
              </w:rPr>
              <w:t>HC-MD-CIV-ACT-CON-</w:t>
            </w:r>
            <w:r>
              <w:rPr>
                <w:rFonts w:ascii="Arial" w:hAnsi="Arial" w:cs="Arial"/>
                <w:sz w:val="24"/>
                <w:szCs w:val="24"/>
                <w:lang w:val="en-GB"/>
              </w:rPr>
              <w:t>2019</w:t>
            </w:r>
            <w:r w:rsidR="002462AF">
              <w:rPr>
                <w:rFonts w:ascii="Arial" w:hAnsi="Arial" w:cs="Arial"/>
                <w:sz w:val="24"/>
                <w:szCs w:val="24"/>
                <w:lang w:val="en-GB"/>
              </w:rPr>
              <w:t>/ 04676</w:t>
            </w:r>
            <w:r>
              <w:rPr>
                <w:rFonts w:ascii="Arial" w:hAnsi="Arial" w:cs="Arial"/>
                <w:sz w:val="24"/>
                <w:szCs w:val="24"/>
                <w:lang w:val="en-GB"/>
              </w:rPr>
              <w:t>) [2020</w:t>
            </w:r>
            <w:r w:rsidRPr="009705C0">
              <w:rPr>
                <w:rFonts w:ascii="Arial" w:hAnsi="Arial" w:cs="Arial"/>
                <w:sz w:val="24"/>
                <w:szCs w:val="24"/>
                <w:lang w:val="en-GB"/>
              </w:rPr>
              <w:t xml:space="preserve">] NAHCMD </w:t>
            </w:r>
            <w:r>
              <w:rPr>
                <w:rFonts w:ascii="Arial" w:hAnsi="Arial" w:cs="Arial"/>
                <w:sz w:val="24"/>
                <w:szCs w:val="24"/>
                <w:lang w:val="en-GB"/>
              </w:rPr>
              <w:t>555 (10 November 2020</w:t>
            </w:r>
            <w:r w:rsidRPr="009705C0">
              <w:rPr>
                <w:rFonts w:ascii="Arial" w:hAnsi="Arial" w:cs="Arial"/>
                <w:sz w:val="24"/>
                <w:szCs w:val="24"/>
                <w:lang w:val="en-GB"/>
              </w:rPr>
              <w:t>)</w:t>
            </w:r>
          </w:p>
          <w:p w:rsidR="005955B1" w:rsidRPr="00A566DA" w:rsidRDefault="005955B1" w:rsidP="00D217B7">
            <w:pPr>
              <w:spacing w:line="360" w:lineRule="auto"/>
              <w:jc w:val="both"/>
              <w:rPr>
                <w:rFonts w:ascii="Arial" w:hAnsi="Arial" w:cs="Arial"/>
                <w:b/>
                <w:sz w:val="24"/>
                <w:szCs w:val="24"/>
              </w:rPr>
            </w:pPr>
          </w:p>
        </w:tc>
      </w:tr>
      <w:tr w:rsidR="00281FAB" w:rsidRPr="00A566DA" w:rsidTr="005955B1">
        <w:trPr>
          <w:trHeight w:val="947"/>
        </w:trPr>
        <w:tc>
          <w:tcPr>
            <w:tcW w:w="9720" w:type="dxa"/>
            <w:gridSpan w:val="3"/>
          </w:tcPr>
          <w:p w:rsidR="00281FAB" w:rsidRPr="00A566DA" w:rsidRDefault="00281FAB" w:rsidP="00EB27A0">
            <w:pPr>
              <w:spacing w:line="360" w:lineRule="auto"/>
              <w:jc w:val="both"/>
              <w:rPr>
                <w:rFonts w:ascii="Arial" w:hAnsi="Arial" w:cs="Arial"/>
                <w:b/>
                <w:sz w:val="24"/>
                <w:szCs w:val="24"/>
              </w:rPr>
            </w:pPr>
            <w:r w:rsidRPr="00A566DA">
              <w:rPr>
                <w:rFonts w:ascii="Arial" w:hAnsi="Arial" w:cs="Arial"/>
                <w:b/>
                <w:sz w:val="24"/>
                <w:szCs w:val="24"/>
              </w:rPr>
              <w:t xml:space="preserve">Result on </w:t>
            </w:r>
            <w:r w:rsidR="009F6718">
              <w:rPr>
                <w:rFonts w:ascii="Arial" w:hAnsi="Arial" w:cs="Arial"/>
                <w:b/>
                <w:sz w:val="24"/>
                <w:szCs w:val="24"/>
              </w:rPr>
              <w:t>M</w:t>
            </w:r>
            <w:r w:rsidRPr="00A566DA">
              <w:rPr>
                <w:rFonts w:ascii="Arial" w:hAnsi="Arial" w:cs="Arial"/>
                <w:b/>
                <w:sz w:val="24"/>
                <w:szCs w:val="24"/>
              </w:rPr>
              <w:t>erits:</w:t>
            </w:r>
          </w:p>
          <w:p w:rsidR="00686B3F" w:rsidRPr="00A566DA" w:rsidRDefault="009F6718" w:rsidP="00EB27A0">
            <w:pPr>
              <w:spacing w:line="360" w:lineRule="auto"/>
              <w:jc w:val="both"/>
              <w:rPr>
                <w:rFonts w:ascii="Arial" w:hAnsi="Arial" w:cs="Arial"/>
                <w:sz w:val="24"/>
                <w:szCs w:val="24"/>
              </w:rPr>
            </w:pPr>
            <w:r>
              <w:rPr>
                <w:rFonts w:ascii="Arial" w:hAnsi="Arial" w:cs="Arial"/>
                <w:sz w:val="24"/>
                <w:szCs w:val="24"/>
              </w:rPr>
              <w:t>Condonation grated</w:t>
            </w:r>
            <w:r w:rsidR="00D9285E">
              <w:rPr>
                <w:rFonts w:ascii="Arial" w:hAnsi="Arial" w:cs="Arial"/>
                <w:sz w:val="24"/>
                <w:szCs w:val="24"/>
              </w:rPr>
              <w:t>.</w:t>
            </w:r>
          </w:p>
        </w:tc>
      </w:tr>
      <w:tr w:rsidR="00281FAB" w:rsidRPr="00A566DA" w:rsidTr="00EB27A0">
        <w:tc>
          <w:tcPr>
            <w:tcW w:w="9720" w:type="dxa"/>
            <w:gridSpan w:val="3"/>
          </w:tcPr>
          <w:p w:rsidR="00281FAB" w:rsidRPr="00A566DA" w:rsidRDefault="009F6718" w:rsidP="00EB27A0">
            <w:pPr>
              <w:spacing w:line="360" w:lineRule="auto"/>
              <w:jc w:val="both"/>
              <w:rPr>
                <w:rFonts w:ascii="Arial" w:hAnsi="Arial" w:cs="Arial"/>
                <w:b/>
                <w:sz w:val="24"/>
                <w:szCs w:val="24"/>
              </w:rPr>
            </w:pPr>
            <w:r>
              <w:rPr>
                <w:rFonts w:ascii="Arial" w:hAnsi="Arial" w:cs="Arial"/>
                <w:b/>
                <w:sz w:val="24"/>
                <w:szCs w:val="24"/>
              </w:rPr>
              <w:t>The O</w:t>
            </w:r>
            <w:r w:rsidR="00281FAB" w:rsidRPr="00A566DA">
              <w:rPr>
                <w:rFonts w:ascii="Arial" w:hAnsi="Arial" w:cs="Arial"/>
                <w:b/>
                <w:sz w:val="24"/>
                <w:szCs w:val="24"/>
              </w:rPr>
              <w:t>rder:</w:t>
            </w:r>
          </w:p>
          <w:p w:rsidR="00C73154" w:rsidRPr="00A566DA" w:rsidRDefault="00C73154" w:rsidP="00EB27A0">
            <w:pPr>
              <w:spacing w:line="360" w:lineRule="auto"/>
              <w:jc w:val="both"/>
              <w:rPr>
                <w:rFonts w:ascii="Arial" w:hAnsi="Arial" w:cs="Arial"/>
                <w:sz w:val="16"/>
                <w:szCs w:val="16"/>
              </w:rPr>
            </w:pPr>
          </w:p>
          <w:p w:rsidR="00281FAB" w:rsidRPr="00A566DA" w:rsidRDefault="009F6718" w:rsidP="009F6718">
            <w:pPr>
              <w:spacing w:line="360" w:lineRule="auto"/>
              <w:jc w:val="both"/>
              <w:rPr>
                <w:rFonts w:ascii="Arial" w:hAnsi="Arial" w:cs="Arial"/>
                <w:sz w:val="24"/>
                <w:szCs w:val="24"/>
              </w:rPr>
            </w:pPr>
            <w:r w:rsidRPr="009F6718">
              <w:rPr>
                <w:rFonts w:ascii="Arial" w:hAnsi="Arial" w:cs="Arial"/>
                <w:sz w:val="24"/>
                <w:szCs w:val="24"/>
              </w:rPr>
              <w:t>Having heard SARAFINE PAULUS, on behalf of the Plaintiff and GILROY LEONARD KASPER, on</w:t>
            </w:r>
            <w:r>
              <w:rPr>
                <w:rFonts w:ascii="Arial" w:hAnsi="Arial" w:cs="Arial"/>
                <w:sz w:val="24"/>
                <w:szCs w:val="24"/>
              </w:rPr>
              <w:t xml:space="preserve"> </w:t>
            </w:r>
            <w:r w:rsidRPr="009F6718">
              <w:rPr>
                <w:rFonts w:ascii="Arial" w:hAnsi="Arial" w:cs="Arial"/>
                <w:sz w:val="24"/>
                <w:szCs w:val="24"/>
              </w:rPr>
              <w:t>behalf of the Defendant</w:t>
            </w:r>
            <w:r>
              <w:rPr>
                <w:rFonts w:ascii="Arial" w:hAnsi="Arial" w:cs="Arial"/>
                <w:sz w:val="24"/>
                <w:szCs w:val="24"/>
              </w:rPr>
              <w:t xml:space="preserve">, </w:t>
            </w:r>
            <w:r w:rsidR="00555A59" w:rsidRPr="00A566DA">
              <w:rPr>
                <w:rFonts w:ascii="Arial" w:hAnsi="Arial" w:cs="Arial"/>
                <w:sz w:val="24"/>
                <w:szCs w:val="24"/>
              </w:rPr>
              <w:t>on</w:t>
            </w:r>
            <w:r w:rsidR="00A566DA">
              <w:rPr>
                <w:rFonts w:ascii="Arial" w:hAnsi="Arial" w:cs="Arial"/>
                <w:sz w:val="24"/>
                <w:szCs w:val="24"/>
              </w:rPr>
              <w:t xml:space="preserve"> </w:t>
            </w:r>
            <w:r>
              <w:rPr>
                <w:rFonts w:ascii="Arial" w:hAnsi="Arial" w:cs="Arial"/>
                <w:sz w:val="24"/>
                <w:szCs w:val="24"/>
              </w:rPr>
              <w:t>10</w:t>
            </w:r>
            <w:r w:rsidR="00C93B65" w:rsidRPr="00A566DA">
              <w:rPr>
                <w:rFonts w:ascii="Arial" w:hAnsi="Arial" w:cs="Arial"/>
                <w:sz w:val="24"/>
                <w:szCs w:val="24"/>
              </w:rPr>
              <w:t xml:space="preserve"> </w:t>
            </w:r>
            <w:r w:rsidR="00555A59" w:rsidRPr="00A566DA">
              <w:rPr>
                <w:rFonts w:ascii="Arial" w:hAnsi="Arial" w:cs="Arial"/>
                <w:sz w:val="24"/>
                <w:szCs w:val="24"/>
              </w:rPr>
              <w:t>November 20</w:t>
            </w:r>
            <w:r>
              <w:rPr>
                <w:rFonts w:ascii="Arial" w:hAnsi="Arial" w:cs="Arial"/>
                <w:sz w:val="24"/>
                <w:szCs w:val="24"/>
              </w:rPr>
              <w:t>20</w:t>
            </w:r>
            <w:r w:rsidR="006D2D84" w:rsidRPr="00A566DA">
              <w:rPr>
                <w:rFonts w:ascii="Arial" w:hAnsi="Arial" w:cs="Arial"/>
                <w:sz w:val="24"/>
                <w:szCs w:val="24"/>
              </w:rPr>
              <w:t>:</w:t>
            </w:r>
          </w:p>
          <w:p w:rsidR="00EB27A0" w:rsidRPr="00A566DA" w:rsidRDefault="00EB27A0" w:rsidP="00EB27A0">
            <w:pPr>
              <w:spacing w:line="360" w:lineRule="auto"/>
              <w:jc w:val="both"/>
              <w:rPr>
                <w:rFonts w:ascii="Arial" w:hAnsi="Arial" w:cs="Arial"/>
                <w:sz w:val="16"/>
                <w:szCs w:val="16"/>
              </w:rPr>
            </w:pPr>
          </w:p>
          <w:p w:rsidR="00EB27A0" w:rsidRPr="00A566DA" w:rsidRDefault="00EB27A0" w:rsidP="00EB27A0">
            <w:pPr>
              <w:spacing w:line="360" w:lineRule="auto"/>
              <w:jc w:val="both"/>
              <w:rPr>
                <w:rFonts w:ascii="Arial" w:hAnsi="Arial" w:cs="Arial"/>
                <w:b/>
                <w:sz w:val="24"/>
                <w:szCs w:val="24"/>
              </w:rPr>
            </w:pPr>
            <w:r w:rsidRPr="00A566DA">
              <w:rPr>
                <w:rFonts w:ascii="Arial" w:hAnsi="Arial" w:cs="Arial"/>
                <w:b/>
                <w:sz w:val="24"/>
                <w:szCs w:val="24"/>
              </w:rPr>
              <w:t>IT IS ORDERED THAT:</w:t>
            </w:r>
          </w:p>
          <w:p w:rsidR="006028F7" w:rsidRPr="00A566DA" w:rsidRDefault="006028F7" w:rsidP="00EB27A0">
            <w:pPr>
              <w:spacing w:line="360" w:lineRule="auto"/>
              <w:jc w:val="both"/>
              <w:rPr>
                <w:rFonts w:ascii="Arial" w:hAnsi="Arial" w:cs="Arial"/>
                <w:b/>
                <w:sz w:val="24"/>
                <w:szCs w:val="24"/>
              </w:rPr>
            </w:pPr>
          </w:p>
          <w:p w:rsidR="009F6718" w:rsidRDefault="00A566DA" w:rsidP="009F6718">
            <w:pPr>
              <w:tabs>
                <w:tab w:val="left" w:pos="540"/>
              </w:tabs>
              <w:spacing w:line="360" w:lineRule="auto"/>
              <w:jc w:val="both"/>
              <w:rPr>
                <w:rFonts w:ascii="Arial" w:eastAsia="Times New Roman" w:hAnsi="Arial" w:cs="Arial"/>
                <w:color w:val="000000"/>
                <w:sz w:val="24"/>
                <w:szCs w:val="24"/>
              </w:rPr>
            </w:pPr>
            <w:r>
              <w:rPr>
                <w:rFonts w:ascii="Arial" w:hAnsi="Arial" w:cs="Arial"/>
                <w:sz w:val="24"/>
                <w:szCs w:val="24"/>
              </w:rPr>
              <w:t xml:space="preserve">1. </w:t>
            </w:r>
            <w:r w:rsidR="009F6718">
              <w:rPr>
                <w:rFonts w:ascii="Arial" w:eastAsia="Times New Roman" w:hAnsi="Arial" w:cs="Arial"/>
                <w:color w:val="000000"/>
                <w:sz w:val="24"/>
                <w:szCs w:val="24"/>
              </w:rPr>
              <w:t>The Defendant</w:t>
            </w:r>
            <w:r w:rsidR="009F6718" w:rsidRPr="009E5315">
              <w:rPr>
                <w:rFonts w:ascii="Arial" w:eastAsia="Times New Roman" w:hAnsi="Arial" w:cs="Arial"/>
                <w:color w:val="000000"/>
                <w:sz w:val="24"/>
                <w:szCs w:val="24"/>
              </w:rPr>
              <w:t>s</w:t>
            </w:r>
            <w:r w:rsidR="009F6718">
              <w:rPr>
                <w:rFonts w:ascii="Arial" w:eastAsia="Times New Roman" w:hAnsi="Arial" w:cs="Arial"/>
                <w:color w:val="000000"/>
                <w:sz w:val="24"/>
                <w:szCs w:val="24"/>
              </w:rPr>
              <w:t>’</w:t>
            </w:r>
            <w:r w:rsidR="009F6718" w:rsidRPr="009E5315">
              <w:rPr>
                <w:rFonts w:ascii="Arial" w:eastAsia="Times New Roman" w:hAnsi="Arial" w:cs="Arial"/>
                <w:color w:val="000000"/>
                <w:sz w:val="24"/>
                <w:szCs w:val="24"/>
              </w:rPr>
              <w:t xml:space="preserve"> non-compliance with the Court Order of 25 February 2020 is condoned.</w:t>
            </w:r>
          </w:p>
          <w:p w:rsidR="009F6718" w:rsidRPr="009E5315" w:rsidRDefault="009F6718" w:rsidP="009F6718">
            <w:pPr>
              <w:tabs>
                <w:tab w:val="left" w:pos="540"/>
                <w:tab w:val="left" w:pos="720"/>
              </w:tabs>
              <w:spacing w:line="360" w:lineRule="auto"/>
              <w:jc w:val="both"/>
              <w:rPr>
                <w:rFonts w:ascii="Arial" w:eastAsia="Times New Roman" w:hAnsi="Arial" w:cs="Arial"/>
                <w:color w:val="000000"/>
                <w:sz w:val="24"/>
                <w:szCs w:val="24"/>
              </w:rPr>
            </w:pPr>
          </w:p>
          <w:p w:rsidR="009F6718" w:rsidRDefault="009F6718" w:rsidP="009F6718">
            <w:pPr>
              <w:tabs>
                <w:tab w:val="left" w:pos="54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2. The D</w:t>
            </w:r>
            <w:r w:rsidRPr="009E5315">
              <w:rPr>
                <w:rFonts w:ascii="Arial" w:eastAsia="Times New Roman" w:hAnsi="Arial" w:cs="Arial"/>
                <w:color w:val="000000"/>
                <w:sz w:val="24"/>
                <w:szCs w:val="24"/>
              </w:rPr>
              <w:t>efendant</w:t>
            </w:r>
            <w:r>
              <w:rPr>
                <w:rFonts w:ascii="Arial" w:eastAsia="Times New Roman" w:hAnsi="Arial" w:cs="Arial"/>
                <w:color w:val="000000"/>
                <w:sz w:val="24"/>
                <w:szCs w:val="24"/>
              </w:rPr>
              <w:t>s</w:t>
            </w:r>
            <w:r w:rsidRPr="009E5315">
              <w:rPr>
                <w:rFonts w:ascii="Arial" w:eastAsia="Times New Roman" w:hAnsi="Arial" w:cs="Arial"/>
                <w:color w:val="000000"/>
                <w:sz w:val="24"/>
                <w:szCs w:val="24"/>
              </w:rPr>
              <w:t xml:space="preserve"> must file </w:t>
            </w:r>
            <w:r>
              <w:rPr>
                <w:rFonts w:ascii="Arial" w:eastAsia="Times New Roman" w:hAnsi="Arial" w:cs="Arial"/>
                <w:color w:val="000000"/>
                <w:sz w:val="24"/>
                <w:szCs w:val="24"/>
              </w:rPr>
              <w:t>their</w:t>
            </w:r>
            <w:r w:rsidRPr="009E5315">
              <w:rPr>
                <w:rFonts w:ascii="Arial" w:eastAsia="Times New Roman" w:hAnsi="Arial" w:cs="Arial"/>
                <w:color w:val="000000"/>
                <w:sz w:val="24"/>
                <w:szCs w:val="24"/>
              </w:rPr>
              <w:t xml:space="preserve"> plea and counter</w:t>
            </w:r>
            <w:r>
              <w:rPr>
                <w:rFonts w:ascii="Arial" w:eastAsia="Times New Roman" w:hAnsi="Arial" w:cs="Arial"/>
                <w:color w:val="000000"/>
                <w:sz w:val="24"/>
                <w:szCs w:val="24"/>
              </w:rPr>
              <w:t xml:space="preserve">claim if necessary on or before </w:t>
            </w:r>
            <w:r w:rsidRPr="009E5315">
              <w:rPr>
                <w:rFonts w:ascii="Arial" w:eastAsia="Times New Roman" w:hAnsi="Arial" w:cs="Arial"/>
                <w:bCs/>
                <w:color w:val="000000"/>
                <w:sz w:val="24"/>
                <w:szCs w:val="24"/>
              </w:rPr>
              <w:t>20 November 2020</w:t>
            </w:r>
            <w:r w:rsidRPr="009E5315">
              <w:rPr>
                <w:rFonts w:ascii="Arial" w:eastAsia="Times New Roman" w:hAnsi="Arial" w:cs="Arial"/>
                <w:color w:val="000000"/>
                <w:sz w:val="24"/>
                <w:szCs w:val="24"/>
              </w:rPr>
              <w:t>.</w:t>
            </w:r>
          </w:p>
          <w:p w:rsidR="009F6718" w:rsidRPr="00C54B88" w:rsidRDefault="009F6718" w:rsidP="009F6718">
            <w:pPr>
              <w:tabs>
                <w:tab w:val="left" w:pos="54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3. The P</w:t>
            </w:r>
            <w:r w:rsidRPr="009E5315">
              <w:rPr>
                <w:rFonts w:ascii="Arial" w:eastAsia="Times New Roman" w:hAnsi="Arial" w:cs="Arial"/>
                <w:color w:val="000000"/>
                <w:sz w:val="24"/>
                <w:szCs w:val="24"/>
              </w:rPr>
              <w:t>laintiff must replicate and plead to the counterclaim, if any, on or before</w:t>
            </w:r>
            <w:r>
              <w:rPr>
                <w:rFonts w:ascii="Arial" w:eastAsia="Times New Roman" w:hAnsi="Arial" w:cs="Arial"/>
                <w:color w:val="000000"/>
                <w:sz w:val="24"/>
                <w:szCs w:val="24"/>
              </w:rPr>
              <w:t xml:space="preserve"> </w:t>
            </w:r>
            <w:r w:rsidRPr="009E5315">
              <w:rPr>
                <w:rFonts w:ascii="Arial" w:eastAsia="Times New Roman" w:hAnsi="Arial" w:cs="Arial"/>
                <w:bCs/>
                <w:color w:val="000000"/>
                <w:sz w:val="24"/>
                <w:szCs w:val="24"/>
              </w:rPr>
              <w:t>03 December 2020</w:t>
            </w:r>
            <w:r w:rsidRPr="009E5315">
              <w:rPr>
                <w:rFonts w:ascii="Arial" w:eastAsia="Times New Roman" w:hAnsi="Arial" w:cs="Arial"/>
                <w:b/>
                <w:bCs/>
                <w:color w:val="000000"/>
                <w:sz w:val="24"/>
                <w:szCs w:val="24"/>
              </w:rPr>
              <w:t>.</w:t>
            </w:r>
          </w:p>
          <w:p w:rsidR="009F6718" w:rsidRDefault="009F6718" w:rsidP="009F6718">
            <w:pPr>
              <w:tabs>
                <w:tab w:val="left" w:pos="540"/>
              </w:tabs>
              <w:spacing w:line="360" w:lineRule="auto"/>
              <w:jc w:val="both"/>
              <w:rPr>
                <w:rFonts w:ascii="Arial" w:eastAsia="Times New Roman" w:hAnsi="Arial" w:cs="Arial"/>
                <w:color w:val="000000"/>
                <w:sz w:val="24"/>
                <w:szCs w:val="24"/>
              </w:rPr>
            </w:pPr>
          </w:p>
          <w:p w:rsidR="009F6718" w:rsidRPr="009E5315" w:rsidRDefault="009F6718" w:rsidP="009F6718">
            <w:pPr>
              <w:tabs>
                <w:tab w:val="left" w:pos="54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4. The D</w:t>
            </w:r>
            <w:r w:rsidRPr="009E5315">
              <w:rPr>
                <w:rFonts w:ascii="Arial" w:eastAsia="Times New Roman" w:hAnsi="Arial" w:cs="Arial"/>
                <w:color w:val="000000"/>
                <w:sz w:val="24"/>
                <w:szCs w:val="24"/>
              </w:rPr>
              <w:t>efendants must, if</w:t>
            </w:r>
            <w:r>
              <w:rPr>
                <w:rFonts w:ascii="Arial" w:eastAsia="Times New Roman" w:hAnsi="Arial" w:cs="Arial"/>
                <w:color w:val="000000"/>
                <w:sz w:val="24"/>
                <w:szCs w:val="24"/>
              </w:rPr>
              <w:t xml:space="preserve"> so inclined, replicate to the Plaintiff's plea to the D</w:t>
            </w:r>
            <w:r w:rsidRPr="009E5315">
              <w:rPr>
                <w:rFonts w:ascii="Arial" w:eastAsia="Times New Roman" w:hAnsi="Arial" w:cs="Arial"/>
                <w:color w:val="000000"/>
                <w:sz w:val="24"/>
                <w:szCs w:val="24"/>
              </w:rPr>
              <w:t xml:space="preserve">efendant's counterclaim, if any, on or before </w:t>
            </w:r>
            <w:r w:rsidRPr="009E5315">
              <w:rPr>
                <w:rFonts w:ascii="Arial" w:eastAsia="Times New Roman" w:hAnsi="Arial" w:cs="Arial"/>
                <w:bCs/>
                <w:color w:val="000000"/>
                <w:sz w:val="24"/>
                <w:szCs w:val="24"/>
              </w:rPr>
              <w:t>14 December 2020</w:t>
            </w:r>
            <w:r w:rsidRPr="009E5315">
              <w:rPr>
                <w:rFonts w:ascii="Arial" w:eastAsia="Times New Roman" w:hAnsi="Arial" w:cs="Arial"/>
                <w:b/>
                <w:bCs/>
                <w:color w:val="000000"/>
                <w:sz w:val="24"/>
                <w:szCs w:val="24"/>
              </w:rPr>
              <w:t>.</w:t>
            </w:r>
          </w:p>
          <w:p w:rsidR="009F6718" w:rsidRDefault="009F6718" w:rsidP="009F6718">
            <w:pPr>
              <w:pStyle w:val="ListParagraph"/>
              <w:tabs>
                <w:tab w:val="left" w:pos="540"/>
              </w:tabs>
              <w:ind w:left="0"/>
              <w:rPr>
                <w:rFonts w:ascii="Arial" w:eastAsia="Times New Roman" w:hAnsi="Arial" w:cs="Arial"/>
                <w:color w:val="000000"/>
                <w:sz w:val="24"/>
                <w:szCs w:val="24"/>
              </w:rPr>
            </w:pPr>
          </w:p>
          <w:p w:rsidR="009F6718" w:rsidRDefault="009F6718" w:rsidP="009F6718">
            <w:pPr>
              <w:tabs>
                <w:tab w:val="left" w:pos="54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9E5315">
              <w:rPr>
                <w:rFonts w:ascii="Arial" w:eastAsia="Times New Roman" w:hAnsi="Arial" w:cs="Arial"/>
                <w:color w:val="000000"/>
                <w:sz w:val="24"/>
                <w:szCs w:val="24"/>
              </w:rPr>
              <w:t>The parties must file a joint case</w:t>
            </w:r>
            <w:r>
              <w:rPr>
                <w:rFonts w:ascii="Arial" w:eastAsia="Times New Roman" w:hAnsi="Arial" w:cs="Arial"/>
                <w:color w:val="000000"/>
                <w:sz w:val="24"/>
                <w:szCs w:val="24"/>
              </w:rPr>
              <w:t xml:space="preserve"> management report on or before </w:t>
            </w:r>
            <w:r w:rsidRPr="009E5315">
              <w:rPr>
                <w:rFonts w:ascii="Arial" w:eastAsia="Times New Roman" w:hAnsi="Arial" w:cs="Arial"/>
                <w:bCs/>
                <w:color w:val="000000"/>
                <w:sz w:val="24"/>
                <w:szCs w:val="24"/>
              </w:rPr>
              <w:t>22 January 2021</w:t>
            </w:r>
            <w:r w:rsidRPr="009E5315">
              <w:rPr>
                <w:rFonts w:ascii="Arial" w:eastAsia="Times New Roman" w:hAnsi="Arial" w:cs="Arial"/>
                <w:color w:val="000000"/>
                <w:sz w:val="24"/>
                <w:szCs w:val="24"/>
              </w:rPr>
              <w:t>.</w:t>
            </w:r>
          </w:p>
          <w:p w:rsidR="009F6718" w:rsidRPr="009E5315" w:rsidRDefault="009F6718" w:rsidP="009F6718">
            <w:pPr>
              <w:tabs>
                <w:tab w:val="left" w:pos="540"/>
                <w:tab w:val="left" w:pos="720"/>
              </w:tabs>
              <w:spacing w:line="360" w:lineRule="auto"/>
              <w:jc w:val="both"/>
              <w:rPr>
                <w:rFonts w:ascii="Arial" w:eastAsia="Times New Roman" w:hAnsi="Arial" w:cs="Arial"/>
                <w:color w:val="000000"/>
                <w:sz w:val="24"/>
                <w:szCs w:val="24"/>
              </w:rPr>
            </w:pPr>
          </w:p>
          <w:p w:rsidR="009F6718" w:rsidRDefault="009F6718" w:rsidP="009F6718">
            <w:pPr>
              <w:tabs>
                <w:tab w:val="left" w:pos="540"/>
              </w:tabs>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6. The case is postponed to </w:t>
            </w:r>
            <w:r w:rsidRPr="009E5315">
              <w:rPr>
                <w:rFonts w:ascii="Arial" w:eastAsia="Times New Roman" w:hAnsi="Arial" w:cs="Arial"/>
                <w:bCs/>
                <w:color w:val="000000"/>
                <w:sz w:val="24"/>
                <w:szCs w:val="24"/>
              </w:rPr>
              <w:t>26 January 2021 at 08:30</w:t>
            </w:r>
            <w:r>
              <w:rPr>
                <w:rFonts w:ascii="Arial" w:eastAsia="Times New Roman" w:hAnsi="Arial" w:cs="Arial"/>
                <w:color w:val="000000"/>
                <w:sz w:val="24"/>
                <w:szCs w:val="24"/>
              </w:rPr>
              <w:t xml:space="preserve"> for Case Management Conference H</w:t>
            </w:r>
            <w:r w:rsidRPr="009E5315">
              <w:rPr>
                <w:rFonts w:ascii="Arial" w:eastAsia="Times New Roman" w:hAnsi="Arial" w:cs="Arial"/>
                <w:color w:val="000000"/>
                <w:sz w:val="24"/>
                <w:szCs w:val="24"/>
              </w:rPr>
              <w:t>earing (Reason: Parties to file case management conference report).</w:t>
            </w:r>
          </w:p>
          <w:p w:rsidR="009F6718" w:rsidRPr="009E5315" w:rsidRDefault="009F6718" w:rsidP="009F6718">
            <w:pPr>
              <w:tabs>
                <w:tab w:val="left" w:pos="540"/>
                <w:tab w:val="left" w:pos="720"/>
              </w:tabs>
              <w:spacing w:line="360" w:lineRule="auto"/>
              <w:jc w:val="both"/>
              <w:rPr>
                <w:rFonts w:ascii="Arial" w:eastAsia="Times New Roman" w:hAnsi="Arial" w:cs="Arial"/>
                <w:color w:val="000000"/>
                <w:sz w:val="24"/>
                <w:szCs w:val="24"/>
              </w:rPr>
            </w:pPr>
          </w:p>
          <w:p w:rsidR="004756D8" w:rsidRPr="00A566DA" w:rsidRDefault="009F6718" w:rsidP="00D9285E">
            <w:pPr>
              <w:tabs>
                <w:tab w:val="left" w:pos="540"/>
                <w:tab w:val="left" w:pos="720"/>
              </w:tabs>
              <w:spacing w:line="360" w:lineRule="auto"/>
              <w:jc w:val="both"/>
              <w:rPr>
                <w:rFonts w:ascii="Arial" w:hAnsi="Arial" w:cs="Arial"/>
                <w:sz w:val="24"/>
                <w:szCs w:val="24"/>
              </w:rPr>
            </w:pPr>
            <w:r>
              <w:rPr>
                <w:rFonts w:ascii="Arial" w:eastAsia="Times New Roman" w:hAnsi="Arial" w:cs="Arial"/>
                <w:color w:val="000000"/>
                <w:sz w:val="24"/>
                <w:szCs w:val="24"/>
              </w:rPr>
              <w:t>7. The Defendants must pay the P</w:t>
            </w:r>
            <w:r w:rsidRPr="009E5315">
              <w:rPr>
                <w:rFonts w:ascii="Arial" w:eastAsia="Times New Roman" w:hAnsi="Arial" w:cs="Arial"/>
                <w:color w:val="000000"/>
                <w:sz w:val="24"/>
                <w:szCs w:val="24"/>
              </w:rPr>
              <w:t>laintiff's cost of opposing the application but the costs are limited as contemplated in Rule 32(11).</w:t>
            </w:r>
          </w:p>
          <w:p w:rsidR="00686B3F" w:rsidRPr="00A566DA" w:rsidRDefault="00686B3F" w:rsidP="004756D8">
            <w:pPr>
              <w:spacing w:line="360" w:lineRule="auto"/>
              <w:jc w:val="both"/>
              <w:rPr>
                <w:rFonts w:ascii="Arial" w:hAnsi="Arial" w:cs="Arial"/>
                <w:sz w:val="24"/>
                <w:szCs w:val="24"/>
              </w:rPr>
            </w:pPr>
          </w:p>
        </w:tc>
      </w:tr>
      <w:tr w:rsidR="00281FAB" w:rsidRPr="00A566DA" w:rsidTr="00EB27A0">
        <w:tc>
          <w:tcPr>
            <w:tcW w:w="9720" w:type="dxa"/>
            <w:gridSpan w:val="3"/>
          </w:tcPr>
          <w:p w:rsidR="00281FAB" w:rsidRPr="00A566DA" w:rsidRDefault="00EB27A0" w:rsidP="00864008">
            <w:pPr>
              <w:spacing w:line="360" w:lineRule="auto"/>
              <w:jc w:val="both"/>
              <w:rPr>
                <w:rFonts w:ascii="Arial" w:hAnsi="Arial" w:cs="Arial"/>
                <w:b/>
                <w:sz w:val="24"/>
                <w:szCs w:val="24"/>
              </w:rPr>
            </w:pPr>
            <w:r w:rsidRPr="00A566DA">
              <w:rPr>
                <w:rFonts w:ascii="Arial" w:hAnsi="Arial" w:cs="Arial"/>
                <w:b/>
                <w:sz w:val="24"/>
                <w:szCs w:val="24"/>
              </w:rPr>
              <w:lastRenderedPageBreak/>
              <w:t xml:space="preserve">Reasons for </w:t>
            </w:r>
            <w:r w:rsidR="009F6718">
              <w:rPr>
                <w:rFonts w:ascii="Arial" w:hAnsi="Arial" w:cs="Arial"/>
                <w:b/>
                <w:sz w:val="24"/>
                <w:szCs w:val="24"/>
              </w:rPr>
              <w:t>O</w:t>
            </w:r>
            <w:r w:rsidR="00864008" w:rsidRPr="00A566DA">
              <w:rPr>
                <w:rFonts w:ascii="Arial" w:hAnsi="Arial" w:cs="Arial"/>
                <w:b/>
                <w:sz w:val="24"/>
                <w:szCs w:val="24"/>
              </w:rPr>
              <w:t>rders</w:t>
            </w:r>
            <w:r w:rsidR="00A14435" w:rsidRPr="00A566DA">
              <w:rPr>
                <w:rFonts w:ascii="Arial" w:hAnsi="Arial" w:cs="Arial"/>
                <w:b/>
                <w:sz w:val="24"/>
                <w:szCs w:val="24"/>
              </w:rPr>
              <w:t>:</w:t>
            </w:r>
          </w:p>
        </w:tc>
      </w:tr>
      <w:tr w:rsidR="00281FAB" w:rsidRPr="00A566DA" w:rsidTr="00EB27A0">
        <w:tc>
          <w:tcPr>
            <w:tcW w:w="9720" w:type="dxa"/>
            <w:gridSpan w:val="3"/>
          </w:tcPr>
          <w:p w:rsidR="009F6718" w:rsidRDefault="009F6718" w:rsidP="009F6718">
            <w:pPr>
              <w:spacing w:line="360" w:lineRule="auto"/>
              <w:jc w:val="both"/>
              <w:rPr>
                <w:rFonts w:ascii="Arial" w:hAnsi="Arial" w:cs="Arial"/>
                <w:sz w:val="24"/>
                <w:szCs w:val="24"/>
                <w:u w:val="single"/>
              </w:rPr>
            </w:pPr>
          </w:p>
          <w:p w:rsidR="009F6718" w:rsidRDefault="009F6718" w:rsidP="009F6718">
            <w:pPr>
              <w:spacing w:line="360" w:lineRule="auto"/>
              <w:jc w:val="both"/>
              <w:rPr>
                <w:rFonts w:ascii="Arial" w:hAnsi="Arial" w:cs="Arial"/>
                <w:sz w:val="24"/>
                <w:szCs w:val="24"/>
                <w:u w:val="single"/>
              </w:rPr>
            </w:pPr>
            <w:r w:rsidRPr="00670A4E">
              <w:rPr>
                <w:rFonts w:ascii="Arial" w:hAnsi="Arial" w:cs="Arial"/>
                <w:sz w:val="24"/>
                <w:szCs w:val="24"/>
                <w:u w:val="single"/>
              </w:rPr>
              <w:t>Introduction</w:t>
            </w:r>
            <w:r>
              <w:rPr>
                <w:rFonts w:ascii="Arial" w:hAnsi="Arial" w:cs="Arial"/>
                <w:sz w:val="24"/>
                <w:szCs w:val="24"/>
                <w:u w:val="single"/>
              </w:rPr>
              <w:t xml:space="preserve"> and Background</w:t>
            </w:r>
          </w:p>
          <w:p w:rsidR="009F6718" w:rsidRPr="00A566DA" w:rsidRDefault="009F6718" w:rsidP="004378C5">
            <w:pPr>
              <w:spacing w:line="360" w:lineRule="auto"/>
              <w:jc w:val="both"/>
              <w:rPr>
                <w:rFonts w:ascii="Arial" w:hAnsi="Arial" w:cs="Arial"/>
                <w:sz w:val="24"/>
                <w:szCs w:val="24"/>
              </w:rPr>
            </w:pPr>
          </w:p>
          <w:p w:rsidR="006A18F2" w:rsidRPr="00A566DA" w:rsidRDefault="002462AF" w:rsidP="004378C5">
            <w:pPr>
              <w:spacing w:line="360" w:lineRule="auto"/>
              <w:jc w:val="both"/>
              <w:rPr>
                <w:rFonts w:ascii="Arial" w:hAnsi="Arial" w:cs="Arial"/>
                <w:sz w:val="24"/>
                <w:szCs w:val="24"/>
              </w:rPr>
            </w:pPr>
            <w:r>
              <w:rPr>
                <w:rFonts w:ascii="Arial" w:hAnsi="Arial" w:cs="Arial"/>
                <w:sz w:val="24"/>
                <w:szCs w:val="24"/>
              </w:rPr>
              <w:t>[</w:t>
            </w:r>
            <w:r w:rsidR="004378C5" w:rsidRPr="00A566DA">
              <w:rPr>
                <w:rFonts w:ascii="Arial" w:hAnsi="Arial" w:cs="Arial"/>
                <w:sz w:val="24"/>
                <w:szCs w:val="24"/>
              </w:rPr>
              <w:t>1</w:t>
            </w:r>
            <w:r>
              <w:rPr>
                <w:rFonts w:ascii="Arial" w:hAnsi="Arial" w:cs="Arial"/>
                <w:sz w:val="24"/>
                <w:szCs w:val="24"/>
              </w:rPr>
              <w:t>]</w:t>
            </w:r>
            <w:r w:rsidR="00A566DA">
              <w:rPr>
                <w:rFonts w:ascii="Arial" w:hAnsi="Arial" w:cs="Arial"/>
                <w:sz w:val="24"/>
                <w:szCs w:val="24"/>
              </w:rPr>
              <w:t xml:space="preserve"> </w:t>
            </w:r>
            <w:r w:rsidR="009F6718" w:rsidRPr="009F6718">
              <w:rPr>
                <w:rFonts w:ascii="Arial" w:hAnsi="Arial" w:cs="Arial"/>
                <w:sz w:val="24"/>
                <w:szCs w:val="24"/>
                <w:lang w:val="en-US"/>
              </w:rPr>
              <w:t>The Plaintiff in this matter is Am-Chagas &amp; Gilhos LDA, a</w:t>
            </w:r>
            <w:r w:rsidR="009F6718" w:rsidRPr="009F6718">
              <w:rPr>
                <w:rFonts w:ascii="Arial" w:hAnsi="Arial" w:cs="Arial"/>
                <w:b/>
                <w:sz w:val="24"/>
                <w:szCs w:val="24"/>
                <w:lang w:val="en-US"/>
              </w:rPr>
              <w:t xml:space="preserve"> </w:t>
            </w:r>
            <w:r w:rsidR="009F6718" w:rsidRPr="009F6718">
              <w:rPr>
                <w:rFonts w:ascii="Arial" w:hAnsi="Arial" w:cs="Arial"/>
                <w:sz w:val="24"/>
                <w:szCs w:val="24"/>
                <w:lang w:val="en-US"/>
              </w:rPr>
              <w:t>close corporation with registration number 5000004545, registered and incorporated in terms of the applicable laws of the Republic of Angola. The Plaintiff is the Respondent in the application which is the subject of this ruling. I will, however, for ease of reference refer to the Respondent as the Plaintiff in this ruling.</w:t>
            </w:r>
          </w:p>
          <w:p w:rsidR="003C5F56" w:rsidRPr="00A566DA" w:rsidRDefault="003C5F56" w:rsidP="004378C5">
            <w:pPr>
              <w:spacing w:line="360" w:lineRule="auto"/>
              <w:jc w:val="both"/>
              <w:rPr>
                <w:rFonts w:ascii="Arial" w:hAnsi="Arial" w:cs="Arial"/>
                <w:sz w:val="24"/>
                <w:szCs w:val="24"/>
              </w:rPr>
            </w:pPr>
          </w:p>
          <w:p w:rsidR="004378C5" w:rsidRPr="00A566DA" w:rsidRDefault="002462AF" w:rsidP="004378C5">
            <w:pPr>
              <w:spacing w:line="360" w:lineRule="auto"/>
              <w:jc w:val="both"/>
              <w:rPr>
                <w:rFonts w:ascii="Arial" w:hAnsi="Arial" w:cs="Arial"/>
                <w:sz w:val="24"/>
                <w:szCs w:val="24"/>
              </w:rPr>
            </w:pPr>
            <w:r>
              <w:rPr>
                <w:rFonts w:ascii="Arial" w:hAnsi="Arial" w:cs="Arial"/>
                <w:sz w:val="24"/>
                <w:szCs w:val="24"/>
              </w:rPr>
              <w:t>[2]</w:t>
            </w:r>
            <w:r w:rsidR="00A566DA">
              <w:rPr>
                <w:rFonts w:ascii="Arial" w:hAnsi="Arial" w:cs="Arial"/>
                <w:sz w:val="24"/>
                <w:szCs w:val="24"/>
              </w:rPr>
              <w:t xml:space="preserve"> </w:t>
            </w:r>
            <w:r w:rsidR="009F6718" w:rsidRPr="009F6718">
              <w:rPr>
                <w:rFonts w:ascii="Arial" w:hAnsi="Arial" w:cs="Arial"/>
                <w:sz w:val="24"/>
                <w:szCs w:val="24"/>
                <w:lang w:val="en-US"/>
              </w:rPr>
              <w:t>The First Defendant is Feist Investments Number Seventy-Two CC, a Close Corporation duly registered and incorporated in terms of The Close Corporations Act, 1986 of the Republic of Namibia. The Second Defendant is Ali Fadli Ayoub, a major male businessman and who is the sole and managing member of the First Defendant. I will for the sake of convenience refer to the First and Second Defendants as the Defendants</w:t>
            </w:r>
            <w:r w:rsidR="009F6718">
              <w:rPr>
                <w:rFonts w:ascii="Arial" w:hAnsi="Arial" w:cs="Arial"/>
                <w:sz w:val="24"/>
                <w:szCs w:val="24"/>
                <w:lang w:val="en-US"/>
              </w:rPr>
              <w:t>.</w:t>
            </w:r>
          </w:p>
          <w:p w:rsidR="004378C5" w:rsidRPr="00A566DA" w:rsidRDefault="004378C5" w:rsidP="004378C5">
            <w:pPr>
              <w:spacing w:line="360" w:lineRule="auto"/>
              <w:jc w:val="both"/>
              <w:rPr>
                <w:rFonts w:ascii="Arial" w:hAnsi="Arial" w:cs="Arial"/>
                <w:sz w:val="24"/>
                <w:szCs w:val="24"/>
              </w:rPr>
            </w:pPr>
          </w:p>
          <w:p w:rsidR="004378C5" w:rsidRPr="00A566DA" w:rsidRDefault="002462AF" w:rsidP="004378C5">
            <w:pPr>
              <w:spacing w:line="360" w:lineRule="auto"/>
              <w:jc w:val="both"/>
              <w:rPr>
                <w:rFonts w:ascii="Arial" w:hAnsi="Arial" w:cs="Arial"/>
                <w:sz w:val="24"/>
                <w:szCs w:val="24"/>
              </w:rPr>
            </w:pPr>
            <w:r>
              <w:rPr>
                <w:rFonts w:ascii="Arial" w:hAnsi="Arial" w:cs="Arial"/>
                <w:sz w:val="24"/>
                <w:szCs w:val="24"/>
              </w:rPr>
              <w:t>[3]</w:t>
            </w:r>
            <w:r w:rsidR="00A566DA">
              <w:rPr>
                <w:rFonts w:ascii="Arial" w:hAnsi="Arial" w:cs="Arial"/>
                <w:sz w:val="24"/>
                <w:szCs w:val="24"/>
              </w:rPr>
              <w:t xml:space="preserve"> </w:t>
            </w:r>
            <w:r w:rsidR="009F6718" w:rsidRPr="00D1062A">
              <w:rPr>
                <w:rFonts w:ascii="Arial" w:hAnsi="Arial" w:cs="Arial"/>
                <w:sz w:val="24"/>
                <w:szCs w:val="24"/>
              </w:rPr>
              <w:t>The question for determination in this application arose</w:t>
            </w:r>
            <w:r w:rsidR="009F6718">
              <w:rPr>
                <w:rFonts w:ascii="Arial" w:hAnsi="Arial" w:cs="Arial"/>
                <w:sz w:val="24"/>
                <w:szCs w:val="24"/>
              </w:rPr>
              <w:t xml:space="preserve"> in the following context: The P</w:t>
            </w:r>
            <w:r w:rsidR="009F6718" w:rsidRPr="00D1062A">
              <w:rPr>
                <w:rFonts w:ascii="Arial" w:hAnsi="Arial" w:cs="Arial"/>
                <w:sz w:val="24"/>
                <w:szCs w:val="24"/>
              </w:rPr>
              <w:t>laintiff</w:t>
            </w:r>
            <w:r w:rsidR="009F6718">
              <w:rPr>
                <w:rFonts w:ascii="Arial" w:hAnsi="Arial" w:cs="Arial"/>
                <w:sz w:val="24"/>
                <w:szCs w:val="24"/>
              </w:rPr>
              <w:t>, during October 2019</w:t>
            </w:r>
            <w:r w:rsidR="009F6718" w:rsidRPr="00D1062A">
              <w:rPr>
                <w:rFonts w:ascii="Arial" w:hAnsi="Arial" w:cs="Arial"/>
                <w:sz w:val="24"/>
                <w:szCs w:val="24"/>
              </w:rPr>
              <w:t xml:space="preserve"> issued out a combined summons from the office of the </w:t>
            </w:r>
            <w:r w:rsidR="009F6718" w:rsidRPr="00D1062A">
              <w:rPr>
                <w:rFonts w:ascii="Arial" w:hAnsi="Arial" w:cs="Arial"/>
                <w:sz w:val="24"/>
                <w:szCs w:val="24"/>
              </w:rPr>
              <w:lastRenderedPageBreak/>
              <w:t xml:space="preserve">Registrar of this court, claiming payment of an amount of N$ 1 627 500 </w:t>
            </w:r>
            <w:r w:rsidR="009F6718">
              <w:rPr>
                <w:rFonts w:ascii="Arial" w:hAnsi="Arial" w:cs="Arial"/>
                <w:sz w:val="24"/>
                <w:szCs w:val="24"/>
              </w:rPr>
              <w:t>from the D</w:t>
            </w:r>
            <w:r w:rsidR="009F6718" w:rsidRPr="00D1062A">
              <w:rPr>
                <w:rFonts w:ascii="Arial" w:hAnsi="Arial" w:cs="Arial"/>
                <w:sz w:val="24"/>
                <w:szCs w:val="24"/>
              </w:rPr>
              <w:t>efendants. The amount claimed is in respect of alleged brea</w:t>
            </w:r>
            <w:r w:rsidR="009F6718">
              <w:rPr>
                <w:rFonts w:ascii="Arial" w:hAnsi="Arial" w:cs="Arial"/>
                <w:sz w:val="24"/>
                <w:szCs w:val="24"/>
              </w:rPr>
              <w:t>ch of an oral agreement by the D</w:t>
            </w:r>
            <w:r w:rsidR="009F6718" w:rsidRPr="00D1062A">
              <w:rPr>
                <w:rFonts w:ascii="Arial" w:hAnsi="Arial" w:cs="Arial"/>
                <w:sz w:val="24"/>
                <w:szCs w:val="24"/>
              </w:rPr>
              <w:t>efendants.</w:t>
            </w:r>
          </w:p>
          <w:p w:rsidR="004378C5" w:rsidRPr="00A566DA" w:rsidRDefault="004378C5" w:rsidP="004378C5">
            <w:pPr>
              <w:spacing w:line="360" w:lineRule="auto"/>
              <w:jc w:val="both"/>
              <w:rPr>
                <w:rFonts w:ascii="Arial" w:hAnsi="Arial" w:cs="Arial"/>
                <w:sz w:val="24"/>
                <w:szCs w:val="24"/>
              </w:rPr>
            </w:pPr>
          </w:p>
          <w:p w:rsidR="009F6718" w:rsidRDefault="002462AF" w:rsidP="009F6718">
            <w:pPr>
              <w:pStyle w:val="FootnoteText"/>
              <w:spacing w:line="360" w:lineRule="auto"/>
              <w:jc w:val="both"/>
              <w:rPr>
                <w:rFonts w:ascii="Arial" w:hAnsi="Arial" w:cs="Arial"/>
                <w:sz w:val="24"/>
                <w:szCs w:val="24"/>
              </w:rPr>
            </w:pPr>
            <w:r>
              <w:rPr>
                <w:rFonts w:ascii="Arial" w:hAnsi="Arial" w:cs="Arial"/>
                <w:sz w:val="24"/>
                <w:szCs w:val="24"/>
              </w:rPr>
              <w:t>[4]</w:t>
            </w:r>
            <w:r w:rsidR="00A566DA">
              <w:rPr>
                <w:rFonts w:ascii="Arial" w:hAnsi="Arial" w:cs="Arial"/>
                <w:sz w:val="24"/>
                <w:szCs w:val="24"/>
              </w:rPr>
              <w:t xml:space="preserve"> </w:t>
            </w:r>
            <w:r w:rsidR="009F6718">
              <w:rPr>
                <w:rFonts w:ascii="Arial" w:hAnsi="Arial" w:cs="Arial"/>
                <w:sz w:val="24"/>
                <w:szCs w:val="24"/>
              </w:rPr>
              <w:t>The Defendant</w:t>
            </w:r>
            <w:r w:rsidR="009F6718" w:rsidRPr="00BF5EA8">
              <w:rPr>
                <w:rFonts w:ascii="Arial" w:hAnsi="Arial" w:cs="Arial"/>
                <w:sz w:val="24"/>
                <w:szCs w:val="24"/>
              </w:rPr>
              <w:t>s</w:t>
            </w:r>
            <w:r w:rsidR="009F6718">
              <w:rPr>
                <w:rFonts w:ascii="Arial" w:hAnsi="Arial" w:cs="Arial"/>
                <w:sz w:val="24"/>
                <w:szCs w:val="24"/>
              </w:rPr>
              <w:t xml:space="preserve"> gave notice that they will defend the Plaintiff’s claim and the matter, after it was docket allocated to a managing judge, was, as </w:t>
            </w:r>
            <w:r w:rsidR="009F6718" w:rsidRPr="008202E2">
              <w:rPr>
                <w:rFonts w:ascii="Arial" w:eastAsia="Times New Roman" w:hAnsi="Arial" w:cs="Arial"/>
                <w:sz w:val="24"/>
                <w:szCs w:val="24"/>
              </w:rPr>
              <w:t>contemplated by Rule 38 read with rule 39 of the Rules of Cou</w:t>
            </w:r>
            <w:r w:rsidR="009F6718">
              <w:rPr>
                <w:rFonts w:ascii="Arial" w:eastAsia="Times New Roman" w:hAnsi="Arial" w:cs="Arial"/>
                <w:sz w:val="24"/>
                <w:szCs w:val="24"/>
              </w:rPr>
              <w:t>rt and Practice Directive 19,</w:t>
            </w:r>
            <w:r w:rsidR="009F6718" w:rsidRPr="00BF5EA8">
              <w:rPr>
                <w:rFonts w:ascii="Arial" w:hAnsi="Arial" w:cs="Arial"/>
                <w:sz w:val="24"/>
                <w:szCs w:val="24"/>
              </w:rPr>
              <w:t xml:space="preserve"> </w:t>
            </w:r>
            <w:r w:rsidR="009F6718">
              <w:rPr>
                <w:rFonts w:ascii="Arial" w:hAnsi="Arial" w:cs="Arial"/>
                <w:sz w:val="24"/>
                <w:szCs w:val="24"/>
              </w:rPr>
              <w:t>referred to Court connected mediation. Mediation failed and this Court at a Case Planning Conference held on 25 February 2020 made the following Order:</w:t>
            </w:r>
          </w:p>
          <w:p w:rsidR="009F6718" w:rsidRDefault="009F6718" w:rsidP="009F6718">
            <w:pPr>
              <w:pStyle w:val="FootnoteText"/>
              <w:spacing w:line="360" w:lineRule="auto"/>
              <w:jc w:val="both"/>
              <w:rPr>
                <w:rFonts w:ascii="Arial" w:hAnsi="Arial" w:cs="Arial"/>
                <w:sz w:val="24"/>
                <w:szCs w:val="24"/>
              </w:rPr>
            </w:pP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sidRPr="00F75262">
              <w:rPr>
                <w:rFonts w:ascii="Arial" w:hAnsi="Arial" w:cs="Arial"/>
              </w:rPr>
              <w:t>‘1.</w:t>
            </w:r>
            <w:r>
              <w:rPr>
                <w:rFonts w:ascii="Arial" w:hAnsi="Arial" w:cs="Arial"/>
              </w:rPr>
              <w:t xml:space="preserve"> </w:t>
            </w:r>
            <w:r w:rsidRPr="00F75262">
              <w:rPr>
                <w:rFonts w:ascii="Arial" w:hAnsi="Arial" w:cs="Arial"/>
              </w:rPr>
              <w:t>The Defendant is to file its plea and/or counterclaim, if any, on or before</w:t>
            </w:r>
            <w:r>
              <w:rPr>
                <w:rFonts w:ascii="Arial" w:hAnsi="Arial" w:cs="Arial"/>
              </w:rPr>
              <w:t xml:space="preserve"> </w:t>
            </w:r>
            <w:r w:rsidRPr="00F75262">
              <w:rPr>
                <w:rFonts w:ascii="Arial" w:hAnsi="Arial" w:cs="Arial"/>
              </w:rPr>
              <w:t>10</w:t>
            </w:r>
            <w:r>
              <w:rPr>
                <w:rFonts w:ascii="Arial" w:hAnsi="Arial" w:cs="Arial"/>
              </w:rPr>
              <w:t xml:space="preserve"> </w:t>
            </w:r>
            <w:r w:rsidRPr="00F75262">
              <w:rPr>
                <w:rFonts w:ascii="Arial" w:hAnsi="Arial" w:cs="Arial"/>
              </w:rPr>
              <w:t>March 2020.</w:t>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Pr>
                <w:rFonts w:ascii="Arial" w:hAnsi="Arial" w:cs="Arial"/>
              </w:rPr>
              <w:tab/>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sidRPr="00F75262">
              <w:rPr>
                <w:rFonts w:ascii="Arial" w:hAnsi="Arial" w:cs="Arial"/>
              </w:rPr>
              <w:t>2</w:t>
            </w:r>
            <w:r>
              <w:rPr>
                <w:rFonts w:ascii="Arial" w:hAnsi="Arial" w:cs="Arial"/>
              </w:rPr>
              <w:t xml:space="preserve">. </w:t>
            </w:r>
            <w:r w:rsidRPr="00F75262">
              <w:rPr>
                <w:rFonts w:ascii="Arial" w:hAnsi="Arial" w:cs="Arial"/>
              </w:rPr>
              <w:t>The Plaintiff to file its replication to the plea and/or plea to the counterclaim, if any,</w:t>
            </w:r>
            <w:r>
              <w:rPr>
                <w:rFonts w:ascii="Arial" w:hAnsi="Arial" w:cs="Arial"/>
              </w:rPr>
              <w:t xml:space="preserve"> </w:t>
            </w:r>
            <w:r w:rsidRPr="00F75262">
              <w:rPr>
                <w:rFonts w:ascii="Arial" w:hAnsi="Arial" w:cs="Arial"/>
              </w:rPr>
              <w:t xml:space="preserve">on or </w:t>
            </w:r>
            <w:r>
              <w:rPr>
                <w:rFonts w:ascii="Arial" w:hAnsi="Arial" w:cs="Arial"/>
              </w:rPr>
              <w:tab/>
            </w:r>
            <w:r w:rsidRPr="00F75262">
              <w:rPr>
                <w:rFonts w:ascii="Arial" w:hAnsi="Arial" w:cs="Arial"/>
              </w:rPr>
              <w:t xml:space="preserve">before 18 March 2020. </w:t>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sidRPr="00F75262">
              <w:rPr>
                <w:rFonts w:ascii="Arial" w:hAnsi="Arial" w:cs="Arial"/>
              </w:rPr>
              <w:t>3</w:t>
            </w:r>
            <w:r>
              <w:rPr>
                <w:rFonts w:ascii="Arial" w:hAnsi="Arial" w:cs="Arial"/>
              </w:rPr>
              <w:t xml:space="preserve">. </w:t>
            </w:r>
            <w:r w:rsidRPr="00F75262">
              <w:rPr>
                <w:rFonts w:ascii="Arial" w:hAnsi="Arial" w:cs="Arial"/>
              </w:rPr>
              <w:t>The Defendant to file its replication to the plea on the counterclaim, if any, on</w:t>
            </w:r>
            <w:r>
              <w:rPr>
                <w:rFonts w:ascii="Arial" w:hAnsi="Arial" w:cs="Arial"/>
              </w:rPr>
              <w:t xml:space="preserve"> </w:t>
            </w:r>
            <w:r w:rsidRPr="00F75262">
              <w:rPr>
                <w:rFonts w:ascii="Arial" w:hAnsi="Arial" w:cs="Arial"/>
              </w:rPr>
              <w:t xml:space="preserve">or before </w:t>
            </w:r>
            <w:r>
              <w:rPr>
                <w:rFonts w:ascii="Arial" w:hAnsi="Arial" w:cs="Arial"/>
              </w:rPr>
              <w:tab/>
            </w:r>
            <w:r w:rsidRPr="00F75262">
              <w:rPr>
                <w:rFonts w:ascii="Arial" w:hAnsi="Arial" w:cs="Arial"/>
              </w:rPr>
              <w:t xml:space="preserve">27 March 2020. </w:t>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sidRPr="00F75262">
              <w:rPr>
                <w:rFonts w:ascii="Arial" w:hAnsi="Arial" w:cs="Arial"/>
              </w:rPr>
              <w:t>4</w:t>
            </w:r>
            <w:r>
              <w:rPr>
                <w:rFonts w:ascii="Arial" w:hAnsi="Arial" w:cs="Arial"/>
              </w:rPr>
              <w:t>. T</w:t>
            </w:r>
            <w:r w:rsidRPr="00F75262">
              <w:rPr>
                <w:rFonts w:ascii="Arial" w:hAnsi="Arial" w:cs="Arial"/>
              </w:rPr>
              <w:t>he parties are to file their respective discovery affidavits on or before 7 April</w:t>
            </w:r>
            <w:r>
              <w:rPr>
                <w:rFonts w:ascii="Arial" w:hAnsi="Arial" w:cs="Arial"/>
              </w:rPr>
              <w:t xml:space="preserve"> </w:t>
            </w:r>
            <w:r w:rsidRPr="00F75262">
              <w:rPr>
                <w:rFonts w:ascii="Arial" w:hAnsi="Arial" w:cs="Arial"/>
              </w:rPr>
              <w:t xml:space="preserve">2020. </w:t>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r w:rsidRPr="00F75262">
              <w:rPr>
                <w:rFonts w:ascii="Arial" w:hAnsi="Arial" w:cs="Arial"/>
              </w:rPr>
              <w:t>5</w:t>
            </w:r>
            <w:r>
              <w:rPr>
                <w:rFonts w:ascii="Arial" w:hAnsi="Arial" w:cs="Arial"/>
              </w:rPr>
              <w:t xml:space="preserve">. </w:t>
            </w:r>
            <w:r w:rsidRPr="00F75262">
              <w:rPr>
                <w:rFonts w:ascii="Arial" w:hAnsi="Arial" w:cs="Arial"/>
              </w:rPr>
              <w:t>The parties to file a joint case management conference report on or before 10</w:t>
            </w:r>
            <w:r w:rsidR="00875852">
              <w:rPr>
                <w:rFonts w:ascii="Arial" w:hAnsi="Arial" w:cs="Arial"/>
              </w:rPr>
              <w:t xml:space="preserve"> </w:t>
            </w:r>
            <w:r w:rsidRPr="00F75262">
              <w:rPr>
                <w:rFonts w:ascii="Arial" w:hAnsi="Arial" w:cs="Arial"/>
              </w:rPr>
              <w:t>April 2020.</w:t>
            </w:r>
          </w:p>
          <w:p w:rsidR="009F6718" w:rsidRDefault="009F6718" w:rsidP="009F6718">
            <w:pPr>
              <w:pStyle w:val="ListParagraph"/>
              <w:tabs>
                <w:tab w:val="left" w:pos="720"/>
                <w:tab w:val="left" w:pos="1260"/>
              </w:tabs>
              <w:spacing w:line="360" w:lineRule="auto"/>
              <w:ind w:left="0" w:firstLine="720"/>
              <w:contextualSpacing w:val="0"/>
              <w:jc w:val="both"/>
              <w:rPr>
                <w:rFonts w:ascii="Arial" w:hAnsi="Arial" w:cs="Arial"/>
              </w:rPr>
            </w:pPr>
          </w:p>
          <w:p w:rsidR="004378C5" w:rsidRPr="00A566DA" w:rsidRDefault="009F6718" w:rsidP="009F6718">
            <w:pPr>
              <w:spacing w:line="360" w:lineRule="auto"/>
              <w:jc w:val="both"/>
              <w:rPr>
                <w:rFonts w:ascii="Arial" w:hAnsi="Arial" w:cs="Arial"/>
                <w:sz w:val="24"/>
                <w:szCs w:val="24"/>
              </w:rPr>
            </w:pPr>
            <w:r>
              <w:rPr>
                <w:rFonts w:ascii="Arial" w:hAnsi="Arial" w:cs="Arial"/>
              </w:rPr>
              <w:tab/>
            </w:r>
            <w:r w:rsidRPr="00F75262">
              <w:rPr>
                <w:rFonts w:ascii="Arial" w:hAnsi="Arial" w:cs="Arial"/>
              </w:rPr>
              <w:t>6.</w:t>
            </w:r>
            <w:r>
              <w:rPr>
                <w:rFonts w:ascii="Arial" w:hAnsi="Arial" w:cs="Arial"/>
              </w:rPr>
              <w:t xml:space="preserve"> </w:t>
            </w:r>
            <w:r w:rsidRPr="00F75262">
              <w:rPr>
                <w:rFonts w:ascii="Arial" w:hAnsi="Arial" w:cs="Arial"/>
              </w:rPr>
              <w:t>The case is postponed to 14 April 2020 at 09:00 for Case Management</w:t>
            </w:r>
            <w:r w:rsidR="00875852">
              <w:rPr>
                <w:rFonts w:ascii="Arial" w:hAnsi="Arial" w:cs="Arial"/>
              </w:rPr>
              <w:t xml:space="preserve"> </w:t>
            </w:r>
            <w:r w:rsidRPr="00F75262">
              <w:rPr>
                <w:rFonts w:ascii="Arial" w:hAnsi="Arial" w:cs="Arial"/>
              </w:rPr>
              <w:t>Conference</w:t>
            </w:r>
            <w:r w:rsidR="00875852">
              <w:rPr>
                <w:rFonts w:ascii="Arial" w:hAnsi="Arial" w:cs="Arial"/>
              </w:rPr>
              <w:t xml:space="preserve"> </w:t>
            </w:r>
            <w:r w:rsidR="00875852">
              <w:rPr>
                <w:rFonts w:ascii="Arial" w:hAnsi="Arial" w:cs="Arial"/>
              </w:rPr>
              <w:tab/>
            </w:r>
            <w:r w:rsidRPr="00F75262">
              <w:rPr>
                <w:rFonts w:ascii="Arial" w:hAnsi="Arial" w:cs="Arial"/>
              </w:rPr>
              <w:t>hearing (Reason: Parties to file case management conference</w:t>
            </w:r>
            <w:r w:rsidR="00875852">
              <w:rPr>
                <w:rFonts w:ascii="Arial" w:hAnsi="Arial" w:cs="Arial"/>
              </w:rPr>
              <w:t xml:space="preserve"> </w:t>
            </w:r>
            <w:r w:rsidRPr="00F75262">
              <w:rPr>
                <w:rFonts w:ascii="Arial" w:hAnsi="Arial" w:cs="Arial"/>
              </w:rPr>
              <w:t>report)</w:t>
            </w:r>
            <w:r>
              <w:rPr>
                <w:rFonts w:ascii="Arial" w:hAnsi="Arial" w:cs="Arial"/>
              </w:rPr>
              <w:t>.’</w:t>
            </w:r>
          </w:p>
          <w:p w:rsidR="003D3115" w:rsidRPr="00A566DA" w:rsidRDefault="003D3115" w:rsidP="00B318D1">
            <w:pPr>
              <w:spacing w:line="360" w:lineRule="auto"/>
              <w:jc w:val="both"/>
              <w:rPr>
                <w:rFonts w:ascii="Arial" w:hAnsi="Arial" w:cs="Arial"/>
                <w:sz w:val="24"/>
                <w:szCs w:val="24"/>
              </w:rPr>
            </w:pPr>
          </w:p>
          <w:p w:rsidR="003D3115" w:rsidRPr="00A566DA" w:rsidRDefault="002462AF" w:rsidP="00B318D1">
            <w:pPr>
              <w:spacing w:line="360" w:lineRule="auto"/>
              <w:jc w:val="both"/>
              <w:rPr>
                <w:rFonts w:ascii="Arial" w:hAnsi="Arial" w:cs="Arial"/>
                <w:sz w:val="24"/>
                <w:szCs w:val="24"/>
              </w:rPr>
            </w:pPr>
            <w:r>
              <w:rPr>
                <w:rFonts w:ascii="Arial" w:hAnsi="Arial" w:cs="Arial"/>
                <w:sz w:val="24"/>
                <w:szCs w:val="24"/>
              </w:rPr>
              <w:t>[5]</w:t>
            </w:r>
            <w:r w:rsidR="00A566DA">
              <w:rPr>
                <w:rFonts w:ascii="Arial" w:hAnsi="Arial" w:cs="Arial"/>
                <w:sz w:val="24"/>
                <w:szCs w:val="24"/>
              </w:rPr>
              <w:t xml:space="preserve"> </w:t>
            </w:r>
            <w:r w:rsidR="00875852" w:rsidRPr="00875852">
              <w:rPr>
                <w:rFonts w:ascii="Arial" w:hAnsi="Arial" w:cs="Arial"/>
                <w:sz w:val="24"/>
                <w:szCs w:val="24"/>
                <w:lang w:val="en-US"/>
              </w:rPr>
              <w:t>It is now common cause that the outbreak of the Covid-9 pandemic disrupted many activities including the sitting of Court. It thus so happened that the Case Management Conference that was scheduled in respect of this matter for 14 April 2020 did not take place and that Case Management Conference was postponed to 05 May 2020. The Plaintiff’s legal practitioners had earlier, on 08 April 2020, filed a report with Court in which report the Plaintiff alerts the Court to the fact that the Defendants’ have failed to comply with the Court Order of 25 February 2020. The Plaintiff further informed the Court that they intend to apply to Court for the Defendants’ defence to be struck and for judgement to be entered in favour of the Plaintiff.</w:t>
            </w:r>
          </w:p>
          <w:p w:rsidR="003D3115" w:rsidRPr="00A566DA" w:rsidRDefault="003D3115" w:rsidP="00B318D1">
            <w:pPr>
              <w:spacing w:line="360" w:lineRule="auto"/>
              <w:jc w:val="both"/>
              <w:rPr>
                <w:rFonts w:ascii="Arial" w:hAnsi="Arial" w:cs="Arial"/>
                <w:sz w:val="24"/>
                <w:szCs w:val="24"/>
              </w:rPr>
            </w:pPr>
          </w:p>
          <w:p w:rsidR="003D3115" w:rsidRDefault="002462AF" w:rsidP="00B318D1">
            <w:pPr>
              <w:spacing w:line="360" w:lineRule="auto"/>
              <w:jc w:val="both"/>
              <w:rPr>
                <w:rFonts w:ascii="Arial" w:hAnsi="Arial" w:cs="Arial"/>
                <w:sz w:val="24"/>
                <w:szCs w:val="24"/>
                <w:lang w:val="en-US"/>
              </w:rPr>
            </w:pPr>
            <w:r>
              <w:rPr>
                <w:rFonts w:ascii="Arial" w:hAnsi="Arial" w:cs="Arial"/>
                <w:sz w:val="24"/>
                <w:szCs w:val="24"/>
              </w:rPr>
              <w:lastRenderedPageBreak/>
              <w:t>[6]</w:t>
            </w:r>
            <w:r w:rsidR="00A566DA">
              <w:rPr>
                <w:rFonts w:ascii="Arial" w:hAnsi="Arial" w:cs="Arial"/>
                <w:sz w:val="24"/>
                <w:szCs w:val="24"/>
              </w:rPr>
              <w:t xml:space="preserve"> </w:t>
            </w:r>
            <w:r w:rsidR="00875852" w:rsidRPr="00875852">
              <w:rPr>
                <w:rFonts w:ascii="Arial" w:hAnsi="Arial" w:cs="Arial"/>
                <w:sz w:val="24"/>
                <w:szCs w:val="24"/>
                <w:lang w:val="en-US"/>
              </w:rPr>
              <w:t>On 05 May 2020, when the matter was called at the Case Management Conference Hearing, the Defendants or their legal practitioners were not in attendance at Court and had also not filed their pleas as ordered by the Court on 25 February 2020. Despite the failure to comply with the Court Order of 25 February 2020 and their absence from Court on 05 May 2020, the Court postponed the matter to 02 June 2020 for a sanctions hearing (so as to enable the Defendants to give reasons why they did not comply with the previous court order, i.e. the Order of 25 February 2020).</w:t>
            </w:r>
          </w:p>
          <w:p w:rsidR="00875852" w:rsidRPr="00A566DA" w:rsidRDefault="00875852" w:rsidP="00B318D1">
            <w:pPr>
              <w:spacing w:line="360" w:lineRule="auto"/>
              <w:jc w:val="both"/>
              <w:rPr>
                <w:rFonts w:ascii="Arial" w:hAnsi="Arial" w:cs="Arial"/>
                <w:sz w:val="24"/>
                <w:szCs w:val="24"/>
              </w:rPr>
            </w:pPr>
          </w:p>
          <w:p w:rsidR="003D3115" w:rsidRPr="00A566DA" w:rsidRDefault="002462AF" w:rsidP="00B318D1">
            <w:pPr>
              <w:spacing w:line="360" w:lineRule="auto"/>
              <w:jc w:val="both"/>
              <w:rPr>
                <w:rFonts w:ascii="Arial" w:hAnsi="Arial" w:cs="Arial"/>
                <w:sz w:val="24"/>
                <w:szCs w:val="24"/>
              </w:rPr>
            </w:pPr>
            <w:r>
              <w:rPr>
                <w:rFonts w:ascii="Arial" w:hAnsi="Arial" w:cs="Arial"/>
                <w:sz w:val="24"/>
                <w:szCs w:val="24"/>
              </w:rPr>
              <w:t>[7]</w:t>
            </w:r>
            <w:r w:rsidR="00A566DA">
              <w:rPr>
                <w:rFonts w:ascii="Arial" w:hAnsi="Arial" w:cs="Arial"/>
                <w:sz w:val="24"/>
                <w:szCs w:val="24"/>
              </w:rPr>
              <w:t xml:space="preserve"> </w:t>
            </w:r>
            <w:r w:rsidR="00875852" w:rsidRPr="00875852">
              <w:rPr>
                <w:rFonts w:ascii="Arial" w:hAnsi="Arial" w:cs="Arial"/>
                <w:sz w:val="24"/>
                <w:szCs w:val="24"/>
                <w:lang w:val="en-US"/>
              </w:rPr>
              <w:t>On 02 June 2020, the Defendants and their legal practitioners again failed to appear in Court and had still not complied with the Court Order of 25 February 2020. The Court accordingly postponed the matter to 16 June 2020 for the Defendants to show cause why their defence must not be struck. It is only after the Order of 2 June 2020 that the Defendants on 09 June 2020, filed an application for the condonation of their failure to comply with the Court Orders dated 25 February 2020 and 5 May 2020, for the non-appearance of the Defendants’ Legal Practitioner at Court on 5 May 2020 and 2 June 2020 and for the upliftment of the bar to enable the Defendants to deliver their plea/counterclaim to the Plaintiff’s particulars of claim and discovery affidavits.</w:t>
            </w:r>
          </w:p>
          <w:p w:rsidR="00A566DA" w:rsidRDefault="00A566DA" w:rsidP="00B318D1">
            <w:pPr>
              <w:spacing w:line="360" w:lineRule="auto"/>
              <w:jc w:val="both"/>
              <w:rPr>
                <w:rFonts w:ascii="Arial" w:hAnsi="Arial" w:cs="Arial"/>
                <w:sz w:val="24"/>
                <w:szCs w:val="24"/>
              </w:rPr>
            </w:pPr>
          </w:p>
          <w:p w:rsidR="003D3115" w:rsidRDefault="002462AF" w:rsidP="00B318D1">
            <w:pPr>
              <w:spacing w:line="360" w:lineRule="auto"/>
              <w:jc w:val="both"/>
              <w:rPr>
                <w:rFonts w:ascii="Arial" w:hAnsi="Arial" w:cs="Arial"/>
                <w:sz w:val="24"/>
                <w:szCs w:val="24"/>
              </w:rPr>
            </w:pPr>
            <w:r>
              <w:rPr>
                <w:rFonts w:ascii="Arial" w:hAnsi="Arial" w:cs="Arial"/>
                <w:sz w:val="24"/>
                <w:szCs w:val="24"/>
              </w:rPr>
              <w:t>[8]</w:t>
            </w:r>
            <w:r w:rsidR="00875852">
              <w:rPr>
                <w:rFonts w:ascii="Arial" w:hAnsi="Arial" w:cs="Arial"/>
                <w:sz w:val="24"/>
                <w:szCs w:val="24"/>
              </w:rPr>
              <w:t xml:space="preserve"> </w:t>
            </w:r>
            <w:r w:rsidR="00875852" w:rsidRPr="00770D59">
              <w:rPr>
                <w:rFonts w:ascii="Arial" w:hAnsi="Arial" w:cs="Arial"/>
                <w:sz w:val="24"/>
                <w:szCs w:val="24"/>
              </w:rPr>
              <w:t>Th</w:t>
            </w:r>
            <w:r w:rsidR="00875852">
              <w:rPr>
                <w:rFonts w:ascii="Arial" w:hAnsi="Arial" w:cs="Arial"/>
                <w:sz w:val="24"/>
                <w:szCs w:val="24"/>
              </w:rPr>
              <w:t>e P</w:t>
            </w:r>
            <w:r w:rsidR="00875852" w:rsidRPr="00770D59">
              <w:rPr>
                <w:rFonts w:ascii="Arial" w:hAnsi="Arial" w:cs="Arial"/>
                <w:sz w:val="24"/>
                <w:szCs w:val="24"/>
              </w:rPr>
              <w:t xml:space="preserve">laintiff opposed the application </w:t>
            </w:r>
            <w:r w:rsidR="00875852">
              <w:rPr>
                <w:rFonts w:ascii="Arial" w:hAnsi="Arial" w:cs="Arial"/>
                <w:sz w:val="24"/>
                <w:szCs w:val="24"/>
              </w:rPr>
              <w:t>filed by the D</w:t>
            </w:r>
            <w:r w:rsidR="00875852" w:rsidRPr="00770D59">
              <w:rPr>
                <w:rFonts w:ascii="Arial" w:hAnsi="Arial" w:cs="Arial"/>
                <w:sz w:val="24"/>
                <w:szCs w:val="24"/>
              </w:rPr>
              <w:t>efendant</w:t>
            </w:r>
            <w:r w:rsidR="00875852">
              <w:rPr>
                <w:rFonts w:ascii="Arial" w:hAnsi="Arial" w:cs="Arial"/>
                <w:sz w:val="24"/>
                <w:szCs w:val="24"/>
              </w:rPr>
              <w:t>s</w:t>
            </w:r>
            <w:r w:rsidR="00875852" w:rsidRPr="00770D59">
              <w:rPr>
                <w:rFonts w:ascii="Arial" w:hAnsi="Arial" w:cs="Arial"/>
                <w:sz w:val="24"/>
                <w:szCs w:val="24"/>
              </w:rPr>
              <w:t xml:space="preserve">. </w:t>
            </w:r>
            <w:r w:rsidR="00875852">
              <w:rPr>
                <w:rFonts w:ascii="Arial" w:hAnsi="Arial" w:cs="Arial"/>
                <w:sz w:val="24"/>
                <w:szCs w:val="24"/>
              </w:rPr>
              <w:t xml:space="preserve">After the parties exchanged pleadings, I set down the Defendants’ application for condonation for hearing </w:t>
            </w:r>
            <w:r w:rsidR="00875852" w:rsidRPr="00770D59">
              <w:rPr>
                <w:rFonts w:ascii="Arial" w:hAnsi="Arial" w:cs="Arial"/>
                <w:sz w:val="24"/>
                <w:szCs w:val="24"/>
              </w:rPr>
              <w:t xml:space="preserve">on 27 July 2020. </w:t>
            </w:r>
            <w:r w:rsidR="00875852">
              <w:rPr>
                <w:rFonts w:ascii="Arial" w:hAnsi="Arial" w:cs="Arial"/>
                <w:sz w:val="24"/>
                <w:szCs w:val="24"/>
              </w:rPr>
              <w:t xml:space="preserve">On that day, the Plaintiff took the point that Defendants did not comply with Rule 32(9) and (10). The point taken by the Plaintiff was upheld and </w:t>
            </w:r>
            <w:r w:rsidR="00875852" w:rsidRPr="00770D59">
              <w:rPr>
                <w:rFonts w:ascii="Arial" w:hAnsi="Arial" w:cs="Arial"/>
                <w:sz w:val="24"/>
                <w:szCs w:val="24"/>
              </w:rPr>
              <w:t>th</w:t>
            </w:r>
            <w:r w:rsidR="00875852">
              <w:rPr>
                <w:rFonts w:ascii="Arial" w:hAnsi="Arial" w:cs="Arial"/>
                <w:sz w:val="24"/>
                <w:szCs w:val="24"/>
              </w:rPr>
              <w:t>e</w:t>
            </w:r>
            <w:r w:rsidR="00875852" w:rsidRPr="00770D59">
              <w:rPr>
                <w:rFonts w:ascii="Arial" w:hAnsi="Arial" w:cs="Arial"/>
                <w:sz w:val="24"/>
                <w:szCs w:val="24"/>
              </w:rPr>
              <w:t xml:space="preserve"> application was struck from the roll for </w:t>
            </w:r>
            <w:r w:rsidR="00875852">
              <w:rPr>
                <w:rFonts w:ascii="Arial" w:hAnsi="Arial" w:cs="Arial"/>
                <w:sz w:val="24"/>
                <w:szCs w:val="24"/>
              </w:rPr>
              <w:t xml:space="preserve">want of </w:t>
            </w:r>
            <w:r w:rsidR="00875852" w:rsidRPr="00770D59">
              <w:rPr>
                <w:rFonts w:ascii="Arial" w:hAnsi="Arial" w:cs="Arial"/>
                <w:sz w:val="24"/>
                <w:szCs w:val="24"/>
              </w:rPr>
              <w:t xml:space="preserve">compliance with Rule 32(9) and (10). </w:t>
            </w:r>
            <w:r w:rsidR="00875852">
              <w:rPr>
                <w:rFonts w:ascii="Arial" w:hAnsi="Arial" w:cs="Arial"/>
                <w:sz w:val="24"/>
                <w:szCs w:val="24"/>
              </w:rPr>
              <w:t>The parties thereafter engaged each other as contemplated in rule 32(9) and filed a report in terms of rule 32(10). In that report, the</w:t>
            </w:r>
            <w:r w:rsidR="00875852" w:rsidRPr="00770D59">
              <w:rPr>
                <w:rFonts w:ascii="Arial" w:hAnsi="Arial" w:cs="Arial"/>
                <w:sz w:val="24"/>
                <w:szCs w:val="24"/>
              </w:rPr>
              <w:t xml:space="preserve"> </w:t>
            </w:r>
            <w:r w:rsidR="00875852">
              <w:rPr>
                <w:rFonts w:ascii="Arial" w:hAnsi="Arial" w:cs="Arial"/>
                <w:sz w:val="24"/>
                <w:szCs w:val="24"/>
              </w:rPr>
              <w:t>parties</w:t>
            </w:r>
            <w:r w:rsidR="00875852" w:rsidRPr="00770D59">
              <w:rPr>
                <w:rFonts w:ascii="Arial" w:hAnsi="Arial" w:cs="Arial"/>
                <w:sz w:val="24"/>
                <w:szCs w:val="24"/>
              </w:rPr>
              <w:t xml:space="preserve"> state</w:t>
            </w:r>
            <w:r w:rsidR="00875852">
              <w:rPr>
                <w:rFonts w:ascii="Arial" w:hAnsi="Arial" w:cs="Arial"/>
                <w:sz w:val="24"/>
                <w:szCs w:val="24"/>
              </w:rPr>
              <w:t>d</w:t>
            </w:r>
            <w:r w:rsidR="00875852" w:rsidRPr="00770D59">
              <w:rPr>
                <w:rFonts w:ascii="Arial" w:hAnsi="Arial" w:cs="Arial"/>
                <w:sz w:val="24"/>
                <w:szCs w:val="24"/>
              </w:rPr>
              <w:t xml:space="preserve"> that </w:t>
            </w:r>
            <w:r w:rsidR="00875852">
              <w:rPr>
                <w:rFonts w:ascii="Arial" w:hAnsi="Arial" w:cs="Arial"/>
                <w:sz w:val="24"/>
                <w:szCs w:val="24"/>
              </w:rPr>
              <w:t>they failed to amicably resolve the matter and the Defendants thus applied for the setting down of the matter for hearing.</w:t>
            </w:r>
          </w:p>
          <w:p w:rsidR="00875852" w:rsidRPr="00A566DA" w:rsidRDefault="00875852" w:rsidP="00B318D1">
            <w:pPr>
              <w:spacing w:line="360" w:lineRule="auto"/>
              <w:jc w:val="both"/>
              <w:rPr>
                <w:rFonts w:ascii="Arial" w:hAnsi="Arial" w:cs="Arial"/>
                <w:sz w:val="24"/>
                <w:szCs w:val="24"/>
              </w:rPr>
            </w:pPr>
          </w:p>
          <w:p w:rsidR="00875852" w:rsidRPr="00875852" w:rsidRDefault="002462AF" w:rsidP="00875852">
            <w:pPr>
              <w:spacing w:line="360" w:lineRule="auto"/>
              <w:jc w:val="both"/>
              <w:rPr>
                <w:rFonts w:ascii="Arial" w:hAnsi="Arial" w:cs="Arial"/>
                <w:sz w:val="24"/>
                <w:szCs w:val="24"/>
                <w:lang w:val="en-US"/>
              </w:rPr>
            </w:pPr>
            <w:r>
              <w:rPr>
                <w:rFonts w:ascii="Arial" w:hAnsi="Arial" w:cs="Arial"/>
                <w:sz w:val="24"/>
                <w:szCs w:val="24"/>
              </w:rPr>
              <w:t>[9]</w:t>
            </w:r>
            <w:r w:rsidR="00A566DA">
              <w:rPr>
                <w:rFonts w:ascii="Arial" w:hAnsi="Arial" w:cs="Arial"/>
                <w:sz w:val="24"/>
                <w:szCs w:val="24"/>
              </w:rPr>
              <w:t xml:space="preserve"> </w:t>
            </w:r>
            <w:r w:rsidR="00875852" w:rsidRPr="00875852">
              <w:rPr>
                <w:rFonts w:ascii="Arial" w:hAnsi="Arial" w:cs="Arial"/>
                <w:sz w:val="24"/>
                <w:szCs w:val="24"/>
                <w:lang w:val="en-US"/>
              </w:rPr>
              <w:t>In view of the Defendants’ non-compliance with the court order, the Plaintiff has implored this court to impose sanctions on the Defendant in terms of the provisions of Rule 53. In particular, the Plaintiff prayed that the court strike the Defendant's defence in the circumstances. Rule 53(1) reads as follows:</w:t>
            </w:r>
          </w:p>
          <w:p w:rsidR="00875852" w:rsidRPr="00875852" w:rsidRDefault="00875852" w:rsidP="00875852">
            <w:pPr>
              <w:spacing w:line="360" w:lineRule="auto"/>
              <w:jc w:val="both"/>
              <w:rPr>
                <w:rFonts w:ascii="Arial" w:hAnsi="Arial" w:cs="Arial"/>
                <w:sz w:val="24"/>
                <w:szCs w:val="24"/>
                <w:lang w:val="en-US"/>
              </w:rPr>
            </w:pPr>
          </w:p>
          <w:p w:rsidR="00875852" w:rsidRPr="00875852" w:rsidRDefault="00875852" w:rsidP="00875852">
            <w:pPr>
              <w:spacing w:line="360" w:lineRule="auto"/>
              <w:jc w:val="both"/>
              <w:rPr>
                <w:rFonts w:ascii="Arial" w:hAnsi="Arial" w:cs="Arial"/>
                <w:lang w:val="en-US"/>
              </w:rPr>
            </w:pPr>
            <w:r>
              <w:rPr>
                <w:rFonts w:ascii="Arial" w:hAnsi="Arial" w:cs="Arial"/>
                <w:sz w:val="24"/>
                <w:szCs w:val="24"/>
                <w:lang w:val="en-US"/>
              </w:rPr>
              <w:tab/>
            </w:r>
            <w:r w:rsidRPr="00875852">
              <w:rPr>
                <w:rFonts w:ascii="Arial" w:hAnsi="Arial" w:cs="Arial"/>
                <w:lang w:val="en-US"/>
              </w:rPr>
              <w:t xml:space="preserve">'(1) If a party or his or her legal practitioner, if represented, without reasonable </w:t>
            </w:r>
            <w:r w:rsidRPr="00875852">
              <w:rPr>
                <w:rFonts w:ascii="Arial" w:hAnsi="Arial" w:cs="Arial"/>
                <w:lang w:val="en-US"/>
              </w:rPr>
              <w:tab/>
              <w:t>explanation fails to —</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lastRenderedPageBreak/>
              <w:tab/>
            </w:r>
            <w:r w:rsidRPr="00875852">
              <w:rPr>
                <w:rFonts w:ascii="Arial" w:hAnsi="Arial" w:cs="Arial"/>
                <w:lang w:val="en-US"/>
              </w:rPr>
              <w:tab/>
              <w:t xml:space="preserve">(a) attend a case planning conference, case management conference, a </w:t>
            </w:r>
            <w:r w:rsidRPr="00875852">
              <w:rPr>
                <w:rFonts w:ascii="Arial" w:hAnsi="Arial" w:cs="Arial"/>
                <w:lang w:val="en-US"/>
              </w:rPr>
              <w:tab/>
            </w:r>
            <w:r w:rsidRPr="00875852">
              <w:rPr>
                <w:rFonts w:ascii="Arial" w:hAnsi="Arial" w:cs="Arial"/>
                <w:lang w:val="en-US"/>
              </w:rPr>
              <w:tab/>
            </w:r>
            <w:r w:rsidRPr="00875852">
              <w:rPr>
                <w:rFonts w:ascii="Arial" w:hAnsi="Arial" w:cs="Arial"/>
                <w:lang w:val="en-US"/>
              </w:rPr>
              <w:tab/>
            </w:r>
            <w:r w:rsidR="00C87417">
              <w:rPr>
                <w:rFonts w:ascii="Arial" w:hAnsi="Arial" w:cs="Arial"/>
                <w:lang w:val="en-US"/>
              </w:rPr>
              <w:tab/>
            </w:r>
            <w:r w:rsidRPr="00875852">
              <w:rPr>
                <w:rFonts w:ascii="Arial" w:hAnsi="Arial" w:cs="Arial"/>
                <w:lang w:val="en-US"/>
              </w:rPr>
              <w:t xml:space="preserve">status hearing, an additional case management conference or a pre-trial </w:t>
            </w:r>
            <w:r w:rsidRPr="00875852">
              <w:rPr>
                <w:rFonts w:ascii="Arial" w:hAnsi="Arial" w:cs="Arial"/>
                <w:lang w:val="en-US"/>
              </w:rPr>
              <w:tab/>
            </w:r>
            <w:r w:rsidRPr="00875852">
              <w:rPr>
                <w:rFonts w:ascii="Arial" w:hAnsi="Arial" w:cs="Arial"/>
                <w:lang w:val="en-US"/>
              </w:rPr>
              <w:tab/>
            </w:r>
            <w:r w:rsidRPr="00875852">
              <w:rPr>
                <w:rFonts w:ascii="Arial" w:hAnsi="Arial" w:cs="Arial"/>
                <w:lang w:val="en-US"/>
              </w:rPr>
              <w:tab/>
            </w:r>
            <w:r w:rsidR="00C87417">
              <w:rPr>
                <w:rFonts w:ascii="Arial" w:hAnsi="Arial" w:cs="Arial"/>
                <w:lang w:val="en-US"/>
              </w:rPr>
              <w:tab/>
            </w:r>
            <w:r w:rsidRPr="00875852">
              <w:rPr>
                <w:rFonts w:ascii="Arial" w:hAnsi="Arial" w:cs="Arial"/>
                <w:lang w:val="en-US"/>
              </w:rPr>
              <w:t>conference;</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tab/>
            </w:r>
            <w:r w:rsidRPr="00875852">
              <w:rPr>
                <w:rFonts w:ascii="Arial" w:hAnsi="Arial" w:cs="Arial"/>
                <w:lang w:val="en-US"/>
              </w:rPr>
              <w:tab/>
              <w:t xml:space="preserve">(b) participate in the creation of a case plan, a joint case management report </w:t>
            </w:r>
            <w:r w:rsidRPr="00875852">
              <w:rPr>
                <w:rFonts w:ascii="Arial" w:hAnsi="Arial" w:cs="Arial"/>
                <w:lang w:val="en-US"/>
              </w:rPr>
              <w:tab/>
            </w:r>
            <w:r w:rsidRPr="00875852">
              <w:rPr>
                <w:rFonts w:ascii="Arial" w:hAnsi="Arial" w:cs="Arial"/>
                <w:lang w:val="en-US"/>
              </w:rPr>
              <w:tab/>
            </w:r>
            <w:r w:rsidR="00C87417">
              <w:rPr>
                <w:rFonts w:ascii="Arial" w:hAnsi="Arial" w:cs="Arial"/>
                <w:lang w:val="en-US"/>
              </w:rPr>
              <w:tab/>
            </w:r>
            <w:r w:rsidRPr="00875852">
              <w:rPr>
                <w:rFonts w:ascii="Arial" w:hAnsi="Arial" w:cs="Arial"/>
                <w:lang w:val="en-US"/>
              </w:rPr>
              <w:t>or parties' proposed pre-trial order;</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tab/>
            </w:r>
            <w:r w:rsidRPr="00875852">
              <w:rPr>
                <w:rFonts w:ascii="Arial" w:hAnsi="Arial" w:cs="Arial"/>
                <w:lang w:val="en-US"/>
              </w:rPr>
              <w:tab/>
              <w:t xml:space="preserve">(c) comply with a case plan order, case management order, a status hearing </w:t>
            </w:r>
            <w:r w:rsidRPr="00875852">
              <w:rPr>
                <w:rFonts w:ascii="Arial" w:hAnsi="Arial" w:cs="Arial"/>
                <w:lang w:val="en-US"/>
              </w:rPr>
              <w:tab/>
            </w:r>
            <w:r w:rsidRPr="00875852">
              <w:rPr>
                <w:rFonts w:ascii="Arial" w:hAnsi="Arial" w:cs="Arial"/>
                <w:lang w:val="en-US"/>
              </w:rPr>
              <w:tab/>
            </w:r>
            <w:r w:rsidR="00C87417">
              <w:rPr>
                <w:rFonts w:ascii="Arial" w:hAnsi="Arial" w:cs="Arial"/>
                <w:lang w:val="en-US"/>
              </w:rPr>
              <w:tab/>
            </w:r>
            <w:r w:rsidRPr="00875852">
              <w:rPr>
                <w:rFonts w:ascii="Arial" w:hAnsi="Arial" w:cs="Arial"/>
                <w:lang w:val="en-US"/>
              </w:rPr>
              <w:t>order or the managing judge's pre-trial order;</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tab/>
            </w:r>
            <w:r w:rsidRPr="00875852">
              <w:rPr>
                <w:rFonts w:ascii="Arial" w:hAnsi="Arial" w:cs="Arial"/>
                <w:lang w:val="en-US"/>
              </w:rPr>
              <w:tab/>
              <w:t xml:space="preserve">(d) participate in good faith in a case planning, case management or pre-trial </w:t>
            </w:r>
            <w:r w:rsidRPr="00875852">
              <w:rPr>
                <w:rFonts w:ascii="Arial" w:hAnsi="Arial" w:cs="Arial"/>
                <w:lang w:val="en-US"/>
              </w:rPr>
              <w:tab/>
            </w:r>
            <w:r w:rsidRPr="00875852">
              <w:rPr>
                <w:rFonts w:ascii="Arial" w:hAnsi="Arial" w:cs="Arial"/>
                <w:lang w:val="en-US"/>
              </w:rPr>
              <w:tab/>
            </w:r>
            <w:r w:rsidR="00C87417">
              <w:rPr>
                <w:rFonts w:ascii="Arial" w:hAnsi="Arial" w:cs="Arial"/>
                <w:lang w:val="en-US"/>
              </w:rPr>
              <w:tab/>
            </w:r>
            <w:r w:rsidRPr="00875852">
              <w:rPr>
                <w:rFonts w:ascii="Arial" w:hAnsi="Arial" w:cs="Arial"/>
                <w:lang w:val="en-US"/>
              </w:rPr>
              <w:t>process;</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tab/>
            </w:r>
            <w:r w:rsidRPr="00875852">
              <w:rPr>
                <w:rFonts w:ascii="Arial" w:hAnsi="Arial" w:cs="Arial"/>
                <w:lang w:val="en-US"/>
              </w:rPr>
              <w:tab/>
              <w:t xml:space="preserve">(e) comply with a case plan order or any direction issued by the managing </w:t>
            </w:r>
            <w:r w:rsidRPr="00875852">
              <w:rPr>
                <w:rFonts w:ascii="Arial" w:hAnsi="Arial" w:cs="Arial"/>
                <w:lang w:val="en-US"/>
              </w:rPr>
              <w:tab/>
            </w:r>
            <w:r w:rsidRPr="00875852">
              <w:rPr>
                <w:rFonts w:ascii="Arial" w:hAnsi="Arial" w:cs="Arial"/>
                <w:lang w:val="en-US"/>
              </w:rPr>
              <w:tab/>
            </w:r>
            <w:r w:rsidRPr="00875852">
              <w:rPr>
                <w:rFonts w:ascii="Arial" w:hAnsi="Arial" w:cs="Arial"/>
                <w:lang w:val="en-US"/>
              </w:rPr>
              <w:tab/>
              <w:t>judge; or</w:t>
            </w:r>
          </w:p>
          <w:p w:rsidR="00875852" w:rsidRPr="00875852" w:rsidRDefault="00875852" w:rsidP="00875852">
            <w:pPr>
              <w:spacing w:line="360" w:lineRule="auto"/>
              <w:jc w:val="both"/>
              <w:rPr>
                <w:rFonts w:ascii="Arial" w:hAnsi="Arial" w:cs="Arial"/>
                <w:lang w:val="en-US"/>
              </w:rPr>
            </w:pPr>
            <w:r w:rsidRPr="00875852">
              <w:rPr>
                <w:rFonts w:ascii="Arial" w:hAnsi="Arial" w:cs="Arial"/>
                <w:lang w:val="en-US"/>
              </w:rPr>
              <w:tab/>
            </w:r>
            <w:r w:rsidRPr="00875852">
              <w:rPr>
                <w:rFonts w:ascii="Arial" w:hAnsi="Arial" w:cs="Arial"/>
                <w:lang w:val="en-US"/>
              </w:rPr>
              <w:tab/>
              <w:t>(f) comply with deadlines set by any order of court,</w:t>
            </w:r>
          </w:p>
          <w:p w:rsidR="00875852" w:rsidRPr="00875852" w:rsidRDefault="00875852" w:rsidP="00875852">
            <w:pPr>
              <w:spacing w:line="360" w:lineRule="auto"/>
              <w:jc w:val="both"/>
              <w:rPr>
                <w:rFonts w:ascii="Arial" w:hAnsi="Arial" w:cs="Arial"/>
                <w:lang w:val="en-US"/>
              </w:rPr>
            </w:pPr>
          </w:p>
          <w:p w:rsidR="00875852" w:rsidRPr="00875852" w:rsidRDefault="00875852" w:rsidP="00875852">
            <w:pPr>
              <w:spacing w:line="360" w:lineRule="auto"/>
              <w:jc w:val="both"/>
              <w:rPr>
                <w:rFonts w:ascii="Arial" w:hAnsi="Arial" w:cs="Arial"/>
                <w:sz w:val="24"/>
                <w:szCs w:val="24"/>
                <w:lang w:val="en-US"/>
              </w:rPr>
            </w:pPr>
            <w:r w:rsidRPr="00875852">
              <w:rPr>
                <w:rFonts w:ascii="Arial" w:hAnsi="Arial" w:cs="Arial"/>
                <w:lang w:val="en-US"/>
              </w:rPr>
              <w:tab/>
              <w:t xml:space="preserve">the managing judge may enter any order that is just and fair in the matter including </w:t>
            </w:r>
            <w:r w:rsidRPr="00875852">
              <w:rPr>
                <w:rFonts w:ascii="Arial" w:hAnsi="Arial" w:cs="Arial"/>
                <w:lang w:val="en-US"/>
              </w:rPr>
              <w:tab/>
              <w:t>any of the orders set out in subrule (2).</w:t>
            </w:r>
            <w:r w:rsidRPr="00875852">
              <w:rPr>
                <w:rFonts w:ascii="Arial" w:hAnsi="Arial" w:cs="Arial"/>
                <w:sz w:val="24"/>
                <w:szCs w:val="24"/>
                <w:lang w:val="en-US"/>
              </w:rPr>
              <w:t>'</w:t>
            </w:r>
          </w:p>
          <w:p w:rsidR="0064073E" w:rsidRPr="00A566DA" w:rsidRDefault="0064073E" w:rsidP="00B318D1">
            <w:pPr>
              <w:spacing w:line="360" w:lineRule="auto"/>
              <w:jc w:val="both"/>
              <w:rPr>
                <w:rFonts w:ascii="Arial" w:hAnsi="Arial" w:cs="Arial"/>
                <w:sz w:val="24"/>
                <w:szCs w:val="24"/>
              </w:rPr>
            </w:pPr>
          </w:p>
          <w:p w:rsidR="00875852" w:rsidRPr="00875852" w:rsidRDefault="002462AF" w:rsidP="00875852">
            <w:pPr>
              <w:spacing w:line="360" w:lineRule="auto"/>
              <w:jc w:val="both"/>
              <w:rPr>
                <w:rFonts w:ascii="Arial" w:hAnsi="Arial" w:cs="Arial"/>
                <w:sz w:val="24"/>
                <w:szCs w:val="24"/>
                <w:lang w:val="en-US"/>
              </w:rPr>
            </w:pPr>
            <w:r>
              <w:rPr>
                <w:rFonts w:ascii="Arial" w:hAnsi="Arial" w:cs="Arial"/>
                <w:sz w:val="24"/>
                <w:szCs w:val="24"/>
              </w:rPr>
              <w:t>[</w:t>
            </w:r>
            <w:r w:rsidR="0064073E" w:rsidRPr="00A566DA">
              <w:rPr>
                <w:rFonts w:ascii="Arial" w:hAnsi="Arial" w:cs="Arial"/>
                <w:sz w:val="24"/>
                <w:szCs w:val="24"/>
              </w:rPr>
              <w:t>10</w:t>
            </w:r>
            <w:r>
              <w:rPr>
                <w:rFonts w:ascii="Arial" w:hAnsi="Arial" w:cs="Arial"/>
                <w:sz w:val="24"/>
                <w:szCs w:val="24"/>
              </w:rPr>
              <w:t>]</w:t>
            </w:r>
            <w:r w:rsidR="00A566DA">
              <w:rPr>
                <w:rFonts w:ascii="Arial" w:hAnsi="Arial" w:cs="Arial"/>
                <w:sz w:val="24"/>
                <w:szCs w:val="24"/>
              </w:rPr>
              <w:t xml:space="preserve"> </w:t>
            </w:r>
            <w:r w:rsidR="00875852" w:rsidRPr="00875852">
              <w:rPr>
                <w:rFonts w:ascii="Arial" w:hAnsi="Arial" w:cs="Arial"/>
                <w:sz w:val="24"/>
                <w:szCs w:val="24"/>
                <w:lang w:val="en-US"/>
              </w:rPr>
              <w:t>Subrule (2), states as follows:</w:t>
            </w:r>
          </w:p>
          <w:p w:rsidR="00875852" w:rsidRPr="00875852" w:rsidRDefault="00875852" w:rsidP="00875852">
            <w:pPr>
              <w:spacing w:line="360" w:lineRule="auto"/>
              <w:jc w:val="both"/>
              <w:rPr>
                <w:rFonts w:ascii="Arial" w:hAnsi="Arial" w:cs="Arial"/>
                <w:sz w:val="24"/>
                <w:szCs w:val="24"/>
                <w:lang w:val="en-US"/>
              </w:rPr>
            </w:pPr>
          </w:p>
          <w:p w:rsidR="00875852" w:rsidRPr="00875852" w:rsidRDefault="00875852" w:rsidP="00875852">
            <w:pPr>
              <w:spacing w:line="360" w:lineRule="auto"/>
              <w:jc w:val="both"/>
              <w:rPr>
                <w:rFonts w:ascii="Arial" w:hAnsi="Arial" w:cs="Arial"/>
                <w:lang w:val="en-US"/>
              </w:rPr>
            </w:pPr>
            <w:r>
              <w:rPr>
                <w:rFonts w:ascii="Arial" w:hAnsi="Arial" w:cs="Arial"/>
                <w:sz w:val="24"/>
                <w:szCs w:val="24"/>
                <w:lang w:val="en-US"/>
              </w:rPr>
              <w:tab/>
            </w:r>
            <w:r w:rsidRPr="00875852">
              <w:rPr>
                <w:rFonts w:ascii="Arial" w:hAnsi="Arial" w:cs="Arial"/>
                <w:sz w:val="24"/>
                <w:szCs w:val="24"/>
                <w:lang w:val="en-US"/>
              </w:rPr>
              <w:t>'</w:t>
            </w:r>
            <w:r w:rsidRPr="00875852">
              <w:rPr>
                <w:rFonts w:ascii="Arial" w:hAnsi="Arial" w:cs="Arial"/>
                <w:lang w:val="en-US"/>
              </w:rPr>
              <w:t xml:space="preserve">(2) Without derogating from any power of the court under these rules the court may </w:t>
            </w:r>
            <w:r w:rsidRPr="00875852">
              <w:rPr>
                <w:rFonts w:ascii="Arial" w:hAnsi="Arial" w:cs="Arial"/>
                <w:lang w:val="en-US"/>
              </w:rPr>
              <w:tab/>
              <w:t>issue an order —</w:t>
            </w:r>
          </w:p>
          <w:p w:rsidR="00875852" w:rsidRPr="00875852" w:rsidRDefault="00875852" w:rsidP="00875852">
            <w:pPr>
              <w:spacing w:line="360" w:lineRule="auto"/>
              <w:jc w:val="both"/>
              <w:rPr>
                <w:rFonts w:ascii="Arial" w:hAnsi="Arial" w:cs="Arial"/>
                <w:lang w:val="en-US"/>
              </w:rPr>
            </w:pPr>
          </w:p>
          <w:p w:rsidR="00875852" w:rsidRPr="00875852" w:rsidRDefault="00875852" w:rsidP="00875852">
            <w:pPr>
              <w:numPr>
                <w:ilvl w:val="0"/>
                <w:numId w:val="12"/>
              </w:numPr>
              <w:spacing w:line="360" w:lineRule="auto"/>
              <w:jc w:val="both"/>
              <w:rPr>
                <w:rFonts w:ascii="Arial" w:hAnsi="Arial" w:cs="Arial"/>
                <w:lang w:val="en-US"/>
              </w:rPr>
            </w:pPr>
            <w:r w:rsidRPr="00875852">
              <w:rPr>
                <w:rFonts w:ascii="Arial" w:hAnsi="Arial" w:cs="Arial"/>
                <w:lang w:val="en-US"/>
              </w:rPr>
              <w:t>refusing to allow the non-compliant party to support or oppose any claims or defences;</w:t>
            </w:r>
          </w:p>
          <w:p w:rsidR="00875852" w:rsidRPr="00875852" w:rsidRDefault="00875852" w:rsidP="00875852">
            <w:pPr>
              <w:numPr>
                <w:ilvl w:val="0"/>
                <w:numId w:val="12"/>
              </w:numPr>
              <w:spacing w:line="360" w:lineRule="auto"/>
              <w:jc w:val="both"/>
              <w:rPr>
                <w:rFonts w:ascii="Arial" w:hAnsi="Arial" w:cs="Arial"/>
                <w:lang w:val="en-US"/>
              </w:rPr>
            </w:pPr>
            <w:r w:rsidRPr="00875852">
              <w:rPr>
                <w:rFonts w:ascii="Arial" w:hAnsi="Arial" w:cs="Arial"/>
                <w:lang w:val="en-US"/>
              </w:rPr>
              <w:t>striking out pleadings or part thereof, including any defence, exception or special plea;</w:t>
            </w:r>
          </w:p>
          <w:p w:rsidR="00875852" w:rsidRPr="00875852" w:rsidRDefault="00875852" w:rsidP="00875852">
            <w:pPr>
              <w:numPr>
                <w:ilvl w:val="0"/>
                <w:numId w:val="12"/>
              </w:numPr>
              <w:spacing w:line="360" w:lineRule="auto"/>
              <w:jc w:val="both"/>
              <w:rPr>
                <w:rFonts w:ascii="Arial" w:hAnsi="Arial" w:cs="Arial"/>
                <w:lang w:val="en-US"/>
              </w:rPr>
            </w:pPr>
            <w:r w:rsidRPr="00875852">
              <w:rPr>
                <w:rFonts w:ascii="Arial" w:hAnsi="Arial" w:cs="Arial"/>
                <w:lang w:val="en-US"/>
              </w:rPr>
              <w:t>dismissing a claim or entering a final judgment; or</w:t>
            </w:r>
          </w:p>
          <w:p w:rsidR="0064073E" w:rsidRPr="00A566DA" w:rsidRDefault="00875852" w:rsidP="00875852">
            <w:pPr>
              <w:spacing w:line="360" w:lineRule="auto"/>
              <w:jc w:val="both"/>
              <w:rPr>
                <w:rFonts w:ascii="Arial" w:hAnsi="Arial" w:cs="Arial"/>
                <w:sz w:val="24"/>
                <w:szCs w:val="24"/>
              </w:rPr>
            </w:pPr>
            <w:r w:rsidRPr="00875852">
              <w:rPr>
                <w:rFonts w:ascii="Arial" w:hAnsi="Arial" w:cs="Arial"/>
                <w:lang w:val="en-US"/>
              </w:rPr>
              <w:tab/>
              <w:t>(d)</w:t>
            </w:r>
            <w:r w:rsidRPr="00875852">
              <w:rPr>
                <w:rFonts w:ascii="Arial" w:hAnsi="Arial" w:cs="Arial"/>
                <w:lang w:val="en-US"/>
              </w:rPr>
              <w:tab/>
              <w:t xml:space="preserve">directing the non-compliant party or his legal practitioner to pay the opposing </w:t>
            </w:r>
            <w:r w:rsidRPr="00875852">
              <w:rPr>
                <w:rFonts w:ascii="Arial" w:hAnsi="Arial" w:cs="Arial"/>
                <w:lang w:val="en-US"/>
              </w:rPr>
              <w:tab/>
            </w:r>
            <w:r w:rsidRPr="00875852">
              <w:rPr>
                <w:rFonts w:ascii="Arial" w:hAnsi="Arial" w:cs="Arial"/>
                <w:lang w:val="en-US"/>
              </w:rPr>
              <w:tab/>
            </w:r>
            <w:r>
              <w:rPr>
                <w:rFonts w:ascii="Arial" w:hAnsi="Arial" w:cs="Arial"/>
                <w:lang w:val="en-US"/>
              </w:rPr>
              <w:tab/>
            </w:r>
            <w:r w:rsidRPr="00875852">
              <w:rPr>
                <w:rFonts w:ascii="Arial" w:hAnsi="Arial" w:cs="Arial"/>
                <w:lang w:val="en-US"/>
              </w:rPr>
              <w:t>party's costs caused by the non-compliance.</w:t>
            </w:r>
            <w:r w:rsidRPr="00875852">
              <w:rPr>
                <w:rFonts w:ascii="Arial" w:hAnsi="Arial" w:cs="Arial"/>
                <w:sz w:val="24"/>
                <w:szCs w:val="24"/>
                <w:lang w:val="en-US"/>
              </w:rPr>
              <w:t>'</w:t>
            </w:r>
          </w:p>
          <w:p w:rsidR="0064073E" w:rsidRPr="00A566DA" w:rsidRDefault="0064073E" w:rsidP="00B318D1">
            <w:pPr>
              <w:spacing w:line="360" w:lineRule="auto"/>
              <w:jc w:val="both"/>
              <w:rPr>
                <w:rFonts w:ascii="Arial" w:hAnsi="Arial" w:cs="Arial"/>
                <w:sz w:val="24"/>
                <w:szCs w:val="24"/>
              </w:rPr>
            </w:pPr>
          </w:p>
          <w:p w:rsidR="00DB0A87" w:rsidRDefault="002462AF" w:rsidP="00B318D1">
            <w:pPr>
              <w:spacing w:line="360" w:lineRule="auto"/>
              <w:jc w:val="both"/>
              <w:rPr>
                <w:rFonts w:ascii="Arial" w:hAnsi="Arial" w:cs="Arial"/>
                <w:sz w:val="24"/>
                <w:szCs w:val="24"/>
                <w:lang w:val="en-US"/>
              </w:rPr>
            </w:pPr>
            <w:r>
              <w:rPr>
                <w:rFonts w:ascii="Arial" w:hAnsi="Arial" w:cs="Arial"/>
                <w:sz w:val="24"/>
                <w:szCs w:val="24"/>
              </w:rPr>
              <w:t>[11]</w:t>
            </w:r>
            <w:r w:rsidR="00A566DA">
              <w:rPr>
                <w:rFonts w:ascii="Arial" w:hAnsi="Arial" w:cs="Arial"/>
                <w:sz w:val="24"/>
                <w:szCs w:val="24"/>
              </w:rPr>
              <w:t xml:space="preserve"> </w:t>
            </w:r>
            <w:r w:rsidR="00875852" w:rsidRPr="00875852">
              <w:rPr>
                <w:rFonts w:ascii="Arial" w:hAnsi="Arial" w:cs="Arial"/>
                <w:sz w:val="24"/>
                <w:szCs w:val="24"/>
                <w:lang w:val="en-US"/>
              </w:rPr>
              <w:t>It is the application by the Defendants and the request by the Plaintiff that I now proceed to consider the mentioned matters as stated above, but before I do so, I will briefly outline the legal principles that are applicable to applications for condonation under Part 6 of the rules.</w:t>
            </w:r>
          </w:p>
          <w:p w:rsidR="00C87417" w:rsidRPr="00A566DA" w:rsidRDefault="00C87417" w:rsidP="00B318D1">
            <w:pPr>
              <w:spacing w:line="360" w:lineRule="auto"/>
              <w:jc w:val="both"/>
              <w:rPr>
                <w:rFonts w:ascii="Arial" w:hAnsi="Arial" w:cs="Arial"/>
                <w:sz w:val="24"/>
                <w:szCs w:val="24"/>
              </w:rPr>
            </w:pPr>
          </w:p>
          <w:p w:rsidR="00875852" w:rsidRDefault="00875852" w:rsidP="00875852">
            <w:pPr>
              <w:spacing w:line="360" w:lineRule="auto"/>
              <w:jc w:val="both"/>
              <w:rPr>
                <w:rFonts w:ascii="Arial" w:hAnsi="Arial" w:cs="Arial"/>
                <w:sz w:val="24"/>
                <w:szCs w:val="24"/>
                <w:u w:val="single"/>
              </w:rPr>
            </w:pPr>
            <w:r>
              <w:rPr>
                <w:rFonts w:ascii="Arial" w:hAnsi="Arial" w:cs="Arial"/>
                <w:sz w:val="24"/>
                <w:szCs w:val="24"/>
                <w:u w:val="single"/>
              </w:rPr>
              <w:t>The legal principles</w:t>
            </w:r>
          </w:p>
          <w:p w:rsidR="00875852" w:rsidRDefault="00875852" w:rsidP="00B318D1">
            <w:pPr>
              <w:spacing w:line="360" w:lineRule="auto"/>
              <w:jc w:val="both"/>
              <w:rPr>
                <w:rFonts w:ascii="Arial" w:hAnsi="Arial" w:cs="Arial"/>
                <w:sz w:val="24"/>
                <w:szCs w:val="24"/>
              </w:rPr>
            </w:pPr>
          </w:p>
          <w:p w:rsidR="00875852" w:rsidRPr="00875852" w:rsidRDefault="002462AF" w:rsidP="00875852">
            <w:pPr>
              <w:spacing w:line="360" w:lineRule="auto"/>
              <w:jc w:val="both"/>
              <w:rPr>
                <w:rFonts w:ascii="Arial" w:hAnsi="Arial" w:cs="Arial"/>
                <w:sz w:val="24"/>
                <w:szCs w:val="24"/>
                <w:lang w:val="en-US"/>
              </w:rPr>
            </w:pPr>
            <w:r>
              <w:rPr>
                <w:rFonts w:ascii="Arial" w:hAnsi="Arial" w:cs="Arial"/>
                <w:sz w:val="24"/>
                <w:szCs w:val="24"/>
                <w:lang w:val="en-US"/>
              </w:rPr>
              <w:lastRenderedPageBreak/>
              <w:t>[12]</w:t>
            </w:r>
            <w:r w:rsidR="00875852">
              <w:rPr>
                <w:rFonts w:ascii="Arial" w:hAnsi="Arial" w:cs="Arial"/>
                <w:sz w:val="24"/>
                <w:szCs w:val="24"/>
                <w:lang w:val="en-US"/>
              </w:rPr>
              <w:t xml:space="preserve"> </w:t>
            </w:r>
            <w:r w:rsidR="00875852" w:rsidRPr="00875852">
              <w:rPr>
                <w:rFonts w:ascii="Arial" w:hAnsi="Arial" w:cs="Arial"/>
                <w:sz w:val="24"/>
                <w:szCs w:val="24"/>
                <w:lang w:val="en-US"/>
              </w:rPr>
              <w:t>Rule 55(1) of the Rules of Court</w:t>
            </w:r>
            <w:r w:rsidR="00875852" w:rsidRPr="00875852">
              <w:rPr>
                <w:rFonts w:ascii="Arial" w:hAnsi="Arial" w:cs="Arial"/>
                <w:sz w:val="24"/>
                <w:szCs w:val="24"/>
                <w:vertAlign w:val="superscript"/>
                <w:lang w:val="en-US"/>
              </w:rPr>
              <w:footnoteReference w:id="1"/>
            </w:r>
            <w:r w:rsidR="00875852" w:rsidRPr="00875852">
              <w:rPr>
                <w:rFonts w:ascii="Arial" w:hAnsi="Arial" w:cs="Arial"/>
                <w:sz w:val="24"/>
                <w:szCs w:val="24"/>
                <w:lang w:val="en-US"/>
              </w:rPr>
              <w:t xml:space="preserve"> reads as follows:</w:t>
            </w:r>
          </w:p>
          <w:p w:rsidR="00875852" w:rsidRPr="00875852" w:rsidRDefault="00875852" w:rsidP="00875852">
            <w:pPr>
              <w:spacing w:line="360" w:lineRule="auto"/>
              <w:jc w:val="both"/>
              <w:rPr>
                <w:rFonts w:ascii="Arial" w:hAnsi="Arial" w:cs="Arial"/>
                <w:sz w:val="24"/>
                <w:szCs w:val="24"/>
                <w:lang w:val="en-US"/>
              </w:rPr>
            </w:pPr>
          </w:p>
          <w:p w:rsidR="0064073E" w:rsidRDefault="00875852" w:rsidP="00875852">
            <w:pPr>
              <w:spacing w:line="360" w:lineRule="auto"/>
              <w:jc w:val="both"/>
              <w:rPr>
                <w:rFonts w:ascii="Arial" w:hAnsi="Arial" w:cs="Arial"/>
                <w:sz w:val="24"/>
                <w:szCs w:val="24"/>
                <w:lang w:val="en-US"/>
              </w:rPr>
            </w:pPr>
            <w:r>
              <w:rPr>
                <w:rFonts w:ascii="Arial" w:hAnsi="Arial" w:cs="Arial"/>
                <w:sz w:val="24"/>
                <w:szCs w:val="24"/>
                <w:lang w:val="en-US"/>
              </w:rPr>
              <w:tab/>
            </w:r>
            <w:r w:rsidRPr="00875852">
              <w:rPr>
                <w:rFonts w:ascii="Arial" w:hAnsi="Arial" w:cs="Arial"/>
                <w:lang w:val="en-US"/>
              </w:rPr>
              <w:t xml:space="preserve">‘(1) The court or the managing judge may, on application on notice to every party </w:t>
            </w:r>
            <w:r w:rsidRPr="00875852">
              <w:rPr>
                <w:rFonts w:ascii="Arial" w:hAnsi="Arial" w:cs="Arial"/>
                <w:lang w:val="en-US"/>
              </w:rPr>
              <w:tab/>
              <w:t xml:space="preserve">and on good cause shown, make an order extending or shortening a time prescribed </w:t>
            </w:r>
            <w:r w:rsidRPr="00875852">
              <w:rPr>
                <w:rFonts w:ascii="Arial" w:hAnsi="Arial" w:cs="Arial"/>
                <w:lang w:val="en-US"/>
              </w:rPr>
              <w:tab/>
              <w:t xml:space="preserve">by these rules or by an order of court for doing an act or taking a step in connection </w:t>
            </w:r>
            <w:r w:rsidRPr="00875852">
              <w:rPr>
                <w:rFonts w:ascii="Arial" w:hAnsi="Arial" w:cs="Arial"/>
                <w:lang w:val="en-US"/>
              </w:rPr>
              <w:tab/>
              <w:t xml:space="preserve">with proceedings of any nature whatsoever, on such terms as the court or managing </w:t>
            </w:r>
            <w:r w:rsidRPr="00875852">
              <w:rPr>
                <w:rFonts w:ascii="Arial" w:hAnsi="Arial" w:cs="Arial"/>
                <w:lang w:val="en-US"/>
              </w:rPr>
              <w:tab/>
              <w:t>judge considers suitable or appropriate.</w:t>
            </w:r>
            <w:r w:rsidRPr="00875852">
              <w:rPr>
                <w:rFonts w:ascii="Arial" w:hAnsi="Arial" w:cs="Arial"/>
                <w:sz w:val="24"/>
                <w:szCs w:val="24"/>
                <w:lang w:val="en-US"/>
              </w:rPr>
              <w:t xml:space="preserve">’ </w:t>
            </w:r>
          </w:p>
          <w:p w:rsidR="00875852" w:rsidRPr="00A566DA" w:rsidRDefault="00875852" w:rsidP="00875852">
            <w:pPr>
              <w:spacing w:line="360" w:lineRule="auto"/>
              <w:jc w:val="both"/>
              <w:rPr>
                <w:rFonts w:ascii="Arial" w:hAnsi="Arial" w:cs="Arial"/>
                <w:sz w:val="24"/>
                <w:szCs w:val="24"/>
              </w:rPr>
            </w:pPr>
          </w:p>
          <w:p w:rsidR="00875852" w:rsidRPr="00875852" w:rsidRDefault="002462AF" w:rsidP="00875852">
            <w:pPr>
              <w:rPr>
                <w:rFonts w:ascii="Arial" w:hAnsi="Arial" w:cs="Arial"/>
                <w:sz w:val="24"/>
                <w:szCs w:val="24"/>
                <w:lang w:val="en-US"/>
              </w:rPr>
            </w:pPr>
            <w:r>
              <w:rPr>
                <w:rFonts w:ascii="Arial" w:hAnsi="Arial" w:cs="Arial"/>
                <w:sz w:val="24"/>
                <w:szCs w:val="24"/>
                <w:lang w:val="en-US"/>
              </w:rPr>
              <w:t>[</w:t>
            </w:r>
            <w:r w:rsidR="00875852" w:rsidRPr="00875852">
              <w:rPr>
                <w:rFonts w:ascii="Arial" w:hAnsi="Arial" w:cs="Arial"/>
                <w:sz w:val="24"/>
                <w:szCs w:val="24"/>
                <w:lang w:val="en-US"/>
              </w:rPr>
              <w:t>13</w:t>
            </w:r>
            <w:r>
              <w:rPr>
                <w:rFonts w:ascii="Arial" w:hAnsi="Arial" w:cs="Arial"/>
                <w:sz w:val="24"/>
                <w:szCs w:val="24"/>
                <w:lang w:val="en-US"/>
              </w:rPr>
              <w:t>]</w:t>
            </w:r>
            <w:r w:rsidR="00875852">
              <w:rPr>
                <w:rFonts w:ascii="Arial" w:hAnsi="Arial" w:cs="Arial"/>
                <w:sz w:val="24"/>
                <w:szCs w:val="24"/>
                <w:lang w:val="en-US"/>
              </w:rPr>
              <w:t xml:space="preserve"> </w:t>
            </w:r>
            <w:r w:rsidR="00875852" w:rsidRPr="00875852">
              <w:rPr>
                <w:rFonts w:ascii="Arial" w:hAnsi="Arial" w:cs="Arial"/>
                <w:sz w:val="24"/>
                <w:szCs w:val="24"/>
                <w:lang w:val="en-US"/>
              </w:rPr>
              <w:t>Rule 56 reads as follows:</w:t>
            </w:r>
          </w:p>
          <w:p w:rsidR="00875852" w:rsidRPr="00875852" w:rsidRDefault="00875852" w:rsidP="00875852">
            <w:pPr>
              <w:spacing w:line="360" w:lineRule="auto"/>
              <w:jc w:val="both"/>
              <w:rPr>
                <w:rFonts w:ascii="Arial" w:hAnsi="Arial" w:cs="Arial"/>
                <w:sz w:val="24"/>
                <w:szCs w:val="24"/>
                <w:lang w:val="en-US"/>
              </w:rPr>
            </w:pPr>
          </w:p>
          <w:p w:rsidR="00875852" w:rsidRPr="00C87417" w:rsidRDefault="00875852" w:rsidP="00875852">
            <w:pPr>
              <w:spacing w:line="360" w:lineRule="auto"/>
              <w:jc w:val="both"/>
              <w:rPr>
                <w:rFonts w:ascii="Arial" w:hAnsi="Arial" w:cs="Arial"/>
                <w:lang w:val="en-US"/>
              </w:rPr>
            </w:pPr>
            <w:r>
              <w:rPr>
                <w:rFonts w:ascii="Arial" w:hAnsi="Arial" w:cs="Arial"/>
                <w:sz w:val="24"/>
                <w:szCs w:val="24"/>
                <w:lang w:val="en-US"/>
              </w:rPr>
              <w:tab/>
            </w:r>
            <w:r w:rsidRPr="00C87417">
              <w:rPr>
                <w:rFonts w:ascii="Arial" w:hAnsi="Arial" w:cs="Arial"/>
                <w:lang w:val="en-US"/>
              </w:rPr>
              <w:t xml:space="preserve">‘(1) On application for relief from a sanction imposed or an adverse consequence </w:t>
            </w:r>
            <w:r w:rsidRPr="00C87417">
              <w:rPr>
                <w:rFonts w:ascii="Arial" w:hAnsi="Arial" w:cs="Arial"/>
                <w:lang w:val="en-US"/>
              </w:rPr>
              <w:tab/>
              <w:t xml:space="preserve">arising from a failure to comply with a rule, practice direction or court order, the court </w:t>
            </w:r>
            <w:r w:rsidRPr="00C87417">
              <w:rPr>
                <w:rFonts w:ascii="Arial" w:hAnsi="Arial" w:cs="Arial"/>
                <w:lang w:val="en-US"/>
              </w:rPr>
              <w:tab/>
              <w:t xml:space="preserve">will consider all the circumstances, including – </w:t>
            </w:r>
          </w:p>
          <w:p w:rsidR="00875852" w:rsidRPr="00C87417" w:rsidRDefault="00875852" w:rsidP="00875852">
            <w:pPr>
              <w:spacing w:line="360" w:lineRule="auto"/>
              <w:jc w:val="both"/>
              <w:rPr>
                <w:rFonts w:ascii="Arial" w:hAnsi="Arial" w:cs="Arial"/>
                <w:lang w:val="en-US"/>
              </w:rPr>
            </w:pP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whether the application for relief has been made promptly;</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whether the failure to comply is intentional;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whether there is sufficient explanation for the failure;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the extent to which the party in default has complied with other rules, practice directions or court orders;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whether the failure to comply is caused by the party or by his or her legal practitioner;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whether the trial date or the likely trial date can still be met if relief is granted;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 xml:space="preserve">the effect which the failure to comply has or is likely to have on each party; and </w:t>
            </w:r>
          </w:p>
          <w:p w:rsidR="00875852" w:rsidRPr="00C87417" w:rsidRDefault="00875852" w:rsidP="00875852">
            <w:pPr>
              <w:numPr>
                <w:ilvl w:val="0"/>
                <w:numId w:val="13"/>
              </w:numPr>
              <w:spacing w:line="360" w:lineRule="auto"/>
              <w:jc w:val="both"/>
              <w:rPr>
                <w:rFonts w:ascii="Arial" w:hAnsi="Arial" w:cs="Arial"/>
                <w:lang w:val="en-US"/>
              </w:rPr>
            </w:pPr>
            <w:r w:rsidRPr="00C87417">
              <w:rPr>
                <w:rFonts w:ascii="Arial" w:hAnsi="Arial" w:cs="Arial"/>
                <w:lang w:val="en-US"/>
              </w:rPr>
              <w:t>the effect which the granting of relief would have on each party and the interests of the administration of justice.</w:t>
            </w:r>
          </w:p>
          <w:p w:rsidR="00875852" w:rsidRPr="00C87417" w:rsidRDefault="00875852" w:rsidP="00875852">
            <w:pPr>
              <w:spacing w:line="360" w:lineRule="auto"/>
              <w:jc w:val="both"/>
              <w:rPr>
                <w:rFonts w:ascii="Arial" w:hAnsi="Arial" w:cs="Arial"/>
                <w:lang w:val="en-US"/>
              </w:rPr>
            </w:pPr>
          </w:p>
          <w:p w:rsidR="00875852" w:rsidRPr="00C87417" w:rsidRDefault="00875852" w:rsidP="00875852">
            <w:pPr>
              <w:spacing w:line="360" w:lineRule="auto"/>
              <w:jc w:val="both"/>
              <w:rPr>
                <w:rFonts w:ascii="Arial" w:hAnsi="Arial" w:cs="Arial"/>
                <w:lang w:val="en-US"/>
              </w:rPr>
            </w:pPr>
            <w:r w:rsidRPr="00C87417">
              <w:rPr>
                <w:rFonts w:ascii="Arial" w:hAnsi="Arial" w:cs="Arial"/>
                <w:lang w:val="en-US"/>
              </w:rPr>
              <w:tab/>
              <w:t xml:space="preserve">(2) An application for relief must be supported by evidence. </w:t>
            </w:r>
          </w:p>
          <w:p w:rsidR="00875852" w:rsidRPr="00C87417" w:rsidRDefault="00875852" w:rsidP="00875852">
            <w:pPr>
              <w:spacing w:line="360" w:lineRule="auto"/>
              <w:jc w:val="both"/>
              <w:rPr>
                <w:rFonts w:ascii="Arial" w:hAnsi="Arial" w:cs="Arial"/>
                <w:lang w:val="en-US"/>
              </w:rPr>
            </w:pPr>
          </w:p>
          <w:p w:rsidR="0064073E" w:rsidRPr="00C87417" w:rsidRDefault="00C87417" w:rsidP="00875852">
            <w:pPr>
              <w:spacing w:line="360" w:lineRule="auto"/>
              <w:jc w:val="both"/>
              <w:rPr>
                <w:rFonts w:ascii="Arial" w:hAnsi="Arial" w:cs="Arial"/>
              </w:rPr>
            </w:pPr>
            <w:r w:rsidRPr="00C87417">
              <w:rPr>
                <w:rFonts w:ascii="Arial" w:hAnsi="Arial" w:cs="Arial"/>
                <w:lang w:val="en-US"/>
              </w:rPr>
              <w:tab/>
            </w:r>
            <w:r w:rsidR="00875852" w:rsidRPr="00C87417">
              <w:rPr>
                <w:rFonts w:ascii="Arial" w:hAnsi="Arial" w:cs="Arial"/>
                <w:lang w:val="en-US"/>
              </w:rPr>
              <w:t>(3)</w:t>
            </w:r>
            <w:r w:rsidRPr="00C87417">
              <w:rPr>
                <w:rFonts w:ascii="Arial" w:hAnsi="Arial" w:cs="Arial"/>
                <w:lang w:val="en-US"/>
              </w:rPr>
              <w:t xml:space="preserve"> </w:t>
            </w:r>
            <w:r w:rsidR="00875852" w:rsidRPr="00C87417">
              <w:rPr>
                <w:rFonts w:ascii="Arial" w:hAnsi="Arial" w:cs="Arial"/>
                <w:lang w:val="en-US"/>
              </w:rPr>
              <w:t xml:space="preserve">The managing judge may, on good cause shown, condone a non-compliance </w:t>
            </w:r>
            <w:r w:rsidR="00875852" w:rsidRPr="00C87417">
              <w:rPr>
                <w:rFonts w:ascii="Arial" w:hAnsi="Arial" w:cs="Arial"/>
                <w:lang w:val="en-US"/>
              </w:rPr>
              <w:tab/>
              <w:t xml:space="preserve">with </w:t>
            </w:r>
            <w:r>
              <w:rPr>
                <w:rFonts w:ascii="Arial" w:hAnsi="Arial" w:cs="Arial"/>
                <w:lang w:val="en-US"/>
              </w:rPr>
              <w:tab/>
            </w:r>
            <w:r w:rsidR="00875852" w:rsidRPr="00C87417">
              <w:rPr>
                <w:rFonts w:ascii="Arial" w:hAnsi="Arial" w:cs="Arial"/>
                <w:lang w:val="en-US"/>
              </w:rPr>
              <w:t>these rules, practice direction or court order’</w:t>
            </w:r>
          </w:p>
          <w:p w:rsidR="00A566DA" w:rsidRDefault="00A566DA" w:rsidP="00B318D1">
            <w:pPr>
              <w:spacing w:line="360" w:lineRule="auto"/>
              <w:jc w:val="both"/>
              <w:rPr>
                <w:rFonts w:ascii="Arial" w:hAnsi="Arial" w:cs="Arial"/>
                <w:sz w:val="24"/>
                <w:szCs w:val="24"/>
              </w:rPr>
            </w:pPr>
          </w:p>
          <w:p w:rsidR="0064073E" w:rsidRPr="00A566DA" w:rsidRDefault="002462AF" w:rsidP="00B318D1">
            <w:pPr>
              <w:spacing w:line="360" w:lineRule="auto"/>
              <w:jc w:val="both"/>
              <w:rPr>
                <w:rFonts w:ascii="Arial" w:hAnsi="Arial" w:cs="Arial"/>
                <w:sz w:val="24"/>
                <w:szCs w:val="24"/>
              </w:rPr>
            </w:pPr>
            <w:r>
              <w:rPr>
                <w:rFonts w:ascii="Arial" w:hAnsi="Arial" w:cs="Arial"/>
                <w:sz w:val="24"/>
                <w:szCs w:val="24"/>
              </w:rPr>
              <w:t>[14]</w:t>
            </w:r>
            <w:r w:rsidR="00A566DA">
              <w:rPr>
                <w:rFonts w:ascii="Arial" w:hAnsi="Arial" w:cs="Arial"/>
                <w:sz w:val="24"/>
                <w:szCs w:val="24"/>
              </w:rPr>
              <w:t xml:space="preserve"> </w:t>
            </w:r>
            <w:r w:rsidR="00C87417" w:rsidRPr="00C87417">
              <w:rPr>
                <w:rFonts w:ascii="Arial" w:hAnsi="Arial" w:cs="Arial"/>
                <w:sz w:val="24"/>
                <w:szCs w:val="24"/>
                <w:lang w:val="en-US"/>
              </w:rPr>
              <w:t xml:space="preserve">What is clear from the above quoted rules is that the Court, when it applies sanctions to an errant party, or considers an application for condonation it exercises a discretion, and as it has been said many a times in this Court, the exercise of this discretion must be done </w:t>
            </w:r>
            <w:r w:rsidR="00C87417" w:rsidRPr="00C87417">
              <w:rPr>
                <w:rFonts w:ascii="Arial" w:hAnsi="Arial" w:cs="Arial"/>
                <w:sz w:val="24"/>
                <w:szCs w:val="24"/>
                <w:lang w:val="en-US"/>
              </w:rPr>
              <w:lastRenderedPageBreak/>
              <w:t>judiciously, in other words, not capriciously but in accordance with established legal principles.</w:t>
            </w:r>
          </w:p>
          <w:p w:rsidR="002973FD" w:rsidRPr="00A566DA" w:rsidRDefault="002973FD" w:rsidP="00B318D1">
            <w:pPr>
              <w:spacing w:line="360" w:lineRule="auto"/>
              <w:jc w:val="both"/>
              <w:rPr>
                <w:rFonts w:ascii="Arial" w:hAnsi="Arial" w:cs="Arial"/>
                <w:sz w:val="24"/>
                <w:szCs w:val="24"/>
              </w:rPr>
            </w:pPr>
          </w:p>
          <w:p w:rsidR="00C87417" w:rsidRPr="00C87417" w:rsidRDefault="002462AF" w:rsidP="00C87417">
            <w:pPr>
              <w:spacing w:line="360" w:lineRule="auto"/>
              <w:jc w:val="both"/>
              <w:rPr>
                <w:rFonts w:ascii="Arial" w:hAnsi="Arial" w:cs="Arial"/>
                <w:sz w:val="24"/>
                <w:szCs w:val="24"/>
                <w:lang w:val="en-US"/>
              </w:rPr>
            </w:pPr>
            <w:r>
              <w:rPr>
                <w:rFonts w:ascii="Arial" w:hAnsi="Arial" w:cs="Arial"/>
                <w:sz w:val="24"/>
                <w:szCs w:val="24"/>
              </w:rPr>
              <w:t>[15]</w:t>
            </w:r>
            <w:r w:rsidR="00A566DA">
              <w:rPr>
                <w:rFonts w:ascii="Arial" w:hAnsi="Arial" w:cs="Arial"/>
                <w:sz w:val="24"/>
                <w:szCs w:val="24"/>
              </w:rPr>
              <w:t xml:space="preserve"> </w:t>
            </w:r>
            <w:r w:rsidR="00C87417" w:rsidRPr="00C87417">
              <w:rPr>
                <w:rFonts w:ascii="Arial" w:hAnsi="Arial" w:cs="Arial"/>
                <w:sz w:val="24"/>
                <w:szCs w:val="24"/>
                <w:lang w:val="en-US"/>
              </w:rPr>
              <w:t xml:space="preserve">In </w:t>
            </w:r>
            <w:r w:rsidR="00C87417" w:rsidRPr="00C87417">
              <w:rPr>
                <w:rFonts w:ascii="Arial" w:hAnsi="Arial" w:cs="Arial"/>
                <w:i/>
                <w:sz w:val="24"/>
                <w:szCs w:val="24"/>
                <w:lang w:val="en-US"/>
              </w:rPr>
              <w:t>Donatus v Ministry of Health and Social Welfare,</w:t>
            </w:r>
            <w:r w:rsidR="00C87417" w:rsidRPr="00C87417">
              <w:rPr>
                <w:rFonts w:ascii="Arial" w:hAnsi="Arial" w:cs="Arial"/>
                <w:i/>
                <w:sz w:val="24"/>
                <w:szCs w:val="24"/>
                <w:vertAlign w:val="superscript"/>
                <w:lang w:val="en-US"/>
              </w:rPr>
              <w:footnoteReference w:id="2"/>
            </w:r>
            <w:r w:rsidR="00C87417" w:rsidRPr="00C87417">
              <w:rPr>
                <w:rFonts w:ascii="Arial" w:hAnsi="Arial" w:cs="Arial"/>
                <w:sz w:val="24"/>
                <w:szCs w:val="24"/>
                <w:lang w:val="en-US"/>
              </w:rPr>
              <w:t xml:space="preserve"> Masuku J remarked that when applying sanctions to an errant party, the Court exercises a discretion and has at its disposal a panoply of alternatives in terms of punishing a party that is in default of a court order or direction. The learned judge proceeded and said:</w:t>
            </w:r>
          </w:p>
          <w:p w:rsidR="00C87417" w:rsidRPr="00C87417" w:rsidRDefault="00C87417" w:rsidP="00C87417">
            <w:pPr>
              <w:spacing w:line="360" w:lineRule="auto"/>
              <w:jc w:val="both"/>
              <w:rPr>
                <w:rFonts w:ascii="Arial" w:hAnsi="Arial" w:cs="Arial"/>
                <w:sz w:val="24"/>
                <w:szCs w:val="24"/>
                <w:lang w:val="en-US"/>
              </w:rPr>
            </w:pPr>
          </w:p>
          <w:p w:rsidR="002973FD" w:rsidRPr="00C87417" w:rsidRDefault="00C87417" w:rsidP="00C87417">
            <w:pPr>
              <w:spacing w:line="360" w:lineRule="auto"/>
              <w:jc w:val="both"/>
              <w:rPr>
                <w:rFonts w:ascii="Arial" w:hAnsi="Arial" w:cs="Arial"/>
              </w:rPr>
            </w:pPr>
            <w:r>
              <w:rPr>
                <w:rFonts w:ascii="Arial" w:hAnsi="Arial" w:cs="Arial"/>
                <w:sz w:val="24"/>
                <w:szCs w:val="24"/>
                <w:lang w:val="en-US"/>
              </w:rPr>
              <w:tab/>
            </w:r>
            <w:r w:rsidRPr="00C87417">
              <w:rPr>
                <w:rFonts w:ascii="Arial" w:hAnsi="Arial" w:cs="Arial"/>
                <w:lang w:val="en-US"/>
              </w:rPr>
              <w:t xml:space="preserve">‘In this regard, it would seem to me that the court should enter an order that is just, </w:t>
            </w:r>
            <w:r w:rsidRPr="00C87417">
              <w:rPr>
                <w:rFonts w:ascii="Arial" w:hAnsi="Arial" w:cs="Arial"/>
                <w:lang w:val="en-US"/>
              </w:rPr>
              <w:tab/>
              <w:t xml:space="preserve">appropriate and fair in all the circumstances. It would seem to me that the court has </w:t>
            </w:r>
            <w:r w:rsidRPr="00C87417">
              <w:rPr>
                <w:rFonts w:ascii="Arial" w:hAnsi="Arial" w:cs="Arial"/>
                <w:lang w:val="en-US"/>
              </w:rPr>
              <w:tab/>
              <w:t>to consider the case at hand; its nuances; the nature of the non-compliance; its</w:t>
            </w:r>
            <w:r>
              <w:rPr>
                <w:rFonts w:ascii="Arial" w:hAnsi="Arial" w:cs="Arial"/>
                <w:lang w:val="en-US"/>
              </w:rPr>
              <w:t xml:space="preserve"> </w:t>
            </w:r>
            <w:r w:rsidRPr="00C87417">
              <w:rPr>
                <w:rFonts w:ascii="Arial" w:hAnsi="Arial" w:cs="Arial"/>
                <w:lang w:val="en-US"/>
              </w:rPr>
              <w:t>extent;</w:t>
            </w:r>
            <w:r>
              <w:rPr>
                <w:rFonts w:ascii="Arial" w:hAnsi="Arial" w:cs="Arial"/>
                <w:lang w:val="en-US"/>
              </w:rPr>
              <w:t xml:space="preserve"> </w:t>
            </w:r>
            <w:r w:rsidRPr="00C87417">
              <w:rPr>
                <w:rFonts w:ascii="Arial" w:hAnsi="Arial" w:cs="Arial"/>
                <w:lang w:val="en-US"/>
              </w:rPr>
              <w:t xml:space="preserve">its </w:t>
            </w:r>
            <w:r>
              <w:rPr>
                <w:rFonts w:ascii="Arial" w:hAnsi="Arial" w:cs="Arial"/>
                <w:lang w:val="en-US"/>
              </w:rPr>
              <w:tab/>
            </w:r>
            <w:r w:rsidRPr="00C87417">
              <w:rPr>
                <w:rFonts w:ascii="Arial" w:hAnsi="Arial" w:cs="Arial"/>
                <w:lang w:val="en-US"/>
              </w:rPr>
              <w:t xml:space="preserve">effect on the further conduct on the proceedings; the attitude or </w:t>
            </w:r>
            <w:r>
              <w:rPr>
                <w:rFonts w:ascii="Arial" w:hAnsi="Arial" w:cs="Arial"/>
                <w:lang w:val="en-US"/>
              </w:rPr>
              <w:t xml:space="preserve">behavior </w:t>
            </w:r>
            <w:r w:rsidRPr="00C87417">
              <w:rPr>
                <w:rFonts w:ascii="Arial" w:hAnsi="Arial" w:cs="Arial"/>
                <w:lang w:val="en-US"/>
              </w:rPr>
              <w:t>of the</w:t>
            </w:r>
            <w:r>
              <w:rPr>
                <w:rFonts w:ascii="Arial" w:hAnsi="Arial" w:cs="Arial"/>
                <w:lang w:val="en-US"/>
              </w:rPr>
              <w:t xml:space="preserve"> </w:t>
            </w:r>
            <w:r w:rsidRPr="00C87417">
              <w:rPr>
                <w:rFonts w:ascii="Arial" w:hAnsi="Arial" w:cs="Arial"/>
                <w:lang w:val="en-US"/>
              </w:rPr>
              <w:t xml:space="preserve">party or its </w:t>
            </w:r>
            <w:r>
              <w:rPr>
                <w:rFonts w:ascii="Arial" w:hAnsi="Arial" w:cs="Arial"/>
                <w:lang w:val="en-US"/>
              </w:rPr>
              <w:tab/>
            </w:r>
            <w:r w:rsidRPr="00C87417">
              <w:rPr>
                <w:rFonts w:ascii="Arial" w:hAnsi="Arial" w:cs="Arial"/>
                <w:lang w:val="en-US"/>
              </w:rPr>
              <w:t>legal representative, to mention some of the considerations, and</w:t>
            </w:r>
            <w:r>
              <w:rPr>
                <w:rFonts w:ascii="Arial" w:hAnsi="Arial" w:cs="Arial"/>
                <w:lang w:val="en-US"/>
              </w:rPr>
              <w:t xml:space="preserve"> </w:t>
            </w:r>
            <w:r w:rsidRPr="00C87417">
              <w:rPr>
                <w:rFonts w:ascii="Arial" w:hAnsi="Arial" w:cs="Arial"/>
                <w:lang w:val="en-US"/>
              </w:rPr>
              <w:t xml:space="preserve">thereafter make a value </w:t>
            </w:r>
            <w:r>
              <w:rPr>
                <w:rFonts w:ascii="Arial" w:hAnsi="Arial" w:cs="Arial"/>
                <w:lang w:val="en-US"/>
              </w:rPr>
              <w:tab/>
            </w:r>
            <w:r w:rsidRPr="00C87417">
              <w:rPr>
                <w:rFonts w:ascii="Arial" w:hAnsi="Arial" w:cs="Arial"/>
                <w:lang w:val="en-US"/>
              </w:rPr>
              <w:t>judgment that will at the end meet the justice of the case’</w:t>
            </w:r>
            <w:r w:rsidRPr="00C87417">
              <w:rPr>
                <w:rFonts w:ascii="Arial" w:hAnsi="Arial" w:cs="Arial"/>
                <w:vertAlign w:val="superscript"/>
                <w:lang w:val="en-US"/>
              </w:rPr>
              <w:footnoteReference w:id="3"/>
            </w:r>
            <w:r w:rsidRPr="00C87417">
              <w:rPr>
                <w:rFonts w:ascii="Arial" w:hAnsi="Arial" w:cs="Arial"/>
                <w:lang w:val="en-US"/>
              </w:rPr>
              <w:t>.</w:t>
            </w:r>
          </w:p>
          <w:p w:rsidR="002973FD" w:rsidRPr="00A566DA" w:rsidRDefault="002973FD" w:rsidP="00B318D1">
            <w:pPr>
              <w:spacing w:line="360" w:lineRule="auto"/>
              <w:jc w:val="both"/>
              <w:rPr>
                <w:rFonts w:ascii="Arial" w:hAnsi="Arial" w:cs="Arial"/>
                <w:sz w:val="24"/>
                <w:szCs w:val="24"/>
              </w:rPr>
            </w:pPr>
          </w:p>
          <w:p w:rsidR="00C87417" w:rsidRPr="00C87417" w:rsidRDefault="002462AF" w:rsidP="00C87417">
            <w:pPr>
              <w:spacing w:line="360" w:lineRule="auto"/>
              <w:jc w:val="both"/>
              <w:rPr>
                <w:rFonts w:ascii="Arial" w:hAnsi="Arial" w:cs="Arial"/>
                <w:sz w:val="24"/>
                <w:szCs w:val="24"/>
                <w:lang w:val="en-US"/>
              </w:rPr>
            </w:pPr>
            <w:r>
              <w:rPr>
                <w:rFonts w:ascii="Arial" w:hAnsi="Arial" w:cs="Arial"/>
                <w:sz w:val="24"/>
                <w:szCs w:val="24"/>
              </w:rPr>
              <w:t>[16]</w:t>
            </w:r>
            <w:r w:rsidR="00A566DA">
              <w:rPr>
                <w:rFonts w:ascii="Arial" w:hAnsi="Arial" w:cs="Arial"/>
                <w:sz w:val="24"/>
                <w:szCs w:val="24"/>
              </w:rPr>
              <w:t xml:space="preserve"> </w:t>
            </w:r>
            <w:r w:rsidR="00C87417" w:rsidRPr="00C87417">
              <w:rPr>
                <w:rFonts w:ascii="Arial" w:hAnsi="Arial" w:cs="Arial"/>
                <w:sz w:val="24"/>
                <w:szCs w:val="24"/>
                <w:lang w:val="en-US"/>
              </w:rPr>
              <w:t xml:space="preserve">As regards applications for condonation, the Supreme Court in </w:t>
            </w:r>
            <w:r w:rsidR="00C87417" w:rsidRPr="00C87417">
              <w:rPr>
                <w:rFonts w:ascii="Arial" w:hAnsi="Arial" w:cs="Arial"/>
                <w:i/>
                <w:sz w:val="24"/>
                <w:szCs w:val="24"/>
                <w:lang w:val="en-US"/>
              </w:rPr>
              <w:t>Beukes and Another v South West Africa Building Society (Swabou) and 5 Others,</w:t>
            </w:r>
            <w:r w:rsidR="00C87417" w:rsidRPr="00C87417">
              <w:rPr>
                <w:rFonts w:ascii="Arial" w:hAnsi="Arial" w:cs="Arial"/>
                <w:i/>
                <w:sz w:val="24"/>
                <w:szCs w:val="24"/>
                <w:vertAlign w:val="superscript"/>
                <w:lang w:val="en-US"/>
              </w:rPr>
              <w:footnoteReference w:id="4"/>
            </w:r>
            <w:r w:rsidR="00C87417" w:rsidRPr="00C87417">
              <w:rPr>
                <w:rFonts w:ascii="Arial" w:hAnsi="Arial" w:cs="Arial"/>
                <w:i/>
                <w:sz w:val="24"/>
                <w:szCs w:val="24"/>
                <w:lang w:val="en-US"/>
              </w:rPr>
              <w:t xml:space="preserve"> </w:t>
            </w:r>
            <w:r w:rsidR="00C87417" w:rsidRPr="00C87417">
              <w:rPr>
                <w:rFonts w:ascii="Arial" w:hAnsi="Arial" w:cs="Arial"/>
                <w:sz w:val="24"/>
                <w:szCs w:val="24"/>
                <w:lang w:val="en-US"/>
              </w:rPr>
              <w:t>Langa AJA stated the following:</w:t>
            </w:r>
          </w:p>
          <w:p w:rsidR="00C87417" w:rsidRPr="00C87417" w:rsidRDefault="00C87417" w:rsidP="00C87417">
            <w:pPr>
              <w:spacing w:line="360" w:lineRule="auto"/>
              <w:jc w:val="both"/>
              <w:rPr>
                <w:rFonts w:ascii="Arial" w:hAnsi="Arial" w:cs="Arial"/>
                <w:sz w:val="24"/>
                <w:szCs w:val="24"/>
                <w:lang w:val="en-US"/>
              </w:rPr>
            </w:pPr>
          </w:p>
          <w:p w:rsidR="002973FD" w:rsidRPr="00C87417" w:rsidRDefault="00C87417" w:rsidP="00C87417">
            <w:pPr>
              <w:spacing w:line="360" w:lineRule="auto"/>
              <w:jc w:val="both"/>
              <w:rPr>
                <w:rFonts w:ascii="Arial" w:hAnsi="Arial" w:cs="Arial"/>
              </w:rPr>
            </w:pPr>
            <w:r>
              <w:rPr>
                <w:rFonts w:ascii="Arial" w:hAnsi="Arial" w:cs="Arial"/>
                <w:sz w:val="24"/>
                <w:szCs w:val="24"/>
                <w:lang w:val="en-US"/>
              </w:rPr>
              <w:tab/>
            </w:r>
            <w:r w:rsidRPr="00C87417">
              <w:rPr>
                <w:rFonts w:ascii="Arial" w:hAnsi="Arial" w:cs="Arial"/>
                <w:lang w:val="en-US"/>
              </w:rPr>
              <w:t>‘An application for condonation is not a mere formality.</w:t>
            </w:r>
            <w:r>
              <w:rPr>
                <w:rFonts w:ascii="Arial" w:hAnsi="Arial" w:cs="Arial"/>
                <w:lang w:val="en-US"/>
              </w:rPr>
              <w:t xml:space="preserve"> </w:t>
            </w:r>
            <w:r w:rsidRPr="00C87417">
              <w:rPr>
                <w:rFonts w:ascii="Arial" w:hAnsi="Arial" w:cs="Arial"/>
                <w:lang w:val="en-US"/>
              </w:rPr>
              <w:t xml:space="preserve">The trigger for it is </w:t>
            </w:r>
            <w:r w:rsidRPr="00C87417">
              <w:rPr>
                <w:rFonts w:ascii="Arial" w:hAnsi="Arial" w:cs="Arial"/>
                <w:lang w:val="en-US"/>
              </w:rPr>
              <w:tab/>
              <w:t>noncompliance</w:t>
            </w:r>
            <w:r>
              <w:rPr>
                <w:rFonts w:ascii="Arial" w:hAnsi="Arial" w:cs="Arial"/>
                <w:lang w:val="en-US"/>
              </w:rPr>
              <w:t xml:space="preserve"> </w:t>
            </w:r>
            <w:r>
              <w:rPr>
                <w:rFonts w:ascii="Arial" w:hAnsi="Arial" w:cs="Arial"/>
                <w:lang w:val="en-US"/>
              </w:rPr>
              <w:tab/>
            </w:r>
            <w:r w:rsidRPr="00C87417">
              <w:rPr>
                <w:rFonts w:ascii="Arial" w:hAnsi="Arial" w:cs="Arial"/>
                <w:lang w:val="en-US"/>
              </w:rPr>
              <w:t xml:space="preserve">with the Rules of Court. Accordingly, once there has been non-compliance, the applicant </w:t>
            </w:r>
            <w:r>
              <w:rPr>
                <w:rFonts w:ascii="Arial" w:hAnsi="Arial" w:cs="Arial"/>
                <w:lang w:val="en-US"/>
              </w:rPr>
              <w:tab/>
            </w:r>
            <w:r w:rsidRPr="00C87417">
              <w:rPr>
                <w:rFonts w:ascii="Arial" w:hAnsi="Arial" w:cs="Arial"/>
                <w:lang w:val="en-US"/>
              </w:rPr>
              <w:t>should, without delay, apply for condonation and comply with</w:t>
            </w:r>
            <w:r>
              <w:rPr>
                <w:rFonts w:ascii="Arial" w:hAnsi="Arial" w:cs="Arial"/>
                <w:lang w:val="en-US"/>
              </w:rPr>
              <w:t xml:space="preserve"> </w:t>
            </w:r>
            <w:r w:rsidRPr="00C87417">
              <w:rPr>
                <w:rFonts w:ascii="Arial" w:hAnsi="Arial" w:cs="Arial"/>
                <w:lang w:val="en-US"/>
              </w:rPr>
              <w:t xml:space="preserve">the Rules … In seeking </w:t>
            </w:r>
            <w:r>
              <w:rPr>
                <w:rFonts w:ascii="Arial" w:hAnsi="Arial" w:cs="Arial"/>
                <w:lang w:val="en-US"/>
              </w:rPr>
              <w:tab/>
            </w:r>
            <w:r w:rsidRPr="00C87417">
              <w:rPr>
                <w:rFonts w:ascii="Arial" w:hAnsi="Arial" w:cs="Arial"/>
                <w:lang w:val="en-US"/>
              </w:rPr>
              <w:t>condonation, the applicants have to make out their cases on</w:t>
            </w:r>
            <w:r>
              <w:rPr>
                <w:rFonts w:ascii="Arial" w:hAnsi="Arial" w:cs="Arial"/>
                <w:lang w:val="en-US"/>
              </w:rPr>
              <w:t xml:space="preserve"> </w:t>
            </w:r>
            <w:r w:rsidRPr="00C87417">
              <w:rPr>
                <w:rFonts w:ascii="Arial" w:hAnsi="Arial" w:cs="Arial"/>
                <w:lang w:val="en-US"/>
              </w:rPr>
              <w:t xml:space="preserve">the papers submitted to explain </w:t>
            </w:r>
            <w:r>
              <w:rPr>
                <w:rFonts w:ascii="Arial" w:hAnsi="Arial" w:cs="Arial"/>
                <w:lang w:val="en-US"/>
              </w:rPr>
              <w:tab/>
            </w:r>
            <w:r w:rsidRPr="00C87417">
              <w:rPr>
                <w:rFonts w:ascii="Arial" w:hAnsi="Arial" w:cs="Arial"/>
                <w:lang w:val="en-US"/>
              </w:rPr>
              <w:t>the delay and the failure to comply with the Rules. The</w:t>
            </w:r>
            <w:r>
              <w:rPr>
                <w:rFonts w:ascii="Arial" w:hAnsi="Arial" w:cs="Arial"/>
                <w:lang w:val="en-US"/>
              </w:rPr>
              <w:t xml:space="preserve"> </w:t>
            </w:r>
            <w:r w:rsidRPr="00C87417">
              <w:rPr>
                <w:rFonts w:ascii="Arial" w:hAnsi="Arial" w:cs="Arial"/>
                <w:lang w:val="en-US"/>
              </w:rPr>
              <w:t xml:space="preserve">explanation must be full, detailed </w:t>
            </w:r>
            <w:r>
              <w:rPr>
                <w:rFonts w:ascii="Arial" w:hAnsi="Arial" w:cs="Arial"/>
                <w:lang w:val="en-US"/>
              </w:rPr>
              <w:tab/>
            </w:r>
            <w:r w:rsidRPr="00C87417">
              <w:rPr>
                <w:rFonts w:ascii="Arial" w:hAnsi="Arial" w:cs="Arial"/>
                <w:lang w:val="en-US"/>
              </w:rPr>
              <w:t xml:space="preserve">and accurate in order to enable the Court to </w:t>
            </w:r>
            <w:r w:rsidRPr="00C87417">
              <w:rPr>
                <w:rFonts w:ascii="Arial" w:hAnsi="Arial" w:cs="Arial"/>
                <w:lang w:val="en-US"/>
              </w:rPr>
              <w:tab/>
              <w:t>understand clearly the reasons for it.’</w:t>
            </w:r>
          </w:p>
          <w:p w:rsidR="002973FD" w:rsidRPr="00A566DA" w:rsidRDefault="002973FD" w:rsidP="00B318D1">
            <w:pPr>
              <w:spacing w:line="360" w:lineRule="auto"/>
              <w:jc w:val="both"/>
              <w:rPr>
                <w:rFonts w:ascii="Arial" w:hAnsi="Arial" w:cs="Arial"/>
                <w:sz w:val="24"/>
                <w:szCs w:val="24"/>
              </w:rPr>
            </w:pPr>
          </w:p>
          <w:p w:rsidR="00C87417" w:rsidRPr="00C87417" w:rsidRDefault="002462AF" w:rsidP="00C87417">
            <w:pPr>
              <w:spacing w:line="360" w:lineRule="auto"/>
              <w:jc w:val="both"/>
              <w:rPr>
                <w:rFonts w:ascii="Arial" w:hAnsi="Arial" w:cs="Arial"/>
                <w:sz w:val="24"/>
                <w:szCs w:val="24"/>
                <w:lang w:val="en-US"/>
              </w:rPr>
            </w:pPr>
            <w:r>
              <w:rPr>
                <w:rFonts w:ascii="Arial" w:hAnsi="Arial" w:cs="Arial"/>
                <w:sz w:val="24"/>
                <w:szCs w:val="24"/>
              </w:rPr>
              <w:t>[17]</w:t>
            </w:r>
            <w:r w:rsidR="00A566DA">
              <w:rPr>
                <w:rFonts w:ascii="Arial" w:hAnsi="Arial" w:cs="Arial"/>
                <w:sz w:val="24"/>
                <w:szCs w:val="24"/>
              </w:rPr>
              <w:t xml:space="preserve"> </w:t>
            </w:r>
            <w:r w:rsidR="00C87417" w:rsidRPr="00C87417">
              <w:rPr>
                <w:rFonts w:ascii="Arial" w:hAnsi="Arial" w:cs="Arial"/>
                <w:sz w:val="24"/>
                <w:szCs w:val="24"/>
                <w:lang w:val="en-US"/>
              </w:rPr>
              <w:t xml:space="preserve">Rule 56(3) in no uncertain terms states that a managing judge may, on </w:t>
            </w:r>
            <w:r w:rsidR="00C87417" w:rsidRPr="00C87417">
              <w:rPr>
                <w:rFonts w:ascii="Arial" w:hAnsi="Arial" w:cs="Arial"/>
                <w:sz w:val="24"/>
                <w:szCs w:val="24"/>
                <w:u w:val="single"/>
                <w:lang w:val="en-US"/>
              </w:rPr>
              <w:t>good cause</w:t>
            </w:r>
            <w:r w:rsidR="00C87417" w:rsidRPr="00C87417">
              <w:rPr>
                <w:rFonts w:ascii="Arial" w:hAnsi="Arial" w:cs="Arial"/>
                <w:sz w:val="24"/>
                <w:szCs w:val="24"/>
                <w:lang w:val="en-US"/>
              </w:rPr>
              <w:t xml:space="preserve"> shown, condone the non-compliance with a Rule of Court or a Court Order. As regards the meaning of the phrase ‘good cause’, the Supreme Court in </w:t>
            </w:r>
            <w:r w:rsidR="00C87417" w:rsidRPr="00C87417">
              <w:rPr>
                <w:rFonts w:ascii="Arial" w:hAnsi="Arial" w:cs="Arial"/>
                <w:i/>
                <w:sz w:val="24"/>
                <w:szCs w:val="24"/>
                <w:lang w:val="en-US"/>
              </w:rPr>
              <w:t>Leweis v Sampoio</w:t>
            </w:r>
            <w:r w:rsidR="00C87417" w:rsidRPr="00C87417">
              <w:rPr>
                <w:rFonts w:ascii="Arial" w:hAnsi="Arial" w:cs="Arial"/>
                <w:sz w:val="24"/>
                <w:szCs w:val="24"/>
                <w:vertAlign w:val="superscript"/>
                <w:lang w:val="en-US"/>
              </w:rPr>
              <w:footnoteReference w:id="5"/>
            </w:r>
            <w:r w:rsidR="00C87417" w:rsidRPr="00C87417">
              <w:rPr>
                <w:rFonts w:ascii="Arial" w:hAnsi="Arial" w:cs="Arial"/>
                <w:sz w:val="24"/>
                <w:szCs w:val="24"/>
                <w:lang w:val="en-US"/>
              </w:rPr>
              <w:t>, per Strydom CJ stated that:</w:t>
            </w:r>
          </w:p>
          <w:p w:rsidR="00C87417" w:rsidRPr="00C87417" w:rsidRDefault="00C87417" w:rsidP="00C87417">
            <w:pPr>
              <w:spacing w:line="360" w:lineRule="auto"/>
              <w:jc w:val="both"/>
              <w:rPr>
                <w:rFonts w:ascii="Arial" w:hAnsi="Arial" w:cs="Arial"/>
                <w:sz w:val="24"/>
                <w:szCs w:val="24"/>
                <w:lang w:val="en-US"/>
              </w:rPr>
            </w:pPr>
          </w:p>
          <w:p w:rsidR="00C87417" w:rsidRPr="00C87417" w:rsidRDefault="00C87417" w:rsidP="00C87417">
            <w:pPr>
              <w:spacing w:line="360" w:lineRule="auto"/>
              <w:jc w:val="both"/>
              <w:rPr>
                <w:rFonts w:ascii="Arial" w:hAnsi="Arial" w:cs="Arial"/>
                <w:lang w:val="en-US"/>
              </w:rPr>
            </w:pPr>
            <w:r>
              <w:rPr>
                <w:rFonts w:ascii="Arial" w:hAnsi="Arial" w:cs="Arial"/>
                <w:sz w:val="24"/>
                <w:szCs w:val="24"/>
                <w:lang w:val="en-US"/>
              </w:rPr>
              <w:lastRenderedPageBreak/>
              <w:tab/>
            </w:r>
            <w:r w:rsidRPr="00C87417">
              <w:rPr>
                <w:rFonts w:ascii="Arial" w:hAnsi="Arial" w:cs="Arial"/>
                <w:sz w:val="24"/>
                <w:szCs w:val="24"/>
                <w:lang w:val="en-US"/>
              </w:rPr>
              <w:t>‘</w:t>
            </w:r>
            <w:r w:rsidRPr="00C87417">
              <w:rPr>
                <w:rFonts w:ascii="Arial" w:hAnsi="Arial" w:cs="Arial"/>
                <w:lang w:val="en-US"/>
              </w:rPr>
              <w:t xml:space="preserve">Although the Courts have studiously refrained from attempting an exhaustive definition </w:t>
            </w:r>
            <w:r w:rsidRPr="00C87417">
              <w:rPr>
                <w:rFonts w:ascii="Arial" w:hAnsi="Arial" w:cs="Arial"/>
                <w:lang w:val="en-US"/>
              </w:rPr>
              <w:tab/>
              <w:t xml:space="preserve">of the words </w:t>
            </w:r>
            <w:r w:rsidRPr="00C87417">
              <w:rPr>
                <w:rFonts w:ascii="Arial" w:hAnsi="Arial" w:cs="Arial"/>
                <w:i/>
                <w:lang w:val="en-US"/>
              </w:rPr>
              <w:t>'good cause'</w:t>
            </w:r>
            <w:r w:rsidRPr="00C87417">
              <w:rPr>
                <w:rFonts w:ascii="Arial" w:hAnsi="Arial" w:cs="Arial"/>
                <w:lang w:val="en-US"/>
              </w:rPr>
              <w:t xml:space="preserve"> they have laid down what an applicant should do to comply </w:t>
            </w:r>
            <w:r w:rsidRPr="00C87417">
              <w:rPr>
                <w:rFonts w:ascii="Arial" w:hAnsi="Arial" w:cs="Arial"/>
                <w:lang w:val="en-US"/>
              </w:rPr>
              <w:tab/>
              <w:t xml:space="preserve">with such requirement. In this regard it was stated that an applicant: </w:t>
            </w:r>
          </w:p>
          <w:p w:rsidR="00C87417" w:rsidRPr="00C87417" w:rsidRDefault="00C87417" w:rsidP="00C87417">
            <w:pPr>
              <w:spacing w:line="360" w:lineRule="auto"/>
              <w:jc w:val="both"/>
              <w:rPr>
                <w:rFonts w:ascii="Arial" w:hAnsi="Arial" w:cs="Arial"/>
                <w:lang w:val="en-US"/>
              </w:rPr>
            </w:pPr>
            <w:r w:rsidRPr="00C87417">
              <w:rPr>
                <w:rFonts w:ascii="Arial" w:hAnsi="Arial" w:cs="Arial"/>
                <w:lang w:val="en-US"/>
              </w:rPr>
              <w:tab/>
            </w:r>
          </w:p>
          <w:p w:rsidR="00C87417" w:rsidRPr="00C87417" w:rsidRDefault="00C87417" w:rsidP="00C87417">
            <w:pPr>
              <w:spacing w:line="360" w:lineRule="auto"/>
              <w:jc w:val="both"/>
              <w:rPr>
                <w:rFonts w:ascii="Arial" w:hAnsi="Arial" w:cs="Arial"/>
                <w:lang w:val="en-US"/>
              </w:rPr>
            </w:pPr>
            <w:r>
              <w:rPr>
                <w:rFonts w:ascii="Arial" w:hAnsi="Arial" w:cs="Arial"/>
                <w:lang w:val="en-US"/>
              </w:rPr>
              <w:tab/>
            </w:r>
            <w:r>
              <w:rPr>
                <w:rFonts w:ascii="Arial" w:hAnsi="Arial" w:cs="Arial"/>
                <w:lang w:val="en-US"/>
              </w:rPr>
              <w:tab/>
            </w:r>
            <w:r w:rsidRPr="00C87417">
              <w:rPr>
                <w:rFonts w:ascii="Arial" w:hAnsi="Arial" w:cs="Arial"/>
                <w:lang w:val="en-US"/>
              </w:rPr>
              <w:t>(a)</w:t>
            </w:r>
            <w:r>
              <w:rPr>
                <w:rFonts w:ascii="Arial" w:hAnsi="Arial" w:cs="Arial"/>
                <w:lang w:val="en-US"/>
              </w:rPr>
              <w:t xml:space="preserve"> </w:t>
            </w:r>
            <w:r w:rsidRPr="00C87417">
              <w:rPr>
                <w:rFonts w:ascii="Arial" w:hAnsi="Arial" w:cs="Arial"/>
                <w:lang w:val="en-US"/>
              </w:rPr>
              <w:t>must give a reasonable explanation for his default;</w:t>
            </w:r>
          </w:p>
          <w:p w:rsidR="00C87417" w:rsidRPr="00C87417" w:rsidRDefault="00C87417" w:rsidP="00C87417">
            <w:pPr>
              <w:spacing w:line="360" w:lineRule="auto"/>
              <w:jc w:val="both"/>
              <w:rPr>
                <w:rFonts w:ascii="Arial" w:hAnsi="Arial" w:cs="Arial"/>
                <w:lang w:val="en-US"/>
              </w:rPr>
            </w:pPr>
            <w:r>
              <w:rPr>
                <w:rFonts w:ascii="Arial" w:hAnsi="Arial" w:cs="Arial"/>
                <w:lang w:val="en-US"/>
              </w:rPr>
              <w:tab/>
            </w:r>
            <w:r>
              <w:rPr>
                <w:rFonts w:ascii="Arial" w:hAnsi="Arial" w:cs="Arial"/>
                <w:lang w:val="en-US"/>
              </w:rPr>
              <w:tab/>
            </w:r>
            <w:r w:rsidRPr="00C87417">
              <w:rPr>
                <w:rFonts w:ascii="Arial" w:hAnsi="Arial" w:cs="Arial"/>
                <w:lang w:val="en-US"/>
              </w:rPr>
              <w:t>(b)</w:t>
            </w:r>
            <w:r>
              <w:rPr>
                <w:rFonts w:ascii="Arial" w:hAnsi="Arial" w:cs="Arial"/>
                <w:lang w:val="en-US"/>
              </w:rPr>
              <w:t xml:space="preserve"> </w:t>
            </w:r>
            <w:r w:rsidRPr="00C87417">
              <w:rPr>
                <w:rFonts w:ascii="Arial" w:hAnsi="Arial" w:cs="Arial"/>
                <w:lang w:val="en-US"/>
              </w:rPr>
              <w:t xml:space="preserve">the application must be made </w:t>
            </w:r>
            <w:r w:rsidRPr="00C87417">
              <w:rPr>
                <w:rFonts w:ascii="Arial" w:hAnsi="Arial" w:cs="Arial"/>
                <w:i/>
                <w:lang w:val="en-US"/>
              </w:rPr>
              <w:t>bona fide</w:t>
            </w:r>
            <w:r w:rsidRPr="00C87417">
              <w:rPr>
                <w:rFonts w:ascii="Arial" w:hAnsi="Arial" w:cs="Arial"/>
                <w:lang w:val="en-US"/>
              </w:rPr>
              <w:t>; and</w:t>
            </w:r>
          </w:p>
          <w:p w:rsidR="00C87417" w:rsidRPr="00C87417" w:rsidRDefault="00C87417" w:rsidP="00C87417">
            <w:pPr>
              <w:spacing w:line="360" w:lineRule="auto"/>
              <w:jc w:val="both"/>
              <w:rPr>
                <w:rFonts w:ascii="Arial" w:hAnsi="Arial" w:cs="Arial"/>
                <w:sz w:val="24"/>
                <w:szCs w:val="24"/>
                <w:lang w:val="en-US"/>
              </w:rPr>
            </w:pPr>
            <w:r>
              <w:rPr>
                <w:rFonts w:ascii="Arial" w:hAnsi="Arial" w:cs="Arial"/>
                <w:lang w:val="en-US"/>
              </w:rPr>
              <w:tab/>
            </w:r>
            <w:r>
              <w:rPr>
                <w:rFonts w:ascii="Arial" w:hAnsi="Arial" w:cs="Arial"/>
                <w:lang w:val="en-US"/>
              </w:rPr>
              <w:tab/>
            </w:r>
            <w:r w:rsidRPr="00C87417">
              <w:rPr>
                <w:rFonts w:ascii="Arial" w:hAnsi="Arial" w:cs="Arial"/>
                <w:lang w:val="en-US"/>
              </w:rPr>
              <w:t>(c)</w:t>
            </w:r>
            <w:r>
              <w:rPr>
                <w:rFonts w:ascii="Arial" w:hAnsi="Arial" w:cs="Arial"/>
                <w:lang w:val="en-US"/>
              </w:rPr>
              <w:t xml:space="preserve"> </w:t>
            </w:r>
            <w:r w:rsidRPr="00C87417">
              <w:rPr>
                <w:rFonts w:ascii="Arial" w:hAnsi="Arial" w:cs="Arial"/>
                <w:lang w:val="en-US"/>
              </w:rPr>
              <w:t xml:space="preserve">applicant must show that he has a </w:t>
            </w:r>
            <w:r w:rsidRPr="00C87417">
              <w:rPr>
                <w:rFonts w:ascii="Arial" w:hAnsi="Arial" w:cs="Arial"/>
                <w:i/>
                <w:lang w:val="en-US"/>
              </w:rPr>
              <w:t>bona fide</w:t>
            </w:r>
            <w:r w:rsidRPr="00C87417">
              <w:rPr>
                <w:rFonts w:ascii="Arial" w:hAnsi="Arial" w:cs="Arial"/>
                <w:lang w:val="en-US"/>
              </w:rPr>
              <w:t xml:space="preserve"> defence to the plaintiff's claim.</w:t>
            </w:r>
            <w:r w:rsidRPr="00C87417">
              <w:rPr>
                <w:rFonts w:ascii="Arial" w:hAnsi="Arial" w:cs="Arial"/>
                <w:sz w:val="24"/>
                <w:szCs w:val="24"/>
                <w:lang w:val="en-US"/>
              </w:rPr>
              <w:t>’</w:t>
            </w:r>
          </w:p>
          <w:p w:rsidR="00D56E93" w:rsidRPr="00A566DA" w:rsidRDefault="00D56E93" w:rsidP="00B318D1">
            <w:pPr>
              <w:spacing w:line="360" w:lineRule="auto"/>
              <w:jc w:val="both"/>
              <w:rPr>
                <w:rFonts w:ascii="Arial" w:hAnsi="Arial" w:cs="Arial"/>
                <w:sz w:val="24"/>
                <w:szCs w:val="24"/>
              </w:rPr>
            </w:pPr>
          </w:p>
          <w:p w:rsidR="00C87417" w:rsidRPr="00C87417" w:rsidRDefault="002462AF" w:rsidP="00C87417">
            <w:pPr>
              <w:rPr>
                <w:rFonts w:ascii="Arial" w:hAnsi="Arial" w:cs="Arial"/>
                <w:sz w:val="24"/>
                <w:szCs w:val="24"/>
                <w:lang w:val="en-US"/>
              </w:rPr>
            </w:pPr>
            <w:r>
              <w:rPr>
                <w:rFonts w:ascii="Arial" w:hAnsi="Arial" w:cs="Arial"/>
                <w:sz w:val="24"/>
                <w:szCs w:val="24"/>
              </w:rPr>
              <w:t>[18]</w:t>
            </w:r>
            <w:r w:rsidR="00A566DA">
              <w:rPr>
                <w:rFonts w:ascii="Arial" w:hAnsi="Arial" w:cs="Arial"/>
                <w:sz w:val="24"/>
                <w:szCs w:val="24"/>
              </w:rPr>
              <w:t xml:space="preserve"> </w:t>
            </w:r>
            <w:r w:rsidR="00C87417" w:rsidRPr="00C87417">
              <w:rPr>
                <w:rFonts w:ascii="Arial" w:hAnsi="Arial" w:cs="Arial"/>
                <w:sz w:val="24"/>
                <w:szCs w:val="24"/>
                <w:lang w:val="en-US"/>
              </w:rPr>
              <w:t>The learned Judge further stated that:</w:t>
            </w:r>
          </w:p>
          <w:p w:rsidR="00C87417" w:rsidRPr="00C87417" w:rsidRDefault="00C87417" w:rsidP="00C87417">
            <w:pPr>
              <w:spacing w:line="360" w:lineRule="auto"/>
              <w:jc w:val="both"/>
              <w:rPr>
                <w:rFonts w:ascii="Arial" w:hAnsi="Arial" w:cs="Arial"/>
                <w:sz w:val="24"/>
                <w:szCs w:val="24"/>
                <w:lang w:val="en-US"/>
              </w:rPr>
            </w:pPr>
            <w:r w:rsidRPr="00C87417">
              <w:rPr>
                <w:rFonts w:ascii="Arial" w:hAnsi="Arial" w:cs="Arial"/>
                <w:sz w:val="24"/>
                <w:szCs w:val="24"/>
                <w:lang w:val="en-US"/>
              </w:rPr>
              <w:t xml:space="preserve"> </w:t>
            </w:r>
          </w:p>
          <w:p w:rsidR="00C87417" w:rsidRPr="00C87417" w:rsidRDefault="00C87417" w:rsidP="00C87417">
            <w:pPr>
              <w:spacing w:line="360" w:lineRule="auto"/>
              <w:jc w:val="both"/>
              <w:rPr>
                <w:rFonts w:ascii="Arial" w:hAnsi="Arial" w:cs="Arial"/>
                <w:lang w:val="en-US"/>
              </w:rPr>
            </w:pPr>
            <w:r>
              <w:rPr>
                <w:rFonts w:ascii="Arial" w:hAnsi="Arial" w:cs="Arial"/>
                <w:lang w:val="en-US"/>
              </w:rPr>
              <w:tab/>
            </w:r>
            <w:r w:rsidRPr="00C87417">
              <w:rPr>
                <w:rFonts w:ascii="Arial" w:hAnsi="Arial" w:cs="Arial"/>
                <w:lang w:val="en-US"/>
              </w:rPr>
              <w:t xml:space="preserve">‘As to a Court's approach in regard to such an application it was stated in </w:t>
            </w:r>
            <w:r w:rsidRPr="00C87417">
              <w:rPr>
                <w:rFonts w:ascii="Arial" w:hAnsi="Arial" w:cs="Arial"/>
                <w:i/>
                <w:lang w:val="en-US"/>
              </w:rPr>
              <w:t>De Witts</w:t>
            </w:r>
            <w:r>
              <w:rPr>
                <w:rFonts w:ascii="Arial" w:hAnsi="Arial" w:cs="Arial"/>
                <w:i/>
                <w:lang w:val="en-US"/>
              </w:rPr>
              <w:t xml:space="preserve"> </w:t>
            </w:r>
            <w:r w:rsidRPr="00C87417">
              <w:rPr>
                <w:rFonts w:ascii="Arial" w:hAnsi="Arial" w:cs="Arial"/>
                <w:i/>
                <w:lang w:val="en-US"/>
              </w:rPr>
              <w:t xml:space="preserve">Auto </w:t>
            </w:r>
            <w:r>
              <w:rPr>
                <w:rFonts w:ascii="Arial" w:hAnsi="Arial" w:cs="Arial"/>
                <w:i/>
                <w:lang w:val="en-US"/>
              </w:rPr>
              <w:tab/>
            </w:r>
            <w:r w:rsidRPr="00C87417">
              <w:rPr>
                <w:rFonts w:ascii="Arial" w:hAnsi="Arial" w:cs="Arial"/>
                <w:i/>
                <w:lang w:val="en-US"/>
              </w:rPr>
              <w:t>Body Repairs (Pty) Ltd v  Fedgen Insurance Co Ltd</w:t>
            </w:r>
            <w:r w:rsidRPr="00C87417">
              <w:rPr>
                <w:rFonts w:ascii="Arial" w:hAnsi="Arial" w:cs="Arial"/>
                <w:lang w:val="en-US"/>
              </w:rPr>
              <w:t xml:space="preserve"> 1994 (4) SA 705 (E) at 711E </w:t>
            </w:r>
            <w:r w:rsidRPr="00C87417">
              <w:rPr>
                <w:rFonts w:ascii="Arial" w:hAnsi="Arial" w:cs="Arial"/>
                <w:lang w:val="en-US"/>
              </w:rPr>
              <w:tab/>
              <w:t>that –</w:t>
            </w:r>
          </w:p>
          <w:p w:rsidR="00C87417" w:rsidRPr="00C87417" w:rsidRDefault="00C87417" w:rsidP="00C87417">
            <w:pPr>
              <w:spacing w:line="360" w:lineRule="auto"/>
              <w:jc w:val="both"/>
              <w:rPr>
                <w:rFonts w:ascii="Arial" w:hAnsi="Arial" w:cs="Arial"/>
                <w:sz w:val="24"/>
                <w:szCs w:val="24"/>
                <w:lang w:val="en-US"/>
              </w:rPr>
            </w:pPr>
          </w:p>
          <w:p w:rsidR="00C87417" w:rsidRPr="00C87417" w:rsidRDefault="00C87417" w:rsidP="00C87417">
            <w:pPr>
              <w:spacing w:line="360" w:lineRule="auto"/>
              <w:jc w:val="both"/>
              <w:rPr>
                <w:rFonts w:ascii="Arial" w:hAnsi="Arial" w:cs="Arial"/>
                <w:sz w:val="20"/>
                <w:szCs w:val="20"/>
                <w:lang w:val="en-US"/>
              </w:rPr>
            </w:pPr>
            <w:r w:rsidRPr="00C87417">
              <w:rPr>
                <w:rFonts w:ascii="Arial" w:hAnsi="Arial" w:cs="Arial"/>
                <w:sz w:val="24"/>
                <w:szCs w:val="24"/>
                <w:lang w:val="en-US"/>
              </w:rPr>
              <w:tab/>
            </w:r>
            <w:r>
              <w:rPr>
                <w:rFonts w:ascii="Arial" w:hAnsi="Arial" w:cs="Arial"/>
                <w:sz w:val="24"/>
                <w:szCs w:val="24"/>
                <w:lang w:val="en-US"/>
              </w:rPr>
              <w:tab/>
            </w:r>
            <w:r w:rsidRPr="00C87417">
              <w:rPr>
                <w:rFonts w:ascii="Arial" w:hAnsi="Arial" w:cs="Arial"/>
                <w:sz w:val="20"/>
                <w:szCs w:val="20"/>
                <w:lang w:val="en-US"/>
              </w:rPr>
              <w:t>“An application for rescission is never simply an enquiry whether or not to</w:t>
            </w:r>
            <w:r>
              <w:rPr>
                <w:rFonts w:ascii="Arial" w:hAnsi="Arial" w:cs="Arial"/>
                <w:sz w:val="20"/>
                <w:szCs w:val="20"/>
                <w:lang w:val="en-US"/>
              </w:rPr>
              <w:t xml:space="preserve"> </w:t>
            </w:r>
            <w:r w:rsidRPr="00C87417">
              <w:rPr>
                <w:rFonts w:ascii="Arial" w:hAnsi="Arial" w:cs="Arial"/>
                <w:sz w:val="20"/>
                <w:szCs w:val="20"/>
                <w:lang w:val="en-US"/>
              </w:rPr>
              <w:t xml:space="preserve">penalise a party </w:t>
            </w:r>
            <w:r>
              <w:rPr>
                <w:rFonts w:ascii="Arial" w:hAnsi="Arial" w:cs="Arial"/>
                <w:sz w:val="20"/>
                <w:szCs w:val="20"/>
                <w:lang w:val="en-US"/>
              </w:rPr>
              <w:tab/>
            </w:r>
            <w:r>
              <w:rPr>
                <w:rFonts w:ascii="Arial" w:hAnsi="Arial" w:cs="Arial"/>
                <w:sz w:val="20"/>
                <w:szCs w:val="20"/>
                <w:lang w:val="en-US"/>
              </w:rPr>
              <w:tab/>
            </w:r>
            <w:r w:rsidRPr="00C87417">
              <w:rPr>
                <w:rFonts w:ascii="Arial" w:hAnsi="Arial" w:cs="Arial"/>
                <w:sz w:val="20"/>
                <w:szCs w:val="20"/>
                <w:lang w:val="en-US"/>
              </w:rPr>
              <w:t>for his failure to follow the rules and procedures laid down for civil</w:t>
            </w:r>
            <w:r>
              <w:rPr>
                <w:rFonts w:ascii="Arial" w:hAnsi="Arial" w:cs="Arial"/>
                <w:sz w:val="20"/>
                <w:szCs w:val="20"/>
                <w:lang w:val="en-US"/>
              </w:rPr>
              <w:t xml:space="preserve"> </w:t>
            </w:r>
            <w:r w:rsidRPr="00C87417">
              <w:rPr>
                <w:rFonts w:ascii="Arial" w:hAnsi="Arial" w:cs="Arial"/>
                <w:sz w:val="20"/>
                <w:szCs w:val="20"/>
                <w:lang w:val="en-US"/>
              </w:rPr>
              <w:t xml:space="preserve">proceedings in our courts. </w:t>
            </w:r>
            <w:r>
              <w:rPr>
                <w:rFonts w:ascii="Arial" w:hAnsi="Arial" w:cs="Arial"/>
                <w:sz w:val="20"/>
                <w:szCs w:val="20"/>
                <w:lang w:val="en-US"/>
              </w:rPr>
              <w:tab/>
            </w:r>
            <w:r>
              <w:rPr>
                <w:rFonts w:ascii="Arial" w:hAnsi="Arial" w:cs="Arial"/>
                <w:sz w:val="20"/>
                <w:szCs w:val="20"/>
                <w:lang w:val="en-US"/>
              </w:rPr>
              <w:tab/>
            </w:r>
            <w:r w:rsidRPr="00C87417">
              <w:rPr>
                <w:rFonts w:ascii="Arial" w:hAnsi="Arial" w:cs="Arial"/>
                <w:sz w:val="20"/>
                <w:szCs w:val="20"/>
                <w:lang w:val="en-US"/>
              </w:rPr>
              <w:t>The question is, rather, whether or not the explanation for</w:t>
            </w:r>
            <w:r>
              <w:rPr>
                <w:rFonts w:ascii="Arial" w:hAnsi="Arial" w:cs="Arial"/>
                <w:sz w:val="20"/>
                <w:szCs w:val="20"/>
                <w:lang w:val="en-US"/>
              </w:rPr>
              <w:t xml:space="preserve"> </w:t>
            </w:r>
            <w:r w:rsidRPr="00C87417">
              <w:rPr>
                <w:rFonts w:ascii="Arial" w:hAnsi="Arial" w:cs="Arial"/>
                <w:sz w:val="20"/>
                <w:szCs w:val="20"/>
                <w:lang w:val="en-US"/>
              </w:rPr>
              <w:t xml:space="preserve">the default and any accompanying </w:t>
            </w:r>
            <w:r>
              <w:rPr>
                <w:rFonts w:ascii="Arial" w:hAnsi="Arial" w:cs="Arial"/>
                <w:sz w:val="20"/>
                <w:szCs w:val="20"/>
                <w:lang w:val="en-US"/>
              </w:rPr>
              <w:tab/>
            </w:r>
            <w:r>
              <w:rPr>
                <w:rFonts w:ascii="Arial" w:hAnsi="Arial" w:cs="Arial"/>
                <w:sz w:val="20"/>
                <w:szCs w:val="20"/>
                <w:lang w:val="en-US"/>
              </w:rPr>
              <w:tab/>
            </w:r>
            <w:r w:rsidRPr="00C87417">
              <w:rPr>
                <w:rFonts w:ascii="Arial" w:hAnsi="Arial" w:cs="Arial"/>
                <w:sz w:val="20"/>
                <w:szCs w:val="20"/>
                <w:lang w:val="en-US"/>
              </w:rPr>
              <w:t>conduct by the defaulter, be it willful or negligent or</w:t>
            </w:r>
            <w:r>
              <w:rPr>
                <w:rFonts w:ascii="Arial" w:hAnsi="Arial" w:cs="Arial"/>
                <w:sz w:val="20"/>
                <w:szCs w:val="20"/>
                <w:lang w:val="en-US"/>
              </w:rPr>
              <w:t xml:space="preserve"> </w:t>
            </w:r>
            <w:r w:rsidRPr="00C87417">
              <w:rPr>
                <w:rFonts w:ascii="Arial" w:hAnsi="Arial" w:cs="Arial"/>
                <w:sz w:val="20"/>
                <w:szCs w:val="20"/>
                <w:lang w:val="en-US"/>
              </w:rPr>
              <w:t>otherwise, gives rise to the probable</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C87417">
              <w:rPr>
                <w:rFonts w:ascii="Arial" w:hAnsi="Arial" w:cs="Arial"/>
                <w:sz w:val="20"/>
                <w:szCs w:val="20"/>
                <w:lang w:val="en-US"/>
              </w:rPr>
              <w:t>inference that there</w:t>
            </w:r>
            <w:r>
              <w:rPr>
                <w:rFonts w:ascii="Arial" w:hAnsi="Arial" w:cs="Arial"/>
                <w:sz w:val="20"/>
                <w:szCs w:val="20"/>
                <w:lang w:val="en-US"/>
              </w:rPr>
              <w:t xml:space="preserve"> </w:t>
            </w:r>
            <w:r w:rsidRPr="00C87417">
              <w:rPr>
                <w:rFonts w:ascii="Arial" w:hAnsi="Arial" w:cs="Arial"/>
                <w:sz w:val="20"/>
                <w:szCs w:val="20"/>
                <w:lang w:val="en-US"/>
              </w:rPr>
              <w:t xml:space="preserve">is no bona fide defence and </w:t>
            </w:r>
            <w:r w:rsidRPr="00C87417">
              <w:rPr>
                <w:rFonts w:ascii="Arial" w:hAnsi="Arial" w:cs="Arial"/>
                <w:sz w:val="20"/>
                <w:szCs w:val="20"/>
                <w:lang w:val="en-US"/>
              </w:rPr>
              <w:tab/>
              <w:t xml:space="preserve">hence that the application for rescission is </w:t>
            </w:r>
            <w:r>
              <w:rPr>
                <w:rFonts w:ascii="Arial" w:hAnsi="Arial" w:cs="Arial"/>
                <w:sz w:val="20"/>
                <w:szCs w:val="20"/>
                <w:lang w:val="en-US"/>
              </w:rPr>
              <w:tab/>
            </w:r>
            <w:r>
              <w:rPr>
                <w:rFonts w:ascii="Arial" w:hAnsi="Arial" w:cs="Arial"/>
                <w:sz w:val="20"/>
                <w:szCs w:val="20"/>
                <w:lang w:val="en-US"/>
              </w:rPr>
              <w:tab/>
            </w:r>
            <w:r w:rsidRPr="00C87417">
              <w:rPr>
                <w:rFonts w:ascii="Arial" w:hAnsi="Arial" w:cs="Arial"/>
                <w:sz w:val="20"/>
                <w:szCs w:val="20"/>
                <w:lang w:val="en-US"/>
              </w:rPr>
              <w:t>not bona fide.”</w:t>
            </w:r>
          </w:p>
          <w:p w:rsidR="00C87417" w:rsidRPr="00C87417" w:rsidRDefault="00C87417" w:rsidP="00C87417">
            <w:pPr>
              <w:spacing w:line="360" w:lineRule="auto"/>
              <w:jc w:val="both"/>
              <w:rPr>
                <w:rFonts w:ascii="Arial" w:hAnsi="Arial" w:cs="Arial"/>
                <w:sz w:val="24"/>
                <w:szCs w:val="24"/>
                <w:lang w:val="en-US"/>
              </w:rPr>
            </w:pPr>
          </w:p>
          <w:p w:rsidR="002973FD" w:rsidRPr="00A566DA" w:rsidRDefault="00C87417" w:rsidP="00C87417">
            <w:pPr>
              <w:spacing w:line="360" w:lineRule="auto"/>
              <w:jc w:val="both"/>
              <w:rPr>
                <w:rFonts w:ascii="Arial" w:hAnsi="Arial" w:cs="Arial"/>
                <w:sz w:val="24"/>
                <w:szCs w:val="24"/>
              </w:rPr>
            </w:pPr>
            <w:r w:rsidRPr="00C87417">
              <w:rPr>
                <w:rFonts w:ascii="Arial" w:hAnsi="Arial" w:cs="Arial"/>
                <w:sz w:val="24"/>
                <w:szCs w:val="24"/>
                <w:lang w:val="en-US"/>
              </w:rPr>
              <w:tab/>
            </w:r>
            <w:r w:rsidRPr="00C87417">
              <w:rPr>
                <w:rFonts w:ascii="Arial" w:hAnsi="Arial" w:cs="Arial"/>
                <w:lang w:val="en-US"/>
              </w:rPr>
              <w:t xml:space="preserve">A reading of the above cases shows that although the fact that the default may be due </w:t>
            </w:r>
            <w:r w:rsidRPr="00C87417">
              <w:rPr>
                <w:rFonts w:ascii="Arial" w:hAnsi="Arial" w:cs="Arial"/>
                <w:lang w:val="en-US"/>
              </w:rPr>
              <w:tab/>
              <w:t xml:space="preserve">to gross negligence it cannot be accepted that the presence of such negligence would </w:t>
            </w:r>
            <w:r w:rsidRPr="00C87417">
              <w:rPr>
                <w:rFonts w:ascii="Arial" w:hAnsi="Arial" w:cs="Arial"/>
                <w:lang w:val="en-US"/>
              </w:rPr>
              <w:tab/>
            </w:r>
            <w:r w:rsidRPr="00C87417">
              <w:rPr>
                <w:rFonts w:ascii="Arial" w:hAnsi="Arial" w:cs="Arial"/>
                <w:i/>
                <w:lang w:val="en-US"/>
              </w:rPr>
              <w:t>per se</w:t>
            </w:r>
            <w:r w:rsidRPr="00C87417">
              <w:rPr>
                <w:rFonts w:ascii="Arial" w:hAnsi="Arial" w:cs="Arial"/>
                <w:lang w:val="en-US"/>
              </w:rPr>
              <w:t xml:space="preserve"> lead to the dismissal of an application for rescission. It remains however a factor </w:t>
            </w:r>
            <w:r w:rsidRPr="00C87417">
              <w:rPr>
                <w:rFonts w:ascii="Arial" w:hAnsi="Arial" w:cs="Arial"/>
                <w:lang w:val="en-US"/>
              </w:rPr>
              <w:tab/>
              <w:t xml:space="preserve">to be considered in the overall determination whether good cause has been shown, </w:t>
            </w:r>
            <w:r w:rsidRPr="00C87417">
              <w:rPr>
                <w:rFonts w:ascii="Arial" w:hAnsi="Arial" w:cs="Arial"/>
                <w:lang w:val="en-US"/>
              </w:rPr>
              <w:tab/>
              <w:t>and would weigh heavily against an applicant for relief.</w:t>
            </w:r>
            <w:r w:rsidRPr="00C87417">
              <w:rPr>
                <w:rFonts w:ascii="Arial" w:hAnsi="Arial" w:cs="Arial"/>
                <w:sz w:val="24"/>
                <w:szCs w:val="24"/>
                <w:lang w:val="en-US"/>
              </w:rPr>
              <w:t>’</w:t>
            </w:r>
          </w:p>
          <w:p w:rsidR="002973FD" w:rsidRPr="00A566DA" w:rsidRDefault="002973FD" w:rsidP="00B318D1">
            <w:pPr>
              <w:spacing w:line="360" w:lineRule="auto"/>
              <w:jc w:val="both"/>
              <w:rPr>
                <w:rFonts w:ascii="Arial" w:hAnsi="Arial" w:cs="Arial"/>
                <w:sz w:val="24"/>
                <w:szCs w:val="24"/>
              </w:rPr>
            </w:pPr>
          </w:p>
          <w:p w:rsidR="00C87417" w:rsidRPr="00C87417" w:rsidRDefault="002462AF" w:rsidP="00C87417">
            <w:pPr>
              <w:rPr>
                <w:rFonts w:ascii="Arial" w:hAnsi="Arial" w:cs="Arial"/>
                <w:sz w:val="24"/>
                <w:szCs w:val="24"/>
                <w:lang w:val="en-US"/>
              </w:rPr>
            </w:pPr>
            <w:r>
              <w:rPr>
                <w:rFonts w:ascii="Arial" w:hAnsi="Arial" w:cs="Arial"/>
                <w:sz w:val="24"/>
                <w:szCs w:val="24"/>
              </w:rPr>
              <w:t>[19]</w:t>
            </w:r>
            <w:r w:rsidR="00A566DA">
              <w:rPr>
                <w:rFonts w:ascii="Arial" w:hAnsi="Arial" w:cs="Arial"/>
                <w:sz w:val="24"/>
                <w:szCs w:val="24"/>
              </w:rPr>
              <w:t xml:space="preserve"> </w:t>
            </w:r>
            <w:r w:rsidR="00C87417" w:rsidRPr="00C87417">
              <w:rPr>
                <w:rFonts w:ascii="Arial" w:hAnsi="Arial" w:cs="Arial"/>
                <w:sz w:val="24"/>
                <w:szCs w:val="24"/>
                <w:lang w:val="en-US"/>
              </w:rPr>
              <w:t xml:space="preserve">Masuku J in </w:t>
            </w:r>
            <w:r w:rsidR="00C87417" w:rsidRPr="00C87417">
              <w:rPr>
                <w:rFonts w:ascii="Arial" w:hAnsi="Arial" w:cs="Arial"/>
                <w:i/>
                <w:sz w:val="24"/>
                <w:szCs w:val="24"/>
                <w:lang w:val="en-US"/>
              </w:rPr>
              <w:t>Quenet Capital (Pty) Ltd v Transnamib Holding Limited</w:t>
            </w:r>
            <w:r w:rsidR="00C87417" w:rsidRPr="00C87417">
              <w:rPr>
                <w:rFonts w:ascii="Arial" w:hAnsi="Arial" w:cs="Arial"/>
                <w:sz w:val="24"/>
                <w:szCs w:val="24"/>
                <w:vertAlign w:val="superscript"/>
                <w:lang w:val="en-US"/>
              </w:rPr>
              <w:footnoteReference w:id="6"/>
            </w:r>
            <w:r w:rsidR="00C87417" w:rsidRPr="00C87417">
              <w:rPr>
                <w:rFonts w:ascii="Arial" w:hAnsi="Arial" w:cs="Arial"/>
                <w:sz w:val="24"/>
                <w:szCs w:val="24"/>
                <w:lang w:val="en-US"/>
              </w:rPr>
              <w:t xml:space="preserve"> stated that:</w:t>
            </w:r>
          </w:p>
          <w:p w:rsidR="00C87417" w:rsidRPr="00C87417" w:rsidRDefault="00C87417" w:rsidP="00C87417">
            <w:pPr>
              <w:spacing w:line="360" w:lineRule="auto"/>
              <w:jc w:val="both"/>
              <w:rPr>
                <w:rFonts w:ascii="Arial" w:hAnsi="Arial" w:cs="Arial"/>
                <w:sz w:val="24"/>
                <w:szCs w:val="24"/>
                <w:lang w:val="en-US"/>
              </w:rPr>
            </w:pPr>
          </w:p>
          <w:p w:rsidR="00C87417" w:rsidRPr="00C87417" w:rsidRDefault="00645718" w:rsidP="00C87417">
            <w:pPr>
              <w:spacing w:line="360" w:lineRule="auto"/>
              <w:jc w:val="both"/>
              <w:rPr>
                <w:rFonts w:ascii="Arial" w:hAnsi="Arial" w:cs="Arial"/>
                <w:sz w:val="24"/>
                <w:szCs w:val="24"/>
                <w:lang w:val="en-US"/>
              </w:rPr>
            </w:pPr>
            <w:r>
              <w:rPr>
                <w:rFonts w:ascii="Arial" w:hAnsi="Arial" w:cs="Arial"/>
                <w:lang w:val="en-US"/>
              </w:rPr>
              <w:tab/>
            </w:r>
            <w:r w:rsidR="00C87417" w:rsidRPr="00C87417">
              <w:rPr>
                <w:rFonts w:ascii="Arial" w:hAnsi="Arial" w:cs="Arial"/>
                <w:lang w:val="en-US"/>
              </w:rPr>
              <w:t xml:space="preserve">‘It therefore appears that for an application for condonation to succeed, it is important </w:t>
            </w:r>
            <w:r w:rsidR="00C87417" w:rsidRPr="00C87417">
              <w:rPr>
                <w:rFonts w:ascii="Arial" w:hAnsi="Arial" w:cs="Arial"/>
                <w:lang w:val="en-US"/>
              </w:rPr>
              <w:tab/>
              <w:t xml:space="preserve">for the applicant to address the twin elements of a reasonable explanation for the delay </w:t>
            </w:r>
            <w:r w:rsidR="00C87417" w:rsidRPr="00C87417">
              <w:rPr>
                <w:rFonts w:ascii="Arial" w:hAnsi="Arial" w:cs="Arial"/>
                <w:lang w:val="en-US"/>
              </w:rPr>
              <w:tab/>
              <w:t xml:space="preserve">or non-compliance together with the issue of prospects of success. If there should be </w:t>
            </w:r>
            <w:r w:rsidR="00C87417" w:rsidRPr="00C87417">
              <w:rPr>
                <w:rFonts w:ascii="Arial" w:hAnsi="Arial" w:cs="Arial"/>
                <w:lang w:val="en-US"/>
              </w:rPr>
              <w:tab/>
              <w:t xml:space="preserve">any doubt about this, the Supreme Court spoke unequivocally on this issue in </w:t>
            </w:r>
            <w:r w:rsidR="00C87417" w:rsidRPr="00C87417">
              <w:rPr>
                <w:rFonts w:ascii="Arial" w:hAnsi="Arial" w:cs="Arial"/>
                <w:i/>
                <w:lang w:val="en-US"/>
              </w:rPr>
              <w:t>Petrus</w:t>
            </w:r>
            <w:r>
              <w:rPr>
                <w:rFonts w:ascii="Arial" w:hAnsi="Arial" w:cs="Arial"/>
                <w:i/>
                <w:lang w:val="en-US"/>
              </w:rPr>
              <w:t xml:space="preserve"> </w:t>
            </w:r>
            <w:r w:rsidR="00C87417" w:rsidRPr="00C87417">
              <w:rPr>
                <w:rFonts w:ascii="Arial" w:hAnsi="Arial" w:cs="Arial"/>
                <w:i/>
                <w:lang w:val="en-US"/>
              </w:rPr>
              <w:t xml:space="preserve">v </w:t>
            </w:r>
            <w:r>
              <w:rPr>
                <w:rFonts w:ascii="Arial" w:hAnsi="Arial" w:cs="Arial"/>
                <w:i/>
                <w:lang w:val="en-US"/>
              </w:rPr>
              <w:tab/>
            </w:r>
            <w:r w:rsidR="00C87417" w:rsidRPr="00C87417">
              <w:rPr>
                <w:rFonts w:ascii="Arial" w:hAnsi="Arial" w:cs="Arial"/>
                <w:i/>
                <w:lang w:val="en-US"/>
              </w:rPr>
              <w:t>Roman Catholic Archdiocese</w:t>
            </w:r>
            <w:r w:rsidR="00C87417" w:rsidRPr="00C87417">
              <w:rPr>
                <w:rFonts w:ascii="Arial" w:hAnsi="Arial" w:cs="Arial"/>
                <w:lang w:val="en-US"/>
              </w:rPr>
              <w:t xml:space="preserve"> wherein O’Regan AJA spoke in the following terms</w:t>
            </w:r>
            <w:r w:rsidR="00C87417" w:rsidRPr="00C87417">
              <w:rPr>
                <w:rFonts w:ascii="Arial" w:hAnsi="Arial" w:cs="Arial"/>
                <w:sz w:val="24"/>
                <w:szCs w:val="24"/>
                <w:lang w:val="en-US"/>
              </w:rPr>
              <w:t>:</w:t>
            </w:r>
            <w:r w:rsidR="00157E26">
              <w:rPr>
                <w:rFonts w:ascii="Arial" w:hAnsi="Arial" w:cs="Arial"/>
                <w:sz w:val="24"/>
                <w:szCs w:val="24"/>
                <w:lang w:val="en-US"/>
              </w:rPr>
              <w:t xml:space="preserve"> </w:t>
            </w:r>
            <w:r w:rsidR="00C87417" w:rsidRPr="00C87417">
              <w:rPr>
                <w:rFonts w:ascii="Arial" w:hAnsi="Arial" w:cs="Arial"/>
                <w:sz w:val="24"/>
                <w:szCs w:val="24"/>
                <w:lang w:val="en-US"/>
              </w:rPr>
              <w:t>“</w:t>
            </w:r>
            <w:r w:rsidR="00C87417" w:rsidRPr="00C87417">
              <w:rPr>
                <w:rFonts w:ascii="Arial" w:hAnsi="Arial" w:cs="Arial"/>
                <w:sz w:val="20"/>
                <w:szCs w:val="20"/>
                <w:lang w:val="en-US"/>
              </w:rPr>
              <w:t xml:space="preserve">in </w:t>
            </w:r>
            <w:r w:rsidR="00157E26">
              <w:rPr>
                <w:rFonts w:ascii="Arial" w:hAnsi="Arial" w:cs="Arial"/>
                <w:sz w:val="20"/>
                <w:szCs w:val="20"/>
                <w:lang w:val="en-US"/>
              </w:rPr>
              <w:tab/>
            </w:r>
            <w:r w:rsidR="00C87417" w:rsidRPr="00C87417">
              <w:rPr>
                <w:rFonts w:ascii="Arial" w:hAnsi="Arial" w:cs="Arial"/>
                <w:sz w:val="20"/>
                <w:szCs w:val="20"/>
                <w:lang w:val="en-US"/>
              </w:rPr>
              <w:t>determining whether to grant condonation, a court will consider whether the explanation</w:t>
            </w:r>
            <w:r w:rsidR="00157E26">
              <w:rPr>
                <w:rFonts w:ascii="Arial" w:hAnsi="Arial" w:cs="Arial"/>
                <w:sz w:val="20"/>
                <w:szCs w:val="20"/>
                <w:lang w:val="en-US"/>
              </w:rPr>
              <w:t xml:space="preserve"> </w:t>
            </w:r>
            <w:r w:rsidR="00C87417" w:rsidRPr="00C87417">
              <w:rPr>
                <w:rFonts w:ascii="Arial" w:hAnsi="Arial" w:cs="Arial"/>
                <w:sz w:val="20"/>
                <w:szCs w:val="20"/>
                <w:lang w:val="en-US"/>
              </w:rPr>
              <w:t>is sufficient</w:t>
            </w:r>
            <w:r w:rsidR="00157E26">
              <w:rPr>
                <w:rFonts w:ascii="Arial" w:hAnsi="Arial" w:cs="Arial"/>
                <w:sz w:val="20"/>
                <w:szCs w:val="20"/>
                <w:lang w:val="en-US"/>
              </w:rPr>
              <w:t xml:space="preserve"> </w:t>
            </w:r>
            <w:r w:rsidR="00157E26">
              <w:rPr>
                <w:rFonts w:ascii="Arial" w:hAnsi="Arial" w:cs="Arial"/>
                <w:sz w:val="20"/>
                <w:szCs w:val="20"/>
                <w:lang w:val="en-US"/>
              </w:rPr>
              <w:tab/>
            </w:r>
            <w:r w:rsidR="00C87417" w:rsidRPr="00C87417">
              <w:rPr>
                <w:rFonts w:ascii="Arial" w:hAnsi="Arial" w:cs="Arial"/>
                <w:sz w:val="20"/>
                <w:szCs w:val="20"/>
                <w:lang w:val="en-US"/>
              </w:rPr>
              <w:t>to warrant the grant of condonation, and will also consider the litigant’s prospects</w:t>
            </w:r>
            <w:r w:rsidR="00157E26">
              <w:rPr>
                <w:rFonts w:ascii="Arial" w:hAnsi="Arial" w:cs="Arial"/>
                <w:sz w:val="20"/>
                <w:szCs w:val="20"/>
                <w:lang w:val="en-US"/>
              </w:rPr>
              <w:t xml:space="preserve"> </w:t>
            </w:r>
            <w:r w:rsidR="00C87417" w:rsidRPr="00C87417">
              <w:rPr>
                <w:rFonts w:ascii="Arial" w:hAnsi="Arial" w:cs="Arial"/>
                <w:sz w:val="20"/>
                <w:szCs w:val="20"/>
                <w:lang w:val="en-US"/>
              </w:rPr>
              <w:t>of</w:t>
            </w:r>
            <w:r>
              <w:rPr>
                <w:rFonts w:ascii="Arial" w:hAnsi="Arial" w:cs="Arial"/>
                <w:sz w:val="20"/>
                <w:szCs w:val="20"/>
                <w:lang w:val="en-US"/>
              </w:rPr>
              <w:t xml:space="preserve"> </w:t>
            </w:r>
            <w:r w:rsidR="00C87417" w:rsidRPr="00C87417">
              <w:rPr>
                <w:rFonts w:ascii="Arial" w:hAnsi="Arial" w:cs="Arial"/>
                <w:sz w:val="20"/>
                <w:szCs w:val="20"/>
                <w:lang w:val="en-US"/>
              </w:rPr>
              <w:t xml:space="preserve">success on the </w:t>
            </w:r>
            <w:r w:rsidR="00157E26">
              <w:rPr>
                <w:rFonts w:ascii="Arial" w:hAnsi="Arial" w:cs="Arial"/>
                <w:sz w:val="20"/>
                <w:szCs w:val="20"/>
                <w:lang w:val="en-US"/>
              </w:rPr>
              <w:lastRenderedPageBreak/>
              <w:tab/>
            </w:r>
            <w:r w:rsidR="00C87417" w:rsidRPr="00C87417">
              <w:rPr>
                <w:rFonts w:ascii="Arial" w:hAnsi="Arial" w:cs="Arial"/>
                <w:sz w:val="20"/>
                <w:szCs w:val="20"/>
                <w:lang w:val="en-US"/>
              </w:rPr>
              <w:t>merits, save in case</w:t>
            </w:r>
            <w:r w:rsidR="00157E26">
              <w:rPr>
                <w:rFonts w:ascii="Arial" w:hAnsi="Arial" w:cs="Arial"/>
                <w:sz w:val="20"/>
                <w:szCs w:val="20"/>
                <w:lang w:val="en-US"/>
              </w:rPr>
              <w:t>s</w:t>
            </w:r>
            <w:r w:rsidR="00C87417" w:rsidRPr="00C87417">
              <w:rPr>
                <w:rFonts w:ascii="Arial" w:hAnsi="Arial" w:cs="Arial"/>
                <w:sz w:val="20"/>
                <w:szCs w:val="20"/>
                <w:lang w:val="en-US"/>
              </w:rPr>
              <w:t xml:space="preserve"> of “flagrant non-compliance with the rules which</w:t>
            </w:r>
            <w:r w:rsidR="00157E26">
              <w:rPr>
                <w:rFonts w:ascii="Arial" w:hAnsi="Arial" w:cs="Arial"/>
                <w:sz w:val="20"/>
                <w:szCs w:val="20"/>
                <w:lang w:val="en-US"/>
              </w:rPr>
              <w:t xml:space="preserve"> </w:t>
            </w:r>
            <w:r w:rsidR="00C87417" w:rsidRPr="00C87417">
              <w:rPr>
                <w:rFonts w:ascii="Arial" w:hAnsi="Arial" w:cs="Arial"/>
                <w:sz w:val="20"/>
                <w:szCs w:val="20"/>
                <w:lang w:val="en-US"/>
              </w:rPr>
              <w:t xml:space="preserve">demonstrate a glaring and </w:t>
            </w:r>
            <w:r w:rsidR="00157E26">
              <w:rPr>
                <w:rFonts w:ascii="Arial" w:hAnsi="Arial" w:cs="Arial"/>
                <w:sz w:val="20"/>
                <w:szCs w:val="20"/>
                <w:lang w:val="en-US"/>
              </w:rPr>
              <w:tab/>
            </w:r>
            <w:r w:rsidR="00C87417" w:rsidRPr="00C87417">
              <w:rPr>
                <w:rFonts w:ascii="Arial" w:hAnsi="Arial" w:cs="Arial"/>
                <w:sz w:val="20"/>
                <w:szCs w:val="20"/>
                <w:lang w:val="en-US"/>
              </w:rPr>
              <w:t>inexplicable disregard” for the process of court”</w:t>
            </w:r>
            <w:r w:rsidR="00C87417" w:rsidRPr="00C87417">
              <w:rPr>
                <w:rFonts w:ascii="Arial" w:hAnsi="Arial" w:cs="Arial"/>
                <w:sz w:val="24"/>
                <w:szCs w:val="24"/>
                <w:lang w:val="en-US"/>
              </w:rPr>
              <w:t>.”’</w:t>
            </w:r>
          </w:p>
          <w:p w:rsidR="002973FD" w:rsidRPr="00A566DA" w:rsidRDefault="002973FD" w:rsidP="00B318D1">
            <w:pPr>
              <w:spacing w:line="360" w:lineRule="auto"/>
              <w:jc w:val="both"/>
              <w:rPr>
                <w:rFonts w:ascii="Arial" w:hAnsi="Arial" w:cs="Arial"/>
                <w:sz w:val="24"/>
                <w:szCs w:val="24"/>
              </w:rPr>
            </w:pPr>
          </w:p>
          <w:p w:rsidR="00645718" w:rsidRDefault="00645718" w:rsidP="00645718">
            <w:pPr>
              <w:spacing w:line="360" w:lineRule="auto"/>
              <w:jc w:val="both"/>
              <w:rPr>
                <w:rFonts w:ascii="Arial" w:hAnsi="Arial" w:cs="Arial"/>
                <w:sz w:val="24"/>
                <w:szCs w:val="24"/>
                <w:u w:val="single"/>
              </w:rPr>
            </w:pPr>
            <w:r>
              <w:rPr>
                <w:rFonts w:ascii="Arial" w:hAnsi="Arial" w:cs="Arial"/>
                <w:sz w:val="24"/>
                <w:szCs w:val="24"/>
                <w:u w:val="single"/>
              </w:rPr>
              <w:t>Discussion</w:t>
            </w:r>
          </w:p>
          <w:p w:rsidR="002973FD" w:rsidRPr="00A566DA" w:rsidRDefault="002973FD" w:rsidP="00B318D1">
            <w:pPr>
              <w:spacing w:line="360" w:lineRule="auto"/>
              <w:jc w:val="both"/>
              <w:rPr>
                <w:rFonts w:ascii="Arial" w:hAnsi="Arial" w:cs="Arial"/>
                <w:sz w:val="24"/>
                <w:szCs w:val="24"/>
              </w:rPr>
            </w:pPr>
          </w:p>
          <w:p w:rsidR="002973FD" w:rsidRPr="00A566DA" w:rsidRDefault="002462AF" w:rsidP="00B318D1">
            <w:pPr>
              <w:spacing w:line="360" w:lineRule="auto"/>
              <w:jc w:val="both"/>
              <w:rPr>
                <w:rFonts w:ascii="Arial" w:hAnsi="Arial" w:cs="Arial"/>
                <w:sz w:val="24"/>
                <w:szCs w:val="24"/>
              </w:rPr>
            </w:pPr>
            <w:r>
              <w:rPr>
                <w:rFonts w:ascii="Arial" w:hAnsi="Arial" w:cs="Arial"/>
                <w:sz w:val="24"/>
                <w:szCs w:val="24"/>
              </w:rPr>
              <w:t>[20]</w:t>
            </w:r>
            <w:r w:rsidR="00A566DA">
              <w:rPr>
                <w:rFonts w:ascii="Arial" w:hAnsi="Arial" w:cs="Arial"/>
                <w:sz w:val="24"/>
                <w:szCs w:val="24"/>
              </w:rPr>
              <w:t xml:space="preserve"> </w:t>
            </w:r>
            <w:r w:rsidR="00645718" w:rsidRPr="00645718">
              <w:rPr>
                <w:rFonts w:ascii="Arial" w:hAnsi="Arial" w:cs="Arial"/>
                <w:sz w:val="24"/>
                <w:szCs w:val="24"/>
                <w:lang w:val="en-US"/>
              </w:rPr>
              <w:t>The Second Defendant, Mr Ayoub, deposed to the affidavit in support of the Defendants’ application. According to Mr Ayoub, the reason why the plea and counterclaim was not filed on 10 March 2020 as ordered by the Court is that the Defendants’ legal practitioner of record’s uncle fell seriously ill on 09 March 2020 and as such, the legal practitioner had as of necessity, travelled to Oshakati on 09 March 2020. The uncle passed on 14 March 2020, necessitating that the legal practitioner stay longer than what he had planned. The uncle was buried on 27 March 2020 in Walvisbay. Mr Ayoub further states that as from 12 March 2020 to approximately 26 March 2020, he had travelled on business to Botswana and Angola. Mr Ayoub continued and stated that as from 28 March 2020, the regulations limiting peoples’ movements (lock down) came into operation and as such, he could not travel to consult with his legal practitioners.</w:t>
            </w:r>
          </w:p>
          <w:p w:rsidR="002973FD" w:rsidRPr="00A566DA" w:rsidRDefault="002973FD" w:rsidP="00B318D1">
            <w:pPr>
              <w:spacing w:line="360" w:lineRule="auto"/>
              <w:jc w:val="both"/>
              <w:rPr>
                <w:rFonts w:ascii="Arial" w:hAnsi="Arial" w:cs="Arial"/>
                <w:sz w:val="24"/>
                <w:szCs w:val="24"/>
              </w:rPr>
            </w:pPr>
          </w:p>
          <w:p w:rsidR="004378C5" w:rsidRDefault="002462AF" w:rsidP="00B318D1">
            <w:pPr>
              <w:spacing w:line="360" w:lineRule="auto"/>
              <w:jc w:val="both"/>
              <w:rPr>
                <w:rFonts w:ascii="Arial" w:hAnsi="Arial" w:cs="Arial"/>
                <w:sz w:val="24"/>
                <w:szCs w:val="24"/>
                <w:lang w:val="en-US"/>
              </w:rPr>
            </w:pPr>
            <w:r>
              <w:rPr>
                <w:rFonts w:ascii="Arial" w:hAnsi="Arial" w:cs="Arial"/>
                <w:sz w:val="24"/>
                <w:szCs w:val="24"/>
              </w:rPr>
              <w:t>[</w:t>
            </w:r>
            <w:r w:rsidR="002973FD" w:rsidRPr="00A566DA">
              <w:rPr>
                <w:rFonts w:ascii="Arial" w:hAnsi="Arial" w:cs="Arial"/>
                <w:sz w:val="24"/>
                <w:szCs w:val="24"/>
              </w:rPr>
              <w:t>21</w:t>
            </w:r>
            <w:r>
              <w:rPr>
                <w:rFonts w:ascii="Arial" w:hAnsi="Arial" w:cs="Arial"/>
                <w:sz w:val="24"/>
                <w:szCs w:val="24"/>
              </w:rPr>
              <w:t>]</w:t>
            </w:r>
            <w:r w:rsidR="00A566DA">
              <w:rPr>
                <w:rFonts w:ascii="Arial" w:hAnsi="Arial" w:cs="Arial"/>
                <w:sz w:val="24"/>
                <w:szCs w:val="24"/>
              </w:rPr>
              <w:t xml:space="preserve"> </w:t>
            </w:r>
            <w:r w:rsidR="00645718" w:rsidRPr="00645718">
              <w:rPr>
                <w:rFonts w:ascii="Arial" w:hAnsi="Arial" w:cs="Arial"/>
                <w:sz w:val="24"/>
                <w:szCs w:val="24"/>
                <w:lang w:val="en-US"/>
              </w:rPr>
              <w:t xml:space="preserve">The Court Order was issued on 25 February 2020 and directed the Defendants to file their pleas or counterclaims if any by not later than 10 March 2020. Mr Ayoub fails to inform this Court what prevented him and his legal practitioner to consult between 26 February 2020 and 08 March 2020 so as to prepare a plea and file it by 10 March 2020. There is a stone wall of silence in respect of this period (i.e. 26 February to 08 March 2020). What is even more disturbing about Mr Ayoub’s explanation is the fact that on 08 April 2020, the Plaintiff’s legal practitioner of record uploaded a report in which report she informed Court that the Defendants have failed to comply with the Court Order of 25 February 2020. </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rPr>
            </w:pPr>
            <w:r>
              <w:rPr>
                <w:rFonts w:ascii="Arial" w:hAnsi="Arial" w:cs="Arial"/>
                <w:sz w:val="24"/>
                <w:szCs w:val="24"/>
                <w:lang w:val="en-US"/>
              </w:rPr>
              <w:t>[22]</w:t>
            </w:r>
            <w:r w:rsidR="00645718">
              <w:rPr>
                <w:rFonts w:ascii="Arial" w:hAnsi="Arial" w:cs="Arial"/>
                <w:sz w:val="24"/>
                <w:szCs w:val="24"/>
                <w:lang w:val="en-US"/>
              </w:rPr>
              <w:t xml:space="preserve"> </w:t>
            </w:r>
            <w:r w:rsidR="00645718">
              <w:rPr>
                <w:rFonts w:ascii="Arial" w:hAnsi="Arial" w:cs="Arial"/>
                <w:sz w:val="24"/>
                <w:szCs w:val="24"/>
              </w:rPr>
              <w:t xml:space="preserve">Mr Ayoub furthermore is totally evasive as to why they did not seek immediate condonation when they were alerted (on 08 April 2020) that they have not complied with the Court Order of 25 February 2020. The application for condonation was only filed approximately two months later (i.e. on 10 June 2020). Furthermore, the applicant’s legal practitioner failed to attend court on 05 May 2020 and 02 June 2020. The reason advanced by the legal practitioner for his failure to attend Court is that he anticipated that an order will be issued out of chambers, but he does not inform the Court on what factual basis the </w:t>
            </w:r>
            <w:r w:rsidR="00645718">
              <w:rPr>
                <w:rFonts w:ascii="Arial" w:hAnsi="Arial" w:cs="Arial"/>
                <w:sz w:val="24"/>
                <w:szCs w:val="24"/>
              </w:rPr>
              <w:lastRenderedPageBreak/>
              <w:t>‘anticipation’ was based. His failure to attend on 02 June 2020 was because the legal practitioner failed to diarize the matter.</w:t>
            </w:r>
          </w:p>
          <w:p w:rsidR="00645718" w:rsidRDefault="00645718" w:rsidP="00B318D1">
            <w:pPr>
              <w:spacing w:line="360" w:lineRule="auto"/>
              <w:jc w:val="both"/>
              <w:rPr>
                <w:rFonts w:ascii="Arial" w:hAnsi="Arial" w:cs="Arial"/>
                <w:sz w:val="24"/>
                <w:szCs w:val="24"/>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rPr>
              <w:t>[23]</w:t>
            </w:r>
            <w:r w:rsidR="00645718">
              <w:rPr>
                <w:rFonts w:ascii="Arial" w:hAnsi="Arial" w:cs="Arial"/>
                <w:sz w:val="24"/>
                <w:szCs w:val="24"/>
              </w:rPr>
              <w:t xml:space="preserve"> </w:t>
            </w:r>
            <w:r w:rsidR="00645718" w:rsidRPr="00645718">
              <w:rPr>
                <w:rFonts w:ascii="Arial" w:hAnsi="Arial" w:cs="Arial"/>
                <w:sz w:val="24"/>
                <w:szCs w:val="24"/>
                <w:lang w:val="en-US"/>
              </w:rPr>
              <w:t xml:space="preserve">I must confess that I find the Defendants and their legal practitioner’s explanation unsatisfactory, incomplete and inadequate, bordering on gross negligence, but cannot be classified as a flagrant non-compliance with the Order of Court which demonstrates a </w:t>
            </w:r>
            <w:r w:rsidR="00645718" w:rsidRPr="00645718">
              <w:rPr>
                <w:rFonts w:ascii="Arial" w:hAnsi="Arial" w:cs="Arial"/>
                <w:i/>
                <w:sz w:val="24"/>
                <w:szCs w:val="24"/>
                <w:lang w:val="en-US"/>
              </w:rPr>
              <w:t>“glaring and inexplicable disregard</w:t>
            </w:r>
            <w:r w:rsidR="00645718" w:rsidRPr="00645718">
              <w:rPr>
                <w:rFonts w:ascii="Arial" w:hAnsi="Arial" w:cs="Arial"/>
                <w:sz w:val="24"/>
                <w:szCs w:val="24"/>
                <w:lang w:val="en-US"/>
              </w:rPr>
              <w:t xml:space="preserve">” for the process of Court.  As regards the prospects of success, I am satisfied that the Defendants have put </w:t>
            </w:r>
            <w:r w:rsidR="00645718" w:rsidRPr="00645718">
              <w:rPr>
                <w:rFonts w:ascii="Arial" w:hAnsi="Arial" w:cs="Arial"/>
                <w:i/>
                <w:sz w:val="24"/>
                <w:szCs w:val="24"/>
                <w:lang w:val="en-US"/>
              </w:rPr>
              <w:t>a bona fide</w:t>
            </w:r>
            <w:r w:rsidR="00645718" w:rsidRPr="00645718">
              <w:rPr>
                <w:rFonts w:ascii="Arial" w:hAnsi="Arial" w:cs="Arial"/>
                <w:sz w:val="24"/>
                <w:szCs w:val="24"/>
                <w:lang w:val="en-US"/>
              </w:rPr>
              <w:t xml:space="preserve"> defence.</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lang w:val="en-US"/>
              </w:rPr>
              <w:t>[24]</w:t>
            </w:r>
            <w:r w:rsidR="00645718">
              <w:rPr>
                <w:rFonts w:ascii="Arial" w:hAnsi="Arial" w:cs="Arial"/>
                <w:sz w:val="24"/>
                <w:szCs w:val="24"/>
                <w:lang w:val="en-US"/>
              </w:rPr>
              <w:t xml:space="preserve"> </w:t>
            </w:r>
            <w:r w:rsidR="00645718" w:rsidRPr="00645718">
              <w:rPr>
                <w:rFonts w:ascii="Arial" w:hAnsi="Arial" w:cs="Arial"/>
                <w:sz w:val="24"/>
                <w:szCs w:val="24"/>
                <w:lang w:val="en-US"/>
              </w:rPr>
              <w:t>I have indicated earlier that in this matter, the Plaintiff's legal practitioners have, in their heads of argument, prayed for an order striking out the Defendants’ defence as being the appropriate censure in the circumstances. This argument is not without foundation, considering the absence of a plausible explanation for the Defendants’ inaction and that the inaction has undoubtedly resulted in the loss of time and unnecessary escalation of costs. The Court must, and will mark its disapproval of this type of conduct.</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lang w:val="en-US"/>
              </w:rPr>
              <w:t>[25]</w:t>
            </w:r>
            <w:r w:rsidR="00645718">
              <w:rPr>
                <w:rFonts w:ascii="Arial" w:hAnsi="Arial" w:cs="Arial"/>
                <w:sz w:val="24"/>
                <w:szCs w:val="24"/>
                <w:lang w:val="en-US"/>
              </w:rPr>
              <w:t xml:space="preserve"> </w:t>
            </w:r>
            <w:r w:rsidR="00645718" w:rsidRPr="00645718">
              <w:rPr>
                <w:rFonts w:ascii="Arial" w:hAnsi="Arial" w:cs="Arial"/>
                <w:sz w:val="24"/>
                <w:szCs w:val="24"/>
                <w:lang w:val="en-US"/>
              </w:rPr>
              <w:t xml:space="preserve">It would seem to me that although the non-compliance by the Defendants is serious and being tantamount to gross negligence, I keep in mind what Strydom has said in the </w:t>
            </w:r>
            <w:r w:rsidR="00645718" w:rsidRPr="00645718">
              <w:rPr>
                <w:rFonts w:ascii="Arial" w:hAnsi="Arial" w:cs="Arial"/>
                <w:i/>
                <w:sz w:val="24"/>
                <w:szCs w:val="24"/>
                <w:lang w:val="en-US"/>
              </w:rPr>
              <w:t>Leweis v Sampoio</w:t>
            </w:r>
            <w:r w:rsidR="00645718" w:rsidRPr="00645718">
              <w:rPr>
                <w:rFonts w:ascii="Arial" w:hAnsi="Arial" w:cs="Arial"/>
                <w:sz w:val="24"/>
                <w:szCs w:val="24"/>
                <w:lang w:val="en-US"/>
              </w:rPr>
              <w:t xml:space="preserve"> matter.</w:t>
            </w:r>
            <w:r w:rsidR="00645718" w:rsidRPr="00645718">
              <w:rPr>
                <w:rFonts w:ascii="Arial" w:hAnsi="Arial" w:cs="Arial"/>
                <w:sz w:val="24"/>
                <w:szCs w:val="24"/>
                <w:vertAlign w:val="superscript"/>
                <w:lang w:val="en-US"/>
              </w:rPr>
              <w:footnoteReference w:id="7"/>
            </w:r>
            <w:r w:rsidR="00645718" w:rsidRPr="00645718">
              <w:rPr>
                <w:rFonts w:ascii="Arial" w:hAnsi="Arial" w:cs="Arial"/>
                <w:sz w:val="24"/>
                <w:szCs w:val="24"/>
                <w:lang w:val="en-US"/>
              </w:rPr>
              <w:t xml:space="preserve"> I am of the view that an application for condonation must also not simply be regarded as an enquiry whether or not to penalise a party for his failure to follow the rules and procedures laid down for civil proceedings in our courts or Court Orders. The question must rather be, whether or not the explanation for the default and any accompanying conduct by the defaulter, be it willful or negligent or otherwise, gives rise to the probable inference that there is no </w:t>
            </w:r>
            <w:r w:rsidR="00645718" w:rsidRPr="00645718">
              <w:rPr>
                <w:rFonts w:ascii="Arial" w:hAnsi="Arial" w:cs="Arial"/>
                <w:i/>
                <w:sz w:val="24"/>
                <w:szCs w:val="24"/>
                <w:lang w:val="en-US"/>
              </w:rPr>
              <w:t>bona fide</w:t>
            </w:r>
            <w:r w:rsidR="00645718" w:rsidRPr="00645718">
              <w:rPr>
                <w:rFonts w:ascii="Arial" w:hAnsi="Arial" w:cs="Arial"/>
                <w:sz w:val="24"/>
                <w:szCs w:val="24"/>
                <w:lang w:val="en-US"/>
              </w:rPr>
              <w:t xml:space="preserve"> defence and hence that the application for condonation is not </w:t>
            </w:r>
            <w:r w:rsidR="00645718" w:rsidRPr="00645718">
              <w:rPr>
                <w:rFonts w:ascii="Arial" w:hAnsi="Arial" w:cs="Arial"/>
                <w:i/>
                <w:sz w:val="24"/>
                <w:szCs w:val="24"/>
                <w:lang w:val="en-US"/>
              </w:rPr>
              <w:t>bona fide</w:t>
            </w:r>
            <w:r w:rsidR="00645718" w:rsidRPr="00645718">
              <w:rPr>
                <w:rFonts w:ascii="Arial" w:hAnsi="Arial" w:cs="Arial"/>
                <w:sz w:val="24"/>
                <w:szCs w:val="24"/>
                <w:lang w:val="en-US"/>
              </w:rPr>
              <w:t>.</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lang w:val="en-US"/>
              </w:rPr>
              <w:t>[26]</w:t>
            </w:r>
            <w:r w:rsidR="00645718">
              <w:rPr>
                <w:rFonts w:ascii="Arial" w:hAnsi="Arial" w:cs="Arial"/>
                <w:sz w:val="24"/>
                <w:szCs w:val="24"/>
                <w:lang w:val="en-US"/>
              </w:rPr>
              <w:t xml:space="preserve"> </w:t>
            </w:r>
            <w:r w:rsidR="00645718" w:rsidRPr="00645718">
              <w:rPr>
                <w:rFonts w:ascii="Arial" w:hAnsi="Arial" w:cs="Arial"/>
                <w:sz w:val="24"/>
                <w:szCs w:val="24"/>
                <w:lang w:val="en-US"/>
              </w:rPr>
              <w:t xml:space="preserve">Although in my view the Defendants’ inaction borders, as I have said, on gross negligence, I am of the view that the application for condonation is not made in bad faith but out of a genuine and honest desire to pursue that defence. I am therefore of the further view that the striking of the Defendants’ defence is rather grave and too serious a sanction as it has the potential, if granted, to effectively exclude the Defendants from further participation in the trial and thus effectively shut the doors of justice in the face of the </w:t>
            </w:r>
            <w:r w:rsidR="00645718" w:rsidRPr="00645718">
              <w:rPr>
                <w:rFonts w:ascii="Arial" w:hAnsi="Arial" w:cs="Arial"/>
                <w:sz w:val="24"/>
                <w:szCs w:val="24"/>
                <w:lang w:val="en-US"/>
              </w:rPr>
              <w:lastRenderedPageBreak/>
              <w:t>Defendants. For that reason, the dictates of justice and fairness would in my view require that the Defendants’ inaction be condoned.</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lang w:val="en-US"/>
              </w:rPr>
              <w:t>[27]</w:t>
            </w:r>
            <w:r w:rsidR="00645718">
              <w:rPr>
                <w:rFonts w:ascii="Arial" w:hAnsi="Arial" w:cs="Arial"/>
                <w:sz w:val="24"/>
                <w:szCs w:val="24"/>
                <w:lang w:val="en-US"/>
              </w:rPr>
              <w:t xml:space="preserve"> </w:t>
            </w:r>
            <w:r w:rsidR="00645718" w:rsidRPr="00645718">
              <w:rPr>
                <w:rFonts w:ascii="Arial" w:hAnsi="Arial" w:cs="Arial"/>
                <w:sz w:val="24"/>
                <w:szCs w:val="24"/>
                <w:lang w:val="en-US"/>
              </w:rPr>
              <w:t>This must not, however, as Justice Masuku has warned,</w:t>
            </w:r>
            <w:r w:rsidR="00645718" w:rsidRPr="00645718">
              <w:rPr>
                <w:rFonts w:ascii="Arial" w:hAnsi="Arial" w:cs="Arial"/>
                <w:sz w:val="24"/>
                <w:szCs w:val="24"/>
                <w:vertAlign w:val="superscript"/>
                <w:lang w:val="en-US"/>
              </w:rPr>
              <w:footnoteReference w:id="8"/>
            </w:r>
            <w:r w:rsidR="00645718" w:rsidRPr="00645718">
              <w:rPr>
                <w:rFonts w:ascii="Arial" w:hAnsi="Arial" w:cs="Arial"/>
                <w:sz w:val="24"/>
                <w:szCs w:val="24"/>
                <w:lang w:val="en-US"/>
              </w:rPr>
              <w:t xml:space="preserve"> be regarded as a cue by the Court to litigants that it will always treat non-compliance with Court Orders by a party in this fashion. Each case, as indicated, will have to be treated in the light of its own peculiar facts and circumstances.</w:t>
            </w:r>
          </w:p>
          <w:p w:rsidR="00645718" w:rsidRDefault="00645718" w:rsidP="00B318D1">
            <w:pPr>
              <w:spacing w:line="360" w:lineRule="auto"/>
              <w:jc w:val="both"/>
              <w:rPr>
                <w:rFonts w:ascii="Arial" w:hAnsi="Arial" w:cs="Arial"/>
                <w:sz w:val="24"/>
                <w:szCs w:val="24"/>
                <w:lang w:val="en-US"/>
              </w:rPr>
            </w:pPr>
          </w:p>
          <w:p w:rsidR="00645718" w:rsidRDefault="002462AF" w:rsidP="00B318D1">
            <w:pPr>
              <w:spacing w:line="360" w:lineRule="auto"/>
              <w:jc w:val="both"/>
              <w:rPr>
                <w:rFonts w:ascii="Arial" w:hAnsi="Arial" w:cs="Arial"/>
                <w:sz w:val="24"/>
                <w:szCs w:val="24"/>
                <w:lang w:val="en-US"/>
              </w:rPr>
            </w:pPr>
            <w:r>
              <w:rPr>
                <w:rFonts w:ascii="Arial" w:hAnsi="Arial" w:cs="Arial"/>
                <w:sz w:val="24"/>
                <w:szCs w:val="24"/>
                <w:lang w:val="en-US"/>
              </w:rPr>
              <w:t>[28]</w:t>
            </w:r>
            <w:r w:rsidR="00645718">
              <w:rPr>
                <w:rFonts w:ascii="Arial" w:hAnsi="Arial" w:cs="Arial"/>
                <w:sz w:val="24"/>
                <w:szCs w:val="24"/>
                <w:lang w:val="en-US"/>
              </w:rPr>
              <w:t xml:space="preserve"> </w:t>
            </w:r>
            <w:r w:rsidR="00645718" w:rsidRPr="00645718">
              <w:rPr>
                <w:rFonts w:ascii="Arial" w:hAnsi="Arial" w:cs="Arial"/>
                <w:sz w:val="24"/>
                <w:szCs w:val="24"/>
                <w:lang w:val="en-US"/>
              </w:rPr>
              <w:t>I am furthermore of the view, regard being had to all the circumstances of this case, that the proper order to issue in the circumstances is to mulct the defendant with an order for costs as a result of the non-compliance with the Court Order of 25 February 2020.</w:t>
            </w:r>
          </w:p>
          <w:p w:rsidR="00645718" w:rsidRDefault="00645718" w:rsidP="00B318D1">
            <w:pPr>
              <w:spacing w:line="360" w:lineRule="auto"/>
              <w:jc w:val="both"/>
              <w:rPr>
                <w:rFonts w:ascii="Arial" w:hAnsi="Arial" w:cs="Arial"/>
                <w:sz w:val="24"/>
                <w:szCs w:val="24"/>
                <w:lang w:val="en-US"/>
              </w:rPr>
            </w:pPr>
          </w:p>
          <w:p w:rsidR="00645718" w:rsidRDefault="002462AF" w:rsidP="00645718">
            <w:pPr>
              <w:tabs>
                <w:tab w:val="left" w:pos="720"/>
              </w:tabs>
              <w:spacing w:line="360" w:lineRule="auto"/>
              <w:jc w:val="both"/>
              <w:rPr>
                <w:rFonts w:ascii="Arial" w:hAnsi="Arial" w:cs="Arial"/>
                <w:sz w:val="24"/>
                <w:szCs w:val="24"/>
              </w:rPr>
            </w:pPr>
            <w:r>
              <w:rPr>
                <w:rFonts w:ascii="Arial" w:hAnsi="Arial" w:cs="Arial"/>
                <w:sz w:val="24"/>
                <w:szCs w:val="24"/>
                <w:lang w:val="en-US"/>
              </w:rPr>
              <w:t>[29]</w:t>
            </w:r>
            <w:r w:rsidR="00645718">
              <w:rPr>
                <w:rFonts w:ascii="Arial" w:hAnsi="Arial" w:cs="Arial"/>
                <w:sz w:val="24"/>
                <w:szCs w:val="24"/>
                <w:lang w:val="en-US"/>
              </w:rPr>
              <w:t xml:space="preserve"> </w:t>
            </w:r>
            <w:r w:rsidR="00645718" w:rsidRPr="00D270DC">
              <w:rPr>
                <w:rFonts w:ascii="Arial" w:hAnsi="Arial" w:cs="Arial"/>
                <w:sz w:val="24"/>
                <w:szCs w:val="24"/>
              </w:rPr>
              <w:t>In the result, I issue the following order:</w:t>
            </w:r>
          </w:p>
          <w:p w:rsidR="00645718" w:rsidRPr="002D3402" w:rsidRDefault="00645718" w:rsidP="00645718">
            <w:pPr>
              <w:tabs>
                <w:tab w:val="left" w:pos="720"/>
              </w:tabs>
              <w:spacing w:line="360" w:lineRule="auto"/>
              <w:jc w:val="both"/>
              <w:rPr>
                <w:rFonts w:ascii="Arial" w:hAnsi="Arial" w:cs="Arial"/>
                <w:sz w:val="16"/>
                <w:szCs w:val="16"/>
              </w:rPr>
            </w:pPr>
          </w:p>
          <w:p w:rsidR="00645718"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29.1 The Defendant</w:t>
            </w:r>
            <w:r w:rsidRPr="009E5315">
              <w:rPr>
                <w:rFonts w:ascii="Arial" w:eastAsia="Times New Roman" w:hAnsi="Arial" w:cs="Arial"/>
                <w:color w:val="000000"/>
                <w:sz w:val="24"/>
                <w:szCs w:val="24"/>
              </w:rPr>
              <w:t>s</w:t>
            </w:r>
            <w:r>
              <w:rPr>
                <w:rFonts w:ascii="Arial" w:eastAsia="Times New Roman" w:hAnsi="Arial" w:cs="Arial"/>
                <w:color w:val="000000"/>
                <w:sz w:val="24"/>
                <w:szCs w:val="24"/>
              </w:rPr>
              <w:t>’</w:t>
            </w:r>
            <w:r w:rsidRPr="009E5315">
              <w:rPr>
                <w:rFonts w:ascii="Arial" w:eastAsia="Times New Roman" w:hAnsi="Arial" w:cs="Arial"/>
                <w:color w:val="000000"/>
                <w:sz w:val="24"/>
                <w:szCs w:val="24"/>
              </w:rPr>
              <w:t xml:space="preserve"> non-compliance with the Court Order of 25 February 2020 is condoned.</w:t>
            </w:r>
          </w:p>
          <w:p w:rsidR="00645718" w:rsidRPr="002D3402" w:rsidRDefault="00645718" w:rsidP="00645718">
            <w:pPr>
              <w:tabs>
                <w:tab w:val="left" w:pos="720"/>
              </w:tabs>
              <w:spacing w:line="360" w:lineRule="auto"/>
              <w:jc w:val="both"/>
              <w:rPr>
                <w:rFonts w:ascii="Arial" w:eastAsia="Times New Roman" w:hAnsi="Arial" w:cs="Arial"/>
                <w:color w:val="000000"/>
                <w:sz w:val="16"/>
                <w:szCs w:val="16"/>
              </w:rPr>
            </w:pPr>
          </w:p>
          <w:p w:rsidR="00645718"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29.2 The D</w:t>
            </w:r>
            <w:r w:rsidRPr="009E5315">
              <w:rPr>
                <w:rFonts w:ascii="Arial" w:eastAsia="Times New Roman" w:hAnsi="Arial" w:cs="Arial"/>
                <w:color w:val="000000"/>
                <w:sz w:val="24"/>
                <w:szCs w:val="24"/>
              </w:rPr>
              <w:t>efendant</w:t>
            </w:r>
            <w:r>
              <w:rPr>
                <w:rFonts w:ascii="Arial" w:eastAsia="Times New Roman" w:hAnsi="Arial" w:cs="Arial"/>
                <w:color w:val="000000"/>
                <w:sz w:val="24"/>
                <w:szCs w:val="24"/>
              </w:rPr>
              <w:t>s</w:t>
            </w:r>
            <w:r w:rsidRPr="009E5315">
              <w:rPr>
                <w:rFonts w:ascii="Arial" w:eastAsia="Times New Roman" w:hAnsi="Arial" w:cs="Arial"/>
                <w:color w:val="000000"/>
                <w:sz w:val="24"/>
                <w:szCs w:val="24"/>
              </w:rPr>
              <w:t xml:space="preserve"> must file </w:t>
            </w:r>
            <w:r>
              <w:rPr>
                <w:rFonts w:ascii="Arial" w:eastAsia="Times New Roman" w:hAnsi="Arial" w:cs="Arial"/>
                <w:color w:val="000000"/>
                <w:sz w:val="24"/>
                <w:szCs w:val="24"/>
              </w:rPr>
              <w:t>their</w:t>
            </w:r>
            <w:r w:rsidRPr="009E5315">
              <w:rPr>
                <w:rFonts w:ascii="Arial" w:eastAsia="Times New Roman" w:hAnsi="Arial" w:cs="Arial"/>
                <w:color w:val="000000"/>
                <w:sz w:val="24"/>
                <w:szCs w:val="24"/>
              </w:rPr>
              <w:t xml:space="preserve"> plea and counter</w:t>
            </w:r>
            <w:r>
              <w:rPr>
                <w:rFonts w:ascii="Arial" w:eastAsia="Times New Roman" w:hAnsi="Arial" w:cs="Arial"/>
                <w:color w:val="000000"/>
                <w:sz w:val="24"/>
                <w:szCs w:val="24"/>
              </w:rPr>
              <w:t xml:space="preserve">claim if necessary on or before </w:t>
            </w:r>
            <w:r w:rsidRPr="009E5315">
              <w:rPr>
                <w:rFonts w:ascii="Arial" w:eastAsia="Times New Roman" w:hAnsi="Arial" w:cs="Arial"/>
                <w:bCs/>
                <w:color w:val="000000"/>
                <w:sz w:val="24"/>
                <w:szCs w:val="24"/>
              </w:rPr>
              <w:t>20 November 2020</w:t>
            </w:r>
            <w:r w:rsidRPr="009E5315">
              <w:rPr>
                <w:rFonts w:ascii="Arial" w:eastAsia="Times New Roman" w:hAnsi="Arial" w:cs="Arial"/>
                <w:color w:val="000000"/>
                <w:sz w:val="24"/>
                <w:szCs w:val="24"/>
              </w:rPr>
              <w:t>.</w:t>
            </w:r>
          </w:p>
          <w:p w:rsidR="00645718" w:rsidRPr="002D3402" w:rsidRDefault="00645718" w:rsidP="00645718">
            <w:pPr>
              <w:tabs>
                <w:tab w:val="left" w:pos="720"/>
              </w:tabs>
              <w:spacing w:line="360" w:lineRule="auto"/>
              <w:jc w:val="both"/>
              <w:rPr>
                <w:rFonts w:ascii="Arial" w:eastAsia="Times New Roman" w:hAnsi="Arial" w:cs="Arial"/>
                <w:color w:val="000000"/>
                <w:sz w:val="16"/>
                <w:szCs w:val="16"/>
              </w:rPr>
            </w:pPr>
          </w:p>
          <w:p w:rsidR="00645718" w:rsidRPr="009E5315"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29.3 </w:t>
            </w:r>
            <w:r w:rsidRPr="009E5315">
              <w:rPr>
                <w:rFonts w:ascii="Arial" w:eastAsia="Times New Roman" w:hAnsi="Arial" w:cs="Arial"/>
                <w:color w:val="000000"/>
                <w:sz w:val="24"/>
                <w:szCs w:val="24"/>
              </w:rPr>
              <w:t xml:space="preserve">The </w:t>
            </w:r>
            <w:r>
              <w:rPr>
                <w:rFonts w:ascii="Arial" w:eastAsia="Times New Roman" w:hAnsi="Arial" w:cs="Arial"/>
                <w:color w:val="000000"/>
                <w:sz w:val="24"/>
                <w:szCs w:val="24"/>
              </w:rPr>
              <w:t>P</w:t>
            </w:r>
            <w:r w:rsidRPr="009E5315">
              <w:rPr>
                <w:rFonts w:ascii="Arial" w:eastAsia="Times New Roman" w:hAnsi="Arial" w:cs="Arial"/>
                <w:color w:val="000000"/>
                <w:sz w:val="24"/>
                <w:szCs w:val="24"/>
              </w:rPr>
              <w:t>laintiff must replicate and plead to the counterclaim, if any, on or before</w:t>
            </w:r>
            <w:r>
              <w:rPr>
                <w:rFonts w:ascii="Arial" w:eastAsia="Times New Roman" w:hAnsi="Arial" w:cs="Arial"/>
                <w:color w:val="000000"/>
                <w:sz w:val="24"/>
                <w:szCs w:val="24"/>
              </w:rPr>
              <w:t xml:space="preserve"> </w:t>
            </w:r>
            <w:r w:rsidRPr="009E5315">
              <w:rPr>
                <w:rFonts w:ascii="Arial" w:eastAsia="Times New Roman" w:hAnsi="Arial" w:cs="Arial"/>
                <w:bCs/>
                <w:color w:val="000000"/>
                <w:sz w:val="24"/>
                <w:szCs w:val="24"/>
              </w:rPr>
              <w:t>03 December 2020</w:t>
            </w:r>
            <w:r w:rsidRPr="009E5315">
              <w:rPr>
                <w:rFonts w:ascii="Arial" w:eastAsia="Times New Roman" w:hAnsi="Arial" w:cs="Arial"/>
                <w:b/>
                <w:bCs/>
                <w:color w:val="000000"/>
                <w:sz w:val="24"/>
                <w:szCs w:val="24"/>
              </w:rPr>
              <w:t>.</w:t>
            </w:r>
          </w:p>
          <w:p w:rsidR="00645718" w:rsidRPr="002D3402" w:rsidRDefault="00645718" w:rsidP="00645718">
            <w:pPr>
              <w:tabs>
                <w:tab w:val="left" w:pos="720"/>
              </w:tabs>
              <w:spacing w:line="360" w:lineRule="auto"/>
              <w:jc w:val="both"/>
              <w:rPr>
                <w:rFonts w:ascii="Arial" w:eastAsia="Times New Roman" w:hAnsi="Arial" w:cs="Arial"/>
                <w:color w:val="000000"/>
                <w:sz w:val="16"/>
                <w:szCs w:val="16"/>
              </w:rPr>
            </w:pPr>
          </w:p>
          <w:p w:rsidR="00645718" w:rsidRPr="009E5315"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29.4 The D</w:t>
            </w:r>
            <w:r w:rsidRPr="009E5315">
              <w:rPr>
                <w:rFonts w:ascii="Arial" w:eastAsia="Times New Roman" w:hAnsi="Arial" w:cs="Arial"/>
                <w:color w:val="000000"/>
                <w:sz w:val="24"/>
                <w:szCs w:val="24"/>
              </w:rPr>
              <w:t>efendants must, if</w:t>
            </w:r>
            <w:r>
              <w:rPr>
                <w:rFonts w:ascii="Arial" w:eastAsia="Times New Roman" w:hAnsi="Arial" w:cs="Arial"/>
                <w:color w:val="000000"/>
                <w:sz w:val="24"/>
                <w:szCs w:val="24"/>
              </w:rPr>
              <w:t xml:space="preserve"> so inclined, replicate to the Plaintiff's plea to the D</w:t>
            </w:r>
            <w:r w:rsidRPr="009E5315">
              <w:rPr>
                <w:rFonts w:ascii="Arial" w:eastAsia="Times New Roman" w:hAnsi="Arial" w:cs="Arial"/>
                <w:color w:val="000000"/>
                <w:sz w:val="24"/>
                <w:szCs w:val="24"/>
              </w:rPr>
              <w:t xml:space="preserve">efendant's counterclaim, if any, on or before </w:t>
            </w:r>
            <w:r w:rsidRPr="009E5315">
              <w:rPr>
                <w:rFonts w:ascii="Arial" w:eastAsia="Times New Roman" w:hAnsi="Arial" w:cs="Arial"/>
                <w:bCs/>
                <w:color w:val="000000"/>
                <w:sz w:val="24"/>
                <w:szCs w:val="24"/>
              </w:rPr>
              <w:t>14 December 2020</w:t>
            </w:r>
            <w:r w:rsidRPr="009E5315">
              <w:rPr>
                <w:rFonts w:ascii="Arial" w:eastAsia="Times New Roman" w:hAnsi="Arial" w:cs="Arial"/>
                <w:b/>
                <w:bCs/>
                <w:color w:val="000000"/>
                <w:sz w:val="24"/>
                <w:szCs w:val="24"/>
              </w:rPr>
              <w:t>.</w:t>
            </w:r>
          </w:p>
          <w:p w:rsidR="00645718" w:rsidRPr="002D3402" w:rsidRDefault="00645718" w:rsidP="00645718">
            <w:pPr>
              <w:pStyle w:val="ListParagraph"/>
              <w:ind w:left="0"/>
              <w:rPr>
                <w:rFonts w:ascii="Arial" w:eastAsia="Times New Roman" w:hAnsi="Arial" w:cs="Arial"/>
                <w:color w:val="000000"/>
                <w:sz w:val="16"/>
                <w:szCs w:val="16"/>
              </w:rPr>
            </w:pPr>
          </w:p>
          <w:p w:rsidR="00645718"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29.5 </w:t>
            </w:r>
            <w:r w:rsidRPr="009E5315">
              <w:rPr>
                <w:rFonts w:ascii="Arial" w:eastAsia="Times New Roman" w:hAnsi="Arial" w:cs="Arial"/>
                <w:color w:val="000000"/>
                <w:sz w:val="24"/>
                <w:szCs w:val="24"/>
              </w:rPr>
              <w:t>The parties must file a joint case</w:t>
            </w:r>
            <w:r>
              <w:rPr>
                <w:rFonts w:ascii="Arial" w:eastAsia="Times New Roman" w:hAnsi="Arial" w:cs="Arial"/>
                <w:color w:val="000000"/>
                <w:sz w:val="24"/>
                <w:szCs w:val="24"/>
              </w:rPr>
              <w:t xml:space="preserve"> management report on or before </w:t>
            </w:r>
            <w:r w:rsidRPr="009E5315">
              <w:rPr>
                <w:rFonts w:ascii="Arial" w:eastAsia="Times New Roman" w:hAnsi="Arial" w:cs="Arial"/>
                <w:bCs/>
                <w:color w:val="000000"/>
                <w:sz w:val="24"/>
                <w:szCs w:val="24"/>
              </w:rPr>
              <w:t>22 January 2021</w:t>
            </w:r>
            <w:r w:rsidRPr="009E5315">
              <w:rPr>
                <w:rFonts w:ascii="Arial" w:eastAsia="Times New Roman" w:hAnsi="Arial" w:cs="Arial"/>
                <w:color w:val="000000"/>
                <w:sz w:val="24"/>
                <w:szCs w:val="24"/>
              </w:rPr>
              <w:t>.</w:t>
            </w:r>
          </w:p>
          <w:p w:rsidR="00645718" w:rsidRPr="002D3402" w:rsidRDefault="00645718" w:rsidP="00645718">
            <w:pPr>
              <w:spacing w:line="360" w:lineRule="auto"/>
              <w:jc w:val="both"/>
              <w:rPr>
                <w:rFonts w:ascii="Arial" w:eastAsia="Times New Roman" w:hAnsi="Arial" w:cs="Arial"/>
                <w:color w:val="000000"/>
                <w:sz w:val="16"/>
                <w:szCs w:val="16"/>
              </w:rPr>
            </w:pPr>
          </w:p>
          <w:p w:rsidR="00645718"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29.6 The case is postponed to </w:t>
            </w:r>
            <w:r w:rsidRPr="009E5315">
              <w:rPr>
                <w:rFonts w:ascii="Arial" w:eastAsia="Times New Roman" w:hAnsi="Arial" w:cs="Arial"/>
                <w:bCs/>
                <w:color w:val="000000"/>
                <w:sz w:val="24"/>
                <w:szCs w:val="24"/>
              </w:rPr>
              <w:t>26 January 2021 at 08:30</w:t>
            </w:r>
            <w:r>
              <w:rPr>
                <w:rFonts w:ascii="Arial" w:eastAsia="Times New Roman" w:hAnsi="Arial" w:cs="Arial"/>
                <w:color w:val="000000"/>
                <w:sz w:val="24"/>
                <w:szCs w:val="24"/>
              </w:rPr>
              <w:t xml:space="preserve"> </w:t>
            </w:r>
            <w:r w:rsidRPr="009E5315">
              <w:rPr>
                <w:rFonts w:ascii="Arial" w:eastAsia="Times New Roman" w:hAnsi="Arial" w:cs="Arial"/>
                <w:color w:val="000000"/>
                <w:sz w:val="24"/>
                <w:szCs w:val="24"/>
              </w:rPr>
              <w:t>for Case Management Conference hearing (Reason: Parties to file case management conference report).</w:t>
            </w:r>
          </w:p>
          <w:p w:rsidR="00645718" w:rsidRDefault="00645718" w:rsidP="00645718">
            <w:pPr>
              <w:tabs>
                <w:tab w:val="left" w:pos="720"/>
              </w:tabs>
              <w:spacing w:line="360" w:lineRule="auto"/>
              <w:ind w:left="360"/>
              <w:jc w:val="both"/>
              <w:rPr>
                <w:rFonts w:ascii="Arial" w:eastAsia="Times New Roman" w:hAnsi="Arial" w:cs="Arial"/>
                <w:color w:val="000000"/>
                <w:sz w:val="24"/>
                <w:szCs w:val="24"/>
              </w:rPr>
            </w:pPr>
          </w:p>
          <w:p w:rsidR="00645718" w:rsidRPr="00645718" w:rsidRDefault="00645718" w:rsidP="00645718">
            <w:pPr>
              <w:tabs>
                <w:tab w:val="left" w:pos="720"/>
              </w:tabs>
              <w:spacing w:line="36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29.7 The D</w:t>
            </w:r>
            <w:r w:rsidRPr="009E5315">
              <w:rPr>
                <w:rFonts w:ascii="Arial" w:eastAsia="Times New Roman" w:hAnsi="Arial" w:cs="Arial"/>
                <w:color w:val="000000"/>
                <w:sz w:val="24"/>
                <w:szCs w:val="24"/>
              </w:rPr>
              <w:t>efendant</w:t>
            </w:r>
            <w:r>
              <w:rPr>
                <w:rFonts w:ascii="Arial" w:eastAsia="Times New Roman" w:hAnsi="Arial" w:cs="Arial"/>
                <w:color w:val="000000"/>
                <w:sz w:val="24"/>
                <w:szCs w:val="24"/>
              </w:rPr>
              <w:t>s must pay the P</w:t>
            </w:r>
            <w:r w:rsidRPr="009E5315">
              <w:rPr>
                <w:rFonts w:ascii="Arial" w:eastAsia="Times New Roman" w:hAnsi="Arial" w:cs="Arial"/>
                <w:color w:val="000000"/>
                <w:sz w:val="24"/>
                <w:szCs w:val="24"/>
              </w:rPr>
              <w:t>laintiff's cost of opposing the application but the costs are limited as contemplated in Rule 32(11).</w:t>
            </w:r>
          </w:p>
          <w:p w:rsidR="00645718" w:rsidRPr="00A566DA" w:rsidRDefault="00645718" w:rsidP="00B318D1">
            <w:pPr>
              <w:spacing w:line="360" w:lineRule="auto"/>
              <w:jc w:val="both"/>
              <w:rPr>
                <w:rFonts w:ascii="Arial" w:hAnsi="Arial" w:cs="Arial"/>
                <w:sz w:val="24"/>
                <w:szCs w:val="24"/>
              </w:rPr>
            </w:pPr>
          </w:p>
        </w:tc>
      </w:tr>
      <w:tr w:rsidR="00BE5489" w:rsidRPr="00A566DA" w:rsidTr="00C04EBD">
        <w:tc>
          <w:tcPr>
            <w:tcW w:w="4770" w:type="dxa"/>
          </w:tcPr>
          <w:p w:rsidR="00BE5489" w:rsidRPr="00A566DA" w:rsidRDefault="00EB27A0" w:rsidP="00645718">
            <w:pPr>
              <w:spacing w:line="360" w:lineRule="auto"/>
              <w:jc w:val="center"/>
              <w:rPr>
                <w:rFonts w:ascii="Arial" w:hAnsi="Arial" w:cs="Arial"/>
                <w:b/>
                <w:sz w:val="24"/>
                <w:szCs w:val="24"/>
              </w:rPr>
            </w:pPr>
            <w:r w:rsidRPr="00A566DA">
              <w:rPr>
                <w:rFonts w:ascii="Arial" w:hAnsi="Arial" w:cs="Arial"/>
                <w:b/>
                <w:sz w:val="24"/>
                <w:szCs w:val="24"/>
              </w:rPr>
              <w:lastRenderedPageBreak/>
              <w:t xml:space="preserve">Judge’s </w:t>
            </w:r>
            <w:r w:rsidR="00645718">
              <w:rPr>
                <w:rFonts w:ascii="Arial" w:hAnsi="Arial" w:cs="Arial"/>
                <w:b/>
                <w:sz w:val="24"/>
                <w:szCs w:val="24"/>
              </w:rPr>
              <w:t>S</w:t>
            </w:r>
            <w:r w:rsidRPr="00A566DA">
              <w:rPr>
                <w:rFonts w:ascii="Arial" w:hAnsi="Arial" w:cs="Arial"/>
                <w:b/>
                <w:sz w:val="24"/>
                <w:szCs w:val="24"/>
              </w:rPr>
              <w:t>ignature:</w:t>
            </w:r>
          </w:p>
        </w:tc>
        <w:tc>
          <w:tcPr>
            <w:tcW w:w="4950" w:type="dxa"/>
            <w:gridSpan w:val="2"/>
          </w:tcPr>
          <w:p w:rsidR="00BE5489" w:rsidRPr="00A566DA" w:rsidRDefault="00EB27A0" w:rsidP="0050338C">
            <w:pPr>
              <w:spacing w:line="360" w:lineRule="auto"/>
              <w:jc w:val="center"/>
              <w:rPr>
                <w:rFonts w:ascii="Arial" w:hAnsi="Arial" w:cs="Arial"/>
                <w:b/>
                <w:sz w:val="24"/>
                <w:szCs w:val="24"/>
              </w:rPr>
            </w:pPr>
            <w:r w:rsidRPr="00A566DA">
              <w:rPr>
                <w:rFonts w:ascii="Arial" w:hAnsi="Arial" w:cs="Arial"/>
                <w:b/>
                <w:sz w:val="24"/>
                <w:szCs w:val="24"/>
              </w:rPr>
              <w:t>Note to the parties:</w:t>
            </w:r>
          </w:p>
        </w:tc>
      </w:tr>
      <w:tr w:rsidR="00BE5489" w:rsidRPr="00A566DA" w:rsidTr="00A566DA">
        <w:trPr>
          <w:trHeight w:val="1118"/>
        </w:trPr>
        <w:tc>
          <w:tcPr>
            <w:tcW w:w="4770" w:type="dxa"/>
          </w:tcPr>
          <w:p w:rsidR="009F6C8B" w:rsidRPr="00A566DA" w:rsidRDefault="009F6C8B" w:rsidP="00EB27A0">
            <w:pPr>
              <w:spacing w:line="360" w:lineRule="auto"/>
              <w:jc w:val="both"/>
              <w:rPr>
                <w:rFonts w:ascii="Arial" w:hAnsi="Arial" w:cs="Arial"/>
                <w:sz w:val="24"/>
                <w:szCs w:val="24"/>
              </w:rPr>
            </w:pPr>
          </w:p>
        </w:tc>
        <w:tc>
          <w:tcPr>
            <w:tcW w:w="4950" w:type="dxa"/>
            <w:gridSpan w:val="2"/>
          </w:tcPr>
          <w:p w:rsidR="00BE5489" w:rsidRPr="00A566DA" w:rsidRDefault="00BE5489" w:rsidP="00952193">
            <w:pPr>
              <w:spacing w:line="360" w:lineRule="auto"/>
              <w:jc w:val="both"/>
              <w:rPr>
                <w:rFonts w:ascii="Arial" w:hAnsi="Arial" w:cs="Arial"/>
                <w:sz w:val="24"/>
                <w:szCs w:val="24"/>
              </w:rPr>
            </w:pPr>
          </w:p>
        </w:tc>
      </w:tr>
      <w:tr w:rsidR="00A23F8A" w:rsidRPr="00A566DA" w:rsidTr="00B530B4">
        <w:tc>
          <w:tcPr>
            <w:tcW w:w="9720" w:type="dxa"/>
            <w:gridSpan w:val="3"/>
          </w:tcPr>
          <w:p w:rsidR="00A23F8A" w:rsidRPr="00A566DA" w:rsidRDefault="00A23F8A" w:rsidP="00A23F8A">
            <w:pPr>
              <w:spacing w:line="360" w:lineRule="auto"/>
              <w:jc w:val="center"/>
              <w:rPr>
                <w:rFonts w:ascii="Arial" w:hAnsi="Arial" w:cs="Arial"/>
                <w:b/>
                <w:sz w:val="24"/>
                <w:szCs w:val="24"/>
              </w:rPr>
            </w:pPr>
            <w:r w:rsidRPr="00A566DA">
              <w:rPr>
                <w:rFonts w:ascii="Arial" w:hAnsi="Arial" w:cs="Arial"/>
                <w:b/>
                <w:sz w:val="24"/>
                <w:szCs w:val="24"/>
              </w:rPr>
              <w:t>Counsel:</w:t>
            </w:r>
          </w:p>
        </w:tc>
      </w:tr>
      <w:tr w:rsidR="00FD38C2" w:rsidRPr="00A566DA" w:rsidTr="00FD38C2">
        <w:tc>
          <w:tcPr>
            <w:tcW w:w="4770" w:type="dxa"/>
          </w:tcPr>
          <w:p w:rsidR="00FD38C2" w:rsidRPr="00A566DA" w:rsidRDefault="00FB2B08" w:rsidP="00FD38C2">
            <w:pPr>
              <w:spacing w:line="360" w:lineRule="auto"/>
              <w:jc w:val="center"/>
              <w:rPr>
                <w:rFonts w:ascii="Arial" w:hAnsi="Arial" w:cs="Arial"/>
                <w:b/>
                <w:sz w:val="24"/>
                <w:szCs w:val="24"/>
              </w:rPr>
            </w:pPr>
            <w:r w:rsidRPr="00A566DA">
              <w:rPr>
                <w:rFonts w:ascii="Arial" w:hAnsi="Arial" w:cs="Arial"/>
                <w:b/>
                <w:sz w:val="24"/>
                <w:szCs w:val="24"/>
              </w:rPr>
              <w:t>Plaintiff</w:t>
            </w:r>
          </w:p>
        </w:tc>
        <w:tc>
          <w:tcPr>
            <w:tcW w:w="4950" w:type="dxa"/>
            <w:gridSpan w:val="2"/>
          </w:tcPr>
          <w:p w:rsidR="00FD38C2" w:rsidRPr="00A566DA" w:rsidRDefault="00A566DA" w:rsidP="00A566DA">
            <w:pPr>
              <w:spacing w:line="360" w:lineRule="auto"/>
              <w:jc w:val="center"/>
              <w:rPr>
                <w:rFonts w:ascii="Arial" w:hAnsi="Arial" w:cs="Arial"/>
                <w:b/>
                <w:sz w:val="24"/>
                <w:szCs w:val="24"/>
              </w:rPr>
            </w:pPr>
            <w:r>
              <w:rPr>
                <w:rFonts w:ascii="Arial" w:hAnsi="Arial" w:cs="Arial"/>
                <w:b/>
                <w:sz w:val="24"/>
                <w:szCs w:val="24"/>
              </w:rPr>
              <w:t>Defendant</w:t>
            </w:r>
          </w:p>
        </w:tc>
      </w:tr>
      <w:tr w:rsidR="00F5564C" w:rsidRPr="00A566DA" w:rsidTr="00A566DA">
        <w:trPr>
          <w:trHeight w:val="1266"/>
        </w:trPr>
        <w:tc>
          <w:tcPr>
            <w:tcW w:w="4770" w:type="dxa"/>
          </w:tcPr>
          <w:p w:rsidR="00645718" w:rsidRDefault="00645718" w:rsidP="00F5564C">
            <w:pPr>
              <w:spacing w:line="360" w:lineRule="auto"/>
              <w:jc w:val="center"/>
              <w:rPr>
                <w:rFonts w:ascii="Arial" w:hAnsi="Arial" w:cs="Arial"/>
                <w:sz w:val="24"/>
                <w:szCs w:val="24"/>
              </w:rPr>
            </w:pPr>
            <w:r w:rsidRPr="00FC7B4A">
              <w:rPr>
                <w:rFonts w:ascii="Arial" w:hAnsi="Arial" w:cs="Arial"/>
                <w:sz w:val="24"/>
                <w:szCs w:val="24"/>
              </w:rPr>
              <w:t>S P</w:t>
            </w:r>
            <w:r>
              <w:rPr>
                <w:rFonts w:ascii="Arial" w:hAnsi="Arial" w:cs="Arial"/>
                <w:sz w:val="24"/>
                <w:szCs w:val="24"/>
              </w:rPr>
              <w:t>aulus</w:t>
            </w:r>
            <w:r w:rsidRPr="00A566DA">
              <w:rPr>
                <w:rFonts w:ascii="Arial" w:hAnsi="Arial" w:cs="Arial"/>
                <w:sz w:val="24"/>
                <w:szCs w:val="24"/>
              </w:rPr>
              <w:t xml:space="preserve"> </w:t>
            </w:r>
          </w:p>
          <w:p w:rsidR="00F5564C" w:rsidRDefault="00645718" w:rsidP="00F5564C">
            <w:pPr>
              <w:spacing w:line="360" w:lineRule="auto"/>
              <w:jc w:val="center"/>
              <w:rPr>
                <w:rFonts w:ascii="Arial" w:hAnsi="Arial" w:cs="Arial"/>
                <w:sz w:val="24"/>
                <w:szCs w:val="24"/>
              </w:rPr>
            </w:pPr>
            <w:r w:rsidRPr="00645718">
              <w:rPr>
                <w:rFonts w:ascii="Arial" w:hAnsi="Arial" w:cs="Arial"/>
                <w:sz w:val="24"/>
                <w:szCs w:val="24"/>
              </w:rPr>
              <w:t>Dr Weder, Kauta &amp; Hoveka Inc.</w:t>
            </w:r>
          </w:p>
          <w:p w:rsidR="002462AF" w:rsidRPr="00A566DA" w:rsidRDefault="002462AF" w:rsidP="00F5564C">
            <w:pPr>
              <w:spacing w:line="360" w:lineRule="auto"/>
              <w:jc w:val="center"/>
              <w:rPr>
                <w:rFonts w:ascii="Arial" w:hAnsi="Arial" w:cs="Arial"/>
                <w:sz w:val="24"/>
                <w:szCs w:val="24"/>
              </w:rPr>
            </w:pPr>
            <w:r>
              <w:rPr>
                <w:rFonts w:ascii="Arial" w:hAnsi="Arial" w:cs="Arial"/>
                <w:sz w:val="24"/>
                <w:szCs w:val="24"/>
              </w:rPr>
              <w:t>Windhoek</w:t>
            </w:r>
          </w:p>
        </w:tc>
        <w:tc>
          <w:tcPr>
            <w:tcW w:w="4950" w:type="dxa"/>
            <w:gridSpan w:val="2"/>
          </w:tcPr>
          <w:p w:rsidR="00645718" w:rsidRDefault="00645718" w:rsidP="0050338C">
            <w:pPr>
              <w:spacing w:line="360" w:lineRule="auto"/>
              <w:jc w:val="center"/>
              <w:rPr>
                <w:rFonts w:ascii="Arial" w:hAnsi="Arial" w:cs="Arial"/>
                <w:sz w:val="24"/>
                <w:szCs w:val="24"/>
              </w:rPr>
            </w:pPr>
            <w:r w:rsidRPr="00645718">
              <w:rPr>
                <w:rFonts w:ascii="Arial" w:hAnsi="Arial" w:cs="Arial"/>
                <w:sz w:val="24"/>
                <w:szCs w:val="24"/>
                <w:lang w:val="en-US"/>
              </w:rPr>
              <w:t>G</w:t>
            </w:r>
            <w:r w:rsidR="00D9285E">
              <w:rPr>
                <w:rFonts w:ascii="Arial" w:hAnsi="Arial" w:cs="Arial"/>
                <w:sz w:val="24"/>
                <w:szCs w:val="24"/>
                <w:lang w:val="en-US"/>
              </w:rPr>
              <w:t xml:space="preserve"> </w:t>
            </w:r>
            <w:r w:rsidRPr="00645718">
              <w:rPr>
                <w:rFonts w:ascii="Arial" w:hAnsi="Arial" w:cs="Arial"/>
                <w:sz w:val="24"/>
                <w:szCs w:val="24"/>
                <w:lang w:val="en-US"/>
              </w:rPr>
              <w:t>L K</w:t>
            </w:r>
            <w:r>
              <w:rPr>
                <w:rFonts w:ascii="Arial" w:hAnsi="Arial" w:cs="Arial"/>
                <w:sz w:val="24"/>
                <w:szCs w:val="24"/>
                <w:lang w:val="en-US"/>
              </w:rPr>
              <w:t>asper</w:t>
            </w:r>
            <w:r w:rsidRPr="00645718">
              <w:rPr>
                <w:rFonts w:ascii="Arial" w:hAnsi="Arial" w:cs="Arial"/>
                <w:sz w:val="24"/>
                <w:szCs w:val="24"/>
              </w:rPr>
              <w:t xml:space="preserve"> </w:t>
            </w:r>
          </w:p>
          <w:p w:rsidR="00F5564C" w:rsidRDefault="00645718" w:rsidP="0050338C">
            <w:pPr>
              <w:spacing w:line="360" w:lineRule="auto"/>
              <w:jc w:val="center"/>
              <w:rPr>
                <w:rFonts w:ascii="Arial" w:hAnsi="Arial" w:cs="Arial"/>
                <w:sz w:val="24"/>
                <w:szCs w:val="24"/>
              </w:rPr>
            </w:pPr>
            <w:r w:rsidRPr="00645718">
              <w:rPr>
                <w:rFonts w:ascii="Arial" w:hAnsi="Arial" w:cs="Arial"/>
                <w:sz w:val="24"/>
                <w:szCs w:val="24"/>
              </w:rPr>
              <w:t>Murorua Kurtz Kasper Incorporated</w:t>
            </w:r>
          </w:p>
          <w:p w:rsidR="002462AF" w:rsidRPr="00A566DA" w:rsidRDefault="002462AF" w:rsidP="0050338C">
            <w:pPr>
              <w:spacing w:line="360" w:lineRule="auto"/>
              <w:jc w:val="center"/>
              <w:rPr>
                <w:rFonts w:ascii="Arial" w:hAnsi="Arial" w:cs="Arial"/>
                <w:sz w:val="24"/>
                <w:szCs w:val="24"/>
              </w:rPr>
            </w:pPr>
            <w:r w:rsidRPr="002462AF">
              <w:rPr>
                <w:rFonts w:ascii="Arial" w:hAnsi="Arial" w:cs="Arial"/>
                <w:sz w:val="24"/>
                <w:szCs w:val="24"/>
              </w:rPr>
              <w:t>Windhoek</w:t>
            </w:r>
          </w:p>
        </w:tc>
      </w:tr>
    </w:tbl>
    <w:p w:rsidR="009B096F" w:rsidRPr="00A566DA" w:rsidRDefault="009B096F" w:rsidP="00A566DA">
      <w:pPr>
        <w:tabs>
          <w:tab w:val="left" w:pos="3418"/>
        </w:tabs>
        <w:rPr>
          <w:rFonts w:ascii="Arial" w:hAnsi="Arial" w:cs="Arial"/>
          <w:sz w:val="24"/>
          <w:szCs w:val="24"/>
        </w:rPr>
      </w:pPr>
    </w:p>
    <w:sectPr w:rsidR="009B096F" w:rsidRPr="00A566DA" w:rsidSect="0050338C">
      <w:footerReference w:type="default" r:id="rId12"/>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63" w:rsidRDefault="00464C63" w:rsidP="00A23F8A">
      <w:pPr>
        <w:spacing w:after="0" w:line="240" w:lineRule="auto"/>
      </w:pPr>
      <w:r>
        <w:separator/>
      </w:r>
    </w:p>
  </w:endnote>
  <w:endnote w:type="continuationSeparator" w:id="0">
    <w:p w:rsidR="00464C63" w:rsidRDefault="00464C63"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8B318E">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63" w:rsidRDefault="00464C63" w:rsidP="00A23F8A">
      <w:pPr>
        <w:spacing w:after="0" w:line="240" w:lineRule="auto"/>
      </w:pPr>
      <w:r>
        <w:separator/>
      </w:r>
    </w:p>
  </w:footnote>
  <w:footnote w:type="continuationSeparator" w:id="0">
    <w:p w:rsidR="00464C63" w:rsidRDefault="00464C63" w:rsidP="00A23F8A">
      <w:pPr>
        <w:spacing w:after="0" w:line="240" w:lineRule="auto"/>
      </w:pPr>
      <w:r>
        <w:continuationSeparator/>
      </w:r>
    </w:p>
  </w:footnote>
  <w:footnote w:id="1">
    <w:p w:rsidR="00875852" w:rsidRPr="00B53072" w:rsidRDefault="00875852" w:rsidP="00875852">
      <w:pPr>
        <w:pStyle w:val="FootnoteText"/>
        <w:tabs>
          <w:tab w:val="left" w:pos="360"/>
        </w:tabs>
        <w:ind w:left="360" w:hanging="360"/>
        <w:jc w:val="both"/>
        <w:rPr>
          <w:rFonts w:ascii="Arial" w:hAnsi="Arial" w:cs="Arial"/>
        </w:rPr>
      </w:pPr>
      <w:r w:rsidRPr="001304E5">
        <w:rPr>
          <w:rStyle w:val="FootnoteReference"/>
          <w:rFonts w:ascii="Arial" w:hAnsi="Arial" w:cs="Arial"/>
        </w:rPr>
        <w:footnoteRef/>
      </w:r>
      <w:r w:rsidRPr="001304E5">
        <w:rPr>
          <w:rFonts w:ascii="Arial" w:hAnsi="Arial" w:cs="Arial"/>
        </w:rPr>
        <w:t xml:space="preserve"> </w:t>
      </w:r>
      <w:r>
        <w:rPr>
          <w:rFonts w:ascii="Arial" w:hAnsi="Arial" w:cs="Arial"/>
        </w:rPr>
        <w:tab/>
      </w:r>
      <w:r w:rsidRPr="00B53072">
        <w:rPr>
          <w:rFonts w:ascii="Arial" w:hAnsi="Arial" w:cs="Arial"/>
        </w:rPr>
        <w:t xml:space="preserve">Rules of the High Court of Namibia: High Court Act, 1990 promulgated by the Judge President in the </w:t>
      </w:r>
      <w:r w:rsidRPr="00890CC8">
        <w:rPr>
          <w:rFonts w:ascii="Arial" w:hAnsi="Arial" w:cs="Arial"/>
          <w:i/>
        </w:rPr>
        <w:t>Government Gazette</w:t>
      </w:r>
      <w:r w:rsidRPr="00B53072">
        <w:rPr>
          <w:rFonts w:ascii="Arial" w:hAnsi="Arial" w:cs="Arial"/>
        </w:rPr>
        <w:t xml:space="preserve"> No. 5392 of 17 January 2014 but which came into operation on 16 April 2014.</w:t>
      </w:r>
    </w:p>
    <w:p w:rsidR="00875852" w:rsidRPr="001304E5" w:rsidRDefault="00875852" w:rsidP="00875852">
      <w:pPr>
        <w:pStyle w:val="FootnoteText"/>
        <w:tabs>
          <w:tab w:val="left" w:pos="360"/>
        </w:tabs>
        <w:rPr>
          <w:rFonts w:ascii="Arial" w:hAnsi="Arial" w:cs="Arial"/>
        </w:rPr>
      </w:pPr>
    </w:p>
  </w:footnote>
  <w:footnote w:id="2">
    <w:p w:rsidR="00C87417" w:rsidRPr="00FB3EAE" w:rsidRDefault="00C87417" w:rsidP="00C87417">
      <w:pPr>
        <w:pStyle w:val="FootnoteText"/>
        <w:tabs>
          <w:tab w:val="left" w:pos="360"/>
        </w:tabs>
        <w:jc w:val="both"/>
        <w:rPr>
          <w:rFonts w:ascii="Arial" w:hAnsi="Arial" w:cs="Arial"/>
        </w:rPr>
      </w:pPr>
      <w:r w:rsidRPr="008F29FE">
        <w:rPr>
          <w:rStyle w:val="FootnoteReference"/>
          <w:rFonts w:ascii="Arial" w:hAnsi="Arial" w:cs="Arial"/>
        </w:rPr>
        <w:footnoteRef/>
      </w:r>
      <w:r w:rsidRPr="008F29FE">
        <w:rPr>
          <w:rFonts w:ascii="Arial" w:hAnsi="Arial" w:cs="Arial"/>
        </w:rPr>
        <w:t xml:space="preserve"> </w:t>
      </w:r>
      <w:r w:rsidRPr="008F29FE">
        <w:rPr>
          <w:rFonts w:ascii="Arial" w:hAnsi="Arial" w:cs="Arial"/>
        </w:rPr>
        <w:tab/>
      </w:r>
      <w:r w:rsidRPr="00FB3EAE">
        <w:rPr>
          <w:rFonts w:ascii="Arial" w:hAnsi="Arial" w:cs="Arial"/>
          <w:i/>
        </w:rPr>
        <w:t>Donatus v Ministry of Health and Social Welfare</w:t>
      </w:r>
      <w:r w:rsidRPr="00FB3EAE">
        <w:rPr>
          <w:rFonts w:ascii="Arial" w:hAnsi="Arial" w:cs="Arial"/>
        </w:rPr>
        <w:t xml:space="preserve"> 2016 (2) NR 532 (HC)</w:t>
      </w:r>
      <w:r w:rsidR="002462AF">
        <w:rPr>
          <w:rFonts w:ascii="Arial" w:hAnsi="Arial" w:cs="Arial"/>
        </w:rPr>
        <w:t>.</w:t>
      </w:r>
    </w:p>
  </w:footnote>
  <w:footnote w:id="3">
    <w:p w:rsidR="00C87417" w:rsidRPr="00FB3EAE" w:rsidRDefault="00C87417" w:rsidP="00C87417">
      <w:pPr>
        <w:pStyle w:val="FootnoteText"/>
        <w:tabs>
          <w:tab w:val="left" w:pos="360"/>
        </w:tabs>
        <w:jc w:val="both"/>
        <w:rPr>
          <w:rFonts w:ascii="Arial" w:hAnsi="Arial" w:cs="Arial"/>
        </w:rPr>
      </w:pPr>
      <w:r w:rsidRPr="00FB3EAE">
        <w:rPr>
          <w:rStyle w:val="FootnoteReference"/>
          <w:rFonts w:ascii="Arial" w:hAnsi="Arial" w:cs="Arial"/>
        </w:rPr>
        <w:footnoteRef/>
      </w:r>
      <w:r w:rsidRPr="00FB3EAE">
        <w:rPr>
          <w:rFonts w:ascii="Arial" w:hAnsi="Arial" w:cs="Arial"/>
        </w:rPr>
        <w:t xml:space="preserve"> </w:t>
      </w:r>
      <w:r w:rsidRPr="00FB3EAE">
        <w:rPr>
          <w:rFonts w:ascii="Arial" w:hAnsi="Arial" w:cs="Arial"/>
        </w:rPr>
        <w:tab/>
      </w:r>
      <w:r w:rsidRPr="00FB3EAE">
        <w:rPr>
          <w:rFonts w:ascii="Arial" w:hAnsi="Arial" w:cs="Arial"/>
          <w:i/>
        </w:rPr>
        <w:t>Supra</w:t>
      </w:r>
      <w:r w:rsidRPr="00FB3EAE">
        <w:rPr>
          <w:rFonts w:ascii="Arial" w:hAnsi="Arial" w:cs="Arial"/>
        </w:rPr>
        <w:t xml:space="preserve"> at para [32], Also see </w:t>
      </w:r>
      <w:r w:rsidRPr="00FB3EAE">
        <w:rPr>
          <w:rFonts w:ascii="Arial" w:hAnsi="Arial" w:cs="Arial"/>
          <w:i/>
        </w:rPr>
        <w:t xml:space="preserve">CVW v RVW </w:t>
      </w:r>
      <w:r w:rsidRPr="00FB3EAE">
        <w:rPr>
          <w:rFonts w:ascii="Arial" w:hAnsi="Arial" w:cs="Arial"/>
          <w:lang w:val="en-GB"/>
        </w:rPr>
        <w:t>(I 926/2016) [2017] NAHCMD 234 (10 August 2017).</w:t>
      </w:r>
    </w:p>
  </w:footnote>
  <w:footnote w:id="4">
    <w:p w:rsidR="00C87417" w:rsidRDefault="00C87417" w:rsidP="00C87417">
      <w:pPr>
        <w:pStyle w:val="FootnoteText"/>
        <w:tabs>
          <w:tab w:val="left" w:pos="360"/>
        </w:tabs>
        <w:ind w:left="360" w:hanging="360"/>
        <w:jc w:val="both"/>
      </w:pPr>
      <w:r w:rsidRPr="00FB3EAE">
        <w:rPr>
          <w:rStyle w:val="FootnoteReference"/>
          <w:rFonts w:ascii="Arial" w:hAnsi="Arial" w:cs="Arial"/>
        </w:rPr>
        <w:footnoteRef/>
      </w:r>
      <w:r w:rsidRPr="00FB3EAE">
        <w:rPr>
          <w:rFonts w:ascii="Arial" w:hAnsi="Arial" w:cs="Arial"/>
        </w:rPr>
        <w:t xml:space="preserve"> </w:t>
      </w:r>
      <w:r w:rsidRPr="00FB3EAE">
        <w:rPr>
          <w:rFonts w:ascii="Arial" w:hAnsi="Arial" w:cs="Arial"/>
        </w:rPr>
        <w:tab/>
      </w:r>
      <w:r w:rsidRPr="00FB3EAE">
        <w:rPr>
          <w:rFonts w:ascii="Arial" w:hAnsi="Arial" w:cs="Arial"/>
          <w:i/>
        </w:rPr>
        <w:t>Beukes and Another v South West Africa Building Society (Swabou) and 5 Others</w:t>
      </w:r>
      <w:r w:rsidRPr="00FB3EAE">
        <w:rPr>
          <w:rFonts w:ascii="Arial" w:hAnsi="Arial" w:cs="Arial"/>
        </w:rPr>
        <w:t xml:space="preserve"> (SA 10-2006) [2010] NASC 14 (5 November 2010).</w:t>
      </w:r>
    </w:p>
  </w:footnote>
  <w:footnote w:id="5">
    <w:p w:rsidR="00C87417" w:rsidRPr="009E5315" w:rsidRDefault="00C87417" w:rsidP="00C87417">
      <w:pPr>
        <w:pStyle w:val="FootnoteText"/>
        <w:tabs>
          <w:tab w:val="left" w:pos="360"/>
        </w:tabs>
        <w:jc w:val="both"/>
        <w:rPr>
          <w:rFonts w:ascii="Arial" w:hAnsi="Arial" w:cs="Arial"/>
          <w:lang w:val="en-ZA"/>
        </w:rPr>
      </w:pPr>
      <w:r w:rsidRPr="009E5315">
        <w:rPr>
          <w:rStyle w:val="FootnoteReference"/>
          <w:rFonts w:ascii="Arial" w:hAnsi="Arial" w:cs="Arial"/>
        </w:rPr>
        <w:footnoteRef/>
      </w:r>
      <w:r w:rsidRPr="009E5315">
        <w:rPr>
          <w:rFonts w:ascii="Arial" w:hAnsi="Arial" w:cs="Arial"/>
        </w:rPr>
        <w:t xml:space="preserve"> </w:t>
      </w:r>
      <w:r>
        <w:rPr>
          <w:rFonts w:ascii="Arial" w:hAnsi="Arial" w:cs="Arial"/>
        </w:rPr>
        <w:tab/>
      </w:r>
      <w:r w:rsidRPr="00431088">
        <w:rPr>
          <w:rFonts w:ascii="Arial" w:hAnsi="Arial" w:cs="Arial"/>
          <w:i/>
        </w:rPr>
        <w:t>Leweis v Sampoio</w:t>
      </w:r>
      <w:r w:rsidRPr="009E5315">
        <w:rPr>
          <w:rFonts w:ascii="Arial" w:hAnsi="Arial" w:cs="Arial"/>
        </w:rPr>
        <w:t xml:space="preserve"> 2000 NR 186 (SC).</w:t>
      </w:r>
    </w:p>
  </w:footnote>
  <w:footnote w:id="6">
    <w:p w:rsidR="00C87417" w:rsidRPr="0071058E" w:rsidRDefault="00C87417" w:rsidP="00C87417">
      <w:pPr>
        <w:pStyle w:val="FootnoteText"/>
        <w:tabs>
          <w:tab w:val="left" w:pos="360"/>
        </w:tabs>
        <w:ind w:left="360" w:hanging="360"/>
        <w:jc w:val="both"/>
        <w:rPr>
          <w:rFonts w:ascii="Arial" w:hAnsi="Arial" w:cs="Arial"/>
          <w:lang w:val="en-ZA"/>
        </w:rPr>
      </w:pPr>
      <w:r w:rsidRPr="009E5315">
        <w:rPr>
          <w:rStyle w:val="FootnoteReference"/>
          <w:rFonts w:ascii="Arial" w:hAnsi="Arial" w:cs="Arial"/>
        </w:rPr>
        <w:footnoteRef/>
      </w:r>
      <w:r w:rsidRPr="009E5315">
        <w:rPr>
          <w:rFonts w:ascii="Arial" w:hAnsi="Arial" w:cs="Arial"/>
        </w:rPr>
        <w:t xml:space="preserve"> </w:t>
      </w:r>
      <w:r w:rsidRPr="009E5315">
        <w:rPr>
          <w:rFonts w:ascii="Arial" w:hAnsi="Arial" w:cs="Arial"/>
        </w:rPr>
        <w:tab/>
      </w:r>
      <w:r w:rsidRPr="009E5315">
        <w:rPr>
          <w:rFonts w:ascii="Arial" w:hAnsi="Arial" w:cs="Arial"/>
          <w:i/>
        </w:rPr>
        <w:t>Quenet Capital (Pty) Ltd v Transnamib Holding Limited</w:t>
      </w:r>
      <w:r w:rsidRPr="009E5315">
        <w:rPr>
          <w:rFonts w:ascii="Arial" w:hAnsi="Arial" w:cs="Arial"/>
        </w:rPr>
        <w:t xml:space="preserve"> (I 2679/2015)[2016] NAHCMD 104 (8 April 2016) paragraph 15.</w:t>
      </w:r>
    </w:p>
  </w:footnote>
  <w:footnote w:id="7">
    <w:p w:rsidR="00645718" w:rsidRPr="00691749" w:rsidRDefault="00645718" w:rsidP="00645718">
      <w:pPr>
        <w:pStyle w:val="FootnoteText"/>
        <w:tabs>
          <w:tab w:val="left" w:pos="360"/>
        </w:tabs>
        <w:jc w:val="both"/>
        <w:rPr>
          <w:rFonts w:ascii="Arial" w:hAnsi="Arial" w:cs="Arial"/>
        </w:rPr>
      </w:pPr>
      <w:r w:rsidRPr="00691749">
        <w:rPr>
          <w:rStyle w:val="FootnoteReference"/>
          <w:rFonts w:ascii="Arial" w:hAnsi="Arial" w:cs="Arial"/>
        </w:rPr>
        <w:footnoteRef/>
      </w:r>
      <w:r w:rsidRPr="00691749">
        <w:rPr>
          <w:rFonts w:ascii="Arial" w:hAnsi="Arial" w:cs="Arial"/>
        </w:rPr>
        <w:t xml:space="preserve"> </w:t>
      </w:r>
      <w:r w:rsidRPr="00691749">
        <w:rPr>
          <w:rFonts w:ascii="Arial" w:hAnsi="Arial" w:cs="Arial"/>
        </w:rPr>
        <w:tab/>
      </w:r>
      <w:r w:rsidRPr="00691749">
        <w:rPr>
          <w:rFonts w:ascii="Arial" w:hAnsi="Arial" w:cs="Arial"/>
          <w:i/>
        </w:rPr>
        <w:t xml:space="preserve">Supra </w:t>
      </w:r>
      <w:r w:rsidRPr="00691749">
        <w:rPr>
          <w:rFonts w:ascii="Arial" w:hAnsi="Arial" w:cs="Arial"/>
        </w:rPr>
        <w:t>footnote 5.</w:t>
      </w:r>
    </w:p>
  </w:footnote>
  <w:footnote w:id="8">
    <w:p w:rsidR="00645718" w:rsidRPr="003E65FB" w:rsidRDefault="00645718" w:rsidP="00645718">
      <w:pPr>
        <w:pStyle w:val="FootnoteText"/>
        <w:tabs>
          <w:tab w:val="left" w:pos="360"/>
        </w:tabs>
        <w:jc w:val="both"/>
        <w:rPr>
          <w:rFonts w:ascii="Arial" w:hAnsi="Arial" w:cs="Arial"/>
        </w:rPr>
      </w:pPr>
      <w:r w:rsidRPr="003E65FB">
        <w:rPr>
          <w:rStyle w:val="FootnoteReference"/>
          <w:rFonts w:ascii="Arial" w:hAnsi="Arial" w:cs="Arial"/>
        </w:rPr>
        <w:footnoteRef/>
      </w:r>
      <w:r w:rsidRPr="003E65FB">
        <w:rPr>
          <w:rFonts w:ascii="Arial" w:hAnsi="Arial" w:cs="Arial"/>
        </w:rPr>
        <w:t xml:space="preserve"> </w:t>
      </w:r>
      <w:r w:rsidRPr="003E65FB">
        <w:rPr>
          <w:rFonts w:ascii="Arial" w:hAnsi="Arial" w:cs="Arial"/>
        </w:rPr>
        <w:tab/>
      </w:r>
      <w:r w:rsidRPr="003E65FB">
        <w:rPr>
          <w:rFonts w:ascii="Arial" w:hAnsi="Arial" w:cs="Arial"/>
          <w:i/>
        </w:rPr>
        <w:t>Donatus v Ministry of Health and Social Welfare</w:t>
      </w:r>
      <w:r w:rsidRPr="003E65FB">
        <w:rPr>
          <w:rFonts w:ascii="Arial" w:hAnsi="Arial" w:cs="Arial"/>
        </w:rPr>
        <w:t xml:space="preserve"> 2016 (2) NR 532 (HC)</w:t>
      </w:r>
      <w:r w:rsidR="002462AF">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321"/>
    <w:multiLevelType w:val="multilevel"/>
    <w:tmpl w:val="7CC639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70676"/>
    <w:multiLevelType w:val="hybridMultilevel"/>
    <w:tmpl w:val="73C60558"/>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360F20"/>
    <w:multiLevelType w:val="hybridMultilevel"/>
    <w:tmpl w:val="8FCA9B14"/>
    <w:lvl w:ilvl="0" w:tplc="19E4ADA8">
      <w:start w:val="1"/>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876D3"/>
    <w:multiLevelType w:val="hybridMultilevel"/>
    <w:tmpl w:val="688AF9F4"/>
    <w:lvl w:ilvl="0" w:tplc="F9EC7E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8"/>
  </w:num>
  <w:num w:numId="5">
    <w:abstractNumId w:val="6"/>
  </w:num>
  <w:num w:numId="6">
    <w:abstractNumId w:val="4"/>
  </w:num>
  <w:num w:numId="7">
    <w:abstractNumId w:val="12"/>
  </w:num>
  <w:num w:numId="8">
    <w:abstractNumId w:val="11"/>
  </w:num>
  <w:num w:numId="9">
    <w:abstractNumId w:val="3"/>
  </w:num>
  <w:num w:numId="10">
    <w:abstractNumId w:val="7"/>
  </w:num>
  <w:num w:numId="11">
    <w:abstractNumId w:val="1"/>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C0A07"/>
    <w:rsid w:val="000D5FE9"/>
    <w:rsid w:val="00112D50"/>
    <w:rsid w:val="00113321"/>
    <w:rsid w:val="00124EC8"/>
    <w:rsid w:val="00157E26"/>
    <w:rsid w:val="00165FEE"/>
    <w:rsid w:val="001804AD"/>
    <w:rsid w:val="001B1B81"/>
    <w:rsid w:val="001C56D6"/>
    <w:rsid w:val="001C6FDA"/>
    <w:rsid w:val="001F1ECD"/>
    <w:rsid w:val="001F353F"/>
    <w:rsid w:val="001F4A48"/>
    <w:rsid w:val="002002FA"/>
    <w:rsid w:val="00203E3D"/>
    <w:rsid w:val="00233671"/>
    <w:rsid w:val="00236252"/>
    <w:rsid w:val="002462AF"/>
    <w:rsid w:val="00252CA4"/>
    <w:rsid w:val="00281A10"/>
    <w:rsid w:val="00281FAB"/>
    <w:rsid w:val="002830F4"/>
    <w:rsid w:val="002973FD"/>
    <w:rsid w:val="002C6C89"/>
    <w:rsid w:val="002D4C2A"/>
    <w:rsid w:val="002D6AC5"/>
    <w:rsid w:val="00300CF7"/>
    <w:rsid w:val="0030287B"/>
    <w:rsid w:val="00323762"/>
    <w:rsid w:val="00334EC0"/>
    <w:rsid w:val="00347DBC"/>
    <w:rsid w:val="00371CD0"/>
    <w:rsid w:val="00396AF1"/>
    <w:rsid w:val="003A0103"/>
    <w:rsid w:val="003A7B58"/>
    <w:rsid w:val="003B267A"/>
    <w:rsid w:val="003C4613"/>
    <w:rsid w:val="003C5F56"/>
    <w:rsid w:val="003D3115"/>
    <w:rsid w:val="003E09FF"/>
    <w:rsid w:val="003E3D0D"/>
    <w:rsid w:val="003E50E8"/>
    <w:rsid w:val="003F52A2"/>
    <w:rsid w:val="004005B8"/>
    <w:rsid w:val="00420309"/>
    <w:rsid w:val="00425554"/>
    <w:rsid w:val="00431CC4"/>
    <w:rsid w:val="004378C5"/>
    <w:rsid w:val="00447B52"/>
    <w:rsid w:val="004546CC"/>
    <w:rsid w:val="00456199"/>
    <w:rsid w:val="00464C63"/>
    <w:rsid w:val="004756D8"/>
    <w:rsid w:val="004E7D33"/>
    <w:rsid w:val="0050338C"/>
    <w:rsid w:val="005076B5"/>
    <w:rsid w:val="005234EE"/>
    <w:rsid w:val="005403D8"/>
    <w:rsid w:val="00555A59"/>
    <w:rsid w:val="00560E2E"/>
    <w:rsid w:val="00574A92"/>
    <w:rsid w:val="00592231"/>
    <w:rsid w:val="005955B1"/>
    <w:rsid w:val="005B4E4D"/>
    <w:rsid w:val="005D0592"/>
    <w:rsid w:val="005D6172"/>
    <w:rsid w:val="005D7161"/>
    <w:rsid w:val="005E1C51"/>
    <w:rsid w:val="005E5A8F"/>
    <w:rsid w:val="006028F7"/>
    <w:rsid w:val="006039AA"/>
    <w:rsid w:val="00621EE8"/>
    <w:rsid w:val="0062225A"/>
    <w:rsid w:val="00631027"/>
    <w:rsid w:val="0064073E"/>
    <w:rsid w:val="00645718"/>
    <w:rsid w:val="006475B1"/>
    <w:rsid w:val="00652595"/>
    <w:rsid w:val="00656B9D"/>
    <w:rsid w:val="00676F46"/>
    <w:rsid w:val="00686B3F"/>
    <w:rsid w:val="006959AB"/>
    <w:rsid w:val="006A0DA3"/>
    <w:rsid w:val="006A18F2"/>
    <w:rsid w:val="006C3D3B"/>
    <w:rsid w:val="006D22F9"/>
    <w:rsid w:val="006D2D84"/>
    <w:rsid w:val="006D3624"/>
    <w:rsid w:val="006E1F3B"/>
    <w:rsid w:val="006E2964"/>
    <w:rsid w:val="0071047A"/>
    <w:rsid w:val="00715AD2"/>
    <w:rsid w:val="0072576E"/>
    <w:rsid w:val="0073012B"/>
    <w:rsid w:val="00731BA8"/>
    <w:rsid w:val="00753AB4"/>
    <w:rsid w:val="00777156"/>
    <w:rsid w:val="0078341F"/>
    <w:rsid w:val="0079456D"/>
    <w:rsid w:val="007A6546"/>
    <w:rsid w:val="007C2DFE"/>
    <w:rsid w:val="007F09E6"/>
    <w:rsid w:val="00806B14"/>
    <w:rsid w:val="00823237"/>
    <w:rsid w:val="00844CA5"/>
    <w:rsid w:val="00851B88"/>
    <w:rsid w:val="00864008"/>
    <w:rsid w:val="00864FC2"/>
    <w:rsid w:val="00875852"/>
    <w:rsid w:val="008930A5"/>
    <w:rsid w:val="008A14A9"/>
    <w:rsid w:val="008B318E"/>
    <w:rsid w:val="008C0AC7"/>
    <w:rsid w:val="008D65E9"/>
    <w:rsid w:val="008D79D4"/>
    <w:rsid w:val="008F37B5"/>
    <w:rsid w:val="00905A48"/>
    <w:rsid w:val="00912D4E"/>
    <w:rsid w:val="00941674"/>
    <w:rsid w:val="009427C9"/>
    <w:rsid w:val="00947BEE"/>
    <w:rsid w:val="00952193"/>
    <w:rsid w:val="00953C0B"/>
    <w:rsid w:val="00964895"/>
    <w:rsid w:val="009B096F"/>
    <w:rsid w:val="009F6718"/>
    <w:rsid w:val="009F6C8B"/>
    <w:rsid w:val="00A059C8"/>
    <w:rsid w:val="00A06FD8"/>
    <w:rsid w:val="00A14435"/>
    <w:rsid w:val="00A23F8A"/>
    <w:rsid w:val="00A258AF"/>
    <w:rsid w:val="00A30741"/>
    <w:rsid w:val="00A50B01"/>
    <w:rsid w:val="00A566DA"/>
    <w:rsid w:val="00A5758F"/>
    <w:rsid w:val="00A635A8"/>
    <w:rsid w:val="00A772D3"/>
    <w:rsid w:val="00A81203"/>
    <w:rsid w:val="00A81926"/>
    <w:rsid w:val="00A82F94"/>
    <w:rsid w:val="00A838E1"/>
    <w:rsid w:val="00AB0A0B"/>
    <w:rsid w:val="00AB5193"/>
    <w:rsid w:val="00AC4198"/>
    <w:rsid w:val="00AD2963"/>
    <w:rsid w:val="00AF3CE9"/>
    <w:rsid w:val="00B160EB"/>
    <w:rsid w:val="00B1649C"/>
    <w:rsid w:val="00B25D07"/>
    <w:rsid w:val="00B30012"/>
    <w:rsid w:val="00B318D1"/>
    <w:rsid w:val="00B337FC"/>
    <w:rsid w:val="00B55DBB"/>
    <w:rsid w:val="00B942B6"/>
    <w:rsid w:val="00BA213D"/>
    <w:rsid w:val="00BA3715"/>
    <w:rsid w:val="00BB388A"/>
    <w:rsid w:val="00BC4D4A"/>
    <w:rsid w:val="00BC745A"/>
    <w:rsid w:val="00BC754B"/>
    <w:rsid w:val="00BE5489"/>
    <w:rsid w:val="00BE6621"/>
    <w:rsid w:val="00BE7DE8"/>
    <w:rsid w:val="00BF2258"/>
    <w:rsid w:val="00C04EBD"/>
    <w:rsid w:val="00C06B39"/>
    <w:rsid w:val="00C17F78"/>
    <w:rsid w:val="00C210B9"/>
    <w:rsid w:val="00C249D9"/>
    <w:rsid w:val="00C332BE"/>
    <w:rsid w:val="00C50A1F"/>
    <w:rsid w:val="00C72ABD"/>
    <w:rsid w:val="00C73154"/>
    <w:rsid w:val="00C87417"/>
    <w:rsid w:val="00C93B65"/>
    <w:rsid w:val="00CA4320"/>
    <w:rsid w:val="00CC4E7A"/>
    <w:rsid w:val="00CC5024"/>
    <w:rsid w:val="00CD0864"/>
    <w:rsid w:val="00CF688F"/>
    <w:rsid w:val="00D12D9C"/>
    <w:rsid w:val="00D17199"/>
    <w:rsid w:val="00D217B7"/>
    <w:rsid w:val="00D22ACF"/>
    <w:rsid w:val="00D40029"/>
    <w:rsid w:val="00D56E93"/>
    <w:rsid w:val="00D63A91"/>
    <w:rsid w:val="00D80CB3"/>
    <w:rsid w:val="00D862BF"/>
    <w:rsid w:val="00D9285E"/>
    <w:rsid w:val="00DB0A87"/>
    <w:rsid w:val="00E3339B"/>
    <w:rsid w:val="00E45691"/>
    <w:rsid w:val="00E92692"/>
    <w:rsid w:val="00EA7755"/>
    <w:rsid w:val="00EB27A0"/>
    <w:rsid w:val="00EC2CFE"/>
    <w:rsid w:val="00EF1EEC"/>
    <w:rsid w:val="00F16C57"/>
    <w:rsid w:val="00F229E7"/>
    <w:rsid w:val="00F446CF"/>
    <w:rsid w:val="00F53DDE"/>
    <w:rsid w:val="00F5564C"/>
    <w:rsid w:val="00F571A4"/>
    <w:rsid w:val="00F66EB8"/>
    <w:rsid w:val="00F90A6A"/>
    <w:rsid w:val="00FB2B0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1"/>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character" w:customStyle="1" w:styleId="ListParagraphChar">
    <w:name w:val="List Paragraph Char"/>
    <w:link w:val="ListParagraph"/>
    <w:uiPriority w:val="34"/>
    <w:locked/>
    <w:rsid w:val="009F6718"/>
  </w:style>
  <w:style w:type="paragraph" w:styleId="FootnoteText">
    <w:name w:val="footnote text"/>
    <w:basedOn w:val="Normal"/>
    <w:link w:val="FootnoteTextChar"/>
    <w:uiPriority w:val="99"/>
    <w:unhideWhenUsed/>
    <w:rsid w:val="009F671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F6718"/>
    <w:rPr>
      <w:sz w:val="20"/>
      <w:szCs w:val="20"/>
      <w:lang w:val="en-US"/>
    </w:rPr>
  </w:style>
  <w:style w:type="character" w:styleId="FootnoteReference">
    <w:name w:val="footnote reference"/>
    <w:basedOn w:val="DefaultParagraphFont"/>
    <w:uiPriority w:val="99"/>
    <w:semiHidden/>
    <w:unhideWhenUsed/>
    <w:rsid w:val="00875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2020-11-09T18:30:00+00:00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177B2206-8735-4360-814C-159F2F3A1302}"/>
</file>

<file path=docProps/app.xml><?xml version="1.0" encoding="utf-8"?>
<Properties xmlns="http://schemas.openxmlformats.org/officeDocument/2006/extended-properties" xmlns:vt="http://schemas.openxmlformats.org/officeDocument/2006/docPropsVTypes">
  <Template>Normal</Template>
  <TotalTime>2</TotalTime>
  <Pages>12</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Am-Chagas-Gilhos Lda v Feist Investments No. 72 CC (HC-MD-CIV-ACT-CON-2019- 04676) [2020] NAHCMD 555 (10 November 2020)</dc:title>
  <dc:creator>E. Kharases</dc:creator>
  <cp:lastModifiedBy>Administrator</cp:lastModifiedBy>
  <cp:revision>3</cp:revision>
  <cp:lastPrinted>2020-01-31T12:59:00Z</cp:lastPrinted>
  <dcterms:created xsi:type="dcterms:W3CDTF">2020-12-14T10:51:00Z</dcterms:created>
  <dcterms:modified xsi:type="dcterms:W3CDTF">2020-12-14T10:52:00Z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