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6FE" w:rsidRPr="00050022" w:rsidRDefault="00E866FE" w:rsidP="00E866FE">
      <w:pPr>
        <w:spacing w:after="0" w:line="360" w:lineRule="auto"/>
        <w:jc w:val="center"/>
        <w:rPr>
          <w:rFonts w:eastAsia="Times New Roman"/>
          <w:b/>
        </w:rPr>
      </w:pPr>
      <w:r w:rsidRPr="00050022">
        <w:rPr>
          <w:rFonts w:eastAsia="Times New Roman"/>
          <w:noProof/>
        </w:rPr>
        <mc:AlternateContent>
          <mc:Choice Requires="wps">
            <w:drawing>
              <wp:anchor distT="0" distB="0" distL="114300" distR="114300" simplePos="0" relativeHeight="251659264" behindDoc="0" locked="0" layoutInCell="1" allowOverlap="1" wp14:anchorId="1ED385D5" wp14:editId="33C2000A">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E866FE" w:rsidRPr="000A0FD8" w:rsidRDefault="00E866FE" w:rsidP="00E866FE">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385D5"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E866FE" w:rsidRPr="000A0FD8" w:rsidRDefault="00E866FE" w:rsidP="00E866FE">
                      <w:pPr>
                        <w:jc w:val="right"/>
                        <w:rPr>
                          <w:b/>
                        </w:rPr>
                      </w:pPr>
                    </w:p>
                  </w:txbxContent>
                </v:textbox>
                <w10:wrap anchorx="margin"/>
              </v:shape>
            </w:pict>
          </mc:Fallback>
        </mc:AlternateContent>
      </w:r>
      <w:r w:rsidRPr="00050022">
        <w:rPr>
          <w:rFonts w:eastAsia="Times New Roman"/>
          <w:b/>
        </w:rPr>
        <w:t>REPUBLIC OF NAMIBIA</w:t>
      </w:r>
    </w:p>
    <w:p w:rsidR="00E866FE" w:rsidRPr="00050022" w:rsidRDefault="00E866FE" w:rsidP="00E866FE">
      <w:pPr>
        <w:spacing w:after="0" w:line="360" w:lineRule="auto"/>
        <w:rPr>
          <w:rFonts w:eastAsia="Times New Roman"/>
          <w:b/>
        </w:rPr>
      </w:pPr>
      <w:r w:rsidRPr="00050022">
        <w:rPr>
          <w:rFonts w:eastAsia="Times New Roman"/>
          <w:noProof/>
        </w:rPr>
        <w:drawing>
          <wp:anchor distT="0" distB="0" distL="114300" distR="114300" simplePos="0" relativeHeight="251660288" behindDoc="0" locked="0" layoutInCell="1" allowOverlap="1" wp14:anchorId="34885A4C" wp14:editId="6DFCE734">
            <wp:simplePos x="0" y="0"/>
            <wp:positionH relativeFrom="margin">
              <wp:align>center</wp:align>
            </wp:positionH>
            <wp:positionV relativeFrom="paragraph">
              <wp:posOffset>85725</wp:posOffset>
            </wp:positionV>
            <wp:extent cx="1276350" cy="1209675"/>
            <wp:effectExtent l="0" t="0" r="0" b="9525"/>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66FE" w:rsidRPr="00050022" w:rsidRDefault="00E866FE" w:rsidP="00E866FE">
      <w:pPr>
        <w:spacing w:after="0" w:line="360" w:lineRule="auto"/>
        <w:rPr>
          <w:rFonts w:eastAsia="Times New Roman"/>
          <w:b/>
        </w:rPr>
      </w:pPr>
    </w:p>
    <w:p w:rsidR="00E866FE" w:rsidRPr="00050022" w:rsidRDefault="00E866FE" w:rsidP="00E866FE">
      <w:pPr>
        <w:spacing w:after="0" w:line="360" w:lineRule="auto"/>
        <w:rPr>
          <w:rFonts w:eastAsia="Times New Roman"/>
          <w:b/>
        </w:rPr>
      </w:pPr>
    </w:p>
    <w:p w:rsidR="00E866FE" w:rsidRPr="00050022" w:rsidRDefault="00E866FE" w:rsidP="00E866FE">
      <w:pPr>
        <w:spacing w:after="0" w:line="360" w:lineRule="auto"/>
        <w:rPr>
          <w:rFonts w:eastAsia="Times New Roman"/>
          <w:b/>
        </w:rPr>
      </w:pPr>
    </w:p>
    <w:p w:rsidR="00E866FE" w:rsidRPr="00050022" w:rsidRDefault="00E866FE" w:rsidP="00E866FE">
      <w:pPr>
        <w:spacing w:after="0" w:line="360" w:lineRule="auto"/>
        <w:rPr>
          <w:rFonts w:eastAsia="Times New Roman"/>
          <w:b/>
        </w:rPr>
      </w:pPr>
    </w:p>
    <w:p w:rsidR="00E866FE" w:rsidRPr="00050022" w:rsidRDefault="00E866FE" w:rsidP="00E866FE">
      <w:pPr>
        <w:spacing w:after="0" w:line="360" w:lineRule="auto"/>
        <w:jc w:val="center"/>
        <w:rPr>
          <w:rFonts w:eastAsia="Times New Roman"/>
          <w:b/>
        </w:rPr>
      </w:pPr>
    </w:p>
    <w:p w:rsidR="00E866FE" w:rsidRPr="00050022" w:rsidRDefault="00E866FE" w:rsidP="00E866FE">
      <w:pPr>
        <w:spacing w:after="0" w:line="360" w:lineRule="auto"/>
        <w:rPr>
          <w:rFonts w:eastAsia="Times New Roman"/>
          <w:b/>
        </w:rPr>
      </w:pPr>
      <w:r>
        <w:rPr>
          <w:rFonts w:eastAsia="Times New Roman"/>
          <w:b/>
        </w:rPr>
        <w:t xml:space="preserve">                   IN THE </w:t>
      </w:r>
      <w:r w:rsidRPr="00050022">
        <w:rPr>
          <w:rFonts w:eastAsia="Times New Roman"/>
          <w:b/>
        </w:rPr>
        <w:t>HIGH COURT OF NAMIBIA, MAIN DIVISION, WINDHOEK</w:t>
      </w:r>
    </w:p>
    <w:p w:rsidR="00E866FE" w:rsidRPr="00050022" w:rsidRDefault="00E866FE" w:rsidP="00E866FE">
      <w:pPr>
        <w:spacing w:after="0" w:line="360" w:lineRule="auto"/>
        <w:rPr>
          <w:rFonts w:eastAsia="Times New Roman"/>
          <w:b/>
        </w:rPr>
      </w:pPr>
    </w:p>
    <w:p w:rsidR="00E866FE" w:rsidRPr="00050022" w:rsidRDefault="00E866FE" w:rsidP="00E866FE">
      <w:pPr>
        <w:spacing w:after="0" w:line="360" w:lineRule="auto"/>
        <w:jc w:val="center"/>
        <w:rPr>
          <w:rFonts w:eastAsia="Times New Roman"/>
          <w:b/>
        </w:rPr>
      </w:pPr>
      <w:r w:rsidRPr="00050022">
        <w:rPr>
          <w:rFonts w:eastAsia="Times New Roman"/>
          <w:b/>
        </w:rPr>
        <w:t>JUDGMENT</w:t>
      </w:r>
    </w:p>
    <w:p w:rsidR="009C2E53" w:rsidRPr="00FF0593" w:rsidRDefault="009C2E53" w:rsidP="009C2E53">
      <w:pPr>
        <w:spacing w:after="0" w:line="360" w:lineRule="auto"/>
        <w:jc w:val="both"/>
        <w:rPr>
          <w:rFonts w:ascii="Arial Narrow" w:hAnsi="Arial Narrow"/>
        </w:rPr>
      </w:pPr>
    </w:p>
    <w:tbl>
      <w:tblPr>
        <w:tblStyle w:val="TableGrid"/>
        <w:tblW w:w="10335" w:type="dxa"/>
        <w:tblInd w:w="-275" w:type="dxa"/>
        <w:tblLook w:val="04A0" w:firstRow="1" w:lastRow="0" w:firstColumn="1" w:lastColumn="0" w:noHBand="0" w:noVBand="1"/>
      </w:tblPr>
      <w:tblGrid>
        <w:gridCol w:w="4770"/>
        <w:gridCol w:w="627"/>
        <w:gridCol w:w="4938"/>
      </w:tblGrid>
      <w:tr w:rsidR="009C2E53" w:rsidRPr="00623518" w:rsidTr="005853ED">
        <w:trPr>
          <w:trHeight w:val="744"/>
        </w:trPr>
        <w:tc>
          <w:tcPr>
            <w:tcW w:w="5397" w:type="dxa"/>
            <w:gridSpan w:val="2"/>
            <w:vMerge w:val="restart"/>
          </w:tcPr>
          <w:p w:rsidR="009C2E53" w:rsidRPr="00623518" w:rsidRDefault="009C2E53" w:rsidP="006F0D59">
            <w:pPr>
              <w:spacing w:line="360" w:lineRule="auto"/>
              <w:jc w:val="both"/>
              <w:rPr>
                <w:rFonts w:ascii="Arial" w:hAnsi="Arial" w:cs="Arial"/>
                <w:sz w:val="24"/>
                <w:szCs w:val="24"/>
              </w:rPr>
            </w:pPr>
            <w:r w:rsidRPr="00623518">
              <w:rPr>
                <w:rFonts w:ascii="Arial" w:hAnsi="Arial" w:cs="Arial"/>
                <w:b/>
                <w:sz w:val="24"/>
                <w:szCs w:val="24"/>
              </w:rPr>
              <w:t>Case Title:</w:t>
            </w:r>
          </w:p>
          <w:p w:rsidR="00075844" w:rsidRPr="00623518" w:rsidRDefault="00075844" w:rsidP="007A4F8E">
            <w:pPr>
              <w:spacing w:line="360" w:lineRule="auto"/>
              <w:jc w:val="both"/>
              <w:rPr>
                <w:rFonts w:ascii="Arial" w:hAnsi="Arial" w:cs="Arial"/>
                <w:sz w:val="24"/>
                <w:szCs w:val="24"/>
                <w:shd w:val="clear" w:color="auto" w:fill="FFFFFF"/>
              </w:rPr>
            </w:pPr>
            <w:r w:rsidRPr="00623518">
              <w:rPr>
                <w:rFonts w:ascii="Arial" w:hAnsi="Arial" w:cs="Arial"/>
                <w:sz w:val="24"/>
                <w:szCs w:val="24"/>
                <w:shd w:val="clear" w:color="auto" w:fill="FFFFFF"/>
              </w:rPr>
              <w:t>THE GENERAL CONSULTATE OF THE REPUBLIC OF ANGOLA IN RUNDU                                   PLAINTIFF</w:t>
            </w:r>
          </w:p>
          <w:p w:rsidR="00075844" w:rsidRPr="00623518" w:rsidRDefault="00075844" w:rsidP="007A4F8E">
            <w:pPr>
              <w:spacing w:line="360" w:lineRule="auto"/>
              <w:jc w:val="both"/>
              <w:rPr>
                <w:rFonts w:ascii="Arial" w:hAnsi="Arial" w:cs="Arial"/>
                <w:sz w:val="24"/>
                <w:szCs w:val="24"/>
                <w:shd w:val="clear" w:color="auto" w:fill="FFFFFF"/>
              </w:rPr>
            </w:pPr>
            <w:r w:rsidRPr="00623518">
              <w:rPr>
                <w:rFonts w:ascii="Arial" w:hAnsi="Arial" w:cs="Arial"/>
                <w:sz w:val="24"/>
                <w:szCs w:val="24"/>
                <w:shd w:val="clear" w:color="auto" w:fill="FFFFFF"/>
              </w:rPr>
              <w:t xml:space="preserve">vs </w:t>
            </w:r>
          </w:p>
          <w:p w:rsidR="00075844" w:rsidRPr="00623518" w:rsidRDefault="00075844" w:rsidP="007A4F8E">
            <w:pPr>
              <w:spacing w:line="360" w:lineRule="auto"/>
              <w:jc w:val="both"/>
              <w:rPr>
                <w:rFonts w:ascii="Arial" w:hAnsi="Arial" w:cs="Arial"/>
                <w:sz w:val="24"/>
                <w:szCs w:val="24"/>
                <w:shd w:val="clear" w:color="auto" w:fill="FFFFFF"/>
              </w:rPr>
            </w:pPr>
            <w:r w:rsidRPr="00623518">
              <w:rPr>
                <w:rFonts w:ascii="Arial" w:hAnsi="Arial" w:cs="Arial"/>
                <w:sz w:val="24"/>
                <w:szCs w:val="24"/>
                <w:shd w:val="clear" w:color="auto" w:fill="FFFFFF"/>
              </w:rPr>
              <w:t>ANTON ERIK VAN SCHALKWYK  T/A RUNDU WELDING AND CONSTRUCTION                         1</w:t>
            </w:r>
            <w:r w:rsidRPr="00623518">
              <w:rPr>
                <w:rFonts w:ascii="Arial" w:hAnsi="Arial" w:cs="Arial"/>
                <w:sz w:val="24"/>
                <w:szCs w:val="24"/>
                <w:shd w:val="clear" w:color="auto" w:fill="FFFFFF"/>
                <w:vertAlign w:val="superscript"/>
              </w:rPr>
              <w:t>ST</w:t>
            </w:r>
            <w:r w:rsidRPr="00623518">
              <w:rPr>
                <w:rFonts w:ascii="Arial" w:hAnsi="Arial" w:cs="Arial"/>
                <w:sz w:val="24"/>
                <w:szCs w:val="24"/>
                <w:shd w:val="clear" w:color="auto" w:fill="FFFFFF"/>
              </w:rPr>
              <w:t xml:space="preserve">  </w:t>
            </w:r>
            <w:r w:rsidR="00FD2FD0" w:rsidRPr="00623518">
              <w:rPr>
                <w:rFonts w:ascii="Arial" w:hAnsi="Arial" w:cs="Arial"/>
                <w:sz w:val="24"/>
                <w:szCs w:val="24"/>
                <w:shd w:val="clear" w:color="auto" w:fill="FFFFFF"/>
              </w:rPr>
              <w:t>DEFENDANT</w:t>
            </w:r>
          </w:p>
          <w:p w:rsidR="00075844" w:rsidRPr="00623518" w:rsidRDefault="00075844" w:rsidP="007A4F8E">
            <w:pPr>
              <w:spacing w:line="360" w:lineRule="auto"/>
              <w:jc w:val="both"/>
              <w:rPr>
                <w:rFonts w:ascii="Arial" w:hAnsi="Arial" w:cs="Arial"/>
                <w:sz w:val="24"/>
                <w:szCs w:val="24"/>
                <w:shd w:val="clear" w:color="auto" w:fill="FFFFFF"/>
              </w:rPr>
            </w:pPr>
            <w:r w:rsidRPr="00623518">
              <w:rPr>
                <w:rFonts w:ascii="Arial" w:hAnsi="Arial" w:cs="Arial"/>
                <w:sz w:val="24"/>
                <w:szCs w:val="24"/>
                <w:shd w:val="clear" w:color="auto" w:fill="FFFFFF"/>
              </w:rPr>
              <w:t>DAVID EMMANUEL FREITAS DIAS      2</w:t>
            </w:r>
            <w:r w:rsidRPr="00623518">
              <w:rPr>
                <w:rFonts w:ascii="Arial" w:hAnsi="Arial" w:cs="Arial"/>
                <w:sz w:val="24"/>
                <w:szCs w:val="24"/>
                <w:shd w:val="clear" w:color="auto" w:fill="FFFFFF"/>
                <w:vertAlign w:val="superscript"/>
              </w:rPr>
              <w:t>ND</w:t>
            </w:r>
            <w:r w:rsidRPr="00623518">
              <w:rPr>
                <w:rFonts w:ascii="Arial" w:hAnsi="Arial" w:cs="Arial"/>
                <w:sz w:val="24"/>
                <w:szCs w:val="24"/>
                <w:shd w:val="clear" w:color="auto" w:fill="FFFFFF"/>
              </w:rPr>
              <w:t xml:space="preserve"> </w:t>
            </w:r>
            <w:r w:rsidR="00FD2FD0" w:rsidRPr="00623518">
              <w:rPr>
                <w:rFonts w:ascii="Arial" w:hAnsi="Arial" w:cs="Arial"/>
                <w:sz w:val="24"/>
                <w:szCs w:val="24"/>
                <w:shd w:val="clear" w:color="auto" w:fill="FFFFFF"/>
              </w:rPr>
              <w:t>DEFENDANT</w:t>
            </w:r>
            <w:r w:rsidRPr="00623518">
              <w:rPr>
                <w:rFonts w:ascii="Arial" w:hAnsi="Arial" w:cs="Arial"/>
                <w:sz w:val="24"/>
                <w:szCs w:val="24"/>
                <w:shd w:val="clear" w:color="auto" w:fill="FFFFFF"/>
              </w:rPr>
              <w:t xml:space="preserve"> </w:t>
            </w:r>
          </w:p>
          <w:p w:rsidR="00075844" w:rsidRPr="00623518" w:rsidRDefault="00075844" w:rsidP="007A4F8E">
            <w:pPr>
              <w:spacing w:line="360" w:lineRule="auto"/>
              <w:jc w:val="both"/>
              <w:rPr>
                <w:rFonts w:ascii="Arial" w:hAnsi="Arial" w:cs="Arial"/>
                <w:sz w:val="24"/>
                <w:szCs w:val="24"/>
                <w:shd w:val="clear" w:color="auto" w:fill="FFFFFF"/>
              </w:rPr>
            </w:pPr>
            <w:r w:rsidRPr="00623518">
              <w:rPr>
                <w:rFonts w:ascii="Arial" w:hAnsi="Arial" w:cs="Arial"/>
                <w:sz w:val="24"/>
                <w:szCs w:val="24"/>
                <w:shd w:val="clear" w:color="auto" w:fill="FFFFFF"/>
              </w:rPr>
              <w:t>RENARD HATTINGH                             3</w:t>
            </w:r>
            <w:r w:rsidRPr="00623518">
              <w:rPr>
                <w:rFonts w:ascii="Arial" w:hAnsi="Arial" w:cs="Arial"/>
                <w:sz w:val="24"/>
                <w:szCs w:val="24"/>
                <w:shd w:val="clear" w:color="auto" w:fill="FFFFFF"/>
                <w:vertAlign w:val="superscript"/>
              </w:rPr>
              <w:t>RD</w:t>
            </w:r>
            <w:r w:rsidRPr="00623518">
              <w:rPr>
                <w:rFonts w:ascii="Arial" w:hAnsi="Arial" w:cs="Arial"/>
                <w:sz w:val="24"/>
                <w:szCs w:val="24"/>
                <w:shd w:val="clear" w:color="auto" w:fill="FFFFFF"/>
              </w:rPr>
              <w:t xml:space="preserve"> </w:t>
            </w:r>
            <w:r w:rsidR="00FD2FD0" w:rsidRPr="00623518">
              <w:rPr>
                <w:rFonts w:ascii="Arial" w:hAnsi="Arial" w:cs="Arial"/>
                <w:sz w:val="24"/>
                <w:szCs w:val="24"/>
                <w:shd w:val="clear" w:color="auto" w:fill="FFFFFF"/>
              </w:rPr>
              <w:t>DEFENDANT</w:t>
            </w:r>
          </w:p>
          <w:p w:rsidR="009C2E53" w:rsidRPr="00623518" w:rsidRDefault="009C2E53" w:rsidP="007A4F8E">
            <w:pPr>
              <w:spacing w:line="360" w:lineRule="auto"/>
              <w:jc w:val="both"/>
              <w:rPr>
                <w:rFonts w:ascii="Arial" w:hAnsi="Arial" w:cs="Arial"/>
                <w:sz w:val="24"/>
                <w:szCs w:val="24"/>
              </w:rPr>
            </w:pPr>
          </w:p>
        </w:tc>
        <w:tc>
          <w:tcPr>
            <w:tcW w:w="4938" w:type="dxa"/>
          </w:tcPr>
          <w:p w:rsidR="009C2E53" w:rsidRPr="00623518" w:rsidRDefault="009C2E53" w:rsidP="006F0D59">
            <w:pPr>
              <w:spacing w:line="360" w:lineRule="auto"/>
              <w:jc w:val="both"/>
              <w:rPr>
                <w:rFonts w:ascii="Arial" w:hAnsi="Arial" w:cs="Arial"/>
                <w:sz w:val="24"/>
                <w:szCs w:val="24"/>
              </w:rPr>
            </w:pPr>
            <w:r w:rsidRPr="00623518">
              <w:rPr>
                <w:rFonts w:ascii="Arial" w:hAnsi="Arial" w:cs="Arial"/>
                <w:b/>
                <w:sz w:val="24"/>
                <w:szCs w:val="24"/>
              </w:rPr>
              <w:t>Case No:</w:t>
            </w:r>
          </w:p>
          <w:p w:rsidR="009C2E53" w:rsidRPr="00623518" w:rsidRDefault="00BA4F59" w:rsidP="00075844">
            <w:pPr>
              <w:spacing w:line="360" w:lineRule="auto"/>
              <w:jc w:val="both"/>
              <w:rPr>
                <w:rFonts w:ascii="Arial" w:hAnsi="Arial" w:cs="Arial"/>
                <w:b/>
                <w:sz w:val="24"/>
                <w:szCs w:val="24"/>
              </w:rPr>
            </w:pPr>
            <w:r w:rsidRPr="00623518">
              <w:rPr>
                <w:rFonts w:ascii="Arial" w:hAnsi="Arial" w:cs="Arial"/>
                <w:color w:val="333333"/>
                <w:sz w:val="24"/>
                <w:szCs w:val="24"/>
                <w:shd w:val="clear" w:color="auto" w:fill="FFFFFF"/>
              </w:rPr>
              <w:t>HC-MD-CIV-ACT-</w:t>
            </w:r>
            <w:r w:rsidR="00075844" w:rsidRPr="00623518">
              <w:rPr>
                <w:rFonts w:ascii="Arial" w:hAnsi="Arial" w:cs="Arial"/>
                <w:color w:val="333333"/>
                <w:sz w:val="24"/>
                <w:szCs w:val="24"/>
                <w:shd w:val="clear" w:color="auto" w:fill="FFFFFF"/>
              </w:rPr>
              <w:t>CON-2020/01309</w:t>
            </w:r>
            <w:r w:rsidRPr="00623518">
              <w:rPr>
                <w:rFonts w:ascii="Arial" w:hAnsi="Arial" w:cs="Arial"/>
                <w:b/>
                <w:sz w:val="24"/>
                <w:szCs w:val="24"/>
              </w:rPr>
              <w:t xml:space="preserve"> </w:t>
            </w:r>
          </w:p>
        </w:tc>
      </w:tr>
      <w:tr w:rsidR="009C2E53" w:rsidRPr="00623518" w:rsidTr="00FD2FD0">
        <w:trPr>
          <w:trHeight w:val="2958"/>
        </w:trPr>
        <w:tc>
          <w:tcPr>
            <w:tcW w:w="5397" w:type="dxa"/>
            <w:gridSpan w:val="2"/>
            <w:vMerge/>
          </w:tcPr>
          <w:p w:rsidR="009C2E53" w:rsidRPr="00623518" w:rsidRDefault="009C2E53" w:rsidP="006F0D59">
            <w:pPr>
              <w:spacing w:line="360" w:lineRule="auto"/>
              <w:jc w:val="both"/>
              <w:rPr>
                <w:rFonts w:ascii="Arial" w:hAnsi="Arial" w:cs="Arial"/>
                <w:sz w:val="24"/>
                <w:szCs w:val="24"/>
              </w:rPr>
            </w:pPr>
          </w:p>
        </w:tc>
        <w:tc>
          <w:tcPr>
            <w:tcW w:w="4938" w:type="dxa"/>
          </w:tcPr>
          <w:p w:rsidR="009C2E53" w:rsidRPr="00623518" w:rsidRDefault="009C2E53" w:rsidP="006F0D59">
            <w:pPr>
              <w:spacing w:line="360" w:lineRule="auto"/>
              <w:jc w:val="both"/>
              <w:rPr>
                <w:rFonts w:ascii="Arial" w:hAnsi="Arial" w:cs="Arial"/>
                <w:sz w:val="24"/>
                <w:szCs w:val="24"/>
              </w:rPr>
            </w:pPr>
            <w:r w:rsidRPr="00623518">
              <w:rPr>
                <w:rFonts w:ascii="Arial" w:hAnsi="Arial" w:cs="Arial"/>
                <w:b/>
                <w:sz w:val="24"/>
                <w:szCs w:val="24"/>
              </w:rPr>
              <w:t>Division of Court:</w:t>
            </w:r>
          </w:p>
          <w:p w:rsidR="009C2E53" w:rsidRPr="00623518" w:rsidRDefault="009C2E53" w:rsidP="006F0D59">
            <w:pPr>
              <w:spacing w:line="360" w:lineRule="auto"/>
              <w:jc w:val="both"/>
              <w:rPr>
                <w:rFonts w:ascii="Arial" w:hAnsi="Arial" w:cs="Arial"/>
                <w:sz w:val="24"/>
                <w:szCs w:val="24"/>
              </w:rPr>
            </w:pPr>
            <w:r w:rsidRPr="00623518">
              <w:rPr>
                <w:rFonts w:ascii="Arial" w:hAnsi="Arial" w:cs="Arial"/>
                <w:sz w:val="24"/>
                <w:szCs w:val="24"/>
              </w:rPr>
              <w:t>HIGH COURT(MAIN DIVISION)</w:t>
            </w:r>
          </w:p>
        </w:tc>
      </w:tr>
      <w:tr w:rsidR="009C2E53" w:rsidRPr="00623518" w:rsidTr="005853ED">
        <w:trPr>
          <w:trHeight w:val="645"/>
        </w:trPr>
        <w:tc>
          <w:tcPr>
            <w:tcW w:w="5397" w:type="dxa"/>
            <w:gridSpan w:val="2"/>
            <w:vMerge w:val="restart"/>
          </w:tcPr>
          <w:p w:rsidR="009C2E53" w:rsidRPr="00623518" w:rsidRDefault="009C2E53" w:rsidP="006F0D59">
            <w:pPr>
              <w:spacing w:line="360" w:lineRule="auto"/>
              <w:jc w:val="both"/>
              <w:rPr>
                <w:rFonts w:ascii="Arial" w:hAnsi="Arial" w:cs="Arial"/>
                <w:b/>
                <w:sz w:val="24"/>
                <w:szCs w:val="24"/>
              </w:rPr>
            </w:pPr>
            <w:r w:rsidRPr="00623518">
              <w:rPr>
                <w:rFonts w:ascii="Arial" w:hAnsi="Arial" w:cs="Arial"/>
                <w:b/>
                <w:sz w:val="24"/>
                <w:szCs w:val="24"/>
              </w:rPr>
              <w:t>Heard before:</w:t>
            </w:r>
          </w:p>
          <w:p w:rsidR="009C2E53" w:rsidRPr="00623518" w:rsidRDefault="009C2E53" w:rsidP="006F0D59">
            <w:pPr>
              <w:spacing w:line="360" w:lineRule="auto"/>
              <w:jc w:val="both"/>
              <w:rPr>
                <w:rFonts w:ascii="Arial" w:hAnsi="Arial" w:cs="Arial"/>
                <w:sz w:val="24"/>
                <w:szCs w:val="24"/>
              </w:rPr>
            </w:pPr>
            <w:r w:rsidRPr="00623518">
              <w:rPr>
                <w:rFonts w:ascii="Arial" w:hAnsi="Arial" w:cs="Arial"/>
                <w:sz w:val="24"/>
                <w:szCs w:val="24"/>
              </w:rPr>
              <w:t>HONOURABLE LADY JUSTICE PRINSLOO, JUDGE</w:t>
            </w:r>
          </w:p>
        </w:tc>
        <w:tc>
          <w:tcPr>
            <w:tcW w:w="4938" w:type="dxa"/>
          </w:tcPr>
          <w:p w:rsidR="009C2E53" w:rsidRPr="00623518" w:rsidRDefault="009C2E53" w:rsidP="006F0D59">
            <w:pPr>
              <w:spacing w:line="360" w:lineRule="auto"/>
              <w:jc w:val="both"/>
              <w:rPr>
                <w:rFonts w:ascii="Arial" w:hAnsi="Arial" w:cs="Arial"/>
                <w:b/>
                <w:sz w:val="24"/>
                <w:szCs w:val="24"/>
              </w:rPr>
            </w:pPr>
            <w:r w:rsidRPr="00623518">
              <w:rPr>
                <w:rFonts w:ascii="Arial" w:hAnsi="Arial" w:cs="Arial"/>
                <w:b/>
                <w:sz w:val="24"/>
                <w:szCs w:val="24"/>
              </w:rPr>
              <w:t>Date of hearing:</w:t>
            </w:r>
          </w:p>
          <w:p w:rsidR="009C2E53" w:rsidRPr="00623518" w:rsidRDefault="00075844" w:rsidP="00BA4F59">
            <w:pPr>
              <w:spacing w:line="360" w:lineRule="auto"/>
              <w:rPr>
                <w:rFonts w:ascii="Arial" w:hAnsi="Arial" w:cs="Arial"/>
                <w:sz w:val="24"/>
                <w:szCs w:val="24"/>
              </w:rPr>
            </w:pPr>
            <w:r w:rsidRPr="00623518">
              <w:rPr>
                <w:rFonts w:ascii="Arial" w:hAnsi="Arial" w:cs="Arial"/>
                <w:sz w:val="24"/>
                <w:szCs w:val="24"/>
              </w:rPr>
              <w:t>16 November 2020</w:t>
            </w:r>
          </w:p>
        </w:tc>
      </w:tr>
      <w:tr w:rsidR="009C2E53" w:rsidRPr="00623518" w:rsidTr="005853ED">
        <w:trPr>
          <w:trHeight w:val="588"/>
        </w:trPr>
        <w:tc>
          <w:tcPr>
            <w:tcW w:w="5397" w:type="dxa"/>
            <w:gridSpan w:val="2"/>
            <w:vMerge/>
          </w:tcPr>
          <w:p w:rsidR="009C2E53" w:rsidRPr="00623518" w:rsidRDefault="009C2E53" w:rsidP="006F0D59">
            <w:pPr>
              <w:spacing w:line="360" w:lineRule="auto"/>
              <w:jc w:val="both"/>
              <w:rPr>
                <w:rFonts w:ascii="Arial" w:hAnsi="Arial" w:cs="Arial"/>
                <w:b/>
                <w:sz w:val="24"/>
                <w:szCs w:val="24"/>
              </w:rPr>
            </w:pPr>
          </w:p>
        </w:tc>
        <w:tc>
          <w:tcPr>
            <w:tcW w:w="4938" w:type="dxa"/>
          </w:tcPr>
          <w:p w:rsidR="00EF5666" w:rsidRPr="00623518" w:rsidRDefault="009C2E53" w:rsidP="006F0D59">
            <w:pPr>
              <w:spacing w:line="360" w:lineRule="auto"/>
              <w:jc w:val="both"/>
              <w:rPr>
                <w:rFonts w:ascii="Arial" w:hAnsi="Arial" w:cs="Arial"/>
                <w:b/>
                <w:sz w:val="24"/>
                <w:szCs w:val="24"/>
              </w:rPr>
            </w:pPr>
            <w:r w:rsidRPr="00623518">
              <w:rPr>
                <w:rFonts w:ascii="Arial" w:hAnsi="Arial" w:cs="Arial"/>
                <w:b/>
                <w:sz w:val="24"/>
                <w:szCs w:val="24"/>
              </w:rPr>
              <w:t xml:space="preserve">Date of order: </w:t>
            </w:r>
          </w:p>
          <w:p w:rsidR="009C2E53" w:rsidRPr="00623518" w:rsidRDefault="00075844" w:rsidP="00AA56A3">
            <w:pPr>
              <w:spacing w:line="360" w:lineRule="auto"/>
              <w:jc w:val="both"/>
              <w:rPr>
                <w:rFonts w:ascii="Arial" w:hAnsi="Arial" w:cs="Arial"/>
                <w:b/>
                <w:sz w:val="24"/>
                <w:szCs w:val="24"/>
              </w:rPr>
            </w:pPr>
            <w:r w:rsidRPr="00623518">
              <w:rPr>
                <w:rFonts w:ascii="Arial" w:hAnsi="Arial" w:cs="Arial"/>
                <w:b/>
                <w:sz w:val="24"/>
                <w:szCs w:val="24"/>
              </w:rPr>
              <w:t>4 December 2020</w:t>
            </w:r>
          </w:p>
        </w:tc>
      </w:tr>
      <w:tr w:rsidR="009C2E53" w:rsidRPr="00623518" w:rsidTr="005853ED">
        <w:trPr>
          <w:trHeight w:val="710"/>
        </w:trPr>
        <w:tc>
          <w:tcPr>
            <w:tcW w:w="10335" w:type="dxa"/>
            <w:gridSpan w:val="3"/>
          </w:tcPr>
          <w:p w:rsidR="00EF5666" w:rsidRPr="00623518" w:rsidRDefault="00EF5666" w:rsidP="006F0D59">
            <w:pPr>
              <w:pStyle w:val="form-control-static"/>
              <w:shd w:val="clear" w:color="auto" w:fill="FFFFFF"/>
              <w:spacing w:before="0" w:beforeAutospacing="0" w:after="0" w:afterAutospacing="0"/>
              <w:rPr>
                <w:rFonts w:ascii="Arial" w:hAnsi="Arial" w:cs="Arial"/>
                <w:b/>
                <w:sz w:val="24"/>
                <w:szCs w:val="24"/>
              </w:rPr>
            </w:pPr>
          </w:p>
          <w:p w:rsidR="009C2E53" w:rsidRPr="00623518" w:rsidRDefault="009C2E53" w:rsidP="00075844">
            <w:pPr>
              <w:spacing w:line="360" w:lineRule="auto"/>
              <w:jc w:val="both"/>
              <w:rPr>
                <w:rFonts w:ascii="Arial" w:hAnsi="Arial" w:cs="Arial"/>
                <w:sz w:val="24"/>
                <w:szCs w:val="24"/>
              </w:rPr>
            </w:pPr>
            <w:r w:rsidRPr="00623518">
              <w:rPr>
                <w:rFonts w:ascii="Arial" w:hAnsi="Arial" w:cs="Arial"/>
                <w:b/>
                <w:sz w:val="24"/>
                <w:szCs w:val="24"/>
              </w:rPr>
              <w:t>Neutral citation:</w:t>
            </w:r>
            <w:r w:rsidR="00EF5666" w:rsidRPr="00623518">
              <w:rPr>
                <w:rFonts w:ascii="Arial" w:hAnsi="Arial" w:cs="Arial"/>
                <w:sz w:val="24"/>
                <w:szCs w:val="24"/>
              </w:rPr>
              <w:t xml:space="preserve"> </w:t>
            </w:r>
            <w:r w:rsidR="00075844" w:rsidRPr="00623518">
              <w:rPr>
                <w:rFonts w:ascii="Arial" w:hAnsi="Arial" w:cs="Arial"/>
                <w:i/>
                <w:sz w:val="24"/>
                <w:szCs w:val="24"/>
              </w:rPr>
              <w:t xml:space="preserve">The General Consulate of the Republic of Angola in </w:t>
            </w:r>
            <w:proofErr w:type="spellStart"/>
            <w:r w:rsidR="00075844" w:rsidRPr="00623518">
              <w:rPr>
                <w:rFonts w:ascii="Arial" w:hAnsi="Arial" w:cs="Arial"/>
                <w:i/>
                <w:sz w:val="24"/>
                <w:szCs w:val="24"/>
              </w:rPr>
              <w:t>Rundu</w:t>
            </w:r>
            <w:proofErr w:type="spellEnd"/>
            <w:r w:rsidR="00075844" w:rsidRPr="00623518">
              <w:rPr>
                <w:rFonts w:ascii="Arial" w:hAnsi="Arial" w:cs="Arial"/>
                <w:i/>
                <w:sz w:val="24"/>
                <w:szCs w:val="24"/>
              </w:rPr>
              <w:t xml:space="preserve"> v Van </w:t>
            </w:r>
            <w:proofErr w:type="spellStart"/>
            <w:r w:rsidR="00075844" w:rsidRPr="00623518">
              <w:rPr>
                <w:rFonts w:ascii="Arial" w:hAnsi="Arial" w:cs="Arial"/>
                <w:i/>
                <w:sz w:val="24"/>
                <w:szCs w:val="24"/>
              </w:rPr>
              <w:t>Schalkwyk</w:t>
            </w:r>
            <w:proofErr w:type="spellEnd"/>
            <w:r w:rsidR="00075844" w:rsidRPr="00623518">
              <w:rPr>
                <w:rFonts w:ascii="Arial" w:hAnsi="Arial" w:cs="Arial"/>
                <w:i/>
                <w:sz w:val="24"/>
                <w:szCs w:val="24"/>
              </w:rPr>
              <w:t xml:space="preserve"> </w:t>
            </w:r>
            <w:r w:rsidR="00EF5666" w:rsidRPr="00623518">
              <w:rPr>
                <w:rFonts w:ascii="Arial" w:hAnsi="Arial" w:cs="Arial"/>
                <w:sz w:val="24"/>
                <w:szCs w:val="24"/>
              </w:rPr>
              <w:t>(</w:t>
            </w:r>
            <w:r w:rsidR="007A4F8E" w:rsidRPr="00623518">
              <w:rPr>
                <w:rFonts w:ascii="Arial" w:hAnsi="Arial" w:cs="Arial"/>
                <w:color w:val="333333"/>
                <w:sz w:val="24"/>
                <w:szCs w:val="24"/>
                <w:shd w:val="clear" w:color="auto" w:fill="FFFFFF"/>
              </w:rPr>
              <w:t>HC-MD-CIV-</w:t>
            </w:r>
            <w:r w:rsidR="00075844" w:rsidRPr="00623518">
              <w:rPr>
                <w:rFonts w:ascii="Arial" w:hAnsi="Arial" w:cs="Arial"/>
                <w:color w:val="333333"/>
                <w:sz w:val="24"/>
                <w:szCs w:val="24"/>
                <w:shd w:val="clear" w:color="auto" w:fill="FFFFFF"/>
              </w:rPr>
              <w:t>CON-2020/01309)</w:t>
            </w:r>
            <w:r w:rsidR="00EF5666" w:rsidRPr="00623518">
              <w:rPr>
                <w:rFonts w:ascii="Arial" w:hAnsi="Arial" w:cs="Arial"/>
                <w:sz w:val="24"/>
                <w:szCs w:val="24"/>
              </w:rPr>
              <w:t xml:space="preserve"> [20</w:t>
            </w:r>
            <w:r w:rsidR="00BA4F59" w:rsidRPr="00623518">
              <w:rPr>
                <w:rFonts w:ascii="Arial" w:hAnsi="Arial" w:cs="Arial"/>
                <w:sz w:val="24"/>
                <w:szCs w:val="24"/>
              </w:rPr>
              <w:t>20</w:t>
            </w:r>
            <w:r w:rsidR="00EF5666" w:rsidRPr="00623518">
              <w:rPr>
                <w:rFonts w:ascii="Arial" w:hAnsi="Arial" w:cs="Arial"/>
                <w:sz w:val="24"/>
                <w:szCs w:val="24"/>
              </w:rPr>
              <w:t xml:space="preserve">] NAHCMD </w:t>
            </w:r>
            <w:r w:rsidR="007E712D" w:rsidRPr="00623518">
              <w:rPr>
                <w:rFonts w:ascii="Arial" w:hAnsi="Arial" w:cs="Arial"/>
                <w:sz w:val="24"/>
                <w:szCs w:val="24"/>
              </w:rPr>
              <w:t>560</w:t>
            </w:r>
            <w:r w:rsidR="00790237" w:rsidRPr="00623518">
              <w:rPr>
                <w:rFonts w:ascii="Arial" w:hAnsi="Arial" w:cs="Arial"/>
                <w:sz w:val="24"/>
                <w:szCs w:val="24"/>
              </w:rPr>
              <w:t xml:space="preserve"> </w:t>
            </w:r>
            <w:r w:rsidR="00EF5666" w:rsidRPr="00623518">
              <w:rPr>
                <w:rFonts w:ascii="Arial" w:hAnsi="Arial" w:cs="Arial"/>
                <w:sz w:val="24"/>
                <w:szCs w:val="24"/>
              </w:rPr>
              <w:t>(</w:t>
            </w:r>
            <w:r w:rsidR="00075844" w:rsidRPr="00623518">
              <w:rPr>
                <w:rFonts w:ascii="Arial" w:hAnsi="Arial" w:cs="Arial"/>
                <w:sz w:val="24"/>
                <w:szCs w:val="24"/>
              </w:rPr>
              <w:t xml:space="preserve">4 December </w:t>
            </w:r>
            <w:r w:rsidR="00BA4F59" w:rsidRPr="00623518">
              <w:rPr>
                <w:rFonts w:ascii="Arial" w:hAnsi="Arial" w:cs="Arial"/>
                <w:sz w:val="24"/>
                <w:szCs w:val="24"/>
              </w:rPr>
              <w:t>2020</w:t>
            </w:r>
            <w:r w:rsidR="00EF5666" w:rsidRPr="00623518">
              <w:rPr>
                <w:rFonts w:ascii="Arial" w:hAnsi="Arial" w:cs="Arial"/>
                <w:sz w:val="24"/>
                <w:szCs w:val="24"/>
              </w:rPr>
              <w:t>)</w:t>
            </w:r>
          </w:p>
        </w:tc>
      </w:tr>
      <w:tr w:rsidR="009C2E53" w:rsidRPr="00623518" w:rsidTr="005853ED">
        <w:tc>
          <w:tcPr>
            <w:tcW w:w="10335" w:type="dxa"/>
            <w:gridSpan w:val="3"/>
          </w:tcPr>
          <w:p w:rsidR="009C2E53" w:rsidRPr="00623518" w:rsidRDefault="009C2E53" w:rsidP="006F0D59">
            <w:pPr>
              <w:pStyle w:val="form-control-static"/>
              <w:shd w:val="clear" w:color="auto" w:fill="FFFFFF"/>
              <w:spacing w:before="0" w:beforeAutospacing="0" w:after="0" w:afterAutospacing="0"/>
              <w:rPr>
                <w:rFonts w:ascii="Arial" w:hAnsi="Arial" w:cs="Arial"/>
                <w:b/>
                <w:sz w:val="24"/>
                <w:szCs w:val="24"/>
              </w:rPr>
            </w:pPr>
            <w:r w:rsidRPr="00623518">
              <w:rPr>
                <w:rFonts w:ascii="Arial" w:hAnsi="Arial" w:cs="Arial"/>
                <w:b/>
                <w:sz w:val="24"/>
                <w:szCs w:val="24"/>
              </w:rPr>
              <w:lastRenderedPageBreak/>
              <w:t>Results on merits:</w:t>
            </w:r>
          </w:p>
          <w:p w:rsidR="009C2E53" w:rsidRPr="00623518" w:rsidRDefault="009C2E53" w:rsidP="006F0D59">
            <w:pPr>
              <w:pStyle w:val="form-control-static"/>
              <w:shd w:val="clear" w:color="auto" w:fill="FFFFFF"/>
              <w:spacing w:before="0" w:beforeAutospacing="0" w:after="0" w:afterAutospacing="0"/>
              <w:rPr>
                <w:rFonts w:ascii="Arial" w:hAnsi="Arial" w:cs="Arial"/>
                <w:sz w:val="24"/>
                <w:szCs w:val="24"/>
              </w:rPr>
            </w:pPr>
            <w:r w:rsidRPr="00623518">
              <w:rPr>
                <w:rFonts w:ascii="Arial" w:hAnsi="Arial" w:cs="Arial"/>
                <w:sz w:val="24"/>
                <w:szCs w:val="24"/>
              </w:rPr>
              <w:t>Merits not considered.</w:t>
            </w:r>
          </w:p>
        </w:tc>
      </w:tr>
      <w:tr w:rsidR="009C2E53" w:rsidRPr="00623518" w:rsidTr="005853ED">
        <w:tc>
          <w:tcPr>
            <w:tcW w:w="10335" w:type="dxa"/>
            <w:gridSpan w:val="3"/>
          </w:tcPr>
          <w:p w:rsidR="00B94B8A" w:rsidRPr="00623518" w:rsidRDefault="009C2E53" w:rsidP="006F0D59">
            <w:pPr>
              <w:spacing w:line="360" w:lineRule="auto"/>
              <w:jc w:val="both"/>
              <w:rPr>
                <w:rFonts w:ascii="Arial" w:hAnsi="Arial" w:cs="Arial"/>
                <w:b/>
                <w:sz w:val="24"/>
                <w:szCs w:val="24"/>
              </w:rPr>
            </w:pPr>
            <w:r w:rsidRPr="00623518">
              <w:rPr>
                <w:rFonts w:ascii="Arial" w:hAnsi="Arial" w:cs="Arial"/>
                <w:b/>
                <w:sz w:val="24"/>
                <w:szCs w:val="24"/>
              </w:rPr>
              <w:t>The order:</w:t>
            </w:r>
          </w:p>
          <w:p w:rsidR="00B94B8A" w:rsidRPr="00623518" w:rsidRDefault="00B94B8A" w:rsidP="006F0D59">
            <w:pPr>
              <w:spacing w:line="360" w:lineRule="auto"/>
              <w:jc w:val="both"/>
              <w:rPr>
                <w:rFonts w:ascii="Arial" w:hAnsi="Arial" w:cs="Arial"/>
                <w:sz w:val="24"/>
                <w:szCs w:val="24"/>
              </w:rPr>
            </w:pPr>
          </w:p>
          <w:p w:rsidR="009C2E53" w:rsidRPr="00623518" w:rsidRDefault="0021522C" w:rsidP="006F0D59">
            <w:pPr>
              <w:spacing w:line="360" w:lineRule="auto"/>
              <w:jc w:val="both"/>
              <w:rPr>
                <w:rFonts w:ascii="Arial" w:hAnsi="Arial" w:cs="Arial"/>
                <w:sz w:val="24"/>
                <w:szCs w:val="24"/>
              </w:rPr>
            </w:pPr>
            <w:r w:rsidRPr="00623518">
              <w:rPr>
                <w:rFonts w:ascii="Arial" w:hAnsi="Arial" w:cs="Arial"/>
                <w:sz w:val="24"/>
                <w:szCs w:val="24"/>
              </w:rPr>
              <w:t xml:space="preserve">Having heard </w:t>
            </w:r>
            <w:r w:rsidRPr="00623518">
              <w:rPr>
                <w:rFonts w:ascii="Arial" w:hAnsi="Arial" w:cs="Arial"/>
                <w:b/>
                <w:sz w:val="24"/>
                <w:szCs w:val="24"/>
              </w:rPr>
              <w:t xml:space="preserve">MR </w:t>
            </w:r>
            <w:r w:rsidR="00B94B8A" w:rsidRPr="00623518">
              <w:rPr>
                <w:rFonts w:ascii="Arial" w:hAnsi="Arial" w:cs="Arial"/>
                <w:b/>
                <w:sz w:val="24"/>
                <w:szCs w:val="24"/>
              </w:rPr>
              <w:t>UJAHA</w:t>
            </w:r>
            <w:r w:rsidRPr="00623518">
              <w:rPr>
                <w:rFonts w:ascii="Arial" w:hAnsi="Arial" w:cs="Arial"/>
                <w:sz w:val="24"/>
                <w:szCs w:val="24"/>
              </w:rPr>
              <w:t xml:space="preserve"> for the Plaintiff ( Respondent)) </w:t>
            </w:r>
            <w:r w:rsidR="009C2E53" w:rsidRPr="00623518">
              <w:rPr>
                <w:rFonts w:ascii="Arial" w:hAnsi="Arial" w:cs="Arial"/>
                <w:sz w:val="24"/>
                <w:szCs w:val="24"/>
              </w:rPr>
              <w:t>and having read the documentation filed of record:</w:t>
            </w:r>
          </w:p>
          <w:p w:rsidR="00EF5666" w:rsidRPr="00623518" w:rsidRDefault="00EF5666" w:rsidP="006F0D59">
            <w:pPr>
              <w:spacing w:line="360" w:lineRule="auto"/>
              <w:jc w:val="both"/>
              <w:rPr>
                <w:rFonts w:ascii="Arial" w:hAnsi="Arial" w:cs="Arial"/>
                <w:sz w:val="24"/>
                <w:szCs w:val="24"/>
              </w:rPr>
            </w:pPr>
          </w:p>
          <w:p w:rsidR="009C2E53" w:rsidRPr="00623518" w:rsidRDefault="009C2E53" w:rsidP="006F0D59">
            <w:pPr>
              <w:spacing w:line="360" w:lineRule="auto"/>
              <w:jc w:val="both"/>
              <w:rPr>
                <w:rFonts w:ascii="Arial" w:hAnsi="Arial" w:cs="Arial"/>
                <w:b/>
                <w:sz w:val="24"/>
                <w:szCs w:val="24"/>
              </w:rPr>
            </w:pPr>
            <w:r w:rsidRPr="00623518">
              <w:rPr>
                <w:rFonts w:ascii="Arial" w:hAnsi="Arial" w:cs="Arial"/>
                <w:b/>
                <w:sz w:val="24"/>
                <w:szCs w:val="24"/>
              </w:rPr>
              <w:t>IT IS HEREBY ORDERED THAT:</w:t>
            </w:r>
          </w:p>
          <w:p w:rsidR="00732ACD" w:rsidRPr="00623518" w:rsidRDefault="007A4F8E" w:rsidP="00075844">
            <w:pPr>
              <w:pStyle w:val="ListParagraph"/>
              <w:numPr>
                <w:ilvl w:val="0"/>
                <w:numId w:val="8"/>
              </w:numPr>
              <w:spacing w:line="360" w:lineRule="auto"/>
              <w:jc w:val="both"/>
              <w:rPr>
                <w:rFonts w:ascii="Arial" w:hAnsi="Arial" w:cs="Arial"/>
                <w:color w:val="333333"/>
                <w:sz w:val="24"/>
                <w:szCs w:val="24"/>
              </w:rPr>
            </w:pPr>
            <w:r w:rsidRPr="00623518">
              <w:rPr>
                <w:rFonts w:ascii="Arial" w:hAnsi="Arial" w:cs="Arial"/>
                <w:sz w:val="24"/>
                <w:szCs w:val="24"/>
              </w:rPr>
              <w:t>The</w:t>
            </w:r>
            <w:r w:rsidR="00075844" w:rsidRPr="00623518">
              <w:rPr>
                <w:rFonts w:ascii="Arial" w:hAnsi="Arial" w:cs="Arial"/>
                <w:sz w:val="24"/>
                <w:szCs w:val="24"/>
              </w:rPr>
              <w:t xml:space="preserve"> third defendant’s special plea is hereby upheld.</w:t>
            </w:r>
          </w:p>
          <w:p w:rsidR="00075844" w:rsidRPr="00623518" w:rsidRDefault="00075844" w:rsidP="00075844">
            <w:pPr>
              <w:pStyle w:val="ListParagraph"/>
              <w:numPr>
                <w:ilvl w:val="0"/>
                <w:numId w:val="8"/>
              </w:numPr>
              <w:spacing w:line="360" w:lineRule="auto"/>
              <w:jc w:val="both"/>
              <w:rPr>
                <w:rFonts w:ascii="Arial" w:hAnsi="Arial" w:cs="Arial"/>
                <w:color w:val="333333"/>
                <w:sz w:val="24"/>
                <w:szCs w:val="24"/>
              </w:rPr>
            </w:pPr>
            <w:r w:rsidRPr="00623518">
              <w:rPr>
                <w:rFonts w:ascii="Arial" w:hAnsi="Arial" w:cs="Arial"/>
                <w:sz w:val="24"/>
                <w:szCs w:val="24"/>
              </w:rPr>
              <w:t>The plaintiff is hereby ordered to pay the costs of one instructing and one instructed counsel.</w:t>
            </w:r>
          </w:p>
          <w:p w:rsidR="004112EC" w:rsidRPr="00623518" w:rsidRDefault="004112EC" w:rsidP="00075844">
            <w:pPr>
              <w:pStyle w:val="ListParagraph"/>
              <w:numPr>
                <w:ilvl w:val="0"/>
                <w:numId w:val="8"/>
              </w:numPr>
              <w:spacing w:line="360" w:lineRule="auto"/>
              <w:jc w:val="both"/>
              <w:rPr>
                <w:rFonts w:ascii="Arial" w:hAnsi="Arial" w:cs="Arial"/>
                <w:color w:val="333333"/>
                <w:sz w:val="24"/>
                <w:szCs w:val="24"/>
              </w:rPr>
            </w:pPr>
            <w:r w:rsidRPr="00623518">
              <w:rPr>
                <w:rFonts w:ascii="Arial" w:hAnsi="Arial" w:cs="Arial"/>
                <w:sz w:val="24"/>
                <w:szCs w:val="24"/>
              </w:rPr>
              <w:t xml:space="preserve">Parties must file a joint status report on or before 25 January 2021 setting out further conduct of the matter. </w:t>
            </w:r>
          </w:p>
          <w:p w:rsidR="00A31196" w:rsidRPr="00623518" w:rsidRDefault="004112EC" w:rsidP="004112EC">
            <w:pPr>
              <w:pStyle w:val="ListParagraph"/>
              <w:numPr>
                <w:ilvl w:val="0"/>
                <w:numId w:val="8"/>
              </w:numPr>
              <w:spacing w:line="360" w:lineRule="auto"/>
              <w:jc w:val="both"/>
              <w:rPr>
                <w:rFonts w:ascii="Arial" w:hAnsi="Arial" w:cs="Arial"/>
                <w:color w:val="333333"/>
                <w:sz w:val="24"/>
                <w:szCs w:val="24"/>
              </w:rPr>
            </w:pPr>
            <w:r w:rsidRPr="00623518">
              <w:rPr>
                <w:rFonts w:ascii="Arial" w:hAnsi="Arial" w:cs="Arial"/>
                <w:color w:val="333333"/>
                <w:sz w:val="24"/>
                <w:szCs w:val="24"/>
              </w:rPr>
              <w:t xml:space="preserve">The case is postponed to </w:t>
            </w:r>
            <w:r w:rsidRPr="00623518">
              <w:rPr>
                <w:rFonts w:ascii="Arial" w:hAnsi="Arial" w:cs="Arial"/>
                <w:b/>
                <w:color w:val="333333"/>
                <w:sz w:val="24"/>
                <w:szCs w:val="24"/>
              </w:rPr>
              <w:t>28 January 2021</w:t>
            </w:r>
            <w:r w:rsidRPr="00623518">
              <w:rPr>
                <w:rFonts w:ascii="Arial" w:hAnsi="Arial" w:cs="Arial"/>
                <w:color w:val="333333"/>
                <w:sz w:val="24"/>
                <w:szCs w:val="24"/>
              </w:rPr>
              <w:t xml:space="preserve"> at </w:t>
            </w:r>
            <w:r w:rsidRPr="00623518">
              <w:rPr>
                <w:rFonts w:ascii="Arial" w:hAnsi="Arial" w:cs="Arial"/>
                <w:b/>
                <w:color w:val="333333"/>
                <w:sz w:val="24"/>
                <w:szCs w:val="24"/>
              </w:rPr>
              <w:t>15:00</w:t>
            </w:r>
            <w:r w:rsidRPr="00623518">
              <w:rPr>
                <w:rFonts w:ascii="Arial" w:hAnsi="Arial" w:cs="Arial"/>
                <w:color w:val="333333"/>
                <w:sz w:val="24"/>
                <w:szCs w:val="24"/>
              </w:rPr>
              <w:t xml:space="preserve"> for Status hearing.</w:t>
            </w:r>
          </w:p>
          <w:p w:rsidR="00075844" w:rsidRPr="00623518" w:rsidRDefault="00075844" w:rsidP="00075844">
            <w:pPr>
              <w:pStyle w:val="ListParagraph"/>
              <w:spacing w:line="360" w:lineRule="auto"/>
              <w:jc w:val="both"/>
              <w:rPr>
                <w:rFonts w:ascii="Arial" w:hAnsi="Arial" w:cs="Arial"/>
                <w:color w:val="333333"/>
                <w:sz w:val="24"/>
                <w:szCs w:val="24"/>
              </w:rPr>
            </w:pPr>
          </w:p>
        </w:tc>
      </w:tr>
      <w:tr w:rsidR="009C2E53" w:rsidRPr="00623518" w:rsidTr="005853ED">
        <w:tc>
          <w:tcPr>
            <w:tcW w:w="10335" w:type="dxa"/>
            <w:gridSpan w:val="3"/>
          </w:tcPr>
          <w:p w:rsidR="009C2E53" w:rsidRPr="00623518" w:rsidRDefault="009C2E53" w:rsidP="006F0D59">
            <w:pPr>
              <w:spacing w:line="360" w:lineRule="auto"/>
              <w:jc w:val="both"/>
              <w:rPr>
                <w:rFonts w:ascii="Arial" w:hAnsi="Arial" w:cs="Arial"/>
                <w:b/>
                <w:sz w:val="24"/>
                <w:szCs w:val="24"/>
              </w:rPr>
            </w:pPr>
            <w:r w:rsidRPr="00623518">
              <w:rPr>
                <w:rFonts w:ascii="Arial" w:hAnsi="Arial" w:cs="Arial"/>
                <w:b/>
                <w:sz w:val="24"/>
                <w:szCs w:val="24"/>
              </w:rPr>
              <w:t>Reasons for orders:</w:t>
            </w:r>
          </w:p>
        </w:tc>
      </w:tr>
      <w:tr w:rsidR="009C2E53" w:rsidRPr="00623518" w:rsidTr="005853ED">
        <w:tc>
          <w:tcPr>
            <w:tcW w:w="10335" w:type="dxa"/>
            <w:gridSpan w:val="3"/>
          </w:tcPr>
          <w:p w:rsidR="00790237" w:rsidRPr="00623518" w:rsidRDefault="00790237" w:rsidP="006128D6">
            <w:pPr>
              <w:spacing w:line="360" w:lineRule="auto"/>
              <w:jc w:val="both"/>
              <w:rPr>
                <w:rFonts w:ascii="Arial" w:hAnsi="Arial" w:cs="Arial"/>
                <w:sz w:val="24"/>
                <w:szCs w:val="24"/>
              </w:rPr>
            </w:pPr>
          </w:p>
          <w:p w:rsidR="00790237" w:rsidRPr="00623518" w:rsidRDefault="00790237" w:rsidP="006128D6">
            <w:pPr>
              <w:spacing w:line="360" w:lineRule="auto"/>
              <w:jc w:val="both"/>
              <w:rPr>
                <w:rFonts w:ascii="Arial" w:hAnsi="Arial" w:cs="Arial"/>
                <w:sz w:val="24"/>
                <w:szCs w:val="24"/>
              </w:rPr>
            </w:pPr>
            <w:r w:rsidRPr="00623518">
              <w:rPr>
                <w:rFonts w:ascii="Arial" w:hAnsi="Arial" w:cs="Arial"/>
                <w:sz w:val="24"/>
                <w:szCs w:val="24"/>
              </w:rPr>
              <w:t>PRINSLOO, J</w:t>
            </w:r>
          </w:p>
          <w:p w:rsidR="00E866FE" w:rsidRPr="00623518" w:rsidRDefault="00E866FE" w:rsidP="006128D6">
            <w:pPr>
              <w:spacing w:line="360" w:lineRule="auto"/>
              <w:jc w:val="both"/>
              <w:rPr>
                <w:rFonts w:ascii="Arial" w:hAnsi="Arial" w:cs="Arial"/>
                <w:sz w:val="24"/>
                <w:szCs w:val="24"/>
              </w:rPr>
            </w:pPr>
          </w:p>
          <w:p w:rsidR="004A57AA" w:rsidRPr="00623518" w:rsidRDefault="00B83235" w:rsidP="00B83235">
            <w:pPr>
              <w:tabs>
                <w:tab w:val="left" w:pos="927"/>
              </w:tabs>
              <w:spacing w:line="360" w:lineRule="auto"/>
              <w:jc w:val="both"/>
              <w:rPr>
                <w:rFonts w:ascii="Arial" w:hAnsi="Arial" w:cs="Arial"/>
                <w:sz w:val="24"/>
                <w:szCs w:val="24"/>
                <w:lang w:val="en-US"/>
              </w:rPr>
            </w:pPr>
            <w:r w:rsidRPr="00623518">
              <w:rPr>
                <w:rFonts w:ascii="Arial" w:hAnsi="Arial" w:cs="Arial"/>
                <w:sz w:val="24"/>
                <w:szCs w:val="24"/>
              </w:rPr>
              <w:t>[1]</w:t>
            </w:r>
            <w:r w:rsidRPr="00623518">
              <w:rPr>
                <w:rFonts w:ascii="Arial" w:hAnsi="Arial" w:cs="Arial"/>
                <w:sz w:val="24"/>
                <w:szCs w:val="24"/>
              </w:rPr>
              <w:tab/>
            </w:r>
            <w:r w:rsidRPr="00623518">
              <w:rPr>
                <w:rFonts w:ascii="Arial" w:hAnsi="Arial" w:cs="Arial"/>
                <w:sz w:val="24"/>
                <w:szCs w:val="24"/>
                <w:lang w:val="en-US"/>
              </w:rPr>
              <w:t>Serving before me is an application by the</w:t>
            </w:r>
            <w:r w:rsidR="00FF4BA7" w:rsidRPr="00623518">
              <w:rPr>
                <w:rFonts w:ascii="Arial" w:hAnsi="Arial" w:cs="Arial"/>
                <w:sz w:val="24"/>
                <w:szCs w:val="24"/>
                <w:lang w:val="en-US"/>
              </w:rPr>
              <w:t xml:space="preserve"> applicant</w:t>
            </w:r>
            <w:r w:rsidR="00075844" w:rsidRPr="00623518">
              <w:rPr>
                <w:rFonts w:ascii="Arial" w:hAnsi="Arial" w:cs="Arial"/>
                <w:sz w:val="24"/>
                <w:szCs w:val="24"/>
                <w:lang w:val="en-US"/>
              </w:rPr>
              <w:t xml:space="preserve">, who is the third defendant in the main action, in which he raised a special plea of res judicata against the </w:t>
            </w:r>
            <w:r w:rsidR="004A57AA" w:rsidRPr="00623518">
              <w:rPr>
                <w:rFonts w:ascii="Arial" w:hAnsi="Arial" w:cs="Arial"/>
                <w:sz w:val="24"/>
                <w:szCs w:val="24"/>
                <w:lang w:val="en-US"/>
              </w:rPr>
              <w:t>respondent who is the plaintiff</w:t>
            </w:r>
            <w:r w:rsidRPr="00623518">
              <w:rPr>
                <w:rFonts w:ascii="Arial" w:hAnsi="Arial" w:cs="Arial"/>
                <w:sz w:val="24"/>
                <w:szCs w:val="24"/>
                <w:lang w:val="en-US"/>
              </w:rPr>
              <w:t xml:space="preserve"> </w:t>
            </w:r>
            <w:r w:rsidR="004A57AA" w:rsidRPr="00623518">
              <w:rPr>
                <w:rFonts w:ascii="Arial" w:hAnsi="Arial" w:cs="Arial"/>
                <w:sz w:val="24"/>
                <w:szCs w:val="24"/>
                <w:lang w:val="en-US"/>
              </w:rPr>
              <w:t>in the main action. (In this ruling, I will refer to the parties as they are cited in the main action.)</w:t>
            </w:r>
          </w:p>
          <w:p w:rsidR="004A57AA" w:rsidRPr="00623518" w:rsidRDefault="004A57AA" w:rsidP="00B83235">
            <w:pPr>
              <w:tabs>
                <w:tab w:val="left" w:pos="927"/>
              </w:tabs>
              <w:spacing w:line="360" w:lineRule="auto"/>
              <w:jc w:val="both"/>
              <w:rPr>
                <w:rFonts w:ascii="Arial" w:hAnsi="Arial" w:cs="Arial"/>
                <w:sz w:val="24"/>
                <w:szCs w:val="24"/>
                <w:lang w:val="en-US"/>
              </w:rPr>
            </w:pPr>
          </w:p>
          <w:p w:rsidR="00B83235" w:rsidRPr="00623518" w:rsidRDefault="00B83235" w:rsidP="00B83235">
            <w:pPr>
              <w:tabs>
                <w:tab w:val="left" w:pos="927"/>
              </w:tabs>
              <w:spacing w:line="360" w:lineRule="auto"/>
              <w:jc w:val="both"/>
              <w:rPr>
                <w:rFonts w:ascii="Arial" w:hAnsi="Arial" w:cs="Arial"/>
                <w:sz w:val="24"/>
                <w:szCs w:val="24"/>
                <w:u w:val="single"/>
              </w:rPr>
            </w:pPr>
            <w:r w:rsidRPr="00623518">
              <w:rPr>
                <w:rFonts w:ascii="Arial" w:hAnsi="Arial" w:cs="Arial"/>
                <w:sz w:val="24"/>
                <w:szCs w:val="24"/>
                <w:u w:val="single"/>
              </w:rPr>
              <w:t xml:space="preserve">Brief background </w:t>
            </w:r>
          </w:p>
          <w:p w:rsidR="005039CC" w:rsidRPr="00623518" w:rsidRDefault="005039CC" w:rsidP="00B83235">
            <w:pPr>
              <w:tabs>
                <w:tab w:val="left" w:pos="927"/>
              </w:tabs>
              <w:spacing w:line="360" w:lineRule="auto"/>
              <w:jc w:val="both"/>
              <w:rPr>
                <w:rFonts w:ascii="Arial" w:hAnsi="Arial" w:cs="Arial"/>
                <w:sz w:val="24"/>
                <w:szCs w:val="24"/>
                <w:u w:val="single"/>
              </w:rPr>
            </w:pPr>
          </w:p>
          <w:p w:rsidR="004A57AA" w:rsidRPr="00623518" w:rsidRDefault="00B83235" w:rsidP="00B83235">
            <w:pPr>
              <w:spacing w:line="360" w:lineRule="auto"/>
              <w:jc w:val="both"/>
              <w:rPr>
                <w:rFonts w:ascii="Arial" w:hAnsi="Arial" w:cs="Arial"/>
                <w:sz w:val="24"/>
                <w:szCs w:val="24"/>
              </w:rPr>
            </w:pPr>
            <w:r w:rsidRPr="00623518">
              <w:rPr>
                <w:rFonts w:ascii="Arial" w:hAnsi="Arial" w:cs="Arial"/>
                <w:sz w:val="24"/>
                <w:szCs w:val="24"/>
              </w:rPr>
              <w:t>[2]</w:t>
            </w:r>
            <w:r w:rsidRPr="00623518">
              <w:rPr>
                <w:rFonts w:ascii="Arial" w:hAnsi="Arial" w:cs="Arial"/>
                <w:sz w:val="24"/>
                <w:szCs w:val="24"/>
              </w:rPr>
              <w:tab/>
            </w:r>
            <w:r w:rsidR="004A57AA" w:rsidRPr="00623518">
              <w:rPr>
                <w:rFonts w:ascii="Arial" w:hAnsi="Arial" w:cs="Arial"/>
                <w:sz w:val="24"/>
                <w:szCs w:val="24"/>
              </w:rPr>
              <w:t xml:space="preserve">Sometime in July 2018, the plaintiff instituted action against the first, second and third defendant under case number: HC-MD-CIV-CON-2018/02850 in which the plaintiff claimed </w:t>
            </w:r>
            <w:r w:rsidR="00C52D1B" w:rsidRPr="00623518">
              <w:rPr>
                <w:rFonts w:ascii="Arial" w:hAnsi="Arial" w:cs="Arial"/>
                <w:sz w:val="24"/>
                <w:szCs w:val="24"/>
              </w:rPr>
              <w:t xml:space="preserve">for the confirmation of the deed of sale and the contract of transfer in respect of Erf 1582, Extension 3, Rundu entered into by the first and second defendants on the one hand and the plaintiff on the other, the cancellation of the Deed of Transfer number 321/20120 and ordering that the </w:t>
            </w:r>
            <w:r w:rsidR="00C52D1B" w:rsidRPr="00623518">
              <w:rPr>
                <w:rFonts w:ascii="Arial" w:hAnsi="Arial" w:cs="Arial"/>
                <w:sz w:val="24"/>
                <w:szCs w:val="24"/>
              </w:rPr>
              <w:lastRenderedPageBreak/>
              <w:t xml:space="preserve">abovementioned property be transferred into the his name as well as various payments against the defendants, which is the very same relief as sought for as in the main action of this matter. </w:t>
            </w:r>
            <w:r w:rsidR="004A57AA" w:rsidRPr="00623518">
              <w:rPr>
                <w:rFonts w:ascii="Arial" w:hAnsi="Arial" w:cs="Arial"/>
                <w:sz w:val="24"/>
                <w:szCs w:val="24"/>
              </w:rPr>
              <w:t xml:space="preserve"> </w:t>
            </w:r>
          </w:p>
          <w:p w:rsidR="00E866FE" w:rsidRPr="00623518" w:rsidRDefault="00E866FE" w:rsidP="00B83235">
            <w:pPr>
              <w:spacing w:line="360" w:lineRule="auto"/>
              <w:jc w:val="both"/>
              <w:rPr>
                <w:rFonts w:ascii="Arial" w:hAnsi="Arial" w:cs="Arial"/>
                <w:sz w:val="24"/>
                <w:szCs w:val="24"/>
              </w:rPr>
            </w:pPr>
          </w:p>
          <w:p w:rsidR="00C52D1B" w:rsidRPr="00623518" w:rsidRDefault="00B83235" w:rsidP="00B83235">
            <w:pPr>
              <w:spacing w:line="360" w:lineRule="auto"/>
              <w:jc w:val="both"/>
              <w:rPr>
                <w:rFonts w:ascii="Arial" w:hAnsi="Arial" w:cs="Arial"/>
                <w:sz w:val="24"/>
                <w:szCs w:val="24"/>
              </w:rPr>
            </w:pPr>
            <w:r w:rsidRPr="00623518">
              <w:rPr>
                <w:rFonts w:ascii="Arial" w:hAnsi="Arial" w:cs="Arial"/>
                <w:sz w:val="24"/>
                <w:szCs w:val="24"/>
              </w:rPr>
              <w:t>[3]</w:t>
            </w:r>
            <w:r w:rsidRPr="00623518">
              <w:rPr>
                <w:rFonts w:ascii="Arial" w:hAnsi="Arial" w:cs="Arial"/>
                <w:sz w:val="24"/>
                <w:szCs w:val="24"/>
              </w:rPr>
              <w:tab/>
            </w:r>
            <w:r w:rsidR="00C52D1B" w:rsidRPr="00623518">
              <w:rPr>
                <w:rFonts w:ascii="Arial" w:hAnsi="Arial" w:cs="Arial"/>
                <w:sz w:val="24"/>
                <w:szCs w:val="24"/>
              </w:rPr>
              <w:t>The first and third defendant entered an appearance to defend the action and subsequently demanded security of cost in the amount of N$100,000 each against the plaintiff in terms of Rule 59. The plaintiff unsuccessfully opposed the application for security for costs</w:t>
            </w:r>
            <w:r w:rsidR="00492B9B" w:rsidRPr="00623518">
              <w:rPr>
                <w:rFonts w:ascii="Arial" w:hAnsi="Arial" w:cs="Arial"/>
                <w:sz w:val="24"/>
                <w:szCs w:val="24"/>
              </w:rPr>
              <w:t xml:space="preserve"> on which this Court ordered the following:</w:t>
            </w:r>
          </w:p>
          <w:p w:rsidR="00492B9B" w:rsidRPr="00623518" w:rsidRDefault="00492B9B" w:rsidP="00B83235">
            <w:pPr>
              <w:spacing w:line="360" w:lineRule="auto"/>
              <w:jc w:val="both"/>
              <w:rPr>
                <w:rFonts w:ascii="Arial" w:hAnsi="Arial" w:cs="Arial"/>
                <w:sz w:val="24"/>
                <w:szCs w:val="24"/>
              </w:rPr>
            </w:pPr>
          </w:p>
          <w:p w:rsidR="00492B9B" w:rsidRPr="00623518" w:rsidRDefault="00492B9B" w:rsidP="00B83235">
            <w:pPr>
              <w:spacing w:line="360" w:lineRule="auto"/>
              <w:jc w:val="both"/>
              <w:rPr>
                <w:rFonts w:ascii="Arial" w:hAnsi="Arial" w:cs="Arial"/>
              </w:rPr>
            </w:pPr>
            <w:r w:rsidRPr="00623518">
              <w:rPr>
                <w:rFonts w:ascii="Arial" w:hAnsi="Arial" w:cs="Arial"/>
                <w:sz w:val="24"/>
                <w:szCs w:val="24"/>
              </w:rPr>
              <w:t xml:space="preserve">         ‘</w:t>
            </w:r>
            <w:r w:rsidRPr="00623518">
              <w:rPr>
                <w:rFonts w:ascii="Arial" w:hAnsi="Arial" w:cs="Arial"/>
              </w:rPr>
              <w:t>1. Plaintiff is ordered to furnish security for costs of the third defendant in the amount of N$100,000.00 on or before 08/03/2019.</w:t>
            </w:r>
          </w:p>
          <w:p w:rsidR="00492B9B" w:rsidRPr="00623518" w:rsidRDefault="00492B9B" w:rsidP="00B83235">
            <w:pPr>
              <w:spacing w:line="360" w:lineRule="auto"/>
              <w:jc w:val="both"/>
              <w:rPr>
                <w:rFonts w:ascii="Arial" w:hAnsi="Arial" w:cs="Arial"/>
              </w:rPr>
            </w:pPr>
            <w:r w:rsidRPr="00623518">
              <w:rPr>
                <w:rFonts w:ascii="Arial" w:hAnsi="Arial" w:cs="Arial"/>
              </w:rPr>
              <w:t>2. The proceedings pending before this Court are stayed until the aforesaid security has been furnished by the plaintiff.</w:t>
            </w:r>
          </w:p>
          <w:p w:rsidR="00492B9B" w:rsidRPr="00623518" w:rsidRDefault="00492B9B" w:rsidP="00B83235">
            <w:pPr>
              <w:spacing w:line="360" w:lineRule="auto"/>
              <w:jc w:val="both"/>
              <w:rPr>
                <w:rFonts w:ascii="Arial" w:hAnsi="Arial" w:cs="Arial"/>
              </w:rPr>
            </w:pPr>
            <w:r w:rsidRPr="00623518">
              <w:rPr>
                <w:rFonts w:ascii="Arial" w:hAnsi="Arial" w:cs="Arial"/>
              </w:rPr>
              <w:t xml:space="preserve">3. The plaintiff is ordered to pay the third defendants costs of this application. </w:t>
            </w:r>
          </w:p>
          <w:p w:rsidR="00492B9B" w:rsidRPr="00623518" w:rsidRDefault="00492B9B" w:rsidP="00B83235">
            <w:pPr>
              <w:spacing w:line="360" w:lineRule="auto"/>
              <w:jc w:val="both"/>
              <w:rPr>
                <w:rFonts w:ascii="Arial" w:hAnsi="Arial" w:cs="Arial"/>
                <w:sz w:val="24"/>
                <w:szCs w:val="24"/>
              </w:rPr>
            </w:pPr>
            <w:r w:rsidRPr="00623518">
              <w:rPr>
                <w:rFonts w:ascii="Arial" w:hAnsi="Arial" w:cs="Arial"/>
              </w:rPr>
              <w:t>4. The case is postponed to 11/03/2019 at 14:00 for Status hearing (Reason: Absence of Legal Practitioners for plaintiff and first defendant).</w:t>
            </w:r>
            <w:r w:rsidRPr="00623518">
              <w:rPr>
                <w:rFonts w:ascii="Arial" w:hAnsi="Arial" w:cs="Arial"/>
                <w:sz w:val="24"/>
                <w:szCs w:val="24"/>
              </w:rPr>
              <w:t>’</w:t>
            </w:r>
            <w:r w:rsidR="00DF65E9" w:rsidRPr="00623518">
              <w:rPr>
                <w:rStyle w:val="FootnoteReference"/>
                <w:rFonts w:ascii="Arial" w:hAnsi="Arial" w:cs="Arial"/>
                <w:sz w:val="24"/>
                <w:szCs w:val="24"/>
              </w:rPr>
              <w:footnoteReference w:id="1"/>
            </w:r>
          </w:p>
          <w:p w:rsidR="00E866FE" w:rsidRPr="00623518" w:rsidRDefault="00E866FE" w:rsidP="00B83235">
            <w:pPr>
              <w:spacing w:line="360" w:lineRule="auto"/>
              <w:jc w:val="both"/>
              <w:rPr>
                <w:rFonts w:ascii="Arial" w:hAnsi="Arial" w:cs="Arial"/>
                <w:sz w:val="24"/>
                <w:szCs w:val="24"/>
              </w:rPr>
            </w:pPr>
          </w:p>
          <w:p w:rsidR="00B3518F" w:rsidRPr="00623518" w:rsidRDefault="00B83235" w:rsidP="00B83235">
            <w:pPr>
              <w:spacing w:line="360" w:lineRule="auto"/>
              <w:jc w:val="both"/>
              <w:rPr>
                <w:rFonts w:ascii="Arial" w:hAnsi="Arial" w:cs="Arial"/>
                <w:sz w:val="24"/>
                <w:szCs w:val="24"/>
              </w:rPr>
            </w:pPr>
            <w:r w:rsidRPr="00623518">
              <w:rPr>
                <w:rFonts w:ascii="Arial" w:hAnsi="Arial" w:cs="Arial"/>
                <w:sz w:val="24"/>
                <w:szCs w:val="24"/>
              </w:rPr>
              <w:t>[4]</w:t>
            </w:r>
            <w:r w:rsidRPr="00623518">
              <w:rPr>
                <w:rFonts w:ascii="Arial" w:hAnsi="Arial" w:cs="Arial"/>
                <w:sz w:val="24"/>
                <w:szCs w:val="24"/>
              </w:rPr>
              <w:tab/>
            </w:r>
            <w:r w:rsidR="00B3518F" w:rsidRPr="00623518">
              <w:rPr>
                <w:rFonts w:ascii="Arial" w:hAnsi="Arial" w:cs="Arial"/>
                <w:sz w:val="24"/>
                <w:szCs w:val="24"/>
              </w:rPr>
              <w:t xml:space="preserve">By </w:t>
            </w:r>
            <w:r w:rsidR="00492B9B" w:rsidRPr="00623518">
              <w:rPr>
                <w:rFonts w:ascii="Arial" w:hAnsi="Arial" w:cs="Arial"/>
                <w:sz w:val="24"/>
                <w:szCs w:val="24"/>
              </w:rPr>
              <w:t xml:space="preserve">11 March 2019, plaintiff </w:t>
            </w:r>
            <w:r w:rsidR="00B3518F" w:rsidRPr="00623518">
              <w:rPr>
                <w:rFonts w:ascii="Arial" w:hAnsi="Arial" w:cs="Arial"/>
                <w:sz w:val="24"/>
                <w:szCs w:val="24"/>
              </w:rPr>
              <w:t>failed to provide the security for costs and the following order was made:</w:t>
            </w:r>
          </w:p>
          <w:p w:rsidR="00B3518F" w:rsidRPr="00623518" w:rsidRDefault="00B3518F" w:rsidP="00B83235">
            <w:pPr>
              <w:spacing w:line="360" w:lineRule="auto"/>
              <w:jc w:val="both"/>
              <w:rPr>
                <w:rFonts w:ascii="Arial" w:hAnsi="Arial" w:cs="Arial"/>
                <w:sz w:val="24"/>
                <w:szCs w:val="24"/>
              </w:rPr>
            </w:pPr>
          </w:p>
          <w:p w:rsidR="00492B9B" w:rsidRPr="00623518" w:rsidRDefault="00B3518F" w:rsidP="00B83235">
            <w:pPr>
              <w:spacing w:line="360" w:lineRule="auto"/>
              <w:jc w:val="both"/>
              <w:rPr>
                <w:rFonts w:ascii="Arial" w:hAnsi="Arial" w:cs="Arial"/>
              </w:rPr>
            </w:pPr>
            <w:r w:rsidRPr="00623518">
              <w:rPr>
                <w:rFonts w:ascii="Arial" w:hAnsi="Arial" w:cs="Arial"/>
                <w:sz w:val="24"/>
                <w:szCs w:val="24"/>
              </w:rPr>
              <w:t xml:space="preserve">            ‘</w:t>
            </w:r>
            <w:r w:rsidRPr="00623518">
              <w:rPr>
                <w:rFonts w:ascii="Arial" w:hAnsi="Arial" w:cs="Arial"/>
              </w:rPr>
              <w:t>1. Matter is removed from the roll: Case finalized, action dismissed in terms of Rule 59 (5).</w:t>
            </w:r>
          </w:p>
          <w:p w:rsidR="00B3518F" w:rsidRPr="00623518" w:rsidRDefault="00B3518F" w:rsidP="00B3518F">
            <w:pPr>
              <w:spacing w:line="360" w:lineRule="auto"/>
              <w:jc w:val="both"/>
              <w:rPr>
                <w:rFonts w:ascii="Arial" w:hAnsi="Arial" w:cs="Arial"/>
                <w:sz w:val="24"/>
                <w:szCs w:val="24"/>
              </w:rPr>
            </w:pPr>
            <w:r w:rsidRPr="00623518">
              <w:rPr>
                <w:rFonts w:ascii="Arial" w:hAnsi="Arial" w:cs="Arial"/>
              </w:rPr>
              <w:t>2. Plaintiff shall pay the costs of first and third defendants</w:t>
            </w:r>
            <w:r w:rsidRPr="00623518">
              <w:rPr>
                <w:rFonts w:ascii="Arial" w:hAnsi="Arial" w:cs="Arial"/>
                <w:sz w:val="24"/>
                <w:szCs w:val="24"/>
              </w:rPr>
              <w:t>.’</w:t>
            </w:r>
            <w:r w:rsidR="00DF65E9" w:rsidRPr="00623518">
              <w:rPr>
                <w:rStyle w:val="FootnoteReference"/>
                <w:rFonts w:ascii="Arial" w:hAnsi="Arial" w:cs="Arial"/>
                <w:sz w:val="24"/>
                <w:szCs w:val="24"/>
              </w:rPr>
              <w:footnoteReference w:id="2"/>
            </w:r>
          </w:p>
          <w:p w:rsidR="00B3518F" w:rsidRPr="00623518" w:rsidRDefault="00B3518F" w:rsidP="00B3518F">
            <w:pPr>
              <w:spacing w:line="360" w:lineRule="auto"/>
              <w:jc w:val="both"/>
              <w:rPr>
                <w:rFonts w:ascii="Arial" w:hAnsi="Arial" w:cs="Arial"/>
                <w:sz w:val="24"/>
                <w:szCs w:val="24"/>
              </w:rPr>
            </w:pPr>
          </w:p>
          <w:p w:rsidR="00B3518F" w:rsidRPr="00623518" w:rsidRDefault="00623518" w:rsidP="00B3518F">
            <w:pPr>
              <w:spacing w:line="360" w:lineRule="auto"/>
              <w:jc w:val="both"/>
              <w:rPr>
                <w:rFonts w:ascii="Arial" w:hAnsi="Arial" w:cs="Arial"/>
                <w:sz w:val="24"/>
                <w:szCs w:val="24"/>
              </w:rPr>
            </w:pPr>
            <w:r>
              <w:rPr>
                <w:rFonts w:ascii="Arial" w:hAnsi="Arial" w:cs="Arial"/>
                <w:sz w:val="24"/>
                <w:szCs w:val="24"/>
              </w:rPr>
              <w:t xml:space="preserve">[5]      </w:t>
            </w:r>
            <w:r w:rsidR="00B3518F" w:rsidRPr="00623518">
              <w:rPr>
                <w:rFonts w:ascii="Arial" w:hAnsi="Arial" w:cs="Arial"/>
                <w:sz w:val="24"/>
                <w:szCs w:val="24"/>
              </w:rPr>
              <w:t>On 25 March 2020, plaintiff caused summons to be issued under case number: HC-MD-CIV-ACT-CON-2020/01309 (being the present matter)</w:t>
            </w:r>
            <w:r w:rsidR="00C25CDA" w:rsidRPr="00623518">
              <w:rPr>
                <w:rFonts w:ascii="Arial" w:hAnsi="Arial" w:cs="Arial"/>
                <w:sz w:val="24"/>
                <w:szCs w:val="24"/>
              </w:rPr>
              <w:t xml:space="preserve"> </w:t>
            </w:r>
            <w:r w:rsidR="00B3518F" w:rsidRPr="00623518">
              <w:rPr>
                <w:rFonts w:ascii="Arial" w:hAnsi="Arial" w:cs="Arial"/>
                <w:sz w:val="24"/>
                <w:szCs w:val="24"/>
              </w:rPr>
              <w:t xml:space="preserve">based on the same claim (founded </w:t>
            </w:r>
            <w:r w:rsidR="00C25CDA" w:rsidRPr="00623518">
              <w:rPr>
                <w:rFonts w:ascii="Arial" w:hAnsi="Arial" w:cs="Arial"/>
                <w:sz w:val="24"/>
                <w:szCs w:val="24"/>
              </w:rPr>
              <w:t>on the same facts and grounds) between the same parties. In defending this action, the third defendant raised t</w:t>
            </w:r>
            <w:r w:rsidR="005A6850" w:rsidRPr="00623518">
              <w:rPr>
                <w:rFonts w:ascii="Arial" w:hAnsi="Arial" w:cs="Arial"/>
                <w:sz w:val="24"/>
                <w:szCs w:val="24"/>
              </w:rPr>
              <w:t>he special plea of res judicata and is seeking for security of costs</w:t>
            </w:r>
            <w:r w:rsidR="00C25CDA" w:rsidRPr="00623518">
              <w:rPr>
                <w:rFonts w:ascii="Arial" w:hAnsi="Arial" w:cs="Arial"/>
                <w:sz w:val="24"/>
                <w:szCs w:val="24"/>
              </w:rPr>
              <w:t xml:space="preserve"> </w:t>
            </w:r>
            <w:r w:rsidR="005A6850" w:rsidRPr="00623518">
              <w:rPr>
                <w:rFonts w:ascii="Arial" w:hAnsi="Arial" w:cs="Arial"/>
                <w:sz w:val="24"/>
                <w:szCs w:val="24"/>
              </w:rPr>
              <w:t xml:space="preserve">in the amount of N$150,000 for the present matter, </w:t>
            </w:r>
            <w:r w:rsidR="00C25CDA" w:rsidRPr="00623518">
              <w:rPr>
                <w:rFonts w:ascii="Arial" w:hAnsi="Arial" w:cs="Arial"/>
                <w:sz w:val="24"/>
                <w:szCs w:val="24"/>
              </w:rPr>
              <w:t xml:space="preserve">which the plaintiff opposed.  </w:t>
            </w:r>
          </w:p>
          <w:p w:rsidR="005039CC" w:rsidRDefault="005039CC" w:rsidP="00B83235">
            <w:pPr>
              <w:spacing w:line="360" w:lineRule="auto"/>
              <w:jc w:val="both"/>
              <w:rPr>
                <w:rFonts w:ascii="Arial" w:hAnsi="Arial" w:cs="Arial"/>
                <w:sz w:val="24"/>
                <w:szCs w:val="24"/>
              </w:rPr>
            </w:pPr>
          </w:p>
          <w:p w:rsidR="00623518" w:rsidRPr="00623518" w:rsidRDefault="00623518" w:rsidP="00B83235">
            <w:pPr>
              <w:spacing w:line="360" w:lineRule="auto"/>
              <w:jc w:val="both"/>
              <w:rPr>
                <w:rFonts w:ascii="Arial" w:hAnsi="Arial" w:cs="Arial"/>
                <w:sz w:val="24"/>
                <w:szCs w:val="24"/>
              </w:rPr>
            </w:pPr>
          </w:p>
          <w:p w:rsidR="00E866FE" w:rsidRPr="00623518" w:rsidRDefault="00C25CDA" w:rsidP="00B83235">
            <w:pPr>
              <w:spacing w:line="360" w:lineRule="auto"/>
              <w:jc w:val="both"/>
              <w:rPr>
                <w:rFonts w:ascii="Arial" w:hAnsi="Arial" w:cs="Arial"/>
                <w:sz w:val="24"/>
                <w:szCs w:val="24"/>
                <w:u w:val="single"/>
              </w:rPr>
            </w:pPr>
            <w:r w:rsidRPr="00623518">
              <w:rPr>
                <w:rFonts w:ascii="Arial" w:hAnsi="Arial" w:cs="Arial"/>
                <w:sz w:val="24"/>
                <w:szCs w:val="24"/>
                <w:u w:val="single"/>
              </w:rPr>
              <w:lastRenderedPageBreak/>
              <w:t>The plaintiffs case</w:t>
            </w:r>
          </w:p>
          <w:p w:rsidR="00C25CDA" w:rsidRPr="00623518" w:rsidRDefault="00C25CDA" w:rsidP="00B83235">
            <w:pPr>
              <w:spacing w:line="360" w:lineRule="auto"/>
              <w:jc w:val="both"/>
              <w:rPr>
                <w:rFonts w:ascii="Arial" w:hAnsi="Arial" w:cs="Arial"/>
                <w:sz w:val="24"/>
                <w:szCs w:val="24"/>
                <w:u w:val="single"/>
              </w:rPr>
            </w:pPr>
          </w:p>
          <w:p w:rsidR="00C25CDA" w:rsidRPr="00623518" w:rsidRDefault="00623518" w:rsidP="00B83235">
            <w:pPr>
              <w:spacing w:line="360" w:lineRule="auto"/>
              <w:jc w:val="both"/>
              <w:rPr>
                <w:rFonts w:ascii="Arial" w:hAnsi="Arial" w:cs="Arial"/>
                <w:sz w:val="24"/>
                <w:szCs w:val="24"/>
              </w:rPr>
            </w:pPr>
            <w:r>
              <w:rPr>
                <w:rFonts w:ascii="Arial" w:hAnsi="Arial" w:cs="Arial"/>
                <w:sz w:val="24"/>
                <w:szCs w:val="24"/>
              </w:rPr>
              <w:t>[6</w:t>
            </w:r>
            <w:r w:rsidR="00B83235" w:rsidRPr="00623518">
              <w:rPr>
                <w:rFonts w:ascii="Arial" w:hAnsi="Arial" w:cs="Arial"/>
                <w:sz w:val="24"/>
                <w:szCs w:val="24"/>
              </w:rPr>
              <w:t>]</w:t>
            </w:r>
            <w:r w:rsidR="00B83235" w:rsidRPr="00623518">
              <w:rPr>
                <w:rFonts w:ascii="Arial" w:hAnsi="Arial" w:cs="Arial"/>
                <w:sz w:val="24"/>
                <w:szCs w:val="24"/>
              </w:rPr>
              <w:tab/>
              <w:t xml:space="preserve"> </w:t>
            </w:r>
            <w:r w:rsidR="00C23A13" w:rsidRPr="00623518">
              <w:rPr>
                <w:rFonts w:ascii="Arial" w:hAnsi="Arial" w:cs="Arial"/>
                <w:sz w:val="24"/>
                <w:szCs w:val="24"/>
              </w:rPr>
              <w:t>The plaintiff avers that the application for security for costs under case number HC-MD-CIV-ACT-CON-2018/02850 was never hear</w:t>
            </w:r>
            <w:r w:rsidR="00FF4BA7" w:rsidRPr="00623518">
              <w:rPr>
                <w:rFonts w:ascii="Arial" w:hAnsi="Arial" w:cs="Arial"/>
                <w:sz w:val="24"/>
                <w:szCs w:val="24"/>
              </w:rPr>
              <w:t>d on merits but granted on the p</w:t>
            </w:r>
            <w:r w:rsidR="00C23A13" w:rsidRPr="00623518">
              <w:rPr>
                <w:rFonts w:ascii="Arial" w:hAnsi="Arial" w:cs="Arial"/>
                <w:sz w:val="24"/>
                <w:szCs w:val="24"/>
              </w:rPr>
              <w:t xml:space="preserve">laintiff’s non-compliance with the court order under judicial case management and as such court orders granted under judicial case management are still subject to be reconsidered by the Court at the instance of any of the party or at the instance of the court in terms of rule 18 (3). </w:t>
            </w:r>
          </w:p>
          <w:p w:rsidR="0049169F" w:rsidRPr="00623518" w:rsidRDefault="0049169F" w:rsidP="00B83235">
            <w:pPr>
              <w:spacing w:line="360" w:lineRule="auto"/>
              <w:jc w:val="both"/>
              <w:rPr>
                <w:rFonts w:ascii="Arial" w:hAnsi="Arial" w:cs="Arial"/>
                <w:sz w:val="24"/>
                <w:szCs w:val="24"/>
              </w:rPr>
            </w:pPr>
          </w:p>
          <w:p w:rsidR="00C23A13" w:rsidRPr="00623518" w:rsidRDefault="00B83235" w:rsidP="00B83235">
            <w:pPr>
              <w:spacing w:line="360" w:lineRule="auto"/>
              <w:jc w:val="both"/>
              <w:rPr>
                <w:rFonts w:ascii="Arial" w:hAnsi="Arial" w:cs="Arial"/>
                <w:sz w:val="24"/>
                <w:szCs w:val="24"/>
              </w:rPr>
            </w:pPr>
            <w:r w:rsidRPr="00623518">
              <w:rPr>
                <w:rFonts w:ascii="Arial" w:hAnsi="Arial" w:cs="Arial"/>
                <w:sz w:val="24"/>
                <w:szCs w:val="24"/>
              </w:rPr>
              <w:t>[</w:t>
            </w:r>
            <w:r w:rsidR="00623518">
              <w:rPr>
                <w:rFonts w:ascii="Arial" w:hAnsi="Arial" w:cs="Arial"/>
                <w:sz w:val="24"/>
                <w:szCs w:val="24"/>
              </w:rPr>
              <w:t>7</w:t>
            </w:r>
            <w:r w:rsidRPr="00623518">
              <w:rPr>
                <w:rFonts w:ascii="Arial" w:hAnsi="Arial" w:cs="Arial"/>
                <w:sz w:val="24"/>
                <w:szCs w:val="24"/>
              </w:rPr>
              <w:t>]</w:t>
            </w:r>
            <w:r w:rsidR="00623518">
              <w:rPr>
                <w:rFonts w:ascii="Arial" w:hAnsi="Arial" w:cs="Arial"/>
                <w:sz w:val="24"/>
                <w:szCs w:val="24"/>
              </w:rPr>
              <w:t xml:space="preserve">       </w:t>
            </w:r>
            <w:r w:rsidR="00C23A13" w:rsidRPr="00623518">
              <w:rPr>
                <w:rFonts w:ascii="Arial" w:hAnsi="Arial" w:cs="Arial"/>
                <w:sz w:val="24"/>
                <w:szCs w:val="24"/>
              </w:rPr>
              <w:t>Plaintiff submitted that in terms of rule 18 which deals with the power of the court under judicial case management it is clear that court order</w:t>
            </w:r>
            <w:r w:rsidR="00FF4BA7" w:rsidRPr="00623518">
              <w:rPr>
                <w:rFonts w:ascii="Arial" w:hAnsi="Arial" w:cs="Arial"/>
                <w:sz w:val="24"/>
                <w:szCs w:val="24"/>
              </w:rPr>
              <w:t>s</w:t>
            </w:r>
            <w:r w:rsidR="00C23A13" w:rsidRPr="00623518">
              <w:rPr>
                <w:rFonts w:ascii="Arial" w:hAnsi="Arial" w:cs="Arial"/>
                <w:sz w:val="24"/>
                <w:szCs w:val="24"/>
              </w:rPr>
              <w:t xml:space="preserve"> granted under judicial case management are only final if the court does not vary or revoke such order or any of the party does not call upon the court to exercise its powers to do so. Therefore judicial case management orders as the one in issue cannot be appealed. </w:t>
            </w:r>
            <w:r w:rsidR="005A6850" w:rsidRPr="00623518">
              <w:rPr>
                <w:rFonts w:ascii="Arial" w:hAnsi="Arial" w:cs="Arial"/>
                <w:sz w:val="24"/>
                <w:szCs w:val="24"/>
              </w:rPr>
              <w:t xml:space="preserve">Plaintiff further submitted that the request for security is aimed at delaying the finalization of this matter </w:t>
            </w:r>
            <w:r w:rsidR="005853ED" w:rsidRPr="00623518">
              <w:rPr>
                <w:rFonts w:ascii="Arial" w:hAnsi="Arial" w:cs="Arial"/>
                <w:sz w:val="24"/>
                <w:szCs w:val="24"/>
              </w:rPr>
              <w:t>and</w:t>
            </w:r>
            <w:r w:rsidR="005A6850" w:rsidRPr="00623518">
              <w:rPr>
                <w:rFonts w:ascii="Arial" w:hAnsi="Arial" w:cs="Arial"/>
                <w:sz w:val="24"/>
                <w:szCs w:val="24"/>
              </w:rPr>
              <w:t xml:space="preserve"> not advancing justice and amounts to abuse of the court process. </w:t>
            </w:r>
          </w:p>
          <w:p w:rsidR="005A6850" w:rsidRPr="00623518" w:rsidRDefault="005A6850" w:rsidP="00B83235">
            <w:pPr>
              <w:spacing w:line="360" w:lineRule="auto"/>
              <w:jc w:val="both"/>
              <w:rPr>
                <w:rFonts w:ascii="Arial" w:hAnsi="Arial" w:cs="Arial"/>
                <w:sz w:val="24"/>
                <w:szCs w:val="24"/>
              </w:rPr>
            </w:pPr>
          </w:p>
          <w:p w:rsidR="005A6850" w:rsidRPr="00623518" w:rsidRDefault="00623518" w:rsidP="00B83235">
            <w:pPr>
              <w:spacing w:line="360" w:lineRule="auto"/>
              <w:jc w:val="both"/>
              <w:rPr>
                <w:rFonts w:ascii="Arial" w:hAnsi="Arial" w:cs="Arial"/>
                <w:sz w:val="24"/>
                <w:szCs w:val="24"/>
              </w:rPr>
            </w:pPr>
            <w:r>
              <w:rPr>
                <w:rFonts w:ascii="Arial" w:hAnsi="Arial" w:cs="Arial"/>
                <w:sz w:val="24"/>
                <w:szCs w:val="24"/>
              </w:rPr>
              <w:t xml:space="preserve">[8]       </w:t>
            </w:r>
            <w:r w:rsidR="005A6850" w:rsidRPr="00623518">
              <w:rPr>
                <w:rFonts w:ascii="Arial" w:hAnsi="Arial" w:cs="Arial"/>
                <w:sz w:val="24"/>
                <w:szCs w:val="24"/>
              </w:rPr>
              <w:t xml:space="preserve">As such according to the plaintiff the order granted under case number HC-MD-CIV-ACT-CON-2018/02850 for security of costs </w:t>
            </w:r>
            <w:r w:rsidR="00FF4BA7" w:rsidRPr="00623518">
              <w:rPr>
                <w:rFonts w:ascii="Arial" w:hAnsi="Arial" w:cs="Arial"/>
                <w:sz w:val="24"/>
                <w:szCs w:val="24"/>
              </w:rPr>
              <w:t>in favour of the third</w:t>
            </w:r>
            <w:r w:rsidR="006B7528" w:rsidRPr="00623518">
              <w:rPr>
                <w:rFonts w:ascii="Arial" w:hAnsi="Arial" w:cs="Arial"/>
                <w:sz w:val="24"/>
                <w:szCs w:val="24"/>
              </w:rPr>
              <w:t xml:space="preserve"> defendant under judicial case management without ventilation of merits and demerits can be revoked, varied, corrected, altered and supplemented by the same court that granted it just as the case plan order and case management order in these proceedings was varied by the same court that issued orders. </w:t>
            </w:r>
          </w:p>
          <w:p w:rsidR="00C23A13" w:rsidRPr="00623518" w:rsidRDefault="00C23A13" w:rsidP="00B83235">
            <w:pPr>
              <w:spacing w:line="360" w:lineRule="auto"/>
              <w:jc w:val="both"/>
              <w:rPr>
                <w:rFonts w:ascii="Arial" w:hAnsi="Arial" w:cs="Arial"/>
                <w:sz w:val="24"/>
                <w:szCs w:val="24"/>
              </w:rPr>
            </w:pPr>
          </w:p>
          <w:p w:rsidR="00C23A13" w:rsidRPr="00623518" w:rsidRDefault="006B7528" w:rsidP="00B83235">
            <w:pPr>
              <w:spacing w:line="360" w:lineRule="auto"/>
              <w:jc w:val="both"/>
              <w:rPr>
                <w:rFonts w:ascii="Arial" w:hAnsi="Arial" w:cs="Arial"/>
                <w:sz w:val="24"/>
                <w:szCs w:val="24"/>
                <w:u w:val="single"/>
              </w:rPr>
            </w:pPr>
            <w:r w:rsidRPr="00623518">
              <w:rPr>
                <w:rFonts w:ascii="Arial" w:hAnsi="Arial" w:cs="Arial"/>
                <w:sz w:val="24"/>
                <w:szCs w:val="24"/>
                <w:u w:val="single"/>
              </w:rPr>
              <w:t>The third defendants case</w:t>
            </w:r>
          </w:p>
          <w:p w:rsidR="006B7528" w:rsidRPr="00623518" w:rsidRDefault="006B7528" w:rsidP="00B83235">
            <w:pPr>
              <w:spacing w:line="360" w:lineRule="auto"/>
              <w:jc w:val="both"/>
              <w:rPr>
                <w:rFonts w:ascii="Arial" w:hAnsi="Arial" w:cs="Arial"/>
                <w:sz w:val="24"/>
                <w:szCs w:val="24"/>
              </w:rPr>
            </w:pPr>
          </w:p>
          <w:p w:rsidR="00665781" w:rsidRPr="00623518" w:rsidRDefault="00623518" w:rsidP="00B83235">
            <w:pPr>
              <w:spacing w:line="360" w:lineRule="auto"/>
              <w:jc w:val="both"/>
              <w:rPr>
                <w:rFonts w:ascii="Arial" w:hAnsi="Arial" w:cs="Arial"/>
                <w:sz w:val="24"/>
                <w:szCs w:val="24"/>
              </w:rPr>
            </w:pPr>
            <w:r>
              <w:rPr>
                <w:rFonts w:ascii="Arial" w:hAnsi="Arial" w:cs="Arial"/>
                <w:sz w:val="24"/>
                <w:szCs w:val="24"/>
              </w:rPr>
              <w:t xml:space="preserve">[9]        </w:t>
            </w:r>
            <w:r w:rsidR="006B7528" w:rsidRPr="00623518">
              <w:rPr>
                <w:rFonts w:ascii="Arial" w:hAnsi="Arial" w:cs="Arial"/>
                <w:sz w:val="24"/>
                <w:szCs w:val="24"/>
              </w:rPr>
              <w:t xml:space="preserve">The third defendant avers that the court order under the case HC-MD-CIV-ACT-CON-2018/02850 is final and remains unsatisfied by the plaintiff. He submits that the dispute around the provision of security or not, and the amount </w:t>
            </w:r>
            <w:r w:rsidR="00665781" w:rsidRPr="00623518">
              <w:rPr>
                <w:rFonts w:ascii="Arial" w:hAnsi="Arial" w:cs="Arial"/>
                <w:sz w:val="24"/>
                <w:szCs w:val="24"/>
              </w:rPr>
              <w:t>thereof, is accordingly res judicata between the third defendant and plaintiff, alternatively,</w:t>
            </w:r>
            <w:r w:rsidR="00665781" w:rsidRPr="00623518">
              <w:rPr>
                <w:rFonts w:ascii="Arial" w:hAnsi="Arial" w:cs="Arial"/>
                <w:color w:val="0070C0"/>
                <w:sz w:val="24"/>
                <w:szCs w:val="24"/>
              </w:rPr>
              <w:t xml:space="preserve"> </w:t>
            </w:r>
            <w:r w:rsidR="00665781" w:rsidRPr="00623518">
              <w:rPr>
                <w:rFonts w:ascii="Arial" w:hAnsi="Arial" w:cs="Arial"/>
                <w:sz w:val="24"/>
                <w:szCs w:val="24"/>
              </w:rPr>
              <w:t>issue</w:t>
            </w:r>
            <w:r w:rsidR="00665781" w:rsidRPr="00623518">
              <w:rPr>
                <w:rFonts w:ascii="Arial" w:hAnsi="Arial" w:cs="Arial"/>
                <w:color w:val="0070C0"/>
                <w:sz w:val="24"/>
                <w:szCs w:val="24"/>
              </w:rPr>
              <w:t xml:space="preserve"> </w:t>
            </w:r>
            <w:r w:rsidR="00665781" w:rsidRPr="00623518">
              <w:rPr>
                <w:rFonts w:ascii="Arial" w:hAnsi="Arial" w:cs="Arial"/>
                <w:sz w:val="24"/>
                <w:szCs w:val="24"/>
              </w:rPr>
              <w:t xml:space="preserve">estoppel between third </w:t>
            </w:r>
            <w:r w:rsidR="006B7528" w:rsidRPr="00623518">
              <w:rPr>
                <w:rFonts w:ascii="Arial" w:hAnsi="Arial" w:cs="Arial"/>
                <w:sz w:val="24"/>
                <w:szCs w:val="24"/>
              </w:rPr>
              <w:t xml:space="preserve"> </w:t>
            </w:r>
            <w:r w:rsidR="00665781" w:rsidRPr="00623518">
              <w:rPr>
                <w:rFonts w:ascii="Arial" w:hAnsi="Arial" w:cs="Arial"/>
                <w:sz w:val="24"/>
                <w:szCs w:val="24"/>
              </w:rPr>
              <w:t xml:space="preserve">defendant and plaintiff, has been finally adjudicated by a court of competent jurisdiction. </w:t>
            </w:r>
          </w:p>
          <w:p w:rsidR="00310BE8" w:rsidRPr="00623518" w:rsidRDefault="00310BE8" w:rsidP="00B83235">
            <w:pPr>
              <w:spacing w:line="360" w:lineRule="auto"/>
              <w:jc w:val="both"/>
              <w:rPr>
                <w:rFonts w:ascii="Arial" w:hAnsi="Arial" w:cs="Arial"/>
                <w:sz w:val="24"/>
                <w:szCs w:val="24"/>
              </w:rPr>
            </w:pPr>
          </w:p>
          <w:p w:rsidR="00665781" w:rsidRPr="00623518" w:rsidRDefault="00623518" w:rsidP="00B83235">
            <w:pPr>
              <w:spacing w:line="360" w:lineRule="auto"/>
              <w:jc w:val="both"/>
              <w:rPr>
                <w:rFonts w:ascii="Arial" w:hAnsi="Arial" w:cs="Arial"/>
                <w:sz w:val="24"/>
                <w:szCs w:val="24"/>
              </w:rPr>
            </w:pPr>
            <w:r>
              <w:rPr>
                <w:rFonts w:ascii="Arial" w:hAnsi="Arial" w:cs="Arial"/>
                <w:sz w:val="24"/>
                <w:szCs w:val="24"/>
              </w:rPr>
              <w:lastRenderedPageBreak/>
              <w:t>[10</w:t>
            </w:r>
            <w:r w:rsidR="00665781" w:rsidRPr="00623518">
              <w:rPr>
                <w:rFonts w:ascii="Arial" w:hAnsi="Arial" w:cs="Arial"/>
                <w:sz w:val="24"/>
                <w:szCs w:val="24"/>
              </w:rPr>
              <w:t>]</w:t>
            </w:r>
            <w:r>
              <w:rPr>
                <w:rFonts w:ascii="Arial" w:hAnsi="Arial" w:cs="Arial"/>
                <w:sz w:val="24"/>
                <w:szCs w:val="24"/>
              </w:rPr>
              <w:t xml:space="preserve">      </w:t>
            </w:r>
            <w:r w:rsidR="00665781" w:rsidRPr="00623518">
              <w:rPr>
                <w:rFonts w:ascii="Arial" w:hAnsi="Arial" w:cs="Arial"/>
                <w:sz w:val="24"/>
                <w:szCs w:val="24"/>
              </w:rPr>
              <w:t xml:space="preserve">Third defendant submitted that the granting of an application for security if costs is appealable and, therefore, the order of security of costs granted by this Honourable Court was a final order in effect, at least in so far as the issue of liability of the plaintiff to provide security for costs was determined. </w:t>
            </w:r>
          </w:p>
          <w:p w:rsidR="00665781" w:rsidRPr="00623518" w:rsidRDefault="00665781" w:rsidP="00B83235">
            <w:pPr>
              <w:spacing w:line="360" w:lineRule="auto"/>
              <w:jc w:val="both"/>
              <w:rPr>
                <w:rFonts w:ascii="Arial" w:hAnsi="Arial" w:cs="Arial"/>
                <w:sz w:val="24"/>
                <w:szCs w:val="24"/>
              </w:rPr>
            </w:pPr>
          </w:p>
          <w:p w:rsidR="00665781" w:rsidRPr="00623518" w:rsidRDefault="00665781" w:rsidP="00B83235">
            <w:pPr>
              <w:spacing w:line="360" w:lineRule="auto"/>
              <w:jc w:val="both"/>
              <w:rPr>
                <w:rFonts w:ascii="Arial" w:hAnsi="Arial" w:cs="Arial"/>
                <w:sz w:val="24"/>
                <w:szCs w:val="24"/>
              </w:rPr>
            </w:pPr>
            <w:r w:rsidRPr="00623518">
              <w:rPr>
                <w:rFonts w:ascii="Arial" w:hAnsi="Arial" w:cs="Arial"/>
                <w:sz w:val="24"/>
                <w:szCs w:val="24"/>
              </w:rPr>
              <w:t>[1</w:t>
            </w:r>
            <w:r w:rsidR="00623518">
              <w:rPr>
                <w:rFonts w:ascii="Arial" w:hAnsi="Arial" w:cs="Arial"/>
                <w:sz w:val="24"/>
                <w:szCs w:val="24"/>
              </w:rPr>
              <w:t>1</w:t>
            </w:r>
            <w:r w:rsidR="00220C52" w:rsidRPr="00623518">
              <w:rPr>
                <w:rFonts w:ascii="Arial" w:hAnsi="Arial" w:cs="Arial"/>
                <w:sz w:val="24"/>
                <w:szCs w:val="24"/>
              </w:rPr>
              <w:t>]       Third defendant contends</w:t>
            </w:r>
            <w:r w:rsidRPr="00623518">
              <w:rPr>
                <w:rFonts w:ascii="Arial" w:hAnsi="Arial" w:cs="Arial"/>
                <w:sz w:val="24"/>
                <w:szCs w:val="24"/>
              </w:rPr>
              <w:t xml:space="preserve"> that it is common cause that the plaintiff never </w:t>
            </w:r>
            <w:r w:rsidR="005853ED" w:rsidRPr="00623518">
              <w:rPr>
                <w:rFonts w:ascii="Arial" w:hAnsi="Arial" w:cs="Arial"/>
                <w:sz w:val="24"/>
                <w:szCs w:val="24"/>
              </w:rPr>
              <w:t xml:space="preserve">paid </w:t>
            </w:r>
            <w:r w:rsidRPr="00623518">
              <w:rPr>
                <w:rFonts w:ascii="Arial" w:hAnsi="Arial" w:cs="Arial"/>
                <w:sz w:val="24"/>
                <w:szCs w:val="24"/>
              </w:rPr>
              <w:t xml:space="preserve">the security for costs as ordered and that the plaintiff simply instituted </w:t>
            </w:r>
            <w:r w:rsidR="005853ED" w:rsidRPr="00623518">
              <w:rPr>
                <w:rFonts w:ascii="Arial" w:hAnsi="Arial" w:cs="Arial"/>
                <w:sz w:val="24"/>
                <w:szCs w:val="24"/>
              </w:rPr>
              <w:t xml:space="preserve">a new </w:t>
            </w:r>
            <w:r w:rsidRPr="00623518">
              <w:rPr>
                <w:rFonts w:ascii="Arial" w:hAnsi="Arial" w:cs="Arial"/>
                <w:sz w:val="24"/>
                <w:szCs w:val="24"/>
              </w:rPr>
              <w:t>action again against the third defendant in an attempt to avoid the consequences of the final order made by this Honourable Court in respect of the issue of liability of the plaintiff to provide security for costs to the third defendant</w:t>
            </w:r>
            <w:r w:rsidR="005853ED" w:rsidRPr="00623518">
              <w:rPr>
                <w:rFonts w:ascii="Arial" w:hAnsi="Arial" w:cs="Arial"/>
                <w:sz w:val="24"/>
                <w:szCs w:val="24"/>
              </w:rPr>
              <w:t xml:space="preserve">. </w:t>
            </w:r>
            <w:r w:rsidR="004112EC" w:rsidRPr="00623518">
              <w:rPr>
                <w:rFonts w:ascii="Arial" w:hAnsi="Arial" w:cs="Arial"/>
                <w:sz w:val="24"/>
                <w:szCs w:val="24"/>
              </w:rPr>
              <w:t xml:space="preserve">By instituting a new action </w:t>
            </w:r>
            <w:r w:rsidRPr="00623518">
              <w:rPr>
                <w:rFonts w:ascii="Arial" w:hAnsi="Arial" w:cs="Arial"/>
                <w:sz w:val="24"/>
                <w:szCs w:val="24"/>
              </w:rPr>
              <w:t>the third defendant is call</w:t>
            </w:r>
            <w:r w:rsidR="00220C52" w:rsidRPr="00623518">
              <w:rPr>
                <w:rFonts w:ascii="Arial" w:hAnsi="Arial" w:cs="Arial"/>
                <w:sz w:val="24"/>
                <w:szCs w:val="24"/>
              </w:rPr>
              <w:t>ed upon to</w:t>
            </w:r>
            <w:r w:rsidRPr="00623518">
              <w:rPr>
                <w:rFonts w:ascii="Arial" w:hAnsi="Arial" w:cs="Arial"/>
                <w:sz w:val="24"/>
                <w:szCs w:val="24"/>
              </w:rPr>
              <w:t xml:space="preserve"> defend for a second time the same cause of action </w:t>
            </w:r>
            <w:r w:rsidR="006D4DDF" w:rsidRPr="00623518">
              <w:rPr>
                <w:rFonts w:ascii="Arial" w:hAnsi="Arial" w:cs="Arial"/>
                <w:sz w:val="24"/>
                <w:szCs w:val="24"/>
              </w:rPr>
              <w:t xml:space="preserve">instituted by the plaintiff and yet the issue surrounding the order for security for cots made in the previous court proceedings remain unsatisfied. </w:t>
            </w:r>
          </w:p>
          <w:p w:rsidR="006D4DDF" w:rsidRPr="00623518" w:rsidRDefault="006D4DDF" w:rsidP="00B83235">
            <w:pPr>
              <w:spacing w:line="360" w:lineRule="auto"/>
              <w:jc w:val="both"/>
              <w:rPr>
                <w:rFonts w:ascii="Arial" w:hAnsi="Arial" w:cs="Arial"/>
                <w:sz w:val="24"/>
                <w:szCs w:val="24"/>
              </w:rPr>
            </w:pPr>
          </w:p>
          <w:p w:rsidR="006D4DDF" w:rsidRPr="00623518" w:rsidRDefault="00623518" w:rsidP="00B83235">
            <w:pPr>
              <w:spacing w:line="360" w:lineRule="auto"/>
              <w:jc w:val="both"/>
              <w:rPr>
                <w:rFonts w:ascii="Arial" w:hAnsi="Arial" w:cs="Arial"/>
                <w:sz w:val="24"/>
                <w:szCs w:val="24"/>
              </w:rPr>
            </w:pPr>
            <w:r>
              <w:rPr>
                <w:rFonts w:ascii="Arial" w:hAnsi="Arial" w:cs="Arial"/>
                <w:sz w:val="24"/>
                <w:szCs w:val="24"/>
              </w:rPr>
              <w:t>[12</w:t>
            </w:r>
            <w:r w:rsidR="006D4DDF" w:rsidRPr="00623518">
              <w:rPr>
                <w:rFonts w:ascii="Arial" w:hAnsi="Arial" w:cs="Arial"/>
                <w:sz w:val="24"/>
                <w:szCs w:val="24"/>
              </w:rPr>
              <w:t>]        Third defendant continued to submit that the security for costs order made by this Honourable Court on 28 January 2019 had a final and definitive effect on the issue of security for costs vis-à-vis the plaintiff and the third defendant, even though it may be interlocutory in the wide sense, hence, the issue of security for costs is res judicata. He submits that the previous action instituted</w:t>
            </w:r>
            <w:r w:rsidR="004112EC" w:rsidRPr="00623518">
              <w:rPr>
                <w:rFonts w:ascii="Arial" w:hAnsi="Arial" w:cs="Arial"/>
                <w:sz w:val="24"/>
                <w:szCs w:val="24"/>
              </w:rPr>
              <w:t xml:space="preserve"> by the plaintiff was correctly </w:t>
            </w:r>
            <w:r w:rsidR="006D4DDF" w:rsidRPr="00623518">
              <w:rPr>
                <w:rFonts w:ascii="Arial" w:hAnsi="Arial" w:cs="Arial"/>
                <w:sz w:val="24"/>
                <w:szCs w:val="24"/>
              </w:rPr>
              <w:t>dismissed and subsequent to that the plaintiff has taken no steps to deal with the final orders made by this Court and more particularly in respect of the security for costs</w:t>
            </w:r>
            <w:r w:rsidR="00C85529" w:rsidRPr="00623518">
              <w:rPr>
                <w:rFonts w:ascii="Arial" w:hAnsi="Arial" w:cs="Arial"/>
                <w:sz w:val="24"/>
                <w:szCs w:val="24"/>
              </w:rPr>
              <w:t xml:space="preserve"> order</w:t>
            </w:r>
            <w:r w:rsidR="006D4DDF" w:rsidRPr="00623518">
              <w:rPr>
                <w:rFonts w:ascii="Arial" w:hAnsi="Arial" w:cs="Arial"/>
                <w:sz w:val="24"/>
                <w:szCs w:val="24"/>
              </w:rPr>
              <w:t xml:space="preserve"> issued in the previous action, by either launching an application for reinstating the action and/or appealing the said order for security for costs. </w:t>
            </w:r>
          </w:p>
          <w:p w:rsidR="006B7528" w:rsidRPr="00623518" w:rsidRDefault="006B7528" w:rsidP="00B83235">
            <w:pPr>
              <w:spacing w:line="360" w:lineRule="auto"/>
              <w:jc w:val="both"/>
              <w:rPr>
                <w:rFonts w:ascii="Arial" w:hAnsi="Arial" w:cs="Arial"/>
                <w:sz w:val="24"/>
                <w:szCs w:val="24"/>
              </w:rPr>
            </w:pPr>
          </w:p>
          <w:p w:rsidR="00532D35" w:rsidRPr="00623518" w:rsidRDefault="00B83235" w:rsidP="00B83235">
            <w:pPr>
              <w:rPr>
                <w:rFonts w:ascii="Arial" w:hAnsi="Arial" w:cs="Arial"/>
                <w:sz w:val="24"/>
                <w:szCs w:val="24"/>
                <w:u w:val="single"/>
              </w:rPr>
            </w:pPr>
            <w:r w:rsidRPr="00623518">
              <w:rPr>
                <w:rFonts w:ascii="Arial" w:hAnsi="Arial" w:cs="Arial"/>
                <w:sz w:val="24"/>
                <w:szCs w:val="24"/>
                <w:u w:val="single"/>
              </w:rPr>
              <w:t xml:space="preserve">The legal principles applicable to </w:t>
            </w:r>
            <w:r w:rsidR="00B277F8" w:rsidRPr="00623518">
              <w:rPr>
                <w:rFonts w:ascii="Arial" w:hAnsi="Arial" w:cs="Arial"/>
                <w:sz w:val="24"/>
                <w:szCs w:val="24"/>
                <w:u w:val="single"/>
              </w:rPr>
              <w:t xml:space="preserve">res judicata </w:t>
            </w:r>
          </w:p>
          <w:p w:rsidR="00B83235" w:rsidRPr="00623518" w:rsidRDefault="00C7604E" w:rsidP="00B83235">
            <w:pPr>
              <w:rPr>
                <w:rFonts w:ascii="Arial" w:hAnsi="Arial" w:cs="Arial"/>
                <w:sz w:val="24"/>
                <w:szCs w:val="24"/>
                <w:u w:val="single"/>
              </w:rPr>
            </w:pPr>
            <w:r w:rsidRPr="00623518">
              <w:rPr>
                <w:rFonts w:ascii="Arial" w:hAnsi="Arial" w:cs="Arial"/>
                <w:sz w:val="24"/>
                <w:szCs w:val="24"/>
                <w:u w:val="single"/>
              </w:rPr>
              <w:br/>
            </w:r>
          </w:p>
          <w:p w:rsidR="00310BE8" w:rsidRPr="00623518" w:rsidRDefault="00B83235" w:rsidP="00A711E5">
            <w:pPr>
              <w:pStyle w:val="NormalWeb"/>
              <w:spacing w:before="0" w:beforeAutospacing="0" w:after="180" w:afterAutospacing="0" w:line="360" w:lineRule="auto"/>
              <w:jc w:val="both"/>
              <w:rPr>
                <w:rFonts w:ascii="Arial" w:hAnsi="Arial" w:cs="Arial"/>
                <w:sz w:val="24"/>
                <w:szCs w:val="24"/>
              </w:rPr>
            </w:pPr>
            <w:r w:rsidRPr="00623518">
              <w:rPr>
                <w:rFonts w:ascii="Arial" w:hAnsi="Arial" w:cs="Arial"/>
                <w:sz w:val="24"/>
                <w:szCs w:val="24"/>
              </w:rPr>
              <w:t>[</w:t>
            </w:r>
            <w:r w:rsidR="00623518">
              <w:rPr>
                <w:rFonts w:ascii="Arial" w:hAnsi="Arial" w:cs="Arial"/>
                <w:sz w:val="24"/>
                <w:szCs w:val="24"/>
              </w:rPr>
              <w:t>13</w:t>
            </w:r>
            <w:r w:rsidRPr="00623518">
              <w:rPr>
                <w:rFonts w:ascii="Arial" w:hAnsi="Arial" w:cs="Arial"/>
                <w:sz w:val="24"/>
                <w:szCs w:val="24"/>
              </w:rPr>
              <w:t>]</w:t>
            </w:r>
            <w:r w:rsidRPr="00623518">
              <w:rPr>
                <w:rFonts w:ascii="Arial" w:hAnsi="Arial" w:cs="Arial"/>
                <w:sz w:val="24"/>
                <w:szCs w:val="24"/>
              </w:rPr>
              <w:tab/>
            </w:r>
            <w:r w:rsidR="00A711E5" w:rsidRPr="00623518">
              <w:rPr>
                <w:rFonts w:ascii="Arial" w:hAnsi="Arial" w:cs="Arial"/>
                <w:sz w:val="24"/>
                <w:szCs w:val="24"/>
              </w:rPr>
              <w:t xml:space="preserve">The requirements for a defence of </w:t>
            </w:r>
            <w:r w:rsidR="00A711E5" w:rsidRPr="00623518">
              <w:rPr>
                <w:rFonts w:ascii="Arial" w:hAnsi="Arial" w:cs="Arial"/>
                <w:i/>
                <w:sz w:val="24"/>
                <w:szCs w:val="24"/>
              </w:rPr>
              <w:t>res judicata</w:t>
            </w:r>
            <w:r w:rsidR="00A711E5" w:rsidRPr="00623518">
              <w:rPr>
                <w:rFonts w:ascii="Arial" w:hAnsi="Arial" w:cs="Arial"/>
                <w:sz w:val="24"/>
                <w:szCs w:val="24"/>
              </w:rPr>
              <w:t xml:space="preserve"> are well laid out in law.  </w:t>
            </w:r>
            <w:r w:rsidR="00A711E5" w:rsidRPr="00623518">
              <w:rPr>
                <w:rFonts w:ascii="Arial" w:hAnsi="Arial" w:cs="Arial"/>
                <w:i/>
                <w:sz w:val="24"/>
                <w:szCs w:val="24"/>
              </w:rPr>
              <w:t>Res judicata</w:t>
            </w:r>
            <w:r w:rsidR="00A711E5" w:rsidRPr="00623518">
              <w:rPr>
                <w:rFonts w:ascii="Arial" w:hAnsi="Arial" w:cs="Arial"/>
                <w:sz w:val="24"/>
                <w:szCs w:val="24"/>
              </w:rPr>
              <w:t xml:space="preserve"> is a Latin term meaning “a thing adjudicated”. This refers to an issue that has been definitely settled by judicial decision. </w:t>
            </w:r>
            <w:r w:rsidR="00A711E5" w:rsidRPr="00623518">
              <w:rPr>
                <w:rFonts w:ascii="Arial" w:hAnsi="Arial" w:cs="Arial"/>
                <w:sz w:val="24"/>
                <w:szCs w:val="24"/>
                <w:u w:val="single"/>
              </w:rPr>
              <w:t>This bars the same parties from litigating a second lawsuit on the same claim</w:t>
            </w:r>
            <w:r w:rsidR="00A711E5" w:rsidRPr="00623518">
              <w:rPr>
                <w:rFonts w:ascii="Arial" w:hAnsi="Arial" w:cs="Arial"/>
                <w:sz w:val="24"/>
                <w:szCs w:val="24"/>
              </w:rPr>
              <w:t xml:space="preserve"> or any other claim arising from the same transaction that could have been but was not raised in the first suit.</w:t>
            </w:r>
            <w:r w:rsidR="00A711E5" w:rsidRPr="00623518">
              <w:rPr>
                <w:rStyle w:val="FootnoteReference"/>
                <w:rFonts w:ascii="Arial" w:hAnsi="Arial" w:cs="Arial"/>
                <w:sz w:val="24"/>
                <w:szCs w:val="24"/>
              </w:rPr>
              <w:footnoteReference w:id="3"/>
            </w:r>
            <w:r w:rsidR="00A711E5" w:rsidRPr="00623518">
              <w:rPr>
                <w:rFonts w:ascii="Arial" w:hAnsi="Arial" w:cs="Arial"/>
                <w:sz w:val="24"/>
                <w:szCs w:val="24"/>
              </w:rPr>
              <w:t xml:space="preserve"> (Own emphasis).</w:t>
            </w:r>
          </w:p>
          <w:p w:rsidR="00822C7B" w:rsidRPr="00623518" w:rsidRDefault="00623518" w:rsidP="00822C7B">
            <w:pPr>
              <w:pStyle w:val="NormalWeb"/>
              <w:spacing w:before="0" w:beforeAutospacing="0" w:after="180" w:afterAutospacing="0" w:line="360" w:lineRule="auto"/>
              <w:jc w:val="both"/>
              <w:rPr>
                <w:rFonts w:ascii="Arial" w:hAnsi="Arial" w:cs="Arial"/>
                <w:sz w:val="24"/>
                <w:szCs w:val="24"/>
              </w:rPr>
            </w:pPr>
            <w:r>
              <w:rPr>
                <w:rFonts w:ascii="Arial" w:hAnsi="Arial" w:cs="Arial"/>
                <w:sz w:val="24"/>
                <w:szCs w:val="24"/>
              </w:rPr>
              <w:lastRenderedPageBreak/>
              <w:t>[14</w:t>
            </w:r>
            <w:r w:rsidR="00822C7B" w:rsidRPr="00623518">
              <w:rPr>
                <w:rFonts w:ascii="Arial" w:hAnsi="Arial" w:cs="Arial"/>
                <w:sz w:val="24"/>
                <w:szCs w:val="24"/>
              </w:rPr>
              <w:t xml:space="preserve">]      The essential elements for </w:t>
            </w:r>
            <w:r w:rsidR="00822C7B" w:rsidRPr="00623518">
              <w:rPr>
                <w:rFonts w:ascii="Arial" w:hAnsi="Arial" w:cs="Arial"/>
                <w:i/>
                <w:sz w:val="24"/>
                <w:szCs w:val="24"/>
              </w:rPr>
              <w:t>res judicata</w:t>
            </w:r>
            <w:r w:rsidR="00822C7B" w:rsidRPr="00623518">
              <w:rPr>
                <w:rFonts w:ascii="Arial" w:hAnsi="Arial" w:cs="Arial"/>
                <w:sz w:val="24"/>
                <w:szCs w:val="24"/>
              </w:rPr>
              <w:t xml:space="preserve"> are threefold, namely that the previous judgment was given in an action or application by a competent court:</w:t>
            </w:r>
            <w:r w:rsidR="00822C7B" w:rsidRPr="00623518">
              <w:rPr>
                <w:rStyle w:val="FootnoteReference"/>
                <w:rFonts w:ascii="Arial" w:hAnsi="Arial" w:cs="Arial"/>
                <w:sz w:val="24"/>
                <w:szCs w:val="24"/>
              </w:rPr>
              <w:footnoteReference w:id="4"/>
            </w:r>
          </w:p>
          <w:p w:rsidR="00822C7B" w:rsidRPr="00623518" w:rsidRDefault="00822C7B" w:rsidP="00822C7B">
            <w:pPr>
              <w:pStyle w:val="NormalWeb"/>
              <w:spacing w:before="0" w:beforeAutospacing="0" w:after="180" w:afterAutospacing="0" w:line="360" w:lineRule="auto"/>
              <w:ind w:firstLine="720"/>
              <w:jc w:val="both"/>
              <w:rPr>
                <w:rFonts w:ascii="Arial" w:hAnsi="Arial" w:cs="Arial"/>
                <w:sz w:val="24"/>
                <w:szCs w:val="24"/>
              </w:rPr>
            </w:pPr>
            <w:r w:rsidRPr="00623518">
              <w:rPr>
                <w:rFonts w:ascii="Arial" w:hAnsi="Arial" w:cs="Arial"/>
                <w:sz w:val="24"/>
                <w:szCs w:val="24"/>
              </w:rPr>
              <w:t>1.) between the same parties,</w:t>
            </w:r>
          </w:p>
          <w:p w:rsidR="00822C7B" w:rsidRPr="00623518" w:rsidRDefault="00822C7B" w:rsidP="00822C7B">
            <w:pPr>
              <w:pStyle w:val="NormalWeb"/>
              <w:spacing w:before="0" w:beforeAutospacing="0" w:after="180" w:afterAutospacing="0" w:line="360" w:lineRule="auto"/>
              <w:ind w:firstLine="720"/>
              <w:jc w:val="both"/>
              <w:rPr>
                <w:rFonts w:ascii="Arial" w:hAnsi="Arial" w:cs="Arial"/>
                <w:sz w:val="24"/>
                <w:szCs w:val="24"/>
              </w:rPr>
            </w:pPr>
            <w:r w:rsidRPr="00623518">
              <w:rPr>
                <w:rFonts w:ascii="Arial" w:hAnsi="Arial" w:cs="Arial"/>
                <w:sz w:val="24"/>
                <w:szCs w:val="24"/>
              </w:rPr>
              <w:t>2.) based on the same cause of action (</w:t>
            </w:r>
            <w:r w:rsidRPr="00623518">
              <w:rPr>
                <w:rFonts w:ascii="Arial" w:hAnsi="Arial" w:cs="Arial"/>
                <w:i/>
                <w:sz w:val="24"/>
                <w:szCs w:val="24"/>
              </w:rPr>
              <w:t xml:space="preserve">ex </w:t>
            </w:r>
            <w:proofErr w:type="spellStart"/>
            <w:r w:rsidRPr="00623518">
              <w:rPr>
                <w:rFonts w:ascii="Arial" w:hAnsi="Arial" w:cs="Arial"/>
                <w:i/>
                <w:sz w:val="24"/>
                <w:szCs w:val="24"/>
              </w:rPr>
              <w:t>eadem</w:t>
            </w:r>
            <w:proofErr w:type="spellEnd"/>
            <w:r w:rsidRPr="00623518">
              <w:rPr>
                <w:rFonts w:ascii="Arial" w:hAnsi="Arial" w:cs="Arial"/>
                <w:i/>
                <w:sz w:val="24"/>
                <w:szCs w:val="24"/>
              </w:rPr>
              <w:t xml:space="preserve"> </w:t>
            </w:r>
            <w:proofErr w:type="spellStart"/>
            <w:r w:rsidRPr="00623518">
              <w:rPr>
                <w:rFonts w:ascii="Arial" w:hAnsi="Arial" w:cs="Arial"/>
                <w:i/>
                <w:sz w:val="24"/>
                <w:szCs w:val="24"/>
              </w:rPr>
              <w:t>petendi</w:t>
            </w:r>
            <w:proofErr w:type="spellEnd"/>
            <w:r w:rsidRPr="00623518">
              <w:rPr>
                <w:rFonts w:ascii="Arial" w:hAnsi="Arial" w:cs="Arial"/>
                <w:i/>
                <w:sz w:val="24"/>
                <w:szCs w:val="24"/>
              </w:rPr>
              <w:t xml:space="preserve"> causa</w:t>
            </w:r>
            <w:r w:rsidRPr="00623518">
              <w:rPr>
                <w:rFonts w:ascii="Arial" w:hAnsi="Arial" w:cs="Arial"/>
                <w:sz w:val="24"/>
                <w:szCs w:val="24"/>
              </w:rPr>
              <w:t>), and</w:t>
            </w:r>
          </w:p>
          <w:p w:rsidR="00822C7B" w:rsidRPr="00623518" w:rsidRDefault="00822C7B" w:rsidP="00822C7B">
            <w:pPr>
              <w:spacing w:after="180" w:line="360" w:lineRule="auto"/>
              <w:ind w:firstLine="720"/>
              <w:jc w:val="both"/>
              <w:rPr>
                <w:rFonts w:ascii="Arial" w:hAnsi="Arial" w:cs="Arial"/>
                <w:sz w:val="24"/>
                <w:szCs w:val="24"/>
              </w:rPr>
            </w:pPr>
            <w:r w:rsidRPr="00623518">
              <w:rPr>
                <w:rFonts w:ascii="Arial" w:hAnsi="Arial" w:cs="Arial"/>
                <w:sz w:val="24"/>
                <w:szCs w:val="24"/>
              </w:rPr>
              <w:t xml:space="preserve">3.) </w:t>
            </w:r>
            <w:proofErr w:type="gramStart"/>
            <w:r w:rsidRPr="00623518">
              <w:rPr>
                <w:rFonts w:ascii="Arial" w:eastAsia="Times New Roman" w:hAnsi="Arial" w:cs="Arial"/>
                <w:sz w:val="24"/>
                <w:szCs w:val="24"/>
              </w:rPr>
              <w:t>with</w:t>
            </w:r>
            <w:proofErr w:type="gramEnd"/>
            <w:r w:rsidRPr="00623518">
              <w:rPr>
                <w:rFonts w:ascii="Arial" w:eastAsia="Times New Roman" w:hAnsi="Arial" w:cs="Arial"/>
                <w:sz w:val="24"/>
                <w:szCs w:val="24"/>
              </w:rPr>
              <w:t xml:space="preserve"> respect to the same subject-matter, or thing (</w:t>
            </w:r>
            <w:r w:rsidRPr="00623518">
              <w:rPr>
                <w:rFonts w:ascii="Arial" w:eastAsia="Times New Roman" w:hAnsi="Arial" w:cs="Arial"/>
                <w:i/>
                <w:sz w:val="24"/>
                <w:szCs w:val="24"/>
              </w:rPr>
              <w:t xml:space="preserve">de </w:t>
            </w:r>
            <w:proofErr w:type="spellStart"/>
            <w:r w:rsidRPr="00623518">
              <w:rPr>
                <w:rFonts w:ascii="Arial" w:eastAsia="Times New Roman" w:hAnsi="Arial" w:cs="Arial"/>
                <w:i/>
                <w:sz w:val="24"/>
                <w:szCs w:val="24"/>
              </w:rPr>
              <w:t>eadem</w:t>
            </w:r>
            <w:proofErr w:type="spellEnd"/>
            <w:r w:rsidRPr="00623518">
              <w:rPr>
                <w:rFonts w:ascii="Arial" w:eastAsia="Times New Roman" w:hAnsi="Arial" w:cs="Arial"/>
                <w:i/>
                <w:sz w:val="24"/>
                <w:szCs w:val="24"/>
              </w:rPr>
              <w:t xml:space="preserve"> re</w:t>
            </w:r>
            <w:r w:rsidRPr="00623518">
              <w:rPr>
                <w:rFonts w:ascii="Arial" w:eastAsia="Times New Roman" w:hAnsi="Arial" w:cs="Arial"/>
                <w:sz w:val="24"/>
                <w:szCs w:val="24"/>
              </w:rPr>
              <w:t>).</w:t>
            </w:r>
            <w:r w:rsidRPr="00623518">
              <w:rPr>
                <w:rFonts w:ascii="Arial" w:hAnsi="Arial" w:cs="Arial"/>
                <w:sz w:val="24"/>
                <w:szCs w:val="24"/>
              </w:rPr>
              <w:t xml:space="preserve"> </w:t>
            </w:r>
          </w:p>
          <w:p w:rsidR="00310BE8" w:rsidRPr="00623518" w:rsidRDefault="00822C7B" w:rsidP="00822C7B">
            <w:pPr>
              <w:spacing w:after="180" w:line="360" w:lineRule="auto"/>
              <w:jc w:val="both"/>
              <w:rPr>
                <w:rFonts w:ascii="Arial" w:eastAsia="Times New Roman" w:hAnsi="Arial" w:cs="Arial"/>
                <w:sz w:val="24"/>
                <w:szCs w:val="24"/>
              </w:rPr>
            </w:pPr>
            <w:r w:rsidRPr="00623518">
              <w:rPr>
                <w:rFonts w:ascii="Arial" w:eastAsia="Times New Roman" w:hAnsi="Arial" w:cs="Arial"/>
                <w:sz w:val="24"/>
                <w:szCs w:val="24"/>
              </w:rPr>
              <w:t xml:space="preserve">Requirements (2) and (3) are not immutable requirements of </w:t>
            </w:r>
            <w:r w:rsidRPr="00623518">
              <w:rPr>
                <w:rFonts w:ascii="Arial" w:eastAsia="Times New Roman" w:hAnsi="Arial" w:cs="Arial"/>
                <w:i/>
                <w:sz w:val="24"/>
                <w:szCs w:val="24"/>
              </w:rPr>
              <w:t>res judicata</w:t>
            </w:r>
            <w:r w:rsidRPr="00623518">
              <w:rPr>
                <w:rFonts w:ascii="Arial" w:eastAsia="Times New Roman" w:hAnsi="Arial" w:cs="Arial"/>
                <w:sz w:val="24"/>
                <w:szCs w:val="24"/>
              </w:rPr>
              <w:t>. The subject-matter claimed in the two relevant actions does not necessarily and in all circumstances have to be the same.</w:t>
            </w:r>
            <w:r w:rsidR="00C85529" w:rsidRPr="00623518">
              <w:rPr>
                <w:rFonts w:ascii="Arial" w:eastAsia="Times New Roman" w:hAnsi="Arial" w:cs="Arial"/>
                <w:sz w:val="24"/>
                <w:szCs w:val="24"/>
              </w:rPr>
              <w:t xml:space="preserve"> </w:t>
            </w:r>
          </w:p>
          <w:p w:rsidR="00310BE8" w:rsidRPr="00623518" w:rsidRDefault="00623518" w:rsidP="00534896">
            <w:pPr>
              <w:spacing w:after="180" w:line="360" w:lineRule="auto"/>
              <w:jc w:val="both"/>
              <w:rPr>
                <w:rFonts w:ascii="Arial" w:eastAsia="Times New Roman" w:hAnsi="Arial" w:cs="Arial"/>
                <w:sz w:val="24"/>
                <w:szCs w:val="24"/>
              </w:rPr>
            </w:pPr>
            <w:r>
              <w:rPr>
                <w:rFonts w:ascii="Arial" w:eastAsia="Times New Roman" w:hAnsi="Arial" w:cs="Arial"/>
                <w:sz w:val="24"/>
                <w:szCs w:val="24"/>
              </w:rPr>
              <w:t>[15</w:t>
            </w:r>
            <w:r w:rsidR="00534896" w:rsidRPr="00623518">
              <w:rPr>
                <w:rFonts w:ascii="Arial" w:eastAsia="Times New Roman" w:hAnsi="Arial" w:cs="Arial"/>
                <w:sz w:val="24"/>
                <w:szCs w:val="24"/>
              </w:rPr>
              <w:t>]     T</w:t>
            </w:r>
            <w:r w:rsidR="00822C7B" w:rsidRPr="00623518">
              <w:rPr>
                <w:rFonts w:ascii="Arial" w:eastAsia="Times New Roman" w:hAnsi="Arial" w:cs="Arial"/>
                <w:sz w:val="24"/>
                <w:szCs w:val="24"/>
              </w:rPr>
              <w:t xml:space="preserve">he concept of </w:t>
            </w:r>
            <w:r w:rsidR="00822C7B" w:rsidRPr="00623518">
              <w:rPr>
                <w:rFonts w:ascii="Arial" w:eastAsia="Times New Roman" w:hAnsi="Arial" w:cs="Arial"/>
                <w:i/>
                <w:sz w:val="24"/>
                <w:szCs w:val="24"/>
              </w:rPr>
              <w:t>res judicata</w:t>
            </w:r>
            <w:r w:rsidR="00822C7B" w:rsidRPr="00623518">
              <w:rPr>
                <w:rFonts w:ascii="Arial" w:eastAsia="Times New Roman" w:hAnsi="Arial" w:cs="Arial"/>
                <w:sz w:val="24"/>
                <w:szCs w:val="24"/>
              </w:rPr>
              <w:t xml:space="preserve"> ascended as a method of preventing injustice to the parties of a case supposedly finished, but perhaps mostly to avoid unnecessary waste of resources in the court system. </w:t>
            </w:r>
            <w:r w:rsidR="00822C7B" w:rsidRPr="00623518">
              <w:rPr>
                <w:rFonts w:ascii="Arial" w:eastAsia="Times New Roman" w:hAnsi="Arial" w:cs="Arial"/>
                <w:i/>
                <w:sz w:val="24"/>
                <w:szCs w:val="24"/>
              </w:rPr>
              <w:t>Res judicata</w:t>
            </w:r>
            <w:r w:rsidR="00822C7B" w:rsidRPr="00623518">
              <w:rPr>
                <w:rFonts w:ascii="Arial" w:eastAsia="Times New Roman" w:hAnsi="Arial" w:cs="Arial"/>
                <w:sz w:val="24"/>
                <w:szCs w:val="24"/>
              </w:rPr>
              <w:t xml:space="preserve"> does not merely prevent future judgments from contradicting earlier ones, but also prevents litigants from multiplying judgments, and confusion. The true basis of the doctrine is to prevent an abuse of the process</w:t>
            </w:r>
            <w:r w:rsidR="00822C7B" w:rsidRPr="00623518">
              <w:rPr>
                <w:rStyle w:val="FootnoteReference"/>
                <w:rFonts w:ascii="Arial" w:eastAsia="Times New Roman" w:hAnsi="Arial" w:cs="Arial"/>
                <w:sz w:val="24"/>
                <w:szCs w:val="24"/>
              </w:rPr>
              <w:footnoteReference w:id="5"/>
            </w:r>
            <w:r w:rsidR="00534896" w:rsidRPr="00623518">
              <w:rPr>
                <w:rFonts w:ascii="Arial" w:eastAsia="Times New Roman" w:hAnsi="Arial" w:cs="Arial"/>
                <w:sz w:val="24"/>
                <w:szCs w:val="24"/>
              </w:rPr>
              <w:t>.</w:t>
            </w:r>
            <w:r>
              <w:rPr>
                <w:rFonts w:ascii="Arial" w:eastAsia="Times New Roman" w:hAnsi="Arial" w:cs="Arial"/>
                <w:sz w:val="24"/>
                <w:szCs w:val="24"/>
              </w:rPr>
              <w:t xml:space="preserve"> </w:t>
            </w:r>
          </w:p>
          <w:p w:rsidR="00534896" w:rsidRPr="00623518" w:rsidRDefault="00623518" w:rsidP="00534896">
            <w:pPr>
              <w:spacing w:after="180" w:line="360" w:lineRule="auto"/>
              <w:jc w:val="both"/>
              <w:rPr>
                <w:rFonts w:ascii="Arial" w:eastAsia="Times New Roman" w:hAnsi="Arial" w:cs="Arial"/>
                <w:sz w:val="24"/>
                <w:szCs w:val="24"/>
              </w:rPr>
            </w:pPr>
            <w:r>
              <w:rPr>
                <w:rFonts w:ascii="Arial" w:eastAsia="Times New Roman" w:hAnsi="Arial" w:cs="Arial"/>
                <w:sz w:val="24"/>
                <w:szCs w:val="24"/>
              </w:rPr>
              <w:t xml:space="preserve">[16]     </w:t>
            </w:r>
            <w:r w:rsidR="00534896" w:rsidRPr="00623518">
              <w:rPr>
                <w:rFonts w:ascii="Arial" w:eastAsia="Times New Roman" w:hAnsi="Arial" w:cs="Arial"/>
                <w:sz w:val="24"/>
                <w:szCs w:val="24"/>
              </w:rPr>
              <w:t xml:space="preserve">In the case of </w:t>
            </w:r>
            <w:r w:rsidR="00534896" w:rsidRPr="00623518">
              <w:rPr>
                <w:rFonts w:ascii="Arial" w:eastAsia="Times New Roman" w:hAnsi="Arial" w:cs="Arial"/>
                <w:i/>
                <w:sz w:val="24"/>
                <w:szCs w:val="24"/>
              </w:rPr>
              <w:t>Fish Orange Consortium v !</w:t>
            </w:r>
            <w:proofErr w:type="spellStart"/>
            <w:r w:rsidR="00534896" w:rsidRPr="00623518">
              <w:rPr>
                <w:rFonts w:ascii="Arial" w:eastAsia="Times New Roman" w:hAnsi="Arial" w:cs="Arial"/>
                <w:i/>
                <w:sz w:val="24"/>
                <w:szCs w:val="24"/>
              </w:rPr>
              <w:t>Goaseb</w:t>
            </w:r>
            <w:proofErr w:type="spellEnd"/>
            <w:r w:rsidR="00534896" w:rsidRPr="00623518">
              <w:rPr>
                <w:rFonts w:ascii="Arial" w:eastAsia="Times New Roman" w:hAnsi="Arial" w:cs="Arial"/>
                <w:i/>
                <w:sz w:val="24"/>
                <w:szCs w:val="24"/>
              </w:rPr>
              <w:t xml:space="preserve"> and </w:t>
            </w:r>
            <w:r w:rsidR="00D84DD7" w:rsidRPr="00623518">
              <w:rPr>
                <w:rFonts w:ascii="Arial" w:eastAsia="Times New Roman" w:hAnsi="Arial" w:cs="Arial"/>
                <w:i/>
                <w:sz w:val="24"/>
                <w:szCs w:val="24"/>
              </w:rPr>
              <w:t>3</w:t>
            </w:r>
            <w:r w:rsidR="0021522C" w:rsidRPr="00623518">
              <w:rPr>
                <w:rFonts w:ascii="Arial" w:eastAsia="Times New Roman" w:hAnsi="Arial" w:cs="Arial"/>
                <w:i/>
                <w:sz w:val="24"/>
                <w:szCs w:val="24"/>
              </w:rPr>
              <w:t xml:space="preserve"> </w:t>
            </w:r>
            <w:r w:rsidR="00C85529" w:rsidRPr="00623518">
              <w:rPr>
                <w:rFonts w:ascii="Arial" w:eastAsia="Times New Roman" w:hAnsi="Arial" w:cs="Arial"/>
                <w:i/>
                <w:sz w:val="24"/>
                <w:szCs w:val="24"/>
              </w:rPr>
              <w:t>O</w:t>
            </w:r>
            <w:r w:rsidR="0021522C" w:rsidRPr="00623518">
              <w:rPr>
                <w:rFonts w:ascii="Arial" w:eastAsia="Times New Roman" w:hAnsi="Arial" w:cs="Arial"/>
                <w:i/>
                <w:sz w:val="24"/>
                <w:szCs w:val="24"/>
              </w:rPr>
              <w:t>thers</w:t>
            </w:r>
            <w:r w:rsidR="0097491B" w:rsidRPr="00623518">
              <w:rPr>
                <w:rStyle w:val="FootnoteReference"/>
                <w:rFonts w:ascii="Arial" w:eastAsia="Times New Roman" w:hAnsi="Arial" w:cs="Arial"/>
                <w:i/>
                <w:sz w:val="24"/>
                <w:szCs w:val="24"/>
              </w:rPr>
              <w:footnoteReference w:id="6"/>
            </w:r>
            <w:r w:rsidR="0021522C" w:rsidRPr="00623518">
              <w:rPr>
                <w:rFonts w:ascii="Arial" w:eastAsia="Times New Roman" w:hAnsi="Arial" w:cs="Arial"/>
                <w:sz w:val="24"/>
                <w:szCs w:val="24"/>
              </w:rPr>
              <w:t xml:space="preserve"> </w:t>
            </w:r>
            <w:r w:rsidR="00C85529" w:rsidRPr="00623518">
              <w:rPr>
                <w:rFonts w:ascii="Arial" w:eastAsia="Times New Roman" w:hAnsi="Arial" w:cs="Arial"/>
                <w:sz w:val="24"/>
                <w:szCs w:val="24"/>
              </w:rPr>
              <w:t>the court</w:t>
            </w:r>
            <w:r w:rsidR="0021522C" w:rsidRPr="00623518">
              <w:rPr>
                <w:rFonts w:ascii="Arial" w:eastAsia="Times New Roman" w:hAnsi="Arial" w:cs="Arial"/>
                <w:sz w:val="24"/>
                <w:szCs w:val="24"/>
              </w:rPr>
              <w:t xml:space="preserve"> stated the following:</w:t>
            </w:r>
          </w:p>
          <w:p w:rsidR="00534896" w:rsidRPr="00623518" w:rsidRDefault="00534896" w:rsidP="00534896">
            <w:pPr>
              <w:spacing w:after="180" w:line="360" w:lineRule="auto"/>
              <w:jc w:val="both"/>
              <w:rPr>
                <w:rFonts w:ascii="Arial" w:eastAsia="Times New Roman" w:hAnsi="Arial" w:cs="Arial"/>
              </w:rPr>
            </w:pPr>
            <w:r w:rsidRPr="00623518">
              <w:rPr>
                <w:rFonts w:ascii="Arial" w:eastAsia="Times New Roman" w:hAnsi="Arial" w:cs="Arial"/>
                <w:sz w:val="24"/>
                <w:szCs w:val="24"/>
              </w:rPr>
              <w:tab/>
              <w:t>‘</w:t>
            </w:r>
            <w:r w:rsidRPr="00623518">
              <w:rPr>
                <w:rFonts w:ascii="Arial" w:eastAsia="Times New Roman" w:hAnsi="Arial" w:cs="Arial"/>
              </w:rPr>
              <w:t xml:space="preserve">In </w:t>
            </w:r>
            <w:r w:rsidRPr="00623518">
              <w:rPr>
                <w:rFonts w:ascii="Arial" w:eastAsia="Times New Roman" w:hAnsi="Arial" w:cs="Arial"/>
                <w:i/>
              </w:rPr>
              <w:t>African Farms and Townships Ltd v Cape Town Municipality</w:t>
            </w:r>
            <w:r w:rsidRPr="00623518">
              <w:rPr>
                <w:rFonts w:ascii="Arial" w:eastAsia="Times New Roman" w:hAnsi="Arial" w:cs="Arial"/>
              </w:rPr>
              <w:t>, Steyn CJ succinctly stated the rule as follows:</w:t>
            </w:r>
          </w:p>
          <w:p w:rsidR="00534896" w:rsidRPr="00623518" w:rsidRDefault="00534896" w:rsidP="00534896">
            <w:pPr>
              <w:spacing w:after="180" w:line="360" w:lineRule="auto"/>
              <w:jc w:val="both"/>
              <w:rPr>
                <w:rFonts w:ascii="Arial" w:eastAsia="Times New Roman" w:hAnsi="Arial" w:cs="Arial"/>
                <w:sz w:val="24"/>
                <w:szCs w:val="24"/>
              </w:rPr>
            </w:pPr>
            <w:r w:rsidRPr="00623518">
              <w:rPr>
                <w:rFonts w:ascii="Arial" w:eastAsia="Times New Roman" w:hAnsi="Arial" w:cs="Arial"/>
              </w:rPr>
              <w:t xml:space="preserve">            </w:t>
            </w:r>
            <w:r w:rsidR="0021522C" w:rsidRPr="00623518">
              <w:rPr>
                <w:rFonts w:ascii="Arial" w:eastAsia="Times New Roman" w:hAnsi="Arial" w:cs="Arial"/>
              </w:rPr>
              <w:t xml:space="preserve">      </w:t>
            </w:r>
            <w:r w:rsidRPr="00623518">
              <w:rPr>
                <w:rFonts w:ascii="Arial" w:eastAsia="Times New Roman" w:hAnsi="Arial" w:cs="Arial"/>
              </w:rPr>
              <w:t xml:space="preserve">  ‘The rule appears to be that where a court has come to a decision on the merits of a question in issue, that question, at any rate as a </w:t>
            </w:r>
            <w:r w:rsidRPr="00623518">
              <w:rPr>
                <w:rFonts w:ascii="Arial" w:eastAsia="Times New Roman" w:hAnsi="Arial" w:cs="Arial"/>
                <w:i/>
              </w:rPr>
              <w:t xml:space="preserve">causa </w:t>
            </w:r>
            <w:proofErr w:type="spellStart"/>
            <w:r w:rsidRPr="00623518">
              <w:rPr>
                <w:rFonts w:ascii="Arial" w:eastAsia="Times New Roman" w:hAnsi="Arial" w:cs="Arial"/>
                <w:i/>
              </w:rPr>
              <w:t>petendi</w:t>
            </w:r>
            <w:proofErr w:type="spellEnd"/>
            <w:r w:rsidRPr="00623518">
              <w:rPr>
                <w:rFonts w:ascii="Arial" w:eastAsia="Times New Roman" w:hAnsi="Arial" w:cs="Arial"/>
              </w:rPr>
              <w:t xml:space="preserve"> of the same thing between the same parties, cannot be resuscitated in subsequent proceedings.</w:t>
            </w:r>
            <w:r w:rsidRPr="00623518">
              <w:rPr>
                <w:rFonts w:ascii="Arial" w:eastAsia="Times New Roman" w:hAnsi="Arial" w:cs="Arial"/>
                <w:sz w:val="24"/>
                <w:szCs w:val="24"/>
              </w:rPr>
              <w:t>’</w:t>
            </w:r>
          </w:p>
          <w:p w:rsidR="00534896" w:rsidRPr="00623518" w:rsidRDefault="00534896" w:rsidP="00932FFB">
            <w:pPr>
              <w:spacing w:after="180" w:line="360" w:lineRule="auto"/>
              <w:ind w:left="720"/>
              <w:jc w:val="both"/>
              <w:rPr>
                <w:rFonts w:ascii="Arial" w:eastAsia="Times New Roman" w:hAnsi="Arial" w:cs="Arial"/>
                <w:sz w:val="24"/>
                <w:szCs w:val="24"/>
              </w:rPr>
            </w:pPr>
            <w:r w:rsidRPr="00623518">
              <w:rPr>
                <w:rFonts w:ascii="Arial" w:eastAsia="Times New Roman" w:hAnsi="Arial" w:cs="Arial"/>
                <w:sz w:val="24"/>
                <w:szCs w:val="24"/>
              </w:rPr>
              <w:t>[</w:t>
            </w:r>
            <w:r w:rsidR="00932FFB" w:rsidRPr="00623518">
              <w:rPr>
                <w:rFonts w:ascii="Arial" w:eastAsia="Times New Roman" w:hAnsi="Arial" w:cs="Arial"/>
                <w:sz w:val="24"/>
                <w:szCs w:val="24"/>
              </w:rPr>
              <w:t>18</w:t>
            </w:r>
            <w:r w:rsidRPr="00623518">
              <w:rPr>
                <w:rFonts w:ascii="Arial" w:eastAsia="Times New Roman" w:hAnsi="Arial" w:cs="Arial"/>
                <w:sz w:val="24"/>
                <w:szCs w:val="24"/>
              </w:rPr>
              <w:t xml:space="preserve">]        In the </w:t>
            </w:r>
            <w:r w:rsidRPr="00623518">
              <w:rPr>
                <w:rFonts w:ascii="Arial" w:eastAsia="Times New Roman" w:hAnsi="Arial" w:cs="Arial"/>
                <w:i/>
                <w:sz w:val="24"/>
                <w:szCs w:val="24"/>
              </w:rPr>
              <w:t xml:space="preserve">State v </w:t>
            </w:r>
            <w:proofErr w:type="spellStart"/>
            <w:r w:rsidRPr="00623518">
              <w:rPr>
                <w:rFonts w:ascii="Arial" w:eastAsia="Times New Roman" w:hAnsi="Arial" w:cs="Arial"/>
                <w:i/>
                <w:sz w:val="24"/>
                <w:szCs w:val="24"/>
              </w:rPr>
              <w:t>Moodie</w:t>
            </w:r>
            <w:proofErr w:type="spellEnd"/>
            <w:r w:rsidRPr="00623518">
              <w:rPr>
                <w:rFonts w:ascii="Arial" w:eastAsia="Times New Roman" w:hAnsi="Arial" w:cs="Arial"/>
                <w:sz w:val="24"/>
                <w:szCs w:val="24"/>
              </w:rPr>
              <w:t xml:space="preserve"> </w:t>
            </w:r>
            <w:proofErr w:type="spellStart"/>
            <w:r w:rsidRPr="00623518">
              <w:rPr>
                <w:rFonts w:ascii="Arial" w:eastAsia="Times New Roman" w:hAnsi="Arial" w:cs="Arial"/>
                <w:sz w:val="24"/>
                <w:szCs w:val="24"/>
              </w:rPr>
              <w:t>Hoexter</w:t>
            </w:r>
            <w:proofErr w:type="spellEnd"/>
            <w:r w:rsidRPr="00623518">
              <w:rPr>
                <w:rFonts w:ascii="Arial" w:eastAsia="Times New Roman" w:hAnsi="Arial" w:cs="Arial"/>
                <w:sz w:val="24"/>
                <w:szCs w:val="24"/>
              </w:rPr>
              <w:t xml:space="preserve"> ACJ said:</w:t>
            </w:r>
          </w:p>
          <w:p w:rsidR="00534896" w:rsidRPr="00623518" w:rsidRDefault="00534896" w:rsidP="00534896">
            <w:pPr>
              <w:spacing w:after="180" w:line="360" w:lineRule="auto"/>
              <w:jc w:val="both"/>
              <w:rPr>
                <w:rFonts w:ascii="Arial" w:eastAsia="Times New Roman" w:hAnsi="Arial" w:cs="Arial"/>
                <w:sz w:val="24"/>
                <w:szCs w:val="24"/>
              </w:rPr>
            </w:pPr>
            <w:r w:rsidRPr="00623518">
              <w:rPr>
                <w:rFonts w:ascii="Arial" w:eastAsia="Times New Roman" w:hAnsi="Arial" w:cs="Arial"/>
                <w:sz w:val="24"/>
                <w:szCs w:val="24"/>
              </w:rPr>
              <w:t xml:space="preserve">‘. . . I am of the opinion that in our common law the </w:t>
            </w:r>
            <w:proofErr w:type="spellStart"/>
            <w:r w:rsidRPr="00623518">
              <w:rPr>
                <w:rFonts w:ascii="Arial" w:eastAsia="Times New Roman" w:hAnsi="Arial" w:cs="Arial"/>
                <w:i/>
                <w:sz w:val="24"/>
                <w:szCs w:val="24"/>
              </w:rPr>
              <w:t>exceptio</w:t>
            </w:r>
            <w:proofErr w:type="spellEnd"/>
            <w:r w:rsidRPr="00623518">
              <w:rPr>
                <w:rFonts w:ascii="Arial" w:eastAsia="Times New Roman" w:hAnsi="Arial" w:cs="Arial"/>
                <w:i/>
                <w:sz w:val="24"/>
                <w:szCs w:val="24"/>
              </w:rPr>
              <w:t xml:space="preserve"> rei </w:t>
            </w:r>
            <w:proofErr w:type="spellStart"/>
            <w:r w:rsidRPr="00623518">
              <w:rPr>
                <w:rFonts w:ascii="Arial" w:eastAsia="Times New Roman" w:hAnsi="Arial" w:cs="Arial"/>
                <w:i/>
                <w:sz w:val="24"/>
                <w:szCs w:val="24"/>
              </w:rPr>
              <w:t>judicatae</w:t>
            </w:r>
            <w:proofErr w:type="spellEnd"/>
            <w:r w:rsidRPr="00623518">
              <w:rPr>
                <w:rFonts w:ascii="Arial" w:eastAsia="Times New Roman" w:hAnsi="Arial" w:cs="Arial"/>
                <w:sz w:val="24"/>
                <w:szCs w:val="24"/>
              </w:rPr>
              <w:t xml:space="preserve"> cannot succeed unless it is based on a final judgment on the merits.’</w:t>
            </w:r>
          </w:p>
          <w:p w:rsidR="00310BE8" w:rsidRPr="00623518" w:rsidRDefault="00534896" w:rsidP="00932FFB">
            <w:pPr>
              <w:spacing w:after="180" w:line="360" w:lineRule="auto"/>
              <w:ind w:left="720"/>
              <w:jc w:val="both"/>
              <w:rPr>
                <w:rFonts w:ascii="Arial" w:eastAsia="Times New Roman" w:hAnsi="Arial" w:cs="Arial"/>
                <w:i/>
                <w:sz w:val="24"/>
                <w:szCs w:val="24"/>
              </w:rPr>
            </w:pPr>
            <w:r w:rsidRPr="00623518">
              <w:rPr>
                <w:rFonts w:ascii="Arial" w:eastAsia="Times New Roman" w:hAnsi="Arial" w:cs="Arial"/>
                <w:sz w:val="24"/>
                <w:szCs w:val="24"/>
              </w:rPr>
              <w:lastRenderedPageBreak/>
              <w:t>[</w:t>
            </w:r>
            <w:r w:rsidR="00932FFB" w:rsidRPr="00623518">
              <w:rPr>
                <w:rFonts w:ascii="Arial" w:eastAsia="Times New Roman" w:hAnsi="Arial" w:cs="Arial"/>
                <w:sz w:val="24"/>
                <w:szCs w:val="24"/>
              </w:rPr>
              <w:t>19</w:t>
            </w:r>
            <w:r w:rsidRPr="00623518">
              <w:rPr>
                <w:rFonts w:ascii="Arial" w:eastAsia="Times New Roman" w:hAnsi="Arial" w:cs="Arial"/>
                <w:sz w:val="24"/>
                <w:szCs w:val="24"/>
              </w:rPr>
              <w:t xml:space="preserve">]        Thus a judgment or order which does not have the effect of settling or disposing of the dispute between the parties with finality cannot found the </w:t>
            </w:r>
            <w:proofErr w:type="spellStart"/>
            <w:r w:rsidRPr="00623518">
              <w:rPr>
                <w:rFonts w:ascii="Arial" w:eastAsia="Times New Roman" w:hAnsi="Arial" w:cs="Arial"/>
                <w:i/>
                <w:sz w:val="24"/>
                <w:szCs w:val="24"/>
              </w:rPr>
              <w:t>exceptio</w:t>
            </w:r>
            <w:proofErr w:type="spellEnd"/>
            <w:r w:rsidRPr="00623518">
              <w:rPr>
                <w:rFonts w:ascii="Arial" w:eastAsia="Times New Roman" w:hAnsi="Arial" w:cs="Arial"/>
                <w:i/>
                <w:sz w:val="24"/>
                <w:szCs w:val="24"/>
              </w:rPr>
              <w:t xml:space="preserve"> rei </w:t>
            </w:r>
            <w:proofErr w:type="spellStart"/>
            <w:r w:rsidRPr="00623518">
              <w:rPr>
                <w:rFonts w:ascii="Arial" w:eastAsia="Times New Roman" w:hAnsi="Arial" w:cs="Arial"/>
                <w:i/>
                <w:sz w:val="24"/>
                <w:szCs w:val="24"/>
              </w:rPr>
              <w:t>judicatae</w:t>
            </w:r>
            <w:proofErr w:type="spellEnd"/>
            <w:r w:rsidRPr="00623518">
              <w:rPr>
                <w:rFonts w:ascii="Arial" w:eastAsia="Times New Roman" w:hAnsi="Arial" w:cs="Arial"/>
                <w:i/>
                <w:sz w:val="24"/>
                <w:szCs w:val="24"/>
              </w:rPr>
              <w:t>.</w:t>
            </w:r>
          </w:p>
          <w:p w:rsidR="0021522C" w:rsidRPr="00623518" w:rsidRDefault="00CD03B0" w:rsidP="00AD7C23">
            <w:pPr>
              <w:spacing w:after="180" w:line="360" w:lineRule="auto"/>
              <w:ind w:left="720"/>
              <w:jc w:val="both"/>
              <w:rPr>
                <w:rFonts w:ascii="Arial" w:eastAsia="Times New Roman" w:hAnsi="Arial" w:cs="Arial"/>
                <w:sz w:val="24"/>
                <w:szCs w:val="24"/>
              </w:rPr>
            </w:pPr>
            <w:r w:rsidRPr="00623518">
              <w:rPr>
                <w:rFonts w:ascii="Arial" w:eastAsia="Times New Roman" w:hAnsi="Arial" w:cs="Arial"/>
                <w:sz w:val="24"/>
                <w:szCs w:val="24"/>
              </w:rPr>
              <w:t>[</w:t>
            </w:r>
            <w:r w:rsidR="00AD7C23" w:rsidRPr="00623518">
              <w:rPr>
                <w:rFonts w:ascii="Arial" w:eastAsia="Times New Roman" w:hAnsi="Arial" w:cs="Arial"/>
                <w:sz w:val="24"/>
                <w:szCs w:val="24"/>
              </w:rPr>
              <w:t>20</w:t>
            </w:r>
            <w:r w:rsidRPr="00623518">
              <w:rPr>
                <w:rFonts w:ascii="Arial" w:eastAsia="Times New Roman" w:hAnsi="Arial" w:cs="Arial"/>
                <w:sz w:val="24"/>
                <w:szCs w:val="24"/>
              </w:rPr>
              <w:t>]</w:t>
            </w:r>
            <w:r w:rsidR="00534896" w:rsidRPr="00623518">
              <w:rPr>
                <w:rFonts w:ascii="Arial" w:eastAsia="Times New Roman" w:hAnsi="Arial" w:cs="Arial"/>
                <w:sz w:val="24"/>
                <w:szCs w:val="24"/>
              </w:rPr>
              <w:tab/>
              <w:t>The effect of the final judgment on a party’s cause of action has been described as follows:</w:t>
            </w:r>
          </w:p>
          <w:p w:rsidR="00310BE8" w:rsidRPr="00623518" w:rsidRDefault="007213D7" w:rsidP="00534896">
            <w:pPr>
              <w:spacing w:after="180" w:line="360" w:lineRule="auto"/>
              <w:jc w:val="both"/>
              <w:rPr>
                <w:rFonts w:ascii="Arial" w:eastAsia="Times New Roman" w:hAnsi="Arial" w:cs="Arial"/>
                <w:sz w:val="24"/>
                <w:szCs w:val="24"/>
              </w:rPr>
            </w:pPr>
            <w:r w:rsidRPr="00623518">
              <w:rPr>
                <w:rFonts w:ascii="Arial" w:eastAsia="Times New Roman" w:hAnsi="Arial" w:cs="Arial"/>
                <w:sz w:val="24"/>
                <w:szCs w:val="24"/>
              </w:rPr>
              <w:t xml:space="preserve">            </w:t>
            </w:r>
            <w:r w:rsidR="00534896" w:rsidRPr="00623518">
              <w:rPr>
                <w:rFonts w:ascii="Arial" w:eastAsia="Times New Roman" w:hAnsi="Arial" w:cs="Arial"/>
                <w:sz w:val="24"/>
                <w:szCs w:val="24"/>
              </w:rPr>
              <w:t>‘</w:t>
            </w:r>
            <w:r w:rsidR="00534896" w:rsidRPr="00623518">
              <w:rPr>
                <w:rFonts w:ascii="Arial" w:eastAsia="Times New Roman" w:hAnsi="Arial" w:cs="Arial"/>
              </w:rPr>
              <w:t>The effect of a final judgment on a claim is to render the claimant’s cause of action res judicata. If therefore a party with a single cause of action giving rise to a single claim obtains a final judgment on part of his claim, the judgment puts an end to his whole cause of action, with the result that a subsequent claim for the balance of what is his cause of action entitled him to claim in the first instance can be met with a plea of res judicata. When a cause of action gives rise to more than one remedy, a plaintiff who pursues one of those remedies and obtains a judgment thereon can be met with a plea of res judicata if he should subsequently seek to pursue one of the other remedies, the reason being that the final judgment on part of one’s cause of action puts an end to the whole of such cause of action.</w:t>
            </w:r>
            <w:r w:rsidR="00534896" w:rsidRPr="00623518">
              <w:rPr>
                <w:rFonts w:ascii="Arial" w:eastAsia="Times New Roman" w:hAnsi="Arial" w:cs="Arial"/>
                <w:sz w:val="24"/>
                <w:szCs w:val="24"/>
              </w:rPr>
              <w:t>’</w:t>
            </w:r>
            <w:r w:rsidR="00CD03B0" w:rsidRPr="00623518">
              <w:rPr>
                <w:rStyle w:val="FootnoteReference"/>
                <w:rFonts w:ascii="Arial" w:eastAsia="Times New Roman" w:hAnsi="Arial" w:cs="Arial"/>
                <w:sz w:val="24"/>
                <w:szCs w:val="24"/>
              </w:rPr>
              <w:footnoteReference w:id="7"/>
            </w:r>
          </w:p>
          <w:p w:rsidR="0021522C" w:rsidRPr="00623518" w:rsidRDefault="007213D7" w:rsidP="00B83235">
            <w:pPr>
              <w:spacing w:line="360" w:lineRule="auto"/>
              <w:jc w:val="both"/>
              <w:rPr>
                <w:rFonts w:ascii="Arial" w:hAnsi="Arial" w:cs="Arial"/>
                <w:sz w:val="24"/>
                <w:szCs w:val="24"/>
              </w:rPr>
            </w:pPr>
            <w:r w:rsidRPr="00623518">
              <w:rPr>
                <w:rFonts w:ascii="Arial" w:hAnsi="Arial" w:cs="Arial"/>
                <w:sz w:val="24"/>
                <w:szCs w:val="24"/>
              </w:rPr>
              <w:t>[</w:t>
            </w:r>
            <w:r w:rsidR="00932FFB" w:rsidRPr="00623518">
              <w:rPr>
                <w:rFonts w:ascii="Arial" w:hAnsi="Arial" w:cs="Arial"/>
                <w:sz w:val="24"/>
                <w:szCs w:val="24"/>
              </w:rPr>
              <w:t>1</w:t>
            </w:r>
            <w:r w:rsidR="00623518">
              <w:rPr>
                <w:rFonts w:ascii="Arial" w:hAnsi="Arial" w:cs="Arial"/>
                <w:sz w:val="24"/>
                <w:szCs w:val="24"/>
              </w:rPr>
              <w:t>7</w:t>
            </w:r>
            <w:r w:rsidR="00534896" w:rsidRPr="00623518">
              <w:rPr>
                <w:rFonts w:ascii="Arial" w:hAnsi="Arial" w:cs="Arial"/>
                <w:sz w:val="24"/>
                <w:szCs w:val="24"/>
              </w:rPr>
              <w:t xml:space="preserve">]         </w:t>
            </w:r>
            <w:r w:rsidR="00CD03B0" w:rsidRPr="00623518">
              <w:rPr>
                <w:rFonts w:ascii="Arial" w:hAnsi="Arial" w:cs="Arial"/>
                <w:sz w:val="24"/>
                <w:szCs w:val="24"/>
              </w:rPr>
              <w:t xml:space="preserve">In the </w:t>
            </w:r>
            <w:proofErr w:type="spellStart"/>
            <w:r w:rsidR="00CD03B0" w:rsidRPr="00623518">
              <w:rPr>
                <w:rFonts w:ascii="Arial" w:hAnsi="Arial" w:cs="Arial"/>
                <w:i/>
                <w:sz w:val="24"/>
                <w:szCs w:val="24"/>
              </w:rPr>
              <w:t>Liley</w:t>
            </w:r>
            <w:proofErr w:type="spellEnd"/>
            <w:r w:rsidR="00CD03B0" w:rsidRPr="00623518">
              <w:rPr>
                <w:rFonts w:ascii="Arial" w:hAnsi="Arial" w:cs="Arial"/>
                <w:i/>
                <w:sz w:val="24"/>
                <w:szCs w:val="24"/>
              </w:rPr>
              <w:t xml:space="preserve"> and Another v Johannesburg Turf Club and Another</w:t>
            </w:r>
            <w:r w:rsidR="00CD03B0" w:rsidRPr="00623518">
              <w:rPr>
                <w:rStyle w:val="FootnoteReference"/>
                <w:rFonts w:ascii="Arial" w:hAnsi="Arial" w:cs="Arial"/>
                <w:sz w:val="24"/>
                <w:szCs w:val="24"/>
              </w:rPr>
              <w:footnoteReference w:id="8"/>
            </w:r>
            <w:r w:rsidR="00CD03B0" w:rsidRPr="00623518">
              <w:rPr>
                <w:rFonts w:ascii="Arial" w:hAnsi="Arial" w:cs="Arial"/>
                <w:sz w:val="24"/>
                <w:szCs w:val="24"/>
              </w:rPr>
              <w:t xml:space="preserve"> the following was held:</w:t>
            </w:r>
          </w:p>
          <w:p w:rsidR="0021522C" w:rsidRPr="00623518" w:rsidRDefault="0021522C" w:rsidP="00B83235">
            <w:pPr>
              <w:spacing w:line="360" w:lineRule="auto"/>
              <w:jc w:val="both"/>
              <w:rPr>
                <w:rFonts w:ascii="Arial" w:hAnsi="Arial" w:cs="Arial"/>
                <w:sz w:val="24"/>
                <w:szCs w:val="24"/>
              </w:rPr>
            </w:pPr>
          </w:p>
          <w:p w:rsidR="00CD03B0" w:rsidRPr="00623518" w:rsidRDefault="00CD03B0" w:rsidP="00B83235">
            <w:pPr>
              <w:spacing w:line="360" w:lineRule="auto"/>
              <w:jc w:val="both"/>
              <w:rPr>
                <w:rFonts w:ascii="Arial" w:hAnsi="Arial" w:cs="Arial"/>
                <w:sz w:val="24"/>
                <w:szCs w:val="24"/>
              </w:rPr>
            </w:pPr>
            <w:r w:rsidRPr="00623518">
              <w:rPr>
                <w:rFonts w:ascii="Arial" w:hAnsi="Arial" w:cs="Arial"/>
              </w:rPr>
              <w:t xml:space="preserve">                ‘</w:t>
            </w:r>
            <w:r w:rsidR="007213D7" w:rsidRPr="00623518">
              <w:rPr>
                <w:rFonts w:ascii="Arial" w:hAnsi="Arial" w:cs="Arial"/>
              </w:rPr>
              <w:t>The exception res judicata is a form of estoppel and means  that, where a final judgment is delivered by a competent court, the parties to that judgment or their privies (or, in</w:t>
            </w:r>
            <w:r w:rsidR="00D84DD7" w:rsidRPr="00623518">
              <w:rPr>
                <w:rFonts w:ascii="Arial" w:hAnsi="Arial" w:cs="Arial"/>
              </w:rPr>
              <w:t xml:space="preserve"> the case of a judgment in rem,</w:t>
            </w:r>
            <w:r w:rsidR="00C85529" w:rsidRPr="00623518">
              <w:rPr>
                <w:rFonts w:ascii="Arial" w:hAnsi="Arial" w:cs="Arial"/>
              </w:rPr>
              <w:t xml:space="preserve"> any</w:t>
            </w:r>
            <w:r w:rsidR="007213D7" w:rsidRPr="00623518">
              <w:rPr>
                <w:rFonts w:ascii="Arial" w:hAnsi="Arial" w:cs="Arial"/>
              </w:rPr>
              <w:t xml:space="preserve"> other </w:t>
            </w:r>
            <w:r w:rsidR="00C85529" w:rsidRPr="00623518">
              <w:rPr>
                <w:rFonts w:ascii="Arial" w:hAnsi="Arial" w:cs="Arial"/>
              </w:rPr>
              <w:t>p</w:t>
            </w:r>
            <w:r w:rsidR="007213D7" w:rsidRPr="00623518">
              <w:rPr>
                <w:rFonts w:ascii="Arial" w:hAnsi="Arial" w:cs="Arial"/>
              </w:rPr>
              <w:t>erson)are not allowed to place in issue the correctness of that judgment. This rule is principally founded upon the public interest</w:t>
            </w:r>
            <w:r w:rsidR="007213D7" w:rsidRPr="00623518">
              <w:rPr>
                <w:rFonts w:ascii="Arial" w:hAnsi="Arial" w:cs="Arial"/>
                <w:sz w:val="24"/>
                <w:szCs w:val="24"/>
              </w:rPr>
              <w:t>.</w:t>
            </w:r>
            <w:r w:rsidR="00C85529" w:rsidRPr="00623518">
              <w:rPr>
                <w:rFonts w:ascii="Arial" w:hAnsi="Arial" w:cs="Arial"/>
                <w:sz w:val="24"/>
                <w:szCs w:val="24"/>
              </w:rPr>
              <w:t>’</w:t>
            </w:r>
            <w:r w:rsidR="007213D7" w:rsidRPr="00623518">
              <w:rPr>
                <w:rFonts w:ascii="Arial" w:hAnsi="Arial" w:cs="Arial"/>
                <w:sz w:val="24"/>
                <w:szCs w:val="24"/>
              </w:rPr>
              <w:t xml:space="preserve"> </w:t>
            </w:r>
          </w:p>
          <w:p w:rsidR="00532D35" w:rsidRPr="00623518" w:rsidRDefault="00532D35" w:rsidP="00B83235">
            <w:pPr>
              <w:spacing w:line="360" w:lineRule="auto"/>
              <w:jc w:val="both"/>
              <w:rPr>
                <w:rFonts w:ascii="Arial" w:hAnsi="Arial" w:cs="Arial"/>
                <w:sz w:val="24"/>
                <w:szCs w:val="24"/>
              </w:rPr>
            </w:pPr>
          </w:p>
          <w:p w:rsidR="00731D96" w:rsidRPr="00623518" w:rsidRDefault="00B83235" w:rsidP="00731D96">
            <w:pPr>
              <w:spacing w:line="360" w:lineRule="auto"/>
              <w:jc w:val="both"/>
              <w:rPr>
                <w:rFonts w:ascii="Arial" w:hAnsi="Arial" w:cs="Arial"/>
                <w:sz w:val="24"/>
                <w:szCs w:val="24"/>
              </w:rPr>
            </w:pPr>
            <w:r w:rsidRPr="00623518">
              <w:rPr>
                <w:rFonts w:ascii="Arial" w:hAnsi="Arial" w:cs="Arial"/>
                <w:sz w:val="24"/>
                <w:szCs w:val="24"/>
              </w:rPr>
              <w:t>[</w:t>
            </w:r>
            <w:r w:rsidR="00932FFB" w:rsidRPr="00623518">
              <w:rPr>
                <w:rFonts w:ascii="Arial" w:hAnsi="Arial" w:cs="Arial"/>
                <w:sz w:val="24"/>
                <w:szCs w:val="24"/>
              </w:rPr>
              <w:t>1</w:t>
            </w:r>
            <w:r w:rsidR="00623518">
              <w:rPr>
                <w:rFonts w:ascii="Arial" w:hAnsi="Arial" w:cs="Arial"/>
                <w:sz w:val="24"/>
                <w:szCs w:val="24"/>
              </w:rPr>
              <w:t>8</w:t>
            </w:r>
            <w:r w:rsidRPr="00623518">
              <w:rPr>
                <w:rFonts w:ascii="Arial" w:hAnsi="Arial" w:cs="Arial"/>
                <w:sz w:val="24"/>
                <w:szCs w:val="24"/>
              </w:rPr>
              <w:t>]</w:t>
            </w:r>
            <w:r w:rsidRPr="00623518">
              <w:rPr>
                <w:rFonts w:ascii="Arial" w:hAnsi="Arial" w:cs="Arial"/>
                <w:sz w:val="24"/>
                <w:szCs w:val="24"/>
              </w:rPr>
              <w:tab/>
            </w:r>
            <w:r w:rsidR="00731D96" w:rsidRPr="00623518">
              <w:rPr>
                <w:rFonts w:ascii="Arial" w:hAnsi="Arial" w:cs="Arial"/>
                <w:sz w:val="24"/>
                <w:szCs w:val="24"/>
              </w:rPr>
              <w:t>On the issue of appealability of judgments or order</w:t>
            </w:r>
            <w:r w:rsidR="00C369A8" w:rsidRPr="00623518">
              <w:rPr>
                <w:rFonts w:ascii="Arial" w:hAnsi="Arial" w:cs="Arial"/>
                <w:sz w:val="24"/>
                <w:szCs w:val="24"/>
              </w:rPr>
              <w:t>s</w:t>
            </w:r>
            <w:r w:rsidR="00731D96" w:rsidRPr="00623518">
              <w:rPr>
                <w:rFonts w:ascii="Arial" w:hAnsi="Arial" w:cs="Arial"/>
                <w:sz w:val="24"/>
                <w:szCs w:val="24"/>
              </w:rPr>
              <w:t xml:space="preserve"> the applicable guidelines as </w:t>
            </w:r>
            <w:r w:rsidR="00C369A8" w:rsidRPr="00623518">
              <w:rPr>
                <w:rFonts w:ascii="Arial" w:hAnsi="Arial" w:cs="Arial"/>
                <w:sz w:val="24"/>
                <w:szCs w:val="24"/>
              </w:rPr>
              <w:t>f</w:t>
            </w:r>
            <w:r w:rsidR="00731D96" w:rsidRPr="00623518">
              <w:rPr>
                <w:rFonts w:ascii="Arial" w:hAnsi="Arial" w:cs="Arial"/>
                <w:sz w:val="24"/>
                <w:szCs w:val="24"/>
              </w:rPr>
              <w:t xml:space="preserve">ormulated by Harms JA in </w:t>
            </w:r>
            <w:proofErr w:type="spellStart"/>
            <w:r w:rsidR="00B66EAC" w:rsidRPr="00623518">
              <w:rPr>
                <w:rStyle w:val="Emphasis"/>
                <w:rFonts w:ascii="Arial" w:hAnsi="Arial" w:cs="Arial"/>
                <w:sz w:val="24"/>
                <w:szCs w:val="24"/>
                <w:shd w:val="clear" w:color="auto" w:fill="F8F8F8"/>
              </w:rPr>
              <w:t>Zweni</w:t>
            </w:r>
            <w:proofErr w:type="spellEnd"/>
            <w:r w:rsidR="00B66EAC" w:rsidRPr="00623518">
              <w:rPr>
                <w:rStyle w:val="Emphasis"/>
                <w:rFonts w:ascii="Arial" w:hAnsi="Arial" w:cs="Arial"/>
                <w:sz w:val="24"/>
                <w:szCs w:val="24"/>
                <w:shd w:val="clear" w:color="auto" w:fill="F8F8F8"/>
              </w:rPr>
              <w:t xml:space="preserve"> v Minister of Law &amp; Order</w:t>
            </w:r>
            <w:r w:rsidR="00B66EAC" w:rsidRPr="00623518">
              <w:rPr>
                <w:rStyle w:val="FootnoteReference"/>
                <w:rFonts w:ascii="Arial" w:hAnsi="Arial" w:cs="Arial"/>
                <w:i/>
                <w:iCs/>
                <w:sz w:val="24"/>
                <w:szCs w:val="24"/>
                <w:shd w:val="clear" w:color="auto" w:fill="F8F8F8"/>
              </w:rPr>
              <w:footnoteReference w:id="9"/>
            </w:r>
            <w:r w:rsidR="00B66EAC" w:rsidRPr="00623518">
              <w:rPr>
                <w:rFonts w:ascii="Arial" w:hAnsi="Arial" w:cs="Arial"/>
                <w:sz w:val="24"/>
                <w:szCs w:val="24"/>
                <w:shd w:val="clear" w:color="auto" w:fill="F8F8F8"/>
              </w:rPr>
              <w:t> </w:t>
            </w:r>
            <w:r w:rsidR="00731D96" w:rsidRPr="00623518">
              <w:rPr>
                <w:rFonts w:ascii="Arial" w:hAnsi="Arial" w:cs="Arial"/>
                <w:sz w:val="24"/>
                <w:szCs w:val="24"/>
              </w:rPr>
              <w:t>pages</w:t>
            </w:r>
            <w:r w:rsidR="00B66EAC" w:rsidRPr="00623518">
              <w:rPr>
                <w:rFonts w:ascii="Arial" w:hAnsi="Arial" w:cs="Arial"/>
                <w:sz w:val="24"/>
                <w:szCs w:val="24"/>
              </w:rPr>
              <w:t xml:space="preserve">, </w:t>
            </w:r>
            <w:r w:rsidR="00731D96" w:rsidRPr="00623518">
              <w:rPr>
                <w:rFonts w:ascii="Arial" w:hAnsi="Arial" w:cs="Arial"/>
                <w:sz w:val="24"/>
                <w:szCs w:val="24"/>
              </w:rPr>
              <w:t>were cited with approval and the considerations applied by the courts over time</w:t>
            </w:r>
            <w:r w:rsidR="00AD7C23" w:rsidRPr="00623518">
              <w:rPr>
                <w:rFonts w:ascii="Arial" w:hAnsi="Arial" w:cs="Arial"/>
                <w:sz w:val="24"/>
                <w:szCs w:val="24"/>
              </w:rPr>
              <w:t xml:space="preserve"> </w:t>
            </w:r>
            <w:r w:rsidR="00731D96" w:rsidRPr="00623518">
              <w:rPr>
                <w:rFonts w:ascii="Arial" w:hAnsi="Arial" w:cs="Arial"/>
                <w:sz w:val="24"/>
                <w:szCs w:val="24"/>
              </w:rPr>
              <w:t xml:space="preserve"> were then analysed in </w:t>
            </w:r>
            <w:proofErr w:type="spellStart"/>
            <w:r w:rsidR="00462A98" w:rsidRPr="00623518">
              <w:rPr>
                <w:rFonts w:ascii="Arial" w:hAnsi="Arial" w:cs="Arial"/>
                <w:i/>
                <w:sz w:val="24"/>
                <w:szCs w:val="24"/>
              </w:rPr>
              <w:t>Shetu</w:t>
            </w:r>
            <w:proofErr w:type="spellEnd"/>
            <w:r w:rsidR="00462A98" w:rsidRPr="00623518">
              <w:rPr>
                <w:rFonts w:ascii="Arial" w:hAnsi="Arial" w:cs="Arial"/>
                <w:i/>
                <w:sz w:val="24"/>
                <w:szCs w:val="24"/>
              </w:rPr>
              <w:t xml:space="preserve"> Trading CC v Chair, Tender Board of Namibia and Others</w:t>
            </w:r>
            <w:r w:rsidR="00563EA6" w:rsidRPr="00623518">
              <w:rPr>
                <w:rStyle w:val="FootnoteReference"/>
                <w:rFonts w:ascii="Arial" w:hAnsi="Arial" w:cs="Arial"/>
                <w:i/>
                <w:sz w:val="24"/>
                <w:szCs w:val="24"/>
              </w:rPr>
              <w:footnoteReference w:id="10"/>
            </w:r>
            <w:r w:rsidR="00563EA6" w:rsidRPr="00623518">
              <w:rPr>
                <w:rFonts w:ascii="Arial" w:hAnsi="Arial" w:cs="Arial"/>
                <w:sz w:val="24"/>
                <w:szCs w:val="24"/>
              </w:rPr>
              <w:t xml:space="preserve"> </w:t>
            </w:r>
            <w:r w:rsidR="0021522C" w:rsidRPr="00623518">
              <w:rPr>
                <w:rFonts w:ascii="Arial" w:hAnsi="Arial" w:cs="Arial"/>
                <w:sz w:val="24"/>
                <w:szCs w:val="24"/>
              </w:rPr>
              <w:t>as follows :</w:t>
            </w:r>
          </w:p>
          <w:p w:rsidR="0021522C" w:rsidRPr="00623518" w:rsidRDefault="0021522C" w:rsidP="00731D96">
            <w:pPr>
              <w:spacing w:line="360" w:lineRule="auto"/>
              <w:jc w:val="both"/>
              <w:rPr>
                <w:rFonts w:ascii="Arial" w:hAnsi="Arial" w:cs="Arial"/>
                <w:sz w:val="24"/>
                <w:szCs w:val="24"/>
              </w:rPr>
            </w:pPr>
          </w:p>
          <w:p w:rsidR="00731D96" w:rsidRPr="00623518" w:rsidRDefault="00731D96" w:rsidP="00731D96">
            <w:pPr>
              <w:spacing w:line="360" w:lineRule="auto"/>
              <w:jc w:val="both"/>
              <w:rPr>
                <w:rFonts w:ascii="Arial" w:hAnsi="Arial" w:cs="Arial"/>
              </w:rPr>
            </w:pPr>
            <w:r w:rsidRPr="00623518">
              <w:rPr>
                <w:rFonts w:ascii="Arial" w:hAnsi="Arial" w:cs="Arial"/>
              </w:rPr>
              <w:t xml:space="preserve">                  ‘[18] This court has considered the appealability of judgments or orders of the High Court on several occasions.  In </w:t>
            </w:r>
            <w:proofErr w:type="spellStart"/>
            <w:r w:rsidRPr="00623518">
              <w:rPr>
                <w:rFonts w:ascii="Arial" w:hAnsi="Arial" w:cs="Arial"/>
                <w:i/>
              </w:rPr>
              <w:t>Vaatz</w:t>
            </w:r>
            <w:proofErr w:type="spellEnd"/>
            <w:r w:rsidRPr="00623518">
              <w:rPr>
                <w:rFonts w:ascii="Arial" w:hAnsi="Arial" w:cs="Arial"/>
                <w:i/>
              </w:rPr>
              <w:t xml:space="preserve"> v </w:t>
            </w:r>
            <w:proofErr w:type="spellStart"/>
            <w:r w:rsidRPr="00623518">
              <w:rPr>
                <w:rFonts w:ascii="Arial" w:hAnsi="Arial" w:cs="Arial"/>
                <w:i/>
              </w:rPr>
              <w:t>Klotsch</w:t>
            </w:r>
            <w:proofErr w:type="spellEnd"/>
            <w:r w:rsidRPr="00623518">
              <w:rPr>
                <w:rFonts w:ascii="Arial" w:hAnsi="Arial" w:cs="Arial"/>
              </w:rPr>
              <w:t xml:space="preserve"> </w:t>
            </w:r>
            <w:r w:rsidRPr="00623518">
              <w:rPr>
                <w:rFonts w:ascii="Arial" w:hAnsi="Arial" w:cs="Arial"/>
                <w:i/>
              </w:rPr>
              <w:t>and Others</w:t>
            </w:r>
            <w:r w:rsidRPr="00623518">
              <w:rPr>
                <w:rFonts w:ascii="Arial" w:hAnsi="Arial" w:cs="Arial"/>
              </w:rPr>
              <w:t xml:space="preserve">  this court referred with approval to the meaning of 'judgment or order' in the equivalent provision in the South African High Court Rules given by Erasmus in </w:t>
            </w:r>
            <w:r w:rsidRPr="00623518">
              <w:rPr>
                <w:rFonts w:ascii="Arial" w:hAnsi="Arial" w:cs="Arial"/>
              </w:rPr>
              <w:lastRenderedPageBreak/>
              <w:t xml:space="preserve">Superior Court Practice. Relying on the jurisprudence of the South African Supreme Court of Appeal, Erasmus concluded that an appealable 'judgment or order' has three attributes: it must be final in effect and not susceptible to alteration by the court of first instance; it must be definitive of the rights of the parties; and it must have the effect of disposing of at least a substantial portion of the relief claimed in the main proceedings.   </w:t>
            </w:r>
          </w:p>
          <w:p w:rsidR="00731D96" w:rsidRPr="00623518" w:rsidRDefault="00731D96" w:rsidP="00731D96">
            <w:pPr>
              <w:spacing w:line="360" w:lineRule="auto"/>
              <w:jc w:val="both"/>
              <w:rPr>
                <w:rFonts w:ascii="Arial" w:hAnsi="Arial" w:cs="Arial"/>
                <w:sz w:val="24"/>
                <w:szCs w:val="24"/>
              </w:rPr>
            </w:pPr>
          </w:p>
          <w:p w:rsidR="00731D96" w:rsidRPr="00623518" w:rsidRDefault="00C369A8" w:rsidP="00731D96">
            <w:pPr>
              <w:spacing w:line="360" w:lineRule="auto"/>
              <w:jc w:val="both"/>
              <w:rPr>
                <w:rFonts w:ascii="Arial" w:hAnsi="Arial" w:cs="Arial"/>
                <w:sz w:val="24"/>
                <w:szCs w:val="24"/>
              </w:rPr>
            </w:pPr>
            <w:r w:rsidRPr="00623518">
              <w:rPr>
                <w:rFonts w:ascii="Arial" w:hAnsi="Arial" w:cs="Arial"/>
                <w:sz w:val="24"/>
                <w:szCs w:val="24"/>
              </w:rPr>
              <w:t xml:space="preserve">             </w:t>
            </w:r>
            <w:r w:rsidR="00731D96" w:rsidRPr="00623518">
              <w:rPr>
                <w:rFonts w:ascii="Arial" w:hAnsi="Arial" w:cs="Arial"/>
                <w:sz w:val="24"/>
                <w:szCs w:val="24"/>
              </w:rPr>
              <w:t xml:space="preserve">[19] This summary is drawn directly from the judgment of </w:t>
            </w:r>
            <w:proofErr w:type="spellStart"/>
            <w:r w:rsidR="00731D96" w:rsidRPr="00623518">
              <w:rPr>
                <w:rFonts w:ascii="Arial" w:hAnsi="Arial" w:cs="Arial"/>
                <w:i/>
                <w:sz w:val="24"/>
                <w:szCs w:val="24"/>
              </w:rPr>
              <w:t>Zweni</w:t>
            </w:r>
            <w:proofErr w:type="spellEnd"/>
            <w:r w:rsidR="00731D96" w:rsidRPr="00623518">
              <w:rPr>
                <w:rFonts w:ascii="Arial" w:hAnsi="Arial" w:cs="Arial"/>
                <w:i/>
                <w:sz w:val="24"/>
                <w:szCs w:val="24"/>
              </w:rPr>
              <w:t xml:space="preserve"> v Minister of Law and Order</w:t>
            </w:r>
            <w:r w:rsidR="00731D96" w:rsidRPr="00623518">
              <w:rPr>
                <w:rFonts w:ascii="Arial" w:hAnsi="Arial" w:cs="Arial"/>
                <w:sz w:val="24"/>
                <w:szCs w:val="24"/>
              </w:rPr>
              <w:t xml:space="preserve">.   In that case, the South African Appellate Division referred to the distinction between 'judgments and orders' that are appealable and 'rulings' that are not.  According to the court in </w:t>
            </w:r>
            <w:proofErr w:type="spellStart"/>
            <w:r w:rsidR="00731D96" w:rsidRPr="00623518">
              <w:rPr>
                <w:rFonts w:ascii="Arial" w:hAnsi="Arial" w:cs="Arial"/>
                <w:sz w:val="24"/>
                <w:szCs w:val="24"/>
              </w:rPr>
              <w:t>Zweni</w:t>
            </w:r>
            <w:proofErr w:type="spellEnd"/>
            <w:r w:rsidR="00731D96" w:rsidRPr="00623518">
              <w:rPr>
                <w:rFonts w:ascii="Arial" w:hAnsi="Arial" w:cs="Arial"/>
                <w:sz w:val="24"/>
                <w:szCs w:val="24"/>
              </w:rPr>
              <w:t>, the first characteristic of a ruling, as opposed to a judgment or order, is that it lacks finality. As Harms AJA, formulated the test: unless a decision is res judicata between the parties and the court of first instance is thus not entitled to reconsider it, it is a ruling.  He continued —</w:t>
            </w:r>
          </w:p>
          <w:p w:rsidR="0021522C" w:rsidRPr="00623518" w:rsidRDefault="0021522C" w:rsidP="00731D96">
            <w:pPr>
              <w:spacing w:line="360" w:lineRule="auto"/>
              <w:jc w:val="both"/>
              <w:rPr>
                <w:rFonts w:ascii="Arial" w:hAnsi="Arial" w:cs="Arial"/>
                <w:sz w:val="24"/>
                <w:szCs w:val="24"/>
              </w:rPr>
            </w:pPr>
          </w:p>
          <w:p w:rsidR="00731D96" w:rsidRPr="00623518" w:rsidRDefault="00731D96" w:rsidP="00731D96">
            <w:pPr>
              <w:spacing w:line="360" w:lineRule="auto"/>
              <w:jc w:val="both"/>
              <w:rPr>
                <w:rFonts w:ascii="Arial" w:hAnsi="Arial" w:cs="Arial"/>
                <w:sz w:val="24"/>
                <w:szCs w:val="24"/>
              </w:rPr>
            </w:pPr>
            <w:r w:rsidRPr="00623518">
              <w:rPr>
                <w:rFonts w:ascii="Arial" w:hAnsi="Arial" w:cs="Arial"/>
                <w:sz w:val="24"/>
                <w:szCs w:val="24"/>
              </w:rPr>
              <w:tab/>
              <w:t xml:space="preserve"> 'In the light of these tests and in view of the fact that a ruling is the antithesis of a judgment or order, it appears to me that, generally speaking a non-appealable decision (ruling) is a decision which is not final (because the court of first instance is entitled to alter it), nor definitive of the rights of the parties nor has the effect of disposing of at least a substantial portion of the relief claimed in the main proceedings. . . .'   </w:t>
            </w:r>
          </w:p>
          <w:p w:rsidR="00731D96" w:rsidRPr="00623518" w:rsidRDefault="00731D96" w:rsidP="00731D96">
            <w:pPr>
              <w:spacing w:line="360" w:lineRule="auto"/>
              <w:jc w:val="both"/>
              <w:rPr>
                <w:rFonts w:ascii="Arial" w:hAnsi="Arial" w:cs="Arial"/>
                <w:sz w:val="24"/>
                <w:szCs w:val="24"/>
              </w:rPr>
            </w:pPr>
          </w:p>
          <w:p w:rsidR="00731D96" w:rsidRDefault="00C369A8" w:rsidP="00731D96">
            <w:pPr>
              <w:spacing w:line="360" w:lineRule="auto"/>
              <w:jc w:val="both"/>
              <w:rPr>
                <w:rFonts w:ascii="Arial" w:hAnsi="Arial" w:cs="Arial"/>
              </w:rPr>
            </w:pPr>
            <w:r w:rsidRPr="00623518">
              <w:rPr>
                <w:rFonts w:ascii="Arial" w:hAnsi="Arial" w:cs="Arial"/>
                <w:sz w:val="24"/>
                <w:szCs w:val="24"/>
              </w:rPr>
              <w:t xml:space="preserve">             </w:t>
            </w:r>
            <w:r w:rsidR="00731D96" w:rsidRPr="00623518">
              <w:rPr>
                <w:rFonts w:ascii="Arial" w:hAnsi="Arial" w:cs="Arial"/>
              </w:rPr>
              <w:t xml:space="preserve">[20] There are important reasons for preventing appeals on rulings. In </w:t>
            </w:r>
            <w:proofErr w:type="spellStart"/>
            <w:r w:rsidR="00731D96" w:rsidRPr="00623518">
              <w:rPr>
                <w:rFonts w:ascii="Arial" w:hAnsi="Arial" w:cs="Arial"/>
                <w:i/>
              </w:rPr>
              <w:t>Knouwds</w:t>
            </w:r>
            <w:proofErr w:type="spellEnd"/>
            <w:r w:rsidR="00731D96" w:rsidRPr="00623518">
              <w:rPr>
                <w:rFonts w:ascii="Arial" w:hAnsi="Arial" w:cs="Arial"/>
                <w:i/>
              </w:rPr>
              <w:t xml:space="preserve"> NO v </w:t>
            </w:r>
            <w:proofErr w:type="spellStart"/>
            <w:r w:rsidR="00731D96" w:rsidRPr="00623518">
              <w:rPr>
                <w:rFonts w:ascii="Arial" w:hAnsi="Arial" w:cs="Arial"/>
                <w:i/>
              </w:rPr>
              <w:t>Josea</w:t>
            </w:r>
            <w:proofErr w:type="spellEnd"/>
            <w:r w:rsidR="00731D96" w:rsidRPr="00623518">
              <w:rPr>
                <w:rFonts w:ascii="Arial" w:hAnsi="Arial" w:cs="Arial"/>
                <w:i/>
              </w:rPr>
              <w:t xml:space="preserve"> and Another</w:t>
            </w:r>
            <w:r w:rsidR="00731D96" w:rsidRPr="00623518">
              <w:rPr>
                <w:rFonts w:ascii="Arial" w:hAnsi="Arial" w:cs="Arial"/>
              </w:rPr>
              <w:t xml:space="preserve">,  this court cited with approval the following remarks of the South African Supreme Court of Appeal in </w:t>
            </w:r>
            <w:r w:rsidR="00731D96" w:rsidRPr="00623518">
              <w:rPr>
                <w:rFonts w:ascii="Arial" w:hAnsi="Arial" w:cs="Arial"/>
                <w:i/>
              </w:rPr>
              <w:t>Guardian National Insurance Co Ltd v Searle NO</w:t>
            </w:r>
            <w:r w:rsidR="00731D96" w:rsidRPr="00623518">
              <w:rPr>
                <w:rFonts w:ascii="Arial" w:hAnsi="Arial" w:cs="Arial"/>
              </w:rPr>
              <w:t xml:space="preserve">,  </w:t>
            </w:r>
          </w:p>
          <w:p w:rsidR="00623518" w:rsidRPr="00623518" w:rsidRDefault="00623518" w:rsidP="00731D96">
            <w:pPr>
              <w:spacing w:line="360" w:lineRule="auto"/>
              <w:jc w:val="both"/>
              <w:rPr>
                <w:rFonts w:ascii="Arial" w:hAnsi="Arial" w:cs="Arial"/>
              </w:rPr>
            </w:pPr>
          </w:p>
          <w:p w:rsidR="00731D96" w:rsidRPr="00623518" w:rsidRDefault="00731D96" w:rsidP="00731D96">
            <w:pPr>
              <w:spacing w:line="360" w:lineRule="auto"/>
              <w:jc w:val="both"/>
              <w:rPr>
                <w:rFonts w:ascii="Arial" w:hAnsi="Arial" w:cs="Arial"/>
              </w:rPr>
            </w:pPr>
            <w:r w:rsidRPr="00623518">
              <w:rPr>
                <w:rFonts w:ascii="Arial" w:hAnsi="Arial" w:cs="Arial"/>
              </w:rPr>
              <w:tab/>
              <w:t xml:space="preserve">'There are still sound grounds for a basic approach which avoids the piecemeal appellate disposal of the issues in litigation. It is unnecessarily expensive and generally it is desirable for obvious reasons, that such issues be resolved by the same court and at one and the same time.'   </w:t>
            </w:r>
          </w:p>
          <w:p w:rsidR="00731D96" w:rsidRPr="00623518" w:rsidRDefault="00731D96" w:rsidP="00731D96">
            <w:pPr>
              <w:spacing w:line="360" w:lineRule="auto"/>
              <w:jc w:val="both"/>
              <w:rPr>
                <w:rFonts w:ascii="Arial" w:hAnsi="Arial" w:cs="Arial"/>
              </w:rPr>
            </w:pPr>
          </w:p>
          <w:p w:rsidR="00731D96" w:rsidRPr="00623518" w:rsidRDefault="00C369A8" w:rsidP="00731D96">
            <w:pPr>
              <w:spacing w:line="360" w:lineRule="auto"/>
              <w:jc w:val="both"/>
              <w:rPr>
                <w:rFonts w:ascii="Arial" w:hAnsi="Arial" w:cs="Arial"/>
              </w:rPr>
            </w:pPr>
            <w:r w:rsidRPr="00623518">
              <w:rPr>
                <w:rFonts w:ascii="Arial" w:hAnsi="Arial" w:cs="Arial"/>
              </w:rPr>
              <w:t xml:space="preserve">               </w:t>
            </w:r>
            <w:r w:rsidR="00731D96" w:rsidRPr="00623518">
              <w:rPr>
                <w:rFonts w:ascii="Arial" w:hAnsi="Arial" w:cs="Arial"/>
              </w:rPr>
              <w:t xml:space="preserve">[21] As the court in </w:t>
            </w:r>
            <w:r w:rsidR="00731D96" w:rsidRPr="00623518">
              <w:rPr>
                <w:rFonts w:ascii="Arial" w:hAnsi="Arial" w:cs="Arial"/>
                <w:i/>
              </w:rPr>
              <w:t>Guardian National Insurance</w:t>
            </w:r>
            <w:r w:rsidR="00731D96" w:rsidRPr="00623518">
              <w:rPr>
                <w:rFonts w:ascii="Arial" w:hAnsi="Arial" w:cs="Arial"/>
              </w:rPr>
              <w:t xml:space="preserve"> went on to note, one of the risks of permitting appeals on orders that are not final in effect, is that it could result in two appeals on the same issue which would be 'squarely in conflict' with the need to avoid piecemeal appeals. ’</w:t>
            </w:r>
          </w:p>
          <w:p w:rsidR="007213D7" w:rsidRPr="00623518" w:rsidRDefault="007213D7" w:rsidP="00B83235">
            <w:pPr>
              <w:spacing w:line="360" w:lineRule="auto"/>
              <w:jc w:val="both"/>
              <w:rPr>
                <w:rFonts w:ascii="Arial" w:hAnsi="Arial" w:cs="Arial"/>
              </w:rPr>
            </w:pPr>
          </w:p>
          <w:p w:rsidR="007213D7" w:rsidRPr="00623518" w:rsidRDefault="00731D96" w:rsidP="00B83235">
            <w:pPr>
              <w:spacing w:line="360" w:lineRule="auto"/>
              <w:jc w:val="both"/>
              <w:rPr>
                <w:rFonts w:ascii="Arial" w:hAnsi="Arial" w:cs="Arial"/>
                <w:sz w:val="24"/>
                <w:szCs w:val="24"/>
              </w:rPr>
            </w:pPr>
            <w:r w:rsidRPr="00623518">
              <w:rPr>
                <w:rFonts w:ascii="Arial" w:hAnsi="Arial" w:cs="Arial"/>
                <w:sz w:val="24"/>
                <w:szCs w:val="24"/>
              </w:rPr>
              <w:lastRenderedPageBreak/>
              <w:t>[1</w:t>
            </w:r>
            <w:r w:rsidR="00623518">
              <w:rPr>
                <w:rFonts w:ascii="Arial" w:hAnsi="Arial" w:cs="Arial"/>
                <w:sz w:val="24"/>
                <w:szCs w:val="24"/>
              </w:rPr>
              <w:t>9</w:t>
            </w:r>
            <w:r w:rsidRPr="00623518">
              <w:rPr>
                <w:rFonts w:ascii="Arial" w:hAnsi="Arial" w:cs="Arial"/>
                <w:sz w:val="24"/>
                <w:szCs w:val="24"/>
              </w:rPr>
              <w:t xml:space="preserve">]         </w:t>
            </w:r>
            <w:r w:rsidR="0078066A" w:rsidRPr="00623518">
              <w:rPr>
                <w:rFonts w:ascii="Arial" w:hAnsi="Arial" w:cs="Arial"/>
                <w:sz w:val="24"/>
                <w:szCs w:val="24"/>
              </w:rPr>
              <w:t>At common law a purely interlocutory order may be corrected, altered, or set aside by the Judge who granted it at any time before final judgment; whereas an order which has a final and definitive effect, even though it may be interlocutory in the wide sense, is res judicata.</w:t>
            </w:r>
            <w:r w:rsidR="0078066A" w:rsidRPr="00623518">
              <w:rPr>
                <w:rStyle w:val="FootnoteReference"/>
                <w:rFonts w:ascii="Arial" w:hAnsi="Arial" w:cs="Arial"/>
                <w:sz w:val="24"/>
                <w:szCs w:val="24"/>
              </w:rPr>
              <w:footnoteReference w:id="11"/>
            </w:r>
          </w:p>
          <w:p w:rsidR="0078066A" w:rsidRPr="00623518" w:rsidRDefault="0078066A" w:rsidP="00B83235">
            <w:pPr>
              <w:spacing w:line="360" w:lineRule="auto"/>
              <w:jc w:val="both"/>
              <w:rPr>
                <w:rFonts w:ascii="Arial" w:hAnsi="Arial" w:cs="Arial"/>
                <w:sz w:val="24"/>
                <w:szCs w:val="24"/>
              </w:rPr>
            </w:pPr>
          </w:p>
          <w:p w:rsidR="0078066A" w:rsidRPr="00623518" w:rsidRDefault="0078066A" w:rsidP="00B83235">
            <w:pPr>
              <w:spacing w:line="360" w:lineRule="auto"/>
              <w:jc w:val="both"/>
              <w:rPr>
                <w:rFonts w:ascii="Arial" w:hAnsi="Arial" w:cs="Arial"/>
                <w:sz w:val="24"/>
                <w:szCs w:val="24"/>
              </w:rPr>
            </w:pPr>
            <w:r w:rsidRPr="00623518">
              <w:rPr>
                <w:rFonts w:ascii="Arial" w:hAnsi="Arial" w:cs="Arial"/>
                <w:sz w:val="24"/>
                <w:szCs w:val="24"/>
              </w:rPr>
              <w:t>[</w:t>
            </w:r>
            <w:r w:rsidR="00623518">
              <w:rPr>
                <w:rFonts w:ascii="Arial" w:hAnsi="Arial" w:cs="Arial"/>
                <w:sz w:val="24"/>
                <w:szCs w:val="24"/>
              </w:rPr>
              <w:t>20</w:t>
            </w:r>
            <w:r w:rsidRPr="00623518">
              <w:rPr>
                <w:rFonts w:ascii="Arial" w:hAnsi="Arial" w:cs="Arial"/>
                <w:sz w:val="24"/>
                <w:szCs w:val="24"/>
              </w:rPr>
              <w:t xml:space="preserve">]         For the judgment or order in question to be res judicata which effectively renders it final and disqualifies </w:t>
            </w:r>
            <w:r w:rsidR="00E14B77" w:rsidRPr="00623518">
              <w:rPr>
                <w:rFonts w:ascii="Arial" w:hAnsi="Arial" w:cs="Arial"/>
                <w:sz w:val="24"/>
                <w:szCs w:val="24"/>
              </w:rPr>
              <w:t>it</w:t>
            </w:r>
            <w:r w:rsidRPr="00623518">
              <w:rPr>
                <w:rFonts w:ascii="Arial" w:hAnsi="Arial" w:cs="Arial"/>
                <w:sz w:val="24"/>
                <w:szCs w:val="24"/>
              </w:rPr>
              <w:t xml:space="preserve"> from resuscitation, it should have been on the same issue determined but the court based on the same facts and between the same parties. </w:t>
            </w:r>
            <w:r w:rsidRPr="00623518">
              <w:rPr>
                <w:rStyle w:val="FootnoteReference"/>
                <w:rFonts w:ascii="Arial" w:hAnsi="Arial" w:cs="Arial"/>
                <w:sz w:val="24"/>
                <w:szCs w:val="24"/>
              </w:rPr>
              <w:footnoteReference w:id="12"/>
            </w:r>
          </w:p>
          <w:p w:rsidR="00307D85" w:rsidRPr="00623518" w:rsidRDefault="00307D85" w:rsidP="00B83235">
            <w:pPr>
              <w:spacing w:line="360" w:lineRule="auto"/>
              <w:jc w:val="both"/>
              <w:rPr>
                <w:rFonts w:ascii="Arial" w:hAnsi="Arial" w:cs="Arial"/>
                <w:sz w:val="24"/>
                <w:szCs w:val="24"/>
              </w:rPr>
            </w:pPr>
          </w:p>
          <w:p w:rsidR="00307D85" w:rsidRPr="00623518" w:rsidRDefault="00307D85" w:rsidP="00B83235">
            <w:pPr>
              <w:spacing w:line="360" w:lineRule="auto"/>
              <w:jc w:val="both"/>
              <w:rPr>
                <w:rFonts w:ascii="Arial" w:hAnsi="Arial" w:cs="Arial"/>
                <w:sz w:val="24"/>
                <w:szCs w:val="24"/>
              </w:rPr>
            </w:pPr>
            <w:r w:rsidRPr="00623518">
              <w:rPr>
                <w:rFonts w:ascii="Arial" w:hAnsi="Arial" w:cs="Arial"/>
                <w:sz w:val="24"/>
                <w:szCs w:val="24"/>
              </w:rPr>
              <w:t>[2</w:t>
            </w:r>
            <w:r w:rsidR="00623518">
              <w:rPr>
                <w:rFonts w:ascii="Arial" w:hAnsi="Arial" w:cs="Arial"/>
                <w:sz w:val="24"/>
                <w:szCs w:val="24"/>
              </w:rPr>
              <w:t>1</w:t>
            </w:r>
            <w:r w:rsidRPr="00623518">
              <w:rPr>
                <w:rFonts w:ascii="Arial" w:hAnsi="Arial" w:cs="Arial"/>
                <w:sz w:val="24"/>
                <w:szCs w:val="24"/>
              </w:rPr>
              <w:t xml:space="preserve">]      In the </w:t>
            </w:r>
            <w:proofErr w:type="spellStart"/>
            <w:r w:rsidRPr="00623518">
              <w:rPr>
                <w:rFonts w:ascii="Arial" w:hAnsi="Arial" w:cs="Arial"/>
                <w:i/>
                <w:sz w:val="24"/>
                <w:szCs w:val="24"/>
              </w:rPr>
              <w:t>Somaeb</w:t>
            </w:r>
            <w:proofErr w:type="spellEnd"/>
            <w:r w:rsidRPr="00623518">
              <w:rPr>
                <w:rFonts w:ascii="Arial" w:hAnsi="Arial" w:cs="Arial"/>
                <w:i/>
                <w:sz w:val="24"/>
                <w:szCs w:val="24"/>
              </w:rPr>
              <w:t xml:space="preserve"> v Standard Bank</w:t>
            </w:r>
            <w:r w:rsidRPr="00623518">
              <w:rPr>
                <w:rFonts w:ascii="Arial" w:hAnsi="Arial" w:cs="Arial"/>
                <w:sz w:val="24"/>
                <w:szCs w:val="24"/>
              </w:rPr>
              <w:t xml:space="preserve">  (Pty) Ltd,</w:t>
            </w:r>
            <w:r w:rsidRPr="00623518">
              <w:rPr>
                <w:rStyle w:val="FootnoteReference"/>
                <w:rFonts w:ascii="Arial" w:hAnsi="Arial" w:cs="Arial"/>
                <w:sz w:val="24"/>
                <w:szCs w:val="24"/>
              </w:rPr>
              <w:footnoteReference w:id="13"/>
            </w:r>
            <w:r w:rsidRPr="00623518">
              <w:rPr>
                <w:rFonts w:ascii="Arial" w:hAnsi="Arial" w:cs="Arial"/>
                <w:sz w:val="24"/>
                <w:szCs w:val="24"/>
              </w:rPr>
              <w:t xml:space="preserve"> a statement which I fully concur with </w:t>
            </w:r>
            <w:proofErr w:type="spellStart"/>
            <w:r w:rsidRPr="00623518">
              <w:rPr>
                <w:rFonts w:ascii="Arial" w:hAnsi="Arial" w:cs="Arial"/>
                <w:sz w:val="24"/>
                <w:szCs w:val="24"/>
              </w:rPr>
              <w:t>Masuku</w:t>
            </w:r>
            <w:proofErr w:type="spellEnd"/>
            <w:r w:rsidRPr="00623518">
              <w:rPr>
                <w:rFonts w:ascii="Arial" w:hAnsi="Arial" w:cs="Arial"/>
                <w:sz w:val="24"/>
                <w:szCs w:val="24"/>
              </w:rPr>
              <w:t>, J stated the following</w:t>
            </w:r>
            <w:r w:rsidR="0021522C" w:rsidRPr="00623518">
              <w:rPr>
                <w:rFonts w:ascii="Arial" w:hAnsi="Arial" w:cs="Arial"/>
                <w:sz w:val="24"/>
                <w:szCs w:val="24"/>
              </w:rPr>
              <w:t>:</w:t>
            </w:r>
          </w:p>
          <w:p w:rsidR="00307D85" w:rsidRPr="00623518" w:rsidRDefault="00307D85" w:rsidP="00B83235">
            <w:pPr>
              <w:spacing w:line="360" w:lineRule="auto"/>
              <w:jc w:val="both"/>
              <w:rPr>
                <w:rFonts w:ascii="Arial" w:hAnsi="Arial" w:cs="Arial"/>
                <w:sz w:val="24"/>
                <w:szCs w:val="24"/>
              </w:rPr>
            </w:pPr>
          </w:p>
          <w:p w:rsidR="00307D85" w:rsidRPr="00623518" w:rsidRDefault="00307D85" w:rsidP="00307D85">
            <w:pPr>
              <w:spacing w:line="360" w:lineRule="auto"/>
              <w:jc w:val="both"/>
              <w:rPr>
                <w:rFonts w:ascii="Arial" w:hAnsi="Arial" w:cs="Arial"/>
                <w:lang w:val="en-GB"/>
              </w:rPr>
            </w:pPr>
            <w:r w:rsidRPr="00623518">
              <w:rPr>
                <w:rFonts w:ascii="Arial" w:hAnsi="Arial" w:cs="Arial"/>
                <w:sz w:val="24"/>
                <w:szCs w:val="24"/>
              </w:rPr>
              <w:t xml:space="preserve">                </w:t>
            </w:r>
            <w:r w:rsidRPr="00623518">
              <w:rPr>
                <w:rFonts w:ascii="Arial" w:hAnsi="Arial" w:cs="Arial"/>
              </w:rPr>
              <w:t>‘</w:t>
            </w:r>
            <w:r w:rsidRPr="00623518">
              <w:rPr>
                <w:rFonts w:ascii="Arial" w:hAnsi="Arial" w:cs="Arial"/>
                <w:lang w:val="en-GB"/>
              </w:rPr>
              <w:t xml:space="preserve">[22] Where a party is dissatisfied with any order or judgment of the court, it must challenge same at the earliest possible time and not wait for the ‘injustice’ the party perceives, to crystallise and for the other parties to </w:t>
            </w:r>
            <w:bookmarkStart w:id="0" w:name="_GoBack"/>
            <w:bookmarkEnd w:id="0"/>
            <w:r w:rsidRPr="00623518">
              <w:rPr>
                <w:rFonts w:ascii="Arial" w:hAnsi="Arial" w:cs="Arial"/>
                <w:lang w:val="en-GB"/>
              </w:rPr>
              <w:t xml:space="preserve">be lulled into thinking and accepting that the </w:t>
            </w:r>
            <w:r w:rsidRPr="00623518">
              <w:rPr>
                <w:rFonts w:ascii="Arial" w:hAnsi="Arial" w:cs="Arial"/>
                <w:i/>
                <w:lang w:val="en-GB"/>
              </w:rPr>
              <w:t xml:space="preserve">status quo </w:t>
            </w:r>
            <w:r w:rsidRPr="00623518">
              <w:rPr>
                <w:rFonts w:ascii="Arial" w:hAnsi="Arial" w:cs="Arial"/>
                <w:lang w:val="en-GB"/>
              </w:rPr>
              <w:t xml:space="preserve">remains, namely, that the result of the judgment stands. </w:t>
            </w:r>
          </w:p>
          <w:p w:rsidR="00307D85" w:rsidRPr="00623518" w:rsidRDefault="00307D85" w:rsidP="00307D85">
            <w:pPr>
              <w:spacing w:line="360" w:lineRule="auto"/>
              <w:jc w:val="both"/>
              <w:rPr>
                <w:rFonts w:ascii="Arial" w:hAnsi="Arial" w:cs="Arial"/>
                <w:lang w:val="en-GB"/>
              </w:rPr>
            </w:pPr>
          </w:p>
          <w:p w:rsidR="00307D85" w:rsidRPr="00623518" w:rsidRDefault="00307D85" w:rsidP="00307D85">
            <w:pPr>
              <w:spacing w:line="360" w:lineRule="auto"/>
              <w:jc w:val="both"/>
              <w:rPr>
                <w:rFonts w:ascii="Arial" w:hAnsi="Arial" w:cs="Arial"/>
                <w:lang w:val="en-GB"/>
              </w:rPr>
            </w:pPr>
            <w:r w:rsidRPr="00623518">
              <w:rPr>
                <w:rFonts w:ascii="Arial" w:hAnsi="Arial" w:cs="Arial"/>
                <w:lang w:val="en-GB"/>
              </w:rPr>
              <w:t>[2</w:t>
            </w:r>
            <w:r w:rsidR="00B66EAC" w:rsidRPr="00623518">
              <w:rPr>
                <w:rFonts w:ascii="Arial" w:hAnsi="Arial" w:cs="Arial"/>
                <w:lang w:val="en-GB"/>
              </w:rPr>
              <w:t>1</w:t>
            </w:r>
            <w:r w:rsidRPr="00623518">
              <w:rPr>
                <w:rFonts w:ascii="Arial" w:hAnsi="Arial" w:cs="Arial"/>
                <w:lang w:val="en-GB"/>
              </w:rPr>
              <w:t>]</w:t>
            </w:r>
            <w:r w:rsidRPr="00623518">
              <w:rPr>
                <w:rFonts w:ascii="Arial" w:hAnsi="Arial" w:cs="Arial"/>
                <w:lang w:val="en-GB"/>
              </w:rPr>
              <w:tab/>
              <w:t>A party who decides to rest on his or her laurels and not to challenge a decision they are unhappy about, shoot themselves in the foot as they may be refused the right to re-open their complaint by the sheer passage of time as legal certainty is a high priority in such matters. Parties have a right to certainty as to their conduct and resumption of normal life.  They should not be dragged in and out of court indefinitely at the whim of the losing party.</w:t>
            </w:r>
            <w:r w:rsidR="00310BE8" w:rsidRPr="00623518">
              <w:rPr>
                <w:rFonts w:ascii="Arial" w:hAnsi="Arial" w:cs="Arial"/>
                <w:lang w:val="en-GB"/>
              </w:rPr>
              <w:t>’</w:t>
            </w:r>
          </w:p>
          <w:p w:rsidR="00E14B77" w:rsidRPr="00623518" w:rsidRDefault="00E14B77" w:rsidP="00B83235">
            <w:pPr>
              <w:spacing w:line="360" w:lineRule="auto"/>
              <w:jc w:val="both"/>
              <w:rPr>
                <w:rFonts w:ascii="Arial" w:hAnsi="Arial" w:cs="Arial"/>
                <w:sz w:val="24"/>
                <w:szCs w:val="24"/>
              </w:rPr>
            </w:pPr>
          </w:p>
          <w:p w:rsidR="00E14B77" w:rsidRPr="00623518" w:rsidRDefault="00E14B77" w:rsidP="00E14B77">
            <w:pPr>
              <w:rPr>
                <w:rFonts w:ascii="Arial" w:hAnsi="Arial" w:cs="Arial"/>
                <w:sz w:val="24"/>
                <w:szCs w:val="24"/>
                <w:u w:val="single"/>
              </w:rPr>
            </w:pPr>
            <w:r w:rsidRPr="00623518">
              <w:rPr>
                <w:rFonts w:ascii="Arial" w:hAnsi="Arial" w:cs="Arial"/>
                <w:sz w:val="24"/>
                <w:szCs w:val="24"/>
                <w:u w:val="single"/>
              </w:rPr>
              <w:t>Application of the legal principles to the facts</w:t>
            </w:r>
          </w:p>
          <w:p w:rsidR="00E14B77" w:rsidRPr="00623518" w:rsidRDefault="00E14B77" w:rsidP="00B83235">
            <w:pPr>
              <w:spacing w:line="360" w:lineRule="auto"/>
              <w:jc w:val="both"/>
              <w:rPr>
                <w:rFonts w:ascii="Arial" w:hAnsi="Arial" w:cs="Arial"/>
                <w:sz w:val="24"/>
                <w:szCs w:val="24"/>
              </w:rPr>
            </w:pPr>
          </w:p>
          <w:p w:rsidR="00E14B77" w:rsidRPr="00623518" w:rsidRDefault="00E14B77" w:rsidP="00B83235">
            <w:pPr>
              <w:spacing w:line="360" w:lineRule="auto"/>
              <w:jc w:val="both"/>
              <w:rPr>
                <w:rFonts w:ascii="Arial" w:hAnsi="Arial" w:cs="Arial"/>
                <w:sz w:val="24"/>
                <w:szCs w:val="24"/>
              </w:rPr>
            </w:pPr>
            <w:r w:rsidRPr="00623518">
              <w:rPr>
                <w:rFonts w:ascii="Arial" w:hAnsi="Arial" w:cs="Arial"/>
                <w:sz w:val="24"/>
                <w:szCs w:val="24"/>
              </w:rPr>
              <w:t>[2</w:t>
            </w:r>
            <w:r w:rsidR="00B66EAC" w:rsidRPr="00623518">
              <w:rPr>
                <w:rFonts w:ascii="Arial" w:hAnsi="Arial" w:cs="Arial"/>
                <w:sz w:val="24"/>
                <w:szCs w:val="24"/>
              </w:rPr>
              <w:t>2</w:t>
            </w:r>
            <w:r w:rsidRPr="00623518">
              <w:rPr>
                <w:rFonts w:ascii="Arial" w:hAnsi="Arial" w:cs="Arial"/>
                <w:sz w:val="24"/>
                <w:szCs w:val="24"/>
              </w:rPr>
              <w:t>]</w:t>
            </w:r>
            <w:r w:rsidR="00F12505" w:rsidRPr="00623518">
              <w:rPr>
                <w:rFonts w:ascii="Arial" w:hAnsi="Arial" w:cs="Arial"/>
                <w:sz w:val="24"/>
                <w:szCs w:val="24"/>
              </w:rPr>
              <w:t xml:space="preserve">    </w:t>
            </w:r>
            <w:r w:rsidRPr="00623518">
              <w:rPr>
                <w:rFonts w:ascii="Arial" w:hAnsi="Arial" w:cs="Arial"/>
                <w:sz w:val="24"/>
                <w:szCs w:val="24"/>
              </w:rPr>
              <w:t xml:space="preserve"> It is common </w:t>
            </w:r>
            <w:proofErr w:type="gramStart"/>
            <w:r w:rsidRPr="00623518">
              <w:rPr>
                <w:rFonts w:ascii="Arial" w:hAnsi="Arial" w:cs="Arial"/>
                <w:sz w:val="24"/>
                <w:szCs w:val="24"/>
              </w:rPr>
              <w:t>cause</w:t>
            </w:r>
            <w:proofErr w:type="gramEnd"/>
            <w:r w:rsidRPr="00623518">
              <w:rPr>
                <w:rFonts w:ascii="Arial" w:hAnsi="Arial" w:cs="Arial"/>
                <w:sz w:val="24"/>
                <w:szCs w:val="24"/>
              </w:rPr>
              <w:t xml:space="preserve"> that plaintiff caused summons to be issued under case number: HC-MD-CIV-ACT-CON-2020/01309 (being the present matter) based on the same claim (founded on the same facts and grounds) between the same parties. It is also common cause that the plaintiff has not satisfied the security for costs granted in favour of the third defendant as ordered </w:t>
            </w:r>
            <w:r w:rsidRPr="00623518">
              <w:rPr>
                <w:rFonts w:ascii="Arial" w:hAnsi="Arial" w:cs="Arial"/>
                <w:sz w:val="24"/>
                <w:szCs w:val="24"/>
              </w:rPr>
              <w:lastRenderedPageBreak/>
              <w:t xml:space="preserve">by this Honourable Court on 28 January 2019 which led to the case being dismissed and regarded as finalized. </w:t>
            </w:r>
          </w:p>
          <w:p w:rsidR="00E14B77" w:rsidRPr="00623518" w:rsidRDefault="00E14B77" w:rsidP="00B83235">
            <w:pPr>
              <w:spacing w:line="360" w:lineRule="auto"/>
              <w:jc w:val="both"/>
              <w:rPr>
                <w:rFonts w:ascii="Arial" w:hAnsi="Arial" w:cs="Arial"/>
                <w:sz w:val="24"/>
                <w:szCs w:val="24"/>
              </w:rPr>
            </w:pPr>
          </w:p>
          <w:p w:rsidR="00E14B77" w:rsidRPr="00623518" w:rsidRDefault="00E14B77" w:rsidP="00B83235">
            <w:pPr>
              <w:spacing w:line="360" w:lineRule="auto"/>
              <w:jc w:val="both"/>
              <w:rPr>
                <w:rFonts w:ascii="Arial" w:hAnsi="Arial" w:cs="Arial"/>
                <w:sz w:val="24"/>
                <w:szCs w:val="24"/>
              </w:rPr>
            </w:pPr>
            <w:r w:rsidRPr="00623518">
              <w:rPr>
                <w:rFonts w:ascii="Arial" w:hAnsi="Arial" w:cs="Arial"/>
                <w:sz w:val="24"/>
                <w:szCs w:val="24"/>
              </w:rPr>
              <w:t>[2</w:t>
            </w:r>
            <w:r w:rsidR="00B66EAC" w:rsidRPr="00623518">
              <w:rPr>
                <w:rFonts w:ascii="Arial" w:hAnsi="Arial" w:cs="Arial"/>
                <w:sz w:val="24"/>
                <w:szCs w:val="24"/>
              </w:rPr>
              <w:t>3</w:t>
            </w:r>
            <w:r w:rsidRPr="00623518">
              <w:rPr>
                <w:rFonts w:ascii="Arial" w:hAnsi="Arial" w:cs="Arial"/>
                <w:sz w:val="24"/>
                <w:szCs w:val="24"/>
              </w:rPr>
              <w:t xml:space="preserve">]        </w:t>
            </w:r>
            <w:r w:rsidR="00F12505" w:rsidRPr="00623518">
              <w:rPr>
                <w:rFonts w:ascii="Arial" w:hAnsi="Arial" w:cs="Arial"/>
                <w:sz w:val="24"/>
                <w:szCs w:val="24"/>
              </w:rPr>
              <w:t>The plaintiff is of the opinion that the orders granted under case HC-MD-CIV-ACT-CON-2018/02850 are not final and as such can be varied, altered or rescinded, however, if that was the case the plaintiff would have followed that route instead he brought a fresh application. The court order issued under the aforementioned case number is still vali</w:t>
            </w:r>
            <w:r w:rsidR="0021522C" w:rsidRPr="00623518">
              <w:rPr>
                <w:rFonts w:ascii="Arial" w:hAnsi="Arial" w:cs="Arial"/>
                <w:sz w:val="24"/>
                <w:szCs w:val="24"/>
              </w:rPr>
              <w:t>d and has not been challenged. P</w:t>
            </w:r>
            <w:r w:rsidR="00F12505" w:rsidRPr="00623518">
              <w:rPr>
                <w:rFonts w:ascii="Arial" w:hAnsi="Arial" w:cs="Arial"/>
                <w:sz w:val="24"/>
                <w:szCs w:val="24"/>
              </w:rPr>
              <w:t xml:space="preserve">laintiff in his heads of arguments </w:t>
            </w:r>
            <w:r w:rsidR="00F12505" w:rsidRPr="00623518">
              <w:rPr>
                <w:rStyle w:val="FootnoteReference"/>
                <w:rFonts w:ascii="Arial" w:hAnsi="Arial" w:cs="Arial"/>
                <w:sz w:val="24"/>
                <w:szCs w:val="24"/>
              </w:rPr>
              <w:footnoteReference w:id="14"/>
            </w:r>
            <w:r w:rsidR="00F12505" w:rsidRPr="00623518">
              <w:rPr>
                <w:rFonts w:ascii="Arial" w:hAnsi="Arial" w:cs="Arial"/>
                <w:sz w:val="24"/>
                <w:szCs w:val="24"/>
              </w:rPr>
              <w:t xml:space="preserve"> confirms that court orders granted under judicial case management a</w:t>
            </w:r>
            <w:r w:rsidR="0021522C" w:rsidRPr="00623518">
              <w:rPr>
                <w:rFonts w:ascii="Arial" w:hAnsi="Arial" w:cs="Arial"/>
                <w:sz w:val="24"/>
                <w:szCs w:val="24"/>
              </w:rPr>
              <w:t>r</w:t>
            </w:r>
            <w:r w:rsidR="00F12505" w:rsidRPr="00623518">
              <w:rPr>
                <w:rFonts w:ascii="Arial" w:hAnsi="Arial" w:cs="Arial"/>
                <w:sz w:val="24"/>
                <w:szCs w:val="24"/>
              </w:rPr>
              <w:t xml:space="preserve">e only final if the court does not vary or revoke such order or any of the party does not call upon the court to exercise its powers to do so. Correctly so, the plaintiff concedes that the order granted in the initial case is final. </w:t>
            </w:r>
          </w:p>
          <w:p w:rsidR="00194474" w:rsidRPr="00623518" w:rsidRDefault="00194474" w:rsidP="00B83235">
            <w:pPr>
              <w:spacing w:line="360" w:lineRule="auto"/>
              <w:jc w:val="both"/>
              <w:rPr>
                <w:rFonts w:ascii="Arial" w:hAnsi="Arial" w:cs="Arial"/>
                <w:sz w:val="24"/>
                <w:szCs w:val="24"/>
              </w:rPr>
            </w:pPr>
          </w:p>
          <w:p w:rsidR="00194474" w:rsidRPr="00623518" w:rsidRDefault="00194474" w:rsidP="00B83235">
            <w:pPr>
              <w:spacing w:line="360" w:lineRule="auto"/>
              <w:jc w:val="both"/>
              <w:rPr>
                <w:rFonts w:ascii="Arial" w:hAnsi="Arial" w:cs="Arial"/>
                <w:sz w:val="24"/>
                <w:szCs w:val="24"/>
              </w:rPr>
            </w:pPr>
            <w:r w:rsidRPr="00623518">
              <w:rPr>
                <w:rFonts w:ascii="Arial" w:hAnsi="Arial" w:cs="Arial"/>
                <w:sz w:val="24"/>
                <w:szCs w:val="24"/>
              </w:rPr>
              <w:t>[2</w:t>
            </w:r>
            <w:r w:rsidR="00B66EAC" w:rsidRPr="00623518">
              <w:rPr>
                <w:rFonts w:ascii="Arial" w:hAnsi="Arial" w:cs="Arial"/>
                <w:sz w:val="24"/>
                <w:szCs w:val="24"/>
              </w:rPr>
              <w:t>4</w:t>
            </w:r>
            <w:r w:rsidRPr="00623518">
              <w:rPr>
                <w:rFonts w:ascii="Arial" w:hAnsi="Arial" w:cs="Arial"/>
                <w:sz w:val="24"/>
                <w:szCs w:val="24"/>
              </w:rPr>
              <w:t xml:space="preserve">]       I am of the view the actions of the plaintiff, in the context of this matter, falls neatly within essential elements for </w:t>
            </w:r>
            <w:r w:rsidRPr="00623518">
              <w:rPr>
                <w:rFonts w:ascii="Arial" w:hAnsi="Arial" w:cs="Arial"/>
                <w:i/>
                <w:sz w:val="24"/>
                <w:szCs w:val="24"/>
              </w:rPr>
              <w:t xml:space="preserve">res judicata. </w:t>
            </w:r>
            <w:r w:rsidRPr="00623518">
              <w:rPr>
                <w:rFonts w:ascii="Arial" w:hAnsi="Arial" w:cs="Arial"/>
                <w:sz w:val="24"/>
                <w:szCs w:val="24"/>
              </w:rPr>
              <w:t xml:space="preserve">It seems nothing less than an attempt to wear the third respondent with endless litigation by suing him to what appears to be arising from the same facts and in respect of the same cause of action. There must come a time when a case must come to an end and this should be it in this matter. </w:t>
            </w:r>
          </w:p>
          <w:p w:rsidR="0078066A" w:rsidRPr="00623518" w:rsidRDefault="0078066A" w:rsidP="00B83235">
            <w:pPr>
              <w:spacing w:line="360" w:lineRule="auto"/>
              <w:jc w:val="both"/>
              <w:rPr>
                <w:rFonts w:ascii="Arial" w:hAnsi="Arial" w:cs="Arial"/>
                <w:sz w:val="24"/>
                <w:szCs w:val="24"/>
              </w:rPr>
            </w:pPr>
          </w:p>
          <w:p w:rsidR="005039CC" w:rsidRPr="00623518" w:rsidRDefault="005039CC" w:rsidP="00CF7897">
            <w:pPr>
              <w:shd w:val="clear" w:color="auto" w:fill="FFFFFF"/>
              <w:spacing w:line="360" w:lineRule="auto"/>
              <w:jc w:val="both"/>
              <w:rPr>
                <w:rFonts w:ascii="Arial" w:hAnsi="Arial" w:cs="Arial"/>
                <w:sz w:val="24"/>
                <w:szCs w:val="24"/>
                <w:u w:val="single"/>
              </w:rPr>
            </w:pPr>
            <w:r w:rsidRPr="00623518">
              <w:rPr>
                <w:rFonts w:ascii="Arial" w:hAnsi="Arial" w:cs="Arial"/>
                <w:sz w:val="24"/>
                <w:szCs w:val="24"/>
                <w:u w:val="single"/>
              </w:rPr>
              <w:t>Conclusion</w:t>
            </w:r>
          </w:p>
          <w:p w:rsidR="005B3E21" w:rsidRPr="00623518" w:rsidRDefault="005B3E21" w:rsidP="00CF7897">
            <w:pPr>
              <w:shd w:val="clear" w:color="auto" w:fill="FFFFFF"/>
              <w:spacing w:line="360" w:lineRule="auto"/>
              <w:jc w:val="both"/>
              <w:rPr>
                <w:rFonts w:ascii="Arial" w:hAnsi="Arial" w:cs="Arial"/>
                <w:sz w:val="24"/>
                <w:szCs w:val="24"/>
                <w:u w:val="single"/>
              </w:rPr>
            </w:pPr>
          </w:p>
          <w:p w:rsidR="00701F37" w:rsidRPr="00623518" w:rsidRDefault="00DF65E9" w:rsidP="00CF7897">
            <w:pPr>
              <w:shd w:val="clear" w:color="auto" w:fill="FFFFFF"/>
              <w:spacing w:line="360" w:lineRule="auto"/>
              <w:jc w:val="both"/>
              <w:rPr>
                <w:rFonts w:ascii="Arial" w:hAnsi="Arial" w:cs="Arial"/>
                <w:sz w:val="24"/>
                <w:szCs w:val="24"/>
              </w:rPr>
            </w:pPr>
            <w:r w:rsidRPr="00623518">
              <w:rPr>
                <w:rFonts w:ascii="Arial" w:hAnsi="Arial" w:cs="Arial"/>
                <w:sz w:val="24"/>
                <w:szCs w:val="24"/>
              </w:rPr>
              <w:t>[2</w:t>
            </w:r>
            <w:r w:rsidR="00B66EAC" w:rsidRPr="00623518">
              <w:rPr>
                <w:rFonts w:ascii="Arial" w:hAnsi="Arial" w:cs="Arial"/>
                <w:sz w:val="24"/>
                <w:szCs w:val="24"/>
              </w:rPr>
              <w:t>5</w:t>
            </w:r>
            <w:r w:rsidR="005039CC" w:rsidRPr="00623518">
              <w:rPr>
                <w:rFonts w:ascii="Arial" w:hAnsi="Arial" w:cs="Arial"/>
                <w:sz w:val="24"/>
                <w:szCs w:val="24"/>
              </w:rPr>
              <w:t xml:space="preserve">]          Having considered the </w:t>
            </w:r>
            <w:r w:rsidR="00194474" w:rsidRPr="00623518">
              <w:rPr>
                <w:rFonts w:ascii="Arial" w:hAnsi="Arial" w:cs="Arial"/>
                <w:sz w:val="24"/>
                <w:szCs w:val="24"/>
              </w:rPr>
              <w:t xml:space="preserve">submissions and papers before me I am of the view that the special plea of </w:t>
            </w:r>
            <w:r w:rsidR="00194474" w:rsidRPr="00623518">
              <w:rPr>
                <w:rFonts w:ascii="Arial" w:hAnsi="Arial" w:cs="Arial"/>
                <w:i/>
                <w:sz w:val="24"/>
                <w:szCs w:val="24"/>
              </w:rPr>
              <w:t>res j</w:t>
            </w:r>
            <w:r w:rsidRPr="00623518">
              <w:rPr>
                <w:rFonts w:ascii="Arial" w:hAnsi="Arial" w:cs="Arial"/>
                <w:i/>
                <w:sz w:val="24"/>
                <w:szCs w:val="24"/>
              </w:rPr>
              <w:t>udicata</w:t>
            </w:r>
            <w:r w:rsidRPr="00623518">
              <w:rPr>
                <w:rFonts w:ascii="Arial" w:hAnsi="Arial" w:cs="Arial"/>
                <w:sz w:val="24"/>
                <w:szCs w:val="24"/>
              </w:rPr>
              <w:t xml:space="preserve"> </w:t>
            </w:r>
            <w:r w:rsidR="00194474" w:rsidRPr="00623518">
              <w:rPr>
                <w:rFonts w:ascii="Arial" w:hAnsi="Arial" w:cs="Arial"/>
                <w:sz w:val="24"/>
                <w:szCs w:val="24"/>
              </w:rPr>
              <w:t xml:space="preserve">must </w:t>
            </w:r>
            <w:r w:rsidRPr="00623518">
              <w:rPr>
                <w:rFonts w:ascii="Arial" w:hAnsi="Arial" w:cs="Arial"/>
                <w:sz w:val="24"/>
                <w:szCs w:val="24"/>
              </w:rPr>
              <w:t xml:space="preserve">succeed with costs such costs to include costs of one instructing and one instructed counsel. </w:t>
            </w:r>
          </w:p>
          <w:p w:rsidR="00910DF7" w:rsidRPr="00623518" w:rsidRDefault="00910DF7" w:rsidP="00CF7897">
            <w:pPr>
              <w:shd w:val="clear" w:color="auto" w:fill="FFFFFF"/>
              <w:spacing w:line="360" w:lineRule="auto"/>
              <w:jc w:val="both"/>
              <w:rPr>
                <w:rFonts w:ascii="Arial" w:eastAsia="Times New Roman" w:hAnsi="Arial" w:cs="Arial"/>
                <w:color w:val="000000"/>
                <w:sz w:val="24"/>
                <w:szCs w:val="24"/>
                <w:lang w:eastAsia="en-ZA"/>
              </w:rPr>
            </w:pPr>
          </w:p>
          <w:p w:rsidR="00E51483" w:rsidRPr="00623518" w:rsidRDefault="00701F37" w:rsidP="00C9626D">
            <w:pPr>
              <w:spacing w:line="360" w:lineRule="auto"/>
              <w:jc w:val="both"/>
              <w:rPr>
                <w:rFonts w:ascii="Arial" w:hAnsi="Arial" w:cs="Arial"/>
                <w:sz w:val="24"/>
                <w:szCs w:val="24"/>
              </w:rPr>
            </w:pPr>
            <w:r w:rsidRPr="00623518">
              <w:rPr>
                <w:rFonts w:ascii="Arial" w:hAnsi="Arial" w:cs="Arial"/>
                <w:sz w:val="24"/>
                <w:szCs w:val="24"/>
              </w:rPr>
              <w:t>[</w:t>
            </w:r>
            <w:r w:rsidR="00DF65E9" w:rsidRPr="00623518">
              <w:rPr>
                <w:rFonts w:ascii="Arial" w:hAnsi="Arial" w:cs="Arial"/>
                <w:sz w:val="24"/>
                <w:szCs w:val="24"/>
              </w:rPr>
              <w:t>2</w:t>
            </w:r>
            <w:r w:rsidR="00B66EAC" w:rsidRPr="00623518">
              <w:rPr>
                <w:rFonts w:ascii="Arial" w:hAnsi="Arial" w:cs="Arial"/>
                <w:sz w:val="24"/>
                <w:szCs w:val="24"/>
              </w:rPr>
              <w:t>6</w:t>
            </w:r>
            <w:r w:rsidR="00A91A42" w:rsidRPr="00623518">
              <w:rPr>
                <w:rFonts w:ascii="Arial" w:hAnsi="Arial" w:cs="Arial"/>
                <w:sz w:val="24"/>
                <w:szCs w:val="24"/>
              </w:rPr>
              <w:t>]</w:t>
            </w:r>
            <w:r w:rsidR="00A91A42" w:rsidRPr="00623518">
              <w:rPr>
                <w:rFonts w:ascii="Arial" w:hAnsi="Arial" w:cs="Arial"/>
                <w:sz w:val="24"/>
                <w:szCs w:val="24"/>
                <w:lang w:val="en-US"/>
              </w:rPr>
              <w:t xml:space="preserve"> </w:t>
            </w:r>
            <w:r w:rsidR="00910DF7" w:rsidRPr="00623518">
              <w:rPr>
                <w:rFonts w:ascii="Arial" w:hAnsi="Arial" w:cs="Arial"/>
                <w:sz w:val="24"/>
                <w:szCs w:val="24"/>
                <w:lang w:val="en-US"/>
              </w:rPr>
              <w:t xml:space="preserve">     </w:t>
            </w:r>
            <w:r w:rsidR="00A91A42" w:rsidRPr="00623518">
              <w:rPr>
                <w:rFonts w:ascii="Arial" w:hAnsi="Arial" w:cs="Arial"/>
                <w:sz w:val="24"/>
                <w:szCs w:val="24"/>
                <w:lang w:val="en-US"/>
              </w:rPr>
              <w:t>My order is therefor</w:t>
            </w:r>
            <w:r w:rsidR="0021522C" w:rsidRPr="00623518">
              <w:rPr>
                <w:rFonts w:ascii="Arial" w:hAnsi="Arial" w:cs="Arial"/>
                <w:sz w:val="24"/>
                <w:szCs w:val="24"/>
                <w:lang w:val="en-US"/>
              </w:rPr>
              <w:t>e</w:t>
            </w:r>
            <w:r w:rsidR="00A91A42" w:rsidRPr="00623518">
              <w:rPr>
                <w:rFonts w:ascii="Arial" w:hAnsi="Arial" w:cs="Arial"/>
                <w:sz w:val="24"/>
                <w:szCs w:val="24"/>
                <w:lang w:val="en-US"/>
              </w:rPr>
              <w:t xml:space="preserve"> set out as above.</w:t>
            </w:r>
          </w:p>
          <w:p w:rsidR="009C2E53" w:rsidRPr="00623518" w:rsidRDefault="009C2E53" w:rsidP="006F0D59">
            <w:pPr>
              <w:pStyle w:val="NormalWeb"/>
              <w:shd w:val="clear" w:color="auto" w:fill="FFFFFF"/>
              <w:spacing w:before="0" w:beforeAutospacing="0" w:after="150" w:afterAutospacing="0"/>
              <w:jc w:val="both"/>
              <w:rPr>
                <w:rFonts w:ascii="Arial" w:hAnsi="Arial" w:cs="Arial"/>
                <w:sz w:val="24"/>
                <w:szCs w:val="24"/>
              </w:rPr>
            </w:pPr>
          </w:p>
        </w:tc>
      </w:tr>
      <w:tr w:rsidR="009C2E53" w:rsidRPr="00623518" w:rsidTr="005853ED">
        <w:tc>
          <w:tcPr>
            <w:tcW w:w="4770" w:type="dxa"/>
          </w:tcPr>
          <w:p w:rsidR="009C2E53" w:rsidRPr="00623518" w:rsidRDefault="009C2E53" w:rsidP="006F0D59">
            <w:pPr>
              <w:spacing w:line="360" w:lineRule="auto"/>
              <w:jc w:val="center"/>
              <w:rPr>
                <w:rFonts w:ascii="Arial" w:hAnsi="Arial" w:cs="Arial"/>
                <w:b/>
                <w:sz w:val="24"/>
                <w:szCs w:val="24"/>
              </w:rPr>
            </w:pPr>
            <w:r w:rsidRPr="00623518">
              <w:rPr>
                <w:rFonts w:ascii="Arial" w:hAnsi="Arial" w:cs="Arial"/>
                <w:b/>
                <w:sz w:val="24"/>
                <w:szCs w:val="24"/>
              </w:rPr>
              <w:lastRenderedPageBreak/>
              <w:t>Judge’s signature</w:t>
            </w:r>
          </w:p>
        </w:tc>
        <w:tc>
          <w:tcPr>
            <w:tcW w:w="5565" w:type="dxa"/>
            <w:gridSpan w:val="2"/>
          </w:tcPr>
          <w:p w:rsidR="009C2E53" w:rsidRPr="00623518" w:rsidRDefault="009C2E53" w:rsidP="006F0D59">
            <w:pPr>
              <w:spacing w:line="360" w:lineRule="auto"/>
              <w:jc w:val="center"/>
              <w:rPr>
                <w:rFonts w:ascii="Arial" w:hAnsi="Arial" w:cs="Arial"/>
                <w:b/>
                <w:sz w:val="24"/>
                <w:szCs w:val="24"/>
              </w:rPr>
            </w:pPr>
            <w:r w:rsidRPr="00623518">
              <w:rPr>
                <w:rFonts w:ascii="Arial" w:hAnsi="Arial" w:cs="Arial"/>
                <w:b/>
                <w:sz w:val="24"/>
                <w:szCs w:val="24"/>
              </w:rPr>
              <w:t>Note to the parties:</w:t>
            </w:r>
          </w:p>
        </w:tc>
      </w:tr>
      <w:tr w:rsidR="009C2E53" w:rsidRPr="00623518" w:rsidTr="005853ED">
        <w:trPr>
          <w:trHeight w:val="1114"/>
        </w:trPr>
        <w:tc>
          <w:tcPr>
            <w:tcW w:w="4770" w:type="dxa"/>
          </w:tcPr>
          <w:p w:rsidR="009C2E53" w:rsidRPr="00623518" w:rsidRDefault="009C2E53" w:rsidP="006F0D59">
            <w:pPr>
              <w:spacing w:line="360" w:lineRule="auto"/>
              <w:jc w:val="both"/>
              <w:rPr>
                <w:rFonts w:ascii="Arial" w:hAnsi="Arial" w:cs="Arial"/>
                <w:sz w:val="24"/>
                <w:szCs w:val="24"/>
              </w:rPr>
            </w:pPr>
          </w:p>
        </w:tc>
        <w:tc>
          <w:tcPr>
            <w:tcW w:w="5565" w:type="dxa"/>
            <w:gridSpan w:val="2"/>
          </w:tcPr>
          <w:p w:rsidR="009C2E53" w:rsidRPr="00623518" w:rsidRDefault="009C2E53" w:rsidP="006F0D59">
            <w:pPr>
              <w:spacing w:line="360" w:lineRule="auto"/>
              <w:jc w:val="both"/>
              <w:rPr>
                <w:rFonts w:ascii="Arial" w:hAnsi="Arial" w:cs="Arial"/>
                <w:sz w:val="24"/>
                <w:szCs w:val="24"/>
              </w:rPr>
            </w:pPr>
            <w:r w:rsidRPr="00623518">
              <w:rPr>
                <w:rFonts w:ascii="Arial" w:hAnsi="Arial" w:cs="Arial"/>
                <w:sz w:val="24"/>
                <w:szCs w:val="24"/>
              </w:rPr>
              <w:t>Not applicable.</w:t>
            </w:r>
          </w:p>
        </w:tc>
      </w:tr>
      <w:tr w:rsidR="009C2E53" w:rsidRPr="00623518" w:rsidTr="005853ED">
        <w:tc>
          <w:tcPr>
            <w:tcW w:w="10335" w:type="dxa"/>
            <w:gridSpan w:val="3"/>
          </w:tcPr>
          <w:p w:rsidR="009C2E53" w:rsidRPr="00623518" w:rsidRDefault="009C2E53" w:rsidP="006F0D59">
            <w:pPr>
              <w:spacing w:line="360" w:lineRule="auto"/>
              <w:jc w:val="center"/>
              <w:rPr>
                <w:rFonts w:ascii="Arial" w:hAnsi="Arial" w:cs="Arial"/>
                <w:b/>
                <w:sz w:val="24"/>
                <w:szCs w:val="24"/>
              </w:rPr>
            </w:pPr>
            <w:r w:rsidRPr="00623518">
              <w:rPr>
                <w:rFonts w:ascii="Arial" w:hAnsi="Arial" w:cs="Arial"/>
                <w:b/>
                <w:sz w:val="24"/>
                <w:szCs w:val="24"/>
              </w:rPr>
              <w:lastRenderedPageBreak/>
              <w:t>Counsel:</w:t>
            </w:r>
          </w:p>
        </w:tc>
      </w:tr>
      <w:tr w:rsidR="009C2E53" w:rsidRPr="00623518" w:rsidTr="005853ED">
        <w:tc>
          <w:tcPr>
            <w:tcW w:w="4770" w:type="dxa"/>
          </w:tcPr>
          <w:p w:rsidR="009C2E53" w:rsidRPr="00623518" w:rsidRDefault="006128D6" w:rsidP="006F0D59">
            <w:pPr>
              <w:spacing w:line="360" w:lineRule="auto"/>
              <w:jc w:val="center"/>
              <w:rPr>
                <w:rFonts w:ascii="Arial" w:hAnsi="Arial" w:cs="Arial"/>
                <w:b/>
                <w:sz w:val="24"/>
                <w:szCs w:val="24"/>
              </w:rPr>
            </w:pPr>
            <w:r w:rsidRPr="00623518">
              <w:rPr>
                <w:rFonts w:ascii="Arial" w:hAnsi="Arial" w:cs="Arial"/>
                <w:b/>
                <w:sz w:val="24"/>
                <w:szCs w:val="24"/>
              </w:rPr>
              <w:t>Plaintiff</w:t>
            </w:r>
            <w:r w:rsidR="0021522C" w:rsidRPr="00623518">
              <w:rPr>
                <w:rFonts w:ascii="Arial" w:hAnsi="Arial" w:cs="Arial"/>
                <w:b/>
                <w:sz w:val="24"/>
                <w:szCs w:val="24"/>
              </w:rPr>
              <w:t xml:space="preserve">/ Respondent </w:t>
            </w:r>
          </w:p>
        </w:tc>
        <w:tc>
          <w:tcPr>
            <w:tcW w:w="5565" w:type="dxa"/>
            <w:gridSpan w:val="2"/>
          </w:tcPr>
          <w:p w:rsidR="009C2E53" w:rsidRPr="00623518" w:rsidRDefault="0021522C" w:rsidP="0021522C">
            <w:pPr>
              <w:spacing w:line="360" w:lineRule="auto"/>
              <w:jc w:val="center"/>
              <w:rPr>
                <w:rFonts w:ascii="Arial" w:hAnsi="Arial" w:cs="Arial"/>
                <w:b/>
                <w:sz w:val="24"/>
                <w:szCs w:val="24"/>
              </w:rPr>
            </w:pPr>
            <w:r w:rsidRPr="00623518">
              <w:rPr>
                <w:rFonts w:ascii="Arial" w:hAnsi="Arial" w:cs="Arial"/>
                <w:b/>
                <w:sz w:val="24"/>
                <w:szCs w:val="24"/>
              </w:rPr>
              <w:t xml:space="preserve">Third Respondent/ Applicant </w:t>
            </w:r>
          </w:p>
        </w:tc>
      </w:tr>
      <w:tr w:rsidR="009C2E53" w:rsidRPr="00623518" w:rsidTr="005853ED">
        <w:tc>
          <w:tcPr>
            <w:tcW w:w="4770" w:type="dxa"/>
          </w:tcPr>
          <w:p w:rsidR="009C2E53" w:rsidRPr="00623518" w:rsidRDefault="0021522C" w:rsidP="006128D6">
            <w:pPr>
              <w:spacing w:line="360" w:lineRule="auto"/>
              <w:jc w:val="center"/>
              <w:rPr>
                <w:rFonts w:ascii="Arial" w:hAnsi="Arial" w:cs="Arial"/>
                <w:sz w:val="24"/>
                <w:szCs w:val="24"/>
              </w:rPr>
            </w:pPr>
            <w:r w:rsidRPr="00623518">
              <w:rPr>
                <w:rFonts w:ascii="Arial" w:hAnsi="Arial" w:cs="Arial"/>
                <w:sz w:val="24"/>
                <w:szCs w:val="24"/>
              </w:rPr>
              <w:t xml:space="preserve">R Mukonda </w:t>
            </w:r>
          </w:p>
          <w:p w:rsidR="0021522C" w:rsidRPr="00623518" w:rsidRDefault="0021522C" w:rsidP="006128D6">
            <w:pPr>
              <w:spacing w:line="360" w:lineRule="auto"/>
              <w:jc w:val="center"/>
              <w:rPr>
                <w:rFonts w:ascii="Arial" w:hAnsi="Arial" w:cs="Arial"/>
                <w:sz w:val="24"/>
                <w:szCs w:val="24"/>
              </w:rPr>
            </w:pPr>
            <w:r w:rsidRPr="00623518">
              <w:rPr>
                <w:rFonts w:ascii="Arial" w:hAnsi="Arial" w:cs="Arial"/>
                <w:sz w:val="24"/>
                <w:szCs w:val="24"/>
              </w:rPr>
              <w:t xml:space="preserve">Of </w:t>
            </w:r>
          </w:p>
          <w:p w:rsidR="0021522C" w:rsidRDefault="0021522C" w:rsidP="006128D6">
            <w:pPr>
              <w:spacing w:line="360" w:lineRule="auto"/>
              <w:jc w:val="center"/>
              <w:rPr>
                <w:rFonts w:ascii="Arial" w:hAnsi="Arial" w:cs="Arial"/>
                <w:sz w:val="24"/>
                <w:szCs w:val="24"/>
              </w:rPr>
            </w:pPr>
            <w:r w:rsidRPr="00623518">
              <w:rPr>
                <w:rFonts w:ascii="Arial" w:hAnsi="Arial" w:cs="Arial"/>
                <w:sz w:val="24"/>
                <w:szCs w:val="24"/>
              </w:rPr>
              <w:t xml:space="preserve">Mukonda &amp; Co. </w:t>
            </w:r>
            <w:proofErr w:type="spellStart"/>
            <w:r w:rsidRPr="00623518">
              <w:rPr>
                <w:rFonts w:ascii="Arial" w:hAnsi="Arial" w:cs="Arial"/>
                <w:sz w:val="24"/>
                <w:szCs w:val="24"/>
              </w:rPr>
              <w:t>Inc</w:t>
            </w:r>
            <w:proofErr w:type="spellEnd"/>
          </w:p>
          <w:p w:rsidR="00623518" w:rsidRPr="00623518" w:rsidRDefault="00623518" w:rsidP="006128D6">
            <w:pPr>
              <w:spacing w:line="360" w:lineRule="auto"/>
              <w:jc w:val="center"/>
              <w:rPr>
                <w:rFonts w:ascii="Arial" w:hAnsi="Arial" w:cs="Arial"/>
                <w:sz w:val="24"/>
                <w:szCs w:val="24"/>
              </w:rPr>
            </w:pPr>
            <w:r>
              <w:rPr>
                <w:rFonts w:ascii="Arial" w:hAnsi="Arial" w:cs="Arial"/>
                <w:sz w:val="24"/>
                <w:szCs w:val="24"/>
              </w:rPr>
              <w:t>Windhoek</w:t>
            </w:r>
          </w:p>
        </w:tc>
        <w:tc>
          <w:tcPr>
            <w:tcW w:w="5565" w:type="dxa"/>
            <w:gridSpan w:val="2"/>
          </w:tcPr>
          <w:p w:rsidR="0021522C" w:rsidRPr="00623518" w:rsidRDefault="0021522C" w:rsidP="00616F75">
            <w:pPr>
              <w:spacing w:line="360" w:lineRule="auto"/>
              <w:jc w:val="center"/>
              <w:rPr>
                <w:rFonts w:ascii="Arial" w:hAnsi="Arial" w:cs="Arial"/>
                <w:sz w:val="24"/>
                <w:szCs w:val="24"/>
              </w:rPr>
            </w:pPr>
            <w:proofErr w:type="spellStart"/>
            <w:r w:rsidRPr="00623518">
              <w:rPr>
                <w:rFonts w:ascii="Arial" w:hAnsi="Arial" w:cs="Arial"/>
                <w:sz w:val="24"/>
                <w:szCs w:val="24"/>
              </w:rPr>
              <w:t>Adv</w:t>
            </w:r>
            <w:proofErr w:type="spellEnd"/>
            <w:r w:rsidRPr="00623518">
              <w:rPr>
                <w:rFonts w:ascii="Arial" w:hAnsi="Arial" w:cs="Arial"/>
                <w:sz w:val="24"/>
                <w:szCs w:val="24"/>
              </w:rPr>
              <w:t xml:space="preserve"> Van </w:t>
            </w:r>
            <w:proofErr w:type="spellStart"/>
            <w:r w:rsidRPr="00623518">
              <w:rPr>
                <w:rFonts w:ascii="Arial" w:hAnsi="Arial" w:cs="Arial"/>
                <w:sz w:val="24"/>
                <w:szCs w:val="24"/>
              </w:rPr>
              <w:t>Zyl</w:t>
            </w:r>
            <w:proofErr w:type="spellEnd"/>
            <w:r w:rsidRPr="00623518">
              <w:rPr>
                <w:rFonts w:ascii="Arial" w:hAnsi="Arial" w:cs="Arial"/>
                <w:sz w:val="24"/>
                <w:szCs w:val="24"/>
              </w:rPr>
              <w:t xml:space="preserve"> </w:t>
            </w:r>
          </w:p>
          <w:p w:rsidR="008625DE" w:rsidRPr="00623518" w:rsidRDefault="008625DE" w:rsidP="00616F75">
            <w:pPr>
              <w:spacing w:line="360" w:lineRule="auto"/>
              <w:jc w:val="center"/>
              <w:rPr>
                <w:rFonts w:ascii="Arial" w:hAnsi="Arial" w:cs="Arial"/>
                <w:sz w:val="24"/>
                <w:szCs w:val="24"/>
              </w:rPr>
            </w:pPr>
            <w:r w:rsidRPr="00623518">
              <w:rPr>
                <w:rFonts w:ascii="Arial" w:hAnsi="Arial" w:cs="Arial"/>
                <w:sz w:val="24"/>
                <w:szCs w:val="24"/>
              </w:rPr>
              <w:t xml:space="preserve">Instructed by </w:t>
            </w:r>
          </w:p>
          <w:p w:rsidR="009C2E53" w:rsidRDefault="0021522C" w:rsidP="005039CC">
            <w:pPr>
              <w:spacing w:line="360" w:lineRule="auto"/>
              <w:jc w:val="center"/>
              <w:rPr>
                <w:rFonts w:ascii="Arial" w:hAnsi="Arial" w:cs="Arial"/>
                <w:sz w:val="24"/>
                <w:szCs w:val="24"/>
              </w:rPr>
            </w:pPr>
            <w:r w:rsidRPr="00623518">
              <w:rPr>
                <w:rFonts w:ascii="Arial" w:hAnsi="Arial" w:cs="Arial"/>
                <w:sz w:val="24"/>
                <w:szCs w:val="24"/>
              </w:rPr>
              <w:t>Francois Erasmus &amp; Partners</w:t>
            </w:r>
          </w:p>
          <w:p w:rsidR="00623518" w:rsidRPr="00623518" w:rsidRDefault="00623518" w:rsidP="005039CC">
            <w:pPr>
              <w:spacing w:line="360" w:lineRule="auto"/>
              <w:jc w:val="center"/>
              <w:rPr>
                <w:rFonts w:ascii="Arial" w:hAnsi="Arial" w:cs="Arial"/>
                <w:sz w:val="24"/>
                <w:szCs w:val="24"/>
              </w:rPr>
            </w:pPr>
            <w:r w:rsidRPr="00623518">
              <w:rPr>
                <w:rFonts w:ascii="Arial" w:hAnsi="Arial" w:cs="Arial"/>
                <w:sz w:val="24"/>
                <w:szCs w:val="24"/>
              </w:rPr>
              <w:t>Windhoek</w:t>
            </w:r>
          </w:p>
        </w:tc>
      </w:tr>
    </w:tbl>
    <w:p w:rsidR="006F0D59" w:rsidRPr="00FF0593" w:rsidRDefault="006F0D59">
      <w:pPr>
        <w:rPr>
          <w:rFonts w:ascii="Arial Narrow" w:hAnsi="Arial Narrow"/>
        </w:rPr>
      </w:pPr>
    </w:p>
    <w:sectPr w:rsidR="006F0D59" w:rsidRPr="00FF0593" w:rsidSect="00921456">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72B" w:rsidRDefault="001E672B" w:rsidP="009C2E53">
      <w:pPr>
        <w:spacing w:after="0" w:line="240" w:lineRule="auto"/>
      </w:pPr>
      <w:r>
        <w:separator/>
      </w:r>
    </w:p>
  </w:endnote>
  <w:endnote w:type="continuationSeparator" w:id="0">
    <w:p w:rsidR="001E672B" w:rsidRDefault="001E672B" w:rsidP="009C2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72B" w:rsidRDefault="001E672B" w:rsidP="009C2E53">
      <w:pPr>
        <w:spacing w:after="0" w:line="240" w:lineRule="auto"/>
      </w:pPr>
      <w:r>
        <w:separator/>
      </w:r>
    </w:p>
  </w:footnote>
  <w:footnote w:type="continuationSeparator" w:id="0">
    <w:p w:rsidR="001E672B" w:rsidRDefault="001E672B" w:rsidP="009C2E53">
      <w:pPr>
        <w:spacing w:after="0" w:line="240" w:lineRule="auto"/>
      </w:pPr>
      <w:r>
        <w:continuationSeparator/>
      </w:r>
    </w:p>
  </w:footnote>
  <w:footnote w:id="1">
    <w:p w:rsidR="00DF65E9" w:rsidRPr="00623518" w:rsidRDefault="00DF65E9">
      <w:pPr>
        <w:pStyle w:val="FootnoteText"/>
        <w:rPr>
          <w:rFonts w:ascii="Arial" w:hAnsi="Arial" w:cs="Arial"/>
          <w:lang w:val="en-US"/>
        </w:rPr>
      </w:pPr>
      <w:r w:rsidRPr="00DF65E9">
        <w:rPr>
          <w:rStyle w:val="FootnoteReference"/>
          <w:rFonts w:ascii="Arial" w:hAnsi="Arial" w:cs="Arial"/>
        </w:rPr>
        <w:footnoteRef/>
      </w:r>
      <w:r w:rsidRPr="00DF65E9">
        <w:rPr>
          <w:rFonts w:ascii="Arial" w:hAnsi="Arial" w:cs="Arial"/>
        </w:rPr>
        <w:t xml:space="preserve"> </w:t>
      </w:r>
      <w:r w:rsidRPr="00623518">
        <w:rPr>
          <w:rFonts w:ascii="Arial" w:hAnsi="Arial" w:cs="Arial"/>
          <w:lang w:val="en-US"/>
        </w:rPr>
        <w:t>Court Order dated 28 January 2019 under case number: HC-MD-CIV-ACT-CON-2018/0250.</w:t>
      </w:r>
    </w:p>
  </w:footnote>
  <w:footnote w:id="2">
    <w:p w:rsidR="00DF65E9" w:rsidRPr="00623518" w:rsidRDefault="00DF65E9" w:rsidP="00DF65E9">
      <w:pPr>
        <w:pStyle w:val="FootnoteText"/>
        <w:rPr>
          <w:rFonts w:ascii="Arial" w:hAnsi="Arial" w:cs="Arial"/>
          <w:lang w:val="en-US"/>
        </w:rPr>
      </w:pPr>
      <w:r w:rsidRPr="00623518">
        <w:rPr>
          <w:rStyle w:val="FootnoteReference"/>
          <w:rFonts w:ascii="Arial" w:hAnsi="Arial" w:cs="Arial"/>
        </w:rPr>
        <w:footnoteRef/>
      </w:r>
      <w:r w:rsidRPr="00623518">
        <w:rPr>
          <w:rFonts w:ascii="Arial" w:hAnsi="Arial" w:cs="Arial"/>
        </w:rPr>
        <w:t xml:space="preserve"> </w:t>
      </w:r>
      <w:r w:rsidRPr="00623518">
        <w:rPr>
          <w:rFonts w:ascii="Arial" w:hAnsi="Arial" w:cs="Arial"/>
          <w:lang w:val="en-US"/>
        </w:rPr>
        <w:t>Court Order dated 11 March 2019 under case number: HC-MD-CIV-ACT-CON-2018/0250.</w:t>
      </w:r>
    </w:p>
    <w:p w:rsidR="00DF65E9" w:rsidRPr="00623518" w:rsidRDefault="00DF65E9">
      <w:pPr>
        <w:pStyle w:val="FootnoteText"/>
        <w:rPr>
          <w:rFonts w:ascii="Arial" w:hAnsi="Arial" w:cs="Arial"/>
          <w:lang w:val="en-US"/>
        </w:rPr>
      </w:pPr>
    </w:p>
  </w:footnote>
  <w:footnote w:id="3">
    <w:p w:rsidR="00A711E5" w:rsidRPr="00623518" w:rsidRDefault="00A711E5" w:rsidP="00563EA6">
      <w:pPr>
        <w:pStyle w:val="FootnoteText"/>
        <w:jc w:val="both"/>
        <w:rPr>
          <w:rFonts w:ascii="Arial" w:hAnsi="Arial" w:cs="Arial"/>
          <w:lang w:val="en-US"/>
        </w:rPr>
      </w:pPr>
      <w:r w:rsidRPr="00534896">
        <w:rPr>
          <w:rStyle w:val="FootnoteReference"/>
          <w:rFonts w:ascii="Arial" w:hAnsi="Arial" w:cs="Arial"/>
        </w:rPr>
        <w:footnoteRef/>
      </w:r>
      <w:r w:rsidRPr="00534896">
        <w:rPr>
          <w:rFonts w:ascii="Arial" w:hAnsi="Arial" w:cs="Arial"/>
        </w:rPr>
        <w:t xml:space="preserve"> </w:t>
      </w:r>
      <w:r w:rsidRPr="00623518">
        <w:rPr>
          <w:rFonts w:ascii="Arial" w:hAnsi="Arial" w:cs="Arial"/>
          <w:i/>
        </w:rPr>
        <w:t>S K v S K</w:t>
      </w:r>
      <w:r w:rsidRPr="00623518">
        <w:rPr>
          <w:rFonts w:ascii="Arial" w:hAnsi="Arial" w:cs="Arial"/>
        </w:rPr>
        <w:t xml:space="preserve"> (I 3754/ 2012) [2017] NAHCMD 344 (17 November 2017).</w:t>
      </w:r>
    </w:p>
  </w:footnote>
  <w:footnote w:id="4">
    <w:p w:rsidR="00822C7B" w:rsidRPr="00AD7C23" w:rsidRDefault="00822C7B" w:rsidP="00563EA6">
      <w:pPr>
        <w:pStyle w:val="FootnoteText"/>
        <w:jc w:val="both"/>
        <w:rPr>
          <w:rFonts w:ascii="Arial Narrow" w:hAnsi="Arial Narrow" w:cs="Arial"/>
        </w:rPr>
      </w:pPr>
      <w:r w:rsidRPr="00AD7C23">
        <w:rPr>
          <w:rStyle w:val="FootnoteReference"/>
          <w:rFonts w:ascii="Arial Narrow" w:hAnsi="Arial Narrow" w:cs="Arial"/>
        </w:rPr>
        <w:footnoteRef/>
      </w:r>
      <w:r w:rsidRPr="00AD7C23">
        <w:rPr>
          <w:rFonts w:ascii="Arial Narrow" w:hAnsi="Arial Narrow" w:cs="Arial"/>
        </w:rPr>
        <w:t xml:space="preserve"> </w:t>
      </w:r>
      <w:proofErr w:type="spellStart"/>
      <w:r w:rsidRPr="00AD7C23">
        <w:rPr>
          <w:rFonts w:ascii="Arial Narrow" w:hAnsi="Arial Narrow" w:cs="Arial"/>
          <w:i/>
        </w:rPr>
        <w:t>Bafokeng</w:t>
      </w:r>
      <w:proofErr w:type="spellEnd"/>
      <w:r w:rsidRPr="00AD7C23">
        <w:rPr>
          <w:rFonts w:ascii="Arial Narrow" w:hAnsi="Arial Narrow" w:cs="Arial"/>
          <w:i/>
        </w:rPr>
        <w:t xml:space="preserve"> Tribe v Impala Platinum Ltd and Others</w:t>
      </w:r>
      <w:r w:rsidRPr="00AD7C23">
        <w:rPr>
          <w:rFonts w:ascii="Arial Narrow" w:hAnsi="Arial Narrow" w:cs="Arial"/>
        </w:rPr>
        <w:t> 1999 (3) SA 517 (B) at 566B - 567B</w:t>
      </w:r>
      <w:r w:rsidR="007E712D" w:rsidRPr="00AD7C23">
        <w:rPr>
          <w:rFonts w:ascii="Arial Narrow" w:hAnsi="Arial Narrow" w:cs="Arial"/>
        </w:rPr>
        <w:t>.</w:t>
      </w:r>
    </w:p>
  </w:footnote>
  <w:footnote w:id="5">
    <w:p w:rsidR="00822C7B" w:rsidRPr="00AD7C23" w:rsidRDefault="00822C7B" w:rsidP="00563EA6">
      <w:pPr>
        <w:pStyle w:val="FootnoteText"/>
        <w:jc w:val="both"/>
        <w:rPr>
          <w:rFonts w:ascii="Arial Narrow" w:hAnsi="Arial Narrow" w:cs="Arial"/>
          <w:lang w:val="en-US"/>
        </w:rPr>
      </w:pPr>
      <w:r w:rsidRPr="00AD7C23">
        <w:rPr>
          <w:rStyle w:val="FootnoteReference"/>
          <w:rFonts w:ascii="Arial Narrow" w:hAnsi="Arial Narrow" w:cs="Arial"/>
        </w:rPr>
        <w:footnoteRef/>
      </w:r>
      <w:r w:rsidRPr="00AD7C23">
        <w:rPr>
          <w:rFonts w:ascii="Arial Narrow" w:hAnsi="Arial Narrow" w:cs="Arial"/>
        </w:rPr>
        <w:t xml:space="preserve"> </w:t>
      </w:r>
      <w:r w:rsidR="00534896" w:rsidRPr="00AD7C23">
        <w:rPr>
          <w:rFonts w:ascii="Arial Narrow" w:hAnsi="Arial Narrow" w:cs="Arial"/>
          <w:i/>
          <w:lang w:val="en-US"/>
        </w:rPr>
        <w:t xml:space="preserve">Coetzee vs Eva Salt Traders and </w:t>
      </w:r>
      <w:r w:rsidR="00C369A8" w:rsidRPr="00AD7C23">
        <w:rPr>
          <w:rFonts w:ascii="Arial Narrow" w:hAnsi="Arial Narrow" w:cs="Arial"/>
          <w:i/>
          <w:lang w:val="en-US"/>
        </w:rPr>
        <w:t>F</w:t>
      </w:r>
      <w:r w:rsidR="00534896" w:rsidRPr="00AD7C23">
        <w:rPr>
          <w:rFonts w:ascii="Arial Narrow" w:hAnsi="Arial Narrow" w:cs="Arial"/>
          <w:i/>
          <w:lang w:val="en-US"/>
        </w:rPr>
        <w:t xml:space="preserve">our </w:t>
      </w:r>
      <w:r w:rsidR="00C369A8" w:rsidRPr="00AD7C23">
        <w:rPr>
          <w:rFonts w:ascii="Arial Narrow" w:hAnsi="Arial Narrow" w:cs="Arial"/>
          <w:i/>
          <w:lang w:val="en-US"/>
        </w:rPr>
        <w:t>O</w:t>
      </w:r>
      <w:r w:rsidR="00534896" w:rsidRPr="00AD7C23">
        <w:rPr>
          <w:rFonts w:ascii="Arial Narrow" w:hAnsi="Arial Narrow" w:cs="Arial"/>
          <w:i/>
          <w:lang w:val="en-US"/>
        </w:rPr>
        <w:t>thers</w:t>
      </w:r>
      <w:r w:rsidR="00534896" w:rsidRPr="00AD7C23">
        <w:rPr>
          <w:rFonts w:ascii="Arial Narrow" w:hAnsi="Arial Narrow" w:cs="Arial"/>
          <w:lang w:val="en-US"/>
        </w:rPr>
        <w:t xml:space="preserve"> (I 2728/2012) [2016] NAHCMD 359 (8 November 2016).</w:t>
      </w:r>
    </w:p>
  </w:footnote>
  <w:footnote w:id="6">
    <w:p w:rsidR="0097491B" w:rsidRPr="00AD7C23" w:rsidRDefault="0097491B" w:rsidP="00563EA6">
      <w:pPr>
        <w:pStyle w:val="FootnoteText"/>
        <w:jc w:val="both"/>
        <w:rPr>
          <w:rFonts w:ascii="Arial Narrow" w:hAnsi="Arial Narrow" w:cs="Arial"/>
          <w:lang w:val="en-ZA"/>
        </w:rPr>
      </w:pPr>
      <w:r w:rsidRPr="00AD7C23">
        <w:rPr>
          <w:rStyle w:val="FootnoteReference"/>
          <w:rFonts w:ascii="Arial Narrow" w:hAnsi="Arial Narrow"/>
        </w:rPr>
        <w:footnoteRef/>
      </w:r>
      <w:r w:rsidR="00FD2FD0" w:rsidRPr="00AD7C23">
        <w:rPr>
          <w:rFonts w:ascii="Arial Narrow" w:hAnsi="Arial Narrow" w:cs="Arial"/>
          <w:i/>
        </w:rPr>
        <w:t xml:space="preserve"> </w:t>
      </w:r>
      <w:r w:rsidR="00FD2FD0" w:rsidRPr="00AD7C23">
        <w:rPr>
          <w:rFonts w:ascii="Arial Narrow" w:hAnsi="Arial Narrow" w:cs="Arial"/>
        </w:rPr>
        <w:t xml:space="preserve">Case No </w:t>
      </w:r>
      <w:proofErr w:type="gramStart"/>
      <w:r w:rsidR="00FD2FD0" w:rsidRPr="00AD7C23">
        <w:rPr>
          <w:rFonts w:ascii="Arial Narrow" w:hAnsi="Arial Narrow" w:cs="Arial"/>
        </w:rPr>
        <w:t>A</w:t>
      </w:r>
      <w:proofErr w:type="gramEnd"/>
      <w:r w:rsidR="00FD2FD0" w:rsidRPr="00AD7C23">
        <w:rPr>
          <w:rFonts w:ascii="Arial Narrow" w:hAnsi="Arial Narrow" w:cs="Arial"/>
        </w:rPr>
        <w:t xml:space="preserve"> 209/2008 judgment of the High Court delivered </w:t>
      </w:r>
      <w:proofErr w:type="spellStart"/>
      <w:r w:rsidR="00AD7C23" w:rsidRPr="00AD7C23">
        <w:rPr>
          <w:rFonts w:ascii="Arial Narrow" w:hAnsi="Arial Narrow" w:cs="Arial"/>
        </w:rPr>
        <w:t>delivered</w:t>
      </w:r>
      <w:proofErr w:type="spellEnd"/>
      <w:r w:rsidR="00AD7C23" w:rsidRPr="00AD7C23">
        <w:rPr>
          <w:rFonts w:ascii="Arial Narrow" w:hAnsi="Arial Narrow" w:cs="Arial"/>
        </w:rPr>
        <w:t xml:space="preserve"> on 23 January 2012</w:t>
      </w:r>
      <w:r w:rsidR="00FD2FD0" w:rsidRPr="00AD7C23">
        <w:rPr>
          <w:rFonts w:ascii="Arial Narrow" w:hAnsi="Arial Narrow" w:cs="Arial"/>
        </w:rPr>
        <w:t xml:space="preserve">. </w:t>
      </w:r>
    </w:p>
  </w:footnote>
  <w:footnote w:id="7">
    <w:p w:rsidR="00CD03B0" w:rsidRPr="00AD7C23" w:rsidRDefault="00CD03B0" w:rsidP="00563EA6">
      <w:pPr>
        <w:pStyle w:val="FootnoteText"/>
        <w:jc w:val="both"/>
        <w:rPr>
          <w:rFonts w:ascii="Arial Narrow" w:hAnsi="Arial Narrow" w:cs="Arial"/>
          <w:lang w:val="en-US"/>
        </w:rPr>
      </w:pPr>
      <w:r w:rsidRPr="00AD7C23">
        <w:rPr>
          <w:rStyle w:val="FootnoteReference"/>
          <w:rFonts w:ascii="Arial Narrow" w:hAnsi="Arial Narrow"/>
        </w:rPr>
        <w:footnoteRef/>
      </w:r>
      <w:r w:rsidRPr="00AD7C23">
        <w:rPr>
          <w:rFonts w:ascii="Arial Narrow" w:hAnsi="Arial Narrow"/>
        </w:rPr>
        <w:t xml:space="preserve"> </w:t>
      </w:r>
      <w:proofErr w:type="spellStart"/>
      <w:r w:rsidRPr="00AD7C23">
        <w:rPr>
          <w:rFonts w:ascii="Arial Narrow" w:hAnsi="Arial Narrow" w:cs="Arial"/>
          <w:i/>
          <w:lang w:val="en-US"/>
        </w:rPr>
        <w:t>Ekonolux</w:t>
      </w:r>
      <w:proofErr w:type="spellEnd"/>
      <w:r w:rsidRPr="00AD7C23">
        <w:rPr>
          <w:rFonts w:ascii="Arial Narrow" w:hAnsi="Arial Narrow" w:cs="Arial"/>
          <w:i/>
          <w:lang w:val="en-US"/>
        </w:rPr>
        <w:t xml:space="preserve"> CC and another vs </w:t>
      </w:r>
      <w:proofErr w:type="spellStart"/>
      <w:r w:rsidRPr="00AD7C23">
        <w:rPr>
          <w:rFonts w:ascii="Arial Narrow" w:hAnsi="Arial Narrow" w:cs="Arial"/>
          <w:i/>
          <w:lang w:val="en-US"/>
        </w:rPr>
        <w:t>Shadjanale</w:t>
      </w:r>
      <w:proofErr w:type="spellEnd"/>
      <w:r w:rsidRPr="00AD7C23">
        <w:rPr>
          <w:rFonts w:ascii="Arial Narrow" w:hAnsi="Arial Narrow" w:cs="Arial"/>
          <w:lang w:val="en-US"/>
        </w:rPr>
        <w:t xml:space="preserve"> (I 905/2014) [2016] NAHCMD 173 (16 June 2016). </w:t>
      </w:r>
    </w:p>
  </w:footnote>
  <w:footnote w:id="8">
    <w:p w:rsidR="00563EA6" w:rsidRPr="00AD7C23" w:rsidRDefault="00CD03B0" w:rsidP="00563EA6">
      <w:pPr>
        <w:pStyle w:val="FootnoteText"/>
        <w:jc w:val="both"/>
        <w:rPr>
          <w:rFonts w:ascii="Arial Narrow" w:hAnsi="Arial Narrow" w:cs="Arial"/>
        </w:rPr>
      </w:pPr>
      <w:r w:rsidRPr="00AD7C23">
        <w:rPr>
          <w:rStyle w:val="FootnoteReference"/>
          <w:rFonts w:ascii="Arial Narrow" w:hAnsi="Arial Narrow" w:cs="Arial"/>
        </w:rPr>
        <w:footnoteRef/>
      </w:r>
      <w:r w:rsidRPr="00AD7C23">
        <w:rPr>
          <w:rFonts w:ascii="Arial Narrow" w:hAnsi="Arial Narrow" w:cs="Arial"/>
          <w:lang w:val="en-US"/>
        </w:rPr>
        <w:t xml:space="preserve">1983 (4) SA 448 (WLD) </w:t>
      </w:r>
      <w:r w:rsidR="007213D7" w:rsidRPr="00AD7C23">
        <w:rPr>
          <w:rFonts w:ascii="Arial Narrow" w:hAnsi="Arial Narrow" w:cs="Arial"/>
          <w:lang w:val="en-US"/>
        </w:rPr>
        <w:t xml:space="preserve">at 550 H. </w:t>
      </w:r>
    </w:p>
  </w:footnote>
  <w:footnote w:id="9">
    <w:p w:rsidR="00B66EAC" w:rsidRPr="00B66EAC" w:rsidRDefault="00B66EAC">
      <w:pPr>
        <w:pStyle w:val="FootnoteText"/>
        <w:rPr>
          <w:lang w:val="en-ZA"/>
        </w:rPr>
      </w:pPr>
      <w:r>
        <w:rPr>
          <w:rStyle w:val="FootnoteReference"/>
        </w:rPr>
        <w:footnoteRef/>
      </w:r>
      <w:r>
        <w:t xml:space="preserve"> </w:t>
      </w:r>
      <w:r w:rsidRPr="00B66EAC">
        <w:rPr>
          <w:rFonts w:ascii="Arial Narrow" w:hAnsi="Arial Narrow" w:cs="Arial"/>
        </w:rPr>
        <w:t>1993 (1) SA 523 (A) ([1992] at</w:t>
      </w:r>
      <w:r>
        <w:rPr>
          <w:rFonts w:ascii="Arial Narrow" w:hAnsi="Arial Narrow" w:cs="Arial"/>
        </w:rPr>
        <w:t xml:space="preserve"> </w:t>
      </w:r>
      <w:r w:rsidRPr="00B66EAC">
        <w:rPr>
          <w:rFonts w:ascii="Arial Narrow" w:hAnsi="Arial Narrow" w:cs="Arial"/>
        </w:rPr>
        <w:t>531I to 533F</w:t>
      </w:r>
      <w:r>
        <w:rPr>
          <w:rFonts w:ascii="Arial Narrow" w:hAnsi="Arial Narrow" w:cs="Arial"/>
        </w:rPr>
        <w:t>.</w:t>
      </w:r>
    </w:p>
  </w:footnote>
  <w:footnote w:id="10">
    <w:p w:rsidR="00563EA6" w:rsidRPr="00563EA6" w:rsidRDefault="00563EA6" w:rsidP="00563EA6">
      <w:pPr>
        <w:pStyle w:val="FootnoteText"/>
        <w:jc w:val="both"/>
        <w:rPr>
          <w:rFonts w:ascii="Arial" w:hAnsi="Arial" w:cs="Arial"/>
          <w:lang w:val="en-US"/>
        </w:rPr>
      </w:pPr>
      <w:r w:rsidRPr="00AD7C23">
        <w:rPr>
          <w:rStyle w:val="FootnoteReference"/>
          <w:rFonts w:ascii="Arial Narrow" w:hAnsi="Arial Narrow" w:cs="Arial"/>
        </w:rPr>
        <w:footnoteRef/>
      </w:r>
      <w:r w:rsidRPr="00AD7C23">
        <w:rPr>
          <w:rFonts w:ascii="Arial Narrow" w:hAnsi="Arial Narrow" w:cs="Arial"/>
        </w:rPr>
        <w:t xml:space="preserve"> (SA-2011/26) [2011] NASC 12 (04 November 2011).</w:t>
      </w:r>
      <w:r w:rsidR="00AD7C23" w:rsidRPr="00AD7C23">
        <w:rPr>
          <w:rFonts w:ascii="Arial Narrow" w:hAnsi="Arial Narrow" w:cs="Arial"/>
        </w:rPr>
        <w:t xml:space="preserve"> Also see</w:t>
      </w:r>
      <w:r w:rsidR="00AD7C23" w:rsidRPr="00AD7C23">
        <w:rPr>
          <w:rFonts w:ascii="Arial Narrow" w:hAnsi="Arial Narrow" w:cs="Arial"/>
          <w:i/>
        </w:rPr>
        <w:t xml:space="preserve"> Hollard Insurance Company of Namibia Limited v Minister of Finance</w:t>
      </w:r>
      <w:r w:rsidR="00AD7C23" w:rsidRPr="00AD7C23">
        <w:rPr>
          <w:rFonts w:ascii="Arial Narrow" w:hAnsi="Arial Narrow" w:cs="Arial"/>
        </w:rPr>
        <w:t xml:space="preserve"> (HC-MD-CIV-MOT-GEN-2017/00220) [2019] NAHCMD 136 (02 April 2019).</w:t>
      </w:r>
    </w:p>
  </w:footnote>
  <w:footnote w:id="11">
    <w:p w:rsidR="0078066A" w:rsidRPr="00623518" w:rsidRDefault="0078066A" w:rsidP="00563EA6">
      <w:pPr>
        <w:pStyle w:val="FootnoteText"/>
        <w:jc w:val="both"/>
        <w:rPr>
          <w:rFonts w:ascii="Arial" w:hAnsi="Arial" w:cs="Arial"/>
          <w:lang w:val="en-US"/>
        </w:rPr>
      </w:pPr>
      <w:r w:rsidRPr="00563EA6">
        <w:rPr>
          <w:rStyle w:val="FootnoteReference"/>
          <w:rFonts w:ascii="Arial" w:hAnsi="Arial" w:cs="Arial"/>
        </w:rPr>
        <w:footnoteRef/>
      </w:r>
      <w:r w:rsidRPr="00563EA6">
        <w:rPr>
          <w:rFonts w:ascii="Arial" w:hAnsi="Arial" w:cs="Arial"/>
        </w:rPr>
        <w:t xml:space="preserve"> </w:t>
      </w:r>
      <w:r w:rsidRPr="00623518">
        <w:rPr>
          <w:rFonts w:ascii="Arial" w:hAnsi="Arial" w:cs="Arial"/>
          <w:i/>
          <w:lang w:val="en-US"/>
        </w:rPr>
        <w:t>South Cape Corporation (Pty) Ltd v Engineering Management Services (Pty) Ltd</w:t>
      </w:r>
      <w:r w:rsidRPr="00623518">
        <w:rPr>
          <w:rFonts w:ascii="Arial" w:hAnsi="Arial" w:cs="Arial"/>
          <w:lang w:val="en-US"/>
        </w:rPr>
        <w:t xml:space="preserve"> 1977 (3) SA 534 (A) at 550-551.</w:t>
      </w:r>
    </w:p>
  </w:footnote>
  <w:footnote w:id="12">
    <w:p w:rsidR="0078066A" w:rsidRPr="00623518" w:rsidRDefault="0078066A" w:rsidP="00563EA6">
      <w:pPr>
        <w:pStyle w:val="FootnoteText"/>
        <w:jc w:val="both"/>
        <w:rPr>
          <w:rFonts w:ascii="Arial" w:hAnsi="Arial" w:cs="Arial"/>
          <w:lang w:val="en-US"/>
        </w:rPr>
      </w:pPr>
      <w:r w:rsidRPr="00623518">
        <w:rPr>
          <w:rStyle w:val="FootnoteReference"/>
          <w:rFonts w:ascii="Arial" w:hAnsi="Arial" w:cs="Arial"/>
        </w:rPr>
        <w:footnoteRef/>
      </w:r>
      <w:r w:rsidRPr="00623518">
        <w:rPr>
          <w:rFonts w:ascii="Arial" w:hAnsi="Arial" w:cs="Arial"/>
        </w:rPr>
        <w:t xml:space="preserve"> </w:t>
      </w:r>
      <w:r w:rsidR="00E14B77" w:rsidRPr="00623518">
        <w:rPr>
          <w:rFonts w:ascii="Arial" w:hAnsi="Arial" w:cs="Arial"/>
          <w:i/>
        </w:rPr>
        <w:t xml:space="preserve">Elias Andreas v </w:t>
      </w:r>
      <w:proofErr w:type="spellStart"/>
      <w:r w:rsidR="00E14B77" w:rsidRPr="00623518">
        <w:rPr>
          <w:rFonts w:ascii="Arial" w:hAnsi="Arial" w:cs="Arial"/>
          <w:i/>
        </w:rPr>
        <w:t>Namutenya</w:t>
      </w:r>
      <w:proofErr w:type="spellEnd"/>
      <w:r w:rsidR="00E14B77" w:rsidRPr="00623518">
        <w:rPr>
          <w:rFonts w:ascii="Arial" w:hAnsi="Arial" w:cs="Arial"/>
        </w:rPr>
        <w:t xml:space="preserve"> (I 130/2014) [2016] NAHCNLD 08 (12 February 2016).</w:t>
      </w:r>
    </w:p>
  </w:footnote>
  <w:footnote w:id="13">
    <w:p w:rsidR="00307D85" w:rsidRPr="00623518" w:rsidRDefault="00307D85" w:rsidP="00563EA6">
      <w:pPr>
        <w:pStyle w:val="FootnoteText"/>
        <w:jc w:val="both"/>
        <w:rPr>
          <w:rFonts w:ascii="Arial" w:hAnsi="Arial" w:cs="Arial"/>
          <w:lang w:val="en-US"/>
        </w:rPr>
      </w:pPr>
      <w:r w:rsidRPr="00623518">
        <w:rPr>
          <w:rStyle w:val="FootnoteReference"/>
          <w:rFonts w:ascii="Arial" w:hAnsi="Arial" w:cs="Arial"/>
        </w:rPr>
        <w:footnoteRef/>
      </w:r>
      <w:r w:rsidRPr="00623518">
        <w:rPr>
          <w:rFonts w:ascii="Arial" w:hAnsi="Arial" w:cs="Arial"/>
        </w:rPr>
        <w:t xml:space="preserve"> (HC-MD-CIV-MOT-GEN-2017/00443) [2018] NAHCMD 406 (14 December 2018).</w:t>
      </w:r>
    </w:p>
  </w:footnote>
  <w:footnote w:id="14">
    <w:p w:rsidR="00F12505" w:rsidRPr="00623518" w:rsidRDefault="00F12505" w:rsidP="00563EA6">
      <w:pPr>
        <w:pStyle w:val="FootnoteText"/>
        <w:jc w:val="both"/>
        <w:rPr>
          <w:rFonts w:ascii="Arial" w:hAnsi="Arial" w:cs="Arial"/>
          <w:lang w:val="en-US"/>
        </w:rPr>
      </w:pPr>
      <w:r w:rsidRPr="00B66EAC">
        <w:rPr>
          <w:rStyle w:val="FootnoteReference"/>
          <w:rFonts w:ascii="Arial Narrow" w:hAnsi="Arial Narrow" w:cs="Arial"/>
        </w:rPr>
        <w:footnoteRef/>
      </w:r>
      <w:r w:rsidRPr="00B66EAC">
        <w:rPr>
          <w:rFonts w:ascii="Arial Narrow" w:hAnsi="Arial Narrow" w:cs="Arial"/>
        </w:rPr>
        <w:t xml:space="preserve"> </w:t>
      </w:r>
      <w:r w:rsidRPr="00623518">
        <w:rPr>
          <w:rFonts w:ascii="Arial" w:hAnsi="Arial" w:cs="Arial"/>
          <w:lang w:val="en-US"/>
        </w:rPr>
        <w:t xml:space="preserve">See heads of arguments par 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874228"/>
      <w:docPartObj>
        <w:docPartGallery w:val="Page Numbers (Top of Page)"/>
        <w:docPartUnique/>
      </w:docPartObj>
    </w:sdtPr>
    <w:sdtEndPr>
      <w:rPr>
        <w:rFonts w:ascii="Arial Narrow" w:hAnsi="Arial Narrow"/>
        <w:noProof/>
      </w:rPr>
    </w:sdtEndPr>
    <w:sdtContent>
      <w:p w:rsidR="00921456" w:rsidRPr="00921456" w:rsidRDefault="00921456">
        <w:pPr>
          <w:pStyle w:val="Header"/>
          <w:jc w:val="right"/>
          <w:rPr>
            <w:rFonts w:ascii="Arial Narrow" w:hAnsi="Arial Narrow"/>
          </w:rPr>
        </w:pPr>
        <w:r w:rsidRPr="00921456">
          <w:rPr>
            <w:rFonts w:ascii="Arial Narrow" w:hAnsi="Arial Narrow"/>
          </w:rPr>
          <w:fldChar w:fldCharType="begin"/>
        </w:r>
        <w:r w:rsidRPr="00921456">
          <w:rPr>
            <w:rFonts w:ascii="Arial Narrow" w:hAnsi="Arial Narrow"/>
          </w:rPr>
          <w:instrText xml:space="preserve"> PAGE   \* MERGEFORMAT </w:instrText>
        </w:r>
        <w:r w:rsidRPr="00921456">
          <w:rPr>
            <w:rFonts w:ascii="Arial Narrow" w:hAnsi="Arial Narrow"/>
          </w:rPr>
          <w:fldChar w:fldCharType="separate"/>
        </w:r>
        <w:r w:rsidR="00623518">
          <w:rPr>
            <w:rFonts w:ascii="Arial Narrow" w:hAnsi="Arial Narrow"/>
            <w:noProof/>
          </w:rPr>
          <w:t>11</w:t>
        </w:r>
        <w:r w:rsidRPr="00921456">
          <w:rPr>
            <w:rFonts w:ascii="Arial Narrow" w:hAnsi="Arial Narrow"/>
            <w:noProof/>
          </w:rPr>
          <w:fldChar w:fldCharType="end"/>
        </w:r>
      </w:p>
    </w:sdtContent>
  </w:sdt>
  <w:p w:rsidR="00921456" w:rsidRDefault="00921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288F"/>
    <w:multiLevelType w:val="hybridMultilevel"/>
    <w:tmpl w:val="F846438A"/>
    <w:lvl w:ilvl="0" w:tplc="59125E7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736C3"/>
    <w:multiLevelType w:val="hybridMultilevel"/>
    <w:tmpl w:val="4358DD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FCF2302"/>
    <w:multiLevelType w:val="hybridMultilevel"/>
    <w:tmpl w:val="FD847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891BC8"/>
    <w:multiLevelType w:val="hybridMultilevel"/>
    <w:tmpl w:val="7B20DA50"/>
    <w:lvl w:ilvl="0" w:tplc="4614DE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B861546"/>
    <w:multiLevelType w:val="hybridMultilevel"/>
    <w:tmpl w:val="CA1ABD48"/>
    <w:lvl w:ilvl="0" w:tplc="B9BE31F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7F509B6"/>
    <w:multiLevelType w:val="hybridMultilevel"/>
    <w:tmpl w:val="297A7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B3A1816"/>
    <w:multiLevelType w:val="hybridMultilevel"/>
    <w:tmpl w:val="7CA0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72016C"/>
    <w:multiLevelType w:val="hybridMultilevel"/>
    <w:tmpl w:val="6FDE0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D267F0"/>
    <w:multiLevelType w:val="hybridMultilevel"/>
    <w:tmpl w:val="3F54C9AA"/>
    <w:lvl w:ilvl="0" w:tplc="159A188E">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6F33512E"/>
    <w:multiLevelType w:val="hybridMultilevel"/>
    <w:tmpl w:val="F8740784"/>
    <w:lvl w:ilvl="0" w:tplc="AF90C65C">
      <w:start w:val="1"/>
      <w:numFmt w:val="decimal"/>
      <w:lvlText w:val="%1."/>
      <w:lvlJc w:val="left"/>
      <w:pPr>
        <w:ind w:left="720" w:hanging="360"/>
      </w:pPr>
      <w:rPr>
        <w:rFonts w:ascii="Arial" w:hAnsi="Arial" w:cs="Aria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E53"/>
    <w:rsid w:val="00004E1C"/>
    <w:rsid w:val="0001446E"/>
    <w:rsid w:val="00034BC6"/>
    <w:rsid w:val="00075844"/>
    <w:rsid w:val="000A193C"/>
    <w:rsid w:val="000D4D37"/>
    <w:rsid w:val="00130A70"/>
    <w:rsid w:val="0013278F"/>
    <w:rsid w:val="001779B3"/>
    <w:rsid w:val="001844BF"/>
    <w:rsid w:val="00192626"/>
    <w:rsid w:val="00194474"/>
    <w:rsid w:val="001D51E3"/>
    <w:rsid w:val="001E672B"/>
    <w:rsid w:val="001E704F"/>
    <w:rsid w:val="002120B7"/>
    <w:rsid w:val="0021522C"/>
    <w:rsid w:val="00220C52"/>
    <w:rsid w:val="00222BB5"/>
    <w:rsid w:val="00225D4A"/>
    <w:rsid w:val="0024688C"/>
    <w:rsid w:val="00297DDA"/>
    <w:rsid w:val="002D0858"/>
    <w:rsid w:val="002D46ED"/>
    <w:rsid w:val="00307D85"/>
    <w:rsid w:val="00310BE8"/>
    <w:rsid w:val="00332A4E"/>
    <w:rsid w:val="0034027A"/>
    <w:rsid w:val="00341784"/>
    <w:rsid w:val="003C1E7C"/>
    <w:rsid w:val="004112EC"/>
    <w:rsid w:val="00451B47"/>
    <w:rsid w:val="00462A98"/>
    <w:rsid w:val="0048044D"/>
    <w:rsid w:val="00485708"/>
    <w:rsid w:val="0049169F"/>
    <w:rsid w:val="00492B9B"/>
    <w:rsid w:val="004A57AA"/>
    <w:rsid w:val="004B2FE6"/>
    <w:rsid w:val="004B6EAA"/>
    <w:rsid w:val="004C216B"/>
    <w:rsid w:val="005039CC"/>
    <w:rsid w:val="005216C7"/>
    <w:rsid w:val="00526AE0"/>
    <w:rsid w:val="00532D35"/>
    <w:rsid w:val="00534896"/>
    <w:rsid w:val="00545657"/>
    <w:rsid w:val="005508CE"/>
    <w:rsid w:val="00563EA6"/>
    <w:rsid w:val="005853ED"/>
    <w:rsid w:val="005A6850"/>
    <w:rsid w:val="005B3E21"/>
    <w:rsid w:val="005D26FB"/>
    <w:rsid w:val="006128D6"/>
    <w:rsid w:val="00616F75"/>
    <w:rsid w:val="00623518"/>
    <w:rsid w:val="00625537"/>
    <w:rsid w:val="00635F3C"/>
    <w:rsid w:val="0064550A"/>
    <w:rsid w:val="006541D3"/>
    <w:rsid w:val="00665781"/>
    <w:rsid w:val="006B1FAF"/>
    <w:rsid w:val="006B7528"/>
    <w:rsid w:val="006D4DDF"/>
    <w:rsid w:val="006E333C"/>
    <w:rsid w:val="006F0D59"/>
    <w:rsid w:val="006F4187"/>
    <w:rsid w:val="00701F37"/>
    <w:rsid w:val="00702353"/>
    <w:rsid w:val="0071150C"/>
    <w:rsid w:val="007213D7"/>
    <w:rsid w:val="00731D96"/>
    <w:rsid w:val="00732ACD"/>
    <w:rsid w:val="007769C4"/>
    <w:rsid w:val="0078066A"/>
    <w:rsid w:val="0078556A"/>
    <w:rsid w:val="00790237"/>
    <w:rsid w:val="007A1297"/>
    <w:rsid w:val="007A4F8E"/>
    <w:rsid w:val="007C3A10"/>
    <w:rsid w:val="007C3CB4"/>
    <w:rsid w:val="007D16A2"/>
    <w:rsid w:val="007E712D"/>
    <w:rsid w:val="00822C7B"/>
    <w:rsid w:val="00860CCB"/>
    <w:rsid w:val="008625DE"/>
    <w:rsid w:val="00862855"/>
    <w:rsid w:val="008A08AC"/>
    <w:rsid w:val="008A5601"/>
    <w:rsid w:val="008D19DA"/>
    <w:rsid w:val="00910DF7"/>
    <w:rsid w:val="00921456"/>
    <w:rsid w:val="00932FFB"/>
    <w:rsid w:val="00955D5B"/>
    <w:rsid w:val="0097491B"/>
    <w:rsid w:val="00985AEF"/>
    <w:rsid w:val="009A0698"/>
    <w:rsid w:val="009A5A4D"/>
    <w:rsid w:val="009B4064"/>
    <w:rsid w:val="009B6FFE"/>
    <w:rsid w:val="009C2E53"/>
    <w:rsid w:val="009C4044"/>
    <w:rsid w:val="009E2E4C"/>
    <w:rsid w:val="009F5E08"/>
    <w:rsid w:val="00A113DF"/>
    <w:rsid w:val="00A31196"/>
    <w:rsid w:val="00A425A3"/>
    <w:rsid w:val="00A6384C"/>
    <w:rsid w:val="00A64F72"/>
    <w:rsid w:val="00A711E5"/>
    <w:rsid w:val="00A82549"/>
    <w:rsid w:val="00A91A42"/>
    <w:rsid w:val="00AA5692"/>
    <w:rsid w:val="00AA56A3"/>
    <w:rsid w:val="00AD7C23"/>
    <w:rsid w:val="00AE74DE"/>
    <w:rsid w:val="00B00440"/>
    <w:rsid w:val="00B1705C"/>
    <w:rsid w:val="00B277F8"/>
    <w:rsid w:val="00B3518F"/>
    <w:rsid w:val="00B51EC6"/>
    <w:rsid w:val="00B66EAC"/>
    <w:rsid w:val="00B83235"/>
    <w:rsid w:val="00B94B8A"/>
    <w:rsid w:val="00B977BB"/>
    <w:rsid w:val="00BA4F59"/>
    <w:rsid w:val="00BA589D"/>
    <w:rsid w:val="00BB4C55"/>
    <w:rsid w:val="00BE2D9E"/>
    <w:rsid w:val="00BE4D00"/>
    <w:rsid w:val="00BF01F9"/>
    <w:rsid w:val="00C23A13"/>
    <w:rsid w:val="00C25CDA"/>
    <w:rsid w:val="00C369A8"/>
    <w:rsid w:val="00C52D1B"/>
    <w:rsid w:val="00C66110"/>
    <w:rsid w:val="00C7604E"/>
    <w:rsid w:val="00C82668"/>
    <w:rsid w:val="00C85529"/>
    <w:rsid w:val="00C9626D"/>
    <w:rsid w:val="00CA718B"/>
    <w:rsid w:val="00CC1C2A"/>
    <w:rsid w:val="00CD03B0"/>
    <w:rsid w:val="00CF7897"/>
    <w:rsid w:val="00D6756C"/>
    <w:rsid w:val="00D84DD7"/>
    <w:rsid w:val="00DA6FFF"/>
    <w:rsid w:val="00DB74B4"/>
    <w:rsid w:val="00DC00AE"/>
    <w:rsid w:val="00DF65E9"/>
    <w:rsid w:val="00E14B77"/>
    <w:rsid w:val="00E24CC4"/>
    <w:rsid w:val="00E51483"/>
    <w:rsid w:val="00E6536C"/>
    <w:rsid w:val="00E65ECF"/>
    <w:rsid w:val="00E718EA"/>
    <w:rsid w:val="00E866FE"/>
    <w:rsid w:val="00E92046"/>
    <w:rsid w:val="00EC4D27"/>
    <w:rsid w:val="00EE6EEE"/>
    <w:rsid w:val="00EF087E"/>
    <w:rsid w:val="00EF5666"/>
    <w:rsid w:val="00EF706E"/>
    <w:rsid w:val="00F02805"/>
    <w:rsid w:val="00F12505"/>
    <w:rsid w:val="00F771BA"/>
    <w:rsid w:val="00F81C5A"/>
    <w:rsid w:val="00FD2FD0"/>
    <w:rsid w:val="00FF0593"/>
    <w:rsid w:val="00FF3B60"/>
    <w:rsid w:val="00FF4B75"/>
    <w:rsid w:val="00FF4BA7"/>
    <w:rsid w:val="00FF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3881E-8575-46A1-88B8-27EAC63B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E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E53"/>
    <w:pPr>
      <w:ind w:left="720"/>
      <w:contextualSpacing/>
    </w:pPr>
  </w:style>
  <w:style w:type="paragraph" w:styleId="FootnoteText">
    <w:name w:val="footnote text"/>
    <w:basedOn w:val="Normal"/>
    <w:link w:val="FootnoteTextChar"/>
    <w:uiPriority w:val="99"/>
    <w:unhideWhenUsed/>
    <w:rsid w:val="009C2E53"/>
    <w:pPr>
      <w:spacing w:after="0" w:line="240" w:lineRule="auto"/>
    </w:pPr>
    <w:rPr>
      <w:rFonts w:ascii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9C2E53"/>
    <w:rPr>
      <w:rFonts w:asciiTheme="minorHAnsi" w:hAnsiTheme="minorHAnsi" w:cstheme="minorBidi"/>
      <w:sz w:val="20"/>
      <w:szCs w:val="20"/>
      <w:lang w:val="en-GB"/>
    </w:rPr>
  </w:style>
  <w:style w:type="character" w:styleId="FootnoteReference">
    <w:name w:val="footnote reference"/>
    <w:basedOn w:val="DefaultParagraphFont"/>
    <w:uiPriority w:val="99"/>
    <w:unhideWhenUsed/>
    <w:rsid w:val="009C2E53"/>
    <w:rPr>
      <w:vertAlign w:val="superscript"/>
    </w:rPr>
  </w:style>
  <w:style w:type="table" w:styleId="TableGrid">
    <w:name w:val="Table Grid"/>
    <w:basedOn w:val="TableNormal"/>
    <w:uiPriority w:val="39"/>
    <w:rsid w:val="009C2E53"/>
    <w:pPr>
      <w:spacing w:after="0" w:line="240" w:lineRule="auto"/>
    </w:pPr>
    <w:rPr>
      <w:rFonts w:asciiTheme="minorHAnsi" w:hAnsiTheme="minorHAnsi" w:cstheme="minorBid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control-static">
    <w:name w:val="form-control-static"/>
    <w:basedOn w:val="Normal"/>
    <w:rsid w:val="009C2E53"/>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unhideWhenUsed/>
    <w:rsid w:val="009C2E53"/>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rsid w:val="009C2E53"/>
    <w:pPr>
      <w:spacing w:after="0" w:line="240" w:lineRule="auto"/>
      <w:jc w:val="center"/>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9C2E53"/>
    <w:rPr>
      <w:rFonts w:ascii="Times New Roman" w:eastAsia="Times New Roman" w:hAnsi="Times New Roman" w:cs="Times New Roman"/>
      <w:lang w:val="en-GB"/>
    </w:rPr>
  </w:style>
  <w:style w:type="paragraph" w:styleId="Header">
    <w:name w:val="header"/>
    <w:basedOn w:val="Normal"/>
    <w:link w:val="HeaderChar"/>
    <w:uiPriority w:val="99"/>
    <w:unhideWhenUsed/>
    <w:rsid w:val="0092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456"/>
  </w:style>
  <w:style w:type="paragraph" w:styleId="Footer">
    <w:name w:val="footer"/>
    <w:basedOn w:val="Normal"/>
    <w:link w:val="FooterChar"/>
    <w:uiPriority w:val="99"/>
    <w:unhideWhenUsed/>
    <w:rsid w:val="0092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456"/>
  </w:style>
  <w:style w:type="paragraph" w:styleId="BalloonText">
    <w:name w:val="Balloon Text"/>
    <w:basedOn w:val="Normal"/>
    <w:link w:val="BalloonTextChar"/>
    <w:uiPriority w:val="99"/>
    <w:semiHidden/>
    <w:unhideWhenUsed/>
    <w:rsid w:val="00A64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F72"/>
    <w:rPr>
      <w:rFonts w:ascii="Segoe UI" w:hAnsi="Segoe UI" w:cs="Segoe UI"/>
      <w:sz w:val="18"/>
      <w:szCs w:val="18"/>
    </w:rPr>
  </w:style>
  <w:style w:type="paragraph" w:styleId="NoSpacing">
    <w:name w:val="No Spacing"/>
    <w:uiPriority w:val="1"/>
    <w:qFormat/>
    <w:rsid w:val="009B6FFE"/>
    <w:pPr>
      <w:spacing w:after="0" w:line="240" w:lineRule="auto"/>
    </w:pPr>
    <w:rPr>
      <w:rFonts w:asciiTheme="minorHAnsi" w:hAnsiTheme="minorHAnsi" w:cstheme="minorBidi"/>
      <w:sz w:val="22"/>
      <w:szCs w:val="22"/>
      <w:lang w:val="en-ZA"/>
    </w:rPr>
  </w:style>
  <w:style w:type="character" w:styleId="Hyperlink">
    <w:name w:val="Hyperlink"/>
    <w:basedOn w:val="DefaultParagraphFont"/>
    <w:uiPriority w:val="99"/>
    <w:semiHidden/>
    <w:unhideWhenUsed/>
    <w:rsid w:val="006128D6"/>
    <w:rPr>
      <w:color w:val="0000FF"/>
      <w:u w:val="single"/>
    </w:rPr>
  </w:style>
  <w:style w:type="character" w:styleId="Emphasis">
    <w:name w:val="Emphasis"/>
    <w:basedOn w:val="DefaultParagraphFont"/>
    <w:uiPriority w:val="20"/>
    <w:qFormat/>
    <w:rsid w:val="00B66E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362097">
      <w:bodyDiv w:val="1"/>
      <w:marLeft w:val="0"/>
      <w:marRight w:val="0"/>
      <w:marTop w:val="0"/>
      <w:marBottom w:val="0"/>
      <w:divBdr>
        <w:top w:val="none" w:sz="0" w:space="0" w:color="auto"/>
        <w:left w:val="none" w:sz="0" w:space="0" w:color="auto"/>
        <w:bottom w:val="none" w:sz="0" w:space="0" w:color="auto"/>
        <w:right w:val="none" w:sz="0" w:space="0" w:color="auto"/>
      </w:divBdr>
    </w:div>
    <w:div w:id="650870532">
      <w:bodyDiv w:val="1"/>
      <w:marLeft w:val="0"/>
      <w:marRight w:val="0"/>
      <w:marTop w:val="0"/>
      <w:marBottom w:val="0"/>
      <w:divBdr>
        <w:top w:val="none" w:sz="0" w:space="0" w:color="auto"/>
        <w:left w:val="none" w:sz="0" w:space="0" w:color="auto"/>
        <w:bottom w:val="none" w:sz="0" w:space="0" w:color="auto"/>
        <w:right w:val="none" w:sz="0" w:space="0" w:color="auto"/>
      </w:divBdr>
    </w:div>
    <w:div w:id="1592424773">
      <w:bodyDiv w:val="1"/>
      <w:marLeft w:val="0"/>
      <w:marRight w:val="0"/>
      <w:marTop w:val="0"/>
      <w:marBottom w:val="0"/>
      <w:divBdr>
        <w:top w:val="none" w:sz="0" w:space="0" w:color="auto"/>
        <w:left w:val="none" w:sz="0" w:space="0" w:color="auto"/>
        <w:bottom w:val="none" w:sz="0" w:space="0" w:color="auto"/>
        <w:right w:val="none" w:sz="0" w:space="0" w:color="auto"/>
      </w:divBdr>
    </w:div>
    <w:div w:id="187938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2020-12-03T18:30:00+00:00</Judgment_x0020_Date>
    <Year xmlns="c1afb1bd-f2fb-40fd-9abb-aea55b4d7662">2020</Year>
  </documentManagement>
</p:properties>
</file>

<file path=customXml/itemProps1.xml><?xml version="1.0" encoding="utf-8"?>
<ds:datastoreItem xmlns:ds="http://schemas.openxmlformats.org/officeDocument/2006/customXml" ds:itemID="{AB2DFD73-7375-427C-9A55-293055FDF2C9}"/>
</file>

<file path=customXml/itemProps2.xml><?xml version="1.0" encoding="utf-8"?>
<ds:datastoreItem xmlns:ds="http://schemas.openxmlformats.org/officeDocument/2006/customXml" ds:itemID="{0006CF0E-B5B9-4A73-812C-18C5932CD947}"/>
</file>

<file path=customXml/itemProps3.xml><?xml version="1.0" encoding="utf-8"?>
<ds:datastoreItem xmlns:ds="http://schemas.openxmlformats.org/officeDocument/2006/customXml" ds:itemID="{CB70F8B6-22B0-454F-943A-A5707E54C4F6}"/>
</file>

<file path=customXml/itemProps4.xml><?xml version="1.0" encoding="utf-8"?>
<ds:datastoreItem xmlns:ds="http://schemas.openxmlformats.org/officeDocument/2006/customXml" ds:itemID="{61949281-6447-411C-A20A-78E535D608A6}"/>
</file>

<file path=docProps/app.xml><?xml version="1.0" encoding="utf-8"?>
<Properties xmlns="http://schemas.openxmlformats.org/officeDocument/2006/extended-properties" xmlns:vt="http://schemas.openxmlformats.org/officeDocument/2006/docPropsVTypes">
  <Template>Normal</Template>
  <TotalTime>1</TotalTime>
  <Pages>11</Pages>
  <Words>2702</Words>
  <Characters>15403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Consulate of the Republic of Angola v Van Schalkwyk (HC-MD-CIV-CON-2020-01309) [2020] NAHCMD 560 (4 December 2020)</dc:title>
  <dc:subject/>
  <dc:creator>Prinsloo Hannelie</dc:creator>
  <cp:keywords/>
  <dc:description/>
  <cp:lastModifiedBy>Administrator</cp:lastModifiedBy>
  <cp:revision>2</cp:revision>
  <cp:lastPrinted>2020-12-04T14:24:00Z</cp:lastPrinted>
  <dcterms:created xsi:type="dcterms:W3CDTF">2020-12-07T09:15:00Z</dcterms:created>
  <dcterms:modified xsi:type="dcterms:W3CDTF">2020-12-07T09:15:00Z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