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707BD7" w:rsidRDefault="00722F8B" w:rsidP="00CC3C2F">
      <w:pPr>
        <w:spacing w:after="0" w:line="360" w:lineRule="auto"/>
        <w:jc w:val="center"/>
        <w:rPr>
          <w:rFonts w:ascii="Arial" w:eastAsia="Times New Roman" w:hAnsi="Arial" w:cs="Arial"/>
          <w:b/>
          <w:sz w:val="24"/>
          <w:szCs w:val="24"/>
          <w:lang w:val="en-ZA"/>
        </w:rPr>
      </w:pPr>
      <w:r w:rsidRPr="00707BD7">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61E5479E" wp14:editId="33F9563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03B6D" w:rsidRPr="000A0FD8" w:rsidRDefault="00B03B6D"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479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03B6D" w:rsidRPr="000A0FD8" w:rsidRDefault="00B03B6D" w:rsidP="00722F8B">
                      <w:pPr>
                        <w:jc w:val="right"/>
                        <w:rPr>
                          <w:rFonts w:ascii="Arial" w:hAnsi="Arial" w:cs="Arial"/>
                          <w:b/>
                        </w:rPr>
                      </w:pPr>
                    </w:p>
                  </w:txbxContent>
                </v:textbox>
                <w10:wrap anchorx="margin"/>
              </v:shape>
            </w:pict>
          </mc:Fallback>
        </mc:AlternateContent>
      </w:r>
      <w:r w:rsidRPr="00707BD7">
        <w:rPr>
          <w:rFonts w:ascii="Arial" w:eastAsia="Times New Roman" w:hAnsi="Arial" w:cs="Arial"/>
          <w:b/>
          <w:sz w:val="24"/>
          <w:szCs w:val="24"/>
          <w:lang w:val="en-ZA"/>
        </w:rPr>
        <w:t>REPUBLIC OF NAMIBIA</w:t>
      </w:r>
    </w:p>
    <w:p w:rsidR="00722F8B" w:rsidRPr="00707BD7" w:rsidRDefault="00722F8B" w:rsidP="00CC3C2F">
      <w:pPr>
        <w:spacing w:after="0" w:line="360" w:lineRule="auto"/>
        <w:rPr>
          <w:rFonts w:ascii="Arial" w:eastAsia="Times New Roman" w:hAnsi="Arial" w:cs="Arial"/>
          <w:b/>
          <w:sz w:val="24"/>
          <w:szCs w:val="24"/>
          <w:lang w:val="en-ZA"/>
        </w:rPr>
      </w:pPr>
      <w:r w:rsidRPr="00707BD7">
        <w:rPr>
          <w:rFonts w:ascii="Arial" w:eastAsia="Times New Roman" w:hAnsi="Arial" w:cs="Arial"/>
          <w:noProof/>
          <w:sz w:val="24"/>
          <w:szCs w:val="24"/>
        </w:rPr>
        <w:drawing>
          <wp:anchor distT="0" distB="0" distL="114300" distR="114300" simplePos="0" relativeHeight="251660288" behindDoc="0" locked="0" layoutInCell="1" allowOverlap="1" wp14:anchorId="2DB795A4" wp14:editId="76F47503">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rPr>
          <w:rFonts w:ascii="Arial" w:eastAsia="Times New Roman" w:hAnsi="Arial" w:cs="Arial"/>
          <w:b/>
          <w:sz w:val="24"/>
          <w:szCs w:val="24"/>
          <w:lang w:val="en-ZA"/>
        </w:rPr>
      </w:pPr>
    </w:p>
    <w:p w:rsidR="00722F8B" w:rsidRPr="00707BD7" w:rsidRDefault="00722F8B" w:rsidP="00CC3C2F">
      <w:pPr>
        <w:spacing w:after="0" w:line="360" w:lineRule="auto"/>
        <w:jc w:val="center"/>
        <w:rPr>
          <w:rFonts w:ascii="Arial" w:eastAsia="Times New Roman" w:hAnsi="Arial" w:cs="Arial"/>
          <w:b/>
          <w:sz w:val="24"/>
          <w:szCs w:val="24"/>
          <w:lang w:val="en-ZA"/>
        </w:rPr>
      </w:pPr>
    </w:p>
    <w:p w:rsidR="00722F8B" w:rsidRPr="00707BD7" w:rsidRDefault="00722F8B" w:rsidP="000131A1">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HIGH COURT OF NAMIBIA, MAIN DIVISION, WINDHOEK</w:t>
      </w:r>
    </w:p>
    <w:p w:rsidR="00722F8B" w:rsidRPr="00707BD7" w:rsidRDefault="00722F8B" w:rsidP="00CC3C2F">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RULING</w:t>
      </w:r>
    </w:p>
    <w:p w:rsidR="00722F8B" w:rsidRPr="00707BD7" w:rsidRDefault="00722F8B" w:rsidP="00CC3C2F">
      <w:pPr>
        <w:spacing w:after="0" w:line="360" w:lineRule="auto"/>
        <w:jc w:val="center"/>
        <w:rPr>
          <w:rFonts w:ascii="Arial" w:eastAsia="Times New Roman" w:hAnsi="Arial" w:cs="Arial"/>
          <w:sz w:val="24"/>
          <w:szCs w:val="24"/>
          <w:lang w:val="en-ZA"/>
        </w:rPr>
      </w:pPr>
    </w:p>
    <w:p w:rsidR="00722F8B" w:rsidRPr="00707BD7" w:rsidRDefault="00722F8B" w:rsidP="00CC3C2F">
      <w:pPr>
        <w:tabs>
          <w:tab w:val="left" w:pos="720"/>
          <w:tab w:val="center" w:pos="4153"/>
          <w:tab w:val="right" w:pos="8306"/>
        </w:tabs>
        <w:spacing w:after="0" w:line="360" w:lineRule="auto"/>
        <w:jc w:val="right"/>
        <w:rPr>
          <w:rFonts w:ascii="Arial" w:eastAsia="Times New Roman" w:hAnsi="Arial" w:cs="Arial"/>
          <w:b/>
          <w:sz w:val="24"/>
          <w:szCs w:val="24"/>
        </w:rPr>
      </w:pPr>
    </w:p>
    <w:p w:rsidR="00722F8B" w:rsidRPr="00707BD7" w:rsidRDefault="000131A1" w:rsidP="000131A1">
      <w:pPr>
        <w:tabs>
          <w:tab w:val="left" w:pos="720"/>
          <w:tab w:val="center" w:pos="4153"/>
          <w:tab w:val="right" w:pos="8306"/>
        </w:tabs>
        <w:spacing w:after="0" w:line="360" w:lineRule="auto"/>
        <w:jc w:val="right"/>
        <w:rPr>
          <w:rFonts w:ascii="Arial" w:eastAsia="Times New Roman" w:hAnsi="Arial" w:cs="Arial"/>
          <w:sz w:val="24"/>
          <w:szCs w:val="24"/>
        </w:rPr>
      </w:pPr>
      <w:r>
        <w:rPr>
          <w:rFonts w:ascii="Arial" w:eastAsia="Times New Roman" w:hAnsi="Arial" w:cs="Arial"/>
          <w:sz w:val="24"/>
          <w:szCs w:val="24"/>
        </w:rPr>
        <w:t xml:space="preserve">CASE NO.: </w:t>
      </w:r>
      <w:r w:rsidR="0026597E">
        <w:rPr>
          <w:rFonts w:ascii="Arial" w:eastAsia="Times New Roman" w:hAnsi="Arial" w:cs="Arial"/>
          <w:sz w:val="24"/>
          <w:szCs w:val="24"/>
        </w:rPr>
        <w:t>HC-MD-CIV-ACT-CON-2020</w:t>
      </w:r>
      <w:r w:rsidR="00F92471" w:rsidRPr="00707BD7">
        <w:rPr>
          <w:rFonts w:ascii="Arial" w:eastAsia="Times New Roman" w:hAnsi="Arial" w:cs="Arial"/>
          <w:sz w:val="24"/>
          <w:szCs w:val="24"/>
        </w:rPr>
        <w:t>/0</w:t>
      </w:r>
      <w:r w:rsidR="0026597E">
        <w:rPr>
          <w:rFonts w:ascii="Arial" w:eastAsia="Times New Roman" w:hAnsi="Arial" w:cs="Arial"/>
          <w:sz w:val="24"/>
          <w:szCs w:val="24"/>
        </w:rPr>
        <w:t>3329</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In the matter between:</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b/>
          <w:sz w:val="24"/>
          <w:szCs w:val="24"/>
        </w:rPr>
      </w:pPr>
    </w:p>
    <w:p w:rsidR="00722F8B" w:rsidRPr="00707BD7" w:rsidRDefault="0026597E" w:rsidP="00CC3C2F">
      <w:pPr>
        <w:tabs>
          <w:tab w:val="center" w:pos="720"/>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BANK WINDHOEK LIMITED</w:t>
      </w:r>
      <w:r w:rsidR="00722F8B" w:rsidRPr="00707BD7">
        <w:rPr>
          <w:rFonts w:ascii="Arial" w:eastAsia="Times New Roman" w:hAnsi="Arial" w:cs="Arial"/>
          <w:b/>
          <w:sz w:val="24"/>
          <w:szCs w:val="24"/>
        </w:rPr>
        <w:tab/>
      </w:r>
      <w:r w:rsidR="0076236E">
        <w:rPr>
          <w:rFonts w:ascii="Arial" w:eastAsia="Times New Roman" w:hAnsi="Arial" w:cs="Arial"/>
          <w:b/>
          <w:sz w:val="24"/>
          <w:szCs w:val="24"/>
        </w:rPr>
        <w:t>APPLICANT</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and</w:t>
      </w:r>
    </w:p>
    <w:p w:rsidR="00722F8B" w:rsidRPr="00707BD7" w:rsidRDefault="00722F8B" w:rsidP="00CC3C2F">
      <w:pPr>
        <w:tabs>
          <w:tab w:val="left" w:pos="720"/>
          <w:tab w:val="center" w:pos="4153"/>
          <w:tab w:val="right" w:pos="8306"/>
        </w:tabs>
        <w:spacing w:after="0" w:line="360" w:lineRule="auto"/>
        <w:jc w:val="both"/>
        <w:rPr>
          <w:rFonts w:ascii="Arial" w:eastAsia="Times New Roman" w:hAnsi="Arial" w:cs="Arial"/>
          <w:sz w:val="24"/>
          <w:szCs w:val="24"/>
        </w:rPr>
      </w:pPr>
    </w:p>
    <w:p w:rsidR="00722F8B" w:rsidRDefault="0026597E" w:rsidP="00CC3C2F">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KOCK INVESTMENTS</w:t>
      </w:r>
      <w:r w:rsidR="00BE75A8">
        <w:rPr>
          <w:rFonts w:ascii="Arial" w:eastAsia="Times New Roman" w:hAnsi="Arial" w:cs="Arial"/>
          <w:b/>
          <w:sz w:val="24"/>
          <w:szCs w:val="24"/>
        </w:rPr>
        <w:tab/>
      </w:r>
      <w:r w:rsidR="00BE75A8">
        <w:rPr>
          <w:rFonts w:ascii="Arial" w:eastAsia="Times New Roman" w:hAnsi="Arial" w:cs="Arial"/>
          <w:b/>
          <w:sz w:val="24"/>
          <w:szCs w:val="24"/>
        </w:rPr>
        <w:tab/>
        <w:t>FIRST</w:t>
      </w:r>
      <w:r>
        <w:rPr>
          <w:rFonts w:ascii="Arial" w:eastAsia="Times New Roman" w:hAnsi="Arial" w:cs="Arial"/>
          <w:b/>
          <w:sz w:val="24"/>
          <w:szCs w:val="24"/>
        </w:rPr>
        <w:t xml:space="preserve"> </w:t>
      </w:r>
      <w:r w:rsidR="0076236E">
        <w:rPr>
          <w:rFonts w:ascii="Arial" w:eastAsia="Times New Roman" w:hAnsi="Arial" w:cs="Arial"/>
          <w:b/>
          <w:sz w:val="24"/>
          <w:szCs w:val="24"/>
        </w:rPr>
        <w:t>RESPONDENT</w:t>
      </w:r>
    </w:p>
    <w:p w:rsidR="0026597E" w:rsidRDefault="0026597E" w:rsidP="00CC3C2F">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JESAYA AMUNYELA</w:t>
      </w:r>
      <w:r>
        <w:rPr>
          <w:rFonts w:ascii="Arial" w:eastAsia="Times New Roman" w:hAnsi="Arial" w:cs="Arial"/>
          <w:b/>
          <w:sz w:val="24"/>
          <w:szCs w:val="24"/>
        </w:rPr>
        <w:tab/>
      </w:r>
      <w:r w:rsidR="00BE75A8">
        <w:rPr>
          <w:rFonts w:ascii="Arial" w:eastAsia="Times New Roman" w:hAnsi="Arial" w:cs="Arial"/>
          <w:b/>
          <w:sz w:val="24"/>
          <w:szCs w:val="24"/>
        </w:rPr>
        <w:tab/>
        <w:t xml:space="preserve">SECOND </w:t>
      </w:r>
      <w:r w:rsidR="0076236E">
        <w:rPr>
          <w:rFonts w:ascii="Arial" w:eastAsia="Times New Roman" w:hAnsi="Arial" w:cs="Arial"/>
          <w:b/>
          <w:sz w:val="24"/>
          <w:szCs w:val="24"/>
        </w:rPr>
        <w:t>RESPONDENT</w:t>
      </w:r>
    </w:p>
    <w:p w:rsidR="00722F8B" w:rsidRPr="0076236E" w:rsidRDefault="0026597E" w:rsidP="0076236E">
      <w:pPr>
        <w:tabs>
          <w:tab w:val="left" w:pos="720"/>
          <w:tab w:val="center" w:pos="4153"/>
          <w:tab w:val="right" w:pos="9360"/>
        </w:tabs>
        <w:spacing w:after="0" w:line="360" w:lineRule="auto"/>
        <w:jc w:val="both"/>
        <w:rPr>
          <w:rFonts w:ascii="Arial" w:eastAsia="Times New Roman" w:hAnsi="Arial" w:cs="Arial"/>
          <w:b/>
          <w:sz w:val="24"/>
          <w:szCs w:val="24"/>
        </w:rPr>
      </w:pPr>
      <w:r>
        <w:rPr>
          <w:rFonts w:ascii="Arial" w:eastAsia="Times New Roman" w:hAnsi="Arial" w:cs="Arial"/>
          <w:b/>
          <w:sz w:val="24"/>
          <w:szCs w:val="24"/>
        </w:rPr>
        <w:t>EDWARD SHIVELA</w:t>
      </w:r>
      <w:r w:rsidR="00BE75A8">
        <w:rPr>
          <w:rFonts w:ascii="Arial" w:eastAsia="Times New Roman" w:hAnsi="Arial" w:cs="Arial"/>
          <w:b/>
          <w:sz w:val="24"/>
          <w:szCs w:val="24"/>
        </w:rPr>
        <w:tab/>
      </w:r>
      <w:r w:rsidR="00BE75A8">
        <w:rPr>
          <w:rFonts w:ascii="Arial" w:eastAsia="Times New Roman" w:hAnsi="Arial" w:cs="Arial"/>
          <w:b/>
          <w:sz w:val="24"/>
          <w:szCs w:val="24"/>
        </w:rPr>
        <w:tab/>
        <w:t>THIRD</w:t>
      </w:r>
      <w:r w:rsidR="0076236E">
        <w:rPr>
          <w:rFonts w:ascii="Arial" w:eastAsia="Times New Roman" w:hAnsi="Arial" w:cs="Arial"/>
          <w:b/>
          <w:sz w:val="24"/>
          <w:szCs w:val="24"/>
        </w:rPr>
        <w:t xml:space="preserve"> RESPONDENT</w:t>
      </w:r>
    </w:p>
    <w:p w:rsidR="008F4AFD" w:rsidRDefault="008F4AFD" w:rsidP="00CC3C2F">
      <w:pPr>
        <w:spacing w:after="0" w:line="360" w:lineRule="auto"/>
        <w:jc w:val="both"/>
        <w:rPr>
          <w:rFonts w:ascii="Arial" w:eastAsia="Times New Roman" w:hAnsi="Arial" w:cs="Arial"/>
          <w:b/>
          <w:sz w:val="24"/>
          <w:szCs w:val="24"/>
          <w:lang w:val="en-GB"/>
        </w:rPr>
      </w:pPr>
    </w:p>
    <w:p w:rsidR="00722F8B" w:rsidRPr="00707BD7" w:rsidRDefault="00CC5B7E" w:rsidP="00CC3C2F">
      <w:pPr>
        <w:spacing w:after="0" w:line="360" w:lineRule="auto"/>
        <w:jc w:val="both"/>
        <w:rPr>
          <w:rFonts w:ascii="Arial" w:eastAsia="Times New Roman" w:hAnsi="Arial" w:cs="Arial"/>
          <w:sz w:val="24"/>
          <w:szCs w:val="24"/>
          <w:lang w:val="en-GB"/>
        </w:rPr>
      </w:pPr>
      <w:r>
        <w:rPr>
          <w:rFonts w:ascii="Arial" w:eastAsia="Times New Roman" w:hAnsi="Arial" w:cs="Arial"/>
          <w:b/>
          <w:sz w:val="24"/>
          <w:szCs w:val="24"/>
          <w:lang w:val="en-GB"/>
        </w:rPr>
        <w:t>Neutral Citation:</w:t>
      </w:r>
      <w:r>
        <w:rPr>
          <w:rFonts w:ascii="Arial" w:eastAsia="Times New Roman" w:hAnsi="Arial" w:cs="Arial"/>
          <w:b/>
          <w:sz w:val="24"/>
          <w:szCs w:val="24"/>
          <w:lang w:val="en-GB"/>
        </w:rPr>
        <w:tab/>
      </w:r>
      <w:r w:rsidR="0026597E">
        <w:rPr>
          <w:rFonts w:ascii="Arial" w:eastAsia="Times New Roman" w:hAnsi="Arial" w:cs="Arial"/>
          <w:i/>
          <w:sz w:val="24"/>
          <w:szCs w:val="24"/>
          <w:lang w:val="en-GB"/>
        </w:rPr>
        <w:t>Bank Windhoek Limite</w:t>
      </w:r>
      <w:r w:rsidR="00DA020C">
        <w:rPr>
          <w:rFonts w:ascii="Arial" w:eastAsia="Times New Roman" w:hAnsi="Arial" w:cs="Arial"/>
          <w:i/>
          <w:sz w:val="24"/>
          <w:szCs w:val="24"/>
          <w:lang w:val="en-GB"/>
        </w:rPr>
        <w:t>d v Kock Investments</w:t>
      </w:r>
      <w:r w:rsidR="00722F8B" w:rsidRPr="00707BD7">
        <w:rPr>
          <w:rFonts w:ascii="Arial" w:eastAsia="Times New Roman" w:hAnsi="Arial" w:cs="Arial"/>
          <w:i/>
          <w:sz w:val="24"/>
          <w:szCs w:val="24"/>
          <w:lang w:val="en-GB"/>
        </w:rPr>
        <w:t xml:space="preserve"> </w:t>
      </w:r>
      <w:r w:rsidR="00722F8B" w:rsidRPr="00707BD7">
        <w:rPr>
          <w:rFonts w:ascii="Arial" w:eastAsia="Times New Roman" w:hAnsi="Arial" w:cs="Arial"/>
          <w:sz w:val="24"/>
          <w:szCs w:val="24"/>
          <w:lang w:val="en-GB"/>
        </w:rPr>
        <w:t>(</w:t>
      </w:r>
      <w:r w:rsidR="006B23C6" w:rsidRPr="00707BD7">
        <w:rPr>
          <w:rFonts w:ascii="Arial" w:eastAsia="Times New Roman" w:hAnsi="Arial" w:cs="Arial"/>
          <w:sz w:val="24"/>
          <w:szCs w:val="24"/>
        </w:rPr>
        <w:t>HC-MD-CIV-ACT-</w:t>
      </w:r>
      <w:r w:rsidR="0026597E" w:rsidRPr="0026597E">
        <w:t xml:space="preserve"> </w:t>
      </w:r>
      <w:r w:rsidR="0026597E" w:rsidRPr="0026597E">
        <w:rPr>
          <w:rFonts w:ascii="Arial" w:eastAsia="Times New Roman" w:hAnsi="Arial" w:cs="Arial"/>
          <w:sz w:val="24"/>
          <w:szCs w:val="24"/>
        </w:rPr>
        <w:t>CON-2020/03329</w:t>
      </w:r>
      <w:r w:rsidR="00F92471" w:rsidRPr="00707BD7">
        <w:rPr>
          <w:rFonts w:ascii="Arial" w:eastAsia="Times New Roman" w:hAnsi="Arial" w:cs="Arial"/>
          <w:sz w:val="24"/>
          <w:szCs w:val="24"/>
        </w:rPr>
        <w:t xml:space="preserve">) </w:t>
      </w:r>
      <w:r w:rsidR="00722F8B" w:rsidRPr="00707BD7">
        <w:rPr>
          <w:rFonts w:ascii="Arial" w:eastAsia="Times New Roman" w:hAnsi="Arial" w:cs="Arial"/>
          <w:sz w:val="24"/>
          <w:szCs w:val="24"/>
        </w:rPr>
        <w:t>[20</w:t>
      </w:r>
      <w:r w:rsidR="00F92471" w:rsidRPr="00707BD7">
        <w:rPr>
          <w:rFonts w:ascii="Arial" w:eastAsia="Times New Roman" w:hAnsi="Arial" w:cs="Arial"/>
          <w:sz w:val="24"/>
          <w:szCs w:val="24"/>
        </w:rPr>
        <w:t>20</w:t>
      </w:r>
      <w:r>
        <w:rPr>
          <w:rFonts w:ascii="Arial" w:eastAsia="Times New Roman" w:hAnsi="Arial" w:cs="Arial"/>
          <w:sz w:val="24"/>
          <w:szCs w:val="24"/>
        </w:rPr>
        <w:t xml:space="preserve">] </w:t>
      </w:r>
      <w:r w:rsidRPr="000039D4">
        <w:rPr>
          <w:rFonts w:ascii="Arial" w:eastAsia="Times New Roman" w:hAnsi="Arial" w:cs="Arial"/>
          <w:sz w:val="24"/>
          <w:szCs w:val="24"/>
        </w:rPr>
        <w:t xml:space="preserve">NAHCMD </w:t>
      </w:r>
      <w:r w:rsidR="00D334DA">
        <w:rPr>
          <w:rFonts w:ascii="Arial" w:eastAsia="Times New Roman" w:hAnsi="Arial" w:cs="Arial"/>
          <w:sz w:val="24"/>
          <w:szCs w:val="24"/>
        </w:rPr>
        <w:t>574</w:t>
      </w:r>
      <w:bookmarkStart w:id="0" w:name="_GoBack"/>
      <w:bookmarkEnd w:id="0"/>
      <w:r w:rsidR="000039D4">
        <w:rPr>
          <w:rFonts w:ascii="Arial" w:eastAsia="Times New Roman" w:hAnsi="Arial" w:cs="Arial"/>
          <w:sz w:val="24"/>
          <w:szCs w:val="24"/>
        </w:rPr>
        <w:t xml:space="preserve"> </w:t>
      </w:r>
      <w:r w:rsidR="00DA020C" w:rsidRPr="000039D4">
        <w:rPr>
          <w:rFonts w:ascii="Arial" w:eastAsia="Times New Roman" w:hAnsi="Arial" w:cs="Arial"/>
          <w:sz w:val="24"/>
          <w:szCs w:val="24"/>
        </w:rPr>
        <w:t>(</w:t>
      </w:r>
      <w:r w:rsidR="00DA020C">
        <w:rPr>
          <w:rFonts w:ascii="Arial" w:eastAsia="Times New Roman" w:hAnsi="Arial" w:cs="Arial"/>
          <w:sz w:val="24"/>
          <w:szCs w:val="24"/>
        </w:rPr>
        <w:t>7</w:t>
      </w:r>
      <w:r w:rsidR="0026597E">
        <w:rPr>
          <w:rFonts w:ascii="Arial" w:eastAsia="Times New Roman" w:hAnsi="Arial" w:cs="Arial"/>
          <w:sz w:val="24"/>
          <w:szCs w:val="24"/>
        </w:rPr>
        <w:t xml:space="preserve"> December</w:t>
      </w:r>
      <w:r w:rsidR="006B23C6" w:rsidRPr="00707BD7">
        <w:rPr>
          <w:rFonts w:ascii="Arial" w:eastAsia="Times New Roman" w:hAnsi="Arial" w:cs="Arial"/>
          <w:sz w:val="24"/>
          <w:szCs w:val="24"/>
        </w:rPr>
        <w:t xml:space="preserve"> 2020</w:t>
      </w:r>
      <w:r w:rsidR="00722F8B" w:rsidRPr="00707BD7">
        <w:rPr>
          <w:rFonts w:ascii="Arial" w:eastAsia="Times New Roman" w:hAnsi="Arial" w:cs="Arial"/>
          <w:sz w:val="24"/>
          <w:szCs w:val="24"/>
        </w:rPr>
        <w:t>)</w:t>
      </w:r>
    </w:p>
    <w:p w:rsidR="00722F8B" w:rsidRPr="00707BD7" w:rsidRDefault="00722F8B" w:rsidP="00CC3C2F">
      <w:pPr>
        <w:spacing w:after="0" w:line="360" w:lineRule="auto"/>
        <w:jc w:val="both"/>
        <w:rPr>
          <w:rFonts w:ascii="Arial" w:eastAsia="Times New Roman" w:hAnsi="Arial" w:cs="Arial"/>
          <w:b/>
          <w:sz w:val="24"/>
          <w:szCs w:val="24"/>
          <w:lang w:val="en-GB"/>
        </w:rPr>
      </w:pPr>
    </w:p>
    <w:p w:rsidR="00722F8B" w:rsidRPr="008F4AFD" w:rsidRDefault="00722F8B" w:rsidP="00CC3C2F">
      <w:pPr>
        <w:shd w:val="clear" w:color="auto" w:fill="FFFFFF"/>
        <w:spacing w:after="0" w:line="360" w:lineRule="auto"/>
        <w:rPr>
          <w:rFonts w:ascii="Segoe UI" w:eastAsia="Times New Roman" w:hAnsi="Segoe UI" w:cs="Segoe UI"/>
          <w:b/>
          <w:sz w:val="20"/>
          <w:szCs w:val="20"/>
          <w:lang w:val="en-ZA" w:eastAsia="en-ZA"/>
        </w:rPr>
      </w:pPr>
      <w:r w:rsidRPr="008F4AFD">
        <w:rPr>
          <w:rFonts w:ascii="Arial" w:eastAsia="Times New Roman" w:hAnsi="Arial" w:cs="Arial"/>
          <w:sz w:val="24"/>
          <w:szCs w:val="24"/>
          <w:lang w:val="en-GB"/>
        </w:rPr>
        <w:t>Coram:</w:t>
      </w:r>
      <w:r w:rsidRPr="00707BD7">
        <w:rPr>
          <w:rFonts w:ascii="Arial" w:eastAsia="Times New Roman" w:hAnsi="Arial" w:cs="Arial"/>
          <w:b/>
          <w:sz w:val="24"/>
          <w:szCs w:val="24"/>
          <w:lang w:val="en-GB"/>
        </w:rPr>
        <w:tab/>
      </w:r>
      <w:r w:rsidR="0026597E" w:rsidRPr="008F4AFD">
        <w:rPr>
          <w:rFonts w:ascii="Arial" w:eastAsia="Times New Roman" w:hAnsi="Arial" w:cs="Arial"/>
          <w:b/>
          <w:sz w:val="24"/>
          <w:szCs w:val="24"/>
          <w:lang w:val="en-ZA" w:eastAsia="en-ZA"/>
        </w:rPr>
        <w:t xml:space="preserve">RAKOW, </w:t>
      </w:r>
      <w:r w:rsidRPr="008F4AFD">
        <w:rPr>
          <w:rFonts w:ascii="Arial" w:eastAsia="Times New Roman" w:hAnsi="Arial" w:cs="Arial"/>
          <w:b/>
          <w:sz w:val="24"/>
          <w:szCs w:val="24"/>
          <w:lang w:val="en-ZA" w:eastAsia="en-ZA"/>
        </w:rPr>
        <w:t>J</w:t>
      </w:r>
    </w:p>
    <w:p w:rsidR="00722F8B" w:rsidRPr="00707BD7" w:rsidRDefault="00722F8B" w:rsidP="00CC3C2F">
      <w:pPr>
        <w:spacing w:after="0" w:line="360" w:lineRule="auto"/>
        <w:jc w:val="both"/>
        <w:rPr>
          <w:rFonts w:ascii="Arial" w:eastAsia="Times New Roman" w:hAnsi="Arial" w:cs="Arial"/>
          <w:b/>
          <w:sz w:val="24"/>
          <w:szCs w:val="24"/>
          <w:lang w:val="en-GB"/>
        </w:rPr>
      </w:pPr>
    </w:p>
    <w:p w:rsidR="00722F8B" w:rsidRPr="00707BD7" w:rsidRDefault="00722F8B" w:rsidP="00613CEF">
      <w:pPr>
        <w:spacing w:after="0" w:line="360" w:lineRule="auto"/>
        <w:ind w:left="1440" w:hanging="1440"/>
        <w:jc w:val="both"/>
        <w:rPr>
          <w:rFonts w:ascii="Arial" w:eastAsia="Times New Roman" w:hAnsi="Arial" w:cs="Arial"/>
          <w:sz w:val="24"/>
          <w:szCs w:val="24"/>
          <w:lang w:val="en-GB"/>
        </w:rPr>
      </w:pPr>
      <w:r w:rsidRPr="00707BD7">
        <w:rPr>
          <w:rFonts w:ascii="Arial" w:eastAsia="Times New Roman" w:hAnsi="Arial" w:cs="Arial"/>
          <w:b/>
          <w:sz w:val="24"/>
          <w:szCs w:val="24"/>
          <w:lang w:val="en-GB"/>
        </w:rPr>
        <w:t>Heard</w:t>
      </w:r>
      <w:r w:rsidRPr="00707BD7">
        <w:rPr>
          <w:rFonts w:ascii="Arial" w:eastAsia="Times New Roman" w:hAnsi="Arial" w:cs="Arial"/>
          <w:sz w:val="24"/>
          <w:szCs w:val="24"/>
          <w:lang w:val="en-GB"/>
        </w:rPr>
        <w:t>:</w:t>
      </w:r>
      <w:r w:rsidRPr="00707BD7">
        <w:rPr>
          <w:rFonts w:ascii="Arial" w:eastAsia="Times New Roman" w:hAnsi="Arial" w:cs="Arial"/>
          <w:sz w:val="24"/>
          <w:szCs w:val="24"/>
          <w:lang w:val="en-GB"/>
        </w:rPr>
        <w:tab/>
      </w:r>
      <w:r w:rsidR="00DA020C">
        <w:rPr>
          <w:rFonts w:ascii="Arial" w:eastAsia="Times New Roman" w:hAnsi="Arial" w:cs="Arial"/>
          <w:sz w:val="24"/>
          <w:szCs w:val="24"/>
          <w:lang w:val="en-GB"/>
        </w:rPr>
        <w:t>13 November 2020</w:t>
      </w:r>
    </w:p>
    <w:p w:rsidR="00707BD7" w:rsidRPr="008F4AFD" w:rsidRDefault="00722F8B" w:rsidP="00CC3C2F">
      <w:pPr>
        <w:spacing w:after="0" w:line="360" w:lineRule="auto"/>
        <w:jc w:val="both"/>
        <w:rPr>
          <w:rFonts w:ascii="Arial" w:eastAsia="Times New Roman" w:hAnsi="Arial" w:cs="Arial"/>
          <w:b/>
          <w:sz w:val="24"/>
          <w:szCs w:val="24"/>
          <w:lang w:val="en-GB"/>
        </w:rPr>
      </w:pPr>
      <w:r w:rsidRPr="008F4AFD">
        <w:rPr>
          <w:rFonts w:ascii="Arial" w:eastAsia="Times New Roman" w:hAnsi="Arial" w:cs="Arial"/>
          <w:b/>
          <w:sz w:val="24"/>
          <w:szCs w:val="24"/>
          <w:lang w:val="en-GB"/>
        </w:rPr>
        <w:t>Delivered:</w:t>
      </w:r>
      <w:r w:rsidRPr="008F4AFD">
        <w:rPr>
          <w:rFonts w:ascii="Arial" w:eastAsia="Times New Roman" w:hAnsi="Arial" w:cs="Arial"/>
          <w:b/>
          <w:sz w:val="24"/>
          <w:szCs w:val="24"/>
          <w:lang w:val="en-GB"/>
        </w:rPr>
        <w:tab/>
      </w:r>
      <w:r w:rsidR="00DA020C" w:rsidRPr="008F4AFD">
        <w:rPr>
          <w:rFonts w:ascii="Arial" w:eastAsia="Times New Roman" w:hAnsi="Arial" w:cs="Arial"/>
          <w:b/>
          <w:sz w:val="24"/>
          <w:szCs w:val="24"/>
          <w:lang w:val="en-GB"/>
        </w:rPr>
        <w:t>04 December 2020</w:t>
      </w:r>
    </w:p>
    <w:p w:rsidR="0026597E" w:rsidRPr="008F4AFD" w:rsidRDefault="00613CEF" w:rsidP="00CC3C2F">
      <w:pPr>
        <w:spacing w:after="0" w:line="360" w:lineRule="auto"/>
        <w:jc w:val="both"/>
        <w:rPr>
          <w:rFonts w:ascii="Arial" w:eastAsia="Times New Roman" w:hAnsi="Arial" w:cs="Arial"/>
          <w:b/>
          <w:sz w:val="24"/>
          <w:szCs w:val="24"/>
          <w:lang w:val="en-GB"/>
        </w:rPr>
      </w:pPr>
      <w:r w:rsidRPr="008F4AFD">
        <w:rPr>
          <w:rFonts w:ascii="Arial" w:eastAsia="Times New Roman" w:hAnsi="Arial" w:cs="Arial"/>
          <w:b/>
          <w:sz w:val="24"/>
          <w:szCs w:val="24"/>
          <w:lang w:val="en-GB"/>
        </w:rPr>
        <w:t>Reasons:</w:t>
      </w:r>
      <w:r w:rsidRPr="008F4AFD">
        <w:rPr>
          <w:rFonts w:ascii="Arial" w:eastAsia="Times New Roman" w:hAnsi="Arial" w:cs="Arial"/>
          <w:b/>
          <w:sz w:val="24"/>
          <w:szCs w:val="24"/>
          <w:lang w:val="en-GB"/>
        </w:rPr>
        <w:tab/>
      </w:r>
      <w:r w:rsidR="00DA020C" w:rsidRPr="008F4AFD">
        <w:rPr>
          <w:rFonts w:ascii="Arial" w:eastAsia="Times New Roman" w:hAnsi="Arial" w:cs="Arial"/>
          <w:b/>
          <w:sz w:val="24"/>
          <w:szCs w:val="24"/>
          <w:lang w:val="en-GB"/>
        </w:rPr>
        <w:t>07 December 2020</w:t>
      </w:r>
    </w:p>
    <w:p w:rsidR="00ED111A" w:rsidRDefault="00ED111A" w:rsidP="00CC3C2F">
      <w:pPr>
        <w:spacing w:after="0" w:line="360" w:lineRule="auto"/>
        <w:jc w:val="both"/>
        <w:rPr>
          <w:rFonts w:ascii="Arial" w:eastAsia="Times New Roman" w:hAnsi="Arial" w:cs="Arial"/>
          <w:sz w:val="24"/>
          <w:szCs w:val="24"/>
          <w:lang w:val="en-GB"/>
        </w:rPr>
      </w:pPr>
    </w:p>
    <w:p w:rsidR="00722F8B" w:rsidRPr="002B3627" w:rsidRDefault="006043F2" w:rsidP="00CC3C2F">
      <w:pPr>
        <w:spacing w:after="0" w:line="360" w:lineRule="auto"/>
        <w:jc w:val="both"/>
        <w:rPr>
          <w:rFonts w:ascii="Arial" w:eastAsia="Times New Roman" w:hAnsi="Arial" w:cs="Arial"/>
          <w:sz w:val="24"/>
          <w:szCs w:val="24"/>
          <w:lang w:val="en-GB"/>
        </w:rPr>
      </w:pPr>
      <w:r w:rsidRPr="002B3627">
        <w:rPr>
          <w:rFonts w:ascii="Arial" w:eastAsia="Times New Roman" w:hAnsi="Arial" w:cs="Arial"/>
          <w:b/>
          <w:sz w:val="24"/>
          <w:szCs w:val="24"/>
          <w:lang w:val="en-GB"/>
        </w:rPr>
        <w:lastRenderedPageBreak/>
        <w:t>Flynote:</w:t>
      </w:r>
      <w:r w:rsidRPr="002B3627">
        <w:rPr>
          <w:rFonts w:ascii="Arial" w:eastAsia="Times New Roman" w:hAnsi="Arial" w:cs="Arial"/>
          <w:b/>
          <w:sz w:val="24"/>
          <w:szCs w:val="24"/>
          <w:lang w:val="en-GB"/>
        </w:rPr>
        <w:tab/>
      </w:r>
      <w:r w:rsidR="00141B52" w:rsidRPr="002B3627">
        <w:rPr>
          <w:rFonts w:ascii="Arial" w:hAnsi="Arial" w:cs="Arial"/>
          <w:sz w:val="24"/>
          <w:szCs w:val="24"/>
          <w:lang w:val="en-ZA"/>
        </w:rPr>
        <w:t xml:space="preserve">Civil Practice – Summary Judgment – Requirements in terms of Rule 60 of the High Court rules – Affidavits in support of Summary Judgment Applications </w:t>
      </w:r>
      <w:r w:rsidR="001708FE" w:rsidRPr="002B3627">
        <w:rPr>
          <w:rFonts w:ascii="Arial" w:hAnsi="Arial" w:cs="Arial"/>
          <w:sz w:val="24"/>
          <w:szCs w:val="24"/>
          <w:lang w:val="en-ZA"/>
        </w:rPr>
        <w:t>–</w:t>
      </w:r>
      <w:r w:rsidR="00141B52" w:rsidRPr="002B3627">
        <w:rPr>
          <w:rFonts w:ascii="Arial" w:hAnsi="Arial" w:cs="Arial"/>
          <w:sz w:val="24"/>
          <w:szCs w:val="24"/>
          <w:lang w:val="en-ZA"/>
        </w:rPr>
        <w:t xml:space="preserve"> </w:t>
      </w:r>
      <w:r w:rsidR="001708FE" w:rsidRPr="002B3627">
        <w:rPr>
          <w:rFonts w:ascii="Arial" w:hAnsi="Arial" w:cs="Arial"/>
          <w:sz w:val="24"/>
          <w:szCs w:val="24"/>
          <w:lang w:val="en-ZA"/>
        </w:rPr>
        <w:t xml:space="preserve">personal knowledge </w:t>
      </w:r>
      <w:r w:rsidR="003B387D" w:rsidRPr="002B3627">
        <w:rPr>
          <w:rFonts w:ascii="Arial" w:hAnsi="Arial" w:cs="Arial"/>
          <w:sz w:val="24"/>
          <w:szCs w:val="24"/>
          <w:lang w:val="en-ZA"/>
        </w:rPr>
        <w:t>–</w:t>
      </w:r>
      <w:r w:rsidR="001708FE" w:rsidRPr="002B3627">
        <w:rPr>
          <w:rFonts w:ascii="Arial" w:hAnsi="Arial" w:cs="Arial"/>
          <w:sz w:val="24"/>
          <w:szCs w:val="24"/>
          <w:lang w:val="en-ZA"/>
        </w:rPr>
        <w:t xml:space="preserve"> </w:t>
      </w:r>
      <w:r w:rsidR="003B387D" w:rsidRPr="002B3627">
        <w:rPr>
          <w:rFonts w:ascii="Arial" w:hAnsi="Arial" w:cs="Arial"/>
          <w:sz w:val="24"/>
          <w:szCs w:val="24"/>
          <w:lang w:val="en-ZA"/>
        </w:rPr>
        <w:t xml:space="preserve">Rule 45(7) - </w:t>
      </w:r>
      <w:r w:rsidR="003B387D" w:rsidRPr="002B3627">
        <w:rPr>
          <w:rFonts w:ascii="Arial" w:eastAsia="Times New Roman" w:hAnsi="Arial" w:cs="Arial"/>
          <w:sz w:val="24"/>
          <w:szCs w:val="24"/>
          <w:lang w:eastAsia="en-ZA"/>
        </w:rPr>
        <w:t xml:space="preserve">Requirement of a “true copy”- </w:t>
      </w:r>
      <w:r w:rsidR="007541A7" w:rsidRPr="002B3627">
        <w:rPr>
          <w:rFonts w:ascii="Arial" w:eastAsia="Times New Roman" w:hAnsi="Arial" w:cs="Arial"/>
          <w:sz w:val="24"/>
          <w:szCs w:val="24"/>
          <w:lang w:eastAsia="en-ZA"/>
        </w:rPr>
        <w:t xml:space="preserve">Justices of the Peace and Commissioners of Oaths act 16 of 1963 - </w:t>
      </w:r>
      <w:r w:rsidR="00141B52" w:rsidRPr="002B3627">
        <w:rPr>
          <w:rFonts w:ascii="Arial" w:eastAsia="Times New Roman" w:hAnsi="Arial" w:cs="Arial"/>
          <w:sz w:val="24"/>
          <w:szCs w:val="24"/>
          <w:lang w:eastAsia="en-ZA"/>
        </w:rPr>
        <w:t>Commissioner of Oaths</w:t>
      </w:r>
      <w:r w:rsidR="002B4F07" w:rsidRPr="002B3627">
        <w:rPr>
          <w:rFonts w:ascii="Arial" w:eastAsia="Times New Roman" w:hAnsi="Arial" w:cs="Arial"/>
          <w:sz w:val="24"/>
          <w:szCs w:val="24"/>
          <w:lang w:eastAsia="en-ZA"/>
        </w:rPr>
        <w:t>.</w:t>
      </w:r>
    </w:p>
    <w:p w:rsidR="0026597E" w:rsidRPr="002B3627" w:rsidRDefault="0026597E" w:rsidP="00CC3C2F">
      <w:pPr>
        <w:spacing w:after="0" w:line="360" w:lineRule="auto"/>
        <w:jc w:val="both"/>
        <w:rPr>
          <w:rFonts w:ascii="Arial" w:eastAsia="Times New Roman" w:hAnsi="Arial" w:cs="Arial"/>
          <w:b/>
          <w:sz w:val="24"/>
          <w:szCs w:val="24"/>
          <w:lang w:val="en-GB"/>
        </w:rPr>
      </w:pPr>
    </w:p>
    <w:p w:rsidR="00CE3599" w:rsidRPr="008F4AFD" w:rsidRDefault="00175662" w:rsidP="00CC3C2F">
      <w:pPr>
        <w:spacing w:after="0" w:line="360" w:lineRule="auto"/>
        <w:jc w:val="both"/>
        <w:rPr>
          <w:rFonts w:ascii="Arial" w:eastAsia="Times New Roman" w:hAnsi="Arial" w:cs="Arial"/>
          <w:b/>
          <w:sz w:val="24"/>
          <w:szCs w:val="24"/>
          <w:lang w:val="en-GB"/>
        </w:rPr>
      </w:pPr>
      <w:r w:rsidRPr="002B3627">
        <w:rPr>
          <w:rFonts w:ascii="Arial" w:eastAsia="Times New Roman" w:hAnsi="Arial" w:cs="Arial"/>
          <w:b/>
          <w:sz w:val="24"/>
          <w:szCs w:val="24"/>
          <w:lang w:val="en-GB"/>
        </w:rPr>
        <w:t>Summary:</w:t>
      </w:r>
      <w:r w:rsidRPr="002B3627">
        <w:rPr>
          <w:rFonts w:ascii="Arial" w:eastAsia="Times New Roman" w:hAnsi="Arial" w:cs="Arial"/>
          <w:b/>
          <w:sz w:val="24"/>
          <w:szCs w:val="24"/>
          <w:lang w:val="en-GB"/>
        </w:rPr>
        <w:tab/>
      </w:r>
      <w:r w:rsidR="00CE3599" w:rsidRPr="002B3627">
        <w:rPr>
          <w:rFonts w:ascii="Arial" w:eastAsia="Times New Roman" w:hAnsi="Arial" w:cs="Arial"/>
          <w:sz w:val="24"/>
          <w:szCs w:val="24"/>
          <w:lang w:val="en-GB"/>
        </w:rPr>
        <w:t xml:space="preserve">This claim is based on a loan agreement which was entered into between the plaintiff and the first defendant for an amount of </w:t>
      </w:r>
      <w:r w:rsidR="008169F1">
        <w:rPr>
          <w:rFonts w:ascii="Arial" w:eastAsia="Times New Roman" w:hAnsi="Arial" w:cs="Arial"/>
          <w:sz w:val="24"/>
          <w:szCs w:val="24"/>
          <w:lang w:eastAsia="en-ZA"/>
        </w:rPr>
        <w:t>N$ 2 300 000</w:t>
      </w:r>
      <w:r w:rsidR="00CE3599" w:rsidRPr="002B3627">
        <w:rPr>
          <w:rFonts w:ascii="Arial" w:eastAsia="Times New Roman" w:hAnsi="Arial" w:cs="Arial"/>
          <w:sz w:val="24"/>
          <w:szCs w:val="24"/>
          <w:lang w:eastAsia="en-ZA"/>
        </w:rPr>
        <w:t xml:space="preserve">. The terms thereof were that the said amount would be repayable to the plaintiff at an agreed term and that failure to meet the payment obligations would entitle the plaintiff to demand immediate payment of all amounts owing in terms of the agreement. The second and third respondents bound themselves as sureties and co-principal debtors </w:t>
      </w:r>
      <w:r w:rsidR="00CE3599" w:rsidRPr="002B3627">
        <w:rPr>
          <w:rFonts w:ascii="Arial" w:eastAsia="Times New Roman" w:hAnsi="Arial" w:cs="Arial"/>
          <w:i/>
          <w:sz w:val="24"/>
          <w:szCs w:val="24"/>
          <w:lang w:eastAsia="en-ZA"/>
        </w:rPr>
        <w:t xml:space="preserve">in solidum </w:t>
      </w:r>
      <w:r w:rsidR="00CE3599" w:rsidRPr="002B3627">
        <w:rPr>
          <w:rFonts w:ascii="Arial" w:eastAsia="Times New Roman" w:hAnsi="Arial" w:cs="Arial"/>
          <w:sz w:val="24"/>
          <w:szCs w:val="24"/>
          <w:lang w:eastAsia="en-ZA"/>
        </w:rPr>
        <w:t>with the first respondent. The plaintiff alleges that the first defendant has failed to honour the agreement and as a result instituted action against the defendants.</w:t>
      </w:r>
    </w:p>
    <w:p w:rsidR="00CE3599" w:rsidRPr="002B3627" w:rsidRDefault="00CE3599" w:rsidP="00CC3C2F">
      <w:pPr>
        <w:spacing w:after="0" w:line="360" w:lineRule="auto"/>
        <w:jc w:val="both"/>
        <w:rPr>
          <w:rFonts w:ascii="Arial" w:eastAsia="Times New Roman" w:hAnsi="Arial" w:cs="Arial"/>
          <w:sz w:val="24"/>
          <w:szCs w:val="24"/>
          <w:lang w:eastAsia="en-ZA"/>
        </w:rPr>
      </w:pPr>
    </w:p>
    <w:p w:rsidR="00CE3599" w:rsidRPr="002B3627" w:rsidRDefault="00CE3599" w:rsidP="00CC3C2F">
      <w:pPr>
        <w:spacing w:after="0" w:line="360" w:lineRule="auto"/>
        <w:jc w:val="both"/>
        <w:rPr>
          <w:rFonts w:ascii="Arial" w:eastAsia="Times New Roman" w:hAnsi="Arial" w:cs="Arial"/>
          <w:i/>
          <w:sz w:val="24"/>
          <w:szCs w:val="24"/>
          <w:lang w:eastAsia="en-ZA"/>
        </w:rPr>
      </w:pPr>
      <w:r w:rsidRPr="002B3627">
        <w:rPr>
          <w:rFonts w:ascii="Arial" w:eastAsia="Times New Roman" w:hAnsi="Arial" w:cs="Arial"/>
          <w:sz w:val="24"/>
          <w:szCs w:val="24"/>
          <w:lang w:eastAsia="en-ZA"/>
        </w:rPr>
        <w:t>The defendants defended the action and the plaintiff proceeded to file an application for summary judgment.</w:t>
      </w:r>
      <w:r w:rsidR="00BB7CC4" w:rsidRPr="002B3627">
        <w:rPr>
          <w:rFonts w:ascii="Arial" w:eastAsia="Times New Roman" w:hAnsi="Arial" w:cs="Arial"/>
          <w:sz w:val="24"/>
          <w:szCs w:val="24"/>
          <w:lang w:eastAsia="en-ZA"/>
        </w:rPr>
        <w:t xml:space="preserve"> The respondents’ opposition to the summary judgement application raised a number of </w:t>
      </w:r>
      <w:r w:rsidR="00BB7CC4" w:rsidRPr="002B3627">
        <w:rPr>
          <w:rFonts w:ascii="Arial" w:eastAsia="Times New Roman" w:hAnsi="Arial" w:cs="Arial"/>
          <w:i/>
          <w:sz w:val="24"/>
          <w:szCs w:val="24"/>
          <w:lang w:eastAsia="en-ZA"/>
        </w:rPr>
        <w:t>points in limine.</w:t>
      </w:r>
    </w:p>
    <w:p w:rsidR="00BB7CC4" w:rsidRPr="002B3627" w:rsidRDefault="00BB7CC4" w:rsidP="00CC3C2F">
      <w:pPr>
        <w:spacing w:after="0" w:line="360" w:lineRule="auto"/>
        <w:jc w:val="both"/>
        <w:rPr>
          <w:rFonts w:ascii="Arial" w:eastAsia="Times New Roman" w:hAnsi="Arial" w:cs="Arial"/>
          <w:i/>
          <w:sz w:val="24"/>
          <w:szCs w:val="24"/>
          <w:lang w:eastAsia="en-ZA"/>
        </w:rPr>
      </w:pPr>
    </w:p>
    <w:p w:rsidR="00BB7CC4" w:rsidRPr="002B3627" w:rsidRDefault="00BB7CC4" w:rsidP="00BB7CC4">
      <w:pPr>
        <w:spacing w:after="0" w:line="360" w:lineRule="auto"/>
        <w:jc w:val="both"/>
        <w:rPr>
          <w:rFonts w:ascii="Arial" w:eastAsia="Times New Roman" w:hAnsi="Arial" w:cs="Arial"/>
          <w:sz w:val="24"/>
          <w:szCs w:val="24"/>
          <w:lang w:eastAsia="en-ZA"/>
        </w:rPr>
      </w:pPr>
      <w:r w:rsidRPr="002B3627">
        <w:rPr>
          <w:rFonts w:ascii="Arial" w:eastAsia="Times New Roman" w:hAnsi="Arial" w:cs="Arial"/>
          <w:i/>
          <w:sz w:val="24"/>
          <w:szCs w:val="24"/>
          <w:lang w:eastAsia="en-ZA"/>
        </w:rPr>
        <w:t>Held that</w:t>
      </w:r>
      <w:r w:rsidRPr="002B3627">
        <w:rPr>
          <w:rFonts w:ascii="Arial" w:eastAsia="Times New Roman" w:hAnsi="Arial" w:cs="Arial"/>
          <w:sz w:val="24"/>
          <w:szCs w:val="24"/>
          <w:lang w:eastAsia="en-ZA"/>
        </w:rPr>
        <w:t>, the court must, from the facts set out in the affidavit itself be able to make a factual finding that the person who deposed to the affidavit, was able to swear positively to the facts alleged in the summons and annexures thereto and be able to verify the cause of action and the amount claimed, and was able to form the opinion that there was no bona fide defence available to the defendant and that the notice of intention to defend was given solely for the purpose of delay.</w:t>
      </w:r>
    </w:p>
    <w:p w:rsidR="00141B52" w:rsidRPr="002B3627" w:rsidRDefault="00141B52" w:rsidP="00BB7CC4">
      <w:pPr>
        <w:spacing w:after="0" w:line="360" w:lineRule="auto"/>
        <w:jc w:val="both"/>
        <w:rPr>
          <w:rFonts w:ascii="Arial" w:eastAsia="Times New Roman" w:hAnsi="Arial" w:cs="Arial"/>
          <w:sz w:val="24"/>
          <w:szCs w:val="24"/>
          <w:lang w:eastAsia="en-ZA"/>
        </w:rPr>
      </w:pPr>
    </w:p>
    <w:p w:rsidR="00141B52" w:rsidRPr="002B3627" w:rsidRDefault="00141B52" w:rsidP="00BB7CC4">
      <w:pPr>
        <w:spacing w:after="0" w:line="360" w:lineRule="auto"/>
        <w:jc w:val="both"/>
        <w:rPr>
          <w:rFonts w:ascii="Arial" w:eastAsia="Times New Roman" w:hAnsi="Arial" w:cs="Arial"/>
          <w:sz w:val="24"/>
          <w:szCs w:val="24"/>
          <w:lang w:eastAsia="en-ZA"/>
        </w:rPr>
      </w:pPr>
      <w:r w:rsidRPr="002B3627">
        <w:rPr>
          <w:rFonts w:ascii="Arial" w:eastAsia="Times New Roman" w:hAnsi="Arial" w:cs="Arial"/>
          <w:i/>
          <w:sz w:val="24"/>
          <w:szCs w:val="24"/>
          <w:lang w:eastAsia="en-ZA"/>
        </w:rPr>
        <w:t>Held further that</w:t>
      </w:r>
      <w:r w:rsidRPr="002B3627">
        <w:rPr>
          <w:rFonts w:ascii="Arial" w:eastAsia="Times New Roman" w:hAnsi="Arial" w:cs="Arial"/>
          <w:sz w:val="24"/>
          <w:szCs w:val="24"/>
          <w:lang w:eastAsia="en-ZA"/>
        </w:rPr>
        <w:t>, a Commissioner of Oaths cannot administer an oath or affirmation or certify documentation relating to a matter in which he has an interest or that he/she has produced.</w:t>
      </w:r>
    </w:p>
    <w:p w:rsidR="00ED111A" w:rsidRPr="002B3627" w:rsidRDefault="00ED111A" w:rsidP="00BB7CC4">
      <w:pPr>
        <w:spacing w:after="0" w:line="360" w:lineRule="auto"/>
        <w:jc w:val="both"/>
        <w:rPr>
          <w:rFonts w:ascii="Arial" w:eastAsia="Times New Roman" w:hAnsi="Arial" w:cs="Arial"/>
          <w:sz w:val="24"/>
          <w:szCs w:val="24"/>
          <w:lang w:eastAsia="en-ZA"/>
        </w:rPr>
      </w:pPr>
    </w:p>
    <w:p w:rsidR="00ED111A" w:rsidRPr="002B3627" w:rsidRDefault="00ED111A" w:rsidP="00BB7CC4">
      <w:pPr>
        <w:spacing w:after="0" w:line="360" w:lineRule="auto"/>
        <w:jc w:val="both"/>
        <w:rPr>
          <w:rFonts w:ascii="Arial" w:eastAsia="Times New Roman" w:hAnsi="Arial" w:cs="Arial"/>
          <w:sz w:val="24"/>
          <w:szCs w:val="24"/>
          <w:lang w:eastAsia="en-ZA"/>
        </w:rPr>
      </w:pPr>
      <w:r w:rsidRPr="002B3627">
        <w:rPr>
          <w:rFonts w:ascii="Arial" w:eastAsia="Times New Roman" w:hAnsi="Arial" w:cs="Arial"/>
          <w:i/>
          <w:sz w:val="24"/>
          <w:szCs w:val="24"/>
          <w:lang w:eastAsia="en-ZA"/>
        </w:rPr>
        <w:t>Held that</w:t>
      </w:r>
      <w:r w:rsidRPr="002B3627">
        <w:rPr>
          <w:rFonts w:ascii="Arial" w:eastAsia="Times New Roman" w:hAnsi="Arial" w:cs="Arial"/>
          <w:sz w:val="24"/>
          <w:szCs w:val="24"/>
          <w:lang w:eastAsia="en-ZA"/>
        </w:rPr>
        <w:t>, it is the duty of legal practitioners or any litigating party to ensure that the documents uploaded in support of their case on the electronic court file are properly scanned and legible.</w:t>
      </w:r>
      <w:r w:rsidR="000C17F7" w:rsidRPr="002B3627">
        <w:rPr>
          <w:rFonts w:ascii="Arial" w:eastAsia="Times New Roman" w:hAnsi="Arial" w:cs="Arial"/>
          <w:sz w:val="24"/>
          <w:szCs w:val="24"/>
          <w:lang w:eastAsia="en-ZA"/>
        </w:rPr>
        <w:t xml:space="preserve"> The purpose of producing a certified copy of a document is certainly </w:t>
      </w:r>
      <w:r w:rsidR="000C17F7" w:rsidRPr="002B3627">
        <w:rPr>
          <w:rFonts w:ascii="Arial" w:eastAsia="Times New Roman" w:hAnsi="Arial" w:cs="Arial"/>
          <w:sz w:val="24"/>
          <w:szCs w:val="24"/>
          <w:lang w:eastAsia="en-ZA"/>
        </w:rPr>
        <w:lastRenderedPageBreak/>
        <w:t>so that the content of the document could be relied upon. It should therefore be a good, clear copy with the content legible.</w:t>
      </w:r>
    </w:p>
    <w:p w:rsidR="00CE3599" w:rsidRPr="002B3627" w:rsidRDefault="00CE3599" w:rsidP="00CC3C2F">
      <w:pPr>
        <w:spacing w:after="0" w:line="360" w:lineRule="auto"/>
        <w:jc w:val="both"/>
        <w:rPr>
          <w:rFonts w:ascii="Arial" w:eastAsia="Times New Roman" w:hAnsi="Arial" w:cs="Arial"/>
          <w:sz w:val="24"/>
          <w:szCs w:val="24"/>
          <w:lang w:eastAsia="en-ZA"/>
        </w:rPr>
      </w:pPr>
    </w:p>
    <w:p w:rsidR="00722F8B" w:rsidRPr="00EA3733" w:rsidRDefault="00B13620" w:rsidP="00CC3C2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5" style="width:0;height:1.5pt" o:hralign="center" o:hrstd="t" o:hr="t" fillcolor="#a0a0a0" stroked="f"/>
        </w:pict>
      </w:r>
    </w:p>
    <w:p w:rsidR="00722F8B" w:rsidRPr="00EA3733" w:rsidRDefault="00722F8B" w:rsidP="00CC3C2F">
      <w:pPr>
        <w:spacing w:after="0" w:line="360" w:lineRule="auto"/>
        <w:jc w:val="center"/>
        <w:rPr>
          <w:rFonts w:ascii="Arial" w:hAnsi="Arial" w:cs="Arial"/>
          <w:b/>
          <w:color w:val="000000" w:themeColor="text1"/>
          <w:sz w:val="24"/>
          <w:szCs w:val="24"/>
        </w:rPr>
      </w:pPr>
      <w:r w:rsidRPr="00EA3733">
        <w:rPr>
          <w:rFonts w:ascii="Arial" w:hAnsi="Arial" w:cs="Arial"/>
          <w:b/>
          <w:color w:val="000000" w:themeColor="text1"/>
          <w:sz w:val="24"/>
          <w:szCs w:val="24"/>
        </w:rPr>
        <w:t>ORDER</w:t>
      </w:r>
    </w:p>
    <w:p w:rsidR="00722F8B" w:rsidRPr="00EA3733" w:rsidRDefault="00B13620" w:rsidP="00CC3C2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6" style="width:0;height:1.5pt" o:hralign="center" o:hrstd="t" o:hr="t" fillcolor="#a0a0a0" stroked="f"/>
        </w:pict>
      </w:r>
    </w:p>
    <w:p w:rsidR="00722F8B" w:rsidRPr="00BE75A8" w:rsidRDefault="008E779D" w:rsidP="00BE75A8">
      <w:pPr>
        <w:pStyle w:val="ListParagraph"/>
        <w:numPr>
          <w:ilvl w:val="0"/>
          <w:numId w:val="8"/>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 xml:space="preserve">The </w:t>
      </w:r>
      <w:r w:rsidR="006E67D7" w:rsidRPr="00BE75A8">
        <w:rPr>
          <w:rFonts w:ascii="Arial" w:eastAsia="Times New Roman" w:hAnsi="Arial" w:cs="Arial"/>
          <w:color w:val="000000" w:themeColor="text1"/>
          <w:sz w:val="24"/>
          <w:szCs w:val="24"/>
          <w:lang w:eastAsia="en-ZA"/>
        </w:rPr>
        <w:t>point</w:t>
      </w:r>
      <w:r w:rsidR="006E67D7" w:rsidRPr="00BE75A8">
        <w:rPr>
          <w:rFonts w:ascii="Arial" w:eastAsia="Times New Roman" w:hAnsi="Arial" w:cs="Arial"/>
          <w:i/>
          <w:color w:val="000000" w:themeColor="text1"/>
          <w:sz w:val="24"/>
          <w:szCs w:val="24"/>
          <w:lang w:eastAsia="en-ZA"/>
        </w:rPr>
        <w:t xml:space="preserve"> in limine </w:t>
      </w:r>
      <w:r w:rsidR="006E67D7" w:rsidRPr="00BE75A8">
        <w:rPr>
          <w:rFonts w:ascii="Arial" w:eastAsia="Times New Roman" w:hAnsi="Arial" w:cs="Arial"/>
          <w:color w:val="000000" w:themeColor="text1"/>
          <w:sz w:val="24"/>
          <w:szCs w:val="24"/>
          <w:lang w:eastAsia="en-ZA"/>
        </w:rPr>
        <w:t>is upheld that the papers do not meet the technical standard needed and therefor the summary judgement application is strike from the roll.</w:t>
      </w:r>
    </w:p>
    <w:p w:rsidR="00BE75A8" w:rsidRPr="00BE75A8" w:rsidRDefault="006E67D7" w:rsidP="00BE75A8">
      <w:pPr>
        <w:pStyle w:val="ListParagraph"/>
        <w:numPr>
          <w:ilvl w:val="0"/>
          <w:numId w:val="8"/>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Cost of this applicati</w:t>
      </w:r>
      <w:r w:rsidR="00BE75A8">
        <w:rPr>
          <w:rFonts w:ascii="Arial" w:eastAsia="Times New Roman" w:hAnsi="Arial" w:cs="Arial"/>
          <w:color w:val="000000" w:themeColor="text1"/>
          <w:sz w:val="24"/>
          <w:szCs w:val="24"/>
          <w:lang w:eastAsia="en-ZA"/>
        </w:rPr>
        <w:t xml:space="preserve">on is awarded to the defendants, of which </w:t>
      </w:r>
      <w:r w:rsidR="00BE75A8" w:rsidRPr="00BE75A8">
        <w:rPr>
          <w:rFonts w:ascii="Arial" w:eastAsia="Times New Roman" w:hAnsi="Arial" w:cs="Arial"/>
          <w:color w:val="000000" w:themeColor="text1"/>
          <w:sz w:val="24"/>
          <w:szCs w:val="24"/>
          <w:lang w:eastAsia="en-ZA"/>
        </w:rPr>
        <w:t>costs are limited in terms of the provisions of Rule 32(11).</w:t>
      </w:r>
    </w:p>
    <w:p w:rsidR="00BE75A8" w:rsidRPr="00BE75A8" w:rsidRDefault="00BE75A8" w:rsidP="00BE75A8">
      <w:pPr>
        <w:pStyle w:val="ListParagraph"/>
        <w:numPr>
          <w:ilvl w:val="0"/>
          <w:numId w:val="8"/>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The parties are ordered to file a joint status report by no later than 21 January 2021 at 15h00.</w:t>
      </w:r>
    </w:p>
    <w:p w:rsidR="006E67D7" w:rsidRPr="00BE75A8" w:rsidRDefault="00BE75A8" w:rsidP="00BE75A8">
      <w:pPr>
        <w:pStyle w:val="ListParagraph"/>
        <w:numPr>
          <w:ilvl w:val="0"/>
          <w:numId w:val="8"/>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The case is postponed to 26 January 2021 at 15h30 for Status hearing.</w:t>
      </w:r>
    </w:p>
    <w:p w:rsidR="00613CEF" w:rsidRPr="00EA3733" w:rsidRDefault="00613CEF"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722F8B" w:rsidRPr="00EA3733" w:rsidRDefault="00B13620" w:rsidP="00CC3C2F">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7" style="width:0;height:1.5pt" o:hralign="center" o:hrstd="t" o:hr="t" fillcolor="#a0a0a0" stroked="f"/>
        </w:pict>
      </w:r>
    </w:p>
    <w:p w:rsidR="003E5D18" w:rsidRPr="00EA3733" w:rsidRDefault="008F4AFD" w:rsidP="00CC3C2F">
      <w:pPr>
        <w:spacing w:after="0" w:line="360" w:lineRule="auto"/>
        <w:jc w:val="center"/>
        <w:rPr>
          <w:rFonts w:ascii="Arial" w:eastAsia="Times New Roman" w:hAnsi="Arial" w:cs="Arial"/>
          <w:b/>
          <w:color w:val="000000" w:themeColor="text1"/>
          <w:sz w:val="24"/>
          <w:szCs w:val="24"/>
          <w:lang w:val="en-ZA"/>
        </w:rPr>
      </w:pPr>
      <w:r>
        <w:rPr>
          <w:rFonts w:ascii="Arial" w:eastAsia="Times New Roman" w:hAnsi="Arial" w:cs="Arial"/>
          <w:b/>
          <w:color w:val="000000" w:themeColor="text1"/>
          <w:sz w:val="24"/>
          <w:szCs w:val="24"/>
          <w:lang w:val="en-ZA"/>
        </w:rPr>
        <w:t>JUDG</w:t>
      </w:r>
      <w:r w:rsidR="00E54AE9" w:rsidRPr="00EA3733">
        <w:rPr>
          <w:rFonts w:ascii="Arial" w:eastAsia="Times New Roman" w:hAnsi="Arial" w:cs="Arial"/>
          <w:b/>
          <w:color w:val="000000" w:themeColor="text1"/>
          <w:sz w:val="24"/>
          <w:szCs w:val="24"/>
          <w:lang w:val="en-ZA"/>
        </w:rPr>
        <w:t>MENT</w:t>
      </w:r>
      <w:r w:rsidR="006B23C6" w:rsidRPr="00EA3733">
        <w:rPr>
          <w:rFonts w:ascii="Arial" w:eastAsia="Times New Roman" w:hAnsi="Arial" w:cs="Arial"/>
          <w:b/>
          <w:color w:val="000000" w:themeColor="text1"/>
          <w:sz w:val="24"/>
          <w:szCs w:val="24"/>
          <w:lang w:val="en-ZA"/>
        </w:rPr>
        <w:t xml:space="preserve"> </w:t>
      </w:r>
    </w:p>
    <w:p w:rsidR="00722F8B" w:rsidRPr="00EA3733" w:rsidRDefault="00B13620" w:rsidP="00CC3C2F">
      <w:pPr>
        <w:spacing w:after="0" w:line="360" w:lineRule="auto"/>
        <w:jc w:val="both"/>
        <w:rPr>
          <w:rFonts w:ascii="Arial" w:eastAsia="Times New Roman" w:hAnsi="Arial" w:cs="Arial"/>
          <w:color w:val="000000" w:themeColor="text1"/>
          <w:sz w:val="24"/>
          <w:szCs w:val="24"/>
          <w:lang w:val="en-ZA" w:eastAsia="en-ZA"/>
        </w:rPr>
      </w:pPr>
      <w:r>
        <w:rPr>
          <w:rFonts w:ascii="Arial" w:hAnsi="Arial" w:cs="Arial"/>
          <w:bCs/>
          <w:color w:val="000000" w:themeColor="text1"/>
          <w:sz w:val="24"/>
          <w:szCs w:val="24"/>
        </w:rPr>
        <w:pict>
          <v:rect id="_x0000_i1028" style="width:0;height:1.5pt" o:hralign="center" o:hrstd="t" o:hr="t" fillcolor="#a0a0a0" stroked="f"/>
        </w:pict>
      </w:r>
      <w:r w:rsidR="00722F8B" w:rsidRPr="00EA3733">
        <w:rPr>
          <w:rFonts w:ascii="Arial" w:eastAsia="Times New Roman" w:hAnsi="Arial" w:cs="Arial"/>
          <w:color w:val="000000" w:themeColor="text1"/>
          <w:sz w:val="24"/>
          <w:szCs w:val="24"/>
          <w:lang w:val="en-ZA" w:eastAsia="en-ZA"/>
        </w:rPr>
        <w:t xml:space="preserve"> </w:t>
      </w:r>
    </w:p>
    <w:p w:rsidR="00722F8B" w:rsidRPr="00EA3733" w:rsidRDefault="00722F8B" w:rsidP="00CC3C2F">
      <w:pPr>
        <w:spacing w:after="0" w:line="360" w:lineRule="auto"/>
        <w:jc w:val="both"/>
        <w:rPr>
          <w:rFonts w:ascii="Arial" w:hAnsi="Arial" w:cs="Arial"/>
          <w:b/>
          <w:color w:val="000000" w:themeColor="text1"/>
          <w:sz w:val="24"/>
          <w:lang w:val="en-ZA"/>
        </w:rPr>
      </w:pPr>
      <w:r w:rsidRPr="00EA3733">
        <w:rPr>
          <w:rFonts w:ascii="Arial" w:eastAsia="Times New Roman" w:hAnsi="Arial" w:cs="Arial"/>
          <w:color w:val="000000" w:themeColor="text1"/>
          <w:sz w:val="24"/>
          <w:szCs w:val="24"/>
          <w:lang w:val="en-ZA" w:eastAsia="en-ZA"/>
        </w:rPr>
        <w:t>RAKOW, AJ:</w:t>
      </w:r>
    </w:p>
    <w:p w:rsidR="00722F8B" w:rsidRPr="00EA3733" w:rsidRDefault="00722F8B" w:rsidP="00CC3C2F">
      <w:pPr>
        <w:spacing w:after="0" w:line="360" w:lineRule="auto"/>
        <w:jc w:val="both"/>
        <w:rPr>
          <w:rFonts w:ascii="Arial" w:hAnsi="Arial" w:cs="Arial"/>
          <w:color w:val="000000" w:themeColor="text1"/>
          <w:lang w:val="en-ZA"/>
        </w:rPr>
      </w:pPr>
    </w:p>
    <w:p w:rsidR="00722F8B" w:rsidRPr="00EA3733" w:rsidRDefault="00722F8B"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EA3733">
        <w:rPr>
          <w:rFonts w:ascii="Arial" w:eastAsia="Times New Roman" w:hAnsi="Arial" w:cs="Arial"/>
          <w:color w:val="000000" w:themeColor="text1"/>
          <w:sz w:val="24"/>
          <w:szCs w:val="24"/>
          <w:u w:val="single"/>
          <w:lang w:eastAsia="en-ZA"/>
        </w:rPr>
        <w:t>Introduction</w:t>
      </w:r>
    </w:p>
    <w:p w:rsidR="00F27764" w:rsidRPr="00EA3733" w:rsidRDefault="00F27764"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p>
    <w:p w:rsidR="000C7F64" w:rsidRDefault="00063929" w:rsidP="0026597E">
      <w:pPr>
        <w:shd w:val="clear" w:color="auto" w:fill="FFFFFF"/>
        <w:spacing w:after="0" w:line="360" w:lineRule="auto"/>
        <w:jc w:val="both"/>
        <w:rPr>
          <w:rFonts w:ascii="Arial" w:eastAsia="Times New Roman" w:hAnsi="Arial" w:cs="Arial"/>
          <w:color w:val="000000" w:themeColor="text1"/>
          <w:sz w:val="24"/>
          <w:szCs w:val="24"/>
          <w:lang w:eastAsia="en-ZA"/>
        </w:rPr>
      </w:pPr>
      <w:r w:rsidRPr="00EA3733">
        <w:rPr>
          <w:rFonts w:ascii="Arial" w:eastAsia="Times New Roman" w:hAnsi="Arial" w:cs="Arial"/>
          <w:color w:val="000000" w:themeColor="text1"/>
          <w:sz w:val="24"/>
          <w:szCs w:val="24"/>
          <w:lang w:eastAsia="en-ZA"/>
        </w:rPr>
        <w:t>[1]</w:t>
      </w:r>
      <w:r w:rsidRPr="00EA3733">
        <w:rPr>
          <w:rFonts w:ascii="Arial" w:eastAsia="Times New Roman" w:hAnsi="Arial" w:cs="Arial"/>
          <w:color w:val="000000" w:themeColor="text1"/>
          <w:sz w:val="24"/>
          <w:szCs w:val="24"/>
          <w:lang w:eastAsia="en-ZA"/>
        </w:rPr>
        <w:tab/>
      </w:r>
      <w:r w:rsidR="0026597E">
        <w:rPr>
          <w:rFonts w:ascii="Arial" w:eastAsia="Times New Roman" w:hAnsi="Arial" w:cs="Arial"/>
          <w:color w:val="000000" w:themeColor="text1"/>
          <w:sz w:val="24"/>
          <w:szCs w:val="24"/>
          <w:lang w:eastAsia="en-ZA"/>
        </w:rPr>
        <w:t>The applicant in this matter (the plaintiff in the main matter) is Bank Windhoek Limited, a public company duly incorporated as such and registered as a commercial bank in terms of t</w:t>
      </w:r>
      <w:r w:rsidR="00BE75A8">
        <w:rPr>
          <w:rFonts w:ascii="Arial" w:eastAsia="Times New Roman" w:hAnsi="Arial" w:cs="Arial"/>
          <w:color w:val="000000" w:themeColor="text1"/>
          <w:sz w:val="24"/>
          <w:szCs w:val="24"/>
          <w:lang w:eastAsia="en-ZA"/>
        </w:rPr>
        <w:t>he applicable laws of Namibia. The first respondent (first</w:t>
      </w:r>
      <w:r w:rsidR="0026597E">
        <w:rPr>
          <w:rFonts w:ascii="Arial" w:eastAsia="Times New Roman" w:hAnsi="Arial" w:cs="Arial"/>
          <w:color w:val="000000" w:themeColor="text1"/>
          <w:sz w:val="24"/>
          <w:szCs w:val="24"/>
          <w:lang w:eastAsia="en-ZA"/>
        </w:rPr>
        <w:t xml:space="preserve"> defendant) is Kock Investment cc, a close corporation with limited liability, duly incorporated in terms of th</w:t>
      </w:r>
      <w:r w:rsidR="00676B4A">
        <w:rPr>
          <w:rFonts w:ascii="Arial" w:eastAsia="Times New Roman" w:hAnsi="Arial" w:cs="Arial"/>
          <w:color w:val="000000" w:themeColor="text1"/>
          <w:sz w:val="24"/>
          <w:szCs w:val="24"/>
          <w:lang w:eastAsia="en-ZA"/>
        </w:rPr>
        <w:t>e Namibian law. The second and third respondents (second and third</w:t>
      </w:r>
      <w:r w:rsidR="0026597E">
        <w:rPr>
          <w:rFonts w:ascii="Arial" w:eastAsia="Times New Roman" w:hAnsi="Arial" w:cs="Arial"/>
          <w:color w:val="000000" w:themeColor="text1"/>
          <w:sz w:val="24"/>
          <w:szCs w:val="24"/>
          <w:lang w:eastAsia="en-ZA"/>
        </w:rPr>
        <w:t xml:space="preserve"> defendants) are Jesaya Amunyela and Edward Shivela who are both natural persons.</w:t>
      </w:r>
    </w:p>
    <w:p w:rsidR="0026597E" w:rsidRDefault="0026597E"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CE3599" w:rsidRDefault="0026597E"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w:t>
      </w:r>
      <w:r>
        <w:rPr>
          <w:rFonts w:ascii="Arial" w:eastAsia="Times New Roman" w:hAnsi="Arial" w:cs="Arial"/>
          <w:color w:val="000000" w:themeColor="text1"/>
          <w:sz w:val="24"/>
          <w:szCs w:val="24"/>
          <w:lang w:eastAsia="en-ZA"/>
        </w:rPr>
        <w:tab/>
        <w:t>The applicant, represented b</w:t>
      </w:r>
      <w:r w:rsidR="00676B4A">
        <w:rPr>
          <w:rFonts w:ascii="Arial" w:eastAsia="Times New Roman" w:hAnsi="Arial" w:cs="Arial"/>
          <w:color w:val="000000" w:themeColor="text1"/>
          <w:sz w:val="24"/>
          <w:szCs w:val="24"/>
          <w:lang w:eastAsia="en-ZA"/>
        </w:rPr>
        <w:t>y a certain J Sheehama and the first respondent represented by the second</w:t>
      </w:r>
      <w:r>
        <w:rPr>
          <w:rFonts w:ascii="Arial" w:eastAsia="Times New Roman" w:hAnsi="Arial" w:cs="Arial"/>
          <w:color w:val="000000" w:themeColor="text1"/>
          <w:sz w:val="24"/>
          <w:szCs w:val="24"/>
          <w:lang w:eastAsia="en-ZA"/>
        </w:rPr>
        <w:t xml:space="preserve"> respondent, entered into a loan agreement on 17 October 2017 f</w:t>
      </w:r>
      <w:r w:rsidR="008169F1">
        <w:rPr>
          <w:rFonts w:ascii="Arial" w:eastAsia="Times New Roman" w:hAnsi="Arial" w:cs="Arial"/>
          <w:color w:val="000000" w:themeColor="text1"/>
          <w:sz w:val="24"/>
          <w:szCs w:val="24"/>
          <w:lang w:eastAsia="en-ZA"/>
        </w:rPr>
        <w:t>or the amount of N$ 2 300 000</w:t>
      </w:r>
      <w:r>
        <w:rPr>
          <w:rFonts w:ascii="Arial" w:eastAsia="Times New Roman" w:hAnsi="Arial" w:cs="Arial"/>
          <w:color w:val="000000" w:themeColor="text1"/>
          <w:sz w:val="24"/>
          <w:szCs w:val="24"/>
          <w:lang w:eastAsia="en-ZA"/>
        </w:rPr>
        <w:t xml:space="preserve"> and some fees and stamp duty fees being added. The </w:t>
      </w:r>
      <w:r w:rsidR="00431537">
        <w:rPr>
          <w:rFonts w:ascii="Arial" w:eastAsia="Times New Roman" w:hAnsi="Arial" w:cs="Arial"/>
          <w:color w:val="000000" w:themeColor="text1"/>
          <w:sz w:val="24"/>
          <w:szCs w:val="24"/>
          <w:lang w:eastAsia="en-ZA"/>
        </w:rPr>
        <w:lastRenderedPageBreak/>
        <w:t>terms of the loan agreement was that this amount should be repaid in 120 ins</w:t>
      </w:r>
      <w:r w:rsidR="00CE3599">
        <w:rPr>
          <w:rFonts w:ascii="Arial" w:eastAsia="Times New Roman" w:hAnsi="Arial" w:cs="Arial"/>
          <w:color w:val="000000" w:themeColor="text1"/>
          <w:sz w:val="24"/>
          <w:szCs w:val="24"/>
          <w:lang w:eastAsia="en-ZA"/>
        </w:rPr>
        <w:t xml:space="preserve">tallments of N$33 793.08 each. </w:t>
      </w:r>
      <w:r w:rsidR="00431537">
        <w:rPr>
          <w:rFonts w:ascii="Arial" w:eastAsia="Times New Roman" w:hAnsi="Arial" w:cs="Arial"/>
          <w:color w:val="000000" w:themeColor="text1"/>
          <w:sz w:val="24"/>
          <w:szCs w:val="24"/>
          <w:lang w:eastAsia="en-ZA"/>
        </w:rPr>
        <w:t xml:space="preserve">It was further a term of the </w:t>
      </w:r>
      <w:r w:rsidR="00AE18D1">
        <w:rPr>
          <w:rFonts w:ascii="Arial" w:eastAsia="Times New Roman" w:hAnsi="Arial" w:cs="Arial"/>
          <w:color w:val="000000" w:themeColor="text1"/>
          <w:sz w:val="24"/>
          <w:szCs w:val="24"/>
          <w:lang w:eastAsia="en-ZA"/>
        </w:rPr>
        <w:t>agreement that</w:t>
      </w:r>
      <w:r w:rsidR="00676B4A">
        <w:rPr>
          <w:rFonts w:ascii="Arial" w:eastAsia="Times New Roman" w:hAnsi="Arial" w:cs="Arial"/>
          <w:color w:val="000000" w:themeColor="text1"/>
          <w:sz w:val="24"/>
          <w:szCs w:val="24"/>
          <w:lang w:eastAsia="en-ZA"/>
        </w:rPr>
        <w:t xml:space="preserve"> should the first</w:t>
      </w:r>
      <w:r w:rsidR="00431537">
        <w:rPr>
          <w:rFonts w:ascii="Arial" w:eastAsia="Times New Roman" w:hAnsi="Arial" w:cs="Arial"/>
          <w:color w:val="000000" w:themeColor="text1"/>
          <w:sz w:val="24"/>
          <w:szCs w:val="24"/>
          <w:lang w:eastAsia="en-ZA"/>
        </w:rPr>
        <w:t xml:space="preserve"> respondent fail to make a payment, the applicant would be entitled to demand immediate payment of all amounts owing in terms of the agreemen</w:t>
      </w:r>
      <w:r w:rsidR="00CE3599">
        <w:rPr>
          <w:rFonts w:ascii="Arial" w:eastAsia="Times New Roman" w:hAnsi="Arial" w:cs="Arial"/>
          <w:color w:val="000000" w:themeColor="text1"/>
          <w:sz w:val="24"/>
          <w:szCs w:val="24"/>
          <w:lang w:eastAsia="en-ZA"/>
        </w:rPr>
        <w:t xml:space="preserve">t. </w:t>
      </w:r>
      <w:r w:rsidR="00676B4A">
        <w:rPr>
          <w:rFonts w:ascii="Arial" w:eastAsia="Times New Roman" w:hAnsi="Arial" w:cs="Arial"/>
          <w:color w:val="000000" w:themeColor="text1"/>
          <w:sz w:val="24"/>
          <w:szCs w:val="24"/>
          <w:lang w:eastAsia="en-ZA"/>
        </w:rPr>
        <w:t>The allegation is that the first</w:t>
      </w:r>
      <w:r w:rsidR="00431537">
        <w:rPr>
          <w:rFonts w:ascii="Arial" w:eastAsia="Times New Roman" w:hAnsi="Arial" w:cs="Arial"/>
          <w:color w:val="000000" w:themeColor="text1"/>
          <w:sz w:val="24"/>
          <w:szCs w:val="24"/>
          <w:lang w:eastAsia="en-ZA"/>
        </w:rPr>
        <w:t xml:space="preserve"> respondent failed to make payments for the period May 2020 to July 2020</w:t>
      </w:r>
      <w:r w:rsidR="00CE3599">
        <w:rPr>
          <w:rFonts w:ascii="Arial" w:eastAsia="Times New Roman" w:hAnsi="Arial" w:cs="Arial"/>
          <w:color w:val="000000" w:themeColor="text1"/>
          <w:sz w:val="24"/>
          <w:szCs w:val="24"/>
          <w:lang w:eastAsia="en-ZA"/>
        </w:rPr>
        <w:t xml:space="preserve"> in the amount of N$69 003.15. </w:t>
      </w:r>
    </w:p>
    <w:p w:rsidR="00CE3599" w:rsidRDefault="00CE3599"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26597E" w:rsidRDefault="00CE3599"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[3]</w:t>
      </w:r>
      <w:r>
        <w:rPr>
          <w:rFonts w:ascii="Arial" w:eastAsia="Times New Roman" w:hAnsi="Arial" w:cs="Arial"/>
          <w:color w:val="000000" w:themeColor="text1"/>
          <w:sz w:val="24"/>
          <w:szCs w:val="24"/>
          <w:lang w:eastAsia="en-ZA"/>
        </w:rPr>
        <w:tab/>
      </w:r>
      <w:r w:rsidR="00431537">
        <w:rPr>
          <w:rFonts w:ascii="Arial" w:eastAsia="Times New Roman" w:hAnsi="Arial" w:cs="Arial"/>
          <w:color w:val="000000" w:themeColor="text1"/>
          <w:sz w:val="24"/>
          <w:szCs w:val="24"/>
          <w:lang w:eastAsia="en-ZA"/>
        </w:rPr>
        <w:t>On 12 June 2</w:t>
      </w:r>
      <w:r w:rsidR="00676B4A">
        <w:rPr>
          <w:rFonts w:ascii="Arial" w:eastAsia="Times New Roman" w:hAnsi="Arial" w:cs="Arial"/>
          <w:color w:val="000000" w:themeColor="text1"/>
          <w:sz w:val="24"/>
          <w:szCs w:val="24"/>
          <w:lang w:eastAsia="en-ZA"/>
        </w:rPr>
        <w:t>020 the applicant demanded the first</w:t>
      </w:r>
      <w:r w:rsidR="00431537">
        <w:rPr>
          <w:rFonts w:ascii="Arial" w:eastAsia="Times New Roman" w:hAnsi="Arial" w:cs="Arial"/>
          <w:color w:val="000000" w:themeColor="text1"/>
          <w:sz w:val="24"/>
          <w:szCs w:val="24"/>
          <w:lang w:eastAsia="en-ZA"/>
        </w:rPr>
        <w:t xml:space="preserve"> respondent to remedy its breach within 14 days of the notice, failing which the agreement would terminate and legal a</w:t>
      </w:r>
      <w:r>
        <w:rPr>
          <w:rFonts w:ascii="Arial" w:eastAsia="Times New Roman" w:hAnsi="Arial" w:cs="Arial"/>
          <w:color w:val="000000" w:themeColor="text1"/>
          <w:sz w:val="24"/>
          <w:szCs w:val="24"/>
          <w:lang w:eastAsia="en-ZA"/>
        </w:rPr>
        <w:t xml:space="preserve">ction will be instituted. </w:t>
      </w:r>
      <w:r w:rsidR="00676B4A">
        <w:rPr>
          <w:rFonts w:ascii="Arial" w:eastAsia="Times New Roman" w:hAnsi="Arial" w:cs="Arial"/>
          <w:color w:val="000000" w:themeColor="text1"/>
          <w:sz w:val="24"/>
          <w:szCs w:val="24"/>
          <w:lang w:eastAsia="en-ZA"/>
        </w:rPr>
        <w:t>The first</w:t>
      </w:r>
      <w:r w:rsidR="00431537">
        <w:rPr>
          <w:rFonts w:ascii="Arial" w:eastAsia="Times New Roman" w:hAnsi="Arial" w:cs="Arial"/>
          <w:color w:val="000000" w:themeColor="text1"/>
          <w:sz w:val="24"/>
          <w:szCs w:val="24"/>
          <w:lang w:eastAsia="en-ZA"/>
        </w:rPr>
        <w:t xml:space="preserve"> respondent failed to remedy the said breech and legal action was then instituted for recovery of the amount of N$2 121 084</w:t>
      </w:r>
      <w:r w:rsidR="00AE18D1">
        <w:rPr>
          <w:rFonts w:ascii="Arial" w:eastAsia="Times New Roman" w:hAnsi="Arial" w:cs="Arial"/>
          <w:color w:val="000000" w:themeColor="text1"/>
          <w:sz w:val="24"/>
          <w:szCs w:val="24"/>
          <w:lang w:eastAsia="en-ZA"/>
        </w:rPr>
        <w:t>, 34</w:t>
      </w:r>
      <w:r w:rsidR="00431537">
        <w:rPr>
          <w:rFonts w:ascii="Arial" w:eastAsia="Times New Roman" w:hAnsi="Arial" w:cs="Arial"/>
          <w:color w:val="000000" w:themeColor="text1"/>
          <w:sz w:val="24"/>
          <w:szCs w:val="24"/>
          <w:lang w:eastAsia="en-ZA"/>
        </w:rPr>
        <w:t xml:space="preserve"> which is the amount according to the balance certificate.</w:t>
      </w:r>
    </w:p>
    <w:p w:rsidR="00431537" w:rsidRDefault="00431537"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431537" w:rsidRDefault="00CE3599"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[4</w:t>
      </w:r>
      <w:r w:rsidR="00676B4A">
        <w:rPr>
          <w:rFonts w:ascii="Arial" w:eastAsia="Times New Roman" w:hAnsi="Arial" w:cs="Arial"/>
          <w:color w:val="000000" w:themeColor="text1"/>
          <w:sz w:val="24"/>
          <w:szCs w:val="24"/>
          <w:lang w:eastAsia="en-ZA"/>
        </w:rPr>
        <w:t>]</w:t>
      </w:r>
      <w:r w:rsidR="00676B4A">
        <w:rPr>
          <w:rFonts w:ascii="Arial" w:eastAsia="Times New Roman" w:hAnsi="Arial" w:cs="Arial"/>
          <w:color w:val="000000" w:themeColor="text1"/>
          <w:sz w:val="24"/>
          <w:szCs w:val="24"/>
          <w:lang w:eastAsia="en-ZA"/>
        </w:rPr>
        <w:tab/>
        <w:t>The second and third</w:t>
      </w:r>
      <w:r w:rsidR="00431537">
        <w:rPr>
          <w:rFonts w:ascii="Arial" w:eastAsia="Times New Roman" w:hAnsi="Arial" w:cs="Arial"/>
          <w:color w:val="000000" w:themeColor="text1"/>
          <w:sz w:val="24"/>
          <w:szCs w:val="24"/>
          <w:lang w:eastAsia="en-ZA"/>
        </w:rPr>
        <w:t xml:space="preserve"> respondents bound themselves as sureties and co-principal debtors </w:t>
      </w:r>
      <w:r w:rsidR="00431537" w:rsidRPr="00200E61">
        <w:rPr>
          <w:rFonts w:ascii="Arial" w:eastAsia="Times New Roman" w:hAnsi="Arial" w:cs="Arial"/>
          <w:i/>
          <w:color w:val="000000" w:themeColor="text1"/>
          <w:sz w:val="24"/>
          <w:szCs w:val="24"/>
          <w:lang w:eastAsia="en-ZA"/>
        </w:rPr>
        <w:t xml:space="preserve">in solidum </w:t>
      </w:r>
      <w:r w:rsidR="00676B4A">
        <w:rPr>
          <w:rFonts w:ascii="Arial" w:eastAsia="Times New Roman" w:hAnsi="Arial" w:cs="Arial"/>
          <w:color w:val="000000" w:themeColor="text1"/>
          <w:sz w:val="24"/>
          <w:szCs w:val="24"/>
          <w:lang w:eastAsia="en-ZA"/>
        </w:rPr>
        <w:t xml:space="preserve">with the first respondent. </w:t>
      </w:r>
      <w:r w:rsidR="00431537">
        <w:rPr>
          <w:rFonts w:ascii="Arial" w:eastAsia="Times New Roman" w:hAnsi="Arial" w:cs="Arial"/>
          <w:color w:val="000000" w:themeColor="text1"/>
          <w:sz w:val="24"/>
          <w:szCs w:val="24"/>
          <w:lang w:eastAsia="en-ZA"/>
        </w:rPr>
        <w:t>These sureties are both for an unlimited amount, including interest, commission, legal costs, stamps and all oth</w:t>
      </w:r>
      <w:r w:rsidR="00BB7CC4">
        <w:rPr>
          <w:rFonts w:ascii="Arial" w:eastAsia="Times New Roman" w:hAnsi="Arial" w:cs="Arial"/>
          <w:color w:val="000000" w:themeColor="text1"/>
          <w:sz w:val="24"/>
          <w:szCs w:val="24"/>
          <w:lang w:eastAsia="en-ZA"/>
        </w:rPr>
        <w:t xml:space="preserve">er necessary or usual charges. </w:t>
      </w:r>
      <w:r w:rsidR="00431537">
        <w:rPr>
          <w:rFonts w:ascii="Arial" w:eastAsia="Times New Roman" w:hAnsi="Arial" w:cs="Arial"/>
          <w:color w:val="000000" w:themeColor="text1"/>
          <w:sz w:val="24"/>
          <w:szCs w:val="24"/>
          <w:lang w:eastAsia="en-ZA"/>
        </w:rPr>
        <w:t xml:space="preserve">The </w:t>
      </w:r>
      <w:r w:rsidR="00200E61">
        <w:rPr>
          <w:rFonts w:ascii="Arial" w:eastAsia="Times New Roman" w:hAnsi="Arial" w:cs="Arial"/>
          <w:color w:val="000000" w:themeColor="text1"/>
          <w:sz w:val="24"/>
          <w:szCs w:val="24"/>
          <w:lang w:eastAsia="en-ZA"/>
        </w:rPr>
        <w:t>applicant</w:t>
      </w:r>
      <w:r w:rsidR="00431537">
        <w:rPr>
          <w:rFonts w:ascii="Arial" w:eastAsia="Times New Roman" w:hAnsi="Arial" w:cs="Arial"/>
          <w:color w:val="000000" w:themeColor="text1"/>
          <w:sz w:val="24"/>
          <w:szCs w:val="24"/>
          <w:lang w:eastAsia="en-ZA"/>
        </w:rPr>
        <w:t xml:space="preserve"> is further the holder of mort</w:t>
      </w:r>
      <w:r w:rsidR="00200E61">
        <w:rPr>
          <w:rFonts w:ascii="Arial" w:eastAsia="Times New Roman" w:hAnsi="Arial" w:cs="Arial"/>
          <w:color w:val="000000" w:themeColor="text1"/>
          <w:sz w:val="24"/>
          <w:szCs w:val="24"/>
          <w:lang w:eastAsia="en-ZA"/>
        </w:rPr>
        <w:t xml:space="preserve">gage bonds executed in its </w:t>
      </w:r>
      <w:r w:rsidR="00AE18D1">
        <w:rPr>
          <w:rFonts w:ascii="Arial" w:eastAsia="Times New Roman" w:hAnsi="Arial" w:cs="Arial"/>
          <w:color w:val="000000" w:themeColor="text1"/>
          <w:sz w:val="24"/>
          <w:szCs w:val="24"/>
          <w:lang w:eastAsia="en-ZA"/>
        </w:rPr>
        <w:t>favour</w:t>
      </w:r>
      <w:r w:rsidR="00676B4A">
        <w:rPr>
          <w:rFonts w:ascii="Arial" w:eastAsia="Times New Roman" w:hAnsi="Arial" w:cs="Arial"/>
          <w:color w:val="000000" w:themeColor="text1"/>
          <w:sz w:val="24"/>
          <w:szCs w:val="24"/>
          <w:lang w:eastAsia="en-ZA"/>
        </w:rPr>
        <w:t xml:space="preserve"> by both the second and third </w:t>
      </w:r>
      <w:r w:rsidR="00200E61">
        <w:rPr>
          <w:rFonts w:ascii="Arial" w:eastAsia="Times New Roman" w:hAnsi="Arial" w:cs="Arial"/>
          <w:color w:val="000000" w:themeColor="text1"/>
          <w:sz w:val="24"/>
          <w:szCs w:val="24"/>
          <w:lang w:eastAsia="en-ZA"/>
        </w:rPr>
        <w:t xml:space="preserve">respondents. </w:t>
      </w:r>
      <w:r w:rsidR="00676B4A">
        <w:rPr>
          <w:rFonts w:ascii="Arial" w:eastAsia="Times New Roman" w:hAnsi="Arial" w:cs="Arial"/>
          <w:color w:val="000000" w:themeColor="text1"/>
          <w:sz w:val="24"/>
          <w:szCs w:val="24"/>
          <w:lang w:eastAsia="en-ZA"/>
        </w:rPr>
        <w:t>These bonds were passed by the second and third</w:t>
      </w:r>
      <w:r w:rsidR="00200E61">
        <w:rPr>
          <w:rFonts w:ascii="Arial" w:eastAsia="Times New Roman" w:hAnsi="Arial" w:cs="Arial"/>
          <w:color w:val="000000" w:themeColor="text1"/>
          <w:sz w:val="24"/>
          <w:szCs w:val="24"/>
          <w:lang w:eastAsia="en-ZA"/>
        </w:rPr>
        <w:t xml:space="preserve"> respondents as security in favour of t</w:t>
      </w:r>
      <w:r w:rsidR="00676B4A">
        <w:rPr>
          <w:rFonts w:ascii="Arial" w:eastAsia="Times New Roman" w:hAnsi="Arial" w:cs="Arial"/>
          <w:color w:val="000000" w:themeColor="text1"/>
          <w:sz w:val="24"/>
          <w:szCs w:val="24"/>
          <w:lang w:eastAsia="en-ZA"/>
        </w:rPr>
        <w:t xml:space="preserve">he applicant in respect of the second and third </w:t>
      </w:r>
      <w:r w:rsidR="00200E61">
        <w:rPr>
          <w:rFonts w:ascii="Arial" w:eastAsia="Times New Roman" w:hAnsi="Arial" w:cs="Arial"/>
          <w:color w:val="000000" w:themeColor="text1"/>
          <w:sz w:val="24"/>
          <w:szCs w:val="24"/>
          <w:lang w:eastAsia="en-ZA"/>
        </w:rPr>
        <w:t>respondents’ indebtedness in terms of the above sureties.</w:t>
      </w:r>
    </w:p>
    <w:p w:rsidR="00200E61" w:rsidRDefault="00200E61"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200E61" w:rsidRDefault="00BB7CC4"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[5</w:t>
      </w:r>
      <w:r w:rsidR="00200E61">
        <w:rPr>
          <w:rFonts w:ascii="Arial" w:eastAsia="Times New Roman" w:hAnsi="Arial" w:cs="Arial"/>
          <w:color w:val="000000" w:themeColor="text1"/>
          <w:sz w:val="24"/>
          <w:szCs w:val="24"/>
          <w:lang w:eastAsia="en-ZA"/>
        </w:rPr>
        <w:t>]</w:t>
      </w:r>
      <w:r w:rsidR="00200E61">
        <w:rPr>
          <w:rFonts w:ascii="Arial" w:eastAsia="Times New Roman" w:hAnsi="Arial" w:cs="Arial"/>
          <w:color w:val="000000" w:themeColor="text1"/>
          <w:sz w:val="24"/>
          <w:szCs w:val="24"/>
          <w:lang w:eastAsia="en-ZA"/>
        </w:rPr>
        <w:tab/>
        <w:t xml:space="preserve">When served with the combined summons, the respondents chose to defend the matter and the plaintiff then indicated that it intends to bring a summary judgement application as it was of the opinion that the respondents do not </w:t>
      </w:r>
      <w:r w:rsidR="002B3627">
        <w:rPr>
          <w:rFonts w:ascii="Arial" w:eastAsia="Times New Roman" w:hAnsi="Arial" w:cs="Arial"/>
          <w:sz w:val="24"/>
          <w:szCs w:val="24"/>
          <w:lang w:eastAsia="en-ZA"/>
        </w:rPr>
        <w:t>have a</w:t>
      </w:r>
      <w:r w:rsidR="00676B4A" w:rsidRPr="002B3627">
        <w:rPr>
          <w:rFonts w:ascii="Arial" w:eastAsia="Times New Roman" w:hAnsi="Arial" w:cs="Arial"/>
          <w:sz w:val="24"/>
          <w:szCs w:val="24"/>
          <w:lang w:eastAsia="en-ZA"/>
        </w:rPr>
        <w:t xml:space="preserve"> triable</w:t>
      </w:r>
      <w:r w:rsidR="00BC57CF" w:rsidRPr="002B3627">
        <w:rPr>
          <w:rFonts w:ascii="Arial" w:eastAsia="Times New Roman" w:hAnsi="Arial" w:cs="Arial"/>
          <w:sz w:val="24"/>
          <w:szCs w:val="24"/>
          <w:lang w:eastAsia="en-ZA"/>
        </w:rPr>
        <w:t xml:space="preserve"> defense</w:t>
      </w:r>
      <w:r w:rsidR="00BC57CF">
        <w:rPr>
          <w:rFonts w:ascii="Arial" w:eastAsia="Times New Roman" w:hAnsi="Arial" w:cs="Arial"/>
          <w:color w:val="000000" w:themeColor="text1"/>
          <w:sz w:val="24"/>
          <w:szCs w:val="24"/>
          <w:lang w:eastAsia="en-ZA"/>
        </w:rPr>
        <w:t xml:space="preserve">. </w:t>
      </w:r>
      <w:r w:rsidR="00200E61">
        <w:rPr>
          <w:rFonts w:ascii="Arial" w:eastAsia="Times New Roman" w:hAnsi="Arial" w:cs="Arial"/>
          <w:color w:val="000000" w:themeColor="text1"/>
          <w:sz w:val="24"/>
          <w:szCs w:val="24"/>
          <w:lang w:eastAsia="en-ZA"/>
        </w:rPr>
        <w:t xml:space="preserve">The respondents opposed the summary judgement application and also raised a number of </w:t>
      </w:r>
      <w:r w:rsidR="00200E61" w:rsidRPr="00200E61">
        <w:rPr>
          <w:rFonts w:ascii="Arial" w:eastAsia="Times New Roman" w:hAnsi="Arial" w:cs="Arial"/>
          <w:i/>
          <w:color w:val="000000" w:themeColor="text1"/>
          <w:sz w:val="24"/>
          <w:szCs w:val="24"/>
          <w:lang w:eastAsia="en-ZA"/>
        </w:rPr>
        <w:t>points in limine</w:t>
      </w:r>
      <w:r w:rsidR="00200E61">
        <w:rPr>
          <w:rFonts w:ascii="Arial" w:eastAsia="Times New Roman" w:hAnsi="Arial" w:cs="Arial"/>
          <w:color w:val="000000" w:themeColor="text1"/>
          <w:sz w:val="24"/>
          <w:szCs w:val="24"/>
          <w:lang w:eastAsia="en-ZA"/>
        </w:rPr>
        <w:t xml:space="preserve"> which the court will have to deal with first.</w:t>
      </w:r>
    </w:p>
    <w:p w:rsidR="00200E61" w:rsidRDefault="00200E61"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200E61" w:rsidRPr="00200E61" w:rsidRDefault="00200E61" w:rsidP="0026597E">
      <w:pPr>
        <w:shd w:val="clear" w:color="auto" w:fill="FFFFFF"/>
        <w:spacing w:after="0" w:line="360" w:lineRule="auto"/>
        <w:jc w:val="both"/>
        <w:rPr>
          <w:rFonts w:ascii="Arial" w:eastAsia="Times New Roman" w:hAnsi="Arial" w:cs="Arial"/>
          <w:i/>
          <w:color w:val="000000" w:themeColor="text1"/>
          <w:sz w:val="24"/>
          <w:szCs w:val="24"/>
          <w:u w:val="single"/>
          <w:lang w:eastAsia="en-ZA"/>
        </w:rPr>
      </w:pPr>
      <w:r w:rsidRPr="00200E61">
        <w:rPr>
          <w:rFonts w:ascii="Arial" w:eastAsia="Times New Roman" w:hAnsi="Arial" w:cs="Arial"/>
          <w:i/>
          <w:color w:val="000000" w:themeColor="text1"/>
          <w:sz w:val="24"/>
          <w:szCs w:val="24"/>
          <w:u w:val="single"/>
          <w:lang w:eastAsia="en-ZA"/>
        </w:rPr>
        <w:t>Points in limine</w:t>
      </w:r>
    </w:p>
    <w:p w:rsidR="00200E61" w:rsidRPr="00200E61" w:rsidRDefault="00200E61"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26597E" w:rsidRDefault="00BB7CC4"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[6</w:t>
      </w:r>
      <w:r w:rsidR="00200E61">
        <w:rPr>
          <w:rFonts w:ascii="Arial" w:eastAsia="Times New Roman" w:hAnsi="Arial" w:cs="Arial"/>
          <w:color w:val="000000" w:themeColor="text1"/>
          <w:sz w:val="24"/>
          <w:szCs w:val="24"/>
          <w:lang w:eastAsia="en-ZA"/>
        </w:rPr>
        <w:t>]</w:t>
      </w:r>
      <w:r w:rsidR="00200E61">
        <w:rPr>
          <w:rFonts w:ascii="Arial" w:eastAsia="Times New Roman" w:hAnsi="Arial" w:cs="Arial"/>
          <w:color w:val="000000" w:themeColor="text1"/>
          <w:sz w:val="24"/>
          <w:szCs w:val="24"/>
          <w:lang w:eastAsia="en-ZA"/>
        </w:rPr>
        <w:tab/>
        <w:t xml:space="preserve">The first point </w:t>
      </w:r>
      <w:r w:rsidR="00200E61" w:rsidRPr="004A5429">
        <w:rPr>
          <w:rFonts w:ascii="Arial" w:eastAsia="Times New Roman" w:hAnsi="Arial" w:cs="Arial"/>
          <w:i/>
          <w:color w:val="000000" w:themeColor="text1"/>
          <w:sz w:val="24"/>
          <w:szCs w:val="24"/>
          <w:lang w:eastAsia="en-ZA"/>
        </w:rPr>
        <w:t>in limine</w:t>
      </w:r>
      <w:r w:rsidR="00BC57CF">
        <w:rPr>
          <w:rFonts w:ascii="Arial" w:eastAsia="Times New Roman" w:hAnsi="Arial" w:cs="Arial"/>
          <w:color w:val="000000" w:themeColor="text1"/>
          <w:sz w:val="24"/>
          <w:szCs w:val="24"/>
          <w:lang w:eastAsia="en-ZA"/>
        </w:rPr>
        <w:t xml:space="preserve"> raised by the first and second </w:t>
      </w:r>
      <w:r w:rsidR="00200E61">
        <w:rPr>
          <w:rFonts w:ascii="Arial" w:eastAsia="Times New Roman" w:hAnsi="Arial" w:cs="Arial"/>
          <w:color w:val="000000" w:themeColor="text1"/>
          <w:sz w:val="24"/>
          <w:szCs w:val="24"/>
          <w:lang w:eastAsia="en-ZA"/>
        </w:rPr>
        <w:t xml:space="preserve">respondents is a four-fold contention that the description of the deponent’s actual position is vague and embarrassing and it is not clear what his actual duties are; also that the deponent of the applicants’ </w:t>
      </w:r>
      <w:r w:rsidR="00200E61">
        <w:rPr>
          <w:rFonts w:ascii="Arial" w:eastAsia="Times New Roman" w:hAnsi="Arial" w:cs="Arial"/>
          <w:color w:val="000000" w:themeColor="text1"/>
          <w:sz w:val="24"/>
          <w:szCs w:val="24"/>
          <w:lang w:eastAsia="en-ZA"/>
        </w:rPr>
        <w:lastRenderedPageBreak/>
        <w:t xml:space="preserve">affidavit states that he is duly authorized to make the said affidavit but fails to state from where he obtained the said authority, he </w:t>
      </w:r>
      <w:r w:rsidR="004A5429">
        <w:rPr>
          <w:rFonts w:ascii="Arial" w:eastAsia="Times New Roman" w:hAnsi="Arial" w:cs="Arial"/>
          <w:color w:val="000000" w:themeColor="text1"/>
          <w:sz w:val="24"/>
          <w:szCs w:val="24"/>
          <w:lang w:eastAsia="en-ZA"/>
        </w:rPr>
        <w:t>further</w:t>
      </w:r>
      <w:r w:rsidR="00200E61">
        <w:rPr>
          <w:rFonts w:ascii="Arial" w:eastAsia="Times New Roman" w:hAnsi="Arial" w:cs="Arial"/>
          <w:color w:val="000000" w:themeColor="text1"/>
          <w:sz w:val="24"/>
          <w:szCs w:val="24"/>
          <w:lang w:eastAsia="en-ZA"/>
        </w:rPr>
        <w:t xml:space="preserve"> does not state that he actually has the authority to represent the applicant in these proceedings as well as indicate from where such authority has been obtained.</w:t>
      </w:r>
      <w:r>
        <w:rPr>
          <w:rFonts w:ascii="Arial" w:eastAsia="Times New Roman" w:hAnsi="Arial" w:cs="Arial"/>
          <w:color w:val="000000" w:themeColor="text1"/>
          <w:sz w:val="24"/>
          <w:szCs w:val="24"/>
          <w:lang w:eastAsia="en-ZA"/>
        </w:rPr>
        <w:t xml:space="preserve"> </w:t>
      </w:r>
      <w:r w:rsidR="006B7CB8">
        <w:rPr>
          <w:rFonts w:ascii="Arial" w:eastAsia="Times New Roman" w:hAnsi="Arial" w:cs="Arial"/>
          <w:color w:val="000000" w:themeColor="text1"/>
          <w:sz w:val="24"/>
          <w:szCs w:val="24"/>
          <w:lang w:eastAsia="en-ZA"/>
        </w:rPr>
        <w:t xml:space="preserve">As the deponent is not a director of the Plaintiff and has not provided any resolution taken to grant him the required authority, it is not clear that he indeed has any authority to act on behalf of the applicant and to depose any affidavit on behalf of the applicant.  </w:t>
      </w:r>
    </w:p>
    <w:p w:rsidR="004A5429" w:rsidRDefault="004A5429"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4A5429" w:rsidRDefault="00BB7CC4"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[7</w:t>
      </w:r>
      <w:r w:rsidR="004A5429">
        <w:rPr>
          <w:rFonts w:ascii="Arial" w:eastAsia="Times New Roman" w:hAnsi="Arial" w:cs="Arial"/>
          <w:color w:val="000000" w:themeColor="text1"/>
          <w:sz w:val="24"/>
          <w:szCs w:val="24"/>
          <w:lang w:eastAsia="en-ZA"/>
        </w:rPr>
        <w:t>]</w:t>
      </w:r>
      <w:r w:rsidR="004A5429">
        <w:rPr>
          <w:rFonts w:ascii="Arial" w:eastAsia="Times New Roman" w:hAnsi="Arial" w:cs="Arial"/>
          <w:color w:val="000000" w:themeColor="text1"/>
          <w:sz w:val="24"/>
          <w:szCs w:val="24"/>
          <w:lang w:eastAsia="en-ZA"/>
        </w:rPr>
        <w:tab/>
        <w:t>This was raised in</w:t>
      </w:r>
      <w:r w:rsidR="00BC57CF">
        <w:rPr>
          <w:rFonts w:ascii="Arial" w:eastAsia="Times New Roman" w:hAnsi="Arial" w:cs="Arial"/>
          <w:color w:val="000000" w:themeColor="text1"/>
          <w:sz w:val="24"/>
          <w:szCs w:val="24"/>
          <w:lang w:eastAsia="en-ZA"/>
        </w:rPr>
        <w:t xml:space="preserve"> the opposing affidavit of the second</w:t>
      </w:r>
      <w:r w:rsidR="004A5429">
        <w:rPr>
          <w:rFonts w:ascii="Arial" w:eastAsia="Times New Roman" w:hAnsi="Arial" w:cs="Arial"/>
          <w:color w:val="000000" w:themeColor="text1"/>
          <w:sz w:val="24"/>
          <w:szCs w:val="24"/>
          <w:lang w:eastAsia="en-ZA"/>
        </w:rPr>
        <w:t xml:space="preserve"> respondent and although so raised, not addressed in a subsequent replyi</w:t>
      </w:r>
      <w:r w:rsidR="00BC57CF">
        <w:rPr>
          <w:rFonts w:ascii="Arial" w:eastAsia="Times New Roman" w:hAnsi="Arial" w:cs="Arial"/>
          <w:color w:val="000000" w:themeColor="text1"/>
          <w:sz w:val="24"/>
          <w:szCs w:val="24"/>
          <w:lang w:eastAsia="en-ZA"/>
        </w:rPr>
        <w:t xml:space="preserve">ng affidavit by the applicant. </w:t>
      </w:r>
      <w:r w:rsidR="00BA7DB8">
        <w:rPr>
          <w:rFonts w:ascii="Arial" w:eastAsia="Times New Roman" w:hAnsi="Arial" w:cs="Arial"/>
          <w:color w:val="000000" w:themeColor="text1"/>
          <w:sz w:val="24"/>
          <w:szCs w:val="24"/>
          <w:lang w:eastAsia="en-ZA"/>
        </w:rPr>
        <w:t>The affidavit of Anton de Wit says the following:</w:t>
      </w:r>
    </w:p>
    <w:p w:rsidR="008F4AFD" w:rsidRDefault="008F4AFD"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BA7DB8" w:rsidRPr="00BC57CF" w:rsidRDefault="00BC57CF" w:rsidP="00BC57CF">
      <w:pPr>
        <w:shd w:val="clear" w:color="auto" w:fill="FFFFFF"/>
        <w:spacing w:after="0" w:line="360" w:lineRule="auto"/>
        <w:ind w:firstLine="720"/>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w:t>
      </w:r>
      <w:r w:rsidR="00BA7DB8" w:rsidRPr="00BC57CF">
        <w:rPr>
          <w:rFonts w:ascii="Arial" w:eastAsia="Times New Roman" w:hAnsi="Arial" w:cs="Arial"/>
          <w:color w:val="000000" w:themeColor="text1"/>
          <w:lang w:eastAsia="en-ZA"/>
        </w:rPr>
        <w:t xml:space="preserve">1.  </w:t>
      </w:r>
      <w:r w:rsidR="0085391C" w:rsidRPr="00BC57CF">
        <w:rPr>
          <w:rFonts w:ascii="Arial" w:eastAsia="Times New Roman" w:hAnsi="Arial" w:cs="Arial"/>
          <w:color w:val="000000" w:themeColor="text1"/>
          <w:lang w:eastAsia="en-ZA"/>
        </w:rPr>
        <w:tab/>
      </w:r>
      <w:r w:rsidR="00BA7DB8" w:rsidRPr="00BC57CF">
        <w:rPr>
          <w:rFonts w:ascii="Arial" w:eastAsia="Times New Roman" w:hAnsi="Arial" w:cs="Arial"/>
          <w:color w:val="000000" w:themeColor="text1"/>
          <w:lang w:eastAsia="en-ZA"/>
        </w:rPr>
        <w:t>I am the Head:  Legal Collections of the applicant and I am duly authorized to make this affidavit.</w:t>
      </w:r>
    </w:p>
    <w:p w:rsidR="00BA7DB8" w:rsidRPr="00BC57CF" w:rsidRDefault="00BA7DB8" w:rsidP="0026597E">
      <w:pPr>
        <w:shd w:val="clear" w:color="auto" w:fill="FFFFFF"/>
        <w:spacing w:after="0" w:line="360" w:lineRule="auto"/>
        <w:jc w:val="both"/>
        <w:rPr>
          <w:rFonts w:ascii="Arial" w:eastAsia="Times New Roman" w:hAnsi="Arial" w:cs="Arial"/>
          <w:color w:val="000000" w:themeColor="text1"/>
          <w:lang w:eastAsia="en-ZA"/>
        </w:rPr>
      </w:pPr>
    </w:p>
    <w:p w:rsidR="00BA7DB8" w:rsidRPr="00BC57CF" w:rsidRDefault="00BA7DB8" w:rsidP="0026597E">
      <w:pPr>
        <w:shd w:val="clear" w:color="auto" w:fill="FFFFFF"/>
        <w:spacing w:after="0" w:line="360" w:lineRule="auto"/>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2.</w:t>
      </w:r>
      <w:r w:rsidR="00362726" w:rsidRPr="00BC57CF">
        <w:rPr>
          <w:rFonts w:ascii="Arial" w:eastAsia="Times New Roman" w:hAnsi="Arial" w:cs="Arial"/>
          <w:color w:val="000000" w:themeColor="text1"/>
          <w:lang w:eastAsia="en-ZA"/>
        </w:rPr>
        <w:tab/>
        <w:t>All the data and records, relating to the Applicant’s/Plaintiff’s action against the Defendants are under my control in my capacity as head of legal collections.  The facts contained herein are within my personal knowledge and are both true and correct.</w:t>
      </w: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3.</w:t>
      </w:r>
      <w:r w:rsidRPr="00BC57CF">
        <w:rPr>
          <w:rFonts w:ascii="Arial" w:eastAsia="Times New Roman" w:hAnsi="Arial" w:cs="Arial"/>
          <w:color w:val="000000" w:themeColor="text1"/>
          <w:lang w:eastAsia="en-ZA"/>
        </w:rPr>
        <w:tab/>
        <w:t>I have knowledge of the facts hereinafter stated, either personally or because of my access to all relevant computer date and documents pertaining to the Defendants commercial mortgage loan, account number CL 4000 053 915.</w:t>
      </w: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4.</w:t>
      </w:r>
      <w:r w:rsidRPr="00BC57CF">
        <w:rPr>
          <w:rFonts w:ascii="Arial" w:eastAsia="Times New Roman" w:hAnsi="Arial" w:cs="Arial"/>
          <w:color w:val="000000" w:themeColor="text1"/>
          <w:lang w:eastAsia="en-ZA"/>
        </w:rPr>
        <w:tab/>
        <w:t>I hereby verify the facts and cause of action stated in the Summons and the Particulars of Claim to the Summons as true and correct and verify in particular, that the Respondents/Defendants, jointly and severally, the one to pay the other to be absolved, are indebted to the Plaintiff on the grounds stated in the Summons and confirm that the Plaintiff has a valid claim for:</w:t>
      </w: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p>
    <w:p w:rsidR="00362726" w:rsidRPr="00BC57CF" w:rsidRDefault="00362726" w:rsidP="0026597E">
      <w:pPr>
        <w:shd w:val="clear" w:color="auto" w:fill="FFFFFF"/>
        <w:spacing w:after="0" w:line="360" w:lineRule="auto"/>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ab/>
        <w:t>4.1</w:t>
      </w:r>
      <w:r w:rsidRPr="00BC57CF">
        <w:rPr>
          <w:rFonts w:ascii="Arial" w:eastAsia="Times New Roman" w:hAnsi="Arial" w:cs="Arial"/>
          <w:color w:val="000000" w:themeColor="text1"/>
          <w:lang w:eastAsia="en-ZA"/>
        </w:rPr>
        <w:tab/>
        <w:t>Payment of the amount of N$2 121 084</w:t>
      </w:r>
      <w:r w:rsidR="00AE18D1" w:rsidRPr="00BC57CF">
        <w:rPr>
          <w:rFonts w:ascii="Arial" w:eastAsia="Times New Roman" w:hAnsi="Arial" w:cs="Arial"/>
          <w:color w:val="000000" w:themeColor="text1"/>
          <w:lang w:eastAsia="en-ZA"/>
        </w:rPr>
        <w:t>, 34</w:t>
      </w: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ab/>
        <w:t>4.2</w:t>
      </w:r>
      <w:r w:rsidRPr="00BC57CF">
        <w:rPr>
          <w:rFonts w:ascii="Arial" w:eastAsia="Times New Roman" w:hAnsi="Arial" w:cs="Arial"/>
          <w:color w:val="000000" w:themeColor="text1"/>
          <w:lang w:eastAsia="en-ZA"/>
        </w:rPr>
        <w:tab/>
        <w:t>Payment of compound interest calculated daily and capitalized monthly on the amount of N$2 121 084.34 at Plaintiff’s prime rate of interest from time to time, currently 7.75% per year plus 3% calculated from 28 July 2020 (to) date of final payment.</w:t>
      </w: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ab/>
        <w:t>4.3</w:t>
      </w:r>
      <w:r w:rsidRPr="00BC57CF">
        <w:rPr>
          <w:rFonts w:ascii="Arial" w:eastAsia="Times New Roman" w:hAnsi="Arial" w:cs="Arial"/>
          <w:color w:val="000000" w:themeColor="text1"/>
          <w:lang w:eastAsia="en-ZA"/>
        </w:rPr>
        <w:tab/>
        <w:t>Costs of suit on a scale as between Attorney and own Client, as agreed.</w:t>
      </w: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5.</w:t>
      </w:r>
      <w:r w:rsidRPr="00BC57CF">
        <w:rPr>
          <w:rFonts w:ascii="Arial" w:eastAsia="Times New Roman" w:hAnsi="Arial" w:cs="Arial"/>
          <w:color w:val="000000" w:themeColor="text1"/>
          <w:lang w:eastAsia="en-ZA"/>
        </w:rPr>
        <w:tab/>
        <w:t>I verily believe that the defendants have no bona fide defence to the action and that appearance to defend has been entered solely for purposes of delay.</w:t>
      </w: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p>
    <w:p w:rsidR="00362726" w:rsidRPr="00BC57CF" w:rsidRDefault="00362726" w:rsidP="00362726">
      <w:pPr>
        <w:shd w:val="clear" w:color="auto" w:fill="FFFFFF"/>
        <w:spacing w:after="0" w:line="360" w:lineRule="auto"/>
        <w:ind w:left="720" w:hanging="720"/>
        <w:jc w:val="both"/>
        <w:rPr>
          <w:rFonts w:ascii="Arial" w:eastAsia="Times New Roman" w:hAnsi="Arial" w:cs="Arial"/>
          <w:color w:val="000000" w:themeColor="text1"/>
          <w:lang w:eastAsia="en-ZA"/>
        </w:rPr>
      </w:pPr>
      <w:r w:rsidRPr="00BC57CF">
        <w:rPr>
          <w:rFonts w:ascii="Arial" w:eastAsia="Times New Roman" w:hAnsi="Arial" w:cs="Arial"/>
          <w:color w:val="000000" w:themeColor="text1"/>
          <w:lang w:eastAsia="en-ZA"/>
        </w:rPr>
        <w:t>6.</w:t>
      </w:r>
      <w:r w:rsidRPr="00BC57CF">
        <w:rPr>
          <w:rFonts w:ascii="Arial" w:eastAsia="Times New Roman" w:hAnsi="Arial" w:cs="Arial"/>
          <w:color w:val="000000" w:themeColor="text1"/>
          <w:lang w:eastAsia="en-ZA"/>
        </w:rPr>
        <w:tab/>
        <w:t>Wherefore I humbly pray that it may please this honourable Court to grant summary judgement as prayed for against third defendant.</w:t>
      </w:r>
      <w:r w:rsidR="00BC57CF">
        <w:rPr>
          <w:rFonts w:ascii="Arial" w:eastAsia="Times New Roman" w:hAnsi="Arial" w:cs="Arial"/>
          <w:color w:val="000000" w:themeColor="text1"/>
          <w:lang w:eastAsia="en-ZA"/>
        </w:rPr>
        <w:t>’</w:t>
      </w:r>
    </w:p>
    <w:p w:rsidR="00362726" w:rsidRDefault="00362726" w:rsidP="00362726">
      <w:pPr>
        <w:shd w:val="clear" w:color="auto" w:fill="FFFFFF"/>
        <w:spacing w:after="0" w:line="360" w:lineRule="auto"/>
        <w:jc w:val="both"/>
        <w:rPr>
          <w:rFonts w:ascii="Arial" w:eastAsia="Times New Roman" w:hAnsi="Arial" w:cs="Arial"/>
          <w:color w:val="000000" w:themeColor="text1"/>
          <w:sz w:val="24"/>
          <w:szCs w:val="24"/>
          <w:lang w:eastAsia="en-ZA"/>
        </w:rPr>
      </w:pPr>
    </w:p>
    <w:p w:rsidR="00362726" w:rsidRDefault="00BB7CC4" w:rsidP="00362726">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[8]</w:t>
      </w:r>
      <w:r>
        <w:rPr>
          <w:rFonts w:ascii="Arial" w:eastAsia="Times New Roman" w:hAnsi="Arial" w:cs="Arial"/>
          <w:color w:val="000000" w:themeColor="text1"/>
          <w:sz w:val="24"/>
          <w:szCs w:val="24"/>
          <w:lang w:eastAsia="en-ZA"/>
        </w:rPr>
        <w:tab/>
      </w:r>
      <w:r w:rsidR="00362726">
        <w:rPr>
          <w:rFonts w:ascii="Arial" w:eastAsia="Times New Roman" w:hAnsi="Arial" w:cs="Arial"/>
          <w:color w:val="000000" w:themeColor="text1"/>
          <w:sz w:val="24"/>
          <w:szCs w:val="24"/>
          <w:lang w:eastAsia="en-ZA"/>
        </w:rPr>
        <w:t xml:space="preserve">The statement was then signed by Anton de Wit in the presence </w:t>
      </w:r>
      <w:r w:rsidR="0085391C">
        <w:rPr>
          <w:rFonts w:ascii="Arial" w:eastAsia="Times New Roman" w:hAnsi="Arial" w:cs="Arial"/>
          <w:color w:val="000000" w:themeColor="text1"/>
          <w:sz w:val="24"/>
          <w:szCs w:val="24"/>
          <w:lang w:eastAsia="en-ZA"/>
        </w:rPr>
        <w:t>of Wolfgang Horst Pfeiffer, a commissioner of oaths although it seems that b</w:t>
      </w:r>
      <w:r w:rsidR="00BC57CF">
        <w:rPr>
          <w:rFonts w:ascii="Arial" w:eastAsia="Times New Roman" w:hAnsi="Arial" w:cs="Arial"/>
          <w:color w:val="000000" w:themeColor="text1"/>
          <w:sz w:val="24"/>
          <w:szCs w:val="24"/>
          <w:lang w:eastAsia="en-ZA"/>
        </w:rPr>
        <w:t>oth parties initialed only the first</w:t>
      </w:r>
      <w:r w:rsidR="0085391C">
        <w:rPr>
          <w:rFonts w:ascii="Arial" w:eastAsia="Times New Roman" w:hAnsi="Arial" w:cs="Arial"/>
          <w:color w:val="000000" w:themeColor="text1"/>
          <w:sz w:val="24"/>
          <w:szCs w:val="24"/>
          <w:lang w:eastAsia="en-ZA"/>
        </w:rPr>
        <w:t xml:space="preserve"> page of the statement, with th</w:t>
      </w:r>
      <w:r w:rsidR="00BC57CF">
        <w:rPr>
          <w:rFonts w:ascii="Arial" w:eastAsia="Times New Roman" w:hAnsi="Arial" w:cs="Arial"/>
          <w:color w:val="000000" w:themeColor="text1"/>
          <w:sz w:val="24"/>
          <w:szCs w:val="24"/>
          <w:lang w:eastAsia="en-ZA"/>
        </w:rPr>
        <w:t>e deponent also initialing the second</w:t>
      </w:r>
      <w:r w:rsidR="0085391C">
        <w:rPr>
          <w:rFonts w:ascii="Arial" w:eastAsia="Times New Roman" w:hAnsi="Arial" w:cs="Arial"/>
          <w:color w:val="000000" w:themeColor="text1"/>
          <w:sz w:val="24"/>
          <w:szCs w:val="24"/>
          <w:lang w:eastAsia="en-ZA"/>
        </w:rPr>
        <w:t xml:space="preserve"> page but not the last page and the commissione</w:t>
      </w:r>
      <w:r w:rsidR="00BC57CF">
        <w:rPr>
          <w:rFonts w:ascii="Arial" w:eastAsia="Times New Roman" w:hAnsi="Arial" w:cs="Arial"/>
          <w:color w:val="000000" w:themeColor="text1"/>
          <w:sz w:val="24"/>
          <w:szCs w:val="24"/>
          <w:lang w:eastAsia="en-ZA"/>
        </w:rPr>
        <w:t>r of oaths only initialing the third page and not the second</w:t>
      </w:r>
      <w:r w:rsidR="0085391C">
        <w:rPr>
          <w:rFonts w:ascii="Arial" w:eastAsia="Times New Roman" w:hAnsi="Arial" w:cs="Arial"/>
          <w:color w:val="000000" w:themeColor="text1"/>
          <w:sz w:val="24"/>
          <w:szCs w:val="24"/>
          <w:lang w:eastAsia="en-ZA"/>
        </w:rPr>
        <w:t xml:space="preserve"> page.</w:t>
      </w:r>
    </w:p>
    <w:p w:rsidR="00BA7DB8" w:rsidRDefault="00BA7DB8"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BA7DB8" w:rsidRDefault="00BB7CC4"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[9</w:t>
      </w:r>
      <w:r w:rsidR="0085391C">
        <w:rPr>
          <w:rFonts w:ascii="Arial" w:eastAsia="Times New Roman" w:hAnsi="Arial" w:cs="Arial"/>
          <w:color w:val="000000" w:themeColor="text1"/>
          <w:sz w:val="24"/>
          <w:szCs w:val="24"/>
          <w:lang w:eastAsia="en-ZA"/>
        </w:rPr>
        <w:t>]</w:t>
      </w:r>
      <w:r w:rsidR="00B834AA">
        <w:rPr>
          <w:rFonts w:ascii="Arial" w:eastAsia="Times New Roman" w:hAnsi="Arial" w:cs="Arial"/>
          <w:color w:val="000000" w:themeColor="text1"/>
          <w:sz w:val="24"/>
          <w:szCs w:val="24"/>
          <w:lang w:eastAsia="en-ZA"/>
        </w:rPr>
        <w:tab/>
      </w:r>
      <w:r w:rsidR="00953C26">
        <w:rPr>
          <w:rFonts w:ascii="Arial" w:eastAsia="Times New Roman" w:hAnsi="Arial" w:cs="Arial"/>
          <w:color w:val="000000" w:themeColor="text1"/>
          <w:sz w:val="24"/>
          <w:szCs w:val="24"/>
          <w:lang w:eastAsia="en-ZA"/>
        </w:rPr>
        <w:t>The first and second respondents contended that the remarks in</w:t>
      </w:r>
      <w:r w:rsidR="00AE18D1" w:rsidRPr="00AE18D1">
        <w:rPr>
          <w:rFonts w:ascii="Arial" w:eastAsia="Times New Roman" w:hAnsi="Arial" w:cs="Arial"/>
          <w:color w:val="000000" w:themeColor="text1"/>
          <w:sz w:val="24"/>
          <w:szCs w:val="24"/>
          <w:lang w:eastAsia="en-ZA"/>
        </w:rPr>
        <w:t xml:space="preserve"> </w:t>
      </w:r>
      <w:r w:rsidR="0061711D" w:rsidRPr="00AE18D1">
        <w:rPr>
          <w:rFonts w:ascii="Arial" w:eastAsia="Times New Roman" w:hAnsi="Arial" w:cs="Arial"/>
          <w:color w:val="000000" w:themeColor="text1"/>
          <w:sz w:val="24"/>
          <w:szCs w:val="24"/>
          <w:lang w:eastAsia="en-ZA"/>
        </w:rPr>
        <w:t>FirstRand</w:t>
      </w:r>
      <w:r w:rsidR="00BA7DB8" w:rsidRPr="00AE18D1">
        <w:rPr>
          <w:rFonts w:ascii="Arial" w:eastAsia="Times New Roman" w:hAnsi="Arial" w:cs="Arial"/>
          <w:color w:val="000000" w:themeColor="text1"/>
          <w:sz w:val="24"/>
          <w:szCs w:val="24"/>
          <w:lang w:eastAsia="en-ZA"/>
        </w:rPr>
        <w:t xml:space="preserve"> Bank Limited v Beyer</w:t>
      </w:r>
      <w:r w:rsidR="00BA7DB8" w:rsidRPr="00AE18D1">
        <w:rPr>
          <w:rStyle w:val="FootnoteReference"/>
          <w:rFonts w:ascii="Arial" w:eastAsia="Times New Roman" w:hAnsi="Arial" w:cs="Arial"/>
          <w:color w:val="000000" w:themeColor="text1"/>
          <w:sz w:val="24"/>
          <w:szCs w:val="24"/>
          <w:lang w:eastAsia="en-ZA"/>
        </w:rPr>
        <w:footnoteReference w:id="1"/>
      </w:r>
      <w:r w:rsidR="0085391C" w:rsidRPr="00AE18D1">
        <w:rPr>
          <w:sz w:val="24"/>
          <w:szCs w:val="24"/>
        </w:rPr>
        <w:t xml:space="preserve"> </w:t>
      </w:r>
      <w:r w:rsidR="00953C26">
        <w:rPr>
          <w:sz w:val="24"/>
          <w:szCs w:val="24"/>
        </w:rPr>
        <w:t xml:space="preserve">by </w:t>
      </w:r>
      <w:r w:rsidR="0085391C" w:rsidRPr="00AE18D1">
        <w:rPr>
          <w:rFonts w:ascii="Arial" w:eastAsia="Times New Roman" w:hAnsi="Arial" w:cs="Arial"/>
          <w:color w:val="000000" w:themeColor="text1"/>
          <w:sz w:val="24"/>
          <w:szCs w:val="24"/>
          <w:lang w:eastAsia="en-ZA"/>
        </w:rPr>
        <w:t xml:space="preserve">Ebersohn AJ </w:t>
      </w:r>
      <w:r w:rsidR="00BC57CF">
        <w:rPr>
          <w:rFonts w:ascii="Arial" w:eastAsia="Times New Roman" w:hAnsi="Arial" w:cs="Arial"/>
          <w:color w:val="000000" w:themeColor="text1"/>
          <w:sz w:val="24"/>
          <w:szCs w:val="24"/>
          <w:lang w:eastAsia="en-ZA"/>
        </w:rPr>
        <w:t xml:space="preserve">should be applicable. </w:t>
      </w:r>
      <w:r w:rsidR="00953C26">
        <w:rPr>
          <w:rFonts w:ascii="Arial" w:eastAsia="Times New Roman" w:hAnsi="Arial" w:cs="Arial"/>
          <w:color w:val="000000" w:themeColor="text1"/>
          <w:sz w:val="24"/>
          <w:szCs w:val="24"/>
          <w:lang w:eastAsia="en-ZA"/>
        </w:rPr>
        <w:t>He said the following</w:t>
      </w:r>
      <w:r w:rsidR="0085391C" w:rsidRPr="00AE18D1">
        <w:rPr>
          <w:rFonts w:ascii="Arial" w:eastAsia="Times New Roman" w:hAnsi="Arial" w:cs="Arial"/>
          <w:color w:val="000000" w:themeColor="text1"/>
          <w:sz w:val="24"/>
          <w:szCs w:val="24"/>
          <w:lang w:eastAsia="en-ZA"/>
        </w:rPr>
        <w:t>:</w:t>
      </w:r>
    </w:p>
    <w:p w:rsidR="00BC57CF" w:rsidRPr="00AE18D1" w:rsidRDefault="00BC57CF"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4A5429" w:rsidRPr="00AE18D1" w:rsidRDefault="00BC57CF" w:rsidP="00BC57CF">
      <w:pPr>
        <w:shd w:val="clear" w:color="auto" w:fill="FFFFFF"/>
        <w:spacing w:after="0" w:line="360" w:lineRule="auto"/>
        <w:ind w:firstLine="720"/>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w:t>
      </w:r>
      <w:r w:rsidR="004A5429" w:rsidRPr="00AE18D1">
        <w:rPr>
          <w:rFonts w:ascii="Arial" w:eastAsia="Times New Roman" w:hAnsi="Arial" w:cs="Arial"/>
          <w:color w:val="000000" w:themeColor="text1"/>
          <w:lang w:eastAsia="en-ZA"/>
        </w:rPr>
        <w:t>It seems to me, from the many similarly worded affidavits filed in support of applications for summary judgment which come before this motion court, that plaintiffs nowadays apparently are of the opinion that an affidavit deposed to by anybody in the employ of a plaintiff firm, who mechanically goes through the motions and make an affidavit "verifying" the cause of action and amount owing, would suffice to obtain summary judgment</w:t>
      </w:r>
      <w:r w:rsidR="0085391C" w:rsidRPr="00AE18D1">
        <w:rPr>
          <w:rFonts w:ascii="Arial" w:eastAsia="Times New Roman" w:hAnsi="Arial" w:cs="Arial"/>
          <w:color w:val="000000" w:themeColor="text1"/>
          <w:lang w:eastAsia="en-ZA"/>
        </w:rPr>
        <w:t xml:space="preserve"> ….</w:t>
      </w:r>
    </w:p>
    <w:p w:rsidR="00AE18D1" w:rsidRPr="00AE18D1" w:rsidRDefault="00AE18D1" w:rsidP="0026597E">
      <w:pPr>
        <w:shd w:val="clear" w:color="auto" w:fill="FFFFFF"/>
        <w:spacing w:after="0" w:line="360" w:lineRule="auto"/>
        <w:jc w:val="both"/>
        <w:rPr>
          <w:rFonts w:ascii="Arial" w:eastAsia="Times New Roman" w:hAnsi="Arial" w:cs="Arial"/>
          <w:color w:val="000000" w:themeColor="text1"/>
          <w:lang w:eastAsia="en-ZA"/>
        </w:rPr>
      </w:pPr>
    </w:p>
    <w:p w:rsidR="0085391C" w:rsidRPr="00AE18D1" w:rsidRDefault="0085391C" w:rsidP="0026597E">
      <w:pPr>
        <w:shd w:val="clear" w:color="auto" w:fill="FFFFFF"/>
        <w:spacing w:after="0" w:line="360" w:lineRule="auto"/>
        <w:jc w:val="both"/>
        <w:rPr>
          <w:rFonts w:ascii="Arial" w:eastAsia="Times New Roman" w:hAnsi="Arial" w:cs="Arial"/>
          <w:color w:val="000000" w:themeColor="text1"/>
          <w:lang w:eastAsia="en-ZA"/>
        </w:rPr>
      </w:pPr>
      <w:r w:rsidRPr="00AE18D1">
        <w:rPr>
          <w:rFonts w:ascii="Arial" w:eastAsia="Times New Roman" w:hAnsi="Arial" w:cs="Arial"/>
          <w:color w:val="000000" w:themeColor="text1"/>
          <w:lang w:eastAsia="en-ZA"/>
        </w:rPr>
        <w:t>[9]</w:t>
      </w:r>
      <w:r w:rsidRPr="00AE18D1">
        <w:rPr>
          <w:rFonts w:ascii="Arial" w:eastAsia="Times New Roman" w:hAnsi="Arial" w:cs="Arial"/>
          <w:color w:val="000000" w:themeColor="text1"/>
          <w:lang w:eastAsia="en-ZA"/>
        </w:rPr>
        <w:tab/>
        <w:t>An analysis and consideration of Rule 32(2) clearly shows that the court must, from the facts set out in the affidavit itself, before it can grant summary judgment, be able to make a factual finding that the person who deposed to the affidavit, was able to swear positively to the facts alleged in the summons and annexures thereto and be able to verify the cause of action and the amount claimed, if any, and was able to form the opinion that there was no bona fide defence available to the defendant and that the notice of intention to defend was given solely for the purpose of delay.</w:t>
      </w:r>
      <w:r w:rsidR="00BC57CF">
        <w:rPr>
          <w:rFonts w:ascii="Arial" w:eastAsia="Times New Roman" w:hAnsi="Arial" w:cs="Arial"/>
          <w:color w:val="000000" w:themeColor="text1"/>
          <w:lang w:eastAsia="en-ZA"/>
        </w:rPr>
        <w:t>’</w:t>
      </w:r>
    </w:p>
    <w:p w:rsidR="00AE18D1" w:rsidRDefault="00AE18D1"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9C0E9F" w:rsidRDefault="00141B52"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[10</w:t>
      </w:r>
      <w:r w:rsidR="00AE18D1">
        <w:rPr>
          <w:rFonts w:ascii="Arial" w:eastAsia="Times New Roman" w:hAnsi="Arial" w:cs="Arial"/>
          <w:color w:val="000000" w:themeColor="text1"/>
          <w:sz w:val="24"/>
          <w:szCs w:val="24"/>
          <w:lang w:eastAsia="en-ZA"/>
        </w:rPr>
        <w:t>]</w:t>
      </w:r>
      <w:r w:rsidR="00AE18D1">
        <w:rPr>
          <w:rFonts w:ascii="Arial" w:eastAsia="Times New Roman" w:hAnsi="Arial" w:cs="Arial"/>
          <w:color w:val="000000" w:themeColor="text1"/>
          <w:sz w:val="24"/>
          <w:szCs w:val="24"/>
          <w:lang w:eastAsia="en-ZA"/>
        </w:rPr>
        <w:tab/>
      </w:r>
      <w:r w:rsidR="0059434D">
        <w:rPr>
          <w:rFonts w:ascii="Arial" w:eastAsia="Times New Roman" w:hAnsi="Arial" w:cs="Arial"/>
          <w:color w:val="000000" w:themeColor="text1"/>
          <w:sz w:val="24"/>
          <w:szCs w:val="24"/>
          <w:lang w:eastAsia="en-ZA"/>
        </w:rPr>
        <w:t xml:space="preserve">The second point </w:t>
      </w:r>
      <w:r w:rsidR="0059434D" w:rsidRPr="00D71723">
        <w:rPr>
          <w:rFonts w:ascii="Arial" w:eastAsia="Times New Roman" w:hAnsi="Arial" w:cs="Arial"/>
          <w:i/>
          <w:color w:val="000000" w:themeColor="text1"/>
          <w:sz w:val="24"/>
          <w:szCs w:val="24"/>
          <w:lang w:eastAsia="en-ZA"/>
        </w:rPr>
        <w:t>in limine</w:t>
      </w:r>
      <w:r>
        <w:rPr>
          <w:rFonts w:ascii="Arial" w:eastAsia="Times New Roman" w:hAnsi="Arial" w:cs="Arial"/>
          <w:color w:val="000000" w:themeColor="text1"/>
          <w:sz w:val="24"/>
          <w:szCs w:val="24"/>
          <w:lang w:eastAsia="en-ZA"/>
        </w:rPr>
        <w:t xml:space="preserve"> which was raised is that Mr </w:t>
      </w:r>
      <w:r w:rsidR="0059434D">
        <w:rPr>
          <w:rFonts w:ascii="Arial" w:eastAsia="Times New Roman" w:hAnsi="Arial" w:cs="Arial"/>
          <w:color w:val="000000" w:themeColor="text1"/>
          <w:sz w:val="24"/>
          <w:szCs w:val="24"/>
          <w:lang w:eastAsia="en-ZA"/>
        </w:rPr>
        <w:t>de Witt, the person who deposed to the affidavit and under whose control these documents are, is the same person who certified and commissioned the documents annex</w:t>
      </w:r>
      <w:r>
        <w:rPr>
          <w:rFonts w:ascii="Arial" w:eastAsia="Times New Roman" w:hAnsi="Arial" w:cs="Arial"/>
          <w:color w:val="000000" w:themeColor="text1"/>
          <w:sz w:val="24"/>
          <w:szCs w:val="24"/>
          <w:lang w:eastAsia="en-ZA"/>
        </w:rPr>
        <w:t>ed to the Particulars of Claim.</w:t>
      </w:r>
      <w:r w:rsidR="0059434D">
        <w:rPr>
          <w:rFonts w:ascii="Arial" w:eastAsia="Times New Roman" w:hAnsi="Arial" w:cs="Arial"/>
          <w:color w:val="000000" w:themeColor="text1"/>
          <w:sz w:val="24"/>
          <w:szCs w:val="24"/>
          <w:lang w:eastAsia="en-ZA"/>
        </w:rPr>
        <w:t xml:space="preserve"> Mr. </w:t>
      </w:r>
      <w:r w:rsidR="0059434D">
        <w:rPr>
          <w:rFonts w:ascii="Arial" w:eastAsia="Times New Roman" w:hAnsi="Arial" w:cs="Arial"/>
          <w:color w:val="000000" w:themeColor="text1"/>
          <w:sz w:val="24"/>
          <w:szCs w:val="24"/>
          <w:lang w:eastAsia="en-ZA"/>
        </w:rPr>
        <w:lastRenderedPageBreak/>
        <w:t xml:space="preserve">de Witt is also the author of </w:t>
      </w:r>
      <w:r w:rsidR="00BC57CF">
        <w:rPr>
          <w:rFonts w:ascii="Arial" w:eastAsia="Times New Roman" w:hAnsi="Arial" w:cs="Arial"/>
          <w:color w:val="000000" w:themeColor="text1"/>
          <w:sz w:val="24"/>
          <w:szCs w:val="24"/>
          <w:lang w:eastAsia="en-ZA"/>
        </w:rPr>
        <w:t xml:space="preserve">the certificate of indebtness. </w:t>
      </w:r>
      <w:r w:rsidR="009C0E9F">
        <w:rPr>
          <w:rFonts w:ascii="Arial" w:eastAsia="Times New Roman" w:hAnsi="Arial" w:cs="Arial"/>
          <w:color w:val="000000" w:themeColor="text1"/>
          <w:sz w:val="24"/>
          <w:szCs w:val="24"/>
          <w:lang w:eastAsia="en-ZA"/>
        </w:rPr>
        <w:t>It was argued that the certification and Commissioning of documents by the Deponent is irregular and as such, the documen</w:t>
      </w:r>
      <w:r w:rsidR="00BC57CF">
        <w:rPr>
          <w:rFonts w:ascii="Arial" w:eastAsia="Times New Roman" w:hAnsi="Arial" w:cs="Arial"/>
          <w:color w:val="000000" w:themeColor="text1"/>
          <w:sz w:val="24"/>
          <w:szCs w:val="24"/>
          <w:lang w:eastAsia="en-ZA"/>
        </w:rPr>
        <w:t xml:space="preserve">ts relied upon cannot be used. </w:t>
      </w:r>
      <w:r w:rsidR="009C0E9F">
        <w:rPr>
          <w:rFonts w:ascii="Arial" w:eastAsia="Times New Roman" w:hAnsi="Arial" w:cs="Arial"/>
          <w:color w:val="000000" w:themeColor="text1"/>
          <w:sz w:val="24"/>
          <w:szCs w:val="24"/>
          <w:lang w:eastAsia="en-ZA"/>
        </w:rPr>
        <w:t>A Commissioner of Oaths cannot administer an oath or affirmation or certify documentation relating to a matter in which he has an interes</w:t>
      </w:r>
      <w:r w:rsidR="00BC57CF">
        <w:rPr>
          <w:rFonts w:ascii="Arial" w:eastAsia="Times New Roman" w:hAnsi="Arial" w:cs="Arial"/>
          <w:color w:val="000000" w:themeColor="text1"/>
          <w:sz w:val="24"/>
          <w:szCs w:val="24"/>
          <w:lang w:eastAsia="en-ZA"/>
        </w:rPr>
        <w:t xml:space="preserve">t or that he/she has produced. </w:t>
      </w:r>
      <w:r w:rsidR="009C0E9F">
        <w:rPr>
          <w:rFonts w:ascii="Arial" w:eastAsia="Times New Roman" w:hAnsi="Arial" w:cs="Arial"/>
          <w:color w:val="000000" w:themeColor="text1"/>
          <w:sz w:val="24"/>
          <w:szCs w:val="24"/>
          <w:lang w:eastAsia="en-ZA"/>
        </w:rPr>
        <w:t>This point was not addressed by the applicant in their heads of argument.</w:t>
      </w:r>
    </w:p>
    <w:p w:rsidR="009C0E9F" w:rsidRDefault="009C0E9F"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9C0E9F" w:rsidRDefault="00141B52"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[11</w:t>
      </w:r>
      <w:r w:rsidR="009C0E9F">
        <w:rPr>
          <w:rFonts w:ascii="Arial" w:eastAsia="Times New Roman" w:hAnsi="Arial" w:cs="Arial"/>
          <w:color w:val="000000" w:themeColor="text1"/>
          <w:sz w:val="24"/>
          <w:szCs w:val="24"/>
          <w:lang w:eastAsia="en-ZA"/>
        </w:rPr>
        <w:t>]</w:t>
      </w:r>
      <w:r w:rsidR="009C0E9F">
        <w:rPr>
          <w:rFonts w:ascii="Arial" w:eastAsia="Times New Roman" w:hAnsi="Arial" w:cs="Arial"/>
          <w:color w:val="000000" w:themeColor="text1"/>
          <w:sz w:val="24"/>
          <w:szCs w:val="24"/>
          <w:lang w:eastAsia="en-ZA"/>
        </w:rPr>
        <w:tab/>
        <w:t xml:space="preserve">What was further raised by the third </w:t>
      </w:r>
      <w:r w:rsidR="002C5773">
        <w:rPr>
          <w:rFonts w:ascii="Arial" w:eastAsia="Times New Roman" w:hAnsi="Arial" w:cs="Arial"/>
          <w:color w:val="000000" w:themeColor="text1"/>
          <w:sz w:val="24"/>
          <w:szCs w:val="24"/>
          <w:lang w:eastAsia="en-ZA"/>
        </w:rPr>
        <w:t>defendant</w:t>
      </w:r>
      <w:r w:rsidR="009C0E9F">
        <w:rPr>
          <w:rFonts w:ascii="Arial" w:eastAsia="Times New Roman" w:hAnsi="Arial" w:cs="Arial"/>
          <w:color w:val="000000" w:themeColor="text1"/>
          <w:sz w:val="24"/>
          <w:szCs w:val="24"/>
          <w:lang w:eastAsia="en-ZA"/>
        </w:rPr>
        <w:t xml:space="preserve"> is that the plaintiff indicate that the agreement was entered into at Windhoek</w:t>
      </w:r>
      <w:r>
        <w:rPr>
          <w:rFonts w:ascii="Arial" w:eastAsia="Times New Roman" w:hAnsi="Arial" w:cs="Arial"/>
          <w:color w:val="000000" w:themeColor="text1"/>
          <w:sz w:val="24"/>
          <w:szCs w:val="24"/>
          <w:lang w:eastAsia="en-ZA"/>
        </w:rPr>
        <w:t xml:space="preserve"> bay and no such place exists. </w:t>
      </w:r>
      <w:r w:rsidR="009C0E9F">
        <w:rPr>
          <w:rFonts w:ascii="Arial" w:eastAsia="Times New Roman" w:hAnsi="Arial" w:cs="Arial"/>
          <w:color w:val="000000" w:themeColor="text1"/>
          <w:sz w:val="24"/>
          <w:szCs w:val="24"/>
          <w:lang w:eastAsia="en-ZA"/>
        </w:rPr>
        <w:t>They also pointed out that the plaintiff relies on a written commercial loan agreement and indicated that the said document was attached to the Particulars of Claim as Ann</w:t>
      </w:r>
      <w:r w:rsidR="00BC57CF">
        <w:rPr>
          <w:rFonts w:ascii="Arial" w:eastAsia="Times New Roman" w:hAnsi="Arial" w:cs="Arial"/>
          <w:color w:val="000000" w:themeColor="text1"/>
          <w:sz w:val="24"/>
          <w:szCs w:val="24"/>
          <w:lang w:eastAsia="en-ZA"/>
        </w:rPr>
        <w:t>exure A.</w:t>
      </w:r>
      <w:r w:rsidR="009C0E9F">
        <w:rPr>
          <w:rFonts w:ascii="Arial" w:eastAsia="Times New Roman" w:hAnsi="Arial" w:cs="Arial"/>
          <w:color w:val="000000" w:themeColor="text1"/>
          <w:sz w:val="24"/>
          <w:szCs w:val="24"/>
          <w:lang w:eastAsia="en-ZA"/>
        </w:rPr>
        <w:t xml:space="preserve"> They pointed to the fact that the court will not be able to make out the</w:t>
      </w:r>
      <w:r w:rsidR="002C5773">
        <w:rPr>
          <w:rFonts w:ascii="Arial" w:eastAsia="Times New Roman" w:hAnsi="Arial" w:cs="Arial"/>
          <w:color w:val="000000" w:themeColor="text1"/>
          <w:sz w:val="24"/>
          <w:szCs w:val="24"/>
          <w:lang w:eastAsia="en-ZA"/>
        </w:rPr>
        <w:t xml:space="preserve"> comprehensive terms of the said</w:t>
      </w:r>
      <w:r w:rsidR="00BC57CF">
        <w:rPr>
          <w:rFonts w:ascii="Arial" w:eastAsia="Times New Roman" w:hAnsi="Arial" w:cs="Arial"/>
          <w:color w:val="000000" w:themeColor="text1"/>
          <w:sz w:val="24"/>
          <w:szCs w:val="24"/>
          <w:lang w:eastAsia="en-ZA"/>
        </w:rPr>
        <w:t xml:space="preserve"> loan agreement because Mr d</w:t>
      </w:r>
      <w:r w:rsidR="009C0E9F">
        <w:rPr>
          <w:rFonts w:ascii="Arial" w:eastAsia="Times New Roman" w:hAnsi="Arial" w:cs="Arial"/>
          <w:color w:val="000000" w:themeColor="text1"/>
          <w:sz w:val="24"/>
          <w:szCs w:val="24"/>
          <w:lang w:eastAsia="en-ZA"/>
        </w:rPr>
        <w:t>e Witt imposed a stamp on each page of the loan agreement which stamp and signature effectively cancels out or covers the term of the loan agreement.</w:t>
      </w:r>
      <w:r>
        <w:rPr>
          <w:rFonts w:ascii="Arial" w:eastAsia="Times New Roman" w:hAnsi="Arial" w:cs="Arial"/>
          <w:color w:val="000000" w:themeColor="text1"/>
          <w:sz w:val="24"/>
          <w:szCs w:val="24"/>
          <w:lang w:eastAsia="en-ZA"/>
        </w:rPr>
        <w:t xml:space="preserve"> </w:t>
      </w:r>
      <w:r w:rsidR="003208EA">
        <w:rPr>
          <w:rFonts w:ascii="Arial" w:eastAsia="Times New Roman" w:hAnsi="Arial" w:cs="Arial"/>
          <w:color w:val="000000" w:themeColor="text1"/>
          <w:sz w:val="24"/>
          <w:szCs w:val="24"/>
          <w:lang w:eastAsia="en-ZA"/>
        </w:rPr>
        <w:t xml:space="preserve">They also raised the issue that Mr. de Witt certified the copies of the </w:t>
      </w:r>
      <w:r w:rsidR="00BC57CF">
        <w:rPr>
          <w:rFonts w:ascii="Arial" w:eastAsia="Times New Roman" w:hAnsi="Arial" w:cs="Arial"/>
          <w:color w:val="000000" w:themeColor="text1"/>
          <w:sz w:val="24"/>
          <w:szCs w:val="24"/>
          <w:lang w:eastAsia="en-ZA"/>
        </w:rPr>
        <w:t>plaintiff’s</w:t>
      </w:r>
      <w:r w:rsidR="003208EA">
        <w:rPr>
          <w:rFonts w:ascii="Arial" w:eastAsia="Times New Roman" w:hAnsi="Arial" w:cs="Arial"/>
          <w:color w:val="000000" w:themeColor="text1"/>
          <w:sz w:val="24"/>
          <w:szCs w:val="24"/>
          <w:lang w:eastAsia="en-ZA"/>
        </w:rPr>
        <w:t xml:space="preserve"> documents that is relied upon for summary judgement.</w:t>
      </w:r>
    </w:p>
    <w:p w:rsidR="003208EA" w:rsidRDefault="003208EA"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3208EA" w:rsidRDefault="00141B52"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[12</w:t>
      </w:r>
      <w:r w:rsidR="003208EA">
        <w:rPr>
          <w:rFonts w:ascii="Arial" w:eastAsia="Times New Roman" w:hAnsi="Arial" w:cs="Arial"/>
          <w:color w:val="000000" w:themeColor="text1"/>
          <w:sz w:val="24"/>
          <w:szCs w:val="24"/>
          <w:lang w:eastAsia="en-ZA"/>
        </w:rPr>
        <w:t>]</w:t>
      </w:r>
      <w:r w:rsidR="003208EA">
        <w:rPr>
          <w:rFonts w:ascii="Arial" w:eastAsia="Times New Roman" w:hAnsi="Arial" w:cs="Arial"/>
          <w:color w:val="000000" w:themeColor="text1"/>
          <w:sz w:val="24"/>
          <w:szCs w:val="24"/>
          <w:lang w:eastAsia="en-ZA"/>
        </w:rPr>
        <w:tab/>
        <w:t xml:space="preserve">For the plaintiff it was argued that the principle in </w:t>
      </w:r>
      <w:r w:rsidR="003208EA" w:rsidRPr="008F4AFD">
        <w:rPr>
          <w:rFonts w:ascii="Arial" w:eastAsia="Times New Roman" w:hAnsi="Arial" w:cs="Arial"/>
          <w:i/>
          <w:color w:val="000000" w:themeColor="text1"/>
          <w:sz w:val="24"/>
          <w:szCs w:val="24"/>
          <w:lang w:eastAsia="en-ZA"/>
        </w:rPr>
        <w:t>Maharaj v Barclays National Bank Lt</w:t>
      </w:r>
      <w:r w:rsidR="003208EA">
        <w:rPr>
          <w:rFonts w:ascii="Arial" w:eastAsia="Times New Roman" w:hAnsi="Arial" w:cs="Arial"/>
          <w:color w:val="000000" w:themeColor="text1"/>
          <w:sz w:val="24"/>
          <w:szCs w:val="24"/>
          <w:lang w:eastAsia="en-ZA"/>
        </w:rPr>
        <w:t xml:space="preserve"> is applicable where Corbett JA states as follows</w:t>
      </w:r>
      <w:r w:rsidR="003208EA">
        <w:rPr>
          <w:rStyle w:val="FootnoteReference"/>
          <w:rFonts w:ascii="Arial" w:eastAsia="Times New Roman" w:hAnsi="Arial" w:cs="Arial"/>
          <w:color w:val="000000" w:themeColor="text1"/>
          <w:sz w:val="24"/>
          <w:szCs w:val="24"/>
          <w:lang w:eastAsia="en-ZA"/>
        </w:rPr>
        <w:footnoteReference w:id="2"/>
      </w:r>
      <w:r w:rsidR="003208EA">
        <w:rPr>
          <w:rFonts w:ascii="Arial" w:eastAsia="Times New Roman" w:hAnsi="Arial" w:cs="Arial"/>
          <w:color w:val="000000" w:themeColor="text1"/>
          <w:sz w:val="24"/>
          <w:szCs w:val="24"/>
          <w:lang w:eastAsia="en-ZA"/>
        </w:rPr>
        <w:t>:</w:t>
      </w:r>
    </w:p>
    <w:p w:rsidR="00BC57CF" w:rsidRDefault="00BC57CF" w:rsidP="0026597E">
      <w:pPr>
        <w:shd w:val="clear" w:color="auto" w:fill="FFFFFF"/>
        <w:spacing w:after="0" w:line="360" w:lineRule="auto"/>
        <w:jc w:val="both"/>
        <w:rPr>
          <w:rFonts w:ascii="Arial" w:eastAsia="Times New Roman" w:hAnsi="Arial" w:cs="Arial"/>
          <w:color w:val="000000" w:themeColor="text1"/>
          <w:sz w:val="24"/>
          <w:szCs w:val="24"/>
          <w:lang w:eastAsia="en-ZA"/>
        </w:rPr>
      </w:pPr>
    </w:p>
    <w:p w:rsidR="003208EA" w:rsidRDefault="00BC57CF" w:rsidP="00BC57CF">
      <w:pPr>
        <w:shd w:val="clear" w:color="auto" w:fill="FFFFFF"/>
        <w:spacing w:after="0" w:line="360" w:lineRule="auto"/>
        <w:ind w:firstLine="720"/>
        <w:jc w:val="both"/>
        <w:rPr>
          <w:rFonts w:ascii="Arial" w:eastAsia="Times New Roman" w:hAnsi="Arial" w:cs="Arial"/>
          <w:color w:val="000000" w:themeColor="text1"/>
          <w:lang w:eastAsia="en-ZA"/>
        </w:rPr>
      </w:pPr>
      <w:r>
        <w:rPr>
          <w:rFonts w:ascii="Arial" w:eastAsia="Times New Roman" w:hAnsi="Arial" w:cs="Arial"/>
          <w:color w:val="000000" w:themeColor="text1"/>
          <w:sz w:val="24"/>
          <w:szCs w:val="24"/>
          <w:lang w:eastAsia="en-ZA"/>
        </w:rPr>
        <w:t>‘</w:t>
      </w:r>
      <w:r w:rsidR="003208EA" w:rsidRPr="003208EA">
        <w:rPr>
          <w:rFonts w:ascii="Arial" w:eastAsia="Times New Roman" w:hAnsi="Arial" w:cs="Arial"/>
          <w:color w:val="000000" w:themeColor="text1"/>
          <w:lang w:eastAsia="en-ZA"/>
        </w:rPr>
        <w:t>The principle is that in deciding whether or not to grant summary judgement, the Court looks at the matter “at the end of the day” on all the documents</w:t>
      </w:r>
      <w:r w:rsidR="008F4AFD">
        <w:rPr>
          <w:rFonts w:ascii="Arial" w:eastAsia="Times New Roman" w:hAnsi="Arial" w:cs="Arial"/>
          <w:color w:val="000000" w:themeColor="text1"/>
          <w:lang w:eastAsia="en-ZA"/>
        </w:rPr>
        <w:t xml:space="preserve"> that are properly before it.’</w:t>
      </w:r>
    </w:p>
    <w:p w:rsidR="00BC57CF" w:rsidRDefault="00BC57CF" w:rsidP="00BC57CF">
      <w:pPr>
        <w:shd w:val="clear" w:color="auto" w:fill="FFFFFF"/>
        <w:spacing w:after="0" w:line="360" w:lineRule="auto"/>
        <w:ind w:firstLine="720"/>
        <w:jc w:val="both"/>
        <w:rPr>
          <w:rFonts w:ascii="Arial" w:eastAsia="Times New Roman" w:hAnsi="Arial" w:cs="Arial"/>
          <w:color w:val="000000" w:themeColor="text1"/>
          <w:sz w:val="24"/>
          <w:szCs w:val="24"/>
          <w:lang w:eastAsia="en-ZA"/>
        </w:rPr>
      </w:pPr>
    </w:p>
    <w:p w:rsidR="0026597E" w:rsidRDefault="002B5083" w:rsidP="0026597E">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[13</w:t>
      </w:r>
      <w:r w:rsidR="00BC57CF">
        <w:rPr>
          <w:rFonts w:ascii="Arial" w:eastAsia="Times New Roman" w:hAnsi="Arial" w:cs="Arial"/>
          <w:color w:val="000000" w:themeColor="text1"/>
          <w:sz w:val="24"/>
          <w:szCs w:val="24"/>
          <w:lang w:eastAsia="en-ZA"/>
        </w:rPr>
        <w:t>]</w:t>
      </w:r>
      <w:r w:rsidR="00BC57CF">
        <w:rPr>
          <w:rFonts w:ascii="Arial" w:eastAsia="Times New Roman" w:hAnsi="Arial" w:cs="Arial"/>
          <w:color w:val="000000" w:themeColor="text1"/>
          <w:sz w:val="24"/>
          <w:szCs w:val="24"/>
          <w:lang w:eastAsia="en-ZA"/>
        </w:rPr>
        <w:tab/>
      </w:r>
      <w:r w:rsidR="003208EA">
        <w:rPr>
          <w:rFonts w:ascii="Arial" w:eastAsia="Times New Roman" w:hAnsi="Arial" w:cs="Arial"/>
          <w:color w:val="000000" w:themeColor="text1"/>
          <w:sz w:val="24"/>
          <w:szCs w:val="24"/>
          <w:lang w:eastAsia="en-ZA"/>
        </w:rPr>
        <w:t xml:space="preserve">Regarding the contention that the annexures are not legible it is argued that rule 45(7) provides that a party who relies on a contract must state whether the contract is written or oral and when, where and by whom it was concluded and if the contract is written a true copy thereof or of the part relied on in the pleading must be annexed to the pleading.  The certification was therefore done </w:t>
      </w:r>
      <w:r w:rsidR="00BC57CF">
        <w:rPr>
          <w:rFonts w:ascii="Arial" w:eastAsia="Times New Roman" w:hAnsi="Arial" w:cs="Arial"/>
          <w:color w:val="000000" w:themeColor="text1"/>
          <w:sz w:val="24"/>
          <w:szCs w:val="24"/>
          <w:lang w:eastAsia="en-ZA"/>
        </w:rPr>
        <w:t xml:space="preserve">in compliance with rule 45(7). </w:t>
      </w:r>
      <w:r w:rsidR="003208EA">
        <w:rPr>
          <w:rFonts w:ascii="Arial" w:eastAsia="Times New Roman" w:hAnsi="Arial" w:cs="Arial"/>
          <w:color w:val="000000" w:themeColor="text1"/>
          <w:sz w:val="24"/>
          <w:szCs w:val="24"/>
          <w:lang w:eastAsia="en-ZA"/>
        </w:rPr>
        <w:t>They argue that the parts relied on are legible.</w:t>
      </w:r>
    </w:p>
    <w:p w:rsidR="003208EA" w:rsidRDefault="003208EA"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8F4AFD" w:rsidRDefault="008F4AF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6E21AC" w:rsidRPr="00EA3733" w:rsidRDefault="00CC3C2F" w:rsidP="00CC3C2F">
      <w:pPr>
        <w:shd w:val="clear" w:color="auto" w:fill="FFFFFF"/>
        <w:spacing w:after="0" w:line="360" w:lineRule="auto"/>
        <w:jc w:val="both"/>
        <w:rPr>
          <w:rFonts w:ascii="Arial" w:eastAsia="Times New Roman" w:hAnsi="Arial" w:cs="Arial"/>
          <w:color w:val="000000" w:themeColor="text1"/>
          <w:sz w:val="24"/>
          <w:szCs w:val="24"/>
          <w:u w:val="single"/>
          <w:lang w:eastAsia="en-ZA"/>
        </w:rPr>
      </w:pPr>
      <w:r w:rsidRPr="00EA3733">
        <w:rPr>
          <w:rFonts w:ascii="Arial" w:eastAsia="Times New Roman" w:hAnsi="Arial" w:cs="Arial"/>
          <w:color w:val="000000" w:themeColor="text1"/>
          <w:sz w:val="24"/>
          <w:szCs w:val="24"/>
          <w:u w:val="single"/>
          <w:lang w:eastAsia="en-ZA"/>
        </w:rPr>
        <w:lastRenderedPageBreak/>
        <w:t>The applicable law and legal arguments</w:t>
      </w:r>
    </w:p>
    <w:p w:rsidR="00D461BD" w:rsidRPr="00EA3733" w:rsidRDefault="00D461B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B834AA" w:rsidRDefault="00BC57CF" w:rsidP="00B834AA">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w:t>
      </w:r>
      <w:r w:rsidR="002B5083">
        <w:rPr>
          <w:rFonts w:ascii="Arial" w:eastAsia="Times New Roman" w:hAnsi="Arial" w:cs="Arial"/>
          <w:color w:val="000000" w:themeColor="text1"/>
          <w:sz w:val="24"/>
          <w:szCs w:val="24"/>
          <w:lang w:eastAsia="en-ZA"/>
        </w:rPr>
        <w:t>4</w:t>
      </w:r>
      <w:r w:rsidR="00CC3C2F" w:rsidRPr="00EA3733">
        <w:rPr>
          <w:rFonts w:ascii="Arial" w:eastAsia="Times New Roman" w:hAnsi="Arial" w:cs="Arial"/>
          <w:color w:val="000000" w:themeColor="text1"/>
          <w:sz w:val="24"/>
          <w:szCs w:val="24"/>
          <w:lang w:eastAsia="en-ZA"/>
        </w:rPr>
        <w:t>]</w:t>
      </w:r>
      <w:r w:rsidR="00CC3C2F" w:rsidRPr="00EA3733">
        <w:rPr>
          <w:rFonts w:ascii="Arial" w:eastAsia="Times New Roman" w:hAnsi="Arial" w:cs="Arial"/>
          <w:color w:val="000000" w:themeColor="text1"/>
          <w:sz w:val="24"/>
          <w:szCs w:val="24"/>
          <w:lang w:eastAsia="en-ZA"/>
        </w:rPr>
        <w:tab/>
      </w:r>
      <w:r w:rsidR="00B834AA" w:rsidRPr="00953C26">
        <w:rPr>
          <w:rFonts w:ascii="Arial" w:eastAsia="Times New Roman" w:hAnsi="Arial" w:cs="Arial"/>
          <w:color w:val="000000" w:themeColor="text1"/>
          <w:sz w:val="24"/>
          <w:szCs w:val="24"/>
          <w:lang w:eastAsia="en-ZA"/>
        </w:rPr>
        <w:t xml:space="preserve"> Van Niekerk, Geyer and Mundell in Summary Judgement – A practical guide</w:t>
      </w:r>
      <w:r w:rsidR="00B834AA" w:rsidRPr="00953C26">
        <w:rPr>
          <w:rStyle w:val="FootnoteReference"/>
          <w:rFonts w:ascii="Arial" w:eastAsia="Times New Roman" w:hAnsi="Arial" w:cs="Arial"/>
          <w:color w:val="000000" w:themeColor="text1"/>
          <w:sz w:val="24"/>
          <w:szCs w:val="24"/>
          <w:lang w:eastAsia="en-ZA"/>
        </w:rPr>
        <w:footnoteReference w:id="3"/>
      </w:r>
      <w:r w:rsidR="00B834AA" w:rsidRPr="00953C26">
        <w:rPr>
          <w:rFonts w:ascii="Arial" w:eastAsia="Times New Roman" w:hAnsi="Arial" w:cs="Arial"/>
          <w:color w:val="000000" w:themeColor="text1"/>
          <w:sz w:val="24"/>
          <w:szCs w:val="24"/>
          <w:lang w:eastAsia="en-ZA"/>
        </w:rPr>
        <w:t xml:space="preserve"> said the following:</w:t>
      </w:r>
    </w:p>
    <w:p w:rsidR="008F4AFD" w:rsidRDefault="008F4AFD" w:rsidP="00B834AA">
      <w:pPr>
        <w:shd w:val="clear" w:color="auto" w:fill="FFFFFF"/>
        <w:spacing w:after="0" w:line="360" w:lineRule="auto"/>
        <w:jc w:val="both"/>
        <w:rPr>
          <w:rFonts w:ascii="Arial" w:eastAsia="Times New Roman" w:hAnsi="Arial" w:cs="Arial"/>
          <w:color w:val="000000" w:themeColor="text1"/>
          <w:lang w:eastAsia="en-ZA"/>
        </w:rPr>
      </w:pPr>
    </w:p>
    <w:p w:rsidR="00B834AA" w:rsidRDefault="008F4AFD" w:rsidP="008F4AFD">
      <w:pPr>
        <w:shd w:val="clear" w:color="auto" w:fill="FFFFFF"/>
        <w:spacing w:after="0" w:line="360" w:lineRule="auto"/>
        <w:ind w:firstLine="720"/>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w:t>
      </w:r>
      <w:r w:rsidR="00B834AA">
        <w:rPr>
          <w:rFonts w:ascii="Arial" w:eastAsia="Times New Roman" w:hAnsi="Arial" w:cs="Arial"/>
          <w:color w:val="000000" w:themeColor="text1"/>
          <w:lang w:eastAsia="en-ZA"/>
        </w:rPr>
        <w:t xml:space="preserve">Departing from the premise that the remedy is drastic, our courts have laid down three rules for summary judgement applications.  Firstly, that there is a </w:t>
      </w:r>
      <w:r w:rsidR="00B834AA" w:rsidRPr="00154FB5">
        <w:rPr>
          <w:rFonts w:ascii="Arial" w:eastAsia="Times New Roman" w:hAnsi="Arial" w:cs="Arial"/>
          <w:i/>
          <w:color w:val="000000" w:themeColor="text1"/>
          <w:lang w:eastAsia="en-ZA"/>
        </w:rPr>
        <w:t>numerous clausus</w:t>
      </w:r>
      <w:r w:rsidR="00B834AA">
        <w:rPr>
          <w:rFonts w:ascii="Arial" w:eastAsia="Times New Roman" w:hAnsi="Arial" w:cs="Arial"/>
          <w:color w:val="000000" w:themeColor="text1"/>
          <w:lang w:eastAsia="en-ZA"/>
        </w:rPr>
        <w:t xml:space="preserve"> of instances in which a plaintiff may apply for summary judgement in the sense that no application is possible which falls outside the strict ambit of rule 32(1); secondly, that, before a court will entertain an application for summary judgement, a plaintiff must present a clear case on technically correct papers while complying strictly with the rule and thirdly, that, in cases which are doubtful, summary judgement must be refused.</w:t>
      </w:r>
      <w:r w:rsidR="00154FB5">
        <w:rPr>
          <w:rFonts w:ascii="Arial" w:eastAsia="Times New Roman" w:hAnsi="Arial" w:cs="Arial"/>
          <w:color w:val="000000" w:themeColor="text1"/>
          <w:lang w:eastAsia="en-ZA"/>
        </w:rPr>
        <w:t xml:space="preserve"> (See Art Printing Works Ltd v Citizen (Pty) Ltd 1957 2 SA 95 (SR) 97H; Davis v Terry 1957 4 SA 98 (SR) 100 in fin 101A; and others)</w:t>
      </w:r>
    </w:p>
    <w:p w:rsidR="00B834AA" w:rsidRDefault="00B834AA" w:rsidP="00B834AA">
      <w:pPr>
        <w:shd w:val="clear" w:color="auto" w:fill="FFFFFF"/>
        <w:spacing w:after="0" w:line="360" w:lineRule="auto"/>
        <w:jc w:val="both"/>
        <w:rPr>
          <w:rFonts w:ascii="Arial" w:eastAsia="Times New Roman" w:hAnsi="Arial" w:cs="Arial"/>
          <w:color w:val="000000" w:themeColor="text1"/>
          <w:lang w:eastAsia="en-ZA"/>
        </w:rPr>
      </w:pPr>
    </w:p>
    <w:p w:rsidR="00B834AA" w:rsidRDefault="00B834AA" w:rsidP="00B834AA">
      <w:pPr>
        <w:shd w:val="clear" w:color="auto" w:fill="FFFFFF"/>
        <w:spacing w:after="0" w:line="360" w:lineRule="auto"/>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The drastic nature of the remedy has also prompted the courts to draw the conclusion that the plaintiff’s compliance with rule 32(2) must be judged more strictly than the defendant’s compliance with ruel 32(3).</w:t>
      </w:r>
      <w:r w:rsidR="00154FB5">
        <w:rPr>
          <w:rFonts w:ascii="Arial" w:eastAsia="Times New Roman" w:hAnsi="Arial" w:cs="Arial"/>
          <w:color w:val="000000" w:themeColor="text1"/>
          <w:lang w:eastAsia="en-ZA"/>
        </w:rPr>
        <w:t xml:space="preserve"> (See JNOG Teale &amp; Sons (Pty) Ltd v Vrystaatse Plantediens (Pty) Ltd 1968 (4) SA 371 and others)</w:t>
      </w:r>
      <w:r w:rsidR="003208EA">
        <w:rPr>
          <w:rFonts w:ascii="Arial" w:eastAsia="Times New Roman" w:hAnsi="Arial" w:cs="Arial"/>
          <w:color w:val="000000" w:themeColor="text1"/>
          <w:lang w:eastAsia="en-ZA"/>
        </w:rPr>
        <w:t>.</w:t>
      </w:r>
      <w:r w:rsidR="00C8680B">
        <w:rPr>
          <w:rFonts w:ascii="Arial" w:eastAsia="Times New Roman" w:hAnsi="Arial" w:cs="Arial"/>
          <w:color w:val="000000" w:themeColor="text1"/>
          <w:lang w:eastAsia="en-ZA"/>
        </w:rPr>
        <w:t>’</w:t>
      </w:r>
    </w:p>
    <w:p w:rsidR="003208EA" w:rsidRDefault="003208EA" w:rsidP="00B834AA">
      <w:pPr>
        <w:shd w:val="clear" w:color="auto" w:fill="FFFFFF"/>
        <w:spacing w:after="0" w:line="360" w:lineRule="auto"/>
        <w:jc w:val="both"/>
        <w:rPr>
          <w:rFonts w:ascii="Arial" w:eastAsia="Times New Roman" w:hAnsi="Arial" w:cs="Arial"/>
          <w:color w:val="000000" w:themeColor="text1"/>
          <w:lang w:eastAsia="en-ZA"/>
        </w:rPr>
      </w:pPr>
    </w:p>
    <w:p w:rsidR="003208EA" w:rsidRPr="003208EA" w:rsidRDefault="002B5083" w:rsidP="00B834AA">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[15]</w:t>
      </w:r>
      <w:r>
        <w:rPr>
          <w:rFonts w:ascii="Arial" w:eastAsia="Times New Roman" w:hAnsi="Arial" w:cs="Arial"/>
          <w:color w:val="000000" w:themeColor="text1"/>
          <w:sz w:val="24"/>
          <w:szCs w:val="24"/>
          <w:lang w:eastAsia="en-ZA"/>
        </w:rPr>
        <w:tab/>
      </w:r>
      <w:r w:rsidR="003208EA" w:rsidRPr="003208EA">
        <w:rPr>
          <w:rFonts w:ascii="Arial" w:eastAsia="Times New Roman" w:hAnsi="Arial" w:cs="Arial"/>
          <w:color w:val="000000" w:themeColor="text1"/>
          <w:sz w:val="24"/>
          <w:szCs w:val="24"/>
          <w:lang w:eastAsia="en-ZA"/>
        </w:rPr>
        <w:t xml:space="preserve">The </w:t>
      </w:r>
      <w:r w:rsidR="003208EA">
        <w:rPr>
          <w:rFonts w:ascii="Arial" w:eastAsia="Times New Roman" w:hAnsi="Arial" w:cs="Arial"/>
          <w:color w:val="000000" w:themeColor="text1"/>
          <w:sz w:val="24"/>
          <w:szCs w:val="24"/>
          <w:lang w:eastAsia="en-ZA"/>
        </w:rPr>
        <w:t xml:space="preserve">court will therefore first deal with the points </w:t>
      </w:r>
      <w:r w:rsidR="003208EA" w:rsidRPr="002C5773">
        <w:rPr>
          <w:rFonts w:ascii="Arial" w:eastAsia="Times New Roman" w:hAnsi="Arial" w:cs="Arial"/>
          <w:i/>
          <w:color w:val="000000" w:themeColor="text1"/>
          <w:sz w:val="24"/>
          <w:szCs w:val="24"/>
          <w:lang w:eastAsia="en-ZA"/>
        </w:rPr>
        <w:t>in limine</w:t>
      </w:r>
      <w:r w:rsidR="003208EA">
        <w:rPr>
          <w:rFonts w:ascii="Arial" w:eastAsia="Times New Roman" w:hAnsi="Arial" w:cs="Arial"/>
          <w:color w:val="000000" w:themeColor="text1"/>
          <w:sz w:val="24"/>
          <w:szCs w:val="24"/>
          <w:lang w:eastAsia="en-ZA"/>
        </w:rPr>
        <w:t xml:space="preserve"> raised against the papers of the applicant to determine whether it is indeed technically correct papers.</w:t>
      </w:r>
    </w:p>
    <w:p w:rsidR="00B834AA" w:rsidRPr="00EA3733" w:rsidRDefault="00B834AA" w:rsidP="00B834AA">
      <w:pPr>
        <w:shd w:val="clear" w:color="auto" w:fill="FFFFFF"/>
        <w:spacing w:after="0" w:line="360" w:lineRule="auto"/>
        <w:jc w:val="both"/>
        <w:rPr>
          <w:rFonts w:ascii="Arial" w:eastAsia="Times New Roman" w:hAnsi="Arial" w:cs="Arial"/>
          <w:color w:val="000000" w:themeColor="text1"/>
          <w:lang w:eastAsia="en-ZA"/>
        </w:rPr>
      </w:pPr>
    </w:p>
    <w:p w:rsidR="00CC3C2F" w:rsidRDefault="00953C26"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7E7CD7">
        <w:rPr>
          <w:rFonts w:ascii="Arial" w:eastAsia="Times New Roman" w:hAnsi="Arial" w:cs="Arial"/>
          <w:color w:val="000000" w:themeColor="text1"/>
          <w:sz w:val="24"/>
          <w:szCs w:val="24"/>
          <w:lang w:eastAsia="en-ZA"/>
        </w:rPr>
        <w:t>1</w:t>
      </w:r>
      <w:r w:rsidR="002B5083">
        <w:rPr>
          <w:rFonts w:ascii="Arial" w:eastAsia="Times New Roman" w:hAnsi="Arial" w:cs="Arial"/>
          <w:color w:val="000000" w:themeColor="text1"/>
          <w:sz w:val="24"/>
          <w:szCs w:val="24"/>
          <w:lang w:eastAsia="en-ZA"/>
        </w:rPr>
        <w:t>6</w:t>
      </w:r>
      <w:r>
        <w:rPr>
          <w:rFonts w:ascii="Arial" w:eastAsia="Times New Roman" w:hAnsi="Arial" w:cs="Arial"/>
          <w:color w:val="000000" w:themeColor="text1"/>
          <w:sz w:val="24"/>
          <w:szCs w:val="24"/>
          <w:lang w:eastAsia="en-ZA"/>
        </w:rPr>
        <w:t>]</w:t>
      </w:r>
      <w:r>
        <w:rPr>
          <w:rFonts w:ascii="Arial" w:eastAsia="Times New Roman" w:hAnsi="Arial" w:cs="Arial"/>
          <w:color w:val="000000" w:themeColor="text1"/>
          <w:sz w:val="24"/>
          <w:szCs w:val="24"/>
          <w:lang w:eastAsia="en-ZA"/>
        </w:rPr>
        <w:tab/>
        <w:t xml:space="preserve">When dealing with who can depose to the verifying affidavit on behalf of a plaintiff bringing a summary judgement application, the learned authors </w:t>
      </w:r>
      <w:r w:rsidRPr="00953C26">
        <w:rPr>
          <w:rFonts w:ascii="Arial" w:eastAsia="Times New Roman" w:hAnsi="Arial" w:cs="Arial"/>
          <w:color w:val="000000" w:themeColor="text1"/>
          <w:sz w:val="24"/>
          <w:szCs w:val="24"/>
          <w:lang w:eastAsia="en-ZA"/>
        </w:rPr>
        <w:t>Van Niekerk, Geyer and Mundell in Summary Judgement – A practical guide</w:t>
      </w:r>
      <w:r w:rsidRPr="00953C26">
        <w:rPr>
          <w:rStyle w:val="FootnoteReference"/>
          <w:rFonts w:ascii="Arial" w:eastAsia="Times New Roman" w:hAnsi="Arial" w:cs="Arial"/>
          <w:color w:val="000000" w:themeColor="text1"/>
          <w:sz w:val="24"/>
          <w:szCs w:val="24"/>
          <w:lang w:eastAsia="en-ZA"/>
        </w:rPr>
        <w:footnoteReference w:id="4"/>
      </w:r>
      <w:r w:rsidRPr="00953C26">
        <w:rPr>
          <w:rFonts w:ascii="Arial" w:eastAsia="Times New Roman" w:hAnsi="Arial" w:cs="Arial"/>
          <w:color w:val="000000" w:themeColor="text1"/>
          <w:sz w:val="24"/>
          <w:szCs w:val="24"/>
          <w:lang w:eastAsia="en-ZA"/>
        </w:rPr>
        <w:t xml:space="preserve"> said the following</w:t>
      </w:r>
      <w:r w:rsidR="00A3327E">
        <w:rPr>
          <w:rFonts w:ascii="Arial" w:eastAsia="Times New Roman" w:hAnsi="Arial" w:cs="Arial"/>
          <w:color w:val="000000" w:themeColor="text1"/>
          <w:sz w:val="24"/>
          <w:szCs w:val="24"/>
          <w:lang w:eastAsia="en-ZA"/>
        </w:rPr>
        <w:t xml:space="preserve"> when summarizing the requirement of personal knowledge in the case of banks</w:t>
      </w:r>
      <w:r w:rsidRPr="00953C26">
        <w:rPr>
          <w:rFonts w:ascii="Arial" w:eastAsia="Times New Roman" w:hAnsi="Arial" w:cs="Arial"/>
          <w:color w:val="000000" w:themeColor="text1"/>
          <w:sz w:val="24"/>
          <w:szCs w:val="24"/>
          <w:lang w:eastAsia="en-ZA"/>
        </w:rPr>
        <w:t>:</w:t>
      </w:r>
    </w:p>
    <w:p w:rsidR="008F4AFD" w:rsidRDefault="008F4AF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A3327E" w:rsidRDefault="008F4AFD" w:rsidP="008F4AFD">
      <w:pPr>
        <w:shd w:val="clear" w:color="auto" w:fill="FFFFFF"/>
        <w:spacing w:after="0" w:line="360" w:lineRule="auto"/>
        <w:ind w:firstLine="720"/>
        <w:jc w:val="both"/>
        <w:rPr>
          <w:rFonts w:ascii="Arial" w:eastAsia="Times New Roman" w:hAnsi="Arial" w:cs="Arial"/>
          <w:color w:val="000000" w:themeColor="text1"/>
          <w:lang w:eastAsia="en-ZA"/>
        </w:rPr>
      </w:pPr>
      <w:r>
        <w:rPr>
          <w:rFonts w:ascii="Arial" w:eastAsia="Times New Roman" w:hAnsi="Arial" w:cs="Arial"/>
          <w:color w:val="000000" w:themeColor="text1"/>
          <w:sz w:val="24"/>
          <w:szCs w:val="24"/>
          <w:lang w:eastAsia="en-ZA"/>
        </w:rPr>
        <w:t>‘</w:t>
      </w:r>
      <w:r w:rsidR="00A3327E" w:rsidRPr="003E399F">
        <w:rPr>
          <w:rFonts w:ascii="Arial" w:eastAsia="Times New Roman" w:hAnsi="Arial" w:cs="Arial"/>
          <w:color w:val="000000" w:themeColor="text1"/>
          <w:lang w:eastAsia="en-ZA"/>
        </w:rPr>
        <w:t xml:space="preserve">A legal manager at regional level who confirms that he is duly authorized to depose to the verifying affidavit and </w:t>
      </w:r>
      <w:r w:rsidR="003E399F" w:rsidRPr="003E399F">
        <w:rPr>
          <w:rFonts w:ascii="Arial" w:eastAsia="Times New Roman" w:hAnsi="Arial" w:cs="Arial"/>
          <w:color w:val="000000" w:themeColor="text1"/>
          <w:lang w:eastAsia="en-ZA"/>
        </w:rPr>
        <w:t>also confirms</w:t>
      </w:r>
      <w:r w:rsidR="00A3327E" w:rsidRPr="003E399F">
        <w:rPr>
          <w:rFonts w:ascii="Arial" w:eastAsia="Times New Roman" w:hAnsi="Arial" w:cs="Arial"/>
          <w:color w:val="000000" w:themeColor="text1"/>
          <w:lang w:eastAsia="en-ZA"/>
        </w:rPr>
        <w:t xml:space="preserve"> that the facts fall within his personal knowledge is a competent deponent as he has, by virtue of his office, access to the bank’s</w:t>
      </w:r>
      <w:r w:rsidR="003E399F" w:rsidRPr="003E399F">
        <w:rPr>
          <w:rFonts w:ascii="Arial" w:eastAsia="Times New Roman" w:hAnsi="Arial" w:cs="Arial"/>
          <w:color w:val="000000" w:themeColor="text1"/>
          <w:lang w:eastAsia="en-ZA"/>
        </w:rPr>
        <w:t xml:space="preserve"> records and qua legal manager </w:t>
      </w:r>
      <w:r w:rsidR="00A3327E" w:rsidRPr="003E399F">
        <w:rPr>
          <w:rFonts w:ascii="Arial" w:eastAsia="Times New Roman" w:hAnsi="Arial" w:cs="Arial"/>
          <w:i/>
          <w:color w:val="000000" w:themeColor="text1"/>
          <w:lang w:eastAsia="en-ZA"/>
        </w:rPr>
        <w:t>prima facie</w:t>
      </w:r>
      <w:r w:rsidR="00A3327E" w:rsidRPr="003E399F">
        <w:rPr>
          <w:rFonts w:ascii="Arial" w:eastAsia="Times New Roman" w:hAnsi="Arial" w:cs="Arial"/>
          <w:color w:val="000000" w:themeColor="text1"/>
          <w:lang w:eastAsia="en-ZA"/>
        </w:rPr>
        <w:t xml:space="preserve"> has knowledge pertaining to the conclusion of the </w:t>
      </w:r>
      <w:r>
        <w:rPr>
          <w:rFonts w:ascii="Arial" w:eastAsia="Times New Roman" w:hAnsi="Arial" w:cs="Arial"/>
          <w:color w:val="000000" w:themeColor="text1"/>
          <w:lang w:eastAsia="en-ZA"/>
        </w:rPr>
        <w:t>contract, its terms and effect.’</w:t>
      </w:r>
    </w:p>
    <w:p w:rsidR="00BE736E" w:rsidRDefault="00BE736E"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CC3C2F" w:rsidRDefault="002B3627"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 xml:space="preserve">[17] </w:t>
      </w:r>
      <w:r>
        <w:rPr>
          <w:rFonts w:ascii="Arial" w:eastAsia="Times New Roman" w:hAnsi="Arial" w:cs="Arial"/>
          <w:color w:val="000000" w:themeColor="text1"/>
          <w:sz w:val="24"/>
          <w:szCs w:val="24"/>
          <w:lang w:eastAsia="en-ZA"/>
        </w:rPr>
        <w:tab/>
      </w:r>
      <w:r w:rsidRPr="002B3627">
        <w:rPr>
          <w:rFonts w:ascii="Arial" w:eastAsia="Times New Roman" w:hAnsi="Arial" w:cs="Arial"/>
          <w:sz w:val="24"/>
          <w:szCs w:val="24"/>
          <w:lang w:eastAsia="en-ZA"/>
        </w:rPr>
        <w:t>T</w:t>
      </w:r>
      <w:r w:rsidR="00BE736E" w:rsidRPr="002B3627">
        <w:rPr>
          <w:rFonts w:ascii="Arial" w:eastAsia="Times New Roman" w:hAnsi="Arial" w:cs="Arial"/>
          <w:sz w:val="24"/>
          <w:szCs w:val="24"/>
          <w:lang w:eastAsia="en-ZA"/>
        </w:rPr>
        <w:t>he authors</w:t>
      </w:r>
      <w:r w:rsidR="00A3327E" w:rsidRPr="002B3627">
        <w:rPr>
          <w:rFonts w:ascii="Arial" w:eastAsia="Times New Roman" w:hAnsi="Arial" w:cs="Arial"/>
          <w:sz w:val="24"/>
          <w:szCs w:val="24"/>
          <w:lang w:eastAsia="en-ZA"/>
        </w:rPr>
        <w:t xml:space="preserve"> referred </w:t>
      </w:r>
      <w:r w:rsidR="00A3327E">
        <w:rPr>
          <w:rFonts w:ascii="Arial" w:eastAsia="Times New Roman" w:hAnsi="Arial" w:cs="Arial"/>
          <w:color w:val="000000" w:themeColor="text1"/>
          <w:sz w:val="24"/>
          <w:szCs w:val="24"/>
          <w:lang w:eastAsia="en-ZA"/>
        </w:rPr>
        <w:t xml:space="preserve">to </w:t>
      </w:r>
      <w:r w:rsidR="003E399F" w:rsidRPr="002C5773">
        <w:rPr>
          <w:rFonts w:ascii="Arial" w:eastAsia="Times New Roman" w:hAnsi="Arial" w:cs="Arial"/>
          <w:i/>
          <w:color w:val="000000" w:themeColor="text1"/>
          <w:sz w:val="24"/>
          <w:szCs w:val="24"/>
          <w:lang w:eastAsia="en-ZA"/>
        </w:rPr>
        <w:t>Barclays Western Bank Ltd v Bill Jonker Factory Services (Pty) Ltd</w:t>
      </w:r>
      <w:r w:rsidR="003E399F">
        <w:rPr>
          <w:rFonts w:ascii="Arial" w:eastAsia="Times New Roman" w:hAnsi="Arial" w:cs="Arial"/>
          <w:color w:val="000000" w:themeColor="text1"/>
          <w:sz w:val="24"/>
          <w:szCs w:val="24"/>
          <w:lang w:eastAsia="en-ZA"/>
        </w:rPr>
        <w:t xml:space="preserve"> 1980 1 </w:t>
      </w:r>
      <w:r w:rsidR="003E399F" w:rsidRPr="003E399F">
        <w:rPr>
          <w:rFonts w:ascii="Arial" w:eastAsia="Times New Roman" w:hAnsi="Arial" w:cs="Arial"/>
          <w:color w:val="000000" w:themeColor="text1"/>
          <w:sz w:val="24"/>
          <w:szCs w:val="24"/>
          <w:lang w:eastAsia="en-ZA"/>
        </w:rPr>
        <w:t xml:space="preserve">SA 929 (SE) and </w:t>
      </w:r>
      <w:r w:rsidR="003E399F" w:rsidRPr="001708FE">
        <w:rPr>
          <w:rFonts w:ascii="Arial" w:eastAsia="Times New Roman" w:hAnsi="Arial" w:cs="Arial"/>
          <w:i/>
          <w:color w:val="000000" w:themeColor="text1"/>
          <w:sz w:val="24"/>
          <w:szCs w:val="24"/>
          <w:lang w:eastAsia="en-ZA"/>
        </w:rPr>
        <w:t>Firstrand Bank Ltd v Carl Beck Estates (Pty) Ltd and Another</w:t>
      </w:r>
      <w:r w:rsidR="003E399F" w:rsidRPr="003E399F">
        <w:rPr>
          <w:rFonts w:ascii="Arial" w:eastAsia="Times New Roman" w:hAnsi="Arial" w:cs="Arial"/>
          <w:color w:val="000000" w:themeColor="text1"/>
          <w:sz w:val="24"/>
          <w:szCs w:val="24"/>
          <w:lang w:eastAsia="en-ZA"/>
        </w:rPr>
        <w:t xml:space="preserve"> 2009 (3) SA 384 (T).</w:t>
      </w:r>
      <w:r w:rsidR="00BE736E">
        <w:rPr>
          <w:rFonts w:ascii="Arial" w:eastAsia="Times New Roman" w:hAnsi="Arial" w:cs="Arial"/>
          <w:color w:val="000000" w:themeColor="text1"/>
          <w:sz w:val="24"/>
          <w:szCs w:val="24"/>
          <w:lang w:eastAsia="en-ZA"/>
        </w:rPr>
        <w:t xml:space="preserve"> </w:t>
      </w:r>
      <w:r w:rsidR="003E399F">
        <w:rPr>
          <w:rFonts w:ascii="Arial" w:eastAsia="Times New Roman" w:hAnsi="Arial" w:cs="Arial"/>
          <w:color w:val="000000" w:themeColor="text1"/>
          <w:sz w:val="24"/>
          <w:szCs w:val="24"/>
          <w:lang w:eastAsia="en-ZA"/>
        </w:rPr>
        <w:t>The requirement for the person making the verifying affidavit is that such person must have personal knowledge of the said transactions and must as such give detail regardin</w:t>
      </w:r>
      <w:r w:rsidR="00BE736E">
        <w:rPr>
          <w:rFonts w:ascii="Arial" w:eastAsia="Times New Roman" w:hAnsi="Arial" w:cs="Arial"/>
          <w:color w:val="000000" w:themeColor="text1"/>
          <w:sz w:val="24"/>
          <w:szCs w:val="24"/>
          <w:lang w:eastAsia="en-ZA"/>
        </w:rPr>
        <w:t xml:space="preserve">g the knowledge he or she has. </w:t>
      </w:r>
      <w:r w:rsidR="003E399F">
        <w:rPr>
          <w:rFonts w:ascii="Arial" w:eastAsia="Times New Roman" w:hAnsi="Arial" w:cs="Arial"/>
          <w:color w:val="000000" w:themeColor="text1"/>
          <w:sz w:val="24"/>
          <w:szCs w:val="24"/>
          <w:lang w:eastAsia="en-ZA"/>
        </w:rPr>
        <w:t xml:space="preserve">In this instance the court is satisfied with the explanation of the personal knowledge set out by Mr de Witt.  </w:t>
      </w:r>
    </w:p>
    <w:p w:rsidR="007E7CD7" w:rsidRDefault="007E7CD7"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7E7CD7" w:rsidRDefault="007541A7"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[18</w:t>
      </w:r>
      <w:r w:rsidR="007E7CD7">
        <w:rPr>
          <w:rFonts w:ascii="Arial" w:eastAsia="Times New Roman" w:hAnsi="Arial" w:cs="Arial"/>
          <w:color w:val="000000" w:themeColor="text1"/>
          <w:sz w:val="24"/>
          <w:szCs w:val="24"/>
          <w:lang w:eastAsia="en-ZA"/>
        </w:rPr>
        <w:t>]</w:t>
      </w:r>
      <w:r w:rsidR="007E7CD7">
        <w:rPr>
          <w:rFonts w:ascii="Arial" w:eastAsia="Times New Roman" w:hAnsi="Arial" w:cs="Arial"/>
          <w:color w:val="000000" w:themeColor="text1"/>
          <w:sz w:val="24"/>
          <w:szCs w:val="24"/>
          <w:lang w:eastAsia="en-ZA"/>
        </w:rPr>
        <w:tab/>
        <w:t xml:space="preserve">In dealing with the point </w:t>
      </w:r>
      <w:r w:rsidR="007E7CD7" w:rsidRPr="002C5773">
        <w:rPr>
          <w:rFonts w:ascii="Arial" w:eastAsia="Times New Roman" w:hAnsi="Arial" w:cs="Arial"/>
          <w:i/>
          <w:color w:val="000000" w:themeColor="text1"/>
          <w:sz w:val="24"/>
          <w:szCs w:val="24"/>
          <w:lang w:eastAsia="en-ZA"/>
        </w:rPr>
        <w:t>in limine</w:t>
      </w:r>
      <w:r w:rsidR="007E7CD7">
        <w:rPr>
          <w:rFonts w:ascii="Arial" w:eastAsia="Times New Roman" w:hAnsi="Arial" w:cs="Arial"/>
          <w:color w:val="000000" w:themeColor="text1"/>
          <w:sz w:val="24"/>
          <w:szCs w:val="24"/>
          <w:lang w:eastAsia="en-ZA"/>
        </w:rPr>
        <w:t xml:space="preserve"> raised regarding the fact that Mr. de Witt also certified the documents attached to the Particulars of Claim and deposed to the verifying affidavit rai</w:t>
      </w:r>
      <w:r w:rsidR="00BC57CF">
        <w:rPr>
          <w:rFonts w:ascii="Arial" w:eastAsia="Times New Roman" w:hAnsi="Arial" w:cs="Arial"/>
          <w:color w:val="000000" w:themeColor="text1"/>
          <w:sz w:val="24"/>
          <w:szCs w:val="24"/>
          <w:lang w:eastAsia="en-ZA"/>
        </w:rPr>
        <w:t xml:space="preserve">ses a bigger concern. </w:t>
      </w:r>
      <w:r w:rsidR="007E7CD7">
        <w:rPr>
          <w:rFonts w:ascii="Arial" w:eastAsia="Times New Roman" w:hAnsi="Arial" w:cs="Arial"/>
          <w:color w:val="000000" w:themeColor="text1"/>
          <w:sz w:val="24"/>
          <w:szCs w:val="24"/>
          <w:lang w:eastAsia="en-ZA"/>
        </w:rPr>
        <w:t xml:space="preserve">It seems that Mr. de Witt as the head of legal collections for the plaintiff has all the documents attached to </w:t>
      </w:r>
      <w:r w:rsidR="007E7CD7" w:rsidRPr="002B3627">
        <w:rPr>
          <w:rFonts w:ascii="Arial" w:eastAsia="Times New Roman" w:hAnsi="Arial" w:cs="Arial"/>
          <w:sz w:val="24"/>
          <w:szCs w:val="24"/>
          <w:lang w:eastAsia="en-ZA"/>
        </w:rPr>
        <w:t>this specific</w:t>
      </w:r>
      <w:r w:rsidRPr="002B3627">
        <w:rPr>
          <w:rFonts w:ascii="Arial" w:eastAsia="Times New Roman" w:hAnsi="Arial" w:cs="Arial"/>
          <w:sz w:val="24"/>
          <w:szCs w:val="24"/>
          <w:lang w:eastAsia="en-ZA"/>
        </w:rPr>
        <w:t xml:space="preserve"> case</w:t>
      </w:r>
      <w:r w:rsidR="007E7CD7" w:rsidRPr="002B3627">
        <w:rPr>
          <w:rFonts w:ascii="Arial" w:eastAsia="Times New Roman" w:hAnsi="Arial" w:cs="Arial"/>
          <w:sz w:val="24"/>
          <w:szCs w:val="24"/>
          <w:lang w:eastAsia="en-ZA"/>
        </w:rPr>
        <w:t xml:space="preserve"> under his personal control or available to him because of his access to the </w:t>
      </w:r>
      <w:r w:rsidRPr="002B3627">
        <w:rPr>
          <w:rFonts w:ascii="Arial" w:eastAsia="Times New Roman" w:hAnsi="Arial" w:cs="Arial"/>
          <w:sz w:val="24"/>
          <w:szCs w:val="24"/>
          <w:lang w:eastAsia="en-ZA"/>
        </w:rPr>
        <w:t xml:space="preserve">plaintiff’s computer </w:t>
      </w:r>
      <w:r>
        <w:rPr>
          <w:rFonts w:ascii="Arial" w:eastAsia="Times New Roman" w:hAnsi="Arial" w:cs="Arial"/>
          <w:color w:val="000000" w:themeColor="text1"/>
          <w:sz w:val="24"/>
          <w:szCs w:val="24"/>
          <w:lang w:eastAsia="en-ZA"/>
        </w:rPr>
        <w:t xml:space="preserve">system. </w:t>
      </w:r>
      <w:r w:rsidR="007E7CD7">
        <w:rPr>
          <w:rFonts w:ascii="Arial" w:eastAsia="Times New Roman" w:hAnsi="Arial" w:cs="Arial"/>
          <w:color w:val="000000" w:themeColor="text1"/>
          <w:sz w:val="24"/>
          <w:szCs w:val="24"/>
          <w:lang w:eastAsia="en-ZA"/>
        </w:rPr>
        <w:t xml:space="preserve">These documents belong to his employer, the plaintiff and by virtue of authority conveyed upon him in terms of the Justices of the Peace and Commissioners of Oaths act 16 of 1963 he is a Commissioner of Oaths. It is not clear whether he holds this appointment because of the fact that he is </w:t>
      </w:r>
      <w:r w:rsidR="001B247B">
        <w:rPr>
          <w:rFonts w:ascii="Arial" w:eastAsia="Times New Roman" w:hAnsi="Arial" w:cs="Arial"/>
          <w:color w:val="000000" w:themeColor="text1"/>
          <w:sz w:val="24"/>
          <w:szCs w:val="24"/>
          <w:lang w:eastAsia="en-ZA"/>
        </w:rPr>
        <w:t>an</w:t>
      </w:r>
      <w:r w:rsidR="007E7CD7">
        <w:rPr>
          <w:rFonts w:ascii="Arial" w:eastAsia="Times New Roman" w:hAnsi="Arial" w:cs="Arial"/>
          <w:color w:val="000000" w:themeColor="text1"/>
          <w:sz w:val="24"/>
          <w:szCs w:val="24"/>
          <w:lang w:eastAsia="en-ZA"/>
        </w:rPr>
        <w:t xml:space="preserve"> admitted legal practitioner or because of his employment in the bank.</w:t>
      </w:r>
    </w:p>
    <w:p w:rsidR="007E7CD7" w:rsidRDefault="007E7CD7"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DC5CFB" w:rsidRDefault="00DC5CFB"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[19</w:t>
      </w:r>
      <w:r w:rsidR="007E7CD7">
        <w:rPr>
          <w:rFonts w:ascii="Arial" w:eastAsia="Times New Roman" w:hAnsi="Arial" w:cs="Arial"/>
          <w:color w:val="000000" w:themeColor="text1"/>
          <w:sz w:val="24"/>
          <w:szCs w:val="24"/>
          <w:lang w:eastAsia="en-ZA"/>
        </w:rPr>
        <w:t>]</w:t>
      </w:r>
      <w:r w:rsidR="007E7CD7">
        <w:rPr>
          <w:rFonts w:ascii="Arial" w:eastAsia="Times New Roman" w:hAnsi="Arial" w:cs="Arial"/>
          <w:color w:val="000000" w:themeColor="text1"/>
          <w:sz w:val="24"/>
          <w:szCs w:val="24"/>
          <w:lang w:eastAsia="en-ZA"/>
        </w:rPr>
        <w:tab/>
        <w:t xml:space="preserve">The requirement of a “true copy” originates from the rules of court </w:t>
      </w:r>
      <w:r>
        <w:rPr>
          <w:rFonts w:ascii="Arial" w:eastAsia="Times New Roman" w:hAnsi="Arial" w:cs="Arial"/>
          <w:color w:val="000000" w:themeColor="text1"/>
          <w:sz w:val="24"/>
          <w:szCs w:val="24"/>
          <w:lang w:eastAsia="en-ZA"/>
        </w:rPr>
        <w:t xml:space="preserve">and specifically rule 45(7). </w:t>
      </w:r>
      <w:r w:rsidR="008444F7">
        <w:rPr>
          <w:rFonts w:ascii="Arial" w:eastAsia="Times New Roman" w:hAnsi="Arial" w:cs="Arial"/>
          <w:color w:val="000000" w:themeColor="text1"/>
          <w:sz w:val="24"/>
          <w:szCs w:val="24"/>
          <w:lang w:eastAsia="en-ZA"/>
        </w:rPr>
        <w:t xml:space="preserve">A </w:t>
      </w:r>
      <w:r w:rsidR="00960BC6">
        <w:rPr>
          <w:rFonts w:ascii="Arial" w:eastAsia="Times New Roman" w:hAnsi="Arial" w:cs="Arial"/>
          <w:color w:val="000000" w:themeColor="text1"/>
          <w:sz w:val="24"/>
          <w:szCs w:val="24"/>
          <w:lang w:eastAsia="en-ZA"/>
        </w:rPr>
        <w:t>true copy carries an inscription, usually affixed by a stamp, certifyin</w:t>
      </w:r>
      <w:r>
        <w:rPr>
          <w:rFonts w:ascii="Arial" w:eastAsia="Times New Roman" w:hAnsi="Arial" w:cs="Arial"/>
          <w:color w:val="000000" w:themeColor="text1"/>
          <w:sz w:val="24"/>
          <w:szCs w:val="24"/>
          <w:lang w:eastAsia="en-ZA"/>
        </w:rPr>
        <w:t xml:space="preserve">g the document as a true copy. </w:t>
      </w:r>
      <w:r w:rsidR="00960BC6">
        <w:rPr>
          <w:rFonts w:ascii="Arial" w:eastAsia="Times New Roman" w:hAnsi="Arial" w:cs="Arial"/>
          <w:color w:val="000000" w:themeColor="text1"/>
          <w:sz w:val="24"/>
          <w:szCs w:val="24"/>
          <w:lang w:eastAsia="en-ZA"/>
        </w:rPr>
        <w:t>This certificate is then signed by a person authorized to do so by the Justices of the Peace a</w:t>
      </w:r>
      <w:r>
        <w:rPr>
          <w:rFonts w:ascii="Arial" w:eastAsia="Times New Roman" w:hAnsi="Arial" w:cs="Arial"/>
          <w:color w:val="000000" w:themeColor="text1"/>
          <w:sz w:val="24"/>
          <w:szCs w:val="24"/>
          <w:lang w:eastAsia="en-ZA"/>
        </w:rPr>
        <w:t xml:space="preserve">nd Commissioners of Oaths act. </w:t>
      </w:r>
      <w:r w:rsidR="00960BC6">
        <w:rPr>
          <w:rFonts w:ascii="Arial" w:eastAsia="Times New Roman" w:hAnsi="Arial" w:cs="Arial"/>
          <w:color w:val="000000" w:themeColor="text1"/>
          <w:sz w:val="24"/>
          <w:szCs w:val="24"/>
          <w:lang w:eastAsia="en-ZA"/>
        </w:rPr>
        <w:t xml:space="preserve">A </w:t>
      </w:r>
      <w:r w:rsidR="008444F7" w:rsidRPr="008444F7">
        <w:rPr>
          <w:rFonts w:ascii="Arial" w:eastAsia="Times New Roman" w:hAnsi="Arial" w:cs="Arial"/>
          <w:color w:val="000000" w:themeColor="text1"/>
          <w:sz w:val="24"/>
          <w:szCs w:val="24"/>
          <w:lang w:eastAsia="en-ZA"/>
        </w:rPr>
        <w:t>certified copy is a copy (often a photocopy) of a primary document that has on it an endorsement or certificate that it is a true copy of the primary document. It does not certify that the primary document is genuine, only that it is a true copy of the primary document.</w:t>
      </w:r>
    </w:p>
    <w:p w:rsidR="00DC5CFB" w:rsidRDefault="00DC5CFB"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960BC6" w:rsidRDefault="00DC5CFB"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[20]</w:t>
      </w:r>
      <w:r>
        <w:rPr>
          <w:rFonts w:ascii="Arial" w:eastAsia="Times New Roman" w:hAnsi="Arial" w:cs="Arial"/>
          <w:color w:val="000000" w:themeColor="text1"/>
          <w:sz w:val="24"/>
          <w:szCs w:val="24"/>
          <w:lang w:eastAsia="en-ZA"/>
        </w:rPr>
        <w:tab/>
      </w:r>
      <w:r w:rsidR="00960BC6">
        <w:rPr>
          <w:rFonts w:ascii="Arial" w:eastAsia="Times New Roman" w:hAnsi="Arial" w:cs="Arial"/>
          <w:color w:val="000000" w:themeColor="text1"/>
          <w:sz w:val="24"/>
          <w:szCs w:val="24"/>
          <w:lang w:eastAsia="en-ZA"/>
        </w:rPr>
        <w:t>The purpose of the requirement that a true copy of the contract or the parts relied upon surely</w:t>
      </w:r>
      <w:r w:rsidR="006A2CFB">
        <w:rPr>
          <w:rFonts w:ascii="Arial" w:eastAsia="Times New Roman" w:hAnsi="Arial" w:cs="Arial"/>
          <w:color w:val="000000" w:themeColor="text1"/>
          <w:sz w:val="24"/>
          <w:szCs w:val="24"/>
          <w:lang w:eastAsia="en-ZA"/>
        </w:rPr>
        <w:t xml:space="preserve"> in addition also</w:t>
      </w:r>
      <w:r w:rsidR="00960BC6">
        <w:rPr>
          <w:rFonts w:ascii="Arial" w:eastAsia="Times New Roman" w:hAnsi="Arial" w:cs="Arial"/>
          <w:color w:val="000000" w:themeColor="text1"/>
          <w:sz w:val="24"/>
          <w:szCs w:val="24"/>
          <w:lang w:eastAsia="en-ZA"/>
        </w:rPr>
        <w:t xml:space="preserve"> relates to the fact that the plaintiff must be in possession of the original contract when he or she institute proceedings. </w:t>
      </w:r>
      <w:r w:rsidR="00521376">
        <w:rPr>
          <w:rFonts w:ascii="Arial" w:eastAsia="Times New Roman" w:hAnsi="Arial" w:cs="Arial"/>
          <w:color w:val="000000" w:themeColor="text1"/>
          <w:sz w:val="24"/>
          <w:szCs w:val="24"/>
          <w:lang w:eastAsia="en-ZA"/>
        </w:rPr>
        <w:t>In affixing his or her signature to the true copy with the certification, the Commissioner of Oaths indicate that he indeed saw and compared the copy with the original and it is in fact a true</w:t>
      </w:r>
      <w:r w:rsidR="006A2CFB">
        <w:rPr>
          <w:rFonts w:ascii="Arial" w:eastAsia="Times New Roman" w:hAnsi="Arial" w:cs="Arial"/>
          <w:color w:val="000000" w:themeColor="text1"/>
          <w:sz w:val="24"/>
          <w:szCs w:val="24"/>
          <w:lang w:eastAsia="en-ZA"/>
        </w:rPr>
        <w:t>, unaltered</w:t>
      </w:r>
      <w:r w:rsidR="00521376">
        <w:rPr>
          <w:rFonts w:ascii="Arial" w:eastAsia="Times New Roman" w:hAnsi="Arial" w:cs="Arial"/>
          <w:color w:val="000000" w:themeColor="text1"/>
          <w:sz w:val="24"/>
          <w:szCs w:val="24"/>
          <w:lang w:eastAsia="en-ZA"/>
        </w:rPr>
        <w:t xml:space="preserve"> copy of the said original document. </w:t>
      </w:r>
    </w:p>
    <w:p w:rsidR="002C5773" w:rsidRDefault="002C5773"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B8720D" w:rsidRDefault="00ED111A"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[21</w:t>
      </w:r>
      <w:r w:rsidR="00960BC6">
        <w:rPr>
          <w:rFonts w:ascii="Arial" w:eastAsia="Times New Roman" w:hAnsi="Arial" w:cs="Arial"/>
          <w:color w:val="000000" w:themeColor="text1"/>
          <w:sz w:val="24"/>
          <w:szCs w:val="24"/>
          <w:lang w:eastAsia="en-ZA"/>
        </w:rPr>
        <w:t>]</w:t>
      </w:r>
      <w:r w:rsidR="00960BC6">
        <w:rPr>
          <w:rFonts w:ascii="Arial" w:eastAsia="Times New Roman" w:hAnsi="Arial" w:cs="Arial"/>
          <w:color w:val="000000" w:themeColor="text1"/>
          <w:sz w:val="24"/>
          <w:szCs w:val="24"/>
          <w:lang w:eastAsia="en-ZA"/>
        </w:rPr>
        <w:tab/>
      </w:r>
      <w:r w:rsidR="00521376">
        <w:rPr>
          <w:rFonts w:ascii="Arial" w:eastAsia="Times New Roman" w:hAnsi="Arial" w:cs="Arial"/>
          <w:color w:val="000000" w:themeColor="text1"/>
          <w:sz w:val="24"/>
          <w:szCs w:val="24"/>
          <w:lang w:eastAsia="en-ZA"/>
        </w:rPr>
        <w:t>The position has changed slightly in recent years with the implementation of the elec</w:t>
      </w:r>
      <w:r>
        <w:rPr>
          <w:rFonts w:ascii="Arial" w:eastAsia="Times New Roman" w:hAnsi="Arial" w:cs="Arial"/>
          <w:color w:val="000000" w:themeColor="text1"/>
          <w:sz w:val="24"/>
          <w:szCs w:val="24"/>
          <w:lang w:eastAsia="en-ZA"/>
        </w:rPr>
        <w:t xml:space="preserve">tronic case management system. </w:t>
      </w:r>
      <w:r w:rsidR="00521376">
        <w:rPr>
          <w:rFonts w:ascii="Arial" w:eastAsia="Times New Roman" w:hAnsi="Arial" w:cs="Arial"/>
          <w:color w:val="000000" w:themeColor="text1"/>
          <w:sz w:val="24"/>
          <w:szCs w:val="24"/>
          <w:lang w:eastAsia="en-ZA"/>
        </w:rPr>
        <w:t xml:space="preserve">Currently the certified document is uploaded on the system and form part of the electronic documents </w:t>
      </w:r>
      <w:r w:rsidR="002C5773">
        <w:rPr>
          <w:rFonts w:ascii="Arial" w:eastAsia="Times New Roman" w:hAnsi="Arial" w:cs="Arial"/>
          <w:color w:val="000000" w:themeColor="text1"/>
          <w:sz w:val="24"/>
          <w:szCs w:val="24"/>
          <w:lang w:eastAsia="en-ZA"/>
        </w:rPr>
        <w:t>attached to the case and</w:t>
      </w:r>
      <w:r>
        <w:rPr>
          <w:rFonts w:ascii="Arial" w:eastAsia="Times New Roman" w:hAnsi="Arial" w:cs="Arial"/>
          <w:color w:val="000000" w:themeColor="text1"/>
          <w:sz w:val="24"/>
          <w:szCs w:val="24"/>
          <w:lang w:eastAsia="en-ZA"/>
        </w:rPr>
        <w:t xml:space="preserve"> can be viewed electronically. </w:t>
      </w:r>
      <w:r w:rsidR="002C5773">
        <w:rPr>
          <w:rFonts w:ascii="Arial" w:eastAsia="Times New Roman" w:hAnsi="Arial" w:cs="Arial"/>
          <w:color w:val="000000" w:themeColor="text1"/>
          <w:sz w:val="24"/>
          <w:szCs w:val="24"/>
          <w:lang w:eastAsia="en-ZA"/>
        </w:rPr>
        <w:t>This however does not override rule 45(7) that it must be a certified copy and as such, the document must be available to indee</w:t>
      </w:r>
      <w:r>
        <w:rPr>
          <w:rFonts w:ascii="Arial" w:eastAsia="Times New Roman" w:hAnsi="Arial" w:cs="Arial"/>
          <w:color w:val="000000" w:themeColor="text1"/>
          <w:sz w:val="24"/>
          <w:szCs w:val="24"/>
          <w:lang w:eastAsia="en-ZA"/>
        </w:rPr>
        <w:t xml:space="preserve">d show that it is such a copy. </w:t>
      </w:r>
      <w:r w:rsidR="002C5773">
        <w:rPr>
          <w:rFonts w:ascii="Arial" w:eastAsia="Times New Roman" w:hAnsi="Arial" w:cs="Arial"/>
          <w:color w:val="000000" w:themeColor="text1"/>
          <w:sz w:val="24"/>
          <w:szCs w:val="24"/>
          <w:lang w:eastAsia="en-ZA"/>
        </w:rPr>
        <w:t>In matrimonial proceedings a similar arrangement is present with the certified copy of the marriage certificate that is upl</w:t>
      </w:r>
      <w:r>
        <w:rPr>
          <w:rFonts w:ascii="Arial" w:eastAsia="Times New Roman" w:hAnsi="Arial" w:cs="Arial"/>
          <w:color w:val="000000" w:themeColor="text1"/>
          <w:sz w:val="24"/>
          <w:szCs w:val="24"/>
          <w:lang w:eastAsia="en-ZA"/>
        </w:rPr>
        <w:t>oaded on the electronic system.</w:t>
      </w:r>
      <w:r w:rsidR="002C5773">
        <w:rPr>
          <w:rFonts w:ascii="Arial" w:eastAsia="Times New Roman" w:hAnsi="Arial" w:cs="Arial"/>
          <w:color w:val="000000" w:themeColor="text1"/>
          <w:sz w:val="24"/>
          <w:szCs w:val="24"/>
          <w:lang w:eastAsia="en-ZA"/>
        </w:rPr>
        <w:t xml:space="preserve"> In matrimonial proceedings the original marriage certificate is produced during court proceedings for comparison to the document that it uploaded.</w:t>
      </w:r>
    </w:p>
    <w:p w:rsidR="00B8720D" w:rsidRDefault="00B8720D"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960BC6" w:rsidRDefault="00ED111A"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[22</w:t>
      </w:r>
      <w:r w:rsidR="00B8720D">
        <w:rPr>
          <w:rFonts w:ascii="Arial" w:eastAsia="Times New Roman" w:hAnsi="Arial" w:cs="Arial"/>
          <w:color w:val="000000" w:themeColor="text1"/>
          <w:sz w:val="24"/>
          <w:szCs w:val="24"/>
          <w:lang w:eastAsia="en-ZA"/>
        </w:rPr>
        <w:t>]</w:t>
      </w:r>
      <w:r w:rsidR="00B8720D">
        <w:rPr>
          <w:rFonts w:ascii="Arial" w:eastAsia="Times New Roman" w:hAnsi="Arial" w:cs="Arial"/>
          <w:color w:val="000000" w:themeColor="text1"/>
          <w:sz w:val="24"/>
          <w:szCs w:val="24"/>
          <w:lang w:eastAsia="en-ZA"/>
        </w:rPr>
        <w:tab/>
      </w:r>
      <w:r w:rsidR="00810E66">
        <w:rPr>
          <w:rFonts w:ascii="Arial" w:eastAsia="Times New Roman" w:hAnsi="Arial" w:cs="Arial"/>
          <w:color w:val="000000" w:themeColor="text1"/>
          <w:sz w:val="24"/>
          <w:szCs w:val="24"/>
          <w:lang w:eastAsia="en-ZA"/>
        </w:rPr>
        <w:t xml:space="preserve">When uploading documents on the system however, legal practitioners should take care that the whole document is properly scanned and legible. In the current instance it is for example impossible to read the content of the List of Registered Items, which was also attached to the summons to proof that a Final Notices of Demand were </w:t>
      </w:r>
      <w:r>
        <w:rPr>
          <w:rFonts w:ascii="Arial" w:eastAsia="Times New Roman" w:hAnsi="Arial" w:cs="Arial"/>
          <w:color w:val="000000" w:themeColor="text1"/>
          <w:sz w:val="24"/>
          <w:szCs w:val="24"/>
          <w:lang w:eastAsia="en-ZA"/>
        </w:rPr>
        <w:t xml:space="preserve">indeed sent to the Defendants. </w:t>
      </w:r>
      <w:r w:rsidR="00810E66">
        <w:rPr>
          <w:rFonts w:ascii="Arial" w:eastAsia="Times New Roman" w:hAnsi="Arial" w:cs="Arial"/>
          <w:color w:val="000000" w:themeColor="text1"/>
          <w:sz w:val="24"/>
          <w:szCs w:val="24"/>
          <w:lang w:eastAsia="en-ZA"/>
        </w:rPr>
        <w:t xml:space="preserve">The quality of this document was questioned by the court during the proceedings and the legal </w:t>
      </w:r>
      <w:r w:rsidR="00B8720D">
        <w:rPr>
          <w:rFonts w:ascii="Arial" w:eastAsia="Times New Roman" w:hAnsi="Arial" w:cs="Arial"/>
          <w:color w:val="000000" w:themeColor="text1"/>
          <w:sz w:val="24"/>
          <w:szCs w:val="24"/>
          <w:lang w:eastAsia="en-ZA"/>
        </w:rPr>
        <w:t>practitioners of the plaintiff were</w:t>
      </w:r>
      <w:r w:rsidR="00810E66">
        <w:rPr>
          <w:rFonts w:ascii="Arial" w:eastAsia="Times New Roman" w:hAnsi="Arial" w:cs="Arial"/>
          <w:color w:val="000000" w:themeColor="text1"/>
          <w:sz w:val="24"/>
          <w:szCs w:val="24"/>
          <w:lang w:eastAsia="en-ZA"/>
        </w:rPr>
        <w:t xml:space="preserve"> not in possession </w:t>
      </w:r>
      <w:r>
        <w:rPr>
          <w:rFonts w:ascii="Arial" w:eastAsia="Times New Roman" w:hAnsi="Arial" w:cs="Arial"/>
          <w:color w:val="000000" w:themeColor="text1"/>
          <w:sz w:val="24"/>
          <w:szCs w:val="24"/>
          <w:lang w:eastAsia="en-ZA"/>
        </w:rPr>
        <w:t xml:space="preserve">of the original document. </w:t>
      </w:r>
      <w:r w:rsidR="00810E66">
        <w:rPr>
          <w:rFonts w:ascii="Arial" w:eastAsia="Times New Roman" w:hAnsi="Arial" w:cs="Arial"/>
          <w:color w:val="000000" w:themeColor="text1"/>
          <w:sz w:val="24"/>
          <w:szCs w:val="24"/>
          <w:lang w:eastAsia="en-ZA"/>
        </w:rPr>
        <w:t>In term</w:t>
      </w:r>
      <w:r>
        <w:rPr>
          <w:rFonts w:ascii="Arial" w:eastAsia="Times New Roman" w:hAnsi="Arial" w:cs="Arial"/>
          <w:color w:val="000000" w:themeColor="text1"/>
          <w:sz w:val="24"/>
          <w:szCs w:val="24"/>
          <w:lang w:eastAsia="en-ZA"/>
        </w:rPr>
        <w:t>s of the defense raised by the first and s</w:t>
      </w:r>
      <w:r w:rsidR="00810E66">
        <w:rPr>
          <w:rFonts w:ascii="Arial" w:eastAsia="Times New Roman" w:hAnsi="Arial" w:cs="Arial"/>
          <w:color w:val="000000" w:themeColor="text1"/>
          <w:sz w:val="24"/>
          <w:szCs w:val="24"/>
          <w:lang w:eastAsia="en-ZA"/>
        </w:rPr>
        <w:t>econ</w:t>
      </w:r>
      <w:r>
        <w:rPr>
          <w:rFonts w:ascii="Arial" w:eastAsia="Times New Roman" w:hAnsi="Arial" w:cs="Arial"/>
          <w:color w:val="000000" w:themeColor="text1"/>
          <w:sz w:val="24"/>
          <w:szCs w:val="24"/>
          <w:lang w:eastAsia="en-ZA"/>
        </w:rPr>
        <w:t>d d</w:t>
      </w:r>
      <w:r w:rsidR="00B8720D">
        <w:rPr>
          <w:rFonts w:ascii="Arial" w:eastAsia="Times New Roman" w:hAnsi="Arial" w:cs="Arial"/>
          <w:color w:val="000000" w:themeColor="text1"/>
          <w:sz w:val="24"/>
          <w:szCs w:val="24"/>
          <w:lang w:eastAsia="en-ZA"/>
        </w:rPr>
        <w:t xml:space="preserve">efendant as a </w:t>
      </w:r>
      <w:r w:rsidR="00B8720D" w:rsidRPr="00B8720D">
        <w:rPr>
          <w:rFonts w:ascii="Arial" w:eastAsia="Times New Roman" w:hAnsi="Arial" w:cs="Arial"/>
          <w:i/>
          <w:color w:val="000000" w:themeColor="text1"/>
          <w:sz w:val="24"/>
          <w:szCs w:val="24"/>
          <w:lang w:eastAsia="en-ZA"/>
        </w:rPr>
        <w:t>lex commissoria</w:t>
      </w:r>
      <w:r w:rsidR="00B8720D">
        <w:rPr>
          <w:rFonts w:ascii="Arial" w:eastAsia="Times New Roman" w:hAnsi="Arial" w:cs="Arial"/>
          <w:i/>
          <w:color w:val="000000" w:themeColor="text1"/>
          <w:sz w:val="24"/>
          <w:szCs w:val="24"/>
          <w:lang w:eastAsia="en-ZA"/>
        </w:rPr>
        <w:t>,</w:t>
      </w:r>
      <w:r w:rsidR="00B8720D">
        <w:rPr>
          <w:rFonts w:ascii="Arial" w:eastAsia="Times New Roman" w:hAnsi="Arial" w:cs="Arial"/>
          <w:color w:val="000000" w:themeColor="text1"/>
          <w:sz w:val="24"/>
          <w:szCs w:val="24"/>
          <w:lang w:eastAsia="en-ZA"/>
        </w:rPr>
        <w:t xml:space="preserve"> the time frame when these reminders were sent became of importance clause 14.4.2.1 contain</w:t>
      </w:r>
      <w:r>
        <w:rPr>
          <w:rFonts w:ascii="Arial" w:eastAsia="Times New Roman" w:hAnsi="Arial" w:cs="Arial"/>
          <w:color w:val="000000" w:themeColor="text1"/>
          <w:sz w:val="24"/>
          <w:szCs w:val="24"/>
          <w:lang w:eastAsia="en-ZA"/>
        </w:rPr>
        <w:t>ed in the contract between the p</w:t>
      </w:r>
      <w:r w:rsidR="00B8720D">
        <w:rPr>
          <w:rFonts w:ascii="Arial" w:eastAsia="Times New Roman" w:hAnsi="Arial" w:cs="Arial"/>
          <w:color w:val="000000" w:themeColor="text1"/>
          <w:sz w:val="24"/>
          <w:szCs w:val="24"/>
          <w:lang w:eastAsia="en-ZA"/>
        </w:rPr>
        <w:t xml:space="preserve">laintiff and the </w:t>
      </w:r>
      <w:r>
        <w:rPr>
          <w:rFonts w:ascii="Arial" w:eastAsia="Times New Roman" w:hAnsi="Arial" w:cs="Arial"/>
          <w:color w:val="000000" w:themeColor="text1"/>
          <w:sz w:val="24"/>
          <w:szCs w:val="24"/>
          <w:lang w:eastAsia="en-ZA"/>
        </w:rPr>
        <w:t>f</w:t>
      </w:r>
      <w:r w:rsidR="00B8720D">
        <w:rPr>
          <w:rFonts w:ascii="Arial" w:eastAsia="Times New Roman" w:hAnsi="Arial" w:cs="Arial"/>
          <w:color w:val="000000" w:themeColor="text1"/>
          <w:sz w:val="24"/>
          <w:szCs w:val="24"/>
          <w:lang w:eastAsia="en-ZA"/>
        </w:rPr>
        <w:t>ir</w:t>
      </w:r>
      <w:r>
        <w:rPr>
          <w:rFonts w:ascii="Arial" w:eastAsia="Times New Roman" w:hAnsi="Arial" w:cs="Arial"/>
          <w:color w:val="000000" w:themeColor="text1"/>
          <w:sz w:val="24"/>
          <w:szCs w:val="24"/>
          <w:lang w:eastAsia="en-ZA"/>
        </w:rPr>
        <w:t>st d</w:t>
      </w:r>
      <w:r w:rsidR="00B8720D">
        <w:rPr>
          <w:rFonts w:ascii="Arial" w:eastAsia="Times New Roman" w:hAnsi="Arial" w:cs="Arial"/>
          <w:color w:val="000000" w:themeColor="text1"/>
          <w:sz w:val="24"/>
          <w:szCs w:val="24"/>
          <w:lang w:eastAsia="en-ZA"/>
        </w:rPr>
        <w:t>efendant reads that</w:t>
      </w:r>
      <w:r w:rsidR="008F4AFD">
        <w:rPr>
          <w:rFonts w:ascii="Arial" w:eastAsia="Times New Roman" w:hAnsi="Arial" w:cs="Arial"/>
          <w:color w:val="000000" w:themeColor="text1"/>
          <w:sz w:val="24"/>
          <w:szCs w:val="24"/>
          <w:lang w:eastAsia="en-ZA"/>
        </w:rPr>
        <w:t xml:space="preserve">: </w:t>
      </w:r>
    </w:p>
    <w:p w:rsidR="00C8680B" w:rsidRDefault="00C8680B"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B8720D" w:rsidRPr="00B8720D" w:rsidRDefault="008F4AFD" w:rsidP="008F4AFD">
      <w:pPr>
        <w:shd w:val="clear" w:color="auto" w:fill="FFFFFF"/>
        <w:spacing w:after="0" w:line="360" w:lineRule="auto"/>
        <w:ind w:firstLine="720"/>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w:t>
      </w:r>
      <w:r w:rsidR="00B8720D" w:rsidRPr="00B8720D">
        <w:rPr>
          <w:rFonts w:ascii="Arial" w:eastAsia="Times New Roman" w:hAnsi="Arial" w:cs="Arial"/>
          <w:color w:val="000000" w:themeColor="text1"/>
          <w:lang w:eastAsia="en-ZA"/>
        </w:rPr>
        <w:t>any correspondence shall be deemed to have been given, if posted by pre-paid registered post , 10 (ten) Business days aft</w:t>
      </w:r>
      <w:r>
        <w:rPr>
          <w:rFonts w:ascii="Arial" w:eastAsia="Times New Roman" w:hAnsi="Arial" w:cs="Arial"/>
          <w:color w:val="000000" w:themeColor="text1"/>
          <w:lang w:eastAsia="en-ZA"/>
        </w:rPr>
        <w:t>er the date of posting thereof.’</w:t>
      </w:r>
    </w:p>
    <w:p w:rsidR="002C5773" w:rsidRDefault="002C5773"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2C5773" w:rsidRDefault="00ED111A"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[23</w:t>
      </w:r>
      <w:r w:rsidR="002C5773">
        <w:rPr>
          <w:rFonts w:ascii="Arial" w:eastAsia="Times New Roman" w:hAnsi="Arial" w:cs="Arial"/>
          <w:color w:val="000000" w:themeColor="text1"/>
          <w:sz w:val="24"/>
          <w:szCs w:val="24"/>
          <w:lang w:eastAsia="en-ZA"/>
        </w:rPr>
        <w:t>]</w:t>
      </w:r>
      <w:r w:rsidR="002C5773">
        <w:rPr>
          <w:rFonts w:ascii="Arial" w:eastAsia="Times New Roman" w:hAnsi="Arial" w:cs="Arial"/>
          <w:color w:val="000000" w:themeColor="text1"/>
          <w:sz w:val="24"/>
          <w:szCs w:val="24"/>
          <w:lang w:eastAsia="en-ZA"/>
        </w:rPr>
        <w:tab/>
        <w:t xml:space="preserve">In terms of regulations published under the </w:t>
      </w:r>
      <w:r w:rsidR="002C5773" w:rsidRPr="002C5773">
        <w:rPr>
          <w:rFonts w:ascii="Arial" w:eastAsia="Times New Roman" w:hAnsi="Arial" w:cs="Arial"/>
          <w:color w:val="000000" w:themeColor="text1"/>
          <w:sz w:val="24"/>
          <w:szCs w:val="24"/>
          <w:lang w:eastAsia="en-ZA"/>
        </w:rPr>
        <w:t>Justices of the Peac</w:t>
      </w:r>
      <w:r w:rsidR="002C5773">
        <w:rPr>
          <w:rFonts w:ascii="Arial" w:eastAsia="Times New Roman" w:hAnsi="Arial" w:cs="Arial"/>
          <w:color w:val="000000" w:themeColor="text1"/>
          <w:sz w:val="24"/>
          <w:szCs w:val="24"/>
          <w:lang w:eastAsia="en-ZA"/>
        </w:rPr>
        <w:t xml:space="preserve">e and Commissioners of Oaths Act, Regulation R 1258 </w:t>
      </w:r>
      <w:r w:rsidR="00BC57CF">
        <w:rPr>
          <w:rFonts w:ascii="Arial" w:eastAsia="Times New Roman" w:hAnsi="Arial" w:cs="Arial"/>
          <w:color w:val="000000" w:themeColor="text1"/>
          <w:sz w:val="24"/>
          <w:szCs w:val="24"/>
          <w:lang w:eastAsia="en-ZA"/>
        </w:rPr>
        <w:t>published</w:t>
      </w:r>
      <w:r w:rsidR="002C5773">
        <w:rPr>
          <w:rFonts w:ascii="Arial" w:eastAsia="Times New Roman" w:hAnsi="Arial" w:cs="Arial"/>
          <w:color w:val="000000" w:themeColor="text1"/>
          <w:sz w:val="24"/>
          <w:szCs w:val="24"/>
          <w:lang w:eastAsia="en-ZA"/>
        </w:rPr>
        <w:t xml:space="preserve"> on 21 July 1973 with the title Regulations Governing the Administrating of an Oath or Affirmation under regulation 7 specifically reads that “</w:t>
      </w:r>
      <w:r w:rsidR="002C5773" w:rsidRPr="002C5773">
        <w:rPr>
          <w:rFonts w:ascii="Arial" w:eastAsia="Times New Roman" w:hAnsi="Arial" w:cs="Arial"/>
          <w:color w:val="000000" w:themeColor="text1"/>
          <w:lang w:eastAsia="en-ZA"/>
        </w:rPr>
        <w:t>A commissioner of oaths shall not administer an oath or affirmation relating to a matter in which he has an interest.”</w:t>
      </w:r>
      <w:r w:rsidR="00944942">
        <w:rPr>
          <w:rFonts w:ascii="Arial" w:eastAsia="Times New Roman" w:hAnsi="Arial" w:cs="Arial"/>
          <w:color w:val="000000" w:themeColor="text1"/>
          <w:sz w:val="24"/>
          <w:szCs w:val="24"/>
          <w:lang w:eastAsia="en-ZA"/>
        </w:rPr>
        <w:t xml:space="preserve"> </w:t>
      </w:r>
      <w:r w:rsidR="002C5773">
        <w:rPr>
          <w:rFonts w:ascii="Arial" w:eastAsia="Times New Roman" w:hAnsi="Arial" w:cs="Arial"/>
          <w:color w:val="000000" w:themeColor="text1"/>
          <w:sz w:val="24"/>
          <w:szCs w:val="24"/>
          <w:lang w:eastAsia="en-ZA"/>
        </w:rPr>
        <w:t xml:space="preserve">There is however no regulations made specifically regarding the certification of documents. I agree with the arguments put forward by the first and second respondents that this should be indeed the position when certifying </w:t>
      </w:r>
      <w:r w:rsidR="002C5773" w:rsidRPr="002B3627">
        <w:rPr>
          <w:rFonts w:ascii="Arial" w:eastAsia="Times New Roman" w:hAnsi="Arial" w:cs="Arial"/>
          <w:sz w:val="24"/>
          <w:szCs w:val="24"/>
          <w:lang w:eastAsia="en-ZA"/>
        </w:rPr>
        <w:t xml:space="preserve">documents </w:t>
      </w:r>
      <w:r w:rsidR="00944942" w:rsidRPr="002B3627">
        <w:rPr>
          <w:rFonts w:ascii="Arial" w:eastAsia="Times New Roman" w:hAnsi="Arial" w:cs="Arial"/>
          <w:sz w:val="24"/>
          <w:szCs w:val="24"/>
          <w:lang w:eastAsia="en-ZA"/>
        </w:rPr>
        <w:t>too</w:t>
      </w:r>
      <w:r w:rsidR="002C5773" w:rsidRPr="002B3627">
        <w:rPr>
          <w:rFonts w:ascii="Arial" w:eastAsia="Times New Roman" w:hAnsi="Arial" w:cs="Arial"/>
          <w:sz w:val="24"/>
          <w:szCs w:val="24"/>
          <w:lang w:eastAsia="en-ZA"/>
        </w:rPr>
        <w:t xml:space="preserve">.  </w:t>
      </w:r>
      <w:r w:rsidR="002C5773">
        <w:rPr>
          <w:rFonts w:ascii="Arial" w:eastAsia="Times New Roman" w:hAnsi="Arial" w:cs="Arial"/>
          <w:color w:val="000000" w:themeColor="text1"/>
          <w:sz w:val="24"/>
          <w:szCs w:val="24"/>
          <w:lang w:eastAsia="en-ZA"/>
        </w:rPr>
        <w:t>You cannot certify</w:t>
      </w:r>
      <w:r w:rsidR="00654D74">
        <w:rPr>
          <w:rFonts w:ascii="Arial" w:eastAsia="Times New Roman" w:hAnsi="Arial" w:cs="Arial"/>
          <w:color w:val="000000" w:themeColor="text1"/>
          <w:sz w:val="24"/>
          <w:szCs w:val="24"/>
          <w:lang w:eastAsia="en-ZA"/>
        </w:rPr>
        <w:t xml:space="preserve"> a document in which you have an </w:t>
      </w:r>
      <w:r w:rsidR="00533EEF">
        <w:rPr>
          <w:rFonts w:ascii="Arial" w:eastAsia="Times New Roman" w:hAnsi="Arial" w:cs="Arial"/>
          <w:color w:val="000000" w:themeColor="text1"/>
          <w:sz w:val="24"/>
          <w:szCs w:val="24"/>
          <w:lang w:eastAsia="en-ZA"/>
        </w:rPr>
        <w:t>interest;</w:t>
      </w:r>
      <w:r w:rsidR="00654D74">
        <w:rPr>
          <w:rFonts w:ascii="Arial" w:eastAsia="Times New Roman" w:hAnsi="Arial" w:cs="Arial"/>
          <w:color w:val="000000" w:themeColor="text1"/>
          <w:sz w:val="24"/>
          <w:szCs w:val="24"/>
          <w:lang w:eastAsia="en-ZA"/>
        </w:rPr>
        <w:t xml:space="preserve"> it is simply </w:t>
      </w:r>
      <w:r w:rsidR="00654D74">
        <w:rPr>
          <w:rFonts w:ascii="Arial" w:eastAsia="Times New Roman" w:hAnsi="Arial" w:cs="Arial"/>
          <w:color w:val="000000" w:themeColor="text1"/>
          <w:sz w:val="24"/>
          <w:szCs w:val="24"/>
          <w:lang w:eastAsia="en-ZA"/>
        </w:rPr>
        <w:lastRenderedPageBreak/>
        <w:t>not ethical, similarly to the position that you cannot commission a statement in a matter where you have interest in.</w:t>
      </w:r>
    </w:p>
    <w:p w:rsidR="001B247B" w:rsidRDefault="001B247B"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1B247B" w:rsidRDefault="00944942" w:rsidP="001B247B">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[24</w:t>
      </w:r>
      <w:r w:rsidR="001B247B">
        <w:rPr>
          <w:rFonts w:ascii="Arial" w:eastAsia="Times New Roman" w:hAnsi="Arial" w:cs="Arial"/>
          <w:color w:val="000000" w:themeColor="text1"/>
          <w:sz w:val="24"/>
          <w:szCs w:val="24"/>
          <w:lang w:eastAsia="en-ZA"/>
        </w:rPr>
        <w:t>]</w:t>
      </w:r>
      <w:r w:rsidR="001B247B">
        <w:rPr>
          <w:rFonts w:ascii="Arial" w:eastAsia="Times New Roman" w:hAnsi="Arial" w:cs="Arial"/>
          <w:color w:val="000000" w:themeColor="text1"/>
          <w:sz w:val="24"/>
          <w:szCs w:val="24"/>
          <w:lang w:eastAsia="en-ZA"/>
        </w:rPr>
        <w:tab/>
      </w:r>
      <w:r w:rsidR="001B247B" w:rsidRPr="001B247B">
        <w:rPr>
          <w:rFonts w:ascii="Arial" w:eastAsia="Times New Roman" w:hAnsi="Arial" w:cs="Arial"/>
          <w:color w:val="000000" w:themeColor="text1"/>
          <w:sz w:val="24"/>
          <w:szCs w:val="24"/>
          <w:lang w:eastAsia="en-ZA"/>
        </w:rPr>
        <w:t xml:space="preserve">In </w:t>
      </w:r>
      <w:r w:rsidR="001B247B" w:rsidRPr="001B247B">
        <w:rPr>
          <w:rFonts w:ascii="Arial" w:eastAsia="Times New Roman" w:hAnsi="Arial" w:cs="Arial"/>
          <w:i/>
          <w:color w:val="000000" w:themeColor="text1"/>
          <w:sz w:val="24"/>
          <w:szCs w:val="24"/>
          <w:lang w:eastAsia="en-ZA"/>
        </w:rPr>
        <w:t>Dyani v Minister of Safety and Security and Others</w:t>
      </w:r>
      <w:r w:rsidR="001B247B">
        <w:rPr>
          <w:rStyle w:val="FootnoteReference"/>
          <w:rFonts w:ascii="Arial" w:eastAsia="Times New Roman" w:hAnsi="Arial" w:cs="Arial"/>
          <w:i/>
          <w:color w:val="000000" w:themeColor="text1"/>
          <w:sz w:val="24"/>
          <w:szCs w:val="24"/>
          <w:lang w:eastAsia="en-ZA"/>
        </w:rPr>
        <w:footnoteReference w:id="5"/>
      </w:r>
      <w:r w:rsidR="001B247B" w:rsidRPr="001B247B">
        <w:rPr>
          <w:rFonts w:ascii="Arial" w:eastAsia="Times New Roman" w:hAnsi="Arial" w:cs="Arial"/>
          <w:color w:val="000000" w:themeColor="text1"/>
          <w:sz w:val="24"/>
          <w:szCs w:val="24"/>
          <w:lang w:eastAsia="en-ZA"/>
        </w:rPr>
        <w:t xml:space="preserve"> the following is stated in paragraphs [19] and [20]:</w:t>
      </w:r>
    </w:p>
    <w:p w:rsidR="008F4AFD" w:rsidRPr="001B247B" w:rsidRDefault="008F4AFD" w:rsidP="001B247B">
      <w:pPr>
        <w:shd w:val="clear" w:color="auto" w:fill="FFFFFF"/>
        <w:spacing w:after="0" w:line="360" w:lineRule="auto"/>
        <w:jc w:val="both"/>
        <w:rPr>
          <w:rFonts w:ascii="Arial" w:eastAsia="Times New Roman" w:hAnsi="Arial" w:cs="Arial"/>
          <w:color w:val="000000" w:themeColor="text1"/>
          <w:sz w:val="24"/>
          <w:szCs w:val="24"/>
          <w:lang w:eastAsia="en-ZA"/>
        </w:rPr>
      </w:pPr>
    </w:p>
    <w:p w:rsidR="001B247B" w:rsidRPr="00533EEF" w:rsidRDefault="008F4AFD" w:rsidP="008F4AFD">
      <w:pPr>
        <w:shd w:val="clear" w:color="auto" w:fill="FFFFFF"/>
        <w:spacing w:after="0" w:line="360" w:lineRule="auto"/>
        <w:ind w:firstLine="720"/>
        <w:jc w:val="both"/>
        <w:rPr>
          <w:rFonts w:ascii="Arial" w:eastAsia="Times New Roman" w:hAnsi="Arial" w:cs="Arial"/>
          <w:i/>
          <w:color w:val="000000" w:themeColor="text1"/>
          <w:lang w:eastAsia="en-ZA"/>
        </w:rPr>
      </w:pPr>
      <w:r>
        <w:rPr>
          <w:rFonts w:ascii="Arial" w:eastAsia="Times New Roman" w:hAnsi="Arial" w:cs="Arial"/>
          <w:color w:val="000000" w:themeColor="text1"/>
          <w:sz w:val="24"/>
          <w:szCs w:val="24"/>
          <w:lang w:eastAsia="en-ZA"/>
        </w:rPr>
        <w:t>‘</w:t>
      </w:r>
      <w:r w:rsidR="001B247B" w:rsidRPr="001B247B">
        <w:rPr>
          <w:rFonts w:ascii="Arial" w:eastAsia="Times New Roman" w:hAnsi="Arial" w:cs="Arial"/>
          <w:color w:val="000000" w:themeColor="text1"/>
          <w:lang w:eastAsia="en-ZA"/>
        </w:rPr>
        <w:t xml:space="preserve">[19] Mr Lusu objected to the use of such affidavits in these proceedings on the ground that they were not properly attested as the commissioners of oath were all employees of first respondent and could not have been independent and impartial in relation to the subject-matter. Reliance for this submission was based on the cases of </w:t>
      </w:r>
      <w:r w:rsidR="001B247B" w:rsidRPr="00533EEF">
        <w:rPr>
          <w:rFonts w:ascii="Arial" w:eastAsia="Times New Roman" w:hAnsi="Arial" w:cs="Arial"/>
          <w:i/>
          <w:color w:val="000000" w:themeColor="text1"/>
          <w:lang w:eastAsia="en-ZA"/>
        </w:rPr>
        <w:t>R v Brummer 1952 (4) SA 437 (T); Master v</w:t>
      </w:r>
      <w:r w:rsidR="00533EEF" w:rsidRPr="00533EEF">
        <w:rPr>
          <w:rFonts w:ascii="Arial" w:eastAsia="Times New Roman" w:hAnsi="Arial" w:cs="Arial"/>
          <w:i/>
          <w:color w:val="000000" w:themeColor="text1"/>
          <w:lang w:eastAsia="en-ZA"/>
        </w:rPr>
        <w:t xml:space="preserve"> Benjamin NO 1955 (4) SA 14 (T) </w:t>
      </w:r>
      <w:r w:rsidR="001B247B" w:rsidRPr="00533EEF">
        <w:rPr>
          <w:rFonts w:ascii="Arial" w:eastAsia="Times New Roman" w:hAnsi="Arial" w:cs="Arial"/>
          <w:i/>
          <w:color w:val="000000" w:themeColor="text1"/>
          <w:lang w:eastAsia="en-ZA"/>
        </w:rPr>
        <w:t>and Radue Weir Holdings v Galleus Investments CC 1998 (3) SA 677 (E).</w:t>
      </w:r>
    </w:p>
    <w:p w:rsidR="001B247B" w:rsidRPr="001B247B" w:rsidRDefault="001B247B" w:rsidP="001B247B">
      <w:pPr>
        <w:shd w:val="clear" w:color="auto" w:fill="FFFFFF"/>
        <w:spacing w:after="0" w:line="360" w:lineRule="auto"/>
        <w:jc w:val="both"/>
        <w:rPr>
          <w:rFonts w:ascii="Arial" w:eastAsia="Times New Roman" w:hAnsi="Arial" w:cs="Arial"/>
          <w:color w:val="000000" w:themeColor="text1"/>
          <w:lang w:eastAsia="en-ZA"/>
        </w:rPr>
      </w:pPr>
    </w:p>
    <w:p w:rsidR="001B247B" w:rsidRDefault="001B247B" w:rsidP="001B247B">
      <w:pPr>
        <w:shd w:val="clear" w:color="auto" w:fill="FFFFFF"/>
        <w:spacing w:after="0" w:line="360" w:lineRule="auto"/>
        <w:jc w:val="both"/>
        <w:rPr>
          <w:rFonts w:ascii="Arial" w:eastAsia="Times New Roman" w:hAnsi="Arial" w:cs="Arial"/>
          <w:color w:val="000000" w:themeColor="text1"/>
          <w:lang w:eastAsia="en-ZA"/>
        </w:rPr>
      </w:pPr>
      <w:r w:rsidRPr="001B247B">
        <w:rPr>
          <w:rFonts w:ascii="Arial" w:eastAsia="Times New Roman" w:hAnsi="Arial" w:cs="Arial"/>
          <w:color w:val="000000" w:themeColor="text1"/>
          <w:lang w:eastAsia="en-ZA"/>
        </w:rPr>
        <w:t xml:space="preserve">[20] </w:t>
      </w:r>
      <w:r w:rsidR="008F4AFD">
        <w:rPr>
          <w:rFonts w:ascii="Arial" w:eastAsia="Times New Roman" w:hAnsi="Arial" w:cs="Arial"/>
          <w:color w:val="000000" w:themeColor="text1"/>
          <w:lang w:eastAsia="en-ZA"/>
        </w:rPr>
        <w:tab/>
      </w:r>
      <w:r w:rsidRPr="001B247B">
        <w:rPr>
          <w:rFonts w:ascii="Arial" w:eastAsia="Times New Roman" w:hAnsi="Arial" w:cs="Arial"/>
          <w:color w:val="000000" w:themeColor="text1"/>
          <w:lang w:eastAsia="en-ZA"/>
        </w:rPr>
        <w:t>It is now settled that a commissioner of oaths is required to be independent, impartial and unbiased in relation to the subject-matter of the affid</w:t>
      </w:r>
      <w:r w:rsidR="00533EEF">
        <w:rPr>
          <w:rFonts w:ascii="Arial" w:eastAsia="Times New Roman" w:hAnsi="Arial" w:cs="Arial"/>
          <w:color w:val="000000" w:themeColor="text1"/>
          <w:lang w:eastAsia="en-ZA"/>
        </w:rPr>
        <w:t xml:space="preserve">avit brought before him for the </w:t>
      </w:r>
      <w:r w:rsidRPr="001B247B">
        <w:rPr>
          <w:rFonts w:ascii="Arial" w:eastAsia="Times New Roman" w:hAnsi="Arial" w:cs="Arial"/>
          <w:color w:val="000000" w:themeColor="text1"/>
          <w:lang w:eastAsia="en-ZA"/>
        </w:rPr>
        <w:t xml:space="preserve">purposes of having it attested (Radue Weir Holdings case supra at 680 - 1). In </w:t>
      </w:r>
      <w:r w:rsidRPr="00533EEF">
        <w:rPr>
          <w:rFonts w:ascii="Arial" w:eastAsia="Times New Roman" w:hAnsi="Arial" w:cs="Arial"/>
          <w:i/>
          <w:color w:val="000000" w:themeColor="text1"/>
          <w:lang w:eastAsia="en-ZA"/>
        </w:rPr>
        <w:t>Papenfus v Transvaal Board, Peri-Urban Areas 1969 (2) SA 66 (T</w:t>
      </w:r>
      <w:r w:rsidRPr="001B247B">
        <w:rPr>
          <w:rFonts w:ascii="Arial" w:eastAsia="Times New Roman" w:hAnsi="Arial" w:cs="Arial"/>
          <w:color w:val="000000" w:themeColor="text1"/>
          <w:lang w:eastAsia="en-ZA"/>
        </w:rPr>
        <w:t>), Marais J described the requirement in the following terms at 70B - F:</w:t>
      </w:r>
    </w:p>
    <w:p w:rsidR="008F4AFD" w:rsidRPr="001B247B" w:rsidRDefault="008F4AFD" w:rsidP="001B247B">
      <w:pPr>
        <w:shd w:val="clear" w:color="auto" w:fill="FFFFFF"/>
        <w:spacing w:after="0" w:line="360" w:lineRule="auto"/>
        <w:jc w:val="both"/>
        <w:rPr>
          <w:rFonts w:ascii="Arial" w:eastAsia="Times New Roman" w:hAnsi="Arial" w:cs="Arial"/>
          <w:color w:val="000000" w:themeColor="text1"/>
          <w:lang w:eastAsia="en-ZA"/>
        </w:rPr>
      </w:pPr>
    </w:p>
    <w:p w:rsidR="001B247B" w:rsidRPr="001B247B" w:rsidRDefault="008F4AFD" w:rsidP="001B247B">
      <w:pPr>
        <w:shd w:val="clear" w:color="auto" w:fill="FFFFFF"/>
        <w:spacing w:after="0" w:line="360" w:lineRule="auto"/>
        <w:jc w:val="both"/>
        <w:rPr>
          <w:rFonts w:ascii="Arial" w:eastAsia="Times New Roman" w:hAnsi="Arial" w:cs="Arial"/>
          <w:color w:val="000000" w:themeColor="text1"/>
          <w:lang w:eastAsia="en-ZA"/>
        </w:rPr>
      </w:pPr>
      <w:r>
        <w:rPr>
          <w:rFonts w:ascii="Arial" w:eastAsia="Times New Roman" w:hAnsi="Arial" w:cs="Arial"/>
          <w:color w:val="000000" w:themeColor="text1"/>
          <w:lang w:eastAsia="en-ZA"/>
        </w:rPr>
        <w:t>“</w:t>
      </w:r>
      <w:r w:rsidR="001B247B" w:rsidRPr="001B247B">
        <w:rPr>
          <w:rFonts w:ascii="Arial" w:eastAsia="Times New Roman" w:hAnsi="Arial" w:cs="Arial"/>
          <w:color w:val="000000" w:themeColor="text1"/>
          <w:lang w:eastAsia="en-ZA"/>
        </w:rPr>
        <w:t xml:space="preserve">[T]he commissioner of oaths should be independent of the office in which the affidavit to be attested by him is drawn. He cannot be regarded as independent if his partner, employee or employer is the draughtsman or deponent . . . it is clear that both the solemnity of the occasion and the need for complete understanding by the deponent of the import of his act require that an independent party should administer the oath and ensure compliance with the requirements of an oath. . . . So much the more it is necessary, I think, that, where a commissioner of oaths attests an affidavit at what </w:t>
      </w:r>
      <w:r w:rsidR="00533EEF" w:rsidRPr="001B247B">
        <w:rPr>
          <w:rFonts w:ascii="Arial" w:eastAsia="Times New Roman" w:hAnsi="Arial" w:cs="Arial"/>
          <w:color w:val="000000" w:themeColor="text1"/>
          <w:lang w:eastAsia="en-ZA"/>
        </w:rPr>
        <w:t>is usually</w:t>
      </w:r>
      <w:r w:rsidR="001B247B" w:rsidRPr="001B247B">
        <w:rPr>
          <w:rFonts w:ascii="Arial" w:eastAsia="Times New Roman" w:hAnsi="Arial" w:cs="Arial"/>
          <w:color w:val="000000" w:themeColor="text1"/>
          <w:lang w:eastAsia="en-ZA"/>
        </w:rPr>
        <w:t xml:space="preserve"> a private and informal occasion, the weightiness of the act should be impressed upon the deponent. This can best be done by a commissioner who regards himself as free to refuse to administer the oath if he feels either that the deponent does not fully appreciate the seriousness of the oath or that he does not unreservedly subscribe to what is contained in the statement he has to swear to.'”</w:t>
      </w:r>
    </w:p>
    <w:p w:rsidR="00654D74" w:rsidRDefault="00654D74"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654D74" w:rsidRDefault="00944942"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lastRenderedPageBreak/>
        <w:t>[25</w:t>
      </w:r>
      <w:r w:rsidR="00654D74">
        <w:rPr>
          <w:rFonts w:ascii="Arial" w:eastAsia="Times New Roman" w:hAnsi="Arial" w:cs="Arial"/>
          <w:color w:val="000000" w:themeColor="text1"/>
          <w:sz w:val="24"/>
          <w:szCs w:val="24"/>
          <w:lang w:eastAsia="en-ZA"/>
        </w:rPr>
        <w:t>]</w:t>
      </w:r>
      <w:r w:rsidR="00654D74">
        <w:rPr>
          <w:rFonts w:ascii="Arial" w:eastAsia="Times New Roman" w:hAnsi="Arial" w:cs="Arial"/>
          <w:color w:val="000000" w:themeColor="text1"/>
          <w:sz w:val="24"/>
          <w:szCs w:val="24"/>
          <w:lang w:eastAsia="en-ZA"/>
        </w:rPr>
        <w:tab/>
        <w:t>In this matter, Mr de Witt</w:t>
      </w:r>
      <w:r w:rsidR="00810E66">
        <w:rPr>
          <w:rFonts w:ascii="Arial" w:eastAsia="Times New Roman" w:hAnsi="Arial" w:cs="Arial"/>
          <w:color w:val="000000" w:themeColor="text1"/>
          <w:sz w:val="24"/>
          <w:szCs w:val="24"/>
          <w:lang w:eastAsia="en-ZA"/>
        </w:rPr>
        <w:t xml:space="preserve"> is the Head L</w:t>
      </w:r>
      <w:r>
        <w:rPr>
          <w:rFonts w:ascii="Arial" w:eastAsia="Times New Roman" w:hAnsi="Arial" w:cs="Arial"/>
          <w:color w:val="000000" w:themeColor="text1"/>
          <w:sz w:val="24"/>
          <w:szCs w:val="24"/>
          <w:lang w:eastAsia="en-ZA"/>
        </w:rPr>
        <w:t>egal Collections for the p</w:t>
      </w:r>
      <w:r w:rsidR="00810E66">
        <w:rPr>
          <w:rFonts w:ascii="Arial" w:eastAsia="Times New Roman" w:hAnsi="Arial" w:cs="Arial"/>
          <w:color w:val="000000" w:themeColor="text1"/>
          <w:sz w:val="24"/>
          <w:szCs w:val="24"/>
          <w:lang w:eastAsia="en-ZA"/>
        </w:rPr>
        <w:t>laintiff. From the inscription of the stamp used when certifying the annexures which form part of the Particulars of Claim, he is also a non-practicing legal practitioner.</w:t>
      </w:r>
      <w:r w:rsidR="00B8720D">
        <w:rPr>
          <w:rFonts w:ascii="Arial" w:eastAsia="Times New Roman" w:hAnsi="Arial" w:cs="Arial"/>
          <w:color w:val="000000" w:themeColor="text1"/>
          <w:sz w:val="24"/>
          <w:szCs w:val="24"/>
          <w:lang w:eastAsia="en-ZA"/>
        </w:rPr>
        <w:t xml:space="preserve"> In these proceedings he however carries a number of hats</w:t>
      </w:r>
      <w:r>
        <w:rPr>
          <w:rFonts w:ascii="Arial" w:eastAsia="Times New Roman" w:hAnsi="Arial" w:cs="Arial"/>
          <w:color w:val="000000" w:themeColor="text1"/>
          <w:sz w:val="24"/>
          <w:szCs w:val="24"/>
          <w:lang w:eastAsia="en-ZA"/>
        </w:rPr>
        <w:t xml:space="preserve">. </w:t>
      </w:r>
      <w:r w:rsidR="00B8720D">
        <w:rPr>
          <w:rFonts w:ascii="Arial" w:eastAsia="Times New Roman" w:hAnsi="Arial" w:cs="Arial"/>
          <w:color w:val="000000" w:themeColor="text1"/>
          <w:sz w:val="24"/>
          <w:szCs w:val="24"/>
          <w:lang w:eastAsia="en-ZA"/>
        </w:rPr>
        <w:t xml:space="preserve">He is the ex-officio Commissioner of Oaths who certified the true copies of the various contracts and sureties used in support of the </w:t>
      </w:r>
      <w:r>
        <w:rPr>
          <w:rFonts w:ascii="Arial" w:eastAsia="Times New Roman" w:hAnsi="Arial" w:cs="Arial"/>
          <w:color w:val="000000" w:themeColor="text1"/>
          <w:sz w:val="24"/>
          <w:szCs w:val="24"/>
          <w:lang w:eastAsia="en-ZA"/>
        </w:rPr>
        <w:t xml:space="preserve">claim. </w:t>
      </w:r>
      <w:r w:rsidR="00D71723">
        <w:rPr>
          <w:rFonts w:ascii="Arial" w:eastAsia="Times New Roman" w:hAnsi="Arial" w:cs="Arial"/>
          <w:color w:val="000000" w:themeColor="text1"/>
          <w:sz w:val="24"/>
          <w:szCs w:val="24"/>
          <w:lang w:eastAsia="en-ZA"/>
        </w:rPr>
        <w:t>He is also the person who issued the Balanc</w:t>
      </w:r>
      <w:r>
        <w:rPr>
          <w:rFonts w:ascii="Arial" w:eastAsia="Times New Roman" w:hAnsi="Arial" w:cs="Arial"/>
          <w:color w:val="000000" w:themeColor="text1"/>
          <w:sz w:val="24"/>
          <w:szCs w:val="24"/>
          <w:lang w:eastAsia="en-ZA"/>
        </w:rPr>
        <w:t>e Certificate on behalf of the p</w:t>
      </w:r>
      <w:r w:rsidR="00D71723">
        <w:rPr>
          <w:rFonts w:ascii="Arial" w:eastAsia="Times New Roman" w:hAnsi="Arial" w:cs="Arial"/>
          <w:color w:val="000000" w:themeColor="text1"/>
          <w:sz w:val="24"/>
          <w:szCs w:val="24"/>
          <w:lang w:eastAsia="en-ZA"/>
        </w:rPr>
        <w:t>laintiff which serves as proof of th</w:t>
      </w:r>
      <w:r>
        <w:rPr>
          <w:rFonts w:ascii="Arial" w:eastAsia="Times New Roman" w:hAnsi="Arial" w:cs="Arial"/>
          <w:color w:val="000000" w:themeColor="text1"/>
          <w:sz w:val="24"/>
          <w:szCs w:val="24"/>
          <w:lang w:eastAsia="en-ZA"/>
        </w:rPr>
        <w:t xml:space="preserve">e outstanding balance. </w:t>
      </w:r>
      <w:r w:rsidR="00D71723">
        <w:rPr>
          <w:rFonts w:ascii="Arial" w:eastAsia="Times New Roman" w:hAnsi="Arial" w:cs="Arial"/>
          <w:color w:val="000000" w:themeColor="text1"/>
          <w:sz w:val="24"/>
          <w:szCs w:val="24"/>
          <w:lang w:eastAsia="en-ZA"/>
        </w:rPr>
        <w:t>He further depos</w:t>
      </w:r>
      <w:r>
        <w:rPr>
          <w:rFonts w:ascii="Arial" w:eastAsia="Times New Roman" w:hAnsi="Arial" w:cs="Arial"/>
          <w:color w:val="000000" w:themeColor="text1"/>
          <w:sz w:val="24"/>
          <w:szCs w:val="24"/>
          <w:lang w:eastAsia="en-ZA"/>
        </w:rPr>
        <w:t xml:space="preserve">ed of the verifying affidavit. </w:t>
      </w:r>
      <w:r w:rsidR="00D71723">
        <w:rPr>
          <w:rFonts w:ascii="Arial" w:eastAsia="Times New Roman" w:hAnsi="Arial" w:cs="Arial"/>
          <w:color w:val="000000" w:themeColor="text1"/>
          <w:sz w:val="24"/>
          <w:szCs w:val="24"/>
          <w:lang w:eastAsia="en-ZA"/>
        </w:rPr>
        <w:t>It can therefore be said that he definitely h</w:t>
      </w:r>
      <w:r>
        <w:rPr>
          <w:rFonts w:ascii="Arial" w:eastAsia="Times New Roman" w:hAnsi="Arial" w:cs="Arial"/>
          <w:color w:val="000000" w:themeColor="text1"/>
          <w:sz w:val="24"/>
          <w:szCs w:val="24"/>
          <w:lang w:eastAsia="en-ZA"/>
        </w:rPr>
        <w:t xml:space="preserve">as an interest in this matter. </w:t>
      </w:r>
      <w:r w:rsidR="00D71723">
        <w:rPr>
          <w:rFonts w:ascii="Arial" w:eastAsia="Times New Roman" w:hAnsi="Arial" w:cs="Arial"/>
          <w:color w:val="000000" w:themeColor="text1"/>
          <w:sz w:val="24"/>
          <w:szCs w:val="24"/>
          <w:lang w:eastAsia="en-ZA"/>
        </w:rPr>
        <w:t>And in line with the determination in the regulations stated above, he should not be the person who certified the agreements as true copies for the purpose of complying with rule 45(7).</w:t>
      </w:r>
    </w:p>
    <w:p w:rsidR="00D71723" w:rsidRDefault="00D71723"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D71723" w:rsidRDefault="00944942"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[26</w:t>
      </w:r>
      <w:r w:rsidR="00D71723">
        <w:rPr>
          <w:rFonts w:ascii="Arial" w:eastAsia="Times New Roman" w:hAnsi="Arial" w:cs="Arial"/>
          <w:color w:val="000000" w:themeColor="text1"/>
          <w:sz w:val="24"/>
          <w:szCs w:val="24"/>
          <w:lang w:eastAsia="en-ZA"/>
        </w:rPr>
        <w:t>]</w:t>
      </w:r>
      <w:r w:rsidR="00D71723">
        <w:rPr>
          <w:rFonts w:ascii="Arial" w:eastAsia="Times New Roman" w:hAnsi="Arial" w:cs="Arial"/>
          <w:color w:val="000000" w:themeColor="text1"/>
          <w:sz w:val="24"/>
          <w:szCs w:val="24"/>
          <w:lang w:eastAsia="en-ZA"/>
        </w:rPr>
        <w:tab/>
        <w:t>The third respondent raised the issue that the placement of the stamped affixed by Mr de Witt obscure in some instances the text of the agreement that it cannot be read.  This is indeed the case on almost every page of the initial agreement and the two sur</w:t>
      </w:r>
      <w:r w:rsidR="000C17F7">
        <w:rPr>
          <w:rFonts w:ascii="Arial" w:eastAsia="Times New Roman" w:hAnsi="Arial" w:cs="Arial"/>
          <w:color w:val="000000" w:themeColor="text1"/>
          <w:sz w:val="24"/>
          <w:szCs w:val="24"/>
          <w:lang w:eastAsia="en-ZA"/>
        </w:rPr>
        <w:t xml:space="preserve">ety agreements. </w:t>
      </w:r>
      <w:r w:rsidR="00D71723">
        <w:rPr>
          <w:rFonts w:ascii="Arial" w:eastAsia="Times New Roman" w:hAnsi="Arial" w:cs="Arial"/>
          <w:color w:val="000000" w:themeColor="text1"/>
          <w:sz w:val="24"/>
          <w:szCs w:val="24"/>
          <w:lang w:eastAsia="en-ZA"/>
        </w:rPr>
        <w:t>The court enquired from the legal practitioners whether they have the original agreement available in court to see whether we could resolve the issue with a better copy b</w:t>
      </w:r>
      <w:r w:rsidR="000C17F7">
        <w:rPr>
          <w:rFonts w:ascii="Arial" w:eastAsia="Times New Roman" w:hAnsi="Arial" w:cs="Arial"/>
          <w:color w:val="000000" w:themeColor="text1"/>
          <w:sz w:val="24"/>
          <w:szCs w:val="24"/>
          <w:lang w:eastAsia="en-ZA"/>
        </w:rPr>
        <w:t xml:space="preserve">ut unfortunately they did not. </w:t>
      </w:r>
      <w:r w:rsidR="00D71723">
        <w:rPr>
          <w:rFonts w:ascii="Arial" w:eastAsia="Times New Roman" w:hAnsi="Arial" w:cs="Arial"/>
          <w:color w:val="000000" w:themeColor="text1"/>
          <w:sz w:val="24"/>
          <w:szCs w:val="24"/>
          <w:lang w:eastAsia="en-ZA"/>
        </w:rPr>
        <w:t xml:space="preserve">The purpose of producing a certified copy of a document is surely so that the content of the document could be </w:t>
      </w:r>
      <w:r w:rsidR="000C17F7">
        <w:rPr>
          <w:rFonts w:ascii="Arial" w:eastAsia="Times New Roman" w:hAnsi="Arial" w:cs="Arial"/>
          <w:color w:val="000000" w:themeColor="text1"/>
          <w:sz w:val="24"/>
          <w:szCs w:val="24"/>
          <w:lang w:eastAsia="en-ZA"/>
        </w:rPr>
        <w:t xml:space="preserve">relied on. </w:t>
      </w:r>
      <w:r w:rsidR="00935A41">
        <w:rPr>
          <w:rFonts w:ascii="Arial" w:eastAsia="Times New Roman" w:hAnsi="Arial" w:cs="Arial"/>
          <w:color w:val="000000" w:themeColor="text1"/>
          <w:sz w:val="24"/>
          <w:szCs w:val="24"/>
          <w:lang w:eastAsia="en-ZA"/>
        </w:rPr>
        <w:t xml:space="preserve">It should therefore be a good, clear copy with the content legible.  In this instance it is not. For example important clauses like the one dealing with Events of Default – clause 11’s initial wording cannot be read.  Similarly, the definition of a surety, clause 6.1.1 dealing with the alternation of interest rate, clause 9.1 dealing with positive undertakings etc. </w:t>
      </w:r>
    </w:p>
    <w:p w:rsidR="00935A41" w:rsidRDefault="00935A41" w:rsidP="003E399F">
      <w:pPr>
        <w:shd w:val="clear" w:color="auto" w:fill="FFFFFF"/>
        <w:spacing w:after="0" w:line="360" w:lineRule="auto"/>
        <w:jc w:val="both"/>
        <w:rPr>
          <w:rFonts w:ascii="Arial" w:eastAsia="Times New Roman" w:hAnsi="Arial" w:cs="Arial"/>
          <w:color w:val="000000" w:themeColor="text1"/>
          <w:sz w:val="24"/>
          <w:szCs w:val="24"/>
          <w:lang w:eastAsia="en-ZA"/>
        </w:rPr>
      </w:pPr>
    </w:p>
    <w:p w:rsidR="00935A41" w:rsidRDefault="000C17F7" w:rsidP="003E399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[27</w:t>
      </w:r>
      <w:r w:rsidR="00BC57CF">
        <w:rPr>
          <w:rFonts w:ascii="Arial" w:eastAsia="Times New Roman" w:hAnsi="Arial" w:cs="Arial"/>
          <w:color w:val="000000" w:themeColor="text1"/>
          <w:sz w:val="24"/>
          <w:szCs w:val="24"/>
          <w:lang w:eastAsia="en-ZA"/>
        </w:rPr>
        <w:t>]</w:t>
      </w:r>
      <w:r w:rsidR="00BC57CF">
        <w:rPr>
          <w:rFonts w:ascii="Arial" w:eastAsia="Times New Roman" w:hAnsi="Arial" w:cs="Arial"/>
          <w:color w:val="000000" w:themeColor="text1"/>
          <w:sz w:val="24"/>
          <w:szCs w:val="24"/>
          <w:lang w:eastAsia="en-ZA"/>
        </w:rPr>
        <w:tab/>
        <w:t>The first and s</w:t>
      </w:r>
      <w:r w:rsidR="00276CE4">
        <w:rPr>
          <w:rFonts w:ascii="Arial" w:eastAsia="Times New Roman" w:hAnsi="Arial" w:cs="Arial"/>
          <w:color w:val="000000" w:themeColor="text1"/>
          <w:sz w:val="24"/>
          <w:szCs w:val="24"/>
          <w:lang w:eastAsia="en-ZA"/>
        </w:rPr>
        <w:t>econd d</w:t>
      </w:r>
      <w:r w:rsidR="00935A41">
        <w:rPr>
          <w:rFonts w:ascii="Arial" w:eastAsia="Times New Roman" w:hAnsi="Arial" w:cs="Arial"/>
          <w:color w:val="000000" w:themeColor="text1"/>
          <w:sz w:val="24"/>
          <w:szCs w:val="24"/>
          <w:lang w:eastAsia="en-ZA"/>
        </w:rPr>
        <w:t>efendant</w:t>
      </w:r>
      <w:r w:rsidR="00276CE4">
        <w:rPr>
          <w:rFonts w:ascii="Arial" w:eastAsia="Times New Roman" w:hAnsi="Arial" w:cs="Arial"/>
          <w:color w:val="000000" w:themeColor="text1"/>
          <w:sz w:val="24"/>
          <w:szCs w:val="24"/>
          <w:lang w:eastAsia="en-ZA"/>
        </w:rPr>
        <w:t>s</w:t>
      </w:r>
      <w:r w:rsidR="00935A41">
        <w:rPr>
          <w:rFonts w:ascii="Arial" w:eastAsia="Times New Roman" w:hAnsi="Arial" w:cs="Arial"/>
          <w:color w:val="000000" w:themeColor="text1"/>
          <w:sz w:val="24"/>
          <w:szCs w:val="24"/>
          <w:lang w:eastAsia="en-ZA"/>
        </w:rPr>
        <w:t xml:space="preserve"> further argued that, if successful, the cost order should not be</w:t>
      </w:r>
      <w:r>
        <w:rPr>
          <w:rFonts w:ascii="Arial" w:eastAsia="Times New Roman" w:hAnsi="Arial" w:cs="Arial"/>
          <w:color w:val="000000" w:themeColor="text1"/>
          <w:sz w:val="24"/>
          <w:szCs w:val="24"/>
          <w:lang w:eastAsia="en-ZA"/>
        </w:rPr>
        <w:t xml:space="preserve"> capped in terms of the rules. </w:t>
      </w:r>
      <w:r w:rsidR="00533EEF">
        <w:rPr>
          <w:rFonts w:ascii="Arial" w:eastAsia="Times New Roman" w:hAnsi="Arial" w:cs="Arial"/>
          <w:color w:val="000000" w:themeColor="text1"/>
          <w:sz w:val="24"/>
          <w:szCs w:val="24"/>
          <w:lang w:eastAsia="en-ZA"/>
        </w:rPr>
        <w:t xml:space="preserve">The court however is not </w:t>
      </w:r>
      <w:r w:rsidR="00BC57CF">
        <w:rPr>
          <w:rFonts w:ascii="Arial" w:eastAsia="Times New Roman" w:hAnsi="Arial" w:cs="Arial"/>
          <w:color w:val="000000" w:themeColor="text1"/>
          <w:sz w:val="24"/>
          <w:szCs w:val="24"/>
          <w:lang w:eastAsia="en-ZA"/>
        </w:rPr>
        <w:t>inclined</w:t>
      </w:r>
      <w:r w:rsidR="00533EEF">
        <w:rPr>
          <w:rFonts w:ascii="Arial" w:eastAsia="Times New Roman" w:hAnsi="Arial" w:cs="Arial"/>
          <w:color w:val="000000" w:themeColor="text1"/>
          <w:sz w:val="24"/>
          <w:szCs w:val="24"/>
          <w:lang w:eastAsia="en-ZA"/>
        </w:rPr>
        <w:t xml:space="preserve"> to make a special cost order and the cost order is therefore made in line with rule 32(11).</w:t>
      </w:r>
    </w:p>
    <w:p w:rsidR="007B5E3D" w:rsidRPr="00EA3733" w:rsidRDefault="007B5E3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5769F3" w:rsidRPr="00EA3733" w:rsidRDefault="009C337E" w:rsidP="00CC3C2F">
      <w:pPr>
        <w:shd w:val="clear" w:color="auto" w:fill="FFFFFF"/>
        <w:spacing w:after="0" w:line="360" w:lineRule="auto"/>
        <w:jc w:val="both"/>
        <w:rPr>
          <w:rFonts w:ascii="Arial" w:eastAsia="Times New Roman" w:hAnsi="Arial" w:cs="Arial"/>
          <w:color w:val="000000" w:themeColor="text1"/>
          <w:sz w:val="24"/>
          <w:szCs w:val="24"/>
          <w:lang w:eastAsia="en-ZA"/>
        </w:rPr>
      </w:pPr>
      <w:r>
        <w:rPr>
          <w:rFonts w:ascii="Arial" w:eastAsia="Times New Roman" w:hAnsi="Arial" w:cs="Arial"/>
          <w:color w:val="000000" w:themeColor="text1"/>
          <w:sz w:val="24"/>
          <w:szCs w:val="24"/>
          <w:lang w:eastAsia="en-ZA"/>
        </w:rPr>
        <w:t>[28]</w:t>
      </w:r>
      <w:r>
        <w:rPr>
          <w:rFonts w:ascii="Arial" w:eastAsia="Times New Roman" w:hAnsi="Arial" w:cs="Arial"/>
          <w:color w:val="000000" w:themeColor="text1"/>
          <w:sz w:val="24"/>
          <w:szCs w:val="24"/>
          <w:lang w:eastAsia="en-ZA"/>
        </w:rPr>
        <w:tab/>
      </w:r>
      <w:r w:rsidR="007B5E3D" w:rsidRPr="00EA3733">
        <w:rPr>
          <w:rFonts w:ascii="Arial" w:eastAsia="Times New Roman" w:hAnsi="Arial" w:cs="Arial"/>
          <w:color w:val="000000" w:themeColor="text1"/>
          <w:sz w:val="24"/>
          <w:szCs w:val="24"/>
          <w:lang w:eastAsia="en-ZA"/>
        </w:rPr>
        <w:t>Accordingly</w:t>
      </w:r>
      <w:r w:rsidR="005769F3" w:rsidRPr="00EA3733">
        <w:rPr>
          <w:rFonts w:ascii="Arial" w:eastAsia="Times New Roman" w:hAnsi="Arial" w:cs="Arial"/>
          <w:color w:val="000000" w:themeColor="text1"/>
          <w:sz w:val="24"/>
          <w:szCs w:val="24"/>
          <w:lang w:eastAsia="en-ZA"/>
        </w:rPr>
        <w:t>:</w:t>
      </w:r>
    </w:p>
    <w:p w:rsidR="00D461BD" w:rsidRPr="00EA3733" w:rsidRDefault="00D461BD" w:rsidP="00CC3C2F">
      <w:pPr>
        <w:shd w:val="clear" w:color="auto" w:fill="FFFFFF"/>
        <w:spacing w:after="0" w:line="360" w:lineRule="auto"/>
        <w:jc w:val="both"/>
        <w:rPr>
          <w:rFonts w:ascii="Arial" w:eastAsia="Times New Roman" w:hAnsi="Arial" w:cs="Arial"/>
          <w:color w:val="000000" w:themeColor="text1"/>
          <w:sz w:val="24"/>
          <w:szCs w:val="24"/>
          <w:lang w:eastAsia="en-ZA"/>
        </w:rPr>
      </w:pPr>
    </w:p>
    <w:p w:rsidR="00BE75A8" w:rsidRPr="00BE75A8" w:rsidRDefault="00BE75A8" w:rsidP="00BE75A8">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The point</w:t>
      </w:r>
      <w:r w:rsidRPr="00BE75A8">
        <w:rPr>
          <w:rFonts w:ascii="Arial" w:eastAsia="Times New Roman" w:hAnsi="Arial" w:cs="Arial"/>
          <w:i/>
          <w:color w:val="000000" w:themeColor="text1"/>
          <w:sz w:val="24"/>
          <w:szCs w:val="24"/>
          <w:lang w:eastAsia="en-ZA"/>
        </w:rPr>
        <w:t xml:space="preserve"> in limine </w:t>
      </w:r>
      <w:r w:rsidRPr="00BE75A8">
        <w:rPr>
          <w:rFonts w:ascii="Arial" w:eastAsia="Times New Roman" w:hAnsi="Arial" w:cs="Arial"/>
          <w:color w:val="000000" w:themeColor="text1"/>
          <w:sz w:val="24"/>
          <w:szCs w:val="24"/>
          <w:lang w:eastAsia="en-ZA"/>
        </w:rPr>
        <w:t>is upheld that the papers do not meet the technical standard needed and therefor the summary judgement application is strike from the roll.</w:t>
      </w:r>
    </w:p>
    <w:p w:rsidR="00BE75A8" w:rsidRPr="00BE75A8" w:rsidRDefault="00BE75A8" w:rsidP="00BE75A8">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lastRenderedPageBreak/>
        <w:t>Cost of this applicati</w:t>
      </w:r>
      <w:r>
        <w:rPr>
          <w:rFonts w:ascii="Arial" w:eastAsia="Times New Roman" w:hAnsi="Arial" w:cs="Arial"/>
          <w:color w:val="000000" w:themeColor="text1"/>
          <w:sz w:val="24"/>
          <w:szCs w:val="24"/>
          <w:lang w:eastAsia="en-ZA"/>
        </w:rPr>
        <w:t xml:space="preserve">on is awarded to the defendants, of which </w:t>
      </w:r>
      <w:r w:rsidRPr="00BE75A8">
        <w:rPr>
          <w:rFonts w:ascii="Arial" w:eastAsia="Times New Roman" w:hAnsi="Arial" w:cs="Arial"/>
          <w:color w:val="000000" w:themeColor="text1"/>
          <w:sz w:val="24"/>
          <w:szCs w:val="24"/>
          <w:lang w:eastAsia="en-ZA"/>
        </w:rPr>
        <w:t>costs are limited in terms of the provisions of Rule 32(11).</w:t>
      </w:r>
    </w:p>
    <w:p w:rsidR="00BE75A8" w:rsidRPr="00BE75A8" w:rsidRDefault="00BE75A8" w:rsidP="00BE75A8">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The parties are ordered to file a joint status report by no later than 21 January 2021 at 15h00.</w:t>
      </w:r>
    </w:p>
    <w:p w:rsidR="00BE75A8" w:rsidRPr="00BE75A8" w:rsidRDefault="00BE75A8" w:rsidP="00BE75A8">
      <w:pPr>
        <w:pStyle w:val="ListParagraph"/>
        <w:numPr>
          <w:ilvl w:val="0"/>
          <w:numId w:val="10"/>
        </w:numPr>
        <w:shd w:val="clear" w:color="auto" w:fill="FFFFFF"/>
        <w:spacing w:after="0" w:line="360" w:lineRule="auto"/>
        <w:jc w:val="both"/>
        <w:rPr>
          <w:rFonts w:ascii="Arial" w:eastAsia="Times New Roman" w:hAnsi="Arial" w:cs="Arial"/>
          <w:color w:val="000000" w:themeColor="text1"/>
          <w:sz w:val="24"/>
          <w:szCs w:val="24"/>
          <w:lang w:eastAsia="en-ZA"/>
        </w:rPr>
      </w:pPr>
      <w:r w:rsidRPr="00BE75A8">
        <w:rPr>
          <w:rFonts w:ascii="Arial" w:eastAsia="Times New Roman" w:hAnsi="Arial" w:cs="Arial"/>
          <w:color w:val="000000" w:themeColor="text1"/>
          <w:sz w:val="24"/>
          <w:szCs w:val="24"/>
          <w:lang w:eastAsia="en-ZA"/>
        </w:rPr>
        <w:t>The case is postponed to 26 January 2021 at 15h30 for Status hearing.</w:t>
      </w:r>
    </w:p>
    <w:p w:rsidR="00935A41" w:rsidRDefault="00935A41" w:rsidP="00935A41">
      <w:pPr>
        <w:shd w:val="clear" w:color="auto" w:fill="FFFFFF"/>
        <w:spacing w:after="0" w:line="360" w:lineRule="auto"/>
        <w:jc w:val="both"/>
        <w:rPr>
          <w:rFonts w:ascii="Arial" w:hAnsi="Arial" w:cs="Arial"/>
          <w:color w:val="000000" w:themeColor="text1"/>
          <w:sz w:val="24"/>
          <w:szCs w:val="24"/>
          <w:lang w:val="en-ZA"/>
        </w:rPr>
      </w:pPr>
    </w:p>
    <w:p w:rsidR="000F4D13" w:rsidRPr="00EA3733" w:rsidRDefault="000F4D13" w:rsidP="00935A41">
      <w:pPr>
        <w:shd w:val="clear" w:color="auto" w:fill="FFFFFF"/>
        <w:spacing w:after="0" w:line="360" w:lineRule="auto"/>
        <w:jc w:val="both"/>
        <w:rPr>
          <w:rFonts w:ascii="Arial" w:hAnsi="Arial" w:cs="Arial"/>
          <w:color w:val="000000" w:themeColor="text1"/>
          <w:sz w:val="24"/>
          <w:szCs w:val="24"/>
          <w:lang w:val="en-ZA"/>
        </w:rPr>
      </w:pPr>
    </w:p>
    <w:p w:rsidR="00722F8B" w:rsidRPr="00707BD7" w:rsidRDefault="00722F8B" w:rsidP="00CC3C2F">
      <w:pPr>
        <w:spacing w:line="360" w:lineRule="auto"/>
        <w:jc w:val="right"/>
        <w:rPr>
          <w:rFonts w:ascii="Arial" w:hAnsi="Arial" w:cs="Arial"/>
          <w:sz w:val="24"/>
          <w:szCs w:val="24"/>
          <w:lang w:val="en-ZA"/>
        </w:rPr>
      </w:pPr>
      <w:r w:rsidRPr="00707BD7">
        <w:rPr>
          <w:rFonts w:ascii="Arial" w:hAnsi="Arial" w:cs="Arial"/>
          <w:sz w:val="24"/>
          <w:szCs w:val="24"/>
          <w:lang w:val="en-ZA"/>
        </w:rPr>
        <w:t>______________________</w:t>
      </w:r>
    </w:p>
    <w:p w:rsidR="00722F8B" w:rsidRPr="00707BD7" w:rsidRDefault="00722F8B" w:rsidP="00CC3C2F">
      <w:pPr>
        <w:spacing w:line="360" w:lineRule="auto"/>
        <w:jc w:val="right"/>
        <w:rPr>
          <w:rFonts w:ascii="Arial" w:hAnsi="Arial" w:cs="Arial"/>
          <w:sz w:val="24"/>
          <w:szCs w:val="24"/>
        </w:rPr>
      </w:pPr>
      <w:r w:rsidRPr="00707BD7">
        <w:rPr>
          <w:rFonts w:ascii="Arial" w:hAnsi="Arial" w:cs="Arial"/>
          <w:sz w:val="24"/>
          <w:szCs w:val="24"/>
        </w:rPr>
        <w:t>E RAKOW</w:t>
      </w:r>
    </w:p>
    <w:p w:rsidR="00722F8B" w:rsidRPr="00707BD7" w:rsidRDefault="00722F8B" w:rsidP="00613CEF">
      <w:pPr>
        <w:spacing w:line="360" w:lineRule="auto"/>
        <w:jc w:val="right"/>
        <w:rPr>
          <w:rFonts w:ascii="Arial" w:hAnsi="Arial" w:cs="Arial"/>
          <w:sz w:val="24"/>
          <w:szCs w:val="24"/>
        </w:rPr>
      </w:pPr>
      <w:r w:rsidRPr="00707BD7">
        <w:rPr>
          <w:rFonts w:ascii="Arial" w:hAnsi="Arial" w:cs="Arial"/>
          <w:sz w:val="24"/>
          <w:szCs w:val="24"/>
        </w:rPr>
        <w:t>Judge</w:t>
      </w:r>
    </w:p>
    <w:p w:rsidR="00935A41" w:rsidRDefault="00935A41" w:rsidP="00CC3C2F">
      <w:pPr>
        <w:spacing w:line="360" w:lineRule="auto"/>
        <w:jc w:val="both"/>
        <w:rPr>
          <w:rFonts w:ascii="Arial" w:hAnsi="Arial" w:cs="Arial"/>
          <w:sz w:val="24"/>
          <w:szCs w:val="24"/>
        </w:rPr>
      </w:pPr>
    </w:p>
    <w:p w:rsidR="00935A41" w:rsidRDefault="00935A41" w:rsidP="00CC3C2F">
      <w:pPr>
        <w:spacing w:line="360" w:lineRule="auto"/>
        <w:jc w:val="both"/>
        <w:rPr>
          <w:rFonts w:ascii="Arial" w:hAnsi="Arial" w:cs="Arial"/>
          <w:sz w:val="24"/>
          <w:szCs w:val="24"/>
        </w:rPr>
      </w:pPr>
    </w:p>
    <w:p w:rsidR="00533EEF" w:rsidRDefault="00533EEF" w:rsidP="00CC3C2F">
      <w:pPr>
        <w:spacing w:line="360" w:lineRule="auto"/>
        <w:jc w:val="both"/>
        <w:rPr>
          <w:rFonts w:ascii="Arial" w:hAnsi="Arial" w:cs="Arial"/>
          <w:sz w:val="24"/>
          <w:szCs w:val="24"/>
        </w:rPr>
      </w:pPr>
    </w:p>
    <w:p w:rsidR="00935A41" w:rsidRDefault="00935A41"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9C337E" w:rsidRDefault="009C337E" w:rsidP="00CC3C2F">
      <w:pPr>
        <w:spacing w:line="360" w:lineRule="auto"/>
        <w:jc w:val="both"/>
        <w:rPr>
          <w:rFonts w:ascii="Arial" w:hAnsi="Arial" w:cs="Arial"/>
          <w:sz w:val="24"/>
          <w:szCs w:val="24"/>
        </w:rPr>
      </w:pPr>
    </w:p>
    <w:p w:rsidR="00722F8B" w:rsidRPr="00707BD7" w:rsidRDefault="00722F8B" w:rsidP="00CC3C2F">
      <w:pPr>
        <w:spacing w:line="360" w:lineRule="auto"/>
        <w:jc w:val="both"/>
        <w:rPr>
          <w:rFonts w:ascii="Arial" w:hAnsi="Arial" w:cs="Arial"/>
          <w:sz w:val="24"/>
          <w:szCs w:val="24"/>
        </w:rPr>
      </w:pPr>
      <w:r w:rsidRPr="00707BD7">
        <w:rPr>
          <w:rFonts w:ascii="Arial" w:hAnsi="Arial" w:cs="Arial"/>
          <w:sz w:val="24"/>
          <w:szCs w:val="24"/>
        </w:rPr>
        <w:t>APPEARANCES:</w:t>
      </w:r>
    </w:p>
    <w:p w:rsidR="00722F8B" w:rsidRPr="00707BD7" w:rsidRDefault="00722F8B" w:rsidP="00CC3C2F">
      <w:pPr>
        <w:spacing w:line="360" w:lineRule="auto"/>
        <w:jc w:val="both"/>
        <w:rPr>
          <w:rFonts w:ascii="Arial" w:hAnsi="Arial" w:cs="Arial"/>
          <w:sz w:val="24"/>
          <w:szCs w:val="24"/>
        </w:rPr>
      </w:pPr>
    </w:p>
    <w:p w:rsidR="00D52C0A" w:rsidRDefault="0076236E" w:rsidP="00CC3C2F">
      <w:pPr>
        <w:spacing w:line="360" w:lineRule="auto"/>
        <w:jc w:val="both"/>
        <w:rPr>
          <w:rFonts w:ascii="Arial" w:hAnsi="Arial" w:cs="Arial"/>
          <w:sz w:val="24"/>
          <w:szCs w:val="24"/>
        </w:rPr>
      </w:pPr>
      <w:r>
        <w:rPr>
          <w:rFonts w:ascii="Arial" w:hAnsi="Arial" w:cs="Arial"/>
          <w:sz w:val="24"/>
          <w:szCs w:val="24"/>
        </w:rPr>
        <w:t>APPLICANT</w:t>
      </w:r>
      <w:r w:rsidR="00722F8B" w:rsidRPr="00707BD7">
        <w:rPr>
          <w:rFonts w:ascii="Arial" w:hAnsi="Arial" w:cs="Arial"/>
          <w:sz w:val="24"/>
          <w:szCs w:val="24"/>
        </w:rPr>
        <w:t>:</w:t>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0F4D13">
        <w:rPr>
          <w:rFonts w:ascii="Arial" w:hAnsi="Arial" w:cs="Arial"/>
          <w:sz w:val="24"/>
          <w:szCs w:val="24"/>
        </w:rPr>
        <w:t xml:space="preserve">Ms de Plooy </w:t>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Pr>
          <w:rFonts w:ascii="Arial" w:hAnsi="Arial" w:cs="Arial"/>
          <w:sz w:val="24"/>
          <w:szCs w:val="24"/>
        </w:rPr>
        <w:t>Weder, Kauta and Hoveka</w:t>
      </w:r>
    </w:p>
    <w:p w:rsidR="008F4AFD" w:rsidRDefault="008F4AFD" w:rsidP="00CC3C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F4AFD" w:rsidRDefault="0076236E" w:rsidP="00CC3C2F">
      <w:pPr>
        <w:spacing w:line="360" w:lineRule="auto"/>
        <w:jc w:val="both"/>
        <w:rPr>
          <w:rFonts w:ascii="Arial" w:hAnsi="Arial" w:cs="Arial"/>
          <w:sz w:val="24"/>
          <w:szCs w:val="24"/>
        </w:rPr>
      </w:pPr>
      <w:r>
        <w:rPr>
          <w:rFonts w:ascii="Arial" w:hAnsi="Arial" w:cs="Arial"/>
          <w:sz w:val="24"/>
          <w:szCs w:val="24"/>
        </w:rPr>
        <w:t>1</w:t>
      </w:r>
      <w:r w:rsidRPr="0076236E">
        <w:rPr>
          <w:rFonts w:ascii="Arial" w:hAnsi="Arial" w:cs="Arial"/>
          <w:sz w:val="24"/>
          <w:szCs w:val="24"/>
          <w:vertAlign w:val="superscript"/>
        </w:rPr>
        <w:t>st</w:t>
      </w:r>
      <w:r>
        <w:rPr>
          <w:rFonts w:ascii="Arial" w:hAnsi="Arial" w:cs="Arial"/>
          <w:sz w:val="24"/>
          <w:szCs w:val="24"/>
          <w:vertAlign w:val="superscript"/>
        </w:rPr>
        <w:t xml:space="preserve"> and</w:t>
      </w:r>
      <w:r>
        <w:rPr>
          <w:rFonts w:ascii="Arial" w:hAnsi="Arial" w:cs="Arial"/>
          <w:sz w:val="24"/>
          <w:szCs w:val="24"/>
        </w:rPr>
        <w:t xml:space="preserve"> 2</w:t>
      </w:r>
      <w:r w:rsidRPr="0076236E">
        <w:rPr>
          <w:rFonts w:ascii="Arial" w:hAnsi="Arial" w:cs="Arial"/>
          <w:sz w:val="24"/>
          <w:szCs w:val="24"/>
          <w:vertAlign w:val="superscript"/>
        </w:rPr>
        <w:t>nd</w:t>
      </w:r>
      <w:r w:rsidR="008F4AFD">
        <w:rPr>
          <w:rFonts w:ascii="Arial" w:hAnsi="Arial" w:cs="Arial"/>
          <w:sz w:val="24"/>
          <w:szCs w:val="24"/>
        </w:rPr>
        <w:t xml:space="preserve"> RESPONDENTS</w:t>
      </w:r>
      <w:r>
        <w:rPr>
          <w:rFonts w:ascii="Arial" w:hAnsi="Arial" w:cs="Arial"/>
          <w:sz w:val="24"/>
          <w:szCs w:val="24"/>
        </w:rPr>
        <w:t>:</w:t>
      </w:r>
      <w:r w:rsidR="00D52C0A">
        <w:rPr>
          <w:rFonts w:ascii="Arial" w:hAnsi="Arial" w:cs="Arial"/>
          <w:sz w:val="24"/>
          <w:szCs w:val="24"/>
        </w:rPr>
        <w:tab/>
      </w:r>
      <w:r w:rsidR="00843A0E">
        <w:rPr>
          <w:rFonts w:ascii="Arial" w:hAnsi="Arial" w:cs="Arial"/>
          <w:sz w:val="24"/>
          <w:szCs w:val="24"/>
        </w:rPr>
        <w:tab/>
      </w:r>
      <w:r w:rsidR="00843A0E">
        <w:rPr>
          <w:rFonts w:ascii="Arial" w:hAnsi="Arial" w:cs="Arial"/>
          <w:sz w:val="24"/>
          <w:szCs w:val="24"/>
        </w:rPr>
        <w:tab/>
      </w:r>
      <w:r w:rsidR="000F4D13">
        <w:rPr>
          <w:rFonts w:ascii="Arial" w:hAnsi="Arial" w:cs="Arial"/>
          <w:sz w:val="24"/>
          <w:szCs w:val="24"/>
        </w:rPr>
        <w:t>Ms Lardelli</w:t>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sidR="000F4D13">
        <w:rPr>
          <w:rFonts w:ascii="Arial" w:hAnsi="Arial" w:cs="Arial"/>
          <w:sz w:val="24"/>
          <w:szCs w:val="24"/>
        </w:rPr>
        <w:tab/>
      </w:r>
      <w:r>
        <w:rPr>
          <w:rFonts w:ascii="Arial" w:hAnsi="Arial" w:cs="Arial"/>
          <w:sz w:val="24"/>
          <w:szCs w:val="24"/>
        </w:rPr>
        <w:t>Karstens</w:t>
      </w:r>
      <w:r w:rsidR="000F4D13">
        <w:rPr>
          <w:rFonts w:ascii="Arial" w:hAnsi="Arial" w:cs="Arial"/>
          <w:sz w:val="24"/>
          <w:szCs w:val="24"/>
        </w:rPr>
        <w:t>Legal Practitioners</w:t>
      </w:r>
    </w:p>
    <w:p w:rsidR="0076236E" w:rsidRDefault="008F4AFD" w:rsidP="00CC3C2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3A0E">
        <w:rPr>
          <w:rFonts w:ascii="Arial" w:hAnsi="Arial" w:cs="Arial"/>
          <w:sz w:val="24"/>
          <w:szCs w:val="24"/>
        </w:rPr>
        <w:tab/>
      </w:r>
      <w:r w:rsidRPr="008F4AFD">
        <w:rPr>
          <w:rFonts w:ascii="Arial" w:hAnsi="Arial" w:cs="Arial"/>
          <w:sz w:val="24"/>
          <w:szCs w:val="24"/>
        </w:rPr>
        <w:t>Windhoek</w:t>
      </w:r>
    </w:p>
    <w:p w:rsidR="00D804CC" w:rsidRPr="008F4AFD" w:rsidRDefault="0076236E" w:rsidP="008F4AFD">
      <w:pPr>
        <w:spacing w:line="360" w:lineRule="auto"/>
        <w:jc w:val="both"/>
        <w:rPr>
          <w:rFonts w:ascii="Arial" w:hAnsi="Arial" w:cs="Arial"/>
          <w:sz w:val="24"/>
          <w:szCs w:val="24"/>
        </w:rPr>
      </w:pPr>
      <w:r>
        <w:rPr>
          <w:rFonts w:ascii="Arial" w:hAnsi="Arial" w:cs="Arial"/>
          <w:sz w:val="24"/>
          <w:szCs w:val="24"/>
        </w:rPr>
        <w:t>3</w:t>
      </w:r>
      <w:r w:rsidRPr="0076236E">
        <w:rPr>
          <w:rFonts w:ascii="Arial" w:hAnsi="Arial" w:cs="Arial"/>
          <w:sz w:val="24"/>
          <w:szCs w:val="24"/>
          <w:vertAlign w:val="superscript"/>
        </w:rPr>
        <w:t>ND</w:t>
      </w:r>
      <w:r w:rsidR="008F4AFD">
        <w:rPr>
          <w:rFonts w:ascii="Arial" w:hAnsi="Arial" w:cs="Arial"/>
          <w:sz w:val="24"/>
          <w:szCs w:val="24"/>
        </w:rPr>
        <w:t xml:space="preserve"> </w:t>
      </w:r>
      <w:r w:rsidR="008F4AFD" w:rsidRPr="008F4AFD">
        <w:rPr>
          <w:rFonts w:ascii="Arial" w:hAnsi="Arial" w:cs="Arial"/>
          <w:sz w:val="24"/>
          <w:szCs w:val="24"/>
        </w:rPr>
        <w:t>RESPONDENT</w:t>
      </w:r>
      <w:r w:rsidR="008F4AFD">
        <w:rPr>
          <w:rFonts w:ascii="Arial" w:hAnsi="Arial" w:cs="Arial"/>
          <w:sz w:val="24"/>
          <w:szCs w:val="24"/>
        </w:rPr>
        <w:t>:</w:t>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Pr>
          <w:rFonts w:ascii="Arial" w:hAnsi="Arial" w:cs="Arial"/>
          <w:sz w:val="24"/>
          <w:szCs w:val="24"/>
        </w:rPr>
        <w:t>Mr. Amoomo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KadhilaAmoomo Le</w:t>
      </w:r>
      <w:r w:rsidR="008F4AFD">
        <w:rPr>
          <w:rFonts w:ascii="Arial" w:hAnsi="Arial" w:cs="Arial"/>
          <w:sz w:val="24"/>
          <w:szCs w:val="24"/>
        </w:rPr>
        <w:t>gal Practitioners</w:t>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8F4AFD">
        <w:rPr>
          <w:rFonts w:ascii="Arial" w:hAnsi="Arial" w:cs="Arial"/>
          <w:sz w:val="24"/>
          <w:szCs w:val="24"/>
        </w:rPr>
        <w:tab/>
      </w:r>
      <w:r w:rsidR="00722F8B" w:rsidRPr="00707BD7">
        <w:rPr>
          <w:rFonts w:ascii="Arial" w:hAnsi="Arial" w:cs="Arial"/>
          <w:sz w:val="24"/>
          <w:szCs w:val="24"/>
        </w:rPr>
        <w:tab/>
      </w:r>
      <w:r w:rsidR="008F4AFD">
        <w:rPr>
          <w:rFonts w:ascii="Arial" w:hAnsi="Arial" w:cs="Arial"/>
          <w:sz w:val="24"/>
          <w:szCs w:val="24"/>
        </w:rPr>
        <w:t>Windhoek</w:t>
      </w:r>
    </w:p>
    <w:sectPr w:rsidR="00D804CC" w:rsidRPr="008F4AFD" w:rsidSect="00F92471">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620" w:rsidRDefault="00B13620" w:rsidP="00722F8B">
      <w:pPr>
        <w:spacing w:after="0" w:line="240" w:lineRule="auto"/>
      </w:pPr>
      <w:r>
        <w:separator/>
      </w:r>
    </w:p>
  </w:endnote>
  <w:endnote w:type="continuationSeparator" w:id="0">
    <w:p w:rsidR="00B13620" w:rsidRDefault="00B13620"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620" w:rsidRDefault="00B13620" w:rsidP="00722F8B">
      <w:pPr>
        <w:spacing w:after="0" w:line="240" w:lineRule="auto"/>
      </w:pPr>
      <w:r>
        <w:separator/>
      </w:r>
    </w:p>
  </w:footnote>
  <w:footnote w:type="continuationSeparator" w:id="0">
    <w:p w:rsidR="00B13620" w:rsidRDefault="00B13620" w:rsidP="00722F8B">
      <w:pPr>
        <w:spacing w:after="0" w:line="240" w:lineRule="auto"/>
      </w:pPr>
      <w:r>
        <w:continuationSeparator/>
      </w:r>
    </w:p>
  </w:footnote>
  <w:footnote w:id="1">
    <w:p w:rsidR="00BA7DB8" w:rsidRPr="00BC57CF" w:rsidRDefault="00BA7DB8">
      <w:pPr>
        <w:pStyle w:val="FootnoteText"/>
        <w:rPr>
          <w:rFonts w:ascii="Arial" w:hAnsi="Arial" w:cs="Arial"/>
        </w:rPr>
      </w:pPr>
      <w:r w:rsidRPr="00BC57CF">
        <w:rPr>
          <w:rStyle w:val="FootnoteReference"/>
          <w:rFonts w:ascii="Arial" w:hAnsi="Arial" w:cs="Arial"/>
        </w:rPr>
        <w:footnoteRef/>
      </w:r>
      <w:r w:rsidRPr="00BC57CF">
        <w:rPr>
          <w:rFonts w:ascii="Arial" w:hAnsi="Arial" w:cs="Arial"/>
        </w:rPr>
        <w:t xml:space="preserve"> 2011 (1) SA 196 (GNP) (29 September 2010)</w:t>
      </w:r>
      <w:r w:rsidR="00BC57CF">
        <w:rPr>
          <w:rFonts w:ascii="Arial" w:hAnsi="Arial" w:cs="Arial"/>
        </w:rPr>
        <w:t>.</w:t>
      </w:r>
    </w:p>
  </w:footnote>
  <w:footnote w:id="2">
    <w:p w:rsidR="003208EA" w:rsidRPr="00DC5CFB" w:rsidRDefault="003208EA">
      <w:pPr>
        <w:pStyle w:val="FootnoteText"/>
        <w:rPr>
          <w:rFonts w:ascii="Arial" w:hAnsi="Arial" w:cs="Arial"/>
          <w:lang w:val="en-ZA"/>
        </w:rPr>
      </w:pPr>
      <w:r w:rsidRPr="00DC5CFB">
        <w:rPr>
          <w:rStyle w:val="FootnoteReference"/>
          <w:rFonts w:ascii="Arial" w:hAnsi="Arial" w:cs="Arial"/>
        </w:rPr>
        <w:footnoteRef/>
      </w:r>
      <w:r w:rsidRPr="00DC5CFB">
        <w:rPr>
          <w:rFonts w:ascii="Arial" w:hAnsi="Arial" w:cs="Arial"/>
        </w:rPr>
        <w:t xml:space="preserve"> </w:t>
      </w:r>
      <w:r w:rsidRPr="00DC5CFB">
        <w:rPr>
          <w:rFonts w:ascii="Arial" w:hAnsi="Arial" w:cs="Arial"/>
          <w:lang w:val="en-ZA"/>
        </w:rPr>
        <w:t>1976 (1) SA 418 (AD) at 423 H and 424</w:t>
      </w:r>
      <w:r w:rsidR="008F4AFD">
        <w:rPr>
          <w:rFonts w:ascii="Arial" w:hAnsi="Arial" w:cs="Arial"/>
          <w:lang w:val="en-ZA"/>
        </w:rPr>
        <w:t>.</w:t>
      </w:r>
    </w:p>
  </w:footnote>
  <w:footnote w:id="3">
    <w:p w:rsidR="00B834AA" w:rsidRPr="00B834AA" w:rsidRDefault="00B834AA">
      <w:pPr>
        <w:pStyle w:val="FootnoteText"/>
        <w:rPr>
          <w:lang w:val="en-ZA"/>
        </w:rPr>
      </w:pPr>
      <w:r w:rsidRPr="00DC5CFB">
        <w:rPr>
          <w:rStyle w:val="FootnoteReference"/>
          <w:rFonts w:ascii="Arial" w:hAnsi="Arial" w:cs="Arial"/>
        </w:rPr>
        <w:footnoteRef/>
      </w:r>
      <w:r w:rsidRPr="00DC5CFB">
        <w:rPr>
          <w:rFonts w:ascii="Arial" w:hAnsi="Arial" w:cs="Arial"/>
        </w:rPr>
        <w:t xml:space="preserve"> </w:t>
      </w:r>
      <w:r w:rsidRPr="00DC5CFB">
        <w:rPr>
          <w:rFonts w:ascii="Arial" w:hAnsi="Arial" w:cs="Arial"/>
          <w:lang w:val="en-ZA"/>
        </w:rPr>
        <w:t>LexisNexis, Durban 1998, at page 5-4</w:t>
      </w:r>
      <w:r w:rsidR="00C8680B">
        <w:rPr>
          <w:rFonts w:ascii="Arial" w:hAnsi="Arial" w:cs="Arial"/>
          <w:lang w:val="en-ZA"/>
        </w:rPr>
        <w:t>.</w:t>
      </w:r>
    </w:p>
  </w:footnote>
  <w:footnote w:id="4">
    <w:p w:rsidR="00953C26" w:rsidRPr="00DC5CFB" w:rsidRDefault="00953C26" w:rsidP="00953C26">
      <w:pPr>
        <w:pStyle w:val="FootnoteText"/>
        <w:rPr>
          <w:rFonts w:ascii="Arial" w:hAnsi="Arial" w:cs="Arial"/>
          <w:lang w:val="en-ZA"/>
        </w:rPr>
      </w:pPr>
      <w:r w:rsidRPr="00DC5CFB">
        <w:rPr>
          <w:rStyle w:val="FootnoteReference"/>
          <w:rFonts w:ascii="Arial" w:hAnsi="Arial" w:cs="Arial"/>
        </w:rPr>
        <w:footnoteRef/>
      </w:r>
      <w:r w:rsidRPr="00DC5CFB">
        <w:rPr>
          <w:rFonts w:ascii="Arial" w:hAnsi="Arial" w:cs="Arial"/>
        </w:rPr>
        <w:t xml:space="preserve"> </w:t>
      </w:r>
      <w:r w:rsidRPr="00DC5CFB">
        <w:rPr>
          <w:rFonts w:ascii="Arial" w:hAnsi="Arial" w:cs="Arial"/>
          <w:lang w:val="en-ZA"/>
        </w:rPr>
        <w:t>LexisNexis, Durban 1998, at page 5-4</w:t>
      </w:r>
      <w:r w:rsidR="00C8680B">
        <w:rPr>
          <w:rFonts w:ascii="Arial" w:hAnsi="Arial" w:cs="Arial"/>
          <w:lang w:val="en-ZA"/>
        </w:rPr>
        <w:t>.</w:t>
      </w:r>
    </w:p>
  </w:footnote>
  <w:footnote w:id="5">
    <w:p w:rsidR="001B247B" w:rsidRDefault="001B247B" w:rsidP="001B247B">
      <w:pPr>
        <w:pStyle w:val="FootnoteText"/>
      </w:pPr>
      <w:r>
        <w:rPr>
          <w:rStyle w:val="FootnoteReference"/>
        </w:rPr>
        <w:footnoteRef/>
      </w:r>
      <w:r>
        <w:t xml:space="preserve"> 2001 (1)</w:t>
      </w:r>
      <w:r w:rsidR="008F4AFD">
        <w:t>.</w:t>
      </w:r>
    </w:p>
    <w:p w:rsidR="001B247B" w:rsidRPr="001B247B" w:rsidRDefault="001B247B" w:rsidP="001B247B">
      <w:pPr>
        <w:pStyle w:val="FootnoteText"/>
        <w:rPr>
          <w:lang w:val="en-ZA"/>
        </w:rPr>
      </w:pPr>
      <w:r>
        <w:t>SACR 634 (Tk)</w:t>
      </w:r>
      <w:r w:rsidR="008F4AF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B03B6D" w:rsidRDefault="00B03B6D">
        <w:pPr>
          <w:pStyle w:val="Header"/>
          <w:jc w:val="right"/>
        </w:pPr>
        <w:r>
          <w:fldChar w:fldCharType="begin"/>
        </w:r>
        <w:r>
          <w:instrText xml:space="preserve"> PAGE   \* MERGEFORMAT </w:instrText>
        </w:r>
        <w:r>
          <w:fldChar w:fldCharType="separate"/>
        </w:r>
        <w:r w:rsidR="00D334DA">
          <w:rPr>
            <w:noProof/>
          </w:rPr>
          <w:t>2</w:t>
        </w:r>
        <w:r>
          <w:rPr>
            <w:noProof/>
          </w:rPr>
          <w:fldChar w:fldCharType="end"/>
        </w:r>
      </w:p>
    </w:sdtContent>
  </w:sdt>
  <w:p w:rsidR="00B03B6D" w:rsidRDefault="00B0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5190"/>
    <w:multiLevelType w:val="hybridMultilevel"/>
    <w:tmpl w:val="FEBAC718"/>
    <w:lvl w:ilvl="0" w:tplc="02446AC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044DD1"/>
    <w:multiLevelType w:val="hybridMultilevel"/>
    <w:tmpl w:val="4E5A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6693"/>
    <w:multiLevelType w:val="hybridMultilevel"/>
    <w:tmpl w:val="577A68AC"/>
    <w:lvl w:ilvl="0" w:tplc="C6121B0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 w15:restartNumberingAfterBreak="0">
    <w:nsid w:val="1F2A397F"/>
    <w:multiLevelType w:val="hybridMultilevel"/>
    <w:tmpl w:val="BE58ABB6"/>
    <w:lvl w:ilvl="0" w:tplc="C9F437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C57D8"/>
    <w:multiLevelType w:val="hybridMultilevel"/>
    <w:tmpl w:val="A9A0CA84"/>
    <w:lvl w:ilvl="0" w:tplc="20C459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436CF2"/>
    <w:multiLevelType w:val="hybridMultilevel"/>
    <w:tmpl w:val="AA4821B2"/>
    <w:lvl w:ilvl="0" w:tplc="4280B2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591B9D"/>
    <w:multiLevelType w:val="hybridMultilevel"/>
    <w:tmpl w:val="4E5A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E55D1"/>
    <w:multiLevelType w:val="hybridMultilevel"/>
    <w:tmpl w:val="BED0BD9E"/>
    <w:lvl w:ilvl="0" w:tplc="DDB03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FD1EA0"/>
    <w:multiLevelType w:val="hybridMultilevel"/>
    <w:tmpl w:val="4E5A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5"/>
  </w:num>
  <w:num w:numId="6">
    <w:abstractNumId w:val="6"/>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039D4"/>
    <w:rsid w:val="0001272D"/>
    <w:rsid w:val="000131A1"/>
    <w:rsid w:val="00041DA6"/>
    <w:rsid w:val="00051EEA"/>
    <w:rsid w:val="00063929"/>
    <w:rsid w:val="0008731A"/>
    <w:rsid w:val="00092D4A"/>
    <w:rsid w:val="000A1758"/>
    <w:rsid w:val="000B143F"/>
    <w:rsid w:val="000C17F7"/>
    <w:rsid w:val="000C7F64"/>
    <w:rsid w:val="000E68CA"/>
    <w:rsid w:val="000E7443"/>
    <w:rsid w:val="000F4D13"/>
    <w:rsid w:val="001037BC"/>
    <w:rsid w:val="001111D7"/>
    <w:rsid w:val="00130D63"/>
    <w:rsid w:val="00141B52"/>
    <w:rsid w:val="00146A60"/>
    <w:rsid w:val="00154FB5"/>
    <w:rsid w:val="00165B45"/>
    <w:rsid w:val="001708FE"/>
    <w:rsid w:val="00175662"/>
    <w:rsid w:val="001932DA"/>
    <w:rsid w:val="001966CE"/>
    <w:rsid w:val="001A10A9"/>
    <w:rsid w:val="001B247B"/>
    <w:rsid w:val="001D5744"/>
    <w:rsid w:val="001E55A2"/>
    <w:rsid w:val="00200E61"/>
    <w:rsid w:val="002046C8"/>
    <w:rsid w:val="002268A7"/>
    <w:rsid w:val="00246831"/>
    <w:rsid w:val="0026597E"/>
    <w:rsid w:val="00272805"/>
    <w:rsid w:val="00275767"/>
    <w:rsid w:val="00276CE4"/>
    <w:rsid w:val="002A4448"/>
    <w:rsid w:val="002B3627"/>
    <w:rsid w:val="002B4F07"/>
    <w:rsid w:val="002B5083"/>
    <w:rsid w:val="002C5773"/>
    <w:rsid w:val="002E002B"/>
    <w:rsid w:val="002E6F33"/>
    <w:rsid w:val="002F12F7"/>
    <w:rsid w:val="003208EA"/>
    <w:rsid w:val="00322A8B"/>
    <w:rsid w:val="00331399"/>
    <w:rsid w:val="003474DD"/>
    <w:rsid w:val="00355B5A"/>
    <w:rsid w:val="00360BD5"/>
    <w:rsid w:val="00362726"/>
    <w:rsid w:val="00374F00"/>
    <w:rsid w:val="00390A1F"/>
    <w:rsid w:val="00391A1E"/>
    <w:rsid w:val="003A7EB7"/>
    <w:rsid w:val="003B387D"/>
    <w:rsid w:val="003B51CA"/>
    <w:rsid w:val="003B6C32"/>
    <w:rsid w:val="003D0874"/>
    <w:rsid w:val="003E399F"/>
    <w:rsid w:val="003E5D18"/>
    <w:rsid w:val="003E665D"/>
    <w:rsid w:val="003E7ABF"/>
    <w:rsid w:val="004135E4"/>
    <w:rsid w:val="004257DD"/>
    <w:rsid w:val="00431537"/>
    <w:rsid w:val="0044798B"/>
    <w:rsid w:val="00454FDE"/>
    <w:rsid w:val="004658EE"/>
    <w:rsid w:val="004741E3"/>
    <w:rsid w:val="004816B3"/>
    <w:rsid w:val="004857A3"/>
    <w:rsid w:val="004A3953"/>
    <w:rsid w:val="004A5429"/>
    <w:rsid w:val="004B1320"/>
    <w:rsid w:val="004D380C"/>
    <w:rsid w:val="004E0D4E"/>
    <w:rsid w:val="004E29F0"/>
    <w:rsid w:val="00501753"/>
    <w:rsid w:val="005047A5"/>
    <w:rsid w:val="00521376"/>
    <w:rsid w:val="00533EEF"/>
    <w:rsid w:val="0054400F"/>
    <w:rsid w:val="00552DA1"/>
    <w:rsid w:val="005625B9"/>
    <w:rsid w:val="00572228"/>
    <w:rsid w:val="005769F3"/>
    <w:rsid w:val="0059434D"/>
    <w:rsid w:val="005943DE"/>
    <w:rsid w:val="005A0CB2"/>
    <w:rsid w:val="005D1B84"/>
    <w:rsid w:val="005E2780"/>
    <w:rsid w:val="005E3CC6"/>
    <w:rsid w:val="005E6373"/>
    <w:rsid w:val="006026EA"/>
    <w:rsid w:val="006043F2"/>
    <w:rsid w:val="006063A9"/>
    <w:rsid w:val="00613CEF"/>
    <w:rsid w:val="0061711D"/>
    <w:rsid w:val="00625541"/>
    <w:rsid w:val="00627130"/>
    <w:rsid w:val="00640085"/>
    <w:rsid w:val="00643255"/>
    <w:rsid w:val="00646A56"/>
    <w:rsid w:val="00652642"/>
    <w:rsid w:val="00654D74"/>
    <w:rsid w:val="00674AD3"/>
    <w:rsid w:val="00676B4A"/>
    <w:rsid w:val="006A2CFB"/>
    <w:rsid w:val="006A494B"/>
    <w:rsid w:val="006A549B"/>
    <w:rsid w:val="006B23C6"/>
    <w:rsid w:val="006B7CB8"/>
    <w:rsid w:val="006E21AC"/>
    <w:rsid w:val="006E67D7"/>
    <w:rsid w:val="006F4541"/>
    <w:rsid w:val="006F61F5"/>
    <w:rsid w:val="00703067"/>
    <w:rsid w:val="00707BD7"/>
    <w:rsid w:val="007204FB"/>
    <w:rsid w:val="00722F8B"/>
    <w:rsid w:val="007238DB"/>
    <w:rsid w:val="00727190"/>
    <w:rsid w:val="007440AE"/>
    <w:rsid w:val="007541A7"/>
    <w:rsid w:val="00760134"/>
    <w:rsid w:val="0076236E"/>
    <w:rsid w:val="00790AB3"/>
    <w:rsid w:val="0079773A"/>
    <w:rsid w:val="007A34A4"/>
    <w:rsid w:val="007A4D82"/>
    <w:rsid w:val="007B09AA"/>
    <w:rsid w:val="007B44FA"/>
    <w:rsid w:val="007B5E3D"/>
    <w:rsid w:val="007E7CD7"/>
    <w:rsid w:val="007F471B"/>
    <w:rsid w:val="00800E9A"/>
    <w:rsid w:val="00810E66"/>
    <w:rsid w:val="008169F1"/>
    <w:rsid w:val="0082242D"/>
    <w:rsid w:val="00835E26"/>
    <w:rsid w:val="00843A0E"/>
    <w:rsid w:val="008444F7"/>
    <w:rsid w:val="0085391C"/>
    <w:rsid w:val="008709F6"/>
    <w:rsid w:val="00873036"/>
    <w:rsid w:val="00877BC2"/>
    <w:rsid w:val="00881DFE"/>
    <w:rsid w:val="008A43D3"/>
    <w:rsid w:val="008C1A9A"/>
    <w:rsid w:val="008C7597"/>
    <w:rsid w:val="008C79EF"/>
    <w:rsid w:val="008E1CF3"/>
    <w:rsid w:val="008E779D"/>
    <w:rsid w:val="008F4AFD"/>
    <w:rsid w:val="008F699B"/>
    <w:rsid w:val="009042CC"/>
    <w:rsid w:val="00913229"/>
    <w:rsid w:val="00917DF1"/>
    <w:rsid w:val="00935A41"/>
    <w:rsid w:val="00941D63"/>
    <w:rsid w:val="00944942"/>
    <w:rsid w:val="00953C26"/>
    <w:rsid w:val="0095764C"/>
    <w:rsid w:val="00960BC6"/>
    <w:rsid w:val="0096762A"/>
    <w:rsid w:val="00971BC1"/>
    <w:rsid w:val="00977FA3"/>
    <w:rsid w:val="009973E8"/>
    <w:rsid w:val="00997D9B"/>
    <w:rsid w:val="009A634B"/>
    <w:rsid w:val="009B5EDA"/>
    <w:rsid w:val="009C0E9F"/>
    <w:rsid w:val="009C337E"/>
    <w:rsid w:val="009D2522"/>
    <w:rsid w:val="009D3165"/>
    <w:rsid w:val="009D4C2B"/>
    <w:rsid w:val="009E22EB"/>
    <w:rsid w:val="00A07B54"/>
    <w:rsid w:val="00A1359E"/>
    <w:rsid w:val="00A14177"/>
    <w:rsid w:val="00A242C8"/>
    <w:rsid w:val="00A3327E"/>
    <w:rsid w:val="00A57E6C"/>
    <w:rsid w:val="00A82E67"/>
    <w:rsid w:val="00A900F2"/>
    <w:rsid w:val="00A91D07"/>
    <w:rsid w:val="00AA068F"/>
    <w:rsid w:val="00AA30CD"/>
    <w:rsid w:val="00AC229C"/>
    <w:rsid w:val="00AC24EB"/>
    <w:rsid w:val="00AC700C"/>
    <w:rsid w:val="00AD3352"/>
    <w:rsid w:val="00AD755C"/>
    <w:rsid w:val="00AE18D1"/>
    <w:rsid w:val="00AE79A4"/>
    <w:rsid w:val="00B03B6D"/>
    <w:rsid w:val="00B13620"/>
    <w:rsid w:val="00B15955"/>
    <w:rsid w:val="00B21E34"/>
    <w:rsid w:val="00B377AA"/>
    <w:rsid w:val="00B476C1"/>
    <w:rsid w:val="00B5576E"/>
    <w:rsid w:val="00B73BF7"/>
    <w:rsid w:val="00B80FDB"/>
    <w:rsid w:val="00B834AA"/>
    <w:rsid w:val="00B83FCB"/>
    <w:rsid w:val="00B8720D"/>
    <w:rsid w:val="00BA7DB8"/>
    <w:rsid w:val="00BB7CC4"/>
    <w:rsid w:val="00BC0A0E"/>
    <w:rsid w:val="00BC43BB"/>
    <w:rsid w:val="00BC57CF"/>
    <w:rsid w:val="00BD5D02"/>
    <w:rsid w:val="00BE736E"/>
    <w:rsid w:val="00BE75A8"/>
    <w:rsid w:val="00C160C2"/>
    <w:rsid w:val="00C23393"/>
    <w:rsid w:val="00C26208"/>
    <w:rsid w:val="00C34AE4"/>
    <w:rsid w:val="00C43E38"/>
    <w:rsid w:val="00C45EBF"/>
    <w:rsid w:val="00C51CCC"/>
    <w:rsid w:val="00C525C1"/>
    <w:rsid w:val="00C55333"/>
    <w:rsid w:val="00C65F08"/>
    <w:rsid w:val="00C74F8F"/>
    <w:rsid w:val="00C8680B"/>
    <w:rsid w:val="00CB4654"/>
    <w:rsid w:val="00CC3C2F"/>
    <w:rsid w:val="00CC59C6"/>
    <w:rsid w:val="00CC5B7E"/>
    <w:rsid w:val="00CE3599"/>
    <w:rsid w:val="00CF6F20"/>
    <w:rsid w:val="00D334DA"/>
    <w:rsid w:val="00D461BD"/>
    <w:rsid w:val="00D50F3A"/>
    <w:rsid w:val="00D52C0A"/>
    <w:rsid w:val="00D5734C"/>
    <w:rsid w:val="00D71723"/>
    <w:rsid w:val="00D804CC"/>
    <w:rsid w:val="00D821DE"/>
    <w:rsid w:val="00DA020C"/>
    <w:rsid w:val="00DA4DD1"/>
    <w:rsid w:val="00DC0ED4"/>
    <w:rsid w:val="00DC5CFB"/>
    <w:rsid w:val="00DC6A1D"/>
    <w:rsid w:val="00DD65D9"/>
    <w:rsid w:val="00DF216F"/>
    <w:rsid w:val="00DF5D60"/>
    <w:rsid w:val="00E146DA"/>
    <w:rsid w:val="00E54AE9"/>
    <w:rsid w:val="00E57FFC"/>
    <w:rsid w:val="00E91E0E"/>
    <w:rsid w:val="00E94AED"/>
    <w:rsid w:val="00EA3733"/>
    <w:rsid w:val="00EC0D90"/>
    <w:rsid w:val="00EC4D71"/>
    <w:rsid w:val="00ED111A"/>
    <w:rsid w:val="00EE3FFB"/>
    <w:rsid w:val="00EE4E17"/>
    <w:rsid w:val="00EF4CA6"/>
    <w:rsid w:val="00F07711"/>
    <w:rsid w:val="00F16169"/>
    <w:rsid w:val="00F27764"/>
    <w:rsid w:val="00F3456C"/>
    <w:rsid w:val="00F54CEF"/>
    <w:rsid w:val="00F62726"/>
    <w:rsid w:val="00F63D7B"/>
    <w:rsid w:val="00F75BFD"/>
    <w:rsid w:val="00F86451"/>
    <w:rsid w:val="00F92471"/>
    <w:rsid w:val="00FB7C14"/>
    <w:rsid w:val="00FC47E7"/>
    <w:rsid w:val="00FD0D1E"/>
    <w:rsid w:val="00FD7281"/>
    <w:rsid w:val="00FE0995"/>
    <w:rsid w:val="00FE5E0E"/>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7B774-2B0E-4014-A4DB-7A7024C2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 w:type="paragraph" w:styleId="Footer">
    <w:name w:val="footer"/>
    <w:basedOn w:val="Normal"/>
    <w:link w:val="FooterChar"/>
    <w:uiPriority w:val="99"/>
    <w:unhideWhenUsed/>
    <w:rsid w:val="007B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3D"/>
  </w:style>
  <w:style w:type="paragraph" w:customStyle="1" w:styleId="western">
    <w:name w:val="western"/>
    <w:basedOn w:val="Normal"/>
    <w:rsid w:val="00AA30C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semiHidden/>
    <w:unhideWhenUsed/>
    <w:rsid w:val="00AA30CD"/>
    <w:rPr>
      <w:color w:val="0000FF"/>
      <w:u w:val="single"/>
    </w:rPr>
  </w:style>
  <w:style w:type="paragraph" w:styleId="BalloonText">
    <w:name w:val="Balloon Text"/>
    <w:basedOn w:val="Normal"/>
    <w:link w:val="BalloonTextChar"/>
    <w:uiPriority w:val="99"/>
    <w:semiHidden/>
    <w:unhideWhenUsed/>
    <w:rsid w:val="002C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3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2020-12-06T18:30:00+00:00</Judgment_x0020_Date>
    <Year xmlns="c1afb1bd-f2fb-40fd-9abb-aea55b4d7662">2020</Year>
  </documentManagement>
</p:properties>
</file>

<file path=customXml/itemProps1.xml><?xml version="1.0" encoding="utf-8"?>
<ds:datastoreItem xmlns:ds="http://schemas.openxmlformats.org/officeDocument/2006/customXml" ds:itemID="{F1D43405-064D-462E-9B76-4427BE39745A}"/>
</file>

<file path=customXml/itemProps2.xml><?xml version="1.0" encoding="utf-8"?>
<ds:datastoreItem xmlns:ds="http://schemas.openxmlformats.org/officeDocument/2006/customXml" ds:itemID="{3BBE6855-4C97-4436-8015-B9D88A1B15AB}"/>
</file>

<file path=customXml/itemProps3.xml><?xml version="1.0" encoding="utf-8"?>
<ds:datastoreItem xmlns:ds="http://schemas.openxmlformats.org/officeDocument/2006/customXml" ds:itemID="{F0EBB3B0-C36F-4B73-981F-84E913F46344}"/>
</file>

<file path=customXml/itemProps4.xml><?xml version="1.0" encoding="utf-8"?>
<ds:datastoreItem xmlns:ds="http://schemas.openxmlformats.org/officeDocument/2006/customXml" ds:itemID="{34652C20-AAFF-414B-9F10-5062AC15EB96}"/>
</file>

<file path=docProps/app.xml><?xml version="1.0" encoding="utf-8"?>
<Properties xmlns="http://schemas.openxmlformats.org/officeDocument/2006/extended-properties" xmlns:vt="http://schemas.openxmlformats.org/officeDocument/2006/docPropsVTypes">
  <Template>Normal</Template>
  <TotalTime>0</TotalTime>
  <Pages>14</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Ltd v Kock Investments (HC-MD-CIV-ACT- CON-2020-03329) [2020] NAHCMD 574 (7 December 2020)</dc:title>
  <dc:creator>Priscilla Nande</dc:creator>
  <cp:lastModifiedBy>Administrator</cp:lastModifiedBy>
  <cp:revision>2</cp:revision>
  <cp:lastPrinted>2020-12-07T13:41:00Z</cp:lastPrinted>
  <dcterms:created xsi:type="dcterms:W3CDTF">2020-12-09T14:48:00Z</dcterms:created>
  <dcterms:modified xsi:type="dcterms:W3CDTF">2020-12-09T14:48:00Z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