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628" w:rsidRPr="009C6628" w:rsidRDefault="009C6628" w:rsidP="009C6628">
      <w:pPr>
        <w:jc w:val="center"/>
        <w:rPr>
          <w:rFonts w:ascii="Arial" w:hAnsi="Arial" w:cs="Arial"/>
          <w:sz w:val="24"/>
          <w:szCs w:val="24"/>
          <w:lang w:val="en-US"/>
        </w:rPr>
      </w:pPr>
      <w:bookmarkStart w:id="0" w:name="_GoBack"/>
      <w:bookmarkEnd w:id="0"/>
      <w:r w:rsidRPr="009C6628">
        <w:rPr>
          <w:lang w:val="en-US"/>
        </w:rPr>
        <w:t>“</w:t>
      </w:r>
      <w:r w:rsidRPr="009C6628">
        <w:rPr>
          <w:rFonts w:ascii="Arial" w:hAnsi="Arial" w:cs="Arial"/>
          <w:sz w:val="24"/>
          <w:szCs w:val="24"/>
          <w:lang w:val="en-US"/>
        </w:rPr>
        <w:t>ANNEXURE 11”</w:t>
      </w:r>
    </w:p>
    <w:p w:rsidR="009C6628" w:rsidRPr="009C6628" w:rsidRDefault="009C6628" w:rsidP="009C6628">
      <w:pPr>
        <w:jc w:val="center"/>
        <w:rPr>
          <w:rFonts w:ascii="Arial" w:hAnsi="Arial" w:cs="Arial"/>
          <w:sz w:val="24"/>
          <w:szCs w:val="24"/>
          <w:lang w:val="en-US"/>
        </w:rPr>
      </w:pPr>
      <w:r w:rsidRPr="009C6628">
        <w:rPr>
          <w:rFonts w:ascii="Arial" w:hAnsi="Arial" w:cs="Arial"/>
          <w:sz w:val="24"/>
          <w:szCs w:val="24"/>
          <w:lang w:val="en-US"/>
        </w:rPr>
        <w:t>Practice Direction 61</w:t>
      </w:r>
    </w:p>
    <w:p w:rsidR="009C6628" w:rsidRPr="009C6628" w:rsidRDefault="009C6628" w:rsidP="009C6628">
      <w:pPr>
        <w:jc w:val="center"/>
        <w:rPr>
          <w:rFonts w:ascii="Arial" w:hAnsi="Arial" w:cs="Arial"/>
          <w:b/>
          <w:sz w:val="24"/>
          <w:szCs w:val="24"/>
          <w:lang w:val="en-US"/>
        </w:rPr>
      </w:pPr>
      <w:r w:rsidRPr="009C6628">
        <w:rPr>
          <w:rFonts w:ascii="Arial" w:hAnsi="Arial" w:cs="Arial"/>
          <w:b/>
          <w:sz w:val="24"/>
          <w:szCs w:val="24"/>
          <w:lang w:val="en-US"/>
        </w:rPr>
        <w:t>IN THE HIGH COURT OF NAMIBIA</w:t>
      </w:r>
    </w:p>
    <w:p w:rsidR="009C6628" w:rsidRPr="009C6628" w:rsidRDefault="009C6628" w:rsidP="009C6628">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9C6628" w:rsidRPr="009C6628" w:rsidTr="00B52D45">
        <w:tc>
          <w:tcPr>
            <w:tcW w:w="4950" w:type="dxa"/>
            <w:vMerge w:val="restart"/>
          </w:tcPr>
          <w:p w:rsidR="009C6628" w:rsidRPr="009C6628" w:rsidRDefault="009C6628" w:rsidP="009C6628">
            <w:pPr>
              <w:spacing w:line="360" w:lineRule="auto"/>
              <w:rPr>
                <w:rFonts w:ascii="Arial" w:hAnsi="Arial" w:cs="Arial"/>
                <w:b/>
                <w:sz w:val="24"/>
                <w:szCs w:val="24"/>
                <w:lang w:val="en-US"/>
              </w:rPr>
            </w:pPr>
            <w:r w:rsidRPr="009C6628">
              <w:rPr>
                <w:rFonts w:ascii="Arial" w:hAnsi="Arial" w:cs="Arial"/>
                <w:b/>
                <w:sz w:val="24"/>
                <w:szCs w:val="24"/>
                <w:lang w:val="en-US"/>
              </w:rPr>
              <w:t>Case Title:</w:t>
            </w:r>
          </w:p>
          <w:p w:rsidR="009C6628" w:rsidRPr="009C6628" w:rsidRDefault="009C6628" w:rsidP="009C6628">
            <w:pPr>
              <w:spacing w:line="360" w:lineRule="auto"/>
              <w:rPr>
                <w:rFonts w:ascii="Arial" w:hAnsi="Arial" w:cs="Arial"/>
                <w:i/>
                <w:sz w:val="24"/>
                <w:szCs w:val="24"/>
                <w:lang w:val="en-US"/>
              </w:rPr>
            </w:pPr>
            <w:r>
              <w:rPr>
                <w:rFonts w:ascii="Arial" w:hAnsi="Arial" w:cs="Arial"/>
                <w:i/>
                <w:sz w:val="24"/>
                <w:szCs w:val="24"/>
                <w:lang w:val="en-US"/>
              </w:rPr>
              <w:t>Enviro-fill</w:t>
            </w:r>
            <w:r w:rsidR="00112B41">
              <w:rPr>
                <w:rFonts w:ascii="Arial" w:hAnsi="Arial" w:cs="Arial"/>
                <w:i/>
                <w:sz w:val="24"/>
                <w:szCs w:val="24"/>
                <w:lang w:val="en-US"/>
              </w:rPr>
              <w:t xml:space="preserve"> Namibia (Pty) Ltd</w:t>
            </w:r>
            <w:r>
              <w:rPr>
                <w:rFonts w:ascii="Arial" w:hAnsi="Arial" w:cs="Arial"/>
                <w:i/>
                <w:sz w:val="24"/>
                <w:szCs w:val="24"/>
                <w:lang w:val="en-US"/>
              </w:rPr>
              <w:t xml:space="preserve"> v Council for the Municipality of Tsumeb</w:t>
            </w:r>
          </w:p>
        </w:tc>
        <w:tc>
          <w:tcPr>
            <w:tcW w:w="5130" w:type="dxa"/>
          </w:tcPr>
          <w:p w:rsidR="009C6628" w:rsidRPr="009C6628" w:rsidRDefault="009C6628" w:rsidP="009C6628">
            <w:pPr>
              <w:spacing w:line="360" w:lineRule="auto"/>
              <w:rPr>
                <w:rFonts w:ascii="Arial" w:hAnsi="Arial" w:cs="Arial"/>
                <w:b/>
                <w:sz w:val="24"/>
                <w:szCs w:val="24"/>
                <w:lang w:val="en-US"/>
              </w:rPr>
            </w:pPr>
            <w:r w:rsidRPr="009C6628">
              <w:rPr>
                <w:rFonts w:ascii="Arial" w:hAnsi="Arial" w:cs="Arial"/>
                <w:b/>
                <w:sz w:val="24"/>
                <w:szCs w:val="24"/>
                <w:lang w:val="en-US"/>
              </w:rPr>
              <w:t>Case No.:</w:t>
            </w:r>
          </w:p>
          <w:p w:rsidR="009C6628" w:rsidRPr="009C6628" w:rsidRDefault="009C6628" w:rsidP="009C6628">
            <w:pPr>
              <w:spacing w:line="360" w:lineRule="auto"/>
              <w:rPr>
                <w:rFonts w:ascii="Arial" w:hAnsi="Arial" w:cs="Arial"/>
                <w:sz w:val="24"/>
                <w:szCs w:val="24"/>
                <w:lang w:val="en-US"/>
              </w:rPr>
            </w:pPr>
            <w:r>
              <w:rPr>
                <w:rFonts w:ascii="Arial" w:hAnsi="Arial" w:cs="Arial"/>
                <w:sz w:val="24"/>
                <w:szCs w:val="24"/>
                <w:lang w:val="en-US"/>
              </w:rPr>
              <w:t>I 6045/2014</w:t>
            </w:r>
          </w:p>
          <w:p w:rsidR="009C6628" w:rsidRPr="009C6628" w:rsidRDefault="009C6628" w:rsidP="009C6628">
            <w:pPr>
              <w:spacing w:line="360" w:lineRule="auto"/>
              <w:rPr>
                <w:rFonts w:ascii="Arial" w:hAnsi="Arial" w:cs="Arial"/>
                <w:sz w:val="24"/>
                <w:szCs w:val="24"/>
                <w:lang w:val="en-US"/>
              </w:rPr>
            </w:pPr>
          </w:p>
        </w:tc>
      </w:tr>
      <w:tr w:rsidR="009C6628" w:rsidRPr="009C6628" w:rsidTr="00B52D45">
        <w:tc>
          <w:tcPr>
            <w:tcW w:w="4950" w:type="dxa"/>
            <w:vMerge/>
          </w:tcPr>
          <w:p w:rsidR="009C6628" w:rsidRPr="009C6628" w:rsidRDefault="009C6628" w:rsidP="009C6628">
            <w:pPr>
              <w:spacing w:line="360" w:lineRule="auto"/>
              <w:rPr>
                <w:rFonts w:ascii="Arial" w:hAnsi="Arial" w:cs="Arial"/>
                <w:sz w:val="24"/>
                <w:szCs w:val="24"/>
                <w:lang w:val="en-US"/>
              </w:rPr>
            </w:pPr>
          </w:p>
        </w:tc>
        <w:tc>
          <w:tcPr>
            <w:tcW w:w="5130" w:type="dxa"/>
          </w:tcPr>
          <w:p w:rsidR="009C6628" w:rsidRPr="009C6628" w:rsidRDefault="009C6628" w:rsidP="009C6628">
            <w:pPr>
              <w:spacing w:line="360" w:lineRule="auto"/>
              <w:rPr>
                <w:rFonts w:ascii="Arial" w:hAnsi="Arial" w:cs="Arial"/>
                <w:sz w:val="24"/>
                <w:szCs w:val="24"/>
                <w:lang w:val="en-US"/>
              </w:rPr>
            </w:pPr>
            <w:r w:rsidRPr="009C6628">
              <w:rPr>
                <w:rFonts w:ascii="Arial" w:hAnsi="Arial" w:cs="Arial"/>
                <w:b/>
                <w:sz w:val="24"/>
                <w:szCs w:val="24"/>
                <w:lang w:val="en-US"/>
              </w:rPr>
              <w:t>Division of Court</w:t>
            </w:r>
            <w:r w:rsidRPr="009C6628">
              <w:rPr>
                <w:rFonts w:ascii="Arial" w:hAnsi="Arial" w:cs="Arial"/>
                <w:sz w:val="24"/>
                <w:szCs w:val="24"/>
                <w:lang w:val="en-US"/>
              </w:rPr>
              <w:t>:</w:t>
            </w:r>
          </w:p>
          <w:p w:rsidR="009C6628" w:rsidRPr="009C6628" w:rsidRDefault="009C6628" w:rsidP="009C6628">
            <w:pPr>
              <w:spacing w:line="360" w:lineRule="auto"/>
              <w:rPr>
                <w:rFonts w:ascii="Arial" w:hAnsi="Arial" w:cs="Arial"/>
                <w:sz w:val="24"/>
                <w:szCs w:val="24"/>
                <w:lang w:val="en-US"/>
              </w:rPr>
            </w:pPr>
            <w:r w:rsidRPr="009C6628">
              <w:rPr>
                <w:rFonts w:ascii="Arial" w:hAnsi="Arial" w:cs="Arial"/>
                <w:sz w:val="24"/>
                <w:szCs w:val="24"/>
                <w:lang w:val="en-US"/>
              </w:rPr>
              <w:t>High Court (Main Division)</w:t>
            </w:r>
          </w:p>
          <w:p w:rsidR="009C6628" w:rsidRPr="009C6628" w:rsidRDefault="009C6628" w:rsidP="009C6628">
            <w:pPr>
              <w:spacing w:line="360" w:lineRule="auto"/>
              <w:rPr>
                <w:rFonts w:ascii="Arial" w:hAnsi="Arial" w:cs="Arial"/>
                <w:sz w:val="24"/>
                <w:szCs w:val="24"/>
                <w:lang w:val="en-US"/>
              </w:rPr>
            </w:pPr>
          </w:p>
        </w:tc>
      </w:tr>
      <w:tr w:rsidR="009C6628" w:rsidRPr="009C6628" w:rsidTr="00B52D45">
        <w:tc>
          <w:tcPr>
            <w:tcW w:w="4950" w:type="dxa"/>
            <w:vMerge w:val="restart"/>
          </w:tcPr>
          <w:p w:rsidR="009C6628" w:rsidRPr="009C6628" w:rsidRDefault="009C6628" w:rsidP="009C6628">
            <w:pPr>
              <w:spacing w:line="360" w:lineRule="auto"/>
              <w:rPr>
                <w:rFonts w:ascii="Arial" w:hAnsi="Arial" w:cs="Arial"/>
                <w:b/>
                <w:sz w:val="24"/>
                <w:szCs w:val="24"/>
                <w:lang w:val="en-US"/>
              </w:rPr>
            </w:pPr>
            <w:r w:rsidRPr="009C6628">
              <w:rPr>
                <w:rFonts w:ascii="Arial" w:hAnsi="Arial" w:cs="Arial"/>
                <w:b/>
                <w:sz w:val="24"/>
                <w:szCs w:val="24"/>
                <w:lang w:val="en-US"/>
              </w:rPr>
              <w:t>Heard/tried before:</w:t>
            </w:r>
          </w:p>
          <w:p w:rsidR="009C6628" w:rsidRPr="009C6628" w:rsidRDefault="009C6628" w:rsidP="009C6628">
            <w:pPr>
              <w:spacing w:line="360" w:lineRule="auto"/>
              <w:rPr>
                <w:rFonts w:ascii="Arial" w:hAnsi="Arial" w:cs="Arial"/>
                <w:sz w:val="24"/>
                <w:szCs w:val="24"/>
                <w:lang w:val="en-US"/>
              </w:rPr>
            </w:pPr>
            <w:r w:rsidRPr="009C6628">
              <w:rPr>
                <w:rFonts w:ascii="Arial" w:hAnsi="Arial" w:cs="Arial"/>
                <w:sz w:val="24"/>
                <w:szCs w:val="24"/>
                <w:lang w:val="en-US"/>
              </w:rPr>
              <w:t>Honourable Mr Justice B Usiku J</w:t>
            </w:r>
          </w:p>
        </w:tc>
        <w:tc>
          <w:tcPr>
            <w:tcW w:w="5130" w:type="dxa"/>
          </w:tcPr>
          <w:p w:rsidR="009C6628" w:rsidRPr="009C6628" w:rsidRDefault="009C6628" w:rsidP="009C6628">
            <w:pPr>
              <w:spacing w:line="360" w:lineRule="auto"/>
              <w:rPr>
                <w:rFonts w:ascii="Arial" w:hAnsi="Arial" w:cs="Arial"/>
                <w:b/>
                <w:sz w:val="24"/>
                <w:szCs w:val="24"/>
                <w:lang w:val="en-US"/>
              </w:rPr>
            </w:pPr>
            <w:r w:rsidRPr="009C6628">
              <w:rPr>
                <w:rFonts w:ascii="Arial" w:hAnsi="Arial" w:cs="Arial"/>
                <w:b/>
                <w:sz w:val="24"/>
                <w:szCs w:val="24"/>
                <w:lang w:val="en-US"/>
              </w:rPr>
              <w:t>Date of hearing:</w:t>
            </w:r>
          </w:p>
          <w:p w:rsidR="009C6628" w:rsidRPr="009C6628" w:rsidRDefault="009C6628" w:rsidP="009C6628">
            <w:pPr>
              <w:spacing w:line="360" w:lineRule="auto"/>
              <w:rPr>
                <w:rFonts w:ascii="Arial" w:hAnsi="Arial" w:cs="Arial"/>
                <w:sz w:val="24"/>
                <w:szCs w:val="24"/>
                <w:lang w:val="en-US"/>
              </w:rPr>
            </w:pPr>
            <w:r>
              <w:rPr>
                <w:rFonts w:ascii="Arial" w:hAnsi="Arial" w:cs="Arial"/>
                <w:sz w:val="24"/>
                <w:szCs w:val="24"/>
                <w:lang w:val="en-US"/>
              </w:rPr>
              <w:t>04 February 2020</w:t>
            </w:r>
          </w:p>
          <w:p w:rsidR="009C6628" w:rsidRPr="009C6628" w:rsidRDefault="009C6628" w:rsidP="009C6628">
            <w:pPr>
              <w:spacing w:line="360" w:lineRule="auto"/>
              <w:rPr>
                <w:rFonts w:ascii="Arial" w:hAnsi="Arial" w:cs="Arial"/>
                <w:sz w:val="24"/>
                <w:szCs w:val="24"/>
                <w:lang w:val="en-US"/>
              </w:rPr>
            </w:pPr>
          </w:p>
        </w:tc>
      </w:tr>
      <w:tr w:rsidR="009C6628" w:rsidRPr="009C6628" w:rsidTr="00B52D45">
        <w:tc>
          <w:tcPr>
            <w:tcW w:w="4950" w:type="dxa"/>
            <w:vMerge/>
          </w:tcPr>
          <w:p w:rsidR="009C6628" w:rsidRPr="009C6628" w:rsidRDefault="009C6628" w:rsidP="009C6628">
            <w:pPr>
              <w:rPr>
                <w:rFonts w:ascii="Arial" w:hAnsi="Arial" w:cs="Arial"/>
                <w:b/>
                <w:sz w:val="24"/>
                <w:szCs w:val="24"/>
                <w:lang w:val="en-US"/>
              </w:rPr>
            </w:pPr>
          </w:p>
        </w:tc>
        <w:tc>
          <w:tcPr>
            <w:tcW w:w="5130" w:type="dxa"/>
          </w:tcPr>
          <w:p w:rsidR="009C6628" w:rsidRPr="009C6628" w:rsidRDefault="009C6628" w:rsidP="009C6628">
            <w:pPr>
              <w:spacing w:line="360" w:lineRule="auto"/>
              <w:rPr>
                <w:rFonts w:ascii="Arial" w:hAnsi="Arial" w:cs="Arial"/>
                <w:b/>
                <w:sz w:val="24"/>
                <w:szCs w:val="24"/>
                <w:lang w:val="en-US"/>
              </w:rPr>
            </w:pPr>
            <w:r w:rsidRPr="009C6628">
              <w:rPr>
                <w:rFonts w:ascii="Arial" w:hAnsi="Arial" w:cs="Arial"/>
                <w:b/>
                <w:sz w:val="24"/>
                <w:szCs w:val="24"/>
                <w:lang w:val="en-US"/>
              </w:rPr>
              <w:t>Delivered on:</w:t>
            </w:r>
          </w:p>
          <w:p w:rsidR="009C6628" w:rsidRPr="009C6628" w:rsidRDefault="009C6628" w:rsidP="009C6628">
            <w:pPr>
              <w:spacing w:line="360" w:lineRule="auto"/>
              <w:rPr>
                <w:rFonts w:ascii="Arial" w:hAnsi="Arial" w:cs="Arial"/>
                <w:sz w:val="24"/>
                <w:szCs w:val="24"/>
                <w:lang w:val="en-US"/>
              </w:rPr>
            </w:pPr>
            <w:r>
              <w:rPr>
                <w:rFonts w:ascii="Arial" w:hAnsi="Arial" w:cs="Arial"/>
                <w:sz w:val="24"/>
                <w:szCs w:val="24"/>
                <w:lang w:val="en-US"/>
              </w:rPr>
              <w:t>21 February 2020</w:t>
            </w:r>
          </w:p>
          <w:p w:rsidR="009C6628" w:rsidRPr="009C6628" w:rsidRDefault="009C6628" w:rsidP="009C6628">
            <w:pPr>
              <w:spacing w:line="360" w:lineRule="auto"/>
              <w:rPr>
                <w:rFonts w:ascii="Arial" w:hAnsi="Arial" w:cs="Arial"/>
                <w:b/>
                <w:sz w:val="24"/>
                <w:szCs w:val="24"/>
                <w:lang w:val="en-US"/>
              </w:rPr>
            </w:pPr>
          </w:p>
        </w:tc>
      </w:tr>
      <w:tr w:rsidR="009C6628" w:rsidRPr="009C6628" w:rsidTr="00B52D45">
        <w:tc>
          <w:tcPr>
            <w:tcW w:w="10080" w:type="dxa"/>
            <w:gridSpan w:val="2"/>
          </w:tcPr>
          <w:p w:rsidR="009C6628" w:rsidRPr="009C6628" w:rsidRDefault="009C6628" w:rsidP="009C6628">
            <w:pPr>
              <w:spacing w:line="360" w:lineRule="auto"/>
              <w:rPr>
                <w:rFonts w:ascii="Arial" w:hAnsi="Arial" w:cs="Arial"/>
                <w:sz w:val="24"/>
                <w:szCs w:val="24"/>
                <w:lang w:val="en-US"/>
              </w:rPr>
            </w:pPr>
            <w:r w:rsidRPr="009C6628">
              <w:rPr>
                <w:rFonts w:ascii="Arial" w:hAnsi="Arial" w:cs="Arial"/>
                <w:b/>
                <w:sz w:val="24"/>
                <w:szCs w:val="24"/>
                <w:lang w:val="en-US"/>
              </w:rPr>
              <w:t xml:space="preserve">Neutral citation: </w:t>
            </w:r>
            <w:r>
              <w:rPr>
                <w:rFonts w:ascii="Arial" w:hAnsi="Arial" w:cs="Arial"/>
                <w:b/>
                <w:sz w:val="24"/>
                <w:szCs w:val="24"/>
                <w:lang w:val="en-US"/>
              </w:rPr>
              <w:t xml:space="preserve"> </w:t>
            </w:r>
            <w:r>
              <w:rPr>
                <w:rFonts w:ascii="Arial" w:hAnsi="Arial" w:cs="Arial"/>
                <w:i/>
                <w:sz w:val="24"/>
                <w:szCs w:val="24"/>
                <w:lang w:val="en-US"/>
              </w:rPr>
              <w:t xml:space="preserve">Enviro-fill </w:t>
            </w:r>
            <w:r w:rsidR="00112B41">
              <w:rPr>
                <w:rFonts w:ascii="Arial" w:hAnsi="Arial" w:cs="Arial"/>
                <w:i/>
                <w:sz w:val="24"/>
                <w:szCs w:val="24"/>
                <w:lang w:val="en-US"/>
              </w:rPr>
              <w:t xml:space="preserve">Namibia (Pty) Ltd </w:t>
            </w:r>
            <w:r>
              <w:rPr>
                <w:rFonts w:ascii="Arial" w:hAnsi="Arial" w:cs="Arial"/>
                <w:i/>
                <w:sz w:val="24"/>
                <w:szCs w:val="24"/>
                <w:lang w:val="en-US"/>
              </w:rPr>
              <w:t>v Council for the Municipality of Tsumeb</w:t>
            </w:r>
            <w:r w:rsidRPr="00AD53FC">
              <w:rPr>
                <w:rFonts w:ascii="Arial" w:hAnsi="Arial" w:cs="Arial"/>
                <w:sz w:val="24"/>
                <w:szCs w:val="24"/>
                <w:lang w:val="en-US"/>
              </w:rPr>
              <w:t xml:space="preserve"> (</w:t>
            </w:r>
            <w:r w:rsidRPr="009C6628">
              <w:rPr>
                <w:rFonts w:ascii="Arial" w:hAnsi="Arial" w:cs="Arial"/>
                <w:sz w:val="24"/>
                <w:szCs w:val="24"/>
                <w:lang w:val="en-US"/>
              </w:rPr>
              <w:t>I</w:t>
            </w:r>
            <w:r>
              <w:rPr>
                <w:rFonts w:ascii="Arial" w:hAnsi="Arial" w:cs="Arial"/>
                <w:sz w:val="24"/>
                <w:szCs w:val="24"/>
                <w:lang w:val="en-US"/>
              </w:rPr>
              <w:t xml:space="preserve"> 6045/2014)</w:t>
            </w:r>
            <w:r w:rsidRPr="009C6628">
              <w:rPr>
                <w:rFonts w:ascii="Arial" w:hAnsi="Arial" w:cs="Arial"/>
                <w:sz w:val="24"/>
                <w:szCs w:val="24"/>
                <w:lang w:val="en-US"/>
              </w:rPr>
              <w:t xml:space="preserve"> </w:t>
            </w:r>
            <w:r w:rsidR="007E36E9">
              <w:rPr>
                <w:rFonts w:ascii="Arial" w:hAnsi="Arial" w:cs="Arial"/>
                <w:sz w:val="24"/>
                <w:szCs w:val="24"/>
                <w:lang w:val="en-US"/>
              </w:rPr>
              <w:t>[20</w:t>
            </w:r>
            <w:r w:rsidR="006349D7">
              <w:rPr>
                <w:rFonts w:ascii="Arial" w:hAnsi="Arial" w:cs="Arial"/>
                <w:sz w:val="24"/>
                <w:szCs w:val="24"/>
                <w:lang w:val="en-US"/>
              </w:rPr>
              <w:t>20</w:t>
            </w:r>
            <w:r w:rsidR="007E36E9">
              <w:rPr>
                <w:rFonts w:ascii="Arial" w:hAnsi="Arial" w:cs="Arial"/>
                <w:sz w:val="24"/>
                <w:szCs w:val="24"/>
                <w:lang w:val="en-US"/>
              </w:rPr>
              <w:t>] NA</w:t>
            </w:r>
            <w:r w:rsidRPr="009C6628">
              <w:rPr>
                <w:rFonts w:ascii="Arial" w:hAnsi="Arial" w:cs="Arial"/>
                <w:sz w:val="24"/>
                <w:szCs w:val="24"/>
                <w:lang w:val="en-US"/>
              </w:rPr>
              <w:t>H</w:t>
            </w:r>
            <w:r w:rsidR="007E36E9">
              <w:rPr>
                <w:rFonts w:ascii="Arial" w:hAnsi="Arial" w:cs="Arial"/>
                <w:sz w:val="24"/>
                <w:szCs w:val="24"/>
                <w:lang w:val="en-US"/>
              </w:rPr>
              <w:t>C</w:t>
            </w:r>
            <w:r w:rsidRPr="009C6628">
              <w:rPr>
                <w:rFonts w:ascii="Arial" w:hAnsi="Arial" w:cs="Arial"/>
                <w:sz w:val="24"/>
                <w:szCs w:val="24"/>
                <w:lang w:val="en-US"/>
              </w:rPr>
              <w:t>MD</w:t>
            </w:r>
            <w:r w:rsidR="006702AE">
              <w:rPr>
                <w:rFonts w:ascii="Arial" w:hAnsi="Arial" w:cs="Arial"/>
                <w:sz w:val="24"/>
                <w:szCs w:val="24"/>
                <w:lang w:val="en-US"/>
              </w:rPr>
              <w:t xml:space="preserve"> 61</w:t>
            </w:r>
            <w:r>
              <w:rPr>
                <w:rFonts w:ascii="Arial" w:hAnsi="Arial" w:cs="Arial"/>
                <w:sz w:val="24"/>
                <w:szCs w:val="24"/>
                <w:lang w:val="en-US"/>
              </w:rPr>
              <w:t xml:space="preserve"> (21 February 2020)</w:t>
            </w:r>
          </w:p>
          <w:p w:rsidR="009C6628" w:rsidRPr="009C6628" w:rsidRDefault="009C6628" w:rsidP="009C6628">
            <w:pPr>
              <w:rPr>
                <w:rFonts w:ascii="Arial" w:hAnsi="Arial" w:cs="Arial"/>
                <w:sz w:val="24"/>
                <w:szCs w:val="24"/>
                <w:lang w:val="en-US"/>
              </w:rPr>
            </w:pPr>
          </w:p>
        </w:tc>
      </w:tr>
      <w:tr w:rsidR="009C6628" w:rsidRPr="009C6628" w:rsidTr="00B52D45">
        <w:tc>
          <w:tcPr>
            <w:tcW w:w="10080" w:type="dxa"/>
            <w:gridSpan w:val="2"/>
          </w:tcPr>
          <w:p w:rsidR="009C6628" w:rsidRPr="009C6628" w:rsidRDefault="009C6628" w:rsidP="009C6628">
            <w:pPr>
              <w:spacing w:line="360" w:lineRule="auto"/>
              <w:rPr>
                <w:rFonts w:ascii="Arial" w:hAnsi="Arial" w:cs="Arial"/>
                <w:b/>
                <w:sz w:val="24"/>
                <w:szCs w:val="24"/>
                <w:lang w:val="en-US"/>
              </w:rPr>
            </w:pPr>
          </w:p>
          <w:p w:rsidR="009C6628" w:rsidRPr="009C6628" w:rsidRDefault="009C6628" w:rsidP="009C6628">
            <w:pPr>
              <w:tabs>
                <w:tab w:val="left" w:pos="687"/>
              </w:tabs>
              <w:spacing w:line="360" w:lineRule="auto"/>
              <w:rPr>
                <w:rFonts w:ascii="Arial" w:hAnsi="Arial" w:cs="Arial"/>
                <w:b/>
                <w:sz w:val="24"/>
                <w:szCs w:val="24"/>
                <w:lang w:val="en-US"/>
              </w:rPr>
            </w:pPr>
            <w:r w:rsidRPr="009C6628">
              <w:rPr>
                <w:rFonts w:ascii="Arial" w:hAnsi="Arial" w:cs="Arial"/>
                <w:b/>
                <w:sz w:val="24"/>
                <w:szCs w:val="24"/>
                <w:lang w:val="en-US"/>
              </w:rPr>
              <w:t>The Order:</w:t>
            </w:r>
          </w:p>
          <w:p w:rsidR="009C6628" w:rsidRPr="009C6628" w:rsidRDefault="009C6628" w:rsidP="009C6628">
            <w:pPr>
              <w:spacing w:line="360" w:lineRule="auto"/>
              <w:rPr>
                <w:rFonts w:ascii="Arial" w:hAnsi="Arial" w:cs="Arial"/>
                <w:sz w:val="24"/>
                <w:szCs w:val="24"/>
                <w:lang w:val="en-US"/>
              </w:rPr>
            </w:pPr>
            <w:r w:rsidRPr="009C6628">
              <w:rPr>
                <w:rFonts w:ascii="Arial" w:hAnsi="Arial" w:cs="Arial"/>
                <w:sz w:val="24"/>
                <w:szCs w:val="24"/>
                <w:lang w:val="en-US"/>
              </w:rPr>
              <w:t xml:space="preserve">Having heard </w:t>
            </w:r>
            <w:r w:rsidR="00735D18">
              <w:rPr>
                <w:rFonts w:ascii="Arial" w:hAnsi="Arial" w:cs="Arial"/>
                <w:b/>
                <w:sz w:val="24"/>
                <w:szCs w:val="24"/>
                <w:lang w:val="en-US"/>
              </w:rPr>
              <w:t>Mrs Mushore</w:t>
            </w:r>
            <w:r w:rsidRPr="009C6628">
              <w:rPr>
                <w:rFonts w:ascii="Arial" w:hAnsi="Arial" w:cs="Arial"/>
                <w:sz w:val="24"/>
                <w:szCs w:val="24"/>
                <w:lang w:val="en-US"/>
              </w:rPr>
              <w:t xml:space="preserve"> on behalf of the Plaintiff </w:t>
            </w:r>
            <w:r w:rsidR="00D200C3">
              <w:rPr>
                <w:rFonts w:ascii="Arial" w:hAnsi="Arial" w:cs="Arial"/>
                <w:sz w:val="24"/>
                <w:szCs w:val="24"/>
                <w:lang w:val="en-US"/>
              </w:rPr>
              <w:t xml:space="preserve">and </w:t>
            </w:r>
            <w:r w:rsidR="00735D18" w:rsidRPr="00735D18">
              <w:rPr>
                <w:rFonts w:ascii="Arial" w:hAnsi="Arial" w:cs="Arial"/>
                <w:b/>
                <w:sz w:val="24"/>
                <w:szCs w:val="24"/>
                <w:lang w:val="en-US"/>
              </w:rPr>
              <w:t>Adv. Chibwana</w:t>
            </w:r>
            <w:r w:rsidR="00D200C3">
              <w:rPr>
                <w:rFonts w:ascii="Arial" w:hAnsi="Arial" w:cs="Arial"/>
                <w:sz w:val="24"/>
                <w:szCs w:val="24"/>
                <w:lang w:val="en-US"/>
              </w:rPr>
              <w:t xml:space="preserve">, on behalf of the Defendant </w:t>
            </w:r>
            <w:r w:rsidRPr="009C6628">
              <w:rPr>
                <w:rFonts w:ascii="Arial" w:hAnsi="Arial" w:cs="Arial"/>
                <w:sz w:val="24"/>
                <w:szCs w:val="24"/>
                <w:lang w:val="en-US"/>
              </w:rPr>
              <w:t>and having read documents filed of record:</w:t>
            </w:r>
          </w:p>
          <w:p w:rsidR="009C6628" w:rsidRPr="009C6628" w:rsidRDefault="009C6628" w:rsidP="00571ED4">
            <w:pPr>
              <w:rPr>
                <w:rFonts w:ascii="Arial" w:hAnsi="Arial" w:cs="Arial"/>
                <w:sz w:val="24"/>
                <w:szCs w:val="24"/>
                <w:lang w:val="en-US"/>
              </w:rPr>
            </w:pPr>
          </w:p>
          <w:p w:rsidR="009C6628" w:rsidRPr="009C6628" w:rsidRDefault="009C6628" w:rsidP="009C6628">
            <w:pPr>
              <w:spacing w:line="360" w:lineRule="auto"/>
              <w:rPr>
                <w:rFonts w:ascii="Arial" w:hAnsi="Arial" w:cs="Arial"/>
                <w:b/>
                <w:sz w:val="24"/>
                <w:szCs w:val="24"/>
                <w:lang w:val="en-US"/>
              </w:rPr>
            </w:pPr>
            <w:r w:rsidRPr="009C6628">
              <w:rPr>
                <w:rFonts w:ascii="Arial" w:hAnsi="Arial" w:cs="Arial"/>
                <w:b/>
                <w:sz w:val="24"/>
                <w:szCs w:val="24"/>
                <w:lang w:val="en-US"/>
              </w:rPr>
              <w:t>IT IS ORDERED THAT:</w:t>
            </w:r>
          </w:p>
          <w:p w:rsidR="009C6628" w:rsidRDefault="009C6628" w:rsidP="00571ED4">
            <w:pPr>
              <w:tabs>
                <w:tab w:val="left" w:pos="432"/>
              </w:tabs>
              <w:rPr>
                <w:rFonts w:ascii="Arial" w:hAnsi="Arial" w:cs="Arial"/>
                <w:sz w:val="24"/>
                <w:szCs w:val="24"/>
                <w:lang w:val="en-US"/>
              </w:rPr>
            </w:pPr>
          </w:p>
          <w:p w:rsidR="009C6628" w:rsidRDefault="009C6628" w:rsidP="009C6628">
            <w:pPr>
              <w:tabs>
                <w:tab w:val="left" w:pos="432"/>
              </w:tabs>
              <w:spacing w:line="360" w:lineRule="auto"/>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defendant’s application for leave to amend its plea</w:t>
            </w:r>
            <w:r w:rsidR="00112B41">
              <w:rPr>
                <w:rFonts w:ascii="Arial" w:hAnsi="Arial" w:cs="Arial"/>
                <w:sz w:val="24"/>
                <w:szCs w:val="24"/>
                <w:lang w:val="en-US"/>
              </w:rPr>
              <w:t>,</w:t>
            </w:r>
            <w:r>
              <w:rPr>
                <w:rFonts w:ascii="Arial" w:hAnsi="Arial" w:cs="Arial"/>
                <w:sz w:val="24"/>
                <w:szCs w:val="24"/>
                <w:lang w:val="en-US"/>
              </w:rPr>
              <w:t xml:space="preserve"> is dismissed.</w:t>
            </w:r>
          </w:p>
          <w:p w:rsidR="009C6628" w:rsidRDefault="009C6628" w:rsidP="009C6628">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defendant is ordered to pay the plaintiff’s costs occasioned by opposition to the </w:t>
            </w:r>
            <w:r>
              <w:rPr>
                <w:rFonts w:ascii="Arial" w:hAnsi="Arial" w:cs="Arial"/>
                <w:sz w:val="24"/>
                <w:szCs w:val="24"/>
                <w:lang w:val="en-US"/>
              </w:rPr>
              <w:tab/>
              <w:t xml:space="preserve">application for leave to amend such costs are to include costs of one instructing and one </w:t>
            </w:r>
            <w:r>
              <w:rPr>
                <w:rFonts w:ascii="Arial" w:hAnsi="Arial" w:cs="Arial"/>
                <w:sz w:val="24"/>
                <w:szCs w:val="24"/>
                <w:lang w:val="en-US"/>
              </w:rPr>
              <w:tab/>
              <w:t>instructed counsel.</w:t>
            </w:r>
          </w:p>
          <w:p w:rsidR="009C6628" w:rsidRDefault="009C6628" w:rsidP="009C6628">
            <w:pPr>
              <w:tabs>
                <w:tab w:val="left" w:pos="432"/>
              </w:tabs>
              <w:spacing w:line="360" w:lineRule="auto"/>
              <w:rPr>
                <w:rFonts w:ascii="Arial" w:hAnsi="Arial" w:cs="Arial"/>
                <w:sz w:val="24"/>
                <w:szCs w:val="24"/>
                <w:lang w:val="en-US"/>
              </w:rPr>
            </w:pPr>
            <w:r>
              <w:rPr>
                <w:rFonts w:ascii="Arial" w:hAnsi="Arial" w:cs="Arial"/>
                <w:sz w:val="24"/>
                <w:szCs w:val="24"/>
                <w:lang w:val="en-US"/>
              </w:rPr>
              <w:lastRenderedPageBreak/>
              <w:t>3.</w:t>
            </w:r>
            <w:r>
              <w:rPr>
                <w:rFonts w:ascii="Arial" w:hAnsi="Arial" w:cs="Arial"/>
                <w:sz w:val="24"/>
                <w:szCs w:val="24"/>
                <w:lang w:val="en-US"/>
              </w:rPr>
              <w:tab/>
              <w:t xml:space="preserve">The matter is postponed to 13 March 2020 at 08:30 in chambers for status hearing and </w:t>
            </w:r>
            <w:r>
              <w:rPr>
                <w:rFonts w:ascii="Arial" w:hAnsi="Arial" w:cs="Arial"/>
                <w:sz w:val="24"/>
                <w:szCs w:val="24"/>
                <w:lang w:val="en-US"/>
              </w:rPr>
              <w:tab/>
              <w:t>possible allocation of trial dates.</w:t>
            </w:r>
          </w:p>
          <w:p w:rsidR="009C6628" w:rsidRPr="009C6628" w:rsidRDefault="009C6628" w:rsidP="009C6628">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parties are directed to file a joint status report on or before 09 March 2020.</w:t>
            </w:r>
          </w:p>
          <w:p w:rsidR="009C6628" w:rsidRPr="009C6628" w:rsidRDefault="009C6628" w:rsidP="00571ED4">
            <w:pPr>
              <w:tabs>
                <w:tab w:val="left" w:pos="432"/>
              </w:tabs>
              <w:rPr>
                <w:rFonts w:ascii="Arial" w:hAnsi="Arial" w:cs="Arial"/>
                <w:sz w:val="24"/>
                <w:szCs w:val="24"/>
                <w:lang w:val="en-US"/>
              </w:rPr>
            </w:pPr>
          </w:p>
        </w:tc>
      </w:tr>
      <w:tr w:rsidR="009C6628" w:rsidRPr="009C6628" w:rsidTr="00B52D45">
        <w:tc>
          <w:tcPr>
            <w:tcW w:w="10080" w:type="dxa"/>
            <w:gridSpan w:val="2"/>
          </w:tcPr>
          <w:p w:rsidR="009C6628" w:rsidRPr="009C6628" w:rsidRDefault="009C6628" w:rsidP="009C6628">
            <w:pPr>
              <w:jc w:val="center"/>
              <w:rPr>
                <w:rFonts w:ascii="Arial" w:hAnsi="Arial" w:cs="Arial"/>
                <w:b/>
                <w:sz w:val="24"/>
                <w:szCs w:val="24"/>
                <w:lang w:val="en-US"/>
              </w:rPr>
            </w:pPr>
            <w:r w:rsidRPr="009C6628">
              <w:rPr>
                <w:rFonts w:ascii="Arial" w:hAnsi="Arial" w:cs="Arial"/>
                <w:b/>
                <w:sz w:val="24"/>
                <w:szCs w:val="24"/>
                <w:lang w:val="en-US"/>
              </w:rPr>
              <w:lastRenderedPageBreak/>
              <w:t>Reasons:  Practice Direction 61(9)</w:t>
            </w:r>
          </w:p>
          <w:p w:rsidR="009C6628" w:rsidRPr="009C6628" w:rsidRDefault="009C6628" w:rsidP="009C6628">
            <w:pPr>
              <w:rPr>
                <w:rFonts w:ascii="Arial" w:hAnsi="Arial" w:cs="Arial"/>
                <w:b/>
                <w:sz w:val="24"/>
                <w:szCs w:val="24"/>
                <w:lang w:val="en-US"/>
              </w:rPr>
            </w:pPr>
          </w:p>
        </w:tc>
      </w:tr>
      <w:tr w:rsidR="009C6628" w:rsidRPr="009C6628" w:rsidTr="00B52D45">
        <w:tc>
          <w:tcPr>
            <w:tcW w:w="10080" w:type="dxa"/>
            <w:gridSpan w:val="2"/>
          </w:tcPr>
          <w:p w:rsidR="009C6628" w:rsidRPr="009C6628" w:rsidRDefault="009C6628" w:rsidP="00571ED4">
            <w:pPr>
              <w:jc w:val="both"/>
              <w:rPr>
                <w:rFonts w:ascii="Arial" w:hAnsi="Arial" w:cs="Arial"/>
                <w:sz w:val="24"/>
                <w:szCs w:val="24"/>
                <w:u w:val="single"/>
                <w:lang w:val="en-US"/>
              </w:rPr>
            </w:pPr>
          </w:p>
          <w:p w:rsidR="009C6628" w:rsidRPr="009C6628" w:rsidRDefault="009C6628" w:rsidP="009C6628">
            <w:pPr>
              <w:tabs>
                <w:tab w:val="left" w:pos="702"/>
              </w:tabs>
              <w:spacing w:line="360" w:lineRule="auto"/>
              <w:jc w:val="both"/>
              <w:rPr>
                <w:rFonts w:ascii="Arial" w:hAnsi="Arial" w:cs="Arial"/>
                <w:sz w:val="24"/>
                <w:szCs w:val="24"/>
                <w:u w:val="single"/>
                <w:lang w:val="en-US"/>
              </w:rPr>
            </w:pPr>
            <w:r w:rsidRPr="009C6628">
              <w:rPr>
                <w:rFonts w:ascii="Arial" w:hAnsi="Arial" w:cs="Arial"/>
                <w:sz w:val="24"/>
                <w:szCs w:val="24"/>
                <w:u w:val="single"/>
                <w:lang w:val="en-US"/>
              </w:rPr>
              <w:t>Introduction</w:t>
            </w:r>
          </w:p>
          <w:p w:rsidR="009C6628" w:rsidRPr="009C6628" w:rsidRDefault="009C6628" w:rsidP="00571ED4">
            <w:pPr>
              <w:jc w:val="both"/>
              <w:rPr>
                <w:rFonts w:ascii="Arial" w:hAnsi="Arial" w:cs="Arial"/>
                <w:sz w:val="24"/>
                <w:szCs w:val="24"/>
                <w:lang w:val="en-US"/>
              </w:rPr>
            </w:pPr>
          </w:p>
          <w:p w:rsidR="009C6628" w:rsidRDefault="009C6628" w:rsidP="009C6628">
            <w:pPr>
              <w:tabs>
                <w:tab w:val="left" w:pos="927"/>
              </w:tabs>
              <w:spacing w:line="360" w:lineRule="auto"/>
              <w:jc w:val="both"/>
              <w:rPr>
                <w:rFonts w:ascii="Arial" w:hAnsi="Arial" w:cs="Arial"/>
                <w:sz w:val="24"/>
                <w:szCs w:val="24"/>
                <w:lang w:val="en-US"/>
              </w:rPr>
            </w:pPr>
            <w:r w:rsidRPr="009C6628">
              <w:rPr>
                <w:rFonts w:ascii="Arial" w:hAnsi="Arial" w:cs="Arial"/>
                <w:sz w:val="24"/>
                <w:szCs w:val="24"/>
                <w:lang w:val="en-US"/>
              </w:rPr>
              <w:t>[1]</w:t>
            </w:r>
            <w:r w:rsidRPr="009C6628">
              <w:rPr>
                <w:rFonts w:ascii="Arial" w:hAnsi="Arial" w:cs="Arial"/>
                <w:sz w:val="24"/>
                <w:szCs w:val="24"/>
                <w:lang w:val="en-US"/>
              </w:rPr>
              <w:tab/>
            </w:r>
            <w:r>
              <w:rPr>
                <w:rFonts w:ascii="Arial" w:hAnsi="Arial" w:cs="Arial"/>
                <w:sz w:val="24"/>
                <w:szCs w:val="24"/>
                <w:lang w:val="en-US"/>
              </w:rPr>
              <w:t>Presently before court is an application by the defendant for leave to amend its plea.  It appears that the proposed amendment is aimed at the introduction of a special plea of statutory non-compliance in respect of an agreement allegedly c</w:t>
            </w:r>
            <w:r w:rsidR="00DF0BDA">
              <w:rPr>
                <w:rFonts w:ascii="Arial" w:hAnsi="Arial" w:cs="Arial"/>
                <w:sz w:val="24"/>
                <w:szCs w:val="24"/>
                <w:lang w:val="en-US"/>
              </w:rPr>
              <w:t>oncluded by the parties after 13</w:t>
            </w:r>
            <w:r>
              <w:rPr>
                <w:rFonts w:ascii="Arial" w:hAnsi="Arial" w:cs="Arial"/>
                <w:sz w:val="24"/>
                <w:szCs w:val="24"/>
                <w:lang w:val="en-US"/>
              </w:rPr>
              <w:t xml:space="preserve"> August 2013.</w:t>
            </w:r>
          </w:p>
          <w:p w:rsidR="009C6628" w:rsidRDefault="009C6628" w:rsidP="00571ED4">
            <w:pPr>
              <w:tabs>
                <w:tab w:val="left" w:pos="927"/>
              </w:tabs>
              <w:jc w:val="both"/>
              <w:rPr>
                <w:rFonts w:ascii="Arial" w:hAnsi="Arial" w:cs="Arial"/>
                <w:sz w:val="24"/>
                <w:szCs w:val="24"/>
                <w:lang w:val="en-US"/>
              </w:rPr>
            </w:pPr>
          </w:p>
          <w:p w:rsidR="009C6628" w:rsidRDefault="007F443A"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w:t>
            </w:r>
            <w:r w:rsidR="009C6628">
              <w:rPr>
                <w:rFonts w:ascii="Arial" w:hAnsi="Arial" w:cs="Arial"/>
                <w:sz w:val="24"/>
                <w:szCs w:val="24"/>
                <w:lang w:val="en-US"/>
              </w:rPr>
              <w:t>2</w:t>
            </w:r>
            <w:r>
              <w:rPr>
                <w:rFonts w:ascii="Arial" w:hAnsi="Arial" w:cs="Arial"/>
                <w:sz w:val="24"/>
                <w:szCs w:val="24"/>
                <w:lang w:val="en-US"/>
              </w:rPr>
              <w:t>]</w:t>
            </w:r>
            <w:r w:rsidR="009C6628">
              <w:rPr>
                <w:rFonts w:ascii="Arial" w:hAnsi="Arial" w:cs="Arial"/>
                <w:sz w:val="24"/>
                <w:szCs w:val="24"/>
                <w:lang w:val="en-US"/>
              </w:rPr>
              <w:tab/>
              <w:t xml:space="preserve">This matter has a rather long history.  The plaintiff caused summons to be issued in December 2014.  It went through the judicial case management procedures and was initially set down for trial set to commence on 15 August 2016.  On the 15 August 2016 the defendant raised certain “preliminary issues” </w:t>
            </w:r>
            <w:r w:rsidR="00DF0BDA">
              <w:rPr>
                <w:rFonts w:ascii="Arial" w:hAnsi="Arial" w:cs="Arial"/>
                <w:sz w:val="24"/>
                <w:szCs w:val="24"/>
                <w:lang w:val="en-US"/>
              </w:rPr>
              <w:t>that</w:t>
            </w:r>
            <w:r w:rsidR="009C6628">
              <w:rPr>
                <w:rFonts w:ascii="Arial" w:hAnsi="Arial" w:cs="Arial"/>
                <w:sz w:val="24"/>
                <w:szCs w:val="24"/>
                <w:lang w:val="en-US"/>
              </w:rPr>
              <w:t xml:space="preserve"> led to the vacation of trial dates and a postponement.  Subsequently, the court granted the plaintiff leave to amend its particulars of claim and the defendant delivered consequential amendment to its plea.  The pleadings closed and ultimately the matter </w:t>
            </w:r>
            <w:r w:rsidR="00DF0BDA">
              <w:rPr>
                <w:rFonts w:ascii="Arial" w:hAnsi="Arial" w:cs="Arial"/>
                <w:sz w:val="24"/>
                <w:szCs w:val="24"/>
                <w:lang w:val="en-US"/>
              </w:rPr>
              <w:t xml:space="preserve">was </w:t>
            </w:r>
            <w:r w:rsidR="009C6628">
              <w:rPr>
                <w:rFonts w:ascii="Arial" w:hAnsi="Arial" w:cs="Arial"/>
                <w:sz w:val="24"/>
                <w:szCs w:val="24"/>
                <w:lang w:val="en-US"/>
              </w:rPr>
              <w:t>set down for trial for 12-16 November 2018.</w:t>
            </w:r>
          </w:p>
          <w:p w:rsidR="009C6628" w:rsidRDefault="009C6628" w:rsidP="00571ED4">
            <w:pPr>
              <w:tabs>
                <w:tab w:val="left" w:pos="927"/>
              </w:tabs>
              <w:jc w:val="both"/>
              <w:rPr>
                <w:rFonts w:ascii="Arial" w:hAnsi="Arial" w:cs="Arial"/>
                <w:sz w:val="24"/>
                <w:szCs w:val="24"/>
                <w:lang w:val="en-US"/>
              </w:rPr>
            </w:pPr>
          </w:p>
          <w:p w:rsidR="009C6628" w:rsidRDefault="007F443A"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On 12 November 2018 at the commencement of trial, the defendant submitted that there were certain outstanding “preliminary issues” which the court must adjudicate on, before trial commences.  The court ruled that there were no outstanding “preliminary issues” for determination by the court and ordered that trial should proceed.</w:t>
            </w:r>
          </w:p>
          <w:p w:rsidR="007F443A" w:rsidRDefault="007F443A" w:rsidP="00571ED4">
            <w:pPr>
              <w:tabs>
                <w:tab w:val="left" w:pos="927"/>
              </w:tabs>
              <w:jc w:val="both"/>
              <w:rPr>
                <w:rFonts w:ascii="Arial" w:hAnsi="Arial" w:cs="Arial"/>
                <w:sz w:val="24"/>
                <w:szCs w:val="24"/>
                <w:lang w:val="en-US"/>
              </w:rPr>
            </w:pPr>
          </w:p>
          <w:p w:rsidR="007F443A" w:rsidRDefault="007F443A"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defendant noted intention to take the matter on review to the Supreme Court.  This led to the vacation of trial dates and the matter was postponed.</w:t>
            </w:r>
          </w:p>
          <w:p w:rsidR="007F443A" w:rsidRDefault="007F443A" w:rsidP="00571ED4">
            <w:pPr>
              <w:tabs>
                <w:tab w:val="left" w:pos="927"/>
              </w:tabs>
              <w:jc w:val="both"/>
              <w:rPr>
                <w:rFonts w:ascii="Arial" w:hAnsi="Arial" w:cs="Arial"/>
                <w:sz w:val="24"/>
                <w:szCs w:val="24"/>
                <w:lang w:val="en-US"/>
              </w:rPr>
            </w:pPr>
          </w:p>
          <w:p w:rsidR="007F443A" w:rsidRDefault="007F443A"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defendant delivered a petition to the Supreme Court requesting the latter to exercise its review jurisdiction.</w:t>
            </w:r>
          </w:p>
          <w:p w:rsidR="007F443A" w:rsidRDefault="007F443A" w:rsidP="00571ED4">
            <w:pPr>
              <w:tabs>
                <w:tab w:val="left" w:pos="927"/>
              </w:tabs>
              <w:jc w:val="both"/>
              <w:rPr>
                <w:rFonts w:ascii="Arial" w:hAnsi="Arial" w:cs="Arial"/>
                <w:sz w:val="24"/>
                <w:szCs w:val="24"/>
                <w:lang w:val="en-US"/>
              </w:rPr>
            </w:pPr>
          </w:p>
          <w:p w:rsidR="007F443A" w:rsidRDefault="007F443A"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EA205E">
              <w:rPr>
                <w:rFonts w:ascii="Arial" w:hAnsi="Arial" w:cs="Arial"/>
                <w:sz w:val="24"/>
                <w:szCs w:val="24"/>
                <w:lang w:val="en-US"/>
              </w:rPr>
              <w:t>On 5 June 2019 the Supreme Court de</w:t>
            </w:r>
            <w:r w:rsidR="00197713">
              <w:rPr>
                <w:rFonts w:ascii="Arial" w:hAnsi="Arial" w:cs="Arial"/>
                <w:sz w:val="24"/>
                <w:szCs w:val="24"/>
                <w:lang w:val="en-US"/>
              </w:rPr>
              <w:t>clined</w:t>
            </w:r>
            <w:r w:rsidR="00EA205E">
              <w:rPr>
                <w:rFonts w:ascii="Arial" w:hAnsi="Arial" w:cs="Arial"/>
                <w:sz w:val="24"/>
                <w:szCs w:val="24"/>
                <w:lang w:val="en-US"/>
              </w:rPr>
              <w:t xml:space="preserve"> to exercise its review jurisdiction.</w:t>
            </w:r>
          </w:p>
          <w:p w:rsidR="00EA205E" w:rsidRDefault="00EA205E" w:rsidP="00571ED4">
            <w:pPr>
              <w:tabs>
                <w:tab w:val="left" w:pos="927"/>
              </w:tabs>
              <w:jc w:val="both"/>
              <w:rPr>
                <w:rFonts w:ascii="Arial" w:hAnsi="Arial" w:cs="Arial"/>
                <w:sz w:val="24"/>
                <w:szCs w:val="24"/>
                <w:lang w:val="en-US"/>
              </w:rPr>
            </w:pPr>
          </w:p>
          <w:p w:rsidR="00EA205E" w:rsidRDefault="00EA205E"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On 5 September 2019 the defendant delivered a notice to amend its plea.  The plaintiff opposes the proposed amendment and this led to the present application.</w:t>
            </w:r>
          </w:p>
          <w:p w:rsidR="00EA205E" w:rsidRDefault="00EA205E" w:rsidP="00571ED4">
            <w:pPr>
              <w:tabs>
                <w:tab w:val="left" w:pos="927"/>
              </w:tabs>
              <w:jc w:val="both"/>
              <w:rPr>
                <w:rFonts w:ascii="Arial" w:hAnsi="Arial" w:cs="Arial"/>
                <w:sz w:val="24"/>
                <w:szCs w:val="24"/>
                <w:lang w:val="en-US"/>
              </w:rPr>
            </w:pPr>
          </w:p>
          <w:p w:rsidR="00EA205E" w:rsidRPr="005236EA" w:rsidRDefault="00EA205E" w:rsidP="009C6628">
            <w:pPr>
              <w:tabs>
                <w:tab w:val="left" w:pos="927"/>
              </w:tabs>
              <w:spacing w:line="360" w:lineRule="auto"/>
              <w:jc w:val="both"/>
              <w:rPr>
                <w:rFonts w:ascii="Arial" w:hAnsi="Arial" w:cs="Arial"/>
                <w:sz w:val="24"/>
                <w:szCs w:val="24"/>
                <w:u w:val="single"/>
                <w:lang w:val="en-US"/>
              </w:rPr>
            </w:pPr>
            <w:r w:rsidRPr="005236EA">
              <w:rPr>
                <w:rFonts w:ascii="Arial" w:hAnsi="Arial" w:cs="Arial"/>
                <w:sz w:val="24"/>
                <w:szCs w:val="24"/>
                <w:u w:val="single"/>
                <w:lang w:val="en-US"/>
              </w:rPr>
              <w:t>Defendant’s application for leave to amend</w:t>
            </w:r>
          </w:p>
          <w:p w:rsidR="00EA205E" w:rsidRDefault="00EA205E" w:rsidP="00571ED4">
            <w:pPr>
              <w:tabs>
                <w:tab w:val="left" w:pos="927"/>
              </w:tabs>
              <w:jc w:val="both"/>
              <w:rPr>
                <w:rFonts w:ascii="Arial" w:hAnsi="Arial" w:cs="Arial"/>
                <w:sz w:val="24"/>
                <w:szCs w:val="24"/>
                <w:lang w:val="en-US"/>
              </w:rPr>
            </w:pPr>
          </w:p>
          <w:p w:rsidR="00EA205E" w:rsidRDefault="00EA205E"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The defendant indicates that it wishes to amend its plea by addition of the following paragraphs as a special plea:</w:t>
            </w:r>
          </w:p>
          <w:p w:rsidR="00EA205E" w:rsidRPr="00EA205E" w:rsidRDefault="00EA205E" w:rsidP="009C6628">
            <w:pPr>
              <w:tabs>
                <w:tab w:val="left" w:pos="927"/>
              </w:tabs>
              <w:spacing w:line="360" w:lineRule="auto"/>
              <w:jc w:val="both"/>
              <w:rPr>
                <w:rFonts w:ascii="Arial" w:hAnsi="Arial" w:cs="Arial"/>
                <w:lang w:val="en-US"/>
              </w:rPr>
            </w:pPr>
            <w:r>
              <w:rPr>
                <w:rFonts w:ascii="Arial" w:hAnsi="Arial" w:cs="Arial"/>
                <w:sz w:val="24"/>
                <w:szCs w:val="24"/>
                <w:lang w:val="en-US"/>
              </w:rPr>
              <w:tab/>
            </w:r>
            <w:r w:rsidRPr="00EA205E">
              <w:rPr>
                <w:rFonts w:ascii="Arial" w:hAnsi="Arial" w:cs="Arial"/>
                <w:lang w:val="en-US"/>
              </w:rPr>
              <w:t>‘Ultra vires:</w:t>
            </w:r>
          </w:p>
          <w:p w:rsidR="00EA205E" w:rsidRDefault="000B270D" w:rsidP="009C6628">
            <w:pPr>
              <w:tabs>
                <w:tab w:val="left" w:pos="927"/>
              </w:tabs>
              <w:spacing w:line="360" w:lineRule="auto"/>
              <w:jc w:val="both"/>
              <w:rPr>
                <w:rFonts w:ascii="Arial" w:hAnsi="Arial" w:cs="Arial"/>
                <w:lang w:val="en-US"/>
              </w:rPr>
            </w:pPr>
            <w:r>
              <w:rPr>
                <w:rFonts w:ascii="Arial" w:hAnsi="Arial" w:cs="Arial"/>
                <w:lang w:val="en-US"/>
              </w:rPr>
              <w:tab/>
              <w:t xml:space="preserve">The defendant is obliged to comply with the provisions of Section 31 A of the Local Authorities </w:t>
            </w:r>
            <w:r>
              <w:rPr>
                <w:rFonts w:ascii="Arial" w:hAnsi="Arial" w:cs="Arial"/>
                <w:lang w:val="en-US"/>
              </w:rPr>
              <w:tab/>
              <w:t xml:space="preserve">Act </w:t>
            </w:r>
            <w:r w:rsidR="005236EA">
              <w:rPr>
                <w:rFonts w:ascii="Arial" w:hAnsi="Arial" w:cs="Arial"/>
                <w:lang w:val="en-US"/>
              </w:rPr>
              <w:t>No.</w:t>
            </w:r>
            <w:r>
              <w:rPr>
                <w:rFonts w:ascii="Arial" w:hAnsi="Arial" w:cs="Arial"/>
                <w:lang w:val="en-US"/>
              </w:rPr>
              <w:t xml:space="preserve">23 of 1992 (the </w:t>
            </w:r>
            <w:r>
              <w:rPr>
                <w:rFonts w:ascii="Arial" w:hAnsi="Arial" w:cs="Arial"/>
                <w:caps/>
                <w:lang w:val="en-US"/>
              </w:rPr>
              <w:t>A</w:t>
            </w:r>
            <w:r>
              <w:rPr>
                <w:rFonts w:ascii="Arial" w:hAnsi="Arial" w:cs="Arial"/>
                <w:lang w:val="en-US"/>
              </w:rPr>
              <w:t xml:space="preserve">ct), whenever the defendant enters into a contract pursuant to </w:t>
            </w:r>
            <w:r>
              <w:rPr>
                <w:rFonts w:ascii="Arial" w:hAnsi="Arial" w:cs="Arial"/>
                <w:lang w:val="en-US"/>
              </w:rPr>
              <w:tab/>
              <w:t>a resolution of the defendant.</w:t>
            </w:r>
          </w:p>
          <w:p w:rsidR="00DF4DE5" w:rsidRDefault="00DF4DE5" w:rsidP="00571ED4">
            <w:pPr>
              <w:tabs>
                <w:tab w:val="left" w:pos="927"/>
              </w:tabs>
              <w:jc w:val="both"/>
              <w:rPr>
                <w:rFonts w:ascii="Arial" w:hAnsi="Arial" w:cs="Arial"/>
                <w:lang w:val="en-US"/>
              </w:rPr>
            </w:pPr>
          </w:p>
          <w:p w:rsidR="000B270D" w:rsidRDefault="000B270D" w:rsidP="009C6628">
            <w:pPr>
              <w:tabs>
                <w:tab w:val="left" w:pos="927"/>
              </w:tabs>
              <w:spacing w:line="360" w:lineRule="auto"/>
              <w:jc w:val="both"/>
              <w:rPr>
                <w:rFonts w:ascii="Arial" w:hAnsi="Arial" w:cs="Arial"/>
                <w:lang w:val="en-US"/>
              </w:rPr>
            </w:pPr>
            <w:r>
              <w:rPr>
                <w:rFonts w:ascii="Arial" w:hAnsi="Arial" w:cs="Arial"/>
                <w:lang w:val="en-US"/>
              </w:rPr>
              <w:tab/>
              <w:t xml:space="preserve">There was no resolution by the defendant after 13 August 2013 authorizing the defendant to </w:t>
            </w:r>
            <w:r>
              <w:rPr>
                <w:rFonts w:ascii="Arial" w:hAnsi="Arial" w:cs="Arial"/>
                <w:lang w:val="en-US"/>
              </w:rPr>
              <w:tab/>
              <w:t>enter into a contract with the plaintiff.</w:t>
            </w:r>
          </w:p>
          <w:p w:rsidR="00DF4DE5" w:rsidRDefault="00DF4DE5" w:rsidP="00571ED4">
            <w:pPr>
              <w:tabs>
                <w:tab w:val="left" w:pos="927"/>
              </w:tabs>
              <w:jc w:val="both"/>
              <w:rPr>
                <w:rFonts w:ascii="Arial" w:hAnsi="Arial" w:cs="Arial"/>
                <w:lang w:val="en-US"/>
              </w:rPr>
            </w:pPr>
          </w:p>
          <w:p w:rsidR="000B270D" w:rsidRDefault="000B270D" w:rsidP="009C6628">
            <w:pPr>
              <w:tabs>
                <w:tab w:val="left" w:pos="927"/>
              </w:tabs>
              <w:spacing w:line="360" w:lineRule="auto"/>
              <w:jc w:val="both"/>
              <w:rPr>
                <w:rFonts w:ascii="Arial" w:hAnsi="Arial" w:cs="Arial"/>
                <w:lang w:val="en-US"/>
              </w:rPr>
            </w:pPr>
            <w:r>
              <w:rPr>
                <w:rFonts w:ascii="Arial" w:hAnsi="Arial" w:cs="Arial"/>
                <w:lang w:val="en-US"/>
              </w:rPr>
              <w:tab/>
              <w:t>The def</w:t>
            </w:r>
            <w:r w:rsidR="005236EA">
              <w:rPr>
                <w:rFonts w:ascii="Arial" w:hAnsi="Arial" w:cs="Arial"/>
                <w:lang w:val="en-US"/>
              </w:rPr>
              <w:t>endant pleads that there was no</w:t>
            </w:r>
            <w:r>
              <w:rPr>
                <w:rFonts w:ascii="Arial" w:hAnsi="Arial" w:cs="Arial"/>
                <w:lang w:val="en-US"/>
              </w:rPr>
              <w:t xml:space="preserve"> contract signed and co-signed as contemplated by </w:t>
            </w:r>
            <w:r>
              <w:rPr>
                <w:rFonts w:ascii="Arial" w:hAnsi="Arial" w:cs="Arial"/>
                <w:lang w:val="en-US"/>
              </w:rPr>
              <w:tab/>
              <w:t>section 31A of the Act entered into between the plaintiff and defendant after 13 August 2013.</w:t>
            </w:r>
          </w:p>
          <w:p w:rsidR="00DF4DE5" w:rsidRDefault="00DF4DE5" w:rsidP="00571ED4">
            <w:pPr>
              <w:tabs>
                <w:tab w:val="left" w:pos="927"/>
              </w:tabs>
              <w:jc w:val="both"/>
              <w:rPr>
                <w:rFonts w:ascii="Arial" w:hAnsi="Arial" w:cs="Arial"/>
                <w:lang w:val="en-US"/>
              </w:rPr>
            </w:pPr>
          </w:p>
          <w:p w:rsidR="000B270D" w:rsidRDefault="000B270D" w:rsidP="009C6628">
            <w:pPr>
              <w:tabs>
                <w:tab w:val="left" w:pos="927"/>
              </w:tabs>
              <w:spacing w:line="360" w:lineRule="auto"/>
              <w:jc w:val="both"/>
              <w:rPr>
                <w:rFonts w:ascii="Arial" w:hAnsi="Arial" w:cs="Arial"/>
                <w:lang w:val="en-US"/>
              </w:rPr>
            </w:pPr>
            <w:r>
              <w:rPr>
                <w:rFonts w:ascii="Arial" w:hAnsi="Arial" w:cs="Arial"/>
                <w:caps/>
                <w:lang w:val="en-US"/>
              </w:rPr>
              <w:tab/>
            </w:r>
            <w:r>
              <w:rPr>
                <w:rFonts w:ascii="Arial" w:hAnsi="Arial" w:cs="Arial"/>
                <w:lang w:val="en-US"/>
              </w:rPr>
              <w:t>There was no tender awarded in terms of the Local Authority Tender Board Regulations 2011-</w:t>
            </w:r>
            <w:r>
              <w:rPr>
                <w:rFonts w:ascii="Arial" w:hAnsi="Arial" w:cs="Arial"/>
                <w:lang w:val="en-US"/>
              </w:rPr>
              <w:tab/>
              <w:t xml:space="preserve">073 (the regulations), awarding the plaintiff a tender to render the purported services allegedly </w:t>
            </w:r>
            <w:r>
              <w:rPr>
                <w:rFonts w:ascii="Arial" w:hAnsi="Arial" w:cs="Arial"/>
                <w:lang w:val="en-US"/>
              </w:rPr>
              <w:tab/>
              <w:t>rendered to the defendant by the plaintiff from 13 August 2013.</w:t>
            </w:r>
          </w:p>
          <w:p w:rsidR="00DF4DE5" w:rsidRDefault="00DF4DE5" w:rsidP="00571ED4">
            <w:pPr>
              <w:tabs>
                <w:tab w:val="left" w:pos="927"/>
              </w:tabs>
              <w:jc w:val="both"/>
              <w:rPr>
                <w:rFonts w:ascii="Arial" w:hAnsi="Arial" w:cs="Arial"/>
                <w:lang w:val="en-US"/>
              </w:rPr>
            </w:pPr>
          </w:p>
          <w:p w:rsidR="000B270D" w:rsidRDefault="000B270D" w:rsidP="009C6628">
            <w:pPr>
              <w:tabs>
                <w:tab w:val="left" w:pos="927"/>
              </w:tabs>
              <w:spacing w:line="360" w:lineRule="auto"/>
              <w:jc w:val="both"/>
              <w:rPr>
                <w:rFonts w:ascii="Arial" w:hAnsi="Arial" w:cs="Arial"/>
                <w:lang w:val="en-US"/>
              </w:rPr>
            </w:pPr>
            <w:r>
              <w:rPr>
                <w:rFonts w:ascii="Arial" w:hAnsi="Arial" w:cs="Arial"/>
                <w:lang w:val="en-US"/>
              </w:rPr>
              <w:tab/>
              <w:t>The purported contract entered into after 13 August 2013</w:t>
            </w:r>
            <w:r w:rsidR="005236EA">
              <w:rPr>
                <w:rFonts w:ascii="Arial" w:hAnsi="Arial" w:cs="Arial"/>
                <w:lang w:val="en-US"/>
              </w:rPr>
              <w:t xml:space="preserve"> was therefore ultra-vires the A</w:t>
            </w:r>
            <w:r>
              <w:rPr>
                <w:rFonts w:ascii="Arial" w:hAnsi="Arial" w:cs="Arial"/>
                <w:lang w:val="en-US"/>
              </w:rPr>
              <w:t xml:space="preserve">ct </w:t>
            </w:r>
            <w:r w:rsidR="00070806">
              <w:rPr>
                <w:rFonts w:ascii="Arial" w:hAnsi="Arial" w:cs="Arial"/>
                <w:lang w:val="en-US"/>
              </w:rPr>
              <w:tab/>
            </w:r>
            <w:r>
              <w:rPr>
                <w:rFonts w:ascii="Arial" w:hAnsi="Arial" w:cs="Arial"/>
                <w:lang w:val="en-US"/>
              </w:rPr>
              <w:t>and the regulations in the manner described above and</w:t>
            </w:r>
            <w:r w:rsidR="00DF4DE5">
              <w:rPr>
                <w:rFonts w:ascii="Arial" w:hAnsi="Arial" w:cs="Arial"/>
                <w:lang w:val="en-US"/>
              </w:rPr>
              <w:t xml:space="preserve"> as a result </w:t>
            </w:r>
            <w:r>
              <w:rPr>
                <w:rFonts w:ascii="Arial" w:hAnsi="Arial" w:cs="Arial"/>
                <w:lang w:val="en-US"/>
              </w:rPr>
              <w:t>was null and void.’</w:t>
            </w:r>
          </w:p>
          <w:p w:rsidR="00DF4DE5" w:rsidRDefault="00DF4DE5" w:rsidP="00571ED4">
            <w:pPr>
              <w:tabs>
                <w:tab w:val="left" w:pos="927"/>
              </w:tabs>
              <w:jc w:val="both"/>
              <w:rPr>
                <w:rFonts w:ascii="Arial" w:hAnsi="Arial" w:cs="Arial"/>
                <w:lang w:val="en-US"/>
              </w:rPr>
            </w:pPr>
          </w:p>
          <w:p w:rsidR="00DF4DE5" w:rsidRDefault="00DF4DE5" w:rsidP="009C6628">
            <w:pPr>
              <w:tabs>
                <w:tab w:val="left" w:pos="927"/>
              </w:tabs>
              <w:spacing w:line="360" w:lineRule="auto"/>
              <w:jc w:val="both"/>
              <w:rPr>
                <w:rFonts w:ascii="Arial" w:hAnsi="Arial" w:cs="Arial"/>
                <w:sz w:val="24"/>
                <w:szCs w:val="24"/>
                <w:lang w:val="en-US"/>
              </w:rPr>
            </w:pPr>
            <w:r w:rsidRPr="00DF4DE5">
              <w:rPr>
                <w:rFonts w:ascii="Arial" w:hAnsi="Arial" w:cs="Arial"/>
                <w:sz w:val="24"/>
                <w:szCs w:val="24"/>
                <w:lang w:val="en-US"/>
              </w:rPr>
              <w:t>[9]</w:t>
            </w:r>
            <w:r w:rsidRPr="00DF4DE5">
              <w:rPr>
                <w:rFonts w:ascii="Arial" w:hAnsi="Arial" w:cs="Arial"/>
                <w:sz w:val="24"/>
                <w:szCs w:val="24"/>
                <w:lang w:val="en-US"/>
              </w:rPr>
              <w:tab/>
              <w:t xml:space="preserve">During oral argument </w:t>
            </w:r>
            <w:r>
              <w:rPr>
                <w:rFonts w:ascii="Arial" w:hAnsi="Arial" w:cs="Arial"/>
                <w:sz w:val="24"/>
                <w:szCs w:val="24"/>
                <w:lang w:val="en-US"/>
              </w:rPr>
              <w:t>counsel for the defendant</w:t>
            </w:r>
            <w:r w:rsidR="005236EA">
              <w:rPr>
                <w:rFonts w:ascii="Arial" w:hAnsi="Arial" w:cs="Arial"/>
                <w:sz w:val="24"/>
                <w:szCs w:val="24"/>
                <w:lang w:val="en-US"/>
              </w:rPr>
              <w:t xml:space="preserve"> indicate</w:t>
            </w:r>
            <w:r w:rsidR="006D211F">
              <w:rPr>
                <w:rFonts w:ascii="Arial" w:hAnsi="Arial" w:cs="Arial"/>
                <w:sz w:val="24"/>
                <w:szCs w:val="24"/>
                <w:lang w:val="en-US"/>
              </w:rPr>
              <w:t>d</w:t>
            </w:r>
            <w:r w:rsidR="005236EA">
              <w:rPr>
                <w:rFonts w:ascii="Arial" w:hAnsi="Arial" w:cs="Arial"/>
                <w:sz w:val="24"/>
                <w:szCs w:val="24"/>
                <w:lang w:val="en-US"/>
              </w:rPr>
              <w:t xml:space="preserve"> that the defendant</w:t>
            </w:r>
            <w:r>
              <w:rPr>
                <w:rFonts w:ascii="Arial" w:hAnsi="Arial" w:cs="Arial"/>
                <w:sz w:val="24"/>
                <w:szCs w:val="24"/>
                <w:lang w:val="en-US"/>
              </w:rPr>
              <w:t xml:space="preserve"> abandons paragraphs 4 and 5 of the proposed amended plea.  Counsel for the defendant further asserted that the remainder of the proposed amendment would be added to paragraph 3 of the existing plea and that the reference to a “special plea” must be deleted.</w:t>
            </w:r>
          </w:p>
          <w:p w:rsidR="00DF4DE5" w:rsidRDefault="00DF4DE5" w:rsidP="00571ED4">
            <w:pPr>
              <w:tabs>
                <w:tab w:val="left" w:pos="927"/>
              </w:tabs>
              <w:jc w:val="both"/>
              <w:rPr>
                <w:rFonts w:ascii="Arial" w:hAnsi="Arial" w:cs="Arial"/>
                <w:sz w:val="24"/>
                <w:szCs w:val="24"/>
                <w:lang w:val="en-US"/>
              </w:rPr>
            </w:pPr>
          </w:p>
          <w:p w:rsidR="00DF4DE5" w:rsidRDefault="00DF4DE5"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Following the abandonment of paragraphs 4 and 5  the remainder of the proposed amended plea</w:t>
            </w:r>
            <w:r w:rsidR="005236EA">
              <w:rPr>
                <w:rFonts w:ascii="Arial" w:hAnsi="Arial" w:cs="Arial"/>
                <w:sz w:val="24"/>
                <w:szCs w:val="24"/>
                <w:lang w:val="en-US"/>
              </w:rPr>
              <w:t xml:space="preserve"> should read</w:t>
            </w:r>
            <w:r>
              <w:rPr>
                <w:rFonts w:ascii="Arial" w:hAnsi="Arial" w:cs="Arial"/>
                <w:sz w:val="24"/>
                <w:szCs w:val="24"/>
                <w:lang w:val="en-US"/>
              </w:rPr>
              <w:t xml:space="preserve"> as follows:</w:t>
            </w:r>
          </w:p>
          <w:p w:rsidR="00DF4DE5" w:rsidRDefault="00DF4DE5" w:rsidP="00571ED4">
            <w:pPr>
              <w:tabs>
                <w:tab w:val="left" w:pos="927"/>
              </w:tabs>
              <w:jc w:val="both"/>
              <w:rPr>
                <w:rFonts w:ascii="Arial" w:hAnsi="Arial" w:cs="Arial"/>
                <w:sz w:val="24"/>
                <w:szCs w:val="24"/>
                <w:lang w:val="en-US"/>
              </w:rPr>
            </w:pPr>
          </w:p>
          <w:p w:rsidR="00DF4DE5" w:rsidRPr="00DF4DE5" w:rsidRDefault="00DF4DE5" w:rsidP="009C6628">
            <w:pPr>
              <w:tabs>
                <w:tab w:val="left" w:pos="927"/>
              </w:tabs>
              <w:spacing w:line="360" w:lineRule="auto"/>
              <w:jc w:val="both"/>
              <w:rPr>
                <w:rFonts w:ascii="Arial" w:hAnsi="Arial" w:cs="Arial"/>
                <w:caps/>
                <w:lang w:val="en-US"/>
              </w:rPr>
            </w:pPr>
            <w:r>
              <w:rPr>
                <w:rFonts w:ascii="Arial" w:hAnsi="Arial" w:cs="Arial"/>
                <w:sz w:val="24"/>
                <w:szCs w:val="24"/>
                <w:lang w:val="en-US"/>
              </w:rPr>
              <w:lastRenderedPageBreak/>
              <w:tab/>
            </w:r>
            <w:r>
              <w:rPr>
                <w:rFonts w:ascii="Arial" w:hAnsi="Arial" w:cs="Arial"/>
                <w:lang w:val="en-US"/>
              </w:rPr>
              <w:t xml:space="preserve">‘The defendant is obliged to comply with the provisions of Section 31 A of the Local </w:t>
            </w:r>
            <w:r>
              <w:rPr>
                <w:rFonts w:ascii="Arial" w:hAnsi="Arial" w:cs="Arial"/>
                <w:lang w:val="en-US"/>
              </w:rPr>
              <w:tab/>
              <w:t xml:space="preserve">Authorities Act number 23 of 1992 (the act), whenever the defendant enters into a contract </w:t>
            </w:r>
            <w:r>
              <w:rPr>
                <w:rFonts w:ascii="Arial" w:hAnsi="Arial" w:cs="Arial"/>
                <w:lang w:val="en-US"/>
              </w:rPr>
              <w:tab/>
              <w:t>pursuant to a resolution of the defendant.</w:t>
            </w:r>
          </w:p>
          <w:p w:rsidR="00DF4DE5" w:rsidRDefault="00DF4DE5" w:rsidP="00571ED4">
            <w:pPr>
              <w:tabs>
                <w:tab w:val="left" w:pos="927"/>
              </w:tabs>
              <w:jc w:val="both"/>
              <w:rPr>
                <w:rFonts w:ascii="Arial" w:hAnsi="Arial" w:cs="Arial"/>
                <w:lang w:val="en-US"/>
              </w:rPr>
            </w:pPr>
          </w:p>
          <w:p w:rsidR="00DF4DE5" w:rsidRDefault="00DF4DE5" w:rsidP="00DF4DE5">
            <w:pPr>
              <w:tabs>
                <w:tab w:val="left" w:pos="927"/>
              </w:tabs>
              <w:spacing w:line="360" w:lineRule="auto"/>
              <w:jc w:val="both"/>
              <w:rPr>
                <w:rFonts w:ascii="Arial" w:hAnsi="Arial" w:cs="Arial"/>
                <w:lang w:val="en-US"/>
              </w:rPr>
            </w:pPr>
            <w:r>
              <w:rPr>
                <w:rFonts w:ascii="Arial" w:hAnsi="Arial" w:cs="Arial"/>
                <w:lang w:val="en-US"/>
              </w:rPr>
              <w:tab/>
              <w:t xml:space="preserve">There was no resolution by the defendant after 13 August 2013 authorizing the defendant to </w:t>
            </w:r>
            <w:r>
              <w:rPr>
                <w:rFonts w:ascii="Arial" w:hAnsi="Arial" w:cs="Arial"/>
                <w:lang w:val="en-US"/>
              </w:rPr>
              <w:tab/>
              <w:t>enter into a contract with the plaintiff.</w:t>
            </w:r>
          </w:p>
          <w:p w:rsidR="00EA205E" w:rsidRDefault="00EA205E" w:rsidP="00571ED4">
            <w:pPr>
              <w:tabs>
                <w:tab w:val="left" w:pos="927"/>
              </w:tabs>
              <w:jc w:val="both"/>
              <w:rPr>
                <w:rFonts w:ascii="Arial" w:hAnsi="Arial" w:cs="Arial"/>
                <w:sz w:val="24"/>
                <w:szCs w:val="24"/>
                <w:lang w:val="en-US"/>
              </w:rPr>
            </w:pPr>
          </w:p>
          <w:p w:rsidR="00DF4DE5" w:rsidRDefault="00DF4DE5" w:rsidP="00DF4DE5">
            <w:pPr>
              <w:tabs>
                <w:tab w:val="left" w:pos="927"/>
              </w:tabs>
              <w:spacing w:line="360" w:lineRule="auto"/>
              <w:jc w:val="both"/>
              <w:rPr>
                <w:rFonts w:ascii="Arial" w:hAnsi="Arial" w:cs="Arial"/>
                <w:lang w:val="en-US"/>
              </w:rPr>
            </w:pPr>
            <w:r>
              <w:rPr>
                <w:rFonts w:ascii="Arial" w:hAnsi="Arial" w:cs="Arial"/>
                <w:sz w:val="24"/>
                <w:szCs w:val="24"/>
                <w:lang w:val="en-US"/>
              </w:rPr>
              <w:tab/>
            </w:r>
            <w:r>
              <w:rPr>
                <w:rFonts w:ascii="Arial" w:hAnsi="Arial" w:cs="Arial"/>
                <w:lang w:val="en-US"/>
              </w:rPr>
              <w:t>The def</w:t>
            </w:r>
            <w:r w:rsidR="0043757A">
              <w:rPr>
                <w:rFonts w:ascii="Arial" w:hAnsi="Arial" w:cs="Arial"/>
                <w:lang w:val="en-US"/>
              </w:rPr>
              <w:t>endant pleads that there was no</w:t>
            </w:r>
            <w:r>
              <w:rPr>
                <w:rFonts w:ascii="Arial" w:hAnsi="Arial" w:cs="Arial"/>
                <w:lang w:val="en-US"/>
              </w:rPr>
              <w:t xml:space="preserve"> contract signed and co-signed as contemplated by </w:t>
            </w:r>
            <w:r>
              <w:rPr>
                <w:rFonts w:ascii="Arial" w:hAnsi="Arial" w:cs="Arial"/>
                <w:lang w:val="en-US"/>
              </w:rPr>
              <w:tab/>
              <w:t>section 31A of the Act entered into between the plaintiff and defendant after 13 August 2013.’</w:t>
            </w:r>
          </w:p>
          <w:p w:rsidR="00DF4DE5" w:rsidRDefault="00DF4DE5" w:rsidP="00571ED4">
            <w:pPr>
              <w:tabs>
                <w:tab w:val="left" w:pos="927"/>
              </w:tabs>
              <w:jc w:val="both"/>
              <w:rPr>
                <w:rFonts w:ascii="Arial" w:hAnsi="Arial" w:cs="Arial"/>
                <w:lang w:val="en-US"/>
              </w:rPr>
            </w:pPr>
          </w:p>
          <w:p w:rsidR="00DF4DE5" w:rsidRDefault="00DF4DE5"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 xml:space="preserve">According to the pleadings, the parties entered into a written agreement on 17 July 2009 at Windhoek.  The plaintiff pleaded that it rendered services in terms of the agreement during August 2013 to August 2014 and the defendant did not pay for the services rendered in terms of that agreement.  The defendant has pleaded that the plaintiff had </w:t>
            </w:r>
            <w:r w:rsidR="00DC6C9D">
              <w:rPr>
                <w:rFonts w:ascii="Arial" w:hAnsi="Arial" w:cs="Arial"/>
                <w:sz w:val="24"/>
                <w:szCs w:val="24"/>
                <w:lang w:val="en-US"/>
              </w:rPr>
              <w:t>repudiated the agreement in question and the repudiation was accepted by the defendant on 13 August 2013.  The defendant’s positions is that, the agreement terminated on 13 August 2013.</w:t>
            </w:r>
          </w:p>
          <w:p w:rsidR="00981420" w:rsidRDefault="00981420" w:rsidP="00571ED4">
            <w:pPr>
              <w:tabs>
                <w:tab w:val="left" w:pos="927"/>
              </w:tabs>
              <w:jc w:val="both"/>
              <w:rPr>
                <w:rFonts w:ascii="Arial" w:hAnsi="Arial" w:cs="Arial"/>
                <w:sz w:val="24"/>
                <w:szCs w:val="24"/>
                <w:lang w:val="en-US"/>
              </w:rPr>
            </w:pPr>
          </w:p>
          <w:p w:rsidR="00981420" w:rsidRDefault="00981420"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 xml:space="preserve">In its founding affidavit, the defendant explains </w:t>
            </w:r>
            <w:r w:rsidR="007C4B58">
              <w:rPr>
                <w:rFonts w:ascii="Arial" w:hAnsi="Arial" w:cs="Arial"/>
                <w:sz w:val="24"/>
                <w:szCs w:val="24"/>
                <w:lang w:val="en-US"/>
              </w:rPr>
              <w:t xml:space="preserve">that </w:t>
            </w:r>
            <w:r>
              <w:rPr>
                <w:rFonts w:ascii="Arial" w:hAnsi="Arial" w:cs="Arial"/>
                <w:sz w:val="24"/>
                <w:szCs w:val="24"/>
                <w:lang w:val="en-US"/>
              </w:rPr>
              <w:t>the proposed amendment seeks to raise a defence to the effect that, after 13 August 2013 there was no new agreement entered into between the plaintiff and the defendant.  The basis for such contention is that there was no compliance with the provisions of section 31A of the Local Authorities Act 23 of 1992.</w:t>
            </w:r>
          </w:p>
          <w:p w:rsidR="00981420" w:rsidRDefault="00981420" w:rsidP="00571ED4">
            <w:pPr>
              <w:tabs>
                <w:tab w:val="left" w:pos="927"/>
              </w:tabs>
              <w:jc w:val="both"/>
              <w:rPr>
                <w:rFonts w:ascii="Arial" w:hAnsi="Arial" w:cs="Arial"/>
                <w:sz w:val="24"/>
                <w:szCs w:val="24"/>
                <w:lang w:val="en-US"/>
              </w:rPr>
            </w:pPr>
          </w:p>
          <w:p w:rsidR="00981420" w:rsidRDefault="00981420"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The deponent to the defendant’s founding affidavit relates that it became evident when considering the pleadings in preparation for trial that the logical conclusion of the defence premised on termination of the agreement had not been pleaded.</w:t>
            </w:r>
          </w:p>
          <w:p w:rsidR="00981420" w:rsidRDefault="00981420" w:rsidP="00571ED4">
            <w:pPr>
              <w:tabs>
                <w:tab w:val="left" w:pos="927"/>
              </w:tabs>
              <w:jc w:val="both"/>
              <w:rPr>
                <w:rFonts w:ascii="Arial" w:hAnsi="Arial" w:cs="Arial"/>
                <w:sz w:val="24"/>
                <w:szCs w:val="24"/>
                <w:lang w:val="en-US"/>
              </w:rPr>
            </w:pPr>
          </w:p>
          <w:p w:rsidR="00981420" w:rsidRDefault="00981420"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 xml:space="preserve">When probed as to precisely when did it become evident that an amendment was necessary, counsel for the defendant could only surmise that perhaps it </w:t>
            </w:r>
            <w:r w:rsidR="007C4B58">
              <w:rPr>
                <w:rFonts w:ascii="Arial" w:hAnsi="Arial" w:cs="Arial"/>
                <w:sz w:val="24"/>
                <w:szCs w:val="24"/>
                <w:lang w:val="en-US"/>
              </w:rPr>
              <w:t xml:space="preserve">was </w:t>
            </w:r>
            <w:r>
              <w:rPr>
                <w:rFonts w:ascii="Arial" w:hAnsi="Arial" w:cs="Arial"/>
                <w:sz w:val="24"/>
                <w:szCs w:val="24"/>
                <w:lang w:val="en-US"/>
              </w:rPr>
              <w:t>after the Supreme Court declined to exercise its review jurisdiction.</w:t>
            </w:r>
          </w:p>
          <w:p w:rsidR="0022101A" w:rsidRDefault="0022101A" w:rsidP="00571ED4">
            <w:pPr>
              <w:tabs>
                <w:tab w:val="left" w:pos="927"/>
              </w:tabs>
              <w:jc w:val="both"/>
              <w:rPr>
                <w:rFonts w:ascii="Arial" w:hAnsi="Arial" w:cs="Arial"/>
                <w:sz w:val="24"/>
                <w:szCs w:val="24"/>
                <w:lang w:val="en-US"/>
              </w:rPr>
            </w:pPr>
          </w:p>
          <w:p w:rsidR="0022101A" w:rsidRPr="005367C0" w:rsidRDefault="0022101A" w:rsidP="009C6628">
            <w:pPr>
              <w:tabs>
                <w:tab w:val="left" w:pos="927"/>
              </w:tabs>
              <w:spacing w:line="360" w:lineRule="auto"/>
              <w:jc w:val="both"/>
              <w:rPr>
                <w:rFonts w:ascii="Arial" w:hAnsi="Arial" w:cs="Arial"/>
                <w:sz w:val="24"/>
                <w:szCs w:val="24"/>
                <w:u w:val="single"/>
                <w:lang w:val="en-US"/>
              </w:rPr>
            </w:pPr>
            <w:r w:rsidRPr="005367C0">
              <w:rPr>
                <w:rFonts w:ascii="Arial" w:hAnsi="Arial" w:cs="Arial"/>
                <w:sz w:val="24"/>
                <w:szCs w:val="24"/>
                <w:u w:val="single"/>
                <w:lang w:val="en-US"/>
              </w:rPr>
              <w:t>Plaintiff’s opposition</w:t>
            </w:r>
          </w:p>
          <w:p w:rsidR="0022101A" w:rsidRDefault="0022101A" w:rsidP="00571ED4">
            <w:pPr>
              <w:tabs>
                <w:tab w:val="left" w:pos="927"/>
              </w:tabs>
              <w:jc w:val="both"/>
              <w:rPr>
                <w:rFonts w:ascii="Arial" w:hAnsi="Arial" w:cs="Arial"/>
                <w:sz w:val="24"/>
                <w:szCs w:val="24"/>
                <w:lang w:val="en-US"/>
              </w:rPr>
            </w:pPr>
          </w:p>
          <w:p w:rsidR="0022101A" w:rsidRDefault="0022101A"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t xml:space="preserve">The plaintiff objects to the proposed amendment on various grounds.  The plaintiff contends that the proposed amendment is belated and brought at an advanced state of the proceedings, when the matter is ready to be set down for trial.   The defendant fails to offer any explanation for the lateness of the </w:t>
            </w:r>
            <w:r w:rsidR="00072523">
              <w:rPr>
                <w:rFonts w:ascii="Arial" w:hAnsi="Arial" w:cs="Arial"/>
                <w:sz w:val="24"/>
                <w:szCs w:val="24"/>
                <w:lang w:val="en-US"/>
              </w:rPr>
              <w:t>proposed amendment</w:t>
            </w:r>
            <w:r>
              <w:rPr>
                <w:rFonts w:ascii="Arial" w:hAnsi="Arial" w:cs="Arial"/>
                <w:sz w:val="24"/>
                <w:szCs w:val="24"/>
                <w:lang w:val="en-US"/>
              </w:rPr>
              <w:t>.  Given the lateness of the</w:t>
            </w:r>
            <w:r w:rsidR="00072523">
              <w:rPr>
                <w:rFonts w:ascii="Arial" w:hAnsi="Arial" w:cs="Arial"/>
                <w:sz w:val="24"/>
                <w:szCs w:val="24"/>
                <w:lang w:val="en-US"/>
              </w:rPr>
              <w:t xml:space="preserve"> proposed</w:t>
            </w:r>
            <w:r>
              <w:rPr>
                <w:rFonts w:ascii="Arial" w:hAnsi="Arial" w:cs="Arial"/>
                <w:sz w:val="24"/>
                <w:szCs w:val="24"/>
                <w:lang w:val="en-US"/>
              </w:rPr>
              <w:t xml:space="preserve"> amendment coupled with the defendant’s failure to provide an explanation relating thereto, the plaintiff argues, the proposed amendment is not </w:t>
            </w:r>
            <w:r w:rsidRPr="0022101A">
              <w:rPr>
                <w:rFonts w:ascii="Arial" w:hAnsi="Arial" w:cs="Arial"/>
                <w:i/>
                <w:sz w:val="24"/>
                <w:szCs w:val="24"/>
                <w:lang w:val="en-US"/>
              </w:rPr>
              <w:t>bona fide</w:t>
            </w:r>
            <w:r>
              <w:rPr>
                <w:rFonts w:ascii="Arial" w:hAnsi="Arial" w:cs="Arial"/>
                <w:sz w:val="24"/>
                <w:szCs w:val="24"/>
                <w:lang w:val="en-US"/>
              </w:rPr>
              <w:t xml:space="preserve"> and </w:t>
            </w:r>
            <w:r w:rsidR="00072523">
              <w:rPr>
                <w:rFonts w:ascii="Arial" w:hAnsi="Arial" w:cs="Arial"/>
                <w:sz w:val="24"/>
                <w:szCs w:val="24"/>
                <w:lang w:val="en-US"/>
              </w:rPr>
              <w:t xml:space="preserve">is </w:t>
            </w:r>
            <w:r>
              <w:rPr>
                <w:rFonts w:ascii="Arial" w:hAnsi="Arial" w:cs="Arial"/>
                <w:sz w:val="24"/>
                <w:szCs w:val="24"/>
                <w:lang w:val="en-US"/>
              </w:rPr>
              <w:t xml:space="preserve">prejudicial to the plaintiff.  The plaintiff further </w:t>
            </w:r>
            <w:r w:rsidR="005367C0">
              <w:rPr>
                <w:rFonts w:ascii="Arial" w:hAnsi="Arial" w:cs="Arial"/>
                <w:sz w:val="24"/>
                <w:szCs w:val="24"/>
                <w:lang w:val="en-US"/>
              </w:rPr>
              <w:t>contends that the amendment introduces a change of stance by the defendant</w:t>
            </w:r>
            <w:r w:rsidR="00072523">
              <w:rPr>
                <w:rFonts w:ascii="Arial" w:hAnsi="Arial" w:cs="Arial"/>
                <w:sz w:val="24"/>
                <w:szCs w:val="24"/>
                <w:lang w:val="en-US"/>
              </w:rPr>
              <w:t>, in that the defendant</w:t>
            </w:r>
            <w:r w:rsidR="005367C0">
              <w:rPr>
                <w:rFonts w:ascii="Arial" w:hAnsi="Arial" w:cs="Arial"/>
                <w:sz w:val="24"/>
                <w:szCs w:val="24"/>
                <w:lang w:val="en-US"/>
              </w:rPr>
              <w:t xml:space="preserve"> seeks to belatedly introduce a defence of statutory non-compliance. The plaintiff argues that such amendment is in contradiction with the terms of the written agreement and is excipiable.</w:t>
            </w:r>
          </w:p>
          <w:p w:rsidR="005367C0" w:rsidRDefault="005367C0" w:rsidP="00571ED4">
            <w:pPr>
              <w:tabs>
                <w:tab w:val="left" w:pos="927"/>
              </w:tabs>
              <w:jc w:val="both"/>
              <w:rPr>
                <w:rFonts w:ascii="Arial" w:hAnsi="Arial" w:cs="Arial"/>
                <w:sz w:val="24"/>
                <w:szCs w:val="24"/>
                <w:lang w:val="en-US"/>
              </w:rPr>
            </w:pPr>
          </w:p>
          <w:p w:rsidR="005367C0" w:rsidRPr="005367C0" w:rsidRDefault="005367C0" w:rsidP="009C6628">
            <w:pPr>
              <w:tabs>
                <w:tab w:val="left" w:pos="927"/>
              </w:tabs>
              <w:spacing w:line="360" w:lineRule="auto"/>
              <w:jc w:val="both"/>
              <w:rPr>
                <w:rFonts w:ascii="Arial" w:hAnsi="Arial" w:cs="Arial"/>
                <w:sz w:val="24"/>
                <w:szCs w:val="24"/>
                <w:u w:val="single"/>
                <w:lang w:val="en-US"/>
              </w:rPr>
            </w:pPr>
            <w:r w:rsidRPr="005367C0">
              <w:rPr>
                <w:rFonts w:ascii="Arial" w:hAnsi="Arial" w:cs="Arial"/>
                <w:sz w:val="24"/>
                <w:szCs w:val="24"/>
                <w:u w:val="single"/>
                <w:lang w:val="en-US"/>
              </w:rPr>
              <w:t>Legal principles</w:t>
            </w:r>
          </w:p>
          <w:p w:rsidR="005367C0" w:rsidRDefault="005367C0" w:rsidP="00571ED4">
            <w:pPr>
              <w:tabs>
                <w:tab w:val="left" w:pos="927"/>
              </w:tabs>
              <w:jc w:val="both"/>
              <w:rPr>
                <w:rFonts w:ascii="Arial" w:hAnsi="Arial" w:cs="Arial"/>
                <w:sz w:val="24"/>
                <w:szCs w:val="24"/>
                <w:lang w:val="en-US"/>
              </w:rPr>
            </w:pPr>
          </w:p>
          <w:p w:rsidR="005367C0" w:rsidRDefault="005367C0"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t>The general rule i</w:t>
            </w:r>
            <w:r w:rsidR="00171F50">
              <w:rPr>
                <w:rFonts w:ascii="Arial" w:hAnsi="Arial" w:cs="Arial"/>
                <w:sz w:val="24"/>
                <w:szCs w:val="24"/>
                <w:lang w:val="en-US"/>
              </w:rPr>
              <w:t>s that the court may at any stag</w:t>
            </w:r>
            <w:r>
              <w:rPr>
                <w:rFonts w:ascii="Arial" w:hAnsi="Arial" w:cs="Arial"/>
                <w:sz w:val="24"/>
                <w:szCs w:val="24"/>
                <w:lang w:val="en-US"/>
              </w:rPr>
              <w:t>e before judgment, grant leave to amend a pleading.  However, leave to amend cannot be obtained merely for the asking.  The litig</w:t>
            </w:r>
            <w:r w:rsidR="00171F50">
              <w:rPr>
                <w:rFonts w:ascii="Arial" w:hAnsi="Arial" w:cs="Arial"/>
                <w:sz w:val="24"/>
                <w:szCs w:val="24"/>
                <w:lang w:val="en-US"/>
              </w:rPr>
              <w:t>ant seeking to amend, craves an</w:t>
            </w:r>
            <w:r>
              <w:rPr>
                <w:rFonts w:ascii="Arial" w:hAnsi="Arial" w:cs="Arial"/>
                <w:sz w:val="24"/>
                <w:szCs w:val="24"/>
                <w:lang w:val="en-US"/>
              </w:rPr>
              <w:t xml:space="preserve"> indulgence and must offer some explanation why the amendment is required, and more especially when the amendment is sought at a late stage, a satisfactory account for the delay must be given.  Where a proposed amendment will not contribute to the determination of the real issues between the parties, it ought not </w:t>
            </w:r>
            <w:r w:rsidR="00A82C8C">
              <w:rPr>
                <w:rFonts w:ascii="Arial" w:hAnsi="Arial" w:cs="Arial"/>
                <w:sz w:val="24"/>
                <w:szCs w:val="24"/>
                <w:lang w:val="en-US"/>
              </w:rPr>
              <w:t xml:space="preserve">to </w:t>
            </w:r>
            <w:r>
              <w:rPr>
                <w:rFonts w:ascii="Arial" w:hAnsi="Arial" w:cs="Arial"/>
                <w:sz w:val="24"/>
                <w:szCs w:val="24"/>
                <w:lang w:val="en-US"/>
              </w:rPr>
              <w:t>be granted.</w:t>
            </w:r>
            <w:r>
              <w:rPr>
                <w:rStyle w:val="FootnoteReference"/>
                <w:rFonts w:ascii="Arial" w:hAnsi="Arial" w:cs="Arial"/>
                <w:sz w:val="24"/>
                <w:szCs w:val="24"/>
                <w:lang w:val="en-US"/>
              </w:rPr>
              <w:footnoteReference w:id="1"/>
            </w:r>
            <w:r>
              <w:rPr>
                <w:rFonts w:ascii="Arial" w:hAnsi="Arial" w:cs="Arial"/>
                <w:sz w:val="24"/>
                <w:szCs w:val="24"/>
                <w:lang w:val="en-US"/>
              </w:rPr>
              <w:t xml:space="preserve"> </w:t>
            </w:r>
          </w:p>
          <w:p w:rsidR="005367C0" w:rsidRDefault="005367C0" w:rsidP="00571ED4">
            <w:pPr>
              <w:tabs>
                <w:tab w:val="left" w:pos="927"/>
              </w:tabs>
              <w:jc w:val="both"/>
              <w:rPr>
                <w:rFonts w:ascii="Arial" w:hAnsi="Arial" w:cs="Arial"/>
                <w:sz w:val="24"/>
                <w:szCs w:val="24"/>
                <w:lang w:val="en-US"/>
              </w:rPr>
            </w:pPr>
          </w:p>
          <w:p w:rsidR="005367C0" w:rsidRPr="00A82C8C" w:rsidRDefault="00A82C8C" w:rsidP="009C6628">
            <w:pPr>
              <w:tabs>
                <w:tab w:val="left" w:pos="927"/>
              </w:tabs>
              <w:spacing w:line="360" w:lineRule="auto"/>
              <w:jc w:val="both"/>
              <w:rPr>
                <w:rFonts w:ascii="Arial" w:hAnsi="Arial" w:cs="Arial"/>
                <w:sz w:val="24"/>
                <w:szCs w:val="24"/>
                <w:u w:val="single"/>
                <w:lang w:val="en-US"/>
              </w:rPr>
            </w:pPr>
            <w:r w:rsidRPr="00A82C8C">
              <w:rPr>
                <w:rFonts w:ascii="Arial" w:hAnsi="Arial" w:cs="Arial"/>
                <w:sz w:val="24"/>
                <w:szCs w:val="24"/>
                <w:u w:val="single"/>
                <w:lang w:val="en-US"/>
              </w:rPr>
              <w:t>Application of legal principles to the facts</w:t>
            </w:r>
          </w:p>
          <w:p w:rsidR="00A82C8C" w:rsidRDefault="00A82C8C" w:rsidP="00571ED4">
            <w:pPr>
              <w:tabs>
                <w:tab w:val="left" w:pos="927"/>
              </w:tabs>
              <w:jc w:val="both"/>
              <w:rPr>
                <w:rFonts w:ascii="Arial" w:hAnsi="Arial" w:cs="Arial"/>
                <w:sz w:val="24"/>
                <w:szCs w:val="24"/>
                <w:lang w:val="en-US"/>
              </w:rPr>
            </w:pPr>
          </w:p>
          <w:p w:rsidR="00A82C8C" w:rsidRDefault="00C22B5E"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t xml:space="preserve">The essence of the defendant’s proposed amendment is to the effect that there was </w:t>
            </w:r>
            <w:r w:rsidR="00E6677C">
              <w:rPr>
                <w:rFonts w:ascii="Arial" w:hAnsi="Arial" w:cs="Arial"/>
                <w:sz w:val="24"/>
                <w:szCs w:val="24"/>
                <w:lang w:val="en-US"/>
              </w:rPr>
              <w:t>no contract signed by the parties after 13 August 2013.</w:t>
            </w:r>
          </w:p>
          <w:p w:rsidR="00E6677C" w:rsidRDefault="00E6677C" w:rsidP="00571ED4">
            <w:pPr>
              <w:tabs>
                <w:tab w:val="left" w:pos="927"/>
              </w:tabs>
              <w:jc w:val="both"/>
              <w:rPr>
                <w:rFonts w:ascii="Arial" w:hAnsi="Arial" w:cs="Arial"/>
                <w:sz w:val="24"/>
                <w:szCs w:val="24"/>
                <w:lang w:val="en-US"/>
              </w:rPr>
            </w:pPr>
          </w:p>
          <w:p w:rsidR="00E6677C" w:rsidRDefault="00E6677C"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t>In my view the proposed amendment is not pertinent to a specific allegation made in the plaintiff’s particulars of claim.  There is no allegation in the particulars of claim that the plaintiff relies for the relief it claim</w:t>
            </w:r>
            <w:r w:rsidR="00171F50">
              <w:rPr>
                <w:rFonts w:ascii="Arial" w:hAnsi="Arial" w:cs="Arial"/>
                <w:sz w:val="24"/>
                <w:szCs w:val="24"/>
                <w:lang w:val="en-US"/>
              </w:rPr>
              <w:t>s</w:t>
            </w:r>
            <w:r>
              <w:rPr>
                <w:rFonts w:ascii="Arial" w:hAnsi="Arial" w:cs="Arial"/>
                <w:sz w:val="24"/>
                <w:szCs w:val="24"/>
                <w:lang w:val="en-US"/>
              </w:rPr>
              <w:t>, on a contract entered into by the parties after 13 August 2013.  It appears that the defendant seeks to address, through the proposed amendment, a fictional contract not alleged by the plaintiff in the particular</w:t>
            </w:r>
            <w:r w:rsidR="00171F50">
              <w:rPr>
                <w:rFonts w:ascii="Arial" w:hAnsi="Arial" w:cs="Arial"/>
                <w:sz w:val="24"/>
                <w:szCs w:val="24"/>
                <w:lang w:val="en-US"/>
              </w:rPr>
              <w:t>s</w:t>
            </w:r>
            <w:r>
              <w:rPr>
                <w:rFonts w:ascii="Arial" w:hAnsi="Arial" w:cs="Arial"/>
                <w:sz w:val="24"/>
                <w:szCs w:val="24"/>
                <w:lang w:val="en-US"/>
              </w:rPr>
              <w:t xml:space="preserve"> of claim.</w:t>
            </w:r>
          </w:p>
          <w:p w:rsidR="00E6677C" w:rsidRDefault="00E6677C" w:rsidP="00571ED4">
            <w:pPr>
              <w:tabs>
                <w:tab w:val="left" w:pos="927"/>
              </w:tabs>
              <w:jc w:val="both"/>
              <w:rPr>
                <w:rFonts w:ascii="Arial" w:hAnsi="Arial" w:cs="Arial"/>
                <w:sz w:val="24"/>
                <w:szCs w:val="24"/>
                <w:lang w:val="en-US"/>
              </w:rPr>
            </w:pPr>
          </w:p>
          <w:p w:rsidR="00E6677C" w:rsidRDefault="00E6677C"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t xml:space="preserve">Insofar as the defendant seeks to rely for its defence on non-existence of a contract whose existence is not asserted or pleaded by the plaintiff, the defendant’s plea would be rendered excipiable.  The </w:t>
            </w:r>
            <w:r w:rsidR="00642E0E">
              <w:rPr>
                <w:rFonts w:ascii="Arial" w:hAnsi="Arial" w:cs="Arial"/>
                <w:sz w:val="24"/>
                <w:szCs w:val="24"/>
                <w:lang w:val="en-US"/>
              </w:rPr>
              <w:t>basis for such excipiability is that defendant’s plea would lack statement of material facts on which the defendant relies for its defence with sufficient particularity to enable the plaintiff to reply thereto.</w:t>
            </w:r>
          </w:p>
          <w:p w:rsidR="00F06203" w:rsidRDefault="00F06203" w:rsidP="00571ED4">
            <w:pPr>
              <w:tabs>
                <w:tab w:val="left" w:pos="927"/>
              </w:tabs>
              <w:jc w:val="both"/>
              <w:rPr>
                <w:rFonts w:ascii="Arial" w:hAnsi="Arial" w:cs="Arial"/>
                <w:sz w:val="24"/>
                <w:szCs w:val="24"/>
                <w:lang w:val="en-US"/>
              </w:rPr>
            </w:pPr>
          </w:p>
          <w:p w:rsidR="00F06203" w:rsidRDefault="00F06203"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t>In addition, it is common cause that the proposed amendment is being sought belatedly.  The defendant has not given a satisfactory account for the delay in applying to amend.  The only reason for the delay g</w:t>
            </w:r>
            <w:r w:rsidR="00F71C82">
              <w:rPr>
                <w:rFonts w:ascii="Arial" w:hAnsi="Arial" w:cs="Arial"/>
                <w:sz w:val="24"/>
                <w:szCs w:val="24"/>
                <w:lang w:val="en-US"/>
              </w:rPr>
              <w:t xml:space="preserve">iven by the defendant is that </w:t>
            </w:r>
            <w:r w:rsidR="00F71C82" w:rsidRPr="00F71C82">
              <w:rPr>
                <w:rFonts w:ascii="Arial" w:hAnsi="Arial" w:cs="Arial"/>
                <w:i/>
                <w:sz w:val="24"/>
                <w:szCs w:val="24"/>
                <w:lang w:val="en-US"/>
              </w:rPr>
              <w:t>“i</w:t>
            </w:r>
            <w:r w:rsidRPr="00F71C82">
              <w:rPr>
                <w:rFonts w:ascii="Arial" w:hAnsi="Arial" w:cs="Arial"/>
                <w:i/>
                <w:sz w:val="24"/>
                <w:szCs w:val="24"/>
                <w:lang w:val="en-US"/>
              </w:rPr>
              <w:t>t became evident when considering the pleadings in preparation for trial that the logical conclusion of the defence premised on termination of the agreement had not been pleaded.”</w:t>
            </w:r>
          </w:p>
          <w:p w:rsidR="00F06203" w:rsidRDefault="00F06203" w:rsidP="00571ED4">
            <w:pPr>
              <w:tabs>
                <w:tab w:val="left" w:pos="927"/>
              </w:tabs>
              <w:jc w:val="both"/>
              <w:rPr>
                <w:rFonts w:ascii="Arial" w:hAnsi="Arial" w:cs="Arial"/>
                <w:sz w:val="24"/>
                <w:szCs w:val="24"/>
                <w:lang w:val="en-US"/>
              </w:rPr>
            </w:pPr>
          </w:p>
          <w:p w:rsidR="00F06203" w:rsidRDefault="00F06203"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9808DF">
              <w:rPr>
                <w:rFonts w:ascii="Arial" w:hAnsi="Arial" w:cs="Arial"/>
                <w:sz w:val="24"/>
                <w:szCs w:val="24"/>
                <w:lang w:val="en-US"/>
              </w:rPr>
              <w:t>The defendant has not explained precisely when</w:t>
            </w:r>
            <w:r w:rsidR="00F71C82">
              <w:rPr>
                <w:rFonts w:ascii="Arial" w:hAnsi="Arial" w:cs="Arial"/>
                <w:sz w:val="24"/>
                <w:szCs w:val="24"/>
                <w:lang w:val="en-US"/>
              </w:rPr>
              <w:t>,</w:t>
            </w:r>
            <w:r w:rsidR="009808DF">
              <w:rPr>
                <w:rFonts w:ascii="Arial" w:hAnsi="Arial" w:cs="Arial"/>
                <w:sz w:val="24"/>
                <w:szCs w:val="24"/>
                <w:lang w:val="en-US"/>
              </w:rPr>
              <w:t xml:space="preserve"> during the pr</w:t>
            </w:r>
            <w:r w:rsidR="00F71C82">
              <w:rPr>
                <w:rFonts w:ascii="Arial" w:hAnsi="Arial" w:cs="Arial"/>
                <w:sz w:val="24"/>
                <w:szCs w:val="24"/>
                <w:lang w:val="en-US"/>
              </w:rPr>
              <w:t>eparation for trial, did it beco</w:t>
            </w:r>
            <w:r w:rsidR="009808DF">
              <w:rPr>
                <w:rFonts w:ascii="Arial" w:hAnsi="Arial" w:cs="Arial"/>
                <w:sz w:val="24"/>
                <w:szCs w:val="24"/>
                <w:lang w:val="en-US"/>
              </w:rPr>
              <w:t>me evident that the amendment was necessary.  As indicated earlier on, the matter was initially set down for trial set to commence on 15 August 2016.  Later, the matter was set down for the trial set to commence on 12 November 2018.  Subsequently the defendant noted intention to take the matter on review to the Supreme Court.</w:t>
            </w:r>
          </w:p>
          <w:p w:rsidR="009808DF" w:rsidRDefault="009808DF" w:rsidP="00571ED4">
            <w:pPr>
              <w:tabs>
                <w:tab w:val="left" w:pos="927"/>
              </w:tabs>
              <w:jc w:val="both"/>
              <w:rPr>
                <w:rFonts w:ascii="Arial" w:hAnsi="Arial" w:cs="Arial"/>
                <w:sz w:val="24"/>
                <w:szCs w:val="24"/>
                <w:lang w:val="en-US"/>
              </w:rPr>
            </w:pPr>
          </w:p>
          <w:p w:rsidR="009808DF" w:rsidRDefault="009808DF"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 xml:space="preserve">If the defendant only started preparation for trial after the Supreme Court declined to exercise its review jurisdiction, as surmised by counsel for the defendant, then it follows that the </w:t>
            </w:r>
            <w:r w:rsidRPr="009808DF">
              <w:rPr>
                <w:rFonts w:ascii="Arial" w:hAnsi="Arial" w:cs="Arial"/>
                <w:i/>
                <w:sz w:val="24"/>
                <w:szCs w:val="24"/>
                <w:lang w:val="en-US"/>
              </w:rPr>
              <w:t>bona fides</w:t>
            </w:r>
            <w:r>
              <w:rPr>
                <w:rFonts w:ascii="Arial" w:hAnsi="Arial" w:cs="Arial"/>
                <w:sz w:val="24"/>
                <w:szCs w:val="24"/>
                <w:lang w:val="en-US"/>
              </w:rPr>
              <w:t xml:space="preserve"> of the defendant </w:t>
            </w:r>
            <w:r w:rsidR="00F71C82">
              <w:rPr>
                <w:rFonts w:ascii="Arial" w:hAnsi="Arial" w:cs="Arial"/>
                <w:sz w:val="24"/>
                <w:szCs w:val="24"/>
                <w:lang w:val="en-US"/>
              </w:rPr>
              <w:t>in</w:t>
            </w:r>
            <w:r w:rsidR="008365E1">
              <w:rPr>
                <w:rFonts w:ascii="Arial" w:hAnsi="Arial" w:cs="Arial"/>
                <w:sz w:val="24"/>
                <w:szCs w:val="24"/>
                <w:lang w:val="en-US"/>
              </w:rPr>
              <w:t xml:space="preserve"> seeking for the amendment are seriously in question.  It would appear that the defendant had not been prepared for the trial set down for 15 August 2016, as well as for the trial which was subsequently set down for 12 November 2018.</w:t>
            </w:r>
          </w:p>
          <w:p w:rsidR="008365E1" w:rsidRDefault="008365E1" w:rsidP="00571ED4">
            <w:pPr>
              <w:tabs>
                <w:tab w:val="left" w:pos="927"/>
              </w:tabs>
              <w:jc w:val="both"/>
              <w:rPr>
                <w:rFonts w:ascii="Arial" w:hAnsi="Arial" w:cs="Arial"/>
                <w:sz w:val="24"/>
                <w:szCs w:val="24"/>
                <w:lang w:val="en-US"/>
              </w:rPr>
            </w:pPr>
          </w:p>
          <w:p w:rsidR="008365E1" w:rsidRPr="008365E1" w:rsidRDefault="008365E1" w:rsidP="009C6628">
            <w:pPr>
              <w:tabs>
                <w:tab w:val="left" w:pos="927"/>
              </w:tabs>
              <w:spacing w:line="360" w:lineRule="auto"/>
              <w:jc w:val="both"/>
              <w:rPr>
                <w:rFonts w:ascii="Arial" w:hAnsi="Arial" w:cs="Arial"/>
                <w:sz w:val="24"/>
                <w:szCs w:val="24"/>
                <w:u w:val="single"/>
                <w:lang w:val="en-US"/>
              </w:rPr>
            </w:pPr>
            <w:r w:rsidRPr="008365E1">
              <w:rPr>
                <w:rFonts w:ascii="Arial" w:hAnsi="Arial" w:cs="Arial"/>
                <w:sz w:val="24"/>
                <w:szCs w:val="24"/>
                <w:u w:val="single"/>
                <w:lang w:val="en-US"/>
              </w:rPr>
              <w:t>Conclusions</w:t>
            </w:r>
          </w:p>
          <w:p w:rsidR="008365E1" w:rsidRDefault="008365E1" w:rsidP="00571ED4">
            <w:pPr>
              <w:tabs>
                <w:tab w:val="left" w:pos="927"/>
              </w:tabs>
              <w:jc w:val="both"/>
              <w:rPr>
                <w:rFonts w:ascii="Arial" w:hAnsi="Arial" w:cs="Arial"/>
                <w:sz w:val="24"/>
                <w:szCs w:val="24"/>
                <w:lang w:val="en-US"/>
              </w:rPr>
            </w:pPr>
          </w:p>
          <w:p w:rsidR="008365E1" w:rsidRDefault="008365E1"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t xml:space="preserve">The upshot of the aforegoing is that, the defendant did not bring the application to amend, timeously.  The defendant has not placed before court a satisfactory account for the delay.  In the circumstances. I </w:t>
            </w:r>
            <w:r w:rsidR="00E8540F">
              <w:rPr>
                <w:rFonts w:ascii="Arial" w:hAnsi="Arial" w:cs="Arial"/>
                <w:sz w:val="24"/>
                <w:szCs w:val="24"/>
                <w:lang w:val="en-US"/>
              </w:rPr>
              <w:t xml:space="preserve">am </w:t>
            </w:r>
            <w:r>
              <w:rPr>
                <w:rFonts w:ascii="Arial" w:hAnsi="Arial" w:cs="Arial"/>
                <w:sz w:val="24"/>
                <w:szCs w:val="24"/>
                <w:lang w:val="en-US"/>
              </w:rPr>
              <w:t>persuaded by the contention put forth by the plaintiff that the proposed amendment would prejudice the plaintiff to the extent that same cannot be remedied by a costs order.</w:t>
            </w:r>
          </w:p>
          <w:p w:rsidR="00E6677C" w:rsidRDefault="00E6677C" w:rsidP="00571ED4">
            <w:pPr>
              <w:tabs>
                <w:tab w:val="left" w:pos="927"/>
              </w:tabs>
              <w:jc w:val="both"/>
              <w:rPr>
                <w:rFonts w:ascii="Arial" w:hAnsi="Arial" w:cs="Arial"/>
                <w:sz w:val="24"/>
                <w:szCs w:val="24"/>
                <w:lang w:val="en-US"/>
              </w:rPr>
            </w:pPr>
          </w:p>
          <w:p w:rsidR="008328C4" w:rsidRDefault="008328C4"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t>For the aforegoing reasons the defendant’s application for leave to amend, stands to be dismissed with costs.</w:t>
            </w:r>
          </w:p>
          <w:p w:rsidR="008328C4" w:rsidRDefault="008328C4" w:rsidP="009C6628">
            <w:pPr>
              <w:tabs>
                <w:tab w:val="left" w:pos="927"/>
              </w:tabs>
              <w:spacing w:line="360" w:lineRule="auto"/>
              <w:jc w:val="both"/>
              <w:rPr>
                <w:rFonts w:ascii="Arial" w:hAnsi="Arial" w:cs="Arial"/>
                <w:sz w:val="24"/>
                <w:szCs w:val="24"/>
                <w:lang w:val="en-US"/>
              </w:rPr>
            </w:pPr>
          </w:p>
          <w:p w:rsidR="008328C4" w:rsidRDefault="008328C4" w:rsidP="009C6628">
            <w:pPr>
              <w:tabs>
                <w:tab w:val="left" w:pos="927"/>
              </w:tabs>
              <w:spacing w:line="360" w:lineRule="auto"/>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t>In the result, I make the following order</w:t>
            </w:r>
            <w:r w:rsidR="00AD5BE5">
              <w:rPr>
                <w:rFonts w:ascii="Arial" w:hAnsi="Arial" w:cs="Arial"/>
                <w:sz w:val="24"/>
                <w:szCs w:val="24"/>
                <w:lang w:val="en-US"/>
              </w:rPr>
              <w:t>:</w:t>
            </w:r>
          </w:p>
          <w:p w:rsidR="00AD5BE5" w:rsidRDefault="00AD5BE5" w:rsidP="00AD5BE5">
            <w:pPr>
              <w:tabs>
                <w:tab w:val="left" w:pos="432"/>
              </w:tabs>
              <w:spacing w:line="360" w:lineRule="auto"/>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defendant’s applicat</w:t>
            </w:r>
            <w:r w:rsidR="00ED11D9">
              <w:rPr>
                <w:rFonts w:ascii="Arial" w:hAnsi="Arial" w:cs="Arial"/>
                <w:sz w:val="24"/>
                <w:szCs w:val="24"/>
                <w:lang w:val="en-US"/>
              </w:rPr>
              <w:t xml:space="preserve">ion for leave to amend its plea, </w:t>
            </w:r>
            <w:r>
              <w:rPr>
                <w:rFonts w:ascii="Arial" w:hAnsi="Arial" w:cs="Arial"/>
                <w:sz w:val="24"/>
                <w:szCs w:val="24"/>
                <w:lang w:val="en-US"/>
              </w:rPr>
              <w:t>is dismissed.</w:t>
            </w:r>
          </w:p>
          <w:p w:rsidR="00AD5BE5" w:rsidRDefault="00AD5BE5" w:rsidP="00AD5BE5">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defendant is ordered to pay the plaintiff’s costs occasioned by opposition to the </w:t>
            </w:r>
            <w:r>
              <w:rPr>
                <w:rFonts w:ascii="Arial" w:hAnsi="Arial" w:cs="Arial"/>
                <w:sz w:val="24"/>
                <w:szCs w:val="24"/>
                <w:lang w:val="en-US"/>
              </w:rPr>
              <w:tab/>
              <w:t xml:space="preserve">application for leave to amend such costs are to include costs of one instructing and one </w:t>
            </w:r>
            <w:r>
              <w:rPr>
                <w:rFonts w:ascii="Arial" w:hAnsi="Arial" w:cs="Arial"/>
                <w:sz w:val="24"/>
                <w:szCs w:val="24"/>
                <w:lang w:val="en-US"/>
              </w:rPr>
              <w:tab/>
              <w:t>instructed counsel.</w:t>
            </w:r>
          </w:p>
          <w:p w:rsidR="00AD5BE5" w:rsidRDefault="00AD5BE5" w:rsidP="00AD5BE5">
            <w:pPr>
              <w:tabs>
                <w:tab w:val="left" w:pos="432"/>
              </w:tabs>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matter is postponed to 13 March 2020 at 08:30 in chambers for status hearing and </w:t>
            </w:r>
            <w:r>
              <w:rPr>
                <w:rFonts w:ascii="Arial" w:hAnsi="Arial" w:cs="Arial"/>
                <w:sz w:val="24"/>
                <w:szCs w:val="24"/>
                <w:lang w:val="en-US"/>
              </w:rPr>
              <w:tab/>
              <w:t>possible allocation of trial dates.</w:t>
            </w:r>
          </w:p>
          <w:p w:rsidR="00AD5BE5" w:rsidRPr="009C6628" w:rsidRDefault="00AD5BE5" w:rsidP="00AD5BE5">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parties are directed to file a joint status report on or before 09 March 2020.</w:t>
            </w:r>
          </w:p>
          <w:p w:rsidR="008328C4" w:rsidRPr="009C6628" w:rsidRDefault="008328C4" w:rsidP="00571ED4">
            <w:pPr>
              <w:tabs>
                <w:tab w:val="left" w:pos="927"/>
              </w:tabs>
              <w:jc w:val="both"/>
              <w:rPr>
                <w:rFonts w:ascii="Arial" w:hAnsi="Arial" w:cs="Arial"/>
                <w:sz w:val="24"/>
                <w:szCs w:val="24"/>
                <w:lang w:val="en-US"/>
              </w:rPr>
            </w:pPr>
          </w:p>
        </w:tc>
      </w:tr>
      <w:tr w:rsidR="009C6628" w:rsidRPr="009C6628" w:rsidTr="00B52D45">
        <w:tc>
          <w:tcPr>
            <w:tcW w:w="4950" w:type="dxa"/>
          </w:tcPr>
          <w:p w:rsidR="009C6628" w:rsidRPr="009C6628" w:rsidRDefault="009C6628" w:rsidP="009C6628">
            <w:pPr>
              <w:rPr>
                <w:rFonts w:ascii="Arial" w:hAnsi="Arial" w:cs="Arial"/>
                <w:b/>
                <w:sz w:val="24"/>
                <w:szCs w:val="24"/>
                <w:lang w:val="en-US"/>
              </w:rPr>
            </w:pPr>
            <w:r w:rsidRPr="009C6628">
              <w:rPr>
                <w:rFonts w:ascii="Arial" w:hAnsi="Arial" w:cs="Arial"/>
                <w:b/>
                <w:sz w:val="24"/>
                <w:szCs w:val="24"/>
                <w:lang w:val="en-US"/>
              </w:rPr>
              <w:lastRenderedPageBreak/>
              <w:tab/>
              <w:t>Judge’s signature</w:t>
            </w:r>
          </w:p>
          <w:p w:rsidR="009C6628" w:rsidRPr="009C6628" w:rsidRDefault="009C6628" w:rsidP="009C6628">
            <w:pPr>
              <w:rPr>
                <w:rFonts w:ascii="Arial" w:hAnsi="Arial" w:cs="Arial"/>
                <w:b/>
                <w:sz w:val="24"/>
                <w:szCs w:val="24"/>
                <w:lang w:val="en-US"/>
              </w:rPr>
            </w:pPr>
          </w:p>
        </w:tc>
        <w:tc>
          <w:tcPr>
            <w:tcW w:w="5130" w:type="dxa"/>
          </w:tcPr>
          <w:p w:rsidR="009C6628" w:rsidRPr="009C6628" w:rsidRDefault="009C6628" w:rsidP="009C6628">
            <w:pPr>
              <w:rPr>
                <w:rFonts w:ascii="Arial" w:hAnsi="Arial" w:cs="Arial"/>
                <w:b/>
                <w:sz w:val="24"/>
                <w:szCs w:val="24"/>
                <w:lang w:val="en-US"/>
              </w:rPr>
            </w:pPr>
            <w:r w:rsidRPr="009C6628">
              <w:rPr>
                <w:rFonts w:ascii="Arial" w:hAnsi="Arial" w:cs="Arial"/>
                <w:b/>
                <w:sz w:val="24"/>
                <w:szCs w:val="24"/>
                <w:lang w:val="en-US"/>
              </w:rPr>
              <w:t>Note to the parties:</w:t>
            </w:r>
          </w:p>
        </w:tc>
      </w:tr>
      <w:tr w:rsidR="009C6628" w:rsidRPr="009C6628" w:rsidTr="00B52D45">
        <w:tc>
          <w:tcPr>
            <w:tcW w:w="4950" w:type="dxa"/>
          </w:tcPr>
          <w:p w:rsidR="009C6628" w:rsidRPr="009C6628" w:rsidRDefault="009C6628" w:rsidP="009C6628">
            <w:pPr>
              <w:rPr>
                <w:rFonts w:ascii="Arial" w:hAnsi="Arial" w:cs="Arial"/>
                <w:sz w:val="24"/>
                <w:szCs w:val="24"/>
                <w:lang w:val="en-US"/>
              </w:rPr>
            </w:pPr>
          </w:p>
          <w:p w:rsidR="009C6628" w:rsidRPr="009C6628" w:rsidRDefault="009C6628" w:rsidP="009C6628">
            <w:pPr>
              <w:rPr>
                <w:rFonts w:ascii="Arial" w:hAnsi="Arial" w:cs="Arial"/>
                <w:sz w:val="24"/>
                <w:szCs w:val="24"/>
                <w:lang w:val="en-US"/>
              </w:rPr>
            </w:pPr>
          </w:p>
          <w:p w:rsidR="009C6628" w:rsidRPr="009C6628" w:rsidRDefault="009C6628" w:rsidP="009C6628">
            <w:pPr>
              <w:rPr>
                <w:rFonts w:ascii="Arial" w:hAnsi="Arial" w:cs="Arial"/>
                <w:sz w:val="24"/>
                <w:szCs w:val="24"/>
                <w:lang w:val="en-US"/>
              </w:rPr>
            </w:pPr>
          </w:p>
          <w:p w:rsidR="009C6628" w:rsidRPr="009C6628" w:rsidRDefault="009C6628" w:rsidP="009C6628">
            <w:pPr>
              <w:rPr>
                <w:rFonts w:ascii="Arial" w:hAnsi="Arial" w:cs="Arial"/>
                <w:sz w:val="24"/>
                <w:szCs w:val="24"/>
                <w:lang w:val="en-US"/>
              </w:rPr>
            </w:pPr>
          </w:p>
        </w:tc>
        <w:tc>
          <w:tcPr>
            <w:tcW w:w="5130" w:type="dxa"/>
          </w:tcPr>
          <w:p w:rsidR="009C6628" w:rsidRPr="009C6628" w:rsidRDefault="009C6628" w:rsidP="009C6628">
            <w:pPr>
              <w:rPr>
                <w:rFonts w:ascii="Arial" w:hAnsi="Arial" w:cs="Arial"/>
                <w:sz w:val="24"/>
                <w:szCs w:val="24"/>
                <w:lang w:val="en-US"/>
              </w:rPr>
            </w:pPr>
            <w:r w:rsidRPr="009C6628">
              <w:rPr>
                <w:rFonts w:ascii="Arial" w:hAnsi="Arial" w:cs="Arial"/>
                <w:sz w:val="24"/>
                <w:szCs w:val="24"/>
                <w:lang w:val="en-US"/>
              </w:rPr>
              <w:t xml:space="preserve">Not applicable </w:t>
            </w:r>
          </w:p>
        </w:tc>
      </w:tr>
      <w:tr w:rsidR="009C6628" w:rsidRPr="009C6628" w:rsidTr="00B52D45">
        <w:tc>
          <w:tcPr>
            <w:tcW w:w="10080" w:type="dxa"/>
            <w:gridSpan w:val="2"/>
          </w:tcPr>
          <w:p w:rsidR="009C6628" w:rsidRPr="009C6628" w:rsidRDefault="009C6628" w:rsidP="009C6628">
            <w:pPr>
              <w:jc w:val="center"/>
              <w:rPr>
                <w:rFonts w:ascii="Arial" w:hAnsi="Arial" w:cs="Arial"/>
                <w:b/>
                <w:sz w:val="24"/>
                <w:szCs w:val="24"/>
                <w:lang w:val="en-US"/>
              </w:rPr>
            </w:pPr>
            <w:r w:rsidRPr="009C6628">
              <w:rPr>
                <w:rFonts w:ascii="Arial" w:hAnsi="Arial" w:cs="Arial"/>
                <w:b/>
                <w:sz w:val="24"/>
                <w:szCs w:val="24"/>
                <w:lang w:val="en-US"/>
              </w:rPr>
              <w:t>Counsel:</w:t>
            </w:r>
          </w:p>
        </w:tc>
      </w:tr>
      <w:tr w:rsidR="009C6628" w:rsidRPr="009C6628" w:rsidTr="00B52D45">
        <w:tc>
          <w:tcPr>
            <w:tcW w:w="4950" w:type="dxa"/>
          </w:tcPr>
          <w:p w:rsidR="009C6628" w:rsidRPr="009C6628" w:rsidRDefault="00AD5BE5" w:rsidP="009C6628">
            <w:pPr>
              <w:rPr>
                <w:rFonts w:ascii="Arial" w:hAnsi="Arial" w:cs="Arial"/>
                <w:b/>
                <w:sz w:val="24"/>
                <w:szCs w:val="24"/>
                <w:lang w:val="en-US"/>
              </w:rPr>
            </w:pPr>
            <w:r>
              <w:rPr>
                <w:rFonts w:ascii="Arial" w:hAnsi="Arial" w:cs="Arial"/>
                <w:b/>
                <w:sz w:val="24"/>
                <w:szCs w:val="24"/>
                <w:lang w:val="en-US"/>
              </w:rPr>
              <w:t>Plaintiff</w:t>
            </w:r>
          </w:p>
        </w:tc>
        <w:tc>
          <w:tcPr>
            <w:tcW w:w="5130" w:type="dxa"/>
          </w:tcPr>
          <w:p w:rsidR="009C6628" w:rsidRPr="009C6628" w:rsidRDefault="009C6628" w:rsidP="009C6628">
            <w:pPr>
              <w:rPr>
                <w:rFonts w:ascii="Arial" w:hAnsi="Arial" w:cs="Arial"/>
                <w:b/>
                <w:sz w:val="24"/>
                <w:szCs w:val="24"/>
                <w:lang w:val="en-US"/>
              </w:rPr>
            </w:pPr>
            <w:r w:rsidRPr="009C6628">
              <w:rPr>
                <w:rFonts w:ascii="Arial" w:hAnsi="Arial" w:cs="Arial"/>
                <w:b/>
                <w:sz w:val="24"/>
                <w:szCs w:val="24"/>
                <w:lang w:val="en-US"/>
              </w:rPr>
              <w:t>Defendant</w:t>
            </w:r>
          </w:p>
          <w:p w:rsidR="009C6628" w:rsidRPr="009C6628" w:rsidRDefault="009C6628" w:rsidP="009C6628">
            <w:pPr>
              <w:rPr>
                <w:rFonts w:ascii="Arial" w:hAnsi="Arial" w:cs="Arial"/>
                <w:sz w:val="24"/>
                <w:szCs w:val="24"/>
                <w:lang w:val="en-US"/>
              </w:rPr>
            </w:pPr>
          </w:p>
        </w:tc>
      </w:tr>
      <w:tr w:rsidR="009C6628" w:rsidRPr="009C6628" w:rsidTr="00B52D45">
        <w:tc>
          <w:tcPr>
            <w:tcW w:w="4950" w:type="dxa"/>
          </w:tcPr>
          <w:p w:rsidR="009C6628" w:rsidRDefault="00AD5BE5" w:rsidP="009C6628">
            <w:pPr>
              <w:rPr>
                <w:rFonts w:ascii="Arial" w:hAnsi="Arial" w:cs="Arial"/>
                <w:sz w:val="24"/>
                <w:szCs w:val="24"/>
                <w:lang w:val="en-US"/>
              </w:rPr>
            </w:pPr>
            <w:r>
              <w:rPr>
                <w:rFonts w:ascii="Arial" w:hAnsi="Arial" w:cs="Arial"/>
                <w:sz w:val="24"/>
                <w:szCs w:val="24"/>
                <w:lang w:val="en-US"/>
              </w:rPr>
              <w:t>Adv. CE Van der Westhuizen</w:t>
            </w:r>
          </w:p>
          <w:p w:rsidR="00AD5BE5" w:rsidRPr="009C6628" w:rsidRDefault="00AD5BE5" w:rsidP="009C6628">
            <w:pPr>
              <w:rPr>
                <w:rFonts w:ascii="Arial" w:hAnsi="Arial" w:cs="Arial"/>
                <w:sz w:val="24"/>
                <w:szCs w:val="24"/>
                <w:lang w:val="en-US"/>
              </w:rPr>
            </w:pPr>
            <w:r>
              <w:rPr>
                <w:rFonts w:ascii="Arial" w:hAnsi="Arial" w:cs="Arial"/>
                <w:sz w:val="24"/>
                <w:szCs w:val="24"/>
                <w:lang w:val="en-US"/>
              </w:rPr>
              <w:t>Instructed by Etzold-Duvenhage</w:t>
            </w:r>
          </w:p>
          <w:p w:rsidR="009C6628" w:rsidRPr="009C6628" w:rsidRDefault="009C6628" w:rsidP="009C6628">
            <w:pPr>
              <w:rPr>
                <w:rFonts w:ascii="Arial" w:hAnsi="Arial" w:cs="Arial"/>
                <w:sz w:val="24"/>
                <w:szCs w:val="24"/>
                <w:lang w:val="en-US"/>
              </w:rPr>
            </w:pPr>
          </w:p>
        </w:tc>
        <w:tc>
          <w:tcPr>
            <w:tcW w:w="5130" w:type="dxa"/>
          </w:tcPr>
          <w:p w:rsidR="009C6628" w:rsidRDefault="00AD5BE5" w:rsidP="009C6628">
            <w:pPr>
              <w:rPr>
                <w:rFonts w:ascii="Arial" w:hAnsi="Arial" w:cs="Arial"/>
                <w:sz w:val="24"/>
                <w:szCs w:val="24"/>
                <w:lang w:val="en-US"/>
              </w:rPr>
            </w:pPr>
            <w:r>
              <w:rPr>
                <w:rFonts w:ascii="Arial" w:hAnsi="Arial" w:cs="Arial"/>
                <w:sz w:val="24"/>
                <w:szCs w:val="24"/>
                <w:lang w:val="en-US"/>
              </w:rPr>
              <w:t>Adv. T. Chibwana</w:t>
            </w:r>
          </w:p>
          <w:p w:rsidR="00AD5BE5" w:rsidRPr="009C6628" w:rsidRDefault="00AD5BE5" w:rsidP="009C6628">
            <w:pPr>
              <w:rPr>
                <w:rFonts w:ascii="Arial" w:hAnsi="Arial" w:cs="Arial"/>
                <w:sz w:val="24"/>
                <w:szCs w:val="24"/>
                <w:lang w:val="en-US"/>
              </w:rPr>
            </w:pPr>
            <w:r>
              <w:rPr>
                <w:rFonts w:ascii="Arial" w:hAnsi="Arial" w:cs="Arial"/>
                <w:sz w:val="24"/>
                <w:szCs w:val="24"/>
                <w:lang w:val="en-US"/>
              </w:rPr>
              <w:t>Instructed by Ueitele &amp; Hans Legal Practitioner</w:t>
            </w:r>
            <w:r w:rsidR="00A0516C">
              <w:rPr>
                <w:rFonts w:ascii="Arial" w:hAnsi="Arial" w:cs="Arial"/>
                <w:sz w:val="24"/>
                <w:szCs w:val="24"/>
                <w:lang w:val="en-US"/>
              </w:rPr>
              <w:t>s</w:t>
            </w:r>
          </w:p>
        </w:tc>
      </w:tr>
    </w:tbl>
    <w:p w:rsidR="00923B3B" w:rsidRPr="00993D54" w:rsidRDefault="00923B3B">
      <w:pPr>
        <w:rPr>
          <w:rFonts w:ascii="Arial" w:hAnsi="Arial" w:cs="Arial"/>
        </w:rPr>
      </w:pPr>
    </w:p>
    <w:sectPr w:rsidR="00923B3B" w:rsidRPr="00993D54" w:rsidSect="000F1496">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A0A" w:rsidRDefault="00E55A0A" w:rsidP="005367C0">
      <w:pPr>
        <w:spacing w:after="0" w:line="240" w:lineRule="auto"/>
      </w:pPr>
      <w:r>
        <w:separator/>
      </w:r>
    </w:p>
  </w:endnote>
  <w:endnote w:type="continuationSeparator" w:id="0">
    <w:p w:rsidR="00E55A0A" w:rsidRDefault="00E55A0A" w:rsidP="0053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A0A" w:rsidRDefault="00E55A0A" w:rsidP="005367C0">
      <w:pPr>
        <w:spacing w:after="0" w:line="240" w:lineRule="auto"/>
      </w:pPr>
      <w:r>
        <w:separator/>
      </w:r>
    </w:p>
  </w:footnote>
  <w:footnote w:type="continuationSeparator" w:id="0">
    <w:p w:rsidR="00E55A0A" w:rsidRDefault="00E55A0A" w:rsidP="005367C0">
      <w:pPr>
        <w:spacing w:after="0" w:line="240" w:lineRule="auto"/>
      </w:pPr>
      <w:r>
        <w:continuationSeparator/>
      </w:r>
    </w:p>
  </w:footnote>
  <w:footnote w:id="1">
    <w:p w:rsidR="005367C0" w:rsidRPr="005367C0" w:rsidRDefault="005367C0">
      <w:pPr>
        <w:pStyle w:val="FootnoteText"/>
        <w:rPr>
          <w:rFonts w:ascii="Arial" w:hAnsi="Arial" w:cs="Arial"/>
          <w:lang w:val="en-US"/>
        </w:rPr>
      </w:pPr>
      <w:r w:rsidRPr="005367C0">
        <w:rPr>
          <w:rStyle w:val="FootnoteReference"/>
          <w:rFonts w:ascii="Arial" w:hAnsi="Arial" w:cs="Arial"/>
        </w:rPr>
        <w:footnoteRef/>
      </w:r>
      <w:r w:rsidRPr="005367C0">
        <w:rPr>
          <w:rFonts w:ascii="Arial" w:hAnsi="Arial" w:cs="Arial"/>
        </w:rPr>
        <w:t xml:space="preserve"> </w:t>
      </w:r>
      <w:r>
        <w:rPr>
          <w:rFonts w:ascii="Arial" w:hAnsi="Arial" w:cs="Arial"/>
        </w:rPr>
        <w:t>Coertzen v Neves Legal Practitioners I 3398/2010 [2013] NAHCMD 283 (14 October 2013) per Parker AJ.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5D23B0" w:rsidRDefault="00527880">
        <w:pPr>
          <w:pStyle w:val="Header"/>
          <w:jc w:val="center"/>
        </w:pPr>
        <w:r>
          <w:fldChar w:fldCharType="begin"/>
        </w:r>
        <w:r>
          <w:instrText xml:space="preserve"> PAGE   \* MERGEFORMAT </w:instrText>
        </w:r>
        <w:r>
          <w:fldChar w:fldCharType="separate"/>
        </w:r>
        <w:r w:rsidR="003A77EC">
          <w:rPr>
            <w:noProof/>
          </w:rPr>
          <w:t>2</w:t>
        </w:r>
        <w:r>
          <w:rPr>
            <w:noProof/>
          </w:rPr>
          <w:fldChar w:fldCharType="end"/>
        </w:r>
      </w:p>
    </w:sdtContent>
  </w:sdt>
  <w:p w:rsidR="005D23B0" w:rsidRDefault="003A7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28"/>
    <w:rsid w:val="00070806"/>
    <w:rsid w:val="00072523"/>
    <w:rsid w:val="000B270D"/>
    <w:rsid w:val="000C4560"/>
    <w:rsid w:val="00112B41"/>
    <w:rsid w:val="00171F50"/>
    <w:rsid w:val="00197713"/>
    <w:rsid w:val="0022101A"/>
    <w:rsid w:val="003300AF"/>
    <w:rsid w:val="003A77EC"/>
    <w:rsid w:val="0043757A"/>
    <w:rsid w:val="0044437B"/>
    <w:rsid w:val="004C5E94"/>
    <w:rsid w:val="005236EA"/>
    <w:rsid w:val="00527880"/>
    <w:rsid w:val="005367C0"/>
    <w:rsid w:val="00571ED4"/>
    <w:rsid w:val="006349D7"/>
    <w:rsid w:val="00642E0E"/>
    <w:rsid w:val="006702AE"/>
    <w:rsid w:val="006D211F"/>
    <w:rsid w:val="006F5B4F"/>
    <w:rsid w:val="00735D18"/>
    <w:rsid w:val="007B0DC0"/>
    <w:rsid w:val="007C4B58"/>
    <w:rsid w:val="007E36E9"/>
    <w:rsid w:val="007F443A"/>
    <w:rsid w:val="008328C4"/>
    <w:rsid w:val="008365E1"/>
    <w:rsid w:val="008B3DA5"/>
    <w:rsid w:val="00923B3B"/>
    <w:rsid w:val="009808DF"/>
    <w:rsid w:val="00981420"/>
    <w:rsid w:val="00993D54"/>
    <w:rsid w:val="009C6628"/>
    <w:rsid w:val="00A0516C"/>
    <w:rsid w:val="00A45496"/>
    <w:rsid w:val="00A82C8C"/>
    <w:rsid w:val="00AD53FC"/>
    <w:rsid w:val="00AD5BE5"/>
    <w:rsid w:val="00BA1546"/>
    <w:rsid w:val="00C22B5E"/>
    <w:rsid w:val="00D200C3"/>
    <w:rsid w:val="00D91320"/>
    <w:rsid w:val="00DC6C9D"/>
    <w:rsid w:val="00DF0BDA"/>
    <w:rsid w:val="00DF4DE5"/>
    <w:rsid w:val="00E55A0A"/>
    <w:rsid w:val="00E6677C"/>
    <w:rsid w:val="00E72D44"/>
    <w:rsid w:val="00E8540F"/>
    <w:rsid w:val="00EA205E"/>
    <w:rsid w:val="00EB177E"/>
    <w:rsid w:val="00ED11D9"/>
    <w:rsid w:val="00F06203"/>
    <w:rsid w:val="00F63D3E"/>
    <w:rsid w:val="00F7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2C345-5B6F-4F99-B837-0931486C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62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9C6628"/>
  </w:style>
  <w:style w:type="paragraph" w:styleId="FootnoteText">
    <w:name w:val="footnote text"/>
    <w:basedOn w:val="Normal"/>
    <w:link w:val="FootnoteTextChar"/>
    <w:uiPriority w:val="99"/>
    <w:semiHidden/>
    <w:unhideWhenUsed/>
    <w:rsid w:val="005367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7C0"/>
    <w:rPr>
      <w:sz w:val="20"/>
      <w:szCs w:val="20"/>
      <w:lang w:val="en-GB"/>
    </w:rPr>
  </w:style>
  <w:style w:type="character" w:styleId="FootnoteReference">
    <w:name w:val="footnote reference"/>
    <w:basedOn w:val="DefaultParagraphFont"/>
    <w:uiPriority w:val="99"/>
    <w:semiHidden/>
    <w:unhideWhenUsed/>
    <w:rsid w:val="005367C0"/>
    <w:rPr>
      <w:vertAlign w:val="superscript"/>
    </w:rPr>
  </w:style>
  <w:style w:type="paragraph" w:styleId="BalloonText">
    <w:name w:val="Balloon Text"/>
    <w:basedOn w:val="Normal"/>
    <w:link w:val="BalloonTextChar"/>
    <w:uiPriority w:val="99"/>
    <w:semiHidden/>
    <w:unhideWhenUsed/>
    <w:rsid w:val="00330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0A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2020-02-20T18:30:00+00:00</Judgment_x0020_Date>
    <Year xmlns="c1afb1bd-f2fb-40fd-9abb-aea55b4d7662">2020</Year>
  </documentManagement>
</p:properties>
</file>

<file path=customXml/itemProps1.xml><?xml version="1.0" encoding="utf-8"?>
<ds:datastoreItem xmlns:ds="http://schemas.openxmlformats.org/officeDocument/2006/customXml" ds:itemID="{1FC7457D-89E2-43B8-B7E7-28AC3E076919}"/>
</file>

<file path=customXml/itemProps2.xml><?xml version="1.0" encoding="utf-8"?>
<ds:datastoreItem xmlns:ds="http://schemas.openxmlformats.org/officeDocument/2006/customXml" ds:itemID="{9007ABA6-B277-43A7-B840-53B17CF18F98}"/>
</file>

<file path=customXml/itemProps3.xml><?xml version="1.0" encoding="utf-8"?>
<ds:datastoreItem xmlns:ds="http://schemas.openxmlformats.org/officeDocument/2006/customXml" ds:itemID="{E22F06F4-4EF4-4A07-AEB0-E3BB55084B78}"/>
</file>

<file path=customXml/itemProps4.xml><?xml version="1.0" encoding="utf-8"?>
<ds:datastoreItem xmlns:ds="http://schemas.openxmlformats.org/officeDocument/2006/customXml" ds:itemID="{D42085AF-B018-45E5-8490-6737B1DB1591}"/>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2020-02-21T09:43:00Z</cp:lastPrinted>
  <dcterms:created xsi:type="dcterms:W3CDTF">2020-03-02T13:33:00Z</dcterms:created>
  <dcterms:modified xsi:type="dcterms:W3CDTF">2020-03-02T13:33:00Z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