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20" w:rsidRPr="005967D7" w:rsidRDefault="000D6E20" w:rsidP="000D6E20">
      <w:pPr>
        <w:tabs>
          <w:tab w:val="left" w:pos="5670"/>
        </w:tabs>
        <w:jc w:val="center"/>
        <w:rPr>
          <w:rFonts w:ascii="Arial" w:hAnsi="Arial"/>
          <w:b/>
          <w:lang w:val="en-US"/>
        </w:rPr>
      </w:pPr>
      <w:r w:rsidRPr="005967D7">
        <w:rPr>
          <w:rFonts w:ascii="Arial" w:hAnsi="Arial"/>
          <w:b/>
          <w:lang w:val="en-US"/>
        </w:rPr>
        <w:t>REPUBLIC OF NAMIBIA</w:t>
      </w:r>
    </w:p>
    <w:p w:rsidR="000D6E20" w:rsidRPr="005967D7" w:rsidRDefault="000D6E20" w:rsidP="000D6E20">
      <w:pPr>
        <w:tabs>
          <w:tab w:val="left" w:pos="5670"/>
        </w:tabs>
        <w:jc w:val="center"/>
        <w:rPr>
          <w:rFonts w:ascii="Arial" w:hAnsi="Arial"/>
          <w:b/>
        </w:rPr>
      </w:pPr>
      <w:r w:rsidRPr="005967D7">
        <w:rPr>
          <w:rFonts w:ascii="Arial" w:hAnsi="Arial"/>
          <w:b/>
          <w:noProof/>
          <w:lang w:val="en-ZA" w:eastAsia="en-ZA"/>
        </w:rPr>
        <w:drawing>
          <wp:inline distT="0" distB="0" distL="0" distR="0" wp14:anchorId="0A229CB6" wp14:editId="6CE2B374">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6E486A" w:rsidRDefault="002358A0" w:rsidP="002358A0">
      <w:pPr>
        <w:jc w:val="center"/>
        <w:rPr>
          <w:rFonts w:ascii="Arial" w:hAnsi="Arial"/>
          <w:b/>
        </w:rPr>
      </w:pPr>
      <w:r>
        <w:rPr>
          <w:rFonts w:ascii="Arial" w:hAnsi="Arial"/>
          <w:b/>
        </w:rPr>
        <w:t>HIGH COURT OF NAMIBIA, MAIN DIVISION, WINDHOEK</w:t>
      </w:r>
    </w:p>
    <w:p w:rsidR="002358A0" w:rsidRDefault="002358A0" w:rsidP="002358A0">
      <w:pPr>
        <w:jc w:val="center"/>
        <w:rPr>
          <w:rFonts w:ascii="Arial" w:hAnsi="Arial"/>
          <w:b/>
        </w:rPr>
      </w:pPr>
    </w:p>
    <w:p w:rsidR="002358A0" w:rsidRDefault="002358A0" w:rsidP="002358A0">
      <w:pPr>
        <w:jc w:val="center"/>
        <w:rPr>
          <w:rFonts w:ascii="Arial" w:hAnsi="Arial"/>
          <w:b/>
        </w:rPr>
      </w:pPr>
      <w:r>
        <w:rPr>
          <w:rFonts w:ascii="Arial" w:hAnsi="Arial"/>
          <w:b/>
        </w:rPr>
        <w:t xml:space="preserve">RULING </w:t>
      </w:r>
      <w:r>
        <w:rPr>
          <w:rFonts w:ascii="Arial" w:hAnsi="Arial"/>
          <w:b/>
          <w:i/>
        </w:rPr>
        <w:t xml:space="preserve">ITO </w:t>
      </w:r>
      <w:r>
        <w:rPr>
          <w:rFonts w:ascii="Arial" w:hAnsi="Arial"/>
          <w:b/>
        </w:rPr>
        <w:t>P. D. 61</w:t>
      </w:r>
    </w:p>
    <w:p w:rsidR="002358A0" w:rsidRDefault="002358A0" w:rsidP="002358A0">
      <w:pPr>
        <w:jc w:val="center"/>
        <w:rPr>
          <w:rFonts w:ascii="Arial" w:hAnsi="Arial"/>
          <w:b/>
        </w:rPr>
      </w:pPr>
    </w:p>
    <w:p w:rsidR="002358A0" w:rsidRDefault="002358A0" w:rsidP="002358A0">
      <w:pPr>
        <w:jc w:val="right"/>
        <w:rPr>
          <w:rFonts w:ascii="Arial" w:hAnsi="Arial"/>
          <w:b/>
        </w:rPr>
      </w:pPr>
    </w:p>
    <w:p w:rsidR="002358A0" w:rsidRDefault="002358A0" w:rsidP="002358A0">
      <w:pPr>
        <w:jc w:val="right"/>
        <w:rPr>
          <w:rFonts w:ascii="Arial" w:hAnsi="Arial"/>
        </w:rPr>
      </w:pPr>
      <w:r w:rsidRPr="002358A0">
        <w:rPr>
          <w:rFonts w:ascii="Arial" w:hAnsi="Arial"/>
        </w:rPr>
        <w:t>CASE NO:</w:t>
      </w:r>
      <w:r>
        <w:rPr>
          <w:rFonts w:ascii="Arial" w:hAnsi="Arial"/>
        </w:rPr>
        <w:t xml:space="preserve"> HC-MD-CIV-MOT-GEN-2019/00410</w:t>
      </w:r>
    </w:p>
    <w:p w:rsidR="002358A0" w:rsidRDefault="002358A0" w:rsidP="002358A0">
      <w:pPr>
        <w:jc w:val="right"/>
        <w:rPr>
          <w:rFonts w:ascii="Arial" w:hAnsi="Arial"/>
        </w:rPr>
      </w:pPr>
    </w:p>
    <w:p w:rsidR="002358A0" w:rsidRDefault="002358A0" w:rsidP="002358A0">
      <w:pPr>
        <w:rPr>
          <w:rFonts w:ascii="Arial" w:hAnsi="Arial"/>
        </w:rPr>
      </w:pPr>
      <w:r>
        <w:rPr>
          <w:rFonts w:ascii="Arial" w:hAnsi="Arial"/>
        </w:rPr>
        <w:t>In the matter between:</w:t>
      </w:r>
    </w:p>
    <w:p w:rsidR="002358A0" w:rsidRDefault="002358A0" w:rsidP="002358A0">
      <w:pPr>
        <w:rPr>
          <w:rFonts w:ascii="Arial" w:hAnsi="Arial"/>
        </w:rPr>
      </w:pPr>
    </w:p>
    <w:p w:rsidR="002358A0" w:rsidRDefault="002358A0" w:rsidP="002358A0">
      <w:pPr>
        <w:rPr>
          <w:rFonts w:ascii="Arial" w:hAnsi="Arial"/>
        </w:rPr>
      </w:pPr>
    </w:p>
    <w:p w:rsidR="002358A0" w:rsidRDefault="002358A0" w:rsidP="002358A0">
      <w:pPr>
        <w:rPr>
          <w:rFonts w:ascii="Arial" w:hAnsi="Arial"/>
          <w:b/>
        </w:rPr>
      </w:pPr>
      <w:r>
        <w:rPr>
          <w:rFonts w:ascii="Arial" w:hAnsi="Arial"/>
          <w:b/>
        </w:rPr>
        <w:t>FAWZIA STELLEMACHER                                                          APPLICANT</w:t>
      </w:r>
    </w:p>
    <w:p w:rsidR="002358A0" w:rsidRDefault="002358A0" w:rsidP="002358A0">
      <w:pPr>
        <w:rPr>
          <w:rFonts w:ascii="Arial" w:hAnsi="Arial"/>
          <w:b/>
        </w:rPr>
      </w:pPr>
    </w:p>
    <w:p w:rsidR="002358A0" w:rsidRDefault="002358A0" w:rsidP="002358A0">
      <w:pPr>
        <w:rPr>
          <w:rFonts w:ascii="Arial" w:hAnsi="Arial"/>
        </w:rPr>
      </w:pPr>
      <w:r>
        <w:rPr>
          <w:rFonts w:ascii="Arial" w:hAnsi="Arial"/>
        </w:rPr>
        <w:t>and</w:t>
      </w:r>
    </w:p>
    <w:p w:rsidR="002358A0" w:rsidRDefault="002358A0" w:rsidP="002358A0">
      <w:pPr>
        <w:rPr>
          <w:rFonts w:ascii="Arial" w:hAnsi="Arial"/>
        </w:rPr>
      </w:pPr>
    </w:p>
    <w:p w:rsidR="002358A0" w:rsidRDefault="002358A0" w:rsidP="002358A0">
      <w:pPr>
        <w:rPr>
          <w:rFonts w:ascii="Arial" w:hAnsi="Arial"/>
          <w:b/>
        </w:rPr>
      </w:pPr>
      <w:r>
        <w:rPr>
          <w:rFonts w:ascii="Arial" w:hAnsi="Arial"/>
          <w:b/>
        </w:rPr>
        <w:t>GOLDA ADELHEID STELLEMACHER                         FIRST RESPONDENT</w:t>
      </w:r>
    </w:p>
    <w:p w:rsidR="002358A0" w:rsidRDefault="002358A0" w:rsidP="002358A0">
      <w:pPr>
        <w:rPr>
          <w:rFonts w:ascii="Arial" w:hAnsi="Arial"/>
          <w:b/>
        </w:rPr>
      </w:pPr>
    </w:p>
    <w:p w:rsidR="002358A0" w:rsidRDefault="002358A0" w:rsidP="002358A0">
      <w:pPr>
        <w:rPr>
          <w:rFonts w:ascii="Arial" w:hAnsi="Arial"/>
          <w:b/>
        </w:rPr>
      </w:pPr>
      <w:r>
        <w:rPr>
          <w:rFonts w:ascii="Arial" w:hAnsi="Arial"/>
          <w:b/>
        </w:rPr>
        <w:t>UTE STELLEMACHER                                             SECOND RESPONDENT</w:t>
      </w:r>
    </w:p>
    <w:p w:rsidR="002358A0" w:rsidRDefault="002358A0" w:rsidP="002358A0">
      <w:pPr>
        <w:rPr>
          <w:rFonts w:ascii="Arial" w:hAnsi="Arial"/>
          <w:b/>
        </w:rPr>
      </w:pPr>
    </w:p>
    <w:p w:rsidR="002358A0" w:rsidRDefault="002358A0" w:rsidP="002358A0">
      <w:pPr>
        <w:rPr>
          <w:rFonts w:ascii="Arial" w:hAnsi="Arial"/>
          <w:b/>
        </w:rPr>
      </w:pPr>
      <w:r>
        <w:rPr>
          <w:rFonts w:ascii="Arial" w:hAnsi="Arial"/>
          <w:b/>
        </w:rPr>
        <w:t>ZIA ENGELHILDE STELLEMACHER                          THIRD RESPONDENT</w:t>
      </w:r>
    </w:p>
    <w:p w:rsidR="002358A0" w:rsidRDefault="002358A0" w:rsidP="002358A0">
      <w:pPr>
        <w:rPr>
          <w:rFonts w:ascii="Arial" w:hAnsi="Arial"/>
          <w:b/>
        </w:rPr>
      </w:pPr>
    </w:p>
    <w:p w:rsidR="002358A0" w:rsidRPr="002358A0" w:rsidRDefault="002358A0" w:rsidP="002358A0">
      <w:pPr>
        <w:rPr>
          <w:rFonts w:ascii="Arial" w:hAnsi="Arial"/>
          <w:b/>
        </w:rPr>
      </w:pPr>
      <w:r>
        <w:rPr>
          <w:rFonts w:ascii="Arial" w:hAnsi="Arial"/>
          <w:b/>
        </w:rPr>
        <w:t>MASTER OF THE HIGH COURT                              FOURTH RESPONDENT</w:t>
      </w:r>
    </w:p>
    <w:p w:rsidR="0071683E" w:rsidRDefault="0071683E" w:rsidP="0071683E">
      <w:pPr>
        <w:spacing w:line="360" w:lineRule="auto"/>
        <w:jc w:val="both"/>
        <w:rPr>
          <w:rFonts w:ascii="Arial" w:hAnsi="Arial"/>
          <w:i/>
        </w:rPr>
      </w:pPr>
    </w:p>
    <w:p w:rsidR="0071683E" w:rsidRDefault="0071683E" w:rsidP="0071683E">
      <w:pPr>
        <w:spacing w:line="360" w:lineRule="auto"/>
        <w:jc w:val="both"/>
        <w:rPr>
          <w:rFonts w:ascii="Arial" w:hAnsi="Arial"/>
        </w:rPr>
      </w:pPr>
      <w:r>
        <w:rPr>
          <w:rFonts w:ascii="Arial" w:hAnsi="Arial"/>
          <w:i/>
        </w:rPr>
        <w:t>Neutral Citation</w:t>
      </w:r>
      <w:r>
        <w:rPr>
          <w:rFonts w:ascii="Arial" w:hAnsi="Arial"/>
          <w:i/>
        </w:rPr>
        <w:tab/>
      </w:r>
      <w:proofErr w:type="spellStart"/>
      <w:r>
        <w:rPr>
          <w:rFonts w:ascii="Arial" w:hAnsi="Arial"/>
          <w:i/>
        </w:rPr>
        <w:t>Stellemacher</w:t>
      </w:r>
      <w:proofErr w:type="spellEnd"/>
      <w:r>
        <w:rPr>
          <w:rFonts w:ascii="Arial" w:hAnsi="Arial"/>
          <w:i/>
        </w:rPr>
        <w:t xml:space="preserve"> v </w:t>
      </w:r>
      <w:proofErr w:type="spellStart"/>
      <w:r>
        <w:rPr>
          <w:rFonts w:ascii="Arial" w:hAnsi="Arial"/>
          <w:i/>
        </w:rPr>
        <w:t>Stellemacher</w:t>
      </w:r>
      <w:proofErr w:type="spellEnd"/>
      <w:r>
        <w:rPr>
          <w:rFonts w:ascii="Arial" w:hAnsi="Arial"/>
          <w:i/>
        </w:rPr>
        <w:t xml:space="preserve"> </w:t>
      </w:r>
      <w:r>
        <w:rPr>
          <w:rFonts w:ascii="Arial" w:hAnsi="Arial"/>
        </w:rPr>
        <w:t>(HC-MD-CI</w:t>
      </w:r>
      <w:r w:rsidR="00017A1A">
        <w:rPr>
          <w:rFonts w:ascii="Arial" w:hAnsi="Arial"/>
        </w:rPr>
        <w:t>V-MOT-GEN-2019/00410) [2020] NAH</w:t>
      </w:r>
      <w:r>
        <w:rPr>
          <w:rFonts w:ascii="Arial" w:hAnsi="Arial"/>
        </w:rPr>
        <w:t>CMD</w:t>
      </w:r>
      <w:r w:rsidR="00372451">
        <w:rPr>
          <w:rFonts w:ascii="Arial" w:hAnsi="Arial"/>
        </w:rPr>
        <w:t xml:space="preserve"> 70</w:t>
      </w:r>
      <w:r>
        <w:rPr>
          <w:rFonts w:ascii="Arial" w:hAnsi="Arial"/>
        </w:rPr>
        <w:t xml:space="preserve"> (27 February 2020)</w:t>
      </w:r>
    </w:p>
    <w:p w:rsidR="0071683E" w:rsidRDefault="0071683E" w:rsidP="0071683E">
      <w:pPr>
        <w:spacing w:line="360" w:lineRule="auto"/>
        <w:jc w:val="both"/>
        <w:rPr>
          <w:rFonts w:ascii="Arial" w:hAnsi="Arial"/>
        </w:rPr>
      </w:pPr>
    </w:p>
    <w:p w:rsidR="0071683E" w:rsidRDefault="0071683E" w:rsidP="0071683E">
      <w:pPr>
        <w:spacing w:line="360" w:lineRule="auto"/>
        <w:jc w:val="both"/>
        <w:rPr>
          <w:rFonts w:ascii="Arial" w:hAnsi="Arial"/>
        </w:rPr>
      </w:pPr>
      <w:r>
        <w:rPr>
          <w:rFonts w:ascii="Arial" w:hAnsi="Arial"/>
          <w:b/>
        </w:rPr>
        <w:t xml:space="preserve">CORAM: </w:t>
      </w:r>
      <w:r>
        <w:rPr>
          <w:rFonts w:ascii="Arial" w:hAnsi="Arial"/>
          <w:b/>
        </w:rPr>
        <w:tab/>
        <w:t>MASUKU J</w:t>
      </w:r>
    </w:p>
    <w:p w:rsidR="0071683E" w:rsidRDefault="0071683E" w:rsidP="0071683E">
      <w:pPr>
        <w:spacing w:line="360" w:lineRule="auto"/>
        <w:jc w:val="both"/>
        <w:rPr>
          <w:rFonts w:ascii="Arial" w:hAnsi="Arial"/>
        </w:rPr>
      </w:pPr>
      <w:r>
        <w:rPr>
          <w:rFonts w:ascii="Arial" w:hAnsi="Arial"/>
        </w:rPr>
        <w:t>Delivered:</w:t>
      </w:r>
      <w:r>
        <w:rPr>
          <w:rFonts w:ascii="Arial" w:hAnsi="Arial"/>
        </w:rPr>
        <w:tab/>
        <w:t>27 February 2020</w:t>
      </w:r>
    </w:p>
    <w:p w:rsidR="002358A0" w:rsidRDefault="002358A0" w:rsidP="002358A0">
      <w:pPr>
        <w:rPr>
          <w:rFonts w:ascii="Arial" w:hAnsi="Arial"/>
        </w:rPr>
      </w:pPr>
    </w:p>
    <w:p w:rsidR="002358A0" w:rsidRDefault="002358A0" w:rsidP="002358A0">
      <w:pPr>
        <w:pBdr>
          <w:bottom w:val="single" w:sz="6" w:space="1" w:color="auto"/>
        </w:pBdr>
        <w:rPr>
          <w:rFonts w:ascii="Arial" w:hAnsi="Arial"/>
        </w:rPr>
      </w:pPr>
    </w:p>
    <w:p w:rsidR="002358A0" w:rsidRDefault="002358A0" w:rsidP="002358A0">
      <w:pPr>
        <w:rPr>
          <w:rFonts w:ascii="Arial" w:hAnsi="Arial"/>
        </w:rPr>
      </w:pPr>
    </w:p>
    <w:p w:rsidR="002358A0" w:rsidRDefault="002358A0" w:rsidP="002358A0">
      <w:pPr>
        <w:jc w:val="center"/>
        <w:rPr>
          <w:rFonts w:ascii="Arial" w:hAnsi="Arial"/>
          <w:b/>
        </w:rPr>
      </w:pPr>
      <w:r>
        <w:rPr>
          <w:rFonts w:ascii="Arial" w:hAnsi="Arial"/>
          <w:b/>
        </w:rPr>
        <w:t>RULING</w:t>
      </w:r>
    </w:p>
    <w:p w:rsidR="002358A0" w:rsidRDefault="002358A0" w:rsidP="002358A0">
      <w:pPr>
        <w:pBdr>
          <w:bottom w:val="single" w:sz="6" w:space="1" w:color="auto"/>
        </w:pBdr>
        <w:jc w:val="center"/>
        <w:rPr>
          <w:rFonts w:ascii="Arial" w:hAnsi="Arial"/>
          <w:b/>
        </w:rPr>
      </w:pPr>
    </w:p>
    <w:p w:rsidR="002358A0" w:rsidRDefault="002358A0" w:rsidP="002358A0">
      <w:pPr>
        <w:rPr>
          <w:rFonts w:ascii="Arial" w:hAnsi="Arial"/>
        </w:rPr>
      </w:pPr>
    </w:p>
    <w:p w:rsidR="002358A0" w:rsidRDefault="002358A0" w:rsidP="002358A0">
      <w:pPr>
        <w:rPr>
          <w:rFonts w:ascii="Arial" w:hAnsi="Arial"/>
          <w:b/>
        </w:rPr>
      </w:pPr>
      <w:r>
        <w:rPr>
          <w:rFonts w:ascii="Arial" w:hAnsi="Arial"/>
          <w:b/>
        </w:rPr>
        <w:t>MASUKU J:</w:t>
      </w:r>
    </w:p>
    <w:p w:rsidR="002358A0" w:rsidRDefault="002358A0" w:rsidP="002358A0">
      <w:pPr>
        <w:rPr>
          <w:rFonts w:ascii="Arial" w:hAnsi="Arial"/>
          <w:b/>
        </w:rPr>
      </w:pPr>
    </w:p>
    <w:p w:rsidR="002358A0" w:rsidRDefault="002358A0" w:rsidP="002358A0">
      <w:pPr>
        <w:spacing w:line="360" w:lineRule="auto"/>
        <w:jc w:val="both"/>
        <w:rPr>
          <w:rFonts w:ascii="Arial" w:hAnsi="Arial"/>
        </w:rPr>
      </w:pPr>
      <w:r>
        <w:rPr>
          <w:rFonts w:ascii="Arial" w:hAnsi="Arial"/>
        </w:rPr>
        <w:lastRenderedPageBreak/>
        <w:t>[1]</w:t>
      </w:r>
      <w:r>
        <w:rPr>
          <w:rFonts w:ascii="Arial" w:hAnsi="Arial"/>
        </w:rPr>
        <w:tab/>
        <w:t>This is an application that was brought to by the applicant in the first motion court roll, essentially seeking an order condoning her failure to file her answering affidavit within the time stipulated.</w:t>
      </w:r>
    </w:p>
    <w:p w:rsidR="002358A0" w:rsidRDefault="002358A0" w:rsidP="002358A0">
      <w:pPr>
        <w:spacing w:line="360" w:lineRule="auto"/>
        <w:jc w:val="both"/>
        <w:rPr>
          <w:rFonts w:ascii="Arial" w:hAnsi="Arial"/>
        </w:rPr>
      </w:pPr>
    </w:p>
    <w:p w:rsidR="002358A0" w:rsidRDefault="002358A0" w:rsidP="002358A0">
      <w:pPr>
        <w:spacing w:line="360" w:lineRule="auto"/>
        <w:jc w:val="both"/>
        <w:rPr>
          <w:rFonts w:ascii="Arial" w:hAnsi="Arial"/>
        </w:rPr>
      </w:pPr>
      <w:r>
        <w:rPr>
          <w:rFonts w:ascii="Arial" w:hAnsi="Arial"/>
        </w:rPr>
        <w:t>[2]</w:t>
      </w:r>
      <w:r>
        <w:rPr>
          <w:rFonts w:ascii="Arial" w:hAnsi="Arial"/>
        </w:rPr>
        <w:tab/>
        <w:t>The application is opposed by the respondents, who fil</w:t>
      </w:r>
      <w:r w:rsidR="00AD734C">
        <w:rPr>
          <w:rFonts w:ascii="Arial" w:hAnsi="Arial"/>
        </w:rPr>
        <w:t>ed a notice in terms rule 66(1</w:t>
      </w:r>
      <w:proofErr w:type="gramStart"/>
      <w:r w:rsidR="00AD734C">
        <w:rPr>
          <w:rFonts w:ascii="Arial" w:hAnsi="Arial"/>
        </w:rPr>
        <w:t>)(</w:t>
      </w:r>
      <w:proofErr w:type="gramEnd"/>
      <w:r w:rsidR="00AD734C" w:rsidRPr="00AD734C">
        <w:rPr>
          <w:rFonts w:ascii="Arial" w:hAnsi="Arial"/>
          <w:i/>
        </w:rPr>
        <w:t>c</w:t>
      </w:r>
      <w:r w:rsidR="00AD734C">
        <w:rPr>
          <w:rFonts w:ascii="Arial" w:hAnsi="Arial"/>
        </w:rPr>
        <w:t>)</w:t>
      </w:r>
      <w:r>
        <w:rPr>
          <w:rFonts w:ascii="Arial" w:hAnsi="Arial"/>
        </w:rPr>
        <w:t xml:space="preserve"> of the rules of court. Their main contention is that the applicant, in the affidavit seeking condonation, has not explained the entire period of delay and that she does not, at all, deal with the question of prospects of success.</w:t>
      </w:r>
    </w:p>
    <w:p w:rsidR="002358A0" w:rsidRDefault="002358A0" w:rsidP="002358A0">
      <w:pPr>
        <w:spacing w:line="360" w:lineRule="auto"/>
        <w:jc w:val="both"/>
        <w:rPr>
          <w:rFonts w:ascii="Arial" w:hAnsi="Arial"/>
        </w:rPr>
      </w:pPr>
    </w:p>
    <w:p w:rsidR="002358A0" w:rsidRDefault="002358A0" w:rsidP="002358A0">
      <w:pPr>
        <w:spacing w:line="360" w:lineRule="auto"/>
        <w:jc w:val="both"/>
        <w:rPr>
          <w:rFonts w:ascii="Arial" w:hAnsi="Arial"/>
        </w:rPr>
      </w:pPr>
      <w:r>
        <w:rPr>
          <w:rFonts w:ascii="Arial" w:hAnsi="Arial"/>
        </w:rPr>
        <w:t>[3]</w:t>
      </w:r>
      <w:r>
        <w:rPr>
          <w:rFonts w:ascii="Arial" w:hAnsi="Arial"/>
        </w:rPr>
        <w:tab/>
        <w:t>I have read the papers filed by the applicant, particularly the affidavit deposed to by Ms. Elize Angula, the applicant’s legal practitioner of record. Whereas the explanation of the entire period of delay is not fully covered, I am prepared to grudgingly accept the explanation made for the delay.</w:t>
      </w:r>
    </w:p>
    <w:p w:rsidR="000D6E20" w:rsidRDefault="000D6E20" w:rsidP="002358A0">
      <w:pPr>
        <w:spacing w:line="360" w:lineRule="auto"/>
        <w:jc w:val="both"/>
        <w:rPr>
          <w:rFonts w:ascii="Arial" w:hAnsi="Arial"/>
        </w:rPr>
      </w:pPr>
    </w:p>
    <w:p w:rsidR="002358A0" w:rsidRDefault="002358A0" w:rsidP="002358A0">
      <w:pPr>
        <w:spacing w:line="360" w:lineRule="auto"/>
        <w:jc w:val="both"/>
        <w:rPr>
          <w:rFonts w:ascii="Arial" w:hAnsi="Arial"/>
        </w:rPr>
      </w:pPr>
      <w:r>
        <w:rPr>
          <w:rFonts w:ascii="Arial" w:hAnsi="Arial"/>
        </w:rPr>
        <w:t>[4]</w:t>
      </w:r>
      <w:r>
        <w:rPr>
          <w:rFonts w:ascii="Arial" w:hAnsi="Arial"/>
        </w:rPr>
        <w:tab/>
        <w:t>What is abundantly obvious though, from reading the entire affidavit, is that the applicant did not even make a modicum of effort to deal with the question of the prospects of success. All that the she claims is that she has a right to be heard and that serious allegations involving theft of money are levelled against her. These do not, even by the longest stretch of imagination, deal or even attempt to deal with the question of prospects of success.</w:t>
      </w:r>
    </w:p>
    <w:p w:rsidR="002358A0" w:rsidRDefault="002358A0" w:rsidP="002358A0">
      <w:pPr>
        <w:spacing w:line="360" w:lineRule="auto"/>
        <w:jc w:val="both"/>
        <w:rPr>
          <w:rFonts w:ascii="Arial" w:hAnsi="Arial"/>
        </w:rPr>
      </w:pPr>
    </w:p>
    <w:p w:rsidR="002358A0" w:rsidRDefault="002358A0" w:rsidP="002358A0">
      <w:pPr>
        <w:spacing w:line="360" w:lineRule="auto"/>
        <w:jc w:val="both"/>
        <w:rPr>
          <w:rFonts w:ascii="Arial" w:hAnsi="Arial"/>
        </w:rPr>
      </w:pPr>
      <w:r>
        <w:rPr>
          <w:rFonts w:ascii="Arial" w:hAnsi="Arial"/>
        </w:rPr>
        <w:t>[5]</w:t>
      </w:r>
      <w:r>
        <w:rPr>
          <w:rFonts w:ascii="Arial" w:hAnsi="Arial"/>
        </w:rPr>
        <w:tab/>
      </w:r>
      <w:r w:rsidR="008C520B">
        <w:rPr>
          <w:rFonts w:ascii="Arial" w:hAnsi="Arial"/>
        </w:rPr>
        <w:t xml:space="preserve">In </w:t>
      </w:r>
      <w:r w:rsidR="008C520B">
        <w:rPr>
          <w:rFonts w:ascii="Arial" w:hAnsi="Arial"/>
          <w:i/>
        </w:rPr>
        <w:t>Primedia Outdoor Namibia (Pty) Ltd v Tironen Natangwe Kauluma</w:t>
      </w:r>
      <w:r w:rsidR="008C520B">
        <w:rPr>
          <w:rStyle w:val="FootnoteReference"/>
          <w:rFonts w:ascii="Arial" w:hAnsi="Arial"/>
          <w:i/>
        </w:rPr>
        <w:footnoteReference w:id="1"/>
      </w:r>
      <w:r w:rsidR="008C520B">
        <w:rPr>
          <w:rFonts w:ascii="Arial" w:hAnsi="Arial"/>
          <w:i/>
        </w:rPr>
        <w:t xml:space="preserve"> </w:t>
      </w:r>
      <w:r w:rsidR="008C520B">
        <w:rPr>
          <w:rFonts w:ascii="Arial" w:hAnsi="Arial"/>
        </w:rPr>
        <w:t xml:space="preserve">Van Niekerk J dealt with the requirements for condonation, albeit in the context of a labour appeal. She quoted generously from </w:t>
      </w:r>
      <w:r w:rsidR="008C520B">
        <w:rPr>
          <w:rFonts w:ascii="Arial" w:hAnsi="Arial"/>
          <w:i/>
        </w:rPr>
        <w:t>Telecom Namibia Ltd v Nangolo</w:t>
      </w:r>
      <w:r w:rsidR="008C520B">
        <w:rPr>
          <w:rStyle w:val="FootnoteReference"/>
          <w:rFonts w:ascii="Arial" w:hAnsi="Arial"/>
          <w:i/>
        </w:rPr>
        <w:footnoteReference w:id="2"/>
      </w:r>
      <w:r w:rsidR="008C520B">
        <w:rPr>
          <w:rFonts w:ascii="Arial" w:hAnsi="Arial"/>
          <w:i/>
        </w:rPr>
        <w:t xml:space="preserve"> </w:t>
      </w:r>
      <w:r w:rsidR="008C520B">
        <w:rPr>
          <w:rFonts w:ascii="Arial" w:hAnsi="Arial"/>
        </w:rPr>
        <w:t>regarding the requirements an applicant for condonation should satisfy. Because the only one of m</w:t>
      </w:r>
      <w:bookmarkStart w:id="0" w:name="_GoBack"/>
      <w:bookmarkEnd w:id="0"/>
      <w:r w:rsidR="008C520B">
        <w:rPr>
          <w:rFonts w:ascii="Arial" w:hAnsi="Arial"/>
        </w:rPr>
        <w:t>oment in this matter relates to prospects of success, I do not find it necessary to deal with the others.</w:t>
      </w:r>
    </w:p>
    <w:p w:rsidR="008C520B" w:rsidRDefault="008C520B" w:rsidP="002358A0">
      <w:pPr>
        <w:spacing w:line="360" w:lineRule="auto"/>
        <w:jc w:val="both"/>
        <w:rPr>
          <w:rFonts w:ascii="Arial" w:hAnsi="Arial"/>
        </w:rPr>
      </w:pPr>
    </w:p>
    <w:p w:rsidR="008C520B" w:rsidRDefault="008C520B" w:rsidP="002358A0">
      <w:pPr>
        <w:spacing w:line="360" w:lineRule="auto"/>
        <w:jc w:val="both"/>
        <w:rPr>
          <w:rFonts w:ascii="Arial" w:hAnsi="Arial"/>
        </w:rPr>
      </w:pPr>
      <w:r>
        <w:rPr>
          <w:rFonts w:ascii="Arial" w:hAnsi="Arial"/>
        </w:rPr>
        <w:t>[6]</w:t>
      </w:r>
      <w:r>
        <w:rPr>
          <w:rFonts w:ascii="Arial" w:hAnsi="Arial"/>
        </w:rPr>
        <w:tab/>
        <w:t xml:space="preserve">In dealing with prospects of success, the learned judge still quoting from </w:t>
      </w:r>
      <w:r w:rsidRPr="008C520B">
        <w:rPr>
          <w:rFonts w:ascii="Arial" w:hAnsi="Arial"/>
          <w:i/>
        </w:rPr>
        <w:t>Nangolo</w:t>
      </w:r>
      <w:r>
        <w:rPr>
          <w:rFonts w:ascii="Arial" w:hAnsi="Arial"/>
          <w:i/>
        </w:rPr>
        <w:t xml:space="preserve">, </w:t>
      </w:r>
      <w:r>
        <w:rPr>
          <w:rFonts w:ascii="Arial" w:hAnsi="Arial"/>
        </w:rPr>
        <w:t>said:</w:t>
      </w:r>
    </w:p>
    <w:p w:rsidR="008C520B" w:rsidRDefault="008C520B" w:rsidP="002358A0">
      <w:pPr>
        <w:spacing w:line="360" w:lineRule="auto"/>
        <w:jc w:val="both"/>
        <w:rPr>
          <w:rFonts w:ascii="Arial" w:hAnsi="Arial"/>
        </w:rPr>
      </w:pPr>
    </w:p>
    <w:p w:rsidR="008C520B" w:rsidRDefault="008C520B" w:rsidP="002358A0">
      <w:pPr>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7. The applicant for condonation must </w:t>
      </w:r>
      <w:r w:rsidR="009315DD">
        <w:rPr>
          <w:rFonts w:ascii="Arial" w:hAnsi="Arial"/>
          <w:sz w:val="22"/>
          <w:szCs w:val="22"/>
        </w:rPr>
        <w:t xml:space="preserve">demonstrate good prospects of success on the merits. But where the non-compliance with the Rules of Court is flagrant and gross, prospects of success are not decisive.  </w:t>
      </w:r>
    </w:p>
    <w:p w:rsidR="009315DD" w:rsidRDefault="009315DD" w:rsidP="002358A0">
      <w:pPr>
        <w:spacing w:line="360" w:lineRule="auto"/>
        <w:jc w:val="both"/>
        <w:rPr>
          <w:rFonts w:ascii="Arial" w:hAnsi="Arial"/>
          <w:sz w:val="22"/>
          <w:szCs w:val="22"/>
        </w:rPr>
      </w:pPr>
      <w:r>
        <w:rPr>
          <w:rFonts w:ascii="Arial" w:hAnsi="Arial"/>
          <w:sz w:val="22"/>
          <w:szCs w:val="22"/>
        </w:rPr>
        <w:t>. . .</w:t>
      </w:r>
    </w:p>
    <w:p w:rsidR="009315DD" w:rsidRDefault="009315DD" w:rsidP="002358A0">
      <w:pPr>
        <w:spacing w:line="360" w:lineRule="auto"/>
        <w:jc w:val="both"/>
        <w:rPr>
          <w:rFonts w:ascii="Arial" w:hAnsi="Arial"/>
          <w:sz w:val="22"/>
          <w:szCs w:val="22"/>
        </w:rPr>
      </w:pPr>
      <w:r>
        <w:rPr>
          <w:rFonts w:ascii="Arial" w:hAnsi="Arial"/>
          <w:sz w:val="22"/>
          <w:szCs w:val="22"/>
        </w:rPr>
        <w:t>9. If there are no prospects of success, there is no point in granting condonation’.</w:t>
      </w:r>
    </w:p>
    <w:p w:rsidR="009315DD" w:rsidRDefault="009315DD" w:rsidP="002358A0">
      <w:pPr>
        <w:spacing w:line="360" w:lineRule="auto"/>
        <w:jc w:val="both"/>
        <w:rPr>
          <w:rFonts w:ascii="Arial" w:hAnsi="Arial"/>
          <w:sz w:val="22"/>
          <w:szCs w:val="22"/>
        </w:rPr>
      </w:pPr>
    </w:p>
    <w:p w:rsidR="009315DD" w:rsidRDefault="009315DD" w:rsidP="002358A0">
      <w:pPr>
        <w:spacing w:line="360" w:lineRule="auto"/>
        <w:jc w:val="both"/>
        <w:rPr>
          <w:rFonts w:ascii="Arial" w:hAnsi="Arial"/>
        </w:rPr>
      </w:pPr>
      <w:r>
        <w:rPr>
          <w:rFonts w:ascii="Arial" w:hAnsi="Arial"/>
        </w:rPr>
        <w:t>[7]</w:t>
      </w:r>
      <w:r>
        <w:rPr>
          <w:rFonts w:ascii="Arial" w:hAnsi="Arial"/>
        </w:rPr>
        <w:tab/>
        <w:t xml:space="preserve">In the instant case, the applicant has not made any allegations on oath regarding the question of prospects of success. This case is worse than one where the applicant makes allegations which the court finds carry trifling, if any weight.  Where the issue is not addressed at all, there can only be one conclusion, that the application should not be granted condonation because the applicant has not shown that he or she has reasonable prospects of success. </w:t>
      </w:r>
    </w:p>
    <w:p w:rsidR="009315DD" w:rsidRDefault="009315DD" w:rsidP="002358A0">
      <w:pPr>
        <w:spacing w:line="360" w:lineRule="auto"/>
        <w:jc w:val="both"/>
        <w:rPr>
          <w:rFonts w:ascii="Arial" w:hAnsi="Arial"/>
        </w:rPr>
      </w:pPr>
    </w:p>
    <w:p w:rsidR="009315DD" w:rsidRDefault="009315DD" w:rsidP="002358A0">
      <w:pPr>
        <w:spacing w:line="360" w:lineRule="auto"/>
        <w:jc w:val="both"/>
        <w:rPr>
          <w:rFonts w:ascii="Arial" w:hAnsi="Arial"/>
        </w:rPr>
      </w:pPr>
      <w:r>
        <w:rPr>
          <w:rFonts w:ascii="Arial" w:hAnsi="Arial"/>
        </w:rPr>
        <w:t>[8]</w:t>
      </w:r>
      <w:r>
        <w:rPr>
          <w:rFonts w:ascii="Arial" w:hAnsi="Arial"/>
        </w:rPr>
        <w:tab/>
        <w:t>It would appear to me that that is the applicant’s lot in the instant case. A court cannot come to the assistance of a party that does not meet the basic requirements for the relief he or she seeks. In the premises the application for condonation is refused and there is no reason why the applicant should not be ordered to pay the costs of the application.</w:t>
      </w:r>
    </w:p>
    <w:p w:rsidR="009315DD" w:rsidRDefault="009315DD" w:rsidP="002358A0">
      <w:pPr>
        <w:spacing w:line="360" w:lineRule="auto"/>
        <w:jc w:val="both"/>
        <w:rPr>
          <w:rFonts w:ascii="Arial" w:hAnsi="Arial"/>
        </w:rPr>
      </w:pPr>
    </w:p>
    <w:p w:rsidR="009315DD" w:rsidRDefault="009315DD" w:rsidP="002358A0">
      <w:pPr>
        <w:spacing w:line="360" w:lineRule="auto"/>
        <w:jc w:val="both"/>
        <w:rPr>
          <w:rFonts w:ascii="Arial" w:hAnsi="Arial"/>
          <w:u w:val="single"/>
        </w:rPr>
      </w:pPr>
      <w:r>
        <w:rPr>
          <w:rFonts w:ascii="Arial" w:hAnsi="Arial"/>
          <w:u w:val="single"/>
        </w:rPr>
        <w:t>Order</w:t>
      </w:r>
    </w:p>
    <w:p w:rsidR="009315DD" w:rsidRDefault="009315DD" w:rsidP="002358A0">
      <w:pPr>
        <w:spacing w:line="360" w:lineRule="auto"/>
        <w:jc w:val="both"/>
        <w:rPr>
          <w:rFonts w:ascii="Arial" w:hAnsi="Arial"/>
          <w:u w:val="single"/>
        </w:rPr>
      </w:pPr>
    </w:p>
    <w:p w:rsidR="009315DD" w:rsidRDefault="009315DD" w:rsidP="002358A0">
      <w:pPr>
        <w:spacing w:line="360" w:lineRule="auto"/>
        <w:jc w:val="both"/>
        <w:rPr>
          <w:rFonts w:ascii="Arial" w:hAnsi="Arial"/>
        </w:rPr>
      </w:pPr>
      <w:r>
        <w:rPr>
          <w:rFonts w:ascii="Arial" w:hAnsi="Arial"/>
        </w:rPr>
        <w:t>[9]</w:t>
      </w:r>
      <w:r>
        <w:rPr>
          <w:rFonts w:ascii="Arial" w:hAnsi="Arial"/>
        </w:rPr>
        <w:tab/>
        <w:t>Having regard to what is stated above, the following order is accordingly granted:</w:t>
      </w:r>
    </w:p>
    <w:p w:rsidR="009315DD" w:rsidRDefault="009315DD" w:rsidP="002358A0">
      <w:pPr>
        <w:spacing w:line="360" w:lineRule="auto"/>
        <w:jc w:val="both"/>
        <w:rPr>
          <w:rFonts w:ascii="Arial" w:hAnsi="Arial"/>
        </w:rPr>
      </w:pPr>
    </w:p>
    <w:p w:rsidR="009315DD" w:rsidRPr="009315DD" w:rsidRDefault="009315DD" w:rsidP="009315DD">
      <w:pPr>
        <w:pStyle w:val="ListParagraph"/>
        <w:numPr>
          <w:ilvl w:val="0"/>
          <w:numId w:val="1"/>
        </w:numPr>
        <w:spacing w:line="360" w:lineRule="auto"/>
        <w:jc w:val="both"/>
        <w:rPr>
          <w:rFonts w:ascii="Arial" w:hAnsi="Arial"/>
        </w:rPr>
      </w:pPr>
      <w:r w:rsidRPr="009315DD">
        <w:rPr>
          <w:rFonts w:ascii="Arial" w:hAnsi="Arial"/>
        </w:rPr>
        <w:t xml:space="preserve">The application for condonation of the late filing of the Applicant’s </w:t>
      </w:r>
      <w:r>
        <w:rPr>
          <w:rFonts w:ascii="Arial" w:hAnsi="Arial"/>
        </w:rPr>
        <w:t xml:space="preserve">answering </w:t>
      </w:r>
      <w:r w:rsidRPr="009315DD">
        <w:rPr>
          <w:rFonts w:ascii="Arial" w:hAnsi="Arial"/>
        </w:rPr>
        <w:t>affidavit, is hereby refused.</w:t>
      </w:r>
    </w:p>
    <w:p w:rsidR="009315DD" w:rsidRDefault="009315DD" w:rsidP="009315DD">
      <w:pPr>
        <w:pStyle w:val="ListParagraph"/>
        <w:numPr>
          <w:ilvl w:val="0"/>
          <w:numId w:val="1"/>
        </w:numPr>
        <w:spacing w:line="360" w:lineRule="auto"/>
        <w:jc w:val="both"/>
        <w:rPr>
          <w:rFonts w:ascii="Arial" w:hAnsi="Arial"/>
        </w:rPr>
      </w:pPr>
      <w:r>
        <w:rPr>
          <w:rFonts w:ascii="Arial" w:hAnsi="Arial"/>
        </w:rPr>
        <w:t>The applicant is ordered to pay the costs of the application.</w:t>
      </w:r>
    </w:p>
    <w:p w:rsidR="009315DD" w:rsidRDefault="009315DD" w:rsidP="009315DD">
      <w:pPr>
        <w:pStyle w:val="ListParagraph"/>
        <w:numPr>
          <w:ilvl w:val="0"/>
          <w:numId w:val="1"/>
        </w:numPr>
        <w:spacing w:line="360" w:lineRule="auto"/>
        <w:jc w:val="both"/>
        <w:rPr>
          <w:rFonts w:ascii="Arial" w:hAnsi="Arial"/>
        </w:rPr>
      </w:pPr>
      <w:r>
        <w:rPr>
          <w:rFonts w:ascii="Arial" w:hAnsi="Arial"/>
        </w:rPr>
        <w:t>The matter is removed from the First Motion Court Roll and is referred to the Registrar for allocation to a Managing Judge.</w:t>
      </w:r>
    </w:p>
    <w:p w:rsidR="000D6E20" w:rsidRDefault="000D6E20" w:rsidP="000D6E20">
      <w:pPr>
        <w:pStyle w:val="ListParagraph"/>
        <w:spacing w:line="360" w:lineRule="auto"/>
        <w:jc w:val="both"/>
        <w:rPr>
          <w:rFonts w:ascii="Arial" w:hAnsi="Arial"/>
        </w:rPr>
      </w:pPr>
    </w:p>
    <w:p w:rsidR="000D6E20" w:rsidRDefault="000D6E20" w:rsidP="000D6E20">
      <w:pPr>
        <w:spacing w:line="360" w:lineRule="auto"/>
        <w:jc w:val="both"/>
        <w:rPr>
          <w:rFonts w:ascii="Arial" w:hAnsi="Arial"/>
        </w:rPr>
      </w:pPr>
    </w:p>
    <w:p w:rsidR="000D6E20" w:rsidRDefault="000D6E20" w:rsidP="000D6E20">
      <w:pPr>
        <w:tabs>
          <w:tab w:val="left" w:pos="5670"/>
        </w:tabs>
        <w:spacing w:line="360" w:lineRule="auto"/>
        <w:jc w:val="right"/>
        <w:rPr>
          <w:rFonts w:ascii="Arial" w:hAnsi="Arial"/>
        </w:rPr>
      </w:pPr>
      <w:r>
        <w:rPr>
          <w:rFonts w:ascii="Arial" w:hAnsi="Arial"/>
        </w:rPr>
        <w:t>_____________</w:t>
      </w:r>
    </w:p>
    <w:p w:rsidR="000D6E20" w:rsidRDefault="000D6E20" w:rsidP="000D6E20">
      <w:pPr>
        <w:tabs>
          <w:tab w:val="left" w:pos="5670"/>
        </w:tabs>
        <w:spacing w:line="360" w:lineRule="auto"/>
        <w:jc w:val="right"/>
        <w:rPr>
          <w:rFonts w:ascii="Arial" w:hAnsi="Arial"/>
        </w:rPr>
      </w:pPr>
      <w:r>
        <w:rPr>
          <w:rFonts w:ascii="Arial" w:hAnsi="Arial"/>
        </w:rPr>
        <w:t>T.S Masuku</w:t>
      </w:r>
    </w:p>
    <w:p w:rsidR="000D6E20" w:rsidRDefault="000D6E20" w:rsidP="000D6E20">
      <w:pPr>
        <w:tabs>
          <w:tab w:val="left" w:pos="5670"/>
        </w:tabs>
        <w:spacing w:line="360" w:lineRule="auto"/>
        <w:jc w:val="right"/>
        <w:rPr>
          <w:rFonts w:ascii="Arial" w:hAnsi="Arial"/>
        </w:rPr>
      </w:pPr>
      <w:r>
        <w:rPr>
          <w:rFonts w:ascii="Arial" w:hAnsi="Arial"/>
        </w:rPr>
        <w:t>Judge</w:t>
      </w:r>
    </w:p>
    <w:p w:rsidR="000D6E20" w:rsidRDefault="000D6E20" w:rsidP="0071683E">
      <w:pPr>
        <w:rPr>
          <w:rFonts w:ascii="Arial" w:hAnsi="Arial"/>
        </w:rPr>
      </w:pPr>
      <w:r>
        <w:rPr>
          <w:rFonts w:ascii="Arial" w:hAnsi="Arial"/>
        </w:rPr>
        <w:br w:type="page"/>
      </w:r>
      <w:r>
        <w:rPr>
          <w:rFonts w:ascii="Arial" w:hAnsi="Arial"/>
        </w:rPr>
        <w:lastRenderedPageBreak/>
        <w:t>APPEARANCE:</w:t>
      </w:r>
    </w:p>
    <w:p w:rsidR="000D6E20" w:rsidRDefault="000D6E20" w:rsidP="000D6E20">
      <w:pPr>
        <w:tabs>
          <w:tab w:val="left" w:pos="5670"/>
        </w:tabs>
        <w:spacing w:line="360" w:lineRule="auto"/>
        <w:rPr>
          <w:rFonts w:ascii="Arial" w:hAnsi="Arial"/>
        </w:rPr>
      </w:pPr>
    </w:p>
    <w:p w:rsidR="000D6E20" w:rsidRDefault="000D6E20" w:rsidP="000D6E20">
      <w:pPr>
        <w:tabs>
          <w:tab w:val="left" w:pos="5670"/>
        </w:tabs>
        <w:spacing w:line="360" w:lineRule="auto"/>
        <w:rPr>
          <w:rFonts w:ascii="Arial" w:hAnsi="Arial"/>
        </w:rPr>
      </w:pPr>
      <w:r>
        <w:rPr>
          <w:rFonts w:ascii="Arial" w:hAnsi="Arial"/>
        </w:rPr>
        <w:t xml:space="preserve">APPLICANT: </w:t>
      </w:r>
    </w:p>
    <w:p w:rsidR="000D6E20" w:rsidRDefault="000D6E20" w:rsidP="000D6E20">
      <w:pPr>
        <w:tabs>
          <w:tab w:val="left" w:pos="5670"/>
        </w:tabs>
        <w:spacing w:line="360" w:lineRule="auto"/>
        <w:rPr>
          <w:rFonts w:ascii="Arial" w:hAnsi="Arial"/>
        </w:rPr>
      </w:pPr>
      <w:r>
        <w:rPr>
          <w:rFonts w:ascii="Arial" w:hAnsi="Arial"/>
        </w:rPr>
        <w:t xml:space="preserve">Instructed by:     </w:t>
      </w:r>
    </w:p>
    <w:p w:rsidR="000D6E20" w:rsidRDefault="000D6E20" w:rsidP="000D6E20">
      <w:pPr>
        <w:tabs>
          <w:tab w:val="left" w:pos="5670"/>
        </w:tabs>
        <w:spacing w:line="360" w:lineRule="auto"/>
        <w:rPr>
          <w:rFonts w:ascii="Arial" w:hAnsi="Arial"/>
        </w:rPr>
      </w:pPr>
    </w:p>
    <w:p w:rsidR="000D6E20" w:rsidRDefault="000D6E20" w:rsidP="000D6E20">
      <w:pPr>
        <w:tabs>
          <w:tab w:val="left" w:pos="5670"/>
        </w:tabs>
        <w:spacing w:line="360" w:lineRule="auto"/>
        <w:rPr>
          <w:rFonts w:ascii="Arial" w:hAnsi="Arial"/>
        </w:rPr>
      </w:pPr>
      <w:r>
        <w:rPr>
          <w:rFonts w:ascii="Arial" w:hAnsi="Arial"/>
        </w:rPr>
        <w:t xml:space="preserve">RESPONDENT: </w:t>
      </w:r>
    </w:p>
    <w:p w:rsidR="000D6E20" w:rsidRDefault="000D6E20" w:rsidP="000D6E20">
      <w:pPr>
        <w:tabs>
          <w:tab w:val="left" w:pos="5670"/>
        </w:tabs>
        <w:spacing w:line="360" w:lineRule="auto"/>
        <w:rPr>
          <w:rFonts w:ascii="Arial" w:hAnsi="Arial"/>
        </w:rPr>
      </w:pPr>
      <w:r>
        <w:rPr>
          <w:rFonts w:ascii="Arial" w:hAnsi="Arial"/>
        </w:rPr>
        <w:t xml:space="preserve">Instructed by: </w:t>
      </w:r>
    </w:p>
    <w:p w:rsidR="000D6E20" w:rsidRPr="000D6E20" w:rsidRDefault="000D6E20" w:rsidP="000D6E20">
      <w:pPr>
        <w:spacing w:line="360" w:lineRule="auto"/>
        <w:jc w:val="both"/>
        <w:rPr>
          <w:rFonts w:ascii="Arial" w:hAnsi="Arial"/>
        </w:rPr>
      </w:pPr>
    </w:p>
    <w:sectPr w:rsidR="000D6E20" w:rsidRPr="000D6E20" w:rsidSect="000D6E20">
      <w:headerReference w:type="default" r:id="rId8"/>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9A" w:rsidRDefault="006A4C9A" w:rsidP="008C520B">
      <w:r>
        <w:separator/>
      </w:r>
    </w:p>
  </w:endnote>
  <w:endnote w:type="continuationSeparator" w:id="0">
    <w:p w:rsidR="006A4C9A" w:rsidRDefault="006A4C9A" w:rsidP="008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9A" w:rsidRDefault="006A4C9A" w:rsidP="008C520B">
      <w:r>
        <w:separator/>
      </w:r>
    </w:p>
  </w:footnote>
  <w:footnote w:type="continuationSeparator" w:id="0">
    <w:p w:rsidR="006A4C9A" w:rsidRDefault="006A4C9A" w:rsidP="008C520B">
      <w:r>
        <w:continuationSeparator/>
      </w:r>
    </w:p>
  </w:footnote>
  <w:footnote w:id="1">
    <w:p w:rsidR="009315DD" w:rsidRPr="008C520B" w:rsidRDefault="009315D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(LCA 95/2011) [2014] NALCMD 41 (17 October 2014).</w:t>
      </w:r>
    </w:p>
  </w:footnote>
  <w:footnote w:id="2">
    <w:p w:rsidR="009315DD" w:rsidRPr="008C520B" w:rsidRDefault="009315D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(LC 33/2009) Delivered on 28 May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35233"/>
      <w:docPartObj>
        <w:docPartGallery w:val="Page Numbers (Top of Page)"/>
        <w:docPartUnique/>
      </w:docPartObj>
    </w:sdtPr>
    <w:sdtEndPr>
      <w:rPr>
        <w:noProof/>
      </w:rPr>
    </w:sdtEndPr>
    <w:sdtContent>
      <w:p w:rsidR="000D6E20" w:rsidRDefault="000D6E20">
        <w:pPr>
          <w:pStyle w:val="Header"/>
          <w:jc w:val="right"/>
        </w:pPr>
        <w:r>
          <w:fldChar w:fldCharType="begin"/>
        </w:r>
        <w:r>
          <w:instrText xml:space="preserve"> PAGE   \* MERGEFORMAT </w:instrText>
        </w:r>
        <w:r>
          <w:fldChar w:fldCharType="separate"/>
        </w:r>
        <w:r w:rsidR="007462BE">
          <w:rPr>
            <w:noProof/>
          </w:rPr>
          <w:t>4</w:t>
        </w:r>
        <w:r>
          <w:rPr>
            <w:noProof/>
          </w:rPr>
          <w:fldChar w:fldCharType="end"/>
        </w:r>
      </w:p>
    </w:sdtContent>
  </w:sdt>
  <w:p w:rsidR="000D6E20" w:rsidRDefault="000D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4DC"/>
    <w:multiLevelType w:val="hybridMultilevel"/>
    <w:tmpl w:val="4F4E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A0"/>
    <w:rsid w:val="00017A1A"/>
    <w:rsid w:val="000D6E20"/>
    <w:rsid w:val="002358A0"/>
    <w:rsid w:val="00372451"/>
    <w:rsid w:val="006A4C9A"/>
    <w:rsid w:val="006E486A"/>
    <w:rsid w:val="0071683E"/>
    <w:rsid w:val="007462BE"/>
    <w:rsid w:val="008C520B"/>
    <w:rsid w:val="009315DD"/>
    <w:rsid w:val="009A199A"/>
    <w:rsid w:val="00AB0214"/>
    <w:rsid w:val="00AB5610"/>
    <w:rsid w:val="00AD734C"/>
    <w:rsid w:val="00B21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0C8A4E4-66FE-43B7-AC00-916A01C9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520B"/>
  </w:style>
  <w:style w:type="character" w:customStyle="1" w:styleId="FootnoteTextChar">
    <w:name w:val="Footnote Text Char"/>
    <w:basedOn w:val="DefaultParagraphFont"/>
    <w:link w:val="FootnoteText"/>
    <w:uiPriority w:val="99"/>
    <w:rsid w:val="008C520B"/>
  </w:style>
  <w:style w:type="character" w:styleId="FootnoteReference">
    <w:name w:val="footnote reference"/>
    <w:basedOn w:val="DefaultParagraphFont"/>
    <w:uiPriority w:val="99"/>
    <w:unhideWhenUsed/>
    <w:rsid w:val="008C520B"/>
    <w:rPr>
      <w:vertAlign w:val="superscript"/>
    </w:rPr>
  </w:style>
  <w:style w:type="paragraph" w:styleId="ListParagraph">
    <w:name w:val="List Paragraph"/>
    <w:basedOn w:val="Normal"/>
    <w:uiPriority w:val="34"/>
    <w:qFormat/>
    <w:rsid w:val="009315DD"/>
    <w:pPr>
      <w:ind w:left="720"/>
      <w:contextualSpacing/>
    </w:pPr>
  </w:style>
  <w:style w:type="paragraph" w:styleId="Header">
    <w:name w:val="header"/>
    <w:basedOn w:val="Normal"/>
    <w:link w:val="HeaderChar"/>
    <w:uiPriority w:val="99"/>
    <w:unhideWhenUsed/>
    <w:rsid w:val="000D6E20"/>
    <w:pPr>
      <w:tabs>
        <w:tab w:val="center" w:pos="4513"/>
        <w:tab w:val="right" w:pos="9026"/>
      </w:tabs>
    </w:pPr>
  </w:style>
  <w:style w:type="character" w:customStyle="1" w:styleId="HeaderChar">
    <w:name w:val="Header Char"/>
    <w:basedOn w:val="DefaultParagraphFont"/>
    <w:link w:val="Header"/>
    <w:uiPriority w:val="99"/>
    <w:rsid w:val="000D6E20"/>
  </w:style>
  <w:style w:type="paragraph" w:styleId="Footer">
    <w:name w:val="footer"/>
    <w:basedOn w:val="Normal"/>
    <w:link w:val="FooterChar"/>
    <w:uiPriority w:val="99"/>
    <w:unhideWhenUsed/>
    <w:rsid w:val="000D6E20"/>
    <w:pPr>
      <w:tabs>
        <w:tab w:val="center" w:pos="4513"/>
        <w:tab w:val="right" w:pos="9026"/>
      </w:tabs>
    </w:pPr>
  </w:style>
  <w:style w:type="character" w:customStyle="1" w:styleId="FooterChar">
    <w:name w:val="Footer Char"/>
    <w:basedOn w:val="DefaultParagraphFont"/>
    <w:link w:val="Footer"/>
    <w:uiPriority w:val="99"/>
    <w:rsid w:val="000D6E20"/>
  </w:style>
  <w:style w:type="paragraph" w:styleId="BalloonText">
    <w:name w:val="Balloon Text"/>
    <w:basedOn w:val="Normal"/>
    <w:link w:val="BalloonTextChar"/>
    <w:uiPriority w:val="99"/>
    <w:semiHidden/>
    <w:unhideWhenUsed/>
    <w:rsid w:val="00716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2020-02-26T18:30:00+00:00</Judgment_x0020_Date>
    <Year xmlns="c1afb1bd-f2fb-40fd-9abb-aea55b4d7662">2020</Year>
  </documentManagement>
</p:properties>
</file>

<file path=customXml/itemProps1.xml><?xml version="1.0" encoding="utf-8"?>
<ds:datastoreItem xmlns:ds="http://schemas.openxmlformats.org/officeDocument/2006/customXml" ds:itemID="{1B97E175-908B-45E9-B7E0-1821E42A52DA}"/>
</file>

<file path=customXml/itemProps2.xml><?xml version="1.0" encoding="utf-8"?>
<ds:datastoreItem xmlns:ds="http://schemas.openxmlformats.org/officeDocument/2006/customXml" ds:itemID="{2803A3B8-EDE6-449F-BD54-2E0876DF7688}"/>
</file>

<file path=customXml/itemProps3.xml><?xml version="1.0" encoding="utf-8"?>
<ds:datastoreItem xmlns:ds="http://schemas.openxmlformats.org/officeDocument/2006/customXml" ds:itemID="{64D16F98-9F69-463D-AAC3-43615E1F236F}"/>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2020-02-27T07:26:00Z</cp:lastPrinted>
  <dcterms:created xsi:type="dcterms:W3CDTF">2020-03-04T14:39:00Z</dcterms:created>
  <dcterms:modified xsi:type="dcterms:W3CDTF">2020-03-04T14:40:00Z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