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76" w:rsidRPr="00EA4C12" w:rsidRDefault="00950676" w:rsidP="00950676">
      <w:pPr>
        <w:spacing w:after="0" w:line="240" w:lineRule="auto"/>
        <w:jc w:val="center"/>
        <w:rPr>
          <w:rFonts w:ascii="Arial Narrow" w:hAnsi="Arial Narrow"/>
          <w:sz w:val="24"/>
          <w:szCs w:val="24"/>
        </w:rPr>
      </w:pPr>
      <w:bookmarkStart w:id="0" w:name="_GoBack"/>
      <w:bookmarkEnd w:id="0"/>
      <w:r w:rsidRPr="00EA4C12">
        <w:rPr>
          <w:rFonts w:ascii="Arial Narrow" w:hAnsi="Arial Narrow"/>
          <w:sz w:val="24"/>
          <w:szCs w:val="24"/>
        </w:rPr>
        <w:t>Practice Directive 61</w:t>
      </w:r>
    </w:p>
    <w:p w:rsidR="00950676" w:rsidRPr="00EA4C12" w:rsidRDefault="00950676" w:rsidP="00950676">
      <w:pPr>
        <w:spacing w:after="0" w:line="360" w:lineRule="auto"/>
        <w:jc w:val="both"/>
        <w:rPr>
          <w:rFonts w:ascii="Arial Narrow" w:hAnsi="Arial Narrow"/>
          <w:sz w:val="24"/>
          <w:szCs w:val="24"/>
        </w:rPr>
      </w:pPr>
    </w:p>
    <w:p w:rsidR="00950676" w:rsidRPr="00EA4C12" w:rsidRDefault="00950676" w:rsidP="00950676">
      <w:pPr>
        <w:spacing w:after="0" w:line="360" w:lineRule="auto"/>
        <w:jc w:val="center"/>
        <w:rPr>
          <w:rFonts w:ascii="Arial Narrow" w:hAnsi="Arial Narrow"/>
          <w:b/>
          <w:sz w:val="24"/>
          <w:szCs w:val="24"/>
        </w:rPr>
      </w:pPr>
      <w:r w:rsidRPr="00EA4C12">
        <w:rPr>
          <w:rFonts w:ascii="Arial Narrow" w:hAnsi="Arial Narrow"/>
          <w:b/>
          <w:sz w:val="24"/>
          <w:szCs w:val="24"/>
        </w:rPr>
        <w:t>IN THE HIGH COURT OF NAMIBIA</w:t>
      </w:r>
    </w:p>
    <w:p w:rsidR="00950676" w:rsidRPr="00EA4C12" w:rsidRDefault="00950676" w:rsidP="00950676">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EA4C12" w:rsidRPr="00EA4C12" w:rsidTr="004667E3">
        <w:trPr>
          <w:trHeight w:val="744"/>
        </w:trPr>
        <w:tc>
          <w:tcPr>
            <w:tcW w:w="5397" w:type="dxa"/>
            <w:gridSpan w:val="2"/>
            <w:vMerge w:val="restart"/>
          </w:tcPr>
          <w:p w:rsidR="00950676" w:rsidRPr="00EA4C12" w:rsidRDefault="00950676" w:rsidP="004667E3">
            <w:pPr>
              <w:spacing w:line="360" w:lineRule="auto"/>
              <w:jc w:val="both"/>
              <w:rPr>
                <w:rFonts w:ascii="Arial Narrow" w:hAnsi="Arial Narrow" w:cs="Arial"/>
                <w:sz w:val="24"/>
                <w:szCs w:val="24"/>
              </w:rPr>
            </w:pPr>
            <w:r w:rsidRPr="00EA4C12">
              <w:rPr>
                <w:rFonts w:ascii="Arial Narrow" w:hAnsi="Arial Narrow" w:cs="Arial"/>
                <w:b/>
                <w:sz w:val="24"/>
                <w:szCs w:val="24"/>
              </w:rPr>
              <w:t>Case Title:</w:t>
            </w:r>
          </w:p>
          <w:p w:rsidR="00950676" w:rsidRPr="00EA4C12" w:rsidRDefault="00EA4C12" w:rsidP="00CB2DD6">
            <w:pPr>
              <w:tabs>
                <w:tab w:val="left" w:pos="6750"/>
              </w:tabs>
              <w:spacing w:after="0" w:line="360" w:lineRule="auto"/>
              <w:jc w:val="both"/>
              <w:rPr>
                <w:rFonts w:ascii="Arial Narrow" w:hAnsi="Arial Narrow" w:cs="Arial"/>
                <w:sz w:val="24"/>
                <w:szCs w:val="24"/>
              </w:rPr>
            </w:pPr>
            <w:r>
              <w:rPr>
                <w:rFonts w:ascii="Arial Narrow" w:eastAsia="Times New Roman" w:hAnsi="Arial Narrow" w:cs="Arial"/>
                <w:sz w:val="24"/>
                <w:szCs w:val="24"/>
              </w:rPr>
              <w:t>Transnamib Holdings Limited v Scorpion Credit Management CC</w:t>
            </w:r>
          </w:p>
        </w:tc>
        <w:tc>
          <w:tcPr>
            <w:tcW w:w="4323" w:type="dxa"/>
          </w:tcPr>
          <w:p w:rsidR="00950676" w:rsidRPr="00EA4C12" w:rsidRDefault="00950676" w:rsidP="004667E3">
            <w:pPr>
              <w:spacing w:line="360" w:lineRule="auto"/>
              <w:jc w:val="both"/>
              <w:rPr>
                <w:rFonts w:ascii="Arial Narrow" w:hAnsi="Arial Narrow" w:cs="Arial"/>
                <w:sz w:val="24"/>
                <w:szCs w:val="24"/>
              </w:rPr>
            </w:pPr>
            <w:r w:rsidRPr="00EA4C12">
              <w:rPr>
                <w:rFonts w:ascii="Arial Narrow" w:hAnsi="Arial Narrow" w:cs="Arial"/>
                <w:b/>
                <w:sz w:val="24"/>
                <w:szCs w:val="24"/>
              </w:rPr>
              <w:t>Case No:</w:t>
            </w:r>
          </w:p>
          <w:p w:rsidR="00950676" w:rsidRPr="00EA4C12" w:rsidRDefault="00950676" w:rsidP="00A55CBB">
            <w:pPr>
              <w:spacing w:line="360" w:lineRule="auto"/>
              <w:rPr>
                <w:rFonts w:ascii="Arial Narrow" w:hAnsi="Arial Narrow" w:cs="Arial"/>
                <w:b/>
                <w:sz w:val="24"/>
                <w:szCs w:val="24"/>
              </w:rPr>
            </w:pPr>
            <w:r w:rsidRPr="00EA4C12">
              <w:rPr>
                <w:rFonts w:ascii="Arial Narrow" w:hAnsi="Arial Narrow" w:cs="Arial"/>
                <w:sz w:val="24"/>
                <w:szCs w:val="24"/>
              </w:rPr>
              <w:t>HC-MD-CIV-</w:t>
            </w:r>
            <w:r w:rsidR="008E1BDB" w:rsidRPr="00EA4C12">
              <w:rPr>
                <w:rFonts w:ascii="Arial Narrow" w:hAnsi="Arial Narrow" w:cs="Arial"/>
                <w:sz w:val="24"/>
                <w:szCs w:val="24"/>
              </w:rPr>
              <w:t>ACT-</w:t>
            </w:r>
            <w:r w:rsidR="00A55CBB" w:rsidRPr="00EA4C12">
              <w:rPr>
                <w:rFonts w:ascii="Arial Narrow" w:hAnsi="Arial Narrow" w:cs="Arial"/>
                <w:sz w:val="24"/>
                <w:szCs w:val="24"/>
              </w:rPr>
              <w:t>CON</w:t>
            </w:r>
            <w:r w:rsidR="009B0213" w:rsidRPr="00EA4C12">
              <w:rPr>
                <w:rFonts w:ascii="Arial Narrow" w:hAnsi="Arial Narrow" w:cs="Arial"/>
                <w:sz w:val="24"/>
                <w:szCs w:val="24"/>
              </w:rPr>
              <w:t>-2018</w:t>
            </w:r>
            <w:r w:rsidRPr="00EA4C12">
              <w:rPr>
                <w:rFonts w:ascii="Arial Narrow" w:hAnsi="Arial Narrow" w:cs="Arial"/>
                <w:sz w:val="24"/>
                <w:szCs w:val="24"/>
              </w:rPr>
              <w:t>/0</w:t>
            </w:r>
            <w:r w:rsidR="00A55CBB" w:rsidRPr="00EA4C12">
              <w:rPr>
                <w:rFonts w:ascii="Arial Narrow" w:hAnsi="Arial Narrow" w:cs="Arial"/>
                <w:sz w:val="24"/>
                <w:szCs w:val="24"/>
              </w:rPr>
              <w:t>2713</w:t>
            </w:r>
          </w:p>
        </w:tc>
      </w:tr>
      <w:tr w:rsidR="00EA4C12" w:rsidRPr="00EA4C12" w:rsidTr="004667E3">
        <w:trPr>
          <w:trHeight w:val="844"/>
        </w:trPr>
        <w:tc>
          <w:tcPr>
            <w:tcW w:w="5397" w:type="dxa"/>
            <w:gridSpan w:val="2"/>
            <w:vMerge/>
          </w:tcPr>
          <w:p w:rsidR="00950676" w:rsidRPr="00EA4C12" w:rsidRDefault="00950676" w:rsidP="004667E3">
            <w:pPr>
              <w:spacing w:line="360" w:lineRule="auto"/>
              <w:jc w:val="both"/>
              <w:rPr>
                <w:rFonts w:ascii="Arial Narrow" w:hAnsi="Arial Narrow" w:cs="Arial"/>
                <w:sz w:val="24"/>
                <w:szCs w:val="24"/>
              </w:rPr>
            </w:pPr>
          </w:p>
        </w:tc>
        <w:tc>
          <w:tcPr>
            <w:tcW w:w="4323" w:type="dxa"/>
          </w:tcPr>
          <w:p w:rsidR="00950676" w:rsidRPr="00EA4C12" w:rsidRDefault="00950676" w:rsidP="004667E3">
            <w:pPr>
              <w:spacing w:line="360" w:lineRule="auto"/>
              <w:jc w:val="both"/>
              <w:rPr>
                <w:rFonts w:ascii="Arial Narrow" w:hAnsi="Arial Narrow" w:cs="Arial"/>
                <w:sz w:val="24"/>
                <w:szCs w:val="24"/>
              </w:rPr>
            </w:pPr>
            <w:r w:rsidRPr="00EA4C12">
              <w:rPr>
                <w:rFonts w:ascii="Arial Narrow" w:hAnsi="Arial Narrow" w:cs="Arial"/>
                <w:b/>
                <w:sz w:val="24"/>
                <w:szCs w:val="24"/>
              </w:rPr>
              <w:t>Division of Court:</w:t>
            </w:r>
          </w:p>
          <w:p w:rsidR="00950676" w:rsidRPr="00EA4C12" w:rsidRDefault="00950676" w:rsidP="004667E3">
            <w:pPr>
              <w:spacing w:line="360" w:lineRule="auto"/>
              <w:jc w:val="both"/>
              <w:rPr>
                <w:rFonts w:ascii="Arial Narrow" w:hAnsi="Arial Narrow" w:cs="Arial"/>
                <w:sz w:val="24"/>
                <w:szCs w:val="24"/>
              </w:rPr>
            </w:pPr>
            <w:r w:rsidRPr="00EA4C12">
              <w:rPr>
                <w:rFonts w:ascii="Arial Narrow" w:hAnsi="Arial Narrow" w:cs="Arial"/>
                <w:sz w:val="24"/>
                <w:szCs w:val="24"/>
              </w:rPr>
              <w:t>HIGH COURT (MAIN DIVISION)</w:t>
            </w:r>
          </w:p>
        </w:tc>
      </w:tr>
      <w:tr w:rsidR="00EA4C12" w:rsidRPr="00EA4C12" w:rsidTr="004667E3">
        <w:trPr>
          <w:trHeight w:val="645"/>
        </w:trPr>
        <w:tc>
          <w:tcPr>
            <w:tcW w:w="5397" w:type="dxa"/>
            <w:gridSpan w:val="2"/>
            <w:vMerge w:val="restart"/>
          </w:tcPr>
          <w:p w:rsidR="00950676" w:rsidRPr="00EA4C12" w:rsidRDefault="00950676" w:rsidP="004667E3">
            <w:pPr>
              <w:spacing w:line="360" w:lineRule="auto"/>
              <w:jc w:val="both"/>
              <w:rPr>
                <w:rFonts w:ascii="Arial Narrow" w:hAnsi="Arial Narrow" w:cs="Arial"/>
                <w:b/>
                <w:sz w:val="24"/>
                <w:szCs w:val="24"/>
              </w:rPr>
            </w:pPr>
            <w:r w:rsidRPr="00EA4C12">
              <w:rPr>
                <w:rFonts w:ascii="Arial Narrow" w:hAnsi="Arial Narrow" w:cs="Arial"/>
                <w:b/>
                <w:sz w:val="24"/>
                <w:szCs w:val="24"/>
              </w:rPr>
              <w:t>Heard before:</w:t>
            </w:r>
          </w:p>
          <w:p w:rsidR="00950676" w:rsidRPr="00EA4C12" w:rsidRDefault="00950676" w:rsidP="00CB2DD6">
            <w:pPr>
              <w:spacing w:after="0" w:line="360" w:lineRule="auto"/>
              <w:jc w:val="both"/>
              <w:rPr>
                <w:rFonts w:ascii="Arial Narrow" w:hAnsi="Arial Narrow" w:cs="Arial"/>
                <w:sz w:val="24"/>
                <w:szCs w:val="24"/>
              </w:rPr>
            </w:pPr>
            <w:r w:rsidRPr="00EA4C12">
              <w:rPr>
                <w:rFonts w:ascii="Arial Narrow" w:hAnsi="Arial Narrow" w:cs="Arial"/>
                <w:sz w:val="24"/>
                <w:szCs w:val="24"/>
              </w:rPr>
              <w:t>Honourable M</w:t>
            </w:r>
            <w:r w:rsidR="00294086" w:rsidRPr="00EA4C12">
              <w:rPr>
                <w:rFonts w:ascii="Arial Narrow" w:hAnsi="Arial Narrow" w:cs="Arial"/>
                <w:sz w:val="24"/>
                <w:szCs w:val="24"/>
              </w:rPr>
              <w:t>r</w:t>
            </w:r>
            <w:r w:rsidRPr="00EA4C12">
              <w:rPr>
                <w:rFonts w:ascii="Arial Narrow" w:hAnsi="Arial Narrow" w:cs="Arial"/>
                <w:sz w:val="24"/>
                <w:szCs w:val="24"/>
              </w:rPr>
              <w:t>s Justice Rakow</w:t>
            </w:r>
            <w:r w:rsidR="007B0F64" w:rsidRPr="00EA4C12">
              <w:rPr>
                <w:rFonts w:ascii="Arial Narrow" w:hAnsi="Arial Narrow" w:cs="Arial"/>
                <w:sz w:val="24"/>
                <w:szCs w:val="24"/>
              </w:rPr>
              <w:t>, AJ</w:t>
            </w:r>
          </w:p>
        </w:tc>
        <w:tc>
          <w:tcPr>
            <w:tcW w:w="4323" w:type="dxa"/>
          </w:tcPr>
          <w:p w:rsidR="00950676" w:rsidRPr="00EA4C12" w:rsidRDefault="00950676" w:rsidP="00CB2DD6">
            <w:pPr>
              <w:spacing w:after="0" w:line="360" w:lineRule="auto"/>
              <w:jc w:val="both"/>
              <w:rPr>
                <w:rFonts w:ascii="Arial Narrow" w:hAnsi="Arial Narrow" w:cs="Arial"/>
                <w:b/>
                <w:sz w:val="24"/>
                <w:szCs w:val="24"/>
              </w:rPr>
            </w:pPr>
            <w:r w:rsidRPr="00EA4C12">
              <w:rPr>
                <w:rFonts w:ascii="Arial Narrow" w:hAnsi="Arial Narrow" w:cs="Arial"/>
                <w:b/>
                <w:sz w:val="24"/>
                <w:szCs w:val="24"/>
              </w:rPr>
              <w:t>Date of hearing:</w:t>
            </w:r>
          </w:p>
          <w:p w:rsidR="00950676" w:rsidRPr="00EA4C12" w:rsidRDefault="00A55CBB" w:rsidP="00CB2DD6">
            <w:pPr>
              <w:spacing w:after="0" w:line="360" w:lineRule="auto"/>
              <w:jc w:val="both"/>
              <w:rPr>
                <w:rFonts w:ascii="Arial Narrow" w:hAnsi="Arial Narrow" w:cs="Arial"/>
                <w:sz w:val="24"/>
                <w:szCs w:val="24"/>
              </w:rPr>
            </w:pPr>
            <w:r w:rsidRPr="00EA4C12">
              <w:rPr>
                <w:rFonts w:ascii="Arial Narrow" w:hAnsi="Arial Narrow" w:cs="Arial"/>
                <w:sz w:val="24"/>
                <w:szCs w:val="24"/>
              </w:rPr>
              <w:t>3 February 2020</w:t>
            </w:r>
          </w:p>
        </w:tc>
      </w:tr>
      <w:tr w:rsidR="00EA4C12" w:rsidRPr="00EA4C12" w:rsidTr="004667E3">
        <w:trPr>
          <w:trHeight w:val="588"/>
        </w:trPr>
        <w:tc>
          <w:tcPr>
            <w:tcW w:w="5397" w:type="dxa"/>
            <w:gridSpan w:val="2"/>
            <w:vMerge/>
          </w:tcPr>
          <w:p w:rsidR="00950676" w:rsidRPr="00EA4C12" w:rsidRDefault="00950676" w:rsidP="004667E3">
            <w:pPr>
              <w:spacing w:line="360" w:lineRule="auto"/>
              <w:jc w:val="both"/>
              <w:rPr>
                <w:rFonts w:ascii="Arial Narrow" w:hAnsi="Arial Narrow" w:cs="Arial"/>
                <w:b/>
                <w:sz w:val="24"/>
                <w:szCs w:val="24"/>
              </w:rPr>
            </w:pPr>
          </w:p>
        </w:tc>
        <w:tc>
          <w:tcPr>
            <w:tcW w:w="4323" w:type="dxa"/>
          </w:tcPr>
          <w:p w:rsidR="00950676" w:rsidRPr="00EA4C12" w:rsidRDefault="00950676" w:rsidP="004667E3">
            <w:pPr>
              <w:spacing w:line="360" w:lineRule="auto"/>
              <w:jc w:val="both"/>
              <w:rPr>
                <w:rFonts w:ascii="Arial Narrow" w:hAnsi="Arial Narrow" w:cs="Arial"/>
                <w:b/>
                <w:sz w:val="24"/>
                <w:szCs w:val="24"/>
              </w:rPr>
            </w:pPr>
            <w:r w:rsidRPr="00EA4C12">
              <w:rPr>
                <w:rFonts w:ascii="Arial Narrow" w:hAnsi="Arial Narrow" w:cs="Arial"/>
                <w:b/>
                <w:sz w:val="24"/>
                <w:szCs w:val="24"/>
              </w:rPr>
              <w:t>Date of order:</w:t>
            </w:r>
          </w:p>
          <w:p w:rsidR="00950676" w:rsidRPr="00EA4C12" w:rsidRDefault="003039A8" w:rsidP="00CB2DD6">
            <w:pPr>
              <w:spacing w:after="0" w:line="360" w:lineRule="auto"/>
              <w:jc w:val="both"/>
              <w:rPr>
                <w:rFonts w:ascii="Arial Narrow" w:hAnsi="Arial Narrow" w:cs="Arial"/>
                <w:sz w:val="24"/>
                <w:szCs w:val="24"/>
              </w:rPr>
            </w:pPr>
            <w:r w:rsidRPr="00EA4C12">
              <w:rPr>
                <w:rFonts w:ascii="Arial Narrow" w:hAnsi="Arial Narrow" w:cs="Arial"/>
                <w:sz w:val="24"/>
                <w:szCs w:val="24"/>
              </w:rPr>
              <w:t>25 February 2020</w:t>
            </w:r>
          </w:p>
        </w:tc>
      </w:tr>
      <w:tr w:rsidR="00EA4C12" w:rsidRPr="00EA4C12" w:rsidTr="004667E3">
        <w:tc>
          <w:tcPr>
            <w:tcW w:w="9720" w:type="dxa"/>
            <w:gridSpan w:val="3"/>
          </w:tcPr>
          <w:p w:rsidR="00950676" w:rsidRPr="00EA4C12" w:rsidRDefault="00950676" w:rsidP="00136FA0">
            <w:pPr>
              <w:pStyle w:val="form-control-static"/>
              <w:shd w:val="clear" w:color="auto" w:fill="FFFFFF"/>
              <w:spacing w:before="0" w:beforeAutospacing="0" w:after="0" w:afterAutospacing="0"/>
              <w:jc w:val="both"/>
              <w:rPr>
                <w:rFonts w:ascii="Arial Narrow" w:hAnsi="Arial Narrow" w:cs="Arial"/>
                <w:b/>
              </w:rPr>
            </w:pPr>
            <w:r w:rsidRPr="00EA4C12">
              <w:rPr>
                <w:rFonts w:ascii="Arial Narrow" w:hAnsi="Arial Narrow" w:cs="Arial"/>
                <w:b/>
              </w:rPr>
              <w:t xml:space="preserve">Neutral citation: </w:t>
            </w:r>
          </w:p>
          <w:p w:rsidR="00136FA0" w:rsidRPr="00EA4C12" w:rsidRDefault="00136FA0" w:rsidP="00136FA0">
            <w:pPr>
              <w:pStyle w:val="form-control-static"/>
              <w:shd w:val="clear" w:color="auto" w:fill="FFFFFF"/>
              <w:spacing w:before="0" w:beforeAutospacing="0" w:after="0" w:afterAutospacing="0"/>
              <w:jc w:val="both"/>
              <w:rPr>
                <w:rFonts w:ascii="Arial Narrow" w:hAnsi="Arial Narrow" w:cs="Arial"/>
              </w:rPr>
            </w:pPr>
          </w:p>
          <w:p w:rsidR="00950676" w:rsidRPr="00EA4C12" w:rsidRDefault="00A55CBB" w:rsidP="008B40B5">
            <w:pPr>
              <w:pStyle w:val="form-control-static"/>
              <w:shd w:val="clear" w:color="auto" w:fill="FFFFFF"/>
              <w:spacing w:before="0" w:beforeAutospacing="0" w:after="0"/>
              <w:jc w:val="both"/>
              <w:rPr>
                <w:rFonts w:ascii="Arial Narrow" w:hAnsi="Arial Narrow" w:cs="Arial"/>
                <w:i/>
                <w:lang w:val="en-GB"/>
              </w:rPr>
            </w:pPr>
            <w:r w:rsidRPr="00EA4C12">
              <w:rPr>
                <w:rFonts w:ascii="Arial Narrow" w:hAnsi="Arial Narrow" w:cs="Arial"/>
                <w:i/>
                <w:lang w:val="en-ZA"/>
              </w:rPr>
              <w:t>TransNamib Holdings Limited v Scorpion Credit Management</w:t>
            </w:r>
            <w:r w:rsidR="00EA4C12">
              <w:rPr>
                <w:rFonts w:ascii="Arial Narrow" w:hAnsi="Arial Narrow" w:cs="Arial"/>
                <w:i/>
                <w:lang w:val="en-ZA"/>
              </w:rPr>
              <w:t xml:space="preserve"> CC</w:t>
            </w:r>
            <w:r w:rsidR="00136FA0" w:rsidRPr="00EA4C12">
              <w:rPr>
                <w:rFonts w:ascii="Arial Narrow" w:hAnsi="Arial Narrow" w:cs="Arial"/>
                <w:i/>
                <w:lang w:val="en-ZA"/>
              </w:rPr>
              <w:t xml:space="preserve"> </w:t>
            </w:r>
            <w:r w:rsidR="00950676" w:rsidRPr="00EA4C12">
              <w:rPr>
                <w:rFonts w:ascii="Arial Narrow" w:hAnsi="Arial Narrow" w:cs="Arial"/>
              </w:rPr>
              <w:t>(</w:t>
            </w:r>
            <w:r w:rsidR="008E1BDB" w:rsidRPr="00EA4C12">
              <w:rPr>
                <w:rFonts w:ascii="Arial Narrow" w:hAnsi="Arial Narrow" w:cs="Arial"/>
                <w:lang w:val="en-ZA"/>
              </w:rPr>
              <w:t>HC-MD-CIV-ACT-</w:t>
            </w:r>
            <w:r w:rsidRPr="00EA4C12">
              <w:rPr>
                <w:rFonts w:ascii="Arial Narrow" w:hAnsi="Arial Narrow" w:cs="Arial"/>
                <w:lang w:val="en-ZA"/>
              </w:rPr>
              <w:t>CON</w:t>
            </w:r>
            <w:r w:rsidR="008E1BDB" w:rsidRPr="00EA4C12">
              <w:rPr>
                <w:rFonts w:ascii="Arial Narrow" w:hAnsi="Arial Narrow" w:cs="Arial"/>
                <w:lang w:val="en-ZA"/>
              </w:rPr>
              <w:t>-201</w:t>
            </w:r>
            <w:r w:rsidR="009B0213" w:rsidRPr="00EA4C12">
              <w:rPr>
                <w:rFonts w:ascii="Arial Narrow" w:hAnsi="Arial Narrow" w:cs="Arial"/>
                <w:lang w:val="en-ZA"/>
              </w:rPr>
              <w:t>8</w:t>
            </w:r>
            <w:r w:rsidR="008E1BDB" w:rsidRPr="00EA4C12">
              <w:rPr>
                <w:rFonts w:ascii="Arial Narrow" w:hAnsi="Arial Narrow" w:cs="Arial"/>
                <w:lang w:val="en-ZA"/>
              </w:rPr>
              <w:t>/0</w:t>
            </w:r>
            <w:r w:rsidRPr="00EA4C12">
              <w:rPr>
                <w:rFonts w:ascii="Arial Narrow" w:hAnsi="Arial Narrow" w:cs="Arial"/>
                <w:lang w:val="en-ZA"/>
              </w:rPr>
              <w:t>2713</w:t>
            </w:r>
            <w:r w:rsidR="009B0213" w:rsidRPr="00EA4C12">
              <w:rPr>
                <w:rFonts w:ascii="Arial Narrow" w:hAnsi="Arial Narrow" w:cs="Arial"/>
              </w:rPr>
              <w:t>) [2020</w:t>
            </w:r>
            <w:r w:rsidR="00950676" w:rsidRPr="00EA4C12">
              <w:rPr>
                <w:rFonts w:ascii="Arial Narrow" w:hAnsi="Arial Narrow" w:cs="Arial"/>
              </w:rPr>
              <w:t>] NAHC</w:t>
            </w:r>
            <w:r w:rsidR="007B0F64" w:rsidRPr="00EA4C12">
              <w:rPr>
                <w:rFonts w:ascii="Arial Narrow" w:hAnsi="Arial Narrow" w:cs="Arial"/>
              </w:rPr>
              <w:t xml:space="preserve">MD </w:t>
            </w:r>
            <w:r w:rsidR="008B40B5" w:rsidRPr="00EA4C12">
              <w:rPr>
                <w:rFonts w:ascii="Arial Narrow" w:hAnsi="Arial Narrow" w:cs="Arial"/>
              </w:rPr>
              <w:t xml:space="preserve">71 </w:t>
            </w:r>
            <w:r w:rsidR="00950676" w:rsidRPr="00EA4C12">
              <w:rPr>
                <w:rFonts w:ascii="Arial Narrow" w:hAnsi="Arial Narrow" w:cs="Arial"/>
              </w:rPr>
              <w:t>(</w:t>
            </w:r>
            <w:r w:rsidR="00BB2B39" w:rsidRPr="00EA4C12">
              <w:rPr>
                <w:rFonts w:ascii="Arial Narrow" w:hAnsi="Arial Narrow" w:cs="Arial"/>
              </w:rPr>
              <w:t xml:space="preserve"> 25 February </w:t>
            </w:r>
            <w:r w:rsidR="009B0213" w:rsidRPr="00EA4C12">
              <w:rPr>
                <w:rFonts w:ascii="Arial Narrow" w:hAnsi="Arial Narrow" w:cs="Arial"/>
              </w:rPr>
              <w:t>2020</w:t>
            </w:r>
            <w:r w:rsidR="00950676" w:rsidRPr="00EA4C12">
              <w:rPr>
                <w:rFonts w:ascii="Arial Narrow" w:hAnsi="Arial Narrow" w:cs="Arial"/>
              </w:rPr>
              <w:t>)</w:t>
            </w:r>
          </w:p>
        </w:tc>
      </w:tr>
      <w:tr w:rsidR="00EA4C12" w:rsidRPr="00EA4C12" w:rsidTr="004667E3">
        <w:tc>
          <w:tcPr>
            <w:tcW w:w="9720" w:type="dxa"/>
            <w:gridSpan w:val="3"/>
          </w:tcPr>
          <w:p w:rsidR="00950676" w:rsidRPr="00EA4C12" w:rsidRDefault="00950676" w:rsidP="004667E3">
            <w:pPr>
              <w:spacing w:line="360" w:lineRule="auto"/>
              <w:jc w:val="both"/>
              <w:rPr>
                <w:rFonts w:ascii="Arial Narrow" w:hAnsi="Arial Narrow" w:cs="Arial"/>
                <w:b/>
                <w:sz w:val="24"/>
                <w:szCs w:val="24"/>
              </w:rPr>
            </w:pPr>
            <w:r w:rsidRPr="00EA4C12">
              <w:rPr>
                <w:rFonts w:ascii="Arial Narrow" w:hAnsi="Arial Narrow" w:cs="Arial"/>
                <w:sz w:val="24"/>
                <w:szCs w:val="24"/>
              </w:rPr>
              <w:t>Having read the record of proceedings as well as submissions ma</w:t>
            </w:r>
            <w:r w:rsidR="007B0F64" w:rsidRPr="00EA4C12">
              <w:rPr>
                <w:rFonts w:ascii="Arial Narrow" w:hAnsi="Arial Narrow" w:cs="Arial"/>
                <w:sz w:val="24"/>
                <w:szCs w:val="24"/>
              </w:rPr>
              <w:t xml:space="preserve">de by counsels for the </w:t>
            </w:r>
            <w:r w:rsidR="00BB2B39" w:rsidRPr="00EA4C12">
              <w:rPr>
                <w:rFonts w:ascii="Arial Narrow" w:hAnsi="Arial Narrow" w:cs="Arial"/>
                <w:sz w:val="24"/>
                <w:szCs w:val="24"/>
              </w:rPr>
              <w:t>A</w:t>
            </w:r>
            <w:r w:rsidR="007B0F64" w:rsidRPr="00EA4C12">
              <w:rPr>
                <w:rFonts w:ascii="Arial Narrow" w:hAnsi="Arial Narrow" w:cs="Arial"/>
                <w:sz w:val="24"/>
                <w:szCs w:val="24"/>
              </w:rPr>
              <w:t>pplicants</w:t>
            </w:r>
            <w:r w:rsidR="00BB2B39" w:rsidRPr="00EA4C12">
              <w:rPr>
                <w:rFonts w:ascii="Arial Narrow" w:hAnsi="Arial Narrow" w:cs="Arial"/>
                <w:sz w:val="24"/>
                <w:szCs w:val="24"/>
              </w:rPr>
              <w:t xml:space="preserve"> and the R</w:t>
            </w:r>
            <w:r w:rsidRPr="00EA4C12">
              <w:rPr>
                <w:rFonts w:ascii="Arial Narrow" w:hAnsi="Arial Narrow" w:cs="Arial"/>
                <w:sz w:val="24"/>
                <w:szCs w:val="24"/>
              </w:rPr>
              <w:t>espondent:</w:t>
            </w:r>
          </w:p>
          <w:p w:rsidR="00950676" w:rsidRPr="00EA4C12" w:rsidRDefault="00950676" w:rsidP="004667E3">
            <w:pPr>
              <w:spacing w:line="360" w:lineRule="auto"/>
              <w:jc w:val="both"/>
              <w:rPr>
                <w:rFonts w:ascii="Arial Narrow" w:hAnsi="Arial Narrow" w:cs="Arial"/>
                <w:b/>
                <w:sz w:val="24"/>
                <w:szCs w:val="24"/>
              </w:rPr>
            </w:pPr>
            <w:r w:rsidRPr="00EA4C12">
              <w:rPr>
                <w:rFonts w:ascii="Arial Narrow" w:hAnsi="Arial Narrow" w:cs="Arial"/>
                <w:b/>
                <w:sz w:val="24"/>
                <w:szCs w:val="24"/>
              </w:rPr>
              <w:t>IT IS HEREBY ORDERED THAT:</w:t>
            </w:r>
          </w:p>
          <w:p w:rsidR="00297A01" w:rsidRPr="00EA4C12" w:rsidRDefault="00297A01" w:rsidP="00297A01">
            <w:pPr>
              <w:pStyle w:val="NoSpacing"/>
              <w:numPr>
                <w:ilvl w:val="0"/>
                <w:numId w:val="3"/>
              </w:numPr>
              <w:spacing w:line="360" w:lineRule="auto"/>
              <w:jc w:val="both"/>
              <w:rPr>
                <w:rFonts w:ascii="Arial Narrow" w:hAnsi="Arial Narrow"/>
                <w:color w:val="auto"/>
                <w:sz w:val="24"/>
                <w:lang w:val="af-ZA"/>
              </w:rPr>
            </w:pPr>
            <w:r w:rsidRPr="00EA4C12">
              <w:rPr>
                <w:rFonts w:ascii="Arial Narrow" w:hAnsi="Arial Narrow"/>
                <w:color w:val="auto"/>
                <w:sz w:val="24"/>
                <w:lang w:val="af-ZA"/>
              </w:rPr>
              <w:t>The exceptions are dismissed.</w:t>
            </w:r>
          </w:p>
          <w:p w:rsidR="00297A01" w:rsidRPr="00EA4C12" w:rsidRDefault="00297A01" w:rsidP="00297A01">
            <w:pPr>
              <w:pStyle w:val="NoSpacing"/>
              <w:numPr>
                <w:ilvl w:val="0"/>
                <w:numId w:val="3"/>
              </w:numPr>
              <w:spacing w:line="360" w:lineRule="auto"/>
              <w:jc w:val="both"/>
              <w:rPr>
                <w:rFonts w:ascii="Arial Narrow" w:hAnsi="Arial Narrow"/>
                <w:color w:val="auto"/>
                <w:sz w:val="24"/>
                <w:lang w:val="af-ZA"/>
              </w:rPr>
            </w:pPr>
            <w:r w:rsidRPr="00EA4C12">
              <w:rPr>
                <w:rFonts w:ascii="Arial Narrow" w:hAnsi="Arial Narrow"/>
                <w:color w:val="auto"/>
                <w:sz w:val="24"/>
                <w:lang w:val="af-ZA"/>
              </w:rPr>
              <w:t>Costs of the</w:t>
            </w:r>
            <w:r w:rsidR="00BB2B39" w:rsidRPr="00EA4C12">
              <w:rPr>
                <w:rFonts w:ascii="Arial Narrow" w:hAnsi="Arial Narrow"/>
                <w:color w:val="auto"/>
                <w:sz w:val="24"/>
                <w:lang w:val="af-ZA"/>
              </w:rPr>
              <w:t xml:space="preserve"> application is awarded to the D</w:t>
            </w:r>
            <w:r w:rsidRPr="00EA4C12">
              <w:rPr>
                <w:rFonts w:ascii="Arial Narrow" w:hAnsi="Arial Narrow"/>
                <w:color w:val="auto"/>
                <w:sz w:val="24"/>
                <w:lang w:val="af-ZA"/>
              </w:rPr>
              <w:t>efendant.</w:t>
            </w:r>
          </w:p>
          <w:p w:rsidR="00136FA0" w:rsidRPr="00EA4C12" w:rsidRDefault="00136FA0" w:rsidP="00A55CBB">
            <w:pPr>
              <w:pStyle w:val="NoSpacing"/>
              <w:spacing w:line="360" w:lineRule="auto"/>
              <w:jc w:val="both"/>
              <w:rPr>
                <w:rFonts w:ascii="Arial Narrow" w:hAnsi="Arial Narrow"/>
                <w:color w:val="auto"/>
                <w:lang w:val="af-ZA"/>
              </w:rPr>
            </w:pPr>
          </w:p>
        </w:tc>
      </w:tr>
      <w:tr w:rsidR="00EA4C12" w:rsidRPr="00EA4C12" w:rsidTr="004667E3">
        <w:tc>
          <w:tcPr>
            <w:tcW w:w="9720" w:type="dxa"/>
            <w:gridSpan w:val="3"/>
          </w:tcPr>
          <w:p w:rsidR="00950676" w:rsidRPr="00EA4C12" w:rsidRDefault="00950676" w:rsidP="004667E3">
            <w:pPr>
              <w:spacing w:line="360" w:lineRule="auto"/>
              <w:jc w:val="both"/>
              <w:rPr>
                <w:rFonts w:ascii="Arial Narrow" w:hAnsi="Arial Narrow" w:cs="Arial"/>
                <w:b/>
                <w:sz w:val="24"/>
                <w:szCs w:val="24"/>
              </w:rPr>
            </w:pPr>
            <w:r w:rsidRPr="00EA4C12">
              <w:rPr>
                <w:rFonts w:ascii="Arial Narrow" w:hAnsi="Arial Narrow" w:cs="Arial"/>
                <w:b/>
                <w:sz w:val="24"/>
                <w:szCs w:val="24"/>
              </w:rPr>
              <w:t>Reasons for orders:</w:t>
            </w:r>
          </w:p>
        </w:tc>
      </w:tr>
      <w:tr w:rsidR="00EA4C12" w:rsidRPr="00EA4C12" w:rsidTr="004667E3">
        <w:tc>
          <w:tcPr>
            <w:tcW w:w="9720" w:type="dxa"/>
            <w:gridSpan w:val="3"/>
          </w:tcPr>
          <w:p w:rsidR="00B6047C" w:rsidRPr="00EA4C12" w:rsidRDefault="00396E53" w:rsidP="004667E3">
            <w:pPr>
              <w:spacing w:after="0" w:line="360" w:lineRule="auto"/>
              <w:jc w:val="both"/>
              <w:rPr>
                <w:rFonts w:ascii="Arial Narrow" w:hAnsi="Arial Narrow"/>
                <w:sz w:val="24"/>
                <w:szCs w:val="24"/>
                <w:u w:val="single"/>
                <w:lang w:val="af-ZA"/>
              </w:rPr>
            </w:pPr>
            <w:r w:rsidRPr="00EA4C12">
              <w:rPr>
                <w:rFonts w:ascii="Arial Narrow" w:hAnsi="Arial Narrow"/>
                <w:sz w:val="24"/>
                <w:szCs w:val="24"/>
                <w:u w:val="single"/>
                <w:lang w:val="af-ZA"/>
              </w:rPr>
              <w:t>Background</w:t>
            </w:r>
          </w:p>
          <w:p w:rsidR="00EF0F06" w:rsidRPr="00EA4C12" w:rsidRDefault="00EF0F06" w:rsidP="004667E3">
            <w:pPr>
              <w:spacing w:after="0" w:line="360" w:lineRule="auto"/>
              <w:jc w:val="both"/>
              <w:rPr>
                <w:rFonts w:ascii="Arial Narrow" w:hAnsi="Arial Narrow"/>
                <w:sz w:val="24"/>
                <w:szCs w:val="24"/>
                <w:u w:val="single"/>
                <w:lang w:val="af-ZA"/>
              </w:rPr>
            </w:pPr>
          </w:p>
          <w:p w:rsidR="00197241" w:rsidRPr="00EA4C12" w:rsidRDefault="00136FA0" w:rsidP="00A55CBB">
            <w:pPr>
              <w:spacing w:after="0" w:line="360" w:lineRule="auto"/>
              <w:jc w:val="both"/>
              <w:rPr>
                <w:rFonts w:ascii="Arial Narrow" w:hAnsi="Arial Narrow"/>
                <w:sz w:val="24"/>
                <w:szCs w:val="24"/>
                <w:lang w:val="af-ZA"/>
              </w:rPr>
            </w:pPr>
            <w:r w:rsidRPr="00EA4C12">
              <w:rPr>
                <w:rFonts w:ascii="Arial Narrow" w:hAnsi="Arial Narrow"/>
                <w:sz w:val="24"/>
                <w:szCs w:val="24"/>
                <w:lang w:val="af-ZA"/>
              </w:rPr>
              <w:t xml:space="preserve">[1]     </w:t>
            </w:r>
            <w:r w:rsidR="009A5D1C" w:rsidRPr="00EA4C12">
              <w:rPr>
                <w:rFonts w:ascii="Arial Narrow" w:hAnsi="Arial Narrow"/>
                <w:sz w:val="24"/>
                <w:szCs w:val="24"/>
                <w:lang w:val="af-ZA"/>
              </w:rPr>
              <w:t xml:space="preserve">The </w:t>
            </w:r>
            <w:r w:rsidR="00BB2B39" w:rsidRPr="00EA4C12">
              <w:rPr>
                <w:rFonts w:ascii="Arial Narrow" w:hAnsi="Arial Narrow"/>
                <w:sz w:val="24"/>
                <w:szCs w:val="24"/>
                <w:lang w:val="af-ZA"/>
              </w:rPr>
              <w:t>Applicant/</w:t>
            </w:r>
            <w:r w:rsidR="009A5D1C" w:rsidRPr="00EA4C12">
              <w:rPr>
                <w:rFonts w:ascii="Arial Narrow" w:hAnsi="Arial Narrow"/>
                <w:sz w:val="24"/>
                <w:szCs w:val="24"/>
                <w:lang w:val="af-ZA"/>
              </w:rPr>
              <w:t xml:space="preserve">Plaintiff is TransNamib Holdings Ltd, a limited company duly registered and incorporated as such in terms of the company laws of the Republic of Namibia.  The </w:t>
            </w:r>
            <w:r w:rsidR="00BB2B39" w:rsidRPr="00EA4C12">
              <w:rPr>
                <w:rFonts w:ascii="Arial Narrow" w:hAnsi="Arial Narrow"/>
                <w:sz w:val="24"/>
                <w:szCs w:val="24"/>
                <w:lang w:val="af-ZA"/>
              </w:rPr>
              <w:t>Respondent/</w:t>
            </w:r>
            <w:r w:rsidR="009A5D1C" w:rsidRPr="00EA4C12">
              <w:rPr>
                <w:rFonts w:ascii="Arial Narrow" w:hAnsi="Arial Narrow"/>
                <w:sz w:val="24"/>
                <w:szCs w:val="24"/>
                <w:lang w:val="af-ZA"/>
              </w:rPr>
              <w:t xml:space="preserve">Defendant is Scorpion Credit Management and Mediatorship CC, a close corporation duly registered and incorporated as such in terms of </w:t>
            </w:r>
            <w:r w:rsidR="00BD45CB" w:rsidRPr="00EA4C12">
              <w:rPr>
                <w:rFonts w:ascii="Arial Narrow" w:hAnsi="Arial Narrow"/>
                <w:sz w:val="24"/>
                <w:szCs w:val="24"/>
                <w:lang w:val="af-ZA"/>
              </w:rPr>
              <w:t>the Close Corporations Act.  The Plaintiff instituted action against the Defendant claiming for arrear rental in terms of a written agre</w:t>
            </w:r>
            <w:r w:rsidR="00BB2B39" w:rsidRPr="00EA4C12">
              <w:rPr>
                <w:rFonts w:ascii="Arial Narrow" w:hAnsi="Arial Narrow"/>
                <w:sz w:val="24"/>
                <w:szCs w:val="24"/>
                <w:lang w:val="af-ZA"/>
              </w:rPr>
              <w:t>ement entered into between the P</w:t>
            </w:r>
            <w:r w:rsidR="00BD45CB" w:rsidRPr="00EA4C12">
              <w:rPr>
                <w:rFonts w:ascii="Arial Narrow" w:hAnsi="Arial Narrow"/>
                <w:sz w:val="24"/>
                <w:szCs w:val="24"/>
                <w:lang w:val="af-ZA"/>
              </w:rPr>
              <w:t xml:space="preserve">laintiff and the Defendant for Office number 49 in a building belonging to the Plaintiff in the amount of N$193 328.31.  They further seek an order ejecting the Defendant and interdicting the Defendant from removing any property from the said office.  The Plaintiff incorporated the terms of a written lease agreement for the office premises at number 53 into the Particulars </w:t>
            </w:r>
            <w:r w:rsidR="00BD45CB" w:rsidRPr="00EA4C12">
              <w:rPr>
                <w:rFonts w:ascii="Arial Narrow" w:hAnsi="Arial Narrow"/>
                <w:sz w:val="24"/>
                <w:szCs w:val="24"/>
                <w:lang w:val="af-ZA"/>
              </w:rPr>
              <w:lastRenderedPageBreak/>
              <w:t>of Claim and attached the said agreement to the Particulars of claim as annexure “A”.  They further allege that all relevant times the Plaintiff was duly represented by Mr. Happy Tjivikua and the Defendant by Mr. Issy Nakamwe.</w:t>
            </w:r>
          </w:p>
          <w:p w:rsidR="00BD45CB" w:rsidRPr="00EA4C12" w:rsidRDefault="00BD45CB" w:rsidP="00A55CBB">
            <w:pPr>
              <w:spacing w:after="0" w:line="360" w:lineRule="auto"/>
              <w:jc w:val="both"/>
              <w:rPr>
                <w:rFonts w:ascii="Arial Narrow" w:hAnsi="Arial Narrow"/>
                <w:sz w:val="24"/>
                <w:szCs w:val="24"/>
                <w:lang w:val="af-ZA"/>
              </w:rPr>
            </w:pPr>
          </w:p>
          <w:p w:rsidR="00BD45CB" w:rsidRPr="00EA4C12" w:rsidRDefault="007268DE" w:rsidP="00A55CBB">
            <w:pPr>
              <w:spacing w:after="0" w:line="360" w:lineRule="auto"/>
              <w:jc w:val="both"/>
              <w:rPr>
                <w:rFonts w:ascii="Arial Narrow" w:hAnsi="Arial Narrow"/>
                <w:sz w:val="24"/>
                <w:szCs w:val="24"/>
                <w:lang w:val="af-ZA"/>
              </w:rPr>
            </w:pPr>
            <w:r w:rsidRPr="00EA4C12">
              <w:rPr>
                <w:rFonts w:ascii="Arial Narrow" w:hAnsi="Arial Narrow"/>
                <w:sz w:val="24"/>
                <w:szCs w:val="24"/>
                <w:lang w:val="af-ZA"/>
              </w:rPr>
              <w:t xml:space="preserve">[2]  </w:t>
            </w:r>
            <w:r w:rsidR="00BD45CB" w:rsidRPr="00EA4C12">
              <w:rPr>
                <w:rFonts w:ascii="Arial Narrow" w:hAnsi="Arial Narrow"/>
                <w:sz w:val="24"/>
                <w:szCs w:val="24"/>
                <w:lang w:val="af-ZA"/>
              </w:rPr>
              <w:t>After a Summary Judgement application that seemed not to have proceeded, the Defendant pleaded to these allegations on 12 June 2019, and togethe</w:t>
            </w:r>
            <w:r w:rsidR="00BB2B39" w:rsidRPr="00EA4C12">
              <w:rPr>
                <w:rFonts w:ascii="Arial Narrow" w:hAnsi="Arial Narrow"/>
                <w:sz w:val="24"/>
                <w:szCs w:val="24"/>
                <w:lang w:val="af-ZA"/>
              </w:rPr>
              <w:t>r with its plea filed a counter</w:t>
            </w:r>
            <w:r w:rsidR="00BD45CB" w:rsidRPr="00EA4C12">
              <w:rPr>
                <w:rFonts w:ascii="Arial Narrow" w:hAnsi="Arial Narrow"/>
                <w:sz w:val="24"/>
                <w:szCs w:val="24"/>
                <w:lang w:val="af-ZA"/>
              </w:rPr>
              <w:t>claim alleging that the Defendant leased various office spaces during the period 2014 – 201</w:t>
            </w:r>
            <w:r w:rsidRPr="00EA4C12">
              <w:rPr>
                <w:rFonts w:ascii="Arial Narrow" w:hAnsi="Arial Narrow"/>
                <w:sz w:val="24"/>
                <w:szCs w:val="24"/>
                <w:lang w:val="af-ZA"/>
              </w:rPr>
              <w:t>8</w:t>
            </w:r>
            <w:r w:rsidR="00BD45CB" w:rsidRPr="00EA4C12">
              <w:rPr>
                <w:rFonts w:ascii="Arial Narrow" w:hAnsi="Arial Narrow"/>
                <w:sz w:val="24"/>
                <w:szCs w:val="24"/>
                <w:lang w:val="af-ZA"/>
              </w:rPr>
              <w:t xml:space="preserve">, office number 53, </w:t>
            </w:r>
            <w:r w:rsidRPr="00EA4C12">
              <w:rPr>
                <w:rFonts w:ascii="Arial Narrow" w:hAnsi="Arial Narrow"/>
                <w:sz w:val="24"/>
                <w:szCs w:val="24"/>
                <w:lang w:val="af-ZA"/>
              </w:rPr>
              <w:t>51 and 49 and that it was part of an agreement between Mr. Hippy Tjivikua on behalf of the Plaintiff and Mr. Issy Nakamwe on behalf of the Defendant.  The agreement was initially a written agreement, b</w:t>
            </w:r>
            <w:r w:rsidR="00BB2B39" w:rsidRPr="00EA4C12">
              <w:rPr>
                <w:rFonts w:ascii="Arial Narrow" w:hAnsi="Arial Narrow"/>
                <w:sz w:val="24"/>
                <w:szCs w:val="24"/>
                <w:lang w:val="af-ZA"/>
              </w:rPr>
              <w:t>ut later agreements were oral</w:t>
            </w:r>
            <w:r w:rsidRPr="00EA4C12">
              <w:rPr>
                <w:rFonts w:ascii="Arial Narrow" w:hAnsi="Arial Narrow"/>
                <w:sz w:val="24"/>
                <w:szCs w:val="24"/>
                <w:lang w:val="af-ZA"/>
              </w:rPr>
              <w:t>.  During 2017</w:t>
            </w:r>
            <w:r w:rsidR="00BB2B39" w:rsidRPr="00EA4C12">
              <w:rPr>
                <w:rFonts w:ascii="Arial Narrow" w:hAnsi="Arial Narrow"/>
                <w:sz w:val="24"/>
                <w:szCs w:val="24"/>
                <w:lang w:val="af-ZA"/>
              </w:rPr>
              <w:t>,</w:t>
            </w:r>
            <w:r w:rsidRPr="00EA4C12">
              <w:rPr>
                <w:rFonts w:ascii="Arial Narrow" w:hAnsi="Arial Narrow"/>
                <w:sz w:val="24"/>
                <w:szCs w:val="24"/>
                <w:lang w:val="af-ZA"/>
              </w:rPr>
              <w:t xml:space="preserve"> the Defendant was </w:t>
            </w:r>
            <w:r w:rsidR="00BB2B39" w:rsidRPr="00EA4C12">
              <w:rPr>
                <w:rFonts w:ascii="Arial Narrow" w:hAnsi="Arial Narrow"/>
                <w:sz w:val="24"/>
                <w:szCs w:val="24"/>
                <w:lang w:val="af-ZA"/>
              </w:rPr>
              <w:t>again to move to a new office, office number</w:t>
            </w:r>
            <w:r w:rsidRPr="00EA4C12">
              <w:rPr>
                <w:rFonts w:ascii="Arial Narrow" w:hAnsi="Arial Narrow"/>
                <w:sz w:val="24"/>
                <w:szCs w:val="24"/>
                <w:lang w:val="af-ZA"/>
              </w:rPr>
              <w:t xml:space="preserve"> 49, but before it could move into the new premisses</w:t>
            </w:r>
            <w:r w:rsidR="00BB2B39" w:rsidRPr="00EA4C12">
              <w:rPr>
                <w:rFonts w:ascii="Arial Narrow" w:hAnsi="Arial Narrow"/>
                <w:sz w:val="24"/>
                <w:szCs w:val="24"/>
                <w:lang w:val="af-ZA"/>
              </w:rPr>
              <w:t>,</w:t>
            </w:r>
            <w:r w:rsidRPr="00EA4C12">
              <w:rPr>
                <w:rFonts w:ascii="Arial Narrow" w:hAnsi="Arial Narrow"/>
                <w:sz w:val="24"/>
                <w:szCs w:val="24"/>
                <w:lang w:val="af-ZA"/>
              </w:rPr>
              <w:t xml:space="preserve"> certain renovations had to be made.  The parties then entered into an oral agreement in which the Defendant was to renovate and make improvements to the office by using it’s own resources and that the Defendant would be exempted from paying the montly rental fee, equivalent to the value of the renovations.  Renovations to the value of N$30 000 was made but shortly after the Defendant moved into these new offices, it was locked out by the Plaintiff and demands were made for the outstanding rental.  As a result of the unlawful de</w:t>
            </w:r>
            <w:r w:rsidR="00BB2B39" w:rsidRPr="00EA4C12">
              <w:rPr>
                <w:rFonts w:ascii="Arial Narrow" w:hAnsi="Arial Narrow"/>
                <w:sz w:val="24"/>
                <w:szCs w:val="24"/>
                <w:lang w:val="af-ZA"/>
              </w:rPr>
              <w:t>privation of access to office number</w:t>
            </w:r>
            <w:r w:rsidRPr="00EA4C12">
              <w:rPr>
                <w:rFonts w:ascii="Arial Narrow" w:hAnsi="Arial Narrow"/>
                <w:sz w:val="24"/>
                <w:szCs w:val="24"/>
                <w:lang w:val="af-ZA"/>
              </w:rPr>
              <w:t xml:space="preserve"> 49</w:t>
            </w:r>
            <w:r w:rsidR="00BB2B39" w:rsidRPr="00EA4C12">
              <w:rPr>
                <w:rFonts w:ascii="Arial Narrow" w:hAnsi="Arial Narrow"/>
                <w:sz w:val="24"/>
                <w:szCs w:val="24"/>
                <w:lang w:val="af-ZA"/>
              </w:rPr>
              <w:t>, the D</w:t>
            </w:r>
            <w:r w:rsidRPr="00EA4C12">
              <w:rPr>
                <w:rFonts w:ascii="Arial Narrow" w:hAnsi="Arial Narrow"/>
                <w:sz w:val="24"/>
                <w:szCs w:val="24"/>
                <w:lang w:val="af-ZA"/>
              </w:rPr>
              <w:t>efend</w:t>
            </w:r>
            <w:r w:rsidR="00244FB0" w:rsidRPr="00EA4C12">
              <w:rPr>
                <w:rFonts w:ascii="Arial Narrow" w:hAnsi="Arial Narrow"/>
                <w:sz w:val="24"/>
                <w:szCs w:val="24"/>
                <w:lang w:val="af-ZA"/>
              </w:rPr>
              <w:t>an</w:t>
            </w:r>
            <w:r w:rsidRPr="00EA4C12">
              <w:rPr>
                <w:rFonts w:ascii="Arial Narrow" w:hAnsi="Arial Narrow"/>
                <w:sz w:val="24"/>
                <w:szCs w:val="24"/>
                <w:lang w:val="af-ZA"/>
              </w:rPr>
              <w:t>t suffered cons</w:t>
            </w:r>
            <w:r w:rsidR="00BB2B39" w:rsidRPr="00EA4C12">
              <w:rPr>
                <w:rFonts w:ascii="Arial Narrow" w:hAnsi="Arial Narrow"/>
                <w:sz w:val="24"/>
                <w:szCs w:val="24"/>
                <w:lang w:val="af-ZA"/>
              </w:rPr>
              <w:t>iderable losses and its counter</w:t>
            </w:r>
            <w:r w:rsidRPr="00EA4C12">
              <w:rPr>
                <w:rFonts w:ascii="Arial Narrow" w:hAnsi="Arial Narrow"/>
                <w:sz w:val="24"/>
                <w:szCs w:val="24"/>
                <w:lang w:val="af-ZA"/>
              </w:rPr>
              <w:t>claim is therefore for the N$30 </w:t>
            </w:r>
            <w:r w:rsidR="00BB2B39" w:rsidRPr="00EA4C12">
              <w:rPr>
                <w:rFonts w:ascii="Arial Narrow" w:hAnsi="Arial Narrow"/>
                <w:sz w:val="24"/>
                <w:szCs w:val="24"/>
                <w:lang w:val="af-ZA"/>
              </w:rPr>
              <w:t>000 spent on the renovation of office number</w:t>
            </w:r>
            <w:r w:rsidRPr="00EA4C12">
              <w:rPr>
                <w:rFonts w:ascii="Arial Narrow" w:hAnsi="Arial Narrow"/>
                <w:sz w:val="24"/>
                <w:szCs w:val="24"/>
                <w:lang w:val="af-ZA"/>
              </w:rPr>
              <w:t xml:space="preserve"> 49 and N$60 000 damages ocationed by the unlawful actions of the Plaintiff.</w:t>
            </w:r>
          </w:p>
          <w:p w:rsidR="007268DE" w:rsidRPr="00EA4C12" w:rsidRDefault="007268DE" w:rsidP="00A55CBB">
            <w:pPr>
              <w:spacing w:after="0" w:line="360" w:lineRule="auto"/>
              <w:jc w:val="both"/>
              <w:rPr>
                <w:rFonts w:ascii="Arial Narrow" w:hAnsi="Arial Narrow"/>
                <w:sz w:val="24"/>
                <w:szCs w:val="24"/>
                <w:lang w:val="af-ZA"/>
              </w:rPr>
            </w:pPr>
          </w:p>
          <w:p w:rsidR="007268DE" w:rsidRPr="00EA4C12" w:rsidRDefault="007268DE" w:rsidP="00A55CBB">
            <w:pPr>
              <w:spacing w:after="0" w:line="360" w:lineRule="auto"/>
              <w:jc w:val="both"/>
              <w:rPr>
                <w:rFonts w:ascii="Arial Narrow" w:hAnsi="Arial Narrow"/>
                <w:sz w:val="24"/>
                <w:szCs w:val="24"/>
                <w:lang w:val="af-ZA"/>
              </w:rPr>
            </w:pPr>
            <w:r w:rsidRPr="00EA4C12">
              <w:rPr>
                <w:rFonts w:ascii="Arial Narrow" w:hAnsi="Arial Narrow"/>
                <w:sz w:val="24"/>
                <w:szCs w:val="24"/>
                <w:lang w:val="af-ZA"/>
              </w:rPr>
              <w:t>[3]  It is then against this pleading that the Plaintiff excepts and raised the following exceptions:</w:t>
            </w:r>
          </w:p>
          <w:p w:rsidR="00BB2B39" w:rsidRPr="00EA4C12" w:rsidRDefault="00BB2B39" w:rsidP="00A55CBB">
            <w:pPr>
              <w:spacing w:after="0" w:line="360" w:lineRule="auto"/>
              <w:jc w:val="both"/>
              <w:rPr>
                <w:rFonts w:ascii="Arial Narrow" w:hAnsi="Arial Narrow"/>
                <w:sz w:val="24"/>
                <w:szCs w:val="24"/>
                <w:lang w:val="af-ZA"/>
              </w:rPr>
            </w:pPr>
          </w:p>
          <w:p w:rsidR="00165E98" w:rsidRPr="00EA4C12" w:rsidRDefault="00BB2B39" w:rsidP="00A55CBB">
            <w:pPr>
              <w:spacing w:after="0" w:line="360" w:lineRule="auto"/>
              <w:jc w:val="both"/>
              <w:rPr>
                <w:rFonts w:ascii="Arial Narrow" w:hAnsi="Arial Narrow"/>
                <w:sz w:val="24"/>
                <w:szCs w:val="24"/>
                <w:lang w:val="af-ZA"/>
              </w:rPr>
            </w:pPr>
            <w:r w:rsidRPr="00EA4C12">
              <w:rPr>
                <w:rFonts w:ascii="Arial Narrow" w:hAnsi="Arial Narrow"/>
                <w:sz w:val="24"/>
                <w:szCs w:val="24"/>
                <w:lang w:val="af-ZA"/>
              </w:rPr>
              <w:t xml:space="preserve">a)  </w:t>
            </w:r>
            <w:r w:rsidR="007268DE" w:rsidRPr="00EA4C12">
              <w:rPr>
                <w:rFonts w:ascii="Arial Narrow" w:hAnsi="Arial Narrow"/>
                <w:sz w:val="24"/>
                <w:szCs w:val="24"/>
                <w:lang w:val="af-ZA"/>
              </w:rPr>
              <w:t>Allegations contained in the Counterclaim are contradictory:  The counterclaim states that the parties entered into a written agreement which is attached to the Particulars of Claim of the Plaintiff.  The Defendant further avers that the Plaintiff leased various office premises to it.  T</w:t>
            </w:r>
            <w:r w:rsidR="00165E98" w:rsidRPr="00EA4C12">
              <w:rPr>
                <w:rFonts w:ascii="Arial Narrow" w:hAnsi="Arial Narrow"/>
                <w:sz w:val="24"/>
                <w:szCs w:val="24"/>
                <w:lang w:val="af-ZA"/>
              </w:rPr>
              <w:t>hese two averments is inconsistent and contradictory to each other, if regard is had to the lease agreement referred to in the counterclaim and therefore vague and embarrassing and the plaintiff is unable to plea thereto.</w:t>
            </w:r>
          </w:p>
          <w:p w:rsidR="00BB2B39" w:rsidRPr="00EA4C12" w:rsidRDefault="00BB2B39" w:rsidP="00A55CBB">
            <w:pPr>
              <w:spacing w:after="0" w:line="360" w:lineRule="auto"/>
              <w:jc w:val="both"/>
              <w:rPr>
                <w:rFonts w:ascii="Arial Narrow" w:hAnsi="Arial Narrow"/>
                <w:sz w:val="24"/>
                <w:szCs w:val="24"/>
                <w:lang w:val="af-ZA"/>
              </w:rPr>
            </w:pPr>
          </w:p>
          <w:p w:rsidR="00165E98" w:rsidRPr="00EA4C12" w:rsidRDefault="00BB2B39" w:rsidP="00A55CBB">
            <w:pPr>
              <w:spacing w:after="0" w:line="360" w:lineRule="auto"/>
              <w:jc w:val="both"/>
              <w:rPr>
                <w:rFonts w:ascii="Arial Narrow" w:hAnsi="Arial Narrow"/>
                <w:sz w:val="24"/>
                <w:szCs w:val="24"/>
                <w:lang w:val="af-ZA"/>
              </w:rPr>
            </w:pPr>
            <w:r w:rsidRPr="00EA4C12">
              <w:rPr>
                <w:rFonts w:ascii="Arial Narrow" w:hAnsi="Arial Narrow"/>
                <w:sz w:val="24"/>
                <w:szCs w:val="24"/>
                <w:lang w:val="af-ZA"/>
              </w:rPr>
              <w:t xml:space="preserve">b)   </w:t>
            </w:r>
            <w:r w:rsidR="00165E98" w:rsidRPr="00EA4C12">
              <w:rPr>
                <w:rFonts w:ascii="Arial Narrow" w:hAnsi="Arial Narrow"/>
                <w:sz w:val="24"/>
                <w:szCs w:val="24"/>
                <w:lang w:val="af-ZA"/>
              </w:rPr>
              <w:t>The allegations made by the Defendant are vague and embarrassing and the Plaintiff is unable to plead thereto:  The Defendant alleged that they parties entered into an oral agreement in terms of which the De</w:t>
            </w:r>
            <w:r w:rsidRPr="00EA4C12">
              <w:rPr>
                <w:rFonts w:ascii="Arial Narrow" w:hAnsi="Arial Narrow"/>
                <w:sz w:val="24"/>
                <w:szCs w:val="24"/>
                <w:lang w:val="af-ZA"/>
              </w:rPr>
              <w:t>fendant occupied office number</w:t>
            </w:r>
            <w:r w:rsidR="00165E98" w:rsidRPr="00EA4C12">
              <w:rPr>
                <w:rFonts w:ascii="Arial Narrow" w:hAnsi="Arial Narrow"/>
                <w:sz w:val="24"/>
                <w:szCs w:val="24"/>
                <w:lang w:val="af-ZA"/>
              </w:rPr>
              <w:t xml:space="preserve"> 53 for the period from 2014-2016 and again in terms of the said oral agreement occupied </w:t>
            </w:r>
            <w:r w:rsidRPr="00EA4C12">
              <w:rPr>
                <w:rFonts w:ascii="Arial Narrow" w:hAnsi="Arial Narrow"/>
                <w:sz w:val="24"/>
                <w:szCs w:val="24"/>
                <w:lang w:val="af-ZA"/>
              </w:rPr>
              <w:t xml:space="preserve">office number </w:t>
            </w:r>
            <w:r w:rsidR="00165E98" w:rsidRPr="00EA4C12">
              <w:rPr>
                <w:rFonts w:ascii="Arial Narrow" w:hAnsi="Arial Narrow"/>
                <w:sz w:val="24"/>
                <w:szCs w:val="24"/>
                <w:lang w:val="af-ZA"/>
              </w:rPr>
              <w:t xml:space="preserve">51. The Defendant however failed to mention with whom the oral agreement/s were concluded on behalf of the Plaintiff.  The date on or period for which these oral agreements were concluded are also unspecific and therefore vague and embarrassing when read with the other averments of the counterclaim.  The Defendant further attached a proof of payment to the counterclaim </w:t>
            </w:r>
            <w:r w:rsidR="00165E98" w:rsidRPr="00EA4C12">
              <w:rPr>
                <w:rFonts w:ascii="Arial Narrow" w:hAnsi="Arial Narrow"/>
                <w:sz w:val="24"/>
                <w:szCs w:val="24"/>
                <w:lang w:val="af-ZA"/>
              </w:rPr>
              <w:lastRenderedPageBreak/>
              <w:t xml:space="preserve">which is neither a proof of payment, a statement of account from a banking institution nor does it indicate the alleged amount of rental paid by the Defendant.  </w:t>
            </w:r>
          </w:p>
          <w:p w:rsidR="00BB2B39" w:rsidRPr="00EA4C12" w:rsidRDefault="00BB2B39" w:rsidP="00A55CBB">
            <w:pPr>
              <w:spacing w:after="0" w:line="360" w:lineRule="auto"/>
              <w:jc w:val="both"/>
              <w:rPr>
                <w:rFonts w:ascii="Arial Narrow" w:hAnsi="Arial Narrow"/>
                <w:sz w:val="24"/>
                <w:szCs w:val="24"/>
                <w:lang w:val="af-ZA"/>
              </w:rPr>
            </w:pPr>
          </w:p>
          <w:p w:rsidR="00165E98" w:rsidRPr="00EA4C12" w:rsidRDefault="00BB2B39" w:rsidP="00A55CBB">
            <w:pPr>
              <w:spacing w:after="0" w:line="360" w:lineRule="auto"/>
              <w:jc w:val="both"/>
              <w:rPr>
                <w:rFonts w:ascii="Arial Narrow" w:hAnsi="Arial Narrow"/>
                <w:sz w:val="24"/>
                <w:szCs w:val="24"/>
                <w:lang w:val="af-ZA"/>
              </w:rPr>
            </w:pPr>
            <w:r w:rsidRPr="00EA4C12">
              <w:rPr>
                <w:rFonts w:ascii="Arial Narrow" w:hAnsi="Arial Narrow"/>
                <w:sz w:val="24"/>
                <w:szCs w:val="24"/>
                <w:lang w:val="af-ZA"/>
              </w:rPr>
              <w:t xml:space="preserve">c)   </w:t>
            </w:r>
            <w:r w:rsidR="00165E98" w:rsidRPr="00EA4C12">
              <w:rPr>
                <w:rFonts w:ascii="Arial Narrow" w:hAnsi="Arial Narrow"/>
                <w:sz w:val="24"/>
                <w:szCs w:val="24"/>
                <w:lang w:val="af-ZA"/>
              </w:rPr>
              <w:t xml:space="preserve">The necessary allegations are lacking and as such no cause of action is sustained against our client:  The Defendant stated that he has lost business totalling N$ 60 000 but no averments were made to disclose the nature of the Defendant’s business and furthermore none was made in respect of the Defendant’s actual inclome during the occupation of the office.  The Defendant’s quantification of the damages is further bad in law as there is also no attempt to list the actual renovations and improvements allegedly made to </w:t>
            </w:r>
            <w:r w:rsidRPr="00EA4C12">
              <w:rPr>
                <w:rFonts w:ascii="Arial Narrow" w:hAnsi="Arial Narrow"/>
                <w:sz w:val="24"/>
                <w:szCs w:val="24"/>
                <w:lang w:val="af-ZA"/>
              </w:rPr>
              <w:t xml:space="preserve">office number </w:t>
            </w:r>
            <w:r w:rsidR="00165E98" w:rsidRPr="00EA4C12">
              <w:rPr>
                <w:rFonts w:ascii="Arial Narrow" w:hAnsi="Arial Narrow"/>
                <w:sz w:val="24"/>
                <w:szCs w:val="24"/>
                <w:lang w:val="af-ZA"/>
              </w:rPr>
              <w:t>49 which are in total N$30 000.  Therefore no cause of action is sustained in the counterclaim.</w:t>
            </w:r>
          </w:p>
          <w:p w:rsidR="00165E98" w:rsidRPr="00EA4C12" w:rsidRDefault="00165E98" w:rsidP="00A55CBB">
            <w:pPr>
              <w:spacing w:after="0" w:line="360" w:lineRule="auto"/>
              <w:jc w:val="both"/>
              <w:rPr>
                <w:rFonts w:ascii="Arial Narrow" w:hAnsi="Arial Narrow"/>
                <w:sz w:val="24"/>
                <w:szCs w:val="24"/>
                <w:lang w:val="af-ZA"/>
              </w:rPr>
            </w:pPr>
          </w:p>
          <w:p w:rsidR="00165E98" w:rsidRPr="00EA4C12" w:rsidRDefault="00165E98" w:rsidP="00A55CBB">
            <w:pPr>
              <w:spacing w:after="0" w:line="360" w:lineRule="auto"/>
              <w:jc w:val="both"/>
              <w:rPr>
                <w:rFonts w:ascii="Arial Narrow" w:hAnsi="Arial Narrow"/>
                <w:sz w:val="24"/>
                <w:szCs w:val="24"/>
                <w:lang w:val="af-ZA"/>
              </w:rPr>
            </w:pPr>
            <w:r w:rsidRPr="00EA4C12">
              <w:rPr>
                <w:rFonts w:ascii="Arial Narrow" w:hAnsi="Arial Narrow"/>
                <w:sz w:val="24"/>
                <w:szCs w:val="24"/>
                <w:lang w:val="af-ZA"/>
              </w:rPr>
              <w:t xml:space="preserve">[4]  </w:t>
            </w:r>
            <w:r w:rsidR="00720682" w:rsidRPr="00EA4C12">
              <w:rPr>
                <w:rFonts w:ascii="Arial Narrow" w:hAnsi="Arial Narrow"/>
                <w:sz w:val="24"/>
                <w:szCs w:val="24"/>
                <w:lang w:val="af-ZA"/>
              </w:rPr>
              <w:t>The Excepiant/Plaintiff filed a report in terms of rule 32(10) indicating that it made attempts to resolve t</w:t>
            </w:r>
            <w:r w:rsidR="0059507A" w:rsidRPr="00EA4C12">
              <w:rPr>
                <w:rFonts w:ascii="Arial Narrow" w:hAnsi="Arial Narrow"/>
                <w:sz w:val="24"/>
                <w:szCs w:val="24"/>
                <w:lang w:val="af-ZA"/>
              </w:rPr>
              <w:t>he interlocutory matter</w:t>
            </w:r>
            <w:r w:rsidR="00720682" w:rsidRPr="00EA4C12">
              <w:rPr>
                <w:rFonts w:ascii="Arial Narrow" w:hAnsi="Arial Narrow"/>
                <w:sz w:val="24"/>
                <w:szCs w:val="24"/>
                <w:lang w:val="af-ZA"/>
              </w:rPr>
              <w:t xml:space="preserve"> amicably as contemplated by rule 32(9) of the High Court rules by writing to the Defendant on 30 July 2019</w:t>
            </w:r>
            <w:r w:rsidR="008273FB" w:rsidRPr="00EA4C12">
              <w:rPr>
                <w:rFonts w:ascii="Arial Narrow" w:hAnsi="Arial Narrow"/>
                <w:sz w:val="24"/>
                <w:szCs w:val="24"/>
                <w:lang w:val="af-ZA"/>
              </w:rPr>
              <w:t>,</w:t>
            </w:r>
            <w:r w:rsidR="00720682" w:rsidRPr="00EA4C12">
              <w:rPr>
                <w:rFonts w:ascii="Arial Narrow" w:hAnsi="Arial Narrow"/>
                <w:sz w:val="24"/>
                <w:szCs w:val="24"/>
                <w:lang w:val="af-ZA"/>
              </w:rPr>
              <w:t xml:space="preserve"> but received no response from the Defendant on the said letter.  The Plaintiff once again tried to engage the Defendant in a letter dated 4 September 2019, requesting it to amend it’s Particulars of Claim before 11 September 2019.  The Plaintiff further attempted to reach the Defendant telephonically but to no avail.  They also wrote an email to the Defendant on 12 September 2019, to which the Defendant responded indicating that it would revert back to them soonest but no response was forthcomming.</w:t>
            </w:r>
          </w:p>
          <w:p w:rsidR="00720682" w:rsidRPr="00EA4C12" w:rsidRDefault="00720682" w:rsidP="00A55CBB">
            <w:pPr>
              <w:spacing w:after="0" w:line="360" w:lineRule="auto"/>
              <w:jc w:val="both"/>
              <w:rPr>
                <w:rFonts w:ascii="Arial Narrow" w:hAnsi="Arial Narrow"/>
                <w:sz w:val="24"/>
                <w:szCs w:val="24"/>
                <w:lang w:val="af-ZA"/>
              </w:rPr>
            </w:pPr>
          </w:p>
          <w:p w:rsidR="00720682" w:rsidRPr="00EA4C12" w:rsidRDefault="00720682" w:rsidP="00A55CBB">
            <w:pPr>
              <w:spacing w:after="0" w:line="360" w:lineRule="auto"/>
              <w:jc w:val="both"/>
              <w:rPr>
                <w:rFonts w:ascii="Arial Narrow" w:hAnsi="Arial Narrow"/>
                <w:sz w:val="24"/>
                <w:szCs w:val="24"/>
                <w:u w:val="single"/>
                <w:lang w:val="af-ZA"/>
              </w:rPr>
            </w:pPr>
            <w:r w:rsidRPr="00EA4C12">
              <w:rPr>
                <w:rFonts w:ascii="Arial Narrow" w:hAnsi="Arial Narrow"/>
                <w:sz w:val="24"/>
                <w:szCs w:val="24"/>
                <w:u w:val="single"/>
                <w:lang w:val="af-ZA"/>
              </w:rPr>
              <w:t>The law</w:t>
            </w:r>
          </w:p>
          <w:p w:rsidR="008273FB" w:rsidRPr="00EA4C12" w:rsidRDefault="008273FB" w:rsidP="00A55CBB">
            <w:pPr>
              <w:spacing w:after="0" w:line="360" w:lineRule="auto"/>
              <w:jc w:val="both"/>
              <w:rPr>
                <w:rFonts w:ascii="Arial Narrow" w:hAnsi="Arial Narrow"/>
                <w:sz w:val="24"/>
                <w:szCs w:val="24"/>
                <w:u w:val="single"/>
                <w:lang w:val="af-ZA"/>
              </w:rPr>
            </w:pPr>
          </w:p>
          <w:p w:rsidR="00A358EF" w:rsidRPr="00EA4C12" w:rsidRDefault="00AB2084" w:rsidP="00A358EF">
            <w:pPr>
              <w:spacing w:after="0" w:line="360" w:lineRule="auto"/>
              <w:jc w:val="both"/>
              <w:rPr>
                <w:rFonts w:ascii="Arial Narrow" w:hAnsi="Arial Narrow"/>
                <w:sz w:val="24"/>
                <w:szCs w:val="24"/>
                <w:lang w:val="af-ZA"/>
              </w:rPr>
            </w:pPr>
            <w:r w:rsidRPr="00EA4C12">
              <w:rPr>
                <w:rFonts w:ascii="Arial Narrow" w:hAnsi="Arial Narrow"/>
                <w:sz w:val="24"/>
                <w:szCs w:val="24"/>
                <w:lang w:val="af-ZA"/>
              </w:rPr>
              <w:t xml:space="preserve">[5]   </w:t>
            </w:r>
            <w:r w:rsidR="008273FB" w:rsidRPr="00EA4C12">
              <w:rPr>
                <w:rFonts w:ascii="Arial Narrow" w:hAnsi="Arial Narrow"/>
                <w:sz w:val="24"/>
                <w:szCs w:val="24"/>
                <w:lang w:val="af-ZA"/>
              </w:rPr>
              <w:t>An</w:t>
            </w:r>
            <w:r w:rsidR="002B2C52" w:rsidRPr="00EA4C12">
              <w:rPr>
                <w:rFonts w:ascii="Arial Narrow" w:hAnsi="Arial Narrow"/>
                <w:sz w:val="24"/>
                <w:szCs w:val="24"/>
                <w:lang w:val="af-ZA"/>
              </w:rPr>
              <w:t xml:space="preserve"> exception can only be taken when the exception appears </w:t>
            </w:r>
            <w:r w:rsidR="002B2C52" w:rsidRPr="00EA4C12">
              <w:rPr>
                <w:rFonts w:ascii="Arial Narrow" w:hAnsi="Arial Narrow"/>
                <w:i/>
                <w:sz w:val="24"/>
                <w:szCs w:val="24"/>
                <w:lang w:val="af-ZA"/>
              </w:rPr>
              <w:t>ex facie</w:t>
            </w:r>
            <w:r w:rsidR="002B2C52" w:rsidRPr="00EA4C12">
              <w:rPr>
                <w:rFonts w:ascii="Arial Narrow" w:hAnsi="Arial Narrow"/>
                <w:sz w:val="24"/>
                <w:szCs w:val="24"/>
                <w:lang w:val="af-ZA"/>
              </w:rPr>
              <w:t xml:space="preserve"> the pleading as no facts should be presented to show that the pleading is excipiable</w:t>
            </w:r>
            <w:r w:rsidR="008273FB" w:rsidRPr="00EA4C12">
              <w:rPr>
                <w:rFonts w:ascii="Arial Narrow" w:hAnsi="Arial Narrow"/>
                <w:sz w:val="24"/>
                <w:szCs w:val="24"/>
                <w:lang w:val="af-ZA"/>
              </w:rPr>
              <w:t>.</w:t>
            </w:r>
            <w:r w:rsidR="002B2C52" w:rsidRPr="00EA4C12">
              <w:rPr>
                <w:rStyle w:val="FootnoteReference"/>
                <w:rFonts w:ascii="Arial Narrow" w:hAnsi="Arial Narrow"/>
                <w:sz w:val="24"/>
                <w:szCs w:val="24"/>
                <w:lang w:val="af-ZA"/>
              </w:rPr>
              <w:footnoteReference w:id="1"/>
            </w:r>
            <w:r w:rsidR="002B2C52" w:rsidRPr="00EA4C12">
              <w:rPr>
                <w:rFonts w:ascii="Arial Narrow" w:hAnsi="Arial Narrow"/>
                <w:sz w:val="24"/>
                <w:szCs w:val="24"/>
                <w:lang w:val="af-ZA"/>
              </w:rPr>
              <w:t xml:space="preserve">  When looking at an exception against any pleading</w:t>
            </w:r>
            <w:r w:rsidR="008273FB" w:rsidRPr="00EA4C12">
              <w:rPr>
                <w:rFonts w:ascii="Arial Narrow" w:hAnsi="Arial Narrow"/>
                <w:sz w:val="24"/>
                <w:szCs w:val="24"/>
                <w:lang w:val="af-ZA"/>
              </w:rPr>
              <w:t>,</w:t>
            </w:r>
            <w:r w:rsidR="002B2C52" w:rsidRPr="00EA4C12">
              <w:rPr>
                <w:rFonts w:ascii="Arial Narrow" w:hAnsi="Arial Narrow"/>
                <w:sz w:val="24"/>
                <w:szCs w:val="24"/>
                <w:lang w:val="af-ZA"/>
              </w:rPr>
              <w:t xml:space="preserve"> it is important to determine whether the exception is based on the </w:t>
            </w:r>
            <w:r w:rsidR="008273FB" w:rsidRPr="00EA4C12">
              <w:rPr>
                <w:rFonts w:ascii="Arial Narrow" w:hAnsi="Arial Narrow"/>
                <w:sz w:val="24"/>
                <w:szCs w:val="24"/>
                <w:lang w:val="af-ZA"/>
              </w:rPr>
              <w:t>fact that it is vague or embarra</w:t>
            </w:r>
            <w:r w:rsidR="002B2C52" w:rsidRPr="00EA4C12">
              <w:rPr>
                <w:rFonts w:ascii="Arial Narrow" w:hAnsi="Arial Narrow"/>
                <w:sz w:val="24"/>
                <w:szCs w:val="24"/>
                <w:lang w:val="af-ZA"/>
              </w:rPr>
              <w:t xml:space="preserve">ssing or both.  </w:t>
            </w:r>
            <w:r w:rsidR="008273FB" w:rsidRPr="00EA4C12">
              <w:rPr>
                <w:rFonts w:ascii="Arial Narrow" w:hAnsi="Arial Narrow"/>
                <w:sz w:val="24"/>
                <w:szCs w:val="24"/>
                <w:lang w:val="af-ZA"/>
              </w:rPr>
              <w:t>In</w:t>
            </w:r>
            <w:r w:rsidR="00A358EF" w:rsidRPr="00EA4C12">
              <w:rPr>
                <w:rFonts w:ascii="Arial Narrow" w:hAnsi="Arial Narrow"/>
                <w:sz w:val="24"/>
                <w:szCs w:val="24"/>
                <w:lang w:val="af-ZA"/>
              </w:rPr>
              <w:t xml:space="preserve"> </w:t>
            </w:r>
            <w:r w:rsidR="00A358EF" w:rsidRPr="00EA4C12">
              <w:rPr>
                <w:rFonts w:ascii="Arial Narrow" w:hAnsi="Arial Narrow"/>
                <w:i/>
                <w:sz w:val="24"/>
                <w:szCs w:val="24"/>
                <w:lang w:val="af-ZA"/>
              </w:rPr>
              <w:t>Kahn v Stuart</w:t>
            </w:r>
            <w:r w:rsidR="008273FB" w:rsidRPr="00EA4C12">
              <w:rPr>
                <w:rFonts w:ascii="Arial Narrow" w:hAnsi="Arial Narrow"/>
                <w:sz w:val="24"/>
                <w:szCs w:val="24"/>
                <w:lang w:val="af-ZA"/>
              </w:rPr>
              <w:t>,</w:t>
            </w:r>
            <w:r w:rsidR="008273FB" w:rsidRPr="00EA4C12">
              <w:rPr>
                <w:rStyle w:val="FootnoteReference"/>
                <w:rFonts w:ascii="Arial Narrow" w:hAnsi="Arial Narrow"/>
                <w:sz w:val="24"/>
                <w:szCs w:val="24"/>
                <w:lang w:val="af-ZA"/>
              </w:rPr>
              <w:footnoteReference w:id="2"/>
            </w:r>
            <w:r w:rsidR="008273FB" w:rsidRPr="00EA4C12">
              <w:rPr>
                <w:rFonts w:ascii="Arial Narrow" w:hAnsi="Arial Narrow"/>
                <w:i/>
                <w:sz w:val="24"/>
                <w:szCs w:val="24"/>
                <w:lang w:val="af-ZA"/>
              </w:rPr>
              <w:t xml:space="preserve"> </w:t>
            </w:r>
            <w:r w:rsidR="00A358EF" w:rsidRPr="00EA4C12">
              <w:rPr>
                <w:rFonts w:ascii="Arial Narrow" w:hAnsi="Arial Narrow"/>
                <w:sz w:val="24"/>
                <w:szCs w:val="24"/>
                <w:lang w:val="af-ZA"/>
              </w:rPr>
              <w:t>Davis J with Sutton, J</w:t>
            </w:r>
            <w:r w:rsidR="002B2C52" w:rsidRPr="00EA4C12">
              <w:rPr>
                <w:rFonts w:ascii="Arial Narrow" w:hAnsi="Arial Narrow"/>
                <w:sz w:val="24"/>
                <w:szCs w:val="24"/>
                <w:lang w:val="af-ZA"/>
              </w:rPr>
              <w:t xml:space="preserve"> </w:t>
            </w:r>
            <w:r w:rsidR="008273FB" w:rsidRPr="00EA4C12">
              <w:rPr>
                <w:rFonts w:ascii="Arial Narrow" w:hAnsi="Arial Narrow"/>
                <w:sz w:val="24"/>
                <w:szCs w:val="24"/>
                <w:lang w:val="af-ZA"/>
              </w:rPr>
              <w:t>c</w:t>
            </w:r>
            <w:r w:rsidR="00FF7F98" w:rsidRPr="00EA4C12">
              <w:rPr>
                <w:rFonts w:ascii="Arial Narrow" w:hAnsi="Arial Narrow"/>
                <w:sz w:val="24"/>
                <w:szCs w:val="24"/>
                <w:lang w:val="af-ZA"/>
              </w:rPr>
              <w:t>oncurring said the following:</w:t>
            </w:r>
          </w:p>
          <w:p w:rsidR="008273FB" w:rsidRPr="00EA4C12" w:rsidRDefault="008273FB" w:rsidP="00A358EF">
            <w:pPr>
              <w:spacing w:after="0" w:line="360" w:lineRule="auto"/>
              <w:jc w:val="both"/>
              <w:rPr>
                <w:rFonts w:ascii="Arial Narrow" w:hAnsi="Arial Narrow"/>
                <w:sz w:val="24"/>
                <w:szCs w:val="24"/>
                <w:lang w:val="af-ZA"/>
              </w:rPr>
            </w:pPr>
          </w:p>
          <w:p w:rsidR="00720682" w:rsidRPr="00EA4C12" w:rsidRDefault="00A358EF" w:rsidP="00A358EF">
            <w:pPr>
              <w:spacing w:after="0" w:line="360" w:lineRule="auto"/>
              <w:jc w:val="both"/>
              <w:rPr>
                <w:rFonts w:ascii="Arial Narrow" w:hAnsi="Arial Narrow"/>
                <w:lang w:val="af-ZA"/>
              </w:rPr>
            </w:pPr>
            <w:r w:rsidRPr="00EA4C12">
              <w:rPr>
                <w:rFonts w:ascii="Arial Narrow" w:hAnsi="Arial Narrow"/>
                <w:lang w:val="af-ZA"/>
              </w:rPr>
              <w:t>“In my view it is the duty of the court when an exception is taken to a pleading, first to see if there is a point of law to be decided which will dispose of the case in whole or in part. If there is not, then it must see if there is an embarrassment which is real and such cannot be met by the asking of particulars, as the result of the faults in pleadings to which exception is taken</w:t>
            </w:r>
            <w:r w:rsidR="008273FB" w:rsidRPr="00EA4C12">
              <w:rPr>
                <w:rFonts w:ascii="Arial Narrow" w:hAnsi="Arial Narrow"/>
                <w:lang w:val="af-ZA"/>
              </w:rPr>
              <w:t>.</w:t>
            </w:r>
            <w:r w:rsidRPr="00EA4C12">
              <w:rPr>
                <w:rFonts w:ascii="Arial Narrow" w:hAnsi="Arial Narrow"/>
                <w:lang w:val="af-ZA"/>
              </w:rPr>
              <w:t>”</w:t>
            </w:r>
          </w:p>
          <w:p w:rsidR="008273FB" w:rsidRPr="00EA4C12" w:rsidRDefault="008273FB" w:rsidP="00A358EF">
            <w:pPr>
              <w:spacing w:after="0" w:line="360" w:lineRule="auto"/>
              <w:jc w:val="both"/>
              <w:rPr>
                <w:rFonts w:ascii="Arial Narrow" w:hAnsi="Arial Narrow"/>
                <w:sz w:val="24"/>
                <w:szCs w:val="24"/>
                <w:lang w:val="af-ZA"/>
              </w:rPr>
            </w:pPr>
          </w:p>
          <w:p w:rsidR="00A358EF" w:rsidRPr="00EA4C12" w:rsidRDefault="00A358EF" w:rsidP="00A358EF">
            <w:pPr>
              <w:spacing w:after="0" w:line="360" w:lineRule="auto"/>
              <w:jc w:val="both"/>
              <w:rPr>
                <w:rFonts w:ascii="Arial Narrow" w:hAnsi="Arial Narrow"/>
                <w:sz w:val="24"/>
                <w:szCs w:val="24"/>
                <w:lang w:val="af-ZA"/>
              </w:rPr>
            </w:pPr>
            <w:r w:rsidRPr="00EA4C12">
              <w:rPr>
                <w:rFonts w:ascii="Arial Narrow" w:hAnsi="Arial Narrow"/>
                <w:sz w:val="24"/>
                <w:szCs w:val="24"/>
                <w:lang w:val="af-ZA"/>
              </w:rPr>
              <w:t xml:space="preserve">[6]  </w:t>
            </w:r>
            <w:r w:rsidR="002B2C52" w:rsidRPr="00EA4C12">
              <w:rPr>
                <w:rFonts w:ascii="Arial Narrow" w:hAnsi="Arial Narrow"/>
                <w:sz w:val="24"/>
                <w:szCs w:val="24"/>
                <w:lang w:val="af-ZA"/>
              </w:rPr>
              <w:t>The test for allowing an e</w:t>
            </w:r>
            <w:r w:rsidR="008273FB" w:rsidRPr="00EA4C12">
              <w:rPr>
                <w:rFonts w:ascii="Arial Narrow" w:hAnsi="Arial Narrow"/>
                <w:sz w:val="24"/>
                <w:szCs w:val="24"/>
                <w:lang w:val="af-ZA"/>
              </w:rPr>
              <w:t>xception on any of these bases</w:t>
            </w:r>
            <w:r w:rsidR="002B2C52" w:rsidRPr="00EA4C12">
              <w:rPr>
                <w:rFonts w:ascii="Arial Narrow" w:hAnsi="Arial Narrow"/>
                <w:sz w:val="24"/>
                <w:szCs w:val="24"/>
                <w:lang w:val="af-ZA"/>
              </w:rPr>
              <w:t xml:space="preserve"> was set out in </w:t>
            </w:r>
            <w:r w:rsidRPr="00EA4C12">
              <w:rPr>
                <w:rFonts w:ascii="Arial Narrow" w:hAnsi="Arial Narrow"/>
                <w:sz w:val="24"/>
                <w:szCs w:val="24"/>
                <w:lang w:val="af-ZA"/>
              </w:rPr>
              <w:t xml:space="preserve"> </w:t>
            </w:r>
            <w:r w:rsidRPr="00EA4C12">
              <w:rPr>
                <w:rFonts w:ascii="Arial Narrow" w:hAnsi="Arial Narrow"/>
                <w:i/>
                <w:sz w:val="24"/>
                <w:szCs w:val="24"/>
                <w:lang w:val="af-ZA"/>
              </w:rPr>
              <w:t>Levitan v Newhaven Holiday Enterprises CC</w:t>
            </w:r>
            <w:r w:rsidRPr="00EA4C12">
              <w:rPr>
                <w:rStyle w:val="FootnoteReference"/>
                <w:rFonts w:ascii="Arial Narrow" w:hAnsi="Arial Narrow"/>
                <w:sz w:val="24"/>
                <w:szCs w:val="24"/>
                <w:lang w:val="af-ZA"/>
              </w:rPr>
              <w:footnoteReference w:id="3"/>
            </w:r>
            <w:r w:rsidR="002B2C52" w:rsidRPr="00EA4C12">
              <w:rPr>
                <w:rFonts w:ascii="Arial Narrow" w:hAnsi="Arial Narrow"/>
                <w:i/>
                <w:sz w:val="24"/>
                <w:szCs w:val="24"/>
                <w:lang w:val="af-ZA"/>
              </w:rPr>
              <w:t xml:space="preserve"> </w:t>
            </w:r>
            <w:r w:rsidR="002B2C52" w:rsidRPr="00EA4C12">
              <w:rPr>
                <w:rFonts w:ascii="Arial Narrow" w:hAnsi="Arial Narrow"/>
                <w:sz w:val="24"/>
                <w:szCs w:val="24"/>
                <w:lang w:val="af-ZA"/>
              </w:rPr>
              <w:t>as follows:</w:t>
            </w:r>
            <w:r w:rsidR="00FF7F98" w:rsidRPr="00EA4C12">
              <w:rPr>
                <w:rFonts w:ascii="Arial Narrow" w:hAnsi="Arial Narrow"/>
                <w:sz w:val="24"/>
                <w:szCs w:val="24"/>
                <w:lang w:val="af-ZA"/>
              </w:rPr>
              <w:t xml:space="preserve"> </w:t>
            </w:r>
          </w:p>
          <w:p w:rsidR="008273FB" w:rsidRPr="00EA4C12" w:rsidRDefault="008273FB" w:rsidP="00A358EF">
            <w:pPr>
              <w:spacing w:after="0" w:line="360" w:lineRule="auto"/>
              <w:jc w:val="both"/>
              <w:rPr>
                <w:rFonts w:ascii="Arial Narrow" w:hAnsi="Arial Narrow"/>
                <w:sz w:val="24"/>
                <w:szCs w:val="24"/>
                <w:lang w:val="af-ZA"/>
              </w:rPr>
            </w:pPr>
          </w:p>
          <w:p w:rsidR="00A358EF" w:rsidRPr="00EA4C12" w:rsidRDefault="002B2C52" w:rsidP="00A358EF">
            <w:pPr>
              <w:spacing w:after="0" w:line="360" w:lineRule="auto"/>
              <w:jc w:val="both"/>
              <w:rPr>
                <w:rFonts w:ascii="Arial Narrow" w:hAnsi="Arial Narrow"/>
                <w:sz w:val="24"/>
                <w:szCs w:val="24"/>
                <w:lang w:val="af-ZA"/>
              </w:rPr>
            </w:pPr>
            <w:r w:rsidRPr="00EA4C12">
              <w:rPr>
                <w:rFonts w:ascii="Arial Narrow" w:hAnsi="Arial Narrow"/>
                <w:sz w:val="24"/>
                <w:szCs w:val="24"/>
                <w:lang w:val="af-ZA"/>
              </w:rPr>
              <w:t>“(i)</w:t>
            </w:r>
            <w:r w:rsidR="00A358EF" w:rsidRPr="00EA4C12">
              <w:rPr>
                <w:rFonts w:ascii="Arial Narrow" w:hAnsi="Arial Narrow"/>
                <w:sz w:val="24"/>
                <w:szCs w:val="24"/>
                <w:lang w:val="af-ZA"/>
              </w:rPr>
              <w:t>t has been stated, clearly and often, that an exception that a pleading is vague or embarrassing ought not to be allowed unless the excipient would be seriously prejudiced if the offending allegations were not expunged.”</w:t>
            </w:r>
          </w:p>
          <w:p w:rsidR="00A358EF" w:rsidRPr="00EA4C12" w:rsidRDefault="00A358EF" w:rsidP="00A358EF">
            <w:pPr>
              <w:spacing w:after="0" w:line="360" w:lineRule="auto"/>
              <w:jc w:val="both"/>
              <w:rPr>
                <w:rFonts w:ascii="Arial Narrow" w:hAnsi="Arial Narrow"/>
                <w:sz w:val="24"/>
                <w:szCs w:val="24"/>
                <w:lang w:val="af-ZA"/>
              </w:rPr>
            </w:pPr>
          </w:p>
          <w:p w:rsidR="00FF7F98" w:rsidRPr="00EA4C12" w:rsidRDefault="00FF7F98" w:rsidP="00004A3B">
            <w:pPr>
              <w:spacing w:after="0" w:line="360" w:lineRule="auto"/>
              <w:jc w:val="both"/>
              <w:rPr>
                <w:rFonts w:ascii="Arial Narrow" w:hAnsi="Arial Narrow"/>
                <w:sz w:val="24"/>
                <w:szCs w:val="24"/>
                <w:lang w:val="af-ZA"/>
              </w:rPr>
            </w:pPr>
            <w:r w:rsidRPr="00EA4C12">
              <w:rPr>
                <w:rFonts w:ascii="Arial Narrow" w:hAnsi="Arial Narrow"/>
                <w:sz w:val="24"/>
                <w:szCs w:val="24"/>
                <w:lang w:val="af-ZA"/>
              </w:rPr>
              <w:t xml:space="preserve">[7] </w:t>
            </w:r>
            <w:r w:rsidR="00004A3B" w:rsidRPr="00EA4C12">
              <w:rPr>
                <w:rFonts w:ascii="Arial Narrow" w:hAnsi="Arial Narrow"/>
                <w:sz w:val="24"/>
                <w:szCs w:val="24"/>
                <w:lang w:val="af-ZA"/>
              </w:rPr>
              <w:t xml:space="preserve"> </w:t>
            </w:r>
            <w:r w:rsidR="003A03B8" w:rsidRPr="00EA4C12">
              <w:rPr>
                <w:rFonts w:ascii="Arial Narrow" w:hAnsi="Arial Narrow"/>
                <w:sz w:val="24"/>
                <w:szCs w:val="24"/>
                <w:lang w:val="af-ZA"/>
              </w:rPr>
              <w:t>In Herbstein &amp; V</w:t>
            </w:r>
            <w:r w:rsidR="00E62C5C" w:rsidRPr="00EA4C12">
              <w:rPr>
                <w:rFonts w:ascii="Arial Narrow" w:hAnsi="Arial Narrow"/>
                <w:sz w:val="24"/>
                <w:szCs w:val="24"/>
                <w:lang w:val="af-ZA"/>
              </w:rPr>
              <w:t>an Winsen’s Civil Practice of the High Courts of South Africa</w:t>
            </w:r>
            <w:r w:rsidR="00E62C5C" w:rsidRPr="00EA4C12">
              <w:rPr>
                <w:rStyle w:val="FootnoteReference"/>
                <w:rFonts w:ascii="Arial Narrow" w:hAnsi="Arial Narrow"/>
                <w:sz w:val="24"/>
                <w:szCs w:val="24"/>
                <w:lang w:val="af-ZA"/>
              </w:rPr>
              <w:footnoteReference w:id="4"/>
            </w:r>
            <w:r w:rsidR="00A84959" w:rsidRPr="00EA4C12">
              <w:rPr>
                <w:rFonts w:ascii="Arial Narrow" w:hAnsi="Arial Narrow"/>
                <w:sz w:val="24"/>
                <w:szCs w:val="24"/>
                <w:lang w:val="af-ZA"/>
              </w:rPr>
              <w:t xml:space="preserve"> the authors list general principles relating to an exception taken on the ground that a pleading is vague and embarrassing.  They refer to the judgement given by Heher J in </w:t>
            </w:r>
            <w:r w:rsidR="00A84959" w:rsidRPr="00EA4C12">
              <w:rPr>
                <w:rFonts w:ascii="Arial Narrow" w:hAnsi="Arial Narrow"/>
                <w:i/>
                <w:sz w:val="24"/>
                <w:szCs w:val="24"/>
                <w:lang w:val="af-ZA"/>
              </w:rPr>
              <w:t>Jowell v Bramwell-Jones</w:t>
            </w:r>
            <w:r w:rsidR="00A84959" w:rsidRPr="00EA4C12">
              <w:rPr>
                <w:rStyle w:val="FootnoteReference"/>
                <w:rFonts w:ascii="Arial Narrow" w:hAnsi="Arial Narrow"/>
                <w:i/>
                <w:sz w:val="24"/>
                <w:szCs w:val="24"/>
                <w:lang w:val="af-ZA"/>
              </w:rPr>
              <w:footnoteReference w:id="5"/>
            </w:r>
            <w:r w:rsidR="00A84959" w:rsidRPr="00EA4C12">
              <w:rPr>
                <w:rFonts w:ascii="Arial Narrow" w:hAnsi="Arial Narrow"/>
                <w:i/>
                <w:sz w:val="24"/>
                <w:szCs w:val="24"/>
                <w:lang w:val="af-ZA"/>
              </w:rPr>
              <w:t xml:space="preserve"> </w:t>
            </w:r>
            <w:r w:rsidR="00A84959" w:rsidRPr="00EA4C12">
              <w:rPr>
                <w:rFonts w:ascii="Arial Narrow" w:hAnsi="Arial Narrow"/>
                <w:sz w:val="24"/>
                <w:szCs w:val="24"/>
                <w:lang w:val="af-ZA"/>
              </w:rPr>
              <w:t>and list a number of principles including the following:</w:t>
            </w:r>
          </w:p>
          <w:p w:rsidR="003A03B8" w:rsidRPr="00EA4C12" w:rsidRDefault="003A03B8" w:rsidP="00004A3B">
            <w:pPr>
              <w:spacing w:after="0" w:line="360" w:lineRule="auto"/>
              <w:jc w:val="both"/>
              <w:rPr>
                <w:rFonts w:ascii="Arial Narrow" w:hAnsi="Arial Narrow"/>
                <w:sz w:val="24"/>
                <w:szCs w:val="24"/>
                <w:lang w:val="af-ZA"/>
              </w:rPr>
            </w:pPr>
          </w:p>
          <w:p w:rsidR="00A84959" w:rsidRPr="00EA4C12" w:rsidRDefault="003A03B8" w:rsidP="00004A3B">
            <w:pPr>
              <w:spacing w:after="0" w:line="360" w:lineRule="auto"/>
              <w:jc w:val="both"/>
              <w:rPr>
                <w:rFonts w:ascii="Arial Narrow" w:hAnsi="Arial Narrow"/>
                <w:sz w:val="24"/>
                <w:szCs w:val="24"/>
                <w:lang w:val="af-ZA"/>
              </w:rPr>
            </w:pPr>
            <w:r w:rsidRPr="00EA4C12">
              <w:rPr>
                <w:rFonts w:ascii="Arial Narrow" w:hAnsi="Arial Narrow"/>
                <w:sz w:val="24"/>
                <w:szCs w:val="24"/>
                <w:lang w:val="af-ZA"/>
              </w:rPr>
              <w:t>‘</w:t>
            </w:r>
            <w:r w:rsidR="00A84959" w:rsidRPr="00EA4C12">
              <w:rPr>
                <w:rFonts w:ascii="Arial Narrow" w:hAnsi="Arial Narrow"/>
                <w:sz w:val="24"/>
                <w:szCs w:val="24"/>
                <w:lang w:val="af-ZA"/>
              </w:rPr>
              <w:t>An attach on a pleading as being vague and embarrassing cannot be found on the mere averment of lack of particularity, although a lack of particularity might allow an application in terms of rule 30, which is an entirely different proceedings’ and ‘an exception that a pleading is vague and embarrassing may only bew taken when the vagueness and embarrassment strikes at the ro</w:t>
            </w:r>
            <w:r w:rsidR="004A3E52" w:rsidRPr="00EA4C12">
              <w:rPr>
                <w:rFonts w:ascii="Arial Narrow" w:hAnsi="Arial Narrow"/>
                <w:sz w:val="24"/>
                <w:szCs w:val="24"/>
                <w:lang w:val="af-ZA"/>
              </w:rPr>
              <w:t>ot of the cau</w:t>
            </w:r>
            <w:r w:rsidR="00A84959" w:rsidRPr="00EA4C12">
              <w:rPr>
                <w:rFonts w:ascii="Arial Narrow" w:hAnsi="Arial Narrow"/>
                <w:sz w:val="24"/>
                <w:szCs w:val="24"/>
                <w:lang w:val="af-ZA"/>
              </w:rPr>
              <w:t xml:space="preserve">se of action or the defence.’ </w:t>
            </w:r>
          </w:p>
          <w:p w:rsidR="00A55CBB" w:rsidRPr="00EA4C12" w:rsidRDefault="00A55CBB" w:rsidP="00A55CBB">
            <w:pPr>
              <w:spacing w:after="0" w:line="360" w:lineRule="auto"/>
              <w:jc w:val="both"/>
              <w:rPr>
                <w:rFonts w:ascii="Arial Narrow" w:hAnsi="Arial Narrow"/>
                <w:sz w:val="24"/>
                <w:szCs w:val="24"/>
                <w:lang w:val="af-ZA"/>
              </w:rPr>
            </w:pPr>
          </w:p>
          <w:p w:rsidR="00A55CBB" w:rsidRPr="00EA4C12" w:rsidRDefault="00A358EF" w:rsidP="00A55CBB">
            <w:pPr>
              <w:spacing w:after="0" w:line="360" w:lineRule="auto"/>
              <w:jc w:val="both"/>
              <w:rPr>
                <w:rFonts w:ascii="Arial Narrow" w:hAnsi="Arial Narrow"/>
                <w:sz w:val="24"/>
                <w:szCs w:val="24"/>
                <w:u w:val="single"/>
                <w:lang w:val="af-ZA"/>
              </w:rPr>
            </w:pPr>
            <w:r w:rsidRPr="00EA4C12">
              <w:rPr>
                <w:rFonts w:ascii="Arial Narrow" w:hAnsi="Arial Narrow"/>
                <w:sz w:val="24"/>
                <w:szCs w:val="24"/>
                <w:u w:val="single"/>
                <w:lang w:val="af-ZA"/>
              </w:rPr>
              <w:t>Application</w:t>
            </w:r>
          </w:p>
          <w:p w:rsidR="003A03B8" w:rsidRPr="00EA4C12" w:rsidRDefault="003A03B8" w:rsidP="00A55CBB">
            <w:pPr>
              <w:spacing w:after="0" w:line="360" w:lineRule="auto"/>
              <w:jc w:val="both"/>
              <w:rPr>
                <w:rFonts w:ascii="Arial Narrow" w:hAnsi="Arial Narrow"/>
                <w:sz w:val="24"/>
                <w:szCs w:val="24"/>
                <w:lang w:val="af-ZA"/>
              </w:rPr>
            </w:pPr>
          </w:p>
          <w:p w:rsidR="00102AF7" w:rsidRPr="00EA4C12" w:rsidRDefault="008A63E2" w:rsidP="00A55CBB">
            <w:pPr>
              <w:spacing w:after="0" w:line="360" w:lineRule="auto"/>
              <w:jc w:val="both"/>
              <w:rPr>
                <w:rFonts w:ascii="Arial Narrow" w:hAnsi="Arial Narrow"/>
                <w:sz w:val="24"/>
                <w:szCs w:val="24"/>
                <w:lang w:val="af-ZA"/>
              </w:rPr>
            </w:pPr>
            <w:r w:rsidRPr="00EA4C12">
              <w:rPr>
                <w:rFonts w:ascii="Arial Narrow" w:hAnsi="Arial Narrow"/>
                <w:sz w:val="24"/>
                <w:szCs w:val="24"/>
                <w:lang w:val="af-ZA"/>
              </w:rPr>
              <w:t xml:space="preserve">[8]  </w:t>
            </w:r>
            <w:r w:rsidR="00102AF7" w:rsidRPr="00EA4C12">
              <w:rPr>
                <w:rFonts w:ascii="Arial Narrow" w:hAnsi="Arial Narrow"/>
                <w:sz w:val="24"/>
                <w:szCs w:val="24"/>
                <w:lang w:val="af-ZA"/>
              </w:rPr>
              <w:t>As long as a declaration reasonably states the nature, extent and grounds of the cause of action, the court will not as a rule strike out paragraphs as vague and embarrassing, provided the information given is reasonably sufficient and provided it does not appear to the court that the paragraphs cannot be pleaded to by the defendant</w:t>
            </w:r>
            <w:r w:rsidR="003A03B8" w:rsidRPr="00EA4C12">
              <w:rPr>
                <w:rFonts w:ascii="Arial Narrow" w:hAnsi="Arial Narrow"/>
                <w:sz w:val="24"/>
                <w:szCs w:val="24"/>
                <w:lang w:val="af-ZA"/>
              </w:rPr>
              <w:t>.</w:t>
            </w:r>
            <w:r w:rsidR="00102AF7" w:rsidRPr="00EA4C12">
              <w:rPr>
                <w:rStyle w:val="FootnoteReference"/>
                <w:rFonts w:ascii="Arial Narrow" w:hAnsi="Arial Narrow"/>
                <w:sz w:val="24"/>
                <w:szCs w:val="24"/>
                <w:lang w:val="af-ZA"/>
              </w:rPr>
              <w:footnoteReference w:id="6"/>
            </w:r>
          </w:p>
          <w:p w:rsidR="00102AF7" w:rsidRPr="00EA4C12" w:rsidRDefault="00102AF7" w:rsidP="00A55CBB">
            <w:pPr>
              <w:spacing w:after="0" w:line="360" w:lineRule="auto"/>
              <w:jc w:val="both"/>
              <w:rPr>
                <w:rFonts w:ascii="Arial Narrow" w:hAnsi="Arial Narrow"/>
                <w:sz w:val="24"/>
                <w:szCs w:val="24"/>
                <w:lang w:val="af-ZA"/>
              </w:rPr>
            </w:pPr>
          </w:p>
          <w:p w:rsidR="00A358EF" w:rsidRPr="00EA4C12" w:rsidRDefault="008A63E2" w:rsidP="00A55CBB">
            <w:pPr>
              <w:spacing w:after="0" w:line="360" w:lineRule="auto"/>
              <w:jc w:val="both"/>
              <w:rPr>
                <w:rFonts w:ascii="Arial Narrow" w:hAnsi="Arial Narrow"/>
                <w:sz w:val="24"/>
                <w:szCs w:val="24"/>
                <w:lang w:val="af-ZA"/>
              </w:rPr>
            </w:pPr>
            <w:r w:rsidRPr="00EA4C12">
              <w:rPr>
                <w:rFonts w:ascii="Arial Narrow" w:hAnsi="Arial Narrow"/>
                <w:sz w:val="24"/>
                <w:szCs w:val="24"/>
                <w:lang w:val="af-ZA"/>
              </w:rPr>
              <w:t xml:space="preserve">[9]  </w:t>
            </w:r>
            <w:r w:rsidR="00FF7F98" w:rsidRPr="00EA4C12">
              <w:rPr>
                <w:rFonts w:ascii="Arial Narrow" w:hAnsi="Arial Narrow"/>
                <w:sz w:val="24"/>
                <w:szCs w:val="24"/>
                <w:lang w:val="af-ZA"/>
              </w:rPr>
              <w:t xml:space="preserve">The </w:t>
            </w:r>
            <w:r w:rsidR="003A03B8" w:rsidRPr="00EA4C12">
              <w:rPr>
                <w:rFonts w:ascii="Arial Narrow" w:hAnsi="Arial Narrow"/>
                <w:sz w:val="24"/>
                <w:szCs w:val="24"/>
                <w:lang w:val="af-ZA"/>
              </w:rPr>
              <w:t>r</w:t>
            </w:r>
            <w:r w:rsidR="00A358EF" w:rsidRPr="00EA4C12">
              <w:rPr>
                <w:rFonts w:ascii="Arial Narrow" w:hAnsi="Arial Narrow"/>
                <w:sz w:val="24"/>
                <w:szCs w:val="24"/>
                <w:lang w:val="af-ZA"/>
              </w:rPr>
              <w:t>ule</w:t>
            </w:r>
            <w:r w:rsidR="00FF7F98" w:rsidRPr="00EA4C12">
              <w:rPr>
                <w:rFonts w:ascii="Arial Narrow" w:hAnsi="Arial Narrow"/>
                <w:sz w:val="24"/>
                <w:szCs w:val="24"/>
                <w:lang w:val="af-ZA"/>
              </w:rPr>
              <w:t xml:space="preserve">s </w:t>
            </w:r>
            <w:r w:rsidR="003A03B8" w:rsidRPr="00EA4C12">
              <w:rPr>
                <w:rFonts w:ascii="Arial Narrow" w:hAnsi="Arial Narrow"/>
                <w:sz w:val="24"/>
                <w:szCs w:val="24"/>
                <w:lang w:val="af-ZA"/>
              </w:rPr>
              <w:t>of this c</w:t>
            </w:r>
            <w:r w:rsidR="00A358EF" w:rsidRPr="00EA4C12">
              <w:rPr>
                <w:rFonts w:ascii="Arial Narrow" w:hAnsi="Arial Narrow"/>
                <w:sz w:val="24"/>
                <w:szCs w:val="24"/>
                <w:lang w:val="af-ZA"/>
              </w:rPr>
              <w:t>ourt’s makes provision for a party to request further particulars to any pleadings and if the further particulars are not forthcoming a party can be compelled, by way of an appl</w:t>
            </w:r>
            <w:r w:rsidR="00004A3B" w:rsidRPr="00EA4C12">
              <w:rPr>
                <w:rFonts w:ascii="Arial Narrow" w:hAnsi="Arial Narrow"/>
                <w:sz w:val="24"/>
                <w:szCs w:val="24"/>
                <w:lang w:val="af-ZA"/>
              </w:rPr>
              <w:t xml:space="preserve">ication for further particulars, </w:t>
            </w:r>
            <w:r w:rsidR="00A358EF" w:rsidRPr="00EA4C12">
              <w:rPr>
                <w:rFonts w:ascii="Arial Narrow" w:hAnsi="Arial Narrow"/>
                <w:sz w:val="24"/>
                <w:szCs w:val="24"/>
                <w:lang w:val="af-ZA"/>
              </w:rPr>
              <w:t xml:space="preserve">either to furnish sufficient particulars, or to declare unequivocally that he/she is unable to furnish such. The embarrassment in the present matter can easily be met by a request for further particulars. </w:t>
            </w:r>
          </w:p>
          <w:p w:rsidR="00FF7F98" w:rsidRPr="00EA4C12" w:rsidRDefault="00FF7F98" w:rsidP="00FF7F98">
            <w:pPr>
              <w:spacing w:after="0" w:line="360" w:lineRule="auto"/>
              <w:jc w:val="both"/>
              <w:rPr>
                <w:rFonts w:ascii="Arial Narrow" w:hAnsi="Arial Narrow"/>
                <w:sz w:val="24"/>
                <w:szCs w:val="24"/>
                <w:lang w:val="af-ZA"/>
              </w:rPr>
            </w:pPr>
          </w:p>
          <w:p w:rsidR="004A3E52" w:rsidRPr="00EA4C12" w:rsidRDefault="003951A7" w:rsidP="004A3E52">
            <w:pPr>
              <w:spacing w:after="0" w:line="360" w:lineRule="auto"/>
              <w:jc w:val="both"/>
              <w:rPr>
                <w:rFonts w:ascii="Arial Narrow" w:hAnsi="Arial Narrow"/>
                <w:sz w:val="24"/>
                <w:szCs w:val="24"/>
                <w:lang w:val="af-ZA"/>
              </w:rPr>
            </w:pPr>
            <w:r w:rsidRPr="00EA4C12">
              <w:rPr>
                <w:rFonts w:ascii="Arial Narrow" w:hAnsi="Arial Narrow"/>
                <w:sz w:val="24"/>
                <w:szCs w:val="24"/>
                <w:lang w:val="af-ZA"/>
              </w:rPr>
              <w:t xml:space="preserve">[10]  </w:t>
            </w:r>
            <w:r w:rsidR="004A3E52" w:rsidRPr="00EA4C12">
              <w:rPr>
                <w:rFonts w:ascii="Arial Narrow" w:hAnsi="Arial Narrow"/>
                <w:sz w:val="24"/>
                <w:szCs w:val="24"/>
                <w:lang w:val="af-ZA"/>
              </w:rPr>
              <w:t xml:space="preserve">With regard to the first exception that the </w:t>
            </w:r>
            <w:r w:rsidR="003A03B8" w:rsidRPr="00EA4C12">
              <w:rPr>
                <w:rFonts w:ascii="Arial Narrow" w:hAnsi="Arial Narrow"/>
                <w:sz w:val="24"/>
                <w:szCs w:val="24"/>
                <w:lang w:val="af-ZA"/>
              </w:rPr>
              <w:t>allegations contained in the c</w:t>
            </w:r>
            <w:r w:rsidR="004A3E52" w:rsidRPr="00EA4C12">
              <w:rPr>
                <w:rFonts w:ascii="Arial Narrow" w:hAnsi="Arial Narrow"/>
                <w:sz w:val="24"/>
                <w:szCs w:val="24"/>
                <w:lang w:val="af-ZA"/>
              </w:rPr>
              <w:t xml:space="preserve">ounterclaim are contradictory:  </w:t>
            </w:r>
            <w:r w:rsidR="003A03B8" w:rsidRPr="00EA4C12">
              <w:rPr>
                <w:rFonts w:ascii="Arial Narrow" w:hAnsi="Arial Narrow"/>
                <w:sz w:val="24"/>
                <w:szCs w:val="24"/>
                <w:lang w:val="af-ZA"/>
              </w:rPr>
              <w:t>The P</w:t>
            </w:r>
            <w:r w:rsidR="004A3E52" w:rsidRPr="00EA4C12">
              <w:rPr>
                <w:rFonts w:ascii="Arial Narrow" w:hAnsi="Arial Narrow"/>
                <w:sz w:val="24"/>
                <w:szCs w:val="24"/>
                <w:lang w:val="af-ZA"/>
              </w:rPr>
              <w:t>laintiff itself refers to at least two different premises re</w:t>
            </w:r>
            <w:r w:rsidR="003A03B8" w:rsidRPr="00EA4C12">
              <w:rPr>
                <w:rFonts w:ascii="Arial Narrow" w:hAnsi="Arial Narrow"/>
                <w:sz w:val="24"/>
                <w:szCs w:val="24"/>
                <w:lang w:val="af-ZA"/>
              </w:rPr>
              <w:t>nted by the Defendant from the Plaintiff and the D</w:t>
            </w:r>
            <w:r w:rsidR="004A3E52" w:rsidRPr="00EA4C12">
              <w:rPr>
                <w:rFonts w:ascii="Arial Narrow" w:hAnsi="Arial Narrow"/>
                <w:sz w:val="24"/>
                <w:szCs w:val="24"/>
                <w:lang w:val="af-ZA"/>
              </w:rPr>
              <w:t>efendant explains in its counterclaim how it came about the moves came about.  This allegations is not vague or embarrassing and contains sufficien</w:t>
            </w:r>
            <w:r w:rsidR="003A03B8" w:rsidRPr="00EA4C12">
              <w:rPr>
                <w:rFonts w:ascii="Arial Narrow" w:hAnsi="Arial Narrow"/>
                <w:sz w:val="24"/>
                <w:szCs w:val="24"/>
                <w:lang w:val="af-ZA"/>
              </w:rPr>
              <w:t>t averments that will alow the P</w:t>
            </w:r>
            <w:r w:rsidR="004A3E52" w:rsidRPr="00EA4C12">
              <w:rPr>
                <w:rFonts w:ascii="Arial Narrow" w:hAnsi="Arial Narrow"/>
                <w:sz w:val="24"/>
                <w:szCs w:val="24"/>
                <w:lang w:val="af-ZA"/>
              </w:rPr>
              <w:t>laintiff to formulate a plea.</w:t>
            </w:r>
          </w:p>
          <w:p w:rsidR="004A3E52" w:rsidRPr="00EA4C12" w:rsidRDefault="004A3E52" w:rsidP="004A3E52">
            <w:pPr>
              <w:spacing w:after="0" w:line="360" w:lineRule="auto"/>
              <w:jc w:val="both"/>
              <w:rPr>
                <w:rFonts w:ascii="Arial Narrow" w:hAnsi="Arial Narrow"/>
                <w:sz w:val="24"/>
                <w:szCs w:val="24"/>
                <w:lang w:val="af-ZA"/>
              </w:rPr>
            </w:pPr>
          </w:p>
          <w:p w:rsidR="004A3E52" w:rsidRPr="00EA4C12" w:rsidRDefault="004A3E52" w:rsidP="00FF7F98">
            <w:pPr>
              <w:spacing w:after="0" w:line="360" w:lineRule="auto"/>
              <w:jc w:val="both"/>
              <w:rPr>
                <w:rFonts w:ascii="Arial Narrow" w:hAnsi="Arial Narrow"/>
                <w:sz w:val="24"/>
                <w:szCs w:val="24"/>
                <w:lang w:val="af-ZA"/>
              </w:rPr>
            </w:pPr>
            <w:r w:rsidRPr="00EA4C12">
              <w:rPr>
                <w:rFonts w:ascii="Arial Narrow" w:hAnsi="Arial Narrow"/>
                <w:sz w:val="24"/>
                <w:szCs w:val="24"/>
                <w:lang w:val="af-ZA"/>
              </w:rPr>
              <w:t xml:space="preserve">[11]  </w:t>
            </w:r>
            <w:r w:rsidR="00E84F19" w:rsidRPr="00EA4C12">
              <w:rPr>
                <w:rFonts w:ascii="Arial Narrow" w:hAnsi="Arial Narrow"/>
                <w:sz w:val="24"/>
                <w:szCs w:val="24"/>
                <w:lang w:val="af-ZA"/>
              </w:rPr>
              <w:t xml:space="preserve">The </w:t>
            </w:r>
            <w:r w:rsidR="003A03B8" w:rsidRPr="00EA4C12">
              <w:rPr>
                <w:rFonts w:ascii="Arial Narrow" w:hAnsi="Arial Narrow"/>
                <w:sz w:val="24"/>
                <w:szCs w:val="24"/>
                <w:lang w:val="af-ZA"/>
              </w:rPr>
              <w:t xml:space="preserve">second exception relates to </w:t>
            </w:r>
            <w:r w:rsidR="00E84F19" w:rsidRPr="00EA4C12">
              <w:rPr>
                <w:rFonts w:ascii="Arial Narrow" w:hAnsi="Arial Narrow"/>
                <w:sz w:val="24"/>
                <w:szCs w:val="24"/>
                <w:lang w:val="af-ZA"/>
              </w:rPr>
              <w:t xml:space="preserve">who the persons were who represented the parties when the oral agreements were concluded between the parties. This can not be </w:t>
            </w:r>
            <w:r w:rsidR="003A03B8" w:rsidRPr="00EA4C12">
              <w:rPr>
                <w:rFonts w:ascii="Arial Narrow" w:hAnsi="Arial Narrow"/>
                <w:sz w:val="24"/>
                <w:szCs w:val="24"/>
                <w:lang w:val="af-ZA"/>
              </w:rPr>
              <w:t>raised as an exception as the D</w:t>
            </w:r>
            <w:r w:rsidR="00E84F19" w:rsidRPr="00EA4C12">
              <w:rPr>
                <w:rFonts w:ascii="Arial Narrow" w:hAnsi="Arial Narrow"/>
                <w:sz w:val="24"/>
                <w:szCs w:val="24"/>
                <w:lang w:val="af-ZA"/>
              </w:rPr>
              <w:t>efendant aver</w:t>
            </w:r>
            <w:r w:rsidR="003A03B8" w:rsidRPr="00EA4C12">
              <w:rPr>
                <w:rFonts w:ascii="Arial Narrow" w:hAnsi="Arial Narrow"/>
                <w:sz w:val="24"/>
                <w:szCs w:val="24"/>
                <w:lang w:val="af-ZA"/>
              </w:rPr>
              <w:t xml:space="preserve">ed </w:t>
            </w:r>
            <w:r w:rsidR="00E84F19" w:rsidRPr="00EA4C12">
              <w:rPr>
                <w:rFonts w:ascii="Arial Narrow" w:hAnsi="Arial Narrow"/>
                <w:sz w:val="24"/>
                <w:szCs w:val="24"/>
                <w:lang w:val="af-ZA"/>
              </w:rPr>
              <w:t xml:space="preserve">at all times the </w:t>
            </w:r>
            <w:r w:rsidR="003A03B8" w:rsidRPr="00EA4C12">
              <w:rPr>
                <w:rFonts w:ascii="Arial Narrow" w:hAnsi="Arial Narrow"/>
                <w:sz w:val="24"/>
                <w:szCs w:val="24"/>
                <w:lang w:val="af-ZA"/>
              </w:rPr>
              <w:t>P</w:t>
            </w:r>
            <w:r w:rsidR="00E84F19" w:rsidRPr="00EA4C12">
              <w:rPr>
                <w:rFonts w:ascii="Arial Narrow" w:hAnsi="Arial Narrow"/>
                <w:sz w:val="24"/>
                <w:szCs w:val="24"/>
                <w:lang w:val="af-ZA"/>
              </w:rPr>
              <w:t xml:space="preserve">laintiff was represented by Mr. Hippy Tjivikua and the </w:t>
            </w:r>
            <w:r w:rsidR="003A03B8" w:rsidRPr="00EA4C12">
              <w:rPr>
                <w:rFonts w:ascii="Arial Narrow" w:hAnsi="Arial Narrow"/>
                <w:sz w:val="24"/>
                <w:szCs w:val="24"/>
                <w:lang w:val="af-ZA"/>
              </w:rPr>
              <w:t xml:space="preserve">Defendant </w:t>
            </w:r>
            <w:r w:rsidR="00E84F19" w:rsidRPr="00EA4C12">
              <w:rPr>
                <w:rFonts w:ascii="Arial Narrow" w:hAnsi="Arial Narrow"/>
                <w:sz w:val="24"/>
                <w:szCs w:val="24"/>
                <w:lang w:val="af-ZA"/>
              </w:rPr>
              <w:t xml:space="preserve">by Mr Issy Nakamwe. With regard to the allegation that the </w:t>
            </w:r>
            <w:r w:rsidRPr="00EA4C12">
              <w:rPr>
                <w:rFonts w:ascii="Arial Narrow" w:hAnsi="Arial Narrow"/>
                <w:sz w:val="24"/>
                <w:szCs w:val="24"/>
                <w:lang w:val="af-ZA"/>
              </w:rPr>
              <w:t>date on or period for which these oral agreements were concluded are also unspecific and therefore vague and embarrassing when read with the other</w:t>
            </w:r>
            <w:r w:rsidR="00E84F19" w:rsidRPr="00EA4C12">
              <w:rPr>
                <w:rFonts w:ascii="Arial Narrow" w:hAnsi="Arial Narrow"/>
                <w:sz w:val="24"/>
                <w:szCs w:val="24"/>
                <w:lang w:val="af-ZA"/>
              </w:rPr>
              <w:t xml:space="preserve"> averments of the counterclaim</w:t>
            </w:r>
            <w:r w:rsidR="003A03B8" w:rsidRPr="00EA4C12">
              <w:rPr>
                <w:rFonts w:ascii="Arial Narrow" w:hAnsi="Arial Narrow"/>
                <w:sz w:val="24"/>
                <w:szCs w:val="24"/>
                <w:lang w:val="af-ZA"/>
              </w:rPr>
              <w:t>,</w:t>
            </w:r>
            <w:r w:rsidR="00E84F19" w:rsidRPr="00EA4C12">
              <w:rPr>
                <w:rFonts w:ascii="Arial Narrow" w:hAnsi="Arial Narrow"/>
                <w:sz w:val="24"/>
                <w:szCs w:val="24"/>
                <w:lang w:val="af-ZA"/>
              </w:rPr>
              <w:t xml:space="preserve"> can also not be supported as there is engough information available regarding the periods covered by</w:t>
            </w:r>
            <w:r w:rsidR="003A03B8" w:rsidRPr="00EA4C12">
              <w:rPr>
                <w:rFonts w:ascii="Arial Narrow" w:hAnsi="Arial Narrow"/>
                <w:sz w:val="24"/>
                <w:szCs w:val="24"/>
                <w:lang w:val="af-ZA"/>
              </w:rPr>
              <w:t xml:space="preserve"> these agreements to allow the P</w:t>
            </w:r>
            <w:r w:rsidR="00E84F19" w:rsidRPr="00EA4C12">
              <w:rPr>
                <w:rFonts w:ascii="Arial Narrow" w:hAnsi="Arial Narrow"/>
                <w:sz w:val="24"/>
                <w:szCs w:val="24"/>
                <w:lang w:val="af-ZA"/>
              </w:rPr>
              <w:t>laintiff to plea.</w:t>
            </w:r>
            <w:r w:rsidRPr="00EA4C12">
              <w:rPr>
                <w:rFonts w:ascii="Arial Narrow" w:hAnsi="Arial Narrow"/>
                <w:sz w:val="24"/>
                <w:szCs w:val="24"/>
                <w:lang w:val="af-ZA"/>
              </w:rPr>
              <w:t xml:space="preserve"> </w:t>
            </w:r>
          </w:p>
          <w:p w:rsidR="00E84F19" w:rsidRPr="00EA4C12" w:rsidRDefault="00E84F19" w:rsidP="00FF7F98">
            <w:pPr>
              <w:spacing w:after="0" w:line="360" w:lineRule="auto"/>
              <w:jc w:val="both"/>
              <w:rPr>
                <w:rFonts w:ascii="Arial Narrow" w:hAnsi="Arial Narrow"/>
                <w:sz w:val="24"/>
                <w:szCs w:val="24"/>
                <w:lang w:val="af-ZA"/>
              </w:rPr>
            </w:pPr>
          </w:p>
          <w:p w:rsidR="00FF7F98" w:rsidRPr="00EA4C12" w:rsidRDefault="00E84F19" w:rsidP="00FF7F98">
            <w:pPr>
              <w:spacing w:after="0" w:line="360" w:lineRule="auto"/>
              <w:jc w:val="both"/>
              <w:rPr>
                <w:rFonts w:ascii="Arial Narrow" w:hAnsi="Arial Narrow"/>
                <w:sz w:val="24"/>
                <w:szCs w:val="24"/>
                <w:lang w:val="af-ZA"/>
              </w:rPr>
            </w:pPr>
            <w:r w:rsidRPr="00EA4C12">
              <w:rPr>
                <w:rFonts w:ascii="Arial Narrow" w:hAnsi="Arial Narrow"/>
                <w:sz w:val="24"/>
                <w:szCs w:val="24"/>
                <w:lang w:val="af-ZA"/>
              </w:rPr>
              <w:t xml:space="preserve">[12]  </w:t>
            </w:r>
            <w:r w:rsidR="00FF7F98" w:rsidRPr="00EA4C12">
              <w:rPr>
                <w:rFonts w:ascii="Arial Narrow" w:hAnsi="Arial Narrow"/>
                <w:sz w:val="24"/>
                <w:szCs w:val="24"/>
                <w:lang w:val="af-ZA"/>
              </w:rPr>
              <w:t>Rule 45(9)</w:t>
            </w:r>
            <w:r w:rsidR="00004A3B" w:rsidRPr="00EA4C12">
              <w:rPr>
                <w:rFonts w:ascii="Arial Narrow" w:hAnsi="Arial Narrow"/>
                <w:sz w:val="24"/>
                <w:szCs w:val="24"/>
                <w:lang w:val="af-ZA"/>
              </w:rPr>
              <w:t xml:space="preserve"> however </w:t>
            </w:r>
            <w:r w:rsidR="00FF7F98" w:rsidRPr="00EA4C12">
              <w:rPr>
                <w:rFonts w:ascii="Arial Narrow" w:hAnsi="Arial Narrow"/>
                <w:sz w:val="24"/>
                <w:szCs w:val="24"/>
                <w:lang w:val="af-ZA"/>
              </w:rPr>
              <w:t xml:space="preserve">reads that </w:t>
            </w:r>
            <w:r w:rsidR="00FF7F98" w:rsidRPr="00EA4C12">
              <w:rPr>
                <w:rFonts w:ascii="Arial Narrow" w:hAnsi="Arial Narrow"/>
                <w:lang w:val="af-ZA"/>
              </w:rPr>
              <w:t>‘(a) plaintiff suing for damages must set them out in such a manner as will enable the defendant reasonably to assess the quantum thereof.</w:t>
            </w:r>
            <w:r w:rsidR="00FF7F98" w:rsidRPr="00EA4C12">
              <w:rPr>
                <w:rFonts w:ascii="Arial Narrow" w:hAnsi="Arial Narrow"/>
                <w:sz w:val="24"/>
                <w:szCs w:val="24"/>
                <w:lang w:val="af-ZA"/>
              </w:rPr>
              <w:t>’</w:t>
            </w:r>
            <w:r w:rsidR="003A03B8" w:rsidRPr="00EA4C12">
              <w:rPr>
                <w:rFonts w:ascii="Arial Narrow" w:hAnsi="Arial Narrow"/>
                <w:sz w:val="24"/>
                <w:szCs w:val="24"/>
                <w:lang w:val="af-ZA"/>
              </w:rPr>
              <w:t xml:space="preserve">  The allegation by the Defendant in his counter</w:t>
            </w:r>
            <w:r w:rsidR="00244FB0" w:rsidRPr="00EA4C12">
              <w:rPr>
                <w:rFonts w:ascii="Arial Narrow" w:hAnsi="Arial Narrow"/>
                <w:sz w:val="24"/>
                <w:szCs w:val="24"/>
                <w:lang w:val="af-ZA"/>
              </w:rPr>
              <w:t>claim in this i</w:t>
            </w:r>
            <w:r w:rsidR="003A03B8" w:rsidRPr="00EA4C12">
              <w:rPr>
                <w:rFonts w:ascii="Arial Narrow" w:hAnsi="Arial Narrow"/>
                <w:sz w:val="24"/>
                <w:szCs w:val="24"/>
                <w:lang w:val="af-ZA"/>
              </w:rPr>
              <w:t>nstance only reads as follows:</w:t>
            </w:r>
          </w:p>
          <w:p w:rsidR="003A03B8" w:rsidRPr="00EA4C12" w:rsidRDefault="003A03B8" w:rsidP="00FF7F98">
            <w:pPr>
              <w:spacing w:after="0" w:line="360" w:lineRule="auto"/>
              <w:jc w:val="both"/>
              <w:rPr>
                <w:rFonts w:ascii="Arial Narrow" w:hAnsi="Arial Narrow"/>
                <w:sz w:val="24"/>
                <w:szCs w:val="24"/>
                <w:lang w:val="af-ZA"/>
              </w:rPr>
            </w:pPr>
          </w:p>
          <w:p w:rsidR="00244FB0" w:rsidRPr="00EA4C12" w:rsidRDefault="003A03B8" w:rsidP="00FF7F98">
            <w:pPr>
              <w:spacing w:after="0" w:line="360" w:lineRule="auto"/>
              <w:jc w:val="both"/>
              <w:rPr>
                <w:rFonts w:ascii="Arial Narrow" w:hAnsi="Arial Narrow"/>
                <w:sz w:val="24"/>
                <w:szCs w:val="24"/>
                <w:lang w:val="af-ZA"/>
              </w:rPr>
            </w:pPr>
            <w:r w:rsidRPr="00EA4C12">
              <w:rPr>
                <w:rFonts w:ascii="Arial Narrow" w:hAnsi="Arial Narrow"/>
                <w:sz w:val="24"/>
                <w:szCs w:val="24"/>
                <w:lang w:val="af-ZA"/>
              </w:rPr>
              <w:t>‘</w:t>
            </w:r>
            <w:r w:rsidR="00244FB0" w:rsidRPr="00EA4C12">
              <w:rPr>
                <w:rFonts w:ascii="Arial Narrow" w:hAnsi="Arial Narrow"/>
                <w:sz w:val="24"/>
                <w:szCs w:val="24"/>
                <w:lang w:val="af-ZA"/>
              </w:rPr>
              <w:t>The total costs of the renovation</w:t>
            </w:r>
            <w:r w:rsidR="00E62C5C" w:rsidRPr="00EA4C12">
              <w:rPr>
                <w:rFonts w:ascii="Arial Narrow" w:hAnsi="Arial Narrow"/>
                <w:sz w:val="24"/>
                <w:szCs w:val="24"/>
                <w:lang w:val="af-ZA"/>
              </w:rPr>
              <w:t xml:space="preserve">s amounted to N$30 00’ and </w:t>
            </w:r>
            <w:r w:rsidR="00244FB0" w:rsidRPr="00EA4C12">
              <w:rPr>
                <w:rFonts w:ascii="Arial Narrow" w:hAnsi="Arial Narrow"/>
                <w:sz w:val="24"/>
                <w:szCs w:val="24"/>
                <w:lang w:val="af-ZA"/>
              </w:rPr>
              <w:t>‘The defendnat has lost business totaling N$60 000.00.  This is as a direct reslult of the unlawful actions of the plaint</w:t>
            </w:r>
            <w:r w:rsidRPr="00EA4C12">
              <w:rPr>
                <w:rFonts w:ascii="Arial Narrow" w:hAnsi="Arial Narrow"/>
                <w:sz w:val="24"/>
                <w:szCs w:val="24"/>
                <w:lang w:val="af-ZA"/>
              </w:rPr>
              <w:t xml:space="preserve">iff by locking out defendant. </w:t>
            </w:r>
            <w:r w:rsidR="00244FB0" w:rsidRPr="00EA4C12">
              <w:rPr>
                <w:rFonts w:ascii="Arial Narrow" w:hAnsi="Arial Narrow"/>
                <w:sz w:val="24"/>
                <w:szCs w:val="24"/>
                <w:lang w:val="af-ZA"/>
              </w:rPr>
              <w:t xml:space="preserve">It is not clear how the above </w:t>
            </w:r>
            <w:r w:rsidR="00E62C5C" w:rsidRPr="00EA4C12">
              <w:rPr>
                <w:rFonts w:ascii="Arial Narrow" w:hAnsi="Arial Narrow"/>
                <w:sz w:val="24"/>
                <w:szCs w:val="24"/>
                <w:lang w:val="af-ZA"/>
              </w:rPr>
              <w:t xml:space="preserve">costs and </w:t>
            </w:r>
            <w:r w:rsidR="00244FB0" w:rsidRPr="00EA4C12">
              <w:rPr>
                <w:rFonts w:ascii="Arial Narrow" w:hAnsi="Arial Narrow"/>
                <w:sz w:val="24"/>
                <w:szCs w:val="24"/>
                <w:lang w:val="af-ZA"/>
              </w:rPr>
              <w:t xml:space="preserve">damages are calculated </w:t>
            </w:r>
            <w:r w:rsidR="004A3E52" w:rsidRPr="00EA4C12">
              <w:rPr>
                <w:rFonts w:ascii="Arial Narrow" w:hAnsi="Arial Narrow"/>
                <w:sz w:val="24"/>
                <w:szCs w:val="24"/>
                <w:lang w:val="af-ZA"/>
              </w:rPr>
              <w:t>but when deciding</w:t>
            </w:r>
            <w:r w:rsidR="00E62C5C" w:rsidRPr="00EA4C12">
              <w:rPr>
                <w:rFonts w:ascii="Arial Narrow" w:hAnsi="Arial Narrow"/>
                <w:sz w:val="24"/>
                <w:szCs w:val="24"/>
                <w:lang w:val="af-ZA"/>
              </w:rPr>
              <w:t xml:space="preserve"> whether an exception against these averments should be upheld</w:t>
            </w:r>
            <w:r w:rsidR="004A3E52" w:rsidRPr="00EA4C12">
              <w:rPr>
                <w:rFonts w:ascii="Arial Narrow" w:hAnsi="Arial Narrow"/>
                <w:sz w:val="24"/>
                <w:szCs w:val="24"/>
                <w:lang w:val="af-ZA"/>
              </w:rPr>
              <w:t>, the court concludes that these particularities can be cured and does not ‘strike at the root of the cause’</w:t>
            </w:r>
            <w:r w:rsidR="00E84F19" w:rsidRPr="00EA4C12">
              <w:rPr>
                <w:rFonts w:ascii="Arial Narrow" w:hAnsi="Arial Narrow"/>
                <w:sz w:val="24"/>
                <w:szCs w:val="24"/>
                <w:lang w:val="af-ZA"/>
              </w:rPr>
              <w:t>.</w:t>
            </w:r>
            <w:r w:rsidR="00E62C5C" w:rsidRPr="00EA4C12">
              <w:rPr>
                <w:rFonts w:ascii="Arial Narrow" w:hAnsi="Arial Narrow"/>
                <w:sz w:val="24"/>
                <w:szCs w:val="24"/>
                <w:lang w:val="af-ZA"/>
              </w:rPr>
              <w:t xml:space="preserve"> </w:t>
            </w:r>
          </w:p>
          <w:p w:rsidR="00A55CBB" w:rsidRPr="00EA4C12" w:rsidRDefault="00A55CBB" w:rsidP="00A55CBB">
            <w:pPr>
              <w:spacing w:after="0" w:line="360" w:lineRule="auto"/>
              <w:jc w:val="both"/>
              <w:rPr>
                <w:rFonts w:ascii="Arial Narrow" w:hAnsi="Arial Narrow"/>
                <w:sz w:val="24"/>
                <w:szCs w:val="24"/>
                <w:lang w:val="en-US"/>
              </w:rPr>
            </w:pPr>
          </w:p>
          <w:p w:rsidR="008A7EF2" w:rsidRPr="00EA4C12" w:rsidRDefault="00190BB3" w:rsidP="00197241">
            <w:pPr>
              <w:tabs>
                <w:tab w:val="left" w:pos="701"/>
                <w:tab w:val="left" w:pos="1126"/>
              </w:tabs>
              <w:spacing w:after="0" w:line="360" w:lineRule="auto"/>
              <w:jc w:val="both"/>
              <w:rPr>
                <w:rFonts w:ascii="Arial Narrow" w:hAnsi="Arial Narrow"/>
                <w:sz w:val="24"/>
                <w:szCs w:val="24"/>
                <w:lang w:val="en-US"/>
              </w:rPr>
            </w:pPr>
            <w:r w:rsidRPr="00EA4C12">
              <w:rPr>
                <w:rFonts w:ascii="Arial Narrow" w:hAnsi="Arial Narrow"/>
                <w:sz w:val="24"/>
                <w:szCs w:val="24"/>
                <w:lang w:val="en-US"/>
              </w:rPr>
              <w:t xml:space="preserve">In the result, </w:t>
            </w:r>
            <w:r w:rsidR="00BF724C" w:rsidRPr="00EA4C12">
              <w:rPr>
                <w:rFonts w:ascii="Arial Narrow" w:hAnsi="Arial Narrow"/>
                <w:sz w:val="24"/>
                <w:szCs w:val="24"/>
                <w:lang w:val="en-US"/>
              </w:rPr>
              <w:t>I make the following or</w:t>
            </w:r>
            <w:r w:rsidR="00197241" w:rsidRPr="00EA4C12">
              <w:rPr>
                <w:rFonts w:ascii="Arial Narrow" w:hAnsi="Arial Narrow"/>
                <w:sz w:val="24"/>
                <w:szCs w:val="24"/>
                <w:lang w:val="en-US"/>
              </w:rPr>
              <w:t>der</w:t>
            </w:r>
            <w:r w:rsidR="008B1563" w:rsidRPr="00EA4C12">
              <w:rPr>
                <w:rFonts w:ascii="Arial Narrow" w:hAnsi="Arial Narrow"/>
                <w:sz w:val="24"/>
                <w:szCs w:val="24"/>
                <w:lang w:val="en-US"/>
              </w:rPr>
              <w:tab/>
            </w:r>
          </w:p>
          <w:p w:rsidR="00741741" w:rsidRPr="00EA4C12" w:rsidRDefault="00741741" w:rsidP="003A03B8">
            <w:pPr>
              <w:pStyle w:val="NoSpacing"/>
              <w:numPr>
                <w:ilvl w:val="0"/>
                <w:numId w:val="4"/>
              </w:numPr>
              <w:spacing w:line="360" w:lineRule="auto"/>
              <w:jc w:val="both"/>
              <w:rPr>
                <w:rFonts w:ascii="Arial Narrow" w:hAnsi="Arial Narrow"/>
                <w:color w:val="auto"/>
                <w:sz w:val="24"/>
                <w:lang w:val="af-ZA"/>
              </w:rPr>
            </w:pPr>
            <w:r w:rsidRPr="00EA4C12">
              <w:rPr>
                <w:rFonts w:ascii="Arial Narrow" w:hAnsi="Arial Narrow"/>
                <w:color w:val="auto"/>
                <w:sz w:val="24"/>
                <w:lang w:val="af-ZA"/>
              </w:rPr>
              <w:t xml:space="preserve">The </w:t>
            </w:r>
            <w:r w:rsidR="00E84F19" w:rsidRPr="00EA4C12">
              <w:rPr>
                <w:rFonts w:ascii="Arial Narrow" w:hAnsi="Arial Narrow"/>
                <w:color w:val="auto"/>
                <w:sz w:val="24"/>
                <w:lang w:val="af-ZA"/>
              </w:rPr>
              <w:t>exceptions are dismissed.</w:t>
            </w:r>
          </w:p>
          <w:p w:rsidR="00E84F19" w:rsidRPr="00EA4C12" w:rsidRDefault="00E84F19" w:rsidP="003A03B8">
            <w:pPr>
              <w:pStyle w:val="NoSpacing"/>
              <w:numPr>
                <w:ilvl w:val="0"/>
                <w:numId w:val="4"/>
              </w:numPr>
              <w:spacing w:line="360" w:lineRule="auto"/>
              <w:jc w:val="both"/>
              <w:rPr>
                <w:rFonts w:ascii="Arial Narrow" w:hAnsi="Arial Narrow"/>
                <w:color w:val="auto"/>
                <w:sz w:val="24"/>
                <w:lang w:val="af-ZA"/>
              </w:rPr>
            </w:pPr>
            <w:r w:rsidRPr="00EA4C12">
              <w:rPr>
                <w:rFonts w:ascii="Arial Narrow" w:hAnsi="Arial Narrow"/>
                <w:color w:val="auto"/>
                <w:sz w:val="24"/>
                <w:lang w:val="af-ZA"/>
              </w:rPr>
              <w:t>Costs of the</w:t>
            </w:r>
            <w:r w:rsidR="003A03B8" w:rsidRPr="00EA4C12">
              <w:rPr>
                <w:rFonts w:ascii="Arial Narrow" w:hAnsi="Arial Narrow"/>
                <w:color w:val="auto"/>
                <w:sz w:val="24"/>
                <w:lang w:val="af-ZA"/>
              </w:rPr>
              <w:t xml:space="preserve"> application is awarded to the D</w:t>
            </w:r>
            <w:r w:rsidRPr="00EA4C12">
              <w:rPr>
                <w:rFonts w:ascii="Arial Narrow" w:hAnsi="Arial Narrow"/>
                <w:color w:val="auto"/>
                <w:sz w:val="24"/>
                <w:lang w:val="af-ZA"/>
              </w:rPr>
              <w:t>efendant.</w:t>
            </w:r>
          </w:p>
          <w:p w:rsidR="00E84F19" w:rsidRPr="00EA4C12" w:rsidRDefault="00E84F19" w:rsidP="00E84F19">
            <w:pPr>
              <w:pStyle w:val="NoSpacing"/>
              <w:spacing w:line="360" w:lineRule="auto"/>
              <w:jc w:val="both"/>
              <w:rPr>
                <w:rFonts w:ascii="Arial Narrow" w:hAnsi="Arial Narrow"/>
                <w:color w:val="auto"/>
                <w:sz w:val="24"/>
                <w:lang w:val="af-ZA"/>
              </w:rPr>
            </w:pPr>
          </w:p>
          <w:p w:rsidR="00E84F19" w:rsidRPr="00EA4C12" w:rsidRDefault="00E84F19" w:rsidP="00E84F19">
            <w:pPr>
              <w:pStyle w:val="NoSpacing"/>
              <w:spacing w:line="360" w:lineRule="auto"/>
              <w:jc w:val="both"/>
              <w:rPr>
                <w:rFonts w:ascii="Arial Narrow" w:hAnsi="Arial Narrow"/>
                <w:color w:val="auto"/>
                <w:sz w:val="24"/>
                <w:lang w:val="af-ZA"/>
              </w:rPr>
            </w:pPr>
          </w:p>
          <w:p w:rsidR="00950676" w:rsidRPr="00EA4C12" w:rsidRDefault="00950676" w:rsidP="004667E3">
            <w:pPr>
              <w:spacing w:line="360" w:lineRule="auto"/>
              <w:jc w:val="right"/>
              <w:rPr>
                <w:rFonts w:ascii="Arial Narrow" w:hAnsi="Arial Narrow" w:cs="Arial"/>
                <w:sz w:val="24"/>
              </w:rPr>
            </w:pPr>
            <w:r w:rsidRPr="00EA4C12">
              <w:rPr>
                <w:rFonts w:ascii="Arial Narrow" w:hAnsi="Arial Narrow" w:cs="Arial"/>
                <w:sz w:val="24"/>
              </w:rPr>
              <w:t>____________</w:t>
            </w:r>
          </w:p>
          <w:p w:rsidR="00950676" w:rsidRPr="00EA4C12" w:rsidRDefault="002E76C8" w:rsidP="004667E3">
            <w:pPr>
              <w:spacing w:line="360" w:lineRule="auto"/>
              <w:jc w:val="right"/>
              <w:rPr>
                <w:rFonts w:ascii="Arial Narrow" w:hAnsi="Arial Narrow" w:cs="Arial"/>
                <w:sz w:val="24"/>
              </w:rPr>
            </w:pPr>
            <w:r w:rsidRPr="00EA4C12">
              <w:rPr>
                <w:rFonts w:ascii="Arial Narrow" w:hAnsi="Arial Narrow" w:cs="Arial"/>
                <w:sz w:val="24"/>
              </w:rPr>
              <w:t>E Rakow</w:t>
            </w:r>
          </w:p>
          <w:p w:rsidR="00950676" w:rsidRPr="00EA4C12" w:rsidRDefault="00950676" w:rsidP="004667E3">
            <w:pPr>
              <w:spacing w:line="360" w:lineRule="auto"/>
              <w:jc w:val="right"/>
              <w:rPr>
                <w:rFonts w:ascii="Arial Narrow" w:hAnsi="Arial Narrow" w:cs="Arial"/>
                <w:sz w:val="24"/>
              </w:rPr>
            </w:pPr>
            <w:r w:rsidRPr="00EA4C12">
              <w:rPr>
                <w:rFonts w:ascii="Arial Narrow" w:hAnsi="Arial Narrow" w:cs="Arial"/>
                <w:sz w:val="24"/>
              </w:rPr>
              <w:t>Acting Judge</w:t>
            </w:r>
          </w:p>
          <w:p w:rsidR="00950676" w:rsidRPr="00EA4C12" w:rsidRDefault="00950676" w:rsidP="004667E3">
            <w:pPr>
              <w:spacing w:line="360" w:lineRule="auto"/>
              <w:jc w:val="both"/>
              <w:rPr>
                <w:rFonts w:ascii="Arial Narrow" w:hAnsi="Arial Narrow"/>
                <w:sz w:val="24"/>
                <w:szCs w:val="24"/>
                <w:shd w:val="clear" w:color="auto" w:fill="FFFFFF"/>
              </w:rPr>
            </w:pPr>
          </w:p>
        </w:tc>
      </w:tr>
      <w:tr w:rsidR="00EA4C12" w:rsidRPr="00EA4C12" w:rsidTr="004667E3">
        <w:tc>
          <w:tcPr>
            <w:tcW w:w="4770" w:type="dxa"/>
          </w:tcPr>
          <w:p w:rsidR="00950676" w:rsidRPr="00EA4C12" w:rsidRDefault="00950676" w:rsidP="004667E3">
            <w:pPr>
              <w:spacing w:line="360" w:lineRule="auto"/>
              <w:jc w:val="center"/>
              <w:rPr>
                <w:rFonts w:ascii="Arial Narrow" w:hAnsi="Arial Narrow" w:cs="Arial"/>
                <w:b/>
                <w:sz w:val="24"/>
                <w:szCs w:val="24"/>
              </w:rPr>
            </w:pPr>
            <w:r w:rsidRPr="00EA4C12">
              <w:rPr>
                <w:rFonts w:ascii="Arial Narrow" w:hAnsi="Arial Narrow" w:cs="Arial"/>
                <w:b/>
                <w:sz w:val="24"/>
                <w:szCs w:val="24"/>
              </w:rPr>
              <w:lastRenderedPageBreak/>
              <w:t>Judge’s signature</w:t>
            </w:r>
          </w:p>
        </w:tc>
        <w:tc>
          <w:tcPr>
            <w:tcW w:w="4950" w:type="dxa"/>
            <w:gridSpan w:val="2"/>
          </w:tcPr>
          <w:p w:rsidR="00950676" w:rsidRPr="00EA4C12" w:rsidRDefault="00950676" w:rsidP="004667E3">
            <w:pPr>
              <w:spacing w:line="360" w:lineRule="auto"/>
              <w:jc w:val="center"/>
              <w:rPr>
                <w:rFonts w:ascii="Arial Narrow" w:hAnsi="Arial Narrow" w:cs="Arial"/>
                <w:b/>
                <w:sz w:val="24"/>
                <w:szCs w:val="24"/>
              </w:rPr>
            </w:pPr>
            <w:r w:rsidRPr="00EA4C12">
              <w:rPr>
                <w:rFonts w:ascii="Arial Narrow" w:hAnsi="Arial Narrow" w:cs="Arial"/>
                <w:b/>
                <w:sz w:val="24"/>
                <w:szCs w:val="24"/>
              </w:rPr>
              <w:t>Note to the parties:</w:t>
            </w:r>
          </w:p>
        </w:tc>
      </w:tr>
      <w:tr w:rsidR="00EA4C12" w:rsidRPr="00EA4C12" w:rsidTr="004667E3">
        <w:trPr>
          <w:trHeight w:val="1114"/>
        </w:trPr>
        <w:tc>
          <w:tcPr>
            <w:tcW w:w="4770" w:type="dxa"/>
          </w:tcPr>
          <w:p w:rsidR="00950676" w:rsidRPr="00EA4C12" w:rsidRDefault="00950676" w:rsidP="004667E3">
            <w:pPr>
              <w:spacing w:line="360" w:lineRule="auto"/>
              <w:jc w:val="both"/>
              <w:rPr>
                <w:rFonts w:ascii="Arial Narrow" w:hAnsi="Arial Narrow" w:cs="Arial"/>
                <w:sz w:val="24"/>
                <w:szCs w:val="24"/>
              </w:rPr>
            </w:pPr>
          </w:p>
        </w:tc>
        <w:tc>
          <w:tcPr>
            <w:tcW w:w="4950" w:type="dxa"/>
            <w:gridSpan w:val="2"/>
          </w:tcPr>
          <w:p w:rsidR="00950676" w:rsidRPr="00EA4C12" w:rsidRDefault="00950676" w:rsidP="004667E3">
            <w:pPr>
              <w:spacing w:line="360" w:lineRule="auto"/>
              <w:jc w:val="both"/>
              <w:rPr>
                <w:rFonts w:ascii="Arial Narrow" w:hAnsi="Arial Narrow" w:cs="Arial"/>
                <w:sz w:val="24"/>
                <w:szCs w:val="24"/>
              </w:rPr>
            </w:pPr>
            <w:r w:rsidRPr="00EA4C12">
              <w:rPr>
                <w:rFonts w:ascii="Arial Narrow" w:hAnsi="Arial Narrow" w:cs="Arial"/>
                <w:sz w:val="24"/>
                <w:szCs w:val="24"/>
              </w:rPr>
              <w:t>Not applicable.</w:t>
            </w:r>
          </w:p>
        </w:tc>
      </w:tr>
      <w:tr w:rsidR="00EA4C12" w:rsidRPr="00EA4C12" w:rsidTr="004667E3">
        <w:tc>
          <w:tcPr>
            <w:tcW w:w="9720" w:type="dxa"/>
            <w:gridSpan w:val="3"/>
          </w:tcPr>
          <w:p w:rsidR="00950676" w:rsidRPr="00EA4C12" w:rsidRDefault="00950676" w:rsidP="004667E3">
            <w:pPr>
              <w:spacing w:line="360" w:lineRule="auto"/>
              <w:jc w:val="center"/>
              <w:rPr>
                <w:rFonts w:ascii="Arial Narrow" w:hAnsi="Arial Narrow" w:cs="Arial"/>
                <w:b/>
                <w:sz w:val="24"/>
                <w:szCs w:val="24"/>
              </w:rPr>
            </w:pPr>
            <w:r w:rsidRPr="00EA4C12">
              <w:rPr>
                <w:rFonts w:ascii="Arial Narrow" w:hAnsi="Arial Narrow" w:cs="Arial"/>
                <w:b/>
                <w:sz w:val="24"/>
                <w:szCs w:val="24"/>
              </w:rPr>
              <w:t>Counsel:</w:t>
            </w:r>
          </w:p>
        </w:tc>
      </w:tr>
      <w:tr w:rsidR="00EA4C12" w:rsidRPr="00EA4C12" w:rsidTr="004667E3">
        <w:tc>
          <w:tcPr>
            <w:tcW w:w="4770" w:type="dxa"/>
          </w:tcPr>
          <w:p w:rsidR="00950676" w:rsidRPr="00EA4C12" w:rsidRDefault="00950676" w:rsidP="004667E3">
            <w:pPr>
              <w:spacing w:line="360" w:lineRule="auto"/>
              <w:jc w:val="center"/>
              <w:rPr>
                <w:rFonts w:ascii="Arial Narrow" w:hAnsi="Arial Narrow" w:cs="Arial"/>
                <w:b/>
                <w:sz w:val="24"/>
                <w:szCs w:val="24"/>
              </w:rPr>
            </w:pPr>
            <w:r w:rsidRPr="00EA4C12">
              <w:rPr>
                <w:rFonts w:ascii="Arial Narrow" w:hAnsi="Arial Narrow" w:cs="Arial"/>
                <w:b/>
                <w:sz w:val="24"/>
                <w:szCs w:val="24"/>
              </w:rPr>
              <w:t>Applicant</w:t>
            </w:r>
            <w:r w:rsidR="00190BB3" w:rsidRPr="00EA4C12">
              <w:rPr>
                <w:rFonts w:ascii="Arial Narrow" w:hAnsi="Arial Narrow" w:cs="Arial"/>
                <w:b/>
                <w:sz w:val="24"/>
                <w:szCs w:val="24"/>
              </w:rPr>
              <w:t>s</w:t>
            </w:r>
          </w:p>
        </w:tc>
        <w:tc>
          <w:tcPr>
            <w:tcW w:w="4950" w:type="dxa"/>
            <w:gridSpan w:val="2"/>
          </w:tcPr>
          <w:p w:rsidR="00950676" w:rsidRPr="00EA4C12" w:rsidRDefault="00950676" w:rsidP="004667E3">
            <w:pPr>
              <w:spacing w:line="360" w:lineRule="auto"/>
              <w:jc w:val="center"/>
              <w:rPr>
                <w:rFonts w:ascii="Arial Narrow" w:hAnsi="Arial Narrow" w:cs="Arial"/>
                <w:b/>
                <w:sz w:val="24"/>
                <w:szCs w:val="24"/>
              </w:rPr>
            </w:pPr>
            <w:r w:rsidRPr="00EA4C12">
              <w:rPr>
                <w:rFonts w:ascii="Arial Narrow" w:hAnsi="Arial Narrow" w:cs="Arial"/>
                <w:b/>
                <w:sz w:val="24"/>
                <w:szCs w:val="24"/>
              </w:rPr>
              <w:t xml:space="preserve"> Respondent</w:t>
            </w:r>
          </w:p>
        </w:tc>
      </w:tr>
      <w:tr w:rsidR="00EA4C12" w:rsidRPr="00EA4C12" w:rsidTr="004667E3">
        <w:tc>
          <w:tcPr>
            <w:tcW w:w="4770" w:type="dxa"/>
          </w:tcPr>
          <w:p w:rsidR="00950676" w:rsidRPr="00EA4C12" w:rsidRDefault="00FF575E" w:rsidP="004667E3">
            <w:pPr>
              <w:spacing w:line="360" w:lineRule="auto"/>
              <w:jc w:val="center"/>
              <w:rPr>
                <w:rFonts w:ascii="Arial Narrow" w:hAnsi="Arial Narrow" w:cs="Arial"/>
                <w:sz w:val="24"/>
                <w:szCs w:val="24"/>
              </w:rPr>
            </w:pPr>
            <w:r w:rsidRPr="00EA4C12">
              <w:rPr>
                <w:rFonts w:ascii="Arial Narrow" w:hAnsi="Arial Narrow" w:cs="Arial"/>
                <w:sz w:val="24"/>
                <w:szCs w:val="24"/>
              </w:rPr>
              <w:t>Mercy Mombeyarara</w:t>
            </w:r>
          </w:p>
          <w:p w:rsidR="00E84F19" w:rsidRPr="00EA4C12" w:rsidRDefault="00E84F19" w:rsidP="004667E3">
            <w:pPr>
              <w:spacing w:line="360" w:lineRule="auto"/>
              <w:jc w:val="center"/>
              <w:rPr>
                <w:rFonts w:ascii="Arial Narrow" w:hAnsi="Arial Narrow" w:cs="Arial"/>
                <w:sz w:val="24"/>
                <w:szCs w:val="24"/>
              </w:rPr>
            </w:pPr>
            <w:r w:rsidRPr="00EA4C12">
              <w:rPr>
                <w:rFonts w:ascii="Arial Narrow" w:hAnsi="Arial Narrow" w:cs="Arial"/>
                <w:sz w:val="24"/>
                <w:szCs w:val="24"/>
              </w:rPr>
              <w:t>Adv. S. S. Makando Chambers</w:t>
            </w:r>
          </w:p>
        </w:tc>
        <w:tc>
          <w:tcPr>
            <w:tcW w:w="4950" w:type="dxa"/>
            <w:gridSpan w:val="2"/>
          </w:tcPr>
          <w:p w:rsidR="00950676" w:rsidRPr="00EA4C12" w:rsidRDefault="00E84F19" w:rsidP="00E84F19">
            <w:pPr>
              <w:spacing w:line="360" w:lineRule="auto"/>
              <w:jc w:val="center"/>
              <w:rPr>
                <w:rFonts w:ascii="Arial Narrow" w:hAnsi="Arial Narrow" w:cs="Arial"/>
                <w:i/>
                <w:sz w:val="24"/>
                <w:szCs w:val="24"/>
              </w:rPr>
            </w:pPr>
            <w:r w:rsidRPr="00EA4C12">
              <w:rPr>
                <w:rFonts w:ascii="Arial Narrow" w:hAnsi="Arial Narrow" w:cs="Arial"/>
                <w:i/>
                <w:sz w:val="24"/>
                <w:szCs w:val="24"/>
              </w:rPr>
              <w:t>In person</w:t>
            </w:r>
          </w:p>
        </w:tc>
      </w:tr>
    </w:tbl>
    <w:p w:rsidR="00627FDD" w:rsidRPr="00EA4C12" w:rsidRDefault="0087657F"/>
    <w:sectPr w:rsidR="00627FDD" w:rsidRPr="00EA4C12" w:rsidSect="003D0BA1">
      <w:headerReference w:type="default" r:id="rId8"/>
      <w:footerReference w:type="default" r:id="rId9"/>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44A" w:rsidRDefault="0039744A">
      <w:pPr>
        <w:spacing w:after="0" w:line="240" w:lineRule="auto"/>
      </w:pPr>
      <w:r>
        <w:separator/>
      </w:r>
    </w:p>
  </w:endnote>
  <w:endnote w:type="continuationSeparator" w:id="0">
    <w:p w:rsidR="0039744A" w:rsidRDefault="0039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8D" w:rsidRDefault="0087657F">
    <w:pPr>
      <w:pStyle w:val="Footer"/>
      <w:jc w:val="right"/>
    </w:pPr>
  </w:p>
  <w:p w:rsidR="00536B8D" w:rsidRDefault="0087657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44A" w:rsidRDefault="0039744A">
      <w:pPr>
        <w:spacing w:after="0" w:line="240" w:lineRule="auto"/>
      </w:pPr>
      <w:r>
        <w:separator/>
      </w:r>
    </w:p>
  </w:footnote>
  <w:footnote w:type="continuationSeparator" w:id="0">
    <w:p w:rsidR="0039744A" w:rsidRDefault="0039744A">
      <w:pPr>
        <w:spacing w:after="0" w:line="240" w:lineRule="auto"/>
      </w:pPr>
      <w:r>
        <w:continuationSeparator/>
      </w:r>
    </w:p>
  </w:footnote>
  <w:footnote w:id="1">
    <w:p w:rsidR="002B2C52" w:rsidRPr="00AD37DD" w:rsidRDefault="002B2C52">
      <w:pPr>
        <w:pStyle w:val="FootnoteText"/>
        <w:rPr>
          <w:rFonts w:ascii="Arial" w:hAnsi="Arial" w:cs="Arial"/>
        </w:rPr>
      </w:pPr>
      <w:r w:rsidRPr="00AD37DD">
        <w:rPr>
          <w:rStyle w:val="FootnoteReference"/>
          <w:rFonts w:ascii="Arial" w:hAnsi="Arial" w:cs="Arial"/>
        </w:rPr>
        <w:footnoteRef/>
      </w:r>
      <w:r w:rsidRPr="00AD37DD">
        <w:rPr>
          <w:rFonts w:ascii="Arial" w:hAnsi="Arial" w:cs="Arial"/>
        </w:rPr>
        <w:t xml:space="preserve"> </w:t>
      </w:r>
      <w:r w:rsidRPr="00AD37DD">
        <w:rPr>
          <w:rFonts w:ascii="Arial" w:hAnsi="Arial" w:cs="Arial"/>
          <w:i/>
        </w:rPr>
        <w:t>Edwards v Woodnutt NO</w:t>
      </w:r>
      <w:r w:rsidRPr="00AD37DD">
        <w:rPr>
          <w:rFonts w:ascii="Arial" w:hAnsi="Arial" w:cs="Arial"/>
        </w:rPr>
        <w:t xml:space="preserve"> 1968 (4) SA 184 (R) at 186</w:t>
      </w:r>
      <w:r w:rsidR="008273FB" w:rsidRPr="00AD37DD">
        <w:rPr>
          <w:rFonts w:ascii="Arial" w:hAnsi="Arial" w:cs="Arial"/>
        </w:rPr>
        <w:t>.</w:t>
      </w:r>
    </w:p>
  </w:footnote>
  <w:footnote w:id="2">
    <w:p w:rsidR="008273FB" w:rsidRPr="008273FB" w:rsidRDefault="008273FB" w:rsidP="008273FB">
      <w:pPr>
        <w:pStyle w:val="FootnoteText"/>
        <w:rPr>
          <w:rFonts w:ascii="Arial" w:hAnsi="Arial" w:cs="Arial"/>
        </w:rPr>
      </w:pPr>
      <w:r w:rsidRPr="008273FB">
        <w:rPr>
          <w:rStyle w:val="FootnoteReference"/>
          <w:rFonts w:ascii="Arial" w:hAnsi="Arial" w:cs="Arial"/>
        </w:rPr>
        <w:footnoteRef/>
      </w:r>
      <w:r w:rsidRPr="008273FB">
        <w:rPr>
          <w:rFonts w:ascii="Arial" w:hAnsi="Arial" w:cs="Arial"/>
        </w:rPr>
        <w:t xml:space="preserve"> 1942 CPD 386 at page 392</w:t>
      </w:r>
      <w:r>
        <w:rPr>
          <w:rFonts w:ascii="Arial" w:hAnsi="Arial" w:cs="Arial"/>
        </w:rPr>
        <w:t>.</w:t>
      </w:r>
    </w:p>
  </w:footnote>
  <w:footnote w:id="3">
    <w:p w:rsidR="00A358EF" w:rsidRPr="008273FB" w:rsidRDefault="00A358EF">
      <w:pPr>
        <w:pStyle w:val="FootnoteText"/>
        <w:rPr>
          <w:rFonts w:ascii="Arial" w:hAnsi="Arial" w:cs="Arial"/>
        </w:rPr>
      </w:pPr>
      <w:r w:rsidRPr="008273FB">
        <w:rPr>
          <w:rStyle w:val="FootnoteReference"/>
          <w:rFonts w:ascii="Arial" w:hAnsi="Arial" w:cs="Arial"/>
        </w:rPr>
        <w:footnoteRef/>
      </w:r>
      <w:r w:rsidRPr="008273FB">
        <w:rPr>
          <w:rFonts w:ascii="Arial" w:hAnsi="Arial" w:cs="Arial"/>
        </w:rPr>
        <w:t xml:space="preserve"> </w:t>
      </w:r>
      <w:r w:rsidR="00EA4C12">
        <w:rPr>
          <w:rFonts w:ascii="Arial" w:hAnsi="Arial" w:cs="Arial"/>
        </w:rPr>
        <w:t>1991 (2) SA 297 (C) at 298A–C.</w:t>
      </w:r>
    </w:p>
  </w:footnote>
  <w:footnote w:id="4">
    <w:p w:rsidR="00E62C5C" w:rsidRPr="008273FB" w:rsidRDefault="00E62C5C">
      <w:pPr>
        <w:pStyle w:val="FootnoteText"/>
        <w:rPr>
          <w:rFonts w:ascii="Arial" w:hAnsi="Arial" w:cs="Arial"/>
        </w:rPr>
      </w:pPr>
      <w:r w:rsidRPr="008273FB">
        <w:rPr>
          <w:rStyle w:val="FootnoteReference"/>
          <w:rFonts w:ascii="Arial" w:hAnsi="Arial" w:cs="Arial"/>
        </w:rPr>
        <w:footnoteRef/>
      </w:r>
      <w:r w:rsidRPr="008273FB">
        <w:rPr>
          <w:rFonts w:ascii="Arial" w:hAnsi="Arial" w:cs="Arial"/>
        </w:rPr>
        <w:t xml:space="preserve"> </w:t>
      </w:r>
      <w:r w:rsidR="00A84959" w:rsidRPr="008273FB">
        <w:rPr>
          <w:rFonts w:ascii="Arial" w:hAnsi="Arial" w:cs="Arial"/>
        </w:rPr>
        <w:t>5</w:t>
      </w:r>
      <w:r w:rsidR="00A84959" w:rsidRPr="008273FB">
        <w:rPr>
          <w:rFonts w:ascii="Arial" w:hAnsi="Arial" w:cs="Arial"/>
          <w:vertAlign w:val="superscript"/>
        </w:rPr>
        <w:t>th</w:t>
      </w:r>
      <w:r w:rsidR="00A84959" w:rsidRPr="008273FB">
        <w:rPr>
          <w:rFonts w:ascii="Arial" w:hAnsi="Arial" w:cs="Arial"/>
        </w:rPr>
        <w:t xml:space="preserve"> edition by Cilliers, Loots and Nel, published by Juta 2009, volume 1 page 634 </w:t>
      </w:r>
      <w:r w:rsidR="00EA4C12">
        <w:rPr>
          <w:rFonts w:ascii="Arial" w:hAnsi="Arial" w:cs="Arial"/>
        </w:rPr>
        <w:t>–</w:t>
      </w:r>
      <w:r w:rsidR="00A84959" w:rsidRPr="008273FB">
        <w:rPr>
          <w:rFonts w:ascii="Arial" w:hAnsi="Arial" w:cs="Arial"/>
        </w:rPr>
        <w:t xml:space="preserve"> 635</w:t>
      </w:r>
      <w:r w:rsidR="00EA4C12">
        <w:rPr>
          <w:rFonts w:ascii="Arial" w:hAnsi="Arial" w:cs="Arial"/>
        </w:rPr>
        <w:t>.</w:t>
      </w:r>
    </w:p>
  </w:footnote>
  <w:footnote w:id="5">
    <w:p w:rsidR="00A84959" w:rsidRPr="008273FB" w:rsidRDefault="00A84959">
      <w:pPr>
        <w:pStyle w:val="FootnoteText"/>
        <w:rPr>
          <w:rFonts w:ascii="Arial" w:hAnsi="Arial" w:cs="Arial"/>
        </w:rPr>
      </w:pPr>
      <w:r w:rsidRPr="008273FB">
        <w:rPr>
          <w:rStyle w:val="FootnoteReference"/>
          <w:rFonts w:ascii="Arial" w:hAnsi="Arial" w:cs="Arial"/>
        </w:rPr>
        <w:footnoteRef/>
      </w:r>
      <w:r w:rsidRPr="008273FB">
        <w:rPr>
          <w:rFonts w:ascii="Arial" w:hAnsi="Arial" w:cs="Arial"/>
        </w:rPr>
        <w:t xml:space="preserve"> 1998 (1) SA 836 (W) </w:t>
      </w:r>
      <w:r w:rsidR="00EA4C12">
        <w:rPr>
          <w:rFonts w:ascii="Arial" w:hAnsi="Arial" w:cs="Arial"/>
        </w:rPr>
        <w:t>.</w:t>
      </w:r>
    </w:p>
  </w:footnote>
  <w:footnote w:id="6">
    <w:p w:rsidR="00102AF7" w:rsidRPr="008273FB" w:rsidRDefault="00102AF7">
      <w:pPr>
        <w:pStyle w:val="FootnoteText"/>
        <w:rPr>
          <w:rFonts w:ascii="Arial" w:hAnsi="Arial" w:cs="Arial"/>
        </w:rPr>
      </w:pPr>
      <w:r w:rsidRPr="008273FB">
        <w:rPr>
          <w:rStyle w:val="FootnoteReference"/>
          <w:rFonts w:ascii="Arial" w:hAnsi="Arial" w:cs="Arial"/>
        </w:rPr>
        <w:footnoteRef/>
      </w:r>
      <w:r w:rsidRPr="008273FB">
        <w:rPr>
          <w:rFonts w:ascii="Arial" w:hAnsi="Arial" w:cs="Arial"/>
        </w:rPr>
        <w:t xml:space="preserve"> </w:t>
      </w:r>
      <w:r w:rsidRPr="008273FB">
        <w:rPr>
          <w:rFonts w:ascii="Arial" w:hAnsi="Arial" w:cs="Arial"/>
          <w:i/>
          <w:lang w:val="en-US"/>
        </w:rPr>
        <w:t>Lockhat and Others v Minister of the Interior</w:t>
      </w:r>
      <w:r w:rsidRPr="008273FB">
        <w:rPr>
          <w:rFonts w:ascii="Arial" w:hAnsi="Arial" w:cs="Arial"/>
          <w:lang w:val="en-US"/>
        </w:rPr>
        <w:t xml:space="preserve"> 1960(3) SA 765 (D) at 777E.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536B8D" w:rsidRDefault="007E39A5">
        <w:pPr>
          <w:pStyle w:val="Header"/>
          <w:jc w:val="right"/>
        </w:pPr>
        <w:r>
          <w:fldChar w:fldCharType="begin"/>
        </w:r>
        <w:r>
          <w:instrText xml:space="preserve"> PAGE   \* MERGEFORMAT </w:instrText>
        </w:r>
        <w:r>
          <w:fldChar w:fldCharType="separate"/>
        </w:r>
        <w:r w:rsidR="0087657F">
          <w:rPr>
            <w:noProof/>
          </w:rPr>
          <w:t>6</w:t>
        </w:r>
        <w:r>
          <w:rPr>
            <w:noProof/>
          </w:rPr>
          <w:fldChar w:fldCharType="end"/>
        </w:r>
      </w:p>
    </w:sdtContent>
  </w:sdt>
  <w:p w:rsidR="00536B8D" w:rsidRDefault="00876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2719"/>
    <w:multiLevelType w:val="hybridMultilevel"/>
    <w:tmpl w:val="7164A29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E6506D7"/>
    <w:multiLevelType w:val="hybridMultilevel"/>
    <w:tmpl w:val="0B02D08A"/>
    <w:lvl w:ilvl="0" w:tplc="327632F6">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D69E1"/>
    <w:multiLevelType w:val="hybridMultilevel"/>
    <w:tmpl w:val="A14C9046"/>
    <w:lvl w:ilvl="0" w:tplc="54F498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F6D1702"/>
    <w:multiLevelType w:val="hybridMultilevel"/>
    <w:tmpl w:val="12B62E16"/>
    <w:lvl w:ilvl="0" w:tplc="17380DDC">
      <w:start w:val="1"/>
      <w:numFmt w:val="lowerLetter"/>
      <w:lvlText w:val="%1)"/>
      <w:lvlJc w:val="left"/>
      <w:pPr>
        <w:ind w:left="945" w:hanging="58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6"/>
    <w:rsid w:val="00004A3B"/>
    <w:rsid w:val="00022CA7"/>
    <w:rsid w:val="00043CFD"/>
    <w:rsid w:val="000C32BA"/>
    <w:rsid w:val="000D4AF7"/>
    <w:rsid w:val="000F1AC4"/>
    <w:rsid w:val="000F2E52"/>
    <w:rsid w:val="00102AF7"/>
    <w:rsid w:val="0013534D"/>
    <w:rsid w:val="00136FA0"/>
    <w:rsid w:val="00145F7E"/>
    <w:rsid w:val="00164F37"/>
    <w:rsid w:val="00165E98"/>
    <w:rsid w:val="00182236"/>
    <w:rsid w:val="00190BB3"/>
    <w:rsid w:val="00195714"/>
    <w:rsid w:val="00197241"/>
    <w:rsid w:val="001A2A1D"/>
    <w:rsid w:val="00240D15"/>
    <w:rsid w:val="00244FB0"/>
    <w:rsid w:val="00260788"/>
    <w:rsid w:val="00294086"/>
    <w:rsid w:val="00297A01"/>
    <w:rsid w:val="002B2C52"/>
    <w:rsid w:val="002B3847"/>
    <w:rsid w:val="002C32C0"/>
    <w:rsid w:val="002D1A8C"/>
    <w:rsid w:val="002E76C8"/>
    <w:rsid w:val="002F0DC6"/>
    <w:rsid w:val="003039A8"/>
    <w:rsid w:val="00341DE7"/>
    <w:rsid w:val="00343FC9"/>
    <w:rsid w:val="00354864"/>
    <w:rsid w:val="0036298C"/>
    <w:rsid w:val="003874C8"/>
    <w:rsid w:val="003951A7"/>
    <w:rsid w:val="00396E53"/>
    <w:rsid w:val="0039744A"/>
    <w:rsid w:val="003A03B8"/>
    <w:rsid w:val="003D0BA1"/>
    <w:rsid w:val="003F2084"/>
    <w:rsid w:val="00445901"/>
    <w:rsid w:val="00476C95"/>
    <w:rsid w:val="004853CF"/>
    <w:rsid w:val="00490A3E"/>
    <w:rsid w:val="004A3E52"/>
    <w:rsid w:val="004B35D6"/>
    <w:rsid w:val="005330BF"/>
    <w:rsid w:val="00566D6F"/>
    <w:rsid w:val="00590CB3"/>
    <w:rsid w:val="005912D1"/>
    <w:rsid w:val="0059507A"/>
    <w:rsid w:val="005B30C1"/>
    <w:rsid w:val="005B5600"/>
    <w:rsid w:val="006058E1"/>
    <w:rsid w:val="00631338"/>
    <w:rsid w:val="006719E5"/>
    <w:rsid w:val="006B37C1"/>
    <w:rsid w:val="006B4B2C"/>
    <w:rsid w:val="006B7A53"/>
    <w:rsid w:val="006D68AE"/>
    <w:rsid w:val="006F4541"/>
    <w:rsid w:val="00714A1C"/>
    <w:rsid w:val="00720682"/>
    <w:rsid w:val="007268DE"/>
    <w:rsid w:val="007311FC"/>
    <w:rsid w:val="00741741"/>
    <w:rsid w:val="00752467"/>
    <w:rsid w:val="00761D89"/>
    <w:rsid w:val="00771BBE"/>
    <w:rsid w:val="007B0F64"/>
    <w:rsid w:val="007E39A5"/>
    <w:rsid w:val="007E5EBF"/>
    <w:rsid w:val="008273FB"/>
    <w:rsid w:val="0084585F"/>
    <w:rsid w:val="0087657F"/>
    <w:rsid w:val="008834B5"/>
    <w:rsid w:val="008A611E"/>
    <w:rsid w:val="008A63E2"/>
    <w:rsid w:val="008A7EF2"/>
    <w:rsid w:val="008B0F26"/>
    <w:rsid w:val="008B1563"/>
    <w:rsid w:val="008B2F23"/>
    <w:rsid w:val="008B3556"/>
    <w:rsid w:val="008B40B5"/>
    <w:rsid w:val="008E1BDB"/>
    <w:rsid w:val="00911788"/>
    <w:rsid w:val="00924050"/>
    <w:rsid w:val="00931FFE"/>
    <w:rsid w:val="00945D60"/>
    <w:rsid w:val="00950676"/>
    <w:rsid w:val="00966141"/>
    <w:rsid w:val="0098758C"/>
    <w:rsid w:val="009A5D1C"/>
    <w:rsid w:val="009B0213"/>
    <w:rsid w:val="009B675D"/>
    <w:rsid w:val="009F3BC1"/>
    <w:rsid w:val="00A358EF"/>
    <w:rsid w:val="00A41781"/>
    <w:rsid w:val="00A42ADF"/>
    <w:rsid w:val="00A55CBB"/>
    <w:rsid w:val="00A84959"/>
    <w:rsid w:val="00AA11C6"/>
    <w:rsid w:val="00AB2084"/>
    <w:rsid w:val="00AD37DD"/>
    <w:rsid w:val="00AD6897"/>
    <w:rsid w:val="00AE69ED"/>
    <w:rsid w:val="00AE79A4"/>
    <w:rsid w:val="00B21E34"/>
    <w:rsid w:val="00B6047C"/>
    <w:rsid w:val="00B707AE"/>
    <w:rsid w:val="00BB2B39"/>
    <w:rsid w:val="00BC6760"/>
    <w:rsid w:val="00BD45CB"/>
    <w:rsid w:val="00BF569E"/>
    <w:rsid w:val="00BF724C"/>
    <w:rsid w:val="00C44DB7"/>
    <w:rsid w:val="00C62860"/>
    <w:rsid w:val="00C73FE1"/>
    <w:rsid w:val="00CB2DD6"/>
    <w:rsid w:val="00CC43C7"/>
    <w:rsid w:val="00CC59C6"/>
    <w:rsid w:val="00D01020"/>
    <w:rsid w:val="00D175BC"/>
    <w:rsid w:val="00D5088E"/>
    <w:rsid w:val="00D71526"/>
    <w:rsid w:val="00D92FF3"/>
    <w:rsid w:val="00DA1B7C"/>
    <w:rsid w:val="00DC0ED4"/>
    <w:rsid w:val="00DC6EEA"/>
    <w:rsid w:val="00DD6F6B"/>
    <w:rsid w:val="00DF36E8"/>
    <w:rsid w:val="00E00AB4"/>
    <w:rsid w:val="00E01384"/>
    <w:rsid w:val="00E05F5D"/>
    <w:rsid w:val="00E1463D"/>
    <w:rsid w:val="00E17A14"/>
    <w:rsid w:val="00E56270"/>
    <w:rsid w:val="00E62C5C"/>
    <w:rsid w:val="00E84F19"/>
    <w:rsid w:val="00E8648C"/>
    <w:rsid w:val="00EA4C12"/>
    <w:rsid w:val="00ED21B5"/>
    <w:rsid w:val="00EF0F06"/>
    <w:rsid w:val="00EF3220"/>
    <w:rsid w:val="00FB001E"/>
    <w:rsid w:val="00FB09C0"/>
    <w:rsid w:val="00FB1202"/>
    <w:rsid w:val="00FB5121"/>
    <w:rsid w:val="00FC137A"/>
    <w:rsid w:val="00FC343F"/>
    <w:rsid w:val="00FC36A6"/>
    <w:rsid w:val="00FD6965"/>
    <w:rsid w:val="00FF575E"/>
    <w:rsid w:val="00FF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0007C-DFA9-4417-95D8-1F85DC24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67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67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76"/>
    <w:rPr>
      <w:lang w:val="en-ZA"/>
    </w:rPr>
  </w:style>
  <w:style w:type="paragraph" w:customStyle="1" w:styleId="form-control-static">
    <w:name w:val="form-control-static"/>
    <w:basedOn w:val="Normal"/>
    <w:rsid w:val="009506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76"/>
    <w:rPr>
      <w:lang w:val="en-ZA"/>
    </w:rPr>
  </w:style>
  <w:style w:type="paragraph" w:styleId="NoSpacing">
    <w:name w:val="No Spacing"/>
    <w:uiPriority w:val="1"/>
    <w:qFormat/>
    <w:rsid w:val="00950676"/>
    <w:pPr>
      <w:spacing w:after="0" w:line="240" w:lineRule="auto"/>
    </w:pPr>
    <w:rPr>
      <w:rFonts w:ascii="Calibri" w:eastAsia="Calibri" w:hAnsi="Calibri" w:cs="Calibri"/>
      <w:color w:val="000000"/>
      <w:lang w:val="en-ZA" w:eastAsia="en-ZA"/>
    </w:rPr>
  </w:style>
  <w:style w:type="paragraph" w:styleId="BalloonText">
    <w:name w:val="Balloon Text"/>
    <w:basedOn w:val="Normal"/>
    <w:link w:val="BalloonTextChar"/>
    <w:uiPriority w:val="99"/>
    <w:semiHidden/>
    <w:unhideWhenUsed/>
    <w:rsid w:val="003D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A1"/>
    <w:rPr>
      <w:rFonts w:ascii="Tahoma" w:hAnsi="Tahoma" w:cs="Tahoma"/>
      <w:sz w:val="16"/>
      <w:szCs w:val="16"/>
      <w:lang w:val="en-ZA"/>
    </w:rPr>
  </w:style>
  <w:style w:type="character" w:styleId="Strong">
    <w:name w:val="Strong"/>
    <w:basedOn w:val="DefaultParagraphFont"/>
    <w:uiPriority w:val="22"/>
    <w:qFormat/>
    <w:rsid w:val="0098758C"/>
    <w:rPr>
      <w:b/>
      <w:bCs/>
    </w:rPr>
  </w:style>
  <w:style w:type="paragraph" w:styleId="NormalWeb">
    <w:name w:val="Normal (Web)"/>
    <w:basedOn w:val="Normal"/>
    <w:uiPriority w:val="99"/>
    <w:semiHidden/>
    <w:unhideWhenUsed/>
    <w:rsid w:val="00E8648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E8648C"/>
    <w:rPr>
      <w:color w:val="0000FF"/>
      <w:u w:val="single"/>
    </w:rPr>
  </w:style>
  <w:style w:type="paragraph" w:styleId="FootnoteText">
    <w:name w:val="footnote text"/>
    <w:basedOn w:val="Normal"/>
    <w:link w:val="FootnoteTextChar"/>
    <w:uiPriority w:val="99"/>
    <w:semiHidden/>
    <w:unhideWhenUsed/>
    <w:rsid w:val="00E86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48C"/>
    <w:rPr>
      <w:sz w:val="20"/>
      <w:szCs w:val="20"/>
      <w:lang w:val="en-ZA"/>
    </w:rPr>
  </w:style>
  <w:style w:type="character" w:styleId="FootnoteReference">
    <w:name w:val="footnote reference"/>
    <w:basedOn w:val="DefaultParagraphFont"/>
    <w:uiPriority w:val="99"/>
    <w:semiHidden/>
    <w:unhideWhenUsed/>
    <w:rsid w:val="00E8648C"/>
    <w:rPr>
      <w:vertAlign w:val="superscript"/>
    </w:rPr>
  </w:style>
  <w:style w:type="paragraph" w:styleId="ListParagraph">
    <w:name w:val="List Paragraph"/>
    <w:basedOn w:val="Normal"/>
    <w:uiPriority w:val="34"/>
    <w:qFormat/>
    <w:rsid w:val="00343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5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2020-02-24T18:30:00+00:00</Judgment_x0020_Date>
    <Year xmlns="c1afb1bd-f2fb-40fd-9abb-aea55b4d7662">2020</Year>
  </documentManagement>
</p:properties>
</file>

<file path=customXml/itemProps1.xml><?xml version="1.0" encoding="utf-8"?>
<ds:datastoreItem xmlns:ds="http://schemas.openxmlformats.org/officeDocument/2006/customXml" ds:itemID="{3B6633A3-0527-43B3-9A08-0DD260676529}"/>
</file>

<file path=customXml/itemProps2.xml><?xml version="1.0" encoding="utf-8"?>
<ds:datastoreItem xmlns:ds="http://schemas.openxmlformats.org/officeDocument/2006/customXml" ds:itemID="{697F22F7-B0D6-49AA-ADA2-624F59386132}"/>
</file>

<file path=customXml/itemProps3.xml><?xml version="1.0" encoding="utf-8"?>
<ds:datastoreItem xmlns:ds="http://schemas.openxmlformats.org/officeDocument/2006/customXml" ds:itemID="{352578A5-65CA-4269-AC20-978D24A83F61}"/>
</file>

<file path=customXml/itemProps4.xml><?xml version="1.0" encoding="utf-8"?>
<ds:datastoreItem xmlns:ds="http://schemas.openxmlformats.org/officeDocument/2006/customXml" ds:itemID="{0EE9CBA6-3A57-4D32-80AF-805FA663FFD1}"/>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Nande</dc:creator>
  <cp:lastModifiedBy>Lotta N. Ambunda</cp:lastModifiedBy>
  <cp:revision>2</cp:revision>
  <cp:lastPrinted>2020-02-25T06:15:00Z</cp:lastPrinted>
  <dcterms:created xsi:type="dcterms:W3CDTF">2020-03-04T14:43:00Z</dcterms:created>
  <dcterms:modified xsi:type="dcterms:W3CDTF">2020-03-04T14:43:00Z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