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DD8B640" wp14:editId="0DD483EE">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rsidR="000C7948" w:rsidRPr="003C148F" w:rsidRDefault="000C7948" w:rsidP="00A64640">
                            <w:pPr>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B640"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rsidR="000C7948" w:rsidRPr="003C148F" w:rsidRDefault="000C7948" w:rsidP="00A64640">
                      <w:pPr>
                        <w:jc w:val="center"/>
                        <w:rPr>
                          <w:b/>
                        </w:rPr>
                      </w:pPr>
                      <w:r>
                        <w:rPr>
                          <w:b/>
                        </w:rPr>
                        <w:t>REPORTABLE</w:t>
                      </w: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Pr="003E76E4">
        <w:rPr>
          <w:rFonts w:ascii="Arial" w:hAnsi="Arial" w:cs="Arial"/>
          <w:sz w:val="24"/>
          <w:szCs w:val="24"/>
        </w:rPr>
        <w:t>HC-MD-CIV-MOT-</w:t>
      </w:r>
      <w:r w:rsidR="0042243C">
        <w:rPr>
          <w:rFonts w:ascii="Arial" w:hAnsi="Arial" w:cs="Arial"/>
          <w:sz w:val="24"/>
          <w:szCs w:val="24"/>
        </w:rPr>
        <w:t>REV</w:t>
      </w:r>
      <w:r w:rsidRPr="003E76E4">
        <w:rPr>
          <w:rFonts w:ascii="Arial" w:hAnsi="Arial" w:cs="Arial"/>
          <w:sz w:val="24"/>
          <w:szCs w:val="24"/>
        </w:rPr>
        <w:t>-201</w:t>
      </w:r>
      <w:r w:rsidR="0042243C">
        <w:rPr>
          <w:rFonts w:ascii="Arial" w:hAnsi="Arial" w:cs="Arial"/>
          <w:sz w:val="24"/>
          <w:szCs w:val="24"/>
        </w:rPr>
        <w:t>8</w:t>
      </w:r>
      <w:r w:rsidRPr="003E76E4">
        <w:rPr>
          <w:rFonts w:ascii="Arial" w:hAnsi="Arial" w:cs="Arial"/>
          <w:sz w:val="24"/>
          <w:szCs w:val="24"/>
        </w:rPr>
        <w:t>/0</w:t>
      </w:r>
      <w:r w:rsidR="00D826A0" w:rsidRPr="003E76E4">
        <w:rPr>
          <w:rFonts w:ascii="Arial" w:hAnsi="Arial" w:cs="Arial"/>
          <w:sz w:val="24"/>
          <w:szCs w:val="24"/>
        </w:rPr>
        <w:t>0</w:t>
      </w:r>
      <w:r w:rsidR="0042243C">
        <w:rPr>
          <w:rFonts w:ascii="Arial" w:hAnsi="Arial" w:cs="Arial"/>
          <w:sz w:val="24"/>
          <w:szCs w:val="24"/>
        </w:rPr>
        <w:t>127</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HOLLARD INSURANCE COMPANY</w:t>
      </w:r>
      <w:r w:rsidR="00350CDF">
        <w:rPr>
          <w:rFonts w:ascii="Arial" w:hAnsi="Arial" w:cs="Arial"/>
          <w:b/>
          <w:sz w:val="24"/>
          <w:szCs w:val="24"/>
          <w:lang w:eastAsia="en-GB"/>
        </w:rPr>
        <w:t xml:space="preserve"> OF</w:t>
      </w:r>
      <w:r w:rsidRPr="006223EC">
        <w:rPr>
          <w:rFonts w:ascii="Arial" w:hAnsi="Arial" w:cs="Arial"/>
          <w:b/>
          <w:sz w:val="24"/>
          <w:szCs w:val="24"/>
          <w:lang w:eastAsia="en-GB"/>
        </w:rPr>
        <w:t xml:space="preserve"> </w:t>
      </w:r>
    </w:p>
    <w:p w:rsidR="00466C0D"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NAMIBIA LIMITED</w:t>
      </w:r>
      <w:r w:rsidR="00466C0D" w:rsidRPr="006223EC">
        <w:rPr>
          <w:rFonts w:ascii="Arial" w:hAnsi="Arial" w:cs="Arial"/>
          <w:b/>
          <w:sz w:val="24"/>
          <w:szCs w:val="24"/>
          <w:lang w:eastAsia="en-GB"/>
        </w:rPr>
        <w:tab/>
        <w:t xml:space="preserve">       </w:t>
      </w:r>
      <w:r w:rsidRPr="006223EC">
        <w:rPr>
          <w:rFonts w:ascii="Arial" w:hAnsi="Arial" w:cs="Arial"/>
          <w:b/>
          <w:sz w:val="24"/>
          <w:szCs w:val="24"/>
          <w:lang w:eastAsia="en-GB"/>
        </w:rPr>
        <w:t xml:space="preserve">FIRST </w:t>
      </w:r>
      <w:r w:rsidR="00466C0D" w:rsidRPr="006223EC">
        <w:rPr>
          <w:rFonts w:ascii="Arial" w:hAnsi="Arial" w:cs="Arial"/>
          <w:b/>
          <w:sz w:val="24"/>
          <w:szCs w:val="24"/>
          <w:lang w:eastAsia="en-GB"/>
        </w:rPr>
        <w:t>APPLICANT</w:t>
      </w:r>
    </w:p>
    <w:p w:rsidR="00780D44"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HOLLARD LIFE NAMIBIA LIMITED</w:t>
      </w:r>
      <w:r w:rsidRPr="006223EC">
        <w:rPr>
          <w:rFonts w:ascii="Arial" w:hAnsi="Arial" w:cs="Arial"/>
          <w:b/>
          <w:sz w:val="24"/>
          <w:szCs w:val="24"/>
          <w:lang w:eastAsia="en-GB"/>
        </w:rPr>
        <w:tab/>
        <w:t>SECOND APPLICANT</w:t>
      </w:r>
    </w:p>
    <w:p w:rsidR="00780D44"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SANLAM NAMIBIA LIMITED</w:t>
      </w:r>
      <w:r w:rsidRPr="006223EC">
        <w:rPr>
          <w:rFonts w:ascii="Arial" w:hAnsi="Arial" w:cs="Arial"/>
          <w:b/>
          <w:sz w:val="24"/>
          <w:szCs w:val="24"/>
          <w:lang w:eastAsia="en-GB"/>
        </w:rPr>
        <w:tab/>
        <w:t>THIRD APPLICANT</w:t>
      </w:r>
    </w:p>
    <w:p w:rsidR="00780D44"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SANTAM NAMIBIA LIMITED</w:t>
      </w:r>
      <w:r w:rsidRPr="006223EC">
        <w:rPr>
          <w:rFonts w:ascii="Arial" w:hAnsi="Arial" w:cs="Arial"/>
          <w:b/>
          <w:sz w:val="24"/>
          <w:szCs w:val="24"/>
          <w:lang w:eastAsia="en-GB"/>
        </w:rPr>
        <w:tab/>
        <w:t>FOURTH APPLICANT</w:t>
      </w:r>
    </w:p>
    <w:p w:rsidR="00780D44" w:rsidRPr="006223EC" w:rsidRDefault="00EB08AF"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MOMENTUM SHORT TERM INSURANCE LIMITED</w:t>
      </w:r>
      <w:r w:rsidR="00780D44" w:rsidRPr="006223EC">
        <w:rPr>
          <w:rFonts w:ascii="Arial" w:hAnsi="Arial" w:cs="Arial"/>
          <w:b/>
          <w:sz w:val="24"/>
          <w:szCs w:val="24"/>
          <w:lang w:eastAsia="en-GB"/>
        </w:rPr>
        <w:tab/>
        <w:t>FIFTH APPLICANT</w:t>
      </w:r>
    </w:p>
    <w:p w:rsidR="00AF247B" w:rsidRPr="006223EC" w:rsidRDefault="00EB08AF"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TRUSTCO LIFE LIMITED</w:t>
      </w:r>
      <w:r w:rsidR="00AF247B" w:rsidRPr="006223EC">
        <w:rPr>
          <w:rFonts w:ascii="Arial" w:hAnsi="Arial" w:cs="Arial"/>
          <w:b/>
          <w:sz w:val="24"/>
          <w:szCs w:val="24"/>
          <w:lang w:eastAsia="en-GB"/>
        </w:rPr>
        <w:tab/>
        <w:t>SIXTH APPLICANT</w:t>
      </w:r>
    </w:p>
    <w:p w:rsidR="00AF247B" w:rsidRPr="006223EC" w:rsidRDefault="00EB08AF"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TRUSTCO INSURANCE LIMITED</w:t>
      </w:r>
      <w:r w:rsidR="00AF247B" w:rsidRPr="006223EC">
        <w:rPr>
          <w:rFonts w:ascii="Arial" w:hAnsi="Arial" w:cs="Arial"/>
          <w:b/>
          <w:sz w:val="24"/>
          <w:szCs w:val="24"/>
          <w:lang w:eastAsia="en-GB"/>
        </w:rPr>
        <w:tab/>
        <w:t>SEVENTH APPLICANT</w:t>
      </w:r>
    </w:p>
    <w:p w:rsid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KIN</w:t>
      </w:r>
      <w:r w:rsidR="00350CDF">
        <w:rPr>
          <w:rFonts w:ascii="Arial" w:hAnsi="Arial" w:cs="Arial"/>
          <w:b/>
          <w:sz w:val="24"/>
          <w:szCs w:val="24"/>
          <w:lang w:eastAsia="en-GB"/>
        </w:rPr>
        <w:t>G</w:t>
      </w:r>
      <w:r w:rsidRPr="006223EC">
        <w:rPr>
          <w:rFonts w:ascii="Arial" w:hAnsi="Arial" w:cs="Arial"/>
          <w:b/>
          <w:sz w:val="24"/>
          <w:szCs w:val="24"/>
          <w:lang w:eastAsia="en-GB"/>
        </w:rPr>
        <w:t xml:space="preserve"> PRICE INSURANCE COMPANY </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OF NAMIBIA LIMITED </w:t>
      </w:r>
      <w:r w:rsidRPr="006223EC">
        <w:rPr>
          <w:rFonts w:ascii="Arial" w:hAnsi="Arial" w:cs="Arial"/>
          <w:b/>
          <w:sz w:val="24"/>
          <w:szCs w:val="24"/>
          <w:lang w:eastAsia="en-GB"/>
        </w:rPr>
        <w:tab/>
        <w:t>EIGHTH APPLICANT</w:t>
      </w:r>
    </w:p>
    <w:p w:rsidR="00EB08AF" w:rsidRDefault="00EB08AF" w:rsidP="00EB08AF">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OUTSURANCE INSURANCE COMPANY </w:t>
      </w:r>
    </w:p>
    <w:p w:rsidR="00AF247B" w:rsidRPr="006223EC" w:rsidRDefault="00EB08AF" w:rsidP="00EB08AF">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OF NAMIBIA LIMITED</w:t>
      </w:r>
      <w:r w:rsidR="00AF247B" w:rsidRPr="006223EC">
        <w:rPr>
          <w:rFonts w:ascii="Arial" w:hAnsi="Arial" w:cs="Arial"/>
          <w:b/>
          <w:sz w:val="24"/>
          <w:szCs w:val="24"/>
          <w:lang w:eastAsia="en-GB"/>
        </w:rPr>
        <w:tab/>
        <w:t>NINETH APPLICANT</w:t>
      </w:r>
    </w:p>
    <w:p w:rsidR="00AF247B" w:rsidRPr="006223EC" w:rsidRDefault="00EB08AF" w:rsidP="00EB08AF">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NEDNAMIBIA LIFE ASSURANCE</w:t>
      </w:r>
      <w:r>
        <w:rPr>
          <w:rFonts w:ascii="Arial" w:hAnsi="Arial" w:cs="Arial"/>
          <w:b/>
          <w:sz w:val="24"/>
          <w:szCs w:val="24"/>
          <w:lang w:eastAsia="en-GB"/>
        </w:rPr>
        <w:t xml:space="preserve"> </w:t>
      </w:r>
      <w:r w:rsidRPr="006223EC">
        <w:rPr>
          <w:rFonts w:ascii="Arial" w:hAnsi="Arial" w:cs="Arial"/>
          <w:b/>
          <w:sz w:val="24"/>
          <w:szCs w:val="24"/>
          <w:lang w:eastAsia="en-GB"/>
        </w:rPr>
        <w:t>LIMITED</w:t>
      </w:r>
      <w:r w:rsidR="00AF247B" w:rsidRPr="006223EC">
        <w:rPr>
          <w:rFonts w:ascii="Arial" w:hAnsi="Arial" w:cs="Arial"/>
          <w:b/>
          <w:sz w:val="24"/>
          <w:szCs w:val="24"/>
          <w:lang w:eastAsia="en-GB"/>
        </w:rPr>
        <w:tab/>
        <w:t>TENTH APPLICANT</w:t>
      </w:r>
    </w:p>
    <w:p w:rsidR="00EB08AF" w:rsidRDefault="00EB08AF" w:rsidP="00EB08AF">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BONBEN ASSURANCE NAMIBIA </w:t>
      </w:r>
    </w:p>
    <w:p w:rsidR="00AF247B" w:rsidRPr="006223EC" w:rsidRDefault="00EB08AF" w:rsidP="00EB08AF">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LIMITED T/A BONLIFE</w:t>
      </w:r>
      <w:r w:rsidR="00AF247B" w:rsidRPr="006223EC">
        <w:rPr>
          <w:rFonts w:ascii="Arial" w:hAnsi="Arial" w:cs="Arial"/>
          <w:b/>
          <w:sz w:val="24"/>
          <w:szCs w:val="24"/>
          <w:lang w:eastAsia="en-GB"/>
        </w:rPr>
        <w:tab/>
      </w:r>
      <w:r w:rsidR="00B144B7">
        <w:rPr>
          <w:rFonts w:ascii="Arial" w:hAnsi="Arial" w:cs="Arial"/>
          <w:b/>
          <w:sz w:val="24"/>
          <w:szCs w:val="24"/>
          <w:lang w:eastAsia="en-GB"/>
        </w:rPr>
        <w:t>EL</w:t>
      </w:r>
      <w:r w:rsidR="00AF247B" w:rsidRPr="006223EC">
        <w:rPr>
          <w:rFonts w:ascii="Arial" w:hAnsi="Arial" w:cs="Arial"/>
          <w:b/>
          <w:sz w:val="24"/>
          <w:szCs w:val="24"/>
          <w:lang w:eastAsia="en-GB"/>
        </w:rPr>
        <w:t>EVENTH APPLICANT</w:t>
      </w:r>
    </w:p>
    <w:p w:rsidR="00EB08AF" w:rsidRPr="006223EC" w:rsidRDefault="00EB08AF" w:rsidP="00EB08AF">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OLD MUTUAL LIFE ASSURANCE COMPANY </w:t>
      </w:r>
    </w:p>
    <w:p w:rsidR="00C163B6" w:rsidRPr="006223EC" w:rsidRDefault="00EB08AF" w:rsidP="00EB08AF">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w:t>
      </w:r>
      <w:r w:rsidRPr="006223EC">
        <w:rPr>
          <w:rFonts w:ascii="Arial" w:hAnsi="Arial" w:cs="Arial"/>
          <w:b/>
          <w:sz w:val="24"/>
          <w:szCs w:val="24"/>
          <w:lang w:eastAsia="en-GB"/>
        </w:rPr>
        <w:t>NAMIBIA</w:t>
      </w:r>
      <w:r>
        <w:rPr>
          <w:rFonts w:ascii="Arial" w:hAnsi="Arial" w:cs="Arial"/>
          <w:b/>
          <w:sz w:val="24"/>
          <w:szCs w:val="24"/>
          <w:lang w:eastAsia="en-GB"/>
        </w:rPr>
        <w:t>)</w:t>
      </w:r>
      <w:r w:rsidRPr="006223EC">
        <w:rPr>
          <w:rFonts w:ascii="Arial" w:hAnsi="Arial" w:cs="Arial"/>
          <w:b/>
          <w:sz w:val="24"/>
          <w:szCs w:val="24"/>
          <w:lang w:eastAsia="en-GB"/>
        </w:rPr>
        <w:t xml:space="preserve"> LIMITED</w:t>
      </w:r>
      <w:r w:rsidR="00C163B6" w:rsidRPr="006223EC">
        <w:rPr>
          <w:rFonts w:ascii="Arial" w:hAnsi="Arial" w:cs="Arial"/>
          <w:b/>
          <w:sz w:val="24"/>
          <w:szCs w:val="24"/>
          <w:lang w:eastAsia="en-GB"/>
        </w:rPr>
        <w:tab/>
        <w:t>TWELVTH APPLICANT</w:t>
      </w:r>
    </w:p>
    <w:p w:rsidR="00C163B6" w:rsidRPr="006223EC" w:rsidRDefault="00C163B6"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ab/>
      </w: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C163B6" w:rsidP="00D826A0">
      <w:pPr>
        <w:tabs>
          <w:tab w:val="right" w:pos="8931"/>
          <w:tab w:val="right" w:pos="9000"/>
        </w:tabs>
        <w:spacing w:after="0" w:line="360" w:lineRule="auto"/>
        <w:jc w:val="both"/>
        <w:rPr>
          <w:rFonts w:ascii="Arial" w:hAnsi="Arial" w:cs="Arial"/>
          <w:b/>
          <w:sz w:val="24"/>
          <w:szCs w:val="24"/>
        </w:rPr>
      </w:pPr>
      <w:r w:rsidRPr="006223EC">
        <w:rPr>
          <w:rFonts w:ascii="Arial" w:hAnsi="Arial" w:cs="Arial"/>
          <w:b/>
          <w:sz w:val="24"/>
          <w:szCs w:val="24"/>
          <w:lang w:eastAsia="en-GB"/>
        </w:rPr>
        <w:lastRenderedPageBreak/>
        <w:t>MINISTER OF FINANCE</w:t>
      </w:r>
      <w:r w:rsidR="009232E2" w:rsidRPr="006223EC">
        <w:rPr>
          <w:rFonts w:ascii="Arial" w:hAnsi="Arial" w:cs="Arial"/>
          <w:b/>
          <w:sz w:val="24"/>
          <w:szCs w:val="24"/>
        </w:rPr>
        <w:tab/>
      </w:r>
      <w:r w:rsidRPr="006223EC">
        <w:rPr>
          <w:rFonts w:ascii="Arial" w:hAnsi="Arial" w:cs="Arial"/>
          <w:b/>
          <w:sz w:val="24"/>
          <w:szCs w:val="24"/>
        </w:rPr>
        <w:t xml:space="preserve">FIRST </w:t>
      </w:r>
      <w:r w:rsidR="00711119" w:rsidRPr="006223EC">
        <w:rPr>
          <w:rFonts w:ascii="Arial" w:hAnsi="Arial" w:cs="Arial"/>
          <w:b/>
          <w:sz w:val="24"/>
          <w:szCs w:val="24"/>
        </w:rPr>
        <w:t>RESPONDENT</w:t>
      </w:r>
    </w:p>
    <w:p w:rsidR="006223EC" w:rsidRDefault="00C163B6" w:rsidP="00D826A0">
      <w:pPr>
        <w:tabs>
          <w:tab w:val="right" w:pos="8931"/>
          <w:tab w:val="right" w:pos="9000"/>
        </w:tabs>
        <w:spacing w:after="0" w:line="360" w:lineRule="auto"/>
        <w:jc w:val="both"/>
        <w:rPr>
          <w:rFonts w:ascii="Arial" w:hAnsi="Arial" w:cs="Arial"/>
          <w:b/>
          <w:sz w:val="24"/>
          <w:szCs w:val="24"/>
        </w:rPr>
      </w:pPr>
      <w:r w:rsidRPr="006223EC">
        <w:rPr>
          <w:rFonts w:ascii="Arial" w:hAnsi="Arial" w:cs="Arial"/>
          <w:b/>
          <w:sz w:val="24"/>
          <w:szCs w:val="24"/>
        </w:rPr>
        <w:t xml:space="preserve">NAMIBIA NATIONAL REINSURANCE </w:t>
      </w:r>
    </w:p>
    <w:p w:rsidR="00C163B6" w:rsidRPr="006223EC" w:rsidRDefault="00C163B6" w:rsidP="00D826A0">
      <w:pPr>
        <w:tabs>
          <w:tab w:val="right" w:pos="8931"/>
          <w:tab w:val="right" w:pos="9000"/>
        </w:tabs>
        <w:spacing w:after="0" w:line="360" w:lineRule="auto"/>
        <w:jc w:val="both"/>
        <w:rPr>
          <w:rFonts w:ascii="Arial" w:hAnsi="Arial" w:cs="Arial"/>
          <w:b/>
          <w:sz w:val="24"/>
          <w:szCs w:val="24"/>
        </w:rPr>
      </w:pPr>
      <w:r w:rsidRPr="006223EC">
        <w:rPr>
          <w:rFonts w:ascii="Arial" w:hAnsi="Arial" w:cs="Arial"/>
          <w:b/>
          <w:sz w:val="24"/>
          <w:szCs w:val="24"/>
        </w:rPr>
        <w:t>CORPORATION</w:t>
      </w:r>
      <w:r w:rsidRPr="006223EC">
        <w:rPr>
          <w:rFonts w:ascii="Arial" w:hAnsi="Arial" w:cs="Arial"/>
          <w:b/>
          <w:sz w:val="24"/>
          <w:szCs w:val="24"/>
        </w:rPr>
        <w:tab/>
        <w:t>SECOND RESPONDENT</w:t>
      </w: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C163B6">
        <w:rPr>
          <w:rFonts w:ascii="Arial" w:hAnsi="Arial" w:cs="Arial"/>
          <w:i/>
          <w:sz w:val="24"/>
          <w:szCs w:val="24"/>
        </w:rPr>
        <w:t xml:space="preserve">Hollard Insurance Company </w:t>
      </w:r>
      <w:r w:rsidR="00350CDF">
        <w:rPr>
          <w:rFonts w:ascii="Arial" w:hAnsi="Arial" w:cs="Arial"/>
          <w:i/>
          <w:sz w:val="24"/>
          <w:szCs w:val="24"/>
        </w:rPr>
        <w:t xml:space="preserve">of </w:t>
      </w:r>
      <w:r w:rsidR="00C163B6">
        <w:rPr>
          <w:rFonts w:ascii="Arial" w:hAnsi="Arial" w:cs="Arial"/>
          <w:i/>
          <w:sz w:val="24"/>
          <w:szCs w:val="24"/>
        </w:rPr>
        <w:t>Namibia Limited</w:t>
      </w:r>
      <w:r w:rsidR="00652CB8">
        <w:rPr>
          <w:rFonts w:ascii="Arial" w:hAnsi="Arial" w:cs="Arial"/>
          <w:i/>
          <w:sz w:val="24"/>
          <w:szCs w:val="24"/>
        </w:rPr>
        <w:t xml:space="preserve"> </w:t>
      </w:r>
      <w:r w:rsidR="00D87766">
        <w:rPr>
          <w:rFonts w:ascii="Arial" w:hAnsi="Arial" w:cs="Arial"/>
          <w:i/>
          <w:sz w:val="24"/>
          <w:szCs w:val="24"/>
        </w:rPr>
        <w:t xml:space="preserve">v </w:t>
      </w:r>
      <w:r w:rsidR="00C163B6">
        <w:rPr>
          <w:rFonts w:ascii="Arial" w:hAnsi="Arial" w:cs="Arial"/>
          <w:i/>
          <w:sz w:val="24"/>
          <w:szCs w:val="24"/>
        </w:rPr>
        <w:t>Minister of Finance</w:t>
      </w:r>
      <w:r w:rsidR="00A30618">
        <w:rPr>
          <w:rFonts w:ascii="Arial" w:hAnsi="Arial" w:cs="Arial"/>
          <w:i/>
          <w:sz w:val="24"/>
          <w:szCs w:val="24"/>
        </w:rPr>
        <w:t xml:space="preserve"> </w:t>
      </w:r>
      <w:r w:rsidR="001B7E1F" w:rsidRPr="00466C0D">
        <w:rPr>
          <w:rFonts w:ascii="Arial" w:hAnsi="Arial" w:cs="Arial"/>
          <w:sz w:val="24"/>
          <w:szCs w:val="24"/>
        </w:rPr>
        <w:t>(</w:t>
      </w:r>
      <w:r w:rsidR="00466C0D" w:rsidRPr="00466C0D">
        <w:rPr>
          <w:rFonts w:ascii="Arial" w:hAnsi="Arial" w:cs="Arial"/>
          <w:sz w:val="24"/>
          <w:szCs w:val="24"/>
        </w:rPr>
        <w:t>HC-MD-CIV-MOT-</w:t>
      </w:r>
      <w:r w:rsidR="00EB08AF">
        <w:rPr>
          <w:rFonts w:ascii="Arial" w:hAnsi="Arial" w:cs="Arial"/>
          <w:sz w:val="24"/>
          <w:szCs w:val="24"/>
        </w:rPr>
        <w:t>REV</w:t>
      </w:r>
      <w:r w:rsidR="00466C0D" w:rsidRPr="00466C0D">
        <w:rPr>
          <w:rFonts w:ascii="Arial" w:hAnsi="Arial" w:cs="Arial"/>
          <w:sz w:val="24"/>
          <w:szCs w:val="24"/>
        </w:rPr>
        <w:t>-201</w:t>
      </w:r>
      <w:r w:rsidR="00EB08AF">
        <w:rPr>
          <w:rFonts w:ascii="Arial" w:hAnsi="Arial" w:cs="Arial"/>
          <w:sz w:val="24"/>
          <w:szCs w:val="24"/>
        </w:rPr>
        <w:t>8</w:t>
      </w:r>
      <w:r w:rsidR="00466C0D" w:rsidRPr="00466C0D">
        <w:rPr>
          <w:rFonts w:ascii="Arial" w:hAnsi="Arial" w:cs="Arial"/>
          <w:sz w:val="24"/>
          <w:szCs w:val="24"/>
        </w:rPr>
        <w:t>/00</w:t>
      </w:r>
      <w:r w:rsidR="00EB08AF">
        <w:rPr>
          <w:rFonts w:ascii="Arial" w:hAnsi="Arial" w:cs="Arial"/>
          <w:sz w:val="24"/>
          <w:szCs w:val="24"/>
        </w:rPr>
        <w:t>127</w:t>
      </w:r>
      <w:r w:rsidR="001B7E1F" w:rsidRPr="005D6C92">
        <w:rPr>
          <w:rFonts w:ascii="Arial" w:hAnsi="Arial" w:cs="Arial"/>
          <w:sz w:val="24"/>
          <w:szCs w:val="24"/>
        </w:rPr>
        <w:t>) [20</w:t>
      </w:r>
      <w:r w:rsidR="00E11C67">
        <w:rPr>
          <w:rFonts w:ascii="Arial" w:hAnsi="Arial" w:cs="Arial"/>
          <w:sz w:val="24"/>
          <w:szCs w:val="24"/>
        </w:rPr>
        <w:t>1</w:t>
      </w:r>
      <w:r w:rsidR="004B42FC">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1C1CDB">
        <w:rPr>
          <w:rFonts w:ascii="Arial" w:hAnsi="Arial" w:cs="Arial"/>
          <w:sz w:val="24"/>
          <w:szCs w:val="24"/>
        </w:rPr>
        <w:t>9</w:t>
      </w:r>
      <w:r w:rsidR="001B7E1F" w:rsidRPr="005D6C92">
        <w:rPr>
          <w:rFonts w:ascii="Arial" w:hAnsi="Arial" w:cs="Arial"/>
          <w:sz w:val="24"/>
          <w:szCs w:val="24"/>
        </w:rPr>
        <w:t xml:space="preserve"> (</w:t>
      </w:r>
      <w:r w:rsidR="003212EE">
        <w:rPr>
          <w:rFonts w:ascii="Arial" w:hAnsi="Arial" w:cs="Arial"/>
          <w:sz w:val="24"/>
          <w:szCs w:val="24"/>
        </w:rPr>
        <w:t>21</w:t>
      </w:r>
      <w:r w:rsidR="008B76F1">
        <w:rPr>
          <w:rFonts w:ascii="Arial" w:hAnsi="Arial" w:cs="Arial"/>
          <w:sz w:val="24"/>
          <w:szCs w:val="24"/>
        </w:rPr>
        <w:t xml:space="preserve"> </w:t>
      </w:r>
      <w:r w:rsidR="003212EE">
        <w:rPr>
          <w:rFonts w:ascii="Arial" w:hAnsi="Arial" w:cs="Arial"/>
          <w:sz w:val="24"/>
          <w:szCs w:val="24"/>
        </w:rPr>
        <w:t>January</w:t>
      </w:r>
      <w:r w:rsidR="001B7E1F">
        <w:rPr>
          <w:rFonts w:ascii="Arial" w:hAnsi="Arial" w:cs="Arial"/>
          <w:sz w:val="24"/>
          <w:szCs w:val="24"/>
        </w:rPr>
        <w:t xml:space="preserve"> </w:t>
      </w:r>
      <w:r w:rsidR="001B7E1F" w:rsidRPr="005D6C92">
        <w:rPr>
          <w:rFonts w:ascii="Arial" w:hAnsi="Arial" w:cs="Arial"/>
          <w:sz w:val="24"/>
          <w:szCs w:val="24"/>
        </w:rPr>
        <w:t>20</w:t>
      </w:r>
      <w:r w:rsidR="003212EE">
        <w:rPr>
          <w:rFonts w:ascii="Arial" w:hAnsi="Arial" w:cs="Arial"/>
          <w:sz w:val="24"/>
          <w:szCs w:val="24"/>
        </w:rPr>
        <w:t>20</w:t>
      </w:r>
      <w:r w:rsidR="001B7E1F" w:rsidRPr="005D6C92">
        <w:rPr>
          <w:rFonts w:ascii="Arial" w:hAnsi="Arial" w:cs="Arial"/>
          <w:sz w:val="24"/>
          <w:szCs w:val="24"/>
        </w:rPr>
        <w:t>)</w:t>
      </w:r>
    </w:p>
    <w:p w:rsidR="00890D23" w:rsidRDefault="00890D23" w:rsidP="004670BF">
      <w:pPr>
        <w:spacing w:after="0" w:line="360" w:lineRule="auto"/>
        <w:jc w:val="both"/>
        <w:rPr>
          <w:rFonts w:ascii="Arial" w:hAnsi="Arial" w:cs="Arial"/>
          <w:b/>
          <w:sz w:val="24"/>
          <w:szCs w:val="24"/>
        </w:rPr>
      </w:pP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0B16AD" w:rsidRDefault="000B16AD" w:rsidP="001B7E1F">
      <w:pPr>
        <w:spacing w:after="0" w:line="360" w:lineRule="auto"/>
        <w:rPr>
          <w:rFonts w:ascii="Arial" w:hAnsi="Arial" w:cs="Arial"/>
          <w:b/>
          <w:bCs/>
          <w:sz w:val="24"/>
          <w:szCs w:val="24"/>
        </w:rPr>
      </w:pP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7D5E2A">
        <w:rPr>
          <w:rFonts w:ascii="Arial" w:hAnsi="Arial" w:cs="Arial"/>
          <w:b/>
          <w:sz w:val="24"/>
          <w:szCs w:val="24"/>
        </w:rPr>
        <w:t>21</w:t>
      </w:r>
      <w:r w:rsidRPr="001B7E1F">
        <w:rPr>
          <w:rFonts w:ascii="Arial" w:hAnsi="Arial" w:cs="Arial"/>
          <w:b/>
          <w:sz w:val="24"/>
          <w:szCs w:val="24"/>
        </w:rPr>
        <w:t xml:space="preserve"> </w:t>
      </w:r>
      <w:r w:rsidR="000B16AD">
        <w:rPr>
          <w:rFonts w:ascii="Arial" w:hAnsi="Arial" w:cs="Arial"/>
          <w:b/>
          <w:sz w:val="24"/>
          <w:szCs w:val="24"/>
        </w:rPr>
        <w:t>January</w:t>
      </w:r>
      <w:r w:rsidRPr="001B7E1F">
        <w:rPr>
          <w:rFonts w:ascii="Arial" w:hAnsi="Arial" w:cs="Arial"/>
          <w:b/>
          <w:sz w:val="24"/>
          <w:szCs w:val="24"/>
        </w:rPr>
        <w:t xml:space="preserve"> 20</w:t>
      </w:r>
      <w:r w:rsidR="000B16AD">
        <w:rPr>
          <w:rFonts w:ascii="Arial" w:hAnsi="Arial" w:cs="Arial"/>
          <w:b/>
          <w:sz w:val="24"/>
          <w:szCs w:val="24"/>
        </w:rPr>
        <w:t>20</w:t>
      </w:r>
    </w:p>
    <w:p w:rsidR="0021620D" w:rsidRDefault="0021620D" w:rsidP="001B7E1F">
      <w:pPr>
        <w:spacing w:after="0" w:line="360" w:lineRule="auto"/>
        <w:jc w:val="both"/>
        <w:rPr>
          <w:rFonts w:ascii="Arial" w:hAnsi="Arial" w:cs="Arial"/>
          <w:b/>
          <w:sz w:val="24"/>
          <w:szCs w:val="24"/>
        </w:rPr>
      </w:pPr>
    </w:p>
    <w:p w:rsidR="004073C6" w:rsidRDefault="00822E88" w:rsidP="00466C0D">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AF41D1">
        <w:rPr>
          <w:rFonts w:ascii="Arial" w:hAnsi="Arial" w:cs="Arial"/>
          <w:sz w:val="24"/>
          <w:szCs w:val="24"/>
        </w:rPr>
        <w:t xml:space="preserve">  </w:t>
      </w:r>
      <w:r w:rsidR="006F1051" w:rsidRPr="006F1051">
        <w:rPr>
          <w:rFonts w:ascii="Arial" w:hAnsi="Arial" w:cs="Arial"/>
          <w:sz w:val="24"/>
          <w:szCs w:val="24"/>
        </w:rPr>
        <w:t xml:space="preserve">Review </w:t>
      </w:r>
      <w:r w:rsidR="00AF41D1">
        <w:rPr>
          <w:rFonts w:ascii="Arial" w:hAnsi="Arial" w:cs="Arial"/>
          <w:sz w:val="24"/>
          <w:szCs w:val="24"/>
        </w:rPr>
        <w:t>–</w:t>
      </w:r>
      <w:r w:rsidR="006F1051" w:rsidRPr="006F1051">
        <w:rPr>
          <w:rFonts w:ascii="Arial" w:hAnsi="Arial" w:cs="Arial"/>
          <w:sz w:val="24"/>
          <w:szCs w:val="24"/>
        </w:rPr>
        <w:t xml:space="preserve"> Procedure </w:t>
      </w:r>
      <w:r w:rsidR="00AF41D1">
        <w:rPr>
          <w:rFonts w:ascii="Arial" w:hAnsi="Arial" w:cs="Arial"/>
          <w:sz w:val="24"/>
          <w:szCs w:val="24"/>
        </w:rPr>
        <w:t>–</w:t>
      </w:r>
      <w:r w:rsidR="006F1051" w:rsidRPr="006F1051">
        <w:rPr>
          <w:rFonts w:ascii="Arial" w:hAnsi="Arial" w:cs="Arial"/>
          <w:sz w:val="24"/>
          <w:szCs w:val="24"/>
        </w:rPr>
        <w:t xml:space="preserve"> Record on review </w:t>
      </w:r>
      <w:r w:rsidR="00AF41D1">
        <w:rPr>
          <w:rFonts w:ascii="Arial" w:hAnsi="Arial" w:cs="Arial"/>
          <w:sz w:val="24"/>
          <w:szCs w:val="24"/>
        </w:rPr>
        <w:t>–</w:t>
      </w:r>
      <w:r w:rsidR="006F1051" w:rsidRPr="006F1051">
        <w:rPr>
          <w:rFonts w:ascii="Arial" w:hAnsi="Arial" w:cs="Arial"/>
          <w:sz w:val="24"/>
          <w:szCs w:val="24"/>
        </w:rPr>
        <w:t xml:space="preserve"> Extent of record </w:t>
      </w:r>
      <w:r w:rsidR="00AF41D1">
        <w:rPr>
          <w:rFonts w:ascii="Arial" w:hAnsi="Arial" w:cs="Arial"/>
          <w:sz w:val="24"/>
          <w:szCs w:val="24"/>
        </w:rPr>
        <w:t>–</w:t>
      </w:r>
      <w:r w:rsidR="006F1051" w:rsidRPr="006F1051">
        <w:rPr>
          <w:rFonts w:ascii="Arial" w:hAnsi="Arial" w:cs="Arial"/>
          <w:sz w:val="24"/>
          <w:szCs w:val="24"/>
        </w:rPr>
        <w:t xml:space="preserve"> Applicable rule to be </w:t>
      </w:r>
      <w:r w:rsidR="006F1051">
        <w:rPr>
          <w:rFonts w:ascii="Arial" w:hAnsi="Arial" w:cs="Arial"/>
          <w:sz w:val="24"/>
          <w:szCs w:val="24"/>
        </w:rPr>
        <w:t xml:space="preserve">widely </w:t>
      </w:r>
      <w:r w:rsidR="006F1051" w:rsidRPr="006F1051">
        <w:rPr>
          <w:rFonts w:ascii="Arial" w:hAnsi="Arial" w:cs="Arial"/>
          <w:sz w:val="24"/>
          <w:szCs w:val="24"/>
        </w:rPr>
        <w:t>interpreted</w:t>
      </w:r>
      <w:r w:rsidR="006F1051">
        <w:rPr>
          <w:rFonts w:ascii="Arial" w:hAnsi="Arial" w:cs="Arial"/>
          <w:sz w:val="24"/>
          <w:szCs w:val="24"/>
        </w:rPr>
        <w:t xml:space="preserve"> to afford an applicant in a review access to all material relevant to the exercise of the public power in question</w:t>
      </w:r>
      <w:r w:rsidR="006F1051" w:rsidRPr="006F1051">
        <w:rPr>
          <w:rFonts w:ascii="Arial" w:hAnsi="Arial" w:cs="Arial"/>
          <w:sz w:val="24"/>
          <w:szCs w:val="24"/>
        </w:rPr>
        <w:t xml:space="preserve"> </w:t>
      </w:r>
      <w:r w:rsidR="006F1051">
        <w:rPr>
          <w:rFonts w:ascii="Arial" w:hAnsi="Arial" w:cs="Arial"/>
          <w:sz w:val="24"/>
          <w:szCs w:val="24"/>
        </w:rPr>
        <w:t xml:space="preserve">– court will ordinarily look favourably on a claim by a litigant to gain access to documents and other information required to assert or protect and </w:t>
      </w:r>
      <w:r w:rsidR="006F1051" w:rsidRPr="006F1051">
        <w:rPr>
          <w:rFonts w:ascii="Arial" w:hAnsi="Arial" w:cs="Arial"/>
          <w:sz w:val="24"/>
          <w:szCs w:val="24"/>
        </w:rPr>
        <w:t>to advance applicant's rights of access to courts</w:t>
      </w:r>
      <w:r w:rsidR="006F1051">
        <w:rPr>
          <w:rFonts w:ascii="Arial" w:hAnsi="Arial" w:cs="Arial"/>
          <w:sz w:val="24"/>
          <w:szCs w:val="24"/>
        </w:rPr>
        <w:t xml:space="preserve"> and will thus afford a party a reasonable opportunity in doing so</w:t>
      </w:r>
    </w:p>
    <w:p w:rsidR="00780E76" w:rsidRDefault="00780E76" w:rsidP="00CD39BE">
      <w:pPr>
        <w:spacing w:after="0" w:line="360" w:lineRule="auto"/>
        <w:jc w:val="both"/>
        <w:rPr>
          <w:rFonts w:ascii="Arial" w:hAnsi="Arial" w:cs="Arial"/>
          <w:b/>
          <w:sz w:val="24"/>
          <w:szCs w:val="24"/>
        </w:rPr>
      </w:pPr>
    </w:p>
    <w:p w:rsidR="006F1051" w:rsidRDefault="006F1051" w:rsidP="00CD39BE">
      <w:pPr>
        <w:spacing w:after="0" w:line="360" w:lineRule="auto"/>
        <w:jc w:val="both"/>
        <w:rPr>
          <w:rFonts w:ascii="Arial" w:hAnsi="Arial" w:cs="Arial"/>
          <w:b/>
          <w:sz w:val="24"/>
          <w:szCs w:val="24"/>
        </w:rPr>
      </w:pPr>
      <w:r w:rsidRPr="006F1051">
        <w:rPr>
          <w:rFonts w:ascii="Arial" w:hAnsi="Arial" w:cs="Arial"/>
          <w:sz w:val="24"/>
          <w:szCs w:val="24"/>
        </w:rPr>
        <w:t xml:space="preserve">Review </w:t>
      </w:r>
      <w:r w:rsidR="00AF41D1">
        <w:rPr>
          <w:rFonts w:ascii="Arial" w:hAnsi="Arial" w:cs="Arial"/>
          <w:sz w:val="24"/>
          <w:szCs w:val="24"/>
        </w:rPr>
        <w:t>–</w:t>
      </w:r>
      <w:r w:rsidRPr="006F1051">
        <w:rPr>
          <w:rFonts w:ascii="Arial" w:hAnsi="Arial" w:cs="Arial"/>
          <w:sz w:val="24"/>
          <w:szCs w:val="24"/>
        </w:rPr>
        <w:t xml:space="preserve"> Procedure </w:t>
      </w:r>
      <w:r w:rsidR="00AF41D1">
        <w:rPr>
          <w:rFonts w:ascii="Arial" w:hAnsi="Arial" w:cs="Arial"/>
          <w:sz w:val="24"/>
          <w:szCs w:val="24"/>
        </w:rPr>
        <w:t>–</w:t>
      </w:r>
      <w:r w:rsidRPr="006F1051">
        <w:rPr>
          <w:rFonts w:ascii="Arial" w:hAnsi="Arial" w:cs="Arial"/>
          <w:sz w:val="24"/>
          <w:szCs w:val="24"/>
        </w:rPr>
        <w:t xml:space="preserve"> Record on review </w:t>
      </w:r>
      <w:r w:rsidR="00AF41D1">
        <w:rPr>
          <w:rFonts w:ascii="Arial" w:hAnsi="Arial" w:cs="Arial"/>
          <w:sz w:val="24"/>
          <w:szCs w:val="24"/>
        </w:rPr>
        <w:t>–</w:t>
      </w:r>
      <w:r w:rsidRPr="006F1051">
        <w:rPr>
          <w:rFonts w:ascii="Arial" w:hAnsi="Arial" w:cs="Arial"/>
          <w:sz w:val="24"/>
          <w:szCs w:val="24"/>
        </w:rPr>
        <w:t xml:space="preserve"> Extent of record </w:t>
      </w:r>
      <w:r w:rsidR="00AF41D1">
        <w:rPr>
          <w:rFonts w:ascii="Arial" w:hAnsi="Arial" w:cs="Arial"/>
          <w:sz w:val="24"/>
          <w:szCs w:val="24"/>
        </w:rPr>
        <w:t>–</w:t>
      </w:r>
      <w:r>
        <w:rPr>
          <w:rFonts w:ascii="Arial" w:hAnsi="Arial" w:cs="Arial"/>
          <w:sz w:val="24"/>
          <w:szCs w:val="24"/>
        </w:rPr>
        <w:t xml:space="preserve"> Rule 76(6) to be seen as a means to complete a record – requested additional material must be all material </w:t>
      </w:r>
      <w:r w:rsidR="007D5E2A">
        <w:rPr>
          <w:rFonts w:ascii="Arial" w:hAnsi="Arial" w:cs="Arial"/>
          <w:sz w:val="24"/>
          <w:szCs w:val="24"/>
        </w:rPr>
        <w:t xml:space="preserve">in the possession of the decision-maker </w:t>
      </w:r>
      <w:r>
        <w:rPr>
          <w:rFonts w:ascii="Arial" w:hAnsi="Arial" w:cs="Arial"/>
          <w:sz w:val="24"/>
          <w:szCs w:val="24"/>
        </w:rPr>
        <w:t>relevant to the decision</w:t>
      </w:r>
      <w:r w:rsidR="007D5E2A">
        <w:rPr>
          <w:rFonts w:ascii="Arial" w:hAnsi="Arial" w:cs="Arial"/>
          <w:sz w:val="24"/>
          <w:szCs w:val="24"/>
        </w:rPr>
        <w:t xml:space="preserve"> – possession does not mean actual possession only and it includes all facets of control available to the decision- maker by virtue of the powers he/she has – Rule 76(6) however stops short and does not seem to include documents/materials in the possession of thir</w:t>
      </w:r>
      <w:r w:rsidR="00F61E0F">
        <w:rPr>
          <w:rFonts w:ascii="Arial" w:hAnsi="Arial" w:cs="Arial"/>
          <w:sz w:val="24"/>
          <w:szCs w:val="24"/>
        </w:rPr>
        <w:t>d</w:t>
      </w:r>
      <w:r w:rsidR="007D5E2A">
        <w:rPr>
          <w:rFonts w:ascii="Arial" w:hAnsi="Arial" w:cs="Arial"/>
          <w:sz w:val="24"/>
          <w:szCs w:val="24"/>
        </w:rPr>
        <w:t xml:space="preserve"> parties and the rule does not give the decision-maker the power to extract such documents/materials from third parties</w:t>
      </w:r>
      <w:r w:rsidR="000B6525">
        <w:rPr>
          <w:rFonts w:ascii="Arial" w:hAnsi="Arial" w:cs="Arial"/>
          <w:sz w:val="24"/>
          <w:szCs w:val="24"/>
        </w:rPr>
        <w:t xml:space="preserve">. The decision-maker is however obliged and has a duty to make all relevant enquiries and conduct a search for all relevant documents requested and then to either </w:t>
      </w:r>
      <w:r w:rsidR="00C20117">
        <w:rPr>
          <w:rFonts w:ascii="Arial" w:hAnsi="Arial" w:cs="Arial"/>
          <w:sz w:val="24"/>
          <w:szCs w:val="24"/>
        </w:rPr>
        <w:t>produce them or to record that such search and the relevant enquiries where unsuccessful</w:t>
      </w:r>
      <w:r w:rsidR="000B6525">
        <w:rPr>
          <w:rFonts w:ascii="Arial" w:hAnsi="Arial" w:cs="Arial"/>
          <w:sz w:val="24"/>
          <w:szCs w:val="24"/>
        </w:rPr>
        <w:t>.</w:t>
      </w:r>
    </w:p>
    <w:p w:rsidR="006F1051" w:rsidRDefault="006F1051" w:rsidP="00CD39BE">
      <w:pPr>
        <w:spacing w:after="0" w:line="360" w:lineRule="auto"/>
        <w:jc w:val="both"/>
        <w:rPr>
          <w:rFonts w:ascii="Arial" w:hAnsi="Arial" w:cs="Arial"/>
          <w:b/>
          <w:sz w:val="24"/>
          <w:szCs w:val="24"/>
        </w:rPr>
      </w:pPr>
    </w:p>
    <w:p w:rsidR="006F1051" w:rsidRDefault="007D5E2A" w:rsidP="00CD39BE">
      <w:pPr>
        <w:spacing w:after="0" w:line="360" w:lineRule="auto"/>
        <w:jc w:val="both"/>
        <w:rPr>
          <w:rFonts w:ascii="Arial" w:hAnsi="Arial" w:cs="Arial"/>
          <w:b/>
          <w:sz w:val="24"/>
          <w:szCs w:val="24"/>
        </w:rPr>
      </w:pPr>
      <w:r w:rsidRPr="006F1051">
        <w:rPr>
          <w:rFonts w:ascii="Arial" w:hAnsi="Arial" w:cs="Arial"/>
          <w:sz w:val="24"/>
          <w:szCs w:val="24"/>
        </w:rPr>
        <w:t xml:space="preserve">Review </w:t>
      </w:r>
      <w:r w:rsidR="00AF41D1">
        <w:rPr>
          <w:rFonts w:ascii="Arial" w:hAnsi="Arial" w:cs="Arial"/>
          <w:sz w:val="24"/>
          <w:szCs w:val="24"/>
        </w:rPr>
        <w:t>–</w:t>
      </w:r>
      <w:r w:rsidRPr="006F1051">
        <w:rPr>
          <w:rFonts w:ascii="Arial" w:hAnsi="Arial" w:cs="Arial"/>
          <w:sz w:val="24"/>
          <w:szCs w:val="24"/>
        </w:rPr>
        <w:t xml:space="preserve"> Procedure </w:t>
      </w:r>
      <w:r w:rsidR="00AF41D1">
        <w:rPr>
          <w:rFonts w:ascii="Arial" w:hAnsi="Arial" w:cs="Arial"/>
          <w:sz w:val="24"/>
          <w:szCs w:val="24"/>
        </w:rPr>
        <w:t>–</w:t>
      </w:r>
      <w:r w:rsidRPr="006F1051">
        <w:rPr>
          <w:rFonts w:ascii="Arial" w:hAnsi="Arial" w:cs="Arial"/>
          <w:sz w:val="24"/>
          <w:szCs w:val="24"/>
        </w:rPr>
        <w:t xml:space="preserve"> Record on review </w:t>
      </w:r>
      <w:r w:rsidR="00AF41D1">
        <w:rPr>
          <w:rFonts w:ascii="Arial" w:hAnsi="Arial" w:cs="Arial"/>
          <w:sz w:val="24"/>
          <w:szCs w:val="24"/>
        </w:rPr>
        <w:t>–</w:t>
      </w:r>
      <w:r w:rsidRPr="006F1051">
        <w:rPr>
          <w:rFonts w:ascii="Arial" w:hAnsi="Arial" w:cs="Arial"/>
          <w:sz w:val="24"/>
          <w:szCs w:val="24"/>
        </w:rPr>
        <w:t xml:space="preserve"> Extent of record </w:t>
      </w:r>
      <w:r w:rsidR="00AF41D1">
        <w:rPr>
          <w:rFonts w:ascii="Arial" w:hAnsi="Arial" w:cs="Arial"/>
          <w:sz w:val="24"/>
          <w:szCs w:val="24"/>
        </w:rPr>
        <w:t>–</w:t>
      </w:r>
      <w:r>
        <w:rPr>
          <w:rFonts w:ascii="Arial" w:hAnsi="Arial" w:cs="Arial"/>
          <w:sz w:val="24"/>
          <w:szCs w:val="24"/>
        </w:rPr>
        <w:t xml:space="preserve"> documents/materials/information which can be requested in terms of Rule 76(6) to be relevant to the impugned decision – relevance is </w:t>
      </w:r>
      <w:r w:rsidR="002D49AE">
        <w:rPr>
          <w:rFonts w:ascii="Arial" w:hAnsi="Arial" w:cs="Arial"/>
          <w:sz w:val="24"/>
          <w:szCs w:val="24"/>
        </w:rPr>
        <w:t>not</w:t>
      </w:r>
      <w:r>
        <w:rPr>
          <w:rFonts w:ascii="Arial" w:hAnsi="Arial" w:cs="Arial"/>
          <w:sz w:val="24"/>
          <w:szCs w:val="24"/>
        </w:rPr>
        <w:t xml:space="preserve"> to be determined</w:t>
      </w:r>
      <w:r w:rsidR="002D49AE">
        <w:rPr>
          <w:rFonts w:ascii="Arial" w:hAnsi="Arial" w:cs="Arial"/>
          <w:sz w:val="24"/>
          <w:szCs w:val="24"/>
        </w:rPr>
        <w:t xml:space="preserve"> only</w:t>
      </w:r>
      <w:r>
        <w:rPr>
          <w:rFonts w:ascii="Arial" w:hAnsi="Arial" w:cs="Arial"/>
          <w:sz w:val="24"/>
          <w:szCs w:val="24"/>
        </w:rPr>
        <w:t xml:space="preserve"> with </w:t>
      </w:r>
      <w:r>
        <w:rPr>
          <w:rFonts w:ascii="Arial" w:hAnsi="Arial" w:cs="Arial"/>
          <w:sz w:val="24"/>
          <w:szCs w:val="24"/>
        </w:rPr>
        <w:lastRenderedPageBreak/>
        <w:t>reference to the pleaded case</w:t>
      </w:r>
      <w:r w:rsidR="002D49AE">
        <w:rPr>
          <w:rFonts w:ascii="Arial" w:hAnsi="Arial" w:cs="Arial"/>
          <w:sz w:val="24"/>
          <w:szCs w:val="24"/>
        </w:rPr>
        <w:t xml:space="preserve"> in the founding affidavit as the review procedure set in Rule 76 envisages the grounds of review changing later – accordingly what must be disclosed are all those documents/materials</w:t>
      </w:r>
      <w:r w:rsidR="002D49AE" w:rsidRPr="002D49AE">
        <w:rPr>
          <w:rFonts w:ascii="Arial" w:hAnsi="Arial" w:cs="Arial"/>
          <w:i/>
          <w:sz w:val="24"/>
          <w:szCs w:val="24"/>
        </w:rPr>
        <w:t xml:space="preserve"> that could have any tendency, in reason, to establish any possible/potential review ground in relation to the decision to be reviewed, ie. all materials relevant to the exercise of the public power in question …’. </w:t>
      </w:r>
      <w:r w:rsidR="002D49AE">
        <w:rPr>
          <w:rFonts w:ascii="Arial" w:hAnsi="Arial" w:cs="Arial"/>
          <w:sz w:val="24"/>
          <w:szCs w:val="24"/>
        </w:rPr>
        <w:t>T</w:t>
      </w:r>
      <w:r w:rsidR="002D49AE" w:rsidRPr="002D49AE">
        <w:rPr>
          <w:rFonts w:ascii="Arial" w:hAnsi="Arial" w:cs="Arial"/>
          <w:sz w:val="24"/>
          <w:szCs w:val="24"/>
        </w:rPr>
        <w:t xml:space="preserve">he word ‘relevance’ as used in Rule 76(6) is ‘wide(r) in its scope </w:t>
      </w:r>
      <w:r w:rsidR="002D49AE">
        <w:rPr>
          <w:rFonts w:ascii="Arial" w:hAnsi="Arial" w:cs="Arial"/>
          <w:sz w:val="24"/>
          <w:szCs w:val="24"/>
        </w:rPr>
        <w:t>and meaning’ and t</w:t>
      </w:r>
      <w:r w:rsidR="002D49AE" w:rsidRPr="002D49AE">
        <w:rPr>
          <w:rFonts w:ascii="Arial" w:hAnsi="Arial" w:cs="Arial"/>
          <w:sz w:val="24"/>
          <w:szCs w:val="24"/>
        </w:rPr>
        <w:t>he concept differs in its scope and</w:t>
      </w:r>
      <w:r w:rsidR="002D49AE">
        <w:rPr>
          <w:rFonts w:ascii="Arial" w:hAnsi="Arial" w:cs="Arial"/>
          <w:sz w:val="24"/>
          <w:szCs w:val="24"/>
        </w:rPr>
        <w:t xml:space="preserve"> in the way</w:t>
      </w:r>
      <w:r w:rsidR="002D49AE" w:rsidRPr="002D49AE">
        <w:rPr>
          <w:rFonts w:ascii="Arial" w:hAnsi="Arial" w:cs="Arial"/>
          <w:sz w:val="24"/>
          <w:szCs w:val="24"/>
        </w:rPr>
        <w:t xml:space="preserve"> it is applied in action- and als</w:t>
      </w:r>
      <w:r w:rsidR="002D49AE">
        <w:rPr>
          <w:rFonts w:ascii="Arial" w:hAnsi="Arial" w:cs="Arial"/>
          <w:sz w:val="24"/>
          <w:szCs w:val="24"/>
        </w:rPr>
        <w:t>o motion proceedings in general in that i</w:t>
      </w:r>
      <w:r w:rsidR="002D49AE" w:rsidRPr="002D49AE">
        <w:rPr>
          <w:rFonts w:ascii="Arial" w:hAnsi="Arial" w:cs="Arial"/>
          <w:sz w:val="24"/>
          <w:szCs w:val="24"/>
        </w:rPr>
        <w:t>t is also not limited only to the actual material serving before the decision-maker but it so also includes all material available to the decision-maker – whether considered or not – for as long as it is relevant to the decision to be reviewed - and in any event</w:t>
      </w:r>
      <w:r w:rsidR="002D49AE">
        <w:rPr>
          <w:rFonts w:ascii="Arial" w:hAnsi="Arial" w:cs="Arial"/>
          <w:sz w:val="24"/>
          <w:szCs w:val="24"/>
        </w:rPr>
        <w:t xml:space="preserve"> it includes all</w:t>
      </w:r>
      <w:r w:rsidR="002D49AE" w:rsidRPr="002D49AE">
        <w:rPr>
          <w:rFonts w:ascii="Arial" w:hAnsi="Arial" w:cs="Arial"/>
          <w:sz w:val="24"/>
          <w:szCs w:val="24"/>
        </w:rPr>
        <w:t xml:space="preserve"> material that is incorporated by reference</w:t>
      </w:r>
      <w:r w:rsidR="002D49AE">
        <w:rPr>
          <w:rFonts w:ascii="Arial" w:hAnsi="Arial" w:cs="Arial"/>
          <w:sz w:val="24"/>
          <w:szCs w:val="24"/>
        </w:rPr>
        <w:t xml:space="preserve">. </w:t>
      </w:r>
    </w:p>
    <w:p w:rsidR="007D5E2A" w:rsidRDefault="007D5E2A" w:rsidP="00CD39BE">
      <w:pPr>
        <w:spacing w:after="0" w:line="360" w:lineRule="auto"/>
        <w:jc w:val="both"/>
        <w:rPr>
          <w:rFonts w:ascii="Arial" w:hAnsi="Arial" w:cs="Arial"/>
          <w:b/>
          <w:sz w:val="24"/>
          <w:szCs w:val="24"/>
        </w:rPr>
      </w:pPr>
    </w:p>
    <w:p w:rsidR="00BA145E" w:rsidRPr="00D32FE2" w:rsidRDefault="00B66966" w:rsidP="00D32FE2">
      <w:pPr>
        <w:spacing w:after="0" w:line="360" w:lineRule="auto"/>
        <w:jc w:val="both"/>
        <w:rPr>
          <w:rFonts w:ascii="Arial" w:hAnsi="Arial" w:cs="Arial"/>
          <w:b/>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976D63">
        <w:rPr>
          <w:rFonts w:ascii="Arial" w:hAnsi="Arial" w:cs="Arial"/>
          <w:sz w:val="24"/>
          <w:szCs w:val="24"/>
        </w:rPr>
        <w:t>How the court dealt with each separate request made in terms of Rule 76(6) appears from the judgment.</w:t>
      </w:r>
    </w:p>
    <w:p w:rsidR="00D32FE2" w:rsidRPr="00D32FE2" w:rsidRDefault="00D32FE2" w:rsidP="00D32FE2">
      <w:pPr>
        <w:spacing w:after="0" w:line="360" w:lineRule="auto"/>
        <w:ind w:left="360"/>
        <w:jc w:val="both"/>
        <w:rPr>
          <w:rFonts w:ascii="Arial" w:hAnsi="Arial" w:cs="Arial"/>
          <w:b/>
          <w:sz w:val="24"/>
          <w:szCs w:val="24"/>
        </w:rPr>
      </w:pPr>
    </w:p>
    <w:p w:rsidR="001B7E1F" w:rsidRPr="006E026B" w:rsidRDefault="00432C18"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432C18"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D3C1E" w:rsidRDefault="002D3C1E" w:rsidP="002D3C1E">
      <w:pPr>
        <w:spacing w:after="0" w:line="360" w:lineRule="auto"/>
        <w:jc w:val="both"/>
        <w:rPr>
          <w:rFonts w:ascii="Arial" w:hAnsi="Arial" w:cs="Arial"/>
          <w:sz w:val="24"/>
          <w:szCs w:val="24"/>
        </w:rPr>
      </w:pPr>
    </w:p>
    <w:p w:rsidR="000C7948" w:rsidRPr="006F3D9D" w:rsidRDefault="000C7948" w:rsidP="002D3C1E">
      <w:pPr>
        <w:spacing w:after="0" w:line="360" w:lineRule="auto"/>
        <w:jc w:val="both"/>
        <w:rPr>
          <w:rFonts w:ascii="Arial" w:hAnsi="Arial" w:cs="Arial"/>
          <w:sz w:val="24"/>
          <w:szCs w:val="24"/>
        </w:rPr>
      </w:pPr>
    </w:p>
    <w:p w:rsidR="002D3C1E" w:rsidRPr="006F3D9D" w:rsidRDefault="002D3C1E" w:rsidP="008374A5">
      <w:pPr>
        <w:pStyle w:val="ListParagraph"/>
        <w:numPr>
          <w:ilvl w:val="0"/>
          <w:numId w:val="18"/>
        </w:numPr>
        <w:spacing w:line="360" w:lineRule="auto"/>
        <w:ind w:left="709" w:hanging="709"/>
        <w:jc w:val="both"/>
        <w:rPr>
          <w:rFonts w:cs="Arial"/>
        </w:rPr>
      </w:pPr>
      <w:r w:rsidRPr="006F3D9D">
        <w:rPr>
          <w:rFonts w:cs="Arial"/>
        </w:rPr>
        <w:t xml:space="preserve">Prayers </w:t>
      </w:r>
      <w:r w:rsidRPr="006F3D9D">
        <w:rPr>
          <w:rFonts w:cs="Arial"/>
          <w:color w:val="000000" w:themeColor="text1"/>
        </w:rPr>
        <w:t xml:space="preserve">1.1, 1.2, 1.3. 1.4, 1.5,  1.7, 1.8, 1.9, 1.10, 1.11 </w:t>
      </w:r>
      <w:r w:rsidRPr="006F3D9D">
        <w:rPr>
          <w:rFonts w:cs="Arial"/>
        </w:rPr>
        <w:t>and 1.12 of the Notice of Motion, dated 5 March 2019, are hereby granted</w:t>
      </w:r>
    </w:p>
    <w:p w:rsidR="002D3C1E" w:rsidRPr="006F3D9D" w:rsidRDefault="002D3C1E" w:rsidP="002D3C1E">
      <w:pPr>
        <w:pStyle w:val="ListParagraph"/>
        <w:spacing w:line="360" w:lineRule="auto"/>
        <w:ind w:left="0"/>
        <w:jc w:val="both"/>
        <w:rPr>
          <w:rFonts w:cs="Arial"/>
        </w:rPr>
      </w:pPr>
    </w:p>
    <w:p w:rsidR="002D3C1E" w:rsidRPr="006F3D9D" w:rsidRDefault="002D3C1E" w:rsidP="008374A5">
      <w:pPr>
        <w:pStyle w:val="ListParagraph"/>
        <w:numPr>
          <w:ilvl w:val="0"/>
          <w:numId w:val="18"/>
        </w:numPr>
        <w:spacing w:line="360" w:lineRule="auto"/>
        <w:ind w:left="709" w:hanging="709"/>
        <w:jc w:val="both"/>
        <w:rPr>
          <w:rFonts w:cs="Arial"/>
        </w:rPr>
      </w:pPr>
      <w:r w:rsidRPr="006F3D9D">
        <w:rPr>
          <w:rFonts w:cs="Arial"/>
        </w:rPr>
        <w:t>The request made in paragraph 1.6 of the Notice of Motion, dated 5 March 2019, is refused.</w:t>
      </w:r>
    </w:p>
    <w:p w:rsidR="002D3C1E" w:rsidRPr="006F3D9D" w:rsidRDefault="002D3C1E" w:rsidP="002D3C1E">
      <w:pPr>
        <w:pStyle w:val="ListParagraph"/>
        <w:spacing w:line="360" w:lineRule="auto"/>
        <w:ind w:left="0"/>
        <w:jc w:val="both"/>
        <w:rPr>
          <w:rFonts w:cs="Arial"/>
        </w:rPr>
      </w:pPr>
    </w:p>
    <w:p w:rsidR="001A74CA" w:rsidRDefault="001A74CA" w:rsidP="001A74CA">
      <w:pPr>
        <w:pStyle w:val="ListParagraph"/>
        <w:numPr>
          <w:ilvl w:val="0"/>
          <w:numId w:val="18"/>
        </w:numPr>
        <w:spacing w:line="360" w:lineRule="auto"/>
        <w:ind w:hanging="720"/>
        <w:jc w:val="both"/>
        <w:rPr>
          <w:rFonts w:cs="Arial"/>
        </w:rPr>
      </w:pPr>
      <w:r w:rsidRPr="00B144B7">
        <w:rPr>
          <w:rFonts w:cs="Arial"/>
        </w:rPr>
        <w:t>The request made in paragraph 1.13 of the Notice of Motion, dated 5 March 2019, is hereby granted in part and is limited to those documents evidencing compliance with Section 12 of the Namibia National Insurance Corporation Act, Act 22 of 1998 relevant to any NamibRe Board meetings convened for the taking of resolutions regarding the implementation or enforcement or giving effect to  Sections 39(5) and (8), and 43(2) of the said NamibRe Act;</w:t>
      </w:r>
    </w:p>
    <w:p w:rsidR="002D3C1E" w:rsidRPr="006F3D9D" w:rsidRDefault="002D3C1E" w:rsidP="002D3C1E">
      <w:pPr>
        <w:pStyle w:val="ListParagraph"/>
        <w:spacing w:line="360" w:lineRule="auto"/>
        <w:ind w:left="0"/>
        <w:rPr>
          <w:rFonts w:cs="Arial"/>
        </w:rPr>
      </w:pPr>
    </w:p>
    <w:p w:rsidR="005974BB" w:rsidRDefault="005974BB" w:rsidP="005974BB">
      <w:pPr>
        <w:pStyle w:val="ListParagraph"/>
        <w:numPr>
          <w:ilvl w:val="0"/>
          <w:numId w:val="18"/>
        </w:numPr>
        <w:spacing w:line="360" w:lineRule="auto"/>
        <w:ind w:hanging="720"/>
        <w:jc w:val="both"/>
        <w:rPr>
          <w:rFonts w:cs="Arial"/>
        </w:rPr>
      </w:pPr>
      <w:r w:rsidRPr="00B144B7">
        <w:rPr>
          <w:rFonts w:cs="Arial"/>
        </w:rPr>
        <w:t xml:space="preserve">This Order is limited to the production of those documents in the First Respondent’s actual possession or under his control, alternatively to those </w:t>
      </w:r>
      <w:r w:rsidRPr="00B144B7">
        <w:rPr>
          <w:rFonts w:cs="Arial"/>
        </w:rPr>
        <w:lastRenderedPageBreak/>
        <w:t>documents which are in the possession or under the control of officials within the First Respondent’s Ministry and in any event this order is to apply also to all those documents/materials which the Minister’s may be able to obtain by virtue of the powers vested in his office;</w:t>
      </w:r>
    </w:p>
    <w:p w:rsidR="002D3C1E" w:rsidRPr="006F3D9D" w:rsidRDefault="002D3C1E" w:rsidP="002D3C1E">
      <w:pPr>
        <w:pStyle w:val="ListParagraph"/>
        <w:spacing w:line="360" w:lineRule="auto"/>
        <w:ind w:left="0"/>
        <w:rPr>
          <w:rFonts w:cs="Arial"/>
        </w:rPr>
      </w:pPr>
    </w:p>
    <w:p w:rsidR="002D3C1E" w:rsidRPr="006F3D9D" w:rsidRDefault="002D3C1E" w:rsidP="008374A5">
      <w:pPr>
        <w:pStyle w:val="ListParagraph"/>
        <w:numPr>
          <w:ilvl w:val="0"/>
          <w:numId w:val="18"/>
        </w:numPr>
        <w:spacing w:line="360" w:lineRule="auto"/>
        <w:ind w:left="709" w:hanging="709"/>
        <w:jc w:val="both"/>
        <w:rPr>
          <w:rFonts w:cs="Arial"/>
        </w:rPr>
      </w:pPr>
      <w:r w:rsidRPr="006F3D9D">
        <w:rPr>
          <w:rFonts w:cs="Arial"/>
        </w:rPr>
        <w:t>Prayers 2, 3 and 4 of the Notice of Motion, dated 5 March 2019, are also granted.</w:t>
      </w:r>
    </w:p>
    <w:p w:rsidR="002D3C1E" w:rsidRPr="006F3D9D" w:rsidRDefault="002D3C1E" w:rsidP="002D3C1E">
      <w:pPr>
        <w:pStyle w:val="ListParagraph"/>
        <w:spacing w:line="360" w:lineRule="auto"/>
        <w:ind w:left="0"/>
        <w:rPr>
          <w:rFonts w:cs="Arial"/>
        </w:rPr>
      </w:pPr>
    </w:p>
    <w:p w:rsidR="002D3C1E" w:rsidRPr="006F3D9D" w:rsidRDefault="002D3C1E" w:rsidP="002D3C1E">
      <w:pPr>
        <w:pStyle w:val="ListParagraph"/>
        <w:numPr>
          <w:ilvl w:val="0"/>
          <w:numId w:val="18"/>
        </w:numPr>
        <w:spacing w:line="360" w:lineRule="auto"/>
        <w:ind w:left="0" w:firstLine="0"/>
        <w:jc w:val="both"/>
        <w:rPr>
          <w:rFonts w:cs="Arial"/>
        </w:rPr>
      </w:pPr>
      <w:r w:rsidRPr="006F3D9D">
        <w:rPr>
          <w:rFonts w:cs="Arial"/>
        </w:rPr>
        <w:t>The case is postponed to 19 February 2020 at 08h30 for a Status Hearing.</w:t>
      </w:r>
    </w:p>
    <w:p w:rsidR="002D3C1E" w:rsidRPr="006F3D9D" w:rsidRDefault="002D3C1E" w:rsidP="002D3C1E">
      <w:pPr>
        <w:pStyle w:val="ListParagraph"/>
        <w:spacing w:line="360" w:lineRule="auto"/>
        <w:ind w:left="0"/>
        <w:rPr>
          <w:rFonts w:cs="Arial"/>
        </w:rPr>
      </w:pPr>
    </w:p>
    <w:p w:rsidR="002D3C1E" w:rsidRPr="006F3D9D" w:rsidRDefault="002D3C1E" w:rsidP="008374A5">
      <w:pPr>
        <w:pStyle w:val="ListParagraph"/>
        <w:numPr>
          <w:ilvl w:val="0"/>
          <w:numId w:val="18"/>
        </w:numPr>
        <w:spacing w:line="360" w:lineRule="auto"/>
        <w:ind w:left="709" w:hanging="709"/>
        <w:jc w:val="both"/>
        <w:rPr>
          <w:rFonts w:cs="Arial"/>
        </w:rPr>
      </w:pPr>
      <w:r w:rsidRPr="006F3D9D">
        <w:rPr>
          <w:rFonts w:cs="Arial"/>
        </w:rPr>
        <w:t>The parties are to file a joint status report indicating their proposals on the way forward.</w:t>
      </w:r>
    </w:p>
    <w:p w:rsidR="00B3050E" w:rsidRPr="002D3C1E" w:rsidRDefault="00B3050E" w:rsidP="002D3C1E">
      <w:pPr>
        <w:spacing w:line="360" w:lineRule="auto"/>
        <w:jc w:val="both"/>
        <w:rPr>
          <w:rFonts w:cs="Arial"/>
        </w:rPr>
      </w:pPr>
    </w:p>
    <w:p w:rsidR="001B7E1F" w:rsidRPr="006E026B" w:rsidRDefault="00432C18"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432C18"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Default="008B76F1" w:rsidP="003531BA">
      <w:pPr>
        <w:spacing w:after="0" w:line="360" w:lineRule="auto"/>
        <w:ind w:left="1440" w:hanging="1440"/>
        <w:jc w:val="both"/>
        <w:rPr>
          <w:rFonts w:ascii="Arial" w:hAnsi="Arial" w:cs="Arial"/>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p>
    <w:p w:rsidR="004B42FC" w:rsidRDefault="004B42FC" w:rsidP="003531BA">
      <w:pPr>
        <w:spacing w:after="0" w:line="360" w:lineRule="auto"/>
        <w:ind w:left="1440" w:hanging="1440"/>
        <w:jc w:val="both"/>
        <w:rPr>
          <w:rFonts w:ascii="Arial" w:hAnsi="Arial" w:cs="Arial"/>
          <w:sz w:val="24"/>
          <w:szCs w:val="24"/>
        </w:rPr>
      </w:pPr>
    </w:p>
    <w:p w:rsidR="00920B10" w:rsidRDefault="00920B10" w:rsidP="00920B1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52304">
        <w:rPr>
          <w:rFonts w:ascii="Arial" w:hAnsi="Arial" w:cs="Arial"/>
          <w:sz w:val="24"/>
          <w:szCs w:val="24"/>
        </w:rPr>
        <w:t>The legal battle which rages between the parties engages in the first place the legal pr</w:t>
      </w:r>
      <w:r w:rsidR="008F621A">
        <w:rPr>
          <w:rFonts w:ascii="Arial" w:hAnsi="Arial" w:cs="Arial"/>
          <w:sz w:val="24"/>
          <w:szCs w:val="24"/>
        </w:rPr>
        <w:t>inciples</w:t>
      </w:r>
      <w:r w:rsidR="008E7166">
        <w:rPr>
          <w:rFonts w:ascii="Arial" w:hAnsi="Arial" w:cs="Arial"/>
          <w:sz w:val="24"/>
          <w:szCs w:val="24"/>
        </w:rPr>
        <w:t>,</w:t>
      </w:r>
      <w:r w:rsidR="008F621A">
        <w:rPr>
          <w:rFonts w:ascii="Arial" w:hAnsi="Arial" w:cs="Arial"/>
          <w:sz w:val="24"/>
          <w:szCs w:val="24"/>
        </w:rPr>
        <w:t xml:space="preserve"> pertaining to discovery</w:t>
      </w:r>
      <w:r w:rsidR="003745C2">
        <w:rPr>
          <w:rFonts w:ascii="Arial" w:hAnsi="Arial" w:cs="Arial"/>
          <w:sz w:val="24"/>
          <w:szCs w:val="24"/>
        </w:rPr>
        <w:t>,</w:t>
      </w:r>
      <w:r w:rsidR="008F621A">
        <w:rPr>
          <w:rFonts w:ascii="Arial" w:hAnsi="Arial" w:cs="Arial"/>
          <w:sz w:val="24"/>
          <w:szCs w:val="24"/>
        </w:rPr>
        <w:t xml:space="preserve"> in review application</w:t>
      </w:r>
      <w:r w:rsidR="00FA73EE">
        <w:rPr>
          <w:rFonts w:ascii="Arial" w:hAnsi="Arial" w:cs="Arial"/>
          <w:sz w:val="24"/>
          <w:szCs w:val="24"/>
        </w:rPr>
        <w:t>s,</w:t>
      </w:r>
      <w:r w:rsidR="008F621A">
        <w:rPr>
          <w:rFonts w:ascii="Arial" w:hAnsi="Arial" w:cs="Arial"/>
          <w:sz w:val="24"/>
          <w:szCs w:val="24"/>
        </w:rPr>
        <w:t xml:space="preserve"> </w:t>
      </w:r>
      <w:r w:rsidR="00E75089">
        <w:rPr>
          <w:rFonts w:ascii="Arial" w:hAnsi="Arial" w:cs="Arial"/>
          <w:sz w:val="24"/>
          <w:szCs w:val="24"/>
        </w:rPr>
        <w:t xml:space="preserve">and </w:t>
      </w:r>
      <w:r w:rsidR="008F621A">
        <w:rPr>
          <w:rFonts w:ascii="Arial" w:hAnsi="Arial" w:cs="Arial"/>
          <w:sz w:val="24"/>
          <w:szCs w:val="24"/>
        </w:rPr>
        <w:t>more specifically additional di</w:t>
      </w:r>
      <w:r w:rsidR="00FA73EE">
        <w:rPr>
          <w:rFonts w:ascii="Arial" w:hAnsi="Arial" w:cs="Arial"/>
          <w:sz w:val="24"/>
          <w:szCs w:val="24"/>
        </w:rPr>
        <w:t>scovery, which is sought in circumstances</w:t>
      </w:r>
      <w:r w:rsidR="008E7166">
        <w:rPr>
          <w:rFonts w:ascii="Arial" w:hAnsi="Arial" w:cs="Arial"/>
          <w:sz w:val="24"/>
          <w:szCs w:val="24"/>
        </w:rPr>
        <w:t xml:space="preserve"> </w:t>
      </w:r>
      <w:r w:rsidR="00E75089">
        <w:rPr>
          <w:rFonts w:ascii="Arial" w:hAnsi="Arial" w:cs="Arial"/>
          <w:sz w:val="24"/>
          <w:szCs w:val="24"/>
        </w:rPr>
        <w:t>where</w:t>
      </w:r>
      <w:r w:rsidR="00FA73EE">
        <w:rPr>
          <w:rFonts w:ascii="Arial" w:hAnsi="Arial" w:cs="Arial"/>
          <w:sz w:val="24"/>
          <w:szCs w:val="24"/>
        </w:rPr>
        <w:t xml:space="preserve"> the decision</w:t>
      </w:r>
      <w:r w:rsidR="003745C2">
        <w:rPr>
          <w:rFonts w:ascii="Arial" w:hAnsi="Arial" w:cs="Arial"/>
          <w:sz w:val="24"/>
          <w:szCs w:val="24"/>
        </w:rPr>
        <w:t>-</w:t>
      </w:r>
      <w:r w:rsidR="00FA73EE">
        <w:rPr>
          <w:rFonts w:ascii="Arial" w:hAnsi="Arial" w:cs="Arial"/>
          <w:sz w:val="24"/>
          <w:szCs w:val="24"/>
        </w:rPr>
        <w:t xml:space="preserve"> mak</w:t>
      </w:r>
      <w:r w:rsidR="008F621A">
        <w:rPr>
          <w:rFonts w:ascii="Arial" w:hAnsi="Arial" w:cs="Arial"/>
          <w:sz w:val="24"/>
          <w:szCs w:val="24"/>
        </w:rPr>
        <w:t>er avers that he has discovered all documents,</w:t>
      </w:r>
      <w:r w:rsidR="00060268">
        <w:rPr>
          <w:rFonts w:ascii="Arial" w:hAnsi="Arial" w:cs="Arial"/>
          <w:sz w:val="24"/>
          <w:szCs w:val="24"/>
        </w:rPr>
        <w:t xml:space="preserve"> ie, the complete review record,</w:t>
      </w:r>
      <w:r w:rsidR="008F621A">
        <w:rPr>
          <w:rFonts w:ascii="Arial" w:hAnsi="Arial" w:cs="Arial"/>
          <w:sz w:val="24"/>
          <w:szCs w:val="24"/>
        </w:rPr>
        <w:t xml:space="preserve"> which served before </w:t>
      </w:r>
      <w:r w:rsidR="008E7166">
        <w:rPr>
          <w:rFonts w:ascii="Arial" w:hAnsi="Arial" w:cs="Arial"/>
          <w:sz w:val="24"/>
          <w:szCs w:val="24"/>
        </w:rPr>
        <w:t>him at the relevant time and</w:t>
      </w:r>
      <w:r w:rsidR="008F621A">
        <w:rPr>
          <w:rFonts w:ascii="Arial" w:hAnsi="Arial" w:cs="Arial"/>
          <w:sz w:val="24"/>
          <w:szCs w:val="24"/>
        </w:rPr>
        <w:t xml:space="preserve"> </w:t>
      </w:r>
      <w:r w:rsidR="00783AE1">
        <w:rPr>
          <w:rFonts w:ascii="Arial" w:hAnsi="Arial" w:cs="Arial"/>
          <w:sz w:val="24"/>
          <w:szCs w:val="24"/>
        </w:rPr>
        <w:t xml:space="preserve">where it is thus contended </w:t>
      </w:r>
      <w:r w:rsidR="00FA73EE">
        <w:rPr>
          <w:rFonts w:ascii="Arial" w:hAnsi="Arial" w:cs="Arial"/>
          <w:sz w:val="24"/>
          <w:szCs w:val="24"/>
        </w:rPr>
        <w:t xml:space="preserve">that </w:t>
      </w:r>
      <w:r w:rsidR="00783AE1">
        <w:rPr>
          <w:rFonts w:ascii="Arial" w:hAnsi="Arial" w:cs="Arial"/>
          <w:sz w:val="24"/>
          <w:szCs w:val="24"/>
        </w:rPr>
        <w:t>he</w:t>
      </w:r>
      <w:r w:rsidR="008F621A">
        <w:rPr>
          <w:rFonts w:ascii="Arial" w:hAnsi="Arial" w:cs="Arial"/>
          <w:sz w:val="24"/>
          <w:szCs w:val="24"/>
        </w:rPr>
        <w:t xml:space="preserve"> has complied with the requirement to provide the</w:t>
      </w:r>
      <w:r w:rsidR="00783AE1">
        <w:rPr>
          <w:rFonts w:ascii="Arial" w:hAnsi="Arial" w:cs="Arial"/>
          <w:sz w:val="24"/>
          <w:szCs w:val="24"/>
        </w:rPr>
        <w:t xml:space="preserve"> complete- and in an</w:t>
      </w:r>
      <w:r w:rsidR="00DC1724">
        <w:rPr>
          <w:rFonts w:ascii="Arial" w:hAnsi="Arial" w:cs="Arial"/>
          <w:sz w:val="24"/>
          <w:szCs w:val="24"/>
        </w:rPr>
        <w:t>y</w:t>
      </w:r>
      <w:r w:rsidR="00783AE1">
        <w:rPr>
          <w:rFonts w:ascii="Arial" w:hAnsi="Arial" w:cs="Arial"/>
          <w:sz w:val="24"/>
          <w:szCs w:val="24"/>
        </w:rPr>
        <w:t xml:space="preserve"> event all relevant parts of the </w:t>
      </w:r>
      <w:r w:rsidR="00E75089">
        <w:rPr>
          <w:rFonts w:ascii="Arial" w:hAnsi="Arial" w:cs="Arial"/>
          <w:sz w:val="24"/>
          <w:szCs w:val="24"/>
        </w:rPr>
        <w:t>sought</w:t>
      </w:r>
      <w:r w:rsidR="008F621A">
        <w:rPr>
          <w:rFonts w:ascii="Arial" w:hAnsi="Arial" w:cs="Arial"/>
          <w:sz w:val="24"/>
          <w:szCs w:val="24"/>
        </w:rPr>
        <w:t xml:space="preserve"> record</w:t>
      </w:r>
      <w:r w:rsidR="00E75089">
        <w:rPr>
          <w:rFonts w:ascii="Arial" w:hAnsi="Arial" w:cs="Arial"/>
          <w:sz w:val="24"/>
          <w:szCs w:val="24"/>
        </w:rPr>
        <w:t>,</w:t>
      </w:r>
      <w:r w:rsidR="008F621A">
        <w:rPr>
          <w:rFonts w:ascii="Arial" w:hAnsi="Arial" w:cs="Arial"/>
          <w:sz w:val="24"/>
          <w:szCs w:val="24"/>
        </w:rPr>
        <w:t xml:space="preserve"> as</w:t>
      </w:r>
      <w:r w:rsidR="00783AE1">
        <w:rPr>
          <w:rFonts w:ascii="Arial" w:hAnsi="Arial" w:cs="Arial"/>
          <w:sz w:val="24"/>
          <w:szCs w:val="24"/>
        </w:rPr>
        <w:t xml:space="preserve"> requir</w:t>
      </w:r>
      <w:r w:rsidR="00FA73EE">
        <w:rPr>
          <w:rFonts w:ascii="Arial" w:hAnsi="Arial" w:cs="Arial"/>
          <w:sz w:val="24"/>
          <w:szCs w:val="24"/>
        </w:rPr>
        <w:t>ed b</w:t>
      </w:r>
      <w:r w:rsidR="00E75089">
        <w:rPr>
          <w:rFonts w:ascii="Arial" w:hAnsi="Arial" w:cs="Arial"/>
          <w:sz w:val="24"/>
          <w:szCs w:val="24"/>
        </w:rPr>
        <w:t>y Rule 76(2)(b) of the Rules of Court.</w:t>
      </w:r>
    </w:p>
    <w:p w:rsidR="00E75089" w:rsidRDefault="00E75089" w:rsidP="00920B10">
      <w:pPr>
        <w:spacing w:after="0" w:line="360" w:lineRule="auto"/>
        <w:jc w:val="both"/>
        <w:rPr>
          <w:rFonts w:ascii="Arial" w:hAnsi="Arial" w:cs="Arial"/>
          <w:sz w:val="24"/>
          <w:szCs w:val="24"/>
        </w:rPr>
      </w:pPr>
    </w:p>
    <w:p w:rsidR="00077D4E" w:rsidRDefault="00920B10" w:rsidP="00077D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75089">
        <w:rPr>
          <w:rFonts w:ascii="Arial" w:hAnsi="Arial" w:cs="Arial"/>
          <w:sz w:val="24"/>
          <w:szCs w:val="24"/>
        </w:rPr>
        <w:t>The applicants however are of the belief that there are further documents in the possession of the first respondent,</w:t>
      </w:r>
      <w:r w:rsidR="00783AE1">
        <w:rPr>
          <w:rFonts w:ascii="Arial" w:hAnsi="Arial" w:cs="Arial"/>
          <w:sz w:val="24"/>
          <w:szCs w:val="24"/>
        </w:rPr>
        <w:t xml:space="preserve"> the Minister of Finance,</w:t>
      </w:r>
      <w:r w:rsidR="00FA73EE">
        <w:rPr>
          <w:rFonts w:ascii="Arial" w:hAnsi="Arial" w:cs="Arial"/>
          <w:sz w:val="24"/>
          <w:szCs w:val="24"/>
        </w:rPr>
        <w:t xml:space="preserve"> the decision- maker in this instance,</w:t>
      </w:r>
      <w:r w:rsidR="00E75089">
        <w:rPr>
          <w:rFonts w:ascii="Arial" w:hAnsi="Arial" w:cs="Arial"/>
          <w:sz w:val="24"/>
          <w:szCs w:val="24"/>
        </w:rPr>
        <w:t xml:space="preserve"> which are relevant to the </w:t>
      </w:r>
      <w:r w:rsidR="008E7166">
        <w:rPr>
          <w:rFonts w:ascii="Arial" w:hAnsi="Arial" w:cs="Arial"/>
          <w:sz w:val="24"/>
          <w:szCs w:val="24"/>
        </w:rPr>
        <w:t>decision</w:t>
      </w:r>
      <w:r w:rsidR="00783AE1">
        <w:rPr>
          <w:rFonts w:ascii="Arial" w:hAnsi="Arial" w:cs="Arial"/>
          <w:sz w:val="24"/>
          <w:szCs w:val="24"/>
        </w:rPr>
        <w:t>s</w:t>
      </w:r>
      <w:r w:rsidR="00E75089">
        <w:rPr>
          <w:rFonts w:ascii="Arial" w:hAnsi="Arial" w:cs="Arial"/>
          <w:sz w:val="24"/>
          <w:szCs w:val="24"/>
        </w:rPr>
        <w:t xml:space="preserve"> sought to be reviewed.  They have th</w:t>
      </w:r>
      <w:r w:rsidR="003745C2">
        <w:rPr>
          <w:rFonts w:ascii="Arial" w:hAnsi="Arial" w:cs="Arial"/>
          <w:sz w:val="24"/>
          <w:szCs w:val="24"/>
        </w:rPr>
        <w:t>us demanded additional documents</w:t>
      </w:r>
      <w:r w:rsidR="00783AE1">
        <w:rPr>
          <w:rFonts w:ascii="Arial" w:hAnsi="Arial" w:cs="Arial"/>
          <w:sz w:val="24"/>
          <w:szCs w:val="24"/>
        </w:rPr>
        <w:t>/materials</w:t>
      </w:r>
      <w:r w:rsidR="00E75089">
        <w:rPr>
          <w:rFonts w:ascii="Arial" w:hAnsi="Arial" w:cs="Arial"/>
          <w:sz w:val="24"/>
          <w:szCs w:val="24"/>
        </w:rPr>
        <w:t xml:space="preserve"> in terms of Rule 76(6) and once that request</w:t>
      </w:r>
      <w:r w:rsidR="00850A2C">
        <w:rPr>
          <w:rFonts w:ascii="Arial" w:hAnsi="Arial" w:cs="Arial"/>
          <w:sz w:val="24"/>
          <w:szCs w:val="24"/>
        </w:rPr>
        <w:t xml:space="preserve"> - made under</w:t>
      </w:r>
      <w:r w:rsidR="00FA73EE">
        <w:rPr>
          <w:rFonts w:ascii="Arial" w:hAnsi="Arial" w:cs="Arial"/>
          <w:sz w:val="24"/>
          <w:szCs w:val="24"/>
        </w:rPr>
        <w:t xml:space="preserve"> cover of the relevant</w:t>
      </w:r>
      <w:r w:rsidR="00E75089">
        <w:rPr>
          <w:rFonts w:ascii="Arial" w:hAnsi="Arial" w:cs="Arial"/>
          <w:sz w:val="24"/>
          <w:szCs w:val="24"/>
        </w:rPr>
        <w:t xml:space="preserve"> notice</w:t>
      </w:r>
      <w:r w:rsidR="00FA73EE">
        <w:rPr>
          <w:rFonts w:ascii="Arial" w:hAnsi="Arial" w:cs="Arial"/>
          <w:sz w:val="24"/>
          <w:szCs w:val="24"/>
        </w:rPr>
        <w:t xml:space="preserve"> - was not heeded</w:t>
      </w:r>
      <w:r w:rsidR="00850A2C">
        <w:rPr>
          <w:rFonts w:ascii="Arial" w:hAnsi="Arial" w:cs="Arial"/>
          <w:sz w:val="24"/>
          <w:szCs w:val="24"/>
        </w:rPr>
        <w:t xml:space="preserve"> -</w:t>
      </w:r>
      <w:r w:rsidR="00FA73EE">
        <w:rPr>
          <w:rFonts w:ascii="Arial" w:hAnsi="Arial" w:cs="Arial"/>
          <w:sz w:val="24"/>
          <w:szCs w:val="24"/>
        </w:rPr>
        <w:t xml:space="preserve"> have launched</w:t>
      </w:r>
      <w:r w:rsidR="00E75089">
        <w:rPr>
          <w:rFonts w:ascii="Arial" w:hAnsi="Arial" w:cs="Arial"/>
          <w:sz w:val="24"/>
          <w:szCs w:val="24"/>
        </w:rPr>
        <w:t xml:space="preserve"> this interlocutory application to compel</w:t>
      </w:r>
      <w:r w:rsidR="003745C2">
        <w:rPr>
          <w:rFonts w:ascii="Arial" w:hAnsi="Arial" w:cs="Arial"/>
          <w:sz w:val="24"/>
          <w:szCs w:val="24"/>
        </w:rPr>
        <w:t xml:space="preserve"> the sought additional documentation</w:t>
      </w:r>
      <w:r w:rsidR="00E75089">
        <w:rPr>
          <w:rFonts w:ascii="Arial" w:hAnsi="Arial" w:cs="Arial"/>
          <w:sz w:val="24"/>
          <w:szCs w:val="24"/>
        </w:rPr>
        <w:t xml:space="preserve"> – which</w:t>
      </w:r>
      <w:r w:rsidR="00FA73EE">
        <w:rPr>
          <w:rFonts w:ascii="Arial" w:hAnsi="Arial" w:cs="Arial"/>
          <w:sz w:val="24"/>
          <w:szCs w:val="24"/>
        </w:rPr>
        <w:t xml:space="preserve"> application</w:t>
      </w:r>
      <w:r w:rsidR="000B6525">
        <w:rPr>
          <w:rFonts w:ascii="Arial" w:hAnsi="Arial" w:cs="Arial"/>
          <w:sz w:val="24"/>
          <w:szCs w:val="24"/>
        </w:rPr>
        <w:t xml:space="preserve"> wa</w:t>
      </w:r>
      <w:r w:rsidR="00E75089">
        <w:rPr>
          <w:rFonts w:ascii="Arial" w:hAnsi="Arial" w:cs="Arial"/>
          <w:sz w:val="24"/>
          <w:szCs w:val="24"/>
        </w:rPr>
        <w:t>s opposed on various grounds.</w:t>
      </w:r>
    </w:p>
    <w:p w:rsidR="00783AE1" w:rsidRDefault="00783AE1" w:rsidP="00077D4E">
      <w:pPr>
        <w:spacing w:after="0" w:line="360" w:lineRule="auto"/>
        <w:jc w:val="both"/>
        <w:rPr>
          <w:rFonts w:ascii="Arial" w:hAnsi="Arial" w:cs="Arial"/>
          <w:sz w:val="24"/>
          <w:szCs w:val="24"/>
        </w:rPr>
      </w:pPr>
    </w:p>
    <w:p w:rsidR="00783AE1" w:rsidRDefault="00783AE1" w:rsidP="00077D4E">
      <w:pPr>
        <w:spacing w:after="0" w:line="360" w:lineRule="auto"/>
        <w:jc w:val="both"/>
        <w:rPr>
          <w:rFonts w:ascii="Arial" w:hAnsi="Arial" w:cs="Arial"/>
          <w:sz w:val="24"/>
          <w:szCs w:val="24"/>
        </w:rPr>
      </w:pPr>
      <w:r>
        <w:rPr>
          <w:rFonts w:ascii="Arial" w:hAnsi="Arial" w:cs="Arial"/>
          <w:sz w:val="24"/>
          <w:szCs w:val="24"/>
        </w:rPr>
        <w:lastRenderedPageBreak/>
        <w:t>[</w:t>
      </w:r>
      <w:r w:rsidR="00AF41D1">
        <w:rPr>
          <w:rFonts w:ascii="Arial" w:hAnsi="Arial" w:cs="Arial"/>
          <w:sz w:val="24"/>
          <w:szCs w:val="24"/>
        </w:rPr>
        <w:t>3</w:t>
      </w:r>
      <w:r>
        <w:rPr>
          <w:rFonts w:ascii="Arial" w:hAnsi="Arial" w:cs="Arial"/>
          <w:sz w:val="24"/>
          <w:szCs w:val="24"/>
        </w:rPr>
        <w:t>]</w:t>
      </w:r>
      <w:r>
        <w:rPr>
          <w:rFonts w:ascii="Arial" w:hAnsi="Arial" w:cs="Arial"/>
          <w:sz w:val="24"/>
          <w:szCs w:val="24"/>
        </w:rPr>
        <w:tab/>
        <w:t>It should also be recorded that in order to expedite the proceedings the parties have also waived their right to oral argument. This judgment is thus made with reference to the papers exchanged between the parties and the written heads of argument filed in this regard.</w:t>
      </w:r>
    </w:p>
    <w:p w:rsidR="00077D4E" w:rsidRDefault="00077D4E" w:rsidP="00077D4E">
      <w:pPr>
        <w:spacing w:after="0" w:line="360" w:lineRule="auto"/>
        <w:jc w:val="both"/>
        <w:rPr>
          <w:rFonts w:ascii="Arial" w:hAnsi="Arial" w:cs="Arial"/>
          <w:sz w:val="24"/>
          <w:szCs w:val="24"/>
        </w:rPr>
      </w:pPr>
    </w:p>
    <w:p w:rsidR="00A23ED2" w:rsidRDefault="00A23ED2" w:rsidP="00EB08AF">
      <w:pPr>
        <w:spacing w:after="0" w:line="360" w:lineRule="auto"/>
        <w:jc w:val="both"/>
        <w:rPr>
          <w:rFonts w:ascii="Arial" w:hAnsi="Arial" w:cs="Arial"/>
          <w:sz w:val="24"/>
          <w:szCs w:val="24"/>
        </w:rPr>
      </w:pPr>
      <w:r>
        <w:rPr>
          <w:rFonts w:ascii="Arial" w:hAnsi="Arial" w:cs="Arial"/>
          <w:sz w:val="24"/>
          <w:szCs w:val="24"/>
        </w:rPr>
        <w:t>[</w:t>
      </w:r>
      <w:r w:rsidR="00AF41D1">
        <w:rPr>
          <w:rFonts w:ascii="Arial" w:hAnsi="Arial" w:cs="Arial"/>
          <w:sz w:val="24"/>
          <w:szCs w:val="24"/>
        </w:rPr>
        <w:t>4</w:t>
      </w:r>
      <w:r>
        <w:rPr>
          <w:rFonts w:ascii="Arial" w:hAnsi="Arial" w:cs="Arial"/>
          <w:sz w:val="24"/>
          <w:szCs w:val="24"/>
        </w:rPr>
        <w:t>]</w:t>
      </w:r>
      <w:r>
        <w:rPr>
          <w:rFonts w:ascii="Arial" w:hAnsi="Arial" w:cs="Arial"/>
          <w:sz w:val="24"/>
          <w:szCs w:val="24"/>
        </w:rPr>
        <w:tab/>
        <w:t xml:space="preserve">As a case is never determined </w:t>
      </w:r>
      <w:r w:rsidRPr="003745C2">
        <w:rPr>
          <w:rFonts w:ascii="Arial" w:hAnsi="Arial" w:cs="Arial"/>
          <w:i/>
          <w:sz w:val="24"/>
          <w:szCs w:val="24"/>
        </w:rPr>
        <w:t>in vacuo</w:t>
      </w:r>
      <w:r>
        <w:rPr>
          <w:rFonts w:ascii="Arial" w:hAnsi="Arial" w:cs="Arial"/>
          <w:sz w:val="24"/>
          <w:szCs w:val="24"/>
        </w:rPr>
        <w:t xml:space="preserve"> and</w:t>
      </w:r>
      <w:r w:rsidR="007E0D9F">
        <w:rPr>
          <w:rFonts w:ascii="Arial" w:hAnsi="Arial" w:cs="Arial"/>
          <w:sz w:val="24"/>
          <w:szCs w:val="24"/>
        </w:rPr>
        <w:t xml:space="preserve"> as context is generally</w:t>
      </w:r>
      <w:r w:rsidR="003745C2">
        <w:rPr>
          <w:rFonts w:ascii="Arial" w:hAnsi="Arial" w:cs="Arial"/>
          <w:sz w:val="24"/>
          <w:szCs w:val="24"/>
        </w:rPr>
        <w:t xml:space="preserve"> always</w:t>
      </w:r>
      <w:r w:rsidR="007E0D9F">
        <w:rPr>
          <w:rFonts w:ascii="Arial" w:hAnsi="Arial" w:cs="Arial"/>
          <w:sz w:val="24"/>
          <w:szCs w:val="24"/>
        </w:rPr>
        <w:t xml:space="preserve"> relevant I believe it</w:t>
      </w:r>
      <w:r>
        <w:rPr>
          <w:rFonts w:ascii="Arial" w:hAnsi="Arial" w:cs="Arial"/>
          <w:sz w:val="24"/>
          <w:szCs w:val="24"/>
        </w:rPr>
        <w:t xml:space="preserve"> apposite to first</w:t>
      </w:r>
      <w:r w:rsidR="007E0D9F">
        <w:rPr>
          <w:rFonts w:ascii="Arial" w:hAnsi="Arial" w:cs="Arial"/>
          <w:sz w:val="24"/>
          <w:szCs w:val="24"/>
        </w:rPr>
        <w:t xml:space="preserve"> call to mind against which backdrop this particular dispute will have to be decided.</w:t>
      </w:r>
    </w:p>
    <w:p w:rsidR="007E0D9F" w:rsidRDefault="007E0D9F" w:rsidP="00EB08AF">
      <w:pPr>
        <w:spacing w:after="0" w:line="360" w:lineRule="auto"/>
        <w:jc w:val="both"/>
        <w:rPr>
          <w:rFonts w:ascii="Arial" w:hAnsi="Arial" w:cs="Arial"/>
          <w:sz w:val="24"/>
          <w:szCs w:val="24"/>
        </w:rPr>
      </w:pPr>
    </w:p>
    <w:p w:rsidR="007E0D9F" w:rsidRPr="007E0D9F" w:rsidRDefault="007E0D9F" w:rsidP="00EB08AF">
      <w:pPr>
        <w:spacing w:after="0" w:line="360" w:lineRule="auto"/>
        <w:jc w:val="both"/>
        <w:rPr>
          <w:rFonts w:ascii="Arial" w:hAnsi="Arial" w:cs="Arial"/>
          <w:sz w:val="24"/>
          <w:szCs w:val="24"/>
          <w:u w:val="single"/>
        </w:rPr>
      </w:pPr>
      <w:r w:rsidRPr="007E0D9F">
        <w:rPr>
          <w:rFonts w:ascii="Arial" w:hAnsi="Arial" w:cs="Arial"/>
          <w:sz w:val="24"/>
          <w:szCs w:val="24"/>
          <w:u w:val="single"/>
        </w:rPr>
        <w:t>The context</w:t>
      </w:r>
    </w:p>
    <w:p w:rsidR="00A23ED2" w:rsidRDefault="00A23ED2" w:rsidP="00EB08AF">
      <w:pPr>
        <w:spacing w:after="0" w:line="360" w:lineRule="auto"/>
        <w:jc w:val="both"/>
        <w:rPr>
          <w:rFonts w:ascii="Arial" w:hAnsi="Arial" w:cs="Arial"/>
          <w:sz w:val="24"/>
          <w:szCs w:val="24"/>
        </w:rPr>
      </w:pPr>
    </w:p>
    <w:p w:rsidR="00220009" w:rsidRDefault="007E0D9F" w:rsidP="00EB08AF">
      <w:pPr>
        <w:spacing w:after="0" w:line="360" w:lineRule="auto"/>
        <w:jc w:val="both"/>
        <w:rPr>
          <w:rFonts w:ascii="Arial" w:hAnsi="Arial" w:cs="Arial"/>
          <w:sz w:val="24"/>
          <w:szCs w:val="24"/>
        </w:rPr>
      </w:pPr>
      <w:r>
        <w:rPr>
          <w:rFonts w:ascii="Arial" w:hAnsi="Arial" w:cs="Arial"/>
          <w:sz w:val="24"/>
          <w:szCs w:val="24"/>
        </w:rPr>
        <w:t>[</w:t>
      </w:r>
      <w:r w:rsidR="00AF41D1">
        <w:rPr>
          <w:rFonts w:ascii="Arial" w:hAnsi="Arial" w:cs="Arial"/>
          <w:sz w:val="24"/>
          <w:szCs w:val="24"/>
        </w:rPr>
        <w:t>5</w:t>
      </w:r>
      <w:r>
        <w:rPr>
          <w:rFonts w:ascii="Arial" w:hAnsi="Arial" w:cs="Arial"/>
          <w:sz w:val="24"/>
          <w:szCs w:val="24"/>
        </w:rPr>
        <w:t>]</w:t>
      </w:r>
      <w:r>
        <w:rPr>
          <w:rFonts w:ascii="Arial" w:hAnsi="Arial" w:cs="Arial"/>
          <w:sz w:val="24"/>
          <w:szCs w:val="24"/>
        </w:rPr>
        <w:tab/>
      </w:r>
      <w:r w:rsidR="000B6525">
        <w:rPr>
          <w:rFonts w:ascii="Arial" w:hAnsi="Arial" w:cs="Arial"/>
          <w:sz w:val="24"/>
          <w:szCs w:val="24"/>
        </w:rPr>
        <w:t>Mr Tö</w:t>
      </w:r>
      <w:r w:rsidR="00220009">
        <w:rPr>
          <w:rFonts w:ascii="Arial" w:hAnsi="Arial" w:cs="Arial"/>
          <w:sz w:val="24"/>
          <w:szCs w:val="24"/>
        </w:rPr>
        <w:t>temeyer SC, who drafted applicants’ heads of argument</w:t>
      </w:r>
      <w:r w:rsidR="007E6C90">
        <w:rPr>
          <w:rFonts w:ascii="Arial" w:hAnsi="Arial" w:cs="Arial"/>
          <w:sz w:val="24"/>
          <w:szCs w:val="24"/>
        </w:rPr>
        <w:t xml:space="preserve"> with Mr </w:t>
      </w:r>
      <w:r w:rsidR="0060227E">
        <w:rPr>
          <w:rFonts w:ascii="Arial" w:hAnsi="Arial" w:cs="Arial"/>
          <w:sz w:val="24"/>
          <w:szCs w:val="24"/>
        </w:rPr>
        <w:t>Maasdorp</w:t>
      </w:r>
      <w:r w:rsidR="00783AE1">
        <w:rPr>
          <w:rFonts w:ascii="Arial" w:hAnsi="Arial" w:cs="Arial"/>
          <w:sz w:val="24"/>
          <w:szCs w:val="24"/>
        </w:rPr>
        <w:t>’s assistance</w:t>
      </w:r>
      <w:r w:rsidR="0060227E">
        <w:rPr>
          <w:rFonts w:ascii="Arial" w:hAnsi="Arial" w:cs="Arial"/>
          <w:sz w:val="24"/>
          <w:szCs w:val="24"/>
        </w:rPr>
        <w:t>,</w:t>
      </w:r>
      <w:r w:rsidR="00220009">
        <w:rPr>
          <w:rFonts w:ascii="Arial" w:hAnsi="Arial" w:cs="Arial"/>
          <w:sz w:val="24"/>
          <w:szCs w:val="24"/>
        </w:rPr>
        <w:t xml:space="preserve"> sketched the background to these proc</w:t>
      </w:r>
      <w:r w:rsidR="00233E66">
        <w:rPr>
          <w:rFonts w:ascii="Arial" w:hAnsi="Arial" w:cs="Arial"/>
          <w:sz w:val="24"/>
          <w:szCs w:val="24"/>
        </w:rPr>
        <w:t>e</w:t>
      </w:r>
      <w:r w:rsidR="00220009">
        <w:rPr>
          <w:rFonts w:ascii="Arial" w:hAnsi="Arial" w:cs="Arial"/>
          <w:sz w:val="24"/>
          <w:szCs w:val="24"/>
        </w:rPr>
        <w:t>edings</w:t>
      </w:r>
      <w:r w:rsidR="00060268">
        <w:rPr>
          <w:rFonts w:ascii="Arial" w:hAnsi="Arial" w:cs="Arial"/>
          <w:sz w:val="24"/>
          <w:szCs w:val="24"/>
        </w:rPr>
        <w:t xml:space="preserve"> usefully</w:t>
      </w:r>
      <w:r w:rsidR="00220009">
        <w:rPr>
          <w:rFonts w:ascii="Arial" w:hAnsi="Arial" w:cs="Arial"/>
          <w:sz w:val="24"/>
          <w:szCs w:val="24"/>
        </w:rPr>
        <w:t xml:space="preserve"> in such heads as follows:</w:t>
      </w:r>
    </w:p>
    <w:p w:rsidR="00220009" w:rsidRDefault="00220009" w:rsidP="00EB08AF">
      <w:pPr>
        <w:spacing w:after="0" w:line="360" w:lineRule="auto"/>
        <w:jc w:val="both"/>
        <w:rPr>
          <w:rFonts w:ascii="Arial" w:hAnsi="Arial" w:cs="Arial"/>
          <w:sz w:val="24"/>
          <w:szCs w:val="24"/>
        </w:rPr>
      </w:pPr>
    </w:p>
    <w:p w:rsidR="009352BB" w:rsidRPr="00233E66" w:rsidRDefault="00233E66" w:rsidP="00233E66">
      <w:pPr>
        <w:spacing w:after="0" w:line="360" w:lineRule="auto"/>
        <w:ind w:firstLine="720"/>
        <w:jc w:val="both"/>
        <w:rPr>
          <w:rFonts w:ascii="Arial" w:hAnsi="Arial" w:cs="Arial"/>
        </w:rPr>
      </w:pPr>
      <w:r>
        <w:rPr>
          <w:rFonts w:ascii="Arial" w:hAnsi="Arial" w:cs="Arial"/>
          <w:sz w:val="24"/>
          <w:szCs w:val="24"/>
        </w:rPr>
        <w:t>‘</w:t>
      </w:r>
      <w:r w:rsidR="009352BB" w:rsidRPr="00233E66">
        <w:rPr>
          <w:rFonts w:ascii="Arial" w:hAnsi="Arial" w:cs="Arial"/>
        </w:rPr>
        <w:t>4.</w:t>
      </w:r>
      <w:r>
        <w:rPr>
          <w:rFonts w:ascii="Arial" w:hAnsi="Arial" w:cs="Arial"/>
        </w:rPr>
        <w:tab/>
      </w:r>
      <w:r w:rsidR="009352BB" w:rsidRPr="00233E66">
        <w:rPr>
          <w:rFonts w:ascii="Arial" w:hAnsi="Arial" w:cs="Arial"/>
        </w:rPr>
        <w:t xml:space="preserve">The review seeks to set aside Notices and Regulations published on 29 December 2017 (“the December 2017 Notices”) under the Namibia National Reinsurance Corporation Act, 1998 (“the NamibRe Act”) by the Minister of Finance (“the Minister”).  The Notices were preceded by a consultation process between February 2017 and October 2017, which the applicants assert was fundamentally flawed.  The consultation process was in turn preceded by two earlier detailed review applications brought by the applicants in December 2016, against similar Notices published by the same Minister in November 2016.  The Minister withdrew those 2016 Notices on 14 February 2017 and on the same day published an invitation to consult on new notices (“the Valentine’s Day invitation”).  The invitation was accompanied by detailed draft Notices that would inform the consultation.  </w:t>
      </w:r>
    </w:p>
    <w:p w:rsidR="009352BB" w:rsidRPr="00233E66" w:rsidRDefault="009352BB" w:rsidP="00233E66">
      <w:pPr>
        <w:spacing w:after="0" w:line="360" w:lineRule="auto"/>
        <w:jc w:val="both"/>
        <w:rPr>
          <w:rFonts w:ascii="Arial" w:hAnsi="Arial" w:cs="Arial"/>
        </w:rPr>
      </w:pPr>
    </w:p>
    <w:p w:rsid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5.</w:t>
      </w:r>
      <w:r w:rsidR="00233E66">
        <w:rPr>
          <w:rFonts w:ascii="Arial" w:hAnsi="Arial" w:cs="Arial"/>
          <w:b w:val="0"/>
          <w:sz w:val="22"/>
          <w:szCs w:val="22"/>
        </w:rPr>
        <w:tab/>
      </w:r>
      <w:r w:rsidRPr="00233E66">
        <w:rPr>
          <w:rFonts w:ascii="Arial" w:hAnsi="Arial" w:cs="Arial"/>
          <w:b w:val="0"/>
          <w:sz w:val="22"/>
          <w:szCs w:val="22"/>
        </w:rPr>
        <w:t xml:space="preserve">The Minister had withdrawn the 2016 Notices without producing any reasons for the 2016 Notices or any record of his decision making in respect thereof, despite having been called upon to do so.  The Minister also did not explain how he arrived at the percentages and other information in the detailed draft Notices.  The Minister then, in correspondence exchanged over 4 months, refused to inform the applicants what informed the draft notices or provide copies of the documents he had before him when preparing the draft Notices.  The applicants were compelled to launch an application to the High Court for access to the information, which they launched on 30 June 2017.  This Information Application remains pending as the Minister continues to refuse to inform the applicants what material he had </w:t>
      </w:r>
      <w:r w:rsidRPr="00233E66">
        <w:rPr>
          <w:rFonts w:ascii="Arial" w:hAnsi="Arial" w:cs="Arial"/>
          <w:b w:val="0"/>
          <w:sz w:val="22"/>
          <w:szCs w:val="22"/>
        </w:rPr>
        <w:lastRenderedPageBreak/>
        <w:t xml:space="preserve">before him when he prepared the draft Notices, or provide them with copies of documents which the applicants specifically requested from him. </w:t>
      </w:r>
    </w:p>
    <w:p w:rsidR="009352BB" w:rsidRP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 xml:space="preserve"> </w:t>
      </w:r>
    </w:p>
    <w:p w:rsidR="009352BB" w:rsidRP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6.</w:t>
      </w:r>
      <w:r w:rsidR="00233E66">
        <w:rPr>
          <w:rFonts w:ascii="Arial" w:hAnsi="Arial" w:cs="Arial"/>
          <w:b w:val="0"/>
          <w:sz w:val="22"/>
          <w:szCs w:val="22"/>
        </w:rPr>
        <w:tab/>
      </w:r>
      <w:r w:rsidRPr="00233E66">
        <w:rPr>
          <w:rFonts w:ascii="Arial" w:hAnsi="Arial" w:cs="Arial"/>
          <w:b w:val="0"/>
          <w:sz w:val="22"/>
          <w:szCs w:val="22"/>
        </w:rPr>
        <w:t xml:space="preserve">The 2016 Notices were, and the 2017 Notices are aimed at implementing the three pillars of the NamibRe Act.  The pillars are the compulsory cession by each insurer to NamibRe of a percentage determined by the Minister of the value of each insurance policy; the compulsory cession by each insurer to NamibRe of the value of each reinsurance contract placed by that insurer with any other insurer or reinsurer; and the right of first refusal in respect of all reinsurance contracts in favour of NamibRe.  The Minister is further empowered by the NamibRe Act to determine the rate of reinsurance commission payable by NamibRe to insurers.  </w:t>
      </w:r>
    </w:p>
    <w:p w:rsidR="009352BB" w:rsidRPr="00233E66" w:rsidRDefault="009352BB" w:rsidP="00233E66">
      <w:pPr>
        <w:spacing w:after="0" w:line="360" w:lineRule="auto"/>
        <w:jc w:val="both"/>
        <w:rPr>
          <w:rFonts w:ascii="Arial" w:hAnsi="Arial" w:cs="Arial"/>
        </w:rPr>
      </w:pPr>
    </w:p>
    <w:p w:rsidR="009352BB" w:rsidRP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7.</w:t>
      </w:r>
      <w:r w:rsidR="00233E66">
        <w:rPr>
          <w:rFonts w:ascii="Arial" w:hAnsi="Arial" w:cs="Arial"/>
          <w:b w:val="0"/>
          <w:sz w:val="22"/>
          <w:szCs w:val="22"/>
        </w:rPr>
        <w:tab/>
      </w:r>
      <w:r w:rsidRPr="00233E66">
        <w:rPr>
          <w:rFonts w:ascii="Arial" w:hAnsi="Arial" w:cs="Arial"/>
          <w:b w:val="0"/>
          <w:sz w:val="22"/>
          <w:szCs w:val="22"/>
        </w:rPr>
        <w:t>The 2016 Notices set the percentages in respect of the first pillar at 12.5 percent for 2017, increasing to 15 percent from 1 January 2018, then to 17.5 percent from 1 January 2019, and finally to 20 percent from 1 January 2020.  The second pillar percentage was fixed at 20 percent.</w:t>
      </w:r>
      <w:r w:rsidRPr="00233E66">
        <w:rPr>
          <w:rStyle w:val="FootnoteReference"/>
          <w:rFonts w:ascii="Arial" w:hAnsi="Arial" w:cs="Arial"/>
          <w:b w:val="0"/>
          <w:sz w:val="22"/>
          <w:szCs w:val="22"/>
        </w:rPr>
        <w:footnoteReference w:id="1"/>
      </w:r>
      <w:r w:rsidRPr="00233E66">
        <w:rPr>
          <w:rFonts w:ascii="Arial" w:hAnsi="Arial" w:cs="Arial"/>
          <w:b w:val="0"/>
          <w:sz w:val="22"/>
          <w:szCs w:val="22"/>
        </w:rPr>
        <w:t xml:space="preserve">  The 2016 Notices also specified the rate of commission, over-rider commission and rate of reinsurance brokerage payable by NamibRe to insurers and reinsurers.  </w:t>
      </w:r>
    </w:p>
    <w:p w:rsidR="009352BB" w:rsidRPr="00233E66" w:rsidRDefault="009352BB" w:rsidP="00233E66">
      <w:pPr>
        <w:spacing w:after="0" w:line="360" w:lineRule="auto"/>
        <w:jc w:val="both"/>
        <w:rPr>
          <w:rFonts w:ascii="Arial" w:hAnsi="Arial" w:cs="Arial"/>
        </w:rPr>
      </w:pPr>
    </w:p>
    <w:p w:rsidR="009352BB" w:rsidRP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8.</w:t>
      </w:r>
      <w:r w:rsidR="00233E66">
        <w:rPr>
          <w:rFonts w:ascii="Arial" w:hAnsi="Arial" w:cs="Arial"/>
          <w:b w:val="0"/>
          <w:sz w:val="22"/>
          <w:szCs w:val="22"/>
        </w:rPr>
        <w:tab/>
      </w:r>
      <w:r w:rsidRPr="00233E66">
        <w:rPr>
          <w:rFonts w:ascii="Arial" w:hAnsi="Arial" w:cs="Arial"/>
          <w:b w:val="0"/>
          <w:sz w:val="22"/>
          <w:szCs w:val="22"/>
        </w:rPr>
        <w:t>The Valentine’s Day invitation set the percentages at 18 percent in respect of the first pillar</w:t>
      </w:r>
      <w:r w:rsidRPr="00233E66">
        <w:rPr>
          <w:rStyle w:val="FootnoteReference"/>
          <w:rFonts w:ascii="Arial" w:hAnsi="Arial" w:cs="Arial"/>
          <w:b w:val="0"/>
          <w:sz w:val="22"/>
          <w:szCs w:val="22"/>
        </w:rPr>
        <w:footnoteReference w:id="2"/>
      </w:r>
      <w:r w:rsidRPr="00233E66">
        <w:rPr>
          <w:rFonts w:ascii="Arial" w:hAnsi="Arial" w:cs="Arial"/>
          <w:b w:val="0"/>
          <w:sz w:val="22"/>
          <w:szCs w:val="22"/>
        </w:rPr>
        <w:t xml:space="preserve"> and 20 percent in respect of the second pillar.</w:t>
      </w:r>
      <w:r w:rsidRPr="00233E66">
        <w:rPr>
          <w:rStyle w:val="FootnoteReference"/>
          <w:rFonts w:ascii="Arial" w:hAnsi="Arial" w:cs="Arial"/>
          <w:b w:val="0"/>
          <w:sz w:val="22"/>
          <w:szCs w:val="22"/>
        </w:rPr>
        <w:footnoteReference w:id="3"/>
      </w:r>
      <w:r w:rsidRPr="00233E66">
        <w:rPr>
          <w:rFonts w:ascii="Arial" w:hAnsi="Arial" w:cs="Arial"/>
          <w:b w:val="0"/>
          <w:sz w:val="22"/>
          <w:szCs w:val="22"/>
        </w:rPr>
        <w:t xml:space="preserve">  It also specified the rate of commission payable to insurers and dealt with several practical aspects not addressed in the 2016 Notices.  </w:t>
      </w:r>
    </w:p>
    <w:p w:rsidR="009352BB" w:rsidRPr="00233E66" w:rsidRDefault="009352BB" w:rsidP="00233E66">
      <w:pPr>
        <w:spacing w:after="0" w:line="360" w:lineRule="auto"/>
        <w:jc w:val="both"/>
        <w:rPr>
          <w:rFonts w:ascii="Arial" w:hAnsi="Arial" w:cs="Arial"/>
        </w:rPr>
      </w:pPr>
    </w:p>
    <w:p w:rsidR="009352BB" w:rsidRP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9.</w:t>
      </w:r>
      <w:r w:rsidR="00233E66">
        <w:rPr>
          <w:rFonts w:ascii="Arial" w:hAnsi="Arial" w:cs="Arial"/>
          <w:b w:val="0"/>
          <w:sz w:val="22"/>
          <w:szCs w:val="22"/>
        </w:rPr>
        <w:tab/>
      </w:r>
      <w:r w:rsidRPr="00233E66">
        <w:rPr>
          <w:rFonts w:ascii="Arial" w:hAnsi="Arial" w:cs="Arial"/>
          <w:b w:val="0"/>
          <w:sz w:val="22"/>
          <w:szCs w:val="22"/>
        </w:rPr>
        <w:t xml:space="preserve">In the December 2017 Notices, the first pillar percentage was again fixed at 12.5 percent (with no indication whether, when and by how much the percentage would increase), and 20 percent in respect of the second pillar.  The December 2017 Notices also set out the rate of commission and practical measures as proposed in the Valentine’s Day invitation.  </w:t>
      </w:r>
    </w:p>
    <w:p w:rsidR="009352BB" w:rsidRPr="00233E66" w:rsidRDefault="009352BB" w:rsidP="00233E66">
      <w:pPr>
        <w:spacing w:after="0" w:line="360" w:lineRule="auto"/>
        <w:jc w:val="both"/>
        <w:rPr>
          <w:rFonts w:ascii="Arial" w:hAnsi="Arial" w:cs="Arial"/>
        </w:rPr>
      </w:pPr>
    </w:p>
    <w:p w:rsidR="009352BB" w:rsidRP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10.</w:t>
      </w:r>
      <w:r w:rsidR="00233E66">
        <w:rPr>
          <w:rFonts w:ascii="Arial" w:hAnsi="Arial" w:cs="Arial"/>
          <w:b w:val="0"/>
          <w:sz w:val="22"/>
          <w:szCs w:val="22"/>
        </w:rPr>
        <w:tab/>
      </w:r>
      <w:r w:rsidRPr="00233E66">
        <w:rPr>
          <w:rFonts w:ascii="Arial" w:hAnsi="Arial" w:cs="Arial"/>
          <w:b w:val="0"/>
          <w:sz w:val="22"/>
          <w:szCs w:val="22"/>
        </w:rPr>
        <w:t xml:space="preserve">The Minister did make revisions to the portion of the insurance premium to be ceded by long-term insurers, and introduced an over-rider commission for short-term insurers, and addressed some of the participants in the consultation process’ practical concerns, but left several other significant concerns unaddressed.  The key features of the 2016 Notices - the 12.5% and 20% compulsory cession of insurance and reinsurance contracts - thus remained even after the flawed consultation process, as did the vast majority of the proposals in the Valentine’s Day invitation.  The undisputed evidence is that the terms of the 2016 Notices </w:t>
      </w:r>
      <w:r w:rsidRPr="00233E66">
        <w:rPr>
          <w:rFonts w:ascii="Arial" w:hAnsi="Arial" w:cs="Arial"/>
          <w:b w:val="0"/>
          <w:sz w:val="22"/>
          <w:szCs w:val="22"/>
        </w:rPr>
        <w:lastRenderedPageBreak/>
        <w:t>were determined by Cabinet directive and were never explicitly up for discussion with the insurance industry.</w:t>
      </w:r>
      <w:r w:rsidRPr="00233E66">
        <w:rPr>
          <w:rStyle w:val="FootnoteReference"/>
          <w:rFonts w:ascii="Arial" w:hAnsi="Arial" w:cs="Arial"/>
          <w:b w:val="0"/>
          <w:sz w:val="22"/>
          <w:szCs w:val="22"/>
        </w:rPr>
        <w:footnoteReference w:id="4"/>
      </w:r>
      <w:r w:rsidRPr="00233E66">
        <w:rPr>
          <w:rFonts w:ascii="Arial" w:hAnsi="Arial" w:cs="Arial"/>
          <w:b w:val="0"/>
          <w:sz w:val="22"/>
          <w:szCs w:val="22"/>
        </w:rPr>
        <w:t xml:space="preserve">  </w:t>
      </w:r>
    </w:p>
    <w:p w:rsidR="009352BB" w:rsidRPr="00233E66" w:rsidRDefault="009352BB" w:rsidP="00233E66">
      <w:pPr>
        <w:spacing w:after="0" w:line="360" w:lineRule="auto"/>
        <w:jc w:val="both"/>
        <w:rPr>
          <w:rFonts w:ascii="Arial" w:hAnsi="Arial" w:cs="Arial"/>
        </w:rPr>
      </w:pPr>
    </w:p>
    <w:p w:rsidR="009352BB" w:rsidRPr="00233E66" w:rsidRDefault="009352BB" w:rsidP="00233E66">
      <w:pPr>
        <w:pStyle w:val="Heading1"/>
        <w:spacing w:before="0" w:after="0" w:line="360" w:lineRule="auto"/>
        <w:jc w:val="both"/>
        <w:rPr>
          <w:rFonts w:ascii="Arial" w:hAnsi="Arial" w:cs="Arial"/>
          <w:b w:val="0"/>
          <w:sz w:val="22"/>
          <w:szCs w:val="22"/>
        </w:rPr>
      </w:pPr>
      <w:r w:rsidRPr="00233E66">
        <w:rPr>
          <w:rFonts w:ascii="Arial" w:hAnsi="Arial" w:cs="Arial"/>
          <w:b w:val="0"/>
          <w:sz w:val="22"/>
          <w:szCs w:val="22"/>
        </w:rPr>
        <w:t>11.</w:t>
      </w:r>
      <w:r w:rsidR="00233E66">
        <w:rPr>
          <w:rFonts w:ascii="Arial" w:hAnsi="Arial" w:cs="Arial"/>
          <w:b w:val="0"/>
          <w:sz w:val="22"/>
          <w:szCs w:val="22"/>
        </w:rPr>
        <w:tab/>
      </w:r>
      <w:r w:rsidRPr="00233E66">
        <w:rPr>
          <w:rFonts w:ascii="Arial" w:hAnsi="Arial" w:cs="Arial"/>
          <w:b w:val="0"/>
          <w:sz w:val="22"/>
          <w:szCs w:val="22"/>
        </w:rPr>
        <w:t xml:space="preserve">These similarities, amongst others, support the applicants’ entitlement to all documents which, on a wide definition of a record, would have formed part of the record of decision making for the 2016 Notices, and their entitlement to all documents which moved the Valentine’s Day invitation, as those categories of documents are clearly also relevant to the </w:t>
      </w:r>
      <w:r w:rsidRPr="00233E66">
        <w:rPr>
          <w:rFonts w:ascii="Arial" w:hAnsi="Arial" w:cs="Arial"/>
          <w:b w:val="0"/>
          <w:sz w:val="22"/>
          <w:szCs w:val="22"/>
        </w:rPr>
        <w:br/>
        <w:t>December 2017 Notices sought to be reviewed in the present review application.</w:t>
      </w:r>
      <w:r w:rsidR="00233E66">
        <w:rPr>
          <w:rFonts w:ascii="Arial" w:hAnsi="Arial" w:cs="Arial"/>
          <w:b w:val="0"/>
          <w:sz w:val="22"/>
          <w:szCs w:val="22"/>
        </w:rPr>
        <w:t>’</w:t>
      </w:r>
    </w:p>
    <w:p w:rsidR="009352BB" w:rsidRPr="00A112BB" w:rsidRDefault="009352BB" w:rsidP="009352BB">
      <w:pPr>
        <w:rPr>
          <w:szCs w:val="24"/>
        </w:rPr>
      </w:pPr>
    </w:p>
    <w:p w:rsidR="003745C2" w:rsidRDefault="003745C2" w:rsidP="00EB08AF">
      <w:pPr>
        <w:spacing w:after="0" w:line="360" w:lineRule="auto"/>
        <w:jc w:val="both"/>
        <w:rPr>
          <w:rFonts w:ascii="Arial" w:hAnsi="Arial" w:cs="Arial"/>
          <w:sz w:val="24"/>
          <w:szCs w:val="24"/>
        </w:rPr>
      </w:pPr>
      <w:r>
        <w:rPr>
          <w:rFonts w:ascii="Arial" w:hAnsi="Arial" w:cs="Arial"/>
          <w:sz w:val="24"/>
          <w:szCs w:val="24"/>
        </w:rPr>
        <w:t>[</w:t>
      </w:r>
      <w:r w:rsidR="00AF41D1">
        <w:rPr>
          <w:rFonts w:ascii="Arial" w:hAnsi="Arial" w:cs="Arial"/>
          <w:sz w:val="24"/>
          <w:szCs w:val="24"/>
        </w:rPr>
        <w:t>6</w:t>
      </w:r>
      <w:r>
        <w:rPr>
          <w:rFonts w:ascii="Arial" w:hAnsi="Arial" w:cs="Arial"/>
          <w:sz w:val="24"/>
          <w:szCs w:val="24"/>
        </w:rPr>
        <w:t>]</w:t>
      </w:r>
      <w:r>
        <w:rPr>
          <w:rFonts w:ascii="Arial" w:hAnsi="Arial" w:cs="Arial"/>
          <w:sz w:val="24"/>
          <w:szCs w:val="24"/>
        </w:rPr>
        <w:tab/>
      </w:r>
      <w:r w:rsidR="007E6C90">
        <w:rPr>
          <w:rFonts w:ascii="Arial" w:hAnsi="Arial" w:cs="Arial"/>
          <w:sz w:val="24"/>
          <w:szCs w:val="24"/>
        </w:rPr>
        <w:t>Counsel for the respondents</w:t>
      </w:r>
      <w:r w:rsidR="003F287B">
        <w:rPr>
          <w:rFonts w:ascii="Arial" w:hAnsi="Arial" w:cs="Arial"/>
          <w:sz w:val="24"/>
          <w:szCs w:val="24"/>
        </w:rPr>
        <w:t>, Mr Gauntlett SC, Q</w:t>
      </w:r>
      <w:r w:rsidR="00783AE1">
        <w:rPr>
          <w:rFonts w:ascii="Arial" w:hAnsi="Arial" w:cs="Arial"/>
          <w:sz w:val="24"/>
          <w:szCs w:val="24"/>
        </w:rPr>
        <w:t>C assisted by Messrs Namandje</w:t>
      </w:r>
      <w:r w:rsidR="0033492B">
        <w:rPr>
          <w:rFonts w:ascii="Arial" w:hAnsi="Arial" w:cs="Arial"/>
          <w:sz w:val="24"/>
          <w:szCs w:val="24"/>
        </w:rPr>
        <w:t>, Kelly and Nekwaya,</w:t>
      </w:r>
      <w:r w:rsidR="007E6C90">
        <w:rPr>
          <w:rFonts w:ascii="Arial" w:hAnsi="Arial" w:cs="Arial"/>
          <w:sz w:val="24"/>
          <w:szCs w:val="24"/>
        </w:rPr>
        <w:t xml:space="preserve"> on the other hand</w:t>
      </w:r>
      <w:r>
        <w:rPr>
          <w:rFonts w:ascii="Arial" w:hAnsi="Arial" w:cs="Arial"/>
          <w:sz w:val="24"/>
          <w:szCs w:val="24"/>
        </w:rPr>
        <w:t xml:space="preserve"> placed a different emphasis on the events leading up to this interlocutory skirmish. They </w:t>
      </w:r>
      <w:r w:rsidR="001B48BF">
        <w:rPr>
          <w:rFonts w:ascii="Arial" w:hAnsi="Arial" w:cs="Arial"/>
          <w:sz w:val="24"/>
          <w:szCs w:val="24"/>
        </w:rPr>
        <w:t>did</w:t>
      </w:r>
      <w:r>
        <w:rPr>
          <w:rFonts w:ascii="Arial" w:hAnsi="Arial" w:cs="Arial"/>
          <w:sz w:val="24"/>
          <w:szCs w:val="24"/>
        </w:rPr>
        <w:t xml:space="preserve"> so as follows:</w:t>
      </w:r>
    </w:p>
    <w:p w:rsidR="003745C2" w:rsidRPr="00060268" w:rsidRDefault="00060268" w:rsidP="00EB08AF">
      <w:pPr>
        <w:spacing w:after="0" w:line="360" w:lineRule="auto"/>
        <w:jc w:val="both"/>
        <w:rPr>
          <w:rFonts w:ascii="Arial" w:hAnsi="Arial" w:cs="Arial"/>
        </w:rPr>
      </w:pPr>
      <w:r>
        <w:rPr>
          <w:rFonts w:ascii="Arial" w:hAnsi="Arial" w:cs="Arial"/>
        </w:rPr>
        <w:tab/>
      </w:r>
      <w:r>
        <w:rPr>
          <w:rFonts w:ascii="Arial" w:hAnsi="Arial" w:cs="Arial"/>
        </w:rPr>
        <w:tab/>
      </w:r>
    </w:p>
    <w:p w:rsidR="001B48BF" w:rsidRPr="00060268" w:rsidRDefault="00060268" w:rsidP="000B16AD">
      <w:pPr>
        <w:numPr>
          <w:ilvl w:val="0"/>
          <w:numId w:val="3"/>
        </w:numPr>
        <w:spacing w:after="0" w:line="360" w:lineRule="auto"/>
        <w:ind w:left="0" w:firstLine="0"/>
        <w:jc w:val="both"/>
        <w:rPr>
          <w:rFonts w:ascii="Arial" w:hAnsi="Arial" w:cs="Arial"/>
          <w:color w:val="000000" w:themeColor="text1"/>
        </w:rPr>
      </w:pPr>
      <w:r>
        <w:rPr>
          <w:rFonts w:ascii="Arial" w:hAnsi="Arial" w:cs="Arial"/>
          <w:color w:val="000000" w:themeColor="text1"/>
          <w:lang w:val="en-GB"/>
        </w:rPr>
        <w:t>‘</w:t>
      </w:r>
      <w:r w:rsidR="001B48BF" w:rsidRPr="00060268">
        <w:rPr>
          <w:rFonts w:ascii="Arial" w:hAnsi="Arial" w:cs="Arial"/>
          <w:color w:val="000000" w:themeColor="text1"/>
          <w:lang w:val="en-GB"/>
        </w:rPr>
        <w:t>This is the third interlocutory application the applicants have brought to their pending review. The review is itself ancillary to a separately-instituted constitutional challenge by way of trial action. The trial action is being enrolled for the first term of 2019. The review is not even enrolled.</w:t>
      </w:r>
    </w:p>
    <w:p w:rsidR="00233E66" w:rsidRPr="00060268" w:rsidRDefault="00233E66" w:rsidP="000B16AD">
      <w:pPr>
        <w:spacing w:after="0" w:line="360" w:lineRule="auto"/>
        <w:jc w:val="both"/>
        <w:rPr>
          <w:rFonts w:ascii="Arial" w:hAnsi="Arial" w:cs="Arial"/>
          <w:color w:val="000000" w:themeColor="text1"/>
        </w:rPr>
      </w:pPr>
    </w:p>
    <w:p w:rsidR="001B48BF"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lang w:val="en-GB"/>
        </w:rPr>
        <w:t>This third interlocutory invokes rule 76(6).  It seeks to compel the first respondent (‘the Minister’) to produce documents for purposes of the review proceedings.  These in addition to the record of his decision already produced under Rule 76, and separately confirmed by him on oath.</w:t>
      </w:r>
    </w:p>
    <w:p w:rsidR="00233E66" w:rsidRPr="00060268" w:rsidRDefault="00233E66" w:rsidP="000B16AD">
      <w:pPr>
        <w:spacing w:after="0" w:line="360" w:lineRule="auto"/>
        <w:jc w:val="both"/>
        <w:rPr>
          <w:rFonts w:ascii="Arial" w:hAnsi="Arial" w:cs="Arial"/>
          <w:color w:val="000000" w:themeColor="text1"/>
        </w:rPr>
      </w:pPr>
    </w:p>
    <w:p w:rsidR="001B48BF"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lang w:val="en-GB"/>
        </w:rPr>
        <w:t>The latest application has been brought against the backdrop of proceedings to enforce (in the interim, pending the review and the constitutional challenge, which the parties at the time agreed might take two or more years to achieve finality</w:t>
      </w:r>
      <w:r w:rsidRPr="00060268">
        <w:rPr>
          <w:rStyle w:val="FootnoteReference"/>
          <w:rFonts w:ascii="Arial" w:hAnsi="Arial" w:cs="Arial"/>
          <w:color w:val="000000" w:themeColor="text1"/>
          <w:lang w:val="en-GB"/>
        </w:rPr>
        <w:footnoteReference w:id="5"/>
      </w:r>
      <w:r w:rsidRPr="00060268">
        <w:rPr>
          <w:rFonts w:ascii="Arial" w:hAnsi="Arial" w:cs="Arial"/>
          <w:color w:val="000000" w:themeColor="text1"/>
          <w:lang w:val="en-GB"/>
        </w:rPr>
        <w:t>) measures promulgated by the Minister under the Namibia National Reinsurance Corporation Act 22 of 1998 (‘the Act’). Earlier this month the Supreme Court set aside its own dismissal (by Frank AJA sitting in chambers) of an application by the respondents for leave to appeal against the judgment by Masuku J “</w:t>
      </w:r>
      <w:r w:rsidRPr="00060268">
        <w:rPr>
          <w:rFonts w:ascii="Arial" w:hAnsi="Arial" w:cs="Arial"/>
          <w:i/>
          <w:color w:val="000000" w:themeColor="text1"/>
          <w:lang w:val="en-GB"/>
        </w:rPr>
        <w:t>staying</w:t>
      </w:r>
      <w:r w:rsidRPr="00060268">
        <w:rPr>
          <w:rFonts w:ascii="Arial" w:hAnsi="Arial" w:cs="Arial"/>
          <w:color w:val="000000" w:themeColor="text1"/>
          <w:lang w:val="en-GB"/>
        </w:rPr>
        <w:t>” the Act.  It granted leave, holding (para 119) that the respondents have “</w:t>
      </w:r>
      <w:r w:rsidRPr="00060268">
        <w:rPr>
          <w:rFonts w:ascii="Arial" w:hAnsi="Arial" w:cs="Arial"/>
          <w:i/>
          <w:color w:val="000000" w:themeColor="text1"/>
          <w:lang w:val="en-GB"/>
        </w:rPr>
        <w:t>more than reasonable</w:t>
      </w:r>
      <w:r w:rsidRPr="00060268">
        <w:rPr>
          <w:rFonts w:ascii="Arial" w:hAnsi="Arial" w:cs="Arial"/>
          <w:color w:val="000000" w:themeColor="text1"/>
          <w:lang w:val="en-GB"/>
        </w:rPr>
        <w:t>” prospects of setting aside Masuku J’s order</w:t>
      </w:r>
      <w:r w:rsidRPr="00060268">
        <w:rPr>
          <w:rStyle w:val="FootnoteReference"/>
          <w:rFonts w:ascii="Arial" w:hAnsi="Arial" w:cs="Arial"/>
          <w:color w:val="000000" w:themeColor="text1"/>
          <w:lang w:val="en-GB"/>
        </w:rPr>
        <w:footnoteReference w:id="6"/>
      </w:r>
      <w:r w:rsidRPr="00060268">
        <w:rPr>
          <w:rFonts w:ascii="Arial" w:hAnsi="Arial" w:cs="Arial"/>
          <w:color w:val="000000" w:themeColor="text1"/>
          <w:lang w:val="en-GB"/>
        </w:rPr>
        <w:t xml:space="preserve">.The litigation history is </w:t>
      </w:r>
      <w:r w:rsidRPr="00060268">
        <w:rPr>
          <w:rFonts w:ascii="Arial" w:hAnsi="Arial" w:cs="Arial"/>
          <w:color w:val="000000" w:themeColor="text1"/>
          <w:lang w:val="en-GB"/>
        </w:rPr>
        <w:lastRenderedPageBreak/>
        <w:t xml:space="preserve">helpfully summarised in that judgment.  It aptly describes the pursuit of litigation by the applicants as a </w:t>
      </w:r>
      <w:r w:rsidRPr="00060268">
        <w:rPr>
          <w:rFonts w:ascii="Arial" w:hAnsi="Arial" w:cs="Arial"/>
          <w:i/>
          <w:color w:val="000000" w:themeColor="text1"/>
          <w:lang w:val="en-GB"/>
        </w:rPr>
        <w:t>“cause</w:t>
      </w:r>
      <w:r w:rsidRPr="00060268">
        <w:rPr>
          <w:rFonts w:ascii="Arial" w:hAnsi="Arial" w:cs="Arial"/>
          <w:color w:val="000000" w:themeColor="text1"/>
          <w:lang w:val="en-GB"/>
        </w:rPr>
        <w:t>”.</w:t>
      </w:r>
      <w:r w:rsidRPr="00060268">
        <w:rPr>
          <w:rStyle w:val="FootnoteReference"/>
          <w:rFonts w:ascii="Arial" w:hAnsi="Arial" w:cs="Arial"/>
          <w:color w:val="000000" w:themeColor="text1"/>
          <w:lang w:val="en-GB"/>
        </w:rPr>
        <w:footnoteReference w:id="7"/>
      </w:r>
      <w:r w:rsidRPr="00060268">
        <w:rPr>
          <w:rFonts w:ascii="Arial" w:hAnsi="Arial" w:cs="Arial"/>
          <w:color w:val="000000" w:themeColor="text1"/>
          <w:lang w:val="en-GB"/>
        </w:rPr>
        <w:t xml:space="preserve"> </w:t>
      </w:r>
    </w:p>
    <w:p w:rsidR="00233E66" w:rsidRPr="00060268" w:rsidRDefault="00233E66" w:rsidP="000B16AD">
      <w:pPr>
        <w:spacing w:after="0" w:line="360" w:lineRule="auto"/>
        <w:jc w:val="both"/>
        <w:rPr>
          <w:rFonts w:ascii="Arial" w:hAnsi="Arial" w:cs="Arial"/>
          <w:color w:val="000000" w:themeColor="text1"/>
        </w:rPr>
      </w:pPr>
    </w:p>
    <w:p w:rsidR="001B48BF"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rPr>
        <w:t xml:space="preserve">In June 2017 the applicants instituted a so-called </w:t>
      </w:r>
      <w:r w:rsidRPr="00060268">
        <w:rPr>
          <w:rFonts w:ascii="Arial" w:hAnsi="Arial" w:cs="Arial"/>
          <w:i/>
          <w:iCs/>
          <w:color w:val="000000" w:themeColor="text1"/>
        </w:rPr>
        <w:t>“access to information application”</w:t>
      </w:r>
      <w:r w:rsidRPr="00060268">
        <w:rPr>
          <w:rFonts w:ascii="Arial" w:hAnsi="Arial" w:cs="Arial"/>
          <w:color w:val="000000" w:themeColor="text1"/>
        </w:rPr>
        <w:t>.  This despite the explicit holding previously by the Supreme Court of what is apparent on a mere reading of the Constitution: that the Bill of Rights includes no such right.</w:t>
      </w:r>
      <w:r w:rsidRPr="00060268">
        <w:rPr>
          <w:rStyle w:val="FootnoteReference"/>
          <w:rFonts w:ascii="Arial" w:hAnsi="Arial" w:cs="Arial"/>
          <w:color w:val="000000" w:themeColor="text1"/>
        </w:rPr>
        <w:footnoteReference w:id="8"/>
      </w:r>
      <w:r w:rsidRPr="00060268">
        <w:rPr>
          <w:rFonts w:ascii="Arial" w:hAnsi="Arial" w:cs="Arial"/>
          <w:color w:val="000000" w:themeColor="text1"/>
        </w:rPr>
        <w:t xml:space="preserve">  That application (the first of the three interlocutories brought by the applicants) was launched in the course of a year-long public consultative process about measures that the Minister was at the time considering implementing, but </w:t>
      </w:r>
      <w:r w:rsidRPr="00060268">
        <w:rPr>
          <w:rFonts w:ascii="Arial" w:hAnsi="Arial" w:cs="Arial"/>
          <w:color w:val="000000" w:themeColor="text1"/>
          <w:u w:val="single"/>
        </w:rPr>
        <w:t>before</w:t>
      </w:r>
      <w:r w:rsidRPr="00060268">
        <w:rPr>
          <w:rFonts w:ascii="Arial" w:hAnsi="Arial" w:cs="Arial"/>
          <w:color w:val="000000" w:themeColor="text1"/>
        </w:rPr>
        <w:t xml:space="preserve"> the Minister had taken any decision to do so.  </w:t>
      </w:r>
    </w:p>
    <w:p w:rsidR="00233E66" w:rsidRPr="00060268" w:rsidRDefault="00233E66" w:rsidP="000B16AD">
      <w:pPr>
        <w:spacing w:after="0" w:line="360" w:lineRule="auto"/>
        <w:jc w:val="both"/>
        <w:rPr>
          <w:rFonts w:ascii="Arial" w:hAnsi="Arial" w:cs="Arial"/>
          <w:color w:val="000000" w:themeColor="text1"/>
        </w:rPr>
      </w:pPr>
    </w:p>
    <w:p w:rsidR="001B48BF"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rPr>
        <w:t xml:space="preserve">In that case the applicants sought </w:t>
      </w:r>
      <w:r w:rsidRPr="00060268">
        <w:rPr>
          <w:rFonts w:ascii="Arial" w:hAnsi="Arial" w:cs="Arial"/>
          <w:color w:val="000000" w:themeColor="text1"/>
          <w:lang w:val="en-ZA"/>
        </w:rPr>
        <w:t>an order directing</w:t>
      </w:r>
      <w:r w:rsidRPr="00060268">
        <w:rPr>
          <w:rFonts w:ascii="Arial" w:hAnsi="Arial" w:cs="Arial"/>
          <w:color w:val="000000" w:themeColor="text1"/>
          <w:shd w:val="clear" w:color="auto" w:fill="FFFFFF"/>
        </w:rPr>
        <w:t xml:space="preserve"> Minister to deliver various categories of documents to their legal practitioners.</w:t>
      </w:r>
      <w:r w:rsidRPr="00060268">
        <w:rPr>
          <w:rStyle w:val="FootnoteReference"/>
          <w:rFonts w:ascii="Arial" w:hAnsi="Arial" w:cs="Arial"/>
          <w:color w:val="000000" w:themeColor="text1"/>
          <w:shd w:val="clear" w:color="auto" w:fill="FFFFFF"/>
        </w:rPr>
        <w:footnoteReference w:id="9"/>
      </w:r>
      <w:r w:rsidRPr="00060268">
        <w:rPr>
          <w:rFonts w:ascii="Arial" w:hAnsi="Arial" w:cs="Arial"/>
          <w:color w:val="000000" w:themeColor="text1"/>
        </w:rPr>
        <w:t xml:space="preserve">  Part of the latest application replicates exactly the same relief, this while the first application remains undetermined and therefore pending.</w:t>
      </w:r>
      <w:r w:rsidRPr="00060268">
        <w:rPr>
          <w:rStyle w:val="FootnoteReference"/>
          <w:rFonts w:ascii="Arial" w:hAnsi="Arial" w:cs="Arial"/>
          <w:color w:val="000000" w:themeColor="text1"/>
        </w:rPr>
        <w:footnoteReference w:id="10"/>
      </w:r>
      <w:r w:rsidRPr="00060268">
        <w:rPr>
          <w:rFonts w:ascii="Arial" w:hAnsi="Arial" w:cs="Arial"/>
          <w:color w:val="000000" w:themeColor="text1"/>
        </w:rPr>
        <w:t xml:space="preserve"> </w:t>
      </w:r>
    </w:p>
    <w:p w:rsidR="00233E66" w:rsidRPr="00060268" w:rsidRDefault="00233E66" w:rsidP="00233E66">
      <w:pPr>
        <w:spacing w:after="0" w:line="360" w:lineRule="auto"/>
        <w:ind w:left="567"/>
        <w:jc w:val="both"/>
        <w:rPr>
          <w:rFonts w:ascii="Arial" w:hAnsi="Arial" w:cs="Arial"/>
          <w:color w:val="000000" w:themeColor="text1"/>
        </w:rPr>
      </w:pPr>
    </w:p>
    <w:p w:rsidR="00233E66"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rPr>
        <w:t xml:space="preserve">What followed last year was a second (interlocutory) application in which relief was sought to cross-examine the Minister  </w:t>
      </w:r>
    </w:p>
    <w:p w:rsidR="00233E66" w:rsidRPr="00060268" w:rsidRDefault="00233E66" w:rsidP="000B16AD">
      <w:pPr>
        <w:pStyle w:val="ListParagraph"/>
        <w:ind w:left="0"/>
        <w:rPr>
          <w:rFonts w:cs="Arial"/>
          <w:color w:val="000000" w:themeColor="text1"/>
          <w:sz w:val="22"/>
          <w:szCs w:val="22"/>
        </w:rPr>
      </w:pPr>
    </w:p>
    <w:p w:rsidR="001B48BF" w:rsidRDefault="001B48BF" w:rsidP="000B16AD">
      <w:pPr>
        <w:spacing w:after="0" w:line="360" w:lineRule="auto"/>
        <w:jc w:val="both"/>
        <w:rPr>
          <w:rFonts w:ascii="Arial" w:hAnsi="Arial" w:cs="Arial"/>
          <w:color w:val="000000" w:themeColor="text1"/>
        </w:rPr>
      </w:pPr>
      <w:r w:rsidRPr="00060268">
        <w:rPr>
          <w:rFonts w:ascii="Arial" w:hAnsi="Arial" w:cs="Arial"/>
          <w:color w:val="000000" w:themeColor="text1"/>
        </w:rPr>
        <w:t>“</w:t>
      </w:r>
      <w:r w:rsidRPr="00060268">
        <w:rPr>
          <w:rFonts w:ascii="Arial" w:hAnsi="Arial" w:cs="Arial"/>
          <w:i/>
          <w:color w:val="000000" w:themeColor="text1"/>
        </w:rPr>
        <w:t>on whether or not he had in his possession all or some of the documents and information referred to in paragraph 1 of the Notice of Motion dated 30 June 2017, prior to the publication of the notice of 14 February 2017, and if he was in possession of any such documents or information, to identify such documents and information.</w:t>
      </w:r>
      <w:r w:rsidRPr="00060268">
        <w:rPr>
          <w:rFonts w:ascii="Arial" w:hAnsi="Arial" w:cs="Arial"/>
          <w:color w:val="000000" w:themeColor="text1"/>
        </w:rPr>
        <w:t xml:space="preserve">” </w:t>
      </w:r>
    </w:p>
    <w:p w:rsidR="00FF67DB" w:rsidRPr="00060268" w:rsidRDefault="00FF67DB" w:rsidP="000B16AD">
      <w:pPr>
        <w:spacing w:after="0" w:line="360" w:lineRule="auto"/>
        <w:jc w:val="both"/>
        <w:rPr>
          <w:rFonts w:ascii="Arial" w:hAnsi="Arial" w:cs="Arial"/>
          <w:color w:val="000000" w:themeColor="text1"/>
        </w:rPr>
      </w:pPr>
    </w:p>
    <w:p w:rsidR="001B48BF"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rPr>
        <w:t>This Court dismissed (with costs) that application to cross-examine the Minister.</w:t>
      </w:r>
      <w:r w:rsidRPr="00060268">
        <w:rPr>
          <w:rStyle w:val="FootnoteReference"/>
          <w:rFonts w:ascii="Arial" w:hAnsi="Arial" w:cs="Arial"/>
          <w:color w:val="000000" w:themeColor="text1"/>
        </w:rPr>
        <w:footnoteReference w:id="11"/>
      </w:r>
      <w:r w:rsidRPr="00060268">
        <w:rPr>
          <w:rFonts w:ascii="Arial" w:hAnsi="Arial" w:cs="Arial"/>
          <w:color w:val="000000" w:themeColor="text1"/>
        </w:rPr>
        <w:t xml:space="preserve"> The applicants applied for leave to appeal against this order.  Their application was refused.</w:t>
      </w:r>
      <w:r w:rsidRPr="00060268">
        <w:rPr>
          <w:rStyle w:val="FootnoteReference"/>
          <w:rFonts w:ascii="Arial" w:hAnsi="Arial" w:cs="Arial"/>
          <w:color w:val="000000" w:themeColor="text1"/>
        </w:rPr>
        <w:footnoteReference w:id="12"/>
      </w:r>
      <w:r w:rsidRPr="00060268">
        <w:rPr>
          <w:rFonts w:ascii="Arial" w:hAnsi="Arial" w:cs="Arial"/>
          <w:color w:val="000000" w:themeColor="text1"/>
        </w:rPr>
        <w:t xml:space="preserve"> The applicants have since filed a petition to the Chief Justice for leave to appeal their second interlocutory. That petition is pending.</w:t>
      </w:r>
    </w:p>
    <w:p w:rsidR="00233E66" w:rsidRPr="00060268" w:rsidRDefault="00233E66" w:rsidP="000B16AD">
      <w:pPr>
        <w:spacing w:after="0" w:line="360" w:lineRule="auto"/>
        <w:jc w:val="both"/>
        <w:rPr>
          <w:rFonts w:ascii="Arial" w:hAnsi="Arial" w:cs="Arial"/>
          <w:color w:val="000000" w:themeColor="text1"/>
        </w:rPr>
      </w:pPr>
    </w:p>
    <w:p w:rsidR="001B48BF"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lang w:val="en-ZA"/>
        </w:rPr>
        <w:t xml:space="preserve">During November 2017, before the Minister had taken a decision regarding the measures that were the subject of the public consultative process, the applicants instituted the action proceedings challenging the constitutionality of the Act.  This is notwithstanding the fact that a Full Bench of this Court previously declared the Act to be constitutionally valid in </w:t>
      </w:r>
      <w:r w:rsidRPr="00060268">
        <w:rPr>
          <w:rFonts w:ascii="Arial" w:hAnsi="Arial" w:cs="Arial"/>
          <w:color w:val="000000" w:themeColor="text1"/>
          <w:lang w:val="en-ZA"/>
        </w:rPr>
        <w:lastRenderedPageBreak/>
        <w:t>application proceedings brought by the private insurance industry.  That was two decades ago (the industry not appealing the judgment).</w:t>
      </w:r>
      <w:r w:rsidRPr="00060268">
        <w:rPr>
          <w:rStyle w:val="FootnoteReference"/>
          <w:rFonts w:ascii="Arial" w:hAnsi="Arial" w:cs="Arial"/>
          <w:color w:val="000000" w:themeColor="text1"/>
          <w:lang w:val="en-ZA"/>
        </w:rPr>
        <w:footnoteReference w:id="13"/>
      </w:r>
      <w:r w:rsidRPr="00060268">
        <w:rPr>
          <w:rFonts w:ascii="Arial" w:hAnsi="Arial" w:cs="Arial"/>
          <w:color w:val="000000" w:themeColor="text1"/>
          <w:lang w:val="en-ZA"/>
        </w:rPr>
        <w:t xml:space="preserve">  The action, too, is pending.</w:t>
      </w:r>
      <w:r w:rsidRPr="00060268">
        <w:rPr>
          <w:rStyle w:val="FootnoteReference"/>
          <w:rFonts w:ascii="Arial" w:hAnsi="Arial" w:cs="Arial"/>
          <w:color w:val="000000" w:themeColor="text1"/>
          <w:lang w:val="en-ZA"/>
        </w:rPr>
        <w:footnoteReference w:id="14"/>
      </w:r>
      <w:r w:rsidRPr="00060268">
        <w:rPr>
          <w:rFonts w:ascii="Arial" w:hAnsi="Arial" w:cs="Arial"/>
          <w:color w:val="000000" w:themeColor="text1"/>
          <w:lang w:val="en-ZA"/>
        </w:rPr>
        <w:t xml:space="preserve">  As noted, the applicants chose to institute those proceedings separately from the review, and by way of action.</w:t>
      </w:r>
    </w:p>
    <w:p w:rsidR="00233E66" w:rsidRPr="00060268" w:rsidRDefault="00233E66" w:rsidP="000B16AD">
      <w:pPr>
        <w:spacing w:after="0" w:line="360" w:lineRule="auto"/>
        <w:jc w:val="both"/>
        <w:rPr>
          <w:rFonts w:ascii="Arial" w:hAnsi="Arial" w:cs="Arial"/>
          <w:color w:val="000000" w:themeColor="text1"/>
        </w:rPr>
      </w:pPr>
    </w:p>
    <w:p w:rsidR="001B48BF" w:rsidRPr="00060268" w:rsidRDefault="001B48BF" w:rsidP="000B16AD">
      <w:pPr>
        <w:numPr>
          <w:ilvl w:val="0"/>
          <w:numId w:val="3"/>
        </w:numPr>
        <w:spacing w:after="0" w:line="360" w:lineRule="auto"/>
        <w:ind w:left="0" w:firstLine="0"/>
        <w:jc w:val="both"/>
      </w:pPr>
      <w:r w:rsidRPr="00060268">
        <w:rPr>
          <w:rFonts w:ascii="Arial" w:hAnsi="Arial" w:cs="Arial"/>
          <w:color w:val="000000" w:themeColor="text1"/>
        </w:rPr>
        <w:t xml:space="preserve">On 29 December 2017, following a year-long public consultative process, the Minister published notices in the </w:t>
      </w:r>
      <w:r w:rsidRPr="00060268">
        <w:rPr>
          <w:rFonts w:ascii="Arial" w:hAnsi="Arial" w:cs="Arial"/>
          <w:i/>
          <w:color w:val="000000" w:themeColor="text1"/>
        </w:rPr>
        <w:t>Government Gazette</w:t>
      </w:r>
      <w:r w:rsidRPr="00060268">
        <w:rPr>
          <w:rFonts w:ascii="Arial" w:hAnsi="Arial" w:cs="Arial"/>
          <w:color w:val="000000" w:themeColor="text1"/>
        </w:rPr>
        <w:t xml:space="preserve"> to give effect to sections 39 and 43 of the Act.</w:t>
      </w:r>
      <w:r w:rsidRPr="00060268">
        <w:rPr>
          <w:rStyle w:val="FootnoteReference"/>
          <w:rFonts w:ascii="Arial" w:hAnsi="Arial" w:cs="Arial"/>
          <w:color w:val="000000" w:themeColor="text1"/>
        </w:rPr>
        <w:footnoteReference w:id="15"/>
      </w:r>
      <w:r w:rsidRPr="00060268">
        <w:rPr>
          <w:rFonts w:ascii="Arial" w:hAnsi="Arial" w:cs="Arial"/>
          <w:color w:val="000000" w:themeColor="text1"/>
        </w:rPr>
        <w:t xml:space="preserve">  </w:t>
      </w:r>
    </w:p>
    <w:p w:rsidR="00233E66" w:rsidRPr="00060268" w:rsidRDefault="00233E66" w:rsidP="000B16AD">
      <w:pPr>
        <w:spacing w:after="0" w:line="360" w:lineRule="auto"/>
        <w:jc w:val="both"/>
      </w:pPr>
    </w:p>
    <w:p w:rsidR="001B48BF" w:rsidRPr="00060268" w:rsidRDefault="001B48BF" w:rsidP="000B16AD">
      <w:pPr>
        <w:numPr>
          <w:ilvl w:val="0"/>
          <w:numId w:val="3"/>
        </w:numPr>
        <w:spacing w:after="0" w:line="360" w:lineRule="auto"/>
        <w:ind w:left="0" w:firstLine="0"/>
        <w:jc w:val="both"/>
        <w:rPr>
          <w:rFonts w:ascii="Arial" w:hAnsi="Arial" w:cs="Arial"/>
          <w:color w:val="000000" w:themeColor="text1"/>
        </w:rPr>
      </w:pPr>
      <w:r w:rsidRPr="00060268">
        <w:rPr>
          <w:rFonts w:ascii="Arial" w:hAnsi="Arial" w:cs="Arial"/>
          <w:color w:val="000000" w:themeColor="text1"/>
        </w:rPr>
        <w:t>In April 2018, four months after the measures were gazetted, the applicants instituted the application to review and set them aside.  It is the review to which this, their third interlocutory application, relates.</w:t>
      </w:r>
      <w:r w:rsidRPr="00060268">
        <w:rPr>
          <w:rStyle w:val="FootnoteReference"/>
          <w:rFonts w:ascii="Arial" w:hAnsi="Arial" w:cs="Arial"/>
          <w:color w:val="000000" w:themeColor="text1"/>
        </w:rPr>
        <w:footnoteReference w:id="16"/>
      </w:r>
      <w:r w:rsidRPr="00060268">
        <w:rPr>
          <w:rFonts w:ascii="Arial" w:hAnsi="Arial" w:cs="Arial"/>
          <w:color w:val="000000" w:themeColor="text1"/>
        </w:rPr>
        <w:t xml:space="preserve">  The Minister has filed the record of his decision to promulgate the measures, together with the reasons in terms of rule 76(2)(b).</w:t>
      </w:r>
    </w:p>
    <w:p w:rsidR="00233E66" w:rsidRPr="00060268" w:rsidRDefault="00233E66" w:rsidP="000B16AD">
      <w:pPr>
        <w:spacing w:after="0" w:line="360" w:lineRule="auto"/>
        <w:jc w:val="both"/>
        <w:rPr>
          <w:rFonts w:ascii="Arial" w:hAnsi="Arial" w:cs="Arial"/>
          <w:color w:val="000000" w:themeColor="text1"/>
        </w:rPr>
      </w:pPr>
    </w:p>
    <w:p w:rsidR="001B48BF" w:rsidRDefault="001B48BF" w:rsidP="000B16AD">
      <w:pPr>
        <w:pStyle w:val="ListParagraph"/>
        <w:widowControl/>
        <w:numPr>
          <w:ilvl w:val="0"/>
          <w:numId w:val="3"/>
        </w:numPr>
        <w:autoSpaceDE/>
        <w:autoSpaceDN/>
        <w:adjustRightInd/>
        <w:spacing w:line="360" w:lineRule="auto"/>
        <w:ind w:left="0" w:firstLine="0"/>
        <w:jc w:val="both"/>
        <w:rPr>
          <w:rFonts w:cs="Arial"/>
          <w:color w:val="000000" w:themeColor="text1"/>
          <w:sz w:val="22"/>
          <w:szCs w:val="22"/>
        </w:rPr>
      </w:pPr>
      <w:r w:rsidRPr="00060268">
        <w:rPr>
          <w:rFonts w:cs="Arial"/>
          <w:color w:val="000000" w:themeColor="text1"/>
          <w:sz w:val="22"/>
          <w:szCs w:val="22"/>
        </w:rPr>
        <w:t>The applicants thereafter delivered a rule 76(6) notice demanding the production</w:t>
      </w:r>
      <w:r w:rsidRPr="00060268">
        <w:rPr>
          <w:rFonts w:cs="Arial"/>
          <w:i/>
          <w:color w:val="000000" w:themeColor="text1"/>
          <w:sz w:val="22"/>
          <w:szCs w:val="22"/>
          <w:u w:val="single"/>
        </w:rPr>
        <w:t xml:space="preserve"> under that rule </w:t>
      </w:r>
      <w:r w:rsidRPr="00060268">
        <w:rPr>
          <w:rFonts w:cs="Arial"/>
          <w:color w:val="000000" w:themeColor="text1"/>
          <w:sz w:val="22"/>
          <w:szCs w:val="22"/>
          <w:u w:val="single"/>
        </w:rPr>
        <w:t xml:space="preserve">, not by way of any general discovery entitlement, </w:t>
      </w:r>
      <w:r w:rsidRPr="00060268">
        <w:rPr>
          <w:rFonts w:cs="Arial"/>
          <w:color w:val="000000" w:themeColor="text1"/>
          <w:sz w:val="22"/>
          <w:szCs w:val="22"/>
        </w:rPr>
        <w:t>of an extensive list of documents which they contend should be produced in the pending review (the ‘rule 76 notice’).</w:t>
      </w:r>
      <w:r w:rsidRPr="00060268">
        <w:rPr>
          <w:rStyle w:val="FootnoteReference"/>
          <w:rFonts w:cs="Arial"/>
          <w:color w:val="000000" w:themeColor="text1"/>
          <w:sz w:val="22"/>
          <w:szCs w:val="22"/>
        </w:rPr>
        <w:footnoteReference w:id="17"/>
      </w:r>
      <w:r w:rsidRPr="00060268">
        <w:rPr>
          <w:rFonts w:cs="Arial"/>
          <w:color w:val="000000" w:themeColor="text1"/>
          <w:sz w:val="22"/>
          <w:szCs w:val="22"/>
        </w:rPr>
        <w:t xml:space="preserve"> In the rule 76 notice the applicants alleged that they “</w:t>
      </w:r>
      <w:r w:rsidRPr="00060268">
        <w:rPr>
          <w:rFonts w:cs="Arial"/>
          <w:i/>
          <w:color w:val="000000" w:themeColor="text1"/>
          <w:sz w:val="22"/>
          <w:szCs w:val="22"/>
          <w:lang w:val="en-ZA"/>
        </w:rPr>
        <w:t>believe there were additional documents in the possession of the first respondent which were relevant to the decisions sought to be reviewed</w:t>
      </w:r>
      <w:r w:rsidRPr="00060268">
        <w:rPr>
          <w:rFonts w:cs="Arial"/>
          <w:color w:val="000000" w:themeColor="text1"/>
          <w:sz w:val="22"/>
          <w:szCs w:val="22"/>
          <w:lang w:val="en-ZA"/>
        </w:rPr>
        <w:t>.</w:t>
      </w:r>
      <w:r w:rsidRPr="00060268">
        <w:rPr>
          <w:rFonts w:cs="Arial"/>
          <w:color w:val="000000" w:themeColor="text1"/>
          <w:sz w:val="22"/>
          <w:szCs w:val="22"/>
        </w:rPr>
        <w:t>”</w:t>
      </w:r>
      <w:r w:rsidRPr="00060268">
        <w:rPr>
          <w:rStyle w:val="FootnoteReference"/>
          <w:rFonts w:cs="Arial"/>
          <w:color w:val="000000" w:themeColor="text1"/>
          <w:sz w:val="22"/>
          <w:szCs w:val="22"/>
          <w:lang w:val="en-ZA"/>
        </w:rPr>
        <w:footnoteReference w:id="18"/>
      </w:r>
      <w:r w:rsidRPr="00060268">
        <w:rPr>
          <w:rFonts w:cs="Arial"/>
          <w:color w:val="000000" w:themeColor="text1"/>
          <w:sz w:val="22"/>
          <w:szCs w:val="22"/>
        </w:rPr>
        <w:t xml:space="preserve"> </w:t>
      </w:r>
    </w:p>
    <w:p w:rsidR="007E6C90" w:rsidRPr="00060268" w:rsidRDefault="007E6C90" w:rsidP="007E6C90">
      <w:pPr>
        <w:pStyle w:val="ListParagraph"/>
        <w:widowControl/>
        <w:autoSpaceDE/>
        <w:autoSpaceDN/>
        <w:adjustRightInd/>
        <w:spacing w:line="360" w:lineRule="auto"/>
        <w:ind w:left="0"/>
        <w:jc w:val="both"/>
        <w:rPr>
          <w:rFonts w:cs="Arial"/>
          <w:color w:val="000000" w:themeColor="text1"/>
          <w:sz w:val="22"/>
          <w:szCs w:val="22"/>
        </w:rPr>
      </w:pPr>
    </w:p>
    <w:p w:rsidR="001B48BF" w:rsidRPr="00060268" w:rsidRDefault="001B48BF" w:rsidP="000B16AD">
      <w:pPr>
        <w:pStyle w:val="ListParagraph"/>
        <w:widowControl/>
        <w:numPr>
          <w:ilvl w:val="0"/>
          <w:numId w:val="3"/>
        </w:numPr>
        <w:autoSpaceDE/>
        <w:autoSpaceDN/>
        <w:adjustRightInd/>
        <w:spacing w:line="360" w:lineRule="auto"/>
        <w:ind w:left="0" w:firstLine="0"/>
        <w:jc w:val="both"/>
        <w:rPr>
          <w:rFonts w:cs="Arial"/>
          <w:color w:val="000000" w:themeColor="text1"/>
          <w:sz w:val="22"/>
          <w:szCs w:val="22"/>
        </w:rPr>
      </w:pPr>
      <w:r w:rsidRPr="00060268">
        <w:rPr>
          <w:rFonts w:cs="Arial"/>
          <w:color w:val="000000" w:themeColor="text1"/>
          <w:sz w:val="22"/>
          <w:szCs w:val="22"/>
        </w:rPr>
        <w:t>The Rule does not prescribe that the response to such a notice must be under oath.  The Minister freely chose however to respond by way of an affidavit.</w:t>
      </w:r>
      <w:r w:rsidRPr="00060268">
        <w:rPr>
          <w:rStyle w:val="FootnoteReference"/>
          <w:rFonts w:cs="Arial"/>
          <w:color w:val="000000" w:themeColor="text1"/>
          <w:sz w:val="22"/>
          <w:szCs w:val="22"/>
        </w:rPr>
        <w:footnoteReference w:id="19"/>
      </w:r>
      <w:r w:rsidRPr="00060268">
        <w:rPr>
          <w:rFonts w:cs="Arial"/>
          <w:color w:val="000000" w:themeColor="text1"/>
          <w:sz w:val="22"/>
          <w:szCs w:val="22"/>
        </w:rPr>
        <w:t xml:space="preserve"> He produced a transcript of a public meeting held at the conclusion of the consultative process showing that the applicants had had, to the last, every opportunity to deal with whatever had been received in the process. The sole representative’s presence at the meeting was not to seek documents. It was solely in order to record that the applicants would not be participating).  The Minister also explained on oath why the applicants have no basis to demand production of the balance of the documentation sought.</w:t>
      </w:r>
      <w:r w:rsidRPr="00060268">
        <w:rPr>
          <w:rStyle w:val="FootnoteReference"/>
          <w:rFonts w:cs="Arial"/>
          <w:color w:val="000000" w:themeColor="text1"/>
          <w:sz w:val="22"/>
          <w:szCs w:val="22"/>
        </w:rPr>
        <w:footnoteReference w:id="20"/>
      </w:r>
      <w:r w:rsidRPr="00060268">
        <w:rPr>
          <w:rFonts w:cs="Arial"/>
          <w:color w:val="000000" w:themeColor="text1"/>
          <w:sz w:val="22"/>
          <w:szCs w:val="22"/>
        </w:rPr>
        <w:t xml:space="preserve"> </w:t>
      </w:r>
    </w:p>
    <w:p w:rsidR="000B16AD" w:rsidRPr="00060268" w:rsidRDefault="000B16AD" w:rsidP="000B16AD">
      <w:pPr>
        <w:pStyle w:val="ListParagraph"/>
        <w:widowControl/>
        <w:autoSpaceDE/>
        <w:autoSpaceDN/>
        <w:adjustRightInd/>
        <w:spacing w:line="360" w:lineRule="auto"/>
        <w:ind w:left="0"/>
        <w:jc w:val="both"/>
        <w:rPr>
          <w:rFonts w:cs="Arial"/>
          <w:color w:val="000000" w:themeColor="text1"/>
          <w:sz w:val="22"/>
          <w:szCs w:val="22"/>
        </w:rPr>
      </w:pPr>
    </w:p>
    <w:p w:rsidR="001B48BF" w:rsidRPr="00060268" w:rsidRDefault="001B48BF" w:rsidP="000B16AD">
      <w:pPr>
        <w:pStyle w:val="ListParagraph"/>
        <w:widowControl/>
        <w:numPr>
          <w:ilvl w:val="0"/>
          <w:numId w:val="3"/>
        </w:numPr>
        <w:autoSpaceDE/>
        <w:autoSpaceDN/>
        <w:adjustRightInd/>
        <w:spacing w:line="360" w:lineRule="auto"/>
        <w:ind w:left="0" w:firstLine="0"/>
        <w:jc w:val="both"/>
        <w:rPr>
          <w:rFonts w:cs="Arial"/>
          <w:color w:val="000000" w:themeColor="text1"/>
          <w:sz w:val="22"/>
          <w:szCs w:val="22"/>
        </w:rPr>
      </w:pPr>
      <w:r w:rsidRPr="00060268">
        <w:rPr>
          <w:rFonts w:cs="Arial"/>
          <w:color w:val="000000" w:themeColor="text1"/>
          <w:sz w:val="22"/>
          <w:szCs w:val="22"/>
        </w:rPr>
        <w:t>The applicants, dissatisfied with the Minister’s response, have la</w:t>
      </w:r>
      <w:r w:rsidR="00DD4621" w:rsidRPr="00060268">
        <w:rPr>
          <w:rFonts w:cs="Arial"/>
          <w:color w:val="000000" w:themeColor="text1"/>
          <w:sz w:val="22"/>
          <w:szCs w:val="22"/>
        </w:rPr>
        <w:t>unched the present application.’</w:t>
      </w:r>
    </w:p>
    <w:p w:rsidR="00DD4621" w:rsidRPr="00233E66" w:rsidRDefault="00DD4621" w:rsidP="00DD4621">
      <w:pPr>
        <w:pStyle w:val="ListParagraph"/>
        <w:widowControl/>
        <w:autoSpaceDE/>
        <w:autoSpaceDN/>
        <w:adjustRightInd/>
        <w:spacing w:line="360" w:lineRule="auto"/>
        <w:ind w:left="567"/>
        <w:jc w:val="both"/>
        <w:rPr>
          <w:rFonts w:cs="Arial"/>
          <w:color w:val="000000" w:themeColor="text1"/>
        </w:rPr>
      </w:pPr>
    </w:p>
    <w:p w:rsidR="003745C2" w:rsidRDefault="00391348" w:rsidP="00EB08AF">
      <w:pPr>
        <w:spacing w:after="0" w:line="360" w:lineRule="auto"/>
        <w:jc w:val="both"/>
        <w:rPr>
          <w:rFonts w:ascii="Arial" w:hAnsi="Arial" w:cs="Arial"/>
          <w:sz w:val="24"/>
          <w:szCs w:val="24"/>
        </w:rPr>
      </w:pPr>
      <w:r w:rsidRPr="00391348">
        <w:rPr>
          <w:rFonts w:ascii="Arial" w:hAnsi="Arial" w:cs="Arial"/>
          <w:sz w:val="24"/>
          <w:szCs w:val="24"/>
        </w:rPr>
        <w:lastRenderedPageBreak/>
        <w:t>[</w:t>
      </w:r>
      <w:r w:rsidR="00AF41D1">
        <w:rPr>
          <w:rFonts w:ascii="Arial" w:hAnsi="Arial" w:cs="Arial"/>
          <w:sz w:val="24"/>
          <w:szCs w:val="24"/>
        </w:rPr>
        <w:t>7</w:t>
      </w:r>
      <w:r w:rsidRPr="00391348">
        <w:rPr>
          <w:rFonts w:ascii="Arial" w:hAnsi="Arial" w:cs="Arial"/>
          <w:sz w:val="24"/>
          <w:szCs w:val="24"/>
        </w:rPr>
        <w:t>]</w:t>
      </w:r>
      <w:r w:rsidRPr="00391348">
        <w:rPr>
          <w:rFonts w:ascii="Arial" w:hAnsi="Arial" w:cs="Arial"/>
          <w:sz w:val="24"/>
          <w:szCs w:val="24"/>
        </w:rPr>
        <w:tab/>
        <w:t>Counsel also differed</w:t>
      </w:r>
      <w:r>
        <w:rPr>
          <w:rFonts w:ascii="Arial" w:hAnsi="Arial" w:cs="Arial"/>
          <w:sz w:val="24"/>
          <w:szCs w:val="24"/>
        </w:rPr>
        <w:t xml:space="preserve"> on the principles which the Court should apply when deciding the various issues which are raised in the present application. It is thus necessary to </w:t>
      </w:r>
      <w:r w:rsidR="007E6C90">
        <w:rPr>
          <w:rFonts w:ascii="Arial" w:hAnsi="Arial" w:cs="Arial"/>
          <w:sz w:val="24"/>
          <w:szCs w:val="24"/>
        </w:rPr>
        <w:t xml:space="preserve">also </w:t>
      </w:r>
      <w:r>
        <w:rPr>
          <w:rFonts w:ascii="Arial" w:hAnsi="Arial" w:cs="Arial"/>
          <w:sz w:val="24"/>
          <w:szCs w:val="24"/>
        </w:rPr>
        <w:t xml:space="preserve">set out their </w:t>
      </w:r>
      <w:r w:rsidR="00BF6DAA">
        <w:rPr>
          <w:rFonts w:ascii="Arial" w:hAnsi="Arial" w:cs="Arial"/>
          <w:sz w:val="24"/>
          <w:szCs w:val="24"/>
        </w:rPr>
        <w:t xml:space="preserve">respective </w:t>
      </w:r>
      <w:r>
        <w:rPr>
          <w:rFonts w:ascii="Arial" w:hAnsi="Arial" w:cs="Arial"/>
          <w:sz w:val="24"/>
          <w:szCs w:val="24"/>
        </w:rPr>
        <w:t>contentions in this regard.</w:t>
      </w:r>
    </w:p>
    <w:p w:rsidR="00391348" w:rsidRDefault="00391348" w:rsidP="00EB08AF">
      <w:pPr>
        <w:spacing w:after="0" w:line="360" w:lineRule="auto"/>
        <w:jc w:val="both"/>
        <w:rPr>
          <w:rFonts w:ascii="Arial" w:hAnsi="Arial" w:cs="Arial"/>
          <w:sz w:val="24"/>
          <w:szCs w:val="24"/>
        </w:rPr>
      </w:pPr>
    </w:p>
    <w:p w:rsidR="00391348" w:rsidRDefault="00391348" w:rsidP="00EB08AF">
      <w:pPr>
        <w:spacing w:after="0" w:line="360" w:lineRule="auto"/>
        <w:jc w:val="both"/>
        <w:rPr>
          <w:rFonts w:ascii="Arial" w:hAnsi="Arial" w:cs="Arial"/>
          <w:sz w:val="24"/>
          <w:szCs w:val="24"/>
          <w:u w:val="single"/>
        </w:rPr>
      </w:pPr>
      <w:r w:rsidRPr="00391348">
        <w:rPr>
          <w:rFonts w:ascii="Arial" w:hAnsi="Arial" w:cs="Arial"/>
          <w:sz w:val="24"/>
          <w:szCs w:val="24"/>
          <w:u w:val="single"/>
        </w:rPr>
        <w:t>Written argument on behalf of the applicants</w:t>
      </w:r>
    </w:p>
    <w:p w:rsidR="0060227E" w:rsidRPr="00E34640" w:rsidRDefault="0060227E" w:rsidP="0060227E">
      <w:pPr>
        <w:rPr>
          <w:sz w:val="24"/>
          <w:szCs w:val="24"/>
        </w:rPr>
      </w:pPr>
    </w:p>
    <w:p w:rsidR="0060227E" w:rsidRPr="00E34640" w:rsidRDefault="0060227E" w:rsidP="003212EE">
      <w:pPr>
        <w:spacing w:after="0" w:line="360" w:lineRule="auto"/>
        <w:rPr>
          <w:rFonts w:ascii="Arial" w:hAnsi="Arial" w:cs="Arial"/>
          <w:sz w:val="24"/>
          <w:szCs w:val="24"/>
        </w:rPr>
      </w:pPr>
      <w:r w:rsidRPr="00E34640">
        <w:rPr>
          <w:rFonts w:ascii="Arial" w:hAnsi="Arial" w:cs="Arial"/>
          <w:sz w:val="24"/>
          <w:szCs w:val="24"/>
        </w:rPr>
        <w:t>[</w:t>
      </w:r>
      <w:r w:rsidR="00AF41D1">
        <w:rPr>
          <w:rFonts w:ascii="Arial" w:hAnsi="Arial" w:cs="Arial"/>
          <w:sz w:val="24"/>
          <w:szCs w:val="24"/>
        </w:rPr>
        <w:t>8</w:t>
      </w:r>
      <w:r w:rsidRPr="00E34640">
        <w:rPr>
          <w:rFonts w:ascii="Arial" w:hAnsi="Arial" w:cs="Arial"/>
          <w:sz w:val="24"/>
          <w:szCs w:val="24"/>
        </w:rPr>
        <w:t>]</w:t>
      </w:r>
      <w:r w:rsidRPr="00E34640">
        <w:rPr>
          <w:rFonts w:ascii="Arial" w:hAnsi="Arial" w:cs="Arial"/>
          <w:sz w:val="24"/>
          <w:szCs w:val="24"/>
        </w:rPr>
        <w:tab/>
        <w:t>In</w:t>
      </w:r>
      <w:r w:rsidR="009811C6" w:rsidRPr="00E34640">
        <w:rPr>
          <w:rFonts w:ascii="Arial" w:hAnsi="Arial" w:cs="Arial"/>
          <w:sz w:val="24"/>
          <w:szCs w:val="24"/>
        </w:rPr>
        <w:t xml:space="preserve"> this part of the</w:t>
      </w:r>
      <w:r w:rsidRPr="00E34640">
        <w:rPr>
          <w:rFonts w:ascii="Arial" w:hAnsi="Arial" w:cs="Arial"/>
          <w:sz w:val="24"/>
          <w:szCs w:val="24"/>
        </w:rPr>
        <w:t xml:space="preserve"> Heads fo</w:t>
      </w:r>
      <w:r w:rsidR="009811C6" w:rsidRPr="00E34640">
        <w:rPr>
          <w:rFonts w:ascii="Arial" w:hAnsi="Arial" w:cs="Arial"/>
          <w:sz w:val="24"/>
          <w:szCs w:val="24"/>
        </w:rPr>
        <w:t xml:space="preserve">rmulated by counsel </w:t>
      </w:r>
      <w:r w:rsidR="003471BD" w:rsidRPr="00E34640">
        <w:rPr>
          <w:rFonts w:ascii="Arial" w:hAnsi="Arial" w:cs="Arial"/>
          <w:sz w:val="24"/>
          <w:szCs w:val="24"/>
        </w:rPr>
        <w:t>it was submitted that :</w:t>
      </w:r>
    </w:p>
    <w:p w:rsidR="003471BD" w:rsidRPr="003212EE" w:rsidRDefault="003471BD" w:rsidP="003212EE">
      <w:pPr>
        <w:spacing w:after="0" w:line="360" w:lineRule="auto"/>
        <w:rPr>
          <w:rFonts w:ascii="Arial" w:hAnsi="Arial" w:cs="Arial"/>
        </w:rPr>
      </w:pPr>
    </w:p>
    <w:p w:rsidR="0060227E" w:rsidRPr="003212EE" w:rsidRDefault="0060227E" w:rsidP="00ED582E">
      <w:pPr>
        <w:pStyle w:val="Heading1"/>
        <w:spacing w:before="0" w:after="0" w:line="360" w:lineRule="auto"/>
        <w:ind w:firstLine="720"/>
        <w:jc w:val="both"/>
        <w:rPr>
          <w:rFonts w:ascii="Arial" w:hAnsi="Arial" w:cs="Arial"/>
          <w:b w:val="0"/>
          <w:sz w:val="22"/>
          <w:szCs w:val="22"/>
        </w:rPr>
      </w:pPr>
      <w:r w:rsidRPr="003212EE">
        <w:rPr>
          <w:rFonts w:ascii="Arial" w:hAnsi="Arial" w:cs="Arial"/>
          <w:b w:val="0"/>
          <w:sz w:val="22"/>
          <w:szCs w:val="22"/>
        </w:rPr>
        <w:t>‘</w:t>
      </w:r>
      <w:r w:rsidR="003471BD" w:rsidRPr="003212EE">
        <w:rPr>
          <w:rFonts w:ascii="Arial" w:hAnsi="Arial" w:cs="Arial"/>
          <w:b w:val="0"/>
          <w:sz w:val="22"/>
          <w:szCs w:val="22"/>
        </w:rPr>
        <w:t xml:space="preserve">12. </w:t>
      </w:r>
      <w:r w:rsidRPr="003212EE">
        <w:rPr>
          <w:rFonts w:ascii="Arial" w:hAnsi="Arial" w:cs="Arial"/>
          <w:b w:val="0"/>
          <w:sz w:val="22"/>
          <w:szCs w:val="22"/>
        </w:rPr>
        <w:t xml:space="preserve">This discovery application engages several important legal principles and issues.  The first fundamental principle engaged in the current dispute, is the authority and duty of the courts to enable the discovery of the truth so that justice may be done between the parties.  The principle is engaged because the Minister’s response to several requests was that, contrary to the applicants’ assertions, he had not considered the documents requested by the applicants and therefore the documents do not form part of the record he is required to produce under rule 76.  The Minister did not state that the documents requested by the applicants do not exist.  This Honourable Court is therefore called upon to decide whether it should leave the process of discovering the truth in the hands of the Minister alone by simply relying on his </w:t>
      </w:r>
      <w:r w:rsidRPr="003212EE">
        <w:rPr>
          <w:rFonts w:ascii="Arial" w:hAnsi="Arial" w:cs="Arial"/>
          <w:b w:val="0"/>
          <w:i/>
          <w:sz w:val="22"/>
          <w:szCs w:val="22"/>
        </w:rPr>
        <w:t>ipse dixit</w:t>
      </w:r>
      <w:r w:rsidRPr="003212EE">
        <w:rPr>
          <w:rFonts w:ascii="Arial" w:hAnsi="Arial" w:cs="Arial"/>
          <w:b w:val="0"/>
          <w:sz w:val="22"/>
          <w:szCs w:val="22"/>
        </w:rPr>
        <w:t xml:space="preserve">, as the Minister contends, or whether the court should direct the Minister to produce the documents requested by the applicants, so that the court may determine for itself whether the truth is to be found in or with reference to the documents.  The applicants have asserted and will argue that the latter is the correct position.  </w:t>
      </w:r>
    </w:p>
    <w:p w:rsidR="0060227E" w:rsidRPr="003212EE" w:rsidRDefault="0060227E" w:rsidP="003212EE">
      <w:pPr>
        <w:spacing w:after="0" w:line="360" w:lineRule="auto"/>
        <w:jc w:val="both"/>
        <w:rPr>
          <w:rFonts w:ascii="Arial" w:hAnsi="Arial" w:cs="Arial"/>
        </w:rPr>
      </w:pPr>
    </w:p>
    <w:p w:rsidR="0060227E" w:rsidRPr="003212EE" w:rsidRDefault="003471BD" w:rsidP="003212EE">
      <w:pPr>
        <w:pStyle w:val="Heading1"/>
        <w:spacing w:before="0" w:after="0" w:line="360" w:lineRule="auto"/>
        <w:jc w:val="both"/>
        <w:rPr>
          <w:rFonts w:ascii="Arial" w:hAnsi="Arial" w:cs="Arial"/>
          <w:b w:val="0"/>
          <w:sz w:val="22"/>
          <w:szCs w:val="22"/>
        </w:rPr>
      </w:pPr>
      <w:r w:rsidRPr="003212EE">
        <w:rPr>
          <w:rFonts w:ascii="Arial" w:hAnsi="Arial" w:cs="Arial"/>
          <w:b w:val="0"/>
          <w:sz w:val="22"/>
          <w:szCs w:val="22"/>
        </w:rPr>
        <w:t xml:space="preserve">13. </w:t>
      </w:r>
      <w:r w:rsidR="0060227E" w:rsidRPr="003212EE">
        <w:rPr>
          <w:rFonts w:ascii="Arial" w:hAnsi="Arial" w:cs="Arial"/>
          <w:b w:val="0"/>
          <w:sz w:val="22"/>
          <w:szCs w:val="22"/>
        </w:rPr>
        <w:t xml:space="preserve">On the facts before court, it will be demonstrated that the court should direct the Minister to produce the documents requested by the applicants, so that the court can perform its constitutional duty.  The applicants accept that the Minister (and Cabinet, as appears clearly from the approach it adopted in 2016) was frustrated by the absence of implementation of the 3 pillars of the NamibRe Act between 1998 and 2016; and that the Minister was advised that he need not disclose the documents and information requested by the applicants in connection with his decisions and the stages that led to and informed his relevant decisions in 2016, 2017 and 2018.  However, the Minister’s frustration and views, and the views of those advising him, no matter how genuinely held, neither affect the Minister’s duty to meet his statutory and constitutional obligations, nor the court’s constitutional authority and duty to promote the discovery of the truth.  In the present case, the court’s authority and duty are given effect to by the court’s conducting of an object assessment into the relevance of the documents, to enable the discovering of the truth.  The duty is engaged by the (rather unusual) facts that led </w:t>
      </w:r>
      <w:r w:rsidR="0060227E" w:rsidRPr="003212EE">
        <w:rPr>
          <w:rFonts w:ascii="Arial" w:hAnsi="Arial" w:cs="Arial"/>
          <w:b w:val="0"/>
          <w:sz w:val="22"/>
          <w:szCs w:val="22"/>
        </w:rPr>
        <w:lastRenderedPageBreak/>
        <w:t xml:space="preserve">to the application for the review and setting aside of the 2017 Notices, as briefly summarized above and detailed in the papers filed on record.  </w:t>
      </w:r>
    </w:p>
    <w:p w:rsidR="0060227E" w:rsidRPr="003212EE" w:rsidRDefault="0060227E" w:rsidP="003212EE">
      <w:pPr>
        <w:spacing w:after="0" w:line="360" w:lineRule="auto"/>
        <w:jc w:val="both"/>
        <w:rPr>
          <w:rFonts w:ascii="Arial" w:hAnsi="Arial" w:cs="Arial"/>
        </w:rPr>
      </w:pPr>
    </w:p>
    <w:p w:rsidR="0060227E" w:rsidRPr="003212EE" w:rsidRDefault="003471BD" w:rsidP="003212EE">
      <w:pPr>
        <w:pStyle w:val="Heading1"/>
        <w:spacing w:before="0" w:after="0" w:line="360" w:lineRule="auto"/>
        <w:jc w:val="both"/>
        <w:rPr>
          <w:rFonts w:ascii="Arial" w:hAnsi="Arial" w:cs="Arial"/>
          <w:b w:val="0"/>
          <w:sz w:val="22"/>
          <w:szCs w:val="22"/>
        </w:rPr>
      </w:pPr>
      <w:r w:rsidRPr="003212EE">
        <w:rPr>
          <w:rFonts w:ascii="Arial" w:hAnsi="Arial" w:cs="Arial"/>
          <w:b w:val="0"/>
          <w:sz w:val="22"/>
          <w:szCs w:val="22"/>
        </w:rPr>
        <w:t xml:space="preserve">14. </w:t>
      </w:r>
      <w:r w:rsidR="0060227E" w:rsidRPr="003212EE">
        <w:rPr>
          <w:rFonts w:ascii="Arial" w:hAnsi="Arial" w:cs="Arial"/>
          <w:b w:val="0"/>
          <w:sz w:val="22"/>
          <w:szCs w:val="22"/>
        </w:rPr>
        <w:t xml:space="preserve">The second principle engaged in this dispute is the Minister’s duty to make available to the applicants all documents which are by reference incorporated in the material that had served before him.  The applicants believed this principle would not be disputed considering the clear holding to this effect in </w:t>
      </w:r>
      <w:r w:rsidR="0060227E" w:rsidRPr="003212EE">
        <w:rPr>
          <w:rFonts w:ascii="Arial" w:hAnsi="Arial" w:cs="Arial"/>
          <w:b w:val="0"/>
          <w:i/>
          <w:sz w:val="22"/>
          <w:szCs w:val="22"/>
          <w:u w:val="single"/>
        </w:rPr>
        <w:t>Johannesburg City Council v The Administrator of Transvaal and Another</w:t>
      </w:r>
      <w:r w:rsidR="0060227E" w:rsidRPr="003212EE">
        <w:rPr>
          <w:rStyle w:val="FootnoteReference"/>
          <w:rFonts w:ascii="Arial" w:hAnsi="Arial" w:cs="Arial"/>
          <w:b w:val="0"/>
          <w:sz w:val="22"/>
          <w:szCs w:val="22"/>
          <w:u w:val="single"/>
        </w:rPr>
        <w:footnoteReference w:id="21"/>
      </w:r>
      <w:r w:rsidR="0060227E" w:rsidRPr="003212EE">
        <w:rPr>
          <w:rFonts w:ascii="Arial" w:hAnsi="Arial" w:cs="Arial"/>
          <w:b w:val="0"/>
          <w:sz w:val="22"/>
          <w:szCs w:val="22"/>
        </w:rPr>
        <w:t xml:space="preserve"> as approved in Namibia amongst others in </w:t>
      </w:r>
      <w:r w:rsidR="0060227E" w:rsidRPr="003212EE">
        <w:rPr>
          <w:rFonts w:ascii="Arial" w:hAnsi="Arial" w:cs="Arial"/>
          <w:b w:val="0"/>
          <w:i/>
          <w:sz w:val="22"/>
          <w:szCs w:val="22"/>
          <w:u w:val="single"/>
        </w:rPr>
        <w:t>Pieters v Administrateur, Suidwes Africa</w:t>
      </w:r>
      <w:r w:rsidR="0060227E" w:rsidRPr="003212EE">
        <w:rPr>
          <w:rStyle w:val="FootnoteReference"/>
          <w:rFonts w:ascii="Arial" w:hAnsi="Arial" w:cs="Arial"/>
          <w:b w:val="0"/>
          <w:sz w:val="22"/>
          <w:szCs w:val="22"/>
          <w:u w:val="single"/>
        </w:rPr>
        <w:footnoteReference w:id="22"/>
      </w:r>
      <w:r w:rsidR="0060227E" w:rsidRPr="003212EE">
        <w:rPr>
          <w:rFonts w:ascii="Arial" w:hAnsi="Arial" w:cs="Arial"/>
          <w:b w:val="0"/>
          <w:sz w:val="22"/>
          <w:szCs w:val="22"/>
        </w:rPr>
        <w:t xml:space="preserve"> (reference in </w:t>
      </w:r>
      <w:r w:rsidR="0060227E" w:rsidRPr="003212EE">
        <w:rPr>
          <w:rFonts w:ascii="Arial" w:hAnsi="Arial" w:cs="Arial"/>
          <w:b w:val="0"/>
          <w:i/>
          <w:sz w:val="22"/>
          <w:szCs w:val="22"/>
        </w:rPr>
        <w:t>Aonin</w:t>
      </w:r>
      <w:r w:rsidR="0060227E" w:rsidRPr="003212EE">
        <w:rPr>
          <w:rFonts w:ascii="Arial" w:hAnsi="Arial" w:cs="Arial"/>
          <w:b w:val="0"/>
          <w:sz w:val="22"/>
          <w:szCs w:val="22"/>
        </w:rPr>
        <w:t xml:space="preserve">) and in </w:t>
      </w:r>
      <w:r w:rsidR="0060227E" w:rsidRPr="003212EE">
        <w:rPr>
          <w:rFonts w:ascii="Arial" w:hAnsi="Arial" w:cs="Arial"/>
          <w:b w:val="0"/>
          <w:i/>
          <w:sz w:val="22"/>
          <w:szCs w:val="22"/>
          <w:u w:val="single"/>
        </w:rPr>
        <w:t>Aonin Fishing v Minister of Fisheries and Marine Resources</w:t>
      </w:r>
      <w:r w:rsidR="0060227E" w:rsidRPr="003212EE">
        <w:rPr>
          <w:rFonts w:ascii="Arial" w:hAnsi="Arial" w:cs="Arial"/>
          <w:b w:val="0"/>
          <w:sz w:val="22"/>
          <w:szCs w:val="22"/>
          <w:u w:val="single"/>
        </w:rPr>
        <w:t>:</w:t>
      </w:r>
      <w:r w:rsidR="0060227E" w:rsidRPr="003212EE">
        <w:rPr>
          <w:rFonts w:ascii="Arial" w:hAnsi="Arial" w:cs="Arial"/>
          <w:b w:val="0"/>
          <w:sz w:val="22"/>
          <w:szCs w:val="22"/>
        </w:rPr>
        <w:t xml:space="preserve"> </w:t>
      </w:r>
      <w:r w:rsidR="0060227E" w:rsidRPr="003212EE">
        <w:rPr>
          <w:rStyle w:val="FootnoteReference"/>
          <w:rFonts w:ascii="Arial" w:hAnsi="Arial" w:cs="Arial"/>
          <w:b w:val="0"/>
          <w:sz w:val="22"/>
          <w:szCs w:val="22"/>
        </w:rPr>
        <w:footnoteReference w:id="23"/>
      </w:r>
    </w:p>
    <w:p w:rsidR="0060227E" w:rsidRPr="003212EE" w:rsidRDefault="0060227E" w:rsidP="003212EE">
      <w:pPr>
        <w:spacing w:after="0" w:line="360" w:lineRule="auto"/>
      </w:pPr>
    </w:p>
    <w:p w:rsidR="0060227E" w:rsidRPr="003212EE" w:rsidRDefault="00AF41D1" w:rsidP="003212EE">
      <w:pPr>
        <w:spacing w:after="0" w:line="360" w:lineRule="auto"/>
        <w:ind w:left="720"/>
        <w:jc w:val="both"/>
        <w:rPr>
          <w:rFonts w:ascii="Arial" w:hAnsi="Arial" w:cs="Arial"/>
        </w:rPr>
      </w:pPr>
      <w:r>
        <w:rPr>
          <w:rFonts w:ascii="Arial" w:hAnsi="Arial" w:cs="Arial"/>
        </w:rPr>
        <w:t>“</w:t>
      </w:r>
      <w:r w:rsidR="0060227E" w:rsidRPr="003212EE">
        <w:rPr>
          <w:rFonts w:ascii="Arial" w:hAnsi="Arial" w:cs="Arial"/>
        </w:rPr>
        <w:t xml:space="preserve">Mr Eloff, for the Administrator, has, however, questioned whether the phrase ''record of proceedings'' in Rule 53 can properly be said to include the documents of the previous application. The words ''record of proceedings'' cannot be otherwise construed, in my view, than as a loose description of the documents, evidence and arguments and other information before the tribunal relating to the matter under review, at the time of the making of the decision in question. It may be a formal record and dossier of what has happened before the tribunal but it may also be a disjointed indication of the material that was at the tribunal's disposal. In the latter case it would, I venture to think, include every scrap of paper throwing light, however indirectly, on what the proceedings were, both procedurally and evidentially. A record of proceedings is analogous to the record of proceedings in a court of law which quite clearly does not include a record of the deliberations subsequent to the receiving of the evidence and preceding the announcement of the court's decision plus the deliberations of the Executive Committee are as little part of the record of the proceedings as the private deliberations of the jury or of the Court in a case before it. It does, however, include all the documents before the Executive Committee as well as </w:t>
      </w:r>
      <w:r w:rsidR="0060227E" w:rsidRPr="003212EE">
        <w:rPr>
          <w:rFonts w:ascii="Arial" w:hAnsi="Arial" w:cs="Arial"/>
          <w:u w:val="single"/>
        </w:rPr>
        <w:t>all documents which are by reference incorporated in the file before it</w:t>
      </w:r>
      <w:r w:rsidR="0060227E" w:rsidRPr="003212EE">
        <w:rPr>
          <w:rFonts w:ascii="Arial" w:hAnsi="Arial" w:cs="Arial"/>
        </w:rPr>
        <w:t>. Thus the previous decision of the Administrator and the documents pertaining to the merits of that decision, could not have been otherwise than present to the mind of the Administrator-in-Executive Committee at the time he made the second decision. If they were not, he could not have brought his mind to bear properly on this issue before him, which is of course denied by the respondents.”  (emphasis supplied)</w:t>
      </w:r>
    </w:p>
    <w:p w:rsidR="0060227E" w:rsidRPr="003212EE" w:rsidRDefault="0060227E" w:rsidP="003212EE">
      <w:pPr>
        <w:spacing w:after="0" w:line="360" w:lineRule="auto"/>
        <w:jc w:val="both"/>
        <w:rPr>
          <w:rFonts w:ascii="Arial" w:hAnsi="Arial" w:cs="Arial"/>
        </w:rPr>
      </w:pPr>
    </w:p>
    <w:p w:rsidR="0060227E" w:rsidRPr="003212EE" w:rsidRDefault="003471BD" w:rsidP="003212EE">
      <w:pPr>
        <w:pStyle w:val="Heading1"/>
        <w:spacing w:before="0" w:after="0" w:line="360" w:lineRule="auto"/>
        <w:jc w:val="both"/>
        <w:rPr>
          <w:rFonts w:ascii="Arial" w:hAnsi="Arial" w:cs="Arial"/>
          <w:b w:val="0"/>
          <w:sz w:val="22"/>
          <w:szCs w:val="22"/>
        </w:rPr>
      </w:pPr>
      <w:r w:rsidRPr="003212EE">
        <w:rPr>
          <w:rFonts w:ascii="Arial" w:hAnsi="Arial" w:cs="Arial"/>
          <w:b w:val="0"/>
          <w:sz w:val="22"/>
          <w:szCs w:val="22"/>
        </w:rPr>
        <w:lastRenderedPageBreak/>
        <w:t xml:space="preserve">15. </w:t>
      </w:r>
      <w:r w:rsidR="0060227E" w:rsidRPr="003212EE">
        <w:rPr>
          <w:rFonts w:ascii="Arial" w:hAnsi="Arial" w:cs="Arial"/>
          <w:b w:val="0"/>
          <w:sz w:val="22"/>
          <w:szCs w:val="22"/>
        </w:rPr>
        <w:t>The applicants have asserted, we submit correctly so, that there is no lawful basis for the Minister to have refused copies of materials requested by the applicants, which the Minister stated</w:t>
      </w:r>
    </w:p>
    <w:p w:rsidR="0060227E" w:rsidRPr="003212EE" w:rsidRDefault="0060227E" w:rsidP="003212EE">
      <w:pPr>
        <w:spacing w:after="0" w:line="360" w:lineRule="auto"/>
        <w:jc w:val="both"/>
        <w:rPr>
          <w:rFonts w:ascii="Arial" w:hAnsi="Arial" w:cs="Arial"/>
        </w:rPr>
      </w:pPr>
    </w:p>
    <w:p w:rsidR="0060227E" w:rsidRPr="003212EE" w:rsidRDefault="0060227E" w:rsidP="003212EE">
      <w:pPr>
        <w:spacing w:after="0" w:line="360" w:lineRule="auto"/>
        <w:ind w:left="720"/>
        <w:jc w:val="both"/>
        <w:rPr>
          <w:rFonts w:ascii="Arial" w:hAnsi="Arial" w:cs="Arial"/>
        </w:rPr>
      </w:pPr>
      <w:r w:rsidRPr="003212EE">
        <w:rPr>
          <w:rFonts w:ascii="Arial" w:hAnsi="Arial" w:cs="Arial"/>
        </w:rPr>
        <w:t xml:space="preserve">“is contained in the written submissions made by ... (NamibRe) and the Society of Actuaries” </w:t>
      </w:r>
    </w:p>
    <w:p w:rsidR="0060227E" w:rsidRPr="003212EE" w:rsidRDefault="0060227E" w:rsidP="003212EE">
      <w:pPr>
        <w:spacing w:after="0" w:line="360" w:lineRule="auto"/>
        <w:ind w:left="720"/>
        <w:jc w:val="both"/>
        <w:rPr>
          <w:rFonts w:ascii="Arial" w:hAnsi="Arial" w:cs="Arial"/>
        </w:rPr>
      </w:pPr>
    </w:p>
    <w:p w:rsidR="0060227E" w:rsidRPr="003212EE" w:rsidRDefault="0060227E" w:rsidP="003212EE">
      <w:pPr>
        <w:spacing w:after="0" w:line="360" w:lineRule="auto"/>
        <w:ind w:left="720"/>
        <w:jc w:val="both"/>
        <w:rPr>
          <w:rFonts w:ascii="Arial" w:hAnsi="Arial" w:cs="Arial"/>
        </w:rPr>
      </w:pPr>
      <w:r w:rsidRPr="003212EE">
        <w:rPr>
          <w:rFonts w:ascii="Arial" w:hAnsi="Arial" w:cs="Arial"/>
        </w:rPr>
        <w:t>and</w:t>
      </w:r>
    </w:p>
    <w:p w:rsidR="0060227E" w:rsidRPr="003212EE" w:rsidRDefault="0060227E" w:rsidP="003212EE">
      <w:pPr>
        <w:spacing w:after="0" w:line="360" w:lineRule="auto"/>
        <w:jc w:val="both"/>
        <w:rPr>
          <w:rFonts w:ascii="Arial" w:hAnsi="Arial" w:cs="Arial"/>
        </w:rPr>
      </w:pPr>
    </w:p>
    <w:p w:rsidR="0060227E" w:rsidRPr="003212EE" w:rsidRDefault="0060227E" w:rsidP="003212EE">
      <w:pPr>
        <w:spacing w:after="0" w:line="360" w:lineRule="auto"/>
        <w:ind w:left="720"/>
        <w:jc w:val="both"/>
        <w:rPr>
          <w:rFonts w:ascii="Arial" w:hAnsi="Arial" w:cs="Arial"/>
        </w:rPr>
      </w:pPr>
      <w:r w:rsidRPr="003212EE">
        <w:rPr>
          <w:rFonts w:ascii="Arial" w:hAnsi="Arial" w:cs="Arial"/>
        </w:rPr>
        <w:t>“The specific documents now sought were footnoted in the NamibRe submissions”</w:t>
      </w:r>
      <w:r w:rsidRPr="003212EE">
        <w:rPr>
          <w:rStyle w:val="FootnoteReference"/>
          <w:rFonts w:ascii="Arial" w:hAnsi="Arial" w:cs="Arial"/>
        </w:rPr>
        <w:footnoteReference w:id="24"/>
      </w:r>
    </w:p>
    <w:p w:rsidR="0060227E" w:rsidRPr="003212EE" w:rsidRDefault="0060227E" w:rsidP="003212EE">
      <w:pPr>
        <w:spacing w:after="0" w:line="360" w:lineRule="auto"/>
        <w:ind w:left="720"/>
        <w:jc w:val="both"/>
        <w:rPr>
          <w:rFonts w:ascii="Arial" w:hAnsi="Arial" w:cs="Arial"/>
        </w:rPr>
      </w:pPr>
    </w:p>
    <w:p w:rsidR="0060227E" w:rsidRPr="003212EE" w:rsidRDefault="003471BD" w:rsidP="003212EE">
      <w:pPr>
        <w:pStyle w:val="Heading1"/>
        <w:spacing w:before="0" w:after="0" w:line="360" w:lineRule="auto"/>
        <w:jc w:val="both"/>
        <w:rPr>
          <w:rFonts w:ascii="Arial" w:hAnsi="Arial" w:cs="Arial"/>
          <w:b w:val="0"/>
          <w:sz w:val="22"/>
          <w:szCs w:val="22"/>
        </w:rPr>
      </w:pPr>
      <w:r w:rsidRPr="003212EE">
        <w:rPr>
          <w:rFonts w:ascii="Arial" w:hAnsi="Arial" w:cs="Arial"/>
          <w:b w:val="0"/>
          <w:sz w:val="22"/>
          <w:szCs w:val="22"/>
        </w:rPr>
        <w:t xml:space="preserve">16. </w:t>
      </w:r>
      <w:r w:rsidR="0060227E" w:rsidRPr="003212EE">
        <w:rPr>
          <w:rFonts w:ascii="Arial" w:hAnsi="Arial" w:cs="Arial"/>
          <w:b w:val="0"/>
          <w:sz w:val="22"/>
          <w:szCs w:val="22"/>
        </w:rPr>
        <w:t>The third fundamental issue in dispute is the application of the indisputable requirement in our law that relevance in the context of rule 76(6) and an entitlement to a full and complete record in terms of rule 76(2)(b) must be widely interpreted and means the Minister must produce “</w:t>
      </w:r>
      <w:r w:rsidR="0060227E" w:rsidRPr="003212EE">
        <w:rPr>
          <w:rFonts w:ascii="Arial" w:hAnsi="Arial" w:cs="Arial"/>
          <w:b w:val="0"/>
          <w:sz w:val="22"/>
          <w:szCs w:val="22"/>
          <w:u w:val="single"/>
        </w:rPr>
        <w:t>every scrap of paper throwing light, however indirectly, on what the proceedings were, both procedurally and evidentially</w:t>
      </w:r>
      <w:r w:rsidR="0060227E" w:rsidRPr="003212EE">
        <w:rPr>
          <w:rFonts w:ascii="Arial" w:hAnsi="Arial" w:cs="Arial"/>
          <w:b w:val="0"/>
          <w:sz w:val="22"/>
          <w:szCs w:val="22"/>
        </w:rPr>
        <w:t xml:space="preserve">” (emphasis provided).  The test is thus “throwing light”, directly or indirectly.  This third issue arises from the Minister’s refusal to produce the documents requested in paragraphs 6 to 9, and 11 to 12 of the rule 76(6) notice, and addressed in paragraphs 13 to 18 of the Minister’s reply to the rule 76(6) notice.  It will be argued that the Minister’s position in this regard is untenable, based largely on the established principles applicable to delivery of a record and discovery in reviews.  </w:t>
      </w:r>
    </w:p>
    <w:p w:rsidR="0060227E" w:rsidRPr="003212EE" w:rsidRDefault="0060227E" w:rsidP="003212EE">
      <w:pPr>
        <w:pStyle w:val="Heading1"/>
        <w:spacing w:before="0" w:after="0" w:line="360" w:lineRule="auto"/>
        <w:jc w:val="both"/>
        <w:rPr>
          <w:rFonts w:ascii="Arial" w:hAnsi="Arial" w:cs="Arial"/>
          <w:b w:val="0"/>
          <w:sz w:val="22"/>
          <w:szCs w:val="22"/>
        </w:rPr>
      </w:pPr>
    </w:p>
    <w:p w:rsidR="0060227E" w:rsidRPr="003212EE" w:rsidRDefault="003471BD" w:rsidP="003212EE">
      <w:pPr>
        <w:pStyle w:val="Heading1"/>
        <w:spacing w:before="0" w:after="0" w:line="360" w:lineRule="auto"/>
        <w:jc w:val="both"/>
        <w:rPr>
          <w:rFonts w:ascii="Arial" w:hAnsi="Arial" w:cs="Arial"/>
          <w:b w:val="0"/>
          <w:sz w:val="22"/>
          <w:szCs w:val="22"/>
        </w:rPr>
      </w:pPr>
      <w:r w:rsidRPr="003212EE">
        <w:rPr>
          <w:rFonts w:ascii="Arial" w:hAnsi="Arial" w:cs="Arial"/>
          <w:b w:val="0"/>
          <w:sz w:val="22"/>
          <w:szCs w:val="22"/>
        </w:rPr>
        <w:t xml:space="preserve">17. </w:t>
      </w:r>
      <w:r w:rsidR="0060227E" w:rsidRPr="003212EE">
        <w:rPr>
          <w:rFonts w:ascii="Arial" w:hAnsi="Arial" w:cs="Arial"/>
          <w:b w:val="0"/>
          <w:sz w:val="22"/>
          <w:szCs w:val="22"/>
        </w:rPr>
        <w:t xml:space="preserve">Additional support for the applicants’ position in this respect is to be found in the recent persuasive interpretation of the content of a “record” under South Africa’s rule 53, the equivalent of our rule 76, and application of this interpretation by the South African Constitutional Court in </w:t>
      </w:r>
      <w:r w:rsidR="0060227E" w:rsidRPr="003212EE">
        <w:rPr>
          <w:rFonts w:ascii="Arial" w:hAnsi="Arial" w:cs="Arial"/>
          <w:b w:val="0"/>
          <w:i/>
          <w:sz w:val="22"/>
          <w:szCs w:val="22"/>
          <w:u w:val="single"/>
        </w:rPr>
        <w:t>Helen Suzman Foundation v Judicial Service Commission</w:t>
      </w:r>
      <w:r w:rsidR="0060227E" w:rsidRPr="003212EE">
        <w:rPr>
          <w:rFonts w:ascii="Arial" w:hAnsi="Arial" w:cs="Arial"/>
          <w:b w:val="0"/>
          <w:i/>
          <w:sz w:val="22"/>
          <w:szCs w:val="22"/>
        </w:rPr>
        <w:t>.</w:t>
      </w:r>
      <w:r w:rsidR="0060227E" w:rsidRPr="003212EE">
        <w:rPr>
          <w:rStyle w:val="FootnoteReference"/>
          <w:rFonts w:ascii="Arial" w:hAnsi="Arial" w:cs="Arial"/>
          <w:b w:val="0"/>
          <w:sz w:val="22"/>
          <w:szCs w:val="22"/>
        </w:rPr>
        <w:footnoteReference w:id="25"/>
      </w:r>
      <w:r w:rsidR="0060227E" w:rsidRPr="003212EE">
        <w:rPr>
          <w:rFonts w:ascii="Arial" w:hAnsi="Arial" w:cs="Arial"/>
          <w:b w:val="0"/>
          <w:sz w:val="22"/>
          <w:szCs w:val="22"/>
        </w:rPr>
        <w:t xml:space="preserve">  The Constitutional Court reasoned, amongst others, that the filing of a </w:t>
      </w:r>
      <w:r w:rsidR="0060227E" w:rsidRPr="003212EE">
        <w:rPr>
          <w:rFonts w:ascii="Arial" w:hAnsi="Arial" w:cs="Arial"/>
          <w:b w:val="0"/>
          <w:sz w:val="22"/>
          <w:szCs w:val="22"/>
          <w:u w:val="single"/>
        </w:rPr>
        <w:t>full</w:t>
      </w:r>
      <w:r w:rsidR="0060227E" w:rsidRPr="003212EE">
        <w:rPr>
          <w:rFonts w:ascii="Arial" w:hAnsi="Arial" w:cs="Arial"/>
          <w:b w:val="0"/>
          <w:sz w:val="22"/>
          <w:szCs w:val="22"/>
        </w:rPr>
        <w:t xml:space="preserve"> record under rule 53, is necessary for the enjoyment of an applicant’s rights of access to courts and to equality of arms before court.</w:t>
      </w:r>
      <w:r w:rsidR="0060227E" w:rsidRPr="003212EE">
        <w:rPr>
          <w:rStyle w:val="FootnoteReference"/>
          <w:rFonts w:ascii="Arial" w:hAnsi="Arial" w:cs="Arial"/>
          <w:b w:val="0"/>
          <w:sz w:val="22"/>
          <w:szCs w:val="22"/>
        </w:rPr>
        <w:footnoteReference w:id="26"/>
      </w:r>
      <w:r w:rsidR="0060227E" w:rsidRPr="003212EE">
        <w:rPr>
          <w:rFonts w:ascii="Arial" w:hAnsi="Arial" w:cs="Arial"/>
          <w:b w:val="0"/>
          <w:sz w:val="22"/>
          <w:szCs w:val="22"/>
        </w:rPr>
        <w:t xml:space="preserve">  This accords with the Namibian position as pronounced in </w:t>
      </w:r>
      <w:r w:rsidR="0060227E" w:rsidRPr="003212EE">
        <w:rPr>
          <w:rFonts w:ascii="Arial" w:hAnsi="Arial" w:cs="Arial"/>
          <w:b w:val="0"/>
          <w:i/>
          <w:sz w:val="22"/>
          <w:szCs w:val="22"/>
        </w:rPr>
        <w:t>Aonin’s</w:t>
      </w:r>
      <w:r w:rsidR="0060227E" w:rsidRPr="003212EE">
        <w:rPr>
          <w:rFonts w:ascii="Arial" w:hAnsi="Arial" w:cs="Arial"/>
          <w:b w:val="0"/>
          <w:sz w:val="22"/>
          <w:szCs w:val="22"/>
        </w:rPr>
        <w:t xml:space="preserve"> case.  </w:t>
      </w:r>
      <w:r w:rsidR="0060227E" w:rsidRPr="003212EE">
        <w:rPr>
          <w:rFonts w:ascii="Arial" w:hAnsi="Arial" w:cs="Arial"/>
          <w:b w:val="0"/>
          <w:i/>
          <w:sz w:val="22"/>
          <w:szCs w:val="22"/>
        </w:rPr>
        <w:t>Aonin’s</w:t>
      </w:r>
      <w:r w:rsidR="0060227E" w:rsidRPr="003212EE">
        <w:rPr>
          <w:rFonts w:ascii="Arial" w:hAnsi="Arial" w:cs="Arial"/>
          <w:b w:val="0"/>
          <w:sz w:val="22"/>
          <w:szCs w:val="22"/>
        </w:rPr>
        <w:t xml:space="preserve"> case emphasized that:  </w:t>
      </w:r>
    </w:p>
    <w:p w:rsidR="0060227E" w:rsidRPr="003212EE" w:rsidRDefault="0060227E" w:rsidP="003212EE">
      <w:pPr>
        <w:pStyle w:val="Heading1"/>
        <w:spacing w:before="0" w:after="0" w:line="360" w:lineRule="auto"/>
        <w:jc w:val="both"/>
        <w:rPr>
          <w:rFonts w:ascii="Arial" w:hAnsi="Arial" w:cs="Arial"/>
          <w:b w:val="0"/>
          <w:sz w:val="22"/>
          <w:szCs w:val="22"/>
        </w:rPr>
      </w:pPr>
    </w:p>
    <w:p w:rsidR="0060227E" w:rsidRPr="003212EE" w:rsidRDefault="0060227E" w:rsidP="003212EE">
      <w:pPr>
        <w:pStyle w:val="Heading2"/>
        <w:spacing w:line="360" w:lineRule="auto"/>
        <w:jc w:val="both"/>
        <w:rPr>
          <w:rFonts w:ascii="Arial" w:hAnsi="Arial" w:cs="Arial"/>
          <w:b w:val="0"/>
          <w:sz w:val="22"/>
          <w:szCs w:val="22"/>
        </w:rPr>
      </w:pPr>
      <w:r w:rsidRPr="003212EE">
        <w:rPr>
          <w:rFonts w:ascii="Arial" w:hAnsi="Arial" w:cs="Arial"/>
          <w:b w:val="0"/>
          <w:sz w:val="22"/>
          <w:szCs w:val="22"/>
        </w:rPr>
        <w:t>Articles 18 of the Namibian Constitution, as well as the requirement of a fair hearing as entrenched Article 12, are engaged in review proceedings;</w:t>
      </w:r>
      <w:r w:rsidRPr="003212EE">
        <w:rPr>
          <w:rStyle w:val="FootnoteReference"/>
          <w:rFonts w:ascii="Arial" w:hAnsi="Arial" w:cs="Arial"/>
          <w:b w:val="0"/>
          <w:sz w:val="22"/>
          <w:szCs w:val="22"/>
        </w:rPr>
        <w:footnoteReference w:id="27"/>
      </w:r>
    </w:p>
    <w:p w:rsidR="0060227E" w:rsidRPr="003212EE" w:rsidRDefault="0060227E" w:rsidP="003212EE">
      <w:pPr>
        <w:pStyle w:val="Heading2"/>
        <w:spacing w:line="360" w:lineRule="auto"/>
        <w:jc w:val="both"/>
        <w:rPr>
          <w:rFonts w:ascii="Arial" w:hAnsi="Arial" w:cs="Arial"/>
          <w:b w:val="0"/>
          <w:sz w:val="22"/>
          <w:szCs w:val="22"/>
        </w:rPr>
      </w:pPr>
      <w:r w:rsidRPr="003212EE">
        <w:rPr>
          <w:rFonts w:ascii="Arial" w:hAnsi="Arial" w:cs="Arial"/>
          <w:b w:val="0"/>
          <w:sz w:val="22"/>
          <w:szCs w:val="22"/>
        </w:rPr>
        <w:t xml:space="preserve">This is all the more the case where a fundamental freedom entrenched in Article 21 is in </w:t>
      </w:r>
      <w:r w:rsidRPr="003212EE">
        <w:rPr>
          <w:rFonts w:ascii="Arial" w:hAnsi="Arial" w:cs="Arial"/>
          <w:b w:val="0"/>
          <w:sz w:val="22"/>
          <w:szCs w:val="22"/>
        </w:rPr>
        <w:lastRenderedPageBreak/>
        <w:t>issue;</w:t>
      </w:r>
      <w:r w:rsidRPr="003212EE">
        <w:rPr>
          <w:rStyle w:val="FootnoteReference"/>
          <w:rFonts w:ascii="Arial" w:hAnsi="Arial" w:cs="Arial"/>
          <w:b w:val="0"/>
          <w:sz w:val="22"/>
          <w:szCs w:val="22"/>
        </w:rPr>
        <w:footnoteReference w:id="28"/>
      </w:r>
      <w:r w:rsidRPr="003212EE">
        <w:rPr>
          <w:rFonts w:ascii="Arial" w:hAnsi="Arial" w:cs="Arial"/>
          <w:b w:val="0"/>
          <w:sz w:val="22"/>
          <w:szCs w:val="22"/>
        </w:rPr>
        <w:t xml:space="preserve">  </w:t>
      </w:r>
    </w:p>
    <w:p w:rsidR="0060227E" w:rsidRPr="003212EE" w:rsidRDefault="0060227E" w:rsidP="003212EE">
      <w:pPr>
        <w:spacing w:after="0" w:line="360" w:lineRule="auto"/>
        <w:jc w:val="both"/>
        <w:rPr>
          <w:rFonts w:ascii="Arial" w:hAnsi="Arial" w:cs="Arial"/>
        </w:rPr>
      </w:pPr>
    </w:p>
    <w:p w:rsidR="0060227E" w:rsidRPr="003212EE" w:rsidRDefault="0060227E" w:rsidP="003212EE">
      <w:pPr>
        <w:pStyle w:val="Heading2"/>
        <w:spacing w:line="360" w:lineRule="auto"/>
        <w:jc w:val="both"/>
        <w:rPr>
          <w:rFonts w:ascii="Arial" w:hAnsi="Arial" w:cs="Arial"/>
          <w:b w:val="0"/>
          <w:sz w:val="22"/>
          <w:szCs w:val="22"/>
        </w:rPr>
      </w:pPr>
      <w:r w:rsidRPr="003212EE">
        <w:rPr>
          <w:rFonts w:ascii="Arial" w:hAnsi="Arial" w:cs="Arial"/>
          <w:b w:val="0"/>
          <w:sz w:val="22"/>
          <w:szCs w:val="22"/>
        </w:rPr>
        <w:t>The above underlines the need for a generous interpretation of the production of a review record.</w:t>
      </w:r>
      <w:r w:rsidRPr="003212EE">
        <w:rPr>
          <w:rStyle w:val="FootnoteReference"/>
          <w:rFonts w:ascii="Arial" w:hAnsi="Arial" w:cs="Arial"/>
          <w:b w:val="0"/>
          <w:sz w:val="22"/>
          <w:szCs w:val="22"/>
        </w:rPr>
        <w:footnoteReference w:id="29"/>
      </w:r>
      <w:r w:rsidRPr="003212EE">
        <w:rPr>
          <w:rFonts w:ascii="Arial" w:hAnsi="Arial" w:cs="Arial"/>
          <w:b w:val="0"/>
          <w:sz w:val="22"/>
          <w:szCs w:val="22"/>
        </w:rPr>
        <w:t xml:space="preserve"> </w:t>
      </w:r>
      <w:r w:rsidRPr="003212EE">
        <w:rPr>
          <w:rFonts w:ascii="Arial" w:hAnsi="Arial" w:cs="Arial"/>
          <w:b w:val="0"/>
          <w:sz w:val="22"/>
          <w:szCs w:val="22"/>
          <w:lang w:val="en-US"/>
        </w:rPr>
        <w:t>‘</w:t>
      </w:r>
      <w:r w:rsidRPr="003212EE">
        <w:rPr>
          <w:rFonts w:ascii="Arial" w:hAnsi="Arial" w:cs="Arial"/>
          <w:b w:val="0"/>
          <w:sz w:val="22"/>
          <w:szCs w:val="22"/>
        </w:rPr>
        <w:t xml:space="preserve"> </w:t>
      </w:r>
    </w:p>
    <w:p w:rsidR="007E0D9F" w:rsidRDefault="007E0D9F" w:rsidP="00EB08AF">
      <w:pPr>
        <w:spacing w:after="0" w:line="360" w:lineRule="auto"/>
        <w:jc w:val="both"/>
        <w:rPr>
          <w:rFonts w:ascii="Arial" w:hAnsi="Arial" w:cs="Arial"/>
          <w:sz w:val="24"/>
          <w:szCs w:val="24"/>
        </w:rPr>
      </w:pPr>
    </w:p>
    <w:p w:rsidR="00BF6DAA" w:rsidRDefault="00BF6DAA" w:rsidP="00BF6DAA">
      <w:pPr>
        <w:spacing w:after="0" w:line="360" w:lineRule="auto"/>
        <w:jc w:val="both"/>
        <w:rPr>
          <w:rFonts w:ascii="Arial" w:hAnsi="Arial" w:cs="Arial"/>
          <w:sz w:val="24"/>
          <w:szCs w:val="24"/>
          <w:u w:val="single"/>
        </w:rPr>
      </w:pPr>
      <w:r w:rsidRPr="00391348">
        <w:rPr>
          <w:rFonts w:ascii="Arial" w:hAnsi="Arial" w:cs="Arial"/>
          <w:sz w:val="24"/>
          <w:szCs w:val="24"/>
          <w:u w:val="single"/>
        </w:rPr>
        <w:t xml:space="preserve">Written argument on </w:t>
      </w:r>
      <w:r>
        <w:rPr>
          <w:rFonts w:ascii="Arial" w:hAnsi="Arial" w:cs="Arial"/>
          <w:sz w:val="24"/>
          <w:szCs w:val="24"/>
          <w:u w:val="single"/>
        </w:rPr>
        <w:t>behalf of the responde</w:t>
      </w:r>
      <w:r w:rsidRPr="00391348">
        <w:rPr>
          <w:rFonts w:ascii="Arial" w:hAnsi="Arial" w:cs="Arial"/>
          <w:sz w:val="24"/>
          <w:szCs w:val="24"/>
          <w:u w:val="single"/>
        </w:rPr>
        <w:t>nts</w:t>
      </w:r>
    </w:p>
    <w:p w:rsidR="00BF6DAA" w:rsidRPr="002551A1" w:rsidRDefault="00BF6DAA" w:rsidP="00EB08AF">
      <w:pPr>
        <w:spacing w:after="0" w:line="360" w:lineRule="auto"/>
        <w:jc w:val="both"/>
        <w:rPr>
          <w:rFonts w:ascii="Arial" w:hAnsi="Arial" w:cs="Arial"/>
          <w:sz w:val="24"/>
          <w:szCs w:val="24"/>
        </w:rPr>
      </w:pPr>
    </w:p>
    <w:p w:rsidR="00C0774C" w:rsidRPr="002551A1" w:rsidRDefault="002551A1" w:rsidP="002551A1">
      <w:pPr>
        <w:spacing w:after="360" w:line="360" w:lineRule="auto"/>
        <w:jc w:val="both"/>
        <w:rPr>
          <w:rFonts w:ascii="Arial" w:hAnsi="Arial" w:cs="Arial"/>
          <w:color w:val="000000" w:themeColor="text1"/>
          <w:sz w:val="24"/>
          <w:szCs w:val="24"/>
        </w:rPr>
      </w:pPr>
      <w:r w:rsidRPr="002551A1">
        <w:rPr>
          <w:rFonts w:ascii="Arial" w:hAnsi="Arial" w:cs="Arial"/>
          <w:color w:val="000000" w:themeColor="text1"/>
          <w:sz w:val="24"/>
          <w:szCs w:val="24"/>
        </w:rPr>
        <w:t>[</w:t>
      </w:r>
      <w:r w:rsidR="00AF41D1">
        <w:rPr>
          <w:rFonts w:ascii="Arial" w:hAnsi="Arial" w:cs="Arial"/>
          <w:color w:val="000000" w:themeColor="text1"/>
          <w:sz w:val="24"/>
          <w:szCs w:val="24"/>
        </w:rPr>
        <w:t>9</w:t>
      </w:r>
      <w:r w:rsidRPr="002551A1">
        <w:rPr>
          <w:rFonts w:ascii="Arial" w:hAnsi="Arial" w:cs="Arial"/>
          <w:color w:val="000000" w:themeColor="text1"/>
          <w:sz w:val="24"/>
          <w:szCs w:val="24"/>
        </w:rPr>
        <w:t>]</w:t>
      </w:r>
      <w:r w:rsidRPr="002551A1">
        <w:rPr>
          <w:rFonts w:ascii="Arial" w:hAnsi="Arial" w:cs="Arial"/>
          <w:color w:val="000000" w:themeColor="text1"/>
          <w:sz w:val="24"/>
          <w:szCs w:val="24"/>
        </w:rPr>
        <w:tab/>
        <w:t>On behalf of the respondents it was submitted that Rule</w:t>
      </w:r>
      <w:r w:rsidR="00C0774C" w:rsidRPr="002551A1">
        <w:rPr>
          <w:rFonts w:ascii="Arial" w:hAnsi="Arial" w:cs="Arial"/>
          <w:color w:val="000000" w:themeColor="text1"/>
          <w:sz w:val="24"/>
          <w:szCs w:val="24"/>
        </w:rPr>
        <w:t xml:space="preserve"> 76(6)</w:t>
      </w:r>
      <w:r w:rsidRPr="002551A1">
        <w:rPr>
          <w:rFonts w:ascii="Arial" w:hAnsi="Arial" w:cs="Arial"/>
          <w:color w:val="000000" w:themeColor="text1"/>
          <w:sz w:val="24"/>
          <w:szCs w:val="24"/>
        </w:rPr>
        <w:t xml:space="preserve"> has four requisites. They submitted</w:t>
      </w:r>
      <w:r>
        <w:rPr>
          <w:rFonts w:ascii="Arial" w:hAnsi="Arial" w:cs="Arial"/>
          <w:color w:val="000000" w:themeColor="text1"/>
          <w:sz w:val="24"/>
          <w:szCs w:val="24"/>
        </w:rPr>
        <w:t xml:space="preserve"> further that:</w:t>
      </w:r>
    </w:p>
    <w:p w:rsidR="00C0774C" w:rsidRDefault="00DD4621" w:rsidP="00ED582E">
      <w:pPr>
        <w:pStyle w:val="ListParagraph"/>
        <w:widowControl/>
        <w:autoSpaceDE/>
        <w:autoSpaceDN/>
        <w:adjustRightInd/>
        <w:spacing w:line="360" w:lineRule="auto"/>
        <w:ind w:left="0" w:firstLine="720"/>
        <w:jc w:val="both"/>
        <w:rPr>
          <w:rFonts w:cs="Arial"/>
          <w:color w:val="000000" w:themeColor="text1"/>
          <w:sz w:val="22"/>
          <w:szCs w:val="22"/>
        </w:rPr>
      </w:pPr>
      <w:r>
        <w:rPr>
          <w:rFonts w:cs="Arial"/>
          <w:color w:val="000000" w:themeColor="text1"/>
          <w:sz w:val="22"/>
          <w:szCs w:val="22"/>
        </w:rPr>
        <w:t>‘14.</w:t>
      </w:r>
      <w:r>
        <w:rPr>
          <w:rFonts w:cs="Arial"/>
          <w:color w:val="000000" w:themeColor="text1"/>
          <w:sz w:val="22"/>
          <w:szCs w:val="22"/>
        </w:rPr>
        <w:tab/>
      </w:r>
      <w:r w:rsidR="00C0774C" w:rsidRPr="00DD4621">
        <w:rPr>
          <w:rFonts w:cs="Arial"/>
          <w:color w:val="000000" w:themeColor="text1"/>
          <w:sz w:val="22"/>
          <w:szCs w:val="22"/>
        </w:rPr>
        <w:t xml:space="preserve">In terms of rule 76(2)(b), a decision-maker is obliged to file the record of proceedings sought to be reviewed and set aside.  The rule reads as follows: </w:t>
      </w:r>
    </w:p>
    <w:p w:rsidR="00ED582E" w:rsidRPr="00DD4621" w:rsidRDefault="00ED582E" w:rsidP="00ED582E">
      <w:pPr>
        <w:pStyle w:val="ListParagraph"/>
        <w:widowControl/>
        <w:autoSpaceDE/>
        <w:autoSpaceDN/>
        <w:adjustRightInd/>
        <w:spacing w:line="360" w:lineRule="auto"/>
        <w:ind w:left="0"/>
        <w:jc w:val="both"/>
        <w:rPr>
          <w:rFonts w:cs="Arial"/>
          <w:color w:val="000000" w:themeColor="text1"/>
          <w:sz w:val="22"/>
          <w:szCs w:val="22"/>
        </w:rPr>
      </w:pPr>
    </w:p>
    <w:p w:rsidR="00C0774C" w:rsidRPr="00DD4621" w:rsidRDefault="00C0774C" w:rsidP="00DD4621">
      <w:pPr>
        <w:pStyle w:val="ListParagraph"/>
        <w:spacing w:line="360" w:lineRule="auto"/>
        <w:ind w:left="851"/>
        <w:jc w:val="both"/>
        <w:rPr>
          <w:sz w:val="22"/>
          <w:szCs w:val="22"/>
          <w:lang w:val="en-ZA"/>
        </w:rPr>
      </w:pPr>
      <w:r w:rsidRPr="00DD4621">
        <w:rPr>
          <w:rFonts w:cs="Arial"/>
          <w:i/>
          <w:color w:val="000000" w:themeColor="text1"/>
          <w:sz w:val="22"/>
          <w:szCs w:val="22"/>
          <w:lang w:val="en-ZA"/>
        </w:rPr>
        <w:t>“(2) An application referred to in subrule (1) must call on the person referred to in that subrule to –</w:t>
      </w:r>
    </w:p>
    <w:p w:rsidR="00C0774C" w:rsidRDefault="00C0774C" w:rsidP="00DD4621">
      <w:pPr>
        <w:autoSpaceDE w:val="0"/>
        <w:autoSpaceDN w:val="0"/>
        <w:adjustRightInd w:val="0"/>
        <w:spacing w:after="0" w:line="360" w:lineRule="auto"/>
        <w:ind w:left="851"/>
        <w:jc w:val="both"/>
        <w:rPr>
          <w:rFonts w:ascii="Arial" w:hAnsi="Arial" w:cs="Arial"/>
          <w:i/>
          <w:color w:val="000000" w:themeColor="text1"/>
          <w:lang w:val="en-ZA"/>
        </w:rPr>
      </w:pPr>
      <w:r w:rsidRPr="00DD4621">
        <w:rPr>
          <w:rFonts w:ascii="Arial" w:hAnsi="Arial" w:cs="Arial"/>
          <w:i/>
          <w:color w:val="000000" w:themeColor="text1"/>
          <w:lang w:val="en-ZA"/>
        </w:rPr>
        <w:t xml:space="preserve">(b) within 15 days after receipt of the application, serve on the applicant a copy of the complete record and file with the registrar </w:t>
      </w:r>
      <w:r w:rsidRPr="00DD4621">
        <w:rPr>
          <w:rFonts w:ascii="Arial" w:hAnsi="Arial" w:cs="Arial"/>
          <w:i/>
          <w:color w:val="000000" w:themeColor="text1"/>
          <w:u w:val="single"/>
          <w:lang w:val="en-ZA"/>
        </w:rPr>
        <w:t xml:space="preserve">the original record of such proceedings sought to be corrected or set aside </w:t>
      </w:r>
      <w:r w:rsidRPr="00DD4621">
        <w:rPr>
          <w:rFonts w:ascii="Arial" w:hAnsi="Arial" w:cs="Arial"/>
          <w:i/>
          <w:color w:val="000000" w:themeColor="text1"/>
          <w:lang w:val="en-ZA"/>
        </w:rPr>
        <w:t>together with reasons for the decision and to notify the applicant that he or she has done so.”</w:t>
      </w:r>
    </w:p>
    <w:p w:rsidR="00FD07BA" w:rsidRPr="00DD4621" w:rsidRDefault="00FD07BA" w:rsidP="00FD07BA">
      <w:pPr>
        <w:autoSpaceDE w:val="0"/>
        <w:autoSpaceDN w:val="0"/>
        <w:adjustRightInd w:val="0"/>
        <w:spacing w:after="0" w:line="360" w:lineRule="auto"/>
        <w:jc w:val="both"/>
        <w:rPr>
          <w:rFonts w:ascii="Times-Roman" w:hAnsi="Times-Roman" w:cs="Times-Roman"/>
          <w:color w:val="000000" w:themeColor="text1"/>
          <w:lang w:val="en-ZA"/>
        </w:rPr>
      </w:pPr>
    </w:p>
    <w:p w:rsidR="00C0774C" w:rsidRDefault="00C0774C" w:rsidP="00FD07BA">
      <w:pPr>
        <w:pStyle w:val="ListParagraph"/>
        <w:numPr>
          <w:ilvl w:val="0"/>
          <w:numId w:val="8"/>
        </w:numPr>
        <w:spacing w:line="360" w:lineRule="auto"/>
        <w:ind w:left="0" w:firstLine="0"/>
        <w:jc w:val="both"/>
        <w:rPr>
          <w:rFonts w:cs="Arial"/>
          <w:color w:val="000000" w:themeColor="text1"/>
          <w:sz w:val="22"/>
          <w:szCs w:val="22"/>
        </w:rPr>
      </w:pPr>
      <w:r w:rsidRPr="00FD07BA">
        <w:rPr>
          <w:rFonts w:cs="Arial"/>
          <w:color w:val="000000" w:themeColor="text1"/>
          <w:sz w:val="22"/>
          <w:szCs w:val="22"/>
        </w:rPr>
        <w:t>In terms of rule 76(6):</w:t>
      </w:r>
    </w:p>
    <w:p w:rsidR="00FD07BA" w:rsidRPr="00FD07BA" w:rsidRDefault="00FD07BA" w:rsidP="00FD07BA">
      <w:pPr>
        <w:pStyle w:val="ListParagraph"/>
        <w:spacing w:line="360" w:lineRule="auto"/>
        <w:ind w:left="0"/>
        <w:jc w:val="both"/>
        <w:rPr>
          <w:rFonts w:cs="Arial"/>
          <w:color w:val="000000" w:themeColor="text1"/>
          <w:sz w:val="22"/>
          <w:szCs w:val="22"/>
        </w:rPr>
      </w:pPr>
    </w:p>
    <w:p w:rsidR="00C0774C" w:rsidRDefault="00C0774C" w:rsidP="00DD4621">
      <w:pPr>
        <w:widowControl w:val="0"/>
        <w:autoSpaceDE w:val="0"/>
        <w:autoSpaceDN w:val="0"/>
        <w:adjustRightInd w:val="0"/>
        <w:spacing w:after="0" w:line="360" w:lineRule="auto"/>
        <w:ind w:left="851"/>
        <w:jc w:val="both"/>
        <w:rPr>
          <w:rFonts w:ascii="Arial" w:hAnsi="Arial" w:cs="Arial"/>
          <w:i/>
          <w:color w:val="000000" w:themeColor="text1"/>
          <w:lang w:val="en-ZA"/>
        </w:rPr>
      </w:pPr>
      <w:r w:rsidRPr="00DD4621">
        <w:rPr>
          <w:rFonts w:ascii="Arial" w:hAnsi="Arial" w:cs="Arial"/>
          <w:i/>
          <w:color w:val="000000" w:themeColor="text1"/>
          <w:lang w:val="en-ZA"/>
        </w:rPr>
        <w:t>“(6) If the applicant believes there are other documents in possession of the respondent, which are relevant to the decision or proceedings sought to be reviewed, he or she must, within 14 days from receiving copies of the record, give notice to the respondent that such further reasonably identified documents must be discovered within five days after the date that notice is delivered to the other party.”</w:t>
      </w:r>
    </w:p>
    <w:p w:rsidR="00F93B6A" w:rsidRPr="00DD4621" w:rsidRDefault="00F93B6A" w:rsidP="00F93B6A">
      <w:pPr>
        <w:widowControl w:val="0"/>
        <w:autoSpaceDE w:val="0"/>
        <w:autoSpaceDN w:val="0"/>
        <w:adjustRightInd w:val="0"/>
        <w:spacing w:after="0" w:line="360" w:lineRule="auto"/>
        <w:jc w:val="both"/>
        <w:rPr>
          <w:rFonts w:ascii="Arial" w:hAnsi="Arial" w:cs="Arial"/>
          <w:i/>
          <w:color w:val="000000" w:themeColor="text1"/>
          <w:lang w:val="en-ZA"/>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Rule 76(6) has no explicit source in South Africa’s Uniform Rule 53, which previously applied in Namibia, and from which Rule 76 is obviously drawn.  Its origin is interesting and has great significance for the present dispute.</w:t>
      </w:r>
    </w:p>
    <w:p w:rsidR="00F93B6A" w:rsidRPr="00DD4621" w:rsidRDefault="00F93B6A" w:rsidP="00FD07BA">
      <w:pPr>
        <w:pStyle w:val="ListParagraph"/>
        <w:autoSpaceDE/>
        <w:autoSpaceDN/>
        <w:adjustRightInd/>
        <w:spacing w:line="360" w:lineRule="auto"/>
        <w:ind w:left="0"/>
        <w:jc w:val="both"/>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When the new High Court Rules were drawn up in Namibia, the opportunity was taken to spell out, and to state expressly, the solution devised in Namibian case-law for a formal </w:t>
      </w:r>
      <w:r w:rsidRPr="00DD4621">
        <w:rPr>
          <w:rFonts w:cs="Arial"/>
          <w:i/>
          <w:color w:val="000000" w:themeColor="text1"/>
          <w:sz w:val="22"/>
          <w:szCs w:val="22"/>
        </w:rPr>
        <w:t>lacuna</w:t>
      </w:r>
      <w:r w:rsidRPr="00DD4621">
        <w:rPr>
          <w:rFonts w:cs="Arial"/>
          <w:color w:val="000000" w:themeColor="text1"/>
          <w:sz w:val="22"/>
          <w:szCs w:val="22"/>
        </w:rPr>
        <w:t xml:space="preserve">.  The formal </w:t>
      </w:r>
      <w:r w:rsidRPr="00DD4621">
        <w:rPr>
          <w:rFonts w:cs="Arial"/>
          <w:i/>
          <w:color w:val="000000" w:themeColor="text1"/>
          <w:sz w:val="22"/>
          <w:szCs w:val="22"/>
        </w:rPr>
        <w:t xml:space="preserve">lacuna </w:t>
      </w:r>
      <w:r w:rsidRPr="00DD4621">
        <w:rPr>
          <w:rFonts w:cs="Arial"/>
          <w:color w:val="000000" w:themeColor="text1"/>
          <w:sz w:val="22"/>
          <w:szCs w:val="22"/>
        </w:rPr>
        <w:t xml:space="preserve">was that Rule 53 did not expressly provide for what should happen </w:t>
      </w:r>
      <w:r w:rsidRPr="00DD4621">
        <w:rPr>
          <w:rFonts w:cs="Arial"/>
          <w:color w:val="000000" w:themeColor="text1"/>
          <w:sz w:val="22"/>
          <w:szCs w:val="22"/>
        </w:rPr>
        <w:lastRenderedPageBreak/>
        <w:t>if an applicant for review disputed that the entire review record had been produced.</w:t>
      </w:r>
    </w:p>
    <w:p w:rsidR="00F93B6A" w:rsidRPr="00F93B6A" w:rsidRDefault="00F93B6A" w:rsidP="00FD07BA">
      <w:pPr>
        <w:pStyle w:val="ListParagraph"/>
        <w:ind w:left="0"/>
        <w:rPr>
          <w:rFonts w:cs="Arial"/>
          <w:color w:val="000000" w:themeColor="text1"/>
          <w:sz w:val="22"/>
          <w:szCs w:val="22"/>
        </w:rPr>
      </w:pPr>
    </w:p>
    <w:p w:rsidR="00C0774C" w:rsidRPr="00F93B6A"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In a still-leading judgment of this Court (more accurately, of its predecessor), Hoexter J (later JA) devised a solution</w:t>
      </w:r>
      <w:r w:rsidRPr="00DD4621">
        <w:rPr>
          <w:rStyle w:val="FootnoteReference"/>
          <w:rFonts w:cs="Arial"/>
          <w:color w:val="000000" w:themeColor="text1"/>
          <w:sz w:val="22"/>
          <w:szCs w:val="22"/>
        </w:rPr>
        <w:footnoteReference w:id="30"/>
      </w:r>
      <w:r w:rsidRPr="00DD4621">
        <w:rPr>
          <w:rFonts w:cs="Arial"/>
          <w:color w:val="000000" w:themeColor="text1"/>
          <w:sz w:val="22"/>
          <w:szCs w:val="22"/>
        </w:rPr>
        <w:t>. It was that in such circumstances an applicant might invoke Rule 35(11) “</w:t>
      </w:r>
      <w:r w:rsidRPr="00DD4621">
        <w:rPr>
          <w:rFonts w:cs="Arial"/>
          <w:i/>
          <w:color w:val="000000" w:themeColor="text1"/>
          <w:sz w:val="22"/>
          <w:szCs w:val="22"/>
        </w:rPr>
        <w:t xml:space="preserve">om deur </w:t>
      </w:r>
      <w:r w:rsidRPr="00DD4621">
        <w:rPr>
          <w:rFonts w:cs="Arial"/>
          <w:b/>
          <w:i/>
          <w:color w:val="000000" w:themeColor="text1"/>
          <w:sz w:val="22"/>
          <w:szCs w:val="22"/>
        </w:rPr>
        <w:t>voorlegging</w:t>
      </w:r>
      <w:r w:rsidRPr="00DD4621">
        <w:rPr>
          <w:rFonts w:cs="Arial"/>
          <w:i/>
          <w:color w:val="000000" w:themeColor="text1"/>
          <w:sz w:val="22"/>
          <w:szCs w:val="22"/>
        </w:rPr>
        <w:t xml:space="preserve"> van die ontbrekende stukke die leemtes in die respondent se oorkonde te vul”.</w:t>
      </w:r>
      <w:r w:rsidRPr="00DD4621">
        <w:rPr>
          <w:rFonts w:cs="Arial"/>
          <w:color w:val="000000" w:themeColor="text1"/>
          <w:sz w:val="22"/>
          <w:szCs w:val="22"/>
        </w:rPr>
        <w:t xml:space="preserve"> </w:t>
      </w:r>
      <w:r w:rsidRPr="00DD4621">
        <w:rPr>
          <w:rStyle w:val="FootnoteReference"/>
          <w:rFonts w:cs="Arial"/>
          <w:color w:val="000000" w:themeColor="text1"/>
          <w:sz w:val="22"/>
          <w:szCs w:val="22"/>
        </w:rPr>
        <w:footnoteReference w:id="31"/>
      </w:r>
      <w:r w:rsidRPr="00DD4621">
        <w:rPr>
          <w:rFonts w:cs="Arial"/>
          <w:color w:val="000000" w:themeColor="text1"/>
          <w:sz w:val="22"/>
          <w:szCs w:val="22"/>
        </w:rPr>
        <w:t xml:space="preserve"> The question is: is the record incomplete (“</w:t>
      </w:r>
      <w:r w:rsidRPr="00DD4621">
        <w:rPr>
          <w:rFonts w:cs="Arial"/>
          <w:i/>
          <w:color w:val="000000" w:themeColor="text1"/>
          <w:sz w:val="22"/>
          <w:szCs w:val="22"/>
        </w:rPr>
        <w:t>onvolledig”</w:t>
      </w:r>
      <w:r w:rsidRPr="00DD4621">
        <w:rPr>
          <w:rFonts w:cs="Arial"/>
          <w:color w:val="000000" w:themeColor="text1"/>
          <w:sz w:val="22"/>
          <w:szCs w:val="22"/>
        </w:rPr>
        <w:t>).</w:t>
      </w:r>
      <w:r w:rsidRPr="00DD4621">
        <w:rPr>
          <w:rStyle w:val="FootnoteReference"/>
          <w:rFonts w:cs="Arial"/>
          <w:color w:val="000000" w:themeColor="text1"/>
          <w:sz w:val="22"/>
          <w:szCs w:val="22"/>
        </w:rPr>
        <w:footnoteReference w:id="32"/>
      </w:r>
      <w:r w:rsidRPr="00DD4621">
        <w:rPr>
          <w:rFonts w:cs="Arial"/>
          <w:color w:val="000000" w:themeColor="text1"/>
          <w:sz w:val="22"/>
          <w:szCs w:val="22"/>
        </w:rPr>
        <w:t xml:space="preserve">  The Court emphasises that the process it authorises is </w:t>
      </w:r>
      <w:r w:rsidRPr="00DD4621">
        <w:rPr>
          <w:rFonts w:cs="Arial"/>
          <w:i/>
          <w:color w:val="000000" w:themeColor="text1"/>
          <w:sz w:val="22"/>
          <w:szCs w:val="22"/>
        </w:rPr>
        <w:t>“voorlegging en nie blootlegging nie”.</w:t>
      </w:r>
      <w:r w:rsidRPr="00DD4621">
        <w:rPr>
          <w:rStyle w:val="FootnoteReference"/>
          <w:rFonts w:cs="Arial"/>
          <w:i/>
          <w:color w:val="000000" w:themeColor="text1"/>
          <w:sz w:val="22"/>
          <w:szCs w:val="22"/>
        </w:rPr>
        <w:footnoteReference w:id="33"/>
      </w:r>
      <w:r w:rsidRPr="00DD4621">
        <w:rPr>
          <w:rFonts w:cs="Arial"/>
          <w:i/>
          <w:color w:val="000000" w:themeColor="text1"/>
          <w:sz w:val="22"/>
          <w:szCs w:val="22"/>
        </w:rPr>
        <w:t xml:space="preserve"> </w:t>
      </w:r>
    </w:p>
    <w:p w:rsidR="00F93B6A" w:rsidRPr="00DD4621" w:rsidRDefault="00F93B6A" w:rsidP="00FD07BA">
      <w:pPr>
        <w:pStyle w:val="ListParagraph"/>
        <w:autoSpaceDE/>
        <w:autoSpaceDN/>
        <w:adjustRightInd/>
        <w:spacing w:line="360" w:lineRule="auto"/>
        <w:ind w:left="0"/>
        <w:jc w:val="both"/>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From this root follows a correct understanding of Rule 76(6). It is not a licence for discovery (let alone to fish).  It is a means to </w:t>
      </w:r>
      <w:r w:rsidRPr="00DD4621">
        <w:rPr>
          <w:rFonts w:cs="Arial"/>
          <w:i/>
          <w:color w:val="000000" w:themeColor="text1"/>
          <w:sz w:val="22"/>
          <w:szCs w:val="22"/>
        </w:rPr>
        <w:t xml:space="preserve">complete </w:t>
      </w:r>
      <w:r w:rsidRPr="00DD4621">
        <w:rPr>
          <w:rFonts w:cs="Arial"/>
          <w:color w:val="000000" w:themeColor="text1"/>
          <w:sz w:val="22"/>
          <w:szCs w:val="22"/>
        </w:rPr>
        <w:t xml:space="preserve">the true </w:t>
      </w:r>
      <w:r w:rsidRPr="00DD4621">
        <w:rPr>
          <w:rFonts w:cs="Arial"/>
          <w:i/>
          <w:color w:val="000000" w:themeColor="text1"/>
          <w:sz w:val="22"/>
          <w:szCs w:val="22"/>
        </w:rPr>
        <w:t>record</w:t>
      </w:r>
      <w:r w:rsidRPr="00DD4621">
        <w:rPr>
          <w:rFonts w:cs="Arial"/>
          <w:color w:val="000000" w:themeColor="text1"/>
          <w:sz w:val="22"/>
          <w:szCs w:val="22"/>
        </w:rPr>
        <w:t xml:space="preserve"> of decision.  Unless there is a basis to contend that</w:t>
      </w:r>
    </w:p>
    <w:p w:rsidR="00D43A7A" w:rsidRPr="00DD4621" w:rsidRDefault="00D43A7A" w:rsidP="00D43A7A">
      <w:pPr>
        <w:pStyle w:val="ListParagraph"/>
        <w:autoSpaceDE/>
        <w:autoSpaceDN/>
        <w:adjustRightInd/>
        <w:spacing w:line="360" w:lineRule="auto"/>
        <w:ind w:left="0"/>
        <w:jc w:val="both"/>
        <w:rPr>
          <w:rFonts w:cs="Arial"/>
          <w:color w:val="000000" w:themeColor="text1"/>
          <w:sz w:val="22"/>
          <w:szCs w:val="22"/>
        </w:rPr>
      </w:pPr>
    </w:p>
    <w:p w:rsidR="00C0774C" w:rsidRPr="00DD4621" w:rsidRDefault="00C0774C" w:rsidP="00DD4621">
      <w:pPr>
        <w:pStyle w:val="ListParagraph"/>
        <w:numPr>
          <w:ilvl w:val="0"/>
          <w:numId w:val="4"/>
        </w:numPr>
        <w:autoSpaceDE/>
        <w:autoSpaceDN/>
        <w:adjustRightInd/>
        <w:spacing w:line="360" w:lineRule="auto"/>
        <w:jc w:val="both"/>
        <w:rPr>
          <w:rFonts w:cs="Arial"/>
          <w:color w:val="000000" w:themeColor="text1"/>
          <w:sz w:val="22"/>
          <w:szCs w:val="22"/>
        </w:rPr>
      </w:pPr>
      <w:r w:rsidRPr="00DD4621">
        <w:rPr>
          <w:rFonts w:cs="Arial"/>
          <w:color w:val="000000" w:themeColor="text1"/>
          <w:sz w:val="22"/>
          <w:szCs w:val="22"/>
        </w:rPr>
        <w:t xml:space="preserve"> </w:t>
      </w:r>
      <w:r w:rsidRPr="00DD4621">
        <w:rPr>
          <w:rFonts w:cs="Arial"/>
          <w:i/>
          <w:color w:val="000000" w:themeColor="text1"/>
          <w:sz w:val="22"/>
          <w:szCs w:val="22"/>
        </w:rPr>
        <w:t>identifiable</w:t>
      </w:r>
      <w:r w:rsidRPr="00DD4621">
        <w:rPr>
          <w:rFonts w:cs="Arial"/>
          <w:color w:val="000000" w:themeColor="text1"/>
          <w:sz w:val="22"/>
          <w:szCs w:val="22"/>
        </w:rPr>
        <w:t xml:space="preserve"> documents </w:t>
      </w:r>
      <w:r w:rsidRPr="00DD4621">
        <w:rPr>
          <w:rFonts w:cs="Arial"/>
          <w:i/>
          <w:color w:val="000000" w:themeColor="text1"/>
          <w:sz w:val="22"/>
          <w:szCs w:val="22"/>
        </w:rPr>
        <w:t>exist,</w:t>
      </w:r>
    </w:p>
    <w:p w:rsidR="00C0774C" w:rsidRPr="00DD4621" w:rsidRDefault="00C0774C" w:rsidP="00DD4621">
      <w:pPr>
        <w:pStyle w:val="ListParagraph"/>
        <w:numPr>
          <w:ilvl w:val="0"/>
          <w:numId w:val="4"/>
        </w:numPr>
        <w:autoSpaceDE/>
        <w:autoSpaceDN/>
        <w:adjustRightInd/>
        <w:spacing w:line="360" w:lineRule="auto"/>
        <w:jc w:val="both"/>
        <w:rPr>
          <w:rFonts w:cs="Arial"/>
          <w:color w:val="000000" w:themeColor="text1"/>
          <w:sz w:val="22"/>
          <w:szCs w:val="22"/>
        </w:rPr>
      </w:pPr>
      <w:r w:rsidRPr="00DD4621">
        <w:rPr>
          <w:rFonts w:cs="Arial"/>
          <w:color w:val="000000" w:themeColor="text1"/>
          <w:sz w:val="22"/>
          <w:szCs w:val="22"/>
        </w:rPr>
        <w:t xml:space="preserve"> which have been excluded from what was the true </w:t>
      </w:r>
      <w:r w:rsidRPr="00DD4621">
        <w:rPr>
          <w:rFonts w:cs="Arial"/>
          <w:i/>
          <w:color w:val="000000" w:themeColor="text1"/>
          <w:sz w:val="22"/>
          <w:szCs w:val="22"/>
        </w:rPr>
        <w:t>record of decision</w:t>
      </w:r>
    </w:p>
    <w:p w:rsidR="00C0774C" w:rsidRPr="00DD4621" w:rsidRDefault="00C0774C" w:rsidP="00DD4621">
      <w:pPr>
        <w:pStyle w:val="ListParagraph"/>
        <w:numPr>
          <w:ilvl w:val="0"/>
          <w:numId w:val="4"/>
        </w:numPr>
        <w:autoSpaceDE/>
        <w:autoSpaceDN/>
        <w:adjustRightInd/>
        <w:spacing w:line="360" w:lineRule="auto"/>
        <w:jc w:val="both"/>
        <w:rPr>
          <w:rFonts w:cs="Arial"/>
          <w:color w:val="000000" w:themeColor="text1"/>
          <w:sz w:val="22"/>
          <w:szCs w:val="22"/>
        </w:rPr>
      </w:pPr>
      <w:r w:rsidRPr="00DD4621">
        <w:rPr>
          <w:rFonts w:cs="Arial"/>
          <w:color w:val="000000" w:themeColor="text1"/>
          <w:sz w:val="22"/>
          <w:szCs w:val="22"/>
        </w:rPr>
        <w:t xml:space="preserve"> are </w:t>
      </w:r>
      <w:r w:rsidRPr="00DD4621">
        <w:rPr>
          <w:rFonts w:cs="Arial"/>
          <w:i/>
          <w:color w:val="000000" w:themeColor="text1"/>
          <w:sz w:val="22"/>
          <w:szCs w:val="22"/>
        </w:rPr>
        <w:t>relevant</w:t>
      </w:r>
      <w:r w:rsidRPr="00DD4621">
        <w:rPr>
          <w:rFonts w:cs="Arial"/>
          <w:color w:val="000000" w:themeColor="text1"/>
          <w:sz w:val="22"/>
          <w:szCs w:val="22"/>
        </w:rPr>
        <w:t xml:space="preserve"> to the decision; and</w:t>
      </w:r>
    </w:p>
    <w:p w:rsidR="00C0774C" w:rsidRPr="00DD4621" w:rsidRDefault="00C0774C" w:rsidP="00DD4621">
      <w:pPr>
        <w:pStyle w:val="ListParagraph"/>
        <w:numPr>
          <w:ilvl w:val="0"/>
          <w:numId w:val="4"/>
        </w:numPr>
        <w:autoSpaceDE/>
        <w:autoSpaceDN/>
        <w:adjustRightInd/>
        <w:spacing w:line="360" w:lineRule="auto"/>
        <w:jc w:val="both"/>
        <w:rPr>
          <w:rFonts w:cs="Arial"/>
          <w:color w:val="000000" w:themeColor="text1"/>
          <w:sz w:val="22"/>
          <w:szCs w:val="22"/>
        </w:rPr>
      </w:pPr>
      <w:r w:rsidRPr="00DD4621">
        <w:rPr>
          <w:rFonts w:cs="Arial"/>
          <w:color w:val="000000" w:themeColor="text1"/>
          <w:sz w:val="22"/>
          <w:szCs w:val="22"/>
        </w:rPr>
        <w:t xml:space="preserve"> are </w:t>
      </w:r>
      <w:r w:rsidRPr="00DD4621">
        <w:rPr>
          <w:rFonts w:cs="Arial"/>
          <w:i/>
          <w:color w:val="000000" w:themeColor="text1"/>
          <w:sz w:val="22"/>
          <w:szCs w:val="22"/>
        </w:rPr>
        <w:t>now in the possession of the decision-</w:t>
      </w:r>
      <w:r w:rsidRPr="00DD4621">
        <w:rPr>
          <w:rFonts w:cs="Arial"/>
          <w:color w:val="000000" w:themeColor="text1"/>
          <w:sz w:val="22"/>
          <w:szCs w:val="22"/>
        </w:rPr>
        <w:t>maker</w:t>
      </w:r>
    </w:p>
    <w:p w:rsidR="00C0774C" w:rsidRDefault="00C0774C" w:rsidP="00DD4621">
      <w:pPr>
        <w:pStyle w:val="ListParagraph"/>
        <w:spacing w:line="360" w:lineRule="auto"/>
        <w:ind w:left="567"/>
        <w:jc w:val="both"/>
        <w:rPr>
          <w:rFonts w:cs="Arial"/>
          <w:color w:val="000000" w:themeColor="text1"/>
          <w:sz w:val="22"/>
          <w:szCs w:val="22"/>
        </w:rPr>
      </w:pPr>
      <w:r w:rsidRPr="00DD4621">
        <w:rPr>
          <w:rFonts w:cs="Arial"/>
          <w:color w:val="000000" w:themeColor="text1"/>
          <w:sz w:val="22"/>
          <w:szCs w:val="22"/>
        </w:rPr>
        <w:t xml:space="preserve"> there is no responsible basis to bring an application to </w:t>
      </w:r>
      <w:r w:rsidRPr="00DD4621">
        <w:rPr>
          <w:rFonts w:cs="Arial"/>
          <w:i/>
          <w:color w:val="000000" w:themeColor="text1"/>
          <w:sz w:val="22"/>
          <w:szCs w:val="22"/>
        </w:rPr>
        <w:t xml:space="preserve">produce </w:t>
      </w:r>
      <w:r w:rsidRPr="00DD4621">
        <w:rPr>
          <w:rFonts w:cs="Arial"/>
          <w:color w:val="000000" w:themeColor="text1"/>
          <w:sz w:val="22"/>
          <w:szCs w:val="22"/>
        </w:rPr>
        <w:t xml:space="preserve">them. </w:t>
      </w:r>
    </w:p>
    <w:p w:rsidR="00F93B6A" w:rsidRPr="00DD4621" w:rsidRDefault="00F93B6A" w:rsidP="00DD4621">
      <w:pPr>
        <w:pStyle w:val="ListParagraph"/>
        <w:spacing w:line="360" w:lineRule="auto"/>
        <w:ind w:left="567"/>
        <w:jc w:val="both"/>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There are thus four obvious requirements laid down by Rule 76(6) – obvious both on its wording, and regard being had to its derivation from </w:t>
      </w:r>
      <w:r w:rsidRPr="00DD4621">
        <w:rPr>
          <w:rFonts w:cs="Arial"/>
          <w:i/>
          <w:color w:val="000000" w:themeColor="text1"/>
          <w:sz w:val="22"/>
          <w:szCs w:val="22"/>
        </w:rPr>
        <w:t>Pieters supra.</w:t>
      </w:r>
      <w:r w:rsidRPr="00DD4621">
        <w:rPr>
          <w:rFonts w:cs="Arial"/>
          <w:color w:val="000000" w:themeColor="text1"/>
          <w:sz w:val="22"/>
          <w:szCs w:val="22"/>
        </w:rPr>
        <w:t xml:space="preserve">.  </w:t>
      </w:r>
    </w:p>
    <w:p w:rsidR="00F93B6A" w:rsidRPr="00DD4621" w:rsidRDefault="00F93B6A" w:rsidP="00FD07BA">
      <w:pPr>
        <w:pStyle w:val="ListParagraph"/>
        <w:autoSpaceDE/>
        <w:autoSpaceDN/>
        <w:adjustRightInd/>
        <w:spacing w:line="360" w:lineRule="auto"/>
        <w:ind w:left="0"/>
        <w:jc w:val="both"/>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The first is a </w:t>
      </w:r>
      <w:r w:rsidRPr="00DD4621">
        <w:rPr>
          <w:rFonts w:cs="Arial"/>
          <w:i/>
          <w:color w:val="000000" w:themeColor="text1"/>
          <w:sz w:val="22"/>
          <w:szCs w:val="22"/>
        </w:rPr>
        <w:t>belief</w:t>
      </w:r>
      <w:r w:rsidRPr="00DD4621">
        <w:rPr>
          <w:rFonts w:cs="Arial"/>
          <w:color w:val="000000" w:themeColor="text1"/>
          <w:sz w:val="22"/>
          <w:szCs w:val="22"/>
        </w:rPr>
        <w:t xml:space="preserve"> by the applicant.  It is trite that when a statutory provision requires a belief, at a minimum that belief must be genuine, rational, founded on some factual basis. Where, in contrast, statutes require only a </w:t>
      </w:r>
      <w:r w:rsidRPr="00DD4621">
        <w:rPr>
          <w:rFonts w:cs="Arial"/>
          <w:i/>
          <w:color w:val="000000" w:themeColor="text1"/>
          <w:sz w:val="22"/>
          <w:szCs w:val="22"/>
        </w:rPr>
        <w:t>suspicion</w:t>
      </w:r>
      <w:r w:rsidRPr="00DD4621">
        <w:rPr>
          <w:rFonts w:cs="Arial"/>
          <w:color w:val="000000" w:themeColor="text1"/>
          <w:sz w:val="22"/>
          <w:szCs w:val="22"/>
        </w:rPr>
        <w:t>, they say so. (Even then the suspicion would have to be a reasoned, if not reasonable, one.)</w:t>
      </w:r>
    </w:p>
    <w:p w:rsidR="00F93B6A" w:rsidRPr="00F93B6A" w:rsidRDefault="00F93B6A" w:rsidP="00FD07BA">
      <w:pPr>
        <w:pStyle w:val="ListParagraph"/>
        <w:ind w:left="0"/>
        <w:rPr>
          <w:rFonts w:cs="Arial"/>
          <w:color w:val="000000" w:themeColor="text1"/>
          <w:sz w:val="22"/>
          <w:szCs w:val="22"/>
        </w:rPr>
      </w:pPr>
    </w:p>
    <w:p w:rsidR="00F93B6A"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Clearly, in the context, an applicant would have to have </w:t>
      </w:r>
      <w:r w:rsidRPr="00DD4621">
        <w:rPr>
          <w:rFonts w:cs="Arial"/>
          <w:i/>
          <w:color w:val="000000" w:themeColor="text1"/>
          <w:sz w:val="22"/>
          <w:szCs w:val="22"/>
        </w:rPr>
        <w:t>some factual basis</w:t>
      </w:r>
      <w:r w:rsidR="006749AF">
        <w:rPr>
          <w:rFonts w:cs="Arial"/>
          <w:color w:val="000000" w:themeColor="text1"/>
          <w:sz w:val="22"/>
          <w:szCs w:val="22"/>
        </w:rPr>
        <w:t xml:space="preserve"> </w:t>
      </w:r>
      <w:r w:rsidRPr="00DD4621">
        <w:rPr>
          <w:rFonts w:cs="Arial"/>
          <w:color w:val="000000" w:themeColor="text1"/>
          <w:sz w:val="22"/>
          <w:szCs w:val="22"/>
        </w:rPr>
        <w:t>for any such belief, for the court to entertain it</w:t>
      </w:r>
      <w:r w:rsidRPr="00DD4621">
        <w:rPr>
          <w:rStyle w:val="FootnoteReference"/>
          <w:rFonts w:cs="Arial"/>
          <w:color w:val="000000" w:themeColor="text1"/>
          <w:sz w:val="22"/>
          <w:szCs w:val="22"/>
        </w:rPr>
        <w:footnoteReference w:id="34"/>
      </w:r>
      <w:r w:rsidRPr="00DD4621">
        <w:rPr>
          <w:rFonts w:cs="Arial"/>
          <w:color w:val="000000" w:themeColor="text1"/>
          <w:sz w:val="22"/>
          <w:szCs w:val="22"/>
        </w:rPr>
        <w:t>. Rule 76 cannot be sensibly construed as admitting a claim based on conjecture, or paranoia, or presumed dishonesty by the decision-maker. Even if the belief were to be based not on indisputable fact, but on inference, the inference would have to meet the double test long-established</w:t>
      </w:r>
      <w:r w:rsidRPr="00DD4621">
        <w:rPr>
          <w:rStyle w:val="FootnoteReference"/>
          <w:rFonts w:cs="Arial"/>
          <w:color w:val="000000" w:themeColor="text1"/>
          <w:sz w:val="22"/>
          <w:szCs w:val="22"/>
        </w:rPr>
        <w:footnoteReference w:id="35"/>
      </w:r>
      <w:r w:rsidRPr="00DD4621">
        <w:rPr>
          <w:rFonts w:cs="Arial"/>
          <w:color w:val="000000" w:themeColor="text1"/>
          <w:sz w:val="22"/>
          <w:szCs w:val="22"/>
        </w:rPr>
        <w:t xml:space="preserve">. It will be shown that in multiple respects the </w:t>
      </w:r>
      <w:r w:rsidRPr="00DD4621">
        <w:rPr>
          <w:rFonts w:cs="Arial"/>
          <w:color w:val="000000" w:themeColor="text1"/>
          <w:sz w:val="22"/>
          <w:szCs w:val="22"/>
        </w:rPr>
        <w:lastRenderedPageBreak/>
        <w:t xml:space="preserve">applicants’ claim is based on express conjecture: they repeatedly say what </w:t>
      </w:r>
      <w:r w:rsidRPr="00DD4621">
        <w:rPr>
          <w:rFonts w:cs="Arial"/>
          <w:i/>
          <w:color w:val="000000" w:themeColor="text1"/>
          <w:sz w:val="22"/>
          <w:szCs w:val="22"/>
        </w:rPr>
        <w:t>may</w:t>
      </w:r>
      <w:r w:rsidRPr="00DD4621">
        <w:rPr>
          <w:rFonts w:cs="Arial"/>
          <w:color w:val="000000" w:themeColor="text1"/>
          <w:sz w:val="22"/>
          <w:szCs w:val="22"/>
        </w:rPr>
        <w:t xml:space="preserve"> be the case in relation to the further documents.</w:t>
      </w:r>
    </w:p>
    <w:p w:rsidR="00F93B6A" w:rsidRPr="00F93B6A" w:rsidRDefault="00F93B6A" w:rsidP="00FD07BA">
      <w:pPr>
        <w:pStyle w:val="ListParagraph"/>
        <w:ind w:left="0"/>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The second is that the belief must be that the documents in issue </w:t>
      </w:r>
      <w:r w:rsidRPr="00DD4621">
        <w:rPr>
          <w:rFonts w:cs="Arial"/>
          <w:i/>
          <w:color w:val="000000" w:themeColor="text1"/>
          <w:sz w:val="22"/>
          <w:szCs w:val="22"/>
        </w:rPr>
        <w:t>“are</w:t>
      </w:r>
      <w:r w:rsidRPr="00DD4621">
        <w:rPr>
          <w:rFonts w:cs="Arial"/>
          <w:color w:val="000000" w:themeColor="text1"/>
          <w:sz w:val="22"/>
          <w:szCs w:val="22"/>
        </w:rPr>
        <w:t>” (the present tense is explicit) “</w:t>
      </w:r>
      <w:r w:rsidRPr="00DD4621">
        <w:rPr>
          <w:rFonts w:cs="Arial"/>
          <w:i/>
          <w:color w:val="000000" w:themeColor="text1"/>
          <w:sz w:val="22"/>
          <w:szCs w:val="22"/>
        </w:rPr>
        <w:t>in the possession</w:t>
      </w:r>
      <w:r w:rsidRPr="00DD4621">
        <w:rPr>
          <w:rFonts w:cs="Arial"/>
          <w:color w:val="000000" w:themeColor="text1"/>
          <w:sz w:val="22"/>
          <w:szCs w:val="22"/>
        </w:rPr>
        <w:t xml:space="preserve"> </w:t>
      </w:r>
      <w:r w:rsidRPr="00DD4621">
        <w:rPr>
          <w:rFonts w:cs="Arial"/>
          <w:i/>
          <w:color w:val="000000" w:themeColor="text1"/>
          <w:sz w:val="22"/>
          <w:szCs w:val="22"/>
        </w:rPr>
        <w:t xml:space="preserve">of the defendant” </w:t>
      </w:r>
      <w:r w:rsidRPr="00DD4621">
        <w:rPr>
          <w:rFonts w:cs="Arial"/>
          <w:color w:val="000000" w:themeColor="text1"/>
          <w:sz w:val="22"/>
          <w:szCs w:val="22"/>
        </w:rPr>
        <w:t xml:space="preserve">– not in the possession of a third party.  Again, there must be a basis genuinely to believe this. If the rule had intended to impose the startling procedural obligation on the decision-maker to extract documents from others (the Rule itself gives him no power to do so), it would have said so. Such an interpretation moreover would be at odds with the context and purpose of Rule 76, which is to oblige the decision-maker to produce what </w:t>
      </w:r>
      <w:r w:rsidRPr="00DD4621">
        <w:rPr>
          <w:rFonts w:cs="Arial"/>
          <w:i/>
          <w:color w:val="000000" w:themeColor="text1"/>
          <w:sz w:val="22"/>
          <w:szCs w:val="22"/>
        </w:rPr>
        <w:t xml:space="preserve">he </w:t>
      </w:r>
      <w:r w:rsidRPr="00DD4621">
        <w:rPr>
          <w:rFonts w:cs="Arial"/>
          <w:color w:val="000000" w:themeColor="text1"/>
          <w:sz w:val="22"/>
          <w:szCs w:val="22"/>
        </w:rPr>
        <w:t xml:space="preserve">has, as foundational to </w:t>
      </w:r>
      <w:r w:rsidRPr="00DD4621">
        <w:rPr>
          <w:rFonts w:cs="Arial"/>
          <w:i/>
          <w:color w:val="000000" w:themeColor="text1"/>
          <w:sz w:val="22"/>
          <w:szCs w:val="22"/>
        </w:rPr>
        <w:t xml:space="preserve">his </w:t>
      </w:r>
      <w:r w:rsidRPr="00DD4621">
        <w:rPr>
          <w:rFonts w:cs="Arial"/>
          <w:color w:val="000000" w:themeColor="text1"/>
          <w:sz w:val="22"/>
          <w:szCs w:val="22"/>
        </w:rPr>
        <w:t xml:space="preserve">decision. Not what other parties to the review have. (Significantly the applicants seek no order, under Rule 76 or otherwise, against NamibRe to produce anything). Or to produce what he did not have, but which the applicant contends was vital to his decision. (If that is the applicant’s case, it must make it in the review: it is a confusion of thought to badger the decision-maker to </w:t>
      </w:r>
      <w:r w:rsidRPr="00DD4621">
        <w:rPr>
          <w:rFonts w:cs="Arial"/>
          <w:i/>
          <w:color w:val="000000" w:themeColor="text1"/>
          <w:sz w:val="22"/>
          <w:szCs w:val="22"/>
        </w:rPr>
        <w:t>produce</w:t>
      </w:r>
      <w:r w:rsidRPr="00DD4621">
        <w:rPr>
          <w:rFonts w:cs="Arial"/>
          <w:color w:val="000000" w:themeColor="text1"/>
          <w:sz w:val="22"/>
          <w:szCs w:val="22"/>
        </w:rPr>
        <w:t xml:space="preserve"> what was not before him and which he did not consider).</w:t>
      </w:r>
    </w:p>
    <w:p w:rsidR="00F93B6A" w:rsidRPr="00F93B6A" w:rsidRDefault="00F93B6A" w:rsidP="00FD07BA">
      <w:pPr>
        <w:pStyle w:val="ListParagraph"/>
        <w:ind w:left="0"/>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As with “</w:t>
      </w:r>
      <w:r w:rsidRPr="00DD4621">
        <w:rPr>
          <w:rFonts w:cs="Arial"/>
          <w:i/>
          <w:color w:val="000000" w:themeColor="text1"/>
          <w:sz w:val="22"/>
          <w:szCs w:val="22"/>
        </w:rPr>
        <w:t xml:space="preserve">belief”, </w:t>
      </w:r>
      <w:r w:rsidRPr="00DD4621">
        <w:rPr>
          <w:rFonts w:cs="Arial"/>
          <w:color w:val="000000" w:themeColor="text1"/>
          <w:sz w:val="22"/>
          <w:szCs w:val="22"/>
        </w:rPr>
        <w:t xml:space="preserve">lawgiver has used a term with established content. </w:t>
      </w:r>
      <w:r w:rsidRPr="00DD4621">
        <w:rPr>
          <w:rFonts w:cs="Arial"/>
          <w:i/>
          <w:color w:val="000000" w:themeColor="text1"/>
          <w:sz w:val="22"/>
          <w:szCs w:val="22"/>
        </w:rPr>
        <w:t>“Possession</w:t>
      </w:r>
      <w:r w:rsidRPr="00DD4621">
        <w:rPr>
          <w:rFonts w:cs="Arial"/>
          <w:color w:val="000000" w:themeColor="text1"/>
          <w:sz w:val="22"/>
          <w:szCs w:val="22"/>
        </w:rPr>
        <w:t xml:space="preserve">” </w:t>
      </w:r>
      <w:r w:rsidRPr="00DD4621">
        <w:rPr>
          <w:rFonts w:cs="Arial"/>
          <w:i/>
          <w:color w:val="000000" w:themeColor="text1"/>
          <w:sz w:val="22"/>
          <w:szCs w:val="22"/>
        </w:rPr>
        <w:t xml:space="preserve"> </w:t>
      </w:r>
      <w:r w:rsidRPr="00DD4621">
        <w:rPr>
          <w:rFonts w:cs="Arial"/>
          <w:color w:val="000000" w:themeColor="text1"/>
          <w:sz w:val="22"/>
          <w:szCs w:val="22"/>
        </w:rPr>
        <w:t xml:space="preserve">connotes actual factual control </w:t>
      </w:r>
      <w:r w:rsidRPr="00DD4621">
        <w:rPr>
          <w:rFonts w:cs="Arial"/>
          <w:i/>
          <w:color w:val="000000" w:themeColor="text1"/>
          <w:sz w:val="22"/>
          <w:szCs w:val="22"/>
        </w:rPr>
        <w:t>(detentio</w:t>
      </w:r>
      <w:r w:rsidRPr="00DD4621">
        <w:rPr>
          <w:rFonts w:cs="Arial"/>
          <w:color w:val="000000" w:themeColor="text1"/>
          <w:sz w:val="22"/>
          <w:szCs w:val="22"/>
        </w:rPr>
        <w:t>)</w:t>
      </w:r>
      <w:r w:rsidRPr="00DD4621">
        <w:rPr>
          <w:rFonts w:cs="Arial"/>
          <w:i/>
          <w:color w:val="000000" w:themeColor="text1"/>
          <w:sz w:val="22"/>
          <w:szCs w:val="22"/>
        </w:rPr>
        <w:t xml:space="preserve"> </w:t>
      </w:r>
      <w:r w:rsidRPr="00DD4621">
        <w:rPr>
          <w:rFonts w:cs="Arial"/>
          <w:color w:val="000000" w:themeColor="text1"/>
          <w:sz w:val="22"/>
          <w:szCs w:val="22"/>
        </w:rPr>
        <w:t xml:space="preserve">by the holder. Where a wider concept is intended, as in discovery formulations, such as “possession </w:t>
      </w:r>
      <w:r w:rsidRPr="00DD4621">
        <w:rPr>
          <w:rFonts w:cs="Arial"/>
          <w:i/>
          <w:color w:val="000000" w:themeColor="text1"/>
          <w:sz w:val="22"/>
          <w:szCs w:val="22"/>
        </w:rPr>
        <w:t>or control</w:t>
      </w:r>
      <w:r w:rsidRPr="00DD4621">
        <w:rPr>
          <w:rFonts w:cs="Arial"/>
          <w:color w:val="000000" w:themeColor="text1"/>
          <w:sz w:val="22"/>
          <w:szCs w:val="22"/>
        </w:rPr>
        <w:t>” that phrase is used. As discussed below, it certainly does not extend to what is held by the governments of Morocco and Uganda, the Society of Actuaries (one of the several other participants in the consultative process), or NamibRe itself.</w:t>
      </w:r>
    </w:p>
    <w:p w:rsidR="00F93B6A" w:rsidRPr="00F93B6A" w:rsidRDefault="00F93B6A" w:rsidP="00FD07BA">
      <w:pPr>
        <w:pStyle w:val="ListParagraph"/>
        <w:ind w:left="0"/>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Third, the “other documents” must be </w:t>
      </w:r>
      <w:r w:rsidRPr="00DD4621">
        <w:rPr>
          <w:rFonts w:cs="Arial"/>
          <w:i/>
          <w:color w:val="000000" w:themeColor="text1"/>
          <w:sz w:val="22"/>
          <w:szCs w:val="22"/>
        </w:rPr>
        <w:t>relevant to the decision</w:t>
      </w:r>
      <w:r w:rsidRPr="00DD4621">
        <w:rPr>
          <w:rFonts w:cs="Arial"/>
          <w:color w:val="000000" w:themeColor="text1"/>
          <w:sz w:val="22"/>
          <w:szCs w:val="22"/>
        </w:rPr>
        <w:t xml:space="preserve">.  Only that part of the record </w:t>
      </w:r>
      <w:r w:rsidRPr="00DD4621">
        <w:rPr>
          <w:rFonts w:cs="Arial"/>
          <w:i/>
          <w:color w:val="000000" w:themeColor="text1"/>
          <w:sz w:val="22"/>
          <w:szCs w:val="22"/>
        </w:rPr>
        <w:t xml:space="preserve">relevant </w:t>
      </w:r>
      <w:r w:rsidRPr="00DD4621">
        <w:rPr>
          <w:rFonts w:cs="Arial"/>
          <w:color w:val="000000" w:themeColor="text1"/>
          <w:sz w:val="22"/>
          <w:szCs w:val="22"/>
        </w:rPr>
        <w:t xml:space="preserve">to the </w:t>
      </w:r>
      <w:r w:rsidRPr="00DD4621">
        <w:rPr>
          <w:rFonts w:cs="Arial"/>
          <w:i/>
          <w:color w:val="000000" w:themeColor="text1"/>
          <w:sz w:val="22"/>
          <w:szCs w:val="22"/>
        </w:rPr>
        <w:t xml:space="preserve">decision </w:t>
      </w:r>
      <w:r w:rsidRPr="00DD4621">
        <w:rPr>
          <w:rFonts w:cs="Arial"/>
          <w:color w:val="000000" w:themeColor="text1"/>
          <w:sz w:val="22"/>
          <w:szCs w:val="22"/>
        </w:rPr>
        <w:t xml:space="preserve">taken need be produced. </w:t>
      </w:r>
      <w:r w:rsidRPr="00DD4621">
        <w:rPr>
          <w:rStyle w:val="FootnoteReference"/>
          <w:rFonts w:cs="Arial"/>
          <w:color w:val="000000" w:themeColor="text1"/>
          <w:sz w:val="22"/>
          <w:szCs w:val="22"/>
        </w:rPr>
        <w:footnoteReference w:id="36"/>
      </w:r>
      <w:r w:rsidRPr="00DD4621">
        <w:rPr>
          <w:rFonts w:cs="Arial"/>
          <w:color w:val="000000" w:themeColor="text1"/>
          <w:sz w:val="22"/>
          <w:szCs w:val="22"/>
        </w:rPr>
        <w:t xml:space="preserve">This, too, the applicant must show. It is not for the respondent to demonstrate that they are not relevant.  And it is not for the respondent to have to produce (as demanded in this case) proof of receipt of documents (or, remarkably, instructions for gazetting etc, given </w:t>
      </w:r>
      <w:r w:rsidRPr="00DD4621">
        <w:rPr>
          <w:rFonts w:cs="Arial"/>
          <w:i/>
          <w:color w:val="000000" w:themeColor="text1"/>
          <w:sz w:val="22"/>
          <w:szCs w:val="22"/>
        </w:rPr>
        <w:t xml:space="preserve">after </w:t>
      </w:r>
      <w:r w:rsidRPr="00DD4621">
        <w:rPr>
          <w:rFonts w:cs="Arial"/>
          <w:color w:val="000000" w:themeColor="text1"/>
          <w:sz w:val="22"/>
          <w:szCs w:val="22"/>
        </w:rPr>
        <w:t>the decision was taken).</w:t>
      </w:r>
      <w:r w:rsidRPr="00DD4621">
        <w:rPr>
          <w:rFonts w:cs="Arial"/>
          <w:i/>
          <w:color w:val="000000" w:themeColor="text1"/>
          <w:sz w:val="22"/>
          <w:szCs w:val="22"/>
        </w:rPr>
        <w:t xml:space="preserve"> </w:t>
      </w:r>
      <w:r w:rsidRPr="00DD4621">
        <w:rPr>
          <w:rFonts w:cs="Arial"/>
          <w:color w:val="000000" w:themeColor="text1"/>
          <w:sz w:val="22"/>
          <w:szCs w:val="22"/>
        </w:rPr>
        <w:t xml:space="preserve"> </w:t>
      </w:r>
    </w:p>
    <w:p w:rsidR="00F93B6A" w:rsidRPr="00F93B6A" w:rsidRDefault="00F93B6A" w:rsidP="00FD07BA">
      <w:pPr>
        <w:pStyle w:val="ListParagraph"/>
        <w:ind w:left="0"/>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Fourth, the documents demanded must be “</w:t>
      </w:r>
      <w:r w:rsidRPr="00DD4621">
        <w:rPr>
          <w:rFonts w:cs="Arial"/>
          <w:i/>
          <w:color w:val="000000" w:themeColor="text1"/>
          <w:sz w:val="22"/>
          <w:szCs w:val="22"/>
        </w:rPr>
        <w:t>reasonably identified</w:t>
      </w:r>
      <w:r w:rsidRPr="00DD4621">
        <w:rPr>
          <w:rFonts w:cs="Arial"/>
          <w:color w:val="000000" w:themeColor="text1"/>
          <w:sz w:val="22"/>
          <w:szCs w:val="22"/>
        </w:rPr>
        <w:t>”.  It is not enough, we show, for instance to refer to “judgments” or “legislative provisions” of Uganda.</w:t>
      </w:r>
    </w:p>
    <w:p w:rsidR="00F93B6A" w:rsidRPr="00F93B6A" w:rsidRDefault="00F93B6A" w:rsidP="00FD07BA">
      <w:pPr>
        <w:pStyle w:val="ListParagraph"/>
        <w:ind w:left="0"/>
        <w:rPr>
          <w:rFonts w:cs="Arial"/>
          <w:color w:val="000000" w:themeColor="text1"/>
          <w:sz w:val="22"/>
          <w:szCs w:val="22"/>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It will be demonstrated below that the applicants’ claim is defective in each of these four respects.</w:t>
      </w:r>
    </w:p>
    <w:p w:rsidR="00F93B6A" w:rsidRPr="00F93B6A" w:rsidRDefault="00F93B6A" w:rsidP="00FD07BA">
      <w:pPr>
        <w:pStyle w:val="ListParagraph"/>
        <w:ind w:left="0"/>
        <w:rPr>
          <w:rFonts w:cs="Arial"/>
          <w:color w:val="000000" w:themeColor="text1"/>
          <w:sz w:val="22"/>
          <w:szCs w:val="22"/>
        </w:rPr>
      </w:pPr>
    </w:p>
    <w:p w:rsidR="00C0774C" w:rsidRDefault="00C0774C" w:rsidP="00FD07BA">
      <w:pPr>
        <w:widowControl w:val="0"/>
        <w:spacing w:after="0" w:line="360" w:lineRule="auto"/>
        <w:jc w:val="both"/>
        <w:rPr>
          <w:rFonts w:ascii="Arial" w:hAnsi="Arial" w:cs="Arial"/>
          <w:color w:val="000000" w:themeColor="text1"/>
        </w:rPr>
      </w:pPr>
      <w:r w:rsidRPr="00DD4621">
        <w:rPr>
          <w:rFonts w:ascii="Arial" w:hAnsi="Arial" w:cs="Arial"/>
          <w:color w:val="000000" w:themeColor="text1"/>
        </w:rPr>
        <w:t xml:space="preserve">THE PURPOSE OF RULE 76 </w:t>
      </w:r>
    </w:p>
    <w:p w:rsidR="00F93B6A" w:rsidRPr="00DD4621" w:rsidRDefault="00F93B6A" w:rsidP="00FD07BA">
      <w:pPr>
        <w:widowControl w:val="0"/>
        <w:spacing w:after="0" w:line="360" w:lineRule="auto"/>
        <w:jc w:val="both"/>
        <w:rPr>
          <w:rFonts w:ascii="Arial" w:hAnsi="Arial" w:cs="Arial"/>
          <w:color w:val="000000" w:themeColor="text1"/>
        </w:rPr>
      </w:pPr>
    </w:p>
    <w:p w:rsidR="00C0774C" w:rsidRDefault="00C0774C" w:rsidP="00FD07BA">
      <w:pPr>
        <w:pStyle w:val="ListParagraph"/>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 xml:space="preserve">Rule 76, to summarise, does not establish a general right of discovery in motion </w:t>
      </w:r>
      <w:r w:rsidRPr="00DD4621">
        <w:rPr>
          <w:rFonts w:cs="Arial"/>
          <w:color w:val="000000" w:themeColor="text1"/>
          <w:sz w:val="22"/>
          <w:szCs w:val="22"/>
        </w:rPr>
        <w:lastRenderedPageBreak/>
        <w:t xml:space="preserve">proceedings – or, as Hoexter J stressed in </w:t>
      </w:r>
      <w:r w:rsidRPr="00DD4621">
        <w:rPr>
          <w:rFonts w:cs="Arial"/>
          <w:i/>
          <w:color w:val="000000" w:themeColor="text1"/>
          <w:sz w:val="22"/>
          <w:szCs w:val="22"/>
        </w:rPr>
        <w:t>Pieters supra</w:t>
      </w:r>
      <w:r w:rsidRPr="00DD4621">
        <w:rPr>
          <w:rFonts w:cs="Arial"/>
          <w:color w:val="000000" w:themeColor="text1"/>
          <w:sz w:val="22"/>
          <w:szCs w:val="22"/>
        </w:rPr>
        <w:t xml:space="preserve">, even discovery at all. If it had intended discovery, particularly a general discovery, it would have said so – much more simply.  It is accordingly not to be interpreted in a way which confuses it with discovery, </w:t>
      </w:r>
      <w:r w:rsidRPr="00DD4621">
        <w:rPr>
          <w:rFonts w:cs="Arial"/>
          <w:i/>
          <w:color w:val="000000" w:themeColor="text1"/>
          <w:sz w:val="22"/>
          <w:szCs w:val="22"/>
        </w:rPr>
        <w:t xml:space="preserve">per se. </w:t>
      </w:r>
      <w:r w:rsidRPr="00DD4621">
        <w:rPr>
          <w:rFonts w:cs="Arial"/>
          <w:color w:val="000000" w:themeColor="text1"/>
          <w:sz w:val="22"/>
          <w:szCs w:val="22"/>
        </w:rPr>
        <w:t>(Discovery in motion proceedings, it is to be noted, is itself unusual, and only granted in exceptional cases.</w:t>
      </w:r>
      <w:r w:rsidRPr="00DD4621">
        <w:rPr>
          <w:rStyle w:val="FootnoteReference"/>
          <w:rFonts w:cs="Arial"/>
          <w:color w:val="000000" w:themeColor="text1"/>
          <w:sz w:val="22"/>
          <w:szCs w:val="22"/>
        </w:rPr>
        <w:footnoteReference w:id="37"/>
      </w:r>
      <w:r w:rsidRPr="00DD4621">
        <w:rPr>
          <w:rFonts w:cs="Arial"/>
          <w:color w:val="000000" w:themeColor="text1"/>
          <w:sz w:val="22"/>
          <w:szCs w:val="22"/>
        </w:rPr>
        <w:t xml:space="preserve">  This Court has said so.</w:t>
      </w:r>
      <w:r w:rsidRPr="00DD4621">
        <w:rPr>
          <w:rStyle w:val="FootnoteReference"/>
          <w:rFonts w:cs="Arial"/>
          <w:color w:val="000000" w:themeColor="text1"/>
          <w:sz w:val="22"/>
          <w:szCs w:val="22"/>
        </w:rPr>
        <w:footnoteReference w:id="38"/>
      </w:r>
      <w:r w:rsidRPr="00DD4621">
        <w:rPr>
          <w:rFonts w:cs="Arial"/>
          <w:color w:val="000000" w:themeColor="text1"/>
          <w:sz w:val="22"/>
          <w:szCs w:val="22"/>
        </w:rPr>
        <w:t xml:space="preserve"> )</w:t>
      </w:r>
    </w:p>
    <w:p w:rsidR="00F93B6A" w:rsidRDefault="00F93B6A" w:rsidP="00FD07BA">
      <w:pPr>
        <w:pStyle w:val="ListParagraph"/>
        <w:autoSpaceDE/>
        <w:autoSpaceDN/>
        <w:adjustRightInd/>
        <w:spacing w:line="360" w:lineRule="auto"/>
        <w:ind w:left="0"/>
        <w:jc w:val="both"/>
        <w:rPr>
          <w:rFonts w:cs="Arial"/>
          <w:color w:val="000000" w:themeColor="text1"/>
          <w:sz w:val="22"/>
          <w:szCs w:val="22"/>
        </w:rPr>
      </w:pPr>
    </w:p>
    <w:p w:rsidR="00C0774C" w:rsidRPr="00F93B6A" w:rsidRDefault="00C0774C" w:rsidP="00FD07BA">
      <w:pPr>
        <w:pStyle w:val="ListParagraph"/>
        <w:widowControl/>
        <w:numPr>
          <w:ilvl w:val="0"/>
          <w:numId w:val="8"/>
        </w:numPr>
        <w:shd w:val="clear" w:color="auto" w:fill="FFFFFF"/>
        <w:autoSpaceDE/>
        <w:autoSpaceDN/>
        <w:adjustRightInd/>
        <w:spacing w:line="360" w:lineRule="auto"/>
        <w:ind w:left="0" w:firstLine="0"/>
        <w:jc w:val="both"/>
        <w:rPr>
          <w:rFonts w:cs="Arial"/>
          <w:color w:val="000000" w:themeColor="text1"/>
          <w:sz w:val="22"/>
          <w:szCs w:val="22"/>
          <w:lang w:val="en-ZA" w:eastAsia="en-ZA"/>
        </w:rPr>
      </w:pPr>
      <w:r w:rsidRPr="00DD4621">
        <w:rPr>
          <w:rFonts w:cs="Arial"/>
          <w:color w:val="000000" w:themeColor="text1"/>
          <w:sz w:val="22"/>
          <w:szCs w:val="22"/>
        </w:rPr>
        <w:t>The clear distinction between</w:t>
      </w:r>
      <w:r w:rsidRPr="00DD4621">
        <w:rPr>
          <w:rFonts w:cs="Arial"/>
          <w:i/>
          <w:color w:val="000000" w:themeColor="text1"/>
          <w:sz w:val="22"/>
          <w:szCs w:val="22"/>
        </w:rPr>
        <w:t xml:space="preserve"> discovery</w:t>
      </w:r>
      <w:r w:rsidRPr="00DD4621">
        <w:rPr>
          <w:rFonts w:cs="Arial"/>
          <w:color w:val="000000" w:themeColor="text1"/>
          <w:sz w:val="22"/>
          <w:szCs w:val="22"/>
        </w:rPr>
        <w:t xml:space="preserve"> and Rule 76 </w:t>
      </w:r>
      <w:r w:rsidRPr="00DD4621">
        <w:rPr>
          <w:rFonts w:cs="Arial"/>
          <w:i/>
          <w:color w:val="000000" w:themeColor="text1"/>
          <w:sz w:val="22"/>
          <w:szCs w:val="22"/>
        </w:rPr>
        <w:t>production</w:t>
      </w:r>
      <w:r w:rsidRPr="00DD4621">
        <w:rPr>
          <w:rFonts w:cs="Arial"/>
          <w:color w:val="000000" w:themeColor="text1"/>
          <w:sz w:val="22"/>
          <w:szCs w:val="22"/>
        </w:rPr>
        <w:t xml:space="preserve"> by the decision-maker is borne out by case</w:t>
      </w:r>
      <w:r w:rsidR="00A8140A">
        <w:rPr>
          <w:rFonts w:cs="Arial"/>
          <w:color w:val="000000" w:themeColor="text1"/>
          <w:sz w:val="22"/>
          <w:szCs w:val="22"/>
        </w:rPr>
        <w:t xml:space="preserve"> </w:t>
      </w:r>
      <w:r w:rsidRPr="00DD4621">
        <w:rPr>
          <w:rFonts w:cs="Arial"/>
          <w:color w:val="000000" w:themeColor="text1"/>
          <w:sz w:val="22"/>
          <w:szCs w:val="22"/>
        </w:rPr>
        <w:t xml:space="preserve">law. In </w:t>
      </w:r>
      <w:bookmarkStart w:id="1" w:name="_Hlk10425750"/>
      <w:r w:rsidRPr="00DD4621">
        <w:rPr>
          <w:rFonts w:cs="Arial"/>
          <w:i/>
          <w:color w:val="000000" w:themeColor="text1"/>
          <w:sz w:val="22"/>
          <w:szCs w:val="22"/>
          <w:lang w:val="en-ZA" w:eastAsia="en-ZA"/>
        </w:rPr>
        <w:t>City of Cape Town v South African National Roads Authority</w:t>
      </w:r>
      <w:bookmarkEnd w:id="1"/>
      <w:r w:rsidRPr="00DD4621">
        <w:rPr>
          <w:rStyle w:val="FootnoteReference"/>
          <w:rFonts w:cs="Arial"/>
          <w:color w:val="000000" w:themeColor="text1"/>
          <w:sz w:val="22"/>
          <w:szCs w:val="22"/>
          <w:lang w:val="en-ZA" w:eastAsia="en-ZA"/>
        </w:rPr>
        <w:footnoteReference w:id="39"/>
      </w:r>
      <w:r w:rsidRPr="00DD4621">
        <w:rPr>
          <w:rFonts w:cs="Arial"/>
          <w:color w:val="000000" w:themeColor="text1"/>
          <w:sz w:val="22"/>
          <w:szCs w:val="22"/>
          <w:lang w:val="en-ZA" w:eastAsia="en-ZA"/>
        </w:rPr>
        <w:t> </w:t>
      </w:r>
      <w:r w:rsidRPr="00DD4621">
        <w:rPr>
          <w:rFonts w:cs="Arial"/>
          <w:color w:val="000000" w:themeColor="text1"/>
          <w:sz w:val="22"/>
          <w:szCs w:val="22"/>
        </w:rPr>
        <w:t xml:space="preserve">the South African Supreme Court of Appeal considered the distinction between discovery and the production of documents under South African Uniform Rule 53 (the equivalent to rule 76).  It affirmed that the purpose of rule 53 is to oblige the decision-maker to produce the </w:t>
      </w:r>
      <w:r w:rsidRPr="00DD4621">
        <w:rPr>
          <w:rFonts w:cs="Arial"/>
          <w:i/>
          <w:iCs/>
          <w:color w:val="000000" w:themeColor="text1"/>
          <w:sz w:val="22"/>
          <w:szCs w:val="22"/>
        </w:rPr>
        <w:t>“record of the proceedings of a body whose decision is taken on review”</w:t>
      </w:r>
      <w:r w:rsidRPr="00DD4621">
        <w:rPr>
          <w:rFonts w:cs="Arial"/>
          <w:color w:val="000000" w:themeColor="text1"/>
          <w:sz w:val="22"/>
          <w:szCs w:val="22"/>
        </w:rPr>
        <w:t xml:space="preserve">. </w:t>
      </w:r>
    </w:p>
    <w:p w:rsidR="00F93B6A" w:rsidRPr="00F93B6A" w:rsidRDefault="00F93B6A" w:rsidP="00FD07BA">
      <w:pPr>
        <w:pStyle w:val="ListParagraph"/>
        <w:ind w:left="0"/>
        <w:rPr>
          <w:rFonts w:cs="Arial"/>
          <w:color w:val="000000" w:themeColor="text1"/>
          <w:sz w:val="22"/>
          <w:szCs w:val="22"/>
          <w:lang w:val="en-ZA" w:eastAsia="en-ZA"/>
        </w:rPr>
      </w:pPr>
    </w:p>
    <w:p w:rsidR="00C0774C" w:rsidRDefault="00C0774C" w:rsidP="00FD07BA">
      <w:pPr>
        <w:pStyle w:val="ListParagraph"/>
        <w:widowControl/>
        <w:numPr>
          <w:ilvl w:val="0"/>
          <w:numId w:val="8"/>
        </w:numPr>
        <w:autoSpaceDE/>
        <w:autoSpaceDN/>
        <w:adjustRightInd/>
        <w:spacing w:line="360" w:lineRule="auto"/>
        <w:ind w:left="0" w:firstLine="0"/>
        <w:jc w:val="both"/>
        <w:rPr>
          <w:rFonts w:cs="Arial"/>
          <w:color w:val="000000" w:themeColor="text1"/>
          <w:sz w:val="22"/>
          <w:szCs w:val="22"/>
        </w:rPr>
      </w:pPr>
      <w:r w:rsidRPr="00DD4621">
        <w:rPr>
          <w:rFonts w:cs="Arial"/>
          <w:color w:val="000000" w:themeColor="text1"/>
          <w:sz w:val="22"/>
          <w:szCs w:val="22"/>
        </w:rPr>
        <w:t>In the South African case of </w:t>
      </w:r>
      <w:r w:rsidRPr="00DD4621">
        <w:rPr>
          <w:rFonts w:cs="Arial"/>
          <w:i/>
          <w:iCs/>
          <w:color w:val="000000" w:themeColor="text1"/>
          <w:sz w:val="22"/>
          <w:szCs w:val="22"/>
        </w:rPr>
        <w:t xml:space="preserve">Johannesburg City Council v The Administrator, Transvaal </w:t>
      </w:r>
      <w:r w:rsidRPr="00DD4621">
        <w:rPr>
          <w:rFonts w:cs="Arial"/>
          <w:i/>
          <w:color w:val="000000" w:themeColor="text1"/>
          <w:sz w:val="22"/>
          <w:szCs w:val="22"/>
        </w:rPr>
        <w:t>(</w:t>
      </w:r>
      <w:r w:rsidRPr="00DD4621">
        <w:rPr>
          <w:rFonts w:cs="Arial"/>
          <w:i/>
          <w:iCs/>
          <w:color w:val="000000" w:themeColor="text1"/>
          <w:sz w:val="22"/>
          <w:szCs w:val="22"/>
        </w:rPr>
        <w:t>1</w:t>
      </w:r>
      <w:r w:rsidRPr="00DD4621">
        <w:rPr>
          <w:rFonts w:cs="Arial"/>
          <w:i/>
          <w:color w:val="000000" w:themeColor="text1"/>
          <w:sz w:val="22"/>
          <w:szCs w:val="22"/>
        </w:rPr>
        <w:t>)</w:t>
      </w:r>
      <w:r w:rsidRPr="00DD4621">
        <w:rPr>
          <w:rStyle w:val="FootnoteReference"/>
          <w:rFonts w:cs="Arial"/>
          <w:iCs/>
          <w:color w:val="000000" w:themeColor="text1"/>
          <w:sz w:val="22"/>
          <w:szCs w:val="22"/>
        </w:rPr>
        <w:footnoteReference w:id="40"/>
      </w:r>
      <w:r w:rsidRPr="00DD4621">
        <w:rPr>
          <w:rFonts w:cs="Arial"/>
          <w:iCs/>
          <w:color w:val="000000" w:themeColor="text1"/>
          <w:sz w:val="22"/>
          <w:szCs w:val="22"/>
        </w:rPr>
        <w:t> </w:t>
      </w:r>
      <w:r w:rsidRPr="00DD4621">
        <w:rPr>
          <w:rFonts w:cs="Arial"/>
          <w:color w:val="000000" w:themeColor="text1"/>
          <w:sz w:val="22"/>
          <w:szCs w:val="22"/>
        </w:rPr>
        <w:t xml:space="preserve">the Court described the </w:t>
      </w:r>
      <w:r w:rsidRPr="00DD4621">
        <w:rPr>
          <w:rFonts w:cs="Arial"/>
          <w:i/>
          <w:iCs/>
          <w:color w:val="000000" w:themeColor="text1"/>
          <w:sz w:val="22"/>
          <w:szCs w:val="22"/>
        </w:rPr>
        <w:t>“record of proceedings”</w:t>
      </w:r>
      <w:r w:rsidRPr="00DD4621">
        <w:rPr>
          <w:rFonts w:cs="Arial"/>
          <w:color w:val="000000" w:themeColor="text1"/>
          <w:sz w:val="22"/>
          <w:szCs w:val="22"/>
        </w:rPr>
        <w:t xml:space="preserve"> as follows:</w:t>
      </w:r>
    </w:p>
    <w:p w:rsidR="006749AF" w:rsidRPr="00DD4621" w:rsidRDefault="006749AF" w:rsidP="006749AF">
      <w:pPr>
        <w:pStyle w:val="ListParagraph"/>
        <w:widowControl/>
        <w:autoSpaceDE/>
        <w:autoSpaceDN/>
        <w:adjustRightInd/>
        <w:spacing w:line="360" w:lineRule="auto"/>
        <w:ind w:left="0"/>
        <w:jc w:val="both"/>
        <w:rPr>
          <w:rFonts w:cs="Arial"/>
          <w:color w:val="000000" w:themeColor="text1"/>
          <w:sz w:val="22"/>
          <w:szCs w:val="22"/>
        </w:rPr>
      </w:pPr>
    </w:p>
    <w:p w:rsidR="00F93B6A" w:rsidRDefault="00C0774C" w:rsidP="006749AF">
      <w:pPr>
        <w:pStyle w:val="ListParagraph"/>
        <w:spacing w:line="360" w:lineRule="auto"/>
        <w:ind w:left="0"/>
        <w:jc w:val="both"/>
        <w:rPr>
          <w:rFonts w:cs="Arial"/>
          <w:color w:val="000000" w:themeColor="text1"/>
          <w:sz w:val="22"/>
          <w:szCs w:val="22"/>
          <w:lang w:val="en-ZA" w:eastAsia="en-ZA"/>
        </w:rPr>
      </w:pPr>
      <w:r w:rsidRPr="00DD4621">
        <w:rPr>
          <w:rFonts w:cs="Arial"/>
          <w:i/>
          <w:color w:val="000000" w:themeColor="text1"/>
          <w:sz w:val="22"/>
          <w:szCs w:val="22"/>
        </w:rPr>
        <w:t xml:space="preserve">“The words ‘record of proceedings’ cannot be otherwise construed, in my view, than as a loose description of the documents, evidence, arguments and other information </w:t>
      </w:r>
      <w:r w:rsidRPr="00DD4621">
        <w:rPr>
          <w:rFonts w:cs="Arial"/>
          <w:i/>
          <w:color w:val="000000" w:themeColor="text1"/>
          <w:sz w:val="22"/>
          <w:szCs w:val="22"/>
          <w:u w:val="single"/>
        </w:rPr>
        <w:t>before the tribunal relating to the matter under review, at the time of the making of the decision in question</w:t>
      </w:r>
      <w:r w:rsidRPr="00DD4621">
        <w:rPr>
          <w:rFonts w:cs="Arial"/>
          <w:i/>
          <w:color w:val="000000" w:themeColor="text1"/>
          <w:sz w:val="22"/>
          <w:szCs w:val="22"/>
        </w:rPr>
        <w:t xml:space="preserve">. were” </w:t>
      </w:r>
      <w:r w:rsidRPr="00DD4621">
        <w:rPr>
          <w:rFonts w:cs="Arial"/>
          <w:iCs/>
          <w:color w:val="000000" w:themeColor="text1"/>
          <w:sz w:val="22"/>
          <w:szCs w:val="22"/>
        </w:rPr>
        <w:t>(our emphasis).</w:t>
      </w:r>
      <w:r w:rsidRPr="00DD4621">
        <w:rPr>
          <w:rFonts w:cs="Arial"/>
          <w:color w:val="000000" w:themeColor="text1"/>
          <w:sz w:val="22"/>
          <w:szCs w:val="22"/>
          <w:lang w:val="en-ZA" w:eastAsia="en-ZA"/>
        </w:rPr>
        <w:t> </w:t>
      </w:r>
    </w:p>
    <w:p w:rsidR="006749AF" w:rsidRPr="006749AF" w:rsidRDefault="006749AF" w:rsidP="006749AF">
      <w:pPr>
        <w:pStyle w:val="ListParagraph"/>
        <w:spacing w:line="360" w:lineRule="auto"/>
        <w:ind w:left="0"/>
        <w:jc w:val="both"/>
        <w:rPr>
          <w:rFonts w:cs="Arial"/>
          <w:color w:val="000000" w:themeColor="text1"/>
          <w:sz w:val="22"/>
          <w:szCs w:val="22"/>
          <w:lang w:val="en-ZA" w:eastAsia="en-ZA"/>
        </w:rPr>
      </w:pPr>
    </w:p>
    <w:p w:rsidR="00C0774C" w:rsidRPr="00F93B6A" w:rsidRDefault="00C0774C" w:rsidP="00FD07BA">
      <w:pPr>
        <w:pStyle w:val="ListParagraph"/>
        <w:numPr>
          <w:ilvl w:val="0"/>
          <w:numId w:val="8"/>
        </w:numPr>
        <w:autoSpaceDE/>
        <w:autoSpaceDN/>
        <w:adjustRightInd/>
        <w:spacing w:line="360" w:lineRule="auto"/>
        <w:ind w:left="0" w:firstLine="0"/>
        <w:jc w:val="both"/>
        <w:rPr>
          <w:rFonts w:cs="Arial"/>
          <w:i/>
          <w:color w:val="000000" w:themeColor="text1"/>
          <w:sz w:val="22"/>
          <w:szCs w:val="22"/>
          <w:u w:val="single"/>
        </w:rPr>
      </w:pPr>
      <w:r w:rsidRPr="00DD4621">
        <w:rPr>
          <w:rFonts w:cs="Arial"/>
          <w:color w:val="000000" w:themeColor="text1"/>
          <w:sz w:val="22"/>
          <w:szCs w:val="22"/>
          <w:shd w:val="clear" w:color="auto" w:fill="FFFFFF"/>
        </w:rPr>
        <w:lastRenderedPageBreak/>
        <w:t>The phrase “</w:t>
      </w:r>
      <w:r w:rsidRPr="00DD4621">
        <w:rPr>
          <w:rFonts w:cs="Arial"/>
          <w:i/>
          <w:color w:val="000000" w:themeColor="text1"/>
          <w:sz w:val="22"/>
          <w:szCs w:val="22"/>
          <w:shd w:val="clear" w:color="auto" w:fill="FFFFFF"/>
        </w:rPr>
        <w:t>before the tribunal”</w:t>
      </w:r>
      <w:r w:rsidRPr="00DD4621">
        <w:rPr>
          <w:rFonts w:cs="Arial"/>
          <w:color w:val="000000" w:themeColor="text1"/>
          <w:sz w:val="22"/>
          <w:szCs w:val="22"/>
          <w:shd w:val="clear" w:color="auto" w:fill="FFFFFF"/>
        </w:rPr>
        <w:t xml:space="preserve"> is to be noted.  This is exactly the phrase used by the Minister to which the applicants seek to attach a sinister meaning.  They suggest the Minister is artfully referring not to what he had in his possession, but only what he himself chose to look at.  To the contrary, the term is the usual one in review affidavits, and denotes, simply put, all the material the decision-maker had.</w:t>
      </w:r>
      <w:r w:rsidRPr="00DD4621">
        <w:rPr>
          <w:rStyle w:val="FootnoteReference"/>
          <w:rFonts w:cs="Arial"/>
          <w:color w:val="000000" w:themeColor="text1"/>
          <w:sz w:val="22"/>
          <w:szCs w:val="22"/>
          <w:shd w:val="clear" w:color="auto" w:fill="FFFFFF"/>
        </w:rPr>
        <w:footnoteReference w:id="41"/>
      </w:r>
      <w:r w:rsidRPr="00DD4621">
        <w:rPr>
          <w:rFonts w:cs="Arial"/>
          <w:color w:val="000000" w:themeColor="text1"/>
          <w:sz w:val="22"/>
          <w:szCs w:val="22"/>
          <w:shd w:val="clear" w:color="auto" w:fill="FFFFFF"/>
        </w:rPr>
        <w:t xml:space="preserve">  Its meaning is clear. There is no basis for a twisted construction of what the Minister says.</w:t>
      </w:r>
    </w:p>
    <w:p w:rsidR="00F93B6A" w:rsidRPr="00DD4621" w:rsidRDefault="00F93B6A" w:rsidP="00FD07BA">
      <w:pPr>
        <w:pStyle w:val="ListParagraph"/>
        <w:autoSpaceDE/>
        <w:autoSpaceDN/>
        <w:adjustRightInd/>
        <w:spacing w:line="360" w:lineRule="auto"/>
        <w:ind w:left="0"/>
        <w:jc w:val="both"/>
        <w:rPr>
          <w:rFonts w:cs="Arial"/>
          <w:i/>
          <w:color w:val="000000" w:themeColor="text1"/>
          <w:sz w:val="22"/>
          <w:szCs w:val="22"/>
          <w:u w:val="single"/>
        </w:rPr>
      </w:pPr>
    </w:p>
    <w:p w:rsidR="00C0774C" w:rsidRPr="00F93B6A" w:rsidRDefault="00C0774C" w:rsidP="00FD07BA">
      <w:pPr>
        <w:pStyle w:val="ListParagraph"/>
        <w:numPr>
          <w:ilvl w:val="0"/>
          <w:numId w:val="8"/>
        </w:numPr>
        <w:autoSpaceDE/>
        <w:autoSpaceDN/>
        <w:adjustRightInd/>
        <w:spacing w:line="360" w:lineRule="auto"/>
        <w:ind w:left="0" w:firstLine="0"/>
        <w:jc w:val="both"/>
        <w:rPr>
          <w:rFonts w:cs="Arial"/>
          <w:i/>
          <w:color w:val="000000" w:themeColor="text1"/>
          <w:sz w:val="22"/>
          <w:szCs w:val="22"/>
          <w:u w:val="single"/>
        </w:rPr>
      </w:pPr>
      <w:r w:rsidRPr="00DD4621">
        <w:rPr>
          <w:rFonts w:cs="Arial"/>
          <w:color w:val="000000" w:themeColor="text1"/>
          <w:sz w:val="22"/>
          <w:szCs w:val="22"/>
          <w:shd w:val="clear" w:color="auto" w:fill="FFFFFF"/>
        </w:rPr>
        <w:t>The content and the extent of the record of the proceedings will depend upon the facts or circumstances of the case</w:t>
      </w:r>
      <w:r w:rsidRPr="00DD4621">
        <w:rPr>
          <w:rStyle w:val="FootnoteReference"/>
          <w:rFonts w:cs="Arial"/>
          <w:color w:val="000000" w:themeColor="text1"/>
          <w:sz w:val="22"/>
          <w:szCs w:val="22"/>
          <w:shd w:val="clear" w:color="auto" w:fill="FFFFFF"/>
        </w:rPr>
        <w:footnoteReference w:id="42"/>
      </w:r>
      <w:r w:rsidRPr="00DD4621">
        <w:rPr>
          <w:rFonts w:cs="Arial"/>
          <w:color w:val="000000" w:themeColor="text1"/>
          <w:sz w:val="22"/>
          <w:szCs w:val="22"/>
          <w:shd w:val="clear" w:color="auto" w:fill="FFFFFF"/>
        </w:rPr>
        <w:t xml:space="preserve"> and </w:t>
      </w:r>
      <w:r w:rsidRPr="00DD4621">
        <w:rPr>
          <w:rFonts w:cs="Arial"/>
          <w:i/>
          <w:color w:val="000000" w:themeColor="text1"/>
          <w:sz w:val="22"/>
          <w:szCs w:val="22"/>
          <w:shd w:val="clear" w:color="auto" w:fill="FFFFFF"/>
        </w:rPr>
        <w:t>only the relevant part of the record</w:t>
      </w:r>
      <w:r w:rsidRPr="00DD4621">
        <w:rPr>
          <w:rFonts w:cs="Arial"/>
          <w:color w:val="000000" w:themeColor="text1"/>
          <w:sz w:val="22"/>
          <w:szCs w:val="22"/>
          <w:shd w:val="clear" w:color="auto" w:fill="FFFFFF"/>
        </w:rPr>
        <w:t xml:space="preserve"> must be produced.</w:t>
      </w:r>
      <w:r w:rsidRPr="00DD4621">
        <w:rPr>
          <w:rStyle w:val="FootnoteReference"/>
          <w:rFonts w:cs="Arial"/>
          <w:color w:val="000000" w:themeColor="text1"/>
          <w:sz w:val="22"/>
          <w:szCs w:val="22"/>
          <w:shd w:val="clear" w:color="auto" w:fill="FFFFFF"/>
        </w:rPr>
        <w:footnoteReference w:id="43"/>
      </w:r>
      <w:r w:rsidRPr="00DD4621">
        <w:rPr>
          <w:rFonts w:cs="Arial"/>
          <w:color w:val="000000" w:themeColor="text1"/>
          <w:sz w:val="22"/>
          <w:szCs w:val="22"/>
          <w:shd w:val="clear" w:color="auto" w:fill="FFFFFF"/>
        </w:rPr>
        <w:t xml:space="preserve">  </w:t>
      </w:r>
      <w:r w:rsidRPr="00DD4621">
        <w:rPr>
          <w:rFonts w:cs="Arial"/>
          <w:color w:val="000000" w:themeColor="text1"/>
          <w:sz w:val="22"/>
          <w:szCs w:val="22"/>
        </w:rPr>
        <w:t>This Court</w:t>
      </w:r>
      <w:r w:rsidRPr="00DD4621">
        <w:rPr>
          <w:rStyle w:val="FootnoteReference"/>
          <w:rFonts w:cs="Arial"/>
          <w:color w:val="000000" w:themeColor="text1"/>
          <w:sz w:val="22"/>
          <w:szCs w:val="22"/>
        </w:rPr>
        <w:footnoteReference w:id="44"/>
      </w:r>
      <w:r w:rsidRPr="00DD4621">
        <w:rPr>
          <w:rFonts w:cs="Arial"/>
          <w:color w:val="000000" w:themeColor="text1"/>
          <w:sz w:val="22"/>
          <w:szCs w:val="22"/>
        </w:rPr>
        <w:t xml:space="preserve"> further has held that the word “relevant” (in the context of ordinary rules of discovery in action proceedings) refers to “</w:t>
      </w:r>
      <w:r w:rsidRPr="00DD4621">
        <w:rPr>
          <w:rFonts w:cs="Arial"/>
          <w:i/>
          <w:color w:val="000000" w:themeColor="text1"/>
          <w:sz w:val="22"/>
          <w:szCs w:val="22"/>
        </w:rPr>
        <w:t>documents having any tendency in reason to establish the matter in question</w:t>
      </w:r>
      <w:r w:rsidRPr="00DD4621">
        <w:rPr>
          <w:rFonts w:cs="Arial"/>
          <w:color w:val="000000" w:themeColor="text1"/>
          <w:sz w:val="22"/>
          <w:szCs w:val="22"/>
        </w:rPr>
        <w:t>.”</w:t>
      </w:r>
    </w:p>
    <w:p w:rsidR="00F93B6A" w:rsidRPr="00F93B6A" w:rsidRDefault="00F93B6A" w:rsidP="00FD07BA">
      <w:pPr>
        <w:pStyle w:val="ListParagraph"/>
        <w:ind w:left="0"/>
        <w:rPr>
          <w:rFonts w:cs="Arial"/>
          <w:i/>
          <w:color w:val="000000" w:themeColor="text1"/>
          <w:sz w:val="22"/>
          <w:szCs w:val="22"/>
          <w:u w:val="single"/>
        </w:rPr>
      </w:pPr>
    </w:p>
    <w:p w:rsidR="00F93B6A" w:rsidRPr="00DD4621" w:rsidRDefault="00F93B6A" w:rsidP="00FD07BA">
      <w:pPr>
        <w:pStyle w:val="ListParagraph"/>
        <w:autoSpaceDE/>
        <w:autoSpaceDN/>
        <w:adjustRightInd/>
        <w:spacing w:line="360" w:lineRule="auto"/>
        <w:ind w:left="0"/>
        <w:jc w:val="both"/>
        <w:rPr>
          <w:rFonts w:cs="Arial"/>
          <w:i/>
          <w:color w:val="000000" w:themeColor="text1"/>
          <w:sz w:val="22"/>
          <w:szCs w:val="22"/>
          <w:u w:val="single"/>
        </w:rPr>
      </w:pPr>
    </w:p>
    <w:p w:rsidR="00C0774C" w:rsidRDefault="00C0774C" w:rsidP="00FD07BA">
      <w:pPr>
        <w:pStyle w:val="ListParagraph"/>
        <w:numPr>
          <w:ilvl w:val="0"/>
          <w:numId w:val="8"/>
        </w:numPr>
        <w:shd w:val="clear" w:color="auto" w:fill="FFFFFF"/>
        <w:autoSpaceDE/>
        <w:autoSpaceDN/>
        <w:adjustRightInd/>
        <w:spacing w:line="360" w:lineRule="auto"/>
        <w:ind w:left="0" w:firstLine="0"/>
        <w:jc w:val="both"/>
        <w:rPr>
          <w:rFonts w:cs="Arial"/>
          <w:color w:val="000000" w:themeColor="text1"/>
          <w:sz w:val="22"/>
          <w:szCs w:val="22"/>
          <w:lang w:val="en-ZA" w:eastAsia="en-ZA"/>
        </w:rPr>
      </w:pPr>
      <w:r w:rsidRPr="00DD4621">
        <w:rPr>
          <w:rFonts w:cs="Arial"/>
          <w:color w:val="000000" w:themeColor="text1"/>
          <w:sz w:val="22"/>
          <w:szCs w:val="22"/>
          <w:lang w:val="en-ZA" w:eastAsia="en-ZA"/>
        </w:rPr>
        <w:t xml:space="preserve">It has also been held that where a party, whether in a review or in action proceedings, deposes to an affidavit answering a request for further discovery, a court will ordinarily not go behind what is stated on oath.  </w:t>
      </w:r>
    </w:p>
    <w:p w:rsidR="00F93B6A" w:rsidRPr="00DD4621" w:rsidRDefault="00F93B6A" w:rsidP="00FD07BA">
      <w:pPr>
        <w:pStyle w:val="ListParagraph"/>
        <w:shd w:val="clear" w:color="auto" w:fill="FFFFFF"/>
        <w:autoSpaceDE/>
        <w:autoSpaceDN/>
        <w:adjustRightInd/>
        <w:spacing w:line="360" w:lineRule="auto"/>
        <w:ind w:left="0"/>
        <w:jc w:val="both"/>
        <w:rPr>
          <w:rFonts w:cs="Arial"/>
          <w:color w:val="000000" w:themeColor="text1"/>
          <w:sz w:val="22"/>
          <w:szCs w:val="22"/>
          <w:lang w:val="en-ZA" w:eastAsia="en-ZA"/>
        </w:rPr>
      </w:pPr>
    </w:p>
    <w:p w:rsidR="00C0774C" w:rsidRDefault="00C0774C" w:rsidP="00FD07BA">
      <w:pPr>
        <w:pStyle w:val="ListParagraph"/>
        <w:widowControl/>
        <w:numPr>
          <w:ilvl w:val="0"/>
          <w:numId w:val="8"/>
        </w:numPr>
        <w:shd w:val="clear" w:color="auto" w:fill="FFFFFF"/>
        <w:autoSpaceDE/>
        <w:autoSpaceDN/>
        <w:adjustRightInd/>
        <w:spacing w:line="360" w:lineRule="auto"/>
        <w:ind w:left="0" w:firstLine="0"/>
        <w:jc w:val="both"/>
        <w:rPr>
          <w:rFonts w:cs="Arial"/>
          <w:color w:val="000000" w:themeColor="text1"/>
          <w:sz w:val="22"/>
          <w:szCs w:val="22"/>
          <w:lang w:val="en-ZA" w:eastAsia="en-ZA"/>
        </w:rPr>
      </w:pPr>
      <w:r w:rsidRPr="00DD4621">
        <w:rPr>
          <w:rFonts w:cs="Arial"/>
          <w:color w:val="000000" w:themeColor="text1"/>
          <w:sz w:val="22"/>
          <w:szCs w:val="22"/>
          <w:lang w:val="en-ZA" w:eastAsia="en-ZA"/>
        </w:rPr>
        <w:t>Courts are reluctant to go behind a discovery affidavit which is regarded as conclusive, save where it can be shown either (i) from the discovery affidavit itself, (ii) from the documents referred to in the discovery affidavit, (iii) from the pleadings in the action, (iv) from any admission made by the party making the discovery affidavit, or (v) the nature of the case or the documents in issue, that there are reasonable grounds for supposing that the party has or has had other relevant documents in his possession or power, or has misconceived the principles upon which the affidavit should be made.</w:t>
      </w:r>
      <w:r w:rsidRPr="00DD4621">
        <w:rPr>
          <w:rStyle w:val="FootnoteReference"/>
          <w:rFonts w:cs="Arial"/>
          <w:color w:val="000000" w:themeColor="text1"/>
          <w:sz w:val="22"/>
          <w:szCs w:val="22"/>
          <w:lang w:val="en-ZA" w:eastAsia="en-ZA"/>
        </w:rPr>
        <w:footnoteReference w:id="45"/>
      </w:r>
      <w:r w:rsidRPr="00DD4621">
        <w:rPr>
          <w:rFonts w:cs="Arial"/>
          <w:color w:val="000000" w:themeColor="text1"/>
          <w:sz w:val="22"/>
          <w:szCs w:val="22"/>
          <w:lang w:val="en-ZA" w:eastAsia="en-ZA"/>
        </w:rPr>
        <w:t xml:space="preserve"> </w:t>
      </w:r>
    </w:p>
    <w:p w:rsidR="00F93B6A" w:rsidRPr="00F93B6A" w:rsidRDefault="00F93B6A" w:rsidP="00FD07BA">
      <w:pPr>
        <w:pStyle w:val="ListParagraph"/>
        <w:ind w:left="0"/>
        <w:rPr>
          <w:rFonts w:cs="Arial"/>
          <w:color w:val="000000" w:themeColor="text1"/>
          <w:sz w:val="22"/>
          <w:szCs w:val="22"/>
          <w:lang w:val="en-ZA" w:eastAsia="en-ZA"/>
        </w:rPr>
      </w:pPr>
    </w:p>
    <w:p w:rsidR="00C0774C" w:rsidRPr="00DD4621" w:rsidRDefault="00C0774C" w:rsidP="00FD07BA">
      <w:pPr>
        <w:pStyle w:val="ListParagraph"/>
        <w:widowControl/>
        <w:numPr>
          <w:ilvl w:val="0"/>
          <w:numId w:val="8"/>
        </w:numPr>
        <w:shd w:val="clear" w:color="auto" w:fill="FFFFFF"/>
        <w:autoSpaceDE/>
        <w:autoSpaceDN/>
        <w:adjustRightInd/>
        <w:spacing w:line="360" w:lineRule="auto"/>
        <w:ind w:left="0" w:firstLine="0"/>
        <w:jc w:val="both"/>
        <w:rPr>
          <w:sz w:val="22"/>
          <w:szCs w:val="22"/>
          <w:lang w:val="en-ZA" w:eastAsia="en-ZA"/>
        </w:rPr>
      </w:pPr>
      <w:r w:rsidRPr="00DD4621">
        <w:rPr>
          <w:rFonts w:cs="Arial"/>
          <w:color w:val="000000" w:themeColor="text1"/>
          <w:sz w:val="22"/>
          <w:szCs w:val="22"/>
          <w:lang w:val="en-ZA" w:eastAsia="en-ZA"/>
        </w:rPr>
        <w:t>We turn to deal with the categories of documents sought by the applicants’ in their notice of motion.’</w:t>
      </w:r>
    </w:p>
    <w:p w:rsidR="00BF6DAA" w:rsidRDefault="00BF6DAA" w:rsidP="00EB08AF">
      <w:pPr>
        <w:spacing w:after="0" w:line="360" w:lineRule="auto"/>
        <w:jc w:val="both"/>
        <w:rPr>
          <w:rFonts w:ascii="Arial" w:hAnsi="Arial" w:cs="Arial"/>
          <w:sz w:val="24"/>
          <w:szCs w:val="24"/>
        </w:rPr>
      </w:pPr>
    </w:p>
    <w:p w:rsidR="000E0BDF" w:rsidRDefault="000E0BDF" w:rsidP="00EB08AF">
      <w:pPr>
        <w:spacing w:after="0" w:line="360" w:lineRule="auto"/>
        <w:jc w:val="both"/>
        <w:rPr>
          <w:rFonts w:ascii="Arial" w:hAnsi="Arial" w:cs="Arial"/>
          <w:sz w:val="24"/>
          <w:szCs w:val="24"/>
        </w:rPr>
      </w:pPr>
    </w:p>
    <w:p w:rsidR="000E0BDF" w:rsidRDefault="000E0BDF" w:rsidP="00EB08AF">
      <w:pPr>
        <w:spacing w:after="0" w:line="360" w:lineRule="auto"/>
        <w:jc w:val="both"/>
        <w:rPr>
          <w:rFonts w:ascii="Arial" w:hAnsi="Arial" w:cs="Arial"/>
          <w:sz w:val="24"/>
          <w:szCs w:val="24"/>
        </w:rPr>
      </w:pPr>
    </w:p>
    <w:p w:rsidR="00C42C25" w:rsidRDefault="00077D4E" w:rsidP="00EB08AF">
      <w:pPr>
        <w:spacing w:after="0" w:line="360" w:lineRule="auto"/>
        <w:jc w:val="both"/>
        <w:rPr>
          <w:rFonts w:ascii="Arial" w:hAnsi="Arial" w:cs="Arial"/>
          <w:sz w:val="24"/>
          <w:szCs w:val="24"/>
        </w:rPr>
      </w:pPr>
      <w:r>
        <w:rPr>
          <w:rFonts w:ascii="Arial" w:hAnsi="Arial" w:cs="Arial"/>
          <w:sz w:val="24"/>
          <w:szCs w:val="24"/>
        </w:rPr>
        <w:t>[</w:t>
      </w:r>
      <w:r w:rsidR="00AF41D1">
        <w:rPr>
          <w:rFonts w:ascii="Arial" w:hAnsi="Arial" w:cs="Arial"/>
          <w:sz w:val="24"/>
          <w:szCs w:val="24"/>
        </w:rPr>
        <w:t>10</w:t>
      </w:r>
      <w:r>
        <w:rPr>
          <w:rFonts w:ascii="Arial" w:hAnsi="Arial" w:cs="Arial"/>
          <w:sz w:val="24"/>
          <w:szCs w:val="24"/>
        </w:rPr>
        <w:t>]</w:t>
      </w:r>
      <w:r>
        <w:rPr>
          <w:rFonts w:ascii="Arial" w:hAnsi="Arial" w:cs="Arial"/>
          <w:sz w:val="24"/>
          <w:szCs w:val="24"/>
        </w:rPr>
        <w:tab/>
      </w:r>
      <w:r w:rsidR="00571C32">
        <w:rPr>
          <w:rFonts w:ascii="Arial" w:hAnsi="Arial" w:cs="Arial"/>
          <w:sz w:val="24"/>
          <w:szCs w:val="24"/>
        </w:rPr>
        <w:t>For purposes of deciding the issues so placed before the court</w:t>
      </w:r>
      <w:r w:rsidR="00DE3D0A">
        <w:rPr>
          <w:rFonts w:ascii="Arial" w:hAnsi="Arial" w:cs="Arial"/>
          <w:sz w:val="24"/>
          <w:szCs w:val="24"/>
        </w:rPr>
        <w:t xml:space="preserve"> it may</w:t>
      </w:r>
      <w:r w:rsidR="00FA73EE">
        <w:rPr>
          <w:rFonts w:ascii="Arial" w:hAnsi="Arial" w:cs="Arial"/>
          <w:sz w:val="24"/>
          <w:szCs w:val="24"/>
        </w:rPr>
        <w:t xml:space="preserve"> -</w:t>
      </w:r>
      <w:r w:rsidR="00DE3D0A">
        <w:rPr>
          <w:rFonts w:ascii="Arial" w:hAnsi="Arial" w:cs="Arial"/>
          <w:sz w:val="24"/>
          <w:szCs w:val="24"/>
        </w:rPr>
        <w:t xml:space="preserve"> as a useful point of departure- be apposite to distill</w:t>
      </w:r>
      <w:r w:rsidR="00850A2C">
        <w:rPr>
          <w:rFonts w:ascii="Arial" w:hAnsi="Arial" w:cs="Arial"/>
          <w:sz w:val="24"/>
          <w:szCs w:val="24"/>
        </w:rPr>
        <w:t>-</w:t>
      </w:r>
      <w:r w:rsidR="00DE3D0A">
        <w:rPr>
          <w:rFonts w:ascii="Arial" w:hAnsi="Arial" w:cs="Arial"/>
          <w:sz w:val="24"/>
          <w:szCs w:val="24"/>
        </w:rPr>
        <w:t xml:space="preserve"> and summarise some of the applicable legal principles from the autho</w:t>
      </w:r>
      <w:r w:rsidR="00E34640">
        <w:rPr>
          <w:rFonts w:ascii="Arial" w:hAnsi="Arial" w:cs="Arial"/>
          <w:sz w:val="24"/>
          <w:szCs w:val="24"/>
        </w:rPr>
        <w:t>rities relied on by the parties and where those are divergent to determine the approach to be adopted,</w:t>
      </w:r>
      <w:r w:rsidR="00DE3D0A">
        <w:rPr>
          <w:rFonts w:ascii="Arial" w:hAnsi="Arial" w:cs="Arial"/>
          <w:sz w:val="24"/>
          <w:szCs w:val="24"/>
        </w:rPr>
        <w:t xml:space="preserve"> against which principles</w:t>
      </w:r>
      <w:r w:rsidR="00FA73EE">
        <w:rPr>
          <w:rFonts w:ascii="Arial" w:hAnsi="Arial" w:cs="Arial"/>
          <w:sz w:val="24"/>
          <w:szCs w:val="24"/>
        </w:rPr>
        <w:t xml:space="preserve"> -</w:t>
      </w:r>
      <w:r w:rsidR="00DE3D0A">
        <w:rPr>
          <w:rFonts w:ascii="Arial" w:hAnsi="Arial" w:cs="Arial"/>
          <w:sz w:val="24"/>
          <w:szCs w:val="24"/>
        </w:rPr>
        <w:t xml:space="preserve"> and with reference to the context of the litigat</w:t>
      </w:r>
      <w:r w:rsidR="00FA73EE">
        <w:rPr>
          <w:rFonts w:ascii="Arial" w:hAnsi="Arial" w:cs="Arial"/>
          <w:sz w:val="24"/>
          <w:szCs w:val="24"/>
        </w:rPr>
        <w:t>ion pending between the parties - t</w:t>
      </w:r>
      <w:r w:rsidR="00DE3D0A">
        <w:rPr>
          <w:rFonts w:ascii="Arial" w:hAnsi="Arial" w:cs="Arial"/>
          <w:sz w:val="24"/>
          <w:szCs w:val="24"/>
        </w:rPr>
        <w:t>he</w:t>
      </w:r>
      <w:r w:rsidR="00FA73EE">
        <w:rPr>
          <w:rFonts w:ascii="Arial" w:hAnsi="Arial" w:cs="Arial"/>
          <w:sz w:val="24"/>
          <w:szCs w:val="24"/>
        </w:rPr>
        <w:t xml:space="preserve"> individual</w:t>
      </w:r>
      <w:r w:rsidR="00340FC8">
        <w:rPr>
          <w:rFonts w:ascii="Arial" w:hAnsi="Arial" w:cs="Arial"/>
          <w:sz w:val="24"/>
          <w:szCs w:val="24"/>
        </w:rPr>
        <w:t xml:space="preserve"> requests</w:t>
      </w:r>
      <w:r w:rsidR="00FA73EE">
        <w:rPr>
          <w:rFonts w:ascii="Arial" w:hAnsi="Arial" w:cs="Arial"/>
          <w:sz w:val="24"/>
          <w:szCs w:val="24"/>
        </w:rPr>
        <w:t xml:space="preserve"> will then be considered</w:t>
      </w:r>
      <w:r w:rsidR="00E34640">
        <w:rPr>
          <w:rFonts w:ascii="Arial" w:hAnsi="Arial" w:cs="Arial"/>
          <w:sz w:val="24"/>
          <w:szCs w:val="24"/>
        </w:rPr>
        <w:t xml:space="preserve"> and determined</w:t>
      </w:r>
      <w:r w:rsidR="00FA73EE">
        <w:rPr>
          <w:rFonts w:ascii="Arial" w:hAnsi="Arial" w:cs="Arial"/>
          <w:sz w:val="24"/>
          <w:szCs w:val="24"/>
        </w:rPr>
        <w:t xml:space="preserve"> one by one</w:t>
      </w:r>
      <w:r w:rsidR="00340FC8">
        <w:rPr>
          <w:rFonts w:ascii="Arial" w:hAnsi="Arial" w:cs="Arial"/>
          <w:sz w:val="24"/>
          <w:szCs w:val="24"/>
        </w:rPr>
        <w:t>.</w:t>
      </w:r>
      <w:r w:rsidR="00DE3D0A">
        <w:rPr>
          <w:rFonts w:ascii="Arial" w:hAnsi="Arial" w:cs="Arial"/>
          <w:sz w:val="24"/>
          <w:szCs w:val="24"/>
        </w:rPr>
        <w:t xml:space="preserve">  </w:t>
      </w:r>
    </w:p>
    <w:p w:rsidR="00514B66" w:rsidRDefault="00514B66" w:rsidP="00EB08AF">
      <w:pPr>
        <w:spacing w:after="0" w:line="360" w:lineRule="auto"/>
        <w:jc w:val="both"/>
        <w:rPr>
          <w:rFonts w:ascii="Arial" w:hAnsi="Arial" w:cs="Arial"/>
          <w:sz w:val="24"/>
          <w:szCs w:val="24"/>
        </w:rPr>
      </w:pPr>
    </w:p>
    <w:p w:rsidR="000B6525" w:rsidRPr="000B6525" w:rsidRDefault="000B6525" w:rsidP="00EB08AF">
      <w:pPr>
        <w:spacing w:after="0" w:line="360" w:lineRule="auto"/>
        <w:jc w:val="both"/>
        <w:rPr>
          <w:rFonts w:ascii="Arial" w:hAnsi="Arial" w:cs="Arial"/>
          <w:sz w:val="24"/>
          <w:szCs w:val="24"/>
          <w:u w:val="single"/>
        </w:rPr>
      </w:pPr>
      <w:r w:rsidRPr="000B6525">
        <w:rPr>
          <w:rFonts w:ascii="Arial" w:hAnsi="Arial" w:cs="Arial"/>
          <w:sz w:val="24"/>
          <w:szCs w:val="24"/>
          <w:u w:val="single"/>
        </w:rPr>
        <w:t>The applicable principles</w:t>
      </w:r>
    </w:p>
    <w:p w:rsidR="000B6525" w:rsidRDefault="000B6525" w:rsidP="00EB08AF">
      <w:pPr>
        <w:spacing w:after="0" w:line="360" w:lineRule="auto"/>
        <w:jc w:val="both"/>
        <w:rPr>
          <w:rFonts w:ascii="Arial" w:hAnsi="Arial" w:cs="Arial"/>
          <w:sz w:val="24"/>
          <w:szCs w:val="24"/>
        </w:rPr>
      </w:pPr>
    </w:p>
    <w:p w:rsidR="00514B66" w:rsidRDefault="00514B66" w:rsidP="00EB08AF">
      <w:pPr>
        <w:spacing w:after="0" w:line="360" w:lineRule="auto"/>
        <w:jc w:val="both"/>
        <w:rPr>
          <w:rFonts w:ascii="Arial" w:hAnsi="Arial" w:cs="Arial"/>
          <w:sz w:val="24"/>
          <w:szCs w:val="24"/>
        </w:rPr>
      </w:pPr>
      <w:r>
        <w:rPr>
          <w:rFonts w:ascii="Arial" w:hAnsi="Arial" w:cs="Arial"/>
          <w:sz w:val="24"/>
          <w:szCs w:val="24"/>
        </w:rPr>
        <w:t>[</w:t>
      </w:r>
      <w:r w:rsidR="008D3E1A">
        <w:rPr>
          <w:rFonts w:ascii="Arial" w:hAnsi="Arial" w:cs="Arial"/>
          <w:sz w:val="24"/>
          <w:szCs w:val="24"/>
        </w:rPr>
        <w:t>1</w:t>
      </w:r>
      <w:r w:rsidR="00AF41D1">
        <w:rPr>
          <w:rFonts w:ascii="Arial" w:hAnsi="Arial" w:cs="Arial"/>
          <w:sz w:val="24"/>
          <w:szCs w:val="24"/>
        </w:rPr>
        <w:t>1</w:t>
      </w:r>
      <w:r>
        <w:rPr>
          <w:rFonts w:ascii="Arial" w:hAnsi="Arial" w:cs="Arial"/>
          <w:sz w:val="24"/>
          <w:szCs w:val="24"/>
        </w:rPr>
        <w:t>]</w:t>
      </w:r>
      <w:r>
        <w:rPr>
          <w:rFonts w:ascii="Arial" w:hAnsi="Arial" w:cs="Arial"/>
          <w:sz w:val="24"/>
          <w:szCs w:val="24"/>
        </w:rPr>
        <w:tab/>
      </w:r>
      <w:r w:rsidR="0010152D">
        <w:rPr>
          <w:rFonts w:ascii="Arial" w:hAnsi="Arial" w:cs="Arial"/>
          <w:sz w:val="24"/>
          <w:szCs w:val="24"/>
        </w:rPr>
        <w:t xml:space="preserve">Firstly </w:t>
      </w:r>
      <w:r>
        <w:rPr>
          <w:rFonts w:ascii="Arial" w:hAnsi="Arial" w:cs="Arial"/>
          <w:sz w:val="24"/>
          <w:szCs w:val="24"/>
        </w:rPr>
        <w:t>I agree with counsel for the applicants that the case</w:t>
      </w:r>
      <w:r w:rsidR="00AC2C56">
        <w:rPr>
          <w:rFonts w:ascii="Arial" w:hAnsi="Arial" w:cs="Arial"/>
          <w:sz w:val="24"/>
          <w:szCs w:val="24"/>
        </w:rPr>
        <w:t>, overall,</w:t>
      </w:r>
      <w:r>
        <w:rPr>
          <w:rFonts w:ascii="Arial" w:hAnsi="Arial" w:cs="Arial"/>
          <w:sz w:val="24"/>
          <w:szCs w:val="24"/>
        </w:rPr>
        <w:t xml:space="preserve"> engages certain</w:t>
      </w:r>
      <w:r w:rsidR="00AC2C56">
        <w:rPr>
          <w:rFonts w:ascii="Arial" w:hAnsi="Arial" w:cs="Arial"/>
          <w:sz w:val="24"/>
          <w:szCs w:val="24"/>
        </w:rPr>
        <w:t xml:space="preserve"> general</w:t>
      </w:r>
      <w:r>
        <w:rPr>
          <w:rFonts w:ascii="Arial" w:hAnsi="Arial" w:cs="Arial"/>
          <w:sz w:val="24"/>
          <w:szCs w:val="24"/>
        </w:rPr>
        <w:t xml:space="preserve"> fundamental principles: They are:</w:t>
      </w:r>
    </w:p>
    <w:p w:rsidR="00514B66" w:rsidRDefault="00514B66" w:rsidP="00EB08AF">
      <w:pPr>
        <w:spacing w:after="0" w:line="360" w:lineRule="auto"/>
        <w:jc w:val="both"/>
        <w:rPr>
          <w:rFonts w:ascii="Arial" w:hAnsi="Arial" w:cs="Arial"/>
          <w:sz w:val="24"/>
          <w:szCs w:val="24"/>
        </w:rPr>
      </w:pPr>
    </w:p>
    <w:p w:rsidR="000E0BDF" w:rsidRDefault="000E0BDF" w:rsidP="00EB08AF">
      <w:pPr>
        <w:spacing w:after="0" w:line="360" w:lineRule="auto"/>
        <w:jc w:val="both"/>
        <w:rPr>
          <w:rFonts w:ascii="Arial" w:hAnsi="Arial" w:cs="Arial"/>
          <w:sz w:val="24"/>
          <w:szCs w:val="24"/>
        </w:rPr>
      </w:pPr>
    </w:p>
    <w:p w:rsidR="00514B66" w:rsidRDefault="00514B66" w:rsidP="00FB51FB">
      <w:pPr>
        <w:pStyle w:val="ListParagraph"/>
        <w:numPr>
          <w:ilvl w:val="0"/>
          <w:numId w:val="5"/>
        </w:numPr>
        <w:spacing w:line="360" w:lineRule="auto"/>
        <w:ind w:left="0" w:firstLine="0"/>
        <w:jc w:val="both"/>
        <w:rPr>
          <w:rFonts w:cs="Arial"/>
        </w:rPr>
      </w:pPr>
      <w:r>
        <w:rPr>
          <w:rFonts w:cs="Arial"/>
        </w:rPr>
        <w:t>the authority and duty of the courts to enable the discovery of truth</w:t>
      </w:r>
      <w:r w:rsidR="00E34640">
        <w:rPr>
          <w:rFonts w:cs="Arial"/>
        </w:rPr>
        <w:t>,</w:t>
      </w:r>
      <w:r>
        <w:rPr>
          <w:rFonts w:cs="Arial"/>
        </w:rPr>
        <w:t xml:space="preserve"> </w:t>
      </w:r>
      <w:r w:rsidR="00E34640">
        <w:rPr>
          <w:rFonts w:cs="Arial"/>
        </w:rPr>
        <w:t xml:space="preserve">(also in reviews), </w:t>
      </w:r>
      <w:r>
        <w:rPr>
          <w:rFonts w:cs="Arial"/>
        </w:rPr>
        <w:t>so that justice may be done between the parties;</w:t>
      </w:r>
      <w:r w:rsidR="00D2473D">
        <w:rPr>
          <w:rStyle w:val="FootnoteReference"/>
        </w:rPr>
        <w:footnoteReference w:id="46"/>
      </w:r>
    </w:p>
    <w:p w:rsidR="00514B66" w:rsidRDefault="00514B66" w:rsidP="00514B66">
      <w:pPr>
        <w:pStyle w:val="ListParagraph"/>
        <w:spacing w:line="360" w:lineRule="auto"/>
        <w:jc w:val="both"/>
        <w:rPr>
          <w:rFonts w:cs="Arial"/>
        </w:rPr>
      </w:pPr>
    </w:p>
    <w:p w:rsidR="00514B66" w:rsidRDefault="00514B66" w:rsidP="00FB51FB">
      <w:pPr>
        <w:pStyle w:val="ListParagraph"/>
        <w:numPr>
          <w:ilvl w:val="0"/>
          <w:numId w:val="5"/>
        </w:numPr>
        <w:spacing w:line="360" w:lineRule="auto"/>
        <w:ind w:left="0" w:firstLine="0"/>
        <w:jc w:val="both"/>
        <w:rPr>
          <w:rFonts w:cs="Arial"/>
        </w:rPr>
      </w:pPr>
      <w:r>
        <w:rPr>
          <w:rFonts w:cs="Arial"/>
        </w:rPr>
        <w:t>th</w:t>
      </w:r>
      <w:r w:rsidR="00E34640">
        <w:rPr>
          <w:rFonts w:cs="Arial"/>
        </w:rPr>
        <w:t>at it may generally be said</w:t>
      </w:r>
      <w:r>
        <w:rPr>
          <w:rFonts w:cs="Arial"/>
        </w:rPr>
        <w:t xml:space="preserve"> that there is a duty to also make available documents which are by reference incorporated in the material which served before the decision-maker;</w:t>
      </w:r>
      <w:r w:rsidR="00C74431">
        <w:rPr>
          <w:rFonts w:cs="Arial"/>
        </w:rPr>
        <w:t xml:space="preserve"> and</w:t>
      </w:r>
    </w:p>
    <w:p w:rsidR="00514B66" w:rsidRPr="00514B66" w:rsidRDefault="00514B66" w:rsidP="00514B66">
      <w:pPr>
        <w:pStyle w:val="ListParagraph"/>
        <w:rPr>
          <w:rFonts w:cs="Arial"/>
        </w:rPr>
      </w:pPr>
    </w:p>
    <w:p w:rsidR="00514B66" w:rsidRPr="00FF49F0" w:rsidRDefault="00514B66" w:rsidP="00FB51FB">
      <w:pPr>
        <w:pStyle w:val="ListParagraph"/>
        <w:numPr>
          <w:ilvl w:val="0"/>
          <w:numId w:val="5"/>
        </w:numPr>
        <w:spacing w:line="360" w:lineRule="auto"/>
        <w:ind w:left="0" w:firstLine="0"/>
        <w:jc w:val="both"/>
        <w:rPr>
          <w:rFonts w:cs="Arial"/>
        </w:rPr>
      </w:pPr>
      <w:r>
        <w:rPr>
          <w:rFonts w:cs="Arial"/>
        </w:rPr>
        <w:t>that, as a general proposition</w:t>
      </w:r>
      <w:r w:rsidR="00C74431">
        <w:rPr>
          <w:rFonts w:cs="Arial"/>
        </w:rPr>
        <w:t>,</w:t>
      </w:r>
      <w:r>
        <w:rPr>
          <w:rFonts w:cs="Arial"/>
        </w:rPr>
        <w:t xml:space="preserve"> it is correct that relevance – also in the context of rule 76(6) – and the entitlement to a full and complete record in terms of rule 76(2)(b) must be widely interpreted as it has authoritatively been held that a decision-maker </w:t>
      </w:r>
      <w:r>
        <w:rPr>
          <w:rFonts w:cs="Arial"/>
        </w:rPr>
        <w:lastRenderedPageBreak/>
        <w:t xml:space="preserve">must produce </w:t>
      </w:r>
      <w:r w:rsidRPr="000E3C71">
        <w:rPr>
          <w:rFonts w:cs="Arial"/>
          <w:i/>
        </w:rPr>
        <w:t>‘every</w:t>
      </w:r>
      <w:r w:rsidR="000E3C71" w:rsidRPr="000E3C71">
        <w:rPr>
          <w:rFonts w:cs="Arial"/>
          <w:i/>
        </w:rPr>
        <w:t xml:space="preserve"> scrap of paper throwing light</w:t>
      </w:r>
      <w:r w:rsidRPr="000E3C71">
        <w:rPr>
          <w:rFonts w:cs="Arial"/>
          <w:i/>
        </w:rPr>
        <w:t xml:space="preserve"> … however</w:t>
      </w:r>
      <w:r w:rsidRPr="000E3C71">
        <w:rPr>
          <w:rFonts w:cs="Arial"/>
          <w:i/>
          <w:color w:val="000000" w:themeColor="text1"/>
        </w:rPr>
        <w:t xml:space="preserve"> indirectly, on what the proceedings were, both procedurally and evidentially…’</w:t>
      </w:r>
      <w:r w:rsidR="00C74431" w:rsidRPr="000E3C71">
        <w:rPr>
          <w:rFonts w:cs="Arial"/>
          <w:i/>
          <w:color w:val="000000" w:themeColor="text1"/>
        </w:rPr>
        <w:t xml:space="preserve"> </w:t>
      </w:r>
      <w:r w:rsidR="000E3C71">
        <w:rPr>
          <w:rFonts w:cs="Arial"/>
          <w:color w:val="000000" w:themeColor="text1"/>
        </w:rPr>
        <w:t xml:space="preserve">and thus regardless of the format </w:t>
      </w:r>
      <w:r w:rsidR="000E3C71" w:rsidRPr="000E3C71">
        <w:rPr>
          <w:rFonts w:cs="Arial"/>
          <w:i/>
          <w:color w:val="000000" w:themeColor="text1"/>
        </w:rPr>
        <w:t xml:space="preserve">‘ … it may be a formal record or dossier of what has happened before the tribunal but it may also be a disjointed indication of the material that was at the tribunal's disposal…’. </w:t>
      </w:r>
      <w:r w:rsidR="000E3C71">
        <w:rPr>
          <w:rFonts w:cs="Arial"/>
          <w:color w:val="000000" w:themeColor="text1"/>
        </w:rPr>
        <w:t>I</w:t>
      </w:r>
      <w:r w:rsidR="00C74431">
        <w:rPr>
          <w:rFonts w:cs="Arial"/>
          <w:color w:val="000000" w:themeColor="text1"/>
        </w:rPr>
        <w:t xml:space="preserve">t is thus correct to state that the test is what has to be produced is all material </w:t>
      </w:r>
      <w:r w:rsidR="00C74431" w:rsidRPr="00C74431">
        <w:rPr>
          <w:rFonts w:cs="Arial"/>
          <w:i/>
          <w:color w:val="000000" w:themeColor="text1"/>
        </w:rPr>
        <w:t>‘ … throwing light … directly and indirectly</w:t>
      </w:r>
      <w:r w:rsidR="00C74431">
        <w:rPr>
          <w:rFonts w:cs="Arial"/>
          <w:i/>
          <w:color w:val="000000" w:themeColor="text1"/>
        </w:rPr>
        <w:t xml:space="preserve">… ‘ </w:t>
      </w:r>
      <w:r w:rsidR="00FF49F0">
        <w:rPr>
          <w:rFonts w:cs="Arial"/>
          <w:color w:val="000000" w:themeColor="text1"/>
        </w:rPr>
        <w:t>on the decision which was made;</w:t>
      </w:r>
    </w:p>
    <w:p w:rsidR="00FF49F0" w:rsidRPr="00FF49F0" w:rsidRDefault="00FF49F0" w:rsidP="00FF49F0">
      <w:pPr>
        <w:pStyle w:val="ListParagraph"/>
        <w:rPr>
          <w:rFonts w:cs="Arial"/>
        </w:rPr>
      </w:pPr>
    </w:p>
    <w:p w:rsidR="00FF49F0" w:rsidRDefault="00FF49F0" w:rsidP="00FB51FB">
      <w:pPr>
        <w:pStyle w:val="ListParagraph"/>
        <w:numPr>
          <w:ilvl w:val="0"/>
          <w:numId w:val="5"/>
        </w:numPr>
        <w:spacing w:line="360" w:lineRule="auto"/>
        <w:ind w:left="0" w:firstLine="0"/>
        <w:jc w:val="both"/>
        <w:rPr>
          <w:rFonts w:cs="Arial"/>
        </w:rPr>
      </w:pPr>
      <w:r w:rsidRPr="00F609D6">
        <w:rPr>
          <w:rFonts w:cs="Arial"/>
        </w:rPr>
        <w:t>The extent of the record of proceedings</w:t>
      </w:r>
      <w:r w:rsidR="00571C32">
        <w:rPr>
          <w:rFonts w:cs="Arial"/>
        </w:rPr>
        <w:t xml:space="preserve"> - and thus </w:t>
      </w:r>
      <w:r w:rsidR="0010152D">
        <w:rPr>
          <w:rFonts w:cs="Arial"/>
        </w:rPr>
        <w:t xml:space="preserve">- </w:t>
      </w:r>
      <w:r w:rsidR="00571C32">
        <w:rPr>
          <w:rFonts w:cs="Arial"/>
        </w:rPr>
        <w:t>what will ultimately have to be produced –</w:t>
      </w:r>
      <w:r w:rsidRPr="00F609D6">
        <w:rPr>
          <w:rFonts w:cs="Arial"/>
        </w:rPr>
        <w:t xml:space="preserve"> will</w:t>
      </w:r>
      <w:r w:rsidR="00571C32">
        <w:rPr>
          <w:rFonts w:cs="Arial"/>
        </w:rPr>
        <w:t xml:space="preserve"> also</w:t>
      </w:r>
      <w:r w:rsidRPr="00F609D6">
        <w:rPr>
          <w:rFonts w:cs="Arial"/>
        </w:rPr>
        <w:t xml:space="preserve"> depend on the facts and circumstances of the case.</w:t>
      </w:r>
    </w:p>
    <w:p w:rsidR="00077D4E" w:rsidRDefault="00077D4E" w:rsidP="00C42C25">
      <w:pPr>
        <w:spacing w:after="0" w:line="360" w:lineRule="auto"/>
        <w:jc w:val="both"/>
        <w:rPr>
          <w:rFonts w:ascii="Arial" w:hAnsi="Arial" w:cs="Arial"/>
          <w:sz w:val="24"/>
          <w:szCs w:val="24"/>
        </w:rPr>
      </w:pPr>
    </w:p>
    <w:p w:rsidR="00A359C2" w:rsidRDefault="00A359C2" w:rsidP="00EB08AF">
      <w:pPr>
        <w:spacing w:after="0" w:line="360" w:lineRule="auto"/>
        <w:jc w:val="both"/>
        <w:rPr>
          <w:rFonts w:ascii="Arial" w:hAnsi="Arial" w:cs="Arial"/>
          <w:sz w:val="24"/>
          <w:szCs w:val="24"/>
        </w:rPr>
      </w:pPr>
      <w:r>
        <w:rPr>
          <w:rFonts w:ascii="Arial" w:hAnsi="Arial" w:cs="Arial"/>
          <w:sz w:val="24"/>
          <w:szCs w:val="24"/>
        </w:rPr>
        <w:t>[</w:t>
      </w:r>
      <w:r w:rsidR="008D3E1A">
        <w:rPr>
          <w:rFonts w:ascii="Arial" w:hAnsi="Arial" w:cs="Arial"/>
          <w:sz w:val="24"/>
          <w:szCs w:val="24"/>
        </w:rPr>
        <w:t>1</w:t>
      </w:r>
      <w:r w:rsidR="00AF41D1">
        <w:rPr>
          <w:rFonts w:ascii="Arial" w:hAnsi="Arial" w:cs="Arial"/>
          <w:sz w:val="24"/>
          <w:szCs w:val="24"/>
        </w:rPr>
        <w:t>2</w:t>
      </w:r>
      <w:r>
        <w:rPr>
          <w:rFonts w:ascii="Arial" w:hAnsi="Arial" w:cs="Arial"/>
          <w:sz w:val="24"/>
          <w:szCs w:val="24"/>
        </w:rPr>
        <w:t>]</w:t>
      </w:r>
      <w:r>
        <w:rPr>
          <w:rFonts w:ascii="Arial" w:hAnsi="Arial" w:cs="Arial"/>
          <w:sz w:val="24"/>
          <w:szCs w:val="24"/>
        </w:rPr>
        <w:tab/>
        <w:t xml:space="preserve">When it comes to the constitutional principles referred to certain general </w:t>
      </w:r>
      <w:r w:rsidR="001C7261">
        <w:rPr>
          <w:rFonts w:ascii="Arial" w:hAnsi="Arial" w:cs="Arial"/>
          <w:sz w:val="24"/>
          <w:szCs w:val="24"/>
        </w:rPr>
        <w:t>s</w:t>
      </w:r>
      <w:r>
        <w:rPr>
          <w:rFonts w:ascii="Arial" w:hAnsi="Arial" w:cs="Arial"/>
          <w:sz w:val="24"/>
          <w:szCs w:val="24"/>
        </w:rPr>
        <w:t xml:space="preserve">tatements as made by the </w:t>
      </w:r>
      <w:r w:rsidR="001C7261">
        <w:rPr>
          <w:rFonts w:ascii="Arial" w:hAnsi="Arial" w:cs="Arial"/>
          <w:sz w:val="24"/>
          <w:szCs w:val="24"/>
        </w:rPr>
        <w:t>C</w:t>
      </w:r>
      <w:r>
        <w:rPr>
          <w:rFonts w:ascii="Arial" w:hAnsi="Arial" w:cs="Arial"/>
          <w:sz w:val="24"/>
          <w:szCs w:val="24"/>
        </w:rPr>
        <w:t xml:space="preserve">onstitutional </w:t>
      </w:r>
      <w:r w:rsidR="001C7261">
        <w:rPr>
          <w:rFonts w:ascii="Arial" w:hAnsi="Arial" w:cs="Arial"/>
          <w:sz w:val="24"/>
          <w:szCs w:val="24"/>
        </w:rPr>
        <w:t>C</w:t>
      </w:r>
      <w:r>
        <w:rPr>
          <w:rFonts w:ascii="Arial" w:hAnsi="Arial" w:cs="Arial"/>
          <w:sz w:val="24"/>
          <w:szCs w:val="24"/>
        </w:rPr>
        <w:t>ourt</w:t>
      </w:r>
      <w:r w:rsidR="00E34640" w:rsidRPr="00E34640">
        <w:rPr>
          <w:rFonts w:ascii="Arial" w:hAnsi="Arial" w:cs="Arial"/>
          <w:sz w:val="24"/>
          <w:szCs w:val="24"/>
        </w:rPr>
        <w:t xml:space="preserve"> </w:t>
      </w:r>
      <w:r w:rsidR="00E34640">
        <w:rPr>
          <w:rFonts w:ascii="Arial" w:hAnsi="Arial" w:cs="Arial"/>
          <w:sz w:val="24"/>
          <w:szCs w:val="24"/>
        </w:rPr>
        <w:t xml:space="preserve">in the cited </w:t>
      </w:r>
      <w:r w:rsidR="00E34640" w:rsidRPr="001C7261">
        <w:rPr>
          <w:rFonts w:ascii="Arial" w:hAnsi="Arial" w:cs="Arial"/>
          <w:i/>
          <w:sz w:val="24"/>
          <w:szCs w:val="24"/>
        </w:rPr>
        <w:t>Helen Suzman Foundation</w:t>
      </w:r>
      <w:r w:rsidR="00E34640">
        <w:rPr>
          <w:rFonts w:ascii="Arial" w:hAnsi="Arial" w:cs="Arial"/>
          <w:sz w:val="24"/>
          <w:szCs w:val="24"/>
        </w:rPr>
        <w:t xml:space="preserve"> decision</w:t>
      </w:r>
      <w:r>
        <w:rPr>
          <w:rFonts w:ascii="Arial" w:hAnsi="Arial" w:cs="Arial"/>
          <w:sz w:val="24"/>
          <w:szCs w:val="24"/>
        </w:rPr>
        <w:t xml:space="preserve"> </w:t>
      </w:r>
      <w:r w:rsidR="001C7261">
        <w:rPr>
          <w:rFonts w:ascii="Arial" w:hAnsi="Arial" w:cs="Arial"/>
          <w:sz w:val="24"/>
          <w:szCs w:val="24"/>
        </w:rPr>
        <w:t>(</w:t>
      </w:r>
      <w:r>
        <w:rPr>
          <w:rFonts w:ascii="Arial" w:hAnsi="Arial" w:cs="Arial"/>
          <w:sz w:val="24"/>
          <w:szCs w:val="24"/>
        </w:rPr>
        <w:t>in</w:t>
      </w:r>
      <w:r w:rsidR="001C7261">
        <w:rPr>
          <w:rFonts w:ascii="Arial" w:hAnsi="Arial" w:cs="Arial"/>
          <w:sz w:val="24"/>
          <w:szCs w:val="24"/>
        </w:rPr>
        <w:t xml:space="preserve"> course of deciding whether the blanket non-disclosure claimed there by the Judicial Service Commission could be upheld},</w:t>
      </w:r>
      <w:r>
        <w:rPr>
          <w:rFonts w:ascii="Arial" w:hAnsi="Arial" w:cs="Arial"/>
          <w:sz w:val="24"/>
          <w:szCs w:val="24"/>
        </w:rPr>
        <w:t xml:space="preserve"> </w:t>
      </w:r>
      <w:r w:rsidR="001C7261">
        <w:rPr>
          <w:rFonts w:ascii="Arial" w:hAnsi="Arial" w:cs="Arial"/>
          <w:sz w:val="24"/>
          <w:szCs w:val="24"/>
        </w:rPr>
        <w:t xml:space="preserve">can also be embraced without difficulty as they are of </w:t>
      </w:r>
      <w:r w:rsidR="00E34640">
        <w:rPr>
          <w:rFonts w:ascii="Arial" w:hAnsi="Arial" w:cs="Arial"/>
          <w:sz w:val="24"/>
          <w:szCs w:val="24"/>
        </w:rPr>
        <w:t xml:space="preserve">equal </w:t>
      </w:r>
      <w:r w:rsidR="001C7261">
        <w:rPr>
          <w:rFonts w:ascii="Arial" w:hAnsi="Arial" w:cs="Arial"/>
          <w:sz w:val="24"/>
          <w:szCs w:val="24"/>
        </w:rPr>
        <w:t>application in this jurisdiction as well, namely:</w:t>
      </w:r>
    </w:p>
    <w:p w:rsidR="001C7261" w:rsidRDefault="001C7261" w:rsidP="00EB08AF">
      <w:pPr>
        <w:spacing w:after="0" w:line="360" w:lineRule="auto"/>
        <w:jc w:val="both"/>
        <w:rPr>
          <w:rFonts w:ascii="Arial" w:hAnsi="Arial" w:cs="Arial"/>
          <w:sz w:val="24"/>
          <w:szCs w:val="24"/>
        </w:rPr>
      </w:pPr>
    </w:p>
    <w:p w:rsidR="001C7261" w:rsidRPr="00E34640" w:rsidRDefault="001C7261" w:rsidP="008D3E1A">
      <w:pPr>
        <w:pStyle w:val="ListParagraph"/>
        <w:numPr>
          <w:ilvl w:val="0"/>
          <w:numId w:val="19"/>
        </w:numPr>
        <w:spacing w:line="360" w:lineRule="auto"/>
        <w:ind w:left="0" w:firstLine="0"/>
        <w:jc w:val="both"/>
        <w:rPr>
          <w:rFonts w:cs="Arial"/>
          <w:sz w:val="22"/>
          <w:szCs w:val="22"/>
        </w:rPr>
      </w:pPr>
      <w:r w:rsidRPr="00E34640">
        <w:rPr>
          <w:rFonts w:cs="Arial"/>
          <w:sz w:val="22"/>
          <w:szCs w:val="22"/>
        </w:rPr>
        <w:t xml:space="preserve">that ‘ … generally the only way to test the legality of the exercise of this power </w:t>
      </w:r>
      <w:r w:rsidRPr="00E34640">
        <w:rPr>
          <w:rFonts w:cs="Arial"/>
          <w:i/>
          <w:sz w:val="22"/>
          <w:szCs w:val="22"/>
        </w:rPr>
        <w:t>(public power}</w:t>
      </w:r>
      <w:r w:rsidRPr="00E34640">
        <w:rPr>
          <w:rFonts w:cs="Arial"/>
          <w:sz w:val="22"/>
          <w:szCs w:val="22"/>
        </w:rPr>
        <w:t xml:space="preserve"> completely and thoroughly is to afford an applicant for review access to all material relevant to that exercise of power. If a public functionary can withhold information relevant to the decision, there is always a risk that possible illegalities remain uncovered and are thus insulated from scrutiny and review. That is at variance with the rule of law and our paramount values of accountability, responsiveness and openness. This affects not only the individual litigant, but also the public interest in the exercise of public power in accordance with the Constitution. It must, therefore, be in truly deserving and exceptional cases that absolute non-disclosure should be sanctioned.’</w:t>
      </w:r>
    </w:p>
    <w:p w:rsidR="006F11C8" w:rsidRDefault="006F11C8" w:rsidP="008D3E1A">
      <w:pPr>
        <w:spacing w:after="0" w:line="360" w:lineRule="auto"/>
        <w:ind w:left="720"/>
        <w:jc w:val="both"/>
        <w:rPr>
          <w:rFonts w:ascii="Arial" w:hAnsi="Arial" w:cs="Arial"/>
          <w:sz w:val="24"/>
          <w:szCs w:val="24"/>
        </w:rPr>
      </w:pPr>
    </w:p>
    <w:p w:rsidR="001C7261" w:rsidRDefault="008D3E1A" w:rsidP="008D3E1A">
      <w:pPr>
        <w:spacing w:after="0" w:line="360" w:lineRule="auto"/>
        <w:jc w:val="both"/>
        <w:rPr>
          <w:rFonts w:ascii="Arial" w:hAnsi="Arial" w:cs="Arial"/>
          <w:sz w:val="24"/>
          <w:szCs w:val="24"/>
        </w:rPr>
      </w:pPr>
      <w:r>
        <w:rPr>
          <w:rFonts w:ascii="Arial" w:hAnsi="Arial" w:cs="Arial"/>
          <w:sz w:val="24"/>
          <w:szCs w:val="24"/>
        </w:rPr>
        <w:t>a</w:t>
      </w:r>
      <w:r w:rsidR="001C7261" w:rsidRPr="006F11C8">
        <w:rPr>
          <w:rFonts w:ascii="Arial" w:hAnsi="Arial" w:cs="Arial"/>
          <w:sz w:val="24"/>
          <w:szCs w:val="24"/>
        </w:rPr>
        <w:t>nd</w:t>
      </w:r>
    </w:p>
    <w:p w:rsidR="008D3E1A" w:rsidRPr="006F11C8" w:rsidRDefault="008D3E1A" w:rsidP="008D3E1A">
      <w:pPr>
        <w:spacing w:after="0" w:line="360" w:lineRule="auto"/>
        <w:ind w:left="720"/>
        <w:jc w:val="both"/>
        <w:rPr>
          <w:rFonts w:ascii="Arial" w:hAnsi="Arial" w:cs="Arial"/>
          <w:sz w:val="24"/>
          <w:szCs w:val="24"/>
        </w:rPr>
      </w:pPr>
    </w:p>
    <w:p w:rsidR="006F11C8" w:rsidRPr="008B1662" w:rsidRDefault="006F11C8" w:rsidP="008D3E1A">
      <w:pPr>
        <w:pStyle w:val="ListParagraph"/>
        <w:numPr>
          <w:ilvl w:val="0"/>
          <w:numId w:val="19"/>
        </w:numPr>
        <w:spacing w:line="360" w:lineRule="auto"/>
        <w:ind w:left="0" w:firstLine="0"/>
        <w:jc w:val="both"/>
        <w:rPr>
          <w:rFonts w:cs="Arial"/>
          <w:sz w:val="22"/>
          <w:szCs w:val="22"/>
        </w:rPr>
      </w:pPr>
      <w:r w:rsidRPr="008B1662">
        <w:rPr>
          <w:rFonts w:cs="Arial"/>
          <w:sz w:val="22"/>
          <w:szCs w:val="22"/>
        </w:rPr>
        <w:t xml:space="preserve">'Ordinarily courts would look favourably on a claim of a litigant to gain access to documents or other information reasonably required to assert or protect a threatened right or to advance a cause of action. This is so because courts take seriously the valid interest of a litigant to be placed in a position to present its case fully during the course of litigation. Whilst weighing meticulously where the interests of justice lie, courts strive to afford a party a reasonable opportunity to achieve its purpose in advancing its case. After all, an adequate opportunity to prepare and present one's case is a time-honoured part of a litigating party's </w:t>
      </w:r>
      <w:r w:rsidRPr="008B1662">
        <w:rPr>
          <w:rFonts w:cs="Arial"/>
          <w:sz w:val="22"/>
          <w:szCs w:val="22"/>
        </w:rPr>
        <w:lastRenderedPageBreak/>
        <w:t>right to a fair trial'.”</w:t>
      </w:r>
      <w:r w:rsidRPr="008B1662">
        <w:rPr>
          <w:rStyle w:val="FootnoteReference"/>
          <w:rFonts w:cs="Arial"/>
          <w:sz w:val="22"/>
          <w:szCs w:val="22"/>
        </w:rPr>
        <w:footnoteReference w:id="47"/>
      </w:r>
      <w:r w:rsidRPr="008B1662">
        <w:rPr>
          <w:rFonts w:cs="Arial"/>
          <w:sz w:val="22"/>
          <w:szCs w:val="22"/>
        </w:rPr>
        <w:t xml:space="preserve"> </w:t>
      </w:r>
    </w:p>
    <w:p w:rsidR="006F11C8" w:rsidRPr="00825B80" w:rsidRDefault="006F11C8" w:rsidP="006F11C8">
      <w:pPr>
        <w:jc w:val="both"/>
        <w:rPr>
          <w:rFonts w:ascii="Arial" w:hAnsi="Arial" w:cs="Arial"/>
        </w:rPr>
      </w:pPr>
    </w:p>
    <w:p w:rsidR="00340FC8" w:rsidRDefault="00C42C25" w:rsidP="00EB08AF">
      <w:pPr>
        <w:spacing w:after="0" w:line="360" w:lineRule="auto"/>
        <w:jc w:val="both"/>
        <w:rPr>
          <w:rFonts w:ascii="Arial" w:hAnsi="Arial" w:cs="Arial"/>
          <w:sz w:val="24"/>
          <w:szCs w:val="24"/>
        </w:rPr>
      </w:pPr>
      <w:r>
        <w:rPr>
          <w:rFonts w:ascii="Arial" w:hAnsi="Arial" w:cs="Arial"/>
          <w:sz w:val="24"/>
          <w:szCs w:val="24"/>
        </w:rPr>
        <w:t>[</w:t>
      </w:r>
      <w:r w:rsidR="00FB51FB">
        <w:rPr>
          <w:rFonts w:ascii="Arial" w:hAnsi="Arial" w:cs="Arial"/>
          <w:sz w:val="24"/>
          <w:szCs w:val="24"/>
        </w:rPr>
        <w:t>1</w:t>
      </w:r>
      <w:r w:rsidR="00AF41D1">
        <w:rPr>
          <w:rFonts w:ascii="Arial" w:hAnsi="Arial" w:cs="Arial"/>
          <w:sz w:val="24"/>
          <w:szCs w:val="24"/>
        </w:rPr>
        <w:t>3</w:t>
      </w:r>
      <w:r>
        <w:rPr>
          <w:rFonts w:ascii="Arial" w:hAnsi="Arial" w:cs="Arial"/>
          <w:sz w:val="24"/>
          <w:szCs w:val="24"/>
        </w:rPr>
        <w:t>]</w:t>
      </w:r>
      <w:r>
        <w:rPr>
          <w:rFonts w:ascii="Arial" w:hAnsi="Arial" w:cs="Arial"/>
          <w:sz w:val="24"/>
          <w:szCs w:val="24"/>
        </w:rPr>
        <w:tab/>
      </w:r>
      <w:r w:rsidR="00C74431">
        <w:rPr>
          <w:rFonts w:ascii="Arial" w:hAnsi="Arial" w:cs="Arial"/>
          <w:sz w:val="24"/>
          <w:szCs w:val="24"/>
        </w:rPr>
        <w:t>Counsel for the respondents have focused more closely in certain specific principles. They</w:t>
      </w:r>
      <w:r w:rsidR="004001EE">
        <w:rPr>
          <w:rFonts w:ascii="Arial" w:hAnsi="Arial" w:cs="Arial"/>
          <w:sz w:val="24"/>
          <w:szCs w:val="24"/>
        </w:rPr>
        <w:t xml:space="preserve"> are:</w:t>
      </w:r>
    </w:p>
    <w:p w:rsidR="004001EE" w:rsidRDefault="004001EE" w:rsidP="00EB08AF">
      <w:pPr>
        <w:spacing w:after="0" w:line="360" w:lineRule="auto"/>
        <w:jc w:val="both"/>
        <w:rPr>
          <w:rFonts w:ascii="Arial" w:hAnsi="Arial" w:cs="Arial"/>
          <w:sz w:val="24"/>
          <w:szCs w:val="24"/>
        </w:rPr>
      </w:pPr>
    </w:p>
    <w:p w:rsidR="004001EE" w:rsidRDefault="00690639" w:rsidP="009F7699">
      <w:pPr>
        <w:pStyle w:val="ListParagraph"/>
        <w:numPr>
          <w:ilvl w:val="0"/>
          <w:numId w:val="6"/>
        </w:numPr>
        <w:spacing w:line="360" w:lineRule="auto"/>
        <w:ind w:left="0" w:firstLine="0"/>
        <w:jc w:val="both"/>
        <w:rPr>
          <w:rFonts w:cs="Arial"/>
        </w:rPr>
      </w:pPr>
      <w:r>
        <w:rPr>
          <w:rFonts w:cs="Arial"/>
        </w:rPr>
        <w:t>that the rule is not a licence ‘to fish’ or to obtain general discovery but rather is a means to complete a record;</w:t>
      </w:r>
    </w:p>
    <w:p w:rsidR="00690639" w:rsidRDefault="00690639" w:rsidP="009F7699">
      <w:pPr>
        <w:pStyle w:val="ListParagraph"/>
        <w:spacing w:line="360" w:lineRule="auto"/>
        <w:ind w:left="0"/>
        <w:jc w:val="both"/>
        <w:rPr>
          <w:rFonts w:cs="Arial"/>
        </w:rPr>
      </w:pPr>
    </w:p>
    <w:p w:rsidR="00690639" w:rsidRDefault="0006670A" w:rsidP="009F7699">
      <w:pPr>
        <w:pStyle w:val="ListParagraph"/>
        <w:numPr>
          <w:ilvl w:val="0"/>
          <w:numId w:val="6"/>
        </w:numPr>
        <w:spacing w:line="360" w:lineRule="auto"/>
        <w:ind w:left="0" w:firstLine="0"/>
        <w:jc w:val="both"/>
        <w:rPr>
          <w:rFonts w:cs="Arial"/>
        </w:rPr>
      </w:pPr>
      <w:r>
        <w:rPr>
          <w:rFonts w:cs="Arial"/>
        </w:rPr>
        <w:t>that the requested</w:t>
      </w:r>
      <w:r w:rsidR="00690639">
        <w:rPr>
          <w:rFonts w:cs="Arial"/>
        </w:rPr>
        <w:t xml:space="preserve"> documents must exist</w:t>
      </w:r>
      <w:r>
        <w:rPr>
          <w:rFonts w:cs="Arial"/>
        </w:rPr>
        <w:t xml:space="preserve"> and that they</w:t>
      </w:r>
      <w:r w:rsidR="00690639">
        <w:rPr>
          <w:rFonts w:cs="Arial"/>
        </w:rPr>
        <w:t xml:space="preserve"> have been excluded from the record which was produced;</w:t>
      </w:r>
    </w:p>
    <w:p w:rsidR="00690639" w:rsidRDefault="00690639" w:rsidP="00690639">
      <w:pPr>
        <w:pStyle w:val="ListParagraph"/>
        <w:rPr>
          <w:rFonts w:cs="Arial"/>
        </w:rPr>
      </w:pPr>
    </w:p>
    <w:p w:rsidR="001D75AC" w:rsidRPr="00690639" w:rsidRDefault="001D75AC" w:rsidP="00690639">
      <w:pPr>
        <w:pStyle w:val="ListParagraph"/>
        <w:rPr>
          <w:rFonts w:cs="Arial"/>
        </w:rPr>
      </w:pPr>
    </w:p>
    <w:p w:rsidR="00690639" w:rsidRDefault="00690639" w:rsidP="009F7699">
      <w:pPr>
        <w:pStyle w:val="ListParagraph"/>
        <w:spacing w:line="360" w:lineRule="auto"/>
        <w:jc w:val="both"/>
        <w:rPr>
          <w:rFonts w:cs="Arial"/>
        </w:rPr>
      </w:pPr>
      <w:r>
        <w:rPr>
          <w:rFonts w:cs="Arial"/>
        </w:rPr>
        <w:t>i)</w:t>
      </w:r>
      <w:r>
        <w:rPr>
          <w:rFonts w:cs="Arial"/>
        </w:rPr>
        <w:tab/>
      </w:r>
      <w:r w:rsidR="00A4399B">
        <w:rPr>
          <w:rFonts w:cs="Arial"/>
        </w:rPr>
        <w:t>i</w:t>
      </w:r>
      <w:r>
        <w:rPr>
          <w:rFonts w:cs="Arial"/>
        </w:rPr>
        <w:t>n this regard t</w:t>
      </w:r>
      <w:r w:rsidR="00A4399B">
        <w:rPr>
          <w:rFonts w:cs="Arial"/>
        </w:rPr>
        <w:t xml:space="preserve">he applicant must </w:t>
      </w:r>
      <w:r w:rsidR="008B1662">
        <w:rPr>
          <w:rFonts w:cs="Arial"/>
        </w:rPr>
        <w:t>‘</w:t>
      </w:r>
      <w:r w:rsidR="00A4399B">
        <w:rPr>
          <w:rFonts w:cs="Arial"/>
        </w:rPr>
        <w:t>hold a belief</w:t>
      </w:r>
      <w:r w:rsidR="008B1662">
        <w:rPr>
          <w:rFonts w:cs="Arial"/>
        </w:rPr>
        <w:t>’</w:t>
      </w:r>
      <w:r w:rsidR="00A4399B">
        <w:rPr>
          <w:rFonts w:cs="Arial"/>
        </w:rPr>
        <w:t>;</w:t>
      </w:r>
    </w:p>
    <w:p w:rsidR="00690639" w:rsidRDefault="00A4399B" w:rsidP="009F7699">
      <w:pPr>
        <w:pStyle w:val="ListParagraph"/>
        <w:spacing w:line="360" w:lineRule="auto"/>
        <w:jc w:val="both"/>
        <w:rPr>
          <w:rFonts w:cs="Arial"/>
        </w:rPr>
      </w:pPr>
      <w:r>
        <w:rPr>
          <w:rFonts w:cs="Arial"/>
        </w:rPr>
        <w:t>ii)</w:t>
      </w:r>
      <w:r>
        <w:rPr>
          <w:rFonts w:cs="Arial"/>
        </w:rPr>
        <w:tab/>
        <w:t xml:space="preserve">which </w:t>
      </w:r>
      <w:r w:rsidR="008B1662">
        <w:rPr>
          <w:rFonts w:cs="Arial"/>
        </w:rPr>
        <w:t>‘</w:t>
      </w:r>
      <w:r>
        <w:rPr>
          <w:rFonts w:cs="Arial"/>
        </w:rPr>
        <w:t>belief</w:t>
      </w:r>
      <w:r w:rsidR="008B1662">
        <w:rPr>
          <w:rFonts w:cs="Arial"/>
        </w:rPr>
        <w:t>’</w:t>
      </w:r>
      <w:r>
        <w:rPr>
          <w:rFonts w:cs="Arial"/>
        </w:rPr>
        <w:t xml:space="preserve"> must be </w:t>
      </w:r>
      <w:r w:rsidR="008B1662">
        <w:rPr>
          <w:rFonts w:cs="Arial"/>
        </w:rPr>
        <w:t>‘</w:t>
      </w:r>
      <w:r>
        <w:rPr>
          <w:rFonts w:cs="Arial"/>
        </w:rPr>
        <w:t>genuine, rational, or founded on some factual basis</w:t>
      </w:r>
      <w:r w:rsidR="008B1662">
        <w:rPr>
          <w:rFonts w:cs="Arial"/>
        </w:rPr>
        <w:t>’</w:t>
      </w:r>
      <w:r>
        <w:rPr>
          <w:rFonts w:cs="Arial"/>
        </w:rPr>
        <w:t>;</w:t>
      </w:r>
    </w:p>
    <w:p w:rsidR="00690639" w:rsidRDefault="00690639" w:rsidP="00690639">
      <w:pPr>
        <w:pStyle w:val="ListParagraph"/>
        <w:rPr>
          <w:rFonts w:cs="Arial"/>
        </w:rPr>
      </w:pPr>
    </w:p>
    <w:p w:rsidR="001D75AC" w:rsidRPr="00690639" w:rsidRDefault="001D75AC" w:rsidP="00690639">
      <w:pPr>
        <w:pStyle w:val="ListParagraph"/>
        <w:rPr>
          <w:rFonts w:cs="Arial"/>
        </w:rPr>
      </w:pPr>
    </w:p>
    <w:p w:rsidR="001D75AC" w:rsidRPr="001D75AC" w:rsidRDefault="001D75AC" w:rsidP="009F7699">
      <w:pPr>
        <w:pStyle w:val="ListParagraph"/>
        <w:numPr>
          <w:ilvl w:val="0"/>
          <w:numId w:val="6"/>
        </w:numPr>
        <w:spacing w:line="360" w:lineRule="auto"/>
        <w:ind w:left="0" w:firstLine="0"/>
        <w:jc w:val="both"/>
        <w:rPr>
          <w:rFonts w:cs="Arial"/>
        </w:rPr>
      </w:pPr>
      <w:r>
        <w:rPr>
          <w:rFonts w:cs="Arial"/>
        </w:rPr>
        <w:t xml:space="preserve">that in this regard assistance can be obtained by proving that such further documents exist if </w:t>
      </w:r>
      <w:r>
        <w:rPr>
          <w:rFonts w:cs="Arial"/>
          <w:color w:val="000000" w:themeColor="text1"/>
          <w:lang w:val="en-ZA" w:eastAsia="en-ZA"/>
        </w:rPr>
        <w:t>this</w:t>
      </w:r>
      <w:r w:rsidRPr="001D75AC">
        <w:rPr>
          <w:rFonts w:cs="Arial"/>
          <w:color w:val="000000" w:themeColor="text1"/>
          <w:lang w:val="en-ZA" w:eastAsia="en-ZA"/>
        </w:rPr>
        <w:t xml:space="preserve"> can be shown either </w:t>
      </w:r>
    </w:p>
    <w:p w:rsidR="001D75AC" w:rsidRDefault="001D75AC" w:rsidP="001D75AC">
      <w:pPr>
        <w:pStyle w:val="ListParagraph"/>
        <w:spacing w:line="360" w:lineRule="auto"/>
        <w:ind w:left="0" w:firstLine="720"/>
        <w:jc w:val="both"/>
        <w:rPr>
          <w:rFonts w:cs="Arial"/>
          <w:color w:val="000000" w:themeColor="text1"/>
          <w:lang w:val="en-ZA" w:eastAsia="en-ZA"/>
        </w:rPr>
      </w:pPr>
    </w:p>
    <w:p w:rsidR="001D75AC" w:rsidRDefault="001D75AC" w:rsidP="001D75AC">
      <w:pPr>
        <w:pStyle w:val="ListParagraph"/>
        <w:numPr>
          <w:ilvl w:val="0"/>
          <w:numId w:val="9"/>
        </w:numPr>
        <w:spacing w:line="360" w:lineRule="auto"/>
        <w:jc w:val="both"/>
        <w:rPr>
          <w:rFonts w:cs="Arial"/>
          <w:color w:val="000000" w:themeColor="text1"/>
          <w:lang w:val="en-ZA" w:eastAsia="en-ZA"/>
        </w:rPr>
      </w:pPr>
      <w:r w:rsidRPr="001D75AC">
        <w:rPr>
          <w:rFonts w:cs="Arial"/>
          <w:color w:val="000000" w:themeColor="text1"/>
          <w:lang w:val="en-ZA" w:eastAsia="en-ZA"/>
        </w:rPr>
        <w:t xml:space="preserve">from the discovery affidavit itself, </w:t>
      </w:r>
      <w:r>
        <w:rPr>
          <w:rFonts w:cs="Arial"/>
          <w:color w:val="000000" w:themeColor="text1"/>
          <w:lang w:val="en-ZA" w:eastAsia="en-ZA"/>
        </w:rPr>
        <w:t>and/</w:t>
      </w:r>
      <w:r w:rsidRPr="001D75AC">
        <w:rPr>
          <w:rFonts w:cs="Arial"/>
          <w:color w:val="000000" w:themeColor="text1"/>
          <w:lang w:val="en-ZA" w:eastAsia="en-ZA"/>
        </w:rPr>
        <w:t xml:space="preserve">or </w:t>
      </w:r>
    </w:p>
    <w:p w:rsidR="001D75AC" w:rsidRPr="001D75AC" w:rsidRDefault="001D75AC" w:rsidP="001D75AC">
      <w:pPr>
        <w:pStyle w:val="ListParagraph"/>
        <w:numPr>
          <w:ilvl w:val="0"/>
          <w:numId w:val="9"/>
        </w:numPr>
        <w:spacing w:line="360" w:lineRule="auto"/>
        <w:jc w:val="both"/>
        <w:rPr>
          <w:rFonts w:cs="Arial"/>
        </w:rPr>
      </w:pPr>
      <w:r w:rsidRPr="001D75AC">
        <w:rPr>
          <w:rFonts w:cs="Arial"/>
          <w:color w:val="000000" w:themeColor="text1"/>
          <w:lang w:val="en-ZA" w:eastAsia="en-ZA"/>
        </w:rPr>
        <w:t xml:space="preserve">from the documents referred to in the discovery affidavit, </w:t>
      </w:r>
      <w:r>
        <w:rPr>
          <w:rFonts w:cs="Arial"/>
          <w:color w:val="000000" w:themeColor="text1"/>
          <w:lang w:val="en-ZA" w:eastAsia="en-ZA"/>
        </w:rPr>
        <w:t>and/</w:t>
      </w:r>
      <w:r w:rsidRPr="001D75AC">
        <w:rPr>
          <w:rFonts w:cs="Arial"/>
          <w:color w:val="000000" w:themeColor="text1"/>
          <w:lang w:val="en-ZA" w:eastAsia="en-ZA"/>
        </w:rPr>
        <w:t xml:space="preserve">or </w:t>
      </w:r>
    </w:p>
    <w:p w:rsidR="001D75AC" w:rsidRPr="001D75AC" w:rsidRDefault="001D75AC" w:rsidP="001D75AC">
      <w:pPr>
        <w:pStyle w:val="ListParagraph"/>
        <w:numPr>
          <w:ilvl w:val="0"/>
          <w:numId w:val="9"/>
        </w:numPr>
        <w:spacing w:line="360" w:lineRule="auto"/>
        <w:jc w:val="both"/>
        <w:rPr>
          <w:rFonts w:cs="Arial"/>
        </w:rPr>
      </w:pPr>
      <w:r>
        <w:rPr>
          <w:rFonts w:cs="Arial"/>
          <w:color w:val="000000" w:themeColor="text1"/>
          <w:lang w:val="en-ZA" w:eastAsia="en-ZA"/>
        </w:rPr>
        <w:t>from the pleadings in the application</w:t>
      </w:r>
      <w:r w:rsidRPr="001D75AC">
        <w:rPr>
          <w:rFonts w:cs="Arial"/>
          <w:color w:val="000000" w:themeColor="text1"/>
          <w:lang w:val="en-ZA" w:eastAsia="en-ZA"/>
        </w:rPr>
        <w:t xml:space="preserve">, and/or </w:t>
      </w:r>
    </w:p>
    <w:p w:rsidR="001D75AC" w:rsidRPr="001D75AC" w:rsidRDefault="001D75AC" w:rsidP="001D75AC">
      <w:pPr>
        <w:pStyle w:val="ListParagraph"/>
        <w:numPr>
          <w:ilvl w:val="0"/>
          <w:numId w:val="9"/>
        </w:numPr>
        <w:spacing w:line="360" w:lineRule="auto"/>
        <w:jc w:val="both"/>
        <w:rPr>
          <w:rFonts w:cs="Arial"/>
        </w:rPr>
      </w:pPr>
      <w:r w:rsidRPr="001D75AC">
        <w:rPr>
          <w:rFonts w:cs="Arial"/>
          <w:color w:val="000000" w:themeColor="text1"/>
          <w:lang w:val="en-ZA" w:eastAsia="en-ZA"/>
        </w:rPr>
        <w:t xml:space="preserve">from any admission made by the party making the </w:t>
      </w:r>
      <w:r w:rsidR="000B6525">
        <w:rPr>
          <w:rFonts w:cs="Arial"/>
          <w:color w:val="000000" w:themeColor="text1"/>
          <w:lang w:val="en-ZA" w:eastAsia="en-ZA"/>
        </w:rPr>
        <w:t>discovery affidavit, and/or</w:t>
      </w:r>
      <w:r w:rsidRPr="001D75AC">
        <w:rPr>
          <w:rFonts w:cs="Arial"/>
          <w:color w:val="000000" w:themeColor="text1"/>
          <w:lang w:val="en-ZA" w:eastAsia="en-ZA"/>
        </w:rPr>
        <w:t xml:space="preserve"> </w:t>
      </w:r>
    </w:p>
    <w:p w:rsidR="001D75AC" w:rsidRPr="001D75AC" w:rsidRDefault="000B6525" w:rsidP="001D75AC">
      <w:pPr>
        <w:pStyle w:val="ListParagraph"/>
        <w:numPr>
          <w:ilvl w:val="0"/>
          <w:numId w:val="9"/>
        </w:numPr>
        <w:spacing w:line="360" w:lineRule="auto"/>
        <w:jc w:val="both"/>
        <w:rPr>
          <w:rFonts w:cs="Arial"/>
        </w:rPr>
      </w:pPr>
      <w:r>
        <w:rPr>
          <w:rFonts w:cs="Arial"/>
          <w:color w:val="000000" w:themeColor="text1"/>
          <w:lang w:val="en-ZA" w:eastAsia="en-ZA"/>
        </w:rPr>
        <w:t xml:space="preserve">from </w:t>
      </w:r>
      <w:r w:rsidR="001D75AC" w:rsidRPr="001D75AC">
        <w:rPr>
          <w:rFonts w:cs="Arial"/>
          <w:color w:val="000000" w:themeColor="text1"/>
          <w:lang w:val="en-ZA" w:eastAsia="en-ZA"/>
        </w:rPr>
        <w:t>the nature of the cas</w:t>
      </w:r>
      <w:r w:rsidR="001D75AC">
        <w:rPr>
          <w:rFonts w:cs="Arial"/>
          <w:color w:val="000000" w:themeColor="text1"/>
          <w:lang w:val="en-ZA" w:eastAsia="en-ZA"/>
        </w:rPr>
        <w:t>e or the documents in issue, and/or</w:t>
      </w:r>
    </w:p>
    <w:p w:rsidR="001D75AC" w:rsidRPr="001D75AC" w:rsidRDefault="001D75AC" w:rsidP="001D75AC">
      <w:pPr>
        <w:pStyle w:val="ListParagraph"/>
        <w:numPr>
          <w:ilvl w:val="0"/>
          <w:numId w:val="9"/>
        </w:numPr>
        <w:spacing w:line="360" w:lineRule="auto"/>
        <w:jc w:val="both"/>
        <w:rPr>
          <w:rFonts w:cs="Arial"/>
        </w:rPr>
      </w:pPr>
      <w:r>
        <w:rPr>
          <w:rFonts w:cs="Arial"/>
          <w:color w:val="000000" w:themeColor="text1"/>
          <w:lang w:val="en-ZA" w:eastAsia="en-ZA"/>
        </w:rPr>
        <w:t xml:space="preserve">by reason that a party </w:t>
      </w:r>
      <w:r w:rsidRPr="001D75AC">
        <w:rPr>
          <w:rFonts w:cs="Arial"/>
          <w:color w:val="000000" w:themeColor="text1"/>
          <w:lang w:val="en-ZA" w:eastAsia="en-ZA"/>
        </w:rPr>
        <w:t>has misconceived the pri</w:t>
      </w:r>
      <w:r>
        <w:rPr>
          <w:rFonts w:cs="Arial"/>
          <w:color w:val="000000" w:themeColor="text1"/>
          <w:lang w:val="en-ZA" w:eastAsia="en-ZA"/>
        </w:rPr>
        <w:t>nciples upon which the disclosure</w:t>
      </w:r>
      <w:r w:rsidRPr="001D75AC">
        <w:rPr>
          <w:rFonts w:cs="Arial"/>
          <w:color w:val="000000" w:themeColor="text1"/>
          <w:lang w:val="en-ZA" w:eastAsia="en-ZA"/>
        </w:rPr>
        <w:t xml:space="preserve"> should</w:t>
      </w:r>
      <w:r>
        <w:rPr>
          <w:rFonts w:cs="Arial"/>
          <w:color w:val="000000" w:themeColor="text1"/>
          <w:lang w:val="en-ZA" w:eastAsia="en-ZA"/>
        </w:rPr>
        <w:t xml:space="preserve"> have</w:t>
      </w:r>
      <w:r w:rsidRPr="001D75AC">
        <w:rPr>
          <w:rFonts w:cs="Arial"/>
          <w:color w:val="000000" w:themeColor="text1"/>
          <w:lang w:val="en-ZA" w:eastAsia="en-ZA"/>
        </w:rPr>
        <w:t xml:space="preserve"> be</w:t>
      </w:r>
      <w:r>
        <w:rPr>
          <w:rFonts w:cs="Arial"/>
          <w:color w:val="000000" w:themeColor="text1"/>
          <w:lang w:val="en-ZA" w:eastAsia="en-ZA"/>
        </w:rPr>
        <w:t>en</w:t>
      </w:r>
      <w:r w:rsidRPr="001D75AC">
        <w:rPr>
          <w:rFonts w:cs="Arial"/>
          <w:color w:val="000000" w:themeColor="text1"/>
          <w:lang w:val="en-ZA" w:eastAsia="en-ZA"/>
        </w:rPr>
        <w:t xml:space="preserve"> made;</w:t>
      </w:r>
    </w:p>
    <w:p w:rsidR="001D75AC" w:rsidRDefault="001D75AC" w:rsidP="001D75AC">
      <w:pPr>
        <w:pStyle w:val="ListParagraph"/>
        <w:spacing w:line="360" w:lineRule="auto"/>
        <w:ind w:left="0"/>
        <w:jc w:val="both"/>
        <w:rPr>
          <w:rFonts w:cs="Arial"/>
        </w:rPr>
      </w:pPr>
      <w:r>
        <w:rPr>
          <w:rFonts w:cs="Arial"/>
        </w:rPr>
        <w:t xml:space="preserve"> </w:t>
      </w:r>
    </w:p>
    <w:p w:rsidR="00A4399B" w:rsidRPr="0006670A" w:rsidRDefault="00690639" w:rsidP="009F7699">
      <w:pPr>
        <w:pStyle w:val="ListParagraph"/>
        <w:numPr>
          <w:ilvl w:val="0"/>
          <w:numId w:val="6"/>
        </w:numPr>
        <w:spacing w:line="360" w:lineRule="auto"/>
        <w:ind w:left="0" w:firstLine="0"/>
        <w:jc w:val="both"/>
        <w:rPr>
          <w:rFonts w:cs="Arial"/>
        </w:rPr>
      </w:pPr>
      <w:r>
        <w:rPr>
          <w:rFonts w:cs="Arial"/>
        </w:rPr>
        <w:t>that such additional documents</w:t>
      </w:r>
      <w:r w:rsidR="000B6525">
        <w:rPr>
          <w:rFonts w:cs="Arial"/>
        </w:rPr>
        <w:t>/material</w:t>
      </w:r>
      <w:r>
        <w:rPr>
          <w:rFonts w:cs="Arial"/>
        </w:rPr>
        <w:t xml:space="preserve"> must be relevant to the decision;</w:t>
      </w:r>
      <w:r w:rsidR="00C648C5">
        <w:rPr>
          <w:rFonts w:cs="Arial"/>
        </w:rPr>
        <w:t xml:space="preserve"> ie. those </w:t>
      </w:r>
      <w:r w:rsidR="0010152D">
        <w:rPr>
          <w:rFonts w:cs="Arial"/>
          <w:i/>
        </w:rPr>
        <w:t xml:space="preserve">‘documents should have any tendency, </w:t>
      </w:r>
      <w:r w:rsidR="00C648C5" w:rsidRPr="00954100">
        <w:rPr>
          <w:rFonts w:cs="Arial"/>
          <w:i/>
        </w:rPr>
        <w:t>in reason</w:t>
      </w:r>
      <w:r w:rsidR="0010152D">
        <w:rPr>
          <w:rFonts w:cs="Arial"/>
          <w:i/>
        </w:rPr>
        <w:t>,</w:t>
      </w:r>
      <w:r w:rsidR="00C648C5" w:rsidRPr="00954100">
        <w:rPr>
          <w:rFonts w:cs="Arial"/>
          <w:i/>
        </w:rPr>
        <w:t xml:space="preserve"> to establish the matter in question</w:t>
      </w:r>
      <w:r w:rsidR="00C648C5">
        <w:rPr>
          <w:rFonts w:cs="Arial"/>
          <w:i/>
        </w:rPr>
        <w:t xml:space="preserve"> …</w:t>
      </w:r>
      <w:r w:rsidR="00C648C5" w:rsidRPr="00954100">
        <w:rPr>
          <w:rFonts w:cs="Arial"/>
          <w:i/>
        </w:rPr>
        <w:t>’</w:t>
      </w:r>
      <w:r w:rsidR="00C648C5">
        <w:rPr>
          <w:rFonts w:cs="Arial"/>
          <w:i/>
        </w:rPr>
        <w:t>;</w:t>
      </w:r>
    </w:p>
    <w:p w:rsidR="00690639" w:rsidRPr="00690639" w:rsidRDefault="00690639" w:rsidP="009F7699">
      <w:pPr>
        <w:pStyle w:val="ListParagraph"/>
        <w:ind w:left="0"/>
        <w:rPr>
          <w:rFonts w:cs="Arial"/>
        </w:rPr>
      </w:pPr>
    </w:p>
    <w:p w:rsidR="0006670A" w:rsidRPr="0006670A" w:rsidRDefault="00690639" w:rsidP="009F7699">
      <w:pPr>
        <w:pStyle w:val="ListParagraph"/>
        <w:numPr>
          <w:ilvl w:val="0"/>
          <w:numId w:val="6"/>
        </w:numPr>
        <w:spacing w:line="360" w:lineRule="auto"/>
        <w:ind w:left="0" w:firstLine="0"/>
        <w:jc w:val="both"/>
        <w:rPr>
          <w:rFonts w:cs="Arial"/>
        </w:rPr>
      </w:pPr>
      <w:r>
        <w:rPr>
          <w:rFonts w:cs="Arial"/>
        </w:rPr>
        <w:t xml:space="preserve">that they must be in the </w:t>
      </w:r>
      <w:r w:rsidR="000E3C71">
        <w:rPr>
          <w:rFonts w:cs="Arial"/>
        </w:rPr>
        <w:t>‘</w:t>
      </w:r>
      <w:r>
        <w:rPr>
          <w:rFonts w:cs="Arial"/>
        </w:rPr>
        <w:t>possession</w:t>
      </w:r>
      <w:r w:rsidR="000E3C71">
        <w:rPr>
          <w:rFonts w:cs="Arial"/>
        </w:rPr>
        <w:t>’</w:t>
      </w:r>
      <w:r>
        <w:rPr>
          <w:rFonts w:cs="Arial"/>
        </w:rPr>
        <w:t xml:space="preserve"> of the decision-maker</w:t>
      </w:r>
      <w:r w:rsidR="00A4399B">
        <w:rPr>
          <w:rFonts w:cs="Arial"/>
        </w:rPr>
        <w:t>;</w:t>
      </w:r>
    </w:p>
    <w:p w:rsidR="00A4399B" w:rsidRPr="00A4399B" w:rsidRDefault="00A4399B" w:rsidP="009F7699">
      <w:pPr>
        <w:pStyle w:val="ListParagraph"/>
        <w:ind w:left="0"/>
        <w:rPr>
          <w:rFonts w:cs="Arial"/>
        </w:rPr>
      </w:pPr>
    </w:p>
    <w:p w:rsidR="00A4399B" w:rsidRDefault="00A4399B" w:rsidP="009F7699">
      <w:pPr>
        <w:pStyle w:val="ListParagraph"/>
        <w:numPr>
          <w:ilvl w:val="0"/>
          <w:numId w:val="6"/>
        </w:numPr>
        <w:spacing w:line="360" w:lineRule="auto"/>
        <w:ind w:left="0" w:firstLine="0"/>
        <w:jc w:val="both"/>
        <w:rPr>
          <w:rFonts w:cs="Arial"/>
        </w:rPr>
      </w:pPr>
      <w:r>
        <w:rPr>
          <w:rFonts w:cs="Arial"/>
        </w:rPr>
        <w:lastRenderedPageBreak/>
        <w:t>the documents should be reasonably identified</w:t>
      </w:r>
      <w:r w:rsidR="0006670A">
        <w:rPr>
          <w:rFonts w:cs="Arial"/>
        </w:rPr>
        <w:t>.</w:t>
      </w:r>
    </w:p>
    <w:p w:rsidR="0006670A" w:rsidRDefault="0006670A" w:rsidP="009F7699">
      <w:pPr>
        <w:spacing w:after="0" w:line="360" w:lineRule="auto"/>
        <w:jc w:val="both"/>
        <w:rPr>
          <w:rFonts w:ascii="Arial" w:hAnsi="Arial" w:cs="Arial"/>
          <w:sz w:val="24"/>
          <w:szCs w:val="24"/>
        </w:rPr>
      </w:pPr>
    </w:p>
    <w:p w:rsidR="0067461D" w:rsidRPr="0067461D" w:rsidRDefault="0067461D" w:rsidP="009F7699">
      <w:pPr>
        <w:spacing w:after="0" w:line="360" w:lineRule="auto"/>
        <w:jc w:val="both"/>
        <w:rPr>
          <w:rFonts w:ascii="Arial" w:hAnsi="Arial" w:cs="Arial"/>
          <w:sz w:val="24"/>
          <w:szCs w:val="24"/>
          <w:u w:val="single"/>
        </w:rPr>
      </w:pPr>
      <w:r w:rsidRPr="0067461D">
        <w:rPr>
          <w:rFonts w:ascii="Arial" w:hAnsi="Arial" w:cs="Arial"/>
          <w:sz w:val="24"/>
          <w:szCs w:val="24"/>
          <w:u w:val="single"/>
        </w:rPr>
        <w:t xml:space="preserve">The aspect of </w:t>
      </w:r>
      <w:r>
        <w:rPr>
          <w:rFonts w:ascii="Arial" w:hAnsi="Arial" w:cs="Arial"/>
          <w:sz w:val="24"/>
          <w:szCs w:val="24"/>
          <w:u w:val="single"/>
        </w:rPr>
        <w:t>‘</w:t>
      </w:r>
      <w:r w:rsidRPr="0067461D">
        <w:rPr>
          <w:rFonts w:ascii="Arial" w:hAnsi="Arial" w:cs="Arial"/>
          <w:sz w:val="24"/>
          <w:szCs w:val="24"/>
          <w:u w:val="single"/>
        </w:rPr>
        <w:t>possession</w:t>
      </w:r>
      <w:r>
        <w:rPr>
          <w:rFonts w:ascii="Arial" w:hAnsi="Arial" w:cs="Arial"/>
          <w:sz w:val="24"/>
          <w:szCs w:val="24"/>
          <w:u w:val="single"/>
        </w:rPr>
        <w:t>’</w:t>
      </w:r>
    </w:p>
    <w:p w:rsidR="0067461D" w:rsidRPr="0006670A" w:rsidRDefault="0067461D" w:rsidP="009F7699">
      <w:pPr>
        <w:spacing w:after="0" w:line="360" w:lineRule="auto"/>
        <w:jc w:val="both"/>
        <w:rPr>
          <w:rFonts w:ascii="Arial" w:hAnsi="Arial" w:cs="Arial"/>
          <w:sz w:val="24"/>
          <w:szCs w:val="24"/>
        </w:rPr>
      </w:pPr>
    </w:p>
    <w:p w:rsidR="0006670A" w:rsidRDefault="0006670A" w:rsidP="009F7699">
      <w:pPr>
        <w:spacing w:after="0" w:line="360" w:lineRule="auto"/>
        <w:jc w:val="both"/>
        <w:rPr>
          <w:rFonts w:ascii="Arial" w:hAnsi="Arial" w:cs="Arial"/>
          <w:sz w:val="24"/>
          <w:szCs w:val="24"/>
        </w:rPr>
      </w:pPr>
      <w:r w:rsidRPr="0006670A">
        <w:rPr>
          <w:rFonts w:ascii="Arial" w:hAnsi="Arial" w:cs="Arial"/>
          <w:sz w:val="24"/>
          <w:szCs w:val="24"/>
        </w:rPr>
        <w:t>[</w:t>
      </w:r>
      <w:r w:rsidR="009F7699">
        <w:rPr>
          <w:rFonts w:ascii="Arial" w:hAnsi="Arial" w:cs="Arial"/>
          <w:sz w:val="24"/>
          <w:szCs w:val="24"/>
        </w:rPr>
        <w:t>1</w:t>
      </w:r>
      <w:r w:rsidR="002724C5">
        <w:rPr>
          <w:rFonts w:ascii="Arial" w:hAnsi="Arial" w:cs="Arial"/>
          <w:sz w:val="24"/>
          <w:szCs w:val="24"/>
        </w:rPr>
        <w:t>4</w:t>
      </w:r>
      <w:r w:rsidRPr="0006670A">
        <w:rPr>
          <w:rFonts w:ascii="Arial" w:hAnsi="Arial" w:cs="Arial"/>
          <w:sz w:val="24"/>
          <w:szCs w:val="24"/>
        </w:rPr>
        <w:t>]</w:t>
      </w:r>
      <w:r w:rsidRPr="0006670A">
        <w:rPr>
          <w:rFonts w:ascii="Arial" w:hAnsi="Arial" w:cs="Arial"/>
          <w:sz w:val="24"/>
          <w:szCs w:val="24"/>
        </w:rPr>
        <w:tab/>
      </w:r>
      <w:r>
        <w:rPr>
          <w:rFonts w:ascii="Arial" w:hAnsi="Arial" w:cs="Arial"/>
          <w:sz w:val="24"/>
          <w:szCs w:val="24"/>
        </w:rPr>
        <w:t>Counsel for the respondents also argue</w:t>
      </w:r>
      <w:r w:rsidR="00571C32">
        <w:rPr>
          <w:rFonts w:ascii="Arial" w:hAnsi="Arial" w:cs="Arial"/>
          <w:sz w:val="24"/>
          <w:szCs w:val="24"/>
        </w:rPr>
        <w:t xml:space="preserve"> in this regard</w:t>
      </w:r>
      <w:r>
        <w:rPr>
          <w:rFonts w:ascii="Arial" w:hAnsi="Arial" w:cs="Arial"/>
          <w:sz w:val="24"/>
          <w:szCs w:val="24"/>
        </w:rPr>
        <w:t xml:space="preserve"> that the concept of ‘possession’</w:t>
      </w:r>
      <w:r w:rsidR="00044A00">
        <w:rPr>
          <w:rFonts w:ascii="Arial" w:hAnsi="Arial" w:cs="Arial"/>
          <w:sz w:val="24"/>
          <w:szCs w:val="24"/>
        </w:rPr>
        <w:t>,</w:t>
      </w:r>
      <w:r>
        <w:rPr>
          <w:rFonts w:ascii="Arial" w:hAnsi="Arial" w:cs="Arial"/>
          <w:sz w:val="24"/>
          <w:szCs w:val="24"/>
        </w:rPr>
        <w:t xml:space="preserve"> </w:t>
      </w:r>
      <w:r w:rsidR="00243CD7">
        <w:rPr>
          <w:rFonts w:ascii="Arial" w:hAnsi="Arial" w:cs="Arial"/>
          <w:sz w:val="24"/>
          <w:szCs w:val="24"/>
        </w:rPr>
        <w:t>as used in</w:t>
      </w:r>
      <w:r>
        <w:rPr>
          <w:rFonts w:ascii="Arial" w:hAnsi="Arial" w:cs="Arial"/>
          <w:sz w:val="24"/>
          <w:szCs w:val="24"/>
        </w:rPr>
        <w:t xml:space="preserve"> rule</w:t>
      </w:r>
      <w:r w:rsidR="00243CD7">
        <w:rPr>
          <w:rFonts w:ascii="Arial" w:hAnsi="Arial" w:cs="Arial"/>
          <w:sz w:val="24"/>
          <w:szCs w:val="24"/>
        </w:rPr>
        <w:t xml:space="preserve"> 76(6)</w:t>
      </w:r>
      <w:r w:rsidR="00044A00">
        <w:rPr>
          <w:rFonts w:ascii="Arial" w:hAnsi="Arial" w:cs="Arial"/>
          <w:sz w:val="24"/>
          <w:szCs w:val="24"/>
        </w:rPr>
        <w:t>,</w:t>
      </w:r>
      <w:r>
        <w:rPr>
          <w:rFonts w:ascii="Arial" w:hAnsi="Arial" w:cs="Arial"/>
          <w:sz w:val="24"/>
          <w:szCs w:val="24"/>
        </w:rPr>
        <w:t xml:space="preserve"> should be restrictively interpreted to signify that only those documents in the </w:t>
      </w:r>
      <w:r w:rsidR="00044A00">
        <w:rPr>
          <w:rFonts w:ascii="Arial" w:hAnsi="Arial" w:cs="Arial"/>
          <w:sz w:val="24"/>
          <w:szCs w:val="24"/>
        </w:rPr>
        <w:t>‘</w:t>
      </w:r>
      <w:r>
        <w:rPr>
          <w:rFonts w:ascii="Arial" w:hAnsi="Arial" w:cs="Arial"/>
          <w:sz w:val="24"/>
          <w:szCs w:val="24"/>
        </w:rPr>
        <w:t>actual possession</w:t>
      </w:r>
      <w:r w:rsidR="00044A00">
        <w:rPr>
          <w:rFonts w:ascii="Arial" w:hAnsi="Arial" w:cs="Arial"/>
          <w:sz w:val="24"/>
          <w:szCs w:val="24"/>
        </w:rPr>
        <w:t>’</w:t>
      </w:r>
      <w:r>
        <w:rPr>
          <w:rFonts w:ascii="Arial" w:hAnsi="Arial" w:cs="Arial"/>
          <w:sz w:val="24"/>
          <w:szCs w:val="24"/>
        </w:rPr>
        <w:t xml:space="preserve"> of a respondent</w:t>
      </w:r>
      <w:r w:rsidR="00044A00">
        <w:rPr>
          <w:rFonts w:ascii="Arial" w:hAnsi="Arial" w:cs="Arial"/>
          <w:sz w:val="24"/>
          <w:szCs w:val="24"/>
        </w:rPr>
        <w:t xml:space="preserve"> -</w:t>
      </w:r>
      <w:r w:rsidR="002136AF">
        <w:rPr>
          <w:rFonts w:ascii="Arial" w:hAnsi="Arial" w:cs="Arial"/>
          <w:sz w:val="24"/>
          <w:szCs w:val="24"/>
        </w:rPr>
        <w:t xml:space="preserve"> ie. those under</w:t>
      </w:r>
      <w:r>
        <w:rPr>
          <w:rFonts w:ascii="Arial" w:hAnsi="Arial" w:cs="Arial"/>
          <w:sz w:val="24"/>
          <w:szCs w:val="24"/>
        </w:rPr>
        <w:t xml:space="preserve"> the factual control (</w:t>
      </w:r>
      <w:r w:rsidRPr="00243CD7">
        <w:rPr>
          <w:rFonts w:ascii="Arial" w:hAnsi="Arial" w:cs="Arial"/>
          <w:i/>
          <w:sz w:val="24"/>
          <w:szCs w:val="24"/>
        </w:rPr>
        <w:t>detentio</w:t>
      </w:r>
      <w:r>
        <w:rPr>
          <w:rFonts w:ascii="Arial" w:hAnsi="Arial" w:cs="Arial"/>
          <w:sz w:val="24"/>
          <w:szCs w:val="24"/>
        </w:rPr>
        <w:t>)</w:t>
      </w:r>
      <w:r w:rsidR="00243CD7">
        <w:rPr>
          <w:rFonts w:ascii="Arial" w:hAnsi="Arial" w:cs="Arial"/>
          <w:sz w:val="24"/>
          <w:szCs w:val="24"/>
        </w:rPr>
        <w:t xml:space="preserve"> of the holder</w:t>
      </w:r>
      <w:r>
        <w:rPr>
          <w:rFonts w:ascii="Arial" w:hAnsi="Arial" w:cs="Arial"/>
          <w:sz w:val="24"/>
          <w:szCs w:val="24"/>
        </w:rPr>
        <w:t xml:space="preserve"> and not those in the possession of a third </w:t>
      </w:r>
      <w:r w:rsidR="00243CD7">
        <w:rPr>
          <w:rFonts w:ascii="Arial" w:hAnsi="Arial" w:cs="Arial"/>
          <w:sz w:val="24"/>
          <w:szCs w:val="24"/>
        </w:rPr>
        <w:t>party</w:t>
      </w:r>
      <w:r w:rsidR="00044A00">
        <w:rPr>
          <w:rFonts w:ascii="Arial" w:hAnsi="Arial" w:cs="Arial"/>
          <w:sz w:val="24"/>
          <w:szCs w:val="24"/>
        </w:rPr>
        <w:t xml:space="preserve"> -</w:t>
      </w:r>
      <w:r w:rsidR="00243CD7">
        <w:rPr>
          <w:rFonts w:ascii="Arial" w:hAnsi="Arial" w:cs="Arial"/>
          <w:sz w:val="24"/>
          <w:szCs w:val="24"/>
        </w:rPr>
        <w:t xml:space="preserve"> have to be produced as otherwise the rule-maker would have employed the wider concept of “possession or control”</w:t>
      </w:r>
      <w:r w:rsidR="00571C32">
        <w:rPr>
          <w:rFonts w:ascii="Arial" w:hAnsi="Arial" w:cs="Arial"/>
          <w:sz w:val="24"/>
          <w:szCs w:val="24"/>
        </w:rPr>
        <w:t xml:space="preserve"> in the framing of the rule</w:t>
      </w:r>
      <w:r w:rsidR="00243CD7">
        <w:rPr>
          <w:rFonts w:ascii="Arial" w:hAnsi="Arial" w:cs="Arial"/>
          <w:sz w:val="24"/>
          <w:szCs w:val="24"/>
        </w:rPr>
        <w:t xml:space="preserve">. They point out in addition that the rule also gives no </w:t>
      </w:r>
      <w:r w:rsidR="002136AF">
        <w:rPr>
          <w:rFonts w:ascii="Arial" w:hAnsi="Arial" w:cs="Arial"/>
          <w:sz w:val="24"/>
          <w:szCs w:val="24"/>
        </w:rPr>
        <w:t xml:space="preserve">explicit </w:t>
      </w:r>
      <w:r w:rsidR="00243CD7">
        <w:rPr>
          <w:rFonts w:ascii="Arial" w:hAnsi="Arial" w:cs="Arial"/>
          <w:sz w:val="24"/>
          <w:szCs w:val="24"/>
        </w:rPr>
        <w:t>power to a respondent to extract any such documents from others.</w:t>
      </w:r>
    </w:p>
    <w:p w:rsidR="002136AF" w:rsidRDefault="002136AF" w:rsidP="009F7699">
      <w:pPr>
        <w:spacing w:after="0" w:line="360" w:lineRule="auto"/>
        <w:jc w:val="both"/>
        <w:rPr>
          <w:rFonts w:ascii="Arial" w:hAnsi="Arial" w:cs="Arial"/>
          <w:sz w:val="24"/>
          <w:szCs w:val="24"/>
        </w:rPr>
      </w:pPr>
    </w:p>
    <w:p w:rsidR="00512B8D" w:rsidRDefault="002136AF" w:rsidP="00044A00">
      <w:pPr>
        <w:spacing w:after="0" w:line="360" w:lineRule="auto"/>
        <w:jc w:val="both"/>
        <w:rPr>
          <w:rFonts w:ascii="Arial" w:hAnsi="Arial" w:cs="Arial"/>
          <w:sz w:val="24"/>
          <w:szCs w:val="24"/>
        </w:rPr>
      </w:pPr>
      <w:r>
        <w:rPr>
          <w:rFonts w:ascii="Arial" w:hAnsi="Arial" w:cs="Arial"/>
          <w:sz w:val="24"/>
          <w:szCs w:val="24"/>
        </w:rPr>
        <w:t>[</w:t>
      </w:r>
      <w:r w:rsidR="009F7699">
        <w:rPr>
          <w:rFonts w:ascii="Arial" w:hAnsi="Arial" w:cs="Arial"/>
          <w:sz w:val="24"/>
          <w:szCs w:val="24"/>
        </w:rPr>
        <w:t>1</w:t>
      </w:r>
      <w:r w:rsidR="002724C5">
        <w:rPr>
          <w:rFonts w:ascii="Arial" w:hAnsi="Arial" w:cs="Arial"/>
          <w:sz w:val="24"/>
          <w:szCs w:val="24"/>
        </w:rPr>
        <w:t>5</w:t>
      </w:r>
      <w:r>
        <w:rPr>
          <w:rFonts w:ascii="Arial" w:hAnsi="Arial" w:cs="Arial"/>
          <w:sz w:val="24"/>
          <w:szCs w:val="24"/>
        </w:rPr>
        <w:t>]</w:t>
      </w:r>
      <w:r>
        <w:rPr>
          <w:rFonts w:ascii="Arial" w:hAnsi="Arial" w:cs="Arial"/>
          <w:sz w:val="24"/>
          <w:szCs w:val="24"/>
        </w:rPr>
        <w:tab/>
      </w:r>
      <w:r w:rsidR="002765E1">
        <w:rPr>
          <w:rFonts w:ascii="Arial" w:hAnsi="Arial" w:cs="Arial"/>
          <w:sz w:val="24"/>
          <w:szCs w:val="24"/>
        </w:rPr>
        <w:t xml:space="preserve">Although these are highly persuasive arguments </w:t>
      </w:r>
      <w:r>
        <w:rPr>
          <w:rFonts w:ascii="Arial" w:hAnsi="Arial" w:cs="Arial"/>
          <w:sz w:val="24"/>
          <w:szCs w:val="24"/>
        </w:rPr>
        <w:t>I have to</w:t>
      </w:r>
      <w:r w:rsidR="00CE290C">
        <w:rPr>
          <w:rFonts w:ascii="Arial" w:hAnsi="Arial" w:cs="Arial"/>
          <w:sz w:val="24"/>
          <w:szCs w:val="24"/>
        </w:rPr>
        <w:t xml:space="preserve"> disagree</w:t>
      </w:r>
      <w:r w:rsidR="008B1662">
        <w:rPr>
          <w:rFonts w:ascii="Arial" w:hAnsi="Arial" w:cs="Arial"/>
          <w:sz w:val="24"/>
          <w:szCs w:val="24"/>
        </w:rPr>
        <w:t xml:space="preserve"> to an extent</w:t>
      </w:r>
      <w:r w:rsidR="00CE290C">
        <w:rPr>
          <w:rFonts w:ascii="Arial" w:hAnsi="Arial" w:cs="Arial"/>
          <w:sz w:val="24"/>
          <w:szCs w:val="24"/>
        </w:rPr>
        <w:t>. T</w:t>
      </w:r>
      <w:r>
        <w:rPr>
          <w:rFonts w:ascii="Arial" w:hAnsi="Arial" w:cs="Arial"/>
          <w:sz w:val="24"/>
          <w:szCs w:val="24"/>
        </w:rPr>
        <w:t>o limit the concept</w:t>
      </w:r>
      <w:r w:rsidR="00571C32">
        <w:rPr>
          <w:rFonts w:ascii="Arial" w:hAnsi="Arial" w:cs="Arial"/>
          <w:sz w:val="24"/>
          <w:szCs w:val="24"/>
        </w:rPr>
        <w:t xml:space="preserve"> of ‘po</w:t>
      </w:r>
      <w:r w:rsidR="00CE290C">
        <w:rPr>
          <w:rFonts w:ascii="Arial" w:hAnsi="Arial" w:cs="Arial"/>
          <w:sz w:val="24"/>
          <w:szCs w:val="24"/>
        </w:rPr>
        <w:t>s</w:t>
      </w:r>
      <w:r w:rsidR="00571C32">
        <w:rPr>
          <w:rFonts w:ascii="Arial" w:hAnsi="Arial" w:cs="Arial"/>
          <w:sz w:val="24"/>
          <w:szCs w:val="24"/>
        </w:rPr>
        <w:t>session’</w:t>
      </w:r>
      <w:r w:rsidR="00CE290C">
        <w:rPr>
          <w:rFonts w:ascii="Arial" w:hAnsi="Arial" w:cs="Arial"/>
          <w:sz w:val="24"/>
          <w:szCs w:val="24"/>
        </w:rPr>
        <w:t xml:space="preserve"> to its literal meaning</w:t>
      </w:r>
      <w:r w:rsidR="00044A00">
        <w:rPr>
          <w:rFonts w:ascii="Arial" w:hAnsi="Arial" w:cs="Arial"/>
          <w:sz w:val="24"/>
          <w:szCs w:val="24"/>
        </w:rPr>
        <w:t xml:space="preserve"> </w:t>
      </w:r>
      <w:r w:rsidR="000E0BDF">
        <w:rPr>
          <w:rFonts w:ascii="Arial" w:hAnsi="Arial" w:cs="Arial"/>
          <w:sz w:val="24"/>
          <w:szCs w:val="24"/>
        </w:rPr>
        <w:t xml:space="preserve">and </w:t>
      </w:r>
      <w:r w:rsidR="00044A00">
        <w:rPr>
          <w:rFonts w:ascii="Arial" w:hAnsi="Arial" w:cs="Arial"/>
          <w:sz w:val="24"/>
          <w:szCs w:val="24"/>
        </w:rPr>
        <w:t>to</w:t>
      </w:r>
      <w:r w:rsidR="00F84F13">
        <w:rPr>
          <w:rFonts w:ascii="Arial" w:hAnsi="Arial" w:cs="Arial"/>
          <w:sz w:val="24"/>
          <w:szCs w:val="24"/>
        </w:rPr>
        <w:t xml:space="preserve"> ‘actual possession’</w:t>
      </w:r>
      <w:r w:rsidR="00044A00">
        <w:rPr>
          <w:rFonts w:ascii="Arial" w:hAnsi="Arial" w:cs="Arial"/>
          <w:sz w:val="24"/>
          <w:szCs w:val="24"/>
        </w:rPr>
        <w:t xml:space="preserve"> only</w:t>
      </w:r>
      <w:r w:rsidR="000E3C71">
        <w:rPr>
          <w:rFonts w:ascii="Arial" w:hAnsi="Arial" w:cs="Arial"/>
          <w:sz w:val="24"/>
          <w:szCs w:val="24"/>
        </w:rPr>
        <w:t xml:space="preserve"> and not to a purposive one</w:t>
      </w:r>
      <w:r w:rsidR="00CE290C">
        <w:rPr>
          <w:rFonts w:ascii="Arial" w:hAnsi="Arial" w:cs="Arial"/>
          <w:sz w:val="24"/>
          <w:szCs w:val="24"/>
        </w:rPr>
        <w:t xml:space="preserve"> would surely</w:t>
      </w:r>
      <w:r>
        <w:rPr>
          <w:rFonts w:ascii="Arial" w:hAnsi="Arial" w:cs="Arial"/>
          <w:sz w:val="24"/>
          <w:szCs w:val="24"/>
        </w:rPr>
        <w:t xml:space="preserve"> defeat the object and purpose of the rule</w:t>
      </w:r>
      <w:r w:rsidR="000E3C71">
        <w:rPr>
          <w:rFonts w:ascii="Arial" w:hAnsi="Arial" w:cs="Arial"/>
          <w:sz w:val="24"/>
          <w:szCs w:val="24"/>
        </w:rPr>
        <w:t xml:space="preserve"> whose central</w:t>
      </w:r>
      <w:r w:rsidR="00CE290C">
        <w:rPr>
          <w:rFonts w:ascii="Arial" w:hAnsi="Arial" w:cs="Arial"/>
          <w:sz w:val="24"/>
          <w:szCs w:val="24"/>
        </w:rPr>
        <w:t xml:space="preserve"> aim is to procure the completeness of a record to enable the ultimate achievement</w:t>
      </w:r>
      <w:r>
        <w:rPr>
          <w:rFonts w:ascii="Arial" w:hAnsi="Arial" w:cs="Arial"/>
          <w:sz w:val="24"/>
          <w:szCs w:val="24"/>
        </w:rPr>
        <w:t xml:space="preserve"> </w:t>
      </w:r>
      <w:r w:rsidR="00CE290C">
        <w:rPr>
          <w:rFonts w:ascii="Arial" w:hAnsi="Arial" w:cs="Arial"/>
          <w:sz w:val="24"/>
          <w:szCs w:val="24"/>
        </w:rPr>
        <w:t xml:space="preserve">of the discovery of the truth so that justice can be done between the parties. </w:t>
      </w:r>
      <w:r>
        <w:rPr>
          <w:rFonts w:ascii="Arial" w:hAnsi="Arial" w:cs="Arial"/>
          <w:sz w:val="24"/>
          <w:szCs w:val="24"/>
        </w:rPr>
        <w:t>The decision-make</w:t>
      </w:r>
      <w:r w:rsidR="00571C32">
        <w:rPr>
          <w:rFonts w:ascii="Arial" w:hAnsi="Arial" w:cs="Arial"/>
          <w:sz w:val="24"/>
          <w:szCs w:val="24"/>
        </w:rPr>
        <w:t>r</w:t>
      </w:r>
      <w:r>
        <w:rPr>
          <w:rFonts w:ascii="Arial" w:hAnsi="Arial" w:cs="Arial"/>
          <w:sz w:val="24"/>
          <w:szCs w:val="24"/>
        </w:rPr>
        <w:t xml:space="preserve"> in this instance is</w:t>
      </w:r>
      <w:r w:rsidR="00044A00">
        <w:rPr>
          <w:rFonts w:ascii="Arial" w:hAnsi="Arial" w:cs="Arial"/>
          <w:sz w:val="24"/>
          <w:szCs w:val="24"/>
        </w:rPr>
        <w:t xml:space="preserve"> a M</w:t>
      </w:r>
      <w:r>
        <w:rPr>
          <w:rFonts w:ascii="Arial" w:hAnsi="Arial" w:cs="Arial"/>
          <w:sz w:val="24"/>
          <w:szCs w:val="24"/>
        </w:rPr>
        <w:t>inister. Surely he will not keep every scrap</w:t>
      </w:r>
      <w:r w:rsidR="00571C32">
        <w:rPr>
          <w:rFonts w:ascii="Arial" w:hAnsi="Arial" w:cs="Arial"/>
          <w:sz w:val="24"/>
          <w:szCs w:val="24"/>
        </w:rPr>
        <w:t xml:space="preserve"> of paper</w:t>
      </w:r>
      <w:r w:rsidR="00A573B8">
        <w:rPr>
          <w:rFonts w:ascii="Arial" w:hAnsi="Arial" w:cs="Arial"/>
          <w:sz w:val="24"/>
          <w:szCs w:val="24"/>
        </w:rPr>
        <w:t xml:space="preserve"> or file</w:t>
      </w:r>
      <w:r w:rsidR="00CE290C">
        <w:rPr>
          <w:rFonts w:ascii="Arial" w:hAnsi="Arial" w:cs="Arial"/>
          <w:sz w:val="24"/>
          <w:szCs w:val="24"/>
        </w:rPr>
        <w:t xml:space="preserve"> in his office and he can thus, by virtue of his authority</w:t>
      </w:r>
      <w:r w:rsidR="000E0BDF">
        <w:rPr>
          <w:rFonts w:ascii="Arial" w:hAnsi="Arial" w:cs="Arial"/>
          <w:sz w:val="24"/>
          <w:szCs w:val="24"/>
        </w:rPr>
        <w:t>,</w:t>
      </w:r>
      <w:r w:rsidR="00A573B8">
        <w:rPr>
          <w:rFonts w:ascii="Arial" w:hAnsi="Arial" w:cs="Arial"/>
          <w:sz w:val="24"/>
          <w:szCs w:val="24"/>
        </w:rPr>
        <w:t xml:space="preserve"> through which he exercises control</w:t>
      </w:r>
      <w:r w:rsidR="00044A00">
        <w:rPr>
          <w:rFonts w:ascii="Arial" w:hAnsi="Arial" w:cs="Arial"/>
          <w:sz w:val="24"/>
          <w:szCs w:val="24"/>
        </w:rPr>
        <w:t xml:space="preserve"> within his Ministry</w:t>
      </w:r>
      <w:r w:rsidR="00CE290C">
        <w:rPr>
          <w:rFonts w:ascii="Arial" w:hAnsi="Arial" w:cs="Arial"/>
          <w:sz w:val="24"/>
          <w:szCs w:val="24"/>
        </w:rPr>
        <w:t xml:space="preserve">, easily </w:t>
      </w:r>
      <w:r w:rsidR="000E0BDF">
        <w:rPr>
          <w:rFonts w:ascii="Arial" w:hAnsi="Arial" w:cs="Arial"/>
          <w:sz w:val="24"/>
          <w:szCs w:val="24"/>
        </w:rPr>
        <w:t>call upon the officials in his M</w:t>
      </w:r>
      <w:r w:rsidR="00CE290C">
        <w:rPr>
          <w:rFonts w:ascii="Arial" w:hAnsi="Arial" w:cs="Arial"/>
          <w:sz w:val="24"/>
          <w:szCs w:val="24"/>
        </w:rPr>
        <w:t>inistry to make available any missing part of the record, should such official have any such document in his o</w:t>
      </w:r>
      <w:r w:rsidR="000E3C71">
        <w:rPr>
          <w:rFonts w:ascii="Arial" w:hAnsi="Arial" w:cs="Arial"/>
          <w:sz w:val="24"/>
          <w:szCs w:val="24"/>
        </w:rPr>
        <w:t>r her custody</w:t>
      </w:r>
      <w:r w:rsidR="00FF67DB">
        <w:rPr>
          <w:rFonts w:ascii="Arial" w:hAnsi="Arial" w:cs="Arial"/>
          <w:sz w:val="24"/>
          <w:szCs w:val="24"/>
        </w:rPr>
        <w:t xml:space="preserve"> or control</w:t>
      </w:r>
      <w:r w:rsidR="00CE290C">
        <w:rPr>
          <w:rFonts w:ascii="Arial" w:hAnsi="Arial" w:cs="Arial"/>
          <w:sz w:val="24"/>
          <w:szCs w:val="24"/>
        </w:rPr>
        <w:t>. To hold otherwise would result in the absurd situation that a decision-maker would be able to hide behind the simple fact that</w:t>
      </w:r>
      <w:r w:rsidR="000E3C71">
        <w:rPr>
          <w:rFonts w:ascii="Arial" w:hAnsi="Arial" w:cs="Arial"/>
          <w:sz w:val="24"/>
          <w:szCs w:val="24"/>
        </w:rPr>
        <w:t xml:space="preserve"> any</w:t>
      </w:r>
      <w:r w:rsidR="00CE290C">
        <w:rPr>
          <w:rFonts w:ascii="Arial" w:hAnsi="Arial" w:cs="Arial"/>
          <w:sz w:val="24"/>
          <w:szCs w:val="24"/>
        </w:rPr>
        <w:t xml:space="preserve"> such relevant document is no longer in his or her </w:t>
      </w:r>
      <w:r w:rsidR="00F84F13">
        <w:rPr>
          <w:rFonts w:ascii="Arial" w:hAnsi="Arial" w:cs="Arial"/>
          <w:sz w:val="24"/>
          <w:szCs w:val="24"/>
        </w:rPr>
        <w:t xml:space="preserve">actual </w:t>
      </w:r>
      <w:r w:rsidR="00CE290C">
        <w:rPr>
          <w:rFonts w:ascii="Arial" w:hAnsi="Arial" w:cs="Arial"/>
          <w:sz w:val="24"/>
          <w:szCs w:val="24"/>
        </w:rPr>
        <w:t>physical possession.</w:t>
      </w:r>
      <w:r w:rsidR="00512B8D">
        <w:rPr>
          <w:rFonts w:ascii="Arial" w:hAnsi="Arial" w:cs="Arial"/>
          <w:sz w:val="24"/>
          <w:szCs w:val="24"/>
        </w:rPr>
        <w:t xml:space="preserve"> I therefore hold that</w:t>
      </w:r>
      <w:r w:rsidR="002765E1">
        <w:rPr>
          <w:rFonts w:ascii="Arial" w:hAnsi="Arial" w:cs="Arial"/>
          <w:sz w:val="24"/>
          <w:szCs w:val="24"/>
        </w:rPr>
        <w:t xml:space="preserve"> the concept of ‘possession’</w:t>
      </w:r>
      <w:r w:rsidR="00F84F13">
        <w:rPr>
          <w:rFonts w:ascii="Arial" w:hAnsi="Arial" w:cs="Arial"/>
          <w:sz w:val="24"/>
          <w:szCs w:val="24"/>
        </w:rPr>
        <w:t>,</w:t>
      </w:r>
      <w:r w:rsidR="00512B8D">
        <w:rPr>
          <w:rFonts w:ascii="Arial" w:hAnsi="Arial" w:cs="Arial"/>
          <w:sz w:val="24"/>
          <w:szCs w:val="24"/>
        </w:rPr>
        <w:t xml:space="preserve"> as used in rule 76</w:t>
      </w:r>
      <w:r w:rsidR="002765E1">
        <w:rPr>
          <w:rFonts w:ascii="Arial" w:hAnsi="Arial" w:cs="Arial"/>
          <w:sz w:val="24"/>
          <w:szCs w:val="24"/>
        </w:rPr>
        <w:t>(6)</w:t>
      </w:r>
      <w:r w:rsidR="00F84F13">
        <w:rPr>
          <w:rFonts w:ascii="Arial" w:hAnsi="Arial" w:cs="Arial"/>
          <w:sz w:val="24"/>
          <w:szCs w:val="24"/>
        </w:rPr>
        <w:t>,</w:t>
      </w:r>
      <w:r w:rsidR="00512B8D">
        <w:rPr>
          <w:rFonts w:ascii="Arial" w:hAnsi="Arial" w:cs="Arial"/>
          <w:sz w:val="24"/>
          <w:szCs w:val="24"/>
        </w:rPr>
        <w:t xml:space="preserve"> also includes all</w:t>
      </w:r>
      <w:r w:rsidR="002765E1">
        <w:rPr>
          <w:rFonts w:ascii="Arial" w:hAnsi="Arial" w:cs="Arial"/>
          <w:sz w:val="24"/>
          <w:szCs w:val="24"/>
        </w:rPr>
        <w:t xml:space="preserve"> facet</w:t>
      </w:r>
      <w:r w:rsidR="00512B8D">
        <w:rPr>
          <w:rFonts w:ascii="Arial" w:hAnsi="Arial" w:cs="Arial"/>
          <w:sz w:val="24"/>
          <w:szCs w:val="24"/>
        </w:rPr>
        <w:t>s</w:t>
      </w:r>
      <w:r w:rsidR="002765E1">
        <w:rPr>
          <w:rFonts w:ascii="Arial" w:hAnsi="Arial" w:cs="Arial"/>
          <w:sz w:val="24"/>
          <w:szCs w:val="24"/>
        </w:rPr>
        <w:t xml:space="preserve"> of ‘control’</w:t>
      </w:r>
      <w:r w:rsidR="00F84F13">
        <w:rPr>
          <w:rFonts w:ascii="Arial" w:hAnsi="Arial" w:cs="Arial"/>
          <w:sz w:val="24"/>
          <w:szCs w:val="24"/>
        </w:rPr>
        <w:t xml:space="preserve"> </w:t>
      </w:r>
      <w:r w:rsidR="00BA2684">
        <w:rPr>
          <w:rFonts w:ascii="Arial" w:hAnsi="Arial" w:cs="Arial"/>
          <w:sz w:val="24"/>
          <w:szCs w:val="24"/>
        </w:rPr>
        <w:t>available to</w:t>
      </w:r>
      <w:r w:rsidR="00F84F13">
        <w:rPr>
          <w:rFonts w:ascii="Arial" w:hAnsi="Arial" w:cs="Arial"/>
          <w:sz w:val="24"/>
          <w:szCs w:val="24"/>
        </w:rPr>
        <w:t xml:space="preserve"> the decision</w:t>
      </w:r>
      <w:r w:rsidR="008B1662">
        <w:rPr>
          <w:rFonts w:ascii="Arial" w:hAnsi="Arial" w:cs="Arial"/>
          <w:sz w:val="24"/>
          <w:szCs w:val="24"/>
        </w:rPr>
        <w:t>-</w:t>
      </w:r>
      <w:r w:rsidR="00F84F13">
        <w:rPr>
          <w:rFonts w:ascii="Arial" w:hAnsi="Arial" w:cs="Arial"/>
          <w:sz w:val="24"/>
          <w:szCs w:val="24"/>
        </w:rPr>
        <w:t xml:space="preserve"> maker</w:t>
      </w:r>
      <w:r w:rsidR="006F11C8">
        <w:rPr>
          <w:rFonts w:ascii="Arial" w:hAnsi="Arial" w:cs="Arial"/>
          <w:sz w:val="24"/>
          <w:szCs w:val="24"/>
        </w:rPr>
        <w:t xml:space="preserve"> by virtue of the powers he or she has</w:t>
      </w:r>
      <w:r w:rsidR="000E3C71">
        <w:rPr>
          <w:rFonts w:ascii="Arial" w:hAnsi="Arial" w:cs="Arial"/>
          <w:sz w:val="24"/>
          <w:szCs w:val="24"/>
        </w:rPr>
        <w:t xml:space="preserve"> as</w:t>
      </w:r>
      <w:r w:rsidR="008B1662">
        <w:rPr>
          <w:rFonts w:ascii="Arial" w:hAnsi="Arial" w:cs="Arial"/>
          <w:sz w:val="24"/>
          <w:szCs w:val="24"/>
        </w:rPr>
        <w:t>,</w:t>
      </w:r>
      <w:r w:rsidR="000E3C71">
        <w:rPr>
          <w:rFonts w:ascii="Arial" w:hAnsi="Arial" w:cs="Arial"/>
          <w:sz w:val="24"/>
          <w:szCs w:val="24"/>
        </w:rPr>
        <w:t xml:space="preserve"> otherwise</w:t>
      </w:r>
      <w:r w:rsidR="008B1662">
        <w:rPr>
          <w:rFonts w:ascii="Arial" w:hAnsi="Arial" w:cs="Arial"/>
          <w:sz w:val="24"/>
          <w:szCs w:val="24"/>
        </w:rPr>
        <w:t>,</w:t>
      </w:r>
      <w:r w:rsidR="000E3C71">
        <w:rPr>
          <w:rFonts w:ascii="Arial" w:hAnsi="Arial" w:cs="Arial"/>
          <w:sz w:val="24"/>
          <w:szCs w:val="24"/>
        </w:rPr>
        <w:t xml:space="preserve"> the main object of t</w:t>
      </w:r>
      <w:r w:rsidR="0010152D">
        <w:rPr>
          <w:rFonts w:ascii="Arial" w:hAnsi="Arial" w:cs="Arial"/>
          <w:sz w:val="24"/>
          <w:szCs w:val="24"/>
        </w:rPr>
        <w:t>he rule might not be achieved and</w:t>
      </w:r>
      <w:r w:rsidR="00571C32">
        <w:rPr>
          <w:rFonts w:ascii="Arial" w:hAnsi="Arial" w:cs="Arial"/>
          <w:sz w:val="24"/>
          <w:szCs w:val="24"/>
        </w:rPr>
        <w:t xml:space="preserve"> </w:t>
      </w:r>
      <w:r w:rsidR="00C2290D">
        <w:rPr>
          <w:rFonts w:ascii="Arial" w:hAnsi="Arial" w:cs="Arial"/>
          <w:sz w:val="24"/>
          <w:szCs w:val="24"/>
        </w:rPr>
        <w:t>the effectiveness of the rule</w:t>
      </w:r>
      <w:r w:rsidR="0010152D">
        <w:rPr>
          <w:rFonts w:ascii="Arial" w:hAnsi="Arial" w:cs="Arial"/>
          <w:sz w:val="24"/>
          <w:szCs w:val="24"/>
        </w:rPr>
        <w:t xml:space="preserve"> could</w:t>
      </w:r>
      <w:r w:rsidR="00C2290D">
        <w:rPr>
          <w:rFonts w:ascii="Arial" w:hAnsi="Arial" w:cs="Arial"/>
          <w:sz w:val="24"/>
          <w:szCs w:val="24"/>
        </w:rPr>
        <w:t xml:space="preserve"> be</w:t>
      </w:r>
      <w:r w:rsidR="000E3C71">
        <w:rPr>
          <w:rFonts w:ascii="Arial" w:hAnsi="Arial" w:cs="Arial"/>
          <w:sz w:val="24"/>
          <w:szCs w:val="24"/>
        </w:rPr>
        <w:t xml:space="preserve"> circumvented by a technicality</w:t>
      </w:r>
      <w:r w:rsidR="002765E1">
        <w:rPr>
          <w:rFonts w:ascii="Arial" w:hAnsi="Arial" w:cs="Arial"/>
          <w:sz w:val="24"/>
          <w:szCs w:val="24"/>
        </w:rPr>
        <w:t>.</w:t>
      </w:r>
      <w:r w:rsidR="00044A00">
        <w:rPr>
          <w:rFonts w:ascii="Arial" w:hAnsi="Arial" w:cs="Arial"/>
          <w:sz w:val="24"/>
          <w:szCs w:val="24"/>
        </w:rPr>
        <w:t xml:space="preserve"> </w:t>
      </w:r>
    </w:p>
    <w:p w:rsidR="00512B8D" w:rsidRDefault="00512B8D" w:rsidP="00044A00">
      <w:pPr>
        <w:spacing w:after="0" w:line="360" w:lineRule="auto"/>
        <w:jc w:val="both"/>
        <w:rPr>
          <w:rFonts w:ascii="Arial" w:hAnsi="Arial" w:cs="Arial"/>
          <w:sz w:val="24"/>
          <w:szCs w:val="24"/>
        </w:rPr>
      </w:pPr>
    </w:p>
    <w:p w:rsidR="00044A00" w:rsidRDefault="00512B8D" w:rsidP="00044A00">
      <w:pPr>
        <w:spacing w:after="0" w:line="360" w:lineRule="auto"/>
        <w:jc w:val="both"/>
        <w:rPr>
          <w:rFonts w:ascii="Arial" w:hAnsi="Arial" w:cs="Arial"/>
          <w:sz w:val="24"/>
          <w:szCs w:val="24"/>
        </w:rPr>
      </w:pPr>
      <w:r>
        <w:rPr>
          <w:rFonts w:ascii="Arial" w:hAnsi="Arial" w:cs="Arial"/>
          <w:sz w:val="24"/>
          <w:szCs w:val="24"/>
        </w:rPr>
        <w:t>[</w:t>
      </w:r>
      <w:r w:rsidR="008D3E1A">
        <w:rPr>
          <w:rFonts w:ascii="Arial" w:hAnsi="Arial" w:cs="Arial"/>
          <w:sz w:val="24"/>
          <w:szCs w:val="24"/>
        </w:rPr>
        <w:t>1</w:t>
      </w:r>
      <w:r w:rsidR="002724C5">
        <w:rPr>
          <w:rFonts w:ascii="Arial" w:hAnsi="Arial" w:cs="Arial"/>
          <w:sz w:val="24"/>
          <w:szCs w:val="24"/>
        </w:rPr>
        <w:t>6</w:t>
      </w:r>
      <w:r>
        <w:rPr>
          <w:rFonts w:ascii="Arial" w:hAnsi="Arial" w:cs="Arial"/>
          <w:sz w:val="24"/>
          <w:szCs w:val="24"/>
        </w:rPr>
        <w:t>]</w:t>
      </w:r>
      <w:r>
        <w:rPr>
          <w:rFonts w:ascii="Arial" w:hAnsi="Arial" w:cs="Arial"/>
          <w:sz w:val="24"/>
          <w:szCs w:val="24"/>
        </w:rPr>
        <w:tab/>
      </w:r>
      <w:r w:rsidR="00044A00">
        <w:rPr>
          <w:rFonts w:ascii="Arial" w:hAnsi="Arial" w:cs="Arial"/>
          <w:sz w:val="24"/>
          <w:szCs w:val="24"/>
        </w:rPr>
        <w:t>I do however have to agree with the argument that the rule stops short in that it does not seem to intend</w:t>
      </w:r>
      <w:r w:rsidR="00044A00" w:rsidRPr="00044A00">
        <w:rPr>
          <w:rFonts w:ascii="Arial" w:hAnsi="Arial" w:cs="Arial"/>
          <w:sz w:val="24"/>
          <w:szCs w:val="24"/>
        </w:rPr>
        <w:t xml:space="preserve"> </w:t>
      </w:r>
      <w:r w:rsidR="00044A00">
        <w:rPr>
          <w:rFonts w:ascii="Arial" w:hAnsi="Arial" w:cs="Arial"/>
          <w:sz w:val="24"/>
          <w:szCs w:val="24"/>
        </w:rPr>
        <w:t>to include documents in the possession or under the control</w:t>
      </w:r>
      <w:r>
        <w:rPr>
          <w:rFonts w:ascii="Arial" w:hAnsi="Arial" w:cs="Arial"/>
          <w:sz w:val="24"/>
          <w:szCs w:val="24"/>
        </w:rPr>
        <w:t xml:space="preserve"> of</w:t>
      </w:r>
      <w:r w:rsidR="00044A00">
        <w:rPr>
          <w:rFonts w:ascii="Arial" w:hAnsi="Arial" w:cs="Arial"/>
          <w:sz w:val="24"/>
          <w:szCs w:val="24"/>
        </w:rPr>
        <w:t xml:space="preserve"> third </w:t>
      </w:r>
      <w:r>
        <w:rPr>
          <w:rFonts w:ascii="Arial" w:hAnsi="Arial" w:cs="Arial"/>
          <w:sz w:val="24"/>
          <w:szCs w:val="24"/>
        </w:rPr>
        <w:t>parties</w:t>
      </w:r>
      <w:r w:rsidR="00044A00">
        <w:rPr>
          <w:rFonts w:ascii="Arial" w:hAnsi="Arial" w:cs="Arial"/>
          <w:sz w:val="24"/>
          <w:szCs w:val="24"/>
        </w:rPr>
        <w:t xml:space="preserve"> -  as otherwise the rule-maker would have employed the wider concept of “possession or control” in the framing of the rule. It was correctly pointed out in this regard</w:t>
      </w:r>
      <w:r>
        <w:rPr>
          <w:rFonts w:ascii="Arial" w:hAnsi="Arial" w:cs="Arial"/>
          <w:sz w:val="24"/>
          <w:szCs w:val="24"/>
        </w:rPr>
        <w:t xml:space="preserve"> also that the rule</w:t>
      </w:r>
      <w:r w:rsidR="00044A00">
        <w:rPr>
          <w:rFonts w:ascii="Arial" w:hAnsi="Arial" w:cs="Arial"/>
          <w:sz w:val="24"/>
          <w:szCs w:val="24"/>
        </w:rPr>
        <w:t xml:space="preserve"> gives no explicit power to a respondent to extrac</w:t>
      </w:r>
      <w:r>
        <w:rPr>
          <w:rFonts w:ascii="Arial" w:hAnsi="Arial" w:cs="Arial"/>
          <w:sz w:val="24"/>
          <w:szCs w:val="24"/>
        </w:rPr>
        <w:t xml:space="preserve">t any such </w:t>
      </w:r>
      <w:r>
        <w:rPr>
          <w:rFonts w:ascii="Arial" w:hAnsi="Arial" w:cs="Arial"/>
          <w:sz w:val="24"/>
          <w:szCs w:val="24"/>
        </w:rPr>
        <w:lastRenderedPageBreak/>
        <w:t>documents from third parties</w:t>
      </w:r>
      <w:r w:rsidR="00044A00">
        <w:rPr>
          <w:rFonts w:ascii="Arial" w:hAnsi="Arial" w:cs="Arial"/>
          <w:sz w:val="24"/>
          <w:szCs w:val="24"/>
        </w:rPr>
        <w:t>.</w:t>
      </w:r>
      <w:r>
        <w:rPr>
          <w:rFonts w:ascii="Arial" w:hAnsi="Arial" w:cs="Arial"/>
          <w:sz w:val="24"/>
          <w:szCs w:val="24"/>
        </w:rPr>
        <w:t xml:space="preserve"> Whether</w:t>
      </w:r>
      <w:r w:rsidR="008B1662">
        <w:rPr>
          <w:rFonts w:ascii="Arial" w:hAnsi="Arial" w:cs="Arial"/>
          <w:sz w:val="24"/>
          <w:szCs w:val="24"/>
        </w:rPr>
        <w:t>, and in what circumstances,</w:t>
      </w:r>
      <w:r>
        <w:rPr>
          <w:rFonts w:ascii="Arial" w:hAnsi="Arial" w:cs="Arial"/>
          <w:sz w:val="24"/>
          <w:szCs w:val="24"/>
        </w:rPr>
        <w:t xml:space="preserve"> any such additional documents could be extracted from third parties in reviews at all</w:t>
      </w:r>
      <w:r w:rsidR="005C49FC">
        <w:rPr>
          <w:rFonts w:ascii="Arial" w:hAnsi="Arial" w:cs="Arial"/>
          <w:sz w:val="24"/>
          <w:szCs w:val="24"/>
        </w:rPr>
        <w:t>, or</w:t>
      </w:r>
      <w:r w:rsidR="005C49FC" w:rsidRPr="005C49FC">
        <w:rPr>
          <w:rFonts w:ascii="Arial" w:hAnsi="Arial" w:cs="Arial"/>
          <w:sz w:val="24"/>
          <w:szCs w:val="24"/>
        </w:rPr>
        <w:t xml:space="preserve"> </w:t>
      </w:r>
      <w:r w:rsidR="005C49FC">
        <w:rPr>
          <w:rFonts w:ascii="Arial" w:hAnsi="Arial" w:cs="Arial"/>
          <w:sz w:val="24"/>
          <w:szCs w:val="24"/>
        </w:rPr>
        <w:t xml:space="preserve">by way of a </w:t>
      </w:r>
      <w:r w:rsidR="005C49FC" w:rsidRPr="005C49FC">
        <w:rPr>
          <w:rFonts w:ascii="Arial" w:hAnsi="Arial" w:cs="Arial"/>
          <w:i/>
          <w:sz w:val="24"/>
          <w:szCs w:val="24"/>
        </w:rPr>
        <w:t>subpoena</w:t>
      </w:r>
      <w:r w:rsidR="005C49FC">
        <w:rPr>
          <w:rFonts w:ascii="Arial" w:hAnsi="Arial" w:cs="Arial"/>
          <w:sz w:val="24"/>
          <w:szCs w:val="24"/>
        </w:rPr>
        <w:t xml:space="preserve"> </w:t>
      </w:r>
      <w:r w:rsidR="005C49FC" w:rsidRPr="005C49FC">
        <w:rPr>
          <w:rFonts w:ascii="Arial" w:hAnsi="Arial" w:cs="Arial"/>
          <w:i/>
          <w:sz w:val="24"/>
          <w:szCs w:val="24"/>
        </w:rPr>
        <w:t>duces tecum,</w:t>
      </w:r>
      <w:r w:rsidR="005C49FC">
        <w:rPr>
          <w:rFonts w:ascii="Arial" w:hAnsi="Arial" w:cs="Arial"/>
          <w:sz w:val="24"/>
          <w:szCs w:val="24"/>
        </w:rPr>
        <w:t xml:space="preserve"> as was suggested,</w:t>
      </w:r>
      <w:r>
        <w:rPr>
          <w:rFonts w:ascii="Arial" w:hAnsi="Arial" w:cs="Arial"/>
          <w:sz w:val="24"/>
          <w:szCs w:val="24"/>
        </w:rPr>
        <w:t xml:space="preserve"> I am however not required to determine.</w:t>
      </w:r>
    </w:p>
    <w:p w:rsidR="0067461D" w:rsidRDefault="0067461D" w:rsidP="00920B10">
      <w:pPr>
        <w:spacing w:after="0" w:line="360" w:lineRule="auto"/>
        <w:jc w:val="both"/>
        <w:rPr>
          <w:rFonts w:ascii="Arial" w:hAnsi="Arial" w:cs="Arial"/>
          <w:sz w:val="24"/>
          <w:szCs w:val="24"/>
        </w:rPr>
      </w:pPr>
    </w:p>
    <w:p w:rsidR="00FF49F0" w:rsidRPr="0067461D" w:rsidRDefault="0067461D" w:rsidP="00920B10">
      <w:pPr>
        <w:spacing w:after="0" w:line="360" w:lineRule="auto"/>
        <w:jc w:val="both"/>
        <w:rPr>
          <w:rFonts w:ascii="Arial" w:hAnsi="Arial" w:cs="Arial"/>
          <w:sz w:val="24"/>
          <w:szCs w:val="24"/>
          <w:u w:val="single"/>
        </w:rPr>
      </w:pPr>
      <w:r>
        <w:rPr>
          <w:rFonts w:ascii="Arial" w:hAnsi="Arial" w:cs="Arial"/>
          <w:sz w:val="24"/>
          <w:szCs w:val="24"/>
          <w:u w:val="single"/>
        </w:rPr>
        <w:t>The aspect of ‘r</w:t>
      </w:r>
      <w:r w:rsidRPr="0067461D">
        <w:rPr>
          <w:rFonts w:ascii="Arial" w:hAnsi="Arial" w:cs="Arial"/>
          <w:sz w:val="24"/>
          <w:szCs w:val="24"/>
          <w:u w:val="single"/>
        </w:rPr>
        <w:t>elevancy</w:t>
      </w:r>
      <w:r>
        <w:rPr>
          <w:rFonts w:ascii="Arial" w:hAnsi="Arial" w:cs="Arial"/>
          <w:sz w:val="24"/>
          <w:szCs w:val="24"/>
          <w:u w:val="single"/>
        </w:rPr>
        <w:t>’</w:t>
      </w:r>
    </w:p>
    <w:p w:rsidR="0067461D" w:rsidRDefault="0067461D" w:rsidP="00920B10">
      <w:pPr>
        <w:spacing w:after="0" w:line="360" w:lineRule="auto"/>
        <w:jc w:val="both"/>
        <w:rPr>
          <w:rFonts w:ascii="Arial" w:hAnsi="Arial" w:cs="Arial"/>
          <w:sz w:val="24"/>
          <w:szCs w:val="24"/>
        </w:rPr>
      </w:pPr>
    </w:p>
    <w:p w:rsidR="00AB3DCB" w:rsidRDefault="001236BE" w:rsidP="00920B10">
      <w:pPr>
        <w:spacing w:after="0" w:line="360" w:lineRule="auto"/>
        <w:jc w:val="both"/>
        <w:rPr>
          <w:rFonts w:ascii="Arial" w:hAnsi="Arial" w:cs="Arial"/>
          <w:sz w:val="24"/>
          <w:szCs w:val="24"/>
        </w:rPr>
      </w:pPr>
      <w:r>
        <w:rPr>
          <w:rFonts w:ascii="Arial" w:hAnsi="Arial" w:cs="Arial"/>
          <w:sz w:val="24"/>
          <w:szCs w:val="24"/>
        </w:rPr>
        <w:t>[</w:t>
      </w:r>
      <w:r w:rsidR="009F7699">
        <w:rPr>
          <w:rFonts w:ascii="Arial" w:hAnsi="Arial" w:cs="Arial"/>
          <w:sz w:val="24"/>
          <w:szCs w:val="24"/>
        </w:rPr>
        <w:t>1</w:t>
      </w:r>
      <w:r w:rsidR="002724C5">
        <w:rPr>
          <w:rFonts w:ascii="Arial" w:hAnsi="Arial" w:cs="Arial"/>
          <w:sz w:val="24"/>
          <w:szCs w:val="24"/>
        </w:rPr>
        <w:t>7</w:t>
      </w:r>
      <w:r>
        <w:rPr>
          <w:rFonts w:ascii="Arial" w:hAnsi="Arial" w:cs="Arial"/>
          <w:sz w:val="24"/>
          <w:szCs w:val="24"/>
        </w:rPr>
        <w:t>]</w:t>
      </w:r>
      <w:r>
        <w:rPr>
          <w:rFonts w:ascii="Arial" w:hAnsi="Arial" w:cs="Arial"/>
          <w:sz w:val="24"/>
          <w:szCs w:val="24"/>
        </w:rPr>
        <w:tab/>
      </w:r>
      <w:r w:rsidR="008B3451">
        <w:rPr>
          <w:rFonts w:ascii="Arial" w:hAnsi="Arial" w:cs="Arial"/>
          <w:sz w:val="24"/>
          <w:szCs w:val="24"/>
        </w:rPr>
        <w:t>The respondent</w:t>
      </w:r>
      <w:r w:rsidR="00954100">
        <w:rPr>
          <w:rFonts w:ascii="Arial" w:hAnsi="Arial" w:cs="Arial"/>
          <w:sz w:val="24"/>
          <w:szCs w:val="24"/>
        </w:rPr>
        <w:t>s in this instance</w:t>
      </w:r>
      <w:r w:rsidR="008B3451">
        <w:rPr>
          <w:rFonts w:ascii="Arial" w:hAnsi="Arial" w:cs="Arial"/>
          <w:sz w:val="24"/>
          <w:szCs w:val="24"/>
        </w:rPr>
        <w:t xml:space="preserve"> have</w:t>
      </w:r>
      <w:r w:rsidR="00FF49F0">
        <w:rPr>
          <w:rFonts w:ascii="Arial" w:hAnsi="Arial" w:cs="Arial"/>
          <w:sz w:val="24"/>
          <w:szCs w:val="24"/>
        </w:rPr>
        <w:t xml:space="preserve"> also</w:t>
      </w:r>
      <w:r w:rsidR="008B3451">
        <w:rPr>
          <w:rFonts w:ascii="Arial" w:hAnsi="Arial" w:cs="Arial"/>
          <w:sz w:val="24"/>
          <w:szCs w:val="24"/>
        </w:rPr>
        <w:t xml:space="preserve"> submitted that the word </w:t>
      </w:r>
      <w:r w:rsidR="00F67080">
        <w:rPr>
          <w:rFonts w:ascii="Arial" w:hAnsi="Arial" w:cs="Arial"/>
          <w:sz w:val="24"/>
          <w:szCs w:val="24"/>
        </w:rPr>
        <w:t>‘</w:t>
      </w:r>
      <w:r w:rsidR="008B3451">
        <w:rPr>
          <w:rFonts w:ascii="Arial" w:hAnsi="Arial" w:cs="Arial"/>
          <w:sz w:val="24"/>
          <w:szCs w:val="24"/>
        </w:rPr>
        <w:t>relevant</w:t>
      </w:r>
      <w:r w:rsidR="00F67080">
        <w:rPr>
          <w:rFonts w:ascii="Arial" w:hAnsi="Arial" w:cs="Arial"/>
          <w:sz w:val="24"/>
          <w:szCs w:val="24"/>
        </w:rPr>
        <w:t>’</w:t>
      </w:r>
      <w:r w:rsidR="00954100">
        <w:rPr>
          <w:rFonts w:ascii="Arial" w:hAnsi="Arial" w:cs="Arial"/>
          <w:sz w:val="24"/>
          <w:szCs w:val="24"/>
        </w:rPr>
        <w:t xml:space="preserve"> (in the context of ordinary rules</w:t>
      </w:r>
      <w:r w:rsidR="008B3451">
        <w:rPr>
          <w:rFonts w:ascii="Arial" w:hAnsi="Arial" w:cs="Arial"/>
          <w:sz w:val="24"/>
          <w:szCs w:val="24"/>
        </w:rPr>
        <w:t xml:space="preserve"> relating to discovery in action proceedings</w:t>
      </w:r>
      <w:r w:rsidR="00D5193A">
        <w:rPr>
          <w:rFonts w:ascii="Arial" w:hAnsi="Arial" w:cs="Arial"/>
          <w:sz w:val="24"/>
          <w:szCs w:val="24"/>
        </w:rPr>
        <w:t>,</w:t>
      </w:r>
      <w:r w:rsidR="008B3451">
        <w:rPr>
          <w:rFonts w:ascii="Arial" w:hAnsi="Arial" w:cs="Arial"/>
          <w:sz w:val="24"/>
          <w:szCs w:val="24"/>
        </w:rPr>
        <w:t xml:space="preserve"> refers to </w:t>
      </w:r>
      <w:r w:rsidR="00954100" w:rsidRPr="00954100">
        <w:rPr>
          <w:rFonts w:ascii="Arial" w:hAnsi="Arial" w:cs="Arial"/>
          <w:i/>
          <w:sz w:val="24"/>
          <w:szCs w:val="24"/>
        </w:rPr>
        <w:t>‘</w:t>
      </w:r>
      <w:r w:rsidR="008B3451" w:rsidRPr="00954100">
        <w:rPr>
          <w:rFonts w:ascii="Arial" w:hAnsi="Arial" w:cs="Arial"/>
          <w:i/>
          <w:sz w:val="24"/>
          <w:szCs w:val="24"/>
        </w:rPr>
        <w:t>documents having any tendency in reason to establish the matter in question</w:t>
      </w:r>
      <w:r w:rsidR="00954100" w:rsidRPr="00954100">
        <w:rPr>
          <w:rFonts w:ascii="Arial" w:hAnsi="Arial" w:cs="Arial"/>
          <w:i/>
          <w:sz w:val="24"/>
          <w:szCs w:val="24"/>
        </w:rPr>
        <w:t>’</w:t>
      </w:r>
      <w:r w:rsidR="00F67080">
        <w:rPr>
          <w:rFonts w:ascii="Arial" w:hAnsi="Arial" w:cs="Arial"/>
          <w:sz w:val="24"/>
          <w:szCs w:val="24"/>
        </w:rPr>
        <w:t xml:space="preserve"> and t</w:t>
      </w:r>
      <w:r w:rsidR="002F57D0">
        <w:rPr>
          <w:rFonts w:ascii="Arial" w:hAnsi="Arial" w:cs="Arial"/>
          <w:sz w:val="24"/>
          <w:szCs w:val="24"/>
        </w:rPr>
        <w:t>hat relevance</w:t>
      </w:r>
      <w:r w:rsidR="0067461D">
        <w:rPr>
          <w:rFonts w:ascii="Arial" w:hAnsi="Arial" w:cs="Arial"/>
          <w:sz w:val="24"/>
          <w:szCs w:val="24"/>
        </w:rPr>
        <w:t xml:space="preserve"> in reviews</w:t>
      </w:r>
      <w:r w:rsidR="002F57D0">
        <w:rPr>
          <w:rFonts w:ascii="Arial" w:hAnsi="Arial" w:cs="Arial"/>
          <w:sz w:val="24"/>
          <w:szCs w:val="24"/>
        </w:rPr>
        <w:t xml:space="preserve"> should</w:t>
      </w:r>
      <w:r w:rsidR="000E0BDF">
        <w:rPr>
          <w:rFonts w:ascii="Arial" w:hAnsi="Arial" w:cs="Arial"/>
          <w:sz w:val="24"/>
          <w:szCs w:val="24"/>
        </w:rPr>
        <w:t xml:space="preserve"> thus</w:t>
      </w:r>
      <w:r w:rsidR="002F57D0">
        <w:rPr>
          <w:rFonts w:ascii="Arial" w:hAnsi="Arial" w:cs="Arial"/>
          <w:sz w:val="24"/>
          <w:szCs w:val="24"/>
        </w:rPr>
        <w:t xml:space="preserve"> be established</w:t>
      </w:r>
      <w:r w:rsidR="0067461D">
        <w:rPr>
          <w:rFonts w:ascii="Arial" w:hAnsi="Arial" w:cs="Arial"/>
          <w:sz w:val="24"/>
          <w:szCs w:val="24"/>
        </w:rPr>
        <w:t xml:space="preserve"> along similar lines</w:t>
      </w:r>
      <w:r w:rsidR="002F57D0">
        <w:rPr>
          <w:rFonts w:ascii="Arial" w:hAnsi="Arial" w:cs="Arial"/>
          <w:sz w:val="24"/>
          <w:szCs w:val="24"/>
        </w:rPr>
        <w:t xml:space="preserve"> with reference to the applicants’ pleaded case, being the founding </w:t>
      </w:r>
      <w:r w:rsidR="00F67080">
        <w:rPr>
          <w:rFonts w:ascii="Arial" w:hAnsi="Arial" w:cs="Arial"/>
          <w:sz w:val="24"/>
          <w:szCs w:val="24"/>
        </w:rPr>
        <w:t>affidavit,</w:t>
      </w:r>
      <w:r w:rsidR="002F57D0">
        <w:rPr>
          <w:rFonts w:ascii="Arial" w:hAnsi="Arial" w:cs="Arial"/>
          <w:sz w:val="24"/>
          <w:szCs w:val="24"/>
        </w:rPr>
        <w:t xml:space="preserve"> which comprises not only their evidence but also their pleading.</w:t>
      </w:r>
      <w:r w:rsidR="00FF49F0">
        <w:rPr>
          <w:rFonts w:ascii="Arial" w:hAnsi="Arial" w:cs="Arial"/>
          <w:sz w:val="24"/>
          <w:szCs w:val="24"/>
        </w:rPr>
        <w:t xml:space="preserve"> They have reminded the court with reference to</w:t>
      </w:r>
      <w:r w:rsidR="00FF49F0" w:rsidRPr="00FF49F0">
        <w:t xml:space="preserve"> </w:t>
      </w:r>
      <w:r w:rsidR="00FF49F0" w:rsidRPr="002F57D0">
        <w:rPr>
          <w:rFonts w:ascii="Arial" w:hAnsi="Arial" w:cs="Arial"/>
          <w:i/>
          <w:sz w:val="24"/>
          <w:szCs w:val="24"/>
        </w:rPr>
        <w:t>South African Poultry Association and Others v Ministry of Trade and Industry and Others</w:t>
      </w:r>
      <w:r w:rsidR="00FF49F0" w:rsidRPr="00FF49F0">
        <w:rPr>
          <w:rFonts w:ascii="Arial" w:hAnsi="Arial" w:cs="Arial"/>
          <w:sz w:val="24"/>
          <w:szCs w:val="24"/>
        </w:rPr>
        <w:t xml:space="preserve"> 2015 (1) NR 260 (HC)</w:t>
      </w:r>
      <w:r w:rsidR="0010152D">
        <w:rPr>
          <w:rStyle w:val="FootnoteReference"/>
          <w:rFonts w:ascii="Arial" w:hAnsi="Arial"/>
          <w:sz w:val="24"/>
          <w:szCs w:val="24"/>
        </w:rPr>
        <w:footnoteReference w:id="48"/>
      </w:r>
      <w:r w:rsidR="00FF49F0">
        <w:rPr>
          <w:rFonts w:ascii="Arial" w:hAnsi="Arial" w:cs="Arial"/>
          <w:sz w:val="24"/>
          <w:szCs w:val="24"/>
        </w:rPr>
        <w:t xml:space="preserve"> that ther</w:t>
      </w:r>
      <w:r w:rsidR="00F67080">
        <w:rPr>
          <w:rFonts w:ascii="Arial" w:hAnsi="Arial" w:cs="Arial"/>
          <w:sz w:val="24"/>
          <w:szCs w:val="24"/>
        </w:rPr>
        <w:t xml:space="preserve">e is no </w:t>
      </w:r>
      <w:r w:rsidR="00F67080" w:rsidRPr="00F67080">
        <w:rPr>
          <w:rFonts w:ascii="Arial" w:hAnsi="Arial" w:cs="Arial"/>
          <w:i/>
          <w:sz w:val="24"/>
          <w:szCs w:val="24"/>
        </w:rPr>
        <w:t>carte blanche</w:t>
      </w:r>
      <w:r w:rsidR="00F67080">
        <w:rPr>
          <w:rFonts w:ascii="Arial" w:hAnsi="Arial" w:cs="Arial"/>
          <w:sz w:val="24"/>
          <w:szCs w:val="24"/>
        </w:rPr>
        <w:t xml:space="preserve"> right to</w:t>
      </w:r>
      <w:r w:rsidR="00FF49F0">
        <w:rPr>
          <w:rFonts w:ascii="Arial" w:hAnsi="Arial" w:cs="Arial"/>
          <w:sz w:val="24"/>
          <w:szCs w:val="24"/>
        </w:rPr>
        <w:t xml:space="preserve"> dis</w:t>
      </w:r>
      <w:r w:rsidR="00BE0461">
        <w:rPr>
          <w:rFonts w:ascii="Arial" w:hAnsi="Arial" w:cs="Arial"/>
          <w:sz w:val="24"/>
          <w:szCs w:val="24"/>
        </w:rPr>
        <w:t>covery in motion proceedings,</w:t>
      </w:r>
      <w:r w:rsidR="00FF49F0">
        <w:rPr>
          <w:rFonts w:ascii="Arial" w:hAnsi="Arial" w:cs="Arial"/>
          <w:sz w:val="24"/>
          <w:szCs w:val="24"/>
        </w:rPr>
        <w:t xml:space="preserve"> where </w:t>
      </w:r>
      <w:r w:rsidR="00FF49F0" w:rsidRPr="006F4009">
        <w:rPr>
          <w:rFonts w:ascii="Arial" w:hAnsi="Arial" w:cs="Arial"/>
          <w:i/>
          <w:sz w:val="24"/>
          <w:szCs w:val="24"/>
        </w:rPr>
        <w:t>‘</w:t>
      </w:r>
      <w:r w:rsidR="006F4009" w:rsidRPr="006F4009">
        <w:rPr>
          <w:rFonts w:ascii="Arial" w:hAnsi="Arial" w:cs="Arial"/>
          <w:i/>
          <w:sz w:val="24"/>
          <w:szCs w:val="24"/>
        </w:rPr>
        <w:t xml:space="preserve"> … </w:t>
      </w:r>
      <w:r w:rsidR="00FF49F0" w:rsidRPr="006F4009">
        <w:rPr>
          <w:rFonts w:ascii="Arial" w:hAnsi="Arial" w:cs="Arial"/>
          <w:i/>
          <w:sz w:val="24"/>
          <w:szCs w:val="24"/>
        </w:rPr>
        <w:t>discovery is a very rare and unusual procedure</w:t>
      </w:r>
      <w:r w:rsidR="006F4009" w:rsidRPr="006F4009">
        <w:rPr>
          <w:rFonts w:ascii="Arial" w:hAnsi="Arial" w:cs="Arial"/>
          <w:i/>
          <w:sz w:val="24"/>
          <w:szCs w:val="24"/>
        </w:rPr>
        <w:t xml:space="preserve"> … or</w:t>
      </w:r>
      <w:r w:rsidR="006F4009">
        <w:rPr>
          <w:rFonts w:ascii="Arial" w:hAnsi="Arial" w:cs="Arial"/>
          <w:i/>
          <w:sz w:val="24"/>
          <w:szCs w:val="24"/>
        </w:rPr>
        <w:t>dered only in exceptional circu</w:t>
      </w:r>
      <w:r w:rsidR="006F4009" w:rsidRPr="006F4009">
        <w:rPr>
          <w:rFonts w:ascii="Arial" w:hAnsi="Arial" w:cs="Arial"/>
          <w:i/>
          <w:sz w:val="24"/>
          <w:szCs w:val="24"/>
        </w:rPr>
        <w:t>mstances …’.</w:t>
      </w:r>
      <w:r w:rsidR="006F4009">
        <w:rPr>
          <w:rFonts w:ascii="Arial" w:hAnsi="Arial" w:cs="Arial"/>
          <w:i/>
          <w:sz w:val="24"/>
          <w:szCs w:val="24"/>
        </w:rPr>
        <w:t xml:space="preserve"> </w:t>
      </w:r>
      <w:r w:rsidR="006F4009">
        <w:rPr>
          <w:rFonts w:ascii="Arial" w:hAnsi="Arial" w:cs="Arial"/>
          <w:sz w:val="24"/>
          <w:szCs w:val="24"/>
        </w:rPr>
        <w:t>a</w:t>
      </w:r>
      <w:r w:rsidR="006F4009" w:rsidRPr="006F4009">
        <w:rPr>
          <w:rFonts w:ascii="Arial" w:hAnsi="Arial" w:cs="Arial"/>
          <w:sz w:val="24"/>
          <w:szCs w:val="24"/>
        </w:rPr>
        <w:t>nd that a clear distinction should be made</w:t>
      </w:r>
      <w:r w:rsidR="006F4009">
        <w:rPr>
          <w:rFonts w:ascii="Arial" w:hAnsi="Arial" w:cs="Arial"/>
          <w:sz w:val="24"/>
          <w:szCs w:val="24"/>
        </w:rPr>
        <w:t xml:space="preserve"> between discovery</w:t>
      </w:r>
      <w:r w:rsidR="00F67080">
        <w:rPr>
          <w:rFonts w:ascii="Arial" w:hAnsi="Arial" w:cs="Arial"/>
          <w:sz w:val="24"/>
          <w:szCs w:val="24"/>
        </w:rPr>
        <w:t xml:space="preserve"> in general</w:t>
      </w:r>
      <w:r w:rsidR="0067461D">
        <w:rPr>
          <w:rFonts w:ascii="Arial" w:hAnsi="Arial" w:cs="Arial"/>
          <w:sz w:val="24"/>
          <w:szCs w:val="24"/>
        </w:rPr>
        <w:t>, on the one hand,</w:t>
      </w:r>
      <w:r w:rsidR="006F4009">
        <w:rPr>
          <w:rFonts w:ascii="Arial" w:hAnsi="Arial" w:cs="Arial"/>
          <w:sz w:val="24"/>
          <w:szCs w:val="24"/>
        </w:rPr>
        <w:t xml:space="preserve"> and the</w:t>
      </w:r>
      <w:r w:rsidR="00F67080">
        <w:rPr>
          <w:rFonts w:ascii="Arial" w:hAnsi="Arial" w:cs="Arial"/>
          <w:sz w:val="24"/>
          <w:szCs w:val="24"/>
        </w:rPr>
        <w:t xml:space="preserve"> specific</w:t>
      </w:r>
      <w:r w:rsidR="006F4009">
        <w:rPr>
          <w:rFonts w:ascii="Arial" w:hAnsi="Arial" w:cs="Arial"/>
          <w:sz w:val="24"/>
          <w:szCs w:val="24"/>
        </w:rPr>
        <w:t xml:space="preserve"> Rule 76</w:t>
      </w:r>
      <w:r w:rsidR="0067461D">
        <w:rPr>
          <w:rFonts w:ascii="Arial" w:hAnsi="Arial" w:cs="Arial"/>
          <w:sz w:val="24"/>
          <w:szCs w:val="24"/>
        </w:rPr>
        <w:t>(6)</w:t>
      </w:r>
      <w:r w:rsidR="006F4009">
        <w:rPr>
          <w:rFonts w:ascii="Arial" w:hAnsi="Arial" w:cs="Arial"/>
          <w:sz w:val="24"/>
          <w:szCs w:val="24"/>
        </w:rPr>
        <w:t xml:space="preserve"> production</w:t>
      </w:r>
      <w:r w:rsidR="005C49FC">
        <w:rPr>
          <w:rFonts w:ascii="Arial" w:hAnsi="Arial" w:cs="Arial"/>
          <w:sz w:val="24"/>
          <w:szCs w:val="24"/>
        </w:rPr>
        <w:t xml:space="preserve"> of additional relevant parts of a record</w:t>
      </w:r>
      <w:r w:rsidR="008B1662">
        <w:rPr>
          <w:rFonts w:ascii="Arial" w:hAnsi="Arial" w:cs="Arial"/>
          <w:sz w:val="24"/>
          <w:szCs w:val="24"/>
        </w:rPr>
        <w:t>,</w:t>
      </w:r>
      <w:r w:rsidR="006F4009">
        <w:rPr>
          <w:rFonts w:ascii="Arial" w:hAnsi="Arial" w:cs="Arial"/>
          <w:sz w:val="24"/>
          <w:szCs w:val="24"/>
        </w:rPr>
        <w:t xml:space="preserve"> by a decision-maker</w:t>
      </w:r>
      <w:r w:rsidR="0067461D">
        <w:rPr>
          <w:rFonts w:ascii="Arial" w:hAnsi="Arial" w:cs="Arial"/>
          <w:sz w:val="24"/>
          <w:szCs w:val="24"/>
        </w:rPr>
        <w:t>, on the other</w:t>
      </w:r>
      <w:r w:rsidR="006F4009">
        <w:rPr>
          <w:rFonts w:ascii="Arial" w:hAnsi="Arial" w:cs="Arial"/>
          <w:sz w:val="24"/>
          <w:szCs w:val="24"/>
        </w:rPr>
        <w:t>.</w:t>
      </w:r>
    </w:p>
    <w:p w:rsidR="00AB3DCB" w:rsidRDefault="00AB3DCB" w:rsidP="00920B10">
      <w:pPr>
        <w:spacing w:after="0" w:line="360" w:lineRule="auto"/>
        <w:jc w:val="both"/>
        <w:rPr>
          <w:rFonts w:ascii="Arial" w:hAnsi="Arial" w:cs="Arial"/>
          <w:sz w:val="24"/>
          <w:szCs w:val="24"/>
        </w:rPr>
      </w:pPr>
    </w:p>
    <w:p w:rsidR="008602D3" w:rsidRPr="006C22B5" w:rsidRDefault="00AB3DCB" w:rsidP="00EB08AF">
      <w:pPr>
        <w:spacing w:after="0" w:line="360" w:lineRule="auto"/>
        <w:jc w:val="both"/>
        <w:rPr>
          <w:rFonts w:ascii="Arial" w:hAnsi="Arial" w:cs="Arial"/>
          <w:sz w:val="24"/>
          <w:szCs w:val="24"/>
        </w:rPr>
      </w:pPr>
      <w:r>
        <w:rPr>
          <w:rFonts w:ascii="Arial" w:hAnsi="Arial" w:cs="Arial"/>
          <w:sz w:val="24"/>
          <w:szCs w:val="24"/>
        </w:rPr>
        <w:t>[1</w:t>
      </w:r>
      <w:r w:rsidR="002724C5">
        <w:rPr>
          <w:rFonts w:ascii="Arial" w:hAnsi="Arial" w:cs="Arial"/>
          <w:sz w:val="24"/>
          <w:szCs w:val="24"/>
        </w:rPr>
        <w:t>8</w:t>
      </w:r>
      <w:r>
        <w:rPr>
          <w:rFonts w:ascii="Arial" w:hAnsi="Arial" w:cs="Arial"/>
          <w:sz w:val="24"/>
          <w:szCs w:val="24"/>
        </w:rPr>
        <w:t>]</w:t>
      </w:r>
      <w:r>
        <w:rPr>
          <w:rFonts w:ascii="Arial" w:hAnsi="Arial" w:cs="Arial"/>
          <w:sz w:val="24"/>
          <w:szCs w:val="24"/>
        </w:rPr>
        <w:tab/>
      </w:r>
      <w:r w:rsidR="00D902BE">
        <w:rPr>
          <w:rFonts w:ascii="Arial" w:hAnsi="Arial" w:cs="Arial"/>
          <w:sz w:val="24"/>
          <w:szCs w:val="24"/>
        </w:rPr>
        <w:t>All t</w:t>
      </w:r>
      <w:r w:rsidR="0067461D">
        <w:rPr>
          <w:rFonts w:ascii="Arial" w:hAnsi="Arial" w:cs="Arial"/>
          <w:sz w:val="24"/>
          <w:szCs w:val="24"/>
        </w:rPr>
        <w:t>hese general guidelines</w:t>
      </w:r>
      <w:r w:rsidR="006F4009">
        <w:rPr>
          <w:rFonts w:ascii="Arial" w:hAnsi="Arial" w:cs="Arial"/>
          <w:sz w:val="24"/>
          <w:szCs w:val="24"/>
        </w:rPr>
        <w:t xml:space="preserve"> are</w:t>
      </w:r>
      <w:r w:rsidR="00C43361">
        <w:rPr>
          <w:rFonts w:ascii="Arial" w:hAnsi="Arial" w:cs="Arial"/>
          <w:sz w:val="24"/>
          <w:szCs w:val="24"/>
        </w:rPr>
        <w:t xml:space="preserve"> obviously to be kept in mind</w:t>
      </w:r>
      <w:r w:rsidR="00954100">
        <w:rPr>
          <w:rFonts w:ascii="Arial" w:hAnsi="Arial" w:cs="Arial"/>
          <w:sz w:val="24"/>
          <w:szCs w:val="24"/>
        </w:rPr>
        <w:t xml:space="preserve"> -</w:t>
      </w:r>
      <w:r w:rsidR="00F51743">
        <w:rPr>
          <w:rFonts w:ascii="Arial" w:hAnsi="Arial" w:cs="Arial"/>
          <w:sz w:val="24"/>
          <w:szCs w:val="24"/>
        </w:rPr>
        <w:t xml:space="preserve"> and might even constitute </w:t>
      </w:r>
      <w:r w:rsidR="00C43361">
        <w:rPr>
          <w:rFonts w:ascii="Arial" w:hAnsi="Arial" w:cs="Arial"/>
          <w:sz w:val="24"/>
          <w:szCs w:val="24"/>
        </w:rPr>
        <w:t>useful point</w:t>
      </w:r>
      <w:r w:rsidR="00F51743">
        <w:rPr>
          <w:rFonts w:ascii="Arial" w:hAnsi="Arial" w:cs="Arial"/>
          <w:sz w:val="24"/>
          <w:szCs w:val="24"/>
        </w:rPr>
        <w:t>s</w:t>
      </w:r>
      <w:r w:rsidR="00C43361">
        <w:rPr>
          <w:rFonts w:ascii="Arial" w:hAnsi="Arial" w:cs="Arial"/>
          <w:sz w:val="24"/>
          <w:szCs w:val="24"/>
        </w:rPr>
        <w:t xml:space="preserve"> of departure</w:t>
      </w:r>
      <w:r w:rsidR="00954100">
        <w:rPr>
          <w:rFonts w:ascii="Arial" w:hAnsi="Arial" w:cs="Arial"/>
          <w:sz w:val="24"/>
          <w:szCs w:val="24"/>
        </w:rPr>
        <w:t xml:space="preserve"> -</w:t>
      </w:r>
      <w:r w:rsidR="00C43361">
        <w:rPr>
          <w:rFonts w:ascii="Arial" w:hAnsi="Arial" w:cs="Arial"/>
          <w:sz w:val="24"/>
          <w:szCs w:val="24"/>
        </w:rPr>
        <w:t xml:space="preserve"> in the</w:t>
      </w:r>
      <w:r w:rsidR="00F51743">
        <w:rPr>
          <w:rFonts w:ascii="Arial" w:hAnsi="Arial" w:cs="Arial"/>
          <w:sz w:val="24"/>
          <w:szCs w:val="24"/>
        </w:rPr>
        <w:t xml:space="preserve"> general</w:t>
      </w:r>
      <w:r w:rsidR="00C43361">
        <w:rPr>
          <w:rFonts w:ascii="Arial" w:hAnsi="Arial" w:cs="Arial"/>
          <w:sz w:val="24"/>
          <w:szCs w:val="24"/>
        </w:rPr>
        <w:t xml:space="preserve"> determination of any questions raised in terms of Rule 76(6)</w:t>
      </w:r>
      <w:r w:rsidR="006F4009">
        <w:rPr>
          <w:rFonts w:ascii="Arial" w:hAnsi="Arial" w:cs="Arial"/>
          <w:sz w:val="24"/>
          <w:szCs w:val="24"/>
        </w:rPr>
        <w:t>.</w:t>
      </w:r>
      <w:r w:rsidR="00F51743">
        <w:rPr>
          <w:rFonts w:ascii="Arial" w:hAnsi="Arial" w:cs="Arial"/>
          <w:sz w:val="24"/>
          <w:szCs w:val="24"/>
        </w:rPr>
        <w:t xml:space="preserve"> These general principles do however not sufficiently cater for the</w:t>
      </w:r>
      <w:r w:rsidR="00954100">
        <w:rPr>
          <w:rFonts w:ascii="Arial" w:hAnsi="Arial" w:cs="Arial"/>
          <w:sz w:val="24"/>
          <w:szCs w:val="24"/>
        </w:rPr>
        <w:t xml:space="preserve"> important difference</w:t>
      </w:r>
      <w:r w:rsidR="00F51743">
        <w:rPr>
          <w:rFonts w:ascii="Arial" w:hAnsi="Arial" w:cs="Arial"/>
          <w:sz w:val="24"/>
          <w:szCs w:val="24"/>
        </w:rPr>
        <w:t>s</w:t>
      </w:r>
      <w:r w:rsidR="006C22B5">
        <w:rPr>
          <w:rFonts w:ascii="Arial" w:hAnsi="Arial" w:cs="Arial"/>
          <w:sz w:val="24"/>
          <w:szCs w:val="24"/>
        </w:rPr>
        <w:t xml:space="preserve"> between discovery in motion proceedings</w:t>
      </w:r>
      <w:r w:rsidR="00C43361">
        <w:rPr>
          <w:rFonts w:ascii="Arial" w:hAnsi="Arial" w:cs="Arial"/>
          <w:sz w:val="24"/>
          <w:szCs w:val="24"/>
        </w:rPr>
        <w:t xml:space="preserve"> and</w:t>
      </w:r>
      <w:r w:rsidR="00D902BE">
        <w:rPr>
          <w:rFonts w:ascii="Arial" w:hAnsi="Arial" w:cs="Arial"/>
          <w:sz w:val="24"/>
          <w:szCs w:val="24"/>
        </w:rPr>
        <w:t xml:space="preserve"> those</w:t>
      </w:r>
      <w:r w:rsidR="00954100">
        <w:rPr>
          <w:rFonts w:ascii="Arial" w:hAnsi="Arial" w:cs="Arial"/>
          <w:sz w:val="24"/>
          <w:szCs w:val="24"/>
        </w:rPr>
        <w:t xml:space="preserve"> in reviews</w:t>
      </w:r>
      <w:r w:rsidR="006C22B5">
        <w:rPr>
          <w:rFonts w:ascii="Arial" w:hAnsi="Arial" w:cs="Arial"/>
          <w:sz w:val="24"/>
          <w:szCs w:val="24"/>
        </w:rPr>
        <w:t>.</w:t>
      </w:r>
      <w:r w:rsidR="00F51743">
        <w:rPr>
          <w:rFonts w:ascii="Arial" w:hAnsi="Arial" w:cs="Arial"/>
          <w:sz w:val="24"/>
          <w:szCs w:val="24"/>
        </w:rPr>
        <w:t xml:space="preserve"> These</w:t>
      </w:r>
      <w:r w:rsidR="00F83A53">
        <w:rPr>
          <w:rFonts w:ascii="Arial" w:hAnsi="Arial" w:cs="Arial"/>
          <w:sz w:val="24"/>
          <w:szCs w:val="24"/>
        </w:rPr>
        <w:t xml:space="preserve"> differences</w:t>
      </w:r>
      <w:r w:rsidR="00F51743">
        <w:rPr>
          <w:rFonts w:ascii="Arial" w:hAnsi="Arial" w:cs="Arial"/>
          <w:sz w:val="24"/>
          <w:szCs w:val="24"/>
        </w:rPr>
        <w:t xml:space="preserve"> were highlighted in</w:t>
      </w:r>
      <w:r w:rsidR="00C43361">
        <w:rPr>
          <w:rFonts w:ascii="Arial" w:hAnsi="Arial" w:cs="Arial"/>
          <w:sz w:val="24"/>
          <w:szCs w:val="24"/>
        </w:rPr>
        <w:t xml:space="preserve"> the </w:t>
      </w:r>
      <w:r w:rsidR="00D05807" w:rsidRPr="00D05807">
        <w:rPr>
          <w:rFonts w:ascii="Arial" w:hAnsi="Arial" w:cs="Arial"/>
          <w:i/>
          <w:sz w:val="24"/>
          <w:szCs w:val="24"/>
        </w:rPr>
        <w:t>Helen Suzman Foundation v Judicial Service Commission</w:t>
      </w:r>
      <w:r w:rsidR="00D05807" w:rsidRPr="00D05807">
        <w:rPr>
          <w:rFonts w:ascii="Arial" w:hAnsi="Arial" w:cs="Arial"/>
          <w:sz w:val="24"/>
          <w:szCs w:val="24"/>
        </w:rPr>
        <w:t> 2018 (4) SA 1 (CC)</w:t>
      </w:r>
      <w:r w:rsidR="00FF34B5">
        <w:rPr>
          <w:rFonts w:ascii="Arial" w:hAnsi="Arial" w:cs="Arial"/>
          <w:color w:val="000000" w:themeColor="text1"/>
          <w:sz w:val="24"/>
          <w:szCs w:val="24"/>
        </w:rPr>
        <w:t xml:space="preserve"> decision</w:t>
      </w:r>
      <w:r w:rsidR="00F51743">
        <w:rPr>
          <w:rFonts w:ascii="Arial" w:hAnsi="Arial" w:cs="Arial"/>
          <w:color w:val="000000" w:themeColor="text1"/>
          <w:sz w:val="24"/>
          <w:szCs w:val="24"/>
        </w:rPr>
        <w:t xml:space="preserve">, </w:t>
      </w:r>
      <w:r w:rsidR="00F83A53">
        <w:rPr>
          <w:rFonts w:ascii="Arial" w:hAnsi="Arial" w:cs="Arial"/>
          <w:color w:val="000000" w:themeColor="text1"/>
          <w:sz w:val="24"/>
          <w:szCs w:val="24"/>
        </w:rPr>
        <w:t xml:space="preserve">on </w:t>
      </w:r>
      <w:r w:rsidR="00F51743">
        <w:rPr>
          <w:rFonts w:ascii="Arial" w:hAnsi="Arial" w:cs="Arial"/>
          <w:color w:val="000000" w:themeColor="text1"/>
          <w:sz w:val="24"/>
          <w:szCs w:val="24"/>
        </w:rPr>
        <w:t>which the</w:t>
      </w:r>
      <w:r w:rsidR="00FF34B5">
        <w:rPr>
          <w:rFonts w:ascii="Arial" w:hAnsi="Arial" w:cs="Arial"/>
          <w:color w:val="000000" w:themeColor="text1"/>
          <w:sz w:val="24"/>
          <w:szCs w:val="24"/>
        </w:rPr>
        <w:t xml:space="preserve"> </w:t>
      </w:r>
      <w:r w:rsidR="00F51743">
        <w:rPr>
          <w:rFonts w:ascii="Arial" w:hAnsi="Arial" w:cs="Arial"/>
          <w:color w:val="000000" w:themeColor="text1"/>
          <w:sz w:val="24"/>
          <w:szCs w:val="24"/>
        </w:rPr>
        <w:t>ap</w:t>
      </w:r>
      <w:r w:rsidR="00F83A53">
        <w:rPr>
          <w:rFonts w:ascii="Arial" w:hAnsi="Arial" w:cs="Arial"/>
          <w:color w:val="000000" w:themeColor="text1"/>
          <w:sz w:val="24"/>
          <w:szCs w:val="24"/>
        </w:rPr>
        <w:t>plicants rely. The approach followed by the Constitutional Court</w:t>
      </w:r>
      <w:r w:rsidR="00BE0461">
        <w:rPr>
          <w:rFonts w:ascii="Arial" w:hAnsi="Arial" w:cs="Arial"/>
          <w:color w:val="000000" w:themeColor="text1"/>
          <w:sz w:val="24"/>
          <w:szCs w:val="24"/>
        </w:rPr>
        <w:t>,</w:t>
      </w:r>
      <w:r w:rsidR="002F57D0">
        <w:rPr>
          <w:rFonts w:ascii="Arial" w:hAnsi="Arial" w:cs="Arial"/>
          <w:color w:val="000000" w:themeColor="text1"/>
          <w:sz w:val="24"/>
          <w:szCs w:val="24"/>
        </w:rPr>
        <w:t xml:space="preserve"> in the course of having to determine the extent of a review record</w:t>
      </w:r>
      <w:r w:rsidR="00BE0461">
        <w:rPr>
          <w:rFonts w:ascii="Arial" w:hAnsi="Arial" w:cs="Arial"/>
          <w:color w:val="000000" w:themeColor="text1"/>
          <w:sz w:val="24"/>
          <w:szCs w:val="24"/>
        </w:rPr>
        <w:t>,</w:t>
      </w:r>
      <w:r w:rsidR="00F83A53">
        <w:rPr>
          <w:rFonts w:ascii="Arial" w:hAnsi="Arial" w:cs="Arial"/>
          <w:color w:val="000000" w:themeColor="text1"/>
          <w:sz w:val="24"/>
          <w:szCs w:val="24"/>
        </w:rPr>
        <w:t xml:space="preserve"> is apparent from the </w:t>
      </w:r>
      <w:r w:rsidR="008B1662">
        <w:rPr>
          <w:rFonts w:ascii="Arial" w:hAnsi="Arial" w:cs="Arial"/>
          <w:color w:val="000000" w:themeColor="text1"/>
          <w:sz w:val="24"/>
          <w:szCs w:val="24"/>
        </w:rPr>
        <w:t xml:space="preserve">cited </w:t>
      </w:r>
      <w:r w:rsidR="00F83A53">
        <w:rPr>
          <w:rFonts w:ascii="Arial" w:hAnsi="Arial" w:cs="Arial"/>
          <w:color w:val="000000" w:themeColor="text1"/>
          <w:sz w:val="24"/>
          <w:szCs w:val="24"/>
        </w:rPr>
        <w:t>following dictum</w:t>
      </w:r>
      <w:r w:rsidR="002F57D0">
        <w:rPr>
          <w:rFonts w:ascii="Arial" w:hAnsi="Arial" w:cs="Arial"/>
          <w:color w:val="000000" w:themeColor="text1"/>
          <w:sz w:val="24"/>
          <w:szCs w:val="24"/>
        </w:rPr>
        <w:t>:</w:t>
      </w:r>
    </w:p>
    <w:p w:rsidR="00FF34B5" w:rsidRPr="00FF34B5" w:rsidRDefault="00FF34B5" w:rsidP="00EB08AF">
      <w:pPr>
        <w:spacing w:after="0" w:line="360" w:lineRule="auto"/>
        <w:jc w:val="both"/>
        <w:rPr>
          <w:rFonts w:ascii="Arial" w:hAnsi="Arial" w:cs="Arial"/>
          <w:b/>
        </w:rPr>
      </w:pPr>
    </w:p>
    <w:p w:rsidR="002F57D0" w:rsidRDefault="00FD07BA" w:rsidP="009632EB">
      <w:pPr>
        <w:spacing w:after="0" w:line="360" w:lineRule="auto"/>
        <w:ind w:firstLine="720"/>
        <w:jc w:val="both"/>
        <w:rPr>
          <w:rFonts w:ascii="Arial" w:hAnsi="Arial" w:cs="Arial"/>
        </w:rPr>
      </w:pPr>
      <w:r>
        <w:rPr>
          <w:rFonts w:ascii="Arial" w:hAnsi="Arial" w:cs="Arial"/>
        </w:rPr>
        <w:t>‘</w:t>
      </w:r>
      <w:r w:rsidR="009F7699">
        <w:rPr>
          <w:rFonts w:ascii="Arial" w:hAnsi="Arial" w:cs="Arial"/>
        </w:rPr>
        <w:t>[25]</w:t>
      </w:r>
      <w:r w:rsidR="009F7699">
        <w:rPr>
          <w:rFonts w:ascii="Arial" w:hAnsi="Arial" w:cs="Arial"/>
        </w:rPr>
        <w:tab/>
      </w:r>
      <w:r w:rsidR="002F57D0" w:rsidRPr="009632EB">
        <w:rPr>
          <w:rFonts w:ascii="Arial" w:hAnsi="Arial" w:cs="Arial"/>
        </w:rPr>
        <w:t>The JSC submitted that relevance should be determined with reference to the pleaded case. I do not agree. Rule 53 envisages the possibility of a review applicant supplementing the papers, including the very cause of action, upon being furnished with the record.</w:t>
      </w:r>
      <w:r w:rsidR="009632EB" w:rsidRPr="009632EB">
        <w:rPr>
          <w:rStyle w:val="FootnoteReference"/>
          <w:rFonts w:ascii="Arial" w:hAnsi="Arial"/>
        </w:rPr>
        <w:footnoteReference w:id="49"/>
      </w:r>
      <w:r w:rsidR="009632EB" w:rsidRPr="009632EB">
        <w:rPr>
          <w:rFonts w:ascii="Arial" w:hAnsi="Arial" w:cs="Arial"/>
        </w:rPr>
        <w:t xml:space="preserve"> </w:t>
      </w:r>
      <w:r w:rsidR="002F57D0" w:rsidRPr="009632EB">
        <w:rPr>
          <w:rFonts w:ascii="Arial" w:hAnsi="Arial" w:cs="Arial"/>
        </w:rPr>
        <w:t xml:space="preserve">That much is plain from the fact that an applicant may supplement not only the </w:t>
      </w:r>
      <w:r w:rsidR="002F57D0" w:rsidRPr="009632EB">
        <w:rPr>
          <w:rFonts w:ascii="Arial" w:hAnsi="Arial" w:cs="Arial"/>
        </w:rPr>
        <w:lastRenderedPageBreak/>
        <w:t xml:space="preserve">affidavits, but also the notice of motion. </w:t>
      </w:r>
      <w:r w:rsidR="009632EB" w:rsidRPr="009632EB">
        <w:rPr>
          <w:rFonts w:ascii="Arial" w:hAnsi="Arial" w:cs="Arial"/>
        </w:rPr>
        <w:t xml:space="preserve">That means an applicant </w:t>
      </w:r>
      <w:r w:rsidR="002F57D0" w:rsidRPr="009632EB">
        <w:rPr>
          <w:rFonts w:ascii="Arial" w:hAnsi="Arial" w:cs="Arial"/>
        </w:rPr>
        <w:t>may add to or subtract from the grounds of review.</w:t>
      </w:r>
      <w:r w:rsidR="009632EB" w:rsidRPr="009632EB">
        <w:rPr>
          <w:rStyle w:val="FootnoteReference"/>
          <w:rFonts w:ascii="Arial" w:hAnsi="Arial"/>
        </w:rPr>
        <w:footnoteReference w:id="50"/>
      </w:r>
      <w:r w:rsidR="002F57D0" w:rsidRPr="009632EB">
        <w:rPr>
          <w:rFonts w:ascii="Arial" w:hAnsi="Arial" w:cs="Arial"/>
        </w:rPr>
        <w:t>Then, if information could be excluded on the basis of being irrelevant to the pleaded</w:t>
      </w:r>
      <w:r w:rsidR="009632EB" w:rsidRPr="009632EB">
        <w:rPr>
          <w:rFonts w:ascii="Arial" w:hAnsi="Arial" w:cs="Arial"/>
        </w:rPr>
        <w:t xml:space="preserve"> </w:t>
      </w:r>
      <w:r w:rsidR="002F57D0" w:rsidRPr="009632EB">
        <w:rPr>
          <w:rFonts w:ascii="Arial" w:hAnsi="Arial" w:cs="Arial"/>
        </w:rPr>
        <w:t>case, this would negate a substantial par</w:t>
      </w:r>
      <w:r w:rsidR="009632EB" w:rsidRPr="009632EB">
        <w:rPr>
          <w:rFonts w:ascii="Arial" w:hAnsi="Arial" w:cs="Arial"/>
        </w:rPr>
        <w:t xml:space="preserve">t of the purpose of the </w:t>
      </w:r>
      <w:r w:rsidR="002F57D0" w:rsidRPr="009632EB">
        <w:rPr>
          <w:rFonts w:ascii="Arial" w:hAnsi="Arial" w:cs="Arial"/>
        </w:rPr>
        <w:t>rule 53 record.</w:t>
      </w:r>
      <w:r w:rsidR="009632EB" w:rsidRPr="009632EB">
        <w:rPr>
          <w:rStyle w:val="FootnoteReference"/>
          <w:rFonts w:ascii="Arial" w:hAnsi="Arial"/>
        </w:rPr>
        <w:footnoteReference w:id="51"/>
      </w:r>
      <w:r w:rsidR="009632EB" w:rsidRPr="009632EB">
        <w:rPr>
          <w:rFonts w:ascii="Arial" w:hAnsi="Arial" w:cs="Arial"/>
        </w:rPr>
        <w:t xml:space="preserve"> </w:t>
      </w:r>
      <w:r w:rsidR="002F57D0" w:rsidRPr="009632EB">
        <w:rPr>
          <w:rFonts w:ascii="Arial" w:hAnsi="Arial" w:cs="Arial"/>
        </w:rPr>
        <w:t>What must be disclosed is information relevant to the impugned decision. Unsurprisingly, a review applicant may not have pleaded certain issues that bolster her or his challenge exactly because she or he was not aware of their existence.</w:t>
      </w:r>
    </w:p>
    <w:p w:rsidR="009632EB" w:rsidRPr="009632EB" w:rsidRDefault="009632EB" w:rsidP="009632EB">
      <w:pPr>
        <w:spacing w:after="0" w:line="360" w:lineRule="auto"/>
        <w:ind w:firstLine="720"/>
        <w:jc w:val="both"/>
        <w:rPr>
          <w:rFonts w:ascii="Arial" w:hAnsi="Arial" w:cs="Arial"/>
        </w:rPr>
      </w:pPr>
    </w:p>
    <w:p w:rsidR="008602D3" w:rsidRPr="009632EB" w:rsidRDefault="002F57D0" w:rsidP="002F57D0">
      <w:pPr>
        <w:spacing w:after="0" w:line="360" w:lineRule="auto"/>
        <w:jc w:val="both"/>
        <w:rPr>
          <w:rFonts w:ascii="Arial" w:hAnsi="Arial" w:cs="Arial"/>
        </w:rPr>
      </w:pPr>
      <w:r w:rsidRPr="009632EB">
        <w:rPr>
          <w:rFonts w:ascii="Arial" w:hAnsi="Arial" w:cs="Arial"/>
        </w:rPr>
        <w:t>[26]</w:t>
      </w:r>
      <w:r w:rsidR="009F7699">
        <w:rPr>
          <w:rFonts w:ascii="Arial" w:hAnsi="Arial" w:cs="Arial"/>
        </w:rPr>
        <w:tab/>
      </w:r>
      <w:r w:rsidRPr="009632EB">
        <w:rPr>
          <w:rFonts w:ascii="Arial" w:hAnsi="Arial" w:cs="Arial"/>
        </w:rPr>
        <w:t>It is helpful to point out that the rule 53 proc</w:t>
      </w:r>
      <w:r w:rsidR="009632EB" w:rsidRPr="009632EB">
        <w:rPr>
          <w:rFonts w:ascii="Arial" w:hAnsi="Arial" w:cs="Arial"/>
        </w:rPr>
        <w:t xml:space="preserve">ess differs from normal </w:t>
      </w:r>
      <w:r w:rsidRPr="009632EB">
        <w:rPr>
          <w:rFonts w:ascii="Arial" w:hAnsi="Arial" w:cs="Arial"/>
        </w:rPr>
        <w:t xml:space="preserve">discovery under rule 35 of the Uniform Rules of Court. Under rule 35 documents are discoverable if relevant, and relevance is determined with reference to the pleadings. So, under the rule 35 discovery process, asking for information not relevant to the pleaded case would be a fishing expedition. Rule 53 reviews are different. The rule envisages the </w:t>
      </w:r>
      <w:r w:rsidR="009632EB" w:rsidRPr="009632EB">
        <w:rPr>
          <w:rFonts w:ascii="Arial" w:hAnsi="Arial" w:cs="Arial"/>
        </w:rPr>
        <w:t xml:space="preserve">grounds </w:t>
      </w:r>
      <w:r w:rsidRPr="009632EB">
        <w:rPr>
          <w:rFonts w:ascii="Arial" w:hAnsi="Arial" w:cs="Arial"/>
        </w:rPr>
        <w:t>of review changing later. So, relevance is assessed as it relates to the decision sought to be reviewed, not the case pleaded in the founding affidavit.</w:t>
      </w:r>
      <w:r w:rsidR="009632EB" w:rsidRPr="009632EB">
        <w:rPr>
          <w:rFonts w:ascii="Arial" w:hAnsi="Arial" w:cs="Arial"/>
        </w:rPr>
        <w:t>’</w:t>
      </w:r>
    </w:p>
    <w:p w:rsidR="009632EB" w:rsidRDefault="009632EB" w:rsidP="00EB08AF">
      <w:pPr>
        <w:spacing w:after="0" w:line="360" w:lineRule="auto"/>
        <w:jc w:val="both"/>
        <w:rPr>
          <w:rFonts w:ascii="Arial" w:hAnsi="Arial" w:cs="Arial"/>
          <w:sz w:val="24"/>
          <w:szCs w:val="24"/>
        </w:rPr>
      </w:pPr>
    </w:p>
    <w:p w:rsidR="009632EB" w:rsidRDefault="009632EB" w:rsidP="00EB08AF">
      <w:pPr>
        <w:spacing w:after="0" w:line="360" w:lineRule="auto"/>
        <w:jc w:val="both"/>
        <w:rPr>
          <w:rFonts w:ascii="Arial" w:hAnsi="Arial" w:cs="Arial"/>
          <w:sz w:val="24"/>
          <w:szCs w:val="24"/>
        </w:rPr>
      </w:pPr>
      <w:r>
        <w:rPr>
          <w:rFonts w:ascii="Arial" w:hAnsi="Arial" w:cs="Arial"/>
          <w:sz w:val="24"/>
          <w:szCs w:val="24"/>
        </w:rPr>
        <w:t>[</w:t>
      </w:r>
      <w:r w:rsidR="009F7699">
        <w:rPr>
          <w:rFonts w:ascii="Arial" w:hAnsi="Arial" w:cs="Arial"/>
          <w:sz w:val="24"/>
          <w:szCs w:val="24"/>
        </w:rPr>
        <w:t>1</w:t>
      </w:r>
      <w:r w:rsidR="002724C5">
        <w:rPr>
          <w:rFonts w:ascii="Arial" w:hAnsi="Arial" w:cs="Arial"/>
          <w:sz w:val="24"/>
          <w:szCs w:val="24"/>
        </w:rPr>
        <w:t>9</w:t>
      </w:r>
      <w:r>
        <w:rPr>
          <w:rFonts w:ascii="Arial" w:hAnsi="Arial" w:cs="Arial"/>
          <w:sz w:val="24"/>
          <w:szCs w:val="24"/>
        </w:rPr>
        <w:t>]</w:t>
      </w:r>
      <w:r>
        <w:rPr>
          <w:rFonts w:ascii="Arial" w:hAnsi="Arial" w:cs="Arial"/>
          <w:sz w:val="24"/>
          <w:szCs w:val="24"/>
        </w:rPr>
        <w:tab/>
        <w:t xml:space="preserve">I </w:t>
      </w:r>
      <w:r w:rsidR="00BE0461">
        <w:rPr>
          <w:rFonts w:ascii="Arial" w:hAnsi="Arial" w:cs="Arial"/>
          <w:sz w:val="24"/>
          <w:szCs w:val="24"/>
        </w:rPr>
        <w:t xml:space="preserve">can only but respectfully </w:t>
      </w:r>
      <w:r>
        <w:rPr>
          <w:rFonts w:ascii="Arial" w:hAnsi="Arial" w:cs="Arial"/>
          <w:sz w:val="24"/>
          <w:szCs w:val="24"/>
        </w:rPr>
        <w:t>agree.</w:t>
      </w:r>
      <w:r w:rsidR="00BE0461">
        <w:rPr>
          <w:rFonts w:ascii="Arial" w:hAnsi="Arial" w:cs="Arial"/>
          <w:sz w:val="24"/>
          <w:szCs w:val="24"/>
        </w:rPr>
        <w:t xml:space="preserve"> Madlanga J, writing for the Constitutional Court,</w:t>
      </w:r>
      <w:r>
        <w:rPr>
          <w:rFonts w:ascii="Arial" w:hAnsi="Arial" w:cs="Arial"/>
          <w:sz w:val="24"/>
          <w:szCs w:val="24"/>
        </w:rPr>
        <w:t xml:space="preserve"> </w:t>
      </w:r>
      <w:r w:rsidR="00BE0461" w:rsidRPr="00BE0461">
        <w:rPr>
          <w:rFonts w:ascii="Arial" w:hAnsi="Arial" w:cs="Arial"/>
          <w:sz w:val="24"/>
          <w:szCs w:val="24"/>
        </w:rPr>
        <w:t>(Zondo DCJ, Cameron J, Froneman J, Kathree-Setiloane AJ, Mhlantla J and Theron J concurring)</w:t>
      </w:r>
      <w:r w:rsidR="00BE0461">
        <w:rPr>
          <w:rFonts w:ascii="Arial" w:hAnsi="Arial" w:cs="Arial"/>
          <w:sz w:val="24"/>
          <w:szCs w:val="24"/>
        </w:rPr>
        <w:t>, has hit the nerve. Also Namibia’s Rule 76:</w:t>
      </w:r>
    </w:p>
    <w:p w:rsidR="00BE0461" w:rsidRDefault="00BE0461" w:rsidP="00EB08AF">
      <w:pPr>
        <w:spacing w:after="0" w:line="360" w:lineRule="auto"/>
        <w:jc w:val="both"/>
        <w:rPr>
          <w:rFonts w:ascii="Arial" w:hAnsi="Arial" w:cs="Arial"/>
          <w:sz w:val="24"/>
          <w:szCs w:val="24"/>
        </w:rPr>
      </w:pPr>
    </w:p>
    <w:p w:rsidR="00DF17A9" w:rsidRDefault="00BE0461" w:rsidP="009F7699">
      <w:pPr>
        <w:pStyle w:val="ListParagraph"/>
        <w:numPr>
          <w:ilvl w:val="0"/>
          <w:numId w:val="7"/>
        </w:numPr>
        <w:spacing w:line="360" w:lineRule="auto"/>
        <w:ind w:left="0" w:firstLine="0"/>
        <w:jc w:val="both"/>
        <w:rPr>
          <w:rFonts w:cs="Arial"/>
        </w:rPr>
      </w:pPr>
      <w:r w:rsidRPr="00BE0461">
        <w:rPr>
          <w:rFonts w:cs="Arial"/>
        </w:rPr>
        <w:t>envisages the possibility of a review applicant supplementing the papers, including the very cause of action</w:t>
      </w:r>
      <w:r w:rsidR="00D902BE">
        <w:rPr>
          <w:rFonts w:cs="Arial"/>
        </w:rPr>
        <w:t xml:space="preserve"> initially relied on</w:t>
      </w:r>
      <w:r w:rsidRPr="00BE0461">
        <w:rPr>
          <w:rFonts w:cs="Arial"/>
        </w:rPr>
        <w:t xml:space="preserve">, upon being furnished with the record. That much is plain from the fact that </w:t>
      </w:r>
      <w:r w:rsidR="00DF17A9">
        <w:rPr>
          <w:rFonts w:cs="Arial"/>
        </w:rPr>
        <w:t xml:space="preserve">in terms of Rule 76(9) ‘ … </w:t>
      </w:r>
      <w:r w:rsidRPr="00BE0461">
        <w:rPr>
          <w:rFonts w:cs="Arial"/>
        </w:rPr>
        <w:t>an applicant may supplement not only the affidavits</w:t>
      </w:r>
      <w:r w:rsidR="00DF17A9">
        <w:rPr>
          <w:rFonts w:cs="Arial"/>
        </w:rPr>
        <w:t xml:space="preserve">, but also the notice of motion; ie. in the words of the rule an applicant may </w:t>
      </w:r>
      <w:r w:rsidR="00F67080" w:rsidRPr="00F67080">
        <w:rPr>
          <w:rFonts w:cs="Arial"/>
          <w:i/>
        </w:rPr>
        <w:t>‘</w:t>
      </w:r>
      <w:r w:rsidR="00DF17A9" w:rsidRPr="00F67080">
        <w:rPr>
          <w:rFonts w:cs="Arial"/>
          <w:i/>
        </w:rPr>
        <w:t>amend, add to or vary and supplement the supporting affidavit …’</w:t>
      </w:r>
      <w:r w:rsidR="00DF17A9">
        <w:rPr>
          <w:rFonts w:cs="Arial"/>
        </w:rPr>
        <w:t>;</w:t>
      </w:r>
    </w:p>
    <w:p w:rsidR="009F7699" w:rsidRDefault="009F7699" w:rsidP="009F7699">
      <w:pPr>
        <w:pStyle w:val="ListParagraph"/>
        <w:spacing w:line="360" w:lineRule="auto"/>
        <w:ind w:left="0"/>
        <w:jc w:val="both"/>
        <w:rPr>
          <w:rFonts w:cs="Arial"/>
        </w:rPr>
      </w:pPr>
    </w:p>
    <w:p w:rsidR="00DF17A9" w:rsidRDefault="00DF17A9" w:rsidP="009F7699">
      <w:pPr>
        <w:pStyle w:val="ListParagraph"/>
        <w:numPr>
          <w:ilvl w:val="0"/>
          <w:numId w:val="7"/>
        </w:numPr>
        <w:spacing w:line="360" w:lineRule="auto"/>
        <w:ind w:left="0" w:firstLine="0"/>
        <w:jc w:val="both"/>
        <w:rPr>
          <w:rFonts w:cs="Arial"/>
        </w:rPr>
      </w:pPr>
      <w:r>
        <w:rPr>
          <w:rFonts w:cs="Arial"/>
        </w:rPr>
        <w:t xml:space="preserve">the import of the rule is </w:t>
      </w:r>
      <w:r w:rsidR="00231557">
        <w:rPr>
          <w:rFonts w:cs="Arial"/>
        </w:rPr>
        <w:t xml:space="preserve">therefore </w:t>
      </w:r>
      <w:r>
        <w:rPr>
          <w:rFonts w:cs="Arial"/>
        </w:rPr>
        <w:t>to the effect that</w:t>
      </w:r>
      <w:r w:rsidR="00BE0461" w:rsidRPr="00BE0461">
        <w:rPr>
          <w:rFonts w:cs="Arial"/>
        </w:rPr>
        <w:t xml:space="preserve"> an applicant may </w:t>
      </w:r>
      <w:r w:rsidR="00F67080">
        <w:rPr>
          <w:rFonts w:cs="Arial"/>
        </w:rPr>
        <w:t>not only add to but also</w:t>
      </w:r>
      <w:r w:rsidR="00BE0461" w:rsidRPr="00BE0461">
        <w:rPr>
          <w:rFonts w:cs="Arial"/>
        </w:rPr>
        <w:t xml:space="preserve"> subtract from the</w:t>
      </w:r>
      <w:r>
        <w:rPr>
          <w:rFonts w:cs="Arial"/>
        </w:rPr>
        <w:t xml:space="preserve"> original grounds of review;</w:t>
      </w:r>
    </w:p>
    <w:p w:rsidR="009F7699" w:rsidRDefault="009F7699" w:rsidP="009F7699">
      <w:pPr>
        <w:pStyle w:val="ListParagraph"/>
        <w:spacing w:line="360" w:lineRule="auto"/>
        <w:ind w:left="0"/>
        <w:jc w:val="both"/>
        <w:rPr>
          <w:rFonts w:cs="Arial"/>
        </w:rPr>
      </w:pPr>
    </w:p>
    <w:p w:rsidR="00DF17A9" w:rsidRPr="000C0509" w:rsidRDefault="00DF17A9" w:rsidP="008D3E1A">
      <w:pPr>
        <w:pStyle w:val="ListParagraph"/>
        <w:numPr>
          <w:ilvl w:val="0"/>
          <w:numId w:val="7"/>
        </w:numPr>
        <w:spacing w:line="360" w:lineRule="auto"/>
        <w:ind w:left="0" w:firstLine="0"/>
        <w:jc w:val="both"/>
        <w:rPr>
          <w:rFonts w:cs="Arial"/>
        </w:rPr>
      </w:pPr>
      <w:r>
        <w:rPr>
          <w:rFonts w:cs="Arial"/>
        </w:rPr>
        <w:t>thus</w:t>
      </w:r>
      <w:r w:rsidR="00BE0461" w:rsidRPr="00BE0461">
        <w:rPr>
          <w:rFonts w:cs="Arial"/>
        </w:rPr>
        <w:t xml:space="preserve">, if information could be excluded on the basis of </w:t>
      </w:r>
      <w:r w:rsidR="00D902BE">
        <w:rPr>
          <w:rFonts w:cs="Arial"/>
        </w:rPr>
        <w:t xml:space="preserve">it </w:t>
      </w:r>
      <w:r w:rsidR="00BE0461" w:rsidRPr="00BE0461">
        <w:rPr>
          <w:rFonts w:cs="Arial"/>
        </w:rPr>
        <w:t>being irrelevant to the</w:t>
      </w:r>
      <w:r w:rsidR="000C0509">
        <w:rPr>
          <w:rFonts w:cs="Arial"/>
        </w:rPr>
        <w:t xml:space="preserve"> </w:t>
      </w:r>
      <w:r w:rsidR="000C0509">
        <w:rPr>
          <w:rFonts w:cs="Arial"/>
        </w:rPr>
        <w:lastRenderedPageBreak/>
        <w:t>originally</w:t>
      </w:r>
      <w:r w:rsidR="00BE0461" w:rsidRPr="00BE0461">
        <w:rPr>
          <w:rFonts w:cs="Arial"/>
        </w:rPr>
        <w:t xml:space="preserve"> pleaded case, this would negate a substantial part of the purpose of </w:t>
      </w:r>
      <w:r w:rsidR="000C0509">
        <w:rPr>
          <w:rFonts w:cs="Arial"/>
        </w:rPr>
        <w:t xml:space="preserve">making available </w:t>
      </w:r>
      <w:r w:rsidR="00BE0461" w:rsidRPr="00BE0461">
        <w:rPr>
          <w:rFonts w:cs="Arial"/>
        </w:rPr>
        <w:t xml:space="preserve">the </w:t>
      </w:r>
      <w:r>
        <w:rPr>
          <w:rFonts w:cs="Arial"/>
        </w:rPr>
        <w:t>rule 76</w:t>
      </w:r>
      <w:r w:rsidR="000C0509">
        <w:rPr>
          <w:rFonts w:cs="Arial"/>
        </w:rPr>
        <w:t xml:space="preserve"> record; as </w:t>
      </w:r>
      <w:r w:rsidRPr="000C0509">
        <w:rPr>
          <w:rFonts w:cs="Arial"/>
        </w:rPr>
        <w:t>a review applicant may not have pleaded certain issues that bolster her or his challenge exactly because she or he w</w:t>
      </w:r>
      <w:r w:rsidR="000C0509">
        <w:rPr>
          <w:rFonts w:cs="Arial"/>
        </w:rPr>
        <w:t>as not aware of their existence</w:t>
      </w:r>
      <w:r w:rsidR="00F67080">
        <w:rPr>
          <w:rFonts w:cs="Arial"/>
        </w:rPr>
        <w:t>,</w:t>
      </w:r>
      <w:r w:rsidR="00D902BE">
        <w:rPr>
          <w:rFonts w:cs="Arial"/>
        </w:rPr>
        <w:t xml:space="preserve"> originally</w:t>
      </w:r>
      <w:r w:rsidR="000C0509">
        <w:rPr>
          <w:rFonts w:cs="Arial"/>
        </w:rPr>
        <w:t>.</w:t>
      </w:r>
    </w:p>
    <w:p w:rsidR="00DF17A9" w:rsidRDefault="00DF17A9" w:rsidP="008D3E1A">
      <w:pPr>
        <w:spacing w:after="0" w:line="360" w:lineRule="auto"/>
        <w:jc w:val="both"/>
        <w:rPr>
          <w:rFonts w:ascii="Arial" w:hAnsi="Arial" w:cs="Arial"/>
          <w:sz w:val="24"/>
          <w:szCs w:val="24"/>
        </w:rPr>
      </w:pPr>
    </w:p>
    <w:p w:rsidR="00B70DDA" w:rsidRPr="00B70DDA" w:rsidRDefault="00E35B8B" w:rsidP="008D3E1A">
      <w:pPr>
        <w:pStyle w:val="Heading1"/>
        <w:spacing w:before="0" w:after="0" w:line="360" w:lineRule="auto"/>
        <w:jc w:val="both"/>
        <w:rPr>
          <w:rFonts w:ascii="Arial" w:hAnsi="Arial" w:cs="Arial"/>
          <w:b w:val="0"/>
          <w:sz w:val="24"/>
          <w:szCs w:val="24"/>
        </w:rPr>
      </w:pPr>
      <w:r w:rsidRPr="00B70DDA">
        <w:rPr>
          <w:rFonts w:ascii="Arial" w:hAnsi="Arial" w:cs="Arial"/>
          <w:b w:val="0"/>
          <w:sz w:val="24"/>
          <w:szCs w:val="24"/>
        </w:rPr>
        <w:t>[</w:t>
      </w:r>
      <w:r w:rsidR="002724C5">
        <w:rPr>
          <w:rFonts w:ascii="Arial" w:hAnsi="Arial" w:cs="Arial"/>
          <w:b w:val="0"/>
          <w:sz w:val="24"/>
          <w:szCs w:val="24"/>
        </w:rPr>
        <w:t>20</w:t>
      </w:r>
      <w:r w:rsidRPr="00B70DDA">
        <w:rPr>
          <w:rFonts w:ascii="Arial" w:hAnsi="Arial" w:cs="Arial"/>
          <w:b w:val="0"/>
          <w:sz w:val="24"/>
          <w:szCs w:val="24"/>
        </w:rPr>
        <w:t>]</w:t>
      </w:r>
      <w:r w:rsidRPr="00B70DDA">
        <w:rPr>
          <w:rFonts w:ascii="Arial" w:hAnsi="Arial" w:cs="Arial"/>
          <w:b w:val="0"/>
          <w:sz w:val="24"/>
          <w:szCs w:val="24"/>
        </w:rPr>
        <w:tab/>
        <w:t>Accordingly</w:t>
      </w:r>
      <w:r w:rsidR="00DF17A9" w:rsidRPr="00B70DDA">
        <w:rPr>
          <w:rFonts w:ascii="Arial" w:hAnsi="Arial" w:cs="Arial"/>
          <w:b w:val="0"/>
          <w:sz w:val="24"/>
          <w:szCs w:val="24"/>
        </w:rPr>
        <w:t xml:space="preserve"> w</w:t>
      </w:r>
      <w:r w:rsidR="00BE0461" w:rsidRPr="00B70DDA">
        <w:rPr>
          <w:rFonts w:ascii="Arial" w:hAnsi="Arial" w:cs="Arial"/>
          <w:b w:val="0"/>
          <w:sz w:val="24"/>
          <w:szCs w:val="24"/>
        </w:rPr>
        <w:t>hat must be disclosed is</w:t>
      </w:r>
      <w:r w:rsidR="006F11C8">
        <w:rPr>
          <w:rFonts w:ascii="Arial" w:hAnsi="Arial" w:cs="Arial"/>
          <w:b w:val="0"/>
          <w:sz w:val="24"/>
          <w:szCs w:val="24"/>
        </w:rPr>
        <w:t xml:space="preserve"> all</w:t>
      </w:r>
      <w:r w:rsidR="00BE0461" w:rsidRPr="00B70DDA">
        <w:rPr>
          <w:rFonts w:ascii="Arial" w:hAnsi="Arial" w:cs="Arial"/>
          <w:b w:val="0"/>
          <w:sz w:val="24"/>
          <w:szCs w:val="24"/>
        </w:rPr>
        <w:t xml:space="preserve"> information re</w:t>
      </w:r>
      <w:r w:rsidR="00DF17A9" w:rsidRPr="00B70DDA">
        <w:rPr>
          <w:rFonts w:ascii="Arial" w:hAnsi="Arial" w:cs="Arial"/>
          <w:b w:val="0"/>
          <w:sz w:val="24"/>
          <w:szCs w:val="24"/>
        </w:rPr>
        <w:t>levant to the impugned decision</w:t>
      </w:r>
      <w:r w:rsidR="000C0509" w:rsidRPr="00B70DDA">
        <w:rPr>
          <w:rFonts w:ascii="Arial" w:hAnsi="Arial" w:cs="Arial"/>
          <w:b w:val="0"/>
          <w:sz w:val="24"/>
          <w:szCs w:val="24"/>
        </w:rPr>
        <w:t xml:space="preserve"> as other</w:t>
      </w:r>
      <w:r w:rsidR="00D902BE" w:rsidRPr="00B70DDA">
        <w:rPr>
          <w:rFonts w:ascii="Arial" w:hAnsi="Arial" w:cs="Arial"/>
          <w:b w:val="0"/>
          <w:sz w:val="24"/>
          <w:szCs w:val="24"/>
        </w:rPr>
        <w:t>wise the provisions of Rule 76</w:t>
      </w:r>
      <w:r w:rsidR="000C0509" w:rsidRPr="00B70DDA">
        <w:rPr>
          <w:rFonts w:ascii="Arial" w:hAnsi="Arial" w:cs="Arial"/>
          <w:b w:val="0"/>
          <w:sz w:val="24"/>
          <w:szCs w:val="24"/>
        </w:rPr>
        <w:t xml:space="preserve"> would be rendered meaningless.</w:t>
      </w:r>
      <w:r w:rsidR="00751AE9">
        <w:rPr>
          <w:rFonts w:ascii="Arial" w:hAnsi="Arial" w:cs="Arial"/>
          <w:b w:val="0"/>
          <w:sz w:val="24"/>
          <w:szCs w:val="24"/>
        </w:rPr>
        <w:t xml:space="preserve"> The Rule in any event requires this in express terms.</w:t>
      </w:r>
      <w:r w:rsidR="000C0509" w:rsidRPr="00B70DDA">
        <w:rPr>
          <w:rFonts w:ascii="Arial" w:hAnsi="Arial" w:cs="Arial"/>
          <w:b w:val="0"/>
          <w:sz w:val="24"/>
          <w:szCs w:val="24"/>
        </w:rPr>
        <w:t xml:space="preserve"> The rule</w:t>
      </w:r>
      <w:r w:rsidR="00751AE9">
        <w:rPr>
          <w:rFonts w:ascii="Arial" w:hAnsi="Arial" w:cs="Arial"/>
          <w:b w:val="0"/>
          <w:sz w:val="24"/>
          <w:szCs w:val="24"/>
        </w:rPr>
        <w:t xml:space="preserve"> also</w:t>
      </w:r>
      <w:r w:rsidR="000C0509" w:rsidRPr="00B70DDA">
        <w:rPr>
          <w:rFonts w:ascii="Arial" w:hAnsi="Arial" w:cs="Arial"/>
          <w:b w:val="0"/>
          <w:sz w:val="24"/>
          <w:szCs w:val="24"/>
        </w:rPr>
        <w:t xml:space="preserve"> clearly envisages the grounds of review </w:t>
      </w:r>
      <w:r w:rsidR="00751AE9">
        <w:rPr>
          <w:rFonts w:ascii="Arial" w:hAnsi="Arial" w:cs="Arial"/>
          <w:b w:val="0"/>
          <w:sz w:val="24"/>
          <w:szCs w:val="24"/>
        </w:rPr>
        <w:t>changing later. ‘R</w:t>
      </w:r>
      <w:r w:rsidR="000C0509" w:rsidRPr="00B70DDA">
        <w:rPr>
          <w:rFonts w:ascii="Arial" w:hAnsi="Arial" w:cs="Arial"/>
          <w:b w:val="0"/>
          <w:sz w:val="24"/>
          <w:szCs w:val="24"/>
        </w:rPr>
        <w:t>elevance</w:t>
      </w:r>
      <w:r w:rsidR="00751AE9">
        <w:rPr>
          <w:rFonts w:ascii="Arial" w:hAnsi="Arial" w:cs="Arial"/>
          <w:b w:val="0"/>
          <w:sz w:val="24"/>
          <w:szCs w:val="24"/>
        </w:rPr>
        <w:t>’</w:t>
      </w:r>
      <w:r w:rsidR="000C0509" w:rsidRPr="00B70DDA">
        <w:rPr>
          <w:rFonts w:ascii="Arial" w:hAnsi="Arial" w:cs="Arial"/>
          <w:b w:val="0"/>
          <w:sz w:val="24"/>
          <w:szCs w:val="24"/>
        </w:rPr>
        <w:t xml:space="preserve"> should</w:t>
      </w:r>
      <w:r w:rsidR="00751AE9">
        <w:rPr>
          <w:rFonts w:ascii="Arial" w:hAnsi="Arial" w:cs="Arial"/>
          <w:b w:val="0"/>
          <w:sz w:val="24"/>
          <w:szCs w:val="24"/>
        </w:rPr>
        <w:t xml:space="preserve"> thus</w:t>
      </w:r>
      <w:r w:rsidR="000C0509" w:rsidRPr="00B70DDA">
        <w:rPr>
          <w:rFonts w:ascii="Arial" w:hAnsi="Arial" w:cs="Arial"/>
          <w:b w:val="0"/>
          <w:sz w:val="24"/>
          <w:szCs w:val="24"/>
        </w:rPr>
        <w:t xml:space="preserve"> be assessed as it relates to the decision sought to be reviewed, not with reference to the case pleaded originally in the founding affidavit.</w:t>
      </w:r>
      <w:r w:rsidR="00056D42" w:rsidRPr="00B70DDA">
        <w:rPr>
          <w:rFonts w:ascii="Arial" w:hAnsi="Arial" w:cs="Arial"/>
          <w:b w:val="0"/>
          <w:sz w:val="24"/>
          <w:szCs w:val="24"/>
        </w:rPr>
        <w:t xml:space="preserve"> In this regard it can thus be said that</w:t>
      </w:r>
      <w:r w:rsidR="00751AE9">
        <w:rPr>
          <w:rFonts w:ascii="Arial" w:hAnsi="Arial" w:cs="Arial"/>
          <w:b w:val="0"/>
          <w:sz w:val="24"/>
          <w:szCs w:val="24"/>
        </w:rPr>
        <w:t>,</w:t>
      </w:r>
      <w:r w:rsidR="00056D42" w:rsidRPr="00B70DDA">
        <w:rPr>
          <w:rFonts w:ascii="Arial" w:hAnsi="Arial" w:cs="Arial"/>
          <w:b w:val="0"/>
          <w:sz w:val="24"/>
          <w:szCs w:val="24"/>
        </w:rPr>
        <w:t xml:space="preserve"> what must be disclosed</w:t>
      </w:r>
      <w:r w:rsidR="00751AE9">
        <w:rPr>
          <w:rFonts w:ascii="Arial" w:hAnsi="Arial" w:cs="Arial"/>
          <w:b w:val="0"/>
          <w:sz w:val="24"/>
          <w:szCs w:val="24"/>
        </w:rPr>
        <w:t xml:space="preserve"> -</w:t>
      </w:r>
      <w:r w:rsidR="00B70DDA" w:rsidRPr="00B70DDA">
        <w:rPr>
          <w:rFonts w:ascii="Arial" w:hAnsi="Arial" w:cs="Arial"/>
          <w:b w:val="0"/>
          <w:sz w:val="24"/>
          <w:szCs w:val="24"/>
        </w:rPr>
        <w:t xml:space="preserve"> </w:t>
      </w:r>
      <w:r w:rsidR="00751AE9">
        <w:rPr>
          <w:rFonts w:ascii="Arial" w:hAnsi="Arial" w:cs="Arial"/>
          <w:b w:val="0"/>
          <w:sz w:val="24"/>
          <w:szCs w:val="24"/>
        </w:rPr>
        <w:t xml:space="preserve">and it is here </w:t>
      </w:r>
      <w:r w:rsidR="00496A83">
        <w:rPr>
          <w:rFonts w:ascii="Arial" w:hAnsi="Arial" w:cs="Arial"/>
          <w:b w:val="0"/>
          <w:sz w:val="24"/>
          <w:szCs w:val="24"/>
        </w:rPr>
        <w:t xml:space="preserve">that </w:t>
      </w:r>
      <w:r w:rsidR="00B70DDA" w:rsidRPr="00B70DDA">
        <w:rPr>
          <w:rFonts w:ascii="Arial" w:hAnsi="Arial" w:cs="Arial"/>
          <w:b w:val="0"/>
          <w:sz w:val="24"/>
          <w:szCs w:val="24"/>
        </w:rPr>
        <w:t>I would think</w:t>
      </w:r>
      <w:r w:rsidR="00496A83">
        <w:rPr>
          <w:rFonts w:ascii="Arial" w:hAnsi="Arial" w:cs="Arial"/>
          <w:b w:val="0"/>
          <w:sz w:val="24"/>
          <w:szCs w:val="24"/>
        </w:rPr>
        <w:t xml:space="preserve"> that the</w:t>
      </w:r>
      <w:r w:rsidR="00751AE9">
        <w:rPr>
          <w:rFonts w:ascii="Arial" w:hAnsi="Arial" w:cs="Arial"/>
          <w:b w:val="0"/>
          <w:sz w:val="24"/>
          <w:szCs w:val="24"/>
        </w:rPr>
        <w:t xml:space="preserve"> material change comes in -</w:t>
      </w:r>
      <w:r w:rsidR="00056D42" w:rsidRPr="00B70DDA">
        <w:rPr>
          <w:rFonts w:ascii="Arial" w:hAnsi="Arial" w:cs="Arial"/>
          <w:b w:val="0"/>
          <w:sz w:val="24"/>
          <w:szCs w:val="24"/>
        </w:rPr>
        <w:t xml:space="preserve"> are all those</w:t>
      </w:r>
      <w:r w:rsidR="00056D42" w:rsidRPr="00B70DDA">
        <w:rPr>
          <w:rFonts w:cs="Arial"/>
          <w:b w:val="0"/>
          <w:sz w:val="24"/>
          <w:szCs w:val="24"/>
        </w:rPr>
        <w:t xml:space="preserve"> </w:t>
      </w:r>
      <w:r w:rsidR="00056D42" w:rsidRPr="00B70DDA">
        <w:rPr>
          <w:rFonts w:ascii="Arial" w:hAnsi="Arial" w:cs="Arial"/>
          <w:b w:val="0"/>
          <w:i/>
          <w:sz w:val="24"/>
          <w:szCs w:val="24"/>
        </w:rPr>
        <w:t>‘ … documents</w:t>
      </w:r>
      <w:r w:rsidR="006F11C8">
        <w:rPr>
          <w:rFonts w:ascii="Arial" w:hAnsi="Arial" w:cs="Arial"/>
          <w:b w:val="0"/>
          <w:i/>
          <w:sz w:val="24"/>
          <w:szCs w:val="24"/>
        </w:rPr>
        <w:t>/material</w:t>
      </w:r>
      <w:r w:rsidR="00E12182">
        <w:rPr>
          <w:rFonts w:ascii="Arial" w:hAnsi="Arial" w:cs="Arial"/>
          <w:b w:val="0"/>
          <w:i/>
          <w:sz w:val="24"/>
          <w:szCs w:val="24"/>
        </w:rPr>
        <w:t>s</w:t>
      </w:r>
      <w:r w:rsidR="00056D42" w:rsidRPr="00B70DDA">
        <w:rPr>
          <w:rFonts w:ascii="Arial" w:hAnsi="Arial" w:cs="Arial"/>
          <w:b w:val="0"/>
          <w:i/>
          <w:sz w:val="24"/>
          <w:szCs w:val="24"/>
        </w:rPr>
        <w:t xml:space="preserve"> that could have any tendency, in reason, to establish a</w:t>
      </w:r>
      <w:r w:rsidR="000166E1">
        <w:rPr>
          <w:rFonts w:ascii="Arial" w:hAnsi="Arial" w:cs="Arial"/>
          <w:b w:val="0"/>
          <w:i/>
          <w:sz w:val="24"/>
          <w:szCs w:val="24"/>
        </w:rPr>
        <w:t>ny</w:t>
      </w:r>
      <w:r w:rsidR="00056D42" w:rsidRPr="00B70DDA">
        <w:rPr>
          <w:rFonts w:ascii="Arial" w:hAnsi="Arial" w:cs="Arial"/>
          <w:b w:val="0"/>
          <w:i/>
          <w:sz w:val="24"/>
          <w:szCs w:val="24"/>
        </w:rPr>
        <w:t xml:space="preserve"> possible/potential review ground in relation to the decision to be reviewed</w:t>
      </w:r>
      <w:r w:rsidR="006F11C8">
        <w:rPr>
          <w:rFonts w:ascii="Arial" w:hAnsi="Arial" w:cs="Arial"/>
          <w:b w:val="0"/>
          <w:i/>
          <w:sz w:val="24"/>
          <w:szCs w:val="24"/>
        </w:rPr>
        <w:t>, ie. all materials relevant to the exercise of the public power in question</w:t>
      </w:r>
      <w:r w:rsidR="00056D42" w:rsidRPr="00B70DDA">
        <w:rPr>
          <w:rFonts w:ascii="Arial" w:hAnsi="Arial" w:cs="Arial"/>
          <w:b w:val="0"/>
          <w:i/>
          <w:sz w:val="24"/>
          <w:szCs w:val="24"/>
        </w:rPr>
        <w:t xml:space="preserve"> …’.</w:t>
      </w:r>
      <w:r w:rsidR="00F67080" w:rsidRPr="00B70DDA">
        <w:rPr>
          <w:rFonts w:ascii="Arial" w:hAnsi="Arial" w:cs="Arial"/>
          <w:b w:val="0"/>
          <w:i/>
          <w:sz w:val="24"/>
          <w:szCs w:val="24"/>
        </w:rPr>
        <w:t xml:space="preserve"> </w:t>
      </w:r>
      <w:r w:rsidR="00751AE9">
        <w:rPr>
          <w:rFonts w:ascii="Arial" w:hAnsi="Arial" w:cs="Arial"/>
          <w:b w:val="0"/>
          <w:sz w:val="24"/>
          <w:szCs w:val="24"/>
        </w:rPr>
        <w:t>I</w:t>
      </w:r>
      <w:r w:rsidR="00496A83">
        <w:rPr>
          <w:rFonts w:ascii="Arial" w:hAnsi="Arial" w:cs="Arial"/>
          <w:b w:val="0"/>
          <w:sz w:val="24"/>
          <w:szCs w:val="24"/>
        </w:rPr>
        <w:t>t follows</w:t>
      </w:r>
      <w:r w:rsidR="000166E1">
        <w:rPr>
          <w:rFonts w:ascii="Arial" w:hAnsi="Arial" w:cs="Arial"/>
          <w:b w:val="0"/>
          <w:sz w:val="24"/>
          <w:szCs w:val="24"/>
        </w:rPr>
        <w:t xml:space="preserve"> -</w:t>
      </w:r>
      <w:r w:rsidR="00496A83">
        <w:rPr>
          <w:rFonts w:ascii="Arial" w:hAnsi="Arial" w:cs="Arial"/>
          <w:b w:val="0"/>
          <w:sz w:val="24"/>
          <w:szCs w:val="24"/>
        </w:rPr>
        <w:t xml:space="preserve"> and I</w:t>
      </w:r>
      <w:r w:rsidR="00F67080" w:rsidRPr="00B70DDA">
        <w:rPr>
          <w:rFonts w:ascii="Arial" w:hAnsi="Arial" w:cs="Arial"/>
          <w:b w:val="0"/>
          <w:sz w:val="24"/>
          <w:szCs w:val="24"/>
        </w:rPr>
        <w:t xml:space="preserve"> thus uphold the submission</w:t>
      </w:r>
      <w:r w:rsidR="000166E1">
        <w:rPr>
          <w:rFonts w:ascii="Arial" w:hAnsi="Arial" w:cs="Arial"/>
          <w:b w:val="0"/>
          <w:sz w:val="24"/>
          <w:szCs w:val="24"/>
        </w:rPr>
        <w:t xml:space="preserve"> -</w:t>
      </w:r>
      <w:r w:rsidR="00F67080" w:rsidRPr="00B70DDA">
        <w:rPr>
          <w:rFonts w:ascii="Arial" w:hAnsi="Arial" w:cs="Arial"/>
          <w:b w:val="0"/>
          <w:sz w:val="24"/>
          <w:szCs w:val="24"/>
        </w:rPr>
        <w:t xml:space="preserve"> that the word ‘relevance’ as used in Rule 76(6) is </w:t>
      </w:r>
      <w:r w:rsidR="006D3690" w:rsidRPr="00B70DDA">
        <w:rPr>
          <w:rFonts w:ascii="Arial" w:hAnsi="Arial" w:cs="Arial"/>
          <w:b w:val="0"/>
          <w:sz w:val="24"/>
          <w:szCs w:val="24"/>
        </w:rPr>
        <w:t>‘</w:t>
      </w:r>
      <w:r w:rsidR="00F67080" w:rsidRPr="00B70DDA">
        <w:rPr>
          <w:rFonts w:ascii="Arial" w:hAnsi="Arial" w:cs="Arial"/>
          <w:b w:val="0"/>
          <w:sz w:val="24"/>
          <w:szCs w:val="24"/>
        </w:rPr>
        <w:t>wide</w:t>
      </w:r>
      <w:r w:rsidR="006D3690" w:rsidRPr="00B70DDA">
        <w:rPr>
          <w:rFonts w:ascii="Arial" w:hAnsi="Arial" w:cs="Arial"/>
          <w:b w:val="0"/>
          <w:sz w:val="24"/>
          <w:szCs w:val="24"/>
        </w:rPr>
        <w:t>(</w:t>
      </w:r>
      <w:r w:rsidR="00F67080" w:rsidRPr="00B70DDA">
        <w:rPr>
          <w:rFonts w:ascii="Arial" w:hAnsi="Arial" w:cs="Arial"/>
          <w:b w:val="0"/>
          <w:sz w:val="24"/>
          <w:szCs w:val="24"/>
        </w:rPr>
        <w:t>r</w:t>
      </w:r>
      <w:r w:rsidR="006D3690" w:rsidRPr="00B70DDA">
        <w:rPr>
          <w:rFonts w:ascii="Arial" w:hAnsi="Arial" w:cs="Arial"/>
          <w:b w:val="0"/>
          <w:sz w:val="24"/>
          <w:szCs w:val="24"/>
        </w:rPr>
        <w:t>)</w:t>
      </w:r>
      <w:r w:rsidR="00F67080" w:rsidRPr="00B70DDA">
        <w:rPr>
          <w:rFonts w:ascii="Arial" w:hAnsi="Arial" w:cs="Arial"/>
          <w:b w:val="0"/>
          <w:sz w:val="24"/>
          <w:szCs w:val="24"/>
        </w:rPr>
        <w:t xml:space="preserve"> in its scope </w:t>
      </w:r>
      <w:r w:rsidR="000E0BDF">
        <w:rPr>
          <w:rFonts w:ascii="Arial" w:hAnsi="Arial" w:cs="Arial"/>
          <w:b w:val="0"/>
          <w:sz w:val="24"/>
          <w:szCs w:val="24"/>
        </w:rPr>
        <w:t>and meaning’</w:t>
      </w:r>
      <w:r w:rsidR="008B1662">
        <w:rPr>
          <w:rFonts w:ascii="Arial" w:hAnsi="Arial" w:cs="Arial"/>
          <w:b w:val="0"/>
          <w:sz w:val="24"/>
          <w:szCs w:val="24"/>
        </w:rPr>
        <w:t xml:space="preserve"> </w:t>
      </w:r>
      <w:r w:rsidR="006F11C8">
        <w:rPr>
          <w:rFonts w:ascii="Arial" w:hAnsi="Arial" w:cs="Arial"/>
          <w:b w:val="0"/>
          <w:sz w:val="24"/>
          <w:szCs w:val="24"/>
        </w:rPr>
        <w:t>in the</w:t>
      </w:r>
      <w:r w:rsidR="00496A83">
        <w:rPr>
          <w:rFonts w:ascii="Arial" w:hAnsi="Arial" w:cs="Arial"/>
          <w:b w:val="0"/>
          <w:sz w:val="24"/>
          <w:szCs w:val="24"/>
        </w:rPr>
        <w:t>s</w:t>
      </w:r>
      <w:r w:rsidR="006F11C8">
        <w:rPr>
          <w:rFonts w:ascii="Arial" w:hAnsi="Arial" w:cs="Arial"/>
          <w:b w:val="0"/>
          <w:sz w:val="24"/>
          <w:szCs w:val="24"/>
        </w:rPr>
        <w:t>e respects</w:t>
      </w:r>
      <w:r w:rsidR="00496A83">
        <w:rPr>
          <w:rFonts w:ascii="Arial" w:hAnsi="Arial" w:cs="Arial"/>
          <w:b w:val="0"/>
          <w:sz w:val="24"/>
          <w:szCs w:val="24"/>
        </w:rPr>
        <w:t>.</w:t>
      </w:r>
      <w:r w:rsidR="006F11C8">
        <w:rPr>
          <w:rFonts w:ascii="Arial" w:hAnsi="Arial" w:cs="Arial"/>
          <w:b w:val="0"/>
          <w:sz w:val="24"/>
          <w:szCs w:val="24"/>
        </w:rPr>
        <w:t xml:space="preserve"> The concept thus</w:t>
      </w:r>
      <w:r w:rsidR="008B1662">
        <w:rPr>
          <w:rFonts w:ascii="Arial" w:hAnsi="Arial" w:cs="Arial"/>
          <w:b w:val="0"/>
          <w:sz w:val="24"/>
          <w:szCs w:val="24"/>
        </w:rPr>
        <w:t xml:space="preserve"> differs in its scope and the way and</w:t>
      </w:r>
      <w:r w:rsidR="00E12182">
        <w:rPr>
          <w:rFonts w:ascii="Arial" w:hAnsi="Arial" w:cs="Arial"/>
          <w:b w:val="0"/>
          <w:sz w:val="24"/>
          <w:szCs w:val="24"/>
        </w:rPr>
        <w:t xml:space="preserve"> from how it is applied in action- and also </w:t>
      </w:r>
      <w:r w:rsidR="000E0BDF">
        <w:rPr>
          <w:rFonts w:ascii="Arial" w:hAnsi="Arial" w:cs="Arial"/>
          <w:b w:val="0"/>
          <w:sz w:val="24"/>
          <w:szCs w:val="24"/>
        </w:rPr>
        <w:t xml:space="preserve">in </w:t>
      </w:r>
      <w:r w:rsidR="00E12182">
        <w:rPr>
          <w:rFonts w:ascii="Arial" w:hAnsi="Arial" w:cs="Arial"/>
          <w:b w:val="0"/>
          <w:sz w:val="24"/>
          <w:szCs w:val="24"/>
        </w:rPr>
        <w:t>motion proceedings in general.</w:t>
      </w:r>
      <w:r w:rsidR="00496A83">
        <w:rPr>
          <w:rFonts w:ascii="Arial" w:hAnsi="Arial" w:cs="Arial"/>
          <w:b w:val="0"/>
          <w:sz w:val="24"/>
          <w:szCs w:val="24"/>
        </w:rPr>
        <w:t xml:space="preserve"> It</w:t>
      </w:r>
      <w:r w:rsidR="00F67080" w:rsidRPr="00B70DDA">
        <w:rPr>
          <w:rFonts w:ascii="Arial" w:hAnsi="Arial" w:cs="Arial"/>
          <w:b w:val="0"/>
          <w:sz w:val="24"/>
          <w:szCs w:val="24"/>
        </w:rPr>
        <w:t xml:space="preserve"> is</w:t>
      </w:r>
      <w:r w:rsidR="000E0BDF">
        <w:rPr>
          <w:rFonts w:ascii="Arial" w:hAnsi="Arial" w:cs="Arial"/>
          <w:b w:val="0"/>
          <w:sz w:val="24"/>
          <w:szCs w:val="24"/>
        </w:rPr>
        <w:t xml:space="preserve"> thus</w:t>
      </w:r>
      <w:r w:rsidR="00496A83">
        <w:rPr>
          <w:rFonts w:ascii="Arial" w:hAnsi="Arial" w:cs="Arial"/>
          <w:b w:val="0"/>
          <w:sz w:val="24"/>
          <w:szCs w:val="24"/>
        </w:rPr>
        <w:t xml:space="preserve"> also</w:t>
      </w:r>
      <w:r w:rsidR="00F67080" w:rsidRPr="00B70DDA">
        <w:rPr>
          <w:rFonts w:ascii="Arial" w:hAnsi="Arial" w:cs="Arial"/>
          <w:b w:val="0"/>
          <w:sz w:val="24"/>
          <w:szCs w:val="24"/>
        </w:rPr>
        <w:t xml:space="preserve"> not limited</w:t>
      </w:r>
      <w:r w:rsidR="006D3690" w:rsidRPr="00B70DDA">
        <w:rPr>
          <w:rFonts w:ascii="Arial" w:hAnsi="Arial" w:cs="Arial"/>
          <w:b w:val="0"/>
          <w:sz w:val="24"/>
          <w:szCs w:val="24"/>
        </w:rPr>
        <w:t xml:space="preserve"> only</w:t>
      </w:r>
      <w:r w:rsidR="00F67080" w:rsidRPr="00B70DDA">
        <w:rPr>
          <w:rFonts w:ascii="Arial" w:hAnsi="Arial" w:cs="Arial"/>
          <w:b w:val="0"/>
          <w:sz w:val="24"/>
          <w:szCs w:val="24"/>
        </w:rPr>
        <w:t xml:space="preserve"> to the actual material </w:t>
      </w:r>
      <w:r w:rsidR="006D3690" w:rsidRPr="00B70DDA">
        <w:rPr>
          <w:rFonts w:ascii="Arial" w:hAnsi="Arial" w:cs="Arial"/>
          <w:b w:val="0"/>
          <w:sz w:val="24"/>
          <w:szCs w:val="24"/>
        </w:rPr>
        <w:t xml:space="preserve">serving </w:t>
      </w:r>
      <w:r w:rsidR="00F67080" w:rsidRPr="00B70DDA">
        <w:rPr>
          <w:rFonts w:ascii="Arial" w:hAnsi="Arial" w:cs="Arial"/>
          <w:b w:val="0"/>
          <w:sz w:val="24"/>
          <w:szCs w:val="24"/>
        </w:rPr>
        <w:t>before the decision-maker</w:t>
      </w:r>
      <w:r w:rsidR="00751AE9">
        <w:rPr>
          <w:rFonts w:ascii="Arial" w:hAnsi="Arial" w:cs="Arial"/>
          <w:b w:val="0"/>
          <w:sz w:val="24"/>
          <w:szCs w:val="24"/>
        </w:rPr>
        <w:t xml:space="preserve"> </w:t>
      </w:r>
      <w:r w:rsidR="008B1662">
        <w:rPr>
          <w:rFonts w:ascii="Arial" w:hAnsi="Arial" w:cs="Arial"/>
          <w:b w:val="0"/>
          <w:sz w:val="24"/>
          <w:szCs w:val="24"/>
        </w:rPr>
        <w:t>but</w:t>
      </w:r>
      <w:r w:rsidR="006D3690" w:rsidRPr="00B70DDA">
        <w:rPr>
          <w:rFonts w:ascii="Arial" w:hAnsi="Arial" w:cs="Arial"/>
          <w:b w:val="0"/>
          <w:sz w:val="24"/>
          <w:szCs w:val="24"/>
        </w:rPr>
        <w:t xml:space="preserve"> it so also includes all material available to the decision-maker</w:t>
      </w:r>
      <w:r w:rsidR="008B1662">
        <w:rPr>
          <w:rFonts w:ascii="Arial" w:hAnsi="Arial" w:cs="Arial"/>
          <w:b w:val="0"/>
          <w:sz w:val="24"/>
          <w:szCs w:val="24"/>
        </w:rPr>
        <w:t xml:space="preserve"> – whether considered or not</w:t>
      </w:r>
      <w:r w:rsidR="00496A83">
        <w:rPr>
          <w:rFonts w:ascii="Arial" w:hAnsi="Arial" w:cs="Arial"/>
          <w:b w:val="0"/>
          <w:sz w:val="24"/>
          <w:szCs w:val="24"/>
        </w:rPr>
        <w:t xml:space="preserve"> – for as long as it is relevant to the decision to be reviewed -</w:t>
      </w:r>
      <w:r w:rsidR="006D3690" w:rsidRPr="00B70DDA">
        <w:rPr>
          <w:rFonts w:ascii="Arial" w:hAnsi="Arial" w:cs="Arial"/>
          <w:b w:val="0"/>
          <w:sz w:val="24"/>
          <w:szCs w:val="24"/>
        </w:rPr>
        <w:t xml:space="preserve"> and in any event</w:t>
      </w:r>
      <w:r w:rsidR="00496A83">
        <w:rPr>
          <w:rFonts w:ascii="Arial" w:hAnsi="Arial" w:cs="Arial"/>
          <w:b w:val="0"/>
          <w:sz w:val="24"/>
          <w:szCs w:val="24"/>
        </w:rPr>
        <w:t xml:space="preserve"> it includes the material</w:t>
      </w:r>
      <w:r w:rsidR="006D3690" w:rsidRPr="00B70DDA">
        <w:rPr>
          <w:rFonts w:ascii="Arial" w:hAnsi="Arial" w:cs="Arial"/>
          <w:b w:val="0"/>
          <w:sz w:val="24"/>
          <w:szCs w:val="24"/>
        </w:rPr>
        <w:t xml:space="preserve"> that</w:t>
      </w:r>
      <w:r w:rsidR="00496A83">
        <w:rPr>
          <w:rFonts w:ascii="Arial" w:hAnsi="Arial" w:cs="Arial"/>
          <w:b w:val="0"/>
          <w:sz w:val="24"/>
          <w:szCs w:val="24"/>
        </w:rPr>
        <w:t xml:space="preserve"> is</w:t>
      </w:r>
      <w:r w:rsidR="006D3690" w:rsidRPr="00B70DDA">
        <w:rPr>
          <w:rFonts w:ascii="Arial" w:hAnsi="Arial" w:cs="Arial"/>
          <w:b w:val="0"/>
          <w:sz w:val="24"/>
          <w:szCs w:val="24"/>
        </w:rPr>
        <w:t xml:space="preserve"> incorporated by reference</w:t>
      </w:r>
      <w:r w:rsidR="00B70DDA" w:rsidRPr="00B70DDA">
        <w:rPr>
          <w:rFonts w:ascii="Arial" w:hAnsi="Arial" w:cs="Arial"/>
          <w:b w:val="0"/>
          <w:sz w:val="24"/>
          <w:szCs w:val="24"/>
        </w:rPr>
        <w:t>. In this regard it was thus correctly submitted that</w:t>
      </w:r>
      <w:r w:rsidR="00B70DDA" w:rsidRPr="00B70DDA">
        <w:rPr>
          <w:rFonts w:ascii="Arial" w:hAnsi="Arial" w:cs="Arial"/>
          <w:b w:val="0"/>
          <w:i/>
          <w:sz w:val="24"/>
          <w:szCs w:val="24"/>
        </w:rPr>
        <w:t xml:space="preserve"> ‘an applicant in a review will be entitled to documents that are relevant to the case pleaded in the founding affidavit, and</w:t>
      </w:r>
      <w:r w:rsidR="00B70DDA" w:rsidRPr="00B70DDA">
        <w:rPr>
          <w:rFonts w:ascii="Arial" w:hAnsi="Arial" w:cs="Arial"/>
          <w:b w:val="0"/>
          <w:sz w:val="24"/>
          <w:szCs w:val="24"/>
        </w:rPr>
        <w:t>/or(my insertion)</w:t>
      </w:r>
      <w:r w:rsidR="00B70DDA" w:rsidRPr="00B70DDA">
        <w:rPr>
          <w:rFonts w:ascii="Arial" w:hAnsi="Arial" w:cs="Arial"/>
          <w:b w:val="0"/>
          <w:i/>
          <w:sz w:val="24"/>
          <w:szCs w:val="24"/>
        </w:rPr>
        <w:t xml:space="preserve"> to any other information that relates to the decision sought to be reviewed even if the relevance does not specifically appear from the pleadings’</w:t>
      </w:r>
      <w:r w:rsidR="00B70DDA" w:rsidRPr="00B70DDA">
        <w:rPr>
          <w:rFonts w:ascii="Arial" w:hAnsi="Arial" w:cs="Arial"/>
          <w:b w:val="0"/>
          <w:sz w:val="24"/>
          <w:szCs w:val="24"/>
        </w:rPr>
        <w:t xml:space="preserve">.  </w:t>
      </w:r>
    </w:p>
    <w:p w:rsidR="00056D42" w:rsidRDefault="00056D42" w:rsidP="009F7699">
      <w:pPr>
        <w:spacing w:after="0" w:line="360" w:lineRule="auto"/>
        <w:jc w:val="both"/>
        <w:rPr>
          <w:rFonts w:ascii="Arial" w:hAnsi="Arial" w:cs="Arial"/>
          <w:sz w:val="24"/>
          <w:szCs w:val="24"/>
        </w:rPr>
      </w:pPr>
    </w:p>
    <w:p w:rsidR="00A47C26" w:rsidRPr="00A47C26" w:rsidRDefault="00A47C26" w:rsidP="009F7699">
      <w:pPr>
        <w:spacing w:after="0" w:line="360" w:lineRule="auto"/>
        <w:jc w:val="both"/>
        <w:rPr>
          <w:rFonts w:ascii="Arial" w:hAnsi="Arial" w:cs="Arial"/>
          <w:sz w:val="24"/>
          <w:szCs w:val="24"/>
          <w:u w:val="single"/>
        </w:rPr>
      </w:pPr>
      <w:r w:rsidRPr="00A47C26">
        <w:rPr>
          <w:rFonts w:ascii="Arial" w:hAnsi="Arial" w:cs="Arial"/>
          <w:sz w:val="24"/>
          <w:szCs w:val="24"/>
          <w:u w:val="single"/>
        </w:rPr>
        <w:t xml:space="preserve">The tendered </w:t>
      </w:r>
      <w:r w:rsidR="00D902BE">
        <w:rPr>
          <w:rFonts w:ascii="Arial" w:hAnsi="Arial" w:cs="Arial"/>
          <w:sz w:val="24"/>
          <w:szCs w:val="24"/>
          <w:u w:val="single"/>
        </w:rPr>
        <w:t xml:space="preserve">additional </w:t>
      </w:r>
      <w:r w:rsidRPr="00A47C26">
        <w:rPr>
          <w:rFonts w:ascii="Arial" w:hAnsi="Arial" w:cs="Arial"/>
          <w:sz w:val="24"/>
          <w:szCs w:val="24"/>
          <w:u w:val="single"/>
        </w:rPr>
        <w:t>affidavits</w:t>
      </w:r>
    </w:p>
    <w:p w:rsidR="00A47C26" w:rsidRDefault="00A47C26" w:rsidP="009F7699">
      <w:pPr>
        <w:spacing w:after="0" w:line="360" w:lineRule="auto"/>
        <w:jc w:val="both"/>
        <w:rPr>
          <w:rFonts w:ascii="Arial" w:hAnsi="Arial" w:cs="Arial"/>
          <w:sz w:val="24"/>
          <w:szCs w:val="24"/>
        </w:rPr>
      </w:pPr>
    </w:p>
    <w:p w:rsidR="000C0509" w:rsidRDefault="00C2290D" w:rsidP="009F7699">
      <w:pPr>
        <w:spacing w:after="0" w:line="360" w:lineRule="auto"/>
        <w:jc w:val="both"/>
        <w:rPr>
          <w:rFonts w:ascii="Arial" w:hAnsi="Arial" w:cs="Arial"/>
          <w:sz w:val="24"/>
          <w:szCs w:val="24"/>
        </w:rPr>
      </w:pPr>
      <w:r>
        <w:rPr>
          <w:rFonts w:ascii="Arial" w:hAnsi="Arial" w:cs="Arial"/>
          <w:sz w:val="24"/>
          <w:szCs w:val="24"/>
        </w:rPr>
        <w:t>[</w:t>
      </w:r>
      <w:r w:rsidR="008D3E1A">
        <w:rPr>
          <w:rFonts w:ascii="Arial" w:hAnsi="Arial" w:cs="Arial"/>
          <w:sz w:val="24"/>
          <w:szCs w:val="24"/>
        </w:rPr>
        <w:t>2</w:t>
      </w:r>
      <w:r w:rsidR="002724C5">
        <w:rPr>
          <w:rFonts w:ascii="Arial" w:hAnsi="Arial" w:cs="Arial"/>
          <w:sz w:val="24"/>
          <w:szCs w:val="24"/>
        </w:rPr>
        <w:t>1</w:t>
      </w:r>
      <w:r w:rsidR="00A47C26">
        <w:rPr>
          <w:rFonts w:ascii="Arial" w:hAnsi="Arial" w:cs="Arial"/>
          <w:sz w:val="24"/>
          <w:szCs w:val="24"/>
        </w:rPr>
        <w:t>]</w:t>
      </w:r>
      <w:r w:rsidR="00A47C26">
        <w:rPr>
          <w:rFonts w:ascii="Arial" w:hAnsi="Arial" w:cs="Arial"/>
          <w:sz w:val="24"/>
          <w:szCs w:val="24"/>
        </w:rPr>
        <w:tab/>
        <w:t>Finally it should</w:t>
      </w:r>
      <w:r>
        <w:rPr>
          <w:rFonts w:ascii="Arial" w:hAnsi="Arial" w:cs="Arial"/>
          <w:sz w:val="24"/>
          <w:szCs w:val="24"/>
        </w:rPr>
        <w:t xml:space="preserve"> be mentioned that in response to the applicant’s rule 76(6) application the</w:t>
      </w:r>
      <w:r w:rsidR="00A47C26">
        <w:rPr>
          <w:rFonts w:ascii="Arial" w:hAnsi="Arial" w:cs="Arial"/>
          <w:sz w:val="24"/>
          <w:szCs w:val="24"/>
        </w:rPr>
        <w:t xml:space="preserve"> First Respondent deposed to an</w:t>
      </w:r>
      <w:r>
        <w:rPr>
          <w:rFonts w:ascii="Arial" w:hAnsi="Arial" w:cs="Arial"/>
          <w:sz w:val="24"/>
          <w:szCs w:val="24"/>
        </w:rPr>
        <w:t xml:space="preserve"> answering affidavit. In that affidavit he declared his stance in respect of the various requests for disclosure made by the applicant in the Notice of Motion filed on 5 March 2019. Subsequent to the striking</w:t>
      </w:r>
      <w:r w:rsidR="00943FDB">
        <w:rPr>
          <w:rFonts w:ascii="Arial" w:hAnsi="Arial" w:cs="Arial"/>
          <w:sz w:val="24"/>
          <w:szCs w:val="24"/>
        </w:rPr>
        <w:t xml:space="preserve"> of the Rule 76(6) application from the roll on 11 June 2019, two further affidavits where tendered on behalf of the First Respondent. As the Rule 32(9) and (10) process for </w:t>
      </w:r>
      <w:r w:rsidR="00943FDB">
        <w:rPr>
          <w:rFonts w:ascii="Arial" w:hAnsi="Arial" w:cs="Arial"/>
          <w:sz w:val="24"/>
          <w:szCs w:val="24"/>
        </w:rPr>
        <w:lastRenderedPageBreak/>
        <w:t>the necessary admission of these</w:t>
      </w:r>
      <w:r w:rsidR="00A47C26">
        <w:rPr>
          <w:rFonts w:ascii="Arial" w:hAnsi="Arial" w:cs="Arial"/>
          <w:sz w:val="24"/>
          <w:szCs w:val="24"/>
        </w:rPr>
        <w:t xml:space="preserve"> additional affidavits was not</w:t>
      </w:r>
      <w:r w:rsidR="00943FDB">
        <w:rPr>
          <w:rFonts w:ascii="Arial" w:hAnsi="Arial" w:cs="Arial"/>
          <w:sz w:val="24"/>
          <w:szCs w:val="24"/>
        </w:rPr>
        <w:t xml:space="preserve"> completed, and as the court thus did not grant leave for the filing of these further affidavits, this application will have to be determined without reference thereto.</w:t>
      </w:r>
    </w:p>
    <w:p w:rsidR="00943FDB" w:rsidRDefault="00943FDB" w:rsidP="009F7699">
      <w:pPr>
        <w:spacing w:after="0" w:line="360" w:lineRule="auto"/>
        <w:jc w:val="both"/>
        <w:rPr>
          <w:rFonts w:ascii="Arial" w:hAnsi="Arial" w:cs="Arial"/>
          <w:sz w:val="24"/>
          <w:szCs w:val="24"/>
        </w:rPr>
      </w:pPr>
    </w:p>
    <w:p w:rsidR="00F83A53" w:rsidRPr="00F83A53" w:rsidRDefault="00F83A53" w:rsidP="009F7699">
      <w:pPr>
        <w:spacing w:after="0" w:line="360" w:lineRule="auto"/>
        <w:jc w:val="both"/>
        <w:rPr>
          <w:rFonts w:ascii="Arial" w:hAnsi="Arial" w:cs="Arial"/>
          <w:sz w:val="24"/>
          <w:szCs w:val="24"/>
          <w:u w:val="single"/>
        </w:rPr>
      </w:pPr>
      <w:r w:rsidRPr="00F83A53">
        <w:rPr>
          <w:rFonts w:ascii="Arial" w:hAnsi="Arial" w:cs="Arial"/>
          <w:sz w:val="24"/>
          <w:szCs w:val="24"/>
          <w:u w:val="single"/>
        </w:rPr>
        <w:t>Resolution</w:t>
      </w:r>
    </w:p>
    <w:p w:rsidR="00F83A53" w:rsidRDefault="00F83A53" w:rsidP="009F7699">
      <w:pPr>
        <w:spacing w:after="0" w:line="360" w:lineRule="auto"/>
        <w:jc w:val="both"/>
        <w:rPr>
          <w:rFonts w:ascii="Arial" w:hAnsi="Arial" w:cs="Arial"/>
          <w:sz w:val="24"/>
          <w:szCs w:val="24"/>
        </w:rPr>
      </w:pPr>
    </w:p>
    <w:p w:rsidR="00C40597" w:rsidRDefault="00943FDB" w:rsidP="009F7699">
      <w:pPr>
        <w:spacing w:after="0" w:line="360" w:lineRule="auto"/>
        <w:jc w:val="both"/>
        <w:rPr>
          <w:rFonts w:ascii="Arial" w:hAnsi="Arial" w:cs="Arial"/>
          <w:sz w:val="24"/>
          <w:szCs w:val="24"/>
        </w:rPr>
      </w:pPr>
      <w:r>
        <w:rPr>
          <w:rFonts w:ascii="Arial" w:hAnsi="Arial" w:cs="Arial"/>
          <w:sz w:val="24"/>
          <w:szCs w:val="24"/>
        </w:rPr>
        <w:t>[</w:t>
      </w:r>
      <w:r w:rsidR="008D3E1A">
        <w:rPr>
          <w:rFonts w:ascii="Arial" w:hAnsi="Arial" w:cs="Arial"/>
          <w:sz w:val="24"/>
          <w:szCs w:val="24"/>
        </w:rPr>
        <w:t>2</w:t>
      </w:r>
      <w:r w:rsidR="002724C5">
        <w:rPr>
          <w:rFonts w:ascii="Arial" w:hAnsi="Arial" w:cs="Arial"/>
          <w:sz w:val="24"/>
          <w:szCs w:val="24"/>
        </w:rPr>
        <w:t>2</w:t>
      </w:r>
      <w:r>
        <w:rPr>
          <w:rFonts w:ascii="Arial" w:hAnsi="Arial" w:cs="Arial"/>
          <w:sz w:val="24"/>
          <w:szCs w:val="24"/>
        </w:rPr>
        <w:t>]</w:t>
      </w:r>
      <w:r>
        <w:rPr>
          <w:rFonts w:ascii="Arial" w:hAnsi="Arial" w:cs="Arial"/>
          <w:sz w:val="24"/>
          <w:szCs w:val="24"/>
        </w:rPr>
        <w:tab/>
        <w:t>This brings me to the consideration of the various requests made.</w:t>
      </w:r>
      <w:r w:rsidR="007862B5">
        <w:rPr>
          <w:rFonts w:ascii="Arial" w:hAnsi="Arial" w:cs="Arial"/>
          <w:sz w:val="24"/>
          <w:szCs w:val="24"/>
        </w:rPr>
        <w:t xml:space="preserve"> Counsel for the applicants have categorized the various requests made</w:t>
      </w:r>
      <w:r w:rsidR="000166E1">
        <w:rPr>
          <w:rFonts w:ascii="Arial" w:hAnsi="Arial" w:cs="Arial"/>
          <w:sz w:val="24"/>
          <w:szCs w:val="24"/>
        </w:rPr>
        <w:t xml:space="preserve"> on behalf of the applicants</w:t>
      </w:r>
      <w:r w:rsidR="00C40597">
        <w:rPr>
          <w:rFonts w:ascii="Arial" w:hAnsi="Arial" w:cs="Arial"/>
          <w:sz w:val="24"/>
          <w:szCs w:val="24"/>
        </w:rPr>
        <w:t>. Counsel for the respondents have responded seriatim to each request made. I will follow the lead presented on behalf of the applicants</w:t>
      </w:r>
      <w:r w:rsidR="00E90432">
        <w:rPr>
          <w:rFonts w:ascii="Arial" w:hAnsi="Arial" w:cs="Arial"/>
          <w:sz w:val="24"/>
          <w:szCs w:val="24"/>
        </w:rPr>
        <w:t xml:space="preserve"> in the course of which I will then also deal with the grounds of opposition advanced by the first respondent</w:t>
      </w:r>
      <w:r w:rsidR="00C40597">
        <w:rPr>
          <w:rFonts w:ascii="Arial" w:hAnsi="Arial" w:cs="Arial"/>
          <w:sz w:val="24"/>
          <w:szCs w:val="24"/>
        </w:rPr>
        <w:t>.</w:t>
      </w:r>
    </w:p>
    <w:p w:rsidR="00C40597" w:rsidRDefault="00C40597" w:rsidP="009F7699">
      <w:pPr>
        <w:spacing w:after="0" w:line="360" w:lineRule="auto"/>
        <w:jc w:val="both"/>
        <w:rPr>
          <w:rFonts w:ascii="Arial" w:hAnsi="Arial" w:cs="Arial"/>
          <w:sz w:val="24"/>
          <w:szCs w:val="24"/>
        </w:rPr>
      </w:pPr>
    </w:p>
    <w:p w:rsidR="007862B5" w:rsidRPr="00B7433B" w:rsidRDefault="00C40597" w:rsidP="009F7699">
      <w:pPr>
        <w:spacing w:after="0" w:line="360" w:lineRule="auto"/>
        <w:jc w:val="both"/>
        <w:rPr>
          <w:rFonts w:ascii="Arial" w:hAnsi="Arial" w:cs="Arial"/>
          <w:sz w:val="24"/>
          <w:szCs w:val="24"/>
          <w:u w:val="single"/>
        </w:rPr>
      </w:pPr>
      <w:r w:rsidRPr="00B7433B">
        <w:rPr>
          <w:rFonts w:ascii="Arial" w:hAnsi="Arial" w:cs="Arial"/>
          <w:sz w:val="24"/>
          <w:szCs w:val="24"/>
          <w:u w:val="single"/>
        </w:rPr>
        <w:t>The first category of documents</w:t>
      </w:r>
      <w:r w:rsidR="00B7433B" w:rsidRPr="00B7433B">
        <w:rPr>
          <w:rFonts w:ascii="Arial" w:hAnsi="Arial" w:cs="Arial"/>
          <w:sz w:val="24"/>
          <w:szCs w:val="24"/>
          <w:u w:val="single"/>
        </w:rPr>
        <w:t xml:space="preserve"> in respect of which the Minister claimed</w:t>
      </w:r>
      <w:r w:rsidR="00943FDB" w:rsidRPr="00B7433B">
        <w:rPr>
          <w:rFonts w:ascii="Arial" w:hAnsi="Arial" w:cs="Arial"/>
          <w:sz w:val="24"/>
          <w:szCs w:val="24"/>
          <w:u w:val="single"/>
        </w:rPr>
        <w:t xml:space="preserve"> </w:t>
      </w:r>
      <w:r w:rsidR="00B7433B" w:rsidRPr="00B7433B">
        <w:rPr>
          <w:rFonts w:ascii="Arial" w:hAnsi="Arial" w:cs="Arial"/>
          <w:sz w:val="24"/>
          <w:szCs w:val="24"/>
          <w:u w:val="single"/>
        </w:rPr>
        <w:t>that they were not relevant as he did not consider same</w:t>
      </w:r>
    </w:p>
    <w:p w:rsidR="007862B5" w:rsidRDefault="007862B5" w:rsidP="009F7699">
      <w:pPr>
        <w:spacing w:after="0" w:line="360" w:lineRule="auto"/>
        <w:jc w:val="both"/>
        <w:rPr>
          <w:rFonts w:ascii="Arial" w:hAnsi="Arial" w:cs="Arial"/>
          <w:sz w:val="24"/>
          <w:szCs w:val="24"/>
        </w:rPr>
      </w:pPr>
    </w:p>
    <w:p w:rsidR="00B7433B" w:rsidRDefault="00B7433B" w:rsidP="009F7699">
      <w:pPr>
        <w:spacing w:after="0" w:line="360" w:lineRule="auto"/>
        <w:jc w:val="both"/>
        <w:rPr>
          <w:rFonts w:ascii="Arial" w:hAnsi="Arial" w:cs="Arial"/>
          <w:sz w:val="24"/>
          <w:szCs w:val="24"/>
        </w:rPr>
      </w:pPr>
      <w:r>
        <w:rPr>
          <w:rFonts w:ascii="Arial" w:hAnsi="Arial" w:cs="Arial"/>
          <w:sz w:val="24"/>
          <w:szCs w:val="24"/>
        </w:rPr>
        <w:t>[</w:t>
      </w:r>
      <w:r w:rsidR="008D3E1A">
        <w:rPr>
          <w:rFonts w:ascii="Arial" w:hAnsi="Arial" w:cs="Arial"/>
          <w:sz w:val="24"/>
          <w:szCs w:val="24"/>
        </w:rPr>
        <w:t>2</w:t>
      </w:r>
      <w:r w:rsidR="002724C5">
        <w:rPr>
          <w:rFonts w:ascii="Arial" w:hAnsi="Arial" w:cs="Arial"/>
          <w:sz w:val="24"/>
          <w:szCs w:val="24"/>
        </w:rPr>
        <w:t>3</w:t>
      </w:r>
      <w:r>
        <w:rPr>
          <w:rFonts w:ascii="Arial" w:hAnsi="Arial" w:cs="Arial"/>
          <w:sz w:val="24"/>
          <w:szCs w:val="24"/>
        </w:rPr>
        <w:t>]</w:t>
      </w:r>
      <w:r>
        <w:rPr>
          <w:rFonts w:ascii="Arial" w:hAnsi="Arial" w:cs="Arial"/>
          <w:sz w:val="24"/>
          <w:szCs w:val="24"/>
        </w:rPr>
        <w:tab/>
      </w:r>
      <w:r w:rsidR="007A123D">
        <w:rPr>
          <w:rFonts w:ascii="Arial" w:hAnsi="Arial" w:cs="Arial"/>
          <w:sz w:val="24"/>
          <w:szCs w:val="24"/>
        </w:rPr>
        <w:t>The entitlement to the production of this category of documents was motivated as follows:</w:t>
      </w:r>
    </w:p>
    <w:p w:rsidR="007A123D" w:rsidRPr="007A123D" w:rsidRDefault="007A123D" w:rsidP="007A123D">
      <w:pPr>
        <w:pStyle w:val="Heading1"/>
        <w:spacing w:line="360" w:lineRule="auto"/>
        <w:ind w:firstLine="720"/>
        <w:jc w:val="both"/>
        <w:rPr>
          <w:rFonts w:ascii="Arial" w:hAnsi="Arial" w:cs="Arial"/>
          <w:b w:val="0"/>
          <w:sz w:val="22"/>
          <w:szCs w:val="22"/>
        </w:rPr>
      </w:pPr>
      <w:r w:rsidRPr="007A123D">
        <w:rPr>
          <w:rFonts w:ascii="Arial" w:hAnsi="Arial" w:cs="Arial"/>
          <w:b w:val="0"/>
          <w:sz w:val="22"/>
          <w:szCs w:val="22"/>
        </w:rPr>
        <w:t xml:space="preserve">‘18. In paragraphs 2, 3 and 5 of the applicants’ rule 76(6) notices, the applicants requested the following documents and information:  </w:t>
      </w:r>
    </w:p>
    <w:p w:rsidR="007A123D" w:rsidRPr="007A123D" w:rsidRDefault="007A123D" w:rsidP="007A123D">
      <w:pPr>
        <w:spacing w:line="360" w:lineRule="auto"/>
        <w:jc w:val="both"/>
        <w:rPr>
          <w:rFonts w:ascii="Arial" w:hAnsi="Arial" w:cs="Arial"/>
        </w:rPr>
      </w:pPr>
    </w:p>
    <w:p w:rsidR="007A123D" w:rsidRPr="007A123D" w:rsidRDefault="007A123D" w:rsidP="000166E1">
      <w:pPr>
        <w:spacing w:line="360" w:lineRule="auto"/>
        <w:ind w:left="720"/>
        <w:jc w:val="both"/>
        <w:rPr>
          <w:rFonts w:ascii="Arial" w:hAnsi="Arial" w:cs="Arial"/>
        </w:rPr>
      </w:pPr>
      <w:r w:rsidRPr="007A123D">
        <w:rPr>
          <w:rFonts w:ascii="Arial" w:hAnsi="Arial" w:cs="Arial"/>
        </w:rPr>
        <w:t>“2.</w:t>
      </w:r>
      <w:r w:rsidRPr="007A123D">
        <w:rPr>
          <w:rFonts w:ascii="Arial" w:hAnsi="Arial" w:cs="Arial"/>
        </w:rPr>
        <w:tab/>
        <w:t>The specific documents which served before and which were created by the Cabinet of the Republic of Namibia, dealing with the implementation or enforcement of the Namibian National Reinsurance Corporation Act, 2</w:t>
      </w:r>
      <w:r w:rsidR="000166E1">
        <w:rPr>
          <w:rFonts w:ascii="Arial" w:hAnsi="Arial" w:cs="Arial"/>
        </w:rPr>
        <w:t xml:space="preserve">2 of 1998 (“the Act”), being:  </w:t>
      </w:r>
    </w:p>
    <w:p w:rsidR="007A123D" w:rsidRPr="007A123D" w:rsidRDefault="007A123D" w:rsidP="000166E1">
      <w:pPr>
        <w:spacing w:line="360" w:lineRule="auto"/>
        <w:ind w:left="1440"/>
        <w:jc w:val="both"/>
        <w:rPr>
          <w:rFonts w:ascii="Arial" w:hAnsi="Arial" w:cs="Arial"/>
        </w:rPr>
      </w:pPr>
      <w:r w:rsidRPr="007A123D">
        <w:rPr>
          <w:rFonts w:ascii="Arial" w:hAnsi="Arial" w:cs="Arial"/>
        </w:rPr>
        <w:t>2.1</w:t>
      </w:r>
      <w:r w:rsidRPr="007A123D">
        <w:rPr>
          <w:rFonts w:ascii="Arial" w:hAnsi="Arial" w:cs="Arial"/>
        </w:rPr>
        <w:tab/>
        <w:t xml:space="preserve">The agenda, minutes and resolutions of the Cabinet meeting(s) where the decisions referenced in NamibRe’s letter of </w:t>
      </w:r>
      <w:r w:rsidRPr="007A123D">
        <w:rPr>
          <w:rFonts w:ascii="Arial" w:hAnsi="Arial" w:cs="Arial"/>
        </w:rPr>
        <w:br/>
        <w:t>28 September 2016, were taken.  The letter appears at 24</w:t>
      </w:r>
      <w:r w:rsidR="000166E1">
        <w:rPr>
          <w:rFonts w:ascii="Arial" w:hAnsi="Arial" w:cs="Arial"/>
        </w:rPr>
        <w:t xml:space="preserve">3 of the first review record;  </w:t>
      </w:r>
    </w:p>
    <w:p w:rsidR="007A123D" w:rsidRPr="007A123D" w:rsidRDefault="007A123D" w:rsidP="000166E1">
      <w:pPr>
        <w:spacing w:line="360" w:lineRule="auto"/>
        <w:ind w:left="1440"/>
        <w:jc w:val="both"/>
        <w:rPr>
          <w:rFonts w:ascii="Arial" w:hAnsi="Arial" w:cs="Arial"/>
        </w:rPr>
      </w:pPr>
      <w:r w:rsidRPr="007A123D">
        <w:rPr>
          <w:rFonts w:ascii="Arial" w:hAnsi="Arial" w:cs="Arial"/>
        </w:rPr>
        <w:t>2.2</w:t>
      </w:r>
      <w:r w:rsidRPr="007A123D">
        <w:rPr>
          <w:rFonts w:ascii="Arial" w:hAnsi="Arial" w:cs="Arial"/>
        </w:rPr>
        <w:tab/>
        <w:t xml:space="preserve">Any similar documents evidencing the revocation of the decision referenced in par 2.1 above:  This is relevant because, recently, the Supreme Court in </w:t>
      </w:r>
      <w:r w:rsidRPr="005C49FC">
        <w:rPr>
          <w:rFonts w:ascii="Arial" w:hAnsi="Arial" w:cs="Arial"/>
          <w:i/>
        </w:rPr>
        <w:t xml:space="preserve">Arandis Power (Pty) Ltd vs President of the Republic of Namibia and others </w:t>
      </w:r>
      <w:r w:rsidRPr="007A123D">
        <w:rPr>
          <w:rFonts w:ascii="Arial" w:hAnsi="Arial" w:cs="Arial"/>
        </w:rPr>
        <w:t xml:space="preserve">(SA 40/2016), held that executive decisions (i.e. the Cabinet decisions referred to) ‘existed and was to be followed unless and until set aside or </w:t>
      </w:r>
      <w:r w:rsidR="000166E1">
        <w:rPr>
          <w:rFonts w:ascii="Arial" w:hAnsi="Arial" w:cs="Arial"/>
        </w:rPr>
        <w:t xml:space="preserve">withdrawn’ [at paragraph 35].  </w:t>
      </w:r>
    </w:p>
    <w:p w:rsidR="007A123D" w:rsidRPr="007A123D" w:rsidRDefault="007A123D" w:rsidP="007A123D">
      <w:pPr>
        <w:spacing w:line="360" w:lineRule="auto"/>
        <w:ind w:left="720"/>
        <w:jc w:val="both"/>
        <w:rPr>
          <w:rFonts w:ascii="Arial" w:hAnsi="Arial" w:cs="Arial"/>
        </w:rPr>
      </w:pPr>
      <w:r w:rsidRPr="007A123D">
        <w:rPr>
          <w:rFonts w:ascii="Arial" w:hAnsi="Arial" w:cs="Arial"/>
        </w:rPr>
        <w:lastRenderedPageBreak/>
        <w:t>3.</w:t>
      </w:r>
      <w:r w:rsidRPr="007A123D">
        <w:rPr>
          <w:rFonts w:ascii="Arial" w:hAnsi="Arial" w:cs="Arial"/>
        </w:rPr>
        <w:tab/>
        <w:t xml:space="preserve">The documents on which the Minister relied to arrive at his decisions reflected in GN266 and 267 of 2016 (“the 2016 notices”).  The notices are included at 375-377 of the first review record.  </w:t>
      </w:r>
    </w:p>
    <w:p w:rsidR="007A123D" w:rsidRPr="007A123D" w:rsidRDefault="007A123D" w:rsidP="007A123D">
      <w:pPr>
        <w:spacing w:line="360" w:lineRule="auto"/>
        <w:ind w:left="720"/>
        <w:jc w:val="both"/>
        <w:rPr>
          <w:rFonts w:ascii="Arial" w:hAnsi="Arial" w:cs="Arial"/>
        </w:rPr>
      </w:pPr>
      <w:r w:rsidRPr="007A123D">
        <w:rPr>
          <w:rFonts w:ascii="Arial" w:hAnsi="Arial" w:cs="Arial"/>
        </w:rPr>
        <w:t>......</w:t>
      </w:r>
    </w:p>
    <w:p w:rsidR="007A123D" w:rsidRPr="007A123D" w:rsidRDefault="007A123D" w:rsidP="007A123D">
      <w:pPr>
        <w:spacing w:line="360" w:lineRule="auto"/>
        <w:ind w:left="720"/>
        <w:jc w:val="both"/>
        <w:rPr>
          <w:rFonts w:ascii="Arial" w:hAnsi="Arial" w:cs="Arial"/>
        </w:rPr>
      </w:pPr>
      <w:r w:rsidRPr="007A123D">
        <w:rPr>
          <w:rFonts w:ascii="Arial" w:hAnsi="Arial" w:cs="Arial"/>
        </w:rPr>
        <w:t>5.</w:t>
      </w:r>
      <w:r w:rsidRPr="007A123D">
        <w:rPr>
          <w:rFonts w:ascii="Arial" w:hAnsi="Arial" w:cs="Arial"/>
        </w:rPr>
        <w:tab/>
        <w:t xml:space="preserve"> The documents, if any exist, requested in paragraph 1 of the Notice of Motion in the Information Application.”</w:t>
      </w:r>
      <w:r w:rsidRPr="007A123D">
        <w:rPr>
          <w:rStyle w:val="FootnoteReference"/>
          <w:rFonts w:ascii="Arial" w:hAnsi="Arial" w:cs="Arial"/>
        </w:rPr>
        <w:footnoteReference w:id="52"/>
      </w:r>
      <w:r w:rsidRPr="007A123D">
        <w:rPr>
          <w:rFonts w:ascii="Arial" w:hAnsi="Arial" w:cs="Arial"/>
        </w:rPr>
        <w:t xml:space="preserve">  </w:t>
      </w:r>
    </w:p>
    <w:p w:rsidR="007A123D" w:rsidRDefault="008D3E1A" w:rsidP="000166E1">
      <w:pPr>
        <w:pStyle w:val="Heading1"/>
        <w:spacing w:line="360" w:lineRule="auto"/>
        <w:jc w:val="both"/>
        <w:rPr>
          <w:rFonts w:ascii="Arial" w:hAnsi="Arial" w:cs="Arial"/>
          <w:b w:val="0"/>
          <w:sz w:val="22"/>
          <w:szCs w:val="22"/>
        </w:rPr>
      </w:pPr>
      <w:r>
        <w:rPr>
          <w:rFonts w:ascii="Arial" w:hAnsi="Arial" w:cs="Arial"/>
          <w:b w:val="0"/>
          <w:sz w:val="22"/>
          <w:szCs w:val="22"/>
        </w:rPr>
        <w:t>19.</w:t>
      </w:r>
      <w:r>
        <w:rPr>
          <w:rFonts w:ascii="Arial" w:hAnsi="Arial" w:cs="Arial"/>
          <w:b w:val="0"/>
          <w:sz w:val="22"/>
          <w:szCs w:val="22"/>
        </w:rPr>
        <w:tab/>
      </w:r>
      <w:r w:rsidR="007A123D" w:rsidRPr="007A123D">
        <w:rPr>
          <w:rFonts w:ascii="Arial" w:hAnsi="Arial" w:cs="Arial"/>
          <w:b w:val="0"/>
          <w:sz w:val="22"/>
          <w:szCs w:val="22"/>
        </w:rPr>
        <w:t>The Minister stated under oath that he did not consider these documents and information in arriving at his decision in respect of the 2017 Notices, therefore the documents and information need not be produced.  This response does not properly inform the issue at hand at all.  An entitlement to a record in a review context includes, as shown</w:t>
      </w:r>
      <w:r w:rsidR="007A123D" w:rsidRPr="007A123D">
        <w:rPr>
          <w:rStyle w:val="FootnoteReference"/>
          <w:rFonts w:ascii="Arial" w:hAnsi="Arial" w:cs="Arial"/>
          <w:b w:val="0"/>
          <w:sz w:val="22"/>
          <w:szCs w:val="22"/>
        </w:rPr>
        <w:footnoteReference w:id="53"/>
      </w:r>
      <w:r w:rsidR="007A123D" w:rsidRPr="007A123D">
        <w:rPr>
          <w:rFonts w:ascii="Arial" w:hAnsi="Arial" w:cs="Arial"/>
          <w:b w:val="0"/>
          <w:sz w:val="22"/>
          <w:szCs w:val="22"/>
        </w:rPr>
        <w:t xml:space="preserve">:  </w:t>
      </w:r>
    </w:p>
    <w:p w:rsidR="000166E1" w:rsidRPr="000166E1" w:rsidRDefault="000166E1" w:rsidP="000166E1"/>
    <w:p w:rsidR="007A123D" w:rsidRPr="007A123D" w:rsidRDefault="00752D14" w:rsidP="008D3E1A">
      <w:pPr>
        <w:pStyle w:val="Heading2"/>
        <w:spacing w:line="360" w:lineRule="auto"/>
        <w:ind w:left="709"/>
        <w:jc w:val="both"/>
        <w:rPr>
          <w:rFonts w:ascii="Arial" w:hAnsi="Arial" w:cs="Arial"/>
          <w:b w:val="0"/>
          <w:sz w:val="22"/>
          <w:szCs w:val="22"/>
        </w:rPr>
      </w:pPr>
      <w:r>
        <w:rPr>
          <w:rFonts w:ascii="Arial" w:hAnsi="Arial" w:cs="Arial"/>
          <w:b w:val="0"/>
          <w:sz w:val="22"/>
          <w:szCs w:val="22"/>
          <w:lang w:val="en-US"/>
        </w:rPr>
        <w:t>19.1</w:t>
      </w:r>
      <w:r>
        <w:rPr>
          <w:rFonts w:ascii="Arial" w:hAnsi="Arial" w:cs="Arial"/>
          <w:b w:val="0"/>
          <w:sz w:val="22"/>
          <w:szCs w:val="22"/>
          <w:lang w:val="en-US"/>
        </w:rPr>
        <w:tab/>
      </w:r>
      <w:r w:rsidR="007A123D" w:rsidRPr="007A123D">
        <w:rPr>
          <w:rFonts w:ascii="Arial" w:hAnsi="Arial" w:cs="Arial"/>
          <w:b w:val="0"/>
          <w:sz w:val="22"/>
          <w:szCs w:val="22"/>
        </w:rPr>
        <w:t xml:space="preserve">“every scrap of paper throwing light, however indirectly, on what the proceedings were, both procedurally and evidentially”;  </w:t>
      </w:r>
    </w:p>
    <w:p w:rsidR="007A123D" w:rsidRPr="007A123D" w:rsidRDefault="00752D14" w:rsidP="008D3E1A">
      <w:pPr>
        <w:pStyle w:val="Heading2"/>
        <w:spacing w:line="360" w:lineRule="auto"/>
        <w:ind w:left="709"/>
        <w:jc w:val="both"/>
        <w:rPr>
          <w:rFonts w:ascii="Arial" w:hAnsi="Arial" w:cs="Arial"/>
          <w:b w:val="0"/>
          <w:sz w:val="22"/>
          <w:szCs w:val="22"/>
        </w:rPr>
      </w:pPr>
      <w:r>
        <w:rPr>
          <w:rFonts w:ascii="Arial" w:hAnsi="Arial" w:cs="Arial"/>
          <w:b w:val="0"/>
          <w:sz w:val="22"/>
          <w:szCs w:val="22"/>
          <w:lang w:val="en-US"/>
        </w:rPr>
        <w:t>19.2</w:t>
      </w:r>
      <w:r>
        <w:rPr>
          <w:rFonts w:ascii="Arial" w:hAnsi="Arial" w:cs="Arial"/>
          <w:b w:val="0"/>
          <w:sz w:val="22"/>
          <w:szCs w:val="22"/>
          <w:lang w:val="en-US"/>
        </w:rPr>
        <w:tab/>
      </w:r>
      <w:r w:rsidR="007A123D" w:rsidRPr="007A123D">
        <w:rPr>
          <w:rFonts w:ascii="Arial" w:hAnsi="Arial" w:cs="Arial"/>
          <w:b w:val="0"/>
          <w:sz w:val="22"/>
          <w:szCs w:val="22"/>
        </w:rPr>
        <w:t xml:space="preserve">“all documents before the .... (the decision maker) .... as well as all documents </w:t>
      </w:r>
      <w:r w:rsidR="007A123D" w:rsidRPr="007A123D">
        <w:rPr>
          <w:rFonts w:ascii="Arial" w:hAnsi="Arial" w:cs="Arial"/>
          <w:b w:val="0"/>
          <w:sz w:val="22"/>
          <w:szCs w:val="22"/>
        </w:rPr>
        <w:lastRenderedPageBreak/>
        <w:t>which are by reference incorporated in the file before it;”</w:t>
      </w:r>
    </w:p>
    <w:p w:rsidR="007A123D" w:rsidRPr="007A123D" w:rsidRDefault="007A123D" w:rsidP="008D3E1A">
      <w:pPr>
        <w:pStyle w:val="Heading2"/>
        <w:spacing w:line="360" w:lineRule="auto"/>
        <w:ind w:left="709"/>
        <w:jc w:val="both"/>
        <w:rPr>
          <w:rFonts w:ascii="Arial" w:hAnsi="Arial" w:cs="Arial"/>
          <w:b w:val="0"/>
          <w:sz w:val="22"/>
          <w:szCs w:val="22"/>
        </w:rPr>
      </w:pPr>
      <w:r>
        <w:rPr>
          <w:rFonts w:ascii="Arial" w:hAnsi="Arial" w:cs="Arial"/>
          <w:b w:val="0"/>
          <w:sz w:val="22"/>
          <w:szCs w:val="22"/>
          <w:lang w:val="en-US"/>
        </w:rPr>
        <w:t xml:space="preserve">19.3 </w:t>
      </w:r>
      <w:r w:rsidRPr="007A123D">
        <w:rPr>
          <w:rFonts w:ascii="Arial" w:hAnsi="Arial" w:cs="Arial"/>
          <w:b w:val="0"/>
          <w:sz w:val="22"/>
          <w:szCs w:val="22"/>
        </w:rPr>
        <w:t>“documents pertaining to any previous decision that is relevant to the decision sought to be reviewed, as these ‘could not have been otherwise than present to the mind of ... (the decision maker)  .... at the time he made the second decision.  If they have not, he could not have brought his mind to bear properly on this issue before him ...”.</w:t>
      </w:r>
      <w:r w:rsidRPr="007A123D">
        <w:rPr>
          <w:rStyle w:val="FootnoteReference"/>
          <w:rFonts w:ascii="Arial" w:hAnsi="Arial" w:cs="Arial"/>
          <w:b w:val="0"/>
          <w:sz w:val="22"/>
          <w:szCs w:val="22"/>
        </w:rPr>
        <w:footnoteReference w:id="54"/>
      </w:r>
    </w:p>
    <w:p w:rsidR="007A123D" w:rsidRPr="007A123D" w:rsidRDefault="007A123D" w:rsidP="008D3E1A">
      <w:pPr>
        <w:spacing w:after="0" w:line="360" w:lineRule="auto"/>
        <w:ind w:left="720"/>
        <w:jc w:val="both"/>
        <w:rPr>
          <w:rFonts w:ascii="Arial" w:hAnsi="Arial" w:cs="Arial"/>
        </w:rPr>
      </w:pPr>
    </w:p>
    <w:p w:rsidR="007A123D" w:rsidRPr="007A123D" w:rsidRDefault="008D3E1A" w:rsidP="008D3E1A">
      <w:pPr>
        <w:pStyle w:val="Heading1"/>
        <w:spacing w:before="0" w:after="0" w:line="360" w:lineRule="auto"/>
        <w:jc w:val="both"/>
        <w:rPr>
          <w:rFonts w:ascii="Arial" w:hAnsi="Arial" w:cs="Arial"/>
          <w:b w:val="0"/>
          <w:sz w:val="22"/>
          <w:szCs w:val="22"/>
        </w:rPr>
      </w:pPr>
      <w:r>
        <w:rPr>
          <w:rFonts w:ascii="Arial" w:hAnsi="Arial" w:cs="Arial"/>
          <w:b w:val="0"/>
          <w:sz w:val="22"/>
          <w:szCs w:val="22"/>
        </w:rPr>
        <w:t>20.</w:t>
      </w:r>
      <w:r>
        <w:rPr>
          <w:rFonts w:ascii="Arial" w:hAnsi="Arial" w:cs="Arial"/>
          <w:b w:val="0"/>
          <w:sz w:val="22"/>
          <w:szCs w:val="22"/>
        </w:rPr>
        <w:tab/>
      </w:r>
      <w:r w:rsidR="007A123D" w:rsidRPr="007A123D">
        <w:rPr>
          <w:rFonts w:ascii="Arial" w:hAnsi="Arial" w:cs="Arial"/>
          <w:b w:val="0"/>
          <w:sz w:val="22"/>
          <w:szCs w:val="22"/>
        </w:rPr>
        <w:t xml:space="preserve">It is submitted that the above definition of a record would include documents on which considerations that moved the Minister to take his decision were based.  Whether he actually considered the original text of those same documents that underlie those considerations or had the source documents before him when he took his decision, is irrelevant.  </w:t>
      </w:r>
    </w:p>
    <w:p w:rsidR="007A123D" w:rsidRPr="007A123D" w:rsidRDefault="007A123D" w:rsidP="008D3E1A">
      <w:pPr>
        <w:spacing w:after="0" w:line="360" w:lineRule="auto"/>
        <w:jc w:val="both"/>
        <w:rPr>
          <w:rFonts w:ascii="Arial" w:hAnsi="Arial" w:cs="Arial"/>
        </w:rPr>
      </w:pPr>
    </w:p>
    <w:p w:rsidR="007A123D" w:rsidRPr="00F171E5" w:rsidRDefault="008D3E1A" w:rsidP="008D3E1A">
      <w:pPr>
        <w:pStyle w:val="Heading1"/>
        <w:spacing w:before="0" w:after="0" w:line="360" w:lineRule="auto"/>
        <w:jc w:val="both"/>
        <w:rPr>
          <w:rFonts w:ascii="Arial" w:hAnsi="Arial" w:cs="Arial"/>
          <w:b w:val="0"/>
          <w:sz w:val="22"/>
          <w:szCs w:val="22"/>
        </w:rPr>
      </w:pPr>
      <w:r>
        <w:rPr>
          <w:rFonts w:ascii="Arial" w:hAnsi="Arial" w:cs="Arial"/>
          <w:b w:val="0"/>
          <w:sz w:val="22"/>
          <w:szCs w:val="22"/>
        </w:rPr>
        <w:t>21.</w:t>
      </w:r>
      <w:r>
        <w:rPr>
          <w:rFonts w:ascii="Arial" w:hAnsi="Arial" w:cs="Arial"/>
          <w:b w:val="0"/>
          <w:sz w:val="22"/>
          <w:szCs w:val="22"/>
        </w:rPr>
        <w:tab/>
      </w:r>
      <w:r w:rsidR="007A123D" w:rsidRPr="007A123D">
        <w:rPr>
          <w:rFonts w:ascii="Arial" w:hAnsi="Arial" w:cs="Arial"/>
          <w:b w:val="0"/>
          <w:sz w:val="22"/>
          <w:szCs w:val="22"/>
        </w:rPr>
        <w:t xml:space="preserve">It may be appropriate at this juncture to quote the following passages from the Constitutional Court’s persuasive decision in </w:t>
      </w:r>
      <w:r w:rsidR="007A123D" w:rsidRPr="00F171E5">
        <w:rPr>
          <w:rFonts w:ascii="Arial" w:hAnsi="Arial" w:cs="Arial"/>
          <w:b w:val="0"/>
          <w:i/>
          <w:sz w:val="22"/>
          <w:szCs w:val="22"/>
          <w:u w:val="single"/>
        </w:rPr>
        <w:t>Helen Suzman Foundation</w:t>
      </w:r>
      <w:r w:rsidR="007A123D" w:rsidRPr="007A123D">
        <w:rPr>
          <w:rFonts w:ascii="Arial" w:hAnsi="Arial" w:cs="Arial"/>
          <w:b w:val="0"/>
          <w:sz w:val="22"/>
          <w:szCs w:val="22"/>
        </w:rPr>
        <w:t xml:space="preserve"> as cited above.  In our submission, the passages demonstrate that and explain why an applicant in a review has a far wider entitlement to documents than a litigant in an action in the ordinary discovery context. </w:t>
      </w:r>
    </w:p>
    <w:p w:rsidR="007A123D" w:rsidRPr="007A123D" w:rsidRDefault="007A123D" w:rsidP="00F171E5">
      <w:pPr>
        <w:spacing w:line="360" w:lineRule="auto"/>
        <w:ind w:left="720" w:firstLine="720"/>
        <w:jc w:val="both"/>
        <w:rPr>
          <w:rFonts w:ascii="Arial" w:hAnsi="Arial" w:cs="Arial"/>
        </w:rPr>
      </w:pPr>
      <w:r w:rsidRPr="007A123D">
        <w:rPr>
          <w:rFonts w:ascii="Arial" w:hAnsi="Arial" w:cs="Arial"/>
        </w:rPr>
        <w:t>“[25]</w:t>
      </w:r>
      <w:r w:rsidRPr="007A123D">
        <w:rPr>
          <w:rFonts w:ascii="Arial" w:hAnsi="Arial" w:cs="Arial"/>
        </w:rPr>
        <w:tab/>
        <w:t>The JSC submitted that relevance should be determined with reference to the pleaded case. I do not agree. Rule 53 envisages the possibility of a review applicant supplementing the papers, including the very cause of action, upon being furnished with the record.  That much is plain from the fact that an applicant may supplement not only the affidavits, but also the notice of motion. That means an applicant may add to or subtract from the grounds of review.  Then, if information could be excluded on the basis of being irrelevant to the pleaded case, this would negate a substantial part of the purpose of the rule 53 record.  What must be disclosed is information relevant to the impugned decision. Unsurprisingly, a review applicant may not have pleaded certain issues that bolster her or his challenge exactly because she or he wa</w:t>
      </w:r>
      <w:r w:rsidR="00F171E5">
        <w:rPr>
          <w:rFonts w:ascii="Arial" w:hAnsi="Arial" w:cs="Arial"/>
        </w:rPr>
        <w:t>s not aware of their existence.</w:t>
      </w:r>
    </w:p>
    <w:p w:rsidR="007A123D" w:rsidRPr="007A123D" w:rsidRDefault="007A123D" w:rsidP="007A123D">
      <w:pPr>
        <w:spacing w:line="360" w:lineRule="auto"/>
        <w:ind w:left="720"/>
        <w:jc w:val="both"/>
        <w:rPr>
          <w:rFonts w:ascii="Arial" w:hAnsi="Arial" w:cs="Arial"/>
        </w:rPr>
      </w:pPr>
      <w:r w:rsidRPr="007A123D">
        <w:rPr>
          <w:rFonts w:ascii="Arial" w:hAnsi="Arial" w:cs="Arial"/>
        </w:rPr>
        <w:t>[26]</w:t>
      </w:r>
      <w:r w:rsidRPr="007A123D">
        <w:rPr>
          <w:rFonts w:ascii="Arial" w:hAnsi="Arial" w:cs="Arial"/>
        </w:rPr>
        <w:tab/>
        <w:t xml:space="preserve">It is helpful to point out that the rule 53 process differs from normal discovery under rule 35 of the Uniform Rules of Court. Under rule 35 documents are discoverable if relevant, and relevance is determined with reference to the pleadings. So, under the rule 35 discovery process, asking for information not relevant to the pleaded case would be a fishing expedition. Rule 53 reviews are different. The rule envisages the grounds of review changing later. So, relevance is assessed as it relates to the decision sought to be reviewed, not the case pleaded in the founding affidavit. It is helpful to point out that the rule 53 process differs from normal discovery under rule 35 </w:t>
      </w:r>
      <w:r w:rsidRPr="007A123D">
        <w:rPr>
          <w:rFonts w:ascii="Arial" w:hAnsi="Arial" w:cs="Arial"/>
        </w:rPr>
        <w:lastRenderedPageBreak/>
        <w:t>of the Uniform Rules of Court.  Under rule 35 documents are discoverable if relevant, and relevance is determined with reference to the pleadings.  So, under the rule 35 process, asking for information not relevant to the pleaded case would be a fishing expedition.  Rule 53 reviews are different.  The rule envisages the grounds of review changing later.  So, relevance is assessed as it relates to the decision sought to be reviewed, not the case pleaded in the founding affidavit.”</w:t>
      </w:r>
      <w:r w:rsidRPr="007A123D">
        <w:rPr>
          <w:rStyle w:val="FootnoteReference"/>
          <w:rFonts w:ascii="Arial" w:hAnsi="Arial" w:cs="Arial"/>
        </w:rPr>
        <w:footnoteReference w:id="55"/>
      </w:r>
      <w:r w:rsidRPr="007A123D">
        <w:rPr>
          <w:rFonts w:ascii="Arial" w:hAnsi="Arial" w:cs="Arial"/>
        </w:rPr>
        <w:t xml:space="preserve">  </w:t>
      </w:r>
    </w:p>
    <w:p w:rsidR="007A123D" w:rsidRPr="007A123D" w:rsidRDefault="008D3E1A" w:rsidP="007A123D">
      <w:pPr>
        <w:pStyle w:val="Heading1"/>
        <w:spacing w:line="360" w:lineRule="auto"/>
        <w:jc w:val="both"/>
        <w:rPr>
          <w:rFonts w:ascii="Arial" w:hAnsi="Arial" w:cs="Arial"/>
          <w:b w:val="0"/>
          <w:sz w:val="22"/>
          <w:szCs w:val="22"/>
        </w:rPr>
      </w:pPr>
      <w:r>
        <w:rPr>
          <w:rFonts w:ascii="Arial" w:hAnsi="Arial" w:cs="Arial"/>
          <w:b w:val="0"/>
          <w:sz w:val="22"/>
          <w:szCs w:val="22"/>
        </w:rPr>
        <w:t>22.</w:t>
      </w:r>
      <w:r>
        <w:rPr>
          <w:rFonts w:ascii="Arial" w:hAnsi="Arial" w:cs="Arial"/>
          <w:b w:val="0"/>
          <w:sz w:val="22"/>
          <w:szCs w:val="22"/>
        </w:rPr>
        <w:tab/>
      </w:r>
      <w:r w:rsidR="007A123D" w:rsidRPr="007A123D">
        <w:rPr>
          <w:rFonts w:ascii="Arial" w:hAnsi="Arial" w:cs="Arial"/>
          <w:b w:val="0"/>
          <w:sz w:val="22"/>
          <w:szCs w:val="22"/>
        </w:rPr>
        <w:t xml:space="preserve">Considering the nature and purpose of review applications, the guarantees of Article 18, and the imperatives of securing access to justice and equality of arms, we submit the aforementioned passages effectively mean that an applicant in a review will be entitled to documents that are relevant to the case pleaded in the founding affidavit, </w:t>
      </w:r>
      <w:r w:rsidR="007A123D" w:rsidRPr="007A123D">
        <w:rPr>
          <w:rFonts w:ascii="Arial" w:hAnsi="Arial" w:cs="Arial"/>
          <w:b w:val="0"/>
          <w:sz w:val="22"/>
          <w:szCs w:val="22"/>
          <w:u w:val="single"/>
        </w:rPr>
        <w:t>and</w:t>
      </w:r>
      <w:r w:rsidR="007A123D" w:rsidRPr="007A123D">
        <w:rPr>
          <w:rFonts w:ascii="Arial" w:hAnsi="Arial" w:cs="Arial"/>
          <w:b w:val="0"/>
          <w:sz w:val="22"/>
          <w:szCs w:val="22"/>
        </w:rPr>
        <w:t xml:space="preserve"> to any other information that relates to the decision sought to be reviewed even if the relevance does not specifically appear from the pleadings.  </w:t>
      </w:r>
    </w:p>
    <w:p w:rsidR="007A123D" w:rsidRDefault="008D3E1A" w:rsidP="00E12182">
      <w:pPr>
        <w:pStyle w:val="Heading1"/>
        <w:spacing w:line="360" w:lineRule="auto"/>
        <w:jc w:val="both"/>
        <w:rPr>
          <w:rFonts w:ascii="Arial" w:hAnsi="Arial" w:cs="Arial"/>
          <w:b w:val="0"/>
          <w:sz w:val="22"/>
          <w:szCs w:val="22"/>
        </w:rPr>
      </w:pPr>
      <w:r>
        <w:rPr>
          <w:rFonts w:ascii="Arial" w:hAnsi="Arial" w:cs="Arial"/>
          <w:b w:val="0"/>
          <w:sz w:val="22"/>
          <w:szCs w:val="22"/>
        </w:rPr>
        <w:t>23.</w:t>
      </w:r>
      <w:r>
        <w:rPr>
          <w:rFonts w:ascii="Arial" w:hAnsi="Arial" w:cs="Arial"/>
          <w:b w:val="0"/>
          <w:sz w:val="22"/>
          <w:szCs w:val="22"/>
        </w:rPr>
        <w:tab/>
      </w:r>
      <w:r w:rsidR="007A123D" w:rsidRPr="007A123D">
        <w:rPr>
          <w:rFonts w:ascii="Arial" w:hAnsi="Arial" w:cs="Arial"/>
          <w:b w:val="0"/>
          <w:sz w:val="22"/>
          <w:szCs w:val="22"/>
        </w:rPr>
        <w:t xml:space="preserve">From the parties’ affidavits, the following material facts are largely undisputed or have not been disputed in a manner that creates a genuine dispute of fact.  These facts underlie the applicants’ claims for the documents and information requested in paragraphs 2, 3 and 5 of the rule 76(6) notice:  </w:t>
      </w:r>
    </w:p>
    <w:p w:rsidR="00E12182" w:rsidRPr="00E12182" w:rsidRDefault="00E12182" w:rsidP="00E12182"/>
    <w:p w:rsidR="007A123D" w:rsidRPr="007A123D" w:rsidRDefault="00752D14" w:rsidP="008D3E1A">
      <w:pPr>
        <w:pStyle w:val="Heading2"/>
        <w:spacing w:line="360" w:lineRule="auto"/>
        <w:ind w:left="709"/>
        <w:jc w:val="both"/>
        <w:rPr>
          <w:rFonts w:ascii="Arial" w:hAnsi="Arial" w:cs="Arial"/>
          <w:b w:val="0"/>
          <w:sz w:val="22"/>
          <w:szCs w:val="22"/>
        </w:rPr>
      </w:pPr>
      <w:r>
        <w:rPr>
          <w:rFonts w:ascii="Arial" w:hAnsi="Arial" w:cs="Arial"/>
          <w:b w:val="0"/>
          <w:sz w:val="22"/>
          <w:szCs w:val="22"/>
          <w:lang w:val="en-US"/>
        </w:rPr>
        <w:t>23.1</w:t>
      </w:r>
      <w:r>
        <w:rPr>
          <w:rFonts w:ascii="Arial" w:hAnsi="Arial" w:cs="Arial"/>
          <w:b w:val="0"/>
          <w:sz w:val="22"/>
          <w:szCs w:val="22"/>
          <w:lang w:val="en-US"/>
        </w:rPr>
        <w:tab/>
      </w:r>
      <w:r w:rsidR="007A123D" w:rsidRPr="007A123D">
        <w:rPr>
          <w:rFonts w:ascii="Arial" w:hAnsi="Arial" w:cs="Arial"/>
          <w:b w:val="0"/>
          <w:sz w:val="22"/>
          <w:szCs w:val="22"/>
        </w:rPr>
        <w:t xml:space="preserve">The documents and information requested in paragraphs 2, 3 and 5 exist.  If they did not exist, the Minister would simply have said so.  He did not.  </w:t>
      </w:r>
    </w:p>
    <w:p w:rsidR="007A123D" w:rsidRPr="007A123D" w:rsidRDefault="007A123D" w:rsidP="008D3E1A">
      <w:pPr>
        <w:spacing w:after="0" w:line="360" w:lineRule="auto"/>
        <w:ind w:left="709"/>
        <w:jc w:val="both"/>
        <w:rPr>
          <w:rFonts w:ascii="Arial" w:hAnsi="Arial" w:cs="Arial"/>
        </w:rPr>
      </w:pPr>
    </w:p>
    <w:p w:rsidR="007A123D" w:rsidRPr="007A123D" w:rsidRDefault="007A123D" w:rsidP="00EE64F5">
      <w:pPr>
        <w:pStyle w:val="Heading2"/>
        <w:spacing w:line="360" w:lineRule="auto"/>
        <w:ind w:left="709"/>
        <w:jc w:val="both"/>
        <w:rPr>
          <w:rFonts w:ascii="Arial" w:hAnsi="Arial" w:cs="Arial"/>
          <w:b w:val="0"/>
          <w:sz w:val="22"/>
          <w:szCs w:val="22"/>
        </w:rPr>
      </w:pPr>
      <w:r>
        <w:rPr>
          <w:rFonts w:ascii="Arial" w:hAnsi="Arial" w:cs="Arial"/>
          <w:b w:val="0"/>
          <w:sz w:val="22"/>
          <w:szCs w:val="22"/>
          <w:lang w:val="en-US"/>
        </w:rPr>
        <w:t xml:space="preserve">23.2 </w:t>
      </w:r>
      <w:r w:rsidRPr="007A123D">
        <w:rPr>
          <w:rFonts w:ascii="Arial" w:hAnsi="Arial" w:cs="Arial"/>
          <w:b w:val="0"/>
          <w:sz w:val="22"/>
          <w:szCs w:val="22"/>
        </w:rPr>
        <w:t xml:space="preserve">The documents requested in paragraphs 2 and 3 of the </w:t>
      </w:r>
      <w:r w:rsidRPr="007A123D">
        <w:rPr>
          <w:rFonts w:ascii="Arial" w:hAnsi="Arial" w:cs="Arial"/>
          <w:b w:val="0"/>
          <w:sz w:val="22"/>
          <w:szCs w:val="22"/>
        </w:rPr>
        <w:br/>
        <w:t xml:space="preserve">rule 76(6) notice formed the foundation of the 2016 Notices:  </w:t>
      </w:r>
    </w:p>
    <w:p w:rsidR="007A123D" w:rsidRPr="007A123D" w:rsidRDefault="007A123D" w:rsidP="00EE64F5">
      <w:pPr>
        <w:spacing w:after="0" w:line="360" w:lineRule="auto"/>
        <w:jc w:val="both"/>
        <w:rPr>
          <w:rFonts w:ascii="Arial" w:hAnsi="Arial" w:cs="Arial"/>
        </w:rPr>
      </w:pPr>
    </w:p>
    <w:p w:rsidR="007A123D" w:rsidRPr="007A123D" w:rsidRDefault="007A123D" w:rsidP="008D3E1A">
      <w:pPr>
        <w:pStyle w:val="Heading3"/>
        <w:spacing w:line="360" w:lineRule="auto"/>
        <w:ind w:left="1418"/>
        <w:jc w:val="both"/>
        <w:rPr>
          <w:rFonts w:ascii="Arial" w:hAnsi="Arial" w:cs="Arial"/>
          <w:b w:val="0"/>
          <w:sz w:val="22"/>
          <w:szCs w:val="22"/>
        </w:rPr>
      </w:pPr>
      <w:r>
        <w:rPr>
          <w:rFonts w:ascii="Arial" w:hAnsi="Arial" w:cs="Arial"/>
          <w:b w:val="0"/>
          <w:sz w:val="22"/>
          <w:szCs w:val="22"/>
          <w:lang w:val="en-US"/>
        </w:rPr>
        <w:tab/>
      </w:r>
      <w:r w:rsidR="00752D14">
        <w:rPr>
          <w:rFonts w:ascii="Arial" w:hAnsi="Arial" w:cs="Arial"/>
          <w:b w:val="0"/>
          <w:sz w:val="22"/>
          <w:szCs w:val="22"/>
        </w:rPr>
        <w:t>23.2.1</w:t>
      </w:r>
      <w:r w:rsidR="00752D14">
        <w:rPr>
          <w:rFonts w:ascii="Arial" w:hAnsi="Arial" w:cs="Arial"/>
          <w:b w:val="0"/>
          <w:sz w:val="22"/>
          <w:szCs w:val="22"/>
        </w:rPr>
        <w:tab/>
      </w:r>
      <w:r w:rsidRPr="007A123D">
        <w:rPr>
          <w:rFonts w:ascii="Arial" w:hAnsi="Arial" w:cs="Arial"/>
          <w:b w:val="0"/>
          <w:sz w:val="22"/>
          <w:szCs w:val="22"/>
        </w:rPr>
        <w:t xml:space="preserve">Before the 2016 Notices were gazetted in </w:t>
      </w:r>
      <w:r w:rsidRPr="007A123D">
        <w:rPr>
          <w:rFonts w:ascii="Arial" w:hAnsi="Arial" w:cs="Arial"/>
          <w:b w:val="0"/>
          <w:sz w:val="22"/>
          <w:szCs w:val="22"/>
        </w:rPr>
        <w:br/>
        <w:t>November 2016, NamibRe had informed the applicants that Cabinet had taken a decision to implement the three pillars and that there would be “no scope for engagement on the terms or implementation of the measures.”</w:t>
      </w:r>
      <w:r w:rsidRPr="007A123D">
        <w:rPr>
          <w:rStyle w:val="FootnoteReference"/>
          <w:rFonts w:ascii="Arial" w:hAnsi="Arial" w:cs="Arial"/>
          <w:b w:val="0"/>
          <w:sz w:val="22"/>
          <w:szCs w:val="22"/>
        </w:rPr>
        <w:footnoteReference w:id="56"/>
      </w:r>
      <w:r w:rsidRPr="007A123D">
        <w:rPr>
          <w:rFonts w:ascii="Arial" w:hAnsi="Arial" w:cs="Arial"/>
          <w:b w:val="0"/>
          <w:sz w:val="22"/>
          <w:szCs w:val="22"/>
        </w:rPr>
        <w:t xml:space="preserve">  This allegation was also made in the 2016 Review application and has never been denied;  </w:t>
      </w:r>
    </w:p>
    <w:p w:rsidR="007A123D" w:rsidRPr="007A123D" w:rsidRDefault="007A123D" w:rsidP="008D3E1A">
      <w:pPr>
        <w:spacing w:after="0" w:line="360" w:lineRule="auto"/>
        <w:jc w:val="both"/>
        <w:rPr>
          <w:rFonts w:ascii="Arial" w:hAnsi="Arial" w:cs="Arial"/>
        </w:rPr>
      </w:pPr>
    </w:p>
    <w:p w:rsidR="007A123D" w:rsidRPr="007A123D" w:rsidRDefault="007A123D" w:rsidP="00EE64F5">
      <w:pPr>
        <w:pStyle w:val="Heading3"/>
        <w:spacing w:line="360" w:lineRule="auto"/>
        <w:ind w:left="1418"/>
        <w:jc w:val="both"/>
        <w:rPr>
          <w:rFonts w:ascii="Arial" w:hAnsi="Arial" w:cs="Arial"/>
          <w:b w:val="0"/>
          <w:sz w:val="22"/>
          <w:szCs w:val="22"/>
        </w:rPr>
      </w:pPr>
      <w:r>
        <w:rPr>
          <w:rFonts w:ascii="Arial" w:hAnsi="Arial" w:cs="Arial"/>
          <w:b w:val="0"/>
          <w:sz w:val="22"/>
          <w:szCs w:val="22"/>
          <w:lang w:val="en-US"/>
        </w:rPr>
        <w:tab/>
      </w:r>
      <w:r w:rsidR="00752D14">
        <w:rPr>
          <w:rFonts w:ascii="Arial" w:hAnsi="Arial" w:cs="Arial"/>
          <w:b w:val="0"/>
          <w:sz w:val="22"/>
          <w:szCs w:val="22"/>
          <w:lang w:val="en-US"/>
        </w:rPr>
        <w:t>23.2.2</w:t>
      </w:r>
      <w:r w:rsidR="00752D14">
        <w:rPr>
          <w:rFonts w:ascii="Arial" w:hAnsi="Arial" w:cs="Arial"/>
          <w:b w:val="0"/>
          <w:sz w:val="22"/>
          <w:szCs w:val="22"/>
          <w:lang w:val="en-US"/>
        </w:rPr>
        <w:tab/>
      </w:r>
      <w:r w:rsidRPr="007A123D">
        <w:rPr>
          <w:rFonts w:ascii="Arial" w:hAnsi="Arial" w:cs="Arial"/>
          <w:b w:val="0"/>
          <w:sz w:val="22"/>
          <w:szCs w:val="22"/>
        </w:rPr>
        <w:t xml:space="preserve">It is thus clear that the Cabinet’s decision may well have featured prominently in the Minister’s decision making.  The documents underlying the Cabinet’s decision would – on the above wide definition of a record – form part of the review record.  Whether the Minister actually considered the </w:t>
      </w:r>
      <w:r w:rsidRPr="007A123D">
        <w:rPr>
          <w:rFonts w:ascii="Arial" w:hAnsi="Arial" w:cs="Arial"/>
          <w:b w:val="0"/>
          <w:sz w:val="22"/>
          <w:szCs w:val="22"/>
        </w:rPr>
        <w:lastRenderedPageBreak/>
        <w:t xml:space="preserve">documentation underlying or evidencing the Cabinet decision, or had it before him when he decided, is irrelevant.  What he clearly would have considered, is the Cabinet decision.  If that is so, the Cabinet decision and the documentary material, which informed or evidences the Cabinet decision, would form part of the review record;  </w:t>
      </w:r>
    </w:p>
    <w:p w:rsidR="007A123D" w:rsidRPr="007A123D" w:rsidRDefault="007A123D" w:rsidP="00EE64F5">
      <w:pPr>
        <w:spacing w:after="0" w:line="360" w:lineRule="auto"/>
        <w:jc w:val="both"/>
        <w:rPr>
          <w:rFonts w:ascii="Arial" w:hAnsi="Arial" w:cs="Arial"/>
        </w:rPr>
      </w:pPr>
    </w:p>
    <w:p w:rsidR="007A123D" w:rsidRPr="007A123D" w:rsidRDefault="00F75017" w:rsidP="00EE64F5">
      <w:pPr>
        <w:pStyle w:val="Heading3"/>
        <w:spacing w:line="360" w:lineRule="auto"/>
        <w:ind w:left="1418"/>
        <w:jc w:val="both"/>
        <w:rPr>
          <w:rFonts w:ascii="Arial" w:hAnsi="Arial" w:cs="Arial"/>
          <w:b w:val="0"/>
          <w:sz w:val="22"/>
          <w:szCs w:val="22"/>
        </w:rPr>
      </w:pPr>
      <w:r>
        <w:rPr>
          <w:rFonts w:ascii="Arial" w:hAnsi="Arial" w:cs="Arial"/>
          <w:b w:val="0"/>
          <w:sz w:val="22"/>
          <w:szCs w:val="22"/>
          <w:lang w:val="en-US"/>
        </w:rPr>
        <w:tab/>
        <w:t xml:space="preserve">23.2.3 </w:t>
      </w:r>
      <w:r w:rsidR="007A123D" w:rsidRPr="007A123D">
        <w:rPr>
          <w:rFonts w:ascii="Arial" w:hAnsi="Arial" w:cs="Arial"/>
          <w:b w:val="0"/>
          <w:sz w:val="22"/>
          <w:szCs w:val="22"/>
        </w:rPr>
        <w:t xml:space="preserve">Cabinet does not take decisions without an agenda, minutes and resolutions or supporting documents to inform its decisions.  This follows both as a matter of logic from Cabinet’s high constitutional mandate, and because the existence of these documents was not denied by the Cabinet member who must have been present and was responsible to implement Cabinet’s 2016 decision.  The Minister did not dispute the applicants’ detailed factual allegations in this respect, made in paragraphs 8.2.1 to 8.2.6 of the founding affidavit in this discovery application;  </w:t>
      </w:r>
    </w:p>
    <w:p w:rsidR="007A123D" w:rsidRPr="007A123D" w:rsidRDefault="007A123D" w:rsidP="00EE64F5">
      <w:pPr>
        <w:spacing w:after="0" w:line="360" w:lineRule="auto"/>
        <w:jc w:val="both"/>
        <w:rPr>
          <w:rFonts w:ascii="Arial" w:hAnsi="Arial" w:cs="Arial"/>
        </w:rPr>
      </w:pPr>
    </w:p>
    <w:p w:rsidR="007A123D" w:rsidRPr="007A123D" w:rsidRDefault="00F75017" w:rsidP="00EE64F5">
      <w:pPr>
        <w:pStyle w:val="Heading3"/>
        <w:spacing w:line="360" w:lineRule="auto"/>
        <w:ind w:left="1418"/>
        <w:jc w:val="both"/>
        <w:rPr>
          <w:rFonts w:ascii="Arial" w:hAnsi="Arial" w:cs="Arial"/>
          <w:b w:val="0"/>
          <w:sz w:val="22"/>
          <w:szCs w:val="22"/>
        </w:rPr>
      </w:pPr>
      <w:r>
        <w:rPr>
          <w:rFonts w:ascii="Arial" w:hAnsi="Arial" w:cs="Arial"/>
          <w:b w:val="0"/>
          <w:sz w:val="22"/>
          <w:szCs w:val="22"/>
          <w:lang w:val="en-US"/>
        </w:rPr>
        <w:tab/>
        <w:t xml:space="preserve">23.2.4 </w:t>
      </w:r>
      <w:r w:rsidR="007A123D" w:rsidRPr="007A123D">
        <w:rPr>
          <w:rFonts w:ascii="Arial" w:hAnsi="Arial" w:cs="Arial"/>
          <w:b w:val="0"/>
          <w:sz w:val="22"/>
          <w:szCs w:val="22"/>
        </w:rPr>
        <w:t>In his response to the applicants’ 2016 review applications concerning the 2016 Notices, the Minister stated in his press release of 14 February 2017 that the proceedings had been launched “on largely technical grounds”.</w:t>
      </w:r>
      <w:r w:rsidR="007A123D" w:rsidRPr="007A123D">
        <w:rPr>
          <w:rStyle w:val="FootnoteReference"/>
          <w:rFonts w:ascii="Arial" w:hAnsi="Arial" w:cs="Arial"/>
          <w:b w:val="0"/>
          <w:sz w:val="22"/>
          <w:szCs w:val="22"/>
        </w:rPr>
        <w:footnoteReference w:id="57"/>
      </w:r>
      <w:r w:rsidR="007A123D" w:rsidRPr="007A123D">
        <w:rPr>
          <w:rFonts w:ascii="Arial" w:hAnsi="Arial" w:cs="Arial"/>
          <w:b w:val="0"/>
          <w:sz w:val="22"/>
          <w:szCs w:val="22"/>
        </w:rPr>
        <w:t xml:space="preserve">  As the Minister’s decision was also attacked at length on substantive grounds, which could never have been termed “technical grounds”, it follows that there must have been documentation which the Minister considered to support the substantive validity of the 2016 Notices.  Surely the Minister could not have made such weighty decisions without research to support his decision to promulgate the 2016 Notices, or without any documentary guidance for the multitude of relevant considerations.  The Minister has never denied the existence of such documents.  These documents, given the close connections between the 2016 Notices, the Valentine’s  Day 2017 invitation, and the ultimate December 2017 Notices now sought to be reviewed, and the nature and details of the parties’ exchanges between 2016 to the date of the Minister’s decision, would form part of the review record in this matter.  </w:t>
      </w:r>
    </w:p>
    <w:p w:rsidR="007A123D" w:rsidRPr="007A123D" w:rsidRDefault="007A123D" w:rsidP="00EE64F5">
      <w:pPr>
        <w:spacing w:after="0" w:line="360" w:lineRule="auto"/>
        <w:jc w:val="both"/>
        <w:rPr>
          <w:rFonts w:ascii="Arial" w:hAnsi="Arial" w:cs="Arial"/>
        </w:rPr>
      </w:pPr>
    </w:p>
    <w:p w:rsidR="007A123D" w:rsidRPr="007A123D" w:rsidRDefault="00F75017" w:rsidP="00EE64F5">
      <w:pPr>
        <w:pStyle w:val="Heading2"/>
        <w:spacing w:line="360" w:lineRule="auto"/>
        <w:ind w:left="1418"/>
        <w:jc w:val="both"/>
        <w:rPr>
          <w:rFonts w:ascii="Arial" w:hAnsi="Arial" w:cs="Arial"/>
          <w:b w:val="0"/>
          <w:sz w:val="22"/>
          <w:szCs w:val="22"/>
        </w:rPr>
      </w:pPr>
      <w:r>
        <w:rPr>
          <w:rFonts w:ascii="Arial" w:hAnsi="Arial" w:cs="Arial"/>
          <w:b w:val="0"/>
          <w:sz w:val="22"/>
          <w:szCs w:val="22"/>
          <w:lang w:val="en-US"/>
        </w:rPr>
        <w:t xml:space="preserve">23.3 </w:t>
      </w:r>
      <w:r w:rsidR="007A123D" w:rsidRPr="007A123D">
        <w:rPr>
          <w:rFonts w:ascii="Arial" w:hAnsi="Arial" w:cs="Arial"/>
          <w:b w:val="0"/>
          <w:sz w:val="22"/>
          <w:szCs w:val="22"/>
        </w:rPr>
        <w:t xml:space="preserve">The “outcome of the alleged consultation (i.e. the </w:t>
      </w:r>
      <w:r w:rsidR="007A123D" w:rsidRPr="007A123D">
        <w:rPr>
          <w:rFonts w:ascii="Arial" w:hAnsi="Arial" w:cs="Arial"/>
          <w:b w:val="0"/>
          <w:sz w:val="22"/>
          <w:szCs w:val="22"/>
        </w:rPr>
        <w:br/>
        <w:t>December 2017 Notices) is largely the same as when the industry was not consulted at all.”</w:t>
      </w:r>
      <w:r w:rsidR="007A123D" w:rsidRPr="007A123D">
        <w:rPr>
          <w:rStyle w:val="FootnoteReference"/>
          <w:rFonts w:ascii="Arial" w:hAnsi="Arial" w:cs="Arial"/>
          <w:b w:val="0"/>
          <w:sz w:val="22"/>
          <w:szCs w:val="22"/>
        </w:rPr>
        <w:footnoteReference w:id="58"/>
      </w:r>
      <w:r w:rsidR="007A123D" w:rsidRPr="007A123D">
        <w:rPr>
          <w:rFonts w:ascii="Arial" w:hAnsi="Arial" w:cs="Arial"/>
          <w:b w:val="0"/>
          <w:sz w:val="22"/>
          <w:szCs w:val="22"/>
        </w:rPr>
        <w:t xml:space="preserve">  </w:t>
      </w:r>
    </w:p>
    <w:p w:rsidR="007A123D" w:rsidRPr="007A123D" w:rsidRDefault="007A123D" w:rsidP="00EE64F5">
      <w:pPr>
        <w:spacing w:after="0" w:line="360" w:lineRule="auto"/>
        <w:jc w:val="both"/>
        <w:rPr>
          <w:rFonts w:ascii="Arial" w:hAnsi="Arial" w:cs="Arial"/>
        </w:rPr>
      </w:pPr>
    </w:p>
    <w:p w:rsidR="007A123D" w:rsidRPr="007A123D" w:rsidRDefault="00B75813" w:rsidP="00752D14">
      <w:pPr>
        <w:pStyle w:val="Heading2"/>
        <w:spacing w:line="360" w:lineRule="auto"/>
        <w:ind w:left="1418"/>
        <w:jc w:val="both"/>
        <w:rPr>
          <w:rFonts w:ascii="Arial" w:hAnsi="Arial" w:cs="Arial"/>
          <w:b w:val="0"/>
          <w:sz w:val="22"/>
          <w:szCs w:val="22"/>
        </w:rPr>
      </w:pPr>
      <w:r>
        <w:rPr>
          <w:rFonts w:ascii="Arial" w:hAnsi="Arial" w:cs="Arial"/>
          <w:b w:val="0"/>
          <w:sz w:val="22"/>
          <w:szCs w:val="22"/>
          <w:lang w:val="en-US"/>
        </w:rPr>
        <w:t>23.4</w:t>
      </w:r>
      <w:r>
        <w:rPr>
          <w:rFonts w:ascii="Arial" w:hAnsi="Arial" w:cs="Arial"/>
          <w:b w:val="0"/>
          <w:sz w:val="22"/>
          <w:szCs w:val="22"/>
          <w:lang w:val="en-US"/>
        </w:rPr>
        <w:tab/>
      </w:r>
      <w:r w:rsidR="007A123D" w:rsidRPr="007A123D">
        <w:rPr>
          <w:rFonts w:ascii="Arial" w:hAnsi="Arial" w:cs="Arial"/>
          <w:b w:val="0"/>
          <w:sz w:val="22"/>
          <w:szCs w:val="22"/>
        </w:rPr>
        <w:t xml:space="preserve">One would assume that the Minister contends that he did not act </w:t>
      </w:r>
      <w:r w:rsidR="007A123D" w:rsidRPr="007A123D">
        <w:rPr>
          <w:rFonts w:ascii="Arial" w:hAnsi="Arial" w:cs="Arial"/>
          <w:b w:val="0"/>
          <w:sz w:val="22"/>
          <w:szCs w:val="22"/>
        </w:rPr>
        <w:lastRenderedPageBreak/>
        <w:t xml:space="preserve">arbitrarily, in other words without a sound foundation, when he arrived at the detailed percentages and other information in the 2017 draft Notices.  The draft Notices must have been informed by some information, and in all probability by information contained in documents of the nature specified by the applicants in paragraph 1 of the notice of motion in the Information Application.  </w:t>
      </w:r>
    </w:p>
    <w:p w:rsidR="007A123D" w:rsidRPr="007A123D" w:rsidRDefault="007A123D" w:rsidP="00752D14">
      <w:pPr>
        <w:spacing w:after="0" w:line="360" w:lineRule="auto"/>
        <w:jc w:val="both"/>
        <w:rPr>
          <w:rFonts w:ascii="Arial" w:hAnsi="Arial" w:cs="Arial"/>
        </w:rPr>
      </w:pPr>
    </w:p>
    <w:p w:rsidR="007A123D" w:rsidRPr="007A123D" w:rsidRDefault="00F75017" w:rsidP="00752D14">
      <w:pPr>
        <w:pStyle w:val="Heading1"/>
        <w:spacing w:before="0" w:after="0" w:line="360" w:lineRule="auto"/>
        <w:jc w:val="both"/>
        <w:rPr>
          <w:rFonts w:ascii="Arial" w:hAnsi="Arial" w:cs="Arial"/>
          <w:b w:val="0"/>
          <w:sz w:val="22"/>
          <w:szCs w:val="22"/>
        </w:rPr>
      </w:pPr>
      <w:r>
        <w:rPr>
          <w:rFonts w:ascii="Arial" w:hAnsi="Arial" w:cs="Arial"/>
          <w:b w:val="0"/>
          <w:sz w:val="22"/>
          <w:szCs w:val="22"/>
        </w:rPr>
        <w:t>24.</w:t>
      </w:r>
      <w:r>
        <w:rPr>
          <w:rFonts w:ascii="Arial" w:hAnsi="Arial" w:cs="Arial"/>
          <w:b w:val="0"/>
          <w:sz w:val="22"/>
          <w:szCs w:val="22"/>
        </w:rPr>
        <w:tab/>
      </w:r>
      <w:r w:rsidR="007A123D" w:rsidRPr="007A123D">
        <w:rPr>
          <w:rFonts w:ascii="Arial" w:hAnsi="Arial" w:cs="Arial"/>
          <w:b w:val="0"/>
          <w:sz w:val="22"/>
          <w:szCs w:val="22"/>
        </w:rPr>
        <w:t xml:space="preserve">If one assumes for a moment that the Cabinet resolution specifies the same or very closely related percentages of compulsory cession and reinsurance percentages as now contained in the 2017 Notices; or the information in any of the documents that served before Cabinet or the Minister in 2016, or the Minister in 2017, demonstrate that the measures will clearly have an overall adverse impact on the Namibian insurance industry and/or consumers, the Namibian economy and/or the Namibian public, or demonstrate another reason which would make the measures irrational or arbitrary; or that the documents reveal information adverse to the applicants, which they should have had the opportunity to address, and which influenced the Minister’s decision, and which information was not revealed during the consultation process.  If any of these hypotheticals are accurate, the court would be entitled to grant the relief, or parts thereof at the very least, in the notice of motion in the review application.  </w:t>
      </w:r>
    </w:p>
    <w:p w:rsidR="007A123D" w:rsidRPr="007A123D" w:rsidRDefault="007A123D" w:rsidP="00752D14">
      <w:pPr>
        <w:spacing w:after="0" w:line="360" w:lineRule="auto"/>
        <w:jc w:val="both"/>
        <w:rPr>
          <w:rFonts w:ascii="Arial" w:hAnsi="Arial" w:cs="Arial"/>
        </w:rPr>
      </w:pPr>
    </w:p>
    <w:p w:rsidR="007A123D" w:rsidRPr="007A123D" w:rsidRDefault="00752D14" w:rsidP="00752D14">
      <w:pPr>
        <w:spacing w:after="0" w:line="360" w:lineRule="auto"/>
        <w:jc w:val="both"/>
        <w:rPr>
          <w:rFonts w:ascii="Arial" w:hAnsi="Arial" w:cs="Arial"/>
        </w:rPr>
      </w:pPr>
      <w:r>
        <w:rPr>
          <w:rFonts w:ascii="Arial" w:hAnsi="Arial" w:cs="Arial"/>
        </w:rPr>
        <w:t>25.</w:t>
      </w:r>
      <w:r>
        <w:rPr>
          <w:rFonts w:ascii="Arial" w:hAnsi="Arial" w:cs="Arial"/>
        </w:rPr>
        <w:tab/>
      </w:r>
      <w:r w:rsidR="007A123D" w:rsidRPr="00F75017">
        <w:rPr>
          <w:rFonts w:ascii="Arial" w:hAnsi="Arial" w:cs="Arial"/>
        </w:rPr>
        <w:t xml:space="preserve">If all the requested and extant documents are placed before the court, but </w:t>
      </w:r>
      <w:r w:rsidR="007A123D" w:rsidRPr="00F75017">
        <w:rPr>
          <w:rFonts w:ascii="Arial" w:hAnsi="Arial" w:cs="Arial"/>
          <w:i/>
        </w:rPr>
        <w:t>only then</w:t>
      </w:r>
      <w:r w:rsidR="007A123D" w:rsidRPr="00F75017">
        <w:rPr>
          <w:rFonts w:ascii="Arial" w:hAnsi="Arial" w:cs="Arial"/>
        </w:rPr>
        <w:t xml:space="preserve">, the court would be able to investigate the lawfulness of the Minister’s decision </w:t>
      </w:r>
      <w:r w:rsidR="007A123D" w:rsidRPr="00F75017">
        <w:rPr>
          <w:rFonts w:ascii="Arial" w:hAnsi="Arial" w:cs="Arial"/>
          <w:i/>
        </w:rPr>
        <w:t>objectively</w:t>
      </w:r>
      <w:r w:rsidR="007A123D" w:rsidRPr="00F75017">
        <w:rPr>
          <w:rFonts w:ascii="Arial" w:hAnsi="Arial" w:cs="Arial"/>
        </w:rPr>
        <w:t>.</w:t>
      </w:r>
      <w:r w:rsidR="007A123D" w:rsidRPr="00F75017">
        <w:rPr>
          <w:rStyle w:val="FootnoteReference"/>
          <w:rFonts w:ascii="Arial" w:hAnsi="Arial" w:cs="Arial"/>
        </w:rPr>
        <w:footnoteReference w:id="59"/>
      </w:r>
      <w:r w:rsidR="007A123D" w:rsidRPr="00F75017">
        <w:rPr>
          <w:rFonts w:ascii="Arial" w:hAnsi="Arial" w:cs="Arial"/>
        </w:rPr>
        <w:t xml:space="preserve">  Without the documents, the applicants and the court will be left in the dark on the truth, only to speculate what the documents may or may not contain and what effect the documents may have had on the lawfulness of the decision of the very person who </w:t>
      </w:r>
      <w:r w:rsidR="007A123D" w:rsidRPr="00F75017">
        <w:rPr>
          <w:rFonts w:ascii="Arial" w:hAnsi="Arial" w:cs="Arial"/>
          <w:u w:val="single"/>
        </w:rPr>
        <w:t>has</w:t>
      </w:r>
      <w:r w:rsidR="007A123D" w:rsidRPr="00F75017">
        <w:rPr>
          <w:rFonts w:ascii="Arial" w:hAnsi="Arial" w:cs="Arial"/>
        </w:rPr>
        <w:t xml:space="preserve"> the documents, or </w:t>
      </w:r>
      <w:r w:rsidR="007A123D" w:rsidRPr="00F75017">
        <w:rPr>
          <w:rFonts w:ascii="Arial" w:hAnsi="Arial" w:cs="Arial"/>
          <w:u w:val="single"/>
        </w:rPr>
        <w:t>had</w:t>
      </w:r>
      <w:r w:rsidR="007A123D" w:rsidRPr="00F75017">
        <w:rPr>
          <w:rFonts w:ascii="Arial" w:hAnsi="Arial" w:cs="Arial"/>
        </w:rPr>
        <w:t xml:space="preserve"> the documents, or has the </w:t>
      </w:r>
      <w:r w:rsidR="007A123D" w:rsidRPr="00F75017">
        <w:rPr>
          <w:rFonts w:ascii="Arial" w:hAnsi="Arial" w:cs="Arial"/>
          <w:u w:val="single"/>
        </w:rPr>
        <w:t>power</w:t>
      </w:r>
      <w:r w:rsidR="007A123D" w:rsidRPr="00F75017">
        <w:rPr>
          <w:rStyle w:val="FootnoteReference"/>
          <w:rFonts w:ascii="Arial" w:hAnsi="Arial" w:cs="Arial"/>
        </w:rPr>
        <w:footnoteReference w:id="60"/>
      </w:r>
      <w:r w:rsidR="007A123D" w:rsidRPr="00F75017">
        <w:rPr>
          <w:rFonts w:ascii="Arial" w:hAnsi="Arial" w:cs="Arial"/>
        </w:rPr>
        <w:t xml:space="preserve"> to produce these documents.   Leaving the applicants and the court in the dark and thus forcing them to resort to speculation, is the antithesis of the purpose behind rule 76, and strikes at the heart of the Constitutional guarantees in Article 18, the constitutional promises of access to justice and equality of arms, and the democratic values of transparency and accountability.</w:t>
      </w:r>
      <w:r w:rsidR="007A123D" w:rsidRPr="00F75017">
        <w:rPr>
          <w:rStyle w:val="FootnoteReference"/>
          <w:rFonts w:ascii="Arial" w:hAnsi="Arial" w:cs="Arial"/>
        </w:rPr>
        <w:footnoteReference w:id="61"/>
      </w:r>
      <w:r w:rsidR="007A123D" w:rsidRPr="00F75017">
        <w:rPr>
          <w:rFonts w:ascii="Arial" w:hAnsi="Arial" w:cs="Arial"/>
        </w:rPr>
        <w:t xml:space="preserve">  </w:t>
      </w:r>
    </w:p>
    <w:p w:rsidR="007A123D" w:rsidRPr="007A123D" w:rsidRDefault="00F75017" w:rsidP="007A123D">
      <w:pPr>
        <w:pStyle w:val="Heading1"/>
        <w:spacing w:line="360" w:lineRule="auto"/>
        <w:jc w:val="both"/>
        <w:rPr>
          <w:rFonts w:ascii="Arial" w:hAnsi="Arial" w:cs="Arial"/>
          <w:b w:val="0"/>
          <w:sz w:val="22"/>
          <w:szCs w:val="22"/>
        </w:rPr>
      </w:pPr>
      <w:r>
        <w:rPr>
          <w:rFonts w:ascii="Arial" w:hAnsi="Arial" w:cs="Arial"/>
          <w:b w:val="0"/>
          <w:sz w:val="22"/>
          <w:szCs w:val="22"/>
        </w:rPr>
        <w:t xml:space="preserve">26. </w:t>
      </w:r>
      <w:r w:rsidR="007A123D" w:rsidRPr="007A123D">
        <w:rPr>
          <w:rFonts w:ascii="Arial" w:hAnsi="Arial" w:cs="Arial"/>
          <w:b w:val="0"/>
          <w:sz w:val="22"/>
          <w:szCs w:val="22"/>
        </w:rPr>
        <w:t xml:space="preserve">We therefore respectfully submit the court should direct the Minister to produce the documents to allow the applicants, and more importantly the court, to perform an objective </w:t>
      </w:r>
      <w:r w:rsidR="007A123D" w:rsidRPr="007A123D">
        <w:rPr>
          <w:rFonts w:ascii="Arial" w:hAnsi="Arial" w:cs="Arial"/>
          <w:b w:val="0"/>
          <w:sz w:val="22"/>
          <w:szCs w:val="22"/>
        </w:rPr>
        <w:lastRenderedPageBreak/>
        <w:t>assessment of their relevance to the Minister’s decision.  If the documents never existed, then the Minister should say so.</w:t>
      </w:r>
      <w:r w:rsidR="00752D14">
        <w:rPr>
          <w:rFonts w:ascii="Arial" w:hAnsi="Arial" w:cs="Arial"/>
          <w:b w:val="0"/>
          <w:sz w:val="22"/>
          <w:szCs w:val="22"/>
        </w:rPr>
        <w:t>’</w:t>
      </w:r>
      <w:r w:rsidR="007A123D" w:rsidRPr="007A123D">
        <w:rPr>
          <w:rFonts w:ascii="Arial" w:hAnsi="Arial" w:cs="Arial"/>
          <w:b w:val="0"/>
          <w:sz w:val="22"/>
          <w:szCs w:val="22"/>
        </w:rPr>
        <w:t xml:space="preserve"> </w:t>
      </w:r>
    </w:p>
    <w:p w:rsidR="007A123D" w:rsidRDefault="007A123D" w:rsidP="007A123D">
      <w:pPr>
        <w:spacing w:after="0" w:line="360" w:lineRule="auto"/>
        <w:jc w:val="both"/>
        <w:rPr>
          <w:rFonts w:ascii="Arial" w:hAnsi="Arial" w:cs="Arial"/>
          <w:sz w:val="24"/>
          <w:szCs w:val="24"/>
        </w:rPr>
      </w:pPr>
    </w:p>
    <w:p w:rsidR="007862B5" w:rsidRDefault="00B50F17" w:rsidP="009F7699">
      <w:pPr>
        <w:spacing w:after="0" w:line="360" w:lineRule="auto"/>
        <w:jc w:val="both"/>
        <w:rPr>
          <w:rFonts w:ascii="Arial" w:hAnsi="Arial" w:cs="Arial"/>
          <w:sz w:val="24"/>
          <w:szCs w:val="24"/>
        </w:rPr>
      </w:pPr>
      <w:r>
        <w:rPr>
          <w:rFonts w:ascii="Arial" w:hAnsi="Arial" w:cs="Arial"/>
          <w:sz w:val="24"/>
          <w:szCs w:val="24"/>
        </w:rPr>
        <w:t>[</w:t>
      </w:r>
      <w:r w:rsidR="00B75813">
        <w:rPr>
          <w:rFonts w:ascii="Arial" w:hAnsi="Arial" w:cs="Arial"/>
          <w:sz w:val="24"/>
          <w:szCs w:val="24"/>
        </w:rPr>
        <w:t>2</w:t>
      </w:r>
      <w:r w:rsidR="002724C5">
        <w:rPr>
          <w:rFonts w:ascii="Arial" w:hAnsi="Arial" w:cs="Arial"/>
          <w:sz w:val="24"/>
          <w:szCs w:val="24"/>
        </w:rPr>
        <w:t>4</w:t>
      </w:r>
      <w:r>
        <w:rPr>
          <w:rFonts w:ascii="Arial" w:hAnsi="Arial" w:cs="Arial"/>
          <w:sz w:val="24"/>
          <w:szCs w:val="24"/>
        </w:rPr>
        <w:t>]</w:t>
      </w:r>
      <w:r>
        <w:rPr>
          <w:rFonts w:ascii="Arial" w:hAnsi="Arial" w:cs="Arial"/>
          <w:sz w:val="24"/>
          <w:szCs w:val="24"/>
        </w:rPr>
        <w:tab/>
        <w:t xml:space="preserve">The first </w:t>
      </w:r>
      <w:r w:rsidR="00337CEE">
        <w:rPr>
          <w:rFonts w:ascii="Arial" w:hAnsi="Arial" w:cs="Arial"/>
          <w:sz w:val="24"/>
          <w:szCs w:val="24"/>
        </w:rPr>
        <w:t>respondent</w:t>
      </w:r>
      <w:r>
        <w:rPr>
          <w:rFonts w:ascii="Arial" w:hAnsi="Arial" w:cs="Arial"/>
          <w:sz w:val="24"/>
          <w:szCs w:val="24"/>
        </w:rPr>
        <w:t xml:space="preserve"> defended his stance as follows:</w:t>
      </w:r>
    </w:p>
    <w:p w:rsidR="00B50F17" w:rsidRDefault="00B50F17" w:rsidP="009F7699">
      <w:pPr>
        <w:spacing w:after="0" w:line="360" w:lineRule="auto"/>
        <w:jc w:val="both"/>
        <w:rPr>
          <w:rFonts w:ascii="Arial" w:hAnsi="Arial" w:cs="Arial"/>
          <w:sz w:val="24"/>
          <w:szCs w:val="24"/>
        </w:rPr>
      </w:pPr>
    </w:p>
    <w:p w:rsidR="00B50F17" w:rsidRPr="00F171E5" w:rsidRDefault="00B50F17" w:rsidP="00752D14">
      <w:pPr>
        <w:shd w:val="clear" w:color="auto" w:fill="FFFFFF"/>
        <w:spacing w:after="360" w:line="360" w:lineRule="auto"/>
        <w:ind w:firstLine="720"/>
        <w:jc w:val="both"/>
        <w:rPr>
          <w:rFonts w:ascii="Arial" w:hAnsi="Arial" w:cs="Arial"/>
          <w:bCs/>
          <w:i/>
          <w:iCs/>
          <w:color w:val="000000" w:themeColor="text1"/>
        </w:rPr>
      </w:pPr>
      <w:r w:rsidRPr="00F171E5">
        <w:rPr>
          <w:rFonts w:ascii="Arial" w:hAnsi="Arial" w:cs="Arial"/>
          <w:bCs/>
          <w:i/>
          <w:iCs/>
          <w:color w:val="000000" w:themeColor="text1"/>
          <w:u w:val="single"/>
        </w:rPr>
        <w:t>‘Paragraph 1.2:</w:t>
      </w:r>
      <w:r w:rsidRPr="00F171E5">
        <w:rPr>
          <w:rFonts w:ascii="Arial" w:hAnsi="Arial" w:cs="Arial"/>
          <w:bCs/>
          <w:i/>
          <w:iCs/>
          <w:color w:val="000000" w:themeColor="text1"/>
        </w:rPr>
        <w:t xml:space="preserve"> the alleged “Cabinet” documents</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i/>
          <w:color w:val="000000" w:themeColor="text1"/>
          <w:sz w:val="22"/>
          <w:szCs w:val="22"/>
        </w:rPr>
      </w:pPr>
      <w:r w:rsidRPr="00B50F17">
        <w:rPr>
          <w:rFonts w:cs="Arial"/>
          <w:iCs/>
          <w:color w:val="000000" w:themeColor="text1"/>
          <w:sz w:val="22"/>
          <w:szCs w:val="22"/>
          <w:shd w:val="clear" w:color="auto" w:fill="FFFFFF"/>
        </w:rPr>
        <w:t xml:space="preserve">The applicants demand that the Minister produce </w:t>
      </w:r>
      <w:r w:rsidRPr="00B50F17">
        <w:rPr>
          <w:rFonts w:cs="Arial"/>
          <w:i/>
          <w:color w:val="000000" w:themeColor="text1"/>
          <w:sz w:val="22"/>
          <w:szCs w:val="22"/>
          <w:shd w:val="clear" w:color="auto" w:fill="FFFFFF"/>
        </w:rPr>
        <w:t>“specific documents which served before and which were created by the Cabinet of the Republic of Namibia, dealing with the implementation or enforcement of [the Act], being … [1] the agenda, minutes and resolution of Cabinet meeting(s) where the decisions referenced in NamibRe’s letter of 28 September 2016, were taken; and [2] any similar documents evidencing the revocation of decision referenced in par 2.1 above”</w:t>
      </w:r>
      <w:r w:rsidRPr="00B50F17">
        <w:rPr>
          <w:rFonts w:cs="Arial"/>
          <w:iCs/>
          <w:color w:val="000000" w:themeColor="text1"/>
          <w:sz w:val="22"/>
          <w:szCs w:val="22"/>
          <w:shd w:val="clear" w:color="auto" w:fill="FFFFFF"/>
        </w:rPr>
        <w:t>.</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i/>
          <w:color w:val="000000" w:themeColor="text1"/>
          <w:sz w:val="22"/>
          <w:szCs w:val="22"/>
        </w:rPr>
      </w:pPr>
      <w:r w:rsidRPr="00B50F17">
        <w:rPr>
          <w:rFonts w:cs="Arial"/>
          <w:iCs/>
          <w:color w:val="000000" w:themeColor="text1"/>
          <w:sz w:val="22"/>
          <w:szCs w:val="22"/>
          <w:shd w:val="clear" w:color="auto" w:fill="FFFFFF"/>
        </w:rPr>
        <w:t xml:space="preserve">There is no basis for this demand either, both as regards the 2016 decision and as regards its revocation. </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i/>
          <w:color w:val="000000" w:themeColor="text1"/>
          <w:sz w:val="22"/>
          <w:szCs w:val="22"/>
        </w:rPr>
      </w:pPr>
      <w:r w:rsidRPr="00B50F17">
        <w:rPr>
          <w:rFonts w:cs="Arial"/>
          <w:iCs/>
          <w:color w:val="000000" w:themeColor="text1"/>
          <w:sz w:val="22"/>
          <w:szCs w:val="22"/>
          <w:shd w:val="clear" w:color="auto" w:fill="FFFFFF"/>
        </w:rPr>
        <w:t xml:space="preserve"> Firstly, the Minister is not the Cabinet, or the Cabinet secretary: he is not the keeper and repository of Cabinet documents. Simply to say that a line Minister was a member of Cabinet at a particular time is not to lay any factual basis for contending that he or she is in “</w:t>
      </w:r>
      <w:r w:rsidRPr="00B50F17">
        <w:rPr>
          <w:rFonts w:cs="Arial"/>
          <w:i/>
          <w:iCs/>
          <w:color w:val="000000" w:themeColor="text1"/>
          <w:sz w:val="22"/>
          <w:szCs w:val="22"/>
          <w:shd w:val="clear" w:color="auto" w:fill="FFFFFF"/>
        </w:rPr>
        <w:t>possession</w:t>
      </w:r>
      <w:r w:rsidRPr="00B50F17">
        <w:rPr>
          <w:rFonts w:cs="Arial"/>
          <w:iCs/>
          <w:color w:val="000000" w:themeColor="text1"/>
          <w:sz w:val="22"/>
          <w:szCs w:val="22"/>
          <w:shd w:val="clear" w:color="auto" w:fill="FFFFFF"/>
        </w:rPr>
        <w:t xml:space="preserve">”, as Rule 76 requires, of </w:t>
      </w:r>
      <w:r w:rsidRPr="00B50F17">
        <w:rPr>
          <w:rFonts w:cs="Arial"/>
          <w:i/>
          <w:iCs/>
          <w:color w:val="000000" w:themeColor="text1"/>
          <w:sz w:val="22"/>
          <w:szCs w:val="22"/>
          <w:shd w:val="clear" w:color="auto" w:fill="FFFFFF"/>
        </w:rPr>
        <w:t>Cabinet</w:t>
      </w:r>
      <w:r w:rsidRPr="00B50F17">
        <w:rPr>
          <w:rFonts w:cs="Arial"/>
          <w:iCs/>
          <w:color w:val="000000" w:themeColor="text1"/>
          <w:sz w:val="22"/>
          <w:szCs w:val="22"/>
          <w:shd w:val="clear" w:color="auto" w:fill="FFFFFF"/>
        </w:rPr>
        <w:t xml:space="preserve"> documents. To the extent that a litigant wishes to lay claim to the latter, it must use whatever remedy it may have (for instance, by way of </w:t>
      </w:r>
      <w:r w:rsidRPr="00B50F17">
        <w:rPr>
          <w:rFonts w:cs="Arial"/>
          <w:i/>
          <w:iCs/>
          <w:color w:val="000000" w:themeColor="text1"/>
          <w:sz w:val="22"/>
          <w:szCs w:val="22"/>
          <w:shd w:val="clear" w:color="auto" w:fill="FFFFFF"/>
        </w:rPr>
        <w:t>subpoena duces tecum</w:t>
      </w:r>
      <w:r w:rsidRPr="00B50F17">
        <w:rPr>
          <w:rFonts w:cs="Arial"/>
          <w:iCs/>
          <w:color w:val="000000" w:themeColor="text1"/>
          <w:sz w:val="22"/>
          <w:szCs w:val="22"/>
          <w:shd w:val="clear" w:color="auto" w:fill="FFFFFF"/>
        </w:rPr>
        <w:t>) against Cabinet as a third party (and be met with such defences founded on confidentiality as Cabinet may muster). The litigant cannot try to winkle out an entitlement to Cabinet documents by trying to invoke Rule 76 against an individual Minister.</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i/>
          <w:color w:val="000000" w:themeColor="text1"/>
          <w:sz w:val="22"/>
          <w:szCs w:val="22"/>
        </w:rPr>
      </w:pPr>
      <w:r w:rsidRPr="00B50F17">
        <w:rPr>
          <w:rFonts w:cs="Arial"/>
          <w:iCs/>
          <w:color w:val="000000" w:themeColor="text1"/>
          <w:sz w:val="22"/>
          <w:szCs w:val="22"/>
          <w:shd w:val="clear" w:color="auto" w:fill="FFFFFF"/>
        </w:rPr>
        <w:t>Secondly, the documents are not relevant to the review of the decision at issue in this matter, namely the 2017 decision. The claim is founded on an affidavit filed in the applicants’ challenge to measures promulgated in 2016 but subsequently withdrawn.</w:t>
      </w:r>
      <w:r w:rsidRPr="00B50F17">
        <w:rPr>
          <w:rStyle w:val="FootnoteReference"/>
          <w:rFonts w:cs="Arial"/>
          <w:iCs/>
          <w:color w:val="000000" w:themeColor="text1"/>
          <w:sz w:val="22"/>
          <w:szCs w:val="22"/>
          <w:shd w:val="clear" w:color="auto" w:fill="FFFFFF"/>
        </w:rPr>
        <w:footnoteReference w:id="62"/>
      </w:r>
      <w:r w:rsidRPr="00B50F17">
        <w:rPr>
          <w:rFonts w:cs="Arial"/>
          <w:iCs/>
          <w:color w:val="000000" w:themeColor="text1"/>
          <w:sz w:val="22"/>
          <w:szCs w:val="22"/>
          <w:shd w:val="clear" w:color="auto" w:fill="FFFFFF"/>
        </w:rPr>
        <w:t xml:space="preserve">  The 2017 decision was taken after (a) the publishing of notices </w:t>
      </w:r>
      <w:r w:rsidRPr="00B50F17">
        <w:rPr>
          <w:rFonts w:cs="Arial"/>
          <w:i/>
          <w:iCs/>
          <w:color w:val="000000" w:themeColor="text1"/>
          <w:sz w:val="22"/>
          <w:szCs w:val="22"/>
          <w:shd w:val="clear" w:color="auto" w:fill="FFFFFF"/>
        </w:rPr>
        <w:t xml:space="preserve">in new terms </w:t>
      </w:r>
      <w:r w:rsidRPr="00B50F17">
        <w:rPr>
          <w:rFonts w:cs="Arial"/>
          <w:iCs/>
          <w:color w:val="000000" w:themeColor="text1"/>
          <w:sz w:val="22"/>
          <w:szCs w:val="22"/>
          <w:shd w:val="clear" w:color="auto" w:fill="FFFFFF"/>
        </w:rPr>
        <w:t xml:space="preserve">(b) a </w:t>
      </w:r>
      <w:r w:rsidRPr="00B50F17">
        <w:rPr>
          <w:rFonts w:cs="Arial"/>
          <w:i/>
          <w:iCs/>
          <w:color w:val="000000" w:themeColor="text1"/>
          <w:sz w:val="22"/>
          <w:szCs w:val="22"/>
          <w:shd w:val="clear" w:color="auto" w:fill="FFFFFF"/>
        </w:rPr>
        <w:t xml:space="preserve">new consultative process </w:t>
      </w:r>
      <w:r w:rsidRPr="00B50F17">
        <w:rPr>
          <w:rFonts w:cs="Arial"/>
          <w:iCs/>
          <w:color w:val="000000" w:themeColor="text1"/>
          <w:sz w:val="22"/>
          <w:szCs w:val="22"/>
          <w:shd w:val="clear" w:color="auto" w:fill="FFFFFF"/>
        </w:rPr>
        <w:t>(c) as a consequence, the effecting of changes to the terms notified.</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i/>
          <w:color w:val="000000" w:themeColor="text1"/>
          <w:sz w:val="22"/>
          <w:szCs w:val="22"/>
        </w:rPr>
      </w:pPr>
      <w:r w:rsidRPr="00B50F17">
        <w:rPr>
          <w:rFonts w:cs="Arial"/>
          <w:iCs/>
          <w:color w:val="000000" w:themeColor="text1"/>
          <w:sz w:val="22"/>
          <w:szCs w:val="22"/>
          <w:shd w:val="clear" w:color="auto" w:fill="FFFFFF"/>
        </w:rPr>
        <w:t xml:space="preserve">In the challenge to the 2016 measures the applicants sought to advance a contention that the Minister – who is the only person empowered under the Act to implement measures – acted under the unlawful dictates of Cabinet when gazetting certain measures under the Act in 2016.  (Reckless allegations to the same effect in the implementation application before </w:t>
      </w:r>
      <w:r w:rsidRPr="00B50F17">
        <w:rPr>
          <w:rFonts w:cs="Arial"/>
          <w:iCs/>
          <w:color w:val="000000" w:themeColor="text1"/>
          <w:sz w:val="22"/>
          <w:szCs w:val="22"/>
          <w:shd w:val="clear" w:color="auto" w:fill="FFFFFF"/>
        </w:rPr>
        <w:lastRenderedPageBreak/>
        <w:t>Masuku J were in fact struck out as vexatious).This was asserted not on the basis of anything said by the Minister, but simply on the basis of a letter from NamibRe which contained references to Cabinet having resolved to implement measures under the Act.</w:t>
      </w:r>
      <w:r w:rsidRPr="00B50F17">
        <w:rPr>
          <w:rStyle w:val="FootnoteReference"/>
          <w:rFonts w:cs="Arial"/>
          <w:iCs/>
          <w:color w:val="000000" w:themeColor="text1"/>
          <w:sz w:val="22"/>
          <w:szCs w:val="22"/>
          <w:shd w:val="clear" w:color="auto" w:fill="FFFFFF"/>
        </w:rPr>
        <w:footnoteReference w:id="63"/>
      </w:r>
      <w:r w:rsidRPr="00B50F17">
        <w:rPr>
          <w:rFonts w:cs="Arial"/>
          <w:iCs/>
          <w:color w:val="000000" w:themeColor="text1"/>
          <w:sz w:val="22"/>
          <w:szCs w:val="22"/>
          <w:shd w:val="clear" w:color="auto" w:fill="FFFFFF"/>
        </w:rPr>
        <w:t xml:space="preserve">     </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shd w:val="clear" w:color="auto" w:fill="FFFFFF"/>
        </w:rPr>
        <w:t>The Minister has however expressly stated that the 2017 decision to implement the measures was his alone</w:t>
      </w:r>
      <w:r w:rsidRPr="00B50F17">
        <w:rPr>
          <w:rStyle w:val="FootnoteReference"/>
          <w:rFonts w:cs="Arial"/>
          <w:iCs/>
          <w:color w:val="000000" w:themeColor="text1"/>
          <w:sz w:val="22"/>
          <w:szCs w:val="22"/>
          <w:shd w:val="clear" w:color="auto" w:fill="FFFFFF"/>
        </w:rPr>
        <w:footnoteReference w:id="64"/>
      </w:r>
      <w:r w:rsidRPr="00B50F17">
        <w:rPr>
          <w:rFonts w:cs="Arial"/>
          <w:iCs/>
          <w:color w:val="000000" w:themeColor="text1"/>
          <w:sz w:val="22"/>
          <w:szCs w:val="22"/>
          <w:shd w:val="clear" w:color="auto" w:fill="FFFFFF"/>
        </w:rPr>
        <w:t xml:space="preserve">, and that </w:t>
      </w:r>
      <w:r w:rsidRPr="00B50F17">
        <w:rPr>
          <w:rFonts w:cs="Arial"/>
          <w:i/>
          <w:color w:val="000000" w:themeColor="text1"/>
          <w:sz w:val="22"/>
          <w:szCs w:val="22"/>
          <w:shd w:val="clear" w:color="auto" w:fill="FFFFFF"/>
        </w:rPr>
        <w:t xml:space="preserve">“[he] did not consider any such documents” </w:t>
      </w:r>
      <w:r w:rsidRPr="00B50F17">
        <w:rPr>
          <w:rFonts w:cs="Arial"/>
          <w:color w:val="000000" w:themeColor="text1"/>
          <w:sz w:val="22"/>
          <w:szCs w:val="22"/>
          <w:shd w:val="clear" w:color="auto" w:fill="FFFFFF"/>
        </w:rPr>
        <w:t>(ie those set out in paragraph 44 above)</w:t>
      </w:r>
      <w:r w:rsidRPr="00B50F17">
        <w:rPr>
          <w:rFonts w:cs="Arial"/>
          <w:iCs/>
          <w:color w:val="000000" w:themeColor="text1"/>
          <w:sz w:val="22"/>
          <w:szCs w:val="22"/>
          <w:shd w:val="clear" w:color="auto" w:fill="FFFFFF"/>
        </w:rPr>
        <w:t xml:space="preserve"> .  They </w:t>
      </w:r>
      <w:r w:rsidRPr="00B50F17">
        <w:rPr>
          <w:rFonts w:cs="Arial"/>
          <w:i/>
          <w:color w:val="000000" w:themeColor="text1"/>
          <w:sz w:val="22"/>
          <w:szCs w:val="22"/>
          <w:shd w:val="clear" w:color="auto" w:fill="FFFFFF"/>
        </w:rPr>
        <w:t>“[a]ccordingly do not form part of the record of [his] decision”.</w:t>
      </w:r>
      <w:r w:rsidRPr="00B50F17">
        <w:rPr>
          <w:rStyle w:val="FootnoteReference"/>
          <w:rFonts w:cs="Arial"/>
          <w:iCs/>
          <w:color w:val="000000" w:themeColor="text1"/>
          <w:sz w:val="22"/>
          <w:szCs w:val="22"/>
          <w:shd w:val="clear" w:color="auto" w:fill="FFFFFF"/>
        </w:rPr>
        <w:footnoteReference w:id="65"/>
      </w:r>
      <w:r w:rsidRPr="00B50F17">
        <w:rPr>
          <w:rFonts w:cs="Arial"/>
          <w:i/>
          <w:color w:val="000000" w:themeColor="text1"/>
          <w:sz w:val="22"/>
          <w:szCs w:val="22"/>
          <w:shd w:val="clear" w:color="auto" w:fill="FFFFFF"/>
        </w:rPr>
        <w:t xml:space="preserve"> </w:t>
      </w:r>
      <w:r w:rsidRPr="00B50F17">
        <w:rPr>
          <w:rFonts w:cs="Arial"/>
          <w:iCs/>
          <w:color w:val="000000" w:themeColor="text1"/>
          <w:sz w:val="22"/>
          <w:szCs w:val="22"/>
          <w:shd w:val="clear" w:color="auto" w:fill="FFFFFF"/>
        </w:rPr>
        <w:t xml:space="preserve">  Again, there is no basis established to go behind his oath.  There is therefore no basis for the demand.</w:t>
      </w:r>
    </w:p>
    <w:p w:rsidR="00B50F17" w:rsidRPr="00F171E5" w:rsidRDefault="00B50F17" w:rsidP="00752D14">
      <w:pPr>
        <w:spacing w:after="360" w:line="360" w:lineRule="auto"/>
        <w:jc w:val="both"/>
        <w:rPr>
          <w:rFonts w:ascii="Arial" w:hAnsi="Arial" w:cs="Arial"/>
          <w:bCs/>
          <w:i/>
          <w:color w:val="000000" w:themeColor="text1"/>
        </w:rPr>
      </w:pPr>
      <w:r w:rsidRPr="00F171E5">
        <w:rPr>
          <w:rFonts w:ascii="Arial" w:hAnsi="Arial" w:cs="Arial"/>
          <w:bCs/>
          <w:i/>
          <w:color w:val="000000" w:themeColor="text1"/>
          <w:u w:val="single"/>
        </w:rPr>
        <w:t>Paragraph 1.3:</w:t>
      </w:r>
      <w:r w:rsidRPr="00F171E5">
        <w:rPr>
          <w:rFonts w:ascii="Arial" w:hAnsi="Arial" w:cs="Arial"/>
          <w:bCs/>
          <w:i/>
          <w:color w:val="000000" w:themeColor="text1"/>
        </w:rPr>
        <w:t xml:space="preserve"> The 2016 proceedings</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The applicants seek an order compelling the Minister to produce not only the Cabinet documents of 2016 but also all </w:t>
      </w:r>
      <w:r w:rsidRPr="00B50F17">
        <w:rPr>
          <w:rFonts w:cs="Arial"/>
          <w:i/>
          <w:color w:val="000000" w:themeColor="text1"/>
          <w:sz w:val="22"/>
          <w:szCs w:val="22"/>
        </w:rPr>
        <w:t>“the documents on which the first respondent relied to arrive at his decisions reflected in GN266 and 267 of 2016”</w:t>
      </w:r>
      <w:r w:rsidRPr="00B50F17">
        <w:rPr>
          <w:rFonts w:cs="Arial"/>
          <w:iCs/>
          <w:color w:val="000000" w:themeColor="text1"/>
          <w:sz w:val="22"/>
          <w:szCs w:val="22"/>
        </w:rPr>
        <w:t>.</w:t>
      </w:r>
      <w:r w:rsidRPr="00B50F17">
        <w:rPr>
          <w:rStyle w:val="FootnoteReference"/>
          <w:rFonts w:cs="Arial"/>
          <w:iCs/>
          <w:color w:val="000000" w:themeColor="text1"/>
          <w:sz w:val="22"/>
          <w:szCs w:val="22"/>
        </w:rPr>
        <w:footnoteReference w:id="66"/>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The applicants contend in their heads of argument that these documents must be produced under Rule 76.  They rely for this on a passage in the judgment of </w:t>
      </w:r>
      <w:r w:rsidRPr="00B50F17">
        <w:rPr>
          <w:rFonts w:cs="Arial"/>
          <w:i/>
          <w:color w:val="000000" w:themeColor="text1"/>
          <w:sz w:val="22"/>
          <w:szCs w:val="22"/>
        </w:rPr>
        <w:t>Johannesburg City Council v The Administrator of Transvaal,</w:t>
      </w:r>
      <w:r w:rsidRPr="00B50F17">
        <w:rPr>
          <w:rStyle w:val="FootnoteReference"/>
          <w:rFonts w:cs="Arial"/>
          <w:iCs/>
          <w:color w:val="000000" w:themeColor="text1"/>
          <w:sz w:val="22"/>
          <w:szCs w:val="22"/>
        </w:rPr>
        <w:footnoteReference w:id="67"/>
      </w:r>
      <w:r w:rsidRPr="00B50F17">
        <w:rPr>
          <w:rFonts w:cs="Arial"/>
          <w:iCs/>
          <w:color w:val="000000" w:themeColor="text1"/>
          <w:sz w:val="22"/>
          <w:szCs w:val="22"/>
        </w:rPr>
        <w:t xml:space="preserve"> (referred to in </w:t>
      </w:r>
      <w:r w:rsidRPr="00B50F17">
        <w:rPr>
          <w:rFonts w:cs="Arial"/>
          <w:i/>
          <w:iCs/>
          <w:color w:val="000000" w:themeColor="text1"/>
          <w:sz w:val="22"/>
          <w:szCs w:val="22"/>
        </w:rPr>
        <w:t>Aonin Fishing (Pty) Ltd v Minister of Fisheries and Marine Resources</w:t>
      </w:r>
      <w:r w:rsidRPr="00B50F17">
        <w:rPr>
          <w:rStyle w:val="FootnoteReference"/>
          <w:rFonts w:cs="Arial"/>
          <w:i/>
          <w:iCs/>
          <w:color w:val="000000" w:themeColor="text1"/>
          <w:sz w:val="22"/>
          <w:szCs w:val="22"/>
        </w:rPr>
        <w:footnoteReference w:id="68"/>
      </w:r>
      <w:r w:rsidRPr="00B50F17">
        <w:rPr>
          <w:rFonts w:cs="Arial"/>
          <w:iCs/>
          <w:color w:val="000000" w:themeColor="text1"/>
          <w:sz w:val="22"/>
          <w:szCs w:val="22"/>
        </w:rPr>
        <w:t xml:space="preserve">). </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That case concerned two applications for the rezoning of land.  The first application was refused.  The second application (which was an attempted </w:t>
      </w:r>
      <w:r w:rsidRPr="00B50F17">
        <w:rPr>
          <w:rFonts w:cs="Arial"/>
          <w:i/>
          <w:iCs/>
          <w:color w:val="000000" w:themeColor="text1"/>
          <w:sz w:val="22"/>
          <w:szCs w:val="22"/>
          <w:u w:val="single"/>
        </w:rPr>
        <w:t>renewal</w:t>
      </w:r>
      <w:r w:rsidRPr="00B50F17">
        <w:rPr>
          <w:rStyle w:val="FootnoteReference"/>
          <w:rFonts w:cs="Arial"/>
          <w:i/>
          <w:iCs/>
          <w:color w:val="000000" w:themeColor="text1"/>
          <w:sz w:val="22"/>
          <w:szCs w:val="22"/>
          <w:u w:val="single"/>
        </w:rPr>
        <w:footnoteReference w:id="69"/>
      </w:r>
      <w:r w:rsidRPr="00B50F17">
        <w:rPr>
          <w:rFonts w:cs="Arial"/>
          <w:iCs/>
          <w:color w:val="000000" w:themeColor="text1"/>
          <w:sz w:val="22"/>
          <w:szCs w:val="22"/>
        </w:rPr>
        <w:t xml:space="preserve"> of the first application – i.e. a </w:t>
      </w:r>
      <w:r w:rsidRPr="00B50F17">
        <w:rPr>
          <w:rFonts w:cs="Arial"/>
          <w:i/>
          <w:iCs/>
          <w:color w:val="000000" w:themeColor="text1"/>
          <w:sz w:val="22"/>
          <w:szCs w:val="22"/>
        </w:rPr>
        <w:t>reinstatement</w:t>
      </w:r>
      <w:r w:rsidRPr="00B50F17">
        <w:rPr>
          <w:rFonts w:cs="Arial"/>
          <w:iCs/>
          <w:color w:val="000000" w:themeColor="text1"/>
          <w:sz w:val="22"/>
          <w:szCs w:val="22"/>
        </w:rPr>
        <w:t xml:space="preserve"> of the first application) was also refused.  In that case the court held that the record of the refusal in the first instance (in 1965) was relevant to the review of the second refusal (in 1966).  That was because in effect the two applications were the same.</w:t>
      </w:r>
      <w:r w:rsidRPr="00B50F17">
        <w:rPr>
          <w:rStyle w:val="FootnoteReference"/>
          <w:rFonts w:cs="Arial"/>
          <w:iCs/>
          <w:color w:val="000000" w:themeColor="text1"/>
          <w:sz w:val="22"/>
          <w:szCs w:val="22"/>
        </w:rPr>
        <w:footnoteReference w:id="70"/>
      </w:r>
      <w:r w:rsidRPr="00B50F17">
        <w:rPr>
          <w:rFonts w:cs="Arial"/>
          <w:iCs/>
          <w:color w:val="000000" w:themeColor="text1"/>
          <w:sz w:val="22"/>
          <w:szCs w:val="22"/>
        </w:rPr>
        <w:t xml:space="preserve"> Nor was that all. The court there pertinently found as a fact in the particular and peculiar</w:t>
      </w:r>
      <w:r w:rsidRPr="00B50F17">
        <w:rPr>
          <w:rStyle w:val="FootnoteReference"/>
          <w:rFonts w:cs="Arial"/>
          <w:iCs/>
          <w:color w:val="000000" w:themeColor="text1"/>
          <w:sz w:val="22"/>
          <w:szCs w:val="22"/>
        </w:rPr>
        <w:footnoteReference w:id="71"/>
      </w:r>
      <w:r w:rsidRPr="00B50F17">
        <w:rPr>
          <w:rFonts w:cs="Arial"/>
          <w:iCs/>
          <w:color w:val="000000" w:themeColor="text1"/>
          <w:sz w:val="22"/>
          <w:szCs w:val="22"/>
        </w:rPr>
        <w:t xml:space="preserve"> circumstances of that matter that “</w:t>
      </w:r>
      <w:r w:rsidRPr="00B50F17">
        <w:rPr>
          <w:rFonts w:cs="Arial"/>
          <w:i/>
          <w:iCs/>
          <w:color w:val="000000" w:themeColor="text1"/>
          <w:sz w:val="22"/>
          <w:szCs w:val="22"/>
        </w:rPr>
        <w:t xml:space="preserve">the documents pertaining to the merits of that </w:t>
      </w:r>
      <w:r w:rsidRPr="00B50F17">
        <w:rPr>
          <w:rFonts w:cs="Arial"/>
          <w:iCs/>
          <w:color w:val="000000" w:themeColor="text1"/>
          <w:sz w:val="22"/>
          <w:szCs w:val="22"/>
        </w:rPr>
        <w:t xml:space="preserve">[first] </w:t>
      </w:r>
      <w:r w:rsidRPr="00B50F17">
        <w:rPr>
          <w:rFonts w:cs="Arial"/>
          <w:i/>
          <w:iCs/>
          <w:color w:val="000000" w:themeColor="text1"/>
          <w:sz w:val="22"/>
          <w:szCs w:val="22"/>
        </w:rPr>
        <w:t>decision could not have otherwise than been present to the mind of the the Administrator</w:t>
      </w:r>
      <w:r w:rsidRPr="00B50F17">
        <w:rPr>
          <w:rFonts w:cs="Arial"/>
          <w:iCs/>
          <w:color w:val="000000" w:themeColor="text1"/>
          <w:sz w:val="22"/>
          <w:szCs w:val="22"/>
        </w:rPr>
        <w:t>”.</w:t>
      </w:r>
      <w:r w:rsidRPr="00B50F17">
        <w:rPr>
          <w:rStyle w:val="FootnoteReference"/>
          <w:rFonts w:cs="Arial"/>
          <w:iCs/>
          <w:color w:val="000000" w:themeColor="text1"/>
          <w:sz w:val="22"/>
          <w:szCs w:val="22"/>
        </w:rPr>
        <w:footnoteReference w:id="72"/>
      </w:r>
      <w:r w:rsidRPr="00B50F17">
        <w:rPr>
          <w:rFonts w:cs="Arial"/>
          <w:iCs/>
          <w:color w:val="000000" w:themeColor="text1"/>
          <w:sz w:val="22"/>
          <w:szCs w:val="22"/>
        </w:rPr>
        <w:t xml:space="preserve">  </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lastRenderedPageBreak/>
        <w:t xml:space="preserve">Palpably this is no authority for the proposition that the record of the Minister’s decision in respect of </w:t>
      </w:r>
      <w:r w:rsidRPr="00B50F17">
        <w:rPr>
          <w:rFonts w:cs="Arial"/>
          <w:i/>
          <w:iCs/>
          <w:color w:val="000000" w:themeColor="text1"/>
          <w:sz w:val="22"/>
          <w:szCs w:val="22"/>
        </w:rPr>
        <w:t>different measures</w:t>
      </w:r>
      <w:r w:rsidRPr="00B50F17">
        <w:rPr>
          <w:rFonts w:cs="Arial"/>
          <w:iCs/>
          <w:color w:val="000000" w:themeColor="text1"/>
          <w:sz w:val="22"/>
          <w:szCs w:val="22"/>
        </w:rPr>
        <w:t xml:space="preserve"> promulgated in 2016 should be produced in the review of the measures promulgated in December 2017 that are now sought to be reviewed.</w:t>
      </w:r>
      <w:r w:rsidRPr="00B50F17">
        <w:rPr>
          <w:rStyle w:val="FootnoteReference"/>
          <w:rFonts w:cs="Arial"/>
          <w:iCs/>
          <w:color w:val="000000" w:themeColor="text1"/>
          <w:sz w:val="22"/>
          <w:szCs w:val="22"/>
        </w:rPr>
        <w:footnoteReference w:id="73"/>
      </w:r>
      <w:r w:rsidRPr="00B50F17">
        <w:rPr>
          <w:rFonts w:cs="Arial"/>
          <w:iCs/>
          <w:color w:val="000000" w:themeColor="text1"/>
          <w:sz w:val="22"/>
          <w:szCs w:val="22"/>
        </w:rPr>
        <w:t xml:space="preserve">  No case has been made out that the 2017 measures are simply a </w:t>
      </w:r>
      <w:r w:rsidRPr="00B50F17">
        <w:rPr>
          <w:rFonts w:cs="Arial"/>
          <w:i/>
          <w:iCs/>
          <w:color w:val="000000" w:themeColor="text1"/>
          <w:sz w:val="22"/>
          <w:szCs w:val="22"/>
        </w:rPr>
        <w:t xml:space="preserve">reinstatement </w:t>
      </w:r>
      <w:r w:rsidRPr="00B50F17">
        <w:rPr>
          <w:rFonts w:cs="Arial"/>
          <w:iCs/>
          <w:color w:val="000000" w:themeColor="text1"/>
          <w:sz w:val="22"/>
          <w:szCs w:val="22"/>
        </w:rPr>
        <w:t xml:space="preserve">of the 2016 measures. In fact, the facts are to the contrary: here the first decision was revoked, new notices in new terms were published for public consultation, the final measures were materially different as a consequence. No adequate case has been made out by the applicants to put themselves within the same factual setting of </w:t>
      </w:r>
      <w:r w:rsidRPr="00B50F17">
        <w:rPr>
          <w:rFonts w:cs="Arial"/>
          <w:i/>
          <w:iCs/>
          <w:color w:val="000000" w:themeColor="text1"/>
          <w:sz w:val="22"/>
          <w:szCs w:val="22"/>
        </w:rPr>
        <w:t>Johannesburg City Council</w:t>
      </w:r>
      <w:r w:rsidRPr="00B50F17">
        <w:rPr>
          <w:rFonts w:cs="Arial"/>
          <w:iCs/>
          <w:color w:val="000000" w:themeColor="text1"/>
          <w:sz w:val="22"/>
          <w:szCs w:val="22"/>
        </w:rPr>
        <w:t>.</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The applicants have thus failed to make out a case that the record of the Minister’s decision in early 2016 bears in any way on the Minister’s decision on 29 December 2017.  The latter followed an extensive public consultative process on the actual text of the measures proposed.  </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In any event, the Minister has stated on oath that he did not consider any of the 2016 documentation demanded in taking his decision in 2017.  There was no such statement under oath before the court in </w:t>
      </w:r>
      <w:r w:rsidRPr="00B50F17">
        <w:rPr>
          <w:rFonts w:cs="Arial"/>
          <w:i/>
          <w:iCs/>
          <w:color w:val="000000" w:themeColor="text1"/>
          <w:sz w:val="22"/>
          <w:szCs w:val="22"/>
        </w:rPr>
        <w:t xml:space="preserve">Johannesburg City Council, supra. </w:t>
      </w:r>
      <w:r w:rsidRPr="00B50F17">
        <w:rPr>
          <w:rFonts w:cs="Arial"/>
          <w:iCs/>
          <w:color w:val="000000" w:themeColor="text1"/>
          <w:sz w:val="22"/>
          <w:szCs w:val="22"/>
        </w:rPr>
        <w:t>Again, that is the end of it: the 2016 documentation did not form part of the record.</w:t>
      </w:r>
      <w:r w:rsidRPr="00B50F17">
        <w:rPr>
          <w:rStyle w:val="FootnoteReference"/>
          <w:rFonts w:cs="Arial"/>
          <w:iCs/>
          <w:color w:val="000000" w:themeColor="text1"/>
          <w:sz w:val="22"/>
          <w:szCs w:val="22"/>
        </w:rPr>
        <w:footnoteReference w:id="74"/>
      </w:r>
      <w:r w:rsidRPr="00B50F17">
        <w:rPr>
          <w:rFonts w:cs="Arial"/>
          <w:iCs/>
          <w:color w:val="000000" w:themeColor="text1"/>
          <w:sz w:val="22"/>
          <w:szCs w:val="22"/>
        </w:rPr>
        <w:t xml:space="preserve"> </w:t>
      </w:r>
    </w:p>
    <w:p w:rsidR="00B50F17" w:rsidRPr="00F171E5" w:rsidRDefault="00B50F17" w:rsidP="00752D14">
      <w:pPr>
        <w:spacing w:after="360" w:line="360" w:lineRule="auto"/>
        <w:jc w:val="both"/>
        <w:rPr>
          <w:rFonts w:ascii="Arial" w:hAnsi="Arial" w:cs="Arial"/>
          <w:bCs/>
          <w:i/>
          <w:color w:val="000000" w:themeColor="text1"/>
        </w:rPr>
      </w:pPr>
      <w:r w:rsidRPr="00F171E5">
        <w:rPr>
          <w:rFonts w:ascii="Arial" w:hAnsi="Arial" w:cs="Arial"/>
          <w:bCs/>
          <w:i/>
          <w:color w:val="000000" w:themeColor="text1"/>
          <w:u w:val="single"/>
        </w:rPr>
        <w:t>Paragraph 1.5:</w:t>
      </w:r>
      <w:r w:rsidRPr="00F171E5">
        <w:rPr>
          <w:rFonts w:ascii="Arial" w:hAnsi="Arial" w:cs="Arial"/>
          <w:bCs/>
          <w:i/>
          <w:color w:val="000000" w:themeColor="text1"/>
        </w:rPr>
        <w:t xml:space="preserve"> Documents sought in the “information application”</w:t>
      </w:r>
    </w:p>
    <w:p w:rsidR="00B50F17" w:rsidRPr="00B50F17" w:rsidRDefault="00B50F17" w:rsidP="00752D14">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The applicants also demand a long list of documents, originally sought in the so-called information application, the first interlocutory, comprising documents relating to the text of the draft notices put out for public comment:</w:t>
      </w:r>
    </w:p>
    <w:p w:rsidR="00B50F17" w:rsidRPr="00B50F17" w:rsidRDefault="00B50F17" w:rsidP="00732F6A">
      <w:pPr>
        <w:pStyle w:val="ListParagraph"/>
        <w:widowControl/>
        <w:numPr>
          <w:ilvl w:val="1"/>
          <w:numId w:val="3"/>
        </w:numPr>
        <w:autoSpaceDE/>
        <w:autoSpaceDN/>
        <w:adjustRightInd/>
        <w:spacing w:after="360" w:line="360" w:lineRule="auto"/>
        <w:ind w:left="709" w:firstLine="0"/>
        <w:jc w:val="both"/>
        <w:rPr>
          <w:rFonts w:cs="Arial"/>
          <w:i/>
          <w:color w:val="000000" w:themeColor="text1"/>
          <w:sz w:val="22"/>
          <w:szCs w:val="22"/>
        </w:rPr>
      </w:pPr>
      <w:r w:rsidRPr="00B50F17">
        <w:rPr>
          <w:rFonts w:cs="Arial"/>
          <w:i/>
          <w:color w:val="000000" w:themeColor="text1"/>
          <w:sz w:val="22"/>
          <w:szCs w:val="22"/>
        </w:rPr>
        <w:t>“regulatory impact assessments or cost benefit analyses which [the Minister] considered and/used”</w:t>
      </w:r>
      <w:r w:rsidRPr="00B50F17">
        <w:rPr>
          <w:rFonts w:cs="Arial"/>
          <w:iCs/>
          <w:color w:val="000000" w:themeColor="text1"/>
          <w:sz w:val="22"/>
          <w:szCs w:val="22"/>
        </w:rPr>
        <w:t xml:space="preserve">; </w:t>
      </w:r>
    </w:p>
    <w:p w:rsidR="00B50F17" w:rsidRPr="00B50F17" w:rsidRDefault="00B50F17" w:rsidP="00732F6A">
      <w:pPr>
        <w:pStyle w:val="ListParagraph"/>
        <w:widowControl/>
        <w:numPr>
          <w:ilvl w:val="1"/>
          <w:numId w:val="3"/>
        </w:numPr>
        <w:autoSpaceDE/>
        <w:autoSpaceDN/>
        <w:adjustRightInd/>
        <w:spacing w:after="360" w:line="360" w:lineRule="auto"/>
        <w:ind w:left="709" w:firstLine="0"/>
        <w:jc w:val="both"/>
        <w:rPr>
          <w:rFonts w:cs="Arial"/>
          <w:i/>
          <w:color w:val="000000" w:themeColor="text1"/>
          <w:sz w:val="22"/>
          <w:szCs w:val="22"/>
        </w:rPr>
      </w:pPr>
      <w:r w:rsidRPr="00B50F17">
        <w:rPr>
          <w:rFonts w:cs="Arial"/>
          <w:i/>
          <w:color w:val="000000" w:themeColor="text1"/>
          <w:sz w:val="22"/>
          <w:szCs w:val="22"/>
        </w:rPr>
        <w:t>“financial reports which [the Minister] and/or those advising him considered and/or used”</w:t>
      </w:r>
      <w:r w:rsidRPr="00B50F17">
        <w:rPr>
          <w:rFonts w:cs="Arial"/>
          <w:iCs/>
          <w:color w:val="000000" w:themeColor="text1"/>
          <w:sz w:val="22"/>
          <w:szCs w:val="22"/>
        </w:rPr>
        <w:t>;</w:t>
      </w:r>
    </w:p>
    <w:p w:rsidR="00B50F17" w:rsidRPr="00B50F17" w:rsidRDefault="00B50F17" w:rsidP="00732F6A">
      <w:pPr>
        <w:pStyle w:val="ListParagraph"/>
        <w:widowControl/>
        <w:numPr>
          <w:ilvl w:val="1"/>
          <w:numId w:val="3"/>
        </w:numPr>
        <w:autoSpaceDE/>
        <w:autoSpaceDN/>
        <w:adjustRightInd/>
        <w:spacing w:after="360" w:line="360" w:lineRule="auto"/>
        <w:ind w:left="709" w:firstLine="0"/>
        <w:jc w:val="both"/>
        <w:rPr>
          <w:rFonts w:cs="Arial"/>
          <w:i/>
          <w:color w:val="000000" w:themeColor="text1"/>
          <w:sz w:val="22"/>
          <w:szCs w:val="22"/>
        </w:rPr>
      </w:pPr>
      <w:r w:rsidRPr="00B50F17">
        <w:rPr>
          <w:rFonts w:cs="Arial"/>
          <w:i/>
          <w:color w:val="000000" w:themeColor="text1"/>
          <w:sz w:val="22"/>
          <w:szCs w:val="22"/>
        </w:rPr>
        <w:t>“feasibility study reports which [the Minister] and/or those advising on used”</w:t>
      </w:r>
      <w:r w:rsidRPr="00B50F17">
        <w:rPr>
          <w:rFonts w:cs="Arial"/>
          <w:iCs/>
          <w:color w:val="000000" w:themeColor="text1"/>
          <w:sz w:val="22"/>
          <w:szCs w:val="22"/>
        </w:rPr>
        <w:t>;</w:t>
      </w:r>
    </w:p>
    <w:p w:rsidR="00B50F17" w:rsidRPr="00B50F17" w:rsidRDefault="00B50F17" w:rsidP="00732F6A">
      <w:pPr>
        <w:pStyle w:val="ListParagraph"/>
        <w:widowControl/>
        <w:numPr>
          <w:ilvl w:val="1"/>
          <w:numId w:val="3"/>
        </w:numPr>
        <w:autoSpaceDE/>
        <w:autoSpaceDN/>
        <w:adjustRightInd/>
        <w:spacing w:after="360" w:line="360" w:lineRule="auto"/>
        <w:ind w:left="709" w:firstLine="0"/>
        <w:jc w:val="both"/>
        <w:rPr>
          <w:rFonts w:cs="Arial"/>
          <w:i/>
          <w:color w:val="000000" w:themeColor="text1"/>
          <w:sz w:val="22"/>
          <w:szCs w:val="22"/>
        </w:rPr>
      </w:pPr>
      <w:r w:rsidRPr="00B50F17">
        <w:rPr>
          <w:rFonts w:cs="Arial"/>
          <w:i/>
          <w:color w:val="000000" w:themeColor="text1"/>
          <w:sz w:val="22"/>
          <w:szCs w:val="22"/>
        </w:rPr>
        <w:lastRenderedPageBreak/>
        <w:t>“comparative studies on the social and economic impact of similar initiatives sub-regionally, regionally, and/or internationally which the Minister and/or those advising him considered and/or used”</w:t>
      </w:r>
      <w:r w:rsidRPr="00B50F17">
        <w:rPr>
          <w:rFonts w:cs="Arial"/>
          <w:iCs/>
          <w:color w:val="000000" w:themeColor="text1"/>
          <w:sz w:val="22"/>
          <w:szCs w:val="22"/>
        </w:rPr>
        <w:t xml:space="preserve">; </w:t>
      </w:r>
    </w:p>
    <w:p w:rsidR="00B50F17" w:rsidRPr="00B50F17" w:rsidRDefault="00B50F17" w:rsidP="00732F6A">
      <w:pPr>
        <w:pStyle w:val="ListParagraph"/>
        <w:widowControl/>
        <w:numPr>
          <w:ilvl w:val="1"/>
          <w:numId w:val="3"/>
        </w:numPr>
        <w:autoSpaceDE/>
        <w:autoSpaceDN/>
        <w:adjustRightInd/>
        <w:spacing w:after="360" w:line="360" w:lineRule="auto"/>
        <w:ind w:left="709" w:firstLine="0"/>
        <w:jc w:val="both"/>
        <w:rPr>
          <w:rFonts w:cs="Arial"/>
          <w:i/>
          <w:color w:val="000000" w:themeColor="text1"/>
          <w:sz w:val="22"/>
          <w:szCs w:val="22"/>
        </w:rPr>
      </w:pPr>
      <w:r w:rsidRPr="00B50F17">
        <w:rPr>
          <w:rFonts w:cs="Arial"/>
          <w:i/>
          <w:color w:val="000000" w:themeColor="text1"/>
          <w:sz w:val="22"/>
          <w:szCs w:val="22"/>
        </w:rPr>
        <w:t>“further documents, representations and reports in [the Minister’s] possession or under his control that would allow the applicants to understand why the first respondent proposed what he did on 14 February 2017”</w:t>
      </w:r>
      <w:r w:rsidRPr="00B50F17">
        <w:rPr>
          <w:rFonts w:cs="Arial"/>
          <w:iCs/>
          <w:color w:val="000000" w:themeColor="text1"/>
          <w:sz w:val="22"/>
          <w:szCs w:val="22"/>
        </w:rPr>
        <w:t>.</w:t>
      </w:r>
    </w:p>
    <w:p w:rsidR="00B50F17" w:rsidRPr="00B50F17" w:rsidRDefault="00B50F17" w:rsidP="00732F6A">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This applicants’ persistence in demanding production of the broad categories of documentation sought under this item of their notice is similarly an abuse of process.  </w:t>
      </w:r>
    </w:p>
    <w:p w:rsidR="00B50F17" w:rsidRPr="00B50F17" w:rsidRDefault="00B50F17" w:rsidP="00732F6A">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Firstly, that is a separate application.  It was instituted first (in June 2017). The relief repeated in the present application is thus </w:t>
      </w:r>
      <w:r w:rsidRPr="00B50F17">
        <w:rPr>
          <w:rFonts w:cs="Arial"/>
          <w:i/>
          <w:iCs/>
          <w:color w:val="000000" w:themeColor="text1"/>
          <w:sz w:val="22"/>
          <w:szCs w:val="22"/>
        </w:rPr>
        <w:t>lis pendens</w:t>
      </w:r>
      <w:r w:rsidRPr="00B50F17">
        <w:rPr>
          <w:rFonts w:cs="Arial"/>
          <w:iCs/>
          <w:color w:val="000000" w:themeColor="text1"/>
          <w:sz w:val="22"/>
          <w:szCs w:val="22"/>
        </w:rPr>
        <w:t>. The applicants have no right to multiply court procedures for the same relief.</w:t>
      </w:r>
    </w:p>
    <w:p w:rsidR="00B50F17" w:rsidRPr="00B50F17" w:rsidRDefault="00B50F17" w:rsidP="00732F6A">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 xml:space="preserve">Secondly, the documentation sought pertains to the text of notices put out for public comment.  At that stage the Minister had not taken a decision susceptible to judicial review. The requirement or relevance is not met. Relevance had to be assessed with reference to the decision under review, which postdates and supersedes what was put out for comment. </w:t>
      </w:r>
    </w:p>
    <w:p w:rsidR="00A400B2" w:rsidRPr="003960BA" w:rsidRDefault="00B50F17" w:rsidP="00732F6A">
      <w:pPr>
        <w:pStyle w:val="ListParagraph"/>
        <w:widowControl/>
        <w:numPr>
          <w:ilvl w:val="0"/>
          <w:numId w:val="3"/>
        </w:numPr>
        <w:autoSpaceDE/>
        <w:autoSpaceDN/>
        <w:adjustRightInd/>
        <w:spacing w:after="360" w:line="360" w:lineRule="auto"/>
        <w:ind w:left="0" w:firstLine="0"/>
        <w:jc w:val="both"/>
        <w:rPr>
          <w:rFonts w:cs="Arial"/>
          <w:i/>
          <w:color w:val="000000" w:themeColor="text1"/>
          <w:sz w:val="22"/>
          <w:szCs w:val="22"/>
        </w:rPr>
      </w:pPr>
      <w:r w:rsidRPr="00B50F17">
        <w:rPr>
          <w:rFonts w:cs="Arial"/>
          <w:iCs/>
          <w:color w:val="000000" w:themeColor="text1"/>
          <w:sz w:val="22"/>
          <w:szCs w:val="22"/>
        </w:rPr>
        <w:t>Thirdly, there is again no foundation laid for any belief. The applicants simply speculate about whether these documents exist, with no proper basis for doing so having regard to the Minister’s reasons or the record of his decision.  There is simply no factual basis established that the reams of documents conjured up in the applicants’ interrogatory were before the Minister.</w:t>
      </w:r>
      <w:r>
        <w:rPr>
          <w:rFonts w:cs="Arial"/>
          <w:iCs/>
          <w:color w:val="000000" w:themeColor="text1"/>
          <w:sz w:val="22"/>
          <w:szCs w:val="22"/>
        </w:rPr>
        <w:t>’</w:t>
      </w:r>
    </w:p>
    <w:p w:rsidR="00337CEE" w:rsidRPr="00337CEE" w:rsidRDefault="00337CEE" w:rsidP="00732F6A">
      <w:pPr>
        <w:spacing w:after="360" w:line="360" w:lineRule="auto"/>
        <w:jc w:val="both"/>
        <w:rPr>
          <w:rFonts w:ascii="Arial" w:hAnsi="Arial" w:cs="Arial"/>
          <w:color w:val="000000" w:themeColor="text1"/>
          <w:sz w:val="24"/>
          <w:szCs w:val="24"/>
          <w:u w:val="single"/>
        </w:rPr>
      </w:pPr>
      <w:r w:rsidRPr="00337CEE">
        <w:rPr>
          <w:rFonts w:ascii="Arial" w:hAnsi="Arial" w:cs="Arial"/>
          <w:color w:val="000000" w:themeColor="text1"/>
          <w:sz w:val="24"/>
          <w:szCs w:val="24"/>
          <w:u w:val="single"/>
        </w:rPr>
        <w:t>Resolution</w:t>
      </w:r>
      <w:r w:rsidR="00E90432">
        <w:rPr>
          <w:rFonts w:ascii="Arial" w:hAnsi="Arial" w:cs="Arial"/>
          <w:color w:val="000000" w:themeColor="text1"/>
          <w:sz w:val="24"/>
          <w:szCs w:val="24"/>
          <w:u w:val="single"/>
        </w:rPr>
        <w:t xml:space="preserve"> : re : the ‘first category’ of documents requested</w:t>
      </w:r>
    </w:p>
    <w:p w:rsidR="00337CEE" w:rsidRDefault="00A400B2" w:rsidP="00732F6A">
      <w:pPr>
        <w:spacing w:after="360" w:line="360" w:lineRule="auto"/>
        <w:jc w:val="both"/>
        <w:rPr>
          <w:rFonts w:ascii="Arial" w:hAnsi="Arial" w:cs="Arial"/>
          <w:sz w:val="24"/>
          <w:szCs w:val="24"/>
        </w:rPr>
      </w:pPr>
      <w:r>
        <w:rPr>
          <w:rFonts w:ascii="Arial" w:hAnsi="Arial" w:cs="Arial"/>
          <w:color w:val="000000" w:themeColor="text1"/>
          <w:sz w:val="24"/>
          <w:szCs w:val="24"/>
        </w:rPr>
        <w:t>[</w:t>
      </w:r>
      <w:r w:rsidR="00732F6A">
        <w:rPr>
          <w:rFonts w:ascii="Arial" w:hAnsi="Arial" w:cs="Arial"/>
          <w:color w:val="000000" w:themeColor="text1"/>
          <w:sz w:val="24"/>
          <w:szCs w:val="24"/>
        </w:rPr>
        <w:t>2</w:t>
      </w:r>
      <w:r w:rsidR="00AC5F89">
        <w:rPr>
          <w:rFonts w:ascii="Arial" w:hAnsi="Arial" w:cs="Arial"/>
          <w:color w:val="000000" w:themeColor="text1"/>
          <w:sz w:val="24"/>
          <w:szCs w:val="24"/>
        </w:rPr>
        <w:t>5</w:t>
      </w:r>
      <w:r w:rsidR="00337CEE">
        <w:rPr>
          <w:rFonts w:ascii="Arial" w:hAnsi="Arial" w:cs="Arial"/>
          <w:color w:val="000000" w:themeColor="text1"/>
          <w:sz w:val="24"/>
          <w:szCs w:val="24"/>
        </w:rPr>
        <w:t>]</w:t>
      </w:r>
      <w:r w:rsidR="00337CEE">
        <w:rPr>
          <w:rFonts w:ascii="Arial" w:hAnsi="Arial" w:cs="Arial"/>
          <w:color w:val="000000" w:themeColor="text1"/>
          <w:sz w:val="24"/>
          <w:szCs w:val="24"/>
        </w:rPr>
        <w:tab/>
      </w:r>
      <w:r w:rsidRPr="00A400B2">
        <w:rPr>
          <w:rFonts w:ascii="Arial" w:hAnsi="Arial" w:cs="Arial"/>
          <w:color w:val="000000" w:themeColor="text1"/>
          <w:sz w:val="24"/>
          <w:szCs w:val="24"/>
        </w:rPr>
        <w:t>When it comes to</w:t>
      </w:r>
      <w:r>
        <w:rPr>
          <w:rFonts w:ascii="Arial" w:hAnsi="Arial" w:cs="Arial"/>
          <w:color w:val="000000" w:themeColor="text1"/>
          <w:sz w:val="24"/>
          <w:szCs w:val="24"/>
        </w:rPr>
        <w:t xml:space="preserve"> the determination of the requests underlying this category </w:t>
      </w:r>
      <w:r w:rsidR="003960BA">
        <w:rPr>
          <w:rFonts w:ascii="Arial" w:hAnsi="Arial" w:cs="Arial"/>
          <w:color w:val="000000" w:themeColor="text1"/>
          <w:sz w:val="24"/>
          <w:szCs w:val="24"/>
        </w:rPr>
        <w:t>of documentation I should firstly generally state</w:t>
      </w:r>
      <w:r>
        <w:rPr>
          <w:rFonts w:ascii="Arial" w:hAnsi="Arial" w:cs="Arial"/>
          <w:color w:val="000000" w:themeColor="text1"/>
          <w:sz w:val="24"/>
          <w:szCs w:val="24"/>
        </w:rPr>
        <w:t xml:space="preserve"> that I have to agree</w:t>
      </w:r>
      <w:r w:rsidR="00F015BB">
        <w:rPr>
          <w:rFonts w:ascii="Arial" w:hAnsi="Arial" w:cs="Arial"/>
          <w:color w:val="000000" w:themeColor="text1"/>
          <w:sz w:val="24"/>
          <w:szCs w:val="24"/>
        </w:rPr>
        <w:t>, for the reasons apparent,</w:t>
      </w:r>
      <w:r>
        <w:rPr>
          <w:rFonts w:ascii="Arial" w:hAnsi="Arial" w:cs="Arial"/>
          <w:color w:val="000000" w:themeColor="text1"/>
          <w:sz w:val="24"/>
          <w:szCs w:val="24"/>
        </w:rPr>
        <w:t xml:space="preserve"> with the</w:t>
      </w:r>
      <w:r w:rsidR="003960BA">
        <w:rPr>
          <w:rFonts w:ascii="Arial" w:hAnsi="Arial" w:cs="Arial"/>
          <w:color w:val="000000" w:themeColor="text1"/>
          <w:sz w:val="24"/>
          <w:szCs w:val="24"/>
        </w:rPr>
        <w:t xml:space="preserve"> submissions that</w:t>
      </w:r>
      <w:r>
        <w:rPr>
          <w:rFonts w:ascii="Arial" w:hAnsi="Arial" w:cs="Arial"/>
          <w:color w:val="000000" w:themeColor="text1"/>
          <w:sz w:val="24"/>
          <w:szCs w:val="24"/>
        </w:rPr>
        <w:t xml:space="preserve"> </w:t>
      </w:r>
      <w:r w:rsidR="00337CEE">
        <w:rPr>
          <w:rFonts w:ascii="Arial" w:hAnsi="Arial" w:cs="Arial"/>
          <w:sz w:val="24"/>
          <w:szCs w:val="24"/>
        </w:rPr>
        <w:t>t</w:t>
      </w:r>
      <w:r w:rsidR="003960BA" w:rsidRPr="003960BA">
        <w:rPr>
          <w:rFonts w:ascii="Arial" w:hAnsi="Arial" w:cs="Arial"/>
          <w:sz w:val="24"/>
          <w:szCs w:val="24"/>
        </w:rPr>
        <w:t>he documents and information requested in paragraphs 2, 3 and 5</w:t>
      </w:r>
      <w:r w:rsidR="003960BA" w:rsidRPr="00337CEE">
        <w:rPr>
          <w:rFonts w:ascii="Arial" w:hAnsi="Arial" w:cs="Arial"/>
          <w:sz w:val="24"/>
          <w:szCs w:val="24"/>
        </w:rPr>
        <w:t xml:space="preserve"> of the notice of motion seem to exist.  If they did not exist, the M</w:t>
      </w:r>
      <w:r w:rsidR="00E12182">
        <w:rPr>
          <w:rFonts w:ascii="Arial" w:hAnsi="Arial" w:cs="Arial"/>
          <w:sz w:val="24"/>
          <w:szCs w:val="24"/>
        </w:rPr>
        <w:t>inister c</w:t>
      </w:r>
      <w:r w:rsidR="003960BA" w:rsidRPr="00337CEE">
        <w:rPr>
          <w:rFonts w:ascii="Arial" w:hAnsi="Arial" w:cs="Arial"/>
          <w:sz w:val="24"/>
          <w:szCs w:val="24"/>
        </w:rPr>
        <w:t>ould simply have said so.  He did not</w:t>
      </w:r>
      <w:r w:rsidR="00337CEE">
        <w:rPr>
          <w:rFonts w:ascii="Arial" w:hAnsi="Arial" w:cs="Arial"/>
          <w:sz w:val="24"/>
          <w:szCs w:val="24"/>
        </w:rPr>
        <w:t>.</w:t>
      </w:r>
    </w:p>
    <w:p w:rsidR="00337CEE" w:rsidRDefault="00E12182" w:rsidP="00732F6A">
      <w:pPr>
        <w:spacing w:after="0" w:line="360" w:lineRule="auto"/>
        <w:jc w:val="both"/>
        <w:rPr>
          <w:rFonts w:ascii="Arial" w:hAnsi="Arial" w:cs="Arial"/>
          <w:sz w:val="24"/>
          <w:szCs w:val="24"/>
        </w:rPr>
      </w:pPr>
      <w:r>
        <w:rPr>
          <w:rFonts w:ascii="Arial" w:hAnsi="Arial" w:cs="Arial"/>
          <w:sz w:val="24"/>
          <w:szCs w:val="24"/>
        </w:rPr>
        <w:t>[</w:t>
      </w:r>
      <w:r w:rsidR="00732F6A">
        <w:rPr>
          <w:rFonts w:ascii="Arial" w:hAnsi="Arial" w:cs="Arial"/>
          <w:sz w:val="24"/>
          <w:szCs w:val="24"/>
        </w:rPr>
        <w:t>2</w:t>
      </w:r>
      <w:r w:rsidR="00AC5F89">
        <w:rPr>
          <w:rFonts w:ascii="Arial" w:hAnsi="Arial" w:cs="Arial"/>
          <w:sz w:val="24"/>
          <w:szCs w:val="24"/>
        </w:rPr>
        <w:t>6</w:t>
      </w:r>
      <w:r>
        <w:rPr>
          <w:rFonts w:ascii="Arial" w:hAnsi="Arial" w:cs="Arial"/>
          <w:sz w:val="24"/>
          <w:szCs w:val="24"/>
        </w:rPr>
        <w:t>]</w:t>
      </w:r>
      <w:r>
        <w:rPr>
          <w:rFonts w:ascii="Arial" w:hAnsi="Arial" w:cs="Arial"/>
          <w:sz w:val="24"/>
          <w:szCs w:val="24"/>
        </w:rPr>
        <w:tab/>
        <w:t>I also find that:</w:t>
      </w:r>
    </w:p>
    <w:p w:rsidR="00732F6A" w:rsidRPr="00E12182" w:rsidRDefault="00732F6A" w:rsidP="00732F6A">
      <w:pPr>
        <w:spacing w:after="0" w:line="360" w:lineRule="auto"/>
        <w:jc w:val="both"/>
        <w:rPr>
          <w:rFonts w:ascii="Arial" w:hAnsi="Arial" w:cs="Arial"/>
          <w:sz w:val="24"/>
          <w:szCs w:val="24"/>
        </w:rPr>
      </w:pPr>
    </w:p>
    <w:p w:rsidR="003960BA" w:rsidRDefault="003960BA" w:rsidP="00732F6A">
      <w:pPr>
        <w:pStyle w:val="ListParagraph"/>
        <w:numPr>
          <w:ilvl w:val="0"/>
          <w:numId w:val="11"/>
        </w:numPr>
        <w:spacing w:line="360" w:lineRule="auto"/>
        <w:ind w:firstLine="0"/>
        <w:jc w:val="both"/>
        <w:rPr>
          <w:rFonts w:cs="Arial"/>
        </w:rPr>
      </w:pPr>
      <w:r>
        <w:rPr>
          <w:rFonts w:cs="Arial"/>
        </w:rPr>
        <w:t>The documents requested under paragraphs 2 and 3 of the notice of motion formed the foundation of the 2016 notices</w:t>
      </w:r>
      <w:r w:rsidR="00A75DBD">
        <w:rPr>
          <w:rFonts w:cs="Arial"/>
        </w:rPr>
        <w:t>;</w:t>
      </w:r>
    </w:p>
    <w:p w:rsidR="00732F6A" w:rsidRDefault="00732F6A" w:rsidP="00732F6A">
      <w:pPr>
        <w:pStyle w:val="ListParagraph"/>
        <w:spacing w:line="360" w:lineRule="auto"/>
        <w:ind w:left="0"/>
        <w:jc w:val="both"/>
        <w:rPr>
          <w:rFonts w:cs="Arial"/>
        </w:rPr>
      </w:pPr>
    </w:p>
    <w:p w:rsidR="003960BA" w:rsidRDefault="00A75DBD" w:rsidP="00732F6A">
      <w:pPr>
        <w:pStyle w:val="ListParagraph"/>
        <w:numPr>
          <w:ilvl w:val="0"/>
          <w:numId w:val="11"/>
        </w:numPr>
        <w:spacing w:line="360" w:lineRule="auto"/>
        <w:ind w:firstLine="0"/>
        <w:jc w:val="both"/>
        <w:rPr>
          <w:rFonts w:cs="Arial"/>
        </w:rPr>
      </w:pPr>
      <w:r>
        <w:rPr>
          <w:rFonts w:cs="Arial"/>
        </w:rPr>
        <w:t>Both the 2016 notices and the 2017 notices were/are aimed at implementing the three pillars of the NamibRe Act. Both notices</w:t>
      </w:r>
      <w:r w:rsidR="00DE2A7C">
        <w:rPr>
          <w:rFonts w:cs="Arial"/>
        </w:rPr>
        <w:t>, for example,</w:t>
      </w:r>
      <w:r>
        <w:rPr>
          <w:rFonts w:cs="Arial"/>
        </w:rPr>
        <w:t xml:space="preserve"> set</w:t>
      </w:r>
      <w:r w:rsidR="00DE2A7C">
        <w:rPr>
          <w:rFonts w:cs="Arial"/>
        </w:rPr>
        <w:t xml:space="preserve"> certain specific</w:t>
      </w:r>
      <w:r>
        <w:rPr>
          <w:rFonts w:cs="Arial"/>
        </w:rPr>
        <w:t xml:space="preserve"> percentages relating to the compulsory cessions</w:t>
      </w:r>
      <w:r w:rsidR="00DE2A7C">
        <w:rPr>
          <w:rFonts w:cs="Arial"/>
        </w:rPr>
        <w:t>, by each insurer to NamibRe, to be calculated with reference to</w:t>
      </w:r>
      <w:r>
        <w:rPr>
          <w:rFonts w:cs="Arial"/>
        </w:rPr>
        <w:t xml:space="preserve"> the value</w:t>
      </w:r>
      <w:r w:rsidR="00DE2A7C">
        <w:rPr>
          <w:rFonts w:cs="Arial"/>
        </w:rPr>
        <w:t xml:space="preserve"> of each insurance policy or the value of each reinsurance contract placed by one insurer with any other insurer. These percentages, although different, are reflected in the 2016 notices, the so-called ‘Valentine</w:t>
      </w:r>
      <w:r w:rsidR="00DD5C63">
        <w:rPr>
          <w:rFonts w:cs="Arial"/>
        </w:rPr>
        <w:t xml:space="preserve"> Day</w:t>
      </w:r>
      <w:r w:rsidR="00DE2A7C">
        <w:rPr>
          <w:rFonts w:cs="Arial"/>
        </w:rPr>
        <w:t xml:space="preserve"> Invitation’ proposals for consultation and in the consequently promulgated 2017 notices;</w:t>
      </w:r>
    </w:p>
    <w:p w:rsidR="00732F6A" w:rsidRDefault="00732F6A" w:rsidP="00732F6A">
      <w:pPr>
        <w:pStyle w:val="ListParagraph"/>
        <w:spacing w:line="360" w:lineRule="auto"/>
        <w:ind w:left="0"/>
        <w:jc w:val="both"/>
        <w:rPr>
          <w:rFonts w:cs="Arial"/>
        </w:rPr>
      </w:pPr>
    </w:p>
    <w:p w:rsidR="00DE2A7C" w:rsidRDefault="00DE2A7C" w:rsidP="00732F6A">
      <w:pPr>
        <w:pStyle w:val="ListParagraph"/>
        <w:numPr>
          <w:ilvl w:val="0"/>
          <w:numId w:val="11"/>
        </w:numPr>
        <w:spacing w:line="360" w:lineRule="auto"/>
        <w:ind w:firstLine="0"/>
        <w:jc w:val="both"/>
        <w:rPr>
          <w:rFonts w:cs="Arial"/>
        </w:rPr>
      </w:pPr>
      <w:r>
        <w:rPr>
          <w:rFonts w:cs="Arial"/>
        </w:rPr>
        <w:t>The 2016 notices were determined by Cabinet directive and thus</w:t>
      </w:r>
      <w:r w:rsidR="00E12182">
        <w:rPr>
          <w:rFonts w:cs="Arial"/>
        </w:rPr>
        <w:t xml:space="preserve"> also</w:t>
      </w:r>
      <w:r>
        <w:rPr>
          <w:rFonts w:cs="Arial"/>
        </w:rPr>
        <w:t xml:space="preserve"> the percentages contained </w:t>
      </w:r>
      <w:r w:rsidR="00DD5C63">
        <w:rPr>
          <w:rFonts w:cs="Arial"/>
        </w:rPr>
        <w:t>in it;</w:t>
      </w:r>
    </w:p>
    <w:p w:rsidR="00732F6A" w:rsidRDefault="00732F6A" w:rsidP="00732F6A">
      <w:pPr>
        <w:pStyle w:val="ListParagraph"/>
        <w:spacing w:line="360" w:lineRule="auto"/>
        <w:ind w:left="0"/>
        <w:jc w:val="both"/>
        <w:rPr>
          <w:rFonts w:cs="Arial"/>
        </w:rPr>
      </w:pPr>
    </w:p>
    <w:p w:rsidR="00DE2A7C" w:rsidRDefault="00DE2A7C" w:rsidP="00732F6A">
      <w:pPr>
        <w:pStyle w:val="ListParagraph"/>
        <w:numPr>
          <w:ilvl w:val="0"/>
          <w:numId w:val="11"/>
        </w:numPr>
        <w:spacing w:line="360" w:lineRule="auto"/>
        <w:ind w:firstLine="0"/>
        <w:jc w:val="both"/>
        <w:rPr>
          <w:rFonts w:cs="Arial"/>
        </w:rPr>
      </w:pPr>
      <w:r>
        <w:rPr>
          <w:rFonts w:cs="Arial"/>
        </w:rPr>
        <w:t xml:space="preserve">When </w:t>
      </w:r>
      <w:r w:rsidR="00DD5C63">
        <w:rPr>
          <w:rFonts w:cs="Arial"/>
        </w:rPr>
        <w:t>the Minister then</w:t>
      </w:r>
      <w:r>
        <w:rPr>
          <w:rFonts w:cs="Arial"/>
        </w:rPr>
        <w:t xml:space="preserve"> made his decisions relevant to the 2017 notices</w:t>
      </w:r>
      <w:r w:rsidR="00A80692">
        <w:rPr>
          <w:rFonts w:cs="Arial"/>
        </w:rPr>
        <w:t xml:space="preserve"> and when he thus fixed the percentages set therein</w:t>
      </w:r>
      <w:r>
        <w:rPr>
          <w:rFonts w:cs="Arial"/>
        </w:rPr>
        <w:t>, the 2016 notices</w:t>
      </w:r>
      <w:r w:rsidR="00A80692">
        <w:rPr>
          <w:rFonts w:cs="Arial"/>
        </w:rPr>
        <w:t xml:space="preserve"> and</w:t>
      </w:r>
      <w:r w:rsidR="00E12182">
        <w:rPr>
          <w:rFonts w:cs="Arial"/>
        </w:rPr>
        <w:t xml:space="preserve"> the</w:t>
      </w:r>
      <w:r w:rsidR="00A80692">
        <w:rPr>
          <w:rFonts w:cs="Arial"/>
        </w:rPr>
        <w:t xml:space="preserve"> relevant the cabinet decision and directive</w:t>
      </w:r>
      <w:r>
        <w:rPr>
          <w:rFonts w:cs="Arial"/>
        </w:rPr>
        <w:t xml:space="preserve"> surely</w:t>
      </w:r>
      <w:r w:rsidRPr="00A80692">
        <w:rPr>
          <w:rFonts w:cs="Arial"/>
          <w:i/>
        </w:rPr>
        <w:t xml:space="preserve"> </w:t>
      </w:r>
      <w:r w:rsidR="00A80692" w:rsidRPr="00A80692">
        <w:rPr>
          <w:rFonts w:cs="Arial"/>
          <w:i/>
        </w:rPr>
        <w:t xml:space="preserve">‘ … </w:t>
      </w:r>
      <w:r w:rsidRPr="00A80692">
        <w:rPr>
          <w:rFonts w:cs="Arial"/>
          <w:i/>
        </w:rPr>
        <w:t>could not have been</w:t>
      </w:r>
      <w:r w:rsidR="00A80692" w:rsidRPr="00A80692">
        <w:rPr>
          <w:rFonts w:cs="Arial"/>
          <w:i/>
        </w:rPr>
        <w:t xml:space="preserve"> otherwise than</w:t>
      </w:r>
      <w:r w:rsidRPr="00A80692">
        <w:rPr>
          <w:rFonts w:cs="Arial"/>
          <w:i/>
        </w:rPr>
        <w:t xml:space="preserve"> present</w:t>
      </w:r>
      <w:r w:rsidR="00A80692" w:rsidRPr="00A80692">
        <w:rPr>
          <w:rFonts w:cs="Arial"/>
          <w:i/>
        </w:rPr>
        <w:t xml:space="preserve"> in his mind … at the time that he made the decisions relating to the 2017 notices … If they were not, he could not have brought his mind to bear properly on the on the issues before him …</w:t>
      </w:r>
      <w:r w:rsidR="00A80692">
        <w:rPr>
          <w:rFonts w:cs="Arial"/>
        </w:rPr>
        <w:t>’.</w:t>
      </w:r>
    </w:p>
    <w:p w:rsidR="00732F6A" w:rsidRDefault="00732F6A" w:rsidP="00732F6A">
      <w:pPr>
        <w:pStyle w:val="ListParagraph"/>
        <w:spacing w:line="360" w:lineRule="auto"/>
        <w:ind w:left="0"/>
        <w:jc w:val="both"/>
        <w:rPr>
          <w:rFonts w:cs="Arial"/>
        </w:rPr>
      </w:pPr>
    </w:p>
    <w:p w:rsidR="00A80692" w:rsidRDefault="00DD5C63" w:rsidP="00732F6A">
      <w:pPr>
        <w:pStyle w:val="ListParagraph"/>
        <w:numPr>
          <w:ilvl w:val="0"/>
          <w:numId w:val="11"/>
        </w:numPr>
        <w:spacing w:line="360" w:lineRule="auto"/>
        <w:ind w:firstLine="0"/>
        <w:jc w:val="both"/>
        <w:rPr>
          <w:rFonts w:cs="Arial"/>
        </w:rPr>
      </w:pPr>
      <w:r>
        <w:rPr>
          <w:rFonts w:cs="Arial"/>
        </w:rPr>
        <w:t>These similarities, and the link created thereby, amongst others, in general, support the applicants entitlement to all documentation</w:t>
      </w:r>
      <w:r w:rsidR="00E90432">
        <w:rPr>
          <w:rFonts w:cs="Arial"/>
        </w:rPr>
        <w:t>/materials available to the Minister,</w:t>
      </w:r>
      <w:r>
        <w:rPr>
          <w:rFonts w:cs="Arial"/>
        </w:rPr>
        <w:t xml:space="preserve"> which, on a ‘wider’ definition of the record, would or should have formed part of the decision making relating to the 2016 notices, the entitlement to the documents, which moved the ‘Valentine’s Day Invitation’ </w:t>
      </w:r>
      <w:r w:rsidR="00337CEE">
        <w:rPr>
          <w:rFonts w:cs="Arial"/>
        </w:rPr>
        <w:t>which all led up to</w:t>
      </w:r>
      <w:r>
        <w:rPr>
          <w:rFonts w:cs="Arial"/>
        </w:rPr>
        <w:t xml:space="preserve"> the December 2017 notices;</w:t>
      </w:r>
      <w:r w:rsidR="005D4DBE">
        <w:rPr>
          <w:rFonts w:cs="Arial"/>
        </w:rPr>
        <w:t xml:space="preserve"> In this regard I </w:t>
      </w:r>
      <w:r w:rsidR="006E0074">
        <w:rPr>
          <w:rFonts w:cs="Arial"/>
        </w:rPr>
        <w:t xml:space="preserve">therefore </w:t>
      </w:r>
      <w:r w:rsidR="005D4DBE">
        <w:rPr>
          <w:rFonts w:cs="Arial"/>
        </w:rPr>
        <w:t xml:space="preserve">uphold the applicants’ reliance on the </w:t>
      </w:r>
      <w:r w:rsidR="005D4DBE" w:rsidRPr="005D4DBE">
        <w:rPr>
          <w:rFonts w:cs="Arial"/>
          <w:i/>
        </w:rPr>
        <w:t>Johannesburg City Council v The Admin</w:t>
      </w:r>
      <w:r w:rsidR="005D4DBE">
        <w:rPr>
          <w:rFonts w:cs="Arial"/>
          <w:i/>
        </w:rPr>
        <w:t>i</w:t>
      </w:r>
      <w:r w:rsidR="005D4DBE" w:rsidRPr="005D4DBE">
        <w:rPr>
          <w:rFonts w:cs="Arial"/>
          <w:i/>
        </w:rPr>
        <w:t>strator of Transvaal &amp; Ano</w:t>
      </w:r>
      <w:r w:rsidR="005D4DBE">
        <w:rPr>
          <w:rFonts w:cs="Arial"/>
        </w:rPr>
        <w:t xml:space="preserve"> decision</w:t>
      </w:r>
      <w:r w:rsidR="006E0074">
        <w:rPr>
          <w:rFonts w:cs="Arial"/>
        </w:rPr>
        <w:t>,</w:t>
      </w:r>
      <w:r w:rsidR="005D4DBE">
        <w:rPr>
          <w:rFonts w:cs="Arial"/>
        </w:rPr>
        <w:t xml:space="preserve"> as in my view the said similarities</w:t>
      </w:r>
      <w:r w:rsidR="006E0074">
        <w:rPr>
          <w:rFonts w:cs="Arial"/>
        </w:rPr>
        <w:t>, albeit to</w:t>
      </w:r>
      <w:r w:rsidR="002A1C3D">
        <w:rPr>
          <w:rFonts w:cs="Arial"/>
        </w:rPr>
        <w:t xml:space="preserve"> a different degree</w:t>
      </w:r>
      <w:r w:rsidR="006E0074">
        <w:rPr>
          <w:rFonts w:cs="Arial"/>
        </w:rPr>
        <w:t>, disclose sufficiently close similarities between the 2016 notices, the Valentine Day Invitation</w:t>
      </w:r>
      <w:r w:rsidR="00337CEE">
        <w:rPr>
          <w:rFonts w:cs="Arial"/>
        </w:rPr>
        <w:t xml:space="preserve"> proposals and those</w:t>
      </w:r>
      <w:r w:rsidR="006E0074">
        <w:rPr>
          <w:rFonts w:cs="Arial"/>
        </w:rPr>
        <w:t xml:space="preserve"> </w:t>
      </w:r>
      <w:r w:rsidR="002A1C3D">
        <w:rPr>
          <w:rFonts w:cs="Arial"/>
        </w:rPr>
        <w:t xml:space="preserve">contained in the </w:t>
      </w:r>
      <w:r w:rsidR="006E0074">
        <w:rPr>
          <w:rFonts w:cs="Arial"/>
        </w:rPr>
        <w:t>eventually promulgated 2017 notices,</w:t>
      </w:r>
      <w:r w:rsidR="00EF7965">
        <w:rPr>
          <w:rFonts w:cs="Arial"/>
        </w:rPr>
        <w:t xml:space="preserve"> which</w:t>
      </w:r>
      <w:r w:rsidR="006E0074">
        <w:rPr>
          <w:rFonts w:cs="Arial"/>
        </w:rPr>
        <w:t xml:space="preserve"> place them within the ‘applicable setting’ of the </w:t>
      </w:r>
      <w:r w:rsidR="006E0074" w:rsidRPr="006E0074">
        <w:rPr>
          <w:rFonts w:cs="Arial"/>
          <w:i/>
        </w:rPr>
        <w:t>Johannesburg City Council</w:t>
      </w:r>
      <w:r w:rsidR="006E0074">
        <w:rPr>
          <w:rFonts w:cs="Arial"/>
        </w:rPr>
        <w:t xml:space="preserve"> case;</w:t>
      </w:r>
    </w:p>
    <w:p w:rsidR="00732F6A" w:rsidRDefault="00732F6A" w:rsidP="00732F6A">
      <w:pPr>
        <w:pStyle w:val="ListParagraph"/>
        <w:spacing w:line="360" w:lineRule="auto"/>
        <w:ind w:left="0"/>
        <w:jc w:val="both"/>
        <w:rPr>
          <w:rFonts w:cs="Arial"/>
        </w:rPr>
      </w:pPr>
    </w:p>
    <w:p w:rsidR="00DD5C63" w:rsidRDefault="00DD5C63" w:rsidP="00732F6A">
      <w:pPr>
        <w:pStyle w:val="ListParagraph"/>
        <w:numPr>
          <w:ilvl w:val="0"/>
          <w:numId w:val="11"/>
        </w:numPr>
        <w:spacing w:line="360" w:lineRule="auto"/>
        <w:ind w:firstLine="0"/>
        <w:jc w:val="both"/>
        <w:rPr>
          <w:rFonts w:cs="Arial"/>
        </w:rPr>
      </w:pPr>
      <w:r>
        <w:rPr>
          <w:rFonts w:cs="Arial"/>
        </w:rPr>
        <w:t>It can</w:t>
      </w:r>
      <w:r w:rsidR="006E0074">
        <w:rPr>
          <w:rFonts w:cs="Arial"/>
        </w:rPr>
        <w:t xml:space="preserve"> further</w:t>
      </w:r>
      <w:r>
        <w:rPr>
          <w:rFonts w:cs="Arial"/>
        </w:rPr>
        <w:t xml:space="preserve"> legitimately be expected that Cabinet would not take decisions without an agenda, supporting documentation, minutes and </w:t>
      </w:r>
      <w:r w:rsidR="00F015BB">
        <w:rPr>
          <w:rFonts w:cs="Arial"/>
        </w:rPr>
        <w:t xml:space="preserve">resultant </w:t>
      </w:r>
      <w:r>
        <w:rPr>
          <w:rFonts w:cs="Arial"/>
        </w:rPr>
        <w:t>resolutions. The documentation which</w:t>
      </w:r>
      <w:r w:rsidR="00F015BB">
        <w:rPr>
          <w:rFonts w:cs="Arial"/>
        </w:rPr>
        <w:t xml:space="preserve"> so informed the Cabinet decision and which resulted in the said </w:t>
      </w:r>
      <w:r w:rsidR="00F015BB">
        <w:rPr>
          <w:rFonts w:cs="Arial"/>
        </w:rPr>
        <w:lastRenderedPageBreak/>
        <w:t>directive would thus form part of the material relevant to t</w:t>
      </w:r>
      <w:r w:rsidR="00F21CCD">
        <w:rPr>
          <w:rFonts w:cs="Arial"/>
        </w:rPr>
        <w:t>he decision now taken on review;</w:t>
      </w:r>
    </w:p>
    <w:p w:rsidR="00732F6A" w:rsidRDefault="00732F6A" w:rsidP="00732F6A">
      <w:pPr>
        <w:pStyle w:val="ListParagraph"/>
        <w:spacing w:line="360" w:lineRule="auto"/>
        <w:ind w:left="0"/>
        <w:jc w:val="both"/>
        <w:rPr>
          <w:rFonts w:cs="Arial"/>
        </w:rPr>
      </w:pPr>
    </w:p>
    <w:p w:rsidR="00F015BB" w:rsidRDefault="00D76628" w:rsidP="00732F6A">
      <w:pPr>
        <w:pStyle w:val="ListParagraph"/>
        <w:numPr>
          <w:ilvl w:val="0"/>
          <w:numId w:val="11"/>
        </w:numPr>
        <w:spacing w:line="360" w:lineRule="auto"/>
        <w:ind w:firstLine="0"/>
        <w:jc w:val="both"/>
        <w:rPr>
          <w:rFonts w:cs="Arial"/>
        </w:rPr>
      </w:pPr>
      <w:r>
        <w:rPr>
          <w:rFonts w:cs="Arial"/>
        </w:rPr>
        <w:t>It is</w:t>
      </w:r>
      <w:r w:rsidR="00E90432">
        <w:rPr>
          <w:rFonts w:cs="Arial"/>
        </w:rPr>
        <w:t xml:space="preserve"> also</w:t>
      </w:r>
      <w:r>
        <w:rPr>
          <w:rFonts w:cs="Arial"/>
        </w:rPr>
        <w:t xml:space="preserve"> correct that the Minister may not be the official keeper or repository of Cabinet documents</w:t>
      </w:r>
      <w:r w:rsidR="00F21CCD">
        <w:rPr>
          <w:rFonts w:cs="Arial"/>
        </w:rPr>
        <w:t>, as was argued, and that Rule 76(6) does not extend</w:t>
      </w:r>
      <w:r w:rsidR="00470A31">
        <w:rPr>
          <w:rFonts w:cs="Arial"/>
        </w:rPr>
        <w:t xml:space="preserve"> to</w:t>
      </w:r>
      <w:r w:rsidR="00F21CCD">
        <w:rPr>
          <w:rFonts w:cs="Arial"/>
        </w:rPr>
        <w:t xml:space="preserve"> compelling the production of relevant documents</w:t>
      </w:r>
      <w:r w:rsidR="00470A31">
        <w:rPr>
          <w:rFonts w:cs="Arial"/>
        </w:rPr>
        <w:t xml:space="preserve"> to a record which is</w:t>
      </w:r>
      <w:r w:rsidR="00F21CCD">
        <w:rPr>
          <w:rFonts w:cs="Arial"/>
        </w:rPr>
        <w:t xml:space="preserve"> in the possession of a third pa</w:t>
      </w:r>
      <w:r w:rsidR="00E7782B">
        <w:rPr>
          <w:rFonts w:cs="Arial"/>
        </w:rPr>
        <w:t>r</w:t>
      </w:r>
      <w:r w:rsidR="00F21CCD">
        <w:rPr>
          <w:rFonts w:cs="Arial"/>
        </w:rPr>
        <w:t>ty</w:t>
      </w:r>
      <w:r>
        <w:rPr>
          <w:rFonts w:cs="Arial"/>
        </w:rPr>
        <w:t>. The Minister is however a member of Cabinet. He attends cabinet meetings and would thus</w:t>
      </w:r>
      <w:r w:rsidR="002A1C3D">
        <w:rPr>
          <w:rFonts w:cs="Arial"/>
        </w:rPr>
        <w:t>, for this purpose,</w:t>
      </w:r>
      <w:r>
        <w:rPr>
          <w:rFonts w:cs="Arial"/>
        </w:rPr>
        <w:t xml:space="preserve"> be placed in possession of all relevant documents such as agendas, together with all relevant supporting documents to such agendas and </w:t>
      </w:r>
      <w:r w:rsidR="00F21CCD">
        <w:rPr>
          <w:rFonts w:cs="Arial"/>
        </w:rPr>
        <w:t xml:space="preserve">the </w:t>
      </w:r>
      <w:r>
        <w:rPr>
          <w:rFonts w:cs="Arial"/>
        </w:rPr>
        <w:t>minutes of all meetings once they become available. Surely a Minister will have a file</w:t>
      </w:r>
      <w:r w:rsidR="00F21CCD">
        <w:rPr>
          <w:rFonts w:cs="Arial"/>
        </w:rPr>
        <w:t>, whether</w:t>
      </w:r>
      <w:r w:rsidR="00E7782B">
        <w:rPr>
          <w:rFonts w:cs="Arial"/>
        </w:rPr>
        <w:t xml:space="preserve"> in</w:t>
      </w:r>
      <w:r w:rsidR="00F21CCD">
        <w:rPr>
          <w:rFonts w:cs="Arial"/>
        </w:rPr>
        <w:t xml:space="preserve"> electronic</w:t>
      </w:r>
      <w:r w:rsidR="00E7782B">
        <w:rPr>
          <w:rFonts w:cs="Arial"/>
        </w:rPr>
        <w:t xml:space="preserve"> format</w:t>
      </w:r>
      <w:r w:rsidR="00F21CCD">
        <w:rPr>
          <w:rFonts w:cs="Arial"/>
        </w:rPr>
        <w:t xml:space="preserve"> or</w:t>
      </w:r>
      <w:r>
        <w:rPr>
          <w:rFonts w:cs="Arial"/>
        </w:rPr>
        <w:t xml:space="preserve"> in hard copy</w:t>
      </w:r>
      <w:r w:rsidR="00E7782B">
        <w:rPr>
          <w:rFonts w:cs="Arial"/>
        </w:rPr>
        <w:t>, containing such material</w:t>
      </w:r>
      <w:r>
        <w:rPr>
          <w:rFonts w:cs="Arial"/>
        </w:rPr>
        <w:t>. In any event this has not been denied. Such a file and its contents must be in his possession or under his control</w:t>
      </w:r>
      <w:r w:rsidR="00F21CCD">
        <w:rPr>
          <w:rFonts w:cs="Arial"/>
        </w:rPr>
        <w:t>. Those parts contained in it, as relevant to the 2016 notices</w:t>
      </w:r>
      <w:r w:rsidR="005D4DBE">
        <w:rPr>
          <w:rFonts w:cs="Arial"/>
        </w:rPr>
        <w:t>,</w:t>
      </w:r>
      <w:r w:rsidR="00F21CCD">
        <w:rPr>
          <w:rFonts w:cs="Arial"/>
        </w:rPr>
        <w:t xml:space="preserve"> surely can be produced by him. They are clearly relevant, as I have found above</w:t>
      </w:r>
      <w:r w:rsidR="00CF579B">
        <w:rPr>
          <w:rFonts w:cs="Arial"/>
        </w:rPr>
        <w:t>.</w:t>
      </w:r>
      <w:r w:rsidR="005D4DBE">
        <w:rPr>
          <w:rFonts w:cs="Arial"/>
        </w:rPr>
        <w:t xml:space="preserve"> In such circumstances it also becomes irrelevant whether or not the Minister actually considered such material</w:t>
      </w:r>
      <w:r w:rsidR="00F21CCD">
        <w:rPr>
          <w:rFonts w:cs="Arial"/>
        </w:rPr>
        <w:t>;</w:t>
      </w:r>
    </w:p>
    <w:p w:rsidR="00732F6A" w:rsidRDefault="00732F6A" w:rsidP="00732F6A">
      <w:pPr>
        <w:pStyle w:val="ListParagraph"/>
        <w:spacing w:line="360" w:lineRule="auto"/>
        <w:ind w:left="0"/>
        <w:jc w:val="both"/>
        <w:rPr>
          <w:rFonts w:cs="Arial"/>
        </w:rPr>
      </w:pPr>
    </w:p>
    <w:p w:rsidR="00337CEE" w:rsidRDefault="00E7782B" w:rsidP="00732F6A">
      <w:pPr>
        <w:pStyle w:val="ListParagraph"/>
        <w:numPr>
          <w:ilvl w:val="0"/>
          <w:numId w:val="11"/>
        </w:numPr>
        <w:spacing w:line="360" w:lineRule="auto"/>
        <w:ind w:firstLine="0"/>
        <w:jc w:val="both"/>
        <w:rPr>
          <w:rFonts w:cs="Arial"/>
        </w:rPr>
      </w:pPr>
      <w:r>
        <w:rPr>
          <w:rFonts w:cs="Arial"/>
        </w:rPr>
        <w:t>I have already considered the relevance of the documentation underscoring the Minister’s ‘Valentine Day Invitation’</w:t>
      </w:r>
      <w:r w:rsidR="00C4079C">
        <w:rPr>
          <w:rFonts w:cs="Arial"/>
        </w:rPr>
        <w:t xml:space="preserve"> above</w:t>
      </w:r>
      <w:r>
        <w:rPr>
          <w:rFonts w:cs="Arial"/>
        </w:rPr>
        <w:t>.</w:t>
      </w:r>
      <w:r w:rsidR="00D04546">
        <w:rPr>
          <w:rFonts w:cs="Arial"/>
        </w:rPr>
        <w:t xml:space="preserve"> A further</w:t>
      </w:r>
      <w:r w:rsidR="00DC4976">
        <w:rPr>
          <w:rFonts w:cs="Arial"/>
        </w:rPr>
        <w:t xml:space="preserve"> ground</w:t>
      </w:r>
      <w:r>
        <w:rPr>
          <w:rFonts w:cs="Arial"/>
        </w:rPr>
        <w:t xml:space="preserve"> on which the respondents seek to resist the making available of the documentation</w:t>
      </w:r>
      <w:r w:rsidR="00E90432">
        <w:rPr>
          <w:rFonts w:cs="Arial"/>
        </w:rPr>
        <w:t>,</w:t>
      </w:r>
      <w:r>
        <w:rPr>
          <w:rFonts w:cs="Arial"/>
        </w:rPr>
        <w:t xml:space="preserve"> sought in paragraph </w:t>
      </w:r>
      <w:r w:rsidR="00DC4976">
        <w:rPr>
          <w:rFonts w:cs="Arial"/>
        </w:rPr>
        <w:t>1.</w:t>
      </w:r>
      <w:r>
        <w:rPr>
          <w:rFonts w:cs="Arial"/>
        </w:rPr>
        <w:t>5</w:t>
      </w:r>
      <w:r w:rsidR="00DC4976">
        <w:rPr>
          <w:rFonts w:cs="Arial"/>
        </w:rPr>
        <w:t xml:space="preserve"> of the notice of motion</w:t>
      </w:r>
      <w:r w:rsidR="00E90432">
        <w:rPr>
          <w:rFonts w:cs="Arial"/>
        </w:rPr>
        <w:t>,</w:t>
      </w:r>
      <w:r w:rsidR="00DC4976">
        <w:rPr>
          <w:rFonts w:cs="Arial"/>
        </w:rPr>
        <w:t xml:space="preserve"> is on the basis of the principle of </w:t>
      </w:r>
      <w:r w:rsidR="00DC4976" w:rsidRPr="00DC4976">
        <w:rPr>
          <w:rFonts w:cs="Arial"/>
          <w:i/>
        </w:rPr>
        <w:t>lis pendens</w:t>
      </w:r>
      <w:r w:rsidR="00DC4976">
        <w:rPr>
          <w:rFonts w:cs="Arial"/>
        </w:rPr>
        <w:t>.</w:t>
      </w:r>
      <w:r w:rsidR="00C4079C">
        <w:rPr>
          <w:rFonts w:cs="Arial"/>
        </w:rPr>
        <w:t xml:space="preserve"> It is indeed correct, as was contended in this regard, that there is a further application pending before the Court – that is the so-called ‘information application’ in which the applicants demand a long- and similar list of documentation</w:t>
      </w:r>
      <w:r w:rsidR="00470A31">
        <w:rPr>
          <w:rFonts w:cs="Arial"/>
        </w:rPr>
        <w:t>,</w:t>
      </w:r>
      <w:r w:rsidR="002A1C3D">
        <w:rPr>
          <w:rFonts w:cs="Arial"/>
        </w:rPr>
        <w:t xml:space="preserve"> pertaining</w:t>
      </w:r>
      <w:r w:rsidR="00C4079C">
        <w:rPr>
          <w:rFonts w:cs="Arial"/>
        </w:rPr>
        <w:t xml:space="preserve"> to the documentation – as they labelled it - contained in the </w:t>
      </w:r>
      <w:r w:rsidR="00E90432">
        <w:rPr>
          <w:rFonts w:cs="Arial"/>
        </w:rPr>
        <w:t>‘</w:t>
      </w:r>
      <w:r w:rsidR="00C4079C">
        <w:rPr>
          <w:rFonts w:cs="Arial"/>
        </w:rPr>
        <w:t>Minister’s briefcase</w:t>
      </w:r>
      <w:r w:rsidR="00E90432">
        <w:rPr>
          <w:rFonts w:cs="Arial"/>
        </w:rPr>
        <w:t>’</w:t>
      </w:r>
      <w:r w:rsidR="00C4079C">
        <w:rPr>
          <w:rFonts w:cs="Arial"/>
        </w:rPr>
        <w:t>. That application is specific and it was made with reference to the Minister’s ‘Valentine Day Invitation’ alone, In this review this particular request is made in the context of the review</w:t>
      </w:r>
      <w:r w:rsidR="00470A31">
        <w:rPr>
          <w:rFonts w:cs="Arial"/>
        </w:rPr>
        <w:t xml:space="preserve"> that was brought </w:t>
      </w:r>
      <w:r w:rsidR="00C4079C">
        <w:rPr>
          <w:rFonts w:cs="Arial"/>
        </w:rPr>
        <w:t xml:space="preserve">to procure – and </w:t>
      </w:r>
      <w:r w:rsidR="00DA00B3">
        <w:rPr>
          <w:rFonts w:cs="Arial"/>
        </w:rPr>
        <w:t>which was made with the</w:t>
      </w:r>
      <w:r w:rsidR="00D04546">
        <w:rPr>
          <w:rFonts w:cs="Arial"/>
        </w:rPr>
        <w:t xml:space="preserve"> clear</w:t>
      </w:r>
      <w:r w:rsidR="00DA00B3">
        <w:rPr>
          <w:rFonts w:cs="Arial"/>
        </w:rPr>
        <w:t xml:space="preserve"> aim</w:t>
      </w:r>
      <w:r w:rsidR="00470A31">
        <w:rPr>
          <w:rFonts w:cs="Arial"/>
        </w:rPr>
        <w:t xml:space="preserve"> to achiev</w:t>
      </w:r>
      <w:r w:rsidR="00DA00B3">
        <w:rPr>
          <w:rFonts w:cs="Arial"/>
        </w:rPr>
        <w:t>e the</w:t>
      </w:r>
      <w:r w:rsidR="00C4079C">
        <w:rPr>
          <w:rFonts w:cs="Arial"/>
        </w:rPr>
        <w:t xml:space="preserve"> setting aside of the December 2017 notices.</w:t>
      </w:r>
      <w:r w:rsidR="00DA00B3">
        <w:rPr>
          <w:rFonts w:cs="Arial"/>
        </w:rPr>
        <w:t xml:space="preserve"> The particular category of documents requested in terms of paragraph 1.5 of the notice of motion in this app</w:t>
      </w:r>
      <w:r w:rsidR="002A1C3D">
        <w:rPr>
          <w:rFonts w:cs="Arial"/>
        </w:rPr>
        <w:t>lication thus constitute</w:t>
      </w:r>
      <w:r w:rsidR="00E90432">
        <w:rPr>
          <w:rFonts w:cs="Arial"/>
        </w:rPr>
        <w:t>s</w:t>
      </w:r>
      <w:r w:rsidR="00DA00B3">
        <w:rPr>
          <w:rFonts w:cs="Arial"/>
        </w:rPr>
        <w:t xml:space="preserve"> only a fraction of the </w:t>
      </w:r>
      <w:r w:rsidR="00A77F5C">
        <w:rPr>
          <w:rFonts w:cs="Arial"/>
        </w:rPr>
        <w:t xml:space="preserve">overall </w:t>
      </w:r>
      <w:r w:rsidR="00DA00B3">
        <w:rPr>
          <w:rFonts w:cs="Arial"/>
        </w:rPr>
        <w:t xml:space="preserve">documentation which is relevant to the decision now taken on review in this case. The special plea of </w:t>
      </w:r>
      <w:r w:rsidR="00DA00B3" w:rsidRPr="00DA00B3">
        <w:rPr>
          <w:rFonts w:cs="Arial"/>
          <w:i/>
        </w:rPr>
        <w:t>lis alibi pendens</w:t>
      </w:r>
      <w:r w:rsidR="00DA00B3">
        <w:rPr>
          <w:rFonts w:cs="Arial"/>
        </w:rPr>
        <w:t xml:space="preserve"> is a discretionary one, in which considerations of convenience and fairness </w:t>
      </w:r>
      <w:r w:rsidR="00A77F5C">
        <w:rPr>
          <w:rFonts w:cs="Arial"/>
        </w:rPr>
        <w:t xml:space="preserve">also </w:t>
      </w:r>
      <w:r w:rsidR="00DA00B3">
        <w:rPr>
          <w:rFonts w:cs="Arial"/>
        </w:rPr>
        <w:t>play an important part.</w:t>
      </w:r>
      <w:r w:rsidR="00DA00B3">
        <w:rPr>
          <w:rStyle w:val="FootnoteReference"/>
        </w:rPr>
        <w:footnoteReference w:id="75"/>
      </w:r>
      <w:r w:rsidR="00D04546">
        <w:rPr>
          <w:rFonts w:cs="Arial"/>
        </w:rPr>
        <w:t xml:space="preserve"> To</w:t>
      </w:r>
      <w:r w:rsidR="002A1C3D">
        <w:rPr>
          <w:rFonts w:cs="Arial"/>
        </w:rPr>
        <w:t xml:space="preserve"> exclude </w:t>
      </w:r>
      <w:r w:rsidR="002A1C3D">
        <w:rPr>
          <w:rFonts w:cs="Arial"/>
        </w:rPr>
        <w:lastRenderedPageBreak/>
        <w:t>this facet of documentation</w:t>
      </w:r>
      <w:r w:rsidR="00D04546">
        <w:rPr>
          <w:rFonts w:cs="Arial"/>
        </w:rPr>
        <w:t>, clearly relevant</w:t>
      </w:r>
      <w:r w:rsidR="002A1C3D">
        <w:rPr>
          <w:rFonts w:cs="Arial"/>
        </w:rPr>
        <w:t xml:space="preserve"> to the overall record in</w:t>
      </w:r>
      <w:r w:rsidR="00D04546">
        <w:rPr>
          <w:rFonts w:cs="Arial"/>
        </w:rPr>
        <w:t xml:space="preserve"> the present review,</w:t>
      </w:r>
      <w:r w:rsidR="00A77F5C" w:rsidRPr="00A77F5C">
        <w:rPr>
          <w:rFonts w:cs="Arial"/>
        </w:rPr>
        <w:t xml:space="preserve"> </w:t>
      </w:r>
      <w:r w:rsidR="00A77F5C">
        <w:rPr>
          <w:rFonts w:cs="Arial"/>
        </w:rPr>
        <w:t xml:space="preserve">from the </w:t>
      </w:r>
      <w:r w:rsidR="00470A31">
        <w:rPr>
          <w:rFonts w:cs="Arial"/>
        </w:rPr>
        <w:t xml:space="preserve">overall </w:t>
      </w:r>
      <w:r w:rsidR="00A77F5C">
        <w:rPr>
          <w:rFonts w:cs="Arial"/>
        </w:rPr>
        <w:t xml:space="preserve">disclosure sought, on the application of the </w:t>
      </w:r>
      <w:r w:rsidR="00A77F5C" w:rsidRPr="00A77F5C">
        <w:rPr>
          <w:rFonts w:cs="Arial"/>
          <w:i/>
        </w:rPr>
        <w:t>lis pendens</w:t>
      </w:r>
      <w:r w:rsidR="00A77F5C">
        <w:rPr>
          <w:rFonts w:cs="Arial"/>
        </w:rPr>
        <w:t xml:space="preserve"> principle,</w:t>
      </w:r>
      <w:r w:rsidR="00D04546">
        <w:rPr>
          <w:rFonts w:cs="Arial"/>
        </w:rPr>
        <w:t xml:space="preserve"> would</w:t>
      </w:r>
      <w:r w:rsidR="00A77F5C">
        <w:rPr>
          <w:rFonts w:cs="Arial"/>
        </w:rPr>
        <w:t>, in my view</w:t>
      </w:r>
      <w:r w:rsidR="00344895">
        <w:rPr>
          <w:rFonts w:cs="Arial"/>
        </w:rPr>
        <w:t>,</w:t>
      </w:r>
      <w:r w:rsidR="00A77F5C">
        <w:rPr>
          <w:rFonts w:cs="Arial"/>
        </w:rPr>
        <w:t xml:space="preserve"> not only be wrong</w:t>
      </w:r>
      <w:r w:rsidR="00470A31">
        <w:rPr>
          <w:rFonts w:cs="Arial"/>
        </w:rPr>
        <w:t>,</w:t>
      </w:r>
      <w:r w:rsidR="00344895">
        <w:rPr>
          <w:rFonts w:cs="Arial"/>
        </w:rPr>
        <w:t xml:space="preserve"> but would also be</w:t>
      </w:r>
      <w:r w:rsidR="00A77F5C">
        <w:rPr>
          <w:rFonts w:cs="Arial"/>
        </w:rPr>
        <w:t xml:space="preserve"> inconvenient and unfair</w:t>
      </w:r>
      <w:r w:rsidR="00470A31">
        <w:rPr>
          <w:rFonts w:cs="Arial"/>
        </w:rPr>
        <w:t xml:space="preserve"> in such premises</w:t>
      </w:r>
      <w:r w:rsidR="00344895">
        <w:rPr>
          <w:rFonts w:cs="Arial"/>
        </w:rPr>
        <w:t>. I exercise my discretion accordingly.</w:t>
      </w:r>
    </w:p>
    <w:p w:rsidR="00732F6A" w:rsidRDefault="00732F6A" w:rsidP="00732F6A">
      <w:pPr>
        <w:pStyle w:val="ListParagraph"/>
        <w:spacing w:line="360" w:lineRule="auto"/>
        <w:ind w:left="0"/>
        <w:jc w:val="both"/>
        <w:rPr>
          <w:rFonts w:cs="Arial"/>
        </w:rPr>
      </w:pPr>
    </w:p>
    <w:p w:rsidR="004E3F22" w:rsidRDefault="00337CEE" w:rsidP="00732F6A">
      <w:pPr>
        <w:pStyle w:val="ListParagraph"/>
        <w:spacing w:after="360" w:line="360" w:lineRule="auto"/>
        <w:ind w:left="0"/>
        <w:jc w:val="both"/>
        <w:rPr>
          <w:rFonts w:cs="Arial"/>
        </w:rPr>
      </w:pPr>
      <w:r>
        <w:rPr>
          <w:rFonts w:cs="Arial"/>
        </w:rPr>
        <w:t>[</w:t>
      </w:r>
      <w:r w:rsidR="00732F6A">
        <w:rPr>
          <w:rFonts w:cs="Arial"/>
        </w:rPr>
        <w:t>2</w:t>
      </w:r>
      <w:r w:rsidR="00AC5F89">
        <w:rPr>
          <w:rFonts w:cs="Arial"/>
        </w:rPr>
        <w:t>7</w:t>
      </w:r>
      <w:r>
        <w:rPr>
          <w:rFonts w:cs="Arial"/>
        </w:rPr>
        <w:t>]</w:t>
      </w:r>
      <w:r>
        <w:rPr>
          <w:rFonts w:cs="Arial"/>
        </w:rPr>
        <w:tab/>
        <w:t xml:space="preserve">It is for </w:t>
      </w:r>
      <w:r w:rsidR="00E90432">
        <w:rPr>
          <w:rFonts w:cs="Arial"/>
        </w:rPr>
        <w:t xml:space="preserve">all </w:t>
      </w:r>
      <w:r>
        <w:rPr>
          <w:rFonts w:cs="Arial"/>
        </w:rPr>
        <w:t xml:space="preserve">these reasons that I consider the request for the first category of additional documentation, as made in paragraphs 1.2, 1.3 and 1.5 </w:t>
      </w:r>
      <w:r w:rsidR="004E3F22">
        <w:rPr>
          <w:rFonts w:cs="Arial"/>
        </w:rPr>
        <w:t xml:space="preserve">of the applicants Rule 76(6) notice </w:t>
      </w:r>
      <w:r>
        <w:rPr>
          <w:rFonts w:cs="Arial"/>
        </w:rPr>
        <w:t>well founded</w:t>
      </w:r>
      <w:r w:rsidR="00E90432">
        <w:rPr>
          <w:rFonts w:cs="Arial"/>
        </w:rPr>
        <w:t xml:space="preserve"> and I will thus grant </w:t>
      </w:r>
      <w:r w:rsidR="00EF7965">
        <w:rPr>
          <w:rFonts w:cs="Arial"/>
        </w:rPr>
        <w:t xml:space="preserve">each </w:t>
      </w:r>
      <w:r w:rsidR="00E90432">
        <w:rPr>
          <w:rFonts w:cs="Arial"/>
        </w:rPr>
        <w:t>such requests</w:t>
      </w:r>
      <w:r>
        <w:rPr>
          <w:rFonts w:cs="Arial"/>
        </w:rPr>
        <w:t>.</w:t>
      </w:r>
    </w:p>
    <w:p w:rsidR="00470A31" w:rsidRDefault="00470A31" w:rsidP="00FA789B">
      <w:pPr>
        <w:spacing w:after="0" w:line="360" w:lineRule="auto"/>
        <w:jc w:val="both"/>
        <w:rPr>
          <w:rFonts w:ascii="Arial" w:hAnsi="Arial" w:cs="Arial"/>
          <w:sz w:val="24"/>
          <w:szCs w:val="24"/>
          <w:u w:val="single"/>
        </w:rPr>
      </w:pPr>
      <w:r w:rsidRPr="00470A31">
        <w:rPr>
          <w:rFonts w:ascii="Arial" w:hAnsi="Arial" w:cs="Arial"/>
          <w:sz w:val="24"/>
          <w:szCs w:val="24"/>
          <w:u w:val="single"/>
        </w:rPr>
        <w:t>The second category of documents: documents referenced in the material which served before the Minister but which the Minister claims were not before him when he took his decision and thus do not form part of the record</w:t>
      </w:r>
    </w:p>
    <w:p w:rsidR="000264CC" w:rsidRDefault="000264CC" w:rsidP="00FA789B">
      <w:pPr>
        <w:spacing w:after="0" w:line="360" w:lineRule="auto"/>
        <w:jc w:val="both"/>
        <w:rPr>
          <w:rFonts w:ascii="Arial" w:hAnsi="Arial" w:cs="Arial"/>
          <w:sz w:val="24"/>
          <w:szCs w:val="24"/>
          <w:u w:val="single"/>
        </w:rPr>
      </w:pPr>
    </w:p>
    <w:p w:rsidR="00470A31" w:rsidRDefault="00470A31" w:rsidP="00FA789B">
      <w:pPr>
        <w:spacing w:after="0" w:line="360" w:lineRule="auto"/>
        <w:jc w:val="both"/>
        <w:rPr>
          <w:rFonts w:ascii="Arial" w:hAnsi="Arial" w:cs="Arial"/>
          <w:sz w:val="24"/>
          <w:szCs w:val="24"/>
        </w:rPr>
      </w:pPr>
      <w:r w:rsidRPr="00470A31">
        <w:rPr>
          <w:rFonts w:ascii="Arial" w:hAnsi="Arial" w:cs="Arial"/>
          <w:sz w:val="24"/>
          <w:szCs w:val="24"/>
        </w:rPr>
        <w:t>[</w:t>
      </w:r>
      <w:r w:rsidR="00FA789B">
        <w:rPr>
          <w:rFonts w:ascii="Arial" w:hAnsi="Arial" w:cs="Arial"/>
          <w:sz w:val="24"/>
          <w:szCs w:val="24"/>
        </w:rPr>
        <w:t>2</w:t>
      </w:r>
      <w:r w:rsidR="00AC5F89">
        <w:rPr>
          <w:rFonts w:ascii="Arial" w:hAnsi="Arial" w:cs="Arial"/>
          <w:sz w:val="24"/>
          <w:szCs w:val="24"/>
        </w:rPr>
        <w:t>8</w:t>
      </w:r>
      <w:r w:rsidRPr="00470A31">
        <w:rPr>
          <w:rFonts w:ascii="Arial" w:hAnsi="Arial" w:cs="Arial"/>
          <w:sz w:val="24"/>
          <w:szCs w:val="24"/>
        </w:rPr>
        <w:t>]</w:t>
      </w:r>
      <w:r w:rsidRPr="00470A31">
        <w:rPr>
          <w:rFonts w:ascii="Arial" w:hAnsi="Arial" w:cs="Arial"/>
          <w:sz w:val="24"/>
          <w:szCs w:val="24"/>
        </w:rPr>
        <w:tab/>
      </w:r>
      <w:r>
        <w:rPr>
          <w:rFonts w:ascii="Arial" w:hAnsi="Arial" w:cs="Arial"/>
          <w:sz w:val="24"/>
          <w:szCs w:val="24"/>
        </w:rPr>
        <w:t>The requests made under this category were motivated as follows:</w:t>
      </w:r>
    </w:p>
    <w:p w:rsidR="002A1C3D" w:rsidRPr="002A1C3D" w:rsidRDefault="002A1C3D" w:rsidP="00732F6A">
      <w:pPr>
        <w:spacing w:line="360" w:lineRule="auto"/>
        <w:jc w:val="both"/>
        <w:rPr>
          <w:rFonts w:ascii="Arial" w:hAnsi="Arial" w:cs="Arial"/>
          <w:sz w:val="24"/>
          <w:szCs w:val="24"/>
        </w:rPr>
      </w:pPr>
    </w:p>
    <w:p w:rsidR="00470A31" w:rsidRDefault="00470A31" w:rsidP="0083009B">
      <w:pPr>
        <w:pStyle w:val="Heading1"/>
        <w:spacing w:before="0" w:after="0" w:line="360" w:lineRule="auto"/>
        <w:ind w:firstLine="720"/>
        <w:jc w:val="both"/>
        <w:rPr>
          <w:rFonts w:ascii="Arial" w:hAnsi="Arial" w:cs="Arial"/>
          <w:b w:val="0"/>
          <w:sz w:val="22"/>
          <w:szCs w:val="22"/>
        </w:rPr>
      </w:pPr>
      <w:r w:rsidRPr="00470A31">
        <w:rPr>
          <w:rFonts w:ascii="Arial" w:hAnsi="Arial" w:cs="Arial"/>
          <w:b w:val="0"/>
          <w:sz w:val="22"/>
          <w:szCs w:val="22"/>
        </w:rPr>
        <w:t>‘</w:t>
      </w:r>
      <w:r w:rsidR="004E3F22">
        <w:rPr>
          <w:rFonts w:ascii="Arial" w:hAnsi="Arial" w:cs="Arial"/>
          <w:b w:val="0"/>
          <w:sz w:val="22"/>
          <w:szCs w:val="22"/>
        </w:rPr>
        <w:t>27.</w:t>
      </w:r>
      <w:r w:rsidRPr="00470A31">
        <w:rPr>
          <w:rFonts w:ascii="Arial" w:hAnsi="Arial" w:cs="Arial"/>
          <w:b w:val="0"/>
          <w:sz w:val="22"/>
          <w:szCs w:val="22"/>
        </w:rPr>
        <w:t xml:space="preserve"> In paragraphs 4 and 13 of the applicants’ rule 76(6) notice, the Minister was requested to produce the following documents incorporated by reference in the file before him:  </w:t>
      </w:r>
    </w:p>
    <w:p w:rsidR="00470A31" w:rsidRPr="00470A31" w:rsidRDefault="00470A31" w:rsidP="0083009B">
      <w:pPr>
        <w:spacing w:after="0" w:line="360" w:lineRule="auto"/>
      </w:pPr>
    </w:p>
    <w:p w:rsidR="00470A31" w:rsidRDefault="00470A31" w:rsidP="0083009B">
      <w:pPr>
        <w:spacing w:after="0" w:line="360" w:lineRule="auto"/>
        <w:ind w:left="709"/>
        <w:jc w:val="both"/>
        <w:rPr>
          <w:rFonts w:ascii="Arial" w:hAnsi="Arial" w:cs="Arial"/>
        </w:rPr>
      </w:pPr>
      <w:r w:rsidRPr="00470A31">
        <w:rPr>
          <w:rFonts w:ascii="Arial" w:hAnsi="Arial" w:cs="Arial"/>
        </w:rPr>
        <w:t>“4.</w:t>
      </w:r>
      <w:r w:rsidRPr="00470A31">
        <w:rPr>
          <w:rFonts w:ascii="Arial" w:hAnsi="Arial" w:cs="Arial"/>
        </w:rPr>
        <w:tab/>
        <w:t xml:space="preserve">The specific documents, emanating from three African countries with allegedly similar or comparable compulsory reinsurance dispensations, namely Ghana, Kenya, Tanzania and Morocco and those countries referred to in the footnotes of the NamibRe submission discovered in the first review record at pages 66-67 and 91-93, which the Minister considered in arriving at his decisions that underpin and are reflected in the impugned December 2017 notices, including:  </w:t>
      </w:r>
    </w:p>
    <w:p w:rsidR="0083009B" w:rsidRPr="00470A31" w:rsidRDefault="0083009B" w:rsidP="0083009B">
      <w:pPr>
        <w:spacing w:after="0" w:line="360" w:lineRule="auto"/>
        <w:jc w:val="both"/>
        <w:rPr>
          <w:rFonts w:ascii="Arial" w:hAnsi="Arial" w:cs="Arial"/>
        </w:rPr>
      </w:pPr>
    </w:p>
    <w:p w:rsidR="0083009B" w:rsidRDefault="00470A31" w:rsidP="0083009B">
      <w:pPr>
        <w:spacing w:after="0" w:line="360" w:lineRule="auto"/>
        <w:ind w:left="1418"/>
        <w:jc w:val="both"/>
        <w:rPr>
          <w:rFonts w:ascii="Arial" w:hAnsi="Arial" w:cs="Arial"/>
        </w:rPr>
      </w:pPr>
      <w:r w:rsidRPr="00470A31">
        <w:rPr>
          <w:rFonts w:ascii="Arial" w:hAnsi="Arial" w:cs="Arial"/>
        </w:rPr>
        <w:t>4.1</w:t>
      </w:r>
      <w:r w:rsidRPr="00470A31">
        <w:rPr>
          <w:rFonts w:ascii="Arial" w:hAnsi="Arial" w:cs="Arial"/>
        </w:rPr>
        <w:tab/>
        <w:t xml:space="preserve">the specific constitutional and legislative provisions (some by treaty) of the countries referred to; </w:t>
      </w:r>
    </w:p>
    <w:p w:rsidR="00470A31" w:rsidRPr="00470A31" w:rsidRDefault="00470A31" w:rsidP="0083009B">
      <w:pPr>
        <w:spacing w:after="0" w:line="360" w:lineRule="auto"/>
        <w:jc w:val="both"/>
        <w:rPr>
          <w:rFonts w:ascii="Arial" w:hAnsi="Arial" w:cs="Arial"/>
        </w:rPr>
      </w:pPr>
    </w:p>
    <w:p w:rsidR="00470A31" w:rsidRDefault="00470A31" w:rsidP="0083009B">
      <w:pPr>
        <w:spacing w:after="0" w:line="360" w:lineRule="auto"/>
        <w:ind w:left="1418"/>
        <w:jc w:val="both"/>
        <w:rPr>
          <w:rFonts w:ascii="Arial" w:hAnsi="Arial" w:cs="Arial"/>
        </w:rPr>
      </w:pPr>
      <w:r w:rsidRPr="00470A31">
        <w:rPr>
          <w:rFonts w:ascii="Arial" w:hAnsi="Arial" w:cs="Arial"/>
        </w:rPr>
        <w:t>4.2</w:t>
      </w:r>
      <w:r w:rsidRPr="00470A31">
        <w:rPr>
          <w:rFonts w:ascii="Arial" w:hAnsi="Arial" w:cs="Arial"/>
        </w:rPr>
        <w:tab/>
        <w:t xml:space="preserve">the specific documents containing commentary on the comparable constitutional and legislative provisions of the countries referred to;  </w:t>
      </w:r>
    </w:p>
    <w:p w:rsidR="0083009B" w:rsidRPr="00470A31" w:rsidRDefault="0083009B" w:rsidP="0083009B">
      <w:pPr>
        <w:spacing w:after="0" w:line="360" w:lineRule="auto"/>
        <w:ind w:left="1418"/>
        <w:jc w:val="both"/>
        <w:rPr>
          <w:rFonts w:ascii="Arial" w:hAnsi="Arial" w:cs="Arial"/>
        </w:rPr>
      </w:pPr>
    </w:p>
    <w:p w:rsidR="00470A31" w:rsidRDefault="00470A31" w:rsidP="0083009B">
      <w:pPr>
        <w:spacing w:after="0" w:line="360" w:lineRule="auto"/>
        <w:ind w:left="1418"/>
        <w:jc w:val="both"/>
        <w:rPr>
          <w:rFonts w:ascii="Arial" w:hAnsi="Arial" w:cs="Arial"/>
        </w:rPr>
      </w:pPr>
      <w:r w:rsidRPr="00470A31">
        <w:rPr>
          <w:rFonts w:ascii="Arial" w:hAnsi="Arial" w:cs="Arial"/>
        </w:rPr>
        <w:t>4.3</w:t>
      </w:r>
      <w:r w:rsidRPr="00470A31">
        <w:rPr>
          <w:rFonts w:ascii="Arial" w:hAnsi="Arial" w:cs="Arial"/>
        </w:rPr>
        <w:tab/>
        <w:t xml:space="preserve">the specific judgments from the countries referred to, dealing with review proceedings, where the provisions of the legislation were implemented by administrative decisions;  </w:t>
      </w:r>
    </w:p>
    <w:p w:rsidR="0083009B" w:rsidRPr="00470A31" w:rsidRDefault="0083009B" w:rsidP="0083009B">
      <w:pPr>
        <w:spacing w:after="0" w:line="360" w:lineRule="auto"/>
        <w:ind w:left="1418"/>
        <w:jc w:val="both"/>
        <w:rPr>
          <w:rFonts w:ascii="Arial" w:hAnsi="Arial" w:cs="Arial"/>
        </w:rPr>
      </w:pPr>
    </w:p>
    <w:p w:rsidR="00470A31" w:rsidRDefault="00470A31" w:rsidP="0083009B">
      <w:pPr>
        <w:spacing w:after="0" w:line="360" w:lineRule="auto"/>
        <w:ind w:left="1418"/>
        <w:jc w:val="both"/>
        <w:rPr>
          <w:rFonts w:ascii="Arial" w:hAnsi="Arial" w:cs="Arial"/>
        </w:rPr>
      </w:pPr>
      <w:r w:rsidRPr="00470A31">
        <w:rPr>
          <w:rFonts w:ascii="Arial" w:hAnsi="Arial" w:cs="Arial"/>
        </w:rPr>
        <w:lastRenderedPageBreak/>
        <w:t>4.4</w:t>
      </w:r>
      <w:r w:rsidRPr="00470A31">
        <w:rPr>
          <w:rFonts w:ascii="Arial" w:hAnsi="Arial" w:cs="Arial"/>
        </w:rPr>
        <w:tab/>
        <w:t xml:space="preserve">the specific judgments from the countries referred to where the legislative provisions were constitutionally attacked;  </w:t>
      </w:r>
    </w:p>
    <w:p w:rsidR="0083009B" w:rsidRPr="00470A31" w:rsidRDefault="0083009B" w:rsidP="0083009B">
      <w:pPr>
        <w:spacing w:after="0" w:line="360" w:lineRule="auto"/>
        <w:ind w:left="1418"/>
        <w:jc w:val="both"/>
        <w:rPr>
          <w:rFonts w:ascii="Arial" w:hAnsi="Arial" w:cs="Arial"/>
        </w:rPr>
      </w:pPr>
    </w:p>
    <w:p w:rsidR="00470A31" w:rsidRPr="00470A31" w:rsidRDefault="00470A31" w:rsidP="0083009B">
      <w:pPr>
        <w:spacing w:after="0" w:line="360" w:lineRule="auto"/>
        <w:ind w:left="1418"/>
        <w:jc w:val="both"/>
        <w:rPr>
          <w:rFonts w:ascii="Arial" w:hAnsi="Arial" w:cs="Arial"/>
        </w:rPr>
      </w:pPr>
      <w:r w:rsidRPr="00470A31">
        <w:rPr>
          <w:rFonts w:ascii="Arial" w:hAnsi="Arial" w:cs="Arial"/>
        </w:rPr>
        <w:t>4.5</w:t>
      </w:r>
      <w:r w:rsidRPr="00470A31">
        <w:rPr>
          <w:rFonts w:ascii="Arial" w:hAnsi="Arial" w:cs="Arial"/>
        </w:rPr>
        <w:tab/>
        <w:t xml:space="preserve">the regulatory impact analyses or cost benefit analyses in respect of the allegedly comparable dispensations in any of the countries referred to;  </w:t>
      </w:r>
    </w:p>
    <w:p w:rsidR="00470A31" w:rsidRPr="00470A31" w:rsidRDefault="00470A31" w:rsidP="0083009B">
      <w:pPr>
        <w:spacing w:after="0" w:line="360" w:lineRule="auto"/>
        <w:ind w:left="1418"/>
        <w:jc w:val="both"/>
        <w:rPr>
          <w:rFonts w:ascii="Arial" w:hAnsi="Arial" w:cs="Arial"/>
        </w:rPr>
      </w:pPr>
    </w:p>
    <w:p w:rsidR="00470A31" w:rsidRDefault="00470A31" w:rsidP="0083009B">
      <w:pPr>
        <w:spacing w:after="0" w:line="360" w:lineRule="auto"/>
        <w:ind w:left="1418"/>
        <w:jc w:val="both"/>
        <w:rPr>
          <w:rFonts w:ascii="Arial" w:hAnsi="Arial" w:cs="Arial"/>
        </w:rPr>
      </w:pPr>
      <w:r w:rsidRPr="00470A31">
        <w:rPr>
          <w:rFonts w:ascii="Arial" w:hAnsi="Arial" w:cs="Arial"/>
        </w:rPr>
        <w:t>4.6</w:t>
      </w:r>
      <w:r w:rsidRPr="00470A31">
        <w:rPr>
          <w:rFonts w:ascii="Arial" w:hAnsi="Arial" w:cs="Arial"/>
        </w:rPr>
        <w:tab/>
        <w:t xml:space="preserve">the feasibility study reports in respect of the allegedly comparable dispensations in any of the countries referred to;  </w:t>
      </w:r>
    </w:p>
    <w:p w:rsidR="0083009B" w:rsidRPr="00470A31" w:rsidRDefault="0083009B" w:rsidP="0083009B">
      <w:pPr>
        <w:spacing w:after="0" w:line="360" w:lineRule="auto"/>
        <w:ind w:left="1418"/>
        <w:jc w:val="both"/>
        <w:rPr>
          <w:rFonts w:ascii="Arial" w:hAnsi="Arial" w:cs="Arial"/>
        </w:rPr>
      </w:pPr>
    </w:p>
    <w:p w:rsidR="00470A31" w:rsidRDefault="00470A31" w:rsidP="0083009B">
      <w:pPr>
        <w:spacing w:after="0" w:line="360" w:lineRule="auto"/>
        <w:ind w:left="1418"/>
        <w:jc w:val="both"/>
        <w:rPr>
          <w:rFonts w:ascii="Arial" w:hAnsi="Arial" w:cs="Arial"/>
        </w:rPr>
      </w:pPr>
      <w:r w:rsidRPr="00470A31">
        <w:rPr>
          <w:rFonts w:ascii="Arial" w:hAnsi="Arial" w:cs="Arial"/>
        </w:rPr>
        <w:t>4.7</w:t>
      </w:r>
      <w:r w:rsidRPr="00470A31">
        <w:rPr>
          <w:rFonts w:ascii="Arial" w:hAnsi="Arial" w:cs="Arial"/>
        </w:rPr>
        <w:tab/>
        <w:t xml:space="preserve">the actuarial reports in respect of the allegedly comparable dispensations in any of the countries referred to;  </w:t>
      </w:r>
    </w:p>
    <w:p w:rsidR="0083009B" w:rsidRPr="00470A31" w:rsidRDefault="0083009B" w:rsidP="0083009B">
      <w:pPr>
        <w:spacing w:after="0" w:line="360" w:lineRule="auto"/>
        <w:ind w:left="1418"/>
        <w:jc w:val="both"/>
        <w:rPr>
          <w:rFonts w:ascii="Arial" w:hAnsi="Arial" w:cs="Arial"/>
        </w:rPr>
      </w:pPr>
    </w:p>
    <w:p w:rsidR="00470A31" w:rsidRDefault="00470A31" w:rsidP="0083009B">
      <w:pPr>
        <w:spacing w:after="0" w:line="360" w:lineRule="auto"/>
        <w:ind w:left="1418"/>
        <w:jc w:val="both"/>
        <w:rPr>
          <w:rFonts w:ascii="Arial" w:hAnsi="Arial" w:cs="Arial"/>
        </w:rPr>
      </w:pPr>
      <w:r w:rsidRPr="00470A31">
        <w:rPr>
          <w:rFonts w:ascii="Arial" w:hAnsi="Arial" w:cs="Arial"/>
        </w:rPr>
        <w:t>4.8</w:t>
      </w:r>
      <w:r w:rsidRPr="00470A31">
        <w:rPr>
          <w:rFonts w:ascii="Arial" w:hAnsi="Arial" w:cs="Arial"/>
        </w:rPr>
        <w:tab/>
        <w:t>the documents reflecting or comparing the stage of development and maturity of the Namibian insurance market on the one hand, and the insurance markets of each of the relevant countries on the other, with respect to local retentions; and</w:t>
      </w:r>
    </w:p>
    <w:p w:rsidR="0083009B" w:rsidRPr="00470A31" w:rsidRDefault="0083009B" w:rsidP="0083009B">
      <w:pPr>
        <w:spacing w:after="0" w:line="360" w:lineRule="auto"/>
        <w:ind w:left="1418"/>
        <w:jc w:val="both"/>
        <w:rPr>
          <w:rFonts w:ascii="Arial" w:hAnsi="Arial" w:cs="Arial"/>
        </w:rPr>
      </w:pPr>
    </w:p>
    <w:p w:rsidR="00470A31" w:rsidRDefault="00470A31" w:rsidP="0083009B">
      <w:pPr>
        <w:spacing w:after="0" w:line="360" w:lineRule="auto"/>
        <w:ind w:left="1418"/>
        <w:jc w:val="both"/>
        <w:rPr>
          <w:rFonts w:ascii="Arial" w:hAnsi="Arial" w:cs="Arial"/>
        </w:rPr>
      </w:pPr>
      <w:r w:rsidRPr="00470A31">
        <w:rPr>
          <w:rFonts w:ascii="Arial" w:hAnsi="Arial" w:cs="Arial"/>
        </w:rPr>
        <w:t>4.9</w:t>
      </w:r>
      <w:r w:rsidRPr="00470A31">
        <w:rPr>
          <w:rFonts w:ascii="Arial" w:hAnsi="Arial" w:cs="Arial"/>
        </w:rPr>
        <w:tab/>
        <w:t xml:space="preserve">the micro and macro-economic impact study reports (on consumers, the insurance industries, and the broader economies of the countries referred to).  </w:t>
      </w:r>
    </w:p>
    <w:p w:rsidR="0083009B" w:rsidRPr="00470A31" w:rsidRDefault="0083009B" w:rsidP="0083009B">
      <w:pPr>
        <w:spacing w:after="0" w:line="360" w:lineRule="auto"/>
        <w:ind w:left="1418"/>
        <w:jc w:val="both"/>
        <w:rPr>
          <w:rFonts w:ascii="Arial" w:hAnsi="Arial" w:cs="Arial"/>
        </w:rPr>
      </w:pPr>
    </w:p>
    <w:p w:rsidR="00470A31" w:rsidRDefault="00470A31" w:rsidP="0083009B">
      <w:pPr>
        <w:spacing w:after="0" w:line="360" w:lineRule="auto"/>
        <w:jc w:val="both"/>
        <w:rPr>
          <w:rFonts w:ascii="Arial" w:hAnsi="Arial" w:cs="Arial"/>
        </w:rPr>
      </w:pPr>
      <w:r w:rsidRPr="00470A31">
        <w:rPr>
          <w:rFonts w:ascii="Arial" w:hAnsi="Arial" w:cs="Arial"/>
        </w:rPr>
        <w:t>13.</w:t>
      </w:r>
      <w:r w:rsidRPr="00470A31">
        <w:rPr>
          <w:rFonts w:ascii="Arial" w:hAnsi="Arial" w:cs="Arial"/>
        </w:rPr>
        <w:tab/>
        <w:t xml:space="preserve">The documents referred to at 91 of the first review record that are not publicly available, namely:  </w:t>
      </w:r>
    </w:p>
    <w:p w:rsidR="0083009B" w:rsidRPr="00470A31" w:rsidRDefault="0083009B" w:rsidP="0083009B">
      <w:pPr>
        <w:spacing w:after="0" w:line="360" w:lineRule="auto"/>
        <w:jc w:val="both"/>
        <w:rPr>
          <w:rFonts w:ascii="Arial" w:hAnsi="Arial" w:cs="Arial"/>
        </w:rPr>
      </w:pPr>
    </w:p>
    <w:p w:rsidR="00470A31" w:rsidRDefault="00470A31" w:rsidP="0083009B">
      <w:pPr>
        <w:spacing w:after="0" w:line="360" w:lineRule="auto"/>
        <w:ind w:left="709"/>
        <w:jc w:val="both"/>
        <w:rPr>
          <w:rFonts w:ascii="Arial" w:hAnsi="Arial" w:cs="Arial"/>
        </w:rPr>
      </w:pPr>
      <w:r w:rsidRPr="00470A31">
        <w:rPr>
          <w:rFonts w:ascii="Arial" w:hAnsi="Arial" w:cs="Arial"/>
        </w:rPr>
        <w:t>13.1</w:t>
      </w:r>
      <w:r w:rsidRPr="00470A31">
        <w:rPr>
          <w:rFonts w:ascii="Arial" w:hAnsi="Arial" w:cs="Arial"/>
        </w:rPr>
        <w:tab/>
        <w:t xml:space="preserve">NamibRe’s Actuarial Valentine’s s for 2014, 2015 and 2016; and </w:t>
      </w:r>
    </w:p>
    <w:p w:rsidR="0083009B" w:rsidRPr="00470A31" w:rsidRDefault="0083009B" w:rsidP="0083009B">
      <w:pPr>
        <w:spacing w:after="0" w:line="360" w:lineRule="auto"/>
        <w:ind w:left="709"/>
        <w:jc w:val="both"/>
        <w:rPr>
          <w:rFonts w:ascii="Arial" w:hAnsi="Arial" w:cs="Arial"/>
        </w:rPr>
      </w:pPr>
    </w:p>
    <w:p w:rsidR="00470A31" w:rsidRDefault="00470A31" w:rsidP="006C3771">
      <w:pPr>
        <w:spacing w:after="0" w:line="360" w:lineRule="auto"/>
        <w:ind w:left="709"/>
        <w:jc w:val="both"/>
        <w:rPr>
          <w:rFonts w:ascii="Arial" w:hAnsi="Arial" w:cs="Arial"/>
        </w:rPr>
      </w:pPr>
      <w:r w:rsidRPr="00470A31">
        <w:rPr>
          <w:rFonts w:ascii="Arial" w:hAnsi="Arial" w:cs="Arial"/>
        </w:rPr>
        <w:t>13.2</w:t>
      </w:r>
      <w:r w:rsidRPr="00470A31">
        <w:rPr>
          <w:rFonts w:ascii="Arial" w:hAnsi="Arial" w:cs="Arial"/>
        </w:rPr>
        <w:tab/>
        <w:t>The “various other internal documents provided by the Corpo</w:t>
      </w:r>
      <w:r w:rsidR="00B369CD">
        <w:rPr>
          <w:rFonts w:ascii="Arial" w:hAnsi="Arial" w:cs="Arial"/>
        </w:rPr>
        <w:t xml:space="preserve">ration.” </w:t>
      </w:r>
    </w:p>
    <w:p w:rsidR="006C3771" w:rsidRPr="00470A31" w:rsidRDefault="006C3771" w:rsidP="006C3771">
      <w:pPr>
        <w:spacing w:after="0" w:line="360" w:lineRule="auto"/>
        <w:ind w:left="709"/>
        <w:jc w:val="both"/>
        <w:rPr>
          <w:rFonts w:ascii="Arial" w:hAnsi="Arial" w:cs="Arial"/>
        </w:rPr>
      </w:pPr>
    </w:p>
    <w:p w:rsidR="006C3771" w:rsidRDefault="004E3F22" w:rsidP="006C3771">
      <w:pPr>
        <w:pStyle w:val="Heading1"/>
        <w:spacing w:before="0" w:after="0" w:line="360" w:lineRule="auto"/>
        <w:jc w:val="both"/>
        <w:rPr>
          <w:rFonts w:ascii="Arial" w:hAnsi="Arial" w:cs="Arial"/>
          <w:b w:val="0"/>
          <w:sz w:val="22"/>
          <w:szCs w:val="22"/>
        </w:rPr>
      </w:pPr>
      <w:r>
        <w:rPr>
          <w:rFonts w:ascii="Arial" w:hAnsi="Arial" w:cs="Arial"/>
          <w:b w:val="0"/>
          <w:sz w:val="22"/>
          <w:szCs w:val="22"/>
        </w:rPr>
        <w:t xml:space="preserve">28. </w:t>
      </w:r>
      <w:r w:rsidR="00470A31" w:rsidRPr="00470A31">
        <w:rPr>
          <w:rFonts w:ascii="Arial" w:hAnsi="Arial" w:cs="Arial"/>
          <w:b w:val="0"/>
          <w:sz w:val="22"/>
          <w:szCs w:val="22"/>
        </w:rPr>
        <w:t>At paragraphs 9, 10 and 19, the Minister acknowledged that the documents were referenced in the material before him, but declined to produce them.  The Minister neither claimed that the documents were irrelevant, and could obviously not, nor that the documents were confidential.  He simply asserted that the applicants “are not entitled to require me to produce it, in terms of rule 76(6), or otherwise.”</w:t>
      </w:r>
    </w:p>
    <w:p w:rsidR="00470A31" w:rsidRPr="00470A31" w:rsidRDefault="00470A31" w:rsidP="006C3771">
      <w:pPr>
        <w:pStyle w:val="Heading1"/>
        <w:spacing w:before="0" w:after="0" w:line="360" w:lineRule="auto"/>
        <w:jc w:val="both"/>
        <w:rPr>
          <w:rFonts w:ascii="Arial" w:hAnsi="Arial" w:cs="Arial"/>
          <w:b w:val="0"/>
          <w:sz w:val="22"/>
          <w:szCs w:val="22"/>
        </w:rPr>
      </w:pPr>
      <w:r w:rsidRPr="00470A31">
        <w:rPr>
          <w:rFonts w:ascii="Arial" w:hAnsi="Arial" w:cs="Arial"/>
          <w:b w:val="0"/>
          <w:sz w:val="22"/>
          <w:szCs w:val="22"/>
        </w:rPr>
        <w:t xml:space="preserve"> </w:t>
      </w:r>
    </w:p>
    <w:p w:rsidR="006C3771" w:rsidRDefault="004E3F22" w:rsidP="006C3771">
      <w:pPr>
        <w:pStyle w:val="Heading1"/>
        <w:spacing w:before="0" w:after="0" w:line="360" w:lineRule="auto"/>
        <w:jc w:val="both"/>
        <w:rPr>
          <w:rFonts w:ascii="Arial" w:hAnsi="Arial" w:cs="Arial"/>
          <w:b w:val="0"/>
          <w:sz w:val="22"/>
          <w:szCs w:val="22"/>
        </w:rPr>
      </w:pPr>
      <w:r>
        <w:rPr>
          <w:rFonts w:ascii="Arial" w:hAnsi="Arial" w:cs="Arial"/>
          <w:b w:val="0"/>
          <w:sz w:val="22"/>
          <w:szCs w:val="22"/>
        </w:rPr>
        <w:t xml:space="preserve">29. </w:t>
      </w:r>
      <w:r w:rsidR="00470A31" w:rsidRPr="00470A31">
        <w:rPr>
          <w:rFonts w:ascii="Arial" w:hAnsi="Arial" w:cs="Arial"/>
          <w:b w:val="0"/>
          <w:sz w:val="22"/>
          <w:szCs w:val="22"/>
        </w:rPr>
        <w:t xml:space="preserve">We submit the Minister “has misconceived the principles upon which” his affidavit in response to the rule 76(6) notice should have been made.  This response does not accord with the applicable test, which shows that, if documents were referenced in the material before </w:t>
      </w:r>
      <w:r w:rsidR="00470A31" w:rsidRPr="00470A31">
        <w:rPr>
          <w:rFonts w:ascii="Arial" w:hAnsi="Arial" w:cs="Arial"/>
          <w:b w:val="0"/>
          <w:sz w:val="22"/>
          <w:szCs w:val="22"/>
        </w:rPr>
        <w:lastRenderedPageBreak/>
        <w:t xml:space="preserve">him (as the Minister himself acknowledged) then this should be made available as part of the record.  </w:t>
      </w:r>
    </w:p>
    <w:p w:rsidR="006C3771" w:rsidRPr="006C3771" w:rsidRDefault="006C3771" w:rsidP="006C3771">
      <w:pPr>
        <w:spacing w:after="0" w:line="360" w:lineRule="auto"/>
      </w:pPr>
    </w:p>
    <w:p w:rsidR="006C3771" w:rsidRDefault="004E3F22" w:rsidP="006C3771">
      <w:pPr>
        <w:pStyle w:val="Heading1"/>
        <w:spacing w:before="0" w:after="0" w:line="360" w:lineRule="auto"/>
        <w:jc w:val="both"/>
        <w:rPr>
          <w:rFonts w:ascii="Arial" w:hAnsi="Arial" w:cs="Arial"/>
          <w:b w:val="0"/>
          <w:sz w:val="22"/>
          <w:szCs w:val="22"/>
        </w:rPr>
      </w:pPr>
      <w:r>
        <w:rPr>
          <w:rFonts w:ascii="Arial" w:hAnsi="Arial" w:cs="Arial"/>
          <w:b w:val="0"/>
          <w:sz w:val="22"/>
          <w:szCs w:val="22"/>
        </w:rPr>
        <w:t xml:space="preserve">30. </w:t>
      </w:r>
      <w:r w:rsidR="00470A31" w:rsidRPr="00470A31">
        <w:rPr>
          <w:rFonts w:ascii="Arial" w:hAnsi="Arial" w:cs="Arial"/>
          <w:b w:val="0"/>
          <w:sz w:val="22"/>
          <w:szCs w:val="22"/>
        </w:rPr>
        <w:t>The Minister is also obliged to produce the documents which he had the power to call for, if he does not have them or did not have them.</w:t>
      </w:r>
      <w:r w:rsidR="00470A31" w:rsidRPr="00470A31">
        <w:rPr>
          <w:rStyle w:val="FootnoteReference"/>
          <w:rFonts w:ascii="Arial" w:hAnsi="Arial" w:cs="Arial"/>
          <w:b w:val="0"/>
          <w:sz w:val="22"/>
          <w:szCs w:val="22"/>
        </w:rPr>
        <w:footnoteReference w:id="76"/>
      </w:r>
      <w:r w:rsidR="00470A31" w:rsidRPr="00470A31">
        <w:rPr>
          <w:rFonts w:ascii="Arial" w:hAnsi="Arial" w:cs="Arial"/>
          <w:b w:val="0"/>
          <w:sz w:val="22"/>
          <w:szCs w:val="22"/>
        </w:rPr>
        <w:t xml:space="preserve">  There can be no question that it was and remains within the Minister’s power to request the documents from the parties who made the submissions to him and which submissions be, on his own version, considered.  Documents which underlie these submi</w:t>
      </w:r>
      <w:r w:rsidR="006C3771">
        <w:rPr>
          <w:rFonts w:ascii="Arial" w:hAnsi="Arial" w:cs="Arial"/>
          <w:b w:val="0"/>
          <w:sz w:val="22"/>
          <w:szCs w:val="22"/>
        </w:rPr>
        <w:t>ssions form part of the record.’</w:t>
      </w:r>
    </w:p>
    <w:p w:rsidR="00470A31" w:rsidRPr="00470A31" w:rsidRDefault="00470A31" w:rsidP="006C3771">
      <w:pPr>
        <w:pStyle w:val="Heading1"/>
        <w:spacing w:before="0" w:after="0" w:line="360" w:lineRule="auto"/>
        <w:jc w:val="both"/>
        <w:rPr>
          <w:rFonts w:ascii="Arial" w:hAnsi="Arial" w:cs="Arial"/>
          <w:b w:val="0"/>
          <w:sz w:val="22"/>
          <w:szCs w:val="22"/>
        </w:rPr>
      </w:pPr>
      <w:r w:rsidRPr="00470A31">
        <w:rPr>
          <w:rFonts w:ascii="Arial" w:hAnsi="Arial" w:cs="Arial"/>
          <w:b w:val="0"/>
          <w:sz w:val="22"/>
          <w:szCs w:val="22"/>
        </w:rPr>
        <w:t xml:space="preserve"> </w:t>
      </w:r>
    </w:p>
    <w:p w:rsidR="00470A31" w:rsidRPr="00470A31" w:rsidRDefault="004E3F22" w:rsidP="006C3771">
      <w:pPr>
        <w:pStyle w:val="Heading1"/>
        <w:spacing w:before="0" w:after="0" w:line="360" w:lineRule="auto"/>
        <w:jc w:val="both"/>
        <w:rPr>
          <w:rFonts w:ascii="Arial" w:hAnsi="Arial" w:cs="Arial"/>
          <w:b w:val="0"/>
          <w:sz w:val="22"/>
          <w:szCs w:val="22"/>
        </w:rPr>
      </w:pPr>
      <w:r>
        <w:rPr>
          <w:rFonts w:ascii="Arial" w:hAnsi="Arial" w:cs="Arial"/>
          <w:b w:val="0"/>
          <w:sz w:val="22"/>
          <w:szCs w:val="22"/>
        </w:rPr>
        <w:t xml:space="preserve">31. </w:t>
      </w:r>
      <w:r w:rsidR="00470A31" w:rsidRPr="00470A31">
        <w:rPr>
          <w:rFonts w:ascii="Arial" w:hAnsi="Arial" w:cs="Arial"/>
          <w:b w:val="0"/>
          <w:sz w:val="22"/>
          <w:szCs w:val="22"/>
        </w:rPr>
        <w:t>In the premises we respectfully submit that an order directing the Minister to produce the documents sought in paragraphs 4 and 13 of the applicants’ rule 76(6) notice should be granted.</w:t>
      </w:r>
      <w:r w:rsidR="006C3771">
        <w:rPr>
          <w:rFonts w:ascii="Arial" w:hAnsi="Arial" w:cs="Arial"/>
          <w:b w:val="0"/>
          <w:sz w:val="22"/>
          <w:szCs w:val="22"/>
        </w:rPr>
        <w:t>’</w:t>
      </w:r>
      <w:r w:rsidR="00470A31" w:rsidRPr="00470A31">
        <w:rPr>
          <w:rFonts w:ascii="Arial" w:hAnsi="Arial" w:cs="Arial"/>
          <w:b w:val="0"/>
          <w:sz w:val="22"/>
          <w:szCs w:val="22"/>
        </w:rPr>
        <w:t xml:space="preserve">  </w:t>
      </w:r>
    </w:p>
    <w:p w:rsidR="00470A31" w:rsidRDefault="00470A31" w:rsidP="006C3771">
      <w:pPr>
        <w:pStyle w:val="ListParagraph"/>
        <w:spacing w:line="360" w:lineRule="auto"/>
        <w:ind w:left="0"/>
        <w:jc w:val="both"/>
        <w:rPr>
          <w:rFonts w:cs="Arial"/>
        </w:rPr>
      </w:pPr>
    </w:p>
    <w:p w:rsidR="00A24E64" w:rsidRDefault="004E3F22" w:rsidP="006C3771">
      <w:pPr>
        <w:pStyle w:val="ListParagraph"/>
        <w:spacing w:line="360" w:lineRule="auto"/>
        <w:ind w:left="0"/>
        <w:jc w:val="both"/>
        <w:rPr>
          <w:rFonts w:cs="Arial"/>
        </w:rPr>
      </w:pPr>
      <w:r w:rsidRPr="006C3771">
        <w:rPr>
          <w:rFonts w:cs="Arial"/>
        </w:rPr>
        <w:t>[</w:t>
      </w:r>
      <w:r w:rsidR="006C3771" w:rsidRPr="006C3771">
        <w:rPr>
          <w:rFonts w:cs="Arial"/>
        </w:rPr>
        <w:t>2</w:t>
      </w:r>
      <w:r w:rsidR="00AC5F89">
        <w:rPr>
          <w:rFonts w:cs="Arial"/>
        </w:rPr>
        <w:t>9</w:t>
      </w:r>
      <w:r w:rsidR="006C3771">
        <w:rPr>
          <w:rFonts w:cs="Arial"/>
        </w:rPr>
        <w:t>]</w:t>
      </w:r>
      <w:r w:rsidR="006C3771">
        <w:rPr>
          <w:rFonts w:cs="Arial"/>
        </w:rPr>
        <w:tab/>
      </w:r>
      <w:r w:rsidRPr="006C3771">
        <w:rPr>
          <w:rFonts w:cs="Arial"/>
        </w:rPr>
        <w:t>The Minister’s opposition to the production of this category of documents was motivated as follows:</w:t>
      </w:r>
    </w:p>
    <w:p w:rsidR="00487158" w:rsidRPr="006C3771" w:rsidRDefault="00487158" w:rsidP="006C3771">
      <w:pPr>
        <w:pStyle w:val="ListParagraph"/>
        <w:spacing w:line="360" w:lineRule="auto"/>
        <w:ind w:left="0"/>
        <w:jc w:val="both"/>
        <w:rPr>
          <w:rFonts w:cs="Arial"/>
        </w:rPr>
      </w:pPr>
    </w:p>
    <w:p w:rsidR="004E3F22" w:rsidRDefault="004E3F22" w:rsidP="006C3771">
      <w:pPr>
        <w:spacing w:after="0" w:line="360" w:lineRule="auto"/>
        <w:ind w:firstLine="720"/>
        <w:jc w:val="both"/>
        <w:rPr>
          <w:rFonts w:ascii="Arial" w:hAnsi="Arial" w:cs="Arial"/>
          <w:bCs/>
          <w:i/>
          <w:color w:val="000000" w:themeColor="text1"/>
          <w:sz w:val="24"/>
          <w:szCs w:val="24"/>
        </w:rPr>
      </w:pPr>
      <w:r w:rsidRPr="006C3771">
        <w:rPr>
          <w:rFonts w:ascii="Arial" w:hAnsi="Arial" w:cs="Arial"/>
          <w:bCs/>
          <w:i/>
          <w:color w:val="000000" w:themeColor="text1"/>
          <w:sz w:val="24"/>
          <w:szCs w:val="24"/>
          <w:u w:val="single"/>
        </w:rPr>
        <w:t>‘Paragraphs 1.4 and 1.12:</w:t>
      </w:r>
      <w:r w:rsidRPr="006C3771">
        <w:rPr>
          <w:rFonts w:ascii="Arial" w:hAnsi="Arial" w:cs="Arial"/>
          <w:bCs/>
          <w:i/>
          <w:color w:val="000000" w:themeColor="text1"/>
          <w:sz w:val="24"/>
          <w:szCs w:val="24"/>
        </w:rPr>
        <w:t xml:space="preserve"> Documents in NamibRe’s submissions</w:t>
      </w:r>
    </w:p>
    <w:p w:rsidR="00487158" w:rsidRPr="006C3771" w:rsidRDefault="00487158" w:rsidP="006C3771">
      <w:pPr>
        <w:spacing w:after="0" w:line="360" w:lineRule="auto"/>
        <w:ind w:firstLine="720"/>
        <w:jc w:val="both"/>
        <w:rPr>
          <w:rFonts w:ascii="Arial" w:hAnsi="Arial" w:cs="Arial"/>
          <w:bCs/>
          <w:i/>
          <w:color w:val="000000" w:themeColor="text1"/>
          <w:sz w:val="24"/>
          <w:szCs w:val="24"/>
        </w:rPr>
      </w:pPr>
    </w:p>
    <w:p w:rsidR="00487158" w:rsidRPr="00487158" w:rsidRDefault="004E3F22" w:rsidP="006C3771">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The applicants demand that the Minister produce a shopping list of documents pertaining to </w:t>
      </w:r>
      <w:r w:rsidRPr="00487158">
        <w:rPr>
          <w:rFonts w:cs="Arial"/>
          <w:i/>
          <w:color w:val="000000" w:themeColor="text1"/>
          <w:sz w:val="22"/>
          <w:szCs w:val="22"/>
        </w:rPr>
        <w:t>“African countries with allegedly similar or comparable compulsory reinsurance dispensations, namely Ghana, Kenya, Tanzania and Morocco and those countries referred to in the footnotes of the NamibRe submission discovered in the first review record … and which [the Minister] considered in arriving at his decisions that underpin and are reflected in the impugned December 2017 notices…”.</w:t>
      </w:r>
      <w:r w:rsidRPr="00487158">
        <w:rPr>
          <w:rStyle w:val="FootnoteReference"/>
          <w:rFonts w:cs="Arial"/>
          <w:i/>
          <w:color w:val="000000" w:themeColor="text1"/>
          <w:sz w:val="22"/>
          <w:szCs w:val="22"/>
        </w:rPr>
        <w:footnoteReference w:id="77"/>
      </w:r>
    </w:p>
    <w:p w:rsidR="004E3F22" w:rsidRPr="00487158" w:rsidRDefault="004E3F22" w:rsidP="00487158">
      <w:pPr>
        <w:pStyle w:val="ListParagraph"/>
        <w:widowControl/>
        <w:autoSpaceDE/>
        <w:autoSpaceDN/>
        <w:adjustRightInd/>
        <w:spacing w:line="360" w:lineRule="auto"/>
        <w:ind w:left="0"/>
        <w:jc w:val="both"/>
        <w:rPr>
          <w:rFonts w:cs="Arial"/>
          <w:i/>
          <w:color w:val="000000" w:themeColor="text1"/>
          <w:sz w:val="22"/>
          <w:szCs w:val="22"/>
        </w:rPr>
      </w:pPr>
      <w:r w:rsidRPr="00487158">
        <w:rPr>
          <w:rFonts w:cs="Arial"/>
          <w:i/>
          <w:color w:val="000000" w:themeColor="text1"/>
          <w:sz w:val="22"/>
          <w:szCs w:val="22"/>
        </w:rPr>
        <w:t xml:space="preserve">  </w:t>
      </w: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This is followed by no less than nine sub-categories of documentation which include:</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t>“specific constitutional and legislative provisions”</w:t>
      </w:r>
      <w:r w:rsidRPr="00487158">
        <w:rPr>
          <w:rFonts w:cs="Arial"/>
          <w:iCs/>
          <w:color w:val="000000" w:themeColor="text1"/>
          <w:sz w:val="22"/>
          <w:szCs w:val="22"/>
        </w:rPr>
        <w:t xml:space="preserve"> (and </w:t>
      </w:r>
      <w:r w:rsidRPr="00487158">
        <w:rPr>
          <w:rFonts w:cs="Arial"/>
          <w:i/>
          <w:color w:val="000000" w:themeColor="text1"/>
          <w:sz w:val="22"/>
          <w:szCs w:val="22"/>
        </w:rPr>
        <w:t>“commentary”</w:t>
      </w:r>
      <w:r w:rsidRPr="00487158">
        <w:rPr>
          <w:rFonts w:cs="Arial"/>
          <w:iCs/>
          <w:color w:val="000000" w:themeColor="text1"/>
          <w:sz w:val="22"/>
          <w:szCs w:val="22"/>
        </w:rPr>
        <w:t xml:space="preserve"> on those provisions); </w:t>
      </w:r>
    </w:p>
    <w:p w:rsidR="00487158" w:rsidRPr="00487158" w:rsidRDefault="00487158" w:rsidP="00487158">
      <w:pPr>
        <w:pStyle w:val="ListParagraph"/>
        <w:widowControl/>
        <w:autoSpaceDE/>
        <w:autoSpaceDN/>
        <w:adjustRightInd/>
        <w:spacing w:line="360" w:lineRule="auto"/>
        <w:ind w:left="709"/>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t>“specific judgments from the countries referred to, dealing with review proceedings, where the provisions of the legislation were implemented by administrative decisions”</w:t>
      </w:r>
      <w:r w:rsidRPr="00487158">
        <w:rPr>
          <w:rFonts w:cs="Arial"/>
          <w:iCs/>
          <w:color w:val="000000" w:themeColor="text1"/>
          <w:sz w:val="22"/>
          <w:szCs w:val="22"/>
        </w:rPr>
        <w:t xml:space="preserve">; </w:t>
      </w:r>
    </w:p>
    <w:p w:rsidR="00487158" w:rsidRPr="00487158" w:rsidRDefault="00487158" w:rsidP="00487158">
      <w:pPr>
        <w:pStyle w:val="ListParagraph"/>
        <w:spacing w:line="360" w:lineRule="auto"/>
        <w:rPr>
          <w:rFonts w:cs="Arial"/>
          <w:i/>
          <w:color w:val="000000" w:themeColor="text1"/>
          <w:sz w:val="22"/>
          <w:szCs w:val="22"/>
        </w:rPr>
      </w:pP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lastRenderedPageBreak/>
        <w:t>“judgments from the countries referred to where the legislative provisions were constitutionally attacked”</w:t>
      </w:r>
      <w:r w:rsidRPr="00487158">
        <w:rPr>
          <w:rFonts w:cs="Arial"/>
          <w:iCs/>
          <w:color w:val="000000" w:themeColor="text1"/>
          <w:sz w:val="22"/>
          <w:szCs w:val="22"/>
        </w:rPr>
        <w:t xml:space="preserve">; </w:t>
      </w:r>
    </w:p>
    <w:p w:rsidR="00487158" w:rsidRPr="00487158" w:rsidRDefault="00487158" w:rsidP="00487158">
      <w:pPr>
        <w:pStyle w:val="ListParagraph"/>
        <w:widowControl/>
        <w:autoSpaceDE/>
        <w:autoSpaceDN/>
        <w:adjustRightInd/>
        <w:spacing w:line="360" w:lineRule="auto"/>
        <w:ind w:left="709"/>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t xml:space="preserve">“regulatory impact analyses or cost benefit analyses…”; </w:t>
      </w:r>
    </w:p>
    <w:p w:rsidR="00487158" w:rsidRPr="00487158" w:rsidRDefault="00487158" w:rsidP="00487158">
      <w:pPr>
        <w:pStyle w:val="ListParagraph"/>
        <w:widowControl/>
        <w:autoSpaceDE/>
        <w:autoSpaceDN/>
        <w:adjustRightInd/>
        <w:spacing w:line="360" w:lineRule="auto"/>
        <w:ind w:left="709"/>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t>“feasibility study reports”</w:t>
      </w:r>
      <w:r w:rsidRPr="00487158">
        <w:rPr>
          <w:rFonts w:cs="Arial"/>
          <w:iCs/>
          <w:color w:val="000000" w:themeColor="text1"/>
          <w:sz w:val="22"/>
          <w:szCs w:val="22"/>
        </w:rPr>
        <w:t xml:space="preserve">; </w:t>
      </w:r>
    </w:p>
    <w:p w:rsidR="00487158" w:rsidRPr="00487158" w:rsidRDefault="00487158" w:rsidP="00487158">
      <w:pPr>
        <w:pStyle w:val="ListParagraph"/>
        <w:widowControl/>
        <w:autoSpaceDE/>
        <w:autoSpaceDN/>
        <w:adjustRightInd/>
        <w:spacing w:line="360" w:lineRule="auto"/>
        <w:ind w:left="709"/>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t>“actuarial reports”</w:t>
      </w:r>
      <w:r w:rsidRPr="00487158">
        <w:rPr>
          <w:rFonts w:cs="Arial"/>
          <w:iCs/>
          <w:color w:val="000000" w:themeColor="text1"/>
          <w:sz w:val="22"/>
          <w:szCs w:val="22"/>
        </w:rPr>
        <w:t xml:space="preserve">; </w:t>
      </w:r>
    </w:p>
    <w:p w:rsidR="00487158" w:rsidRPr="00487158" w:rsidRDefault="00487158" w:rsidP="00487158">
      <w:pPr>
        <w:pStyle w:val="ListParagraph"/>
        <w:spacing w:line="360" w:lineRule="auto"/>
        <w:rPr>
          <w:rFonts w:cs="Arial"/>
          <w:i/>
          <w:color w:val="000000" w:themeColor="text1"/>
          <w:sz w:val="22"/>
          <w:szCs w:val="22"/>
        </w:rPr>
      </w:pP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t>“documents reflecting or comparing the stage of development and maturity of the Namibian insurance market on the one hand, and the insurance markets of each of the relevant countries on the other, with respect to local retentions”</w:t>
      </w:r>
      <w:r w:rsidRPr="00487158">
        <w:rPr>
          <w:rFonts w:cs="Arial"/>
          <w:iCs/>
          <w:color w:val="000000" w:themeColor="text1"/>
          <w:sz w:val="22"/>
          <w:szCs w:val="22"/>
        </w:rPr>
        <w:t>; and</w:t>
      </w:r>
    </w:p>
    <w:p w:rsidR="00487158" w:rsidRPr="00487158" w:rsidRDefault="00487158" w:rsidP="00487158">
      <w:pPr>
        <w:pStyle w:val="ListParagraph"/>
        <w:widowControl/>
        <w:autoSpaceDE/>
        <w:autoSpaceDN/>
        <w:adjustRightInd/>
        <w:spacing w:line="360" w:lineRule="auto"/>
        <w:ind w:left="709"/>
        <w:jc w:val="both"/>
        <w:rPr>
          <w:rFonts w:cs="Arial"/>
          <w:i/>
          <w:color w:val="000000" w:themeColor="text1"/>
          <w:sz w:val="22"/>
          <w:szCs w:val="22"/>
        </w:rPr>
      </w:pPr>
    </w:p>
    <w:p w:rsidR="004E3F22" w:rsidRPr="00487158" w:rsidRDefault="004E3F22" w:rsidP="00487158">
      <w:pPr>
        <w:pStyle w:val="ListParagraph"/>
        <w:widowControl/>
        <w:numPr>
          <w:ilvl w:val="1"/>
          <w:numId w:val="3"/>
        </w:numPr>
        <w:autoSpaceDE/>
        <w:autoSpaceDN/>
        <w:adjustRightInd/>
        <w:spacing w:line="360" w:lineRule="auto"/>
        <w:ind w:left="709" w:firstLine="0"/>
        <w:jc w:val="both"/>
        <w:rPr>
          <w:rFonts w:cs="Arial"/>
          <w:i/>
          <w:color w:val="000000" w:themeColor="text1"/>
          <w:sz w:val="22"/>
          <w:szCs w:val="22"/>
        </w:rPr>
      </w:pPr>
      <w:r w:rsidRPr="00487158">
        <w:rPr>
          <w:rFonts w:cs="Arial"/>
          <w:i/>
          <w:color w:val="000000" w:themeColor="text1"/>
          <w:sz w:val="22"/>
          <w:szCs w:val="22"/>
        </w:rPr>
        <w:t>“the micro and macro-economic impact study reports (on consumers, the insurance industries, and the broader economies of the countries referred to”</w:t>
      </w:r>
      <w:r w:rsidRPr="00487158">
        <w:rPr>
          <w:rFonts w:cs="Arial"/>
          <w:iCs/>
          <w:color w:val="000000" w:themeColor="text1"/>
          <w:sz w:val="22"/>
          <w:szCs w:val="22"/>
        </w:rPr>
        <w:t xml:space="preserve">. </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This is another attempt at interrogation under the guise of the authority of the rule.  It provides no such authority.  The attempt is to elicit an extraordinarily broad demand for documents not rooted in the record produced by the Minister (or even the reasons given by him for his decision).  If the materials were not “</w:t>
      </w:r>
      <w:r w:rsidRPr="00487158">
        <w:rPr>
          <w:rFonts w:cs="Arial"/>
          <w:i/>
          <w:iCs/>
          <w:color w:val="000000" w:themeColor="text1"/>
          <w:sz w:val="22"/>
          <w:szCs w:val="22"/>
        </w:rPr>
        <w:t>before</w:t>
      </w:r>
      <w:r w:rsidRPr="00487158">
        <w:rPr>
          <w:rFonts w:cs="Arial"/>
          <w:iCs/>
          <w:color w:val="000000" w:themeColor="text1"/>
          <w:sz w:val="22"/>
          <w:szCs w:val="22"/>
        </w:rPr>
        <w:t>” the Minister, in the proper sense of the authority the applicants themselves cite, how is Rule 76’s requisite of relevance met?</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color w:val="000000" w:themeColor="text1"/>
          <w:sz w:val="22"/>
          <w:szCs w:val="22"/>
        </w:rPr>
        <w:t xml:space="preserve">The applicants’ answer is again on the particular wording of </w:t>
      </w:r>
      <w:r w:rsidRPr="00487158">
        <w:rPr>
          <w:rFonts w:cs="Arial"/>
          <w:i/>
          <w:color w:val="000000" w:themeColor="text1"/>
          <w:sz w:val="22"/>
          <w:szCs w:val="22"/>
        </w:rPr>
        <w:t>Johannesburg City Council supra</w:t>
      </w:r>
      <w:r w:rsidRPr="00487158">
        <w:rPr>
          <w:rFonts w:cs="Arial"/>
          <w:color w:val="000000" w:themeColor="text1"/>
          <w:sz w:val="22"/>
          <w:szCs w:val="22"/>
        </w:rPr>
        <w:t>. This is where Marais J held that the record comprised all documents before (again using that term) the decision-maker “</w:t>
      </w:r>
      <w:r w:rsidRPr="00487158">
        <w:rPr>
          <w:rFonts w:cs="Arial"/>
          <w:i/>
          <w:color w:val="000000" w:themeColor="text1"/>
          <w:sz w:val="22"/>
          <w:szCs w:val="22"/>
        </w:rPr>
        <w:t>as well as all documents which are by reference incorporated in the file before it</w:t>
      </w:r>
      <w:r w:rsidRPr="00487158">
        <w:rPr>
          <w:rFonts w:cs="Arial"/>
          <w:iCs/>
          <w:color w:val="000000" w:themeColor="text1"/>
          <w:sz w:val="22"/>
          <w:szCs w:val="22"/>
        </w:rPr>
        <w:t>.</w:t>
      </w:r>
      <w:r w:rsidRPr="00487158">
        <w:rPr>
          <w:rFonts w:cs="Arial"/>
          <w:color w:val="000000" w:themeColor="text1"/>
          <w:sz w:val="22"/>
          <w:szCs w:val="22"/>
        </w:rPr>
        <w:t>”</w:t>
      </w:r>
      <w:r w:rsidRPr="00487158">
        <w:rPr>
          <w:rStyle w:val="FootnoteReference"/>
          <w:rFonts w:cs="Arial"/>
          <w:color w:val="000000" w:themeColor="text1"/>
          <w:sz w:val="22"/>
          <w:szCs w:val="22"/>
        </w:rPr>
        <w:footnoteReference w:id="78"/>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color w:val="000000" w:themeColor="text1"/>
          <w:sz w:val="22"/>
          <w:szCs w:val="22"/>
        </w:rPr>
        <w:t xml:space="preserve">But that was so because of the very next sentence. It is the one we have already quoted (in para 52 </w:t>
      </w:r>
      <w:r w:rsidRPr="00487158">
        <w:rPr>
          <w:rFonts w:cs="Arial"/>
          <w:i/>
          <w:color w:val="000000" w:themeColor="text1"/>
          <w:sz w:val="22"/>
          <w:szCs w:val="22"/>
        </w:rPr>
        <w:t>ad finem</w:t>
      </w:r>
      <w:r w:rsidRPr="00487158">
        <w:rPr>
          <w:rFonts w:cs="Arial"/>
          <w:color w:val="000000" w:themeColor="text1"/>
          <w:sz w:val="22"/>
          <w:szCs w:val="22"/>
        </w:rPr>
        <w:t xml:space="preserve">): on the facts of that matter, there was in essence a single renewed application, so how could the (single set of) merits </w:t>
      </w:r>
      <w:r w:rsidRPr="00487158">
        <w:rPr>
          <w:rFonts w:cs="Arial"/>
          <w:i/>
          <w:color w:val="000000" w:themeColor="text1"/>
          <w:sz w:val="22"/>
          <w:szCs w:val="22"/>
        </w:rPr>
        <w:t xml:space="preserve">not </w:t>
      </w:r>
      <w:r w:rsidRPr="00487158">
        <w:rPr>
          <w:rFonts w:cs="Arial"/>
          <w:color w:val="000000" w:themeColor="text1"/>
          <w:sz w:val="22"/>
          <w:szCs w:val="22"/>
        </w:rPr>
        <w:t>be present to the decision-maker’s mind? Thus, all documents “</w:t>
      </w:r>
      <w:r w:rsidRPr="00487158">
        <w:rPr>
          <w:rFonts w:cs="Arial"/>
          <w:i/>
          <w:color w:val="000000" w:themeColor="text1"/>
          <w:sz w:val="22"/>
          <w:szCs w:val="22"/>
        </w:rPr>
        <w:t>by reference incorporated in the file</w:t>
      </w:r>
      <w:r w:rsidRPr="00487158">
        <w:rPr>
          <w:rFonts w:cs="Arial"/>
          <w:color w:val="000000" w:themeColor="text1"/>
          <w:sz w:val="22"/>
          <w:szCs w:val="22"/>
        </w:rPr>
        <w:t>” were before him.</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color w:val="000000" w:themeColor="text1"/>
          <w:sz w:val="22"/>
          <w:szCs w:val="22"/>
        </w:rPr>
        <w:t xml:space="preserve">In contrast, in the present case the Minister did </w:t>
      </w:r>
      <w:r w:rsidRPr="00487158">
        <w:rPr>
          <w:rFonts w:cs="Arial"/>
          <w:i/>
          <w:color w:val="000000" w:themeColor="text1"/>
          <w:sz w:val="22"/>
          <w:szCs w:val="22"/>
        </w:rPr>
        <w:t xml:space="preserve">not </w:t>
      </w:r>
      <w:r w:rsidRPr="00487158">
        <w:rPr>
          <w:rFonts w:cs="Arial"/>
          <w:color w:val="000000" w:themeColor="text1"/>
          <w:sz w:val="22"/>
          <w:szCs w:val="22"/>
        </w:rPr>
        <w:t xml:space="preserve">incorporate all Namibre’s supporting material. To the contrary, he records that he did not read up whatever Namibre  cited in its footnotes.  He took in good faith what Namibre conveyed regarding similar systems in the indicated other countries. (If the applicants wish to contend that it is a review ground for </w:t>
      </w:r>
      <w:r w:rsidRPr="00487158">
        <w:rPr>
          <w:rFonts w:cs="Arial"/>
          <w:color w:val="000000" w:themeColor="text1"/>
          <w:sz w:val="22"/>
          <w:szCs w:val="22"/>
        </w:rPr>
        <w:lastRenderedPageBreak/>
        <w:t>a decision-maker to rely on the input in this way, or that Namibre’s facts were wrong, it can make that endeavour in the review court).</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color w:val="000000" w:themeColor="text1"/>
          <w:sz w:val="22"/>
          <w:szCs w:val="22"/>
        </w:rPr>
        <w:t>On the applicants’ reading of the “</w:t>
      </w:r>
      <w:r w:rsidRPr="00487158">
        <w:rPr>
          <w:rFonts w:cs="Arial"/>
          <w:i/>
          <w:color w:val="000000" w:themeColor="text1"/>
          <w:sz w:val="22"/>
          <w:szCs w:val="22"/>
        </w:rPr>
        <w:t xml:space="preserve">incorporated by reference” </w:t>
      </w:r>
      <w:r w:rsidRPr="00487158">
        <w:rPr>
          <w:rFonts w:cs="Arial"/>
          <w:color w:val="000000" w:themeColor="text1"/>
          <w:sz w:val="22"/>
          <w:szCs w:val="22"/>
        </w:rPr>
        <w:t xml:space="preserve">observation by Marais J, itself cited in </w:t>
      </w:r>
      <w:r w:rsidRPr="00487158">
        <w:rPr>
          <w:rFonts w:cs="Arial"/>
          <w:i/>
          <w:color w:val="000000" w:themeColor="text1"/>
          <w:sz w:val="22"/>
          <w:szCs w:val="22"/>
        </w:rPr>
        <w:t>Aonin</w:t>
      </w:r>
      <w:r w:rsidRPr="00487158">
        <w:rPr>
          <w:rFonts w:cs="Arial"/>
          <w:color w:val="000000" w:themeColor="text1"/>
          <w:sz w:val="22"/>
          <w:szCs w:val="22"/>
        </w:rPr>
        <w:t xml:space="preserve"> </w:t>
      </w:r>
      <w:r w:rsidRPr="00487158">
        <w:rPr>
          <w:rFonts w:cs="Arial"/>
          <w:i/>
          <w:color w:val="000000" w:themeColor="text1"/>
          <w:sz w:val="22"/>
          <w:szCs w:val="22"/>
        </w:rPr>
        <w:t>supra</w:t>
      </w:r>
      <w:r w:rsidRPr="00487158">
        <w:rPr>
          <w:rFonts w:cs="Arial"/>
          <w:color w:val="000000" w:themeColor="text1"/>
          <w:sz w:val="22"/>
          <w:szCs w:val="22"/>
        </w:rPr>
        <w:t>, this lays down an inflexible principle that a decision-maker is bound by Rule 76 to produce that which it itself does not have in its possession, did not itself consider, and which (on the applicants’ claimed list) is entirely without specified number or limit.</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color w:val="000000" w:themeColor="text1"/>
          <w:sz w:val="22"/>
          <w:szCs w:val="22"/>
        </w:rPr>
        <w:t xml:space="preserve">The claim is absurd. The logic of judicial review is that an administrative decision cannot be justified by the material before – in the correct sense analysed above – the decision-maker. Not by what the decision-maker </w:t>
      </w:r>
      <w:r w:rsidRPr="00487158">
        <w:rPr>
          <w:rFonts w:cs="Arial"/>
          <w:i/>
          <w:color w:val="000000" w:themeColor="text1"/>
          <w:sz w:val="22"/>
          <w:szCs w:val="22"/>
        </w:rPr>
        <w:t xml:space="preserve">could </w:t>
      </w:r>
      <w:r w:rsidRPr="00487158">
        <w:rPr>
          <w:rFonts w:cs="Arial"/>
          <w:color w:val="000000" w:themeColor="text1"/>
          <w:sz w:val="22"/>
          <w:szCs w:val="22"/>
        </w:rPr>
        <w:t xml:space="preserve">or </w:t>
      </w:r>
      <w:r w:rsidRPr="00487158">
        <w:rPr>
          <w:rFonts w:cs="Arial"/>
          <w:i/>
          <w:color w:val="000000" w:themeColor="text1"/>
          <w:sz w:val="22"/>
          <w:szCs w:val="22"/>
        </w:rPr>
        <w:t xml:space="preserve">might </w:t>
      </w:r>
      <w:r w:rsidRPr="00487158">
        <w:rPr>
          <w:rFonts w:cs="Arial"/>
          <w:color w:val="000000" w:themeColor="text1"/>
          <w:sz w:val="22"/>
          <w:szCs w:val="22"/>
        </w:rPr>
        <w:t>have had.</w:t>
      </w:r>
      <w:r w:rsidRPr="00487158">
        <w:rPr>
          <w:rStyle w:val="FootnoteReference"/>
          <w:rFonts w:cs="Arial"/>
          <w:color w:val="000000" w:themeColor="text1"/>
          <w:sz w:val="22"/>
          <w:szCs w:val="22"/>
        </w:rPr>
        <w:footnoteReference w:id="79"/>
      </w:r>
      <w:r w:rsidRPr="00487158">
        <w:rPr>
          <w:rFonts w:cs="Arial"/>
          <w:color w:val="000000" w:themeColor="text1"/>
          <w:sz w:val="22"/>
          <w:szCs w:val="22"/>
        </w:rPr>
        <w:t xml:space="preserve"> The record is an actual thing. It is not an attribution: the Minister is not </w:t>
      </w:r>
      <w:r w:rsidRPr="00487158">
        <w:rPr>
          <w:rFonts w:cs="Arial"/>
          <w:i/>
          <w:color w:val="000000" w:themeColor="text1"/>
          <w:sz w:val="22"/>
          <w:szCs w:val="22"/>
        </w:rPr>
        <w:t>deemed</w:t>
      </w:r>
      <w:r w:rsidRPr="00487158">
        <w:rPr>
          <w:rFonts w:cs="Arial"/>
          <w:color w:val="000000" w:themeColor="text1"/>
          <w:sz w:val="22"/>
          <w:szCs w:val="22"/>
        </w:rPr>
        <w:t xml:space="preserve">, by the Rule, to have before him what, for instance, the Society of Actuaries or Namibre had as cited statistical or narrative support for their own submissions. </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color w:val="000000" w:themeColor="text1"/>
          <w:sz w:val="22"/>
          <w:szCs w:val="22"/>
        </w:rPr>
        <w:t xml:space="preserve">The Rule does not require a decision-maker to </w:t>
      </w:r>
      <w:r w:rsidRPr="00487158">
        <w:rPr>
          <w:rFonts w:cs="Arial"/>
          <w:i/>
          <w:color w:val="000000" w:themeColor="text1"/>
          <w:sz w:val="22"/>
          <w:szCs w:val="22"/>
        </w:rPr>
        <w:t>fetch</w:t>
      </w:r>
      <w:r w:rsidRPr="00487158">
        <w:rPr>
          <w:rFonts w:cs="Arial"/>
          <w:color w:val="000000" w:themeColor="text1"/>
          <w:sz w:val="22"/>
          <w:szCs w:val="22"/>
        </w:rPr>
        <w:t xml:space="preserve"> from those who made submissions materials not in the actual possession of the decision-maker.  The applicants seem to accept in this instance the Minister’s statement under oath that he does not possess them – but they suggest Marais J’s remark (on the particular facts before him) has the effect that possess means “</w:t>
      </w:r>
      <w:r w:rsidRPr="00487158">
        <w:rPr>
          <w:rFonts w:cs="Arial"/>
          <w:i/>
          <w:color w:val="000000" w:themeColor="text1"/>
          <w:sz w:val="22"/>
          <w:szCs w:val="22"/>
        </w:rPr>
        <w:t>must procure</w:t>
      </w:r>
      <w:r w:rsidRPr="00487158">
        <w:rPr>
          <w:rFonts w:cs="Arial"/>
          <w:color w:val="000000" w:themeColor="text1"/>
          <w:sz w:val="22"/>
          <w:szCs w:val="22"/>
        </w:rPr>
        <w:t>”. This without the Rule according any power to the decision-maker to do so. The applicants forbear to suggest how the Minister must procure what he does notb have from Morocco, the Society of Actuaries, or NamibRe.</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The same applies to the demand for NamibRe’s </w:t>
      </w:r>
      <w:r w:rsidRPr="00487158">
        <w:rPr>
          <w:rFonts w:cs="Arial"/>
          <w:i/>
          <w:color w:val="000000" w:themeColor="text1"/>
          <w:sz w:val="22"/>
          <w:szCs w:val="22"/>
        </w:rPr>
        <w:t>“Actuarial Valuations for 2014, 2015 and 2016”</w:t>
      </w:r>
      <w:r w:rsidRPr="00487158">
        <w:rPr>
          <w:rFonts w:cs="Arial"/>
          <w:iCs/>
          <w:color w:val="000000" w:themeColor="text1"/>
          <w:sz w:val="22"/>
          <w:szCs w:val="22"/>
        </w:rPr>
        <w:t xml:space="preserve"> as well as other </w:t>
      </w:r>
      <w:r w:rsidRPr="00487158">
        <w:rPr>
          <w:rFonts w:cs="Arial"/>
          <w:i/>
          <w:color w:val="000000" w:themeColor="text1"/>
          <w:sz w:val="22"/>
          <w:szCs w:val="22"/>
        </w:rPr>
        <w:t>“internal documents”</w:t>
      </w:r>
      <w:r w:rsidRPr="00487158">
        <w:rPr>
          <w:rFonts w:cs="Arial"/>
          <w:iCs/>
          <w:color w:val="000000" w:themeColor="text1"/>
          <w:sz w:val="22"/>
          <w:szCs w:val="22"/>
        </w:rPr>
        <w:t xml:space="preserve"> of NamibRe referred to in the latter’s submissions. To the extent that the applicants have (or had) a right as against NamibRe to procure these, they have failed to exercise it. They seek no relief against NamibRe.</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0D0683"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In summary, we submit that it is an abuse of process for the applicants to persist in seeking an order compelling </w:t>
      </w:r>
      <w:r w:rsidRPr="00487158">
        <w:rPr>
          <w:rFonts w:cs="Arial"/>
          <w:i/>
          <w:iCs/>
          <w:color w:val="000000" w:themeColor="text1"/>
          <w:sz w:val="22"/>
          <w:szCs w:val="22"/>
        </w:rPr>
        <w:t>the Minister</w:t>
      </w:r>
      <w:r w:rsidRPr="00487158">
        <w:rPr>
          <w:rFonts w:cs="Arial"/>
          <w:iCs/>
          <w:color w:val="000000" w:themeColor="text1"/>
          <w:sz w:val="22"/>
          <w:szCs w:val="22"/>
        </w:rPr>
        <w:t xml:space="preserve"> to produce these documents (assuming they even exist) on the basis of footnotes and other references in </w:t>
      </w:r>
      <w:r w:rsidRPr="00487158">
        <w:rPr>
          <w:rFonts w:cs="Arial"/>
          <w:i/>
          <w:iCs/>
          <w:color w:val="000000" w:themeColor="text1"/>
          <w:sz w:val="22"/>
          <w:szCs w:val="22"/>
        </w:rPr>
        <w:t>NamibRe’s submissions</w:t>
      </w:r>
      <w:r w:rsidRPr="00487158">
        <w:rPr>
          <w:rFonts w:cs="Arial"/>
          <w:iCs/>
          <w:color w:val="000000" w:themeColor="text1"/>
          <w:sz w:val="22"/>
          <w:szCs w:val="22"/>
        </w:rPr>
        <w:t xml:space="preserve"> in the consultative process.  </w:t>
      </w:r>
    </w:p>
    <w:p w:rsidR="000D0683" w:rsidRPr="00487158" w:rsidRDefault="000D0683" w:rsidP="000D0683">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Firstly, there is no reason to presume from the footnotes (these, we reiterate, in the submission) to presume that all the documents pertaining to other African jurisdictions even exist. Thus, the first requisite, a foundation for the required </w:t>
      </w:r>
      <w:r w:rsidRPr="00487158">
        <w:rPr>
          <w:rFonts w:cs="Arial"/>
          <w:i/>
          <w:iCs/>
          <w:color w:val="000000" w:themeColor="text1"/>
          <w:sz w:val="22"/>
          <w:szCs w:val="22"/>
        </w:rPr>
        <w:t>belief</w:t>
      </w:r>
      <w:r w:rsidRPr="00487158">
        <w:rPr>
          <w:rFonts w:cs="Arial"/>
          <w:iCs/>
          <w:color w:val="000000" w:themeColor="text1"/>
          <w:sz w:val="22"/>
          <w:szCs w:val="22"/>
        </w:rPr>
        <w:t>, has not been laid, in respect of most of the items here sought.</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B369CD"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 </w:t>
      </w:r>
      <w:r w:rsidR="004E3F22" w:rsidRPr="00487158">
        <w:rPr>
          <w:rFonts w:cs="Arial"/>
          <w:iCs/>
          <w:color w:val="000000" w:themeColor="text1"/>
          <w:sz w:val="22"/>
          <w:szCs w:val="22"/>
        </w:rPr>
        <w:t>Secondly, and in any event, the Minister has stated on oath that what he considered was NamibRe’s submission, not any of the documents referred to by the applicants in this item of their interrogative list.</w:t>
      </w:r>
      <w:r w:rsidR="004E3F22" w:rsidRPr="00487158">
        <w:rPr>
          <w:rStyle w:val="FootnoteReference"/>
          <w:rFonts w:cs="Arial"/>
          <w:iCs/>
          <w:color w:val="000000" w:themeColor="text1"/>
          <w:sz w:val="22"/>
          <w:szCs w:val="22"/>
        </w:rPr>
        <w:footnoteReference w:id="80"/>
      </w:r>
      <w:r w:rsidR="004E3F22" w:rsidRPr="00487158">
        <w:rPr>
          <w:rFonts w:cs="Arial"/>
          <w:iCs/>
          <w:color w:val="000000" w:themeColor="text1"/>
          <w:sz w:val="22"/>
          <w:szCs w:val="22"/>
        </w:rPr>
        <w:t xml:space="preserve"> Thus the second requirement of possession is  also not established.</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Thirdly, the requirement of </w:t>
      </w:r>
      <w:r w:rsidRPr="00487158">
        <w:rPr>
          <w:rFonts w:cs="Arial"/>
          <w:i/>
          <w:iCs/>
          <w:color w:val="000000" w:themeColor="text1"/>
          <w:sz w:val="22"/>
          <w:szCs w:val="22"/>
        </w:rPr>
        <w:t xml:space="preserve">reasonable identification </w:t>
      </w:r>
      <w:r w:rsidRPr="00487158">
        <w:rPr>
          <w:rFonts w:cs="Arial"/>
          <w:iCs/>
          <w:color w:val="000000" w:themeColor="text1"/>
          <w:sz w:val="22"/>
          <w:szCs w:val="22"/>
        </w:rPr>
        <w:t xml:space="preserve">is not met. The notice of motion in this regard labours under the comical misconception that the requirement is met by inserting the word “specific” before unbounded categories – of “legislative provisions”. “documents”, “judgments”. “reports”. </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It remains to address the residual attempt to contend that in fact, Rule 76 </w:t>
      </w:r>
      <w:r w:rsidRPr="00487158">
        <w:rPr>
          <w:rFonts w:cs="Arial"/>
          <w:i/>
          <w:iCs/>
          <w:color w:val="000000" w:themeColor="text1"/>
          <w:sz w:val="22"/>
          <w:szCs w:val="22"/>
        </w:rPr>
        <w:t xml:space="preserve">does </w:t>
      </w:r>
      <w:r w:rsidRPr="00487158">
        <w:rPr>
          <w:rFonts w:cs="Arial"/>
          <w:iCs/>
          <w:color w:val="000000" w:themeColor="text1"/>
          <w:sz w:val="22"/>
          <w:szCs w:val="22"/>
        </w:rPr>
        <w:t xml:space="preserve">reach beyond actual possession, to a deemed, imputed and thus fictive  possession,The applicants namely contend that the Minister should nevertheless be compelled to produce these documents as he </w:t>
      </w:r>
      <w:r w:rsidRPr="00487158">
        <w:rPr>
          <w:rFonts w:cs="Arial"/>
          <w:i/>
          <w:iCs/>
          <w:color w:val="000000" w:themeColor="text1"/>
          <w:sz w:val="22"/>
          <w:szCs w:val="22"/>
        </w:rPr>
        <w:t>could have</w:t>
      </w:r>
      <w:r w:rsidRPr="00487158">
        <w:rPr>
          <w:rFonts w:cs="Arial"/>
          <w:iCs/>
          <w:color w:val="000000" w:themeColor="text1"/>
          <w:sz w:val="22"/>
          <w:szCs w:val="22"/>
        </w:rPr>
        <w:t xml:space="preserve"> called on NamibRe to produce them.  The case of </w:t>
      </w:r>
      <w:r w:rsidRPr="00487158">
        <w:rPr>
          <w:rFonts w:cs="Arial"/>
          <w:i/>
          <w:color w:val="000000" w:themeColor="text1"/>
          <w:sz w:val="22"/>
          <w:szCs w:val="22"/>
        </w:rPr>
        <w:t xml:space="preserve">Continental Ore Construction </w:t>
      </w:r>
      <w:r w:rsidRPr="00487158">
        <w:rPr>
          <w:rFonts w:cs="Arial"/>
          <w:iCs/>
          <w:color w:val="000000" w:themeColor="text1"/>
          <w:sz w:val="22"/>
          <w:szCs w:val="22"/>
        </w:rPr>
        <w:t>is cited as authority for this proposition.</w:t>
      </w:r>
      <w:r w:rsidRPr="00487158">
        <w:rPr>
          <w:rStyle w:val="FootnoteReference"/>
          <w:rFonts w:cs="Arial"/>
          <w:iCs/>
          <w:color w:val="000000" w:themeColor="text1"/>
          <w:sz w:val="22"/>
          <w:szCs w:val="22"/>
        </w:rPr>
        <w:footnoteReference w:id="81"/>
      </w:r>
      <w:r w:rsidRPr="00487158">
        <w:rPr>
          <w:rFonts w:cs="Arial"/>
          <w:iCs/>
          <w:color w:val="000000" w:themeColor="text1"/>
          <w:sz w:val="22"/>
          <w:szCs w:val="22"/>
        </w:rPr>
        <w:t xml:space="preserve">  </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i/>
          <w:color w:val="000000" w:themeColor="text1"/>
          <w:sz w:val="22"/>
          <w:szCs w:val="22"/>
        </w:rPr>
      </w:pPr>
      <w:r w:rsidRPr="00487158">
        <w:rPr>
          <w:rFonts w:cs="Arial"/>
          <w:iCs/>
          <w:color w:val="000000" w:themeColor="text1"/>
          <w:sz w:val="22"/>
          <w:szCs w:val="22"/>
        </w:rPr>
        <w:t xml:space="preserve">The applicants’ reliance on this case is entirely misplaced.  Again, the misreading of the judgment is striking. The matter concerned an </w:t>
      </w:r>
      <w:r w:rsidRPr="00487158">
        <w:rPr>
          <w:rFonts w:cs="Arial"/>
          <w:iCs/>
          <w:color w:val="000000" w:themeColor="text1"/>
          <w:sz w:val="22"/>
          <w:szCs w:val="22"/>
          <w:u w:val="single"/>
        </w:rPr>
        <w:t>action</w:t>
      </w:r>
      <w:r w:rsidRPr="00487158">
        <w:rPr>
          <w:rFonts w:cs="Arial"/>
          <w:iCs/>
          <w:color w:val="000000" w:themeColor="text1"/>
          <w:sz w:val="22"/>
          <w:szCs w:val="22"/>
        </w:rPr>
        <w:t xml:space="preserve"> brought by the plaintiff seeking a declaratory order that the defendant was bound by an agreement to supply it with vanadium.  An issue arose in that case about rule 35(3) of South African Uniform Rules.  In the passages referred to in the applicants’ heads of argument the court simply recorded a trite proposition concerning discovery in action proceedings: that the onus of proving the relevance of documentation sought to be discovered rests on the party seeking discovery.  </w:t>
      </w:r>
    </w:p>
    <w:p w:rsidR="00487158" w:rsidRPr="00487158" w:rsidRDefault="00487158" w:rsidP="00487158">
      <w:pPr>
        <w:pStyle w:val="ListParagraph"/>
        <w:widowControl/>
        <w:autoSpaceDE/>
        <w:autoSpaceDN/>
        <w:adjustRightInd/>
        <w:spacing w:line="360" w:lineRule="auto"/>
        <w:ind w:left="0"/>
        <w:jc w:val="both"/>
        <w:rPr>
          <w:rFonts w:cs="Arial"/>
          <w:i/>
          <w:color w:val="000000" w:themeColor="text1"/>
          <w:sz w:val="22"/>
          <w:szCs w:val="22"/>
        </w:rPr>
      </w:pPr>
    </w:p>
    <w:p w:rsidR="004E3F22" w:rsidRPr="00487158" w:rsidRDefault="004E3F22" w:rsidP="00487158">
      <w:pPr>
        <w:pStyle w:val="ListParagraph"/>
        <w:widowControl/>
        <w:numPr>
          <w:ilvl w:val="0"/>
          <w:numId w:val="3"/>
        </w:numPr>
        <w:autoSpaceDE/>
        <w:autoSpaceDN/>
        <w:adjustRightInd/>
        <w:spacing w:line="360" w:lineRule="auto"/>
        <w:ind w:left="0" w:firstLine="0"/>
        <w:jc w:val="both"/>
        <w:rPr>
          <w:rFonts w:cs="Arial"/>
          <w:color w:val="000000" w:themeColor="text1"/>
          <w:sz w:val="22"/>
          <w:szCs w:val="22"/>
        </w:rPr>
      </w:pPr>
      <w:r w:rsidRPr="00487158">
        <w:rPr>
          <w:rFonts w:cs="Arial"/>
          <w:iCs/>
          <w:color w:val="000000" w:themeColor="text1"/>
          <w:sz w:val="22"/>
          <w:szCs w:val="22"/>
        </w:rPr>
        <w:t xml:space="preserve">This case is not about </w:t>
      </w:r>
      <w:r w:rsidRPr="00487158">
        <w:rPr>
          <w:rFonts w:cs="Arial"/>
          <w:i/>
          <w:iCs/>
          <w:color w:val="000000" w:themeColor="text1"/>
          <w:sz w:val="22"/>
          <w:szCs w:val="22"/>
        </w:rPr>
        <w:t>discovery</w:t>
      </w:r>
      <w:r w:rsidRPr="00487158">
        <w:rPr>
          <w:rFonts w:cs="Arial"/>
          <w:iCs/>
          <w:color w:val="000000" w:themeColor="text1"/>
          <w:sz w:val="22"/>
          <w:szCs w:val="22"/>
        </w:rPr>
        <w:t xml:space="preserve"> in an </w:t>
      </w:r>
      <w:r w:rsidRPr="00487158">
        <w:rPr>
          <w:rFonts w:cs="Arial"/>
          <w:i/>
          <w:iCs/>
          <w:color w:val="000000" w:themeColor="text1"/>
          <w:sz w:val="22"/>
          <w:szCs w:val="22"/>
        </w:rPr>
        <w:t>action</w:t>
      </w:r>
      <w:r w:rsidRPr="00487158">
        <w:rPr>
          <w:rFonts w:cs="Arial"/>
          <w:iCs/>
          <w:color w:val="000000" w:themeColor="text1"/>
          <w:sz w:val="22"/>
          <w:szCs w:val="22"/>
        </w:rPr>
        <w:t xml:space="preserve">.  The case is </w:t>
      </w:r>
      <w:r w:rsidRPr="00487158">
        <w:rPr>
          <w:rFonts w:cs="Arial"/>
          <w:iCs/>
          <w:color w:val="000000" w:themeColor="text1"/>
          <w:sz w:val="22"/>
          <w:szCs w:val="22"/>
          <w:u w:val="single"/>
        </w:rPr>
        <w:t>not</w:t>
      </w:r>
      <w:r w:rsidRPr="00487158">
        <w:rPr>
          <w:rFonts w:cs="Arial"/>
          <w:iCs/>
          <w:color w:val="000000" w:themeColor="text1"/>
          <w:sz w:val="22"/>
          <w:szCs w:val="22"/>
        </w:rPr>
        <w:t xml:space="preserve"> authority for the proposition contended for, namely that in proceedings for judicial review the decision-maker may be ordered to call upon a party who made submissions in the course of a consultative process to produce documents referred to in those submissions which the decision-maker has expressly stated on oath were not before him when he took his decision.  If they were not before him, they were not before him. They form no part of the record, because he did not take them into account.  There is once again neither principle nor precedent supporting the illogical claim.  To the contrary, the rule </w:t>
      </w:r>
      <w:r w:rsidRPr="00487158">
        <w:rPr>
          <w:rFonts w:cs="Arial"/>
          <w:color w:val="000000" w:themeColor="text1"/>
          <w:sz w:val="22"/>
          <w:szCs w:val="22"/>
          <w:lang w:val="en-ZA"/>
        </w:rPr>
        <w:t xml:space="preserve">(South African Uniform Rule 53, and thus by extension rule 76) </w:t>
      </w:r>
      <w:r w:rsidRPr="00487158">
        <w:rPr>
          <w:rFonts w:cs="Arial"/>
          <w:i/>
          <w:iCs/>
          <w:color w:val="000000" w:themeColor="text1"/>
          <w:sz w:val="22"/>
          <w:szCs w:val="22"/>
          <w:lang w:val="en-ZA"/>
        </w:rPr>
        <w:t>“</w:t>
      </w:r>
      <w:r w:rsidRPr="00487158">
        <w:rPr>
          <w:rFonts w:cs="Arial"/>
          <w:i/>
          <w:color w:val="000000" w:themeColor="text1"/>
          <w:sz w:val="22"/>
          <w:szCs w:val="22"/>
          <w:shd w:val="clear" w:color="auto" w:fill="FFFFFF"/>
        </w:rPr>
        <w:t>does not lend itself naturally or properly as a mechanism for obtaining documents from third parties”.</w:t>
      </w:r>
      <w:r w:rsidRPr="00487158">
        <w:rPr>
          <w:rStyle w:val="FootnoteReference"/>
          <w:rFonts w:cs="Arial"/>
          <w:iCs/>
          <w:color w:val="000000" w:themeColor="text1"/>
          <w:sz w:val="22"/>
          <w:szCs w:val="22"/>
          <w:lang w:val="en-ZA"/>
        </w:rPr>
        <w:footnoteReference w:id="82"/>
      </w:r>
      <w:r w:rsidRPr="00487158">
        <w:rPr>
          <w:rFonts w:cs="Arial"/>
          <w:i/>
          <w:color w:val="000000" w:themeColor="text1"/>
          <w:sz w:val="22"/>
          <w:szCs w:val="22"/>
          <w:shd w:val="clear" w:color="auto" w:fill="FFFFFF"/>
        </w:rPr>
        <w:t xml:space="preserve"> </w:t>
      </w:r>
      <w:r w:rsidRPr="00487158">
        <w:rPr>
          <w:rFonts w:cs="Arial"/>
          <w:color w:val="000000" w:themeColor="text1"/>
          <w:sz w:val="22"/>
          <w:szCs w:val="22"/>
          <w:shd w:val="clear" w:color="auto" w:fill="FFFFFF"/>
        </w:rPr>
        <w:t xml:space="preserve">But that is exactly what the applicants seek to contrive. What they advance is at odds, again, with the function of Rule 76; with practicality; with the difference </w:t>
      </w:r>
      <w:r w:rsidRPr="00487158">
        <w:rPr>
          <w:rFonts w:cs="Arial"/>
          <w:color w:val="000000" w:themeColor="text1"/>
          <w:sz w:val="22"/>
          <w:szCs w:val="22"/>
          <w:shd w:val="clear" w:color="auto" w:fill="FFFFFF"/>
        </w:rPr>
        <w:lastRenderedPageBreak/>
        <w:t>between discovery and production of a review record; and most simply, the wording of the Rule itself.</w:t>
      </w:r>
      <w:r w:rsidR="00487158" w:rsidRPr="00487158">
        <w:rPr>
          <w:rFonts w:cs="Arial"/>
          <w:color w:val="000000" w:themeColor="text1"/>
          <w:sz w:val="22"/>
          <w:szCs w:val="22"/>
          <w:shd w:val="clear" w:color="auto" w:fill="FFFFFF"/>
        </w:rPr>
        <w:t>’</w:t>
      </w:r>
    </w:p>
    <w:p w:rsidR="00487158" w:rsidRPr="00487158" w:rsidRDefault="00487158" w:rsidP="00487158">
      <w:pPr>
        <w:pStyle w:val="ListParagraph"/>
        <w:widowControl/>
        <w:autoSpaceDE/>
        <w:autoSpaceDN/>
        <w:adjustRightInd/>
        <w:spacing w:line="360" w:lineRule="auto"/>
        <w:ind w:left="0"/>
        <w:jc w:val="both"/>
        <w:rPr>
          <w:rFonts w:cs="Arial"/>
          <w:color w:val="000000" w:themeColor="text1"/>
          <w:sz w:val="22"/>
          <w:szCs w:val="22"/>
        </w:rPr>
      </w:pPr>
    </w:p>
    <w:p w:rsidR="004E3F22" w:rsidRPr="006C3771" w:rsidRDefault="00A24E64" w:rsidP="006C3771">
      <w:pPr>
        <w:pStyle w:val="ListParagraph"/>
        <w:spacing w:line="360" w:lineRule="auto"/>
        <w:ind w:left="0"/>
        <w:jc w:val="both"/>
        <w:rPr>
          <w:rFonts w:cs="Arial"/>
        </w:rPr>
      </w:pPr>
      <w:r w:rsidRPr="006C3771">
        <w:rPr>
          <w:rFonts w:cs="Arial"/>
        </w:rPr>
        <w:t>[</w:t>
      </w:r>
      <w:r w:rsidR="00AC5F89">
        <w:rPr>
          <w:rFonts w:cs="Arial"/>
        </w:rPr>
        <w:t>30</w:t>
      </w:r>
      <w:r w:rsidRPr="006C3771">
        <w:rPr>
          <w:rFonts w:cs="Arial"/>
        </w:rPr>
        <w:t>]</w:t>
      </w:r>
      <w:r w:rsidRPr="006C3771">
        <w:rPr>
          <w:rFonts w:cs="Arial"/>
        </w:rPr>
        <w:tab/>
      </w:r>
      <w:r w:rsidR="007077D0" w:rsidRPr="006C3771">
        <w:rPr>
          <w:rFonts w:cs="Arial"/>
        </w:rPr>
        <w:t>And in regard to the request made under paragraph 1.13 it was argued :</w:t>
      </w:r>
    </w:p>
    <w:p w:rsidR="007077D0" w:rsidRPr="006C3771" w:rsidRDefault="007077D0" w:rsidP="006C3771">
      <w:pPr>
        <w:pStyle w:val="ListParagraph"/>
        <w:spacing w:line="360" w:lineRule="auto"/>
        <w:ind w:left="0"/>
        <w:jc w:val="both"/>
        <w:rPr>
          <w:rFonts w:cs="Arial"/>
        </w:rPr>
      </w:pPr>
    </w:p>
    <w:p w:rsidR="007077D0" w:rsidRPr="000D0683" w:rsidRDefault="007077D0" w:rsidP="000D0683">
      <w:pPr>
        <w:widowControl w:val="0"/>
        <w:spacing w:after="0" w:line="360" w:lineRule="auto"/>
        <w:ind w:firstLine="720"/>
        <w:jc w:val="both"/>
        <w:rPr>
          <w:rFonts w:ascii="Arial" w:hAnsi="Arial" w:cs="Arial"/>
          <w:bCs/>
          <w:color w:val="000000" w:themeColor="text1"/>
        </w:rPr>
      </w:pPr>
      <w:r w:rsidRPr="000D0683">
        <w:rPr>
          <w:rFonts w:ascii="Arial" w:hAnsi="Arial" w:cs="Arial"/>
          <w:bCs/>
          <w:color w:val="000000" w:themeColor="text1"/>
          <w:u w:val="single"/>
        </w:rPr>
        <w:t>‘Paragraph 1.13:</w:t>
      </w:r>
      <w:r w:rsidRPr="000D0683">
        <w:rPr>
          <w:rFonts w:ascii="Arial" w:hAnsi="Arial" w:cs="Arial"/>
          <w:bCs/>
          <w:color w:val="000000" w:themeColor="text1"/>
        </w:rPr>
        <w:t xml:space="preserve"> documents “evidencing compliance” with section 12 of the Act</w:t>
      </w:r>
    </w:p>
    <w:p w:rsidR="007077D0" w:rsidRPr="000D0683" w:rsidRDefault="007077D0" w:rsidP="006C3771">
      <w:pPr>
        <w:spacing w:after="0" w:line="360" w:lineRule="auto"/>
        <w:jc w:val="both"/>
        <w:rPr>
          <w:rFonts w:ascii="Arial" w:hAnsi="Arial" w:cs="Arial"/>
          <w:color w:val="000000" w:themeColor="text1"/>
        </w:rPr>
      </w:pPr>
      <w:r w:rsidRPr="000D0683">
        <w:rPr>
          <w:rFonts w:ascii="Arial" w:hAnsi="Arial" w:cs="Arial"/>
          <w:color w:val="000000" w:themeColor="text1"/>
        </w:rPr>
        <w:t xml:space="preserve">103. The applicants seek an order compelling the Minister to produce </w:t>
      </w:r>
      <w:r w:rsidRPr="000D0683">
        <w:rPr>
          <w:rFonts w:ascii="Arial" w:hAnsi="Arial" w:cs="Arial"/>
          <w:i/>
          <w:iCs/>
          <w:color w:val="000000" w:themeColor="text1"/>
        </w:rPr>
        <w:t>“documents evidencing compliance with the provisions of section 12 of the Act, relevant to any NamibRe Board meetings convened for the purposes of taking the resolutions regarding the implementation or enforcement of, or giving effect to, sections 39, 40, 43 and 47 of the Act, and forwarded to [the Minister]”</w:t>
      </w:r>
      <w:r w:rsidRPr="000D0683">
        <w:rPr>
          <w:rFonts w:ascii="Arial" w:hAnsi="Arial" w:cs="Arial"/>
          <w:color w:val="000000" w:themeColor="text1"/>
        </w:rPr>
        <w:t>.</w:t>
      </w:r>
    </w:p>
    <w:p w:rsidR="000D0683" w:rsidRPr="000D0683" w:rsidRDefault="000D0683" w:rsidP="006C3771">
      <w:pPr>
        <w:spacing w:after="0" w:line="360" w:lineRule="auto"/>
        <w:jc w:val="both"/>
        <w:rPr>
          <w:rFonts w:ascii="Arial" w:hAnsi="Arial" w:cs="Arial"/>
          <w:i/>
          <w:color w:val="000000" w:themeColor="text1"/>
          <w:u w:val="single"/>
        </w:rPr>
      </w:pPr>
    </w:p>
    <w:p w:rsidR="007077D0" w:rsidRPr="000D0683" w:rsidRDefault="007077D0" w:rsidP="006C3771">
      <w:pPr>
        <w:spacing w:after="0" w:line="360" w:lineRule="auto"/>
        <w:jc w:val="both"/>
        <w:rPr>
          <w:rFonts w:ascii="Arial" w:hAnsi="Arial" w:cs="Arial"/>
          <w:color w:val="000000" w:themeColor="text1"/>
        </w:rPr>
      </w:pPr>
      <w:r w:rsidRPr="000D0683">
        <w:rPr>
          <w:rFonts w:ascii="Arial" w:hAnsi="Arial" w:cs="Arial"/>
          <w:color w:val="000000" w:themeColor="text1"/>
        </w:rPr>
        <w:t xml:space="preserve">104. Section 12 of the Act concerns </w:t>
      </w:r>
      <w:r w:rsidRPr="000D0683">
        <w:rPr>
          <w:rFonts w:ascii="Arial" w:hAnsi="Arial" w:cs="Arial"/>
          <w:i/>
          <w:iCs/>
          <w:color w:val="000000" w:themeColor="text1"/>
        </w:rPr>
        <w:t xml:space="preserve">“meetings and proceedings” </w:t>
      </w:r>
      <w:r w:rsidRPr="000D0683">
        <w:rPr>
          <w:rFonts w:ascii="Arial" w:hAnsi="Arial" w:cs="Arial"/>
          <w:color w:val="000000" w:themeColor="text1"/>
        </w:rPr>
        <w:t xml:space="preserve">of NamibRe’s board.  The Minister has stated on oath that no documents responsive to the applicants’ request as regards NamibRe’s </w:t>
      </w:r>
      <w:r w:rsidRPr="000D0683">
        <w:rPr>
          <w:rFonts w:ascii="Arial" w:hAnsi="Arial" w:cs="Arial"/>
          <w:i/>
          <w:iCs/>
          <w:color w:val="000000" w:themeColor="text1"/>
        </w:rPr>
        <w:t>“compliance”</w:t>
      </w:r>
      <w:r w:rsidRPr="000D0683">
        <w:rPr>
          <w:rFonts w:ascii="Arial" w:hAnsi="Arial" w:cs="Arial"/>
          <w:color w:val="000000" w:themeColor="text1"/>
        </w:rPr>
        <w:t xml:space="preserve"> with unspecified sub-sections of section 12 of the Act was before him when he took his decision.</w:t>
      </w:r>
      <w:r w:rsidRPr="000D0683">
        <w:rPr>
          <w:rStyle w:val="FootnoteReference"/>
          <w:rFonts w:ascii="Arial" w:hAnsi="Arial" w:cs="Arial"/>
          <w:color w:val="000000" w:themeColor="text1"/>
        </w:rPr>
        <w:footnoteReference w:id="83"/>
      </w:r>
      <w:r w:rsidRPr="000D0683">
        <w:rPr>
          <w:rFonts w:ascii="Arial" w:hAnsi="Arial" w:cs="Arial"/>
          <w:color w:val="000000" w:themeColor="text1"/>
        </w:rPr>
        <w:t xml:space="preserve">  There is yet again no basis advanced as to why this Court should go behind what the Minister has stated under oath.</w:t>
      </w:r>
    </w:p>
    <w:p w:rsidR="000D0683" w:rsidRPr="000D0683" w:rsidRDefault="000D0683" w:rsidP="006C3771">
      <w:pPr>
        <w:spacing w:after="0" w:line="360" w:lineRule="auto"/>
        <w:jc w:val="both"/>
        <w:rPr>
          <w:rFonts w:ascii="Arial" w:hAnsi="Arial" w:cs="Arial"/>
          <w:i/>
          <w:color w:val="000000" w:themeColor="text1"/>
          <w:u w:val="single"/>
        </w:rPr>
      </w:pPr>
    </w:p>
    <w:p w:rsidR="007077D0" w:rsidRPr="000D0683" w:rsidRDefault="007077D0" w:rsidP="006C3771">
      <w:pPr>
        <w:spacing w:after="0" w:line="360" w:lineRule="auto"/>
        <w:jc w:val="both"/>
        <w:rPr>
          <w:rFonts w:ascii="Arial" w:hAnsi="Arial" w:cs="Arial"/>
          <w:color w:val="000000" w:themeColor="text1"/>
        </w:rPr>
      </w:pPr>
      <w:r w:rsidRPr="000D0683">
        <w:rPr>
          <w:rFonts w:ascii="Arial" w:hAnsi="Arial" w:cs="Arial"/>
          <w:color w:val="000000" w:themeColor="text1"/>
        </w:rPr>
        <w:t>105. This demand is one of the more stark illustrations as to why the application is an abuse. Rule 76 has four requirements. The basis for not a single one is laid here.</w:t>
      </w:r>
    </w:p>
    <w:p w:rsidR="000D0683" w:rsidRPr="000D0683" w:rsidRDefault="000D0683" w:rsidP="006C3771">
      <w:pPr>
        <w:spacing w:after="0" w:line="360" w:lineRule="auto"/>
        <w:jc w:val="both"/>
        <w:rPr>
          <w:rFonts w:ascii="Arial" w:hAnsi="Arial" w:cs="Arial"/>
          <w:i/>
          <w:color w:val="000000" w:themeColor="text1"/>
        </w:rPr>
      </w:pPr>
    </w:p>
    <w:p w:rsidR="007077D0" w:rsidRPr="000D0683" w:rsidRDefault="007077D0" w:rsidP="006C3771">
      <w:pPr>
        <w:spacing w:after="0" w:line="360" w:lineRule="auto"/>
        <w:jc w:val="both"/>
        <w:rPr>
          <w:rFonts w:ascii="Arial" w:hAnsi="Arial" w:cs="Arial"/>
          <w:i/>
          <w:color w:val="000000" w:themeColor="text1"/>
        </w:rPr>
      </w:pPr>
      <w:r w:rsidRPr="000D0683">
        <w:rPr>
          <w:rFonts w:ascii="Arial" w:hAnsi="Arial" w:cs="Arial"/>
          <w:color w:val="000000" w:themeColor="text1"/>
        </w:rPr>
        <w:t xml:space="preserve">106. The Rule is intended to put before the court and the applicant the basis for the challenged decision. It is not a licence to ferret out procedural non-compliance by another party (NamibRe) as regards meetings </w:t>
      </w:r>
      <w:r w:rsidRPr="000D0683">
        <w:rPr>
          <w:rFonts w:ascii="Arial" w:hAnsi="Arial" w:cs="Arial"/>
          <w:i/>
          <w:color w:val="000000" w:themeColor="text1"/>
        </w:rPr>
        <w:t xml:space="preserve">it </w:t>
      </w:r>
      <w:r w:rsidRPr="000D0683">
        <w:rPr>
          <w:rFonts w:ascii="Arial" w:hAnsi="Arial" w:cs="Arial"/>
          <w:color w:val="000000" w:themeColor="text1"/>
        </w:rPr>
        <w:t>conducted.  This when no basis for any such belief is stated.’</w:t>
      </w:r>
    </w:p>
    <w:p w:rsidR="002A1C3D" w:rsidRPr="006C3771" w:rsidRDefault="002A1C3D" w:rsidP="006C3771">
      <w:pPr>
        <w:pStyle w:val="ListParagraph"/>
        <w:spacing w:line="360" w:lineRule="auto"/>
        <w:ind w:left="0"/>
        <w:jc w:val="both"/>
        <w:rPr>
          <w:rFonts w:cs="Arial"/>
          <w:u w:val="single"/>
        </w:rPr>
      </w:pPr>
    </w:p>
    <w:p w:rsidR="009E7EE8" w:rsidRPr="006C3771" w:rsidRDefault="009E7EE8" w:rsidP="006C3771">
      <w:pPr>
        <w:pStyle w:val="ListParagraph"/>
        <w:spacing w:line="360" w:lineRule="auto"/>
        <w:ind w:left="0"/>
        <w:jc w:val="both"/>
        <w:rPr>
          <w:rFonts w:cs="Arial"/>
          <w:u w:val="single"/>
        </w:rPr>
      </w:pPr>
      <w:r w:rsidRPr="006C3771">
        <w:rPr>
          <w:rFonts w:cs="Arial"/>
          <w:u w:val="single"/>
        </w:rPr>
        <w:t>Resolution</w:t>
      </w:r>
      <w:r w:rsidR="00E90432">
        <w:rPr>
          <w:rFonts w:cs="Arial"/>
          <w:u w:val="single"/>
        </w:rPr>
        <w:t xml:space="preserve"> – re : </w:t>
      </w:r>
      <w:r w:rsidR="002A1C3D" w:rsidRPr="006C3771">
        <w:rPr>
          <w:rFonts w:cs="Arial"/>
          <w:u w:val="single"/>
        </w:rPr>
        <w:t xml:space="preserve">the </w:t>
      </w:r>
      <w:r w:rsidR="00E90432">
        <w:rPr>
          <w:rFonts w:cs="Arial"/>
          <w:u w:val="single"/>
        </w:rPr>
        <w:t>‘</w:t>
      </w:r>
      <w:r w:rsidR="002A1C3D" w:rsidRPr="006C3771">
        <w:rPr>
          <w:rFonts w:cs="Arial"/>
          <w:u w:val="single"/>
        </w:rPr>
        <w:t>second category of documents</w:t>
      </w:r>
      <w:r w:rsidR="00E90432">
        <w:rPr>
          <w:rFonts w:cs="Arial"/>
          <w:u w:val="single"/>
        </w:rPr>
        <w:t>’ requested</w:t>
      </w:r>
    </w:p>
    <w:p w:rsidR="002A1C3D" w:rsidRPr="006C3771" w:rsidRDefault="002A1C3D" w:rsidP="006C3771">
      <w:pPr>
        <w:pStyle w:val="ListParagraph"/>
        <w:spacing w:line="360" w:lineRule="auto"/>
        <w:ind w:left="0"/>
        <w:jc w:val="both"/>
        <w:rPr>
          <w:rFonts w:cs="Arial"/>
        </w:rPr>
      </w:pPr>
    </w:p>
    <w:p w:rsidR="000D0683" w:rsidRDefault="009E7EE8" w:rsidP="006C3771">
      <w:pPr>
        <w:pStyle w:val="ListParagraph"/>
        <w:spacing w:line="360" w:lineRule="auto"/>
        <w:ind w:left="0"/>
        <w:jc w:val="both"/>
        <w:rPr>
          <w:rFonts w:cs="Arial"/>
        </w:rPr>
      </w:pPr>
      <w:r w:rsidRPr="006C3771">
        <w:rPr>
          <w:rFonts w:cs="Arial"/>
        </w:rPr>
        <w:t>[</w:t>
      </w:r>
      <w:r w:rsidR="000D0683">
        <w:rPr>
          <w:rFonts w:cs="Arial"/>
        </w:rPr>
        <w:t>3</w:t>
      </w:r>
      <w:r w:rsidR="00AC5F89">
        <w:rPr>
          <w:rFonts w:cs="Arial"/>
        </w:rPr>
        <w:t>1</w:t>
      </w:r>
      <w:r w:rsidRPr="006C3771">
        <w:rPr>
          <w:rFonts w:cs="Arial"/>
        </w:rPr>
        <w:t>]</w:t>
      </w:r>
      <w:r w:rsidRPr="006C3771">
        <w:rPr>
          <w:rFonts w:cs="Arial"/>
        </w:rPr>
        <w:tab/>
        <w:t>As far as this category is concerned it would seem that it is common cause that the documents requested were referenced in the material serving before the Minister but that it was c</w:t>
      </w:r>
      <w:r w:rsidR="006954A7" w:rsidRPr="006C3771">
        <w:rPr>
          <w:rFonts w:cs="Arial"/>
        </w:rPr>
        <w:t>ontended that such material was</w:t>
      </w:r>
      <w:r w:rsidRPr="006C3771">
        <w:rPr>
          <w:rFonts w:cs="Arial"/>
        </w:rPr>
        <w:t xml:space="preserve"> not before him ‘in the proper sense’</w:t>
      </w:r>
      <w:r w:rsidR="002A1C3D" w:rsidRPr="006C3771">
        <w:rPr>
          <w:rFonts w:cs="Arial"/>
        </w:rPr>
        <w:t xml:space="preserve"> </w:t>
      </w:r>
      <w:r w:rsidR="00EF7965">
        <w:rPr>
          <w:rFonts w:cs="Arial"/>
        </w:rPr>
        <w:t xml:space="preserve">and </w:t>
      </w:r>
      <w:r w:rsidR="002A1C3D" w:rsidRPr="006C3771">
        <w:rPr>
          <w:rFonts w:cs="Arial"/>
        </w:rPr>
        <w:t>because in the circumstances of the present matter - as distinguished from those prevailing in</w:t>
      </w:r>
      <w:r w:rsidR="00F67E3C" w:rsidRPr="006C3771">
        <w:rPr>
          <w:rFonts w:cs="Arial"/>
        </w:rPr>
        <w:t xml:space="preserve"> the </w:t>
      </w:r>
      <w:r w:rsidR="00F67E3C" w:rsidRPr="006C3771">
        <w:rPr>
          <w:rFonts w:cs="Arial"/>
          <w:i/>
        </w:rPr>
        <w:t>Johannesburg City Council</w:t>
      </w:r>
      <w:r w:rsidR="002A1C3D" w:rsidRPr="006C3771">
        <w:rPr>
          <w:rFonts w:cs="Arial"/>
        </w:rPr>
        <w:t xml:space="preserve"> case -</w:t>
      </w:r>
      <w:r w:rsidR="00F67E3C" w:rsidRPr="006C3771">
        <w:rPr>
          <w:rFonts w:cs="Arial"/>
        </w:rPr>
        <w:t xml:space="preserve"> there was not in essence a single renewed application serving before the Minister</w:t>
      </w:r>
      <w:r w:rsidRPr="006C3771">
        <w:rPr>
          <w:rFonts w:cs="Arial"/>
        </w:rPr>
        <w:t>.</w:t>
      </w:r>
      <w:r w:rsidR="00F67E3C" w:rsidRPr="006C3771">
        <w:rPr>
          <w:rFonts w:cs="Arial"/>
        </w:rPr>
        <w:t xml:space="preserve"> I have already rejected this argument on the ground that there was a sufficiently close link between the 2016 notices, the Valentine Day invitation and the 2017 notices for the </w:t>
      </w:r>
      <w:r w:rsidR="00F67E3C" w:rsidRPr="006C3771">
        <w:rPr>
          <w:rFonts w:cs="Arial"/>
          <w:i/>
        </w:rPr>
        <w:t>Johannesburg City Council</w:t>
      </w:r>
      <w:r w:rsidR="00B369CD" w:rsidRPr="006C3771">
        <w:rPr>
          <w:rFonts w:cs="Arial"/>
        </w:rPr>
        <w:t xml:space="preserve"> </w:t>
      </w:r>
      <w:r w:rsidR="00B369CD" w:rsidRPr="006C3771">
        <w:rPr>
          <w:rFonts w:cs="Arial"/>
        </w:rPr>
        <w:lastRenderedPageBreak/>
        <w:t>principles</w:t>
      </w:r>
      <w:r w:rsidR="00F67E3C" w:rsidRPr="006C3771">
        <w:rPr>
          <w:rFonts w:cs="Arial"/>
        </w:rPr>
        <w:t xml:space="preserve"> to</w:t>
      </w:r>
      <w:r w:rsidR="006954A7" w:rsidRPr="006C3771">
        <w:rPr>
          <w:rFonts w:cs="Arial"/>
        </w:rPr>
        <w:t xml:space="preserve"> find application </w:t>
      </w:r>
      <w:r w:rsidR="00EF7965">
        <w:rPr>
          <w:rFonts w:cs="Arial"/>
        </w:rPr>
        <w:t xml:space="preserve">also </w:t>
      </w:r>
      <w:r w:rsidR="006954A7" w:rsidRPr="006C3771">
        <w:rPr>
          <w:rFonts w:cs="Arial"/>
        </w:rPr>
        <w:t>in this case.</w:t>
      </w:r>
    </w:p>
    <w:p w:rsidR="000D0683" w:rsidRPr="006C3771" w:rsidRDefault="000D0683" w:rsidP="006C3771">
      <w:pPr>
        <w:pStyle w:val="ListParagraph"/>
        <w:spacing w:line="360" w:lineRule="auto"/>
        <w:ind w:left="0"/>
        <w:jc w:val="both"/>
        <w:rPr>
          <w:rFonts w:cs="Arial"/>
        </w:rPr>
      </w:pPr>
    </w:p>
    <w:p w:rsidR="007077D0" w:rsidRDefault="00F67E3C" w:rsidP="006C3771">
      <w:pPr>
        <w:pStyle w:val="ListParagraph"/>
        <w:spacing w:line="360" w:lineRule="auto"/>
        <w:ind w:left="0"/>
        <w:jc w:val="both"/>
        <w:rPr>
          <w:rFonts w:cs="Arial"/>
        </w:rPr>
      </w:pPr>
      <w:r w:rsidRPr="006C3771">
        <w:rPr>
          <w:rFonts w:cs="Arial"/>
        </w:rPr>
        <w:t>[</w:t>
      </w:r>
      <w:r w:rsidR="00370C75">
        <w:rPr>
          <w:rFonts w:cs="Arial"/>
        </w:rPr>
        <w:t>3</w:t>
      </w:r>
      <w:r w:rsidR="00AC5F89">
        <w:rPr>
          <w:rFonts w:cs="Arial"/>
        </w:rPr>
        <w:t>2</w:t>
      </w:r>
      <w:r w:rsidRPr="006C3771">
        <w:rPr>
          <w:rFonts w:cs="Arial"/>
        </w:rPr>
        <w:t>]</w:t>
      </w:r>
      <w:r w:rsidRPr="006C3771">
        <w:rPr>
          <w:rFonts w:cs="Arial"/>
        </w:rPr>
        <w:tab/>
        <w:t xml:space="preserve">It has also appeared from my findings made so </w:t>
      </w:r>
      <w:r w:rsidR="00E90432">
        <w:rPr>
          <w:rFonts w:cs="Arial"/>
        </w:rPr>
        <w:t>far that it is irrelevant to these</w:t>
      </w:r>
      <w:r w:rsidRPr="006C3771">
        <w:rPr>
          <w:rFonts w:cs="Arial"/>
        </w:rPr>
        <w:t xml:space="preserve"> requests made under Rule 76(6) that the Minister did not consider or read up whatever was cited in NamibRe’s footnotes.</w:t>
      </w:r>
      <w:r w:rsidR="00E90432">
        <w:rPr>
          <w:rFonts w:cs="Arial"/>
        </w:rPr>
        <w:t xml:space="preserve"> Such material</w:t>
      </w:r>
      <w:r w:rsidR="00D85C93">
        <w:rPr>
          <w:rFonts w:cs="Arial"/>
        </w:rPr>
        <w:t xml:space="preserve"> was clearly available to him and was material which he could have called for.</w:t>
      </w:r>
      <w:r w:rsidRPr="006C3771">
        <w:rPr>
          <w:rFonts w:cs="Arial"/>
        </w:rPr>
        <w:t xml:space="preserve"> That the submissions made by NamibRe are of direct relevance to the decision taken on review is</w:t>
      </w:r>
      <w:r w:rsidR="00AE50B8">
        <w:rPr>
          <w:rFonts w:cs="Arial"/>
        </w:rPr>
        <w:t xml:space="preserve"> also</w:t>
      </w:r>
      <w:r w:rsidRPr="006C3771">
        <w:rPr>
          <w:rFonts w:cs="Arial"/>
        </w:rPr>
        <w:t xml:space="preserve"> beyond doubt. Why should the footnotes</w:t>
      </w:r>
      <w:r w:rsidR="006954A7" w:rsidRPr="006C3771">
        <w:rPr>
          <w:rFonts w:cs="Arial"/>
        </w:rPr>
        <w:t xml:space="preserve"> and the information</w:t>
      </w:r>
      <w:r w:rsidRPr="006C3771">
        <w:rPr>
          <w:rFonts w:cs="Arial"/>
        </w:rPr>
        <w:t>, on the basis of which such submissions were made, now not be of rel</w:t>
      </w:r>
      <w:r w:rsidR="002C18A7" w:rsidRPr="006C3771">
        <w:rPr>
          <w:rFonts w:cs="Arial"/>
        </w:rPr>
        <w:t>evance</w:t>
      </w:r>
      <w:r w:rsidRPr="006C3771">
        <w:rPr>
          <w:rFonts w:cs="Arial"/>
        </w:rPr>
        <w:t>?</w:t>
      </w:r>
      <w:r w:rsidR="009E7EE8" w:rsidRPr="006C3771">
        <w:rPr>
          <w:rFonts w:cs="Arial"/>
        </w:rPr>
        <w:t xml:space="preserve"> </w:t>
      </w:r>
      <w:r w:rsidRPr="006C3771">
        <w:rPr>
          <w:rFonts w:cs="Arial"/>
        </w:rPr>
        <w:t>Surely this is information relevant to the</w:t>
      </w:r>
      <w:r w:rsidR="002C18A7" w:rsidRPr="006C3771">
        <w:rPr>
          <w:rFonts w:cs="Arial"/>
        </w:rPr>
        <w:t>- to be</w:t>
      </w:r>
      <w:r w:rsidRPr="006C3771">
        <w:rPr>
          <w:rFonts w:cs="Arial"/>
        </w:rPr>
        <w:t xml:space="preserve"> impugned decision</w:t>
      </w:r>
      <w:r w:rsidR="002C18A7" w:rsidRPr="006C3771">
        <w:rPr>
          <w:rFonts w:cs="Arial"/>
        </w:rPr>
        <w:t>.</w:t>
      </w:r>
    </w:p>
    <w:p w:rsidR="00370C75" w:rsidRPr="006C3771" w:rsidRDefault="00370C75" w:rsidP="006C3771">
      <w:pPr>
        <w:pStyle w:val="ListParagraph"/>
        <w:spacing w:line="360" w:lineRule="auto"/>
        <w:ind w:left="0"/>
        <w:jc w:val="both"/>
        <w:rPr>
          <w:rFonts w:cs="Arial"/>
        </w:rPr>
      </w:pPr>
    </w:p>
    <w:p w:rsidR="006954A7" w:rsidRDefault="006954A7" w:rsidP="006C3771">
      <w:pPr>
        <w:pStyle w:val="ListParagraph"/>
        <w:spacing w:line="360" w:lineRule="auto"/>
        <w:ind w:left="0"/>
        <w:jc w:val="both"/>
        <w:rPr>
          <w:rFonts w:cs="Arial"/>
        </w:rPr>
      </w:pPr>
      <w:r w:rsidRPr="006C3771">
        <w:rPr>
          <w:rFonts w:cs="Arial"/>
        </w:rPr>
        <w:t>[</w:t>
      </w:r>
      <w:r w:rsidR="00370C75">
        <w:rPr>
          <w:rFonts w:cs="Arial"/>
        </w:rPr>
        <w:t>3</w:t>
      </w:r>
      <w:r w:rsidR="00AC5F89">
        <w:rPr>
          <w:rFonts w:cs="Arial"/>
        </w:rPr>
        <w:t>3</w:t>
      </w:r>
      <w:r w:rsidRPr="006C3771">
        <w:rPr>
          <w:rFonts w:cs="Arial"/>
        </w:rPr>
        <w:t>]</w:t>
      </w:r>
      <w:r w:rsidRPr="006C3771">
        <w:rPr>
          <w:rFonts w:cs="Arial"/>
        </w:rPr>
        <w:tab/>
        <w:t>I have already upheld the argument that Rule 76(6) does not empower a decision-maker to compel the production of materials</w:t>
      </w:r>
      <w:r w:rsidR="00B369CD" w:rsidRPr="006C3771">
        <w:rPr>
          <w:rFonts w:cs="Arial"/>
        </w:rPr>
        <w:t xml:space="preserve"> which</w:t>
      </w:r>
      <w:r w:rsidR="008D3F92" w:rsidRPr="006C3771">
        <w:rPr>
          <w:rFonts w:cs="Arial"/>
        </w:rPr>
        <w:t xml:space="preserve"> are</w:t>
      </w:r>
      <w:r w:rsidRPr="006C3771">
        <w:rPr>
          <w:rFonts w:cs="Arial"/>
        </w:rPr>
        <w:t xml:space="preserve"> not in the actual possession of the decision-maker or under his control</w:t>
      </w:r>
      <w:r w:rsidR="008D3F92" w:rsidRPr="006C3771">
        <w:rPr>
          <w:rFonts w:cs="Arial"/>
        </w:rPr>
        <w:t>, ie.</w:t>
      </w:r>
      <w:r w:rsidR="00B369CD" w:rsidRPr="006C3771">
        <w:rPr>
          <w:rFonts w:cs="Arial"/>
        </w:rPr>
        <w:t xml:space="preserve"> from those</w:t>
      </w:r>
      <w:r w:rsidR="00D85C93">
        <w:rPr>
          <w:rFonts w:cs="Arial"/>
        </w:rPr>
        <w:t xml:space="preserve"> third parties</w:t>
      </w:r>
      <w:r w:rsidR="00B369CD" w:rsidRPr="006C3771">
        <w:rPr>
          <w:rFonts w:cs="Arial"/>
        </w:rPr>
        <w:t xml:space="preserve"> who made submissions</w:t>
      </w:r>
      <w:r w:rsidR="008D3F92" w:rsidRPr="006C3771">
        <w:rPr>
          <w:rFonts w:cs="Arial"/>
        </w:rPr>
        <w:t xml:space="preserve"> to him</w:t>
      </w:r>
      <w:r w:rsidR="00A947C6" w:rsidRPr="006C3771">
        <w:rPr>
          <w:rFonts w:cs="Arial"/>
        </w:rPr>
        <w:t>. In regard to the additional documentation requested, as referenced in the NamibRe documentation</w:t>
      </w:r>
      <w:r w:rsidR="00E142D1" w:rsidRPr="006C3771">
        <w:rPr>
          <w:rFonts w:cs="Arial"/>
        </w:rPr>
        <w:t>, for instance,</w:t>
      </w:r>
      <w:r w:rsidR="00A947C6" w:rsidRPr="006C3771">
        <w:rPr>
          <w:rFonts w:cs="Arial"/>
        </w:rPr>
        <w:t xml:space="preserve"> or in that submitted by the Society of Actuaries or </w:t>
      </w:r>
      <w:r w:rsidR="00E142D1" w:rsidRPr="006C3771">
        <w:rPr>
          <w:rFonts w:cs="Arial"/>
        </w:rPr>
        <w:t xml:space="preserve">that </w:t>
      </w:r>
      <w:r w:rsidR="00A947C6" w:rsidRPr="006C3771">
        <w:rPr>
          <w:rFonts w:cs="Arial"/>
        </w:rPr>
        <w:t xml:space="preserve">as referenced in the documentation of any other third party, although relevant, any order requiring the Minister to produce these, must be a qualified order, limiting the </w:t>
      </w:r>
      <w:r w:rsidR="008D3F92" w:rsidRPr="006C3771">
        <w:rPr>
          <w:rFonts w:cs="Arial"/>
        </w:rPr>
        <w:t>production of those documents to those in</w:t>
      </w:r>
      <w:r w:rsidR="00D85C93">
        <w:rPr>
          <w:rFonts w:cs="Arial"/>
        </w:rPr>
        <w:t xml:space="preserve"> the Ministers</w:t>
      </w:r>
      <w:r w:rsidR="00A947C6" w:rsidRPr="006C3771">
        <w:rPr>
          <w:rFonts w:cs="Arial"/>
        </w:rPr>
        <w:t xml:space="preserve"> possession or</w:t>
      </w:r>
      <w:r w:rsidR="00B369CD" w:rsidRPr="006C3771">
        <w:rPr>
          <w:rFonts w:cs="Arial"/>
        </w:rPr>
        <w:t xml:space="preserve"> to those</w:t>
      </w:r>
      <w:r w:rsidR="00A947C6" w:rsidRPr="006C3771">
        <w:rPr>
          <w:rFonts w:cs="Arial"/>
        </w:rPr>
        <w:t xml:space="preserve"> under his de facto control</w:t>
      </w:r>
      <w:r w:rsidR="00E142D1" w:rsidRPr="006C3771">
        <w:rPr>
          <w:rFonts w:cs="Arial"/>
        </w:rPr>
        <w:t xml:space="preserve"> only</w:t>
      </w:r>
      <w:r w:rsidR="00A947C6" w:rsidRPr="006C3771">
        <w:rPr>
          <w:rFonts w:cs="Arial"/>
        </w:rPr>
        <w:t>. It is relevant in this regard to note that it was pointed out that the applicants have sought no relief against NamibRe, for instance.</w:t>
      </w:r>
    </w:p>
    <w:p w:rsidR="00370C75" w:rsidRPr="006C3771" w:rsidRDefault="00370C75" w:rsidP="006C3771">
      <w:pPr>
        <w:pStyle w:val="ListParagraph"/>
        <w:spacing w:line="360" w:lineRule="auto"/>
        <w:ind w:left="0"/>
        <w:jc w:val="both"/>
        <w:rPr>
          <w:rFonts w:cs="Arial"/>
        </w:rPr>
      </w:pPr>
    </w:p>
    <w:p w:rsidR="00370C75" w:rsidRDefault="00A947C6" w:rsidP="006C3771">
      <w:pPr>
        <w:pStyle w:val="ListParagraph"/>
        <w:spacing w:line="360" w:lineRule="auto"/>
        <w:ind w:left="0"/>
        <w:jc w:val="both"/>
        <w:rPr>
          <w:rFonts w:cs="Arial"/>
        </w:rPr>
      </w:pPr>
      <w:r w:rsidRPr="006C3771">
        <w:rPr>
          <w:rFonts w:cs="Arial"/>
        </w:rPr>
        <w:t>[</w:t>
      </w:r>
      <w:r w:rsidR="00370C75">
        <w:rPr>
          <w:rFonts w:cs="Arial"/>
        </w:rPr>
        <w:t>3</w:t>
      </w:r>
      <w:r w:rsidR="00AC5F89">
        <w:rPr>
          <w:rFonts w:cs="Arial"/>
        </w:rPr>
        <w:t>4</w:t>
      </w:r>
      <w:r w:rsidRPr="006C3771">
        <w:rPr>
          <w:rFonts w:cs="Arial"/>
        </w:rPr>
        <w:t>]</w:t>
      </w:r>
      <w:r w:rsidRPr="006C3771">
        <w:rPr>
          <w:rFonts w:cs="Arial"/>
        </w:rPr>
        <w:tab/>
        <w:t xml:space="preserve">I also do not find the argument persuasive which place into doubt the existence of documentation pertaining to African countries </w:t>
      </w:r>
      <w:r w:rsidR="00B369CD" w:rsidRPr="006C3771">
        <w:rPr>
          <w:rFonts w:cs="Arial"/>
        </w:rPr>
        <w:t>when such documentation has</w:t>
      </w:r>
      <w:r w:rsidRPr="006C3771">
        <w:rPr>
          <w:rFonts w:cs="Arial"/>
        </w:rPr>
        <w:t xml:space="preserve"> been referenced pertinently in footnotes. I believe that such referencing provides a sufficiently sound basis</w:t>
      </w:r>
      <w:r w:rsidR="00E142D1" w:rsidRPr="006C3771">
        <w:rPr>
          <w:rFonts w:cs="Arial"/>
        </w:rPr>
        <w:t xml:space="preserve"> for the ‘required belief’ that such further documentation is indeed in existence.</w:t>
      </w:r>
    </w:p>
    <w:p w:rsidR="00370C75" w:rsidRPr="006C3771" w:rsidRDefault="00370C75" w:rsidP="006C3771">
      <w:pPr>
        <w:pStyle w:val="ListParagraph"/>
        <w:spacing w:line="360" w:lineRule="auto"/>
        <w:ind w:left="0"/>
        <w:jc w:val="both"/>
        <w:rPr>
          <w:rFonts w:cs="Arial"/>
        </w:rPr>
      </w:pPr>
    </w:p>
    <w:p w:rsidR="00D1065B" w:rsidRDefault="00E142D1" w:rsidP="006C3771">
      <w:pPr>
        <w:pStyle w:val="ListParagraph"/>
        <w:spacing w:line="360" w:lineRule="auto"/>
        <w:ind w:left="0"/>
        <w:jc w:val="both"/>
        <w:rPr>
          <w:rFonts w:cs="Arial"/>
        </w:rPr>
      </w:pPr>
      <w:r w:rsidRPr="006C3771">
        <w:rPr>
          <w:rFonts w:cs="Arial"/>
        </w:rPr>
        <w:t>[</w:t>
      </w:r>
      <w:r w:rsidR="00370C75">
        <w:rPr>
          <w:rFonts w:cs="Arial"/>
        </w:rPr>
        <w:t>3</w:t>
      </w:r>
      <w:r w:rsidR="00AC5F89">
        <w:rPr>
          <w:rFonts w:cs="Arial"/>
        </w:rPr>
        <w:t>5</w:t>
      </w:r>
      <w:r w:rsidRPr="006C3771">
        <w:rPr>
          <w:rFonts w:cs="Arial"/>
        </w:rPr>
        <w:t>]</w:t>
      </w:r>
      <w:r w:rsidRPr="006C3771">
        <w:rPr>
          <w:rFonts w:cs="Arial"/>
        </w:rPr>
        <w:tab/>
        <w:t xml:space="preserve">The criticism arguing that the </w:t>
      </w:r>
      <w:r w:rsidR="008D3F92" w:rsidRPr="006C3771">
        <w:rPr>
          <w:rFonts w:cs="Arial"/>
        </w:rPr>
        <w:t>‘</w:t>
      </w:r>
      <w:r w:rsidRPr="006C3771">
        <w:rPr>
          <w:rFonts w:cs="Arial"/>
        </w:rPr>
        <w:t xml:space="preserve">reasonable </w:t>
      </w:r>
      <w:r w:rsidR="008D3F92" w:rsidRPr="006C3771">
        <w:rPr>
          <w:rFonts w:cs="Arial"/>
        </w:rPr>
        <w:t>identification requirement’</w:t>
      </w:r>
      <w:r w:rsidRPr="006C3771">
        <w:rPr>
          <w:rFonts w:cs="Arial"/>
        </w:rPr>
        <w:t xml:space="preserve"> was not met by applicants and that the prefix of the word ‘specific’ before ‘unbounded categories of documents</w:t>
      </w:r>
      <w:r w:rsidR="00555CEA" w:rsidRPr="006C3771">
        <w:rPr>
          <w:rFonts w:cs="Arial"/>
        </w:rPr>
        <w:t>, such as legislative provisions, judgments or reports</w:t>
      </w:r>
      <w:r w:rsidR="008D3F92" w:rsidRPr="006C3771">
        <w:rPr>
          <w:rFonts w:cs="Arial"/>
        </w:rPr>
        <w:t>’</w:t>
      </w:r>
      <w:r w:rsidR="00555CEA" w:rsidRPr="006C3771">
        <w:rPr>
          <w:rFonts w:cs="Arial"/>
        </w:rPr>
        <w:t>,</w:t>
      </w:r>
      <w:r w:rsidR="00D1065B" w:rsidRPr="006C3771">
        <w:rPr>
          <w:rFonts w:cs="Arial"/>
        </w:rPr>
        <w:t xml:space="preserve"> does also not hold water as each request</w:t>
      </w:r>
      <w:r w:rsidR="00555CEA" w:rsidRPr="006C3771">
        <w:rPr>
          <w:rFonts w:cs="Arial"/>
        </w:rPr>
        <w:t xml:space="preserve"> must obviously be s</w:t>
      </w:r>
      <w:r w:rsidR="00D1065B" w:rsidRPr="006C3771">
        <w:rPr>
          <w:rFonts w:cs="Arial"/>
        </w:rPr>
        <w:t>een in relation to the specific</w:t>
      </w:r>
      <w:r w:rsidR="00FF495E" w:rsidRPr="006C3771">
        <w:rPr>
          <w:rFonts w:cs="Arial"/>
        </w:rPr>
        <w:t xml:space="preserve"> context in which it was made, which</w:t>
      </w:r>
      <w:r w:rsidR="00D1065B" w:rsidRPr="006C3771">
        <w:rPr>
          <w:rFonts w:cs="Arial"/>
        </w:rPr>
        <w:t xml:space="preserve"> reference</w:t>
      </w:r>
      <w:r w:rsidR="00D85C93">
        <w:rPr>
          <w:rFonts w:cs="Arial"/>
        </w:rPr>
        <w:t xml:space="preserve"> can</w:t>
      </w:r>
      <w:r w:rsidR="00FF495E" w:rsidRPr="006C3771">
        <w:rPr>
          <w:rFonts w:cs="Arial"/>
        </w:rPr>
        <w:t xml:space="preserve"> then</w:t>
      </w:r>
      <w:r w:rsidR="00D85C93">
        <w:rPr>
          <w:rFonts w:cs="Arial"/>
        </w:rPr>
        <w:t xml:space="preserve"> be</w:t>
      </w:r>
      <w:r w:rsidR="00555CEA" w:rsidRPr="006C3771">
        <w:rPr>
          <w:rFonts w:cs="Arial"/>
        </w:rPr>
        <w:t xml:space="preserve"> narrowed down – enabling reasonable identification – with</w:t>
      </w:r>
      <w:r w:rsidR="00FF495E" w:rsidRPr="006C3771">
        <w:rPr>
          <w:rFonts w:cs="Arial"/>
        </w:rPr>
        <w:t xml:space="preserve"> reference</w:t>
      </w:r>
      <w:r w:rsidR="00555CEA" w:rsidRPr="006C3771">
        <w:rPr>
          <w:rFonts w:cs="Arial"/>
        </w:rPr>
        <w:t xml:space="preserve"> </w:t>
      </w:r>
      <w:r w:rsidR="00FF495E" w:rsidRPr="006C3771">
        <w:rPr>
          <w:rFonts w:cs="Arial"/>
        </w:rPr>
        <w:t>to</w:t>
      </w:r>
      <w:r w:rsidR="00555CEA" w:rsidRPr="006C3771">
        <w:rPr>
          <w:rFonts w:cs="Arial"/>
        </w:rPr>
        <w:t xml:space="preserve"> the</w:t>
      </w:r>
      <w:r w:rsidR="00FF495E" w:rsidRPr="006C3771">
        <w:rPr>
          <w:rFonts w:cs="Arial"/>
        </w:rPr>
        <w:t xml:space="preserve"> specific</w:t>
      </w:r>
      <w:r w:rsidR="00555CEA" w:rsidRPr="006C3771">
        <w:rPr>
          <w:rFonts w:cs="Arial"/>
        </w:rPr>
        <w:t xml:space="preserve"> text</w:t>
      </w:r>
      <w:r w:rsidR="00FF495E" w:rsidRPr="006C3771">
        <w:rPr>
          <w:rFonts w:cs="Arial"/>
        </w:rPr>
        <w:t xml:space="preserve"> to which it refers</w:t>
      </w:r>
      <w:r w:rsidR="00D1065B" w:rsidRPr="006C3771">
        <w:rPr>
          <w:rFonts w:cs="Arial"/>
        </w:rPr>
        <w:t xml:space="preserve"> as read </w:t>
      </w:r>
      <w:r w:rsidR="00D1065B" w:rsidRPr="006C3771">
        <w:rPr>
          <w:rFonts w:cs="Arial"/>
        </w:rPr>
        <w:lastRenderedPageBreak/>
        <w:t>with</w:t>
      </w:r>
      <w:r w:rsidR="00555CEA" w:rsidRPr="006C3771">
        <w:rPr>
          <w:rFonts w:cs="Arial"/>
        </w:rPr>
        <w:t xml:space="preserve"> the related footnote, </w:t>
      </w:r>
      <w:r w:rsidR="008D3F92" w:rsidRPr="006C3771">
        <w:rPr>
          <w:rFonts w:cs="Arial"/>
        </w:rPr>
        <w:t>and where all</w:t>
      </w:r>
      <w:r w:rsidR="00D85C93">
        <w:rPr>
          <w:rFonts w:cs="Arial"/>
        </w:rPr>
        <w:t xml:space="preserve"> information</w:t>
      </w:r>
      <w:r w:rsidR="00D1065B" w:rsidRPr="006C3771">
        <w:rPr>
          <w:rFonts w:cs="Arial"/>
        </w:rPr>
        <w:t xml:space="preserve"> should</w:t>
      </w:r>
      <w:r w:rsidR="00555CEA" w:rsidRPr="006C3771">
        <w:rPr>
          <w:rFonts w:cs="Arial"/>
        </w:rPr>
        <w:t xml:space="preserve"> obviously be read in conjunction</w:t>
      </w:r>
      <w:r w:rsidR="00AE50B8">
        <w:rPr>
          <w:rFonts w:cs="Arial"/>
        </w:rPr>
        <w:t xml:space="preserve"> through which reasonable identification can be achieved</w:t>
      </w:r>
      <w:r w:rsidR="00555CEA" w:rsidRPr="006C3771">
        <w:rPr>
          <w:rFonts w:cs="Arial"/>
        </w:rPr>
        <w:t>.</w:t>
      </w:r>
    </w:p>
    <w:p w:rsidR="00D85C93" w:rsidRPr="006C3771" w:rsidRDefault="00D85C93" w:rsidP="006C3771">
      <w:pPr>
        <w:pStyle w:val="ListParagraph"/>
        <w:spacing w:line="360" w:lineRule="auto"/>
        <w:ind w:left="0"/>
        <w:jc w:val="both"/>
        <w:rPr>
          <w:rFonts w:cs="Arial"/>
        </w:rPr>
      </w:pPr>
    </w:p>
    <w:p w:rsidR="00B62C5B" w:rsidRDefault="00555CEA" w:rsidP="006C3771">
      <w:pPr>
        <w:pStyle w:val="ListParagraph"/>
        <w:spacing w:line="360" w:lineRule="auto"/>
        <w:ind w:left="0"/>
        <w:jc w:val="both"/>
        <w:rPr>
          <w:rFonts w:cs="Arial"/>
        </w:rPr>
      </w:pPr>
      <w:r w:rsidRPr="006C3771">
        <w:rPr>
          <w:rFonts w:cs="Arial"/>
        </w:rPr>
        <w:t>[</w:t>
      </w:r>
      <w:r w:rsidR="00370C75">
        <w:rPr>
          <w:rFonts w:cs="Arial"/>
        </w:rPr>
        <w:t>3</w:t>
      </w:r>
      <w:r w:rsidR="00AC5F89">
        <w:rPr>
          <w:rFonts w:cs="Arial"/>
        </w:rPr>
        <w:t>6</w:t>
      </w:r>
      <w:r w:rsidRPr="006C3771">
        <w:rPr>
          <w:rFonts w:cs="Arial"/>
        </w:rPr>
        <w:t>]</w:t>
      </w:r>
      <w:r w:rsidRPr="006C3771">
        <w:rPr>
          <w:rFonts w:cs="Arial"/>
        </w:rPr>
        <w:tab/>
      </w:r>
      <w:r w:rsidR="00B62C5B" w:rsidRPr="006C3771">
        <w:rPr>
          <w:rFonts w:cs="Arial"/>
        </w:rPr>
        <w:t>As far as the request made in paragraph 1.13 is concerned, the request for documents evidencing compliance with section 12 of the NamibRe Act, relevant to any of NamibRe’s board’s meetings regarding the implementation or enforcement of, or</w:t>
      </w:r>
      <w:r w:rsidR="008D3F92" w:rsidRPr="006C3771">
        <w:rPr>
          <w:rFonts w:cs="Arial"/>
        </w:rPr>
        <w:t xml:space="preserve"> relating to the</w:t>
      </w:r>
      <w:r w:rsidR="00B62C5B" w:rsidRPr="006C3771">
        <w:rPr>
          <w:rFonts w:cs="Arial"/>
        </w:rPr>
        <w:t xml:space="preserve"> giving effect of sections 39, 40, 43 and 47 of the Act, </w:t>
      </w:r>
      <w:r w:rsidR="00E64E94" w:rsidRPr="006C3771">
        <w:rPr>
          <w:rFonts w:cs="Arial"/>
        </w:rPr>
        <w:t xml:space="preserve">I uphold the argument </w:t>
      </w:r>
      <w:r w:rsidR="008D3F92" w:rsidRPr="006C3771">
        <w:rPr>
          <w:rFonts w:cs="Arial"/>
        </w:rPr>
        <w:t>that the particular request i</w:t>
      </w:r>
      <w:r w:rsidR="00E64E94" w:rsidRPr="006C3771">
        <w:rPr>
          <w:rFonts w:cs="Arial"/>
        </w:rPr>
        <w:t>s over</w:t>
      </w:r>
      <w:r w:rsidR="00B62C5B" w:rsidRPr="006C3771">
        <w:rPr>
          <w:rFonts w:cs="Arial"/>
        </w:rPr>
        <w:t xml:space="preserve">broad as the Minister was called upon to produce documents in regard to NamibRe’s compliance with reference to unspecified sub-sections. </w:t>
      </w:r>
      <w:r w:rsidR="00E64E94" w:rsidRPr="006C3771">
        <w:rPr>
          <w:rFonts w:cs="Arial"/>
        </w:rPr>
        <w:t xml:space="preserve">Section 12 has 10 sub-sections, section 39 has 8, section 40 has 6, section 43 has 3 and section 47 has 2. </w:t>
      </w:r>
    </w:p>
    <w:p w:rsidR="00370C75" w:rsidRPr="006C3771" w:rsidRDefault="00370C75" w:rsidP="006C3771">
      <w:pPr>
        <w:pStyle w:val="ListParagraph"/>
        <w:spacing w:line="360" w:lineRule="auto"/>
        <w:ind w:left="0"/>
        <w:jc w:val="both"/>
        <w:rPr>
          <w:rFonts w:cs="Arial"/>
        </w:rPr>
      </w:pPr>
    </w:p>
    <w:p w:rsidR="008C7CD1" w:rsidRDefault="00B62C5B" w:rsidP="006C3771">
      <w:pPr>
        <w:pStyle w:val="ListParagraph"/>
        <w:spacing w:line="360" w:lineRule="auto"/>
        <w:ind w:left="0"/>
        <w:jc w:val="both"/>
        <w:rPr>
          <w:rFonts w:cs="Arial"/>
        </w:rPr>
      </w:pPr>
      <w:r w:rsidRPr="006C3771">
        <w:rPr>
          <w:rFonts w:cs="Arial"/>
        </w:rPr>
        <w:t>[</w:t>
      </w:r>
      <w:r w:rsidR="00370C75">
        <w:rPr>
          <w:rFonts w:cs="Arial"/>
        </w:rPr>
        <w:t>3</w:t>
      </w:r>
      <w:r w:rsidR="00AC5F89">
        <w:rPr>
          <w:rFonts w:cs="Arial"/>
        </w:rPr>
        <w:t>7</w:t>
      </w:r>
      <w:r w:rsidRPr="006C3771">
        <w:rPr>
          <w:rFonts w:cs="Arial"/>
        </w:rPr>
        <w:t>]</w:t>
      </w:r>
      <w:r w:rsidRPr="006C3771">
        <w:rPr>
          <w:rFonts w:cs="Arial"/>
        </w:rPr>
        <w:tab/>
        <w:t xml:space="preserve">It </w:t>
      </w:r>
      <w:r w:rsidR="00281A18" w:rsidRPr="006C3771">
        <w:rPr>
          <w:rFonts w:cs="Arial"/>
        </w:rPr>
        <w:t>so emerge</w:t>
      </w:r>
      <w:r w:rsidRPr="006C3771">
        <w:rPr>
          <w:rFonts w:cs="Arial"/>
        </w:rPr>
        <w:t>s that I am inclided to grant the request</w:t>
      </w:r>
      <w:r w:rsidR="00AE50B8">
        <w:rPr>
          <w:rFonts w:cs="Arial"/>
        </w:rPr>
        <w:t>s</w:t>
      </w:r>
      <w:r w:rsidRPr="006C3771">
        <w:rPr>
          <w:rFonts w:cs="Arial"/>
        </w:rPr>
        <w:t xml:space="preserve"> made in terms of paragraph</w:t>
      </w:r>
      <w:r w:rsidR="00AE50B8">
        <w:rPr>
          <w:rFonts w:cs="Arial"/>
        </w:rPr>
        <w:t>s</w:t>
      </w:r>
      <w:r w:rsidRPr="006C3771">
        <w:rPr>
          <w:rFonts w:cs="Arial"/>
        </w:rPr>
        <w:t xml:space="preserve"> 1.4 </w:t>
      </w:r>
      <w:r w:rsidR="00386D2F" w:rsidRPr="006C3771">
        <w:rPr>
          <w:rFonts w:cs="Arial"/>
        </w:rPr>
        <w:t xml:space="preserve">and 1.12 </w:t>
      </w:r>
      <w:r w:rsidRPr="006C3771">
        <w:rPr>
          <w:rFonts w:cs="Arial"/>
        </w:rPr>
        <w:t xml:space="preserve">of the notice of motion and that I will </w:t>
      </w:r>
      <w:r w:rsidR="008C7CD1" w:rsidRPr="006C3771">
        <w:rPr>
          <w:rFonts w:cs="Arial"/>
        </w:rPr>
        <w:t xml:space="preserve">generally </w:t>
      </w:r>
      <w:r w:rsidRPr="006C3771">
        <w:rPr>
          <w:rFonts w:cs="Arial"/>
        </w:rPr>
        <w:t>decline to grant</w:t>
      </w:r>
      <w:r w:rsidR="00902EF5" w:rsidRPr="006C3771">
        <w:rPr>
          <w:rFonts w:cs="Arial"/>
        </w:rPr>
        <w:t xml:space="preserve"> the overbroad request</w:t>
      </w:r>
      <w:r w:rsidRPr="006C3771">
        <w:rPr>
          <w:rFonts w:cs="Arial"/>
        </w:rPr>
        <w:t xml:space="preserve"> that</w:t>
      </w:r>
      <w:r w:rsidR="00902EF5" w:rsidRPr="006C3771">
        <w:rPr>
          <w:rFonts w:cs="Arial"/>
        </w:rPr>
        <w:t xml:space="preserve"> was</w:t>
      </w:r>
      <w:r w:rsidRPr="006C3771">
        <w:rPr>
          <w:rFonts w:cs="Arial"/>
        </w:rPr>
        <w:t xml:space="preserve"> made in terms of paragraph 1.13.</w:t>
      </w:r>
    </w:p>
    <w:p w:rsidR="00370C75" w:rsidRPr="006C3771" w:rsidRDefault="00370C75" w:rsidP="006C3771">
      <w:pPr>
        <w:pStyle w:val="ListParagraph"/>
        <w:spacing w:line="360" w:lineRule="auto"/>
        <w:ind w:left="0"/>
        <w:jc w:val="both"/>
        <w:rPr>
          <w:rFonts w:cs="Arial"/>
        </w:rPr>
      </w:pPr>
    </w:p>
    <w:p w:rsidR="008C7CD1" w:rsidRDefault="008C7CD1" w:rsidP="006C3771">
      <w:pPr>
        <w:pStyle w:val="ListParagraph"/>
        <w:spacing w:line="360" w:lineRule="auto"/>
        <w:ind w:left="0"/>
        <w:jc w:val="both"/>
        <w:rPr>
          <w:rFonts w:cs="Arial"/>
        </w:rPr>
      </w:pPr>
      <w:r w:rsidRPr="006C3771">
        <w:rPr>
          <w:rFonts w:cs="Arial"/>
        </w:rPr>
        <w:t>[</w:t>
      </w:r>
      <w:r w:rsidR="00370C75">
        <w:rPr>
          <w:rFonts w:cs="Arial"/>
        </w:rPr>
        <w:t>3</w:t>
      </w:r>
      <w:r w:rsidR="00AC5F89">
        <w:rPr>
          <w:rFonts w:cs="Arial"/>
        </w:rPr>
        <w:t>8</w:t>
      </w:r>
      <w:r w:rsidRPr="006C3771">
        <w:rPr>
          <w:rFonts w:cs="Arial"/>
        </w:rPr>
        <w:t>]</w:t>
      </w:r>
      <w:r w:rsidRPr="006C3771">
        <w:rPr>
          <w:rFonts w:cs="Arial"/>
        </w:rPr>
        <w:tab/>
        <w:t xml:space="preserve">It </w:t>
      </w:r>
      <w:r w:rsidR="00902EF5" w:rsidRPr="006C3771">
        <w:rPr>
          <w:rFonts w:cs="Arial"/>
        </w:rPr>
        <w:t xml:space="preserve">however </w:t>
      </w:r>
      <w:r w:rsidRPr="006C3771">
        <w:rPr>
          <w:rFonts w:cs="Arial"/>
        </w:rPr>
        <w:t>appeared further that the applicant also dealt with the request made under paragraph 1.13 under the heading ‘the fourth and final category of documents: documents to prove NamibRe’s compliance with relevant statutory provisions’ where the additional argument was mustered to the effect that:</w:t>
      </w:r>
    </w:p>
    <w:p w:rsidR="00BF76CA" w:rsidRPr="006C3771" w:rsidRDefault="00BF76CA" w:rsidP="006C3771">
      <w:pPr>
        <w:pStyle w:val="ListParagraph"/>
        <w:spacing w:line="360" w:lineRule="auto"/>
        <w:ind w:left="0"/>
        <w:jc w:val="both"/>
        <w:rPr>
          <w:rFonts w:cs="Arial"/>
        </w:rPr>
      </w:pPr>
    </w:p>
    <w:p w:rsidR="008C7CD1" w:rsidRPr="00E7106E" w:rsidRDefault="008C7CD1" w:rsidP="00BF76CA">
      <w:pPr>
        <w:pStyle w:val="Heading1"/>
        <w:spacing w:before="0" w:after="0" w:line="360" w:lineRule="auto"/>
        <w:ind w:firstLine="720"/>
        <w:jc w:val="both"/>
        <w:rPr>
          <w:rFonts w:ascii="Arial" w:hAnsi="Arial" w:cs="Arial"/>
          <w:b w:val="0"/>
          <w:sz w:val="22"/>
          <w:szCs w:val="22"/>
        </w:rPr>
      </w:pPr>
      <w:r w:rsidRPr="00E7106E">
        <w:rPr>
          <w:rFonts w:ascii="Arial" w:hAnsi="Arial" w:cs="Arial"/>
          <w:b w:val="0"/>
          <w:sz w:val="22"/>
          <w:szCs w:val="22"/>
        </w:rPr>
        <w:t xml:space="preserve">‘45. Under this last category of documents, the applicants requested the Minister to produce documents that evidence that NamibRe had complied with its statutory duties required for the lawful implementation of sections 39, 40, 43 and 47 of the NamibRe Act.  The Minister declined to produce any of the requested documents since he claimed “they were not before him” when he made his decision and thus need not be produced.  He did not deny their existence.  </w:t>
      </w:r>
    </w:p>
    <w:p w:rsidR="00E7106E" w:rsidRPr="00E7106E" w:rsidRDefault="00E7106E" w:rsidP="00E7106E"/>
    <w:p w:rsidR="008C7CD1" w:rsidRPr="00E7106E" w:rsidRDefault="008C7CD1" w:rsidP="006C3771">
      <w:pPr>
        <w:pStyle w:val="Heading1"/>
        <w:spacing w:before="0" w:after="0" w:line="360" w:lineRule="auto"/>
        <w:jc w:val="both"/>
        <w:rPr>
          <w:rFonts w:ascii="Arial" w:hAnsi="Arial" w:cs="Arial"/>
          <w:b w:val="0"/>
          <w:sz w:val="22"/>
          <w:szCs w:val="22"/>
        </w:rPr>
      </w:pPr>
      <w:r w:rsidRPr="00E7106E">
        <w:rPr>
          <w:rFonts w:ascii="Arial" w:hAnsi="Arial" w:cs="Arial"/>
          <w:b w:val="0"/>
          <w:sz w:val="22"/>
          <w:szCs w:val="22"/>
        </w:rPr>
        <w:t xml:space="preserve">46. In terms of sections 39(5) and (8), and 43(2), the Minister could only specify the percentages of compulsory reinsurance under section 39 or exempt any insurer from the requirement to reinsure the specified percentage, or direct the percentage commission payable to NamibRe under section 43, on recommendation to that effect by the NamibRe Board.  The NamibRe Board recommendations would have had to be </w:t>
      </w:r>
      <w:r w:rsidRPr="00E7106E">
        <w:rPr>
          <w:rFonts w:ascii="Arial" w:hAnsi="Arial" w:cs="Arial"/>
          <w:b w:val="0"/>
          <w:sz w:val="22"/>
          <w:szCs w:val="22"/>
          <w:u w:val="single"/>
        </w:rPr>
        <w:t>valid</w:t>
      </w:r>
      <w:r w:rsidRPr="00E7106E">
        <w:rPr>
          <w:rFonts w:ascii="Arial" w:hAnsi="Arial" w:cs="Arial"/>
          <w:b w:val="0"/>
          <w:sz w:val="22"/>
          <w:szCs w:val="22"/>
        </w:rPr>
        <w:t xml:space="preserve"> recommendations, and therefore would have had to comply with section 12, at the very least, of the NamibRe Act.  The Minister would have had to be satisfied that the recommendations were valid before he could exercise his powers.  And the Court must be satisfied that the recommendations </w:t>
      </w:r>
      <w:r w:rsidRPr="00E7106E">
        <w:rPr>
          <w:rFonts w:ascii="Arial" w:hAnsi="Arial" w:cs="Arial"/>
          <w:b w:val="0"/>
          <w:sz w:val="22"/>
          <w:szCs w:val="22"/>
        </w:rPr>
        <w:lastRenderedPageBreak/>
        <w:t>were validly made.  Otherwise the Minister’s decisions would be unlawful.  As such the request for the documents in paragraph 16</w:t>
      </w:r>
      <w:r w:rsidR="00281A18" w:rsidRPr="00E7106E">
        <w:rPr>
          <w:rFonts w:ascii="Arial" w:hAnsi="Arial" w:cs="Arial"/>
          <w:b w:val="0"/>
          <w:sz w:val="22"/>
          <w:szCs w:val="22"/>
        </w:rPr>
        <w:t xml:space="preserve"> </w:t>
      </w:r>
      <w:r w:rsidR="00281A18" w:rsidRPr="00E7106E">
        <w:rPr>
          <w:rFonts w:ascii="Arial" w:hAnsi="Arial" w:cs="Arial"/>
          <w:b w:val="0"/>
          <w:i/>
          <w:sz w:val="22"/>
          <w:szCs w:val="22"/>
        </w:rPr>
        <w:t>(this actually seems to be a reference to 1.13</w:t>
      </w:r>
      <w:r w:rsidRPr="00E7106E">
        <w:rPr>
          <w:rFonts w:ascii="Arial" w:hAnsi="Arial" w:cs="Arial"/>
          <w:b w:val="0"/>
          <w:i/>
          <w:sz w:val="22"/>
          <w:szCs w:val="22"/>
        </w:rPr>
        <w:t>)</w:t>
      </w:r>
      <w:r w:rsidRPr="00E7106E">
        <w:rPr>
          <w:rFonts w:ascii="Arial" w:hAnsi="Arial" w:cs="Arial"/>
          <w:b w:val="0"/>
          <w:sz w:val="22"/>
          <w:szCs w:val="22"/>
        </w:rPr>
        <w:t xml:space="preserve"> of the applicants’ rule 76(6) notice is valid and the court should order their production.</w:t>
      </w:r>
      <w:r w:rsidR="00E7106E">
        <w:rPr>
          <w:rFonts w:ascii="Arial" w:hAnsi="Arial" w:cs="Arial"/>
          <w:b w:val="0"/>
          <w:sz w:val="22"/>
          <w:szCs w:val="22"/>
        </w:rPr>
        <w:t>’</w:t>
      </w:r>
      <w:r w:rsidRPr="00E7106E">
        <w:rPr>
          <w:rFonts w:ascii="Arial" w:hAnsi="Arial" w:cs="Arial"/>
          <w:b w:val="0"/>
          <w:sz w:val="22"/>
          <w:szCs w:val="22"/>
        </w:rPr>
        <w:t xml:space="preserve">  </w:t>
      </w:r>
    </w:p>
    <w:p w:rsidR="008C7CD1" w:rsidRPr="006C3771" w:rsidRDefault="008C7CD1" w:rsidP="006C3771">
      <w:pPr>
        <w:pStyle w:val="ListParagraph"/>
        <w:spacing w:line="360" w:lineRule="auto"/>
        <w:ind w:left="0"/>
        <w:jc w:val="both"/>
        <w:rPr>
          <w:rFonts w:cs="Arial"/>
        </w:rPr>
      </w:pPr>
    </w:p>
    <w:p w:rsidR="00832D44" w:rsidRDefault="00832D44" w:rsidP="006C3771">
      <w:pPr>
        <w:pStyle w:val="ListParagraph"/>
        <w:spacing w:line="360" w:lineRule="auto"/>
        <w:ind w:left="0"/>
        <w:jc w:val="both"/>
        <w:rPr>
          <w:rFonts w:cs="Arial"/>
        </w:rPr>
      </w:pPr>
      <w:r w:rsidRPr="006C3771">
        <w:rPr>
          <w:rFonts w:cs="Arial"/>
        </w:rPr>
        <w:t>[</w:t>
      </w:r>
      <w:r w:rsidR="00193AA7">
        <w:rPr>
          <w:rFonts w:cs="Arial"/>
        </w:rPr>
        <w:t>3</w:t>
      </w:r>
      <w:r w:rsidR="00AC5F89">
        <w:rPr>
          <w:rFonts w:cs="Arial"/>
        </w:rPr>
        <w:t>9</w:t>
      </w:r>
      <w:r w:rsidRPr="006C3771">
        <w:rPr>
          <w:rFonts w:cs="Arial"/>
        </w:rPr>
        <w:t>]</w:t>
      </w:r>
      <w:r w:rsidRPr="006C3771">
        <w:rPr>
          <w:rFonts w:cs="Arial"/>
        </w:rPr>
        <w:tab/>
        <w:t>This further argument is persuasive as it demonstrates the potential relevance underlying this request. At the same time it</w:t>
      </w:r>
      <w:r w:rsidR="00844AB9" w:rsidRPr="006C3771">
        <w:rPr>
          <w:rFonts w:cs="Arial"/>
        </w:rPr>
        <w:t xml:space="preserve"> also</w:t>
      </w:r>
      <w:r w:rsidRPr="006C3771">
        <w:rPr>
          <w:rFonts w:cs="Arial"/>
        </w:rPr>
        <w:t xml:space="preserve"> illustrates the point that the</w:t>
      </w:r>
      <w:r w:rsidR="008D3F92" w:rsidRPr="006C3771">
        <w:rPr>
          <w:rFonts w:cs="Arial"/>
        </w:rPr>
        <w:t xml:space="preserve"> actual</w:t>
      </w:r>
      <w:r w:rsidRPr="006C3771">
        <w:rPr>
          <w:rFonts w:cs="Arial"/>
        </w:rPr>
        <w:t xml:space="preserve"> request was couched in too wide terms. If the applicants intended the Minister to produce documentation evidencing that he had received valid recommendations, (made in compliance with section 12),  for purposes of exercising his functions in terms of sections 39(5) and (8), and 43(2) of the NamibRe Act</w:t>
      </w:r>
      <w:r w:rsidR="00844AB9" w:rsidRPr="006C3771">
        <w:rPr>
          <w:rFonts w:cs="Arial"/>
        </w:rPr>
        <w:t>, the request should have specified this.</w:t>
      </w:r>
      <w:r w:rsidRPr="006C3771">
        <w:rPr>
          <w:rFonts w:cs="Arial"/>
        </w:rPr>
        <w:t xml:space="preserve"> </w:t>
      </w:r>
    </w:p>
    <w:p w:rsidR="00193AA7" w:rsidRPr="006C3771" w:rsidRDefault="00193AA7" w:rsidP="006C3771">
      <w:pPr>
        <w:pStyle w:val="ListParagraph"/>
        <w:spacing w:line="360" w:lineRule="auto"/>
        <w:ind w:left="0"/>
        <w:jc w:val="both"/>
        <w:rPr>
          <w:rFonts w:cs="Arial"/>
        </w:rPr>
      </w:pPr>
    </w:p>
    <w:p w:rsidR="00281A18" w:rsidRDefault="00281A18" w:rsidP="006C3771">
      <w:pPr>
        <w:pStyle w:val="ListParagraph"/>
        <w:spacing w:line="360" w:lineRule="auto"/>
        <w:ind w:left="0"/>
        <w:jc w:val="both"/>
        <w:rPr>
          <w:rFonts w:cs="Arial"/>
        </w:rPr>
      </w:pPr>
      <w:r w:rsidRPr="006C3771">
        <w:rPr>
          <w:rFonts w:cs="Arial"/>
        </w:rPr>
        <w:t>[</w:t>
      </w:r>
      <w:r w:rsidR="00AC5F89">
        <w:rPr>
          <w:rFonts w:cs="Arial"/>
        </w:rPr>
        <w:t>40</w:t>
      </w:r>
      <w:r w:rsidRPr="006C3771">
        <w:rPr>
          <w:rFonts w:cs="Arial"/>
        </w:rPr>
        <w:t>]</w:t>
      </w:r>
      <w:r w:rsidRPr="006C3771">
        <w:rPr>
          <w:rFonts w:cs="Arial"/>
        </w:rPr>
        <w:tab/>
        <w:t xml:space="preserve">The respondents’ further submission to the effect that the relied upon rule is </w:t>
      </w:r>
      <w:r w:rsidRPr="006C3771">
        <w:rPr>
          <w:rFonts w:cs="Arial"/>
          <w:i/>
        </w:rPr>
        <w:t>‘ …not a licence to ferret out procedural non-compliance(s) by another party (here NamibRe) as regards meetings it conducted …’</w:t>
      </w:r>
      <w:r w:rsidRPr="006C3771">
        <w:rPr>
          <w:rFonts w:cs="Arial"/>
        </w:rPr>
        <w:t xml:space="preserve"> </w:t>
      </w:r>
      <w:r w:rsidR="008D3F92" w:rsidRPr="006C3771">
        <w:rPr>
          <w:rFonts w:cs="Arial"/>
        </w:rPr>
        <w:t>is misdirected as that was not the aim for</w:t>
      </w:r>
      <w:r w:rsidR="00E131D7" w:rsidRPr="006C3771">
        <w:rPr>
          <w:rFonts w:cs="Arial"/>
        </w:rPr>
        <w:t xml:space="preserve"> </w:t>
      </w:r>
      <w:r w:rsidR="00D85C93">
        <w:rPr>
          <w:rFonts w:cs="Arial"/>
        </w:rPr>
        <w:t>which the request was made when</w:t>
      </w:r>
      <w:r w:rsidR="00E131D7" w:rsidRPr="006C3771">
        <w:rPr>
          <w:rFonts w:cs="Arial"/>
        </w:rPr>
        <w:t xml:space="preserve"> it was clearly stated that the request was made because of its</w:t>
      </w:r>
      <w:r w:rsidR="00C356BE" w:rsidRPr="006C3771">
        <w:rPr>
          <w:rFonts w:cs="Arial"/>
        </w:rPr>
        <w:t xml:space="preserve"> potential relevance to the decision taken on review</w:t>
      </w:r>
      <w:r w:rsidR="00D85C93">
        <w:rPr>
          <w:rFonts w:cs="Arial"/>
        </w:rPr>
        <w:t xml:space="preserve"> and where this request was illustrated with reference to examples underscoring this purpose</w:t>
      </w:r>
      <w:r w:rsidRPr="006C3771">
        <w:rPr>
          <w:rFonts w:cs="Arial"/>
        </w:rPr>
        <w:t>.</w:t>
      </w:r>
    </w:p>
    <w:p w:rsidR="00193AA7" w:rsidRPr="006C3771" w:rsidRDefault="00193AA7" w:rsidP="006C3771">
      <w:pPr>
        <w:pStyle w:val="ListParagraph"/>
        <w:spacing w:line="360" w:lineRule="auto"/>
        <w:ind w:left="0"/>
        <w:jc w:val="both"/>
        <w:rPr>
          <w:rFonts w:cs="Arial"/>
        </w:rPr>
      </w:pPr>
    </w:p>
    <w:p w:rsidR="00C356BE" w:rsidRPr="006C3771" w:rsidRDefault="00844AB9" w:rsidP="006C3771">
      <w:pPr>
        <w:pStyle w:val="ListParagraph"/>
        <w:spacing w:line="360" w:lineRule="auto"/>
        <w:ind w:left="0"/>
        <w:jc w:val="both"/>
        <w:rPr>
          <w:rFonts w:cs="Arial"/>
        </w:rPr>
      </w:pPr>
      <w:r w:rsidRPr="006C3771">
        <w:rPr>
          <w:rFonts w:cs="Arial"/>
        </w:rPr>
        <w:t>[</w:t>
      </w:r>
      <w:r w:rsidR="00193AA7">
        <w:rPr>
          <w:rFonts w:cs="Arial"/>
        </w:rPr>
        <w:t>4</w:t>
      </w:r>
      <w:r w:rsidR="00AC5F89">
        <w:rPr>
          <w:rFonts w:cs="Arial"/>
        </w:rPr>
        <w:t>1</w:t>
      </w:r>
      <w:r w:rsidRPr="006C3771">
        <w:rPr>
          <w:rFonts w:cs="Arial"/>
        </w:rPr>
        <w:t>]</w:t>
      </w:r>
      <w:r w:rsidRPr="006C3771">
        <w:rPr>
          <w:rFonts w:cs="Arial"/>
        </w:rPr>
        <w:tab/>
        <w:t>As the Minister did not deny the existence of these documents I am inclined to nevertheless gr</w:t>
      </w:r>
      <w:r w:rsidR="00386D2F" w:rsidRPr="006C3771">
        <w:rPr>
          <w:rFonts w:cs="Arial"/>
        </w:rPr>
        <w:t>ant this</w:t>
      </w:r>
      <w:r w:rsidRPr="006C3771">
        <w:rPr>
          <w:rFonts w:cs="Arial"/>
        </w:rPr>
        <w:t xml:space="preserve"> request on its narrower compass</w:t>
      </w:r>
      <w:r w:rsidR="00C356BE" w:rsidRPr="006C3771">
        <w:rPr>
          <w:rFonts w:cs="Arial"/>
        </w:rPr>
        <w:t xml:space="preserve"> only</w:t>
      </w:r>
      <w:r w:rsidRPr="006C3771">
        <w:rPr>
          <w:rFonts w:cs="Arial"/>
        </w:rPr>
        <w:t>.</w:t>
      </w:r>
    </w:p>
    <w:p w:rsidR="00C356BE" w:rsidRPr="006C3771" w:rsidRDefault="00C356BE" w:rsidP="006C3771">
      <w:pPr>
        <w:pStyle w:val="ListParagraph"/>
        <w:spacing w:line="360" w:lineRule="auto"/>
        <w:ind w:left="0"/>
        <w:jc w:val="both"/>
        <w:rPr>
          <w:rFonts w:cs="Arial"/>
        </w:rPr>
      </w:pPr>
    </w:p>
    <w:p w:rsidR="00B62C5B" w:rsidRPr="006C3771" w:rsidRDefault="00B62C5B" w:rsidP="006C3771">
      <w:pPr>
        <w:spacing w:after="0" w:line="360" w:lineRule="auto"/>
        <w:jc w:val="both"/>
        <w:rPr>
          <w:rFonts w:ascii="Arial" w:hAnsi="Arial" w:cs="Arial"/>
          <w:sz w:val="24"/>
          <w:szCs w:val="24"/>
          <w:u w:val="single"/>
        </w:rPr>
      </w:pPr>
      <w:r w:rsidRPr="006C3771">
        <w:rPr>
          <w:rFonts w:ascii="Arial" w:hAnsi="Arial" w:cs="Arial"/>
          <w:sz w:val="24"/>
          <w:szCs w:val="24"/>
          <w:u w:val="single"/>
        </w:rPr>
        <w:t>The third category of documents:  The documents relating to the Minister’s consideration of the material before him and his ultimate decision to publish the Notices</w:t>
      </w:r>
    </w:p>
    <w:p w:rsidR="000264CC" w:rsidRPr="006C3771" w:rsidRDefault="000264CC" w:rsidP="006C3771">
      <w:pPr>
        <w:spacing w:after="0" w:line="360" w:lineRule="auto"/>
        <w:jc w:val="both"/>
        <w:rPr>
          <w:rFonts w:ascii="Arial" w:hAnsi="Arial" w:cs="Arial"/>
          <w:sz w:val="24"/>
          <w:szCs w:val="24"/>
        </w:rPr>
      </w:pPr>
    </w:p>
    <w:p w:rsidR="00496853" w:rsidRPr="006C3771" w:rsidRDefault="00496853" w:rsidP="006C3771">
      <w:pPr>
        <w:spacing w:after="0" w:line="360" w:lineRule="auto"/>
        <w:jc w:val="both"/>
        <w:rPr>
          <w:rFonts w:ascii="Arial" w:hAnsi="Arial" w:cs="Arial"/>
          <w:sz w:val="24"/>
          <w:szCs w:val="24"/>
        </w:rPr>
      </w:pPr>
      <w:r w:rsidRPr="006C3771">
        <w:rPr>
          <w:rFonts w:ascii="Arial" w:hAnsi="Arial" w:cs="Arial"/>
          <w:sz w:val="24"/>
          <w:szCs w:val="24"/>
        </w:rPr>
        <w:t>[</w:t>
      </w:r>
      <w:r w:rsidR="00193AA7">
        <w:rPr>
          <w:rFonts w:ascii="Arial" w:hAnsi="Arial" w:cs="Arial"/>
          <w:sz w:val="24"/>
          <w:szCs w:val="24"/>
        </w:rPr>
        <w:t>4</w:t>
      </w:r>
      <w:r w:rsidR="00AC5F89">
        <w:rPr>
          <w:rFonts w:ascii="Arial" w:hAnsi="Arial" w:cs="Arial"/>
          <w:sz w:val="24"/>
          <w:szCs w:val="24"/>
        </w:rPr>
        <w:t>2</w:t>
      </w:r>
      <w:r w:rsidRPr="006C3771">
        <w:rPr>
          <w:rFonts w:ascii="Arial" w:hAnsi="Arial" w:cs="Arial"/>
          <w:sz w:val="24"/>
          <w:szCs w:val="24"/>
        </w:rPr>
        <w:t>]</w:t>
      </w:r>
      <w:r w:rsidRPr="006C3771">
        <w:rPr>
          <w:rFonts w:ascii="Arial" w:hAnsi="Arial" w:cs="Arial"/>
          <w:sz w:val="24"/>
          <w:szCs w:val="24"/>
        </w:rPr>
        <w:tab/>
        <w:t xml:space="preserve">For this category applicants’ counsel have conveniently summarized each request, the Minister’s answer to each such request and the applicants’ position in respect of each answer given. For ease of reference I have put these stances in columns. </w:t>
      </w:r>
      <w:r w:rsidR="00D85C93">
        <w:rPr>
          <w:rFonts w:ascii="Arial" w:hAnsi="Arial" w:cs="Arial"/>
          <w:sz w:val="24"/>
          <w:szCs w:val="24"/>
        </w:rPr>
        <w:t>I will then turn to deal with these positions together with the arguments mounted for and against</w:t>
      </w:r>
      <w:r w:rsidR="00AB3139">
        <w:rPr>
          <w:rFonts w:ascii="Arial" w:hAnsi="Arial" w:cs="Arial"/>
          <w:sz w:val="24"/>
          <w:szCs w:val="24"/>
        </w:rPr>
        <w:t xml:space="preserve"> for purposes of determining each request.</w:t>
      </w:r>
    </w:p>
    <w:p w:rsidR="00D2105E" w:rsidRPr="006C3771" w:rsidRDefault="00D2105E" w:rsidP="00732F6A">
      <w:pPr>
        <w:spacing w:after="0" w:line="36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3482"/>
        <w:gridCol w:w="2770"/>
        <w:gridCol w:w="2770"/>
      </w:tblGrid>
      <w:tr w:rsidR="00496853" w:rsidRPr="006C3771" w:rsidTr="00663CFA">
        <w:tc>
          <w:tcPr>
            <w:tcW w:w="3482" w:type="dxa"/>
            <w:tcBorders>
              <w:bottom w:val="single" w:sz="4" w:space="0" w:color="auto"/>
            </w:tcBorders>
          </w:tcPr>
          <w:p w:rsidR="00496853" w:rsidRPr="006C3771" w:rsidRDefault="00496853" w:rsidP="00732F6A">
            <w:pPr>
              <w:jc w:val="both"/>
              <w:rPr>
                <w:rFonts w:ascii="Arial" w:hAnsi="Arial" w:cs="Arial"/>
                <w:b/>
              </w:rPr>
            </w:pPr>
            <w:r w:rsidRPr="006C3771">
              <w:rPr>
                <w:rFonts w:ascii="Arial" w:hAnsi="Arial" w:cs="Arial"/>
                <w:b/>
              </w:rPr>
              <w:t>THE REQUEST as per paragraph 1.1 of the Notice of Motion</w:t>
            </w:r>
          </w:p>
          <w:p w:rsidR="00496853" w:rsidRPr="006C3771" w:rsidRDefault="00496853" w:rsidP="00732F6A">
            <w:pPr>
              <w:jc w:val="both"/>
              <w:rPr>
                <w:rFonts w:ascii="Arial" w:hAnsi="Arial" w:cs="Arial"/>
                <w:b/>
              </w:rPr>
            </w:pPr>
            <w:r w:rsidRPr="006C3771">
              <w:rPr>
                <w:rFonts w:ascii="Arial" w:hAnsi="Arial" w:cs="Arial"/>
                <w:b/>
              </w:rPr>
              <w:lastRenderedPageBreak/>
              <w:t>“1.</w:t>
            </w:r>
            <w:r w:rsidRPr="006C3771">
              <w:rPr>
                <w:rFonts w:ascii="Arial" w:hAnsi="Arial" w:cs="Arial"/>
                <w:b/>
              </w:rPr>
              <w:tab/>
              <w:t>Drafts prepared for the Minister or by the Minister to file his reasons referred to above. As well as documents indicating when (i.e. the date) the reasons were finalized.”</w:t>
            </w:r>
          </w:p>
          <w:p w:rsidR="00496853" w:rsidRPr="006C3771" w:rsidRDefault="00496853" w:rsidP="00732F6A">
            <w:pPr>
              <w:rPr>
                <w:rFonts w:ascii="Arial" w:hAnsi="Arial" w:cs="Arial"/>
              </w:rPr>
            </w:pPr>
          </w:p>
        </w:tc>
        <w:tc>
          <w:tcPr>
            <w:tcW w:w="2770" w:type="dxa"/>
          </w:tcPr>
          <w:p w:rsidR="00496853" w:rsidRPr="006C3771" w:rsidRDefault="00496853" w:rsidP="00732F6A">
            <w:pPr>
              <w:rPr>
                <w:rFonts w:ascii="Arial" w:hAnsi="Arial" w:cs="Arial"/>
                <w:b/>
              </w:rPr>
            </w:pPr>
            <w:r w:rsidRPr="006C3771">
              <w:rPr>
                <w:rFonts w:ascii="Arial" w:hAnsi="Arial" w:cs="Arial"/>
                <w:b/>
              </w:rPr>
              <w:lastRenderedPageBreak/>
              <w:t>The First Respondents ANSWER to 1.1</w:t>
            </w:r>
          </w:p>
          <w:p w:rsidR="00496853" w:rsidRPr="006C3771" w:rsidRDefault="00496853" w:rsidP="00732F6A">
            <w:pPr>
              <w:rPr>
                <w:rFonts w:ascii="Arial" w:hAnsi="Arial" w:cs="Arial"/>
                <w:b/>
              </w:rPr>
            </w:pPr>
          </w:p>
          <w:p w:rsidR="00496853" w:rsidRPr="006C3771" w:rsidRDefault="00496853" w:rsidP="00732F6A">
            <w:pPr>
              <w:jc w:val="both"/>
              <w:rPr>
                <w:rFonts w:ascii="Arial" w:hAnsi="Arial" w:cs="Arial"/>
              </w:rPr>
            </w:pPr>
            <w:r w:rsidRPr="006C3771">
              <w:rPr>
                <w:rFonts w:ascii="Arial" w:hAnsi="Arial" w:cs="Arial"/>
              </w:rPr>
              <w:lastRenderedPageBreak/>
              <w:t>“5.</w:t>
            </w:r>
            <w:r w:rsidRPr="006C3771">
              <w:rPr>
                <w:rFonts w:ascii="Arial" w:hAnsi="Arial" w:cs="Arial"/>
              </w:rPr>
              <w:tab/>
              <w:t>I am advised by my legal practitioners that the reasons for my decision were duly filed, pursuant to the requirements of Rule 76, on 6 June 2018 in accordance with Rule 76. The applicants are not entitled by way of general discovery, nor in terms of Rule 76, to “drafts prepared for the minister or by the minister to file his reasons”, or documents “indicating when (ie the date) the reasons were final[s]ed” (to the extent that any such materials may exist).”</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b/>
              </w:rPr>
            </w:pPr>
            <w:r w:rsidRPr="006C3771">
              <w:rPr>
                <w:rFonts w:ascii="Arial" w:hAnsi="Arial" w:cs="Arial"/>
                <w:b/>
              </w:rPr>
              <w:lastRenderedPageBreak/>
              <w:t xml:space="preserve">The Applicants’ Reply </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lastRenderedPageBreak/>
              <w:t>8.1.1</w:t>
            </w:r>
            <w:r w:rsidRPr="006C3771">
              <w:rPr>
                <w:rFonts w:ascii="Arial" w:hAnsi="Arial" w:cs="Arial"/>
              </w:rPr>
              <w:tab/>
              <w:t xml:space="preserve"> The reply is unacceptably and unnecessarily ambivalent. The minister was required to state whether the documents requested exist or not. He chose to avoid the question. The fact that the Minister did not deny the existence of the documents makes plain that they do exist.</w:t>
            </w:r>
          </w:p>
          <w:p w:rsidR="00496853" w:rsidRPr="006C3771" w:rsidRDefault="00496853" w:rsidP="00732F6A">
            <w:pPr>
              <w:jc w:val="both"/>
              <w:rPr>
                <w:rFonts w:ascii="Arial" w:hAnsi="Arial" w:cs="Arial"/>
              </w:rPr>
            </w:pPr>
            <w:r w:rsidRPr="006C3771">
              <w:rPr>
                <w:rFonts w:ascii="Arial" w:hAnsi="Arial" w:cs="Arial"/>
              </w:rPr>
              <w:t>8.1.2</w:t>
            </w:r>
            <w:r w:rsidRPr="006C3771">
              <w:rPr>
                <w:rFonts w:ascii="Arial" w:hAnsi="Arial" w:cs="Arial"/>
              </w:rPr>
              <w:tab/>
              <w:t>If the documents did not, the simple answer would have been just that – they do not exist.</w:t>
            </w:r>
          </w:p>
          <w:p w:rsidR="00496853" w:rsidRPr="006C3771" w:rsidRDefault="00432C18" w:rsidP="00732F6A">
            <w:pPr>
              <w:jc w:val="both"/>
              <w:rPr>
                <w:rFonts w:ascii="Arial" w:hAnsi="Arial" w:cs="Arial"/>
              </w:rPr>
            </w:pPr>
            <w:r>
              <w:rPr>
                <w:rFonts w:ascii="Arial" w:eastAsia="Calibri" w:hAnsi="Arial" w:cs="Arial"/>
                <w:bCs/>
                <w:sz w:val="24"/>
                <w:szCs w:val="24"/>
              </w:rPr>
              <w:pict>
                <v:rect id="_x0000_i1029" style="width:0;height:1.5pt" o:hralign="center" o:hrstd="t" o:hr="t" fillcolor="#a0a0a0" stroked="f"/>
              </w:pict>
            </w:r>
          </w:p>
          <w:p w:rsidR="00496853" w:rsidRPr="006C3771" w:rsidRDefault="00496853" w:rsidP="00732F6A">
            <w:pPr>
              <w:jc w:val="both"/>
              <w:rPr>
                <w:rFonts w:ascii="Arial" w:hAnsi="Arial" w:cs="Arial"/>
              </w:rPr>
            </w:pPr>
            <w:r w:rsidRPr="006C3771">
              <w:rPr>
                <w:rFonts w:ascii="Arial" w:hAnsi="Arial" w:cs="Arial"/>
              </w:rPr>
              <w:t>8.1.3</w:t>
            </w:r>
            <w:r w:rsidRPr="006C3771">
              <w:rPr>
                <w:rFonts w:ascii="Arial" w:hAnsi="Arial" w:cs="Arial"/>
              </w:rPr>
              <w:tab/>
              <w:t>The factual existence of the documents is supported by the nature of the issues at hand, on which the first respondent was required to make decisions. It is highly unlikely that the first respondent made up his mind on all of the issues in one go, and all in his head, and personally typed his decisions and reasons perfectly on his first attempt.</w:t>
            </w:r>
          </w:p>
          <w:p w:rsidR="00496853" w:rsidRPr="006C3771" w:rsidRDefault="00496853" w:rsidP="00732F6A">
            <w:pPr>
              <w:jc w:val="both"/>
              <w:rPr>
                <w:rFonts w:ascii="Arial" w:hAnsi="Arial" w:cs="Arial"/>
              </w:rPr>
            </w:pPr>
            <w:r w:rsidRPr="006C3771">
              <w:rPr>
                <w:rFonts w:ascii="Arial" w:hAnsi="Arial" w:cs="Arial"/>
              </w:rPr>
              <w:t>34.2.</w:t>
            </w:r>
            <w:r w:rsidRPr="006C3771">
              <w:rPr>
                <w:rFonts w:ascii="Arial" w:hAnsi="Arial" w:cs="Arial"/>
              </w:rPr>
              <w:tab/>
              <w:t>The documents will “throw light, directly or indirectly, on what the proceedings were, both procedurally and evidentially”, and would thus form part of the record.</w:t>
            </w:r>
          </w:p>
          <w:p w:rsidR="00496853" w:rsidRPr="006C3771" w:rsidRDefault="00496853" w:rsidP="00732F6A">
            <w:pPr>
              <w:rPr>
                <w:rFonts w:ascii="Arial" w:hAnsi="Arial" w:cs="Arial"/>
              </w:rPr>
            </w:pPr>
          </w:p>
        </w:tc>
      </w:tr>
    </w:tbl>
    <w:p w:rsidR="00496853" w:rsidRPr="006C3771" w:rsidRDefault="00496853" w:rsidP="00732F6A">
      <w:pPr>
        <w:spacing w:line="360" w:lineRule="auto"/>
        <w:jc w:val="both"/>
        <w:rPr>
          <w:rFonts w:ascii="Arial" w:hAnsi="Arial" w:cs="Arial"/>
          <w:sz w:val="24"/>
          <w:szCs w:val="24"/>
        </w:rPr>
      </w:pPr>
    </w:p>
    <w:p w:rsidR="00496853" w:rsidRPr="006C3771" w:rsidRDefault="00496853" w:rsidP="00193AA7">
      <w:pPr>
        <w:spacing w:after="0" w:line="360" w:lineRule="auto"/>
        <w:jc w:val="both"/>
        <w:rPr>
          <w:rFonts w:ascii="Arial" w:hAnsi="Arial" w:cs="Arial"/>
          <w:sz w:val="24"/>
          <w:szCs w:val="24"/>
        </w:rPr>
      </w:pPr>
      <w:r w:rsidRPr="006C3771">
        <w:rPr>
          <w:rFonts w:ascii="Arial" w:hAnsi="Arial" w:cs="Arial"/>
          <w:sz w:val="24"/>
          <w:szCs w:val="24"/>
        </w:rPr>
        <w:t>[</w:t>
      </w:r>
      <w:r w:rsidR="00193AA7">
        <w:rPr>
          <w:rFonts w:ascii="Arial" w:hAnsi="Arial" w:cs="Arial"/>
          <w:sz w:val="24"/>
          <w:szCs w:val="24"/>
        </w:rPr>
        <w:t>4</w:t>
      </w:r>
      <w:r w:rsidR="00AC5F89">
        <w:rPr>
          <w:rFonts w:ascii="Arial" w:hAnsi="Arial" w:cs="Arial"/>
          <w:sz w:val="24"/>
          <w:szCs w:val="24"/>
        </w:rPr>
        <w:t>3</w:t>
      </w:r>
      <w:r w:rsidRPr="006C3771">
        <w:rPr>
          <w:rFonts w:ascii="Arial" w:hAnsi="Arial" w:cs="Arial"/>
          <w:sz w:val="24"/>
          <w:szCs w:val="24"/>
        </w:rPr>
        <w:t>]</w:t>
      </w:r>
      <w:r w:rsidRPr="006C3771">
        <w:rPr>
          <w:rFonts w:ascii="Arial" w:hAnsi="Arial" w:cs="Arial"/>
          <w:sz w:val="24"/>
          <w:szCs w:val="24"/>
        </w:rPr>
        <w:tab/>
        <w:t>I uphold these requests for the following reasons:</w:t>
      </w:r>
    </w:p>
    <w:p w:rsidR="00496853" w:rsidRPr="006C3771" w:rsidRDefault="00496853" w:rsidP="00193AA7">
      <w:pPr>
        <w:spacing w:after="0" w:line="360" w:lineRule="auto"/>
        <w:jc w:val="both"/>
        <w:rPr>
          <w:rFonts w:ascii="Arial" w:hAnsi="Arial" w:cs="Arial"/>
          <w:sz w:val="24"/>
          <w:szCs w:val="24"/>
        </w:rPr>
      </w:pPr>
    </w:p>
    <w:p w:rsidR="00496853" w:rsidRDefault="00496853" w:rsidP="00193AA7">
      <w:pPr>
        <w:pStyle w:val="ListParagraph"/>
        <w:numPr>
          <w:ilvl w:val="0"/>
          <w:numId w:val="10"/>
        </w:numPr>
        <w:spacing w:line="360" w:lineRule="auto"/>
        <w:ind w:left="0" w:firstLine="0"/>
        <w:jc w:val="both"/>
        <w:rPr>
          <w:rFonts w:cs="Arial"/>
        </w:rPr>
      </w:pPr>
      <w:r w:rsidRPr="006C3771">
        <w:rPr>
          <w:rFonts w:cs="Arial"/>
        </w:rPr>
        <w:lastRenderedPageBreak/>
        <w:t>It would firstly seem that the various documents, as requested here, may still be in existence;</w:t>
      </w:r>
    </w:p>
    <w:p w:rsidR="00496853" w:rsidRPr="006C3771" w:rsidRDefault="00496853" w:rsidP="00193AA7">
      <w:pPr>
        <w:pStyle w:val="ListParagraph"/>
        <w:spacing w:line="360" w:lineRule="auto"/>
        <w:ind w:left="0"/>
        <w:jc w:val="both"/>
        <w:rPr>
          <w:rFonts w:cs="Arial"/>
        </w:rPr>
      </w:pPr>
    </w:p>
    <w:p w:rsidR="00496853" w:rsidRPr="006C3771" w:rsidRDefault="00496853" w:rsidP="00193AA7">
      <w:pPr>
        <w:pStyle w:val="ListParagraph"/>
        <w:numPr>
          <w:ilvl w:val="0"/>
          <w:numId w:val="10"/>
        </w:numPr>
        <w:spacing w:line="360" w:lineRule="auto"/>
        <w:ind w:left="0" w:firstLine="0"/>
        <w:jc w:val="both"/>
        <w:rPr>
          <w:rFonts w:cs="Arial"/>
        </w:rPr>
      </w:pPr>
      <w:r w:rsidRPr="006C3771">
        <w:rPr>
          <w:rFonts w:cs="Arial"/>
        </w:rPr>
        <w:t xml:space="preserve">It would also seem that such documents may still be </w:t>
      </w:r>
      <w:r w:rsidR="00662A0D" w:rsidRPr="006C3771">
        <w:rPr>
          <w:rFonts w:cs="Arial"/>
        </w:rPr>
        <w:t>in the possession</w:t>
      </w:r>
      <w:r w:rsidRPr="006C3771">
        <w:rPr>
          <w:rFonts w:cs="Arial"/>
        </w:rPr>
        <w:t xml:space="preserve"> of the Minister alternatively in the possession of officials within his Ministry and such documents would thus still be under his control;</w:t>
      </w:r>
    </w:p>
    <w:p w:rsidR="00496853" w:rsidRPr="006C3771" w:rsidRDefault="00496853" w:rsidP="00193AA7">
      <w:pPr>
        <w:pStyle w:val="ListParagraph"/>
        <w:spacing w:line="360" w:lineRule="auto"/>
        <w:ind w:left="0"/>
        <w:rPr>
          <w:rFonts w:cs="Arial"/>
        </w:rPr>
      </w:pPr>
    </w:p>
    <w:p w:rsidR="00496853" w:rsidRPr="006C3771" w:rsidRDefault="00496853" w:rsidP="00193AA7">
      <w:pPr>
        <w:pStyle w:val="ListParagraph"/>
        <w:numPr>
          <w:ilvl w:val="0"/>
          <w:numId w:val="10"/>
        </w:numPr>
        <w:spacing w:line="360" w:lineRule="auto"/>
        <w:ind w:left="0" w:firstLine="0"/>
        <w:jc w:val="both"/>
        <w:rPr>
          <w:rFonts w:cs="Arial"/>
        </w:rPr>
      </w:pPr>
      <w:r w:rsidRPr="006C3771">
        <w:rPr>
          <w:rFonts w:cs="Arial"/>
        </w:rPr>
        <w:t>I uphold the persuasive arguments made in reply in these regards;</w:t>
      </w:r>
    </w:p>
    <w:p w:rsidR="00496853" w:rsidRPr="006C3771" w:rsidRDefault="00496853" w:rsidP="00193AA7">
      <w:pPr>
        <w:pStyle w:val="ListParagraph"/>
        <w:spacing w:line="360" w:lineRule="auto"/>
        <w:ind w:left="0"/>
        <w:jc w:val="both"/>
        <w:rPr>
          <w:rFonts w:cs="Arial"/>
        </w:rPr>
      </w:pPr>
    </w:p>
    <w:p w:rsidR="00496853" w:rsidRPr="006C3771" w:rsidRDefault="00496853" w:rsidP="00193AA7">
      <w:pPr>
        <w:pStyle w:val="ListParagraph"/>
        <w:numPr>
          <w:ilvl w:val="0"/>
          <w:numId w:val="10"/>
        </w:numPr>
        <w:spacing w:line="360" w:lineRule="auto"/>
        <w:ind w:left="0" w:firstLine="0"/>
        <w:jc w:val="both"/>
        <w:rPr>
          <w:rFonts w:cs="Arial"/>
        </w:rPr>
      </w:pPr>
      <w:r w:rsidRPr="006C3771">
        <w:rPr>
          <w:rFonts w:cs="Arial"/>
        </w:rPr>
        <w:t>The requested documents are</w:t>
      </w:r>
      <w:r w:rsidR="00662A0D" w:rsidRPr="006C3771">
        <w:rPr>
          <w:rFonts w:cs="Arial"/>
        </w:rPr>
        <w:t>-</w:t>
      </w:r>
      <w:r w:rsidRPr="006C3771">
        <w:rPr>
          <w:rFonts w:cs="Arial"/>
        </w:rPr>
        <w:t xml:space="preserve"> or may still become relevant to the decisions which are sought to be reviewed as they would</w:t>
      </w:r>
      <w:r w:rsidR="00662A0D" w:rsidRPr="006C3771">
        <w:rPr>
          <w:rFonts w:cs="Arial"/>
        </w:rPr>
        <w:t>-</w:t>
      </w:r>
      <w:r w:rsidRPr="006C3771">
        <w:rPr>
          <w:rFonts w:cs="Arial"/>
        </w:rPr>
        <w:t xml:space="preserve"> or could tend to indicate what was conside</w:t>
      </w:r>
      <w:r w:rsidR="00062317">
        <w:rPr>
          <w:rFonts w:cs="Arial"/>
        </w:rPr>
        <w:t xml:space="preserve">red - and at what stage - </w:t>
      </w:r>
      <w:r w:rsidR="00062317" w:rsidRPr="00062317">
        <w:rPr>
          <w:rFonts w:cs="Arial"/>
          <w:i/>
        </w:rPr>
        <w:t>en</w:t>
      </w:r>
      <w:r w:rsidRPr="00062317">
        <w:rPr>
          <w:rFonts w:cs="Arial"/>
          <w:i/>
        </w:rPr>
        <w:t xml:space="preserve"> route</w:t>
      </w:r>
      <w:r w:rsidRPr="006C3771">
        <w:rPr>
          <w:rFonts w:cs="Arial"/>
        </w:rPr>
        <w:t xml:space="preserve"> to the decisions made; ie. each scrap would or could throw light </w:t>
      </w:r>
      <w:r w:rsidRPr="006C3771">
        <w:rPr>
          <w:rFonts w:cs="Arial"/>
          <w:i/>
        </w:rPr>
        <w:t>‘directly or indirectly’</w:t>
      </w:r>
      <w:r w:rsidRPr="006C3771">
        <w:rPr>
          <w:rFonts w:cs="Arial"/>
        </w:rPr>
        <w:t xml:space="preserve"> on the decisions which were made ultimately;</w:t>
      </w:r>
    </w:p>
    <w:p w:rsidR="00496853" w:rsidRPr="006C3771" w:rsidRDefault="00496853" w:rsidP="00193AA7">
      <w:pPr>
        <w:pStyle w:val="ListParagraph"/>
        <w:spacing w:line="360" w:lineRule="auto"/>
        <w:ind w:left="0"/>
        <w:rPr>
          <w:rFonts w:cs="Arial"/>
        </w:rPr>
      </w:pPr>
    </w:p>
    <w:p w:rsidR="00496853" w:rsidRPr="006C3771" w:rsidRDefault="00496853" w:rsidP="00193AA7">
      <w:pPr>
        <w:pStyle w:val="ListParagraph"/>
        <w:numPr>
          <w:ilvl w:val="0"/>
          <w:numId w:val="10"/>
        </w:numPr>
        <w:spacing w:line="360" w:lineRule="auto"/>
        <w:ind w:left="0" w:firstLine="0"/>
        <w:jc w:val="both"/>
        <w:rPr>
          <w:rFonts w:cs="Arial"/>
        </w:rPr>
      </w:pPr>
      <w:r w:rsidRPr="006C3771">
        <w:rPr>
          <w:rFonts w:cs="Arial"/>
        </w:rPr>
        <w:t>I a</w:t>
      </w:r>
      <w:r w:rsidR="00062317">
        <w:rPr>
          <w:rFonts w:cs="Arial"/>
        </w:rPr>
        <w:t>lso a</w:t>
      </w:r>
      <w:r w:rsidRPr="006C3771">
        <w:rPr>
          <w:rFonts w:cs="Arial"/>
        </w:rPr>
        <w:t>gree that given the nature of the issues at hand, on which the first respondent was required to make decisions, it is highly unlikely that the first respondent made up his mind on all of the issues in one go, and all in his head, and personally typed his decisions and reasons perfectly on his first attempt, as was submitted. Although in the strict sense no factual basis for this argument was provided</w:t>
      </w:r>
      <w:r w:rsidR="00231AB4" w:rsidRPr="006C3771">
        <w:rPr>
          <w:rFonts w:cs="Arial"/>
        </w:rPr>
        <w:t xml:space="preserve"> the request is nevertheless based on sound logic, a high degree of probability and the inferences to be drawn from the facts and circumstances pertaining to this particular request;</w:t>
      </w:r>
    </w:p>
    <w:p w:rsidR="00496853" w:rsidRPr="006C3771" w:rsidRDefault="00496853" w:rsidP="00193AA7">
      <w:pPr>
        <w:pStyle w:val="ListParagraph"/>
        <w:spacing w:line="360" w:lineRule="auto"/>
        <w:ind w:left="0"/>
        <w:rPr>
          <w:rFonts w:cs="Arial"/>
        </w:rPr>
      </w:pPr>
    </w:p>
    <w:p w:rsidR="00662A0D" w:rsidRPr="006C3771" w:rsidRDefault="00231AB4" w:rsidP="00193AA7">
      <w:pPr>
        <w:pStyle w:val="ListParagraph"/>
        <w:numPr>
          <w:ilvl w:val="0"/>
          <w:numId w:val="10"/>
        </w:numPr>
        <w:spacing w:line="360" w:lineRule="auto"/>
        <w:ind w:left="0" w:firstLine="0"/>
        <w:jc w:val="both"/>
        <w:rPr>
          <w:rFonts w:cs="Arial"/>
        </w:rPr>
      </w:pPr>
      <w:r w:rsidRPr="006C3771">
        <w:rPr>
          <w:rFonts w:cs="Arial"/>
        </w:rPr>
        <w:t>The arg</w:t>
      </w:r>
      <w:r w:rsidR="00AE50B8">
        <w:rPr>
          <w:rFonts w:cs="Arial"/>
        </w:rPr>
        <w:t>ument - although eloquently made -</w:t>
      </w:r>
      <w:r w:rsidRPr="006C3771">
        <w:rPr>
          <w:rFonts w:cs="Arial"/>
        </w:rPr>
        <w:t xml:space="preserve"> that there is no</w:t>
      </w:r>
      <w:r w:rsidR="00E8293C" w:rsidRPr="006C3771">
        <w:rPr>
          <w:rFonts w:cs="Arial"/>
        </w:rPr>
        <w:t xml:space="preserve"> basis for this request afforded by Rule 76 and that</w:t>
      </w:r>
      <w:r w:rsidR="00E8293C" w:rsidRPr="006C3771">
        <w:rPr>
          <w:rFonts w:cs="Arial"/>
          <w:i/>
        </w:rPr>
        <w:t xml:space="preserve"> ‘ … there is no</w:t>
      </w:r>
      <w:r w:rsidRPr="006C3771">
        <w:rPr>
          <w:rFonts w:cs="Arial"/>
          <w:i/>
        </w:rPr>
        <w:t xml:space="preserve"> precedent where a decision-maker, for purposes of a review, must produce his first scriblings  on a notepad, or what is a first stab at a typed text</w:t>
      </w:r>
      <w:r w:rsidR="00E8293C" w:rsidRPr="006C3771">
        <w:rPr>
          <w:rFonts w:cs="Arial"/>
          <w:i/>
        </w:rPr>
        <w:t xml:space="preserve"> …’</w:t>
      </w:r>
      <w:r w:rsidR="00AE50B8">
        <w:rPr>
          <w:rFonts w:cs="Arial"/>
        </w:rPr>
        <w:t xml:space="preserve"> –</w:t>
      </w:r>
      <w:r w:rsidRPr="006C3771">
        <w:rPr>
          <w:rFonts w:cs="Arial"/>
        </w:rPr>
        <w:t xml:space="preserve"> </w:t>
      </w:r>
      <w:r w:rsidR="00AE50B8">
        <w:rPr>
          <w:rFonts w:cs="Arial"/>
        </w:rPr>
        <w:t xml:space="preserve">also </w:t>
      </w:r>
      <w:r w:rsidRPr="006C3771">
        <w:rPr>
          <w:rFonts w:cs="Arial"/>
        </w:rPr>
        <w:t>seems to be negated by the</w:t>
      </w:r>
      <w:r w:rsidR="00662A0D" w:rsidRPr="006C3771">
        <w:rPr>
          <w:rFonts w:cs="Arial"/>
        </w:rPr>
        <w:t xml:space="preserve"> novel</w:t>
      </w:r>
      <w:r w:rsidRPr="006C3771">
        <w:rPr>
          <w:rFonts w:cs="Arial"/>
        </w:rPr>
        <w:t xml:space="preserve"> approach followed by the Constitutional Court in the </w:t>
      </w:r>
      <w:r w:rsidRPr="006C3771">
        <w:rPr>
          <w:rFonts w:cs="Arial"/>
          <w:i/>
        </w:rPr>
        <w:t>Helen Suzman Foundation</w:t>
      </w:r>
      <w:r w:rsidR="00662A0D" w:rsidRPr="006C3771">
        <w:rPr>
          <w:rFonts w:cs="Arial"/>
        </w:rPr>
        <w:t xml:space="preserve"> case when</w:t>
      </w:r>
      <w:r w:rsidR="00AB3139">
        <w:rPr>
          <w:rFonts w:cs="Arial"/>
        </w:rPr>
        <w:t xml:space="preserve"> it directed </w:t>
      </w:r>
      <w:r w:rsidRPr="006C3771">
        <w:rPr>
          <w:rFonts w:cs="Arial"/>
        </w:rPr>
        <w:t>the Judicial Service Commission</w:t>
      </w:r>
      <w:r w:rsidR="00AB3139">
        <w:rPr>
          <w:rFonts w:cs="Arial"/>
        </w:rPr>
        <w:t xml:space="preserve"> to produce</w:t>
      </w:r>
      <w:r w:rsidRPr="006C3771">
        <w:rPr>
          <w:rFonts w:cs="Arial"/>
        </w:rPr>
        <w:t xml:space="preserve"> the recording of the private post-interview deliberations</w:t>
      </w:r>
      <w:r w:rsidR="00E8293C" w:rsidRPr="006C3771">
        <w:rPr>
          <w:rFonts w:cs="Arial"/>
        </w:rPr>
        <w:t xml:space="preserve"> in respect of which confidentiality had been claimed</w:t>
      </w:r>
      <w:r w:rsidRPr="006C3771">
        <w:rPr>
          <w:rFonts w:cs="Arial"/>
        </w:rPr>
        <w:t>.</w:t>
      </w:r>
      <w:r w:rsidR="00E8293C" w:rsidRPr="006C3771">
        <w:rPr>
          <w:rFonts w:cs="Arial"/>
        </w:rPr>
        <w:t xml:space="preserve"> The Constitutional Court ultimately acceded to the pro</w:t>
      </w:r>
      <w:r w:rsidR="00D2105E" w:rsidRPr="006C3771">
        <w:rPr>
          <w:rFonts w:cs="Arial"/>
        </w:rPr>
        <w:t>duction of the recording as it</w:t>
      </w:r>
      <w:r w:rsidR="00AB3139">
        <w:rPr>
          <w:rFonts w:cs="Arial"/>
        </w:rPr>
        <w:t xml:space="preserve"> was</w:t>
      </w:r>
      <w:r w:rsidR="00E8293C" w:rsidRPr="006C3771">
        <w:rPr>
          <w:rFonts w:cs="Arial"/>
        </w:rPr>
        <w:t xml:space="preserve"> relevant to the decision it preceded.</w:t>
      </w:r>
    </w:p>
    <w:p w:rsidR="00662A0D" w:rsidRPr="006C3771" w:rsidRDefault="00662A0D" w:rsidP="00193AA7">
      <w:pPr>
        <w:pStyle w:val="ListParagraph"/>
        <w:spacing w:line="360" w:lineRule="auto"/>
        <w:ind w:left="0"/>
        <w:jc w:val="both"/>
        <w:rPr>
          <w:rFonts w:cs="Arial"/>
        </w:rPr>
      </w:pPr>
    </w:p>
    <w:p w:rsidR="00981801" w:rsidRDefault="00981801" w:rsidP="00193AA7">
      <w:pPr>
        <w:pStyle w:val="ListParagraph"/>
        <w:numPr>
          <w:ilvl w:val="0"/>
          <w:numId w:val="10"/>
        </w:numPr>
        <w:spacing w:line="360" w:lineRule="auto"/>
        <w:ind w:left="0" w:firstLine="0"/>
        <w:jc w:val="both"/>
        <w:rPr>
          <w:rFonts w:cs="Arial"/>
        </w:rPr>
      </w:pPr>
      <w:r>
        <w:rPr>
          <w:rFonts w:cs="Arial"/>
        </w:rPr>
        <w:t>The reasoning applied</w:t>
      </w:r>
      <w:r w:rsidR="00382D1D">
        <w:rPr>
          <w:rFonts w:cs="Arial"/>
        </w:rPr>
        <w:t xml:space="preserve"> by the </w:t>
      </w:r>
      <w:r w:rsidR="00AE50B8">
        <w:rPr>
          <w:rFonts w:cs="Arial"/>
        </w:rPr>
        <w:t xml:space="preserve">Constitutional </w:t>
      </w:r>
      <w:r w:rsidR="00382D1D">
        <w:rPr>
          <w:rFonts w:cs="Arial"/>
        </w:rPr>
        <w:t>Court</w:t>
      </w:r>
      <w:r>
        <w:rPr>
          <w:rFonts w:cs="Arial"/>
        </w:rPr>
        <w:t xml:space="preserve"> is indeed inst</w:t>
      </w:r>
      <w:r w:rsidR="00382D1D">
        <w:rPr>
          <w:rFonts w:cs="Arial"/>
        </w:rPr>
        <w:t>ructive</w:t>
      </w:r>
      <w:r>
        <w:rPr>
          <w:rFonts w:cs="Arial"/>
        </w:rPr>
        <w:t>:</w:t>
      </w:r>
    </w:p>
    <w:p w:rsidR="00981801" w:rsidRDefault="00981801" w:rsidP="00981801">
      <w:pPr>
        <w:spacing w:line="360" w:lineRule="auto"/>
        <w:jc w:val="both"/>
        <w:rPr>
          <w:rFonts w:cs="Arial"/>
        </w:rPr>
      </w:pPr>
    </w:p>
    <w:p w:rsidR="00981801" w:rsidRPr="00981801" w:rsidRDefault="00981801" w:rsidP="00981801">
      <w:pPr>
        <w:spacing w:line="360" w:lineRule="auto"/>
        <w:ind w:firstLine="720"/>
        <w:jc w:val="both"/>
        <w:rPr>
          <w:rFonts w:ascii="Arial" w:hAnsi="Arial" w:cs="Arial"/>
        </w:rPr>
      </w:pPr>
      <w:r w:rsidRPr="00981801">
        <w:rPr>
          <w:rFonts w:ascii="Arial" w:hAnsi="Arial" w:cs="Arial"/>
        </w:rPr>
        <w:lastRenderedPageBreak/>
        <w:t xml:space="preserve">‘[23] Surely, deliberations are relevant to the decision they precede and to which they relate. Indeed, </w:t>
      </w:r>
      <w:r>
        <w:rPr>
          <w:rFonts w:ascii="Arial" w:hAnsi="Arial" w:cs="Arial"/>
        </w:rPr>
        <w:t>HC Sanral correctly says so.</w:t>
      </w:r>
      <w:r w:rsidRPr="00981801">
        <w:rPr>
          <w:rFonts w:ascii="Arial" w:hAnsi="Arial" w:cs="Arial"/>
        </w:rPr>
        <w:t xml:space="preserve"> They may well provide evidence of reviewable irregularities in the process, such as bias, ulterior purpose, bad faith, the consideration of irrelevant factors, a failure to consider rel</w:t>
      </w:r>
      <w:r>
        <w:rPr>
          <w:rFonts w:ascii="Arial" w:hAnsi="Arial" w:cs="Arial"/>
        </w:rPr>
        <w:t>evant factors, and the like.</w:t>
      </w:r>
      <w:r w:rsidRPr="00981801">
        <w:rPr>
          <w:rFonts w:ascii="Arial" w:hAnsi="Arial" w:cs="Arial"/>
        </w:rPr>
        <w:t xml:space="preserve"> Absent disclosure, these irregularities would remain hidden. Deliberations are the most immediate and accurate record of the process leading up to the decision.</w:t>
      </w:r>
    </w:p>
    <w:p w:rsidR="00981801" w:rsidRPr="00981801" w:rsidRDefault="00AC5F89" w:rsidP="00981801">
      <w:pPr>
        <w:spacing w:line="360" w:lineRule="auto"/>
        <w:jc w:val="both"/>
        <w:rPr>
          <w:rFonts w:cs="Arial"/>
        </w:rPr>
      </w:pPr>
      <w:r>
        <w:rPr>
          <w:rFonts w:ascii="Arial" w:hAnsi="Arial" w:cs="Arial"/>
        </w:rPr>
        <w:t>[24]</w:t>
      </w:r>
      <w:r>
        <w:rPr>
          <w:rFonts w:ascii="Arial" w:hAnsi="Arial" w:cs="Arial"/>
        </w:rPr>
        <w:tab/>
      </w:r>
      <w:r w:rsidR="00981801" w:rsidRPr="00981801">
        <w:rPr>
          <w:rFonts w:ascii="Arial" w:hAnsi="Arial" w:cs="Arial"/>
        </w:rPr>
        <w:t>If this is true of deliberations in general, it must surely be true of JSC deliberations as well. The JSC's own practice of distilling reasons for a decision from the deliberations is indication enough that JSC deliberations are of relevance to the decisions. They clearly bear on the lawfulness, rationality and procedural fairness of the decisions. …’.</w:t>
      </w:r>
    </w:p>
    <w:p w:rsidR="00981801" w:rsidRPr="00981801" w:rsidRDefault="00981801" w:rsidP="00981801">
      <w:pPr>
        <w:pStyle w:val="ListParagraph"/>
        <w:rPr>
          <w:rFonts w:cs="Arial"/>
        </w:rPr>
      </w:pPr>
    </w:p>
    <w:p w:rsidR="00E8293C" w:rsidRPr="00062317" w:rsidRDefault="00AE50B8" w:rsidP="00193AA7">
      <w:pPr>
        <w:pStyle w:val="ListParagraph"/>
        <w:numPr>
          <w:ilvl w:val="0"/>
          <w:numId w:val="10"/>
        </w:numPr>
        <w:spacing w:line="360" w:lineRule="auto"/>
        <w:ind w:left="0" w:firstLine="0"/>
        <w:jc w:val="both"/>
        <w:rPr>
          <w:rFonts w:cs="Arial"/>
        </w:rPr>
      </w:pPr>
      <w:r>
        <w:rPr>
          <w:rFonts w:cs="Arial"/>
        </w:rPr>
        <w:t>It so emerges that, in the course of the Court’s reasoning, t</w:t>
      </w:r>
      <w:r w:rsidR="00382D1D">
        <w:rPr>
          <w:rFonts w:cs="Arial"/>
        </w:rPr>
        <w:t>he point is made that deliberations</w:t>
      </w:r>
      <w:r w:rsidR="00382D1D" w:rsidRPr="00382D1D">
        <w:rPr>
          <w:rFonts w:cs="Arial"/>
        </w:rPr>
        <w:t xml:space="preserve"> </w:t>
      </w:r>
      <w:r w:rsidR="00382D1D">
        <w:rPr>
          <w:rFonts w:cs="Arial"/>
        </w:rPr>
        <w:t>‘</w:t>
      </w:r>
      <w:r w:rsidR="00382D1D" w:rsidRPr="00981801">
        <w:rPr>
          <w:rFonts w:cs="Arial"/>
        </w:rPr>
        <w:t>may well provide evidence of reviewable irregularities in the process, such as bias, ulterior purpose, bad faith, the consideration of irrelevant factors, a failure to consider rel</w:t>
      </w:r>
      <w:r w:rsidR="00382D1D">
        <w:rPr>
          <w:rFonts w:cs="Arial"/>
        </w:rPr>
        <w:t xml:space="preserve">evant factors, and the like’. </w:t>
      </w:r>
      <w:r w:rsidR="00062317" w:rsidRPr="00062317">
        <w:rPr>
          <w:rFonts w:cs="Arial"/>
        </w:rPr>
        <w:t xml:space="preserve">The requested documentation/materials </w:t>
      </w:r>
      <w:r w:rsidR="00382D1D">
        <w:rPr>
          <w:rFonts w:cs="Arial"/>
        </w:rPr>
        <w:t>in this instance</w:t>
      </w:r>
      <w:r>
        <w:rPr>
          <w:rFonts w:cs="Arial"/>
        </w:rPr>
        <w:t xml:space="preserve"> obviously</w:t>
      </w:r>
      <w:r w:rsidR="00382D1D">
        <w:rPr>
          <w:rFonts w:cs="Arial"/>
        </w:rPr>
        <w:t xml:space="preserve"> may do the same. They </w:t>
      </w:r>
      <w:r w:rsidR="00062317" w:rsidRPr="00062317">
        <w:rPr>
          <w:rFonts w:cs="Arial"/>
        </w:rPr>
        <w:t>will shed light on the decision making process</w:t>
      </w:r>
      <w:r w:rsidR="00382D1D">
        <w:rPr>
          <w:rFonts w:cs="Arial"/>
        </w:rPr>
        <w:t>, and the requested material</w:t>
      </w:r>
      <w:r w:rsidR="00FA0FA8">
        <w:rPr>
          <w:rFonts w:cs="Arial"/>
        </w:rPr>
        <w:t>s</w:t>
      </w:r>
      <w:r w:rsidR="00382D1D">
        <w:rPr>
          <w:rFonts w:cs="Arial"/>
        </w:rPr>
        <w:t xml:space="preserve"> may thus have a</w:t>
      </w:r>
      <w:r w:rsidR="00382D1D" w:rsidRPr="00981801">
        <w:rPr>
          <w:rFonts w:cs="Arial"/>
        </w:rPr>
        <w:t xml:space="preserve"> bear</w:t>
      </w:r>
      <w:r w:rsidR="00382D1D">
        <w:rPr>
          <w:rFonts w:cs="Arial"/>
        </w:rPr>
        <w:t>ing</w:t>
      </w:r>
      <w:r w:rsidR="00382D1D" w:rsidRPr="00981801">
        <w:rPr>
          <w:rFonts w:cs="Arial"/>
        </w:rPr>
        <w:t xml:space="preserve"> on the lawfulness, rationality and procedural fairness of the decisions</w:t>
      </w:r>
      <w:r w:rsidR="00382D1D">
        <w:rPr>
          <w:rFonts w:cs="Arial"/>
        </w:rPr>
        <w:t xml:space="preserve"> taken on review</w:t>
      </w:r>
      <w:r w:rsidR="00382D1D" w:rsidRPr="00981801">
        <w:rPr>
          <w:rFonts w:cs="Arial"/>
        </w:rPr>
        <w:t>.</w:t>
      </w:r>
    </w:p>
    <w:p w:rsidR="00E8293C" w:rsidRPr="00062317" w:rsidRDefault="00E8293C" w:rsidP="00193AA7">
      <w:pPr>
        <w:spacing w:after="0" w:line="360" w:lineRule="auto"/>
        <w:jc w:val="both"/>
        <w:rPr>
          <w:rFonts w:ascii="Arial" w:hAnsi="Arial" w:cs="Arial"/>
        </w:rPr>
      </w:pPr>
    </w:p>
    <w:p w:rsidR="00E8293C" w:rsidRPr="006C3771" w:rsidRDefault="00FA0FA8" w:rsidP="00193AA7">
      <w:pPr>
        <w:pStyle w:val="ListParagraph"/>
        <w:numPr>
          <w:ilvl w:val="0"/>
          <w:numId w:val="10"/>
        </w:numPr>
        <w:spacing w:line="360" w:lineRule="auto"/>
        <w:ind w:left="0" w:firstLine="0"/>
        <w:jc w:val="both"/>
        <w:rPr>
          <w:rFonts w:cs="Arial"/>
        </w:rPr>
      </w:pPr>
      <w:r>
        <w:rPr>
          <w:rFonts w:cs="Arial"/>
        </w:rPr>
        <w:t>This analogy illustrates why</w:t>
      </w:r>
      <w:r w:rsidR="00441792" w:rsidRPr="006C3771">
        <w:rPr>
          <w:rFonts w:cs="Arial"/>
        </w:rPr>
        <w:t xml:space="preserve"> the argumen</w:t>
      </w:r>
      <w:r w:rsidR="00062317">
        <w:rPr>
          <w:rFonts w:cs="Arial"/>
        </w:rPr>
        <w:t>t</w:t>
      </w:r>
      <w:r>
        <w:rPr>
          <w:rFonts w:cs="Arial"/>
        </w:rPr>
        <w:t>,</w:t>
      </w:r>
      <w:r w:rsidR="00062317">
        <w:rPr>
          <w:rFonts w:cs="Arial"/>
        </w:rPr>
        <w:t xml:space="preserve"> mustered on behalf of the Min</w:t>
      </w:r>
      <w:r w:rsidR="00441792" w:rsidRPr="006C3771">
        <w:rPr>
          <w:rFonts w:cs="Arial"/>
        </w:rPr>
        <w:t>i</w:t>
      </w:r>
      <w:r w:rsidR="00062317">
        <w:rPr>
          <w:rFonts w:cs="Arial"/>
        </w:rPr>
        <w:t>s</w:t>
      </w:r>
      <w:r w:rsidR="00441792" w:rsidRPr="006C3771">
        <w:rPr>
          <w:rFonts w:cs="Arial"/>
        </w:rPr>
        <w:t>ter</w:t>
      </w:r>
      <w:r>
        <w:rPr>
          <w:rFonts w:cs="Arial"/>
        </w:rPr>
        <w:t>,</w:t>
      </w:r>
      <w:r w:rsidR="00441792" w:rsidRPr="006C3771">
        <w:rPr>
          <w:rFonts w:cs="Arial"/>
        </w:rPr>
        <w:t xml:space="preserve"> that</w:t>
      </w:r>
      <w:r>
        <w:rPr>
          <w:rFonts w:cs="Arial"/>
        </w:rPr>
        <w:t xml:space="preserve"> he has complied with his obligation to furnish the reasons for his decision and that the drafts requested did not form part of the record, cannot be upheld. </w:t>
      </w:r>
    </w:p>
    <w:p w:rsidR="00496853" w:rsidRPr="006C3771" w:rsidRDefault="00496853" w:rsidP="00732F6A">
      <w:pPr>
        <w:pStyle w:val="ListParagraph"/>
        <w:spacing w:line="360" w:lineRule="auto"/>
        <w:ind w:left="0"/>
        <w:jc w:val="both"/>
        <w:rPr>
          <w:rFonts w:cs="Arial"/>
        </w:rPr>
      </w:pPr>
    </w:p>
    <w:tbl>
      <w:tblPr>
        <w:tblStyle w:val="TableGrid"/>
        <w:tblW w:w="0" w:type="auto"/>
        <w:tblInd w:w="-5" w:type="dxa"/>
        <w:tblLook w:val="04A0" w:firstRow="1" w:lastRow="0" w:firstColumn="1" w:lastColumn="0" w:noHBand="0" w:noVBand="1"/>
      </w:tblPr>
      <w:tblGrid>
        <w:gridCol w:w="3482"/>
        <w:gridCol w:w="2770"/>
        <w:gridCol w:w="2770"/>
      </w:tblGrid>
      <w:tr w:rsidR="00496853" w:rsidRPr="006C3771" w:rsidTr="00663CFA">
        <w:tc>
          <w:tcPr>
            <w:tcW w:w="3482" w:type="dxa"/>
          </w:tcPr>
          <w:p w:rsidR="00496853" w:rsidRPr="006C3771" w:rsidRDefault="00496853" w:rsidP="00732F6A">
            <w:pPr>
              <w:jc w:val="both"/>
              <w:rPr>
                <w:rFonts w:ascii="Arial" w:hAnsi="Arial" w:cs="Arial"/>
                <w:b/>
              </w:rPr>
            </w:pPr>
          </w:p>
          <w:p w:rsidR="00496853" w:rsidRPr="006C3771" w:rsidRDefault="00496853" w:rsidP="00732F6A">
            <w:pPr>
              <w:jc w:val="both"/>
              <w:rPr>
                <w:rFonts w:ascii="Arial" w:hAnsi="Arial" w:cs="Arial"/>
                <w:b/>
              </w:rPr>
            </w:pPr>
            <w:r w:rsidRPr="006C3771">
              <w:rPr>
                <w:rFonts w:ascii="Arial" w:hAnsi="Arial" w:cs="Arial"/>
                <w:b/>
              </w:rPr>
              <w:t>“</w:t>
            </w:r>
            <w:r w:rsidR="00441792" w:rsidRPr="006C3771">
              <w:rPr>
                <w:rFonts w:ascii="Arial" w:hAnsi="Arial" w:cs="Arial"/>
                <w:b/>
              </w:rPr>
              <w:t>1.</w:t>
            </w:r>
            <w:r w:rsidRPr="006C3771">
              <w:rPr>
                <w:rFonts w:ascii="Arial" w:hAnsi="Arial" w:cs="Arial"/>
                <w:b/>
              </w:rPr>
              <w:t xml:space="preserve">6. </w:t>
            </w:r>
            <w:r w:rsidRPr="006C3771">
              <w:rPr>
                <w:rFonts w:ascii="Arial" w:hAnsi="Arial" w:cs="Arial"/>
                <w:b/>
              </w:rPr>
              <w:tab/>
              <w:t xml:space="preserve">A copy of the file prepared for the Minister (“the Minister’s file”). Containing the documents and using the same pagination as referred in paragraphs 2, 16, 18, 20, 22 and 27 of the memorandum (“Counsels’ Memorandum”) included at 481-504 of the first review record. The documents now discovered appear to be from the file of the Government </w:t>
            </w:r>
            <w:r w:rsidRPr="006C3771">
              <w:rPr>
                <w:rFonts w:ascii="Arial" w:hAnsi="Arial" w:cs="Arial"/>
                <w:b/>
              </w:rPr>
              <w:lastRenderedPageBreak/>
              <w:t>Attorney, not those on which the minister worked.”</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“13.</w:t>
            </w:r>
            <w:r w:rsidRPr="006C3771">
              <w:rPr>
                <w:rFonts w:ascii="Arial" w:hAnsi="Arial" w:cs="Arial"/>
              </w:rPr>
              <w:tab/>
              <w:t xml:space="preserve">The documents are from the file which was before me in taking the decision.” </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b/>
              </w:rPr>
            </w:pPr>
          </w:p>
          <w:p w:rsidR="00496853" w:rsidRPr="006C3771" w:rsidRDefault="00496853" w:rsidP="00732F6A">
            <w:pPr>
              <w:jc w:val="both"/>
              <w:rPr>
                <w:rFonts w:ascii="Arial" w:hAnsi="Arial" w:cs="Arial"/>
                <w:b/>
              </w:rPr>
            </w:pPr>
            <w:r w:rsidRPr="006C3771">
              <w:rPr>
                <w:rFonts w:ascii="Arial" w:hAnsi="Arial" w:cs="Arial"/>
                <w:b/>
              </w:rPr>
              <w:t>(The applicants’) RESPONSE</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8.6.1</w:t>
            </w:r>
            <w:r w:rsidRPr="006C3771">
              <w:rPr>
                <w:rFonts w:ascii="Arial" w:hAnsi="Arial" w:cs="Arial"/>
              </w:rPr>
              <w:tab/>
              <w:t xml:space="preserve"> The reply says nothing, I respectfully submit. There is not a single note, comment or inscription anywhere on the discovered file. There is no indication whatsoever on the discovered file that it was in the Minister’s </w:t>
            </w:r>
            <w:r w:rsidRPr="006C3771">
              <w:rPr>
                <w:rFonts w:ascii="Arial" w:hAnsi="Arial" w:cs="Arial"/>
              </w:rPr>
              <w:lastRenderedPageBreak/>
              <w:t>possession or that he worked on it. And the Minister has declined to address the clear factual basis for the request.</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34.4.</w:t>
            </w:r>
            <w:r w:rsidRPr="006C3771">
              <w:rPr>
                <w:rFonts w:ascii="Arial" w:hAnsi="Arial" w:cs="Arial"/>
              </w:rPr>
              <w:tab/>
              <w:t>The documents will “throw light, directly or indirectly, on what the proceedings were, both procedurally and evidentially”, and would thus form part of the record. The requested material will also inform what was before the Minister when he took his decision, as well as all those documents which were incorporated by reference in them.</w:t>
            </w:r>
          </w:p>
          <w:p w:rsidR="00496853" w:rsidRPr="006C3771" w:rsidRDefault="00496853" w:rsidP="00732F6A">
            <w:pPr>
              <w:rPr>
                <w:rFonts w:ascii="Arial" w:hAnsi="Arial" w:cs="Arial"/>
              </w:rPr>
            </w:pPr>
          </w:p>
        </w:tc>
      </w:tr>
    </w:tbl>
    <w:p w:rsidR="00496853" w:rsidRPr="006C3771" w:rsidRDefault="00496853" w:rsidP="00732F6A">
      <w:pPr>
        <w:pStyle w:val="ListParagraph"/>
        <w:spacing w:line="360" w:lineRule="auto"/>
        <w:ind w:left="0"/>
        <w:jc w:val="both"/>
        <w:rPr>
          <w:rFonts w:cs="Arial"/>
        </w:rPr>
      </w:pPr>
    </w:p>
    <w:p w:rsidR="00496853" w:rsidRPr="006C3771" w:rsidRDefault="00441792" w:rsidP="00732F6A">
      <w:pPr>
        <w:spacing w:line="360" w:lineRule="auto"/>
        <w:jc w:val="both"/>
        <w:rPr>
          <w:rFonts w:ascii="Arial" w:hAnsi="Arial" w:cs="Arial"/>
          <w:sz w:val="24"/>
          <w:szCs w:val="24"/>
        </w:rPr>
      </w:pPr>
      <w:r w:rsidRPr="006C3771">
        <w:rPr>
          <w:rFonts w:ascii="Arial" w:hAnsi="Arial" w:cs="Arial"/>
          <w:sz w:val="24"/>
          <w:szCs w:val="24"/>
        </w:rPr>
        <w:t>[</w:t>
      </w:r>
      <w:r w:rsidR="00193AA7">
        <w:rPr>
          <w:rFonts w:ascii="Arial" w:hAnsi="Arial" w:cs="Arial"/>
          <w:sz w:val="24"/>
          <w:szCs w:val="24"/>
        </w:rPr>
        <w:t>4</w:t>
      </w:r>
      <w:r w:rsidR="00AC5F89">
        <w:rPr>
          <w:rFonts w:ascii="Arial" w:hAnsi="Arial" w:cs="Arial"/>
          <w:sz w:val="24"/>
          <w:szCs w:val="24"/>
        </w:rPr>
        <w:t>4</w:t>
      </w:r>
      <w:r w:rsidRPr="006C3771">
        <w:rPr>
          <w:rFonts w:ascii="Arial" w:hAnsi="Arial" w:cs="Arial"/>
          <w:sz w:val="24"/>
          <w:szCs w:val="24"/>
        </w:rPr>
        <w:t>]</w:t>
      </w:r>
      <w:r w:rsidRPr="006C3771">
        <w:rPr>
          <w:rFonts w:ascii="Arial" w:hAnsi="Arial" w:cs="Arial"/>
          <w:sz w:val="24"/>
          <w:szCs w:val="24"/>
        </w:rPr>
        <w:tab/>
        <w:t>It would indeed seem that the Minister’s statement under oath must prevail in t</w:t>
      </w:r>
      <w:r w:rsidR="00647BCB">
        <w:rPr>
          <w:rFonts w:ascii="Arial" w:hAnsi="Arial" w:cs="Arial"/>
          <w:sz w:val="24"/>
          <w:szCs w:val="24"/>
        </w:rPr>
        <w:t>his regard, although it remains</w:t>
      </w:r>
      <w:r w:rsidR="00AE50B8">
        <w:rPr>
          <w:rFonts w:ascii="Arial" w:hAnsi="Arial" w:cs="Arial"/>
          <w:sz w:val="24"/>
          <w:szCs w:val="24"/>
        </w:rPr>
        <w:t xml:space="preserve"> inexplicable</w:t>
      </w:r>
      <w:r w:rsidRPr="006C3771">
        <w:rPr>
          <w:rFonts w:ascii="Arial" w:hAnsi="Arial" w:cs="Arial"/>
          <w:sz w:val="24"/>
          <w:szCs w:val="24"/>
        </w:rPr>
        <w:t xml:space="preserve"> that the discovered documents show no inscription or notes for instance.</w:t>
      </w:r>
    </w:p>
    <w:p w:rsidR="00496853" w:rsidRPr="006C3771" w:rsidRDefault="00496853" w:rsidP="00732F6A">
      <w:pPr>
        <w:spacing w:line="360" w:lineRule="auto"/>
        <w:jc w:val="both"/>
        <w:rPr>
          <w:rFonts w:ascii="Arial" w:hAnsi="Arial" w:cs="Arial"/>
        </w:rPr>
      </w:pPr>
    </w:p>
    <w:tbl>
      <w:tblPr>
        <w:tblStyle w:val="TableGrid"/>
        <w:tblW w:w="0" w:type="auto"/>
        <w:tblInd w:w="-5" w:type="dxa"/>
        <w:tblLook w:val="04A0" w:firstRow="1" w:lastRow="0" w:firstColumn="1" w:lastColumn="0" w:noHBand="0" w:noVBand="1"/>
      </w:tblPr>
      <w:tblGrid>
        <w:gridCol w:w="3482"/>
        <w:gridCol w:w="2770"/>
        <w:gridCol w:w="2770"/>
      </w:tblGrid>
      <w:tr w:rsidR="00496853" w:rsidRPr="006C3771" w:rsidTr="00663CFA">
        <w:tc>
          <w:tcPr>
            <w:tcW w:w="3482" w:type="dxa"/>
          </w:tcPr>
          <w:p w:rsidR="00496853" w:rsidRPr="006C3771" w:rsidRDefault="00496853" w:rsidP="00732F6A">
            <w:pPr>
              <w:jc w:val="both"/>
              <w:rPr>
                <w:rFonts w:ascii="Arial" w:hAnsi="Arial" w:cs="Arial"/>
                <w:b/>
              </w:rPr>
            </w:pPr>
            <w:r w:rsidRPr="006C3771">
              <w:rPr>
                <w:rFonts w:ascii="Arial" w:hAnsi="Arial" w:cs="Arial"/>
                <w:b/>
              </w:rPr>
              <w:t>“</w:t>
            </w:r>
            <w:r w:rsidR="00441792" w:rsidRPr="006C3771">
              <w:rPr>
                <w:rFonts w:ascii="Arial" w:hAnsi="Arial" w:cs="Arial"/>
                <w:b/>
              </w:rPr>
              <w:t>1.</w:t>
            </w:r>
            <w:r w:rsidRPr="006C3771">
              <w:rPr>
                <w:rFonts w:ascii="Arial" w:hAnsi="Arial" w:cs="Arial"/>
                <w:b/>
              </w:rPr>
              <w:t>7.</w:t>
            </w:r>
            <w:r w:rsidRPr="006C3771">
              <w:rPr>
                <w:rFonts w:ascii="Arial" w:hAnsi="Arial" w:cs="Arial"/>
                <w:b/>
              </w:rPr>
              <w:tab/>
              <w:t>The documents evidencing delivery to the Minister of the Minister’s file and Counsels’ Memorandum.”</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rPr>
            </w:pPr>
            <w:r w:rsidRPr="006C3771">
              <w:rPr>
                <w:rFonts w:ascii="Arial" w:hAnsi="Arial" w:cs="Arial"/>
              </w:rPr>
              <w:t>“14.</w:t>
            </w:r>
            <w:r w:rsidRPr="006C3771">
              <w:rPr>
                <w:rFonts w:ascii="Arial" w:hAnsi="Arial" w:cs="Arial"/>
              </w:rPr>
              <w:tab/>
              <w:t>The documentation “evidencing delivery” to the Minister sought in this paragraph is irrelevant to my decision. The applicants are</w:t>
            </w:r>
            <w:r w:rsidR="00B729E5" w:rsidRPr="006C3771">
              <w:rPr>
                <w:rFonts w:ascii="Arial" w:hAnsi="Arial" w:cs="Arial"/>
              </w:rPr>
              <w:t xml:space="preserve"> not</w:t>
            </w:r>
            <w:r w:rsidRPr="006C3771">
              <w:rPr>
                <w:rFonts w:ascii="Arial" w:hAnsi="Arial" w:cs="Arial"/>
              </w:rPr>
              <w:t xml:space="preserve"> entitled to it, whether pursuant to Rule 76 or general or particular discovery. The documentation was delivered by email by the offices of the Government Attorney to my office.”</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b/>
              </w:rPr>
            </w:pPr>
            <w:r w:rsidRPr="006C3771">
              <w:rPr>
                <w:rFonts w:ascii="Arial" w:hAnsi="Arial" w:cs="Arial"/>
                <w:b/>
              </w:rPr>
              <w:t>(The applicants’) RESPONSE</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8.7.1</w:t>
            </w:r>
            <w:r w:rsidRPr="006C3771">
              <w:rPr>
                <w:rFonts w:ascii="Arial" w:hAnsi="Arial" w:cs="Arial"/>
              </w:rPr>
              <w:tab/>
              <w:t xml:space="preserve">The first respondent has not annexed the alleged email and offers no explanation for not doing so. Assuming the documents were delivered, the key question is when the documents were delivered and when they were printed for the Minister, if at all, to apply allow him to </w:t>
            </w:r>
            <w:r w:rsidRPr="006C3771">
              <w:rPr>
                <w:rFonts w:ascii="Arial" w:hAnsi="Arial" w:cs="Arial"/>
              </w:rPr>
              <w:lastRenderedPageBreak/>
              <w:t>apply his mind and make the critical decisions. The Minister does not say when he considered the documents or when he made his decisions.</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8.7.2.</w:t>
            </w:r>
            <w:r w:rsidRPr="006C3771">
              <w:rPr>
                <w:rFonts w:ascii="Arial" w:hAnsi="Arial" w:cs="Arial"/>
              </w:rPr>
              <w:tab/>
              <w:t xml:space="preserve"> The documents are certainly relevant. Proof of delivery, and the timing of the delivery, is absolutely relevant, otherwise it may prove that the first respondent never had the documents before him, and everything was done for him by others. The exact date of delivery to the Minister (and the Minister himself says he has the email) may prove to be after the minister allegedly took his decision.</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34.6.</w:t>
            </w:r>
            <w:r w:rsidRPr="006C3771">
              <w:rPr>
                <w:rFonts w:ascii="Arial" w:hAnsi="Arial" w:cs="Arial"/>
              </w:rPr>
              <w:tab/>
              <w:t>The documents will “throw light, directly or indirectly, on what the proceedings were, both procedurally and evidentially”, and would thus form part of the record.</w:t>
            </w:r>
          </w:p>
          <w:p w:rsidR="00496853" w:rsidRPr="006C3771" w:rsidRDefault="00496853" w:rsidP="00732F6A">
            <w:pPr>
              <w:rPr>
                <w:rFonts w:ascii="Arial" w:hAnsi="Arial" w:cs="Arial"/>
              </w:rPr>
            </w:pPr>
          </w:p>
        </w:tc>
      </w:tr>
    </w:tbl>
    <w:p w:rsidR="00496853" w:rsidRPr="006C3771" w:rsidRDefault="00496853" w:rsidP="00732F6A">
      <w:pPr>
        <w:spacing w:line="360" w:lineRule="auto"/>
        <w:jc w:val="both"/>
        <w:rPr>
          <w:rFonts w:ascii="Arial" w:hAnsi="Arial" w:cs="Arial"/>
        </w:rPr>
      </w:pPr>
    </w:p>
    <w:p w:rsidR="008C4AEC" w:rsidRDefault="00B729E5" w:rsidP="00193AA7">
      <w:pPr>
        <w:spacing w:after="0" w:line="360" w:lineRule="auto"/>
        <w:jc w:val="both"/>
        <w:rPr>
          <w:rFonts w:ascii="Arial" w:hAnsi="Arial" w:cs="Arial"/>
          <w:sz w:val="24"/>
          <w:szCs w:val="24"/>
        </w:rPr>
      </w:pPr>
      <w:r w:rsidRPr="006C3771">
        <w:rPr>
          <w:rFonts w:ascii="Arial" w:hAnsi="Arial" w:cs="Arial"/>
          <w:sz w:val="24"/>
          <w:szCs w:val="24"/>
        </w:rPr>
        <w:t>[</w:t>
      </w:r>
      <w:r w:rsidR="00193AA7">
        <w:rPr>
          <w:rFonts w:ascii="Arial" w:hAnsi="Arial" w:cs="Arial"/>
          <w:sz w:val="24"/>
          <w:szCs w:val="24"/>
        </w:rPr>
        <w:t>4</w:t>
      </w:r>
      <w:r w:rsidR="00AC5F89">
        <w:rPr>
          <w:rFonts w:ascii="Arial" w:hAnsi="Arial" w:cs="Arial"/>
          <w:sz w:val="24"/>
          <w:szCs w:val="24"/>
        </w:rPr>
        <w:t>5</w:t>
      </w:r>
      <w:r w:rsidRPr="006C3771">
        <w:rPr>
          <w:rFonts w:ascii="Arial" w:hAnsi="Arial" w:cs="Arial"/>
          <w:sz w:val="24"/>
          <w:szCs w:val="24"/>
        </w:rPr>
        <w:t>]</w:t>
      </w:r>
      <w:r w:rsidRPr="006C3771">
        <w:rPr>
          <w:rFonts w:ascii="Arial" w:hAnsi="Arial" w:cs="Arial"/>
          <w:sz w:val="24"/>
          <w:szCs w:val="24"/>
        </w:rPr>
        <w:tab/>
      </w:r>
      <w:r w:rsidR="008C4AEC" w:rsidRPr="006C3771">
        <w:rPr>
          <w:rFonts w:ascii="Arial" w:hAnsi="Arial" w:cs="Arial"/>
          <w:sz w:val="24"/>
          <w:szCs w:val="24"/>
        </w:rPr>
        <w:t xml:space="preserve">Firstly it becomes clear that the </w:t>
      </w:r>
      <w:r w:rsidR="00733728" w:rsidRPr="006C3771">
        <w:rPr>
          <w:rFonts w:ascii="Arial" w:hAnsi="Arial" w:cs="Arial"/>
          <w:sz w:val="24"/>
          <w:szCs w:val="24"/>
        </w:rPr>
        <w:t xml:space="preserve">referred to </w:t>
      </w:r>
      <w:r w:rsidR="008C4AEC" w:rsidRPr="006C3771">
        <w:rPr>
          <w:rFonts w:ascii="Arial" w:hAnsi="Arial" w:cs="Arial"/>
          <w:sz w:val="24"/>
          <w:szCs w:val="24"/>
        </w:rPr>
        <w:t>documentation was delivered by e-mail.</w:t>
      </w:r>
    </w:p>
    <w:p w:rsidR="00193AA7" w:rsidRPr="006C3771" w:rsidRDefault="00193AA7" w:rsidP="00193AA7">
      <w:pPr>
        <w:spacing w:after="0" w:line="360" w:lineRule="auto"/>
        <w:jc w:val="both"/>
        <w:rPr>
          <w:rFonts w:ascii="Arial" w:hAnsi="Arial" w:cs="Arial"/>
          <w:sz w:val="24"/>
          <w:szCs w:val="24"/>
        </w:rPr>
      </w:pPr>
    </w:p>
    <w:p w:rsidR="00496853" w:rsidRPr="006C3771" w:rsidRDefault="008C4AEC" w:rsidP="00193AA7">
      <w:pPr>
        <w:spacing w:after="0" w:line="360" w:lineRule="auto"/>
        <w:jc w:val="both"/>
        <w:rPr>
          <w:rFonts w:ascii="Arial" w:hAnsi="Arial" w:cs="Arial"/>
          <w:sz w:val="24"/>
          <w:szCs w:val="24"/>
        </w:rPr>
      </w:pPr>
      <w:r w:rsidRPr="006C3771">
        <w:rPr>
          <w:rFonts w:ascii="Arial" w:hAnsi="Arial" w:cs="Arial"/>
          <w:sz w:val="24"/>
          <w:szCs w:val="24"/>
        </w:rPr>
        <w:t>[</w:t>
      </w:r>
      <w:r w:rsidR="00193AA7">
        <w:rPr>
          <w:rFonts w:ascii="Arial" w:hAnsi="Arial" w:cs="Arial"/>
          <w:sz w:val="24"/>
          <w:szCs w:val="24"/>
        </w:rPr>
        <w:t>4</w:t>
      </w:r>
      <w:r w:rsidR="00AC5F89">
        <w:rPr>
          <w:rFonts w:ascii="Arial" w:hAnsi="Arial" w:cs="Arial"/>
          <w:sz w:val="24"/>
          <w:szCs w:val="24"/>
        </w:rPr>
        <w:t>6</w:t>
      </w:r>
      <w:r w:rsidRPr="006C3771">
        <w:rPr>
          <w:rFonts w:ascii="Arial" w:hAnsi="Arial" w:cs="Arial"/>
          <w:sz w:val="24"/>
          <w:szCs w:val="24"/>
        </w:rPr>
        <w:t>]</w:t>
      </w:r>
      <w:r w:rsidRPr="006C3771">
        <w:rPr>
          <w:rFonts w:ascii="Arial" w:hAnsi="Arial" w:cs="Arial"/>
          <w:sz w:val="24"/>
          <w:szCs w:val="24"/>
        </w:rPr>
        <w:tab/>
        <w:t>Secondly</w:t>
      </w:r>
      <w:r w:rsidR="00B729E5" w:rsidRPr="006C3771">
        <w:rPr>
          <w:rFonts w:ascii="Arial" w:hAnsi="Arial" w:cs="Arial"/>
          <w:sz w:val="24"/>
          <w:szCs w:val="24"/>
        </w:rPr>
        <w:t xml:space="preserve"> it is taken into account that it was </w:t>
      </w:r>
      <w:r w:rsidR="00C6023A" w:rsidRPr="006C3771">
        <w:rPr>
          <w:rFonts w:ascii="Arial" w:hAnsi="Arial" w:cs="Arial"/>
          <w:sz w:val="24"/>
          <w:szCs w:val="24"/>
        </w:rPr>
        <w:t xml:space="preserve">disclosed that it was </w:t>
      </w:r>
      <w:r w:rsidR="00B729E5" w:rsidRPr="006C3771">
        <w:rPr>
          <w:rFonts w:ascii="Arial" w:hAnsi="Arial" w:cs="Arial"/>
          <w:sz w:val="24"/>
          <w:szCs w:val="24"/>
        </w:rPr>
        <w:t>agreed on behalf of the Minister, during the Rule 32(9) meeting held on 11 June 2019 to make available these documents in order to limit the issues pertaining to this interlocutory application, which tender was seemingly withdrawn</w:t>
      </w:r>
      <w:r w:rsidR="00733728" w:rsidRPr="006C3771">
        <w:rPr>
          <w:rFonts w:ascii="Arial" w:hAnsi="Arial" w:cs="Arial"/>
          <w:sz w:val="24"/>
          <w:szCs w:val="24"/>
        </w:rPr>
        <w:t xml:space="preserve"> subsequently</w:t>
      </w:r>
      <w:r w:rsidR="00B729E5" w:rsidRPr="006C3771">
        <w:rPr>
          <w:rFonts w:ascii="Arial" w:hAnsi="Arial" w:cs="Arial"/>
          <w:sz w:val="24"/>
          <w:szCs w:val="24"/>
        </w:rPr>
        <w:t xml:space="preserve"> as the stance was </w:t>
      </w:r>
      <w:r w:rsidR="00B729E5" w:rsidRPr="006C3771">
        <w:rPr>
          <w:rFonts w:ascii="Arial" w:hAnsi="Arial" w:cs="Arial"/>
          <w:sz w:val="24"/>
          <w:szCs w:val="24"/>
        </w:rPr>
        <w:lastRenderedPageBreak/>
        <w:t>then taken that the request, which was considered frivolous and vexatious</w:t>
      </w:r>
      <w:r w:rsidR="00733728" w:rsidRPr="006C3771">
        <w:rPr>
          <w:rFonts w:ascii="Arial" w:hAnsi="Arial" w:cs="Arial"/>
          <w:sz w:val="24"/>
          <w:szCs w:val="24"/>
        </w:rPr>
        <w:t>,</w:t>
      </w:r>
      <w:r w:rsidR="00B729E5" w:rsidRPr="006C3771">
        <w:rPr>
          <w:rFonts w:ascii="Arial" w:hAnsi="Arial" w:cs="Arial"/>
          <w:sz w:val="24"/>
          <w:szCs w:val="24"/>
        </w:rPr>
        <w:t xml:space="preserve"> would have a material bearing on costs.</w:t>
      </w:r>
    </w:p>
    <w:p w:rsidR="00B729E5" w:rsidRPr="006C3771" w:rsidRDefault="00B729E5" w:rsidP="00193AA7">
      <w:pPr>
        <w:spacing w:after="0" w:line="360" w:lineRule="auto"/>
        <w:jc w:val="both"/>
        <w:rPr>
          <w:rFonts w:ascii="Arial" w:hAnsi="Arial" w:cs="Arial"/>
          <w:sz w:val="24"/>
          <w:szCs w:val="24"/>
        </w:rPr>
      </w:pPr>
    </w:p>
    <w:p w:rsidR="00647BCB" w:rsidRDefault="00B729E5" w:rsidP="00193AA7">
      <w:pPr>
        <w:spacing w:after="0" w:line="360" w:lineRule="auto"/>
        <w:jc w:val="both"/>
        <w:rPr>
          <w:rFonts w:ascii="Arial" w:hAnsi="Arial" w:cs="Arial"/>
          <w:sz w:val="24"/>
          <w:szCs w:val="24"/>
        </w:rPr>
      </w:pPr>
      <w:r w:rsidRPr="006C3771">
        <w:rPr>
          <w:rFonts w:ascii="Arial" w:hAnsi="Arial" w:cs="Arial"/>
          <w:sz w:val="24"/>
          <w:szCs w:val="24"/>
        </w:rPr>
        <w:t>[</w:t>
      </w:r>
      <w:r w:rsidR="00193AA7">
        <w:rPr>
          <w:rFonts w:ascii="Arial" w:hAnsi="Arial" w:cs="Arial"/>
          <w:sz w:val="24"/>
          <w:szCs w:val="24"/>
        </w:rPr>
        <w:t>4</w:t>
      </w:r>
      <w:r w:rsidR="00AC5F89">
        <w:rPr>
          <w:rFonts w:ascii="Arial" w:hAnsi="Arial" w:cs="Arial"/>
          <w:sz w:val="24"/>
          <w:szCs w:val="24"/>
        </w:rPr>
        <w:t>7</w:t>
      </w:r>
      <w:r w:rsidRPr="006C3771">
        <w:rPr>
          <w:rFonts w:ascii="Arial" w:hAnsi="Arial" w:cs="Arial"/>
          <w:sz w:val="24"/>
          <w:szCs w:val="24"/>
        </w:rPr>
        <w:t>]</w:t>
      </w:r>
      <w:r w:rsidRPr="006C3771">
        <w:rPr>
          <w:rFonts w:ascii="Arial" w:hAnsi="Arial" w:cs="Arial"/>
          <w:sz w:val="24"/>
          <w:szCs w:val="24"/>
        </w:rPr>
        <w:tab/>
      </w:r>
      <w:r w:rsidR="008C4AEC" w:rsidRPr="006C3771">
        <w:rPr>
          <w:rFonts w:ascii="Arial" w:hAnsi="Arial" w:cs="Arial"/>
          <w:sz w:val="24"/>
          <w:szCs w:val="24"/>
        </w:rPr>
        <w:t xml:space="preserve">Thirdly </w:t>
      </w:r>
      <w:r w:rsidR="00647BCB">
        <w:rPr>
          <w:rFonts w:ascii="Arial" w:hAnsi="Arial" w:cs="Arial"/>
          <w:sz w:val="24"/>
          <w:szCs w:val="24"/>
        </w:rPr>
        <w:t>p</w:t>
      </w:r>
      <w:r w:rsidR="00647BCB" w:rsidRPr="006C3771">
        <w:rPr>
          <w:rFonts w:ascii="Arial" w:hAnsi="Arial" w:cs="Arial"/>
          <w:sz w:val="24"/>
          <w:szCs w:val="24"/>
        </w:rPr>
        <w:t>roof of delivery thus exists.</w:t>
      </w:r>
    </w:p>
    <w:p w:rsidR="00647BCB" w:rsidRDefault="00647BCB" w:rsidP="00193AA7">
      <w:pPr>
        <w:spacing w:after="0" w:line="360" w:lineRule="auto"/>
        <w:jc w:val="both"/>
        <w:rPr>
          <w:rFonts w:ascii="Arial" w:hAnsi="Arial" w:cs="Arial"/>
          <w:sz w:val="24"/>
          <w:szCs w:val="24"/>
        </w:rPr>
      </w:pPr>
    </w:p>
    <w:p w:rsidR="00B729E5" w:rsidRPr="006C3771" w:rsidRDefault="00647BCB" w:rsidP="00193AA7">
      <w:pPr>
        <w:spacing w:after="0" w:line="360" w:lineRule="auto"/>
        <w:jc w:val="both"/>
        <w:rPr>
          <w:rFonts w:ascii="Arial" w:hAnsi="Arial" w:cs="Arial"/>
          <w:sz w:val="24"/>
          <w:szCs w:val="24"/>
        </w:rPr>
      </w:pPr>
      <w:r>
        <w:rPr>
          <w:rFonts w:ascii="Arial" w:hAnsi="Arial" w:cs="Arial"/>
          <w:sz w:val="24"/>
          <w:szCs w:val="24"/>
        </w:rPr>
        <w:t>[</w:t>
      </w:r>
      <w:r w:rsidR="00AC5F89">
        <w:rPr>
          <w:rFonts w:ascii="Arial" w:hAnsi="Arial" w:cs="Arial"/>
          <w:sz w:val="24"/>
          <w:szCs w:val="24"/>
        </w:rPr>
        <w:t>48</w:t>
      </w:r>
      <w:r>
        <w:rPr>
          <w:rFonts w:ascii="Arial" w:hAnsi="Arial" w:cs="Arial"/>
          <w:sz w:val="24"/>
          <w:szCs w:val="24"/>
        </w:rPr>
        <w:t>]</w:t>
      </w:r>
      <w:r>
        <w:rPr>
          <w:rFonts w:ascii="Arial" w:hAnsi="Arial" w:cs="Arial"/>
          <w:sz w:val="24"/>
          <w:szCs w:val="24"/>
        </w:rPr>
        <w:tab/>
        <w:t xml:space="preserve">Fourthly </w:t>
      </w:r>
      <w:r w:rsidR="008C4AEC" w:rsidRPr="006C3771">
        <w:rPr>
          <w:rFonts w:ascii="Arial" w:hAnsi="Arial" w:cs="Arial"/>
          <w:sz w:val="24"/>
          <w:szCs w:val="24"/>
        </w:rPr>
        <w:t>I find that the arguments made in response to the Minister’</w:t>
      </w:r>
      <w:r w:rsidR="00733728" w:rsidRPr="006C3771">
        <w:rPr>
          <w:rFonts w:ascii="Arial" w:hAnsi="Arial" w:cs="Arial"/>
          <w:sz w:val="24"/>
          <w:szCs w:val="24"/>
        </w:rPr>
        <w:t>s stance</w:t>
      </w:r>
      <w:r w:rsidR="008C4AEC" w:rsidRPr="006C3771">
        <w:rPr>
          <w:rFonts w:ascii="Arial" w:hAnsi="Arial" w:cs="Arial"/>
          <w:sz w:val="24"/>
          <w:szCs w:val="24"/>
        </w:rPr>
        <w:t xml:space="preserve"> persuasive. </w:t>
      </w:r>
      <w:r w:rsidR="005C786F" w:rsidRPr="006C3771">
        <w:rPr>
          <w:rFonts w:ascii="Arial" w:hAnsi="Arial" w:cs="Arial"/>
          <w:sz w:val="24"/>
          <w:szCs w:val="24"/>
        </w:rPr>
        <w:t>I thus disagree with the contention that the requested documentation is irrelevant to the Minister’s decision.</w:t>
      </w:r>
      <w:r w:rsidR="000E6330" w:rsidRPr="006C3771">
        <w:rPr>
          <w:rFonts w:ascii="Arial" w:hAnsi="Arial" w:cs="Arial"/>
          <w:sz w:val="24"/>
          <w:szCs w:val="24"/>
        </w:rPr>
        <w:t xml:space="preserve"> The constitutional trend to enable the testing of the legality of the exercise of public power</w:t>
      </w:r>
      <w:r w:rsidR="00733728" w:rsidRPr="006C3771">
        <w:rPr>
          <w:rFonts w:ascii="Arial" w:hAnsi="Arial" w:cs="Arial"/>
          <w:sz w:val="24"/>
          <w:szCs w:val="24"/>
        </w:rPr>
        <w:t>,</w:t>
      </w:r>
      <w:r w:rsidR="000E6330" w:rsidRPr="006C3771">
        <w:rPr>
          <w:rFonts w:ascii="Arial" w:hAnsi="Arial" w:cs="Arial"/>
          <w:sz w:val="24"/>
          <w:szCs w:val="24"/>
        </w:rPr>
        <w:t xml:space="preserve"> completely and thoroughly</w:t>
      </w:r>
      <w:r w:rsidR="00733728" w:rsidRPr="006C3771">
        <w:rPr>
          <w:rFonts w:ascii="Arial" w:hAnsi="Arial" w:cs="Arial"/>
          <w:sz w:val="24"/>
          <w:szCs w:val="24"/>
        </w:rPr>
        <w:t>,</w:t>
      </w:r>
      <w:r w:rsidR="000E6330" w:rsidRPr="006C3771">
        <w:rPr>
          <w:rFonts w:ascii="Arial" w:hAnsi="Arial" w:cs="Arial"/>
          <w:sz w:val="24"/>
          <w:szCs w:val="24"/>
        </w:rPr>
        <w:t xml:space="preserve"> by affording an applicant </w:t>
      </w:r>
      <w:r w:rsidR="00733728" w:rsidRPr="006C3771">
        <w:rPr>
          <w:rFonts w:ascii="Arial" w:hAnsi="Arial" w:cs="Arial"/>
          <w:sz w:val="24"/>
          <w:szCs w:val="24"/>
        </w:rPr>
        <w:t xml:space="preserve">in a </w:t>
      </w:r>
      <w:r w:rsidR="000E6330" w:rsidRPr="006C3771">
        <w:rPr>
          <w:rFonts w:ascii="Arial" w:hAnsi="Arial" w:cs="Arial"/>
          <w:sz w:val="24"/>
          <w:szCs w:val="24"/>
        </w:rPr>
        <w:t>review access to all material relevant to the exercise of that public power underscores this stance. The information sought is relevant to the decision for all the grounds advanced on behalf of the applicants. The documentation sought could clearly found a possible furthe</w:t>
      </w:r>
      <w:r w:rsidR="00733728" w:rsidRPr="006C3771">
        <w:rPr>
          <w:rFonts w:ascii="Arial" w:hAnsi="Arial" w:cs="Arial"/>
          <w:sz w:val="24"/>
          <w:szCs w:val="24"/>
        </w:rPr>
        <w:t>r ground of review based on any of the</w:t>
      </w:r>
      <w:r w:rsidR="000E6330" w:rsidRPr="006C3771">
        <w:rPr>
          <w:rFonts w:ascii="Arial" w:hAnsi="Arial" w:cs="Arial"/>
          <w:sz w:val="24"/>
          <w:szCs w:val="24"/>
        </w:rPr>
        <w:t xml:space="preserve"> grounds</w:t>
      </w:r>
      <w:r w:rsidR="0027117B" w:rsidRPr="006C3771">
        <w:rPr>
          <w:rFonts w:ascii="Arial" w:hAnsi="Arial" w:cs="Arial"/>
          <w:sz w:val="24"/>
          <w:szCs w:val="24"/>
        </w:rPr>
        <w:t xml:space="preserve"> as formulated in the applicants’ reply. If they do</w:t>
      </w:r>
      <w:r w:rsidR="000E6330" w:rsidRPr="006C3771">
        <w:rPr>
          <w:rFonts w:ascii="Arial" w:hAnsi="Arial" w:cs="Arial"/>
          <w:sz w:val="24"/>
          <w:szCs w:val="24"/>
        </w:rPr>
        <w:t xml:space="preserve"> not</w:t>
      </w:r>
      <w:r>
        <w:rPr>
          <w:rFonts w:ascii="Arial" w:hAnsi="Arial" w:cs="Arial"/>
          <w:sz w:val="24"/>
          <w:szCs w:val="24"/>
        </w:rPr>
        <w:t>,</w:t>
      </w:r>
      <w:r w:rsidR="000E6330" w:rsidRPr="006C3771">
        <w:rPr>
          <w:rFonts w:ascii="Arial" w:hAnsi="Arial" w:cs="Arial"/>
          <w:sz w:val="24"/>
          <w:szCs w:val="24"/>
        </w:rPr>
        <w:t xml:space="preserve"> then</w:t>
      </w:r>
      <w:r>
        <w:rPr>
          <w:rFonts w:ascii="Arial" w:hAnsi="Arial" w:cs="Arial"/>
          <w:sz w:val="24"/>
          <w:szCs w:val="24"/>
        </w:rPr>
        <w:t>,</w:t>
      </w:r>
      <w:r w:rsidR="000E6330" w:rsidRPr="006C3771">
        <w:rPr>
          <w:rFonts w:ascii="Arial" w:hAnsi="Arial" w:cs="Arial"/>
          <w:sz w:val="24"/>
          <w:szCs w:val="24"/>
        </w:rPr>
        <w:t xml:space="preserve"> at least</w:t>
      </w:r>
      <w:r>
        <w:rPr>
          <w:rFonts w:ascii="Arial" w:hAnsi="Arial" w:cs="Arial"/>
          <w:sz w:val="24"/>
          <w:szCs w:val="24"/>
        </w:rPr>
        <w:t>,</w:t>
      </w:r>
      <w:r w:rsidR="000E6330" w:rsidRPr="006C3771">
        <w:rPr>
          <w:rFonts w:ascii="Arial" w:hAnsi="Arial" w:cs="Arial"/>
          <w:sz w:val="24"/>
          <w:szCs w:val="24"/>
        </w:rPr>
        <w:t xml:space="preserve"> there can be no basis for any suspicion that a possible irregul</w:t>
      </w:r>
      <w:r>
        <w:rPr>
          <w:rFonts w:ascii="Arial" w:hAnsi="Arial" w:cs="Arial"/>
          <w:sz w:val="24"/>
          <w:szCs w:val="24"/>
        </w:rPr>
        <w:t>arity has remained uncovered or</w:t>
      </w:r>
      <w:r w:rsidR="000E6330" w:rsidRPr="006C3771">
        <w:rPr>
          <w:rFonts w:ascii="Arial" w:hAnsi="Arial" w:cs="Arial"/>
          <w:sz w:val="24"/>
          <w:szCs w:val="24"/>
        </w:rPr>
        <w:t xml:space="preserve"> has remained isolated from scrutiny and review. The request is clearly underscored also by the constitutional imperative</w:t>
      </w:r>
      <w:r w:rsidR="00C6023A" w:rsidRPr="006C3771">
        <w:rPr>
          <w:rFonts w:ascii="Arial" w:hAnsi="Arial" w:cs="Arial"/>
          <w:sz w:val="24"/>
          <w:szCs w:val="24"/>
        </w:rPr>
        <w:t xml:space="preserve"> applicable to reviews</w:t>
      </w:r>
      <w:r w:rsidR="000E6330" w:rsidRPr="006C3771">
        <w:rPr>
          <w:rFonts w:ascii="Arial" w:hAnsi="Arial" w:cs="Arial"/>
          <w:sz w:val="24"/>
          <w:szCs w:val="24"/>
        </w:rPr>
        <w:t>, which requires the exercise of public power to be in accordance with the Constitution</w:t>
      </w:r>
      <w:r w:rsidR="00DF5B11" w:rsidRPr="006C3771">
        <w:rPr>
          <w:rFonts w:ascii="Arial" w:hAnsi="Arial" w:cs="Arial"/>
          <w:sz w:val="24"/>
          <w:szCs w:val="24"/>
        </w:rPr>
        <w:t xml:space="preserve"> through which the applicants sh</w:t>
      </w:r>
      <w:r w:rsidR="0027117B" w:rsidRPr="006C3771">
        <w:rPr>
          <w:rFonts w:ascii="Arial" w:hAnsi="Arial" w:cs="Arial"/>
          <w:sz w:val="24"/>
          <w:szCs w:val="24"/>
        </w:rPr>
        <w:t>ould be afforded a reasonable opportunity to advance their case</w:t>
      </w:r>
      <w:r w:rsidR="000E6330" w:rsidRPr="006C3771">
        <w:rPr>
          <w:rFonts w:ascii="Arial" w:hAnsi="Arial" w:cs="Arial"/>
          <w:sz w:val="24"/>
          <w:szCs w:val="24"/>
        </w:rPr>
        <w:t>.</w:t>
      </w:r>
    </w:p>
    <w:p w:rsidR="00B729E5" w:rsidRPr="006C3771" w:rsidRDefault="00B729E5" w:rsidP="00732F6A">
      <w:pPr>
        <w:spacing w:line="360" w:lineRule="auto"/>
        <w:jc w:val="both"/>
        <w:rPr>
          <w:rFonts w:ascii="Arial" w:hAnsi="Arial" w:cs="Arial"/>
        </w:rPr>
      </w:pPr>
    </w:p>
    <w:tbl>
      <w:tblPr>
        <w:tblStyle w:val="TableGrid"/>
        <w:tblW w:w="9090" w:type="dxa"/>
        <w:tblInd w:w="-5" w:type="dxa"/>
        <w:tblLook w:val="04A0" w:firstRow="1" w:lastRow="0" w:firstColumn="1" w:lastColumn="0" w:noHBand="0" w:noVBand="1"/>
      </w:tblPr>
      <w:tblGrid>
        <w:gridCol w:w="2768"/>
        <w:gridCol w:w="2770"/>
        <w:gridCol w:w="3552"/>
      </w:tblGrid>
      <w:tr w:rsidR="00496853" w:rsidRPr="006C3771" w:rsidTr="00663CFA">
        <w:tc>
          <w:tcPr>
            <w:tcW w:w="2768" w:type="dxa"/>
          </w:tcPr>
          <w:p w:rsidR="00496853" w:rsidRPr="006C3771" w:rsidRDefault="00496853" w:rsidP="00732F6A">
            <w:pPr>
              <w:jc w:val="both"/>
              <w:rPr>
                <w:rFonts w:ascii="Arial" w:hAnsi="Arial" w:cs="Arial"/>
                <w:b/>
              </w:rPr>
            </w:pPr>
            <w:r w:rsidRPr="006C3771">
              <w:rPr>
                <w:rFonts w:ascii="Arial" w:hAnsi="Arial" w:cs="Arial"/>
                <w:b/>
              </w:rPr>
              <w:t>“</w:t>
            </w:r>
            <w:r w:rsidR="0027117B" w:rsidRPr="006C3771">
              <w:rPr>
                <w:rFonts w:ascii="Arial" w:hAnsi="Arial" w:cs="Arial"/>
                <w:b/>
              </w:rPr>
              <w:t>1.</w:t>
            </w:r>
            <w:r w:rsidRPr="006C3771">
              <w:rPr>
                <w:rFonts w:ascii="Arial" w:hAnsi="Arial" w:cs="Arial"/>
                <w:b/>
              </w:rPr>
              <w:t xml:space="preserve">8. </w:t>
            </w:r>
            <w:r w:rsidRPr="006C3771">
              <w:rPr>
                <w:rFonts w:ascii="Arial" w:hAnsi="Arial" w:cs="Arial"/>
                <w:b/>
              </w:rPr>
              <w:tab/>
              <w:t>The documents evidencing the instructions to the legal drafters to finalize the impugned December 2017 Notices.”</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rPr>
            </w:pPr>
            <w:r w:rsidRPr="006C3771">
              <w:rPr>
                <w:rFonts w:ascii="Arial" w:hAnsi="Arial" w:cs="Arial"/>
              </w:rPr>
              <w:t xml:space="preserve">“15. </w:t>
            </w:r>
            <w:r w:rsidRPr="006C3771">
              <w:rPr>
                <w:rFonts w:ascii="Arial" w:hAnsi="Arial" w:cs="Arial"/>
              </w:rPr>
              <w:tab/>
              <w:t>The documentation sought in these paragraphs post-dates my decision. It is accordingly irrelevant. To the extent it may exist, the applicants are not entitled to it as any part of the Rule 76 decision or by way of general or particular discovery.”</w:t>
            </w:r>
          </w:p>
          <w:p w:rsidR="00496853" w:rsidRPr="006C3771" w:rsidRDefault="00496853" w:rsidP="00732F6A">
            <w:pPr>
              <w:rPr>
                <w:rFonts w:ascii="Arial" w:hAnsi="Arial" w:cs="Arial"/>
              </w:rPr>
            </w:pPr>
          </w:p>
        </w:tc>
        <w:tc>
          <w:tcPr>
            <w:tcW w:w="3552" w:type="dxa"/>
          </w:tcPr>
          <w:p w:rsidR="00496853" w:rsidRPr="006C3771" w:rsidRDefault="00496853" w:rsidP="00732F6A">
            <w:pPr>
              <w:jc w:val="both"/>
              <w:rPr>
                <w:rFonts w:ascii="Arial" w:hAnsi="Arial" w:cs="Arial"/>
                <w:b/>
              </w:rPr>
            </w:pPr>
            <w:r w:rsidRPr="006C3771">
              <w:rPr>
                <w:rFonts w:ascii="Arial" w:hAnsi="Arial" w:cs="Arial"/>
                <w:b/>
              </w:rPr>
              <w:t>(The applicants’) RESPONSE</w:t>
            </w:r>
          </w:p>
          <w:p w:rsidR="00496853" w:rsidRPr="006C3771" w:rsidRDefault="00496853" w:rsidP="00732F6A">
            <w:pPr>
              <w:jc w:val="both"/>
              <w:rPr>
                <w:rFonts w:ascii="Arial" w:hAnsi="Arial" w:cs="Arial"/>
              </w:rPr>
            </w:pPr>
          </w:p>
          <w:p w:rsidR="00496853" w:rsidRPr="006C3771" w:rsidRDefault="00DF5B11" w:rsidP="00732F6A">
            <w:pPr>
              <w:jc w:val="both"/>
              <w:rPr>
                <w:rFonts w:ascii="Arial" w:hAnsi="Arial" w:cs="Arial"/>
              </w:rPr>
            </w:pPr>
            <w:r w:rsidRPr="006C3771">
              <w:rPr>
                <w:rFonts w:ascii="Arial" w:hAnsi="Arial" w:cs="Arial"/>
              </w:rPr>
              <w:t>8.8.1</w:t>
            </w:r>
            <w:r w:rsidRPr="006C3771">
              <w:rPr>
                <w:rFonts w:ascii="Arial" w:hAnsi="Arial" w:cs="Arial"/>
              </w:rPr>
              <w:tab/>
              <w:t xml:space="preserve"> I</w:t>
            </w:r>
            <w:r w:rsidR="00496853" w:rsidRPr="006C3771">
              <w:rPr>
                <w:rFonts w:ascii="Arial" w:hAnsi="Arial" w:cs="Arial"/>
              </w:rPr>
              <w:t xml:space="preserve">t is simply not sufficient to say that </w:t>
            </w:r>
            <w:r w:rsidRPr="006C3771">
              <w:rPr>
                <w:rFonts w:ascii="Arial" w:hAnsi="Arial" w:cs="Arial"/>
              </w:rPr>
              <w:t>the documents sought “post-date</w:t>
            </w:r>
            <w:r w:rsidR="00496853" w:rsidRPr="006C3771">
              <w:rPr>
                <w:rFonts w:ascii="Arial" w:hAnsi="Arial" w:cs="Arial"/>
              </w:rPr>
              <w:t xml:space="preserve">” the Minister’s decision. The question remains what is the date </w:t>
            </w:r>
            <w:r w:rsidR="008C4AEC" w:rsidRPr="006C3771">
              <w:rPr>
                <w:rFonts w:ascii="Arial" w:hAnsi="Arial" w:cs="Arial"/>
              </w:rPr>
              <w:t>of the Minister’s decision.</w:t>
            </w:r>
            <w:r w:rsidR="009C33BC" w:rsidRPr="006C3771">
              <w:rPr>
                <w:rFonts w:ascii="Arial" w:hAnsi="Arial" w:cs="Arial"/>
              </w:rPr>
              <w:t xml:space="preserve"> The applicants’ case is</w:t>
            </w:r>
            <w:r w:rsidR="00496853" w:rsidRPr="006C3771">
              <w:rPr>
                <w:rFonts w:ascii="Arial" w:hAnsi="Arial" w:cs="Arial"/>
              </w:rPr>
              <w:t xml:space="preserve"> indeed that the Minister has simply followed Cabinet’s instruction; so the Minister “took” his decision even before he received any documents from the Government Attorneys. The point is that the exact date of the instructions to the legal drafters may even pre-date the date on which the Minister </w:t>
            </w:r>
            <w:r w:rsidR="00496853" w:rsidRPr="006C3771">
              <w:rPr>
                <w:rFonts w:ascii="Arial" w:hAnsi="Arial" w:cs="Arial"/>
              </w:rPr>
              <w:lastRenderedPageBreak/>
              <w:t>allegedly received the documents from the Government Attorneys.</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34.8.</w:t>
            </w:r>
            <w:r w:rsidRPr="006C3771">
              <w:rPr>
                <w:rFonts w:ascii="Arial" w:hAnsi="Arial" w:cs="Arial"/>
              </w:rPr>
              <w:tab/>
              <w:t>The documents will “throw light, directly or indirectly, on what the proceedings were, both procedurally and evidentially”, and would thus form part of the record.</w:t>
            </w:r>
          </w:p>
          <w:p w:rsidR="00496853" w:rsidRPr="006C3771" w:rsidRDefault="00496853" w:rsidP="00732F6A">
            <w:pPr>
              <w:rPr>
                <w:rFonts w:ascii="Arial" w:hAnsi="Arial" w:cs="Arial"/>
              </w:rPr>
            </w:pPr>
          </w:p>
        </w:tc>
      </w:tr>
    </w:tbl>
    <w:p w:rsidR="00496853" w:rsidRPr="006C3771" w:rsidRDefault="00496853" w:rsidP="00732F6A">
      <w:pPr>
        <w:spacing w:line="360" w:lineRule="auto"/>
        <w:jc w:val="both"/>
        <w:rPr>
          <w:rFonts w:ascii="Arial" w:hAnsi="Arial" w:cs="Arial"/>
          <w:sz w:val="24"/>
          <w:szCs w:val="24"/>
        </w:rPr>
      </w:pPr>
    </w:p>
    <w:p w:rsidR="00C6023A" w:rsidRPr="006C3771" w:rsidRDefault="00C356BE" w:rsidP="00193AA7">
      <w:pPr>
        <w:spacing w:after="0" w:line="360" w:lineRule="auto"/>
        <w:jc w:val="both"/>
        <w:rPr>
          <w:rFonts w:ascii="Arial" w:hAnsi="Arial" w:cs="Arial"/>
          <w:sz w:val="24"/>
          <w:szCs w:val="24"/>
        </w:rPr>
      </w:pPr>
      <w:r w:rsidRPr="006C3771">
        <w:rPr>
          <w:rFonts w:ascii="Arial" w:hAnsi="Arial" w:cs="Arial"/>
          <w:sz w:val="24"/>
          <w:szCs w:val="24"/>
        </w:rPr>
        <w:t>[</w:t>
      </w:r>
      <w:r w:rsidR="00193AA7">
        <w:rPr>
          <w:rFonts w:ascii="Arial" w:hAnsi="Arial" w:cs="Arial"/>
          <w:sz w:val="24"/>
          <w:szCs w:val="24"/>
        </w:rPr>
        <w:t>4</w:t>
      </w:r>
      <w:r w:rsidR="00AC5F89">
        <w:rPr>
          <w:rFonts w:ascii="Arial" w:hAnsi="Arial" w:cs="Arial"/>
          <w:sz w:val="24"/>
          <w:szCs w:val="24"/>
        </w:rPr>
        <w:t>9</w:t>
      </w:r>
      <w:r w:rsidR="00647BCB">
        <w:rPr>
          <w:rFonts w:ascii="Arial" w:hAnsi="Arial" w:cs="Arial"/>
          <w:sz w:val="24"/>
          <w:szCs w:val="24"/>
        </w:rPr>
        <w:t xml:space="preserve">] </w:t>
      </w:r>
      <w:r w:rsidR="00647BCB">
        <w:rPr>
          <w:rFonts w:ascii="Arial" w:hAnsi="Arial" w:cs="Arial"/>
          <w:sz w:val="24"/>
          <w:szCs w:val="24"/>
        </w:rPr>
        <w:tab/>
        <w:t>The first basis on which this</w:t>
      </w:r>
      <w:r w:rsidRPr="006C3771">
        <w:rPr>
          <w:rFonts w:ascii="Arial" w:hAnsi="Arial" w:cs="Arial"/>
          <w:sz w:val="24"/>
          <w:szCs w:val="24"/>
        </w:rPr>
        <w:t xml:space="preserve"> request is opposed is on the basis of relevance</w:t>
      </w:r>
      <w:r w:rsidR="00647BCB">
        <w:rPr>
          <w:rFonts w:ascii="Arial" w:hAnsi="Arial" w:cs="Arial"/>
          <w:sz w:val="24"/>
          <w:szCs w:val="24"/>
        </w:rPr>
        <w:t>,</w:t>
      </w:r>
      <w:r w:rsidRPr="006C3771">
        <w:rPr>
          <w:rFonts w:ascii="Arial" w:hAnsi="Arial" w:cs="Arial"/>
          <w:sz w:val="24"/>
          <w:szCs w:val="24"/>
        </w:rPr>
        <w:t xml:space="preserve"> as the documents requested</w:t>
      </w:r>
      <w:r w:rsidR="00647BCB">
        <w:rPr>
          <w:rFonts w:ascii="Arial" w:hAnsi="Arial" w:cs="Arial"/>
          <w:sz w:val="24"/>
          <w:szCs w:val="24"/>
        </w:rPr>
        <w:t>,</w:t>
      </w:r>
      <w:r w:rsidRPr="006C3771">
        <w:rPr>
          <w:rFonts w:ascii="Arial" w:hAnsi="Arial" w:cs="Arial"/>
          <w:sz w:val="24"/>
          <w:szCs w:val="24"/>
        </w:rPr>
        <w:t xml:space="preserve"> post-date the Minister’s decision.</w:t>
      </w:r>
      <w:r w:rsidR="00E67A36" w:rsidRPr="006C3771">
        <w:rPr>
          <w:rFonts w:ascii="Arial" w:hAnsi="Arial" w:cs="Arial"/>
          <w:sz w:val="24"/>
          <w:szCs w:val="24"/>
        </w:rPr>
        <w:t xml:space="preserve"> </w:t>
      </w:r>
      <w:r w:rsidR="00C6023A" w:rsidRPr="006C3771">
        <w:rPr>
          <w:rFonts w:ascii="Arial" w:hAnsi="Arial" w:cs="Arial"/>
          <w:sz w:val="24"/>
          <w:szCs w:val="24"/>
        </w:rPr>
        <w:t xml:space="preserve">The second ground is based on the argument that the requested documents where thus not before him at the relevant time. </w:t>
      </w:r>
    </w:p>
    <w:p w:rsidR="00C6023A" w:rsidRPr="006C3771" w:rsidRDefault="00C6023A" w:rsidP="00193AA7">
      <w:pPr>
        <w:spacing w:after="0" w:line="360" w:lineRule="auto"/>
        <w:jc w:val="both"/>
        <w:rPr>
          <w:rFonts w:ascii="Arial" w:hAnsi="Arial" w:cs="Arial"/>
          <w:sz w:val="24"/>
          <w:szCs w:val="24"/>
        </w:rPr>
      </w:pPr>
    </w:p>
    <w:p w:rsidR="004D74BC" w:rsidRPr="006C3771" w:rsidRDefault="00C6023A" w:rsidP="00193AA7">
      <w:pPr>
        <w:spacing w:after="0" w:line="360" w:lineRule="auto"/>
        <w:jc w:val="both"/>
        <w:rPr>
          <w:rFonts w:ascii="Arial" w:hAnsi="Arial" w:cs="Arial"/>
          <w:sz w:val="24"/>
          <w:szCs w:val="24"/>
        </w:rPr>
      </w:pPr>
      <w:r w:rsidRPr="006C3771">
        <w:rPr>
          <w:rFonts w:ascii="Arial" w:hAnsi="Arial" w:cs="Arial"/>
          <w:sz w:val="24"/>
          <w:szCs w:val="24"/>
        </w:rPr>
        <w:t>[</w:t>
      </w:r>
      <w:r w:rsidR="00AC5F89">
        <w:rPr>
          <w:rFonts w:ascii="Arial" w:hAnsi="Arial" w:cs="Arial"/>
          <w:sz w:val="24"/>
          <w:szCs w:val="24"/>
        </w:rPr>
        <w:t>50</w:t>
      </w:r>
      <w:r w:rsidRPr="006C3771">
        <w:rPr>
          <w:rFonts w:ascii="Arial" w:hAnsi="Arial" w:cs="Arial"/>
          <w:sz w:val="24"/>
          <w:szCs w:val="24"/>
        </w:rPr>
        <w:t>]</w:t>
      </w:r>
      <w:r w:rsidRPr="006C3771">
        <w:rPr>
          <w:rFonts w:ascii="Arial" w:hAnsi="Arial" w:cs="Arial"/>
          <w:sz w:val="24"/>
          <w:szCs w:val="24"/>
        </w:rPr>
        <w:tab/>
        <w:t>The</w:t>
      </w:r>
      <w:r w:rsidR="00E67A36" w:rsidRPr="006C3771">
        <w:rPr>
          <w:rFonts w:ascii="Arial" w:hAnsi="Arial" w:cs="Arial"/>
          <w:sz w:val="24"/>
          <w:szCs w:val="24"/>
        </w:rPr>
        <w:t>s</w:t>
      </w:r>
      <w:r w:rsidRPr="006C3771">
        <w:rPr>
          <w:rFonts w:ascii="Arial" w:hAnsi="Arial" w:cs="Arial"/>
          <w:sz w:val="24"/>
          <w:szCs w:val="24"/>
        </w:rPr>
        <w:t>e</w:t>
      </w:r>
      <w:r w:rsidR="00E67A36" w:rsidRPr="006C3771">
        <w:rPr>
          <w:rFonts w:ascii="Arial" w:hAnsi="Arial" w:cs="Arial"/>
          <w:sz w:val="24"/>
          <w:szCs w:val="24"/>
        </w:rPr>
        <w:t xml:space="preserve"> ground</w:t>
      </w:r>
      <w:r w:rsidR="00647BCB">
        <w:rPr>
          <w:rFonts w:ascii="Arial" w:hAnsi="Arial" w:cs="Arial"/>
          <w:sz w:val="24"/>
          <w:szCs w:val="24"/>
        </w:rPr>
        <w:t>s</w:t>
      </w:r>
      <w:r w:rsidR="00E67A36" w:rsidRPr="006C3771">
        <w:rPr>
          <w:rFonts w:ascii="Arial" w:hAnsi="Arial" w:cs="Arial"/>
          <w:sz w:val="24"/>
          <w:szCs w:val="24"/>
        </w:rPr>
        <w:t xml:space="preserve"> of opposition</w:t>
      </w:r>
      <w:r w:rsidRPr="006C3771">
        <w:rPr>
          <w:rFonts w:ascii="Arial" w:hAnsi="Arial" w:cs="Arial"/>
          <w:sz w:val="24"/>
          <w:szCs w:val="24"/>
        </w:rPr>
        <w:t xml:space="preserve"> in my view however</w:t>
      </w:r>
      <w:r w:rsidR="00E67A36" w:rsidRPr="006C3771">
        <w:rPr>
          <w:rFonts w:ascii="Arial" w:hAnsi="Arial" w:cs="Arial"/>
          <w:sz w:val="24"/>
          <w:szCs w:val="24"/>
        </w:rPr>
        <w:t xml:space="preserve"> cannot prevent the disclosure of the sough</w:t>
      </w:r>
      <w:r w:rsidRPr="006C3771">
        <w:rPr>
          <w:rFonts w:ascii="Arial" w:hAnsi="Arial" w:cs="Arial"/>
          <w:sz w:val="24"/>
          <w:szCs w:val="24"/>
        </w:rPr>
        <w:t>t</w:t>
      </w:r>
      <w:r w:rsidR="00647BCB">
        <w:rPr>
          <w:rFonts w:ascii="Arial" w:hAnsi="Arial" w:cs="Arial"/>
          <w:sz w:val="24"/>
          <w:szCs w:val="24"/>
        </w:rPr>
        <w:t xml:space="preserve"> documentation, which are</w:t>
      </w:r>
      <w:r w:rsidR="00E67A36" w:rsidRPr="006C3771">
        <w:rPr>
          <w:rFonts w:ascii="Arial" w:hAnsi="Arial" w:cs="Arial"/>
          <w:sz w:val="24"/>
          <w:szCs w:val="24"/>
        </w:rPr>
        <w:t xml:space="preserve"> clearly relevant to the applicants pleaded case </w:t>
      </w:r>
      <w:r w:rsidR="004D74BC" w:rsidRPr="006C3771">
        <w:rPr>
          <w:rFonts w:ascii="Arial" w:hAnsi="Arial" w:cs="Arial"/>
          <w:sz w:val="24"/>
          <w:szCs w:val="24"/>
        </w:rPr>
        <w:t>that the Minister simply followed the Cabinet decision and took his decision before the receipt of documents from the Government Attorney</w:t>
      </w:r>
      <w:r w:rsidRPr="006C3771">
        <w:rPr>
          <w:rFonts w:ascii="Arial" w:hAnsi="Arial" w:cs="Arial"/>
          <w:sz w:val="24"/>
          <w:szCs w:val="24"/>
        </w:rPr>
        <w:t>.</w:t>
      </w:r>
      <w:r w:rsidR="004D74BC" w:rsidRPr="006C3771">
        <w:rPr>
          <w:rFonts w:ascii="Arial" w:hAnsi="Arial" w:cs="Arial"/>
          <w:sz w:val="24"/>
          <w:szCs w:val="24"/>
        </w:rPr>
        <w:t xml:space="preserve"> </w:t>
      </w:r>
      <w:r w:rsidRPr="006C3771">
        <w:rPr>
          <w:rFonts w:ascii="Arial" w:hAnsi="Arial" w:cs="Arial"/>
          <w:sz w:val="24"/>
          <w:szCs w:val="24"/>
        </w:rPr>
        <w:t>I</w:t>
      </w:r>
      <w:r w:rsidR="00E67A36" w:rsidRPr="006C3771">
        <w:rPr>
          <w:rFonts w:ascii="Arial" w:hAnsi="Arial" w:cs="Arial"/>
          <w:sz w:val="24"/>
          <w:szCs w:val="24"/>
        </w:rPr>
        <w:t>n</w:t>
      </w:r>
      <w:r w:rsidRPr="006C3771">
        <w:rPr>
          <w:rFonts w:ascii="Arial" w:hAnsi="Arial" w:cs="Arial"/>
          <w:sz w:val="24"/>
          <w:szCs w:val="24"/>
        </w:rPr>
        <w:t xml:space="preserve"> addition and in</w:t>
      </w:r>
      <w:r w:rsidR="00E67A36" w:rsidRPr="006C3771">
        <w:rPr>
          <w:rFonts w:ascii="Arial" w:hAnsi="Arial" w:cs="Arial"/>
          <w:sz w:val="24"/>
          <w:szCs w:val="24"/>
        </w:rPr>
        <w:t xml:space="preserve"> any event such documentation may also become relevant to the applicants’ </w:t>
      </w:r>
      <w:r w:rsidR="00647BCB">
        <w:rPr>
          <w:rFonts w:ascii="Arial" w:hAnsi="Arial" w:cs="Arial"/>
          <w:sz w:val="24"/>
          <w:szCs w:val="24"/>
        </w:rPr>
        <w:t xml:space="preserve">possible </w:t>
      </w:r>
      <w:r w:rsidR="00E67A36" w:rsidRPr="006C3771">
        <w:rPr>
          <w:rFonts w:ascii="Arial" w:hAnsi="Arial" w:cs="Arial"/>
          <w:sz w:val="24"/>
          <w:szCs w:val="24"/>
        </w:rPr>
        <w:t>supplemented case</w:t>
      </w:r>
      <w:r w:rsidR="004D74BC" w:rsidRPr="006C3771">
        <w:rPr>
          <w:rFonts w:ascii="Arial" w:hAnsi="Arial" w:cs="Arial"/>
          <w:sz w:val="24"/>
          <w:szCs w:val="24"/>
        </w:rPr>
        <w:t xml:space="preserve"> and the grounds of review changing later</w:t>
      </w:r>
      <w:r w:rsidRPr="006C3771">
        <w:rPr>
          <w:rFonts w:ascii="Arial" w:hAnsi="Arial" w:cs="Arial"/>
          <w:sz w:val="24"/>
          <w:szCs w:val="24"/>
        </w:rPr>
        <w:t xml:space="preserve"> or being subtracted therefrom</w:t>
      </w:r>
      <w:r w:rsidR="00E67A36" w:rsidRPr="006C3771">
        <w:rPr>
          <w:rFonts w:ascii="Arial" w:hAnsi="Arial" w:cs="Arial"/>
          <w:sz w:val="24"/>
          <w:szCs w:val="24"/>
        </w:rPr>
        <w:t>.</w:t>
      </w:r>
      <w:r w:rsidR="004D74BC" w:rsidRPr="006C3771">
        <w:rPr>
          <w:rFonts w:ascii="Arial" w:hAnsi="Arial" w:cs="Arial"/>
          <w:sz w:val="24"/>
          <w:szCs w:val="24"/>
        </w:rPr>
        <w:t xml:space="preserve"> </w:t>
      </w:r>
    </w:p>
    <w:p w:rsidR="004D74BC" w:rsidRPr="006C3771" w:rsidRDefault="004D74BC" w:rsidP="00193AA7">
      <w:pPr>
        <w:spacing w:after="0" w:line="360" w:lineRule="auto"/>
        <w:jc w:val="both"/>
        <w:rPr>
          <w:rFonts w:ascii="Arial" w:hAnsi="Arial" w:cs="Arial"/>
          <w:sz w:val="24"/>
          <w:szCs w:val="24"/>
        </w:rPr>
      </w:pPr>
    </w:p>
    <w:p w:rsidR="00496853" w:rsidRPr="006C3771" w:rsidRDefault="004D74BC" w:rsidP="00193AA7">
      <w:pPr>
        <w:spacing w:after="0" w:line="360" w:lineRule="auto"/>
        <w:jc w:val="both"/>
        <w:rPr>
          <w:rFonts w:ascii="Arial" w:hAnsi="Arial" w:cs="Arial"/>
          <w:sz w:val="24"/>
          <w:szCs w:val="24"/>
        </w:rPr>
      </w:pPr>
      <w:r w:rsidRPr="006C3771">
        <w:rPr>
          <w:rFonts w:ascii="Arial" w:hAnsi="Arial" w:cs="Arial"/>
          <w:sz w:val="24"/>
          <w:szCs w:val="24"/>
        </w:rPr>
        <w:t>[</w:t>
      </w:r>
      <w:r w:rsidR="00AC5F89">
        <w:rPr>
          <w:rFonts w:ascii="Arial" w:hAnsi="Arial" w:cs="Arial"/>
          <w:sz w:val="24"/>
          <w:szCs w:val="24"/>
        </w:rPr>
        <w:t>51</w:t>
      </w:r>
      <w:r w:rsidRPr="006C3771">
        <w:rPr>
          <w:rFonts w:ascii="Arial" w:hAnsi="Arial" w:cs="Arial"/>
          <w:sz w:val="24"/>
          <w:szCs w:val="24"/>
        </w:rPr>
        <w:t>]</w:t>
      </w:r>
      <w:r w:rsidRPr="006C3771">
        <w:rPr>
          <w:rFonts w:ascii="Arial" w:hAnsi="Arial" w:cs="Arial"/>
          <w:sz w:val="24"/>
          <w:szCs w:val="24"/>
        </w:rPr>
        <w:tab/>
      </w:r>
      <w:r w:rsidR="00B94EF5" w:rsidRPr="006C3771">
        <w:rPr>
          <w:rFonts w:ascii="Arial" w:hAnsi="Arial" w:cs="Arial"/>
          <w:sz w:val="24"/>
          <w:szCs w:val="24"/>
        </w:rPr>
        <w:t>An applicant under Rule 76 is entitled to all material relevant to the exercise of the public power</w:t>
      </w:r>
      <w:r w:rsidR="00AE50B8">
        <w:rPr>
          <w:rFonts w:ascii="Arial" w:hAnsi="Arial" w:cs="Arial"/>
          <w:sz w:val="24"/>
          <w:szCs w:val="24"/>
        </w:rPr>
        <w:t xml:space="preserve"> in question</w:t>
      </w:r>
      <w:r w:rsidR="00B94EF5" w:rsidRPr="006C3771">
        <w:rPr>
          <w:rFonts w:ascii="Arial" w:hAnsi="Arial" w:cs="Arial"/>
          <w:sz w:val="24"/>
          <w:szCs w:val="24"/>
        </w:rPr>
        <w:t>. That is the best possible way in which the exercise of such power can be tested. While there may very well be a speculative element in the applicants</w:t>
      </w:r>
      <w:r w:rsidR="00607E82" w:rsidRPr="006C3771">
        <w:rPr>
          <w:rFonts w:ascii="Arial" w:hAnsi="Arial" w:cs="Arial"/>
          <w:sz w:val="24"/>
          <w:szCs w:val="24"/>
        </w:rPr>
        <w:t>’</w:t>
      </w:r>
      <w:r w:rsidR="00B94EF5" w:rsidRPr="006C3771">
        <w:rPr>
          <w:rFonts w:ascii="Arial" w:hAnsi="Arial" w:cs="Arial"/>
          <w:sz w:val="24"/>
          <w:szCs w:val="24"/>
        </w:rPr>
        <w:t xml:space="preserve"> request</w:t>
      </w:r>
      <w:r w:rsidR="00607E82" w:rsidRPr="006C3771">
        <w:rPr>
          <w:rFonts w:ascii="Arial" w:hAnsi="Arial" w:cs="Arial"/>
          <w:sz w:val="24"/>
          <w:szCs w:val="24"/>
        </w:rPr>
        <w:t>,</w:t>
      </w:r>
      <w:r w:rsidR="00B94EF5" w:rsidRPr="006C3771">
        <w:rPr>
          <w:rFonts w:ascii="Arial" w:hAnsi="Arial" w:cs="Arial"/>
          <w:sz w:val="24"/>
          <w:szCs w:val="24"/>
        </w:rPr>
        <w:t xml:space="preserve"> as was submitted</w:t>
      </w:r>
      <w:r w:rsidR="00607E82" w:rsidRPr="006C3771">
        <w:rPr>
          <w:rFonts w:ascii="Arial" w:hAnsi="Arial" w:cs="Arial"/>
          <w:sz w:val="24"/>
          <w:szCs w:val="24"/>
        </w:rPr>
        <w:t>,</w:t>
      </w:r>
      <w:r w:rsidR="00B94EF5" w:rsidRPr="006C3771">
        <w:rPr>
          <w:rFonts w:ascii="Arial" w:hAnsi="Arial" w:cs="Arial"/>
          <w:sz w:val="24"/>
          <w:szCs w:val="24"/>
        </w:rPr>
        <w:t xml:space="preserve"> the court</w:t>
      </w:r>
      <w:r w:rsidR="00607E82" w:rsidRPr="006C3771">
        <w:rPr>
          <w:rFonts w:ascii="Arial" w:hAnsi="Arial" w:cs="Arial"/>
          <w:sz w:val="24"/>
          <w:szCs w:val="24"/>
        </w:rPr>
        <w:t>,</w:t>
      </w:r>
      <w:r w:rsidR="00B94EF5" w:rsidRPr="006C3771">
        <w:rPr>
          <w:rFonts w:ascii="Arial" w:hAnsi="Arial" w:cs="Arial"/>
          <w:sz w:val="24"/>
          <w:szCs w:val="24"/>
        </w:rPr>
        <w:t xml:space="preserve"> will seriously</w:t>
      </w:r>
      <w:r w:rsidR="00607E82" w:rsidRPr="006C3771">
        <w:rPr>
          <w:rFonts w:ascii="Arial" w:hAnsi="Arial" w:cs="Arial"/>
          <w:sz w:val="24"/>
          <w:szCs w:val="24"/>
        </w:rPr>
        <w:t xml:space="preserve"> have to</w:t>
      </w:r>
      <w:r w:rsidR="00B94EF5" w:rsidRPr="006C3771">
        <w:rPr>
          <w:rFonts w:ascii="Arial" w:hAnsi="Arial" w:cs="Arial"/>
          <w:sz w:val="24"/>
          <w:szCs w:val="24"/>
        </w:rPr>
        <w:t xml:space="preserve"> take into account</w:t>
      </w:r>
      <w:r w:rsidR="00607E82" w:rsidRPr="006C3771">
        <w:rPr>
          <w:rFonts w:ascii="Arial" w:hAnsi="Arial" w:cs="Arial"/>
          <w:sz w:val="24"/>
          <w:szCs w:val="24"/>
        </w:rPr>
        <w:t xml:space="preserve"> also</w:t>
      </w:r>
      <w:r w:rsidR="00B94EF5" w:rsidRPr="006C3771">
        <w:rPr>
          <w:rFonts w:ascii="Arial" w:hAnsi="Arial" w:cs="Arial"/>
          <w:sz w:val="24"/>
          <w:szCs w:val="24"/>
        </w:rPr>
        <w:t xml:space="preserve"> the valid interests the applicants</w:t>
      </w:r>
      <w:r w:rsidR="00607E82" w:rsidRPr="006C3771">
        <w:rPr>
          <w:rFonts w:ascii="Arial" w:hAnsi="Arial" w:cs="Arial"/>
          <w:sz w:val="24"/>
          <w:szCs w:val="24"/>
        </w:rPr>
        <w:t xml:space="preserve"> may have in being placed in the best</w:t>
      </w:r>
      <w:r w:rsidR="00C6023A" w:rsidRPr="006C3771">
        <w:rPr>
          <w:rFonts w:ascii="Arial" w:hAnsi="Arial" w:cs="Arial"/>
          <w:sz w:val="24"/>
          <w:szCs w:val="24"/>
        </w:rPr>
        <w:t xml:space="preserve"> possible</w:t>
      </w:r>
      <w:r w:rsidR="00647BCB">
        <w:rPr>
          <w:rFonts w:ascii="Arial" w:hAnsi="Arial" w:cs="Arial"/>
          <w:sz w:val="24"/>
          <w:szCs w:val="24"/>
        </w:rPr>
        <w:t xml:space="preserve"> position to advance</w:t>
      </w:r>
      <w:r w:rsidR="00607E82" w:rsidRPr="006C3771">
        <w:rPr>
          <w:rFonts w:ascii="Arial" w:hAnsi="Arial" w:cs="Arial"/>
          <w:sz w:val="24"/>
          <w:szCs w:val="24"/>
        </w:rPr>
        <w:t xml:space="preserve"> their</w:t>
      </w:r>
      <w:r w:rsidR="00B94EF5" w:rsidRPr="006C3771">
        <w:rPr>
          <w:rFonts w:ascii="Arial" w:hAnsi="Arial" w:cs="Arial"/>
          <w:sz w:val="24"/>
          <w:szCs w:val="24"/>
        </w:rPr>
        <w:t xml:space="preserve"> case</w:t>
      </w:r>
      <w:r w:rsidR="00607E82" w:rsidRPr="006C3771">
        <w:rPr>
          <w:rFonts w:ascii="Arial" w:hAnsi="Arial" w:cs="Arial"/>
          <w:sz w:val="24"/>
          <w:szCs w:val="24"/>
        </w:rPr>
        <w:t xml:space="preserve"> in regard to the decisions which they have</w:t>
      </w:r>
      <w:r w:rsidR="00B94EF5" w:rsidRPr="006C3771">
        <w:rPr>
          <w:rFonts w:ascii="Arial" w:hAnsi="Arial" w:cs="Arial"/>
          <w:sz w:val="24"/>
          <w:szCs w:val="24"/>
        </w:rPr>
        <w:t xml:space="preserve"> challenged. </w:t>
      </w:r>
      <w:r w:rsidR="00607E82" w:rsidRPr="006C3771">
        <w:rPr>
          <w:rFonts w:ascii="Arial" w:hAnsi="Arial" w:cs="Arial"/>
          <w:sz w:val="24"/>
          <w:szCs w:val="24"/>
        </w:rPr>
        <w:t>In such circumstances</w:t>
      </w:r>
      <w:r w:rsidRPr="006C3771">
        <w:rPr>
          <w:rFonts w:ascii="Arial" w:hAnsi="Arial" w:cs="Arial"/>
          <w:sz w:val="24"/>
          <w:szCs w:val="24"/>
        </w:rPr>
        <w:t xml:space="preserve"> it would appear that also the respondents’ argument that the basis of this demand was based on speculative assertions, </w:t>
      </w:r>
      <w:r w:rsidR="00607E82" w:rsidRPr="006C3771">
        <w:rPr>
          <w:rFonts w:ascii="Arial" w:hAnsi="Arial" w:cs="Arial"/>
          <w:sz w:val="24"/>
          <w:szCs w:val="24"/>
        </w:rPr>
        <w:t>cannot prevail.</w:t>
      </w:r>
    </w:p>
    <w:p w:rsidR="004D74BC" w:rsidRPr="006C3771" w:rsidRDefault="004D74BC" w:rsidP="00193AA7">
      <w:pPr>
        <w:spacing w:after="0" w:line="360" w:lineRule="auto"/>
        <w:jc w:val="both"/>
        <w:rPr>
          <w:rFonts w:ascii="Arial" w:hAnsi="Arial" w:cs="Arial"/>
          <w:sz w:val="24"/>
          <w:szCs w:val="24"/>
        </w:rPr>
      </w:pPr>
    </w:p>
    <w:p w:rsidR="004D74BC" w:rsidRPr="006C3771" w:rsidRDefault="004D74BC" w:rsidP="00193AA7">
      <w:pPr>
        <w:spacing w:after="0" w:line="360" w:lineRule="auto"/>
        <w:jc w:val="both"/>
        <w:rPr>
          <w:rFonts w:ascii="Arial" w:hAnsi="Arial" w:cs="Arial"/>
          <w:sz w:val="24"/>
          <w:szCs w:val="24"/>
        </w:rPr>
      </w:pPr>
      <w:r w:rsidRPr="006C3771">
        <w:rPr>
          <w:rFonts w:ascii="Arial" w:hAnsi="Arial" w:cs="Arial"/>
          <w:sz w:val="24"/>
          <w:szCs w:val="24"/>
        </w:rPr>
        <w:t>[</w:t>
      </w:r>
      <w:r w:rsidR="006F3D9D">
        <w:rPr>
          <w:rFonts w:ascii="Arial" w:hAnsi="Arial" w:cs="Arial"/>
          <w:sz w:val="24"/>
          <w:szCs w:val="24"/>
        </w:rPr>
        <w:t>5</w:t>
      </w:r>
      <w:r w:rsidR="00AC5F89">
        <w:rPr>
          <w:rFonts w:ascii="Arial" w:hAnsi="Arial" w:cs="Arial"/>
          <w:sz w:val="24"/>
          <w:szCs w:val="24"/>
        </w:rPr>
        <w:t>2</w:t>
      </w:r>
      <w:r w:rsidR="00607E82" w:rsidRPr="006C3771">
        <w:rPr>
          <w:rFonts w:ascii="Arial" w:hAnsi="Arial" w:cs="Arial"/>
          <w:sz w:val="24"/>
          <w:szCs w:val="24"/>
        </w:rPr>
        <w:t>]</w:t>
      </w:r>
      <w:r w:rsidR="00607E82" w:rsidRPr="006C3771">
        <w:rPr>
          <w:rFonts w:ascii="Arial" w:hAnsi="Arial" w:cs="Arial"/>
          <w:sz w:val="24"/>
          <w:szCs w:val="24"/>
        </w:rPr>
        <w:tab/>
      </w:r>
      <w:r w:rsidR="00647BCB">
        <w:rPr>
          <w:rFonts w:ascii="Arial" w:hAnsi="Arial" w:cs="Arial"/>
          <w:sz w:val="24"/>
          <w:szCs w:val="24"/>
        </w:rPr>
        <w:t xml:space="preserve">Ultimately </w:t>
      </w:r>
      <w:r w:rsidR="00607E82" w:rsidRPr="006C3771">
        <w:rPr>
          <w:rFonts w:ascii="Arial" w:hAnsi="Arial" w:cs="Arial"/>
          <w:sz w:val="24"/>
          <w:szCs w:val="24"/>
        </w:rPr>
        <w:t>I</w:t>
      </w:r>
      <w:r w:rsidRPr="006C3771">
        <w:rPr>
          <w:rFonts w:ascii="Arial" w:hAnsi="Arial" w:cs="Arial"/>
          <w:sz w:val="24"/>
          <w:szCs w:val="24"/>
        </w:rPr>
        <w:t xml:space="preserve"> also</w:t>
      </w:r>
      <w:r w:rsidR="00607E82" w:rsidRPr="006C3771">
        <w:rPr>
          <w:rFonts w:ascii="Arial" w:hAnsi="Arial" w:cs="Arial"/>
          <w:sz w:val="24"/>
          <w:szCs w:val="24"/>
        </w:rPr>
        <w:t xml:space="preserve"> agree</w:t>
      </w:r>
      <w:r w:rsidRPr="006C3771">
        <w:rPr>
          <w:rFonts w:ascii="Arial" w:hAnsi="Arial" w:cs="Arial"/>
          <w:sz w:val="24"/>
          <w:szCs w:val="24"/>
        </w:rPr>
        <w:t xml:space="preserve"> that the requested documentation may </w:t>
      </w:r>
      <w:r w:rsidRPr="006C3771">
        <w:rPr>
          <w:rFonts w:ascii="Arial" w:hAnsi="Arial" w:cs="Arial"/>
          <w:i/>
          <w:sz w:val="24"/>
          <w:szCs w:val="24"/>
        </w:rPr>
        <w:t>‘throw light directly or indirectly on what the proceedings where, both procedurally and evidentially’</w:t>
      </w:r>
      <w:r w:rsidRPr="006C3771">
        <w:rPr>
          <w:rFonts w:ascii="Arial" w:hAnsi="Arial" w:cs="Arial"/>
          <w:sz w:val="24"/>
          <w:szCs w:val="24"/>
        </w:rPr>
        <w:t>.</w:t>
      </w:r>
    </w:p>
    <w:p w:rsidR="00607E82" w:rsidRPr="006C3771" w:rsidRDefault="00607E82" w:rsidP="00193AA7">
      <w:pPr>
        <w:spacing w:after="0" w:line="360" w:lineRule="auto"/>
        <w:jc w:val="both"/>
        <w:rPr>
          <w:rFonts w:ascii="Arial" w:hAnsi="Arial" w:cs="Arial"/>
          <w:sz w:val="24"/>
          <w:szCs w:val="24"/>
        </w:rPr>
      </w:pPr>
    </w:p>
    <w:p w:rsidR="00607E82" w:rsidRPr="006C3771" w:rsidRDefault="00607E82" w:rsidP="00193AA7">
      <w:pPr>
        <w:spacing w:after="0" w:line="360" w:lineRule="auto"/>
        <w:jc w:val="both"/>
        <w:rPr>
          <w:rFonts w:ascii="Arial" w:hAnsi="Arial" w:cs="Arial"/>
          <w:sz w:val="24"/>
          <w:szCs w:val="24"/>
        </w:rPr>
      </w:pPr>
      <w:r w:rsidRPr="006C3771">
        <w:rPr>
          <w:rFonts w:ascii="Arial" w:hAnsi="Arial" w:cs="Arial"/>
          <w:sz w:val="24"/>
          <w:szCs w:val="24"/>
        </w:rPr>
        <w:t>[</w:t>
      </w:r>
      <w:r w:rsidR="006F3D9D">
        <w:rPr>
          <w:rFonts w:ascii="Arial" w:hAnsi="Arial" w:cs="Arial"/>
          <w:sz w:val="24"/>
          <w:szCs w:val="24"/>
        </w:rPr>
        <w:t>5</w:t>
      </w:r>
      <w:r w:rsidR="00AC5F89">
        <w:rPr>
          <w:rFonts w:ascii="Arial" w:hAnsi="Arial" w:cs="Arial"/>
          <w:sz w:val="24"/>
          <w:szCs w:val="24"/>
        </w:rPr>
        <w:t>3</w:t>
      </w:r>
      <w:r w:rsidRPr="006C3771">
        <w:rPr>
          <w:rFonts w:ascii="Arial" w:hAnsi="Arial" w:cs="Arial"/>
          <w:sz w:val="24"/>
          <w:szCs w:val="24"/>
        </w:rPr>
        <w:t>]</w:t>
      </w:r>
      <w:r w:rsidRPr="006C3771">
        <w:rPr>
          <w:rFonts w:ascii="Arial" w:hAnsi="Arial" w:cs="Arial"/>
          <w:sz w:val="24"/>
          <w:szCs w:val="24"/>
        </w:rPr>
        <w:tab/>
        <w:t>I will thus grant this request.</w:t>
      </w:r>
    </w:p>
    <w:p w:rsidR="00496853" w:rsidRPr="006C3771" w:rsidRDefault="00496853" w:rsidP="00732F6A">
      <w:pPr>
        <w:spacing w:line="360" w:lineRule="auto"/>
        <w:jc w:val="both"/>
        <w:rPr>
          <w:rFonts w:ascii="Arial" w:hAnsi="Arial" w:cs="Arial"/>
        </w:rPr>
      </w:pPr>
    </w:p>
    <w:tbl>
      <w:tblPr>
        <w:tblStyle w:val="TableGrid"/>
        <w:tblW w:w="0" w:type="auto"/>
        <w:tblInd w:w="-5" w:type="dxa"/>
        <w:tblLook w:val="04A0" w:firstRow="1" w:lastRow="0" w:firstColumn="1" w:lastColumn="0" w:noHBand="0" w:noVBand="1"/>
      </w:tblPr>
      <w:tblGrid>
        <w:gridCol w:w="3482"/>
        <w:gridCol w:w="2770"/>
        <w:gridCol w:w="2770"/>
      </w:tblGrid>
      <w:tr w:rsidR="00496853" w:rsidRPr="006C3771" w:rsidTr="009A52A0">
        <w:tc>
          <w:tcPr>
            <w:tcW w:w="3482" w:type="dxa"/>
          </w:tcPr>
          <w:p w:rsidR="00496853" w:rsidRPr="006C3771" w:rsidRDefault="00496853" w:rsidP="00732F6A">
            <w:pPr>
              <w:jc w:val="both"/>
              <w:rPr>
                <w:rFonts w:ascii="Arial" w:hAnsi="Arial" w:cs="Arial"/>
                <w:b/>
              </w:rPr>
            </w:pPr>
            <w:r w:rsidRPr="006C3771">
              <w:rPr>
                <w:rFonts w:ascii="Arial" w:hAnsi="Arial" w:cs="Arial"/>
                <w:b/>
              </w:rPr>
              <w:t>“</w:t>
            </w:r>
            <w:r w:rsidR="0027117B" w:rsidRPr="006C3771">
              <w:rPr>
                <w:rFonts w:ascii="Arial" w:hAnsi="Arial" w:cs="Arial"/>
                <w:b/>
              </w:rPr>
              <w:t>1.</w:t>
            </w:r>
            <w:r w:rsidRPr="006C3771">
              <w:rPr>
                <w:rFonts w:ascii="Arial" w:hAnsi="Arial" w:cs="Arial"/>
                <w:b/>
              </w:rPr>
              <w:t>9.</w:t>
            </w:r>
            <w:r w:rsidRPr="006C3771">
              <w:rPr>
                <w:rFonts w:ascii="Arial" w:hAnsi="Arial" w:cs="Arial"/>
                <w:b/>
              </w:rPr>
              <w:tab/>
              <w:t>The documents evidencing the instructions to the publishers of the Government Gazette, in which the impugned December 2017 Notices were published.”</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rPr>
            </w:pPr>
            <w:r w:rsidRPr="006C3771">
              <w:rPr>
                <w:rFonts w:ascii="Arial" w:hAnsi="Arial" w:cs="Arial"/>
              </w:rPr>
              <w:t>“15.</w:t>
            </w:r>
            <w:r w:rsidRPr="006C3771">
              <w:rPr>
                <w:rFonts w:ascii="Arial" w:hAnsi="Arial" w:cs="Arial"/>
              </w:rPr>
              <w:tab/>
              <w:t>The documentation sought in these paragraphs post-dates my decision. It is accordingly irrelevant. To the extent it may exist, the applicants are not entitled to it as any part of the Rule 76 decision or by way of general or particular discovery.”</w:t>
            </w:r>
          </w:p>
          <w:p w:rsidR="00496853" w:rsidRPr="006C3771" w:rsidRDefault="00496853" w:rsidP="00732F6A">
            <w:pPr>
              <w:rPr>
                <w:rFonts w:ascii="Arial" w:hAnsi="Arial" w:cs="Arial"/>
              </w:rPr>
            </w:pPr>
          </w:p>
        </w:tc>
        <w:tc>
          <w:tcPr>
            <w:tcW w:w="2770" w:type="dxa"/>
          </w:tcPr>
          <w:p w:rsidR="00496853" w:rsidRPr="006C3771" w:rsidRDefault="00496853" w:rsidP="00732F6A">
            <w:pPr>
              <w:jc w:val="both"/>
              <w:rPr>
                <w:rFonts w:ascii="Arial" w:hAnsi="Arial" w:cs="Arial"/>
                <w:b/>
              </w:rPr>
            </w:pPr>
            <w:r w:rsidRPr="006C3771">
              <w:rPr>
                <w:rFonts w:ascii="Arial" w:hAnsi="Arial" w:cs="Arial"/>
                <w:b/>
              </w:rPr>
              <w:t>(The applicants’) RESPONSE</w:t>
            </w:r>
          </w:p>
          <w:p w:rsidR="00496853" w:rsidRPr="006C3771" w:rsidRDefault="00496853" w:rsidP="00732F6A">
            <w:pPr>
              <w:jc w:val="both"/>
              <w:rPr>
                <w:rFonts w:ascii="Arial" w:hAnsi="Arial" w:cs="Arial"/>
              </w:rPr>
            </w:pPr>
            <w:r w:rsidRPr="006C3771">
              <w:rPr>
                <w:rFonts w:ascii="Arial" w:hAnsi="Arial" w:cs="Arial"/>
              </w:rPr>
              <w:t>8.9.1</w:t>
            </w:r>
            <w:r w:rsidRPr="006C3771">
              <w:rPr>
                <w:rFonts w:ascii="Arial" w:hAnsi="Arial" w:cs="Arial"/>
              </w:rPr>
              <w:tab/>
              <w:t xml:space="preserve">In light of the nature of the engagements between the parties since 2016 as I have already documented, the first respondent’s answer leaves several question that demonstrate the inaccuracy of his position. What if the draft notice was ready well before the consultation was completed? What does post-date mean in this context? When exactly did the first defendant make the decisions? With respect, the Minister must know whether such documents exist. And, given his ambivalent </w:t>
            </w:r>
            <w:r w:rsidR="00211121" w:rsidRPr="006C3771">
              <w:rPr>
                <w:rFonts w:ascii="Arial" w:hAnsi="Arial" w:cs="Arial"/>
              </w:rPr>
              <w:t xml:space="preserve">answer, they clearly do exist. </w:t>
            </w:r>
          </w:p>
          <w:p w:rsidR="00496853" w:rsidRPr="006C3771" w:rsidRDefault="00496853" w:rsidP="00732F6A">
            <w:pPr>
              <w:jc w:val="both"/>
              <w:rPr>
                <w:rFonts w:ascii="Arial" w:hAnsi="Arial" w:cs="Arial"/>
              </w:rPr>
            </w:pPr>
            <w:r w:rsidRPr="006C3771">
              <w:rPr>
                <w:rFonts w:ascii="Arial" w:hAnsi="Arial" w:cs="Arial"/>
              </w:rPr>
              <w:t>34.10.</w:t>
            </w:r>
            <w:r w:rsidRPr="006C3771">
              <w:rPr>
                <w:rFonts w:ascii="Arial" w:hAnsi="Arial" w:cs="Arial"/>
              </w:rPr>
              <w:tab/>
              <w:t>The documents will “throw light, directly or indirectly, on what the proceedings were, both procedurally and evidentially”, and would thus form part of the record.</w:t>
            </w:r>
          </w:p>
          <w:p w:rsidR="00496853" w:rsidRPr="006C3771" w:rsidRDefault="00496853" w:rsidP="00732F6A">
            <w:pPr>
              <w:rPr>
                <w:rFonts w:ascii="Arial" w:hAnsi="Arial" w:cs="Arial"/>
              </w:rPr>
            </w:pPr>
          </w:p>
        </w:tc>
      </w:tr>
    </w:tbl>
    <w:p w:rsidR="009A52A0" w:rsidRPr="006C3771" w:rsidRDefault="009A52A0" w:rsidP="006F3D9D">
      <w:pPr>
        <w:spacing w:after="0" w:line="360" w:lineRule="auto"/>
        <w:jc w:val="both"/>
        <w:rPr>
          <w:rFonts w:ascii="Arial" w:hAnsi="Arial" w:cs="Arial"/>
          <w:sz w:val="24"/>
          <w:szCs w:val="24"/>
        </w:rPr>
      </w:pPr>
    </w:p>
    <w:p w:rsidR="00496853" w:rsidRPr="006C3771" w:rsidRDefault="00211121" w:rsidP="006F3D9D">
      <w:pPr>
        <w:spacing w:after="0" w:line="360" w:lineRule="auto"/>
        <w:jc w:val="both"/>
        <w:rPr>
          <w:rFonts w:ascii="Arial" w:hAnsi="Arial" w:cs="Arial"/>
          <w:sz w:val="24"/>
          <w:szCs w:val="24"/>
        </w:rPr>
      </w:pPr>
      <w:r w:rsidRPr="006C3771">
        <w:rPr>
          <w:rFonts w:ascii="Arial" w:hAnsi="Arial" w:cs="Arial"/>
          <w:sz w:val="24"/>
          <w:szCs w:val="24"/>
        </w:rPr>
        <w:t>[</w:t>
      </w:r>
      <w:r w:rsidR="006F3D9D">
        <w:rPr>
          <w:rFonts w:ascii="Arial" w:hAnsi="Arial" w:cs="Arial"/>
          <w:sz w:val="24"/>
          <w:szCs w:val="24"/>
        </w:rPr>
        <w:t>5</w:t>
      </w:r>
      <w:r w:rsidR="00AC5F89">
        <w:rPr>
          <w:rFonts w:ascii="Arial" w:hAnsi="Arial" w:cs="Arial"/>
          <w:sz w:val="24"/>
          <w:szCs w:val="24"/>
        </w:rPr>
        <w:t>4</w:t>
      </w:r>
      <w:r w:rsidRPr="006C3771">
        <w:rPr>
          <w:rFonts w:ascii="Arial" w:hAnsi="Arial" w:cs="Arial"/>
          <w:sz w:val="24"/>
          <w:szCs w:val="24"/>
        </w:rPr>
        <w:t>]</w:t>
      </w:r>
      <w:r w:rsidRPr="006C3771">
        <w:rPr>
          <w:rFonts w:ascii="Arial" w:hAnsi="Arial" w:cs="Arial"/>
          <w:sz w:val="24"/>
          <w:szCs w:val="24"/>
        </w:rPr>
        <w:tab/>
        <w:t>This request is acceded to on the same reasons and grounds</w:t>
      </w:r>
      <w:r w:rsidR="00647BCB">
        <w:rPr>
          <w:rFonts w:ascii="Arial" w:hAnsi="Arial" w:cs="Arial"/>
          <w:sz w:val="24"/>
          <w:szCs w:val="24"/>
        </w:rPr>
        <w:t xml:space="preserve">, </w:t>
      </w:r>
      <w:r w:rsidR="00647BCB" w:rsidRPr="00A433DA">
        <w:rPr>
          <w:rFonts w:ascii="Arial" w:hAnsi="Arial" w:cs="Arial"/>
          <w:i/>
          <w:sz w:val="24"/>
          <w:szCs w:val="24"/>
        </w:rPr>
        <w:t>mutatis mutandis</w:t>
      </w:r>
      <w:r w:rsidR="00647BCB">
        <w:rPr>
          <w:rFonts w:ascii="Arial" w:hAnsi="Arial" w:cs="Arial"/>
          <w:sz w:val="24"/>
          <w:szCs w:val="24"/>
        </w:rPr>
        <w:t>,</w:t>
      </w:r>
      <w:r w:rsidRPr="006C3771">
        <w:rPr>
          <w:rFonts w:ascii="Arial" w:hAnsi="Arial" w:cs="Arial"/>
          <w:sz w:val="24"/>
          <w:szCs w:val="24"/>
        </w:rPr>
        <w:t xml:space="preserve"> on which the previous request was granted.</w:t>
      </w:r>
    </w:p>
    <w:p w:rsidR="00211121" w:rsidRPr="006C3771" w:rsidRDefault="00211121" w:rsidP="006F3D9D">
      <w:pPr>
        <w:spacing w:after="0" w:line="36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3482"/>
        <w:gridCol w:w="2770"/>
        <w:gridCol w:w="2770"/>
      </w:tblGrid>
      <w:tr w:rsidR="00496853" w:rsidRPr="006C3771" w:rsidTr="009A52A0">
        <w:tc>
          <w:tcPr>
            <w:tcW w:w="3482" w:type="dxa"/>
          </w:tcPr>
          <w:p w:rsidR="00496853" w:rsidRPr="006C3771" w:rsidRDefault="0073696D" w:rsidP="00732F6A">
            <w:pPr>
              <w:jc w:val="both"/>
              <w:rPr>
                <w:rFonts w:ascii="Arial" w:hAnsi="Arial" w:cs="Arial"/>
                <w:b/>
              </w:rPr>
            </w:pPr>
            <w:r w:rsidRPr="006C3771">
              <w:rPr>
                <w:rFonts w:ascii="Arial" w:hAnsi="Arial" w:cs="Arial"/>
              </w:rPr>
              <w:lastRenderedPageBreak/>
              <w:t>“1</w:t>
            </w:r>
            <w:r w:rsidR="00496853" w:rsidRPr="006C3771">
              <w:rPr>
                <w:rFonts w:ascii="Arial" w:hAnsi="Arial" w:cs="Arial"/>
              </w:rPr>
              <w:t>.</w:t>
            </w:r>
            <w:r w:rsidR="00C95085" w:rsidRPr="006C3771">
              <w:rPr>
                <w:rFonts w:ascii="Arial" w:hAnsi="Arial" w:cs="Arial"/>
              </w:rPr>
              <w:t>10</w:t>
            </w:r>
            <w:r w:rsidR="00496853" w:rsidRPr="006C3771">
              <w:rPr>
                <w:rFonts w:ascii="Arial" w:hAnsi="Arial" w:cs="Arial"/>
              </w:rPr>
              <w:tab/>
            </w:r>
            <w:r w:rsidR="00496853" w:rsidRPr="006C3771">
              <w:rPr>
                <w:rFonts w:ascii="Arial" w:hAnsi="Arial" w:cs="Arial"/>
                <w:b/>
              </w:rPr>
              <w:t>The minutes of all meetings between the Minister and NamibRe’s representatives including but not limited to its Board, and between the Minister and all persons advising the Minister or consulting with Minister, regarding any of the matters reflecte</w:t>
            </w:r>
            <w:r w:rsidRPr="006C3771">
              <w:rPr>
                <w:rFonts w:ascii="Arial" w:hAnsi="Arial" w:cs="Arial"/>
                <w:b/>
              </w:rPr>
              <w:t>d in the December 2017 notices:</w:t>
            </w:r>
          </w:p>
          <w:p w:rsidR="0073696D" w:rsidRPr="006C3771" w:rsidRDefault="0073696D" w:rsidP="00732F6A">
            <w:pPr>
              <w:jc w:val="both"/>
              <w:rPr>
                <w:rFonts w:ascii="Arial" w:hAnsi="Arial" w:cs="Arial"/>
                <w:b/>
              </w:rPr>
            </w:pPr>
          </w:p>
          <w:p w:rsidR="00496853" w:rsidRPr="006C3771" w:rsidRDefault="0073696D" w:rsidP="00732F6A">
            <w:pPr>
              <w:jc w:val="both"/>
              <w:rPr>
                <w:rFonts w:ascii="Arial" w:hAnsi="Arial" w:cs="Arial"/>
                <w:b/>
              </w:rPr>
            </w:pPr>
            <w:r w:rsidRPr="006C3771">
              <w:rPr>
                <w:rFonts w:ascii="Arial" w:hAnsi="Arial" w:cs="Arial"/>
                <w:b/>
              </w:rPr>
              <w:t>1</w:t>
            </w:r>
            <w:r w:rsidR="00496853" w:rsidRPr="006C3771">
              <w:rPr>
                <w:rFonts w:ascii="Arial" w:hAnsi="Arial" w:cs="Arial"/>
                <w:b/>
              </w:rPr>
              <w:t>.1</w:t>
            </w:r>
            <w:r w:rsidR="00C95085" w:rsidRPr="006C3771">
              <w:rPr>
                <w:rFonts w:ascii="Arial" w:hAnsi="Arial" w:cs="Arial"/>
                <w:b/>
              </w:rPr>
              <w:t>0</w:t>
            </w:r>
            <w:r w:rsidRPr="006C3771">
              <w:rPr>
                <w:rFonts w:ascii="Arial" w:hAnsi="Arial" w:cs="Arial"/>
                <w:b/>
              </w:rPr>
              <w:t>.1</w:t>
            </w:r>
            <w:r w:rsidR="00496853" w:rsidRPr="006C3771">
              <w:rPr>
                <w:rFonts w:ascii="Arial" w:hAnsi="Arial" w:cs="Arial"/>
                <w:b/>
              </w:rPr>
              <w:tab/>
              <w:t xml:space="preserve">before and after the mInister received the industry submissions contained </w:t>
            </w:r>
            <w:r w:rsidRPr="006C3771">
              <w:rPr>
                <w:rFonts w:ascii="Arial" w:hAnsi="Arial" w:cs="Arial"/>
                <w:b/>
              </w:rPr>
              <w:t>in the first review record; and</w:t>
            </w:r>
          </w:p>
          <w:p w:rsidR="00496853" w:rsidRPr="006C3771" w:rsidRDefault="00496853" w:rsidP="00732F6A">
            <w:pPr>
              <w:jc w:val="both"/>
              <w:rPr>
                <w:rFonts w:ascii="Arial" w:hAnsi="Arial" w:cs="Arial"/>
                <w:b/>
              </w:rPr>
            </w:pPr>
            <w:r w:rsidRPr="006C3771">
              <w:rPr>
                <w:rFonts w:ascii="Arial" w:hAnsi="Arial" w:cs="Arial"/>
                <w:b/>
              </w:rPr>
              <w:t>1</w:t>
            </w:r>
            <w:r w:rsidR="0073696D" w:rsidRPr="006C3771">
              <w:rPr>
                <w:rFonts w:ascii="Arial" w:hAnsi="Arial" w:cs="Arial"/>
                <w:b/>
              </w:rPr>
              <w:t>.</w:t>
            </w:r>
            <w:r w:rsidRPr="006C3771">
              <w:rPr>
                <w:rFonts w:ascii="Arial" w:hAnsi="Arial" w:cs="Arial"/>
                <w:b/>
              </w:rPr>
              <w:t>1</w:t>
            </w:r>
            <w:r w:rsidR="00C95085" w:rsidRPr="006C3771">
              <w:rPr>
                <w:rFonts w:ascii="Arial" w:hAnsi="Arial" w:cs="Arial"/>
                <w:b/>
              </w:rPr>
              <w:t>0</w:t>
            </w:r>
            <w:r w:rsidRPr="006C3771">
              <w:rPr>
                <w:rFonts w:ascii="Arial" w:hAnsi="Arial" w:cs="Arial"/>
                <w:b/>
              </w:rPr>
              <w:t>.2</w:t>
            </w:r>
            <w:r w:rsidRPr="006C3771">
              <w:rPr>
                <w:rFonts w:ascii="Arial" w:hAnsi="Arial" w:cs="Arial"/>
                <w:b/>
              </w:rPr>
              <w:tab/>
              <w:t>before and after the Minister received Counsels’ Memorandum.”</w:t>
            </w:r>
          </w:p>
          <w:p w:rsidR="00496853" w:rsidRPr="006C3771" w:rsidRDefault="00496853" w:rsidP="00732F6A">
            <w:pPr>
              <w:jc w:val="both"/>
              <w:rPr>
                <w:rFonts w:ascii="Arial" w:hAnsi="Arial" w:cs="Arial"/>
                <w:b/>
              </w:rPr>
            </w:pPr>
          </w:p>
        </w:tc>
        <w:tc>
          <w:tcPr>
            <w:tcW w:w="2770" w:type="dxa"/>
          </w:tcPr>
          <w:p w:rsidR="00496853" w:rsidRPr="006C3771" w:rsidRDefault="00496853" w:rsidP="00732F6A">
            <w:pPr>
              <w:jc w:val="both"/>
              <w:rPr>
                <w:rFonts w:ascii="Arial" w:hAnsi="Arial" w:cs="Arial"/>
              </w:rPr>
            </w:pPr>
            <w:r w:rsidRPr="006C3771">
              <w:rPr>
                <w:rFonts w:ascii="Arial" w:hAnsi="Arial" w:cs="Arial"/>
              </w:rPr>
              <w:t>“17.</w:t>
            </w:r>
            <w:r w:rsidRPr="006C3771">
              <w:rPr>
                <w:rFonts w:ascii="Arial" w:hAnsi="Arial" w:cs="Arial"/>
              </w:rPr>
              <w:tab/>
              <w:t>No “minutes of …meetings” between “the Minister and NamibRe’s representatives”, or between the Minister “and all persons advising…or consulting with the Minister regarding any of the matters reflected in the December 2017 notices” to my knowledge exist, or were considered or otherwise form part of the record of my decision.”</w:t>
            </w:r>
          </w:p>
          <w:p w:rsidR="00496853" w:rsidRPr="006C3771" w:rsidRDefault="00496853" w:rsidP="00732F6A">
            <w:pPr>
              <w:jc w:val="both"/>
              <w:rPr>
                <w:rFonts w:ascii="Arial" w:hAnsi="Arial" w:cs="Arial"/>
              </w:rPr>
            </w:pPr>
          </w:p>
        </w:tc>
        <w:tc>
          <w:tcPr>
            <w:tcW w:w="2770" w:type="dxa"/>
          </w:tcPr>
          <w:p w:rsidR="00496853" w:rsidRPr="006C3771" w:rsidRDefault="00496853" w:rsidP="00732F6A">
            <w:pPr>
              <w:jc w:val="both"/>
              <w:rPr>
                <w:rFonts w:ascii="Arial" w:hAnsi="Arial" w:cs="Arial"/>
                <w:b/>
              </w:rPr>
            </w:pPr>
            <w:r w:rsidRPr="006C3771">
              <w:rPr>
                <w:rFonts w:ascii="Arial" w:hAnsi="Arial" w:cs="Arial"/>
                <w:b/>
              </w:rPr>
              <w:t>(The applicant’) RESPONSE</w:t>
            </w:r>
          </w:p>
          <w:p w:rsidR="00496853" w:rsidRPr="006C3771" w:rsidRDefault="00496853" w:rsidP="00732F6A">
            <w:pPr>
              <w:jc w:val="both"/>
              <w:rPr>
                <w:rFonts w:ascii="Arial" w:hAnsi="Arial" w:cs="Arial"/>
                <w:b/>
              </w:rPr>
            </w:pPr>
          </w:p>
          <w:p w:rsidR="00496853" w:rsidRPr="006C3771" w:rsidRDefault="00496853" w:rsidP="00732F6A">
            <w:pPr>
              <w:jc w:val="both"/>
              <w:rPr>
                <w:rFonts w:ascii="Arial" w:hAnsi="Arial" w:cs="Arial"/>
              </w:rPr>
            </w:pPr>
            <w:r w:rsidRPr="006C3771">
              <w:rPr>
                <w:rFonts w:ascii="Arial" w:hAnsi="Arial" w:cs="Arial"/>
              </w:rPr>
              <w:t>8.10.1 With respect, the Minister’s answer is this: He is not sure minutes exist, but even if they exist, he did not consider the minutes and therefore the documents are not part of the record of his decision. But, with respect, the minutes do exist; they contain only the information conveyed to him at the meetings, and he cannot and does not say that he “erased” the information from his mind before he took a decision. In his reasons the minister acknowledges that he consulted with (unidentified) senior members of his staff.</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34.12. The documents will “throw light, directly or indirectly, on what the proceedings were, both procedurally and evidentially”, and would thus form part of the record.</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p>
        </w:tc>
      </w:tr>
    </w:tbl>
    <w:p w:rsidR="0073696D" w:rsidRPr="006C3771" w:rsidRDefault="0073696D" w:rsidP="00732F6A">
      <w:pPr>
        <w:spacing w:line="360" w:lineRule="auto"/>
        <w:jc w:val="both"/>
        <w:rPr>
          <w:rFonts w:ascii="Arial" w:hAnsi="Arial" w:cs="Arial"/>
        </w:rPr>
      </w:pPr>
    </w:p>
    <w:p w:rsidR="009A52A0" w:rsidRPr="006C3771" w:rsidRDefault="009A52A0" w:rsidP="006F3D9D">
      <w:pPr>
        <w:spacing w:after="0" w:line="360" w:lineRule="auto"/>
        <w:jc w:val="both"/>
        <w:rPr>
          <w:rFonts w:ascii="Arial" w:hAnsi="Arial" w:cs="Arial"/>
          <w:sz w:val="24"/>
          <w:szCs w:val="24"/>
        </w:rPr>
      </w:pPr>
      <w:r w:rsidRPr="006C3771">
        <w:rPr>
          <w:rFonts w:ascii="Arial" w:hAnsi="Arial" w:cs="Arial"/>
          <w:sz w:val="24"/>
          <w:szCs w:val="24"/>
        </w:rPr>
        <w:t>[</w:t>
      </w:r>
      <w:r w:rsidR="006F3D9D">
        <w:rPr>
          <w:rFonts w:ascii="Arial" w:hAnsi="Arial" w:cs="Arial"/>
          <w:sz w:val="24"/>
          <w:szCs w:val="24"/>
        </w:rPr>
        <w:t>5</w:t>
      </w:r>
      <w:r w:rsidR="00AC5F89">
        <w:rPr>
          <w:rFonts w:ascii="Arial" w:hAnsi="Arial" w:cs="Arial"/>
          <w:sz w:val="24"/>
          <w:szCs w:val="24"/>
        </w:rPr>
        <w:t>5</w:t>
      </w:r>
      <w:r w:rsidRPr="006C3771">
        <w:rPr>
          <w:rFonts w:ascii="Arial" w:hAnsi="Arial" w:cs="Arial"/>
          <w:sz w:val="24"/>
          <w:szCs w:val="24"/>
        </w:rPr>
        <w:t>]</w:t>
      </w:r>
      <w:r w:rsidRPr="006C3771">
        <w:rPr>
          <w:rFonts w:ascii="Arial" w:hAnsi="Arial" w:cs="Arial"/>
          <w:sz w:val="24"/>
          <w:szCs w:val="24"/>
        </w:rPr>
        <w:tab/>
        <w:t>It is firstly to be noted that this request is not resisted on the grounds of relevance.</w:t>
      </w:r>
      <w:r w:rsidR="00A433DA">
        <w:rPr>
          <w:rFonts w:ascii="Arial" w:hAnsi="Arial" w:cs="Arial"/>
          <w:sz w:val="24"/>
          <w:szCs w:val="24"/>
        </w:rPr>
        <w:t xml:space="preserve"> I thus accept that the required relevance is given.</w:t>
      </w:r>
    </w:p>
    <w:p w:rsidR="00865C14" w:rsidRPr="006C3771" w:rsidRDefault="00865C14" w:rsidP="006F3D9D">
      <w:pPr>
        <w:spacing w:after="0" w:line="360" w:lineRule="auto"/>
        <w:jc w:val="both"/>
        <w:rPr>
          <w:rFonts w:ascii="Arial" w:hAnsi="Arial" w:cs="Arial"/>
        </w:rPr>
      </w:pPr>
    </w:p>
    <w:p w:rsidR="00496853" w:rsidRPr="006C3771" w:rsidRDefault="0073696D" w:rsidP="006F3D9D">
      <w:pPr>
        <w:spacing w:after="0" w:line="360" w:lineRule="auto"/>
        <w:jc w:val="both"/>
        <w:rPr>
          <w:rFonts w:ascii="Arial" w:hAnsi="Arial" w:cs="Arial"/>
          <w:sz w:val="24"/>
          <w:szCs w:val="24"/>
        </w:rPr>
      </w:pPr>
      <w:r w:rsidRPr="006C3771">
        <w:rPr>
          <w:rFonts w:ascii="Arial" w:hAnsi="Arial" w:cs="Arial"/>
          <w:sz w:val="24"/>
          <w:szCs w:val="24"/>
        </w:rPr>
        <w:t>[</w:t>
      </w:r>
      <w:r w:rsidR="006F3D9D">
        <w:rPr>
          <w:rFonts w:ascii="Arial" w:hAnsi="Arial" w:cs="Arial"/>
          <w:sz w:val="24"/>
          <w:szCs w:val="24"/>
        </w:rPr>
        <w:t>5</w:t>
      </w:r>
      <w:r w:rsidR="00AC5F89">
        <w:rPr>
          <w:rFonts w:ascii="Arial" w:hAnsi="Arial" w:cs="Arial"/>
          <w:sz w:val="24"/>
          <w:szCs w:val="24"/>
        </w:rPr>
        <w:t>6</w:t>
      </w:r>
      <w:r w:rsidRPr="006C3771">
        <w:rPr>
          <w:rFonts w:ascii="Arial" w:hAnsi="Arial" w:cs="Arial"/>
          <w:sz w:val="24"/>
          <w:szCs w:val="24"/>
        </w:rPr>
        <w:t>]</w:t>
      </w:r>
      <w:r w:rsidRPr="006C3771">
        <w:rPr>
          <w:rFonts w:ascii="Arial" w:hAnsi="Arial" w:cs="Arial"/>
          <w:sz w:val="24"/>
          <w:szCs w:val="24"/>
        </w:rPr>
        <w:tab/>
        <w:t>It</w:t>
      </w:r>
      <w:r w:rsidR="009A52A0" w:rsidRPr="006C3771">
        <w:rPr>
          <w:rFonts w:ascii="Arial" w:hAnsi="Arial" w:cs="Arial"/>
          <w:sz w:val="24"/>
          <w:szCs w:val="24"/>
        </w:rPr>
        <w:t xml:space="preserve"> further</w:t>
      </w:r>
      <w:r w:rsidRPr="006C3771">
        <w:rPr>
          <w:rFonts w:ascii="Arial" w:hAnsi="Arial" w:cs="Arial"/>
          <w:sz w:val="24"/>
          <w:szCs w:val="24"/>
        </w:rPr>
        <w:t xml:space="preserve"> seems correct that the Minister’s response is ambivalent</w:t>
      </w:r>
      <w:r w:rsidR="00865C14" w:rsidRPr="006C3771">
        <w:rPr>
          <w:rFonts w:ascii="Arial" w:hAnsi="Arial" w:cs="Arial"/>
          <w:sz w:val="24"/>
          <w:szCs w:val="24"/>
        </w:rPr>
        <w:t>, as was pointed out</w:t>
      </w:r>
      <w:r w:rsidR="009A52A0" w:rsidRPr="006C3771">
        <w:rPr>
          <w:rFonts w:ascii="Arial" w:hAnsi="Arial" w:cs="Arial"/>
          <w:sz w:val="24"/>
          <w:szCs w:val="24"/>
        </w:rPr>
        <w:t xml:space="preserve"> on behalf of the applicants</w:t>
      </w:r>
      <w:r w:rsidRPr="006C3771">
        <w:rPr>
          <w:rFonts w:ascii="Arial" w:hAnsi="Arial" w:cs="Arial"/>
          <w:sz w:val="24"/>
          <w:szCs w:val="24"/>
        </w:rPr>
        <w:t>. It would have been an easy matter</w:t>
      </w:r>
      <w:r w:rsidR="00865C14" w:rsidRPr="006C3771">
        <w:rPr>
          <w:rFonts w:ascii="Arial" w:hAnsi="Arial" w:cs="Arial"/>
          <w:sz w:val="24"/>
          <w:szCs w:val="24"/>
        </w:rPr>
        <w:t xml:space="preserve"> for the </w:t>
      </w:r>
      <w:r w:rsidR="00865C14" w:rsidRPr="006C3771">
        <w:rPr>
          <w:rFonts w:ascii="Arial" w:hAnsi="Arial" w:cs="Arial"/>
          <w:sz w:val="24"/>
          <w:szCs w:val="24"/>
        </w:rPr>
        <w:lastRenderedPageBreak/>
        <w:t>Minister</w:t>
      </w:r>
      <w:r w:rsidRPr="006C3771">
        <w:rPr>
          <w:rFonts w:ascii="Arial" w:hAnsi="Arial" w:cs="Arial"/>
          <w:sz w:val="24"/>
          <w:szCs w:val="24"/>
        </w:rPr>
        <w:t xml:space="preserve"> to deny the existence</w:t>
      </w:r>
      <w:r w:rsidR="00865C14" w:rsidRPr="006C3771">
        <w:rPr>
          <w:rFonts w:ascii="Arial" w:hAnsi="Arial" w:cs="Arial"/>
          <w:sz w:val="24"/>
          <w:szCs w:val="24"/>
        </w:rPr>
        <w:t xml:space="preserve"> of the requested minutes and memoranda</w:t>
      </w:r>
      <w:r w:rsidRPr="006C3771">
        <w:rPr>
          <w:rFonts w:ascii="Arial" w:hAnsi="Arial" w:cs="Arial"/>
          <w:sz w:val="24"/>
          <w:szCs w:val="24"/>
        </w:rPr>
        <w:t xml:space="preserve"> – and if unsure to then deny their existence a</w:t>
      </w:r>
      <w:r w:rsidR="00865C14" w:rsidRPr="006C3771">
        <w:rPr>
          <w:rFonts w:ascii="Arial" w:hAnsi="Arial" w:cs="Arial"/>
          <w:sz w:val="24"/>
          <w:szCs w:val="24"/>
        </w:rPr>
        <w:t>fter the relevant enquiries</w:t>
      </w:r>
      <w:r w:rsidR="00A433DA">
        <w:rPr>
          <w:rFonts w:ascii="Arial" w:hAnsi="Arial" w:cs="Arial"/>
          <w:sz w:val="24"/>
          <w:szCs w:val="24"/>
        </w:rPr>
        <w:t xml:space="preserve"> and search</w:t>
      </w:r>
      <w:r w:rsidR="00865C14" w:rsidRPr="006C3771">
        <w:rPr>
          <w:rFonts w:ascii="Arial" w:hAnsi="Arial" w:cs="Arial"/>
          <w:sz w:val="24"/>
          <w:szCs w:val="24"/>
        </w:rPr>
        <w:t xml:space="preserve"> had been</w:t>
      </w:r>
      <w:r w:rsidRPr="006C3771">
        <w:rPr>
          <w:rFonts w:ascii="Arial" w:hAnsi="Arial" w:cs="Arial"/>
          <w:sz w:val="24"/>
          <w:szCs w:val="24"/>
        </w:rPr>
        <w:t xml:space="preserve"> made</w:t>
      </w:r>
      <w:r w:rsidR="009A52A0" w:rsidRPr="006C3771">
        <w:rPr>
          <w:rFonts w:ascii="Arial" w:hAnsi="Arial" w:cs="Arial"/>
          <w:sz w:val="24"/>
          <w:szCs w:val="24"/>
        </w:rPr>
        <w:t xml:space="preserve"> and</w:t>
      </w:r>
      <w:r w:rsidR="00A433DA">
        <w:rPr>
          <w:rFonts w:ascii="Arial" w:hAnsi="Arial" w:cs="Arial"/>
          <w:sz w:val="24"/>
          <w:szCs w:val="24"/>
        </w:rPr>
        <w:t xml:space="preserve"> then</w:t>
      </w:r>
      <w:r w:rsidR="009A52A0" w:rsidRPr="006C3771">
        <w:rPr>
          <w:rFonts w:ascii="Arial" w:hAnsi="Arial" w:cs="Arial"/>
          <w:sz w:val="24"/>
          <w:szCs w:val="24"/>
        </w:rPr>
        <w:t xml:space="preserve"> to have this fact recorded in his answer</w:t>
      </w:r>
      <w:r w:rsidRPr="006C3771">
        <w:rPr>
          <w:rFonts w:ascii="Arial" w:hAnsi="Arial" w:cs="Arial"/>
          <w:sz w:val="24"/>
          <w:szCs w:val="24"/>
        </w:rPr>
        <w:t>.</w:t>
      </w:r>
      <w:r w:rsidR="00D9643D" w:rsidRPr="006C3771">
        <w:rPr>
          <w:rFonts w:ascii="Arial" w:hAnsi="Arial" w:cs="Arial"/>
          <w:sz w:val="24"/>
          <w:szCs w:val="24"/>
        </w:rPr>
        <w:t xml:space="preserve"> In this regard it was submitted that the Minister has a duty to make such enquiries. I agree.</w:t>
      </w:r>
      <w:r w:rsidR="00865C14" w:rsidRPr="006C3771">
        <w:rPr>
          <w:rFonts w:ascii="Arial" w:hAnsi="Arial" w:cs="Arial"/>
          <w:sz w:val="24"/>
          <w:szCs w:val="24"/>
        </w:rPr>
        <w:t xml:space="preserve"> It can thus also not be said that no basis exists for the request. The answer furnished provides that base and places this request on firm ground. The ‘assertions made’ in this regard are clearly also not ‘unreasoned’ as was submitted.</w:t>
      </w:r>
    </w:p>
    <w:p w:rsidR="00865C14" w:rsidRPr="006C3771" w:rsidRDefault="00865C14" w:rsidP="006F3D9D">
      <w:pPr>
        <w:spacing w:after="0" w:line="360" w:lineRule="auto"/>
        <w:jc w:val="both"/>
        <w:rPr>
          <w:rFonts w:ascii="Arial" w:hAnsi="Arial" w:cs="Arial"/>
          <w:sz w:val="24"/>
          <w:szCs w:val="24"/>
        </w:rPr>
      </w:pPr>
    </w:p>
    <w:p w:rsidR="00496853" w:rsidRPr="006C3771" w:rsidRDefault="00865C14" w:rsidP="006F3D9D">
      <w:pPr>
        <w:spacing w:after="0" w:line="360" w:lineRule="auto"/>
        <w:jc w:val="both"/>
        <w:rPr>
          <w:rFonts w:ascii="Arial" w:hAnsi="Arial" w:cs="Arial"/>
          <w:sz w:val="24"/>
          <w:szCs w:val="24"/>
        </w:rPr>
      </w:pPr>
      <w:r w:rsidRPr="006C3771">
        <w:rPr>
          <w:rFonts w:ascii="Arial" w:hAnsi="Arial" w:cs="Arial"/>
          <w:sz w:val="24"/>
          <w:szCs w:val="24"/>
        </w:rPr>
        <w:t>[</w:t>
      </w:r>
      <w:r w:rsidR="006F3D9D">
        <w:rPr>
          <w:rFonts w:ascii="Arial" w:hAnsi="Arial" w:cs="Arial"/>
          <w:sz w:val="24"/>
          <w:szCs w:val="24"/>
        </w:rPr>
        <w:t>5</w:t>
      </w:r>
      <w:r w:rsidR="00AC5F89">
        <w:rPr>
          <w:rFonts w:ascii="Arial" w:hAnsi="Arial" w:cs="Arial"/>
          <w:sz w:val="24"/>
          <w:szCs w:val="24"/>
        </w:rPr>
        <w:t>7</w:t>
      </w:r>
      <w:r w:rsidRPr="006C3771">
        <w:rPr>
          <w:rFonts w:ascii="Arial" w:hAnsi="Arial" w:cs="Arial"/>
          <w:sz w:val="24"/>
          <w:szCs w:val="24"/>
        </w:rPr>
        <w:t>]</w:t>
      </w:r>
      <w:r w:rsidRPr="006C3771">
        <w:rPr>
          <w:rFonts w:ascii="Arial" w:hAnsi="Arial" w:cs="Arial"/>
          <w:sz w:val="24"/>
          <w:szCs w:val="24"/>
        </w:rPr>
        <w:tab/>
        <w:t>In such premises the analysis of the Minister’s answer, as made in reply, will have to be upheld and the request be granted.</w:t>
      </w:r>
    </w:p>
    <w:p w:rsidR="00865C14" w:rsidRPr="006C3771" w:rsidRDefault="00865C14" w:rsidP="006F3D9D">
      <w:pPr>
        <w:spacing w:after="0" w:line="36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3482"/>
        <w:gridCol w:w="2770"/>
        <w:gridCol w:w="2770"/>
      </w:tblGrid>
      <w:tr w:rsidR="00496853" w:rsidRPr="006C3771" w:rsidTr="009A52A0">
        <w:tc>
          <w:tcPr>
            <w:tcW w:w="3482" w:type="dxa"/>
          </w:tcPr>
          <w:p w:rsidR="00496853" w:rsidRPr="006C3771" w:rsidRDefault="00865C14" w:rsidP="00732F6A">
            <w:pPr>
              <w:jc w:val="both"/>
              <w:rPr>
                <w:rFonts w:ascii="Arial" w:hAnsi="Arial" w:cs="Arial"/>
                <w:b/>
              </w:rPr>
            </w:pPr>
            <w:r w:rsidRPr="006C3771">
              <w:rPr>
                <w:rFonts w:ascii="Arial" w:hAnsi="Arial" w:cs="Arial"/>
                <w:b/>
              </w:rPr>
              <w:t>“1</w:t>
            </w:r>
            <w:r w:rsidR="00496853" w:rsidRPr="006C3771">
              <w:rPr>
                <w:rFonts w:ascii="Arial" w:hAnsi="Arial" w:cs="Arial"/>
                <w:b/>
              </w:rPr>
              <w:t>.</w:t>
            </w:r>
            <w:r w:rsidR="00C95085" w:rsidRPr="006C3771">
              <w:rPr>
                <w:rFonts w:ascii="Arial" w:hAnsi="Arial" w:cs="Arial"/>
                <w:b/>
              </w:rPr>
              <w:t>11</w:t>
            </w:r>
            <w:r w:rsidR="00496853" w:rsidRPr="006C3771">
              <w:rPr>
                <w:rFonts w:ascii="Arial" w:hAnsi="Arial" w:cs="Arial"/>
                <w:b/>
              </w:rPr>
              <w:tab/>
              <w:t>The notes, draft documents, calculations and decision documents produced by or on behalf of the Minister before and after receiving the industry submissions and Counsels’ Memorandum.”</w:t>
            </w:r>
          </w:p>
          <w:p w:rsidR="00496853" w:rsidRPr="006C3771" w:rsidRDefault="00496853" w:rsidP="00732F6A">
            <w:pPr>
              <w:jc w:val="both"/>
              <w:rPr>
                <w:rFonts w:ascii="Arial" w:hAnsi="Arial" w:cs="Arial"/>
              </w:rPr>
            </w:pPr>
          </w:p>
        </w:tc>
        <w:tc>
          <w:tcPr>
            <w:tcW w:w="2770" w:type="dxa"/>
          </w:tcPr>
          <w:p w:rsidR="00496853" w:rsidRPr="006C3771" w:rsidRDefault="00496853" w:rsidP="00732F6A">
            <w:pPr>
              <w:jc w:val="both"/>
              <w:rPr>
                <w:rFonts w:ascii="Arial" w:hAnsi="Arial" w:cs="Arial"/>
              </w:rPr>
            </w:pPr>
            <w:r w:rsidRPr="006C3771">
              <w:rPr>
                <w:rFonts w:ascii="Arial" w:hAnsi="Arial" w:cs="Arial"/>
              </w:rPr>
              <w:t>“18.</w:t>
            </w:r>
            <w:r w:rsidRPr="006C3771">
              <w:rPr>
                <w:rFonts w:ascii="Arial" w:hAnsi="Arial" w:cs="Arial"/>
              </w:rPr>
              <w:tab/>
              <w:t>No such “notes and documents, calculations and documents produced by or on behalf of the Minister” as surmised were before me in taking my decision. My decision was taken on the basis of what has been produced as the review record. The applicants are not entitled to the documentation sought in terms of Rule 76, or by way of general or particular discovery.”</w:t>
            </w:r>
          </w:p>
          <w:p w:rsidR="00496853" w:rsidRPr="006C3771" w:rsidRDefault="00496853" w:rsidP="00732F6A">
            <w:pPr>
              <w:jc w:val="both"/>
              <w:rPr>
                <w:rFonts w:ascii="Arial" w:hAnsi="Arial" w:cs="Arial"/>
              </w:rPr>
            </w:pPr>
          </w:p>
        </w:tc>
        <w:tc>
          <w:tcPr>
            <w:tcW w:w="2770" w:type="dxa"/>
          </w:tcPr>
          <w:p w:rsidR="00496853" w:rsidRPr="006C3771" w:rsidRDefault="00496853" w:rsidP="00732F6A">
            <w:pPr>
              <w:jc w:val="both"/>
              <w:rPr>
                <w:rFonts w:ascii="Arial" w:hAnsi="Arial" w:cs="Arial"/>
                <w:b/>
              </w:rPr>
            </w:pPr>
            <w:r w:rsidRPr="006C3771">
              <w:rPr>
                <w:rFonts w:ascii="Arial" w:hAnsi="Arial" w:cs="Arial"/>
                <w:b/>
              </w:rPr>
              <w:t>(The applicants’) RESPONSE</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8.11.1</w:t>
            </w:r>
            <w:r w:rsidRPr="006C3771">
              <w:rPr>
                <w:rFonts w:ascii="Arial" w:hAnsi="Arial" w:cs="Arial"/>
              </w:rPr>
              <w:tab/>
              <w:t>The Minister, in this paragraph, like in many others in his reply, seems to emphasise the word “before”. Perhaps these documents were not physically before him. The word “before”, in this paragraph of the Applicants’ request as in all other paragraphs, does not mean “physically in front of”. Instead, it means the document exist, and the information contained therein was shared with the Minister [if that were to be the case – then these documents, on the wid</w:t>
            </w:r>
            <w:r w:rsidR="007F62CD" w:rsidRPr="006C3771">
              <w:rPr>
                <w:rFonts w:ascii="Arial" w:hAnsi="Arial" w:cs="Arial"/>
              </w:rPr>
              <w:t>e test referred to above – fall</w:t>
            </w:r>
            <w:r w:rsidRPr="006C3771">
              <w:rPr>
                <w:rFonts w:ascii="Arial" w:hAnsi="Arial" w:cs="Arial"/>
              </w:rPr>
              <w:t xml:space="preserve"> within the definition of the record.]</w:t>
            </w:r>
          </w:p>
          <w:p w:rsidR="00496853" w:rsidRPr="006C3771" w:rsidRDefault="00496853" w:rsidP="00732F6A">
            <w:pPr>
              <w:jc w:val="both"/>
              <w:rPr>
                <w:rFonts w:ascii="Arial" w:hAnsi="Arial" w:cs="Arial"/>
              </w:rPr>
            </w:pPr>
          </w:p>
          <w:p w:rsidR="00496853" w:rsidRPr="006C3771" w:rsidRDefault="00496853" w:rsidP="00732F6A">
            <w:pPr>
              <w:jc w:val="both"/>
              <w:rPr>
                <w:rFonts w:ascii="Arial" w:hAnsi="Arial" w:cs="Arial"/>
              </w:rPr>
            </w:pPr>
            <w:r w:rsidRPr="006C3771">
              <w:rPr>
                <w:rFonts w:ascii="Arial" w:hAnsi="Arial" w:cs="Arial"/>
              </w:rPr>
              <w:t>8.11.2</w:t>
            </w:r>
            <w:r w:rsidRPr="006C3771">
              <w:rPr>
                <w:rFonts w:ascii="Arial" w:hAnsi="Arial" w:cs="Arial"/>
              </w:rPr>
              <w:tab/>
              <w:t xml:space="preserve">The impugned Government Notices, including GN333, GN334 and GN335, GN336, GN337 and GN338, all </w:t>
            </w:r>
            <w:r w:rsidRPr="006C3771">
              <w:rPr>
                <w:rFonts w:ascii="Arial" w:hAnsi="Arial" w:cs="Arial"/>
              </w:rPr>
              <w:lastRenderedPageBreak/>
              <w:t xml:space="preserve">contains facts and figures. Surely these were not randomly and arbitrarily included by the Minister. If so, this alone would serve as a basis to review and set aside the relevant Government Notices. The Minister must surely have – after receipt of industry submissions and the referred to Memorandum, applied his mind , also to the facts and figures which ultimately found their way into the relevant notices, and before the publication thereof. </w:t>
            </w:r>
          </w:p>
          <w:p w:rsidR="007F62CD" w:rsidRPr="006C3771" w:rsidRDefault="007F62CD" w:rsidP="00732F6A">
            <w:pPr>
              <w:pStyle w:val="Heading3"/>
              <w:jc w:val="both"/>
              <w:outlineLvl w:val="2"/>
              <w:rPr>
                <w:rFonts w:ascii="Arial" w:hAnsi="Arial" w:cs="Arial"/>
                <w:b w:val="0"/>
                <w:sz w:val="22"/>
                <w:szCs w:val="22"/>
              </w:rPr>
            </w:pPr>
            <w:r w:rsidRPr="006C3771">
              <w:rPr>
                <w:rFonts w:ascii="Arial" w:hAnsi="Arial" w:cs="Arial"/>
                <w:b w:val="0"/>
                <w:sz w:val="22"/>
                <w:szCs w:val="22"/>
              </w:rPr>
              <w:t>8.11.3</w:t>
            </w:r>
            <w:r w:rsidRPr="006C3771">
              <w:rPr>
                <w:rFonts w:ascii="Arial" w:hAnsi="Arial" w:cs="Arial"/>
                <w:b w:val="0"/>
                <w:sz w:val="22"/>
                <w:szCs w:val="22"/>
              </w:rPr>
              <w:tab/>
              <w:t xml:space="preserve">According to the Minister’s reasons for his decisions, he consulted throughout with senior members of his staff.  I say that documents, whether in the form of formal briefing documents or less formal notes and scribblings, must have preceded these consultations and must have been produced during or after these consultations.  </w:t>
            </w:r>
          </w:p>
          <w:p w:rsidR="007F62CD" w:rsidRPr="006C3771" w:rsidRDefault="007F62CD" w:rsidP="00732F6A">
            <w:pPr>
              <w:pStyle w:val="Heading3"/>
              <w:jc w:val="both"/>
              <w:outlineLvl w:val="2"/>
              <w:rPr>
                <w:rFonts w:ascii="Arial" w:hAnsi="Arial" w:cs="Arial"/>
                <w:b w:val="0"/>
                <w:sz w:val="22"/>
                <w:szCs w:val="22"/>
              </w:rPr>
            </w:pPr>
          </w:p>
          <w:p w:rsidR="007F62CD" w:rsidRPr="006C3771" w:rsidRDefault="007F62CD" w:rsidP="00732F6A">
            <w:pPr>
              <w:pStyle w:val="Heading3"/>
              <w:jc w:val="both"/>
              <w:outlineLvl w:val="2"/>
              <w:rPr>
                <w:rFonts w:ascii="Arial" w:hAnsi="Arial" w:cs="Arial"/>
                <w:b w:val="0"/>
                <w:sz w:val="22"/>
                <w:szCs w:val="22"/>
              </w:rPr>
            </w:pPr>
            <w:r w:rsidRPr="006C3771">
              <w:rPr>
                <w:rFonts w:ascii="Arial" w:hAnsi="Arial" w:cs="Arial"/>
                <w:b w:val="0"/>
                <w:sz w:val="22"/>
                <w:szCs w:val="22"/>
              </w:rPr>
              <w:t>8.11.4</w:t>
            </w:r>
            <w:r w:rsidRPr="006C3771">
              <w:rPr>
                <w:rFonts w:ascii="Arial" w:hAnsi="Arial" w:cs="Arial"/>
                <w:b w:val="0"/>
                <w:sz w:val="22"/>
                <w:szCs w:val="22"/>
              </w:rPr>
              <w:tab/>
              <w:t>Further, the requested documents will serve to indicate the Minister’s application of the mind to the submissions which were, in fact, made.</w:t>
            </w:r>
          </w:p>
          <w:p w:rsidR="007F62CD" w:rsidRPr="006C3771" w:rsidRDefault="007F62CD" w:rsidP="00732F6A">
            <w:pPr>
              <w:pStyle w:val="Heading3"/>
              <w:jc w:val="both"/>
              <w:outlineLvl w:val="2"/>
              <w:rPr>
                <w:rFonts w:ascii="Arial" w:hAnsi="Arial" w:cs="Arial"/>
                <w:b w:val="0"/>
                <w:sz w:val="22"/>
                <w:szCs w:val="22"/>
              </w:rPr>
            </w:pPr>
          </w:p>
          <w:p w:rsidR="007F62CD" w:rsidRPr="006C3771" w:rsidRDefault="007F62CD" w:rsidP="00732F6A">
            <w:pPr>
              <w:pStyle w:val="Heading3"/>
              <w:jc w:val="both"/>
              <w:outlineLvl w:val="2"/>
              <w:rPr>
                <w:rFonts w:ascii="Arial" w:hAnsi="Arial" w:cs="Arial"/>
                <w:b w:val="0"/>
                <w:sz w:val="22"/>
                <w:szCs w:val="22"/>
              </w:rPr>
            </w:pPr>
            <w:r w:rsidRPr="006C3771">
              <w:rPr>
                <w:rFonts w:ascii="Arial" w:hAnsi="Arial" w:cs="Arial"/>
                <w:b w:val="0"/>
                <w:sz w:val="22"/>
                <w:szCs w:val="22"/>
              </w:rPr>
              <w:t>8.11.5</w:t>
            </w:r>
            <w:r w:rsidRPr="006C3771">
              <w:rPr>
                <w:rFonts w:ascii="Arial" w:hAnsi="Arial" w:cs="Arial"/>
                <w:b w:val="0"/>
                <w:sz w:val="22"/>
                <w:szCs w:val="22"/>
              </w:rPr>
              <w:tab/>
              <w:t xml:space="preserve">Notably, the Minister does not deny the existence of the documents sought.” </w:t>
            </w:r>
          </w:p>
          <w:p w:rsidR="00496853" w:rsidRPr="006C3771" w:rsidRDefault="00496853" w:rsidP="00732F6A">
            <w:pPr>
              <w:jc w:val="both"/>
              <w:rPr>
                <w:rFonts w:ascii="Arial" w:hAnsi="Arial" w:cs="Arial"/>
                <w:b/>
              </w:rPr>
            </w:pPr>
          </w:p>
        </w:tc>
      </w:tr>
    </w:tbl>
    <w:p w:rsidR="00496853" w:rsidRPr="006C3771" w:rsidRDefault="00496853" w:rsidP="00732F6A">
      <w:pPr>
        <w:pStyle w:val="ListParagraph"/>
        <w:spacing w:line="360" w:lineRule="auto"/>
        <w:ind w:left="0"/>
        <w:jc w:val="both"/>
        <w:rPr>
          <w:rFonts w:cs="Arial"/>
        </w:rPr>
      </w:pPr>
    </w:p>
    <w:p w:rsidR="00A433DA" w:rsidRDefault="00A433DA" w:rsidP="006F3D9D">
      <w:pPr>
        <w:spacing w:after="0" w:line="360" w:lineRule="auto"/>
        <w:jc w:val="both"/>
        <w:rPr>
          <w:rFonts w:ascii="Arial" w:hAnsi="Arial" w:cs="Arial"/>
          <w:sz w:val="24"/>
          <w:szCs w:val="24"/>
        </w:rPr>
      </w:pPr>
    </w:p>
    <w:p w:rsidR="00496853" w:rsidRPr="006F3D9D" w:rsidRDefault="009A52A0" w:rsidP="006F3D9D">
      <w:pPr>
        <w:spacing w:after="0" w:line="360" w:lineRule="auto"/>
        <w:jc w:val="both"/>
        <w:rPr>
          <w:rFonts w:ascii="Arial" w:hAnsi="Arial" w:cs="Arial"/>
          <w:sz w:val="24"/>
          <w:szCs w:val="24"/>
        </w:rPr>
      </w:pPr>
      <w:r w:rsidRPr="006F3D9D">
        <w:rPr>
          <w:rFonts w:ascii="Arial" w:hAnsi="Arial" w:cs="Arial"/>
          <w:sz w:val="24"/>
          <w:szCs w:val="24"/>
        </w:rPr>
        <w:t>[</w:t>
      </w:r>
      <w:r w:rsidR="006F3D9D" w:rsidRPr="006F3D9D">
        <w:rPr>
          <w:rFonts w:ascii="Arial" w:hAnsi="Arial" w:cs="Arial"/>
          <w:sz w:val="24"/>
          <w:szCs w:val="24"/>
        </w:rPr>
        <w:t>5</w:t>
      </w:r>
      <w:r w:rsidR="00AC5F89">
        <w:rPr>
          <w:rFonts w:ascii="Arial" w:hAnsi="Arial" w:cs="Arial"/>
          <w:sz w:val="24"/>
          <w:szCs w:val="24"/>
        </w:rPr>
        <w:t>8</w:t>
      </w:r>
      <w:r w:rsidRPr="006F3D9D">
        <w:rPr>
          <w:rFonts w:ascii="Arial" w:hAnsi="Arial" w:cs="Arial"/>
          <w:sz w:val="24"/>
          <w:szCs w:val="24"/>
        </w:rPr>
        <w:t>]</w:t>
      </w:r>
      <w:r w:rsidRPr="006F3D9D">
        <w:rPr>
          <w:rFonts w:ascii="Arial" w:hAnsi="Arial" w:cs="Arial"/>
          <w:sz w:val="24"/>
          <w:szCs w:val="24"/>
        </w:rPr>
        <w:tab/>
      </w:r>
      <w:r w:rsidR="007F62CD" w:rsidRPr="006F3D9D">
        <w:rPr>
          <w:rFonts w:ascii="Arial" w:hAnsi="Arial" w:cs="Arial"/>
          <w:sz w:val="24"/>
          <w:szCs w:val="24"/>
        </w:rPr>
        <w:t>Again it is to be noted firstly that the existence of the documents requested here is not denied.</w:t>
      </w:r>
    </w:p>
    <w:p w:rsidR="002D668E" w:rsidRPr="006F3D9D" w:rsidRDefault="002D668E" w:rsidP="006F3D9D">
      <w:pPr>
        <w:spacing w:after="0" w:line="360" w:lineRule="auto"/>
        <w:jc w:val="both"/>
        <w:rPr>
          <w:rFonts w:ascii="Arial" w:hAnsi="Arial" w:cs="Arial"/>
          <w:sz w:val="24"/>
          <w:szCs w:val="24"/>
        </w:rPr>
      </w:pPr>
    </w:p>
    <w:p w:rsidR="002D668E" w:rsidRPr="006F3D9D" w:rsidRDefault="002D668E" w:rsidP="006F3D9D">
      <w:pPr>
        <w:pStyle w:val="Heading1"/>
        <w:spacing w:before="0" w:after="0" w:line="360" w:lineRule="auto"/>
        <w:jc w:val="both"/>
        <w:rPr>
          <w:rFonts w:ascii="Arial" w:hAnsi="Arial" w:cs="Arial"/>
          <w:b w:val="0"/>
          <w:sz w:val="24"/>
          <w:szCs w:val="24"/>
        </w:rPr>
      </w:pPr>
      <w:r w:rsidRPr="006F3D9D">
        <w:rPr>
          <w:rFonts w:ascii="Arial" w:hAnsi="Arial" w:cs="Arial"/>
          <w:b w:val="0"/>
          <w:sz w:val="24"/>
          <w:szCs w:val="24"/>
        </w:rPr>
        <w:t>[</w:t>
      </w:r>
      <w:r w:rsidR="006F3D9D">
        <w:rPr>
          <w:rFonts w:ascii="Arial" w:hAnsi="Arial" w:cs="Arial"/>
          <w:b w:val="0"/>
          <w:sz w:val="24"/>
          <w:szCs w:val="24"/>
        </w:rPr>
        <w:t>5</w:t>
      </w:r>
      <w:r w:rsidR="00AC5F89">
        <w:rPr>
          <w:rFonts w:ascii="Arial" w:hAnsi="Arial" w:cs="Arial"/>
          <w:b w:val="0"/>
          <w:sz w:val="24"/>
          <w:szCs w:val="24"/>
        </w:rPr>
        <w:t>9</w:t>
      </w:r>
      <w:r w:rsidRPr="006F3D9D">
        <w:rPr>
          <w:rFonts w:ascii="Arial" w:hAnsi="Arial" w:cs="Arial"/>
          <w:b w:val="0"/>
          <w:sz w:val="24"/>
          <w:szCs w:val="24"/>
        </w:rPr>
        <w:t>]</w:t>
      </w:r>
      <w:r w:rsidRPr="006F3D9D">
        <w:rPr>
          <w:rFonts w:ascii="Arial" w:hAnsi="Arial" w:cs="Arial"/>
          <w:b w:val="0"/>
          <w:sz w:val="24"/>
          <w:szCs w:val="24"/>
        </w:rPr>
        <w:tab/>
        <w:t xml:space="preserve">Secondly, the Minister has not claimed confidentiality in respect of any of the requested documents.  </w:t>
      </w:r>
    </w:p>
    <w:p w:rsidR="007F62CD" w:rsidRPr="006F3D9D" w:rsidRDefault="007F62CD" w:rsidP="006F3D9D">
      <w:pPr>
        <w:spacing w:after="0" w:line="360" w:lineRule="auto"/>
        <w:jc w:val="both"/>
        <w:rPr>
          <w:rFonts w:ascii="Arial" w:hAnsi="Arial" w:cs="Arial"/>
          <w:sz w:val="24"/>
          <w:szCs w:val="24"/>
        </w:rPr>
      </w:pPr>
    </w:p>
    <w:p w:rsidR="002D668E" w:rsidRPr="006F3D9D" w:rsidRDefault="007F62CD" w:rsidP="006F3D9D">
      <w:pPr>
        <w:pStyle w:val="Heading3"/>
        <w:spacing w:line="360" w:lineRule="auto"/>
        <w:jc w:val="both"/>
        <w:rPr>
          <w:rFonts w:ascii="Arial" w:hAnsi="Arial" w:cs="Arial"/>
          <w:b w:val="0"/>
          <w:sz w:val="24"/>
          <w:szCs w:val="24"/>
        </w:rPr>
      </w:pPr>
      <w:r w:rsidRPr="006F3D9D">
        <w:rPr>
          <w:rFonts w:ascii="Arial" w:hAnsi="Arial" w:cs="Arial"/>
          <w:b w:val="0"/>
          <w:sz w:val="24"/>
          <w:szCs w:val="24"/>
        </w:rPr>
        <w:t>[</w:t>
      </w:r>
      <w:r w:rsidR="00AC5F89">
        <w:rPr>
          <w:rFonts w:ascii="Arial" w:hAnsi="Arial" w:cs="Arial"/>
          <w:b w:val="0"/>
          <w:sz w:val="24"/>
          <w:szCs w:val="24"/>
          <w:lang w:val="en-ZA"/>
        </w:rPr>
        <w:t>60</w:t>
      </w:r>
      <w:r w:rsidRPr="006F3D9D">
        <w:rPr>
          <w:rFonts w:ascii="Arial" w:hAnsi="Arial" w:cs="Arial"/>
          <w:b w:val="0"/>
          <w:sz w:val="24"/>
          <w:szCs w:val="24"/>
        </w:rPr>
        <w:t>]</w:t>
      </w:r>
      <w:r w:rsidRPr="006F3D9D">
        <w:rPr>
          <w:rFonts w:ascii="Arial" w:hAnsi="Arial" w:cs="Arial"/>
          <w:b w:val="0"/>
          <w:sz w:val="24"/>
          <w:szCs w:val="24"/>
        </w:rPr>
        <w:tab/>
      </w:r>
      <w:r w:rsidR="002D668E" w:rsidRPr="006F3D9D">
        <w:rPr>
          <w:rFonts w:ascii="Arial" w:hAnsi="Arial" w:cs="Arial"/>
          <w:b w:val="0"/>
          <w:sz w:val="24"/>
          <w:szCs w:val="24"/>
        </w:rPr>
        <w:t>Thir</w:t>
      </w:r>
      <w:r w:rsidRPr="006F3D9D">
        <w:rPr>
          <w:rFonts w:ascii="Arial" w:hAnsi="Arial" w:cs="Arial"/>
          <w:b w:val="0"/>
          <w:sz w:val="24"/>
          <w:szCs w:val="24"/>
        </w:rPr>
        <w:t>dly</w:t>
      </w:r>
      <w:r w:rsidR="008005A9" w:rsidRPr="006F3D9D">
        <w:rPr>
          <w:rFonts w:ascii="Arial" w:hAnsi="Arial" w:cs="Arial"/>
          <w:b w:val="0"/>
          <w:sz w:val="24"/>
          <w:szCs w:val="24"/>
          <w:lang w:val="en-US"/>
        </w:rPr>
        <w:t>,</w:t>
      </w:r>
      <w:r w:rsidR="002D668E" w:rsidRPr="006F3D9D">
        <w:rPr>
          <w:rFonts w:ascii="Arial" w:hAnsi="Arial" w:cs="Arial"/>
          <w:b w:val="0"/>
          <w:sz w:val="24"/>
          <w:szCs w:val="24"/>
        </w:rPr>
        <w:t xml:space="preserve"> the Minister,</w:t>
      </w:r>
      <w:r w:rsidRPr="006F3D9D">
        <w:rPr>
          <w:rFonts w:ascii="Arial" w:hAnsi="Arial" w:cs="Arial"/>
          <w:b w:val="0"/>
          <w:sz w:val="24"/>
          <w:szCs w:val="24"/>
          <w:lang w:val="en-US"/>
        </w:rPr>
        <w:t xml:space="preserve"> on his own version</w:t>
      </w:r>
      <w:r w:rsidR="002D668E" w:rsidRPr="006F3D9D">
        <w:rPr>
          <w:rFonts w:ascii="Arial" w:hAnsi="Arial" w:cs="Arial"/>
          <w:b w:val="0"/>
          <w:sz w:val="24"/>
          <w:szCs w:val="24"/>
          <w:lang w:val="en-US"/>
        </w:rPr>
        <w:t>,</w:t>
      </w:r>
      <w:r w:rsidRPr="006F3D9D">
        <w:rPr>
          <w:rFonts w:ascii="Arial" w:hAnsi="Arial" w:cs="Arial"/>
          <w:b w:val="0"/>
          <w:sz w:val="24"/>
          <w:szCs w:val="24"/>
        </w:rPr>
        <w:t xml:space="preserve"> consulted throughout with senior members of his staff. </w:t>
      </w:r>
      <w:r w:rsidRPr="006F3D9D">
        <w:rPr>
          <w:rFonts w:ascii="Arial" w:hAnsi="Arial" w:cs="Arial"/>
          <w:b w:val="0"/>
          <w:sz w:val="24"/>
          <w:szCs w:val="24"/>
          <w:lang w:val="en-US"/>
        </w:rPr>
        <w:t>It is therefore more than likely</w:t>
      </w:r>
      <w:r w:rsidRPr="006F3D9D">
        <w:rPr>
          <w:rFonts w:ascii="Arial" w:hAnsi="Arial" w:cs="Arial"/>
          <w:b w:val="0"/>
          <w:sz w:val="24"/>
          <w:szCs w:val="24"/>
        </w:rPr>
        <w:t xml:space="preserve"> that </w:t>
      </w:r>
      <w:r w:rsidRPr="006F3D9D">
        <w:rPr>
          <w:rFonts w:ascii="Arial" w:hAnsi="Arial" w:cs="Arial"/>
          <w:b w:val="0"/>
          <w:sz w:val="24"/>
          <w:szCs w:val="24"/>
          <w:lang w:val="en-US"/>
        </w:rPr>
        <w:t>‘</w:t>
      </w:r>
      <w:r w:rsidRPr="006F3D9D">
        <w:rPr>
          <w:rFonts w:ascii="Arial" w:hAnsi="Arial" w:cs="Arial"/>
          <w:b w:val="0"/>
          <w:sz w:val="24"/>
          <w:szCs w:val="24"/>
        </w:rPr>
        <w:t>documents, whether in the form of formal briefing documents or less formal notes and scribblings, must have preceded these consultations and must</w:t>
      </w:r>
      <w:r w:rsidR="008005A9" w:rsidRPr="006F3D9D">
        <w:rPr>
          <w:rFonts w:ascii="Arial" w:hAnsi="Arial" w:cs="Arial"/>
          <w:b w:val="0"/>
          <w:sz w:val="24"/>
          <w:szCs w:val="24"/>
          <w:lang w:val="en-US"/>
        </w:rPr>
        <w:t xml:space="preserve"> also</w:t>
      </w:r>
      <w:r w:rsidRPr="006F3D9D">
        <w:rPr>
          <w:rFonts w:ascii="Arial" w:hAnsi="Arial" w:cs="Arial"/>
          <w:b w:val="0"/>
          <w:sz w:val="24"/>
          <w:szCs w:val="24"/>
        </w:rPr>
        <w:t xml:space="preserve"> have been produced during or after these consultations</w:t>
      </w:r>
      <w:r w:rsidRPr="006F3D9D">
        <w:rPr>
          <w:rFonts w:ascii="Arial" w:hAnsi="Arial" w:cs="Arial"/>
          <w:b w:val="0"/>
          <w:sz w:val="24"/>
          <w:szCs w:val="24"/>
          <w:lang w:val="en-US"/>
        </w:rPr>
        <w:t>’</w:t>
      </w:r>
      <w:r w:rsidRPr="006F3D9D">
        <w:rPr>
          <w:rFonts w:ascii="Arial" w:hAnsi="Arial" w:cs="Arial"/>
          <w:b w:val="0"/>
          <w:sz w:val="24"/>
          <w:szCs w:val="24"/>
        </w:rPr>
        <w:t>.</w:t>
      </w:r>
    </w:p>
    <w:p w:rsidR="002D668E" w:rsidRPr="006F3D9D" w:rsidRDefault="002D668E" w:rsidP="006F3D9D">
      <w:pPr>
        <w:pStyle w:val="Heading3"/>
        <w:spacing w:line="360" w:lineRule="auto"/>
        <w:jc w:val="both"/>
        <w:rPr>
          <w:rFonts w:ascii="Arial" w:hAnsi="Arial" w:cs="Arial"/>
          <w:b w:val="0"/>
          <w:sz w:val="24"/>
          <w:szCs w:val="24"/>
        </w:rPr>
      </w:pPr>
    </w:p>
    <w:p w:rsidR="007F62CD" w:rsidRPr="006F3D9D" w:rsidRDefault="002D668E" w:rsidP="006F3D9D">
      <w:pPr>
        <w:pStyle w:val="Heading3"/>
        <w:spacing w:line="360" w:lineRule="auto"/>
        <w:jc w:val="both"/>
        <w:rPr>
          <w:rFonts w:ascii="Arial" w:hAnsi="Arial" w:cs="Arial"/>
          <w:b w:val="0"/>
          <w:sz w:val="24"/>
          <w:szCs w:val="24"/>
        </w:rPr>
      </w:pPr>
      <w:r w:rsidRPr="006F3D9D">
        <w:rPr>
          <w:rFonts w:ascii="Arial" w:hAnsi="Arial" w:cs="Arial"/>
          <w:b w:val="0"/>
          <w:sz w:val="24"/>
          <w:szCs w:val="24"/>
          <w:lang w:val="en-US"/>
        </w:rPr>
        <w:t>[</w:t>
      </w:r>
      <w:r w:rsidR="00AC5F89">
        <w:rPr>
          <w:rFonts w:ascii="Arial" w:hAnsi="Arial" w:cs="Arial"/>
          <w:b w:val="0"/>
          <w:sz w:val="24"/>
          <w:szCs w:val="24"/>
          <w:lang w:val="en-US"/>
        </w:rPr>
        <w:t>61</w:t>
      </w:r>
      <w:r w:rsidRPr="006F3D9D">
        <w:rPr>
          <w:rFonts w:ascii="Arial" w:hAnsi="Arial" w:cs="Arial"/>
          <w:b w:val="0"/>
          <w:sz w:val="24"/>
          <w:szCs w:val="24"/>
          <w:lang w:val="en-US"/>
        </w:rPr>
        <w:t>]</w:t>
      </w:r>
      <w:r w:rsidRPr="006F3D9D">
        <w:rPr>
          <w:rFonts w:ascii="Arial" w:hAnsi="Arial" w:cs="Arial"/>
          <w:b w:val="0"/>
          <w:sz w:val="24"/>
          <w:szCs w:val="24"/>
          <w:lang w:val="en-US"/>
        </w:rPr>
        <w:tab/>
        <w:t xml:space="preserve">Fourthly, such documents, would have been drawn up in order to assist in the promulgation of the intended Government Notices. </w:t>
      </w:r>
    </w:p>
    <w:p w:rsidR="007F62CD" w:rsidRPr="006F3D9D" w:rsidRDefault="007F62CD" w:rsidP="006F3D9D">
      <w:pPr>
        <w:spacing w:after="0" w:line="360" w:lineRule="auto"/>
        <w:jc w:val="both"/>
        <w:rPr>
          <w:rFonts w:ascii="Arial" w:hAnsi="Arial" w:cs="Arial"/>
          <w:sz w:val="24"/>
          <w:szCs w:val="24"/>
        </w:rPr>
      </w:pPr>
    </w:p>
    <w:p w:rsidR="00496853" w:rsidRPr="006F3D9D" w:rsidRDefault="007F62CD" w:rsidP="006F3D9D">
      <w:pPr>
        <w:pStyle w:val="Heading3"/>
        <w:spacing w:line="360" w:lineRule="auto"/>
        <w:jc w:val="both"/>
        <w:rPr>
          <w:rFonts w:ascii="Arial" w:hAnsi="Arial" w:cs="Arial"/>
          <w:b w:val="0"/>
          <w:sz w:val="24"/>
          <w:szCs w:val="24"/>
        </w:rPr>
      </w:pPr>
      <w:r w:rsidRPr="006F3D9D">
        <w:rPr>
          <w:rFonts w:ascii="Arial" w:hAnsi="Arial" w:cs="Arial"/>
          <w:b w:val="0"/>
          <w:sz w:val="24"/>
          <w:szCs w:val="24"/>
        </w:rPr>
        <w:t>[</w:t>
      </w:r>
      <w:r w:rsidR="006F3D9D">
        <w:rPr>
          <w:rFonts w:ascii="Arial" w:hAnsi="Arial" w:cs="Arial"/>
          <w:b w:val="0"/>
          <w:sz w:val="24"/>
          <w:szCs w:val="24"/>
          <w:lang w:val="en-ZA"/>
        </w:rPr>
        <w:t>6</w:t>
      </w:r>
      <w:r w:rsidR="00AC5F89">
        <w:rPr>
          <w:rFonts w:ascii="Arial" w:hAnsi="Arial" w:cs="Arial"/>
          <w:b w:val="0"/>
          <w:sz w:val="24"/>
          <w:szCs w:val="24"/>
          <w:lang w:val="en-ZA"/>
        </w:rPr>
        <w:t>2</w:t>
      </w:r>
      <w:r w:rsidRPr="006F3D9D">
        <w:rPr>
          <w:rFonts w:ascii="Arial" w:hAnsi="Arial" w:cs="Arial"/>
          <w:b w:val="0"/>
          <w:sz w:val="24"/>
          <w:szCs w:val="24"/>
        </w:rPr>
        <w:t>]</w:t>
      </w:r>
      <w:r w:rsidRPr="006F3D9D">
        <w:rPr>
          <w:rFonts w:ascii="Arial" w:hAnsi="Arial" w:cs="Arial"/>
          <w:b w:val="0"/>
          <w:sz w:val="24"/>
          <w:szCs w:val="24"/>
        </w:rPr>
        <w:tab/>
      </w:r>
      <w:r w:rsidR="002D668E" w:rsidRPr="006F3D9D">
        <w:rPr>
          <w:rFonts w:ascii="Arial" w:hAnsi="Arial" w:cs="Arial"/>
          <w:b w:val="0"/>
          <w:sz w:val="24"/>
          <w:szCs w:val="24"/>
        </w:rPr>
        <w:t>Fifth</w:t>
      </w:r>
      <w:r w:rsidR="002D668E" w:rsidRPr="006F3D9D">
        <w:rPr>
          <w:rFonts w:ascii="Arial" w:hAnsi="Arial" w:cs="Arial"/>
          <w:b w:val="0"/>
          <w:sz w:val="24"/>
          <w:szCs w:val="24"/>
          <w:lang w:val="en-US"/>
        </w:rPr>
        <w:t>l</w:t>
      </w:r>
      <w:r w:rsidR="008005A9" w:rsidRPr="006F3D9D">
        <w:rPr>
          <w:rFonts w:ascii="Arial" w:hAnsi="Arial" w:cs="Arial"/>
          <w:b w:val="0"/>
          <w:sz w:val="24"/>
          <w:szCs w:val="24"/>
        </w:rPr>
        <w:t>y, these documents did not have to be physical</w:t>
      </w:r>
      <w:r w:rsidR="00B32ACD" w:rsidRPr="006F3D9D">
        <w:rPr>
          <w:rFonts w:ascii="Arial" w:hAnsi="Arial" w:cs="Arial"/>
          <w:b w:val="0"/>
          <w:sz w:val="24"/>
          <w:szCs w:val="24"/>
        </w:rPr>
        <w:t>ly in front of the Minister</w:t>
      </w:r>
      <w:r w:rsidR="008005A9" w:rsidRPr="006F3D9D">
        <w:rPr>
          <w:rFonts w:ascii="Arial" w:hAnsi="Arial" w:cs="Arial"/>
          <w:b w:val="0"/>
          <w:sz w:val="24"/>
          <w:szCs w:val="24"/>
        </w:rPr>
        <w:t>.</w:t>
      </w:r>
      <w:r w:rsidR="00A433DA">
        <w:rPr>
          <w:rFonts w:ascii="Arial" w:hAnsi="Arial" w:cs="Arial"/>
          <w:b w:val="0"/>
          <w:sz w:val="24"/>
          <w:szCs w:val="24"/>
          <w:lang w:val="en-US"/>
        </w:rPr>
        <w:t xml:space="preserve"> They were documents or materials available to him.</w:t>
      </w:r>
      <w:r w:rsidR="008005A9" w:rsidRPr="006F3D9D">
        <w:rPr>
          <w:rFonts w:ascii="Arial" w:hAnsi="Arial" w:cs="Arial"/>
          <w:b w:val="0"/>
          <w:sz w:val="24"/>
          <w:szCs w:val="24"/>
        </w:rPr>
        <w:t xml:space="preserve"> They are clearly relevant to the Government Notices under attack</w:t>
      </w:r>
      <w:r w:rsidR="00D9643D" w:rsidRPr="006F3D9D">
        <w:rPr>
          <w:rFonts w:ascii="Arial" w:hAnsi="Arial" w:cs="Arial"/>
          <w:b w:val="0"/>
          <w:sz w:val="24"/>
          <w:szCs w:val="24"/>
        </w:rPr>
        <w:t>, such as</w:t>
      </w:r>
      <w:r w:rsidR="008005A9" w:rsidRPr="006F3D9D">
        <w:rPr>
          <w:rFonts w:ascii="Arial" w:hAnsi="Arial" w:cs="Arial"/>
          <w:b w:val="0"/>
          <w:sz w:val="24"/>
          <w:szCs w:val="24"/>
        </w:rPr>
        <w:t xml:space="preserve"> GN 333, GN 334 and GN 335, GN 336, GN 337 and GN 338, </w:t>
      </w:r>
      <w:r w:rsidR="00AE50B8">
        <w:rPr>
          <w:rFonts w:ascii="Arial" w:hAnsi="Arial" w:cs="Arial"/>
          <w:b w:val="0"/>
          <w:sz w:val="24"/>
          <w:szCs w:val="24"/>
          <w:lang w:val="en-US"/>
        </w:rPr>
        <w:t xml:space="preserve">as </w:t>
      </w:r>
      <w:r w:rsidR="008005A9" w:rsidRPr="006F3D9D">
        <w:rPr>
          <w:rFonts w:ascii="Arial" w:hAnsi="Arial" w:cs="Arial"/>
          <w:b w:val="0"/>
          <w:sz w:val="24"/>
          <w:szCs w:val="24"/>
        </w:rPr>
        <w:t>all ‘contain facts and figures’ as it was put. These ‘facts and figures’ surely would have been</w:t>
      </w:r>
      <w:r w:rsidR="00B32ACD" w:rsidRPr="006F3D9D">
        <w:rPr>
          <w:rFonts w:ascii="Arial" w:hAnsi="Arial" w:cs="Arial"/>
          <w:b w:val="0"/>
          <w:sz w:val="24"/>
          <w:szCs w:val="24"/>
          <w:lang w:val="en-US"/>
        </w:rPr>
        <w:t xml:space="preserve"> – or should have been -</w:t>
      </w:r>
      <w:r w:rsidR="008005A9" w:rsidRPr="006F3D9D">
        <w:rPr>
          <w:rFonts w:ascii="Arial" w:hAnsi="Arial" w:cs="Arial"/>
          <w:b w:val="0"/>
          <w:sz w:val="24"/>
          <w:szCs w:val="24"/>
        </w:rPr>
        <w:t xml:space="preserve"> in the Minister’s mind when making his decisions. They are thus relevant thereto</w:t>
      </w:r>
      <w:r w:rsidR="002D668E" w:rsidRPr="006F3D9D">
        <w:rPr>
          <w:rFonts w:ascii="Arial" w:hAnsi="Arial" w:cs="Arial"/>
          <w:b w:val="0"/>
          <w:sz w:val="24"/>
          <w:szCs w:val="24"/>
        </w:rPr>
        <w:t xml:space="preserve">. </w:t>
      </w:r>
      <w:r w:rsidR="002D668E" w:rsidRPr="006F3D9D">
        <w:rPr>
          <w:rFonts w:ascii="Arial" w:hAnsi="Arial" w:cs="Arial"/>
          <w:b w:val="0"/>
          <w:sz w:val="24"/>
          <w:szCs w:val="24"/>
          <w:lang w:val="en-US"/>
        </w:rPr>
        <w:t>They are also clearly</w:t>
      </w:r>
      <w:r w:rsidR="002D668E" w:rsidRPr="006F3D9D">
        <w:rPr>
          <w:rFonts w:ascii="Arial" w:hAnsi="Arial" w:cs="Arial"/>
          <w:b w:val="0"/>
          <w:sz w:val="24"/>
          <w:szCs w:val="24"/>
        </w:rPr>
        <w:t xml:space="preserve"> relevant to the </w:t>
      </w:r>
      <w:r w:rsidR="00D9643D" w:rsidRPr="006F3D9D">
        <w:rPr>
          <w:rFonts w:ascii="Arial" w:hAnsi="Arial" w:cs="Arial"/>
          <w:b w:val="0"/>
          <w:sz w:val="24"/>
          <w:szCs w:val="24"/>
          <w:lang w:val="en-US"/>
        </w:rPr>
        <w:t xml:space="preserve">ultimate </w:t>
      </w:r>
      <w:r w:rsidR="002D668E" w:rsidRPr="006F3D9D">
        <w:rPr>
          <w:rFonts w:ascii="Arial" w:hAnsi="Arial" w:cs="Arial"/>
          <w:b w:val="0"/>
          <w:sz w:val="24"/>
          <w:szCs w:val="24"/>
        </w:rPr>
        <w:t>decision</w:t>
      </w:r>
      <w:r w:rsidR="002D668E" w:rsidRPr="006F3D9D">
        <w:rPr>
          <w:rFonts w:ascii="Arial" w:hAnsi="Arial" w:cs="Arial"/>
          <w:b w:val="0"/>
          <w:sz w:val="24"/>
          <w:szCs w:val="24"/>
          <w:lang w:val="en-US"/>
        </w:rPr>
        <w:t>s made in respect of the various Government Notices</w:t>
      </w:r>
      <w:r w:rsidR="00D9643D" w:rsidRPr="006F3D9D">
        <w:rPr>
          <w:rFonts w:ascii="Arial" w:hAnsi="Arial" w:cs="Arial"/>
          <w:b w:val="0"/>
          <w:sz w:val="24"/>
          <w:szCs w:val="24"/>
          <w:lang w:val="en-US"/>
        </w:rPr>
        <w:t xml:space="preserve"> -</w:t>
      </w:r>
      <w:r w:rsidR="002D668E" w:rsidRPr="006F3D9D">
        <w:rPr>
          <w:rFonts w:ascii="Arial" w:hAnsi="Arial" w:cs="Arial"/>
          <w:b w:val="0"/>
          <w:sz w:val="24"/>
          <w:szCs w:val="24"/>
          <w:lang w:val="en-US"/>
        </w:rPr>
        <w:t xml:space="preserve"> which</w:t>
      </w:r>
      <w:r w:rsidR="002D668E" w:rsidRPr="006F3D9D">
        <w:rPr>
          <w:rFonts w:ascii="Arial" w:hAnsi="Arial" w:cs="Arial"/>
          <w:b w:val="0"/>
          <w:sz w:val="24"/>
          <w:szCs w:val="24"/>
        </w:rPr>
        <w:t xml:space="preserve"> they precede and to which they relate</w:t>
      </w:r>
      <w:r w:rsidR="00D9643D" w:rsidRPr="006F3D9D">
        <w:rPr>
          <w:rFonts w:ascii="Arial" w:hAnsi="Arial" w:cs="Arial"/>
          <w:b w:val="0"/>
          <w:sz w:val="24"/>
          <w:szCs w:val="24"/>
          <w:lang w:val="en-US"/>
        </w:rPr>
        <w:t xml:space="preserve"> -</w:t>
      </w:r>
      <w:r w:rsidR="008005A9" w:rsidRPr="006F3D9D">
        <w:rPr>
          <w:rFonts w:ascii="Arial" w:hAnsi="Arial" w:cs="Arial"/>
          <w:b w:val="0"/>
          <w:sz w:val="24"/>
          <w:szCs w:val="24"/>
        </w:rPr>
        <w:t xml:space="preserve"> and accordingly they</w:t>
      </w:r>
      <w:r w:rsidR="00A433DA">
        <w:rPr>
          <w:rFonts w:ascii="Arial" w:hAnsi="Arial" w:cs="Arial"/>
          <w:b w:val="0"/>
          <w:sz w:val="24"/>
          <w:szCs w:val="24"/>
          <w:lang w:val="en-US"/>
        </w:rPr>
        <w:t xml:space="preserve"> will</w:t>
      </w:r>
      <w:r w:rsidR="008005A9" w:rsidRPr="006F3D9D">
        <w:rPr>
          <w:rFonts w:ascii="Arial" w:hAnsi="Arial" w:cs="Arial"/>
          <w:b w:val="0"/>
          <w:sz w:val="24"/>
          <w:szCs w:val="24"/>
        </w:rPr>
        <w:t xml:space="preserve"> have to be discovered.</w:t>
      </w:r>
    </w:p>
    <w:p w:rsidR="00B32ACD" w:rsidRPr="006F3D9D" w:rsidRDefault="00B32ACD" w:rsidP="006F3D9D">
      <w:pPr>
        <w:spacing w:after="0" w:line="360" w:lineRule="auto"/>
        <w:rPr>
          <w:rFonts w:ascii="Arial" w:hAnsi="Arial" w:cs="Arial"/>
          <w:sz w:val="24"/>
          <w:szCs w:val="24"/>
          <w:lang w:val="x-none" w:eastAsia="x-none"/>
        </w:rPr>
      </w:pPr>
    </w:p>
    <w:p w:rsidR="00B32ACD" w:rsidRPr="006F3D9D" w:rsidRDefault="00B32ACD" w:rsidP="006F3D9D">
      <w:pPr>
        <w:spacing w:after="0" w:line="360" w:lineRule="auto"/>
        <w:rPr>
          <w:rFonts w:ascii="Arial" w:hAnsi="Arial" w:cs="Arial"/>
          <w:sz w:val="24"/>
          <w:szCs w:val="24"/>
          <w:u w:val="single"/>
          <w:lang w:eastAsia="x-none"/>
        </w:rPr>
      </w:pPr>
      <w:r w:rsidRPr="006F3D9D">
        <w:rPr>
          <w:rFonts w:ascii="Arial" w:hAnsi="Arial" w:cs="Arial"/>
          <w:sz w:val="24"/>
          <w:szCs w:val="24"/>
          <w:u w:val="single"/>
          <w:lang w:eastAsia="x-none"/>
        </w:rPr>
        <w:t>Costs</w:t>
      </w:r>
    </w:p>
    <w:p w:rsidR="00B32ACD" w:rsidRPr="006F3D9D" w:rsidRDefault="00B32ACD" w:rsidP="006F3D9D">
      <w:pPr>
        <w:spacing w:after="0" w:line="360" w:lineRule="auto"/>
        <w:jc w:val="both"/>
        <w:rPr>
          <w:rFonts w:ascii="Arial" w:hAnsi="Arial" w:cs="Arial"/>
          <w:sz w:val="24"/>
          <w:szCs w:val="24"/>
          <w:u w:val="single"/>
          <w:lang w:eastAsia="x-none"/>
        </w:rPr>
      </w:pPr>
    </w:p>
    <w:p w:rsidR="00B32ACD" w:rsidRPr="006F3D9D" w:rsidRDefault="00B32ACD" w:rsidP="006F3D9D">
      <w:pPr>
        <w:spacing w:after="0" w:line="360" w:lineRule="auto"/>
        <w:jc w:val="both"/>
        <w:rPr>
          <w:rFonts w:ascii="Arial" w:hAnsi="Arial" w:cs="Arial"/>
          <w:sz w:val="24"/>
          <w:szCs w:val="24"/>
          <w:lang w:eastAsia="x-none"/>
        </w:rPr>
      </w:pPr>
      <w:r w:rsidRPr="006F3D9D">
        <w:rPr>
          <w:rFonts w:ascii="Arial" w:hAnsi="Arial" w:cs="Arial"/>
          <w:sz w:val="24"/>
          <w:szCs w:val="24"/>
          <w:lang w:eastAsia="x-none"/>
        </w:rPr>
        <w:t>[</w:t>
      </w:r>
      <w:r w:rsidR="006F3D9D">
        <w:rPr>
          <w:rFonts w:ascii="Arial" w:hAnsi="Arial" w:cs="Arial"/>
          <w:sz w:val="24"/>
          <w:szCs w:val="24"/>
          <w:lang w:eastAsia="x-none"/>
        </w:rPr>
        <w:t>6</w:t>
      </w:r>
      <w:r w:rsidR="00AC5F89">
        <w:rPr>
          <w:rFonts w:ascii="Arial" w:hAnsi="Arial" w:cs="Arial"/>
          <w:sz w:val="24"/>
          <w:szCs w:val="24"/>
          <w:lang w:eastAsia="x-none"/>
        </w:rPr>
        <w:t>3</w:t>
      </w:r>
      <w:r w:rsidRPr="006F3D9D">
        <w:rPr>
          <w:rFonts w:ascii="Arial" w:hAnsi="Arial" w:cs="Arial"/>
          <w:sz w:val="24"/>
          <w:szCs w:val="24"/>
          <w:lang w:eastAsia="x-none"/>
        </w:rPr>
        <w:t>]</w:t>
      </w:r>
      <w:r w:rsidRPr="006F3D9D">
        <w:rPr>
          <w:rFonts w:ascii="Arial" w:hAnsi="Arial" w:cs="Arial"/>
          <w:sz w:val="24"/>
          <w:szCs w:val="24"/>
          <w:lang w:eastAsia="x-none"/>
        </w:rPr>
        <w:tab/>
        <w:t xml:space="preserve">It will already have emerged that the applicants have substantially been successful in this Rule 76(6) application and should thus be regarded as the successful party for purposes of cost considerations. The heads of argument filed on </w:t>
      </w:r>
      <w:r w:rsidR="00C84D98">
        <w:rPr>
          <w:rFonts w:ascii="Arial" w:hAnsi="Arial" w:cs="Arial"/>
          <w:sz w:val="24"/>
          <w:szCs w:val="24"/>
          <w:lang w:eastAsia="x-none"/>
        </w:rPr>
        <w:t>behalf of the parties are</w:t>
      </w:r>
      <w:r w:rsidR="00495CF9" w:rsidRPr="006F3D9D">
        <w:rPr>
          <w:rFonts w:ascii="Arial" w:hAnsi="Arial" w:cs="Arial"/>
          <w:sz w:val="24"/>
          <w:szCs w:val="24"/>
          <w:lang w:eastAsia="x-none"/>
        </w:rPr>
        <w:t xml:space="preserve"> silent in regard to whether</w:t>
      </w:r>
      <w:r w:rsidR="00C84D98" w:rsidRPr="00C84D98">
        <w:rPr>
          <w:rFonts w:ascii="Arial" w:hAnsi="Arial" w:cs="Arial"/>
          <w:sz w:val="24"/>
          <w:szCs w:val="24"/>
          <w:lang w:eastAsia="x-none"/>
        </w:rPr>
        <w:t xml:space="preserve"> </w:t>
      </w:r>
      <w:r w:rsidR="00C84D98">
        <w:rPr>
          <w:rFonts w:ascii="Arial" w:hAnsi="Arial" w:cs="Arial"/>
          <w:sz w:val="24"/>
          <w:szCs w:val="24"/>
          <w:lang w:eastAsia="x-none"/>
        </w:rPr>
        <w:t>or not</w:t>
      </w:r>
      <w:r w:rsidR="00495CF9" w:rsidRPr="006F3D9D">
        <w:rPr>
          <w:rFonts w:ascii="Arial" w:hAnsi="Arial" w:cs="Arial"/>
          <w:sz w:val="24"/>
          <w:szCs w:val="24"/>
          <w:lang w:eastAsia="x-none"/>
        </w:rPr>
        <w:t xml:space="preserve"> the resultant costs order should be</w:t>
      </w:r>
      <w:r w:rsidR="002130A5" w:rsidRPr="006F3D9D">
        <w:rPr>
          <w:rFonts w:ascii="Arial" w:hAnsi="Arial" w:cs="Arial"/>
          <w:sz w:val="24"/>
          <w:szCs w:val="24"/>
          <w:lang w:eastAsia="x-none"/>
        </w:rPr>
        <w:t xml:space="preserve"> capped in terms of Rule 32(11). The costs order sought by applicants, as encapsulated in the notice of motion</w:t>
      </w:r>
      <w:r w:rsidR="00A433DA">
        <w:rPr>
          <w:rFonts w:ascii="Arial" w:hAnsi="Arial" w:cs="Arial"/>
          <w:sz w:val="24"/>
          <w:szCs w:val="24"/>
          <w:lang w:eastAsia="x-none"/>
        </w:rPr>
        <w:t>,</w:t>
      </w:r>
      <w:r w:rsidR="00C84D98">
        <w:rPr>
          <w:rFonts w:ascii="Arial" w:hAnsi="Arial" w:cs="Arial"/>
          <w:sz w:val="24"/>
          <w:szCs w:val="24"/>
          <w:lang w:eastAsia="x-none"/>
        </w:rPr>
        <w:t xml:space="preserve"> prays</w:t>
      </w:r>
      <w:r w:rsidR="00A433DA">
        <w:rPr>
          <w:rFonts w:ascii="Arial" w:hAnsi="Arial" w:cs="Arial"/>
          <w:sz w:val="24"/>
          <w:szCs w:val="24"/>
          <w:lang w:eastAsia="x-none"/>
        </w:rPr>
        <w:t xml:space="preserve"> however</w:t>
      </w:r>
      <w:r w:rsidR="002130A5" w:rsidRPr="006F3D9D">
        <w:rPr>
          <w:rFonts w:ascii="Arial" w:hAnsi="Arial" w:cs="Arial"/>
          <w:sz w:val="24"/>
          <w:szCs w:val="24"/>
          <w:lang w:eastAsia="x-none"/>
        </w:rPr>
        <w:t xml:space="preserve"> </w:t>
      </w:r>
      <w:r w:rsidR="00B53574">
        <w:rPr>
          <w:rFonts w:ascii="Arial" w:hAnsi="Arial" w:cs="Arial"/>
          <w:sz w:val="24"/>
          <w:szCs w:val="24"/>
          <w:lang w:eastAsia="x-none"/>
        </w:rPr>
        <w:t xml:space="preserve">for </w:t>
      </w:r>
      <w:r w:rsidR="002130A5" w:rsidRPr="006F3D9D">
        <w:rPr>
          <w:rFonts w:ascii="Arial" w:hAnsi="Arial" w:cs="Arial"/>
          <w:sz w:val="24"/>
          <w:szCs w:val="24"/>
          <w:lang w:eastAsia="x-none"/>
        </w:rPr>
        <w:t>an order not limited to N$ 20 000,00 and</w:t>
      </w:r>
      <w:r w:rsidR="00A433DA">
        <w:rPr>
          <w:rFonts w:ascii="Arial" w:hAnsi="Arial" w:cs="Arial"/>
          <w:sz w:val="24"/>
          <w:szCs w:val="24"/>
          <w:lang w:eastAsia="x-none"/>
        </w:rPr>
        <w:t xml:space="preserve"> it requested that such order also include</w:t>
      </w:r>
      <w:r w:rsidR="002130A5" w:rsidRPr="006F3D9D">
        <w:rPr>
          <w:rFonts w:ascii="Arial" w:hAnsi="Arial" w:cs="Arial"/>
          <w:sz w:val="24"/>
          <w:szCs w:val="24"/>
          <w:lang w:eastAsia="x-none"/>
        </w:rPr>
        <w:t xml:space="preserve"> the costs of one instructing- and two instructed counsel, where so engaged. The answering affidavit filed on behalf of the first respondent does not contain a costs prayer or an indication what the first respondent’s stance on this would be</w:t>
      </w:r>
      <w:r w:rsidR="001537C4" w:rsidRPr="006F3D9D">
        <w:rPr>
          <w:rFonts w:ascii="Arial" w:hAnsi="Arial" w:cs="Arial"/>
          <w:sz w:val="24"/>
          <w:szCs w:val="24"/>
          <w:lang w:eastAsia="x-none"/>
        </w:rPr>
        <w:t>.</w:t>
      </w:r>
    </w:p>
    <w:p w:rsidR="001537C4" w:rsidRPr="006F3D9D" w:rsidRDefault="001537C4" w:rsidP="006F3D9D">
      <w:pPr>
        <w:spacing w:after="0" w:line="360" w:lineRule="auto"/>
        <w:jc w:val="both"/>
        <w:rPr>
          <w:rFonts w:ascii="Arial" w:hAnsi="Arial" w:cs="Arial"/>
          <w:sz w:val="24"/>
          <w:szCs w:val="24"/>
          <w:lang w:eastAsia="x-none"/>
        </w:rPr>
      </w:pPr>
    </w:p>
    <w:p w:rsidR="001537C4" w:rsidRPr="006F3D9D" w:rsidRDefault="001537C4" w:rsidP="006F3D9D">
      <w:pPr>
        <w:spacing w:after="0" w:line="360" w:lineRule="auto"/>
        <w:jc w:val="both"/>
        <w:rPr>
          <w:rFonts w:ascii="Arial" w:hAnsi="Arial" w:cs="Arial"/>
          <w:sz w:val="24"/>
          <w:szCs w:val="24"/>
          <w:lang w:eastAsia="x-none"/>
        </w:rPr>
      </w:pPr>
      <w:r w:rsidRPr="006F3D9D">
        <w:rPr>
          <w:rFonts w:ascii="Arial" w:hAnsi="Arial" w:cs="Arial"/>
          <w:sz w:val="24"/>
          <w:szCs w:val="24"/>
          <w:lang w:eastAsia="x-none"/>
        </w:rPr>
        <w:lastRenderedPageBreak/>
        <w:t>[</w:t>
      </w:r>
      <w:r w:rsidR="006F3D9D">
        <w:rPr>
          <w:rFonts w:ascii="Arial" w:hAnsi="Arial" w:cs="Arial"/>
          <w:sz w:val="24"/>
          <w:szCs w:val="24"/>
          <w:lang w:eastAsia="x-none"/>
        </w:rPr>
        <w:t>6</w:t>
      </w:r>
      <w:r w:rsidR="00AC5F89">
        <w:rPr>
          <w:rFonts w:ascii="Arial" w:hAnsi="Arial" w:cs="Arial"/>
          <w:sz w:val="24"/>
          <w:szCs w:val="24"/>
          <w:lang w:eastAsia="x-none"/>
        </w:rPr>
        <w:t>4</w:t>
      </w:r>
      <w:r w:rsidRPr="006F3D9D">
        <w:rPr>
          <w:rFonts w:ascii="Arial" w:hAnsi="Arial" w:cs="Arial"/>
          <w:sz w:val="24"/>
          <w:szCs w:val="24"/>
          <w:lang w:eastAsia="x-none"/>
        </w:rPr>
        <w:t>]</w:t>
      </w:r>
      <w:r w:rsidRPr="006F3D9D">
        <w:rPr>
          <w:rFonts w:ascii="Arial" w:hAnsi="Arial" w:cs="Arial"/>
          <w:sz w:val="24"/>
          <w:szCs w:val="24"/>
          <w:lang w:eastAsia="x-none"/>
        </w:rPr>
        <w:tab/>
        <w:t>I am</w:t>
      </w:r>
      <w:r w:rsidR="00386D2F" w:rsidRPr="006F3D9D">
        <w:rPr>
          <w:rFonts w:ascii="Arial" w:hAnsi="Arial" w:cs="Arial"/>
          <w:sz w:val="24"/>
          <w:szCs w:val="24"/>
          <w:lang w:eastAsia="x-none"/>
        </w:rPr>
        <w:t xml:space="preserve"> however</w:t>
      </w:r>
      <w:r w:rsidRPr="006F3D9D">
        <w:rPr>
          <w:rFonts w:ascii="Arial" w:hAnsi="Arial" w:cs="Arial"/>
          <w:sz w:val="24"/>
          <w:szCs w:val="24"/>
          <w:lang w:eastAsia="x-none"/>
        </w:rPr>
        <w:t xml:space="preserve"> inclined to grant the costs order as sought by the applicants. Not only did this matter engage important legal principles breaking new ground in our jurisprudence, thus warranting the engagement of two instructed counsel</w:t>
      </w:r>
      <w:r w:rsidR="00386D2F" w:rsidRPr="006F3D9D">
        <w:rPr>
          <w:rFonts w:ascii="Arial" w:hAnsi="Arial" w:cs="Arial"/>
          <w:sz w:val="24"/>
          <w:szCs w:val="24"/>
          <w:lang w:eastAsia="x-none"/>
        </w:rPr>
        <w:t xml:space="preserve"> and one instructing counsel</w:t>
      </w:r>
      <w:r w:rsidRPr="006F3D9D">
        <w:rPr>
          <w:rFonts w:ascii="Arial" w:hAnsi="Arial" w:cs="Arial"/>
          <w:sz w:val="24"/>
          <w:szCs w:val="24"/>
          <w:lang w:eastAsia="x-none"/>
        </w:rPr>
        <w:t>, but it has also appeared that both parties have seen it fit, due to the importance of the outcome of the litigation between them, to engage senior and junior counsel</w:t>
      </w:r>
      <w:r w:rsidR="00A433DA">
        <w:rPr>
          <w:rFonts w:ascii="Arial" w:hAnsi="Arial" w:cs="Arial"/>
          <w:sz w:val="24"/>
          <w:szCs w:val="24"/>
          <w:lang w:eastAsia="x-none"/>
        </w:rPr>
        <w:t xml:space="preserve"> in all litigation currently pending between them</w:t>
      </w:r>
      <w:r w:rsidRPr="006F3D9D">
        <w:rPr>
          <w:rFonts w:ascii="Arial" w:hAnsi="Arial" w:cs="Arial"/>
          <w:sz w:val="24"/>
          <w:szCs w:val="24"/>
          <w:lang w:eastAsia="x-none"/>
        </w:rPr>
        <w:t>.</w:t>
      </w:r>
    </w:p>
    <w:p w:rsidR="00496853" w:rsidRPr="006F3D9D" w:rsidRDefault="00496853" w:rsidP="006F3D9D">
      <w:pPr>
        <w:spacing w:after="0" w:line="360" w:lineRule="auto"/>
        <w:jc w:val="both"/>
        <w:rPr>
          <w:rFonts w:ascii="Arial" w:hAnsi="Arial" w:cs="Arial"/>
          <w:sz w:val="24"/>
          <w:szCs w:val="24"/>
        </w:rPr>
      </w:pPr>
    </w:p>
    <w:p w:rsidR="00496853" w:rsidRPr="006F3D9D" w:rsidRDefault="002E5B6C" w:rsidP="006F3D9D">
      <w:pPr>
        <w:spacing w:after="0" w:line="360" w:lineRule="auto"/>
        <w:jc w:val="both"/>
        <w:rPr>
          <w:rFonts w:ascii="Arial" w:hAnsi="Arial" w:cs="Arial"/>
          <w:sz w:val="24"/>
          <w:szCs w:val="24"/>
          <w:u w:val="single"/>
        </w:rPr>
      </w:pPr>
      <w:r w:rsidRPr="006F3D9D">
        <w:rPr>
          <w:rFonts w:ascii="Arial" w:hAnsi="Arial" w:cs="Arial"/>
          <w:sz w:val="24"/>
          <w:szCs w:val="24"/>
          <w:u w:val="single"/>
        </w:rPr>
        <w:t>Conclusion</w:t>
      </w:r>
    </w:p>
    <w:p w:rsidR="002E5B6C" w:rsidRPr="006F3D9D" w:rsidRDefault="002E5B6C" w:rsidP="006F3D9D">
      <w:pPr>
        <w:spacing w:after="0" w:line="360" w:lineRule="auto"/>
        <w:jc w:val="both"/>
        <w:rPr>
          <w:rFonts w:ascii="Arial" w:hAnsi="Arial" w:cs="Arial"/>
          <w:sz w:val="24"/>
          <w:szCs w:val="24"/>
          <w:u w:val="single"/>
        </w:rPr>
      </w:pPr>
    </w:p>
    <w:p w:rsidR="002E5B6C" w:rsidRPr="006F3D9D" w:rsidRDefault="002E5B6C" w:rsidP="006F3D9D">
      <w:pPr>
        <w:spacing w:after="0" w:line="360" w:lineRule="auto"/>
        <w:jc w:val="both"/>
        <w:rPr>
          <w:rFonts w:ascii="Arial" w:hAnsi="Arial" w:cs="Arial"/>
          <w:sz w:val="24"/>
          <w:szCs w:val="24"/>
        </w:rPr>
      </w:pPr>
      <w:r w:rsidRPr="006F3D9D">
        <w:rPr>
          <w:rFonts w:ascii="Arial" w:hAnsi="Arial" w:cs="Arial"/>
          <w:sz w:val="24"/>
          <w:szCs w:val="24"/>
        </w:rPr>
        <w:t>[</w:t>
      </w:r>
      <w:r w:rsidR="006F3D9D">
        <w:rPr>
          <w:rFonts w:ascii="Arial" w:hAnsi="Arial" w:cs="Arial"/>
          <w:sz w:val="24"/>
          <w:szCs w:val="24"/>
        </w:rPr>
        <w:t>6</w:t>
      </w:r>
      <w:r w:rsidR="00AC5F89">
        <w:rPr>
          <w:rFonts w:ascii="Arial" w:hAnsi="Arial" w:cs="Arial"/>
          <w:sz w:val="24"/>
          <w:szCs w:val="24"/>
        </w:rPr>
        <w:t>5</w:t>
      </w:r>
      <w:r w:rsidRPr="006F3D9D">
        <w:rPr>
          <w:rFonts w:ascii="Arial" w:hAnsi="Arial" w:cs="Arial"/>
          <w:sz w:val="24"/>
          <w:szCs w:val="24"/>
        </w:rPr>
        <w:t>]</w:t>
      </w:r>
      <w:r w:rsidRPr="006F3D9D">
        <w:rPr>
          <w:rFonts w:ascii="Arial" w:hAnsi="Arial" w:cs="Arial"/>
          <w:sz w:val="24"/>
          <w:szCs w:val="24"/>
        </w:rPr>
        <w:tab/>
        <w:t xml:space="preserve">In the result I make the following orders: </w:t>
      </w:r>
    </w:p>
    <w:p w:rsidR="00496853" w:rsidRPr="006F3D9D" w:rsidRDefault="00496853" w:rsidP="006F3D9D">
      <w:pPr>
        <w:spacing w:after="0" w:line="360" w:lineRule="auto"/>
        <w:jc w:val="both"/>
        <w:rPr>
          <w:rFonts w:ascii="Arial" w:hAnsi="Arial" w:cs="Arial"/>
          <w:sz w:val="24"/>
          <w:szCs w:val="24"/>
        </w:rPr>
      </w:pPr>
    </w:p>
    <w:p w:rsidR="00496853" w:rsidRPr="006F3D9D" w:rsidRDefault="00486CB4" w:rsidP="0024038D">
      <w:pPr>
        <w:pStyle w:val="ListParagraph"/>
        <w:numPr>
          <w:ilvl w:val="0"/>
          <w:numId w:val="20"/>
        </w:numPr>
        <w:spacing w:line="360" w:lineRule="auto"/>
        <w:ind w:hanging="720"/>
        <w:jc w:val="both"/>
        <w:rPr>
          <w:rFonts w:cs="Arial"/>
        </w:rPr>
      </w:pPr>
      <w:r w:rsidRPr="006F3D9D">
        <w:rPr>
          <w:rFonts w:cs="Arial"/>
        </w:rPr>
        <w:t>Prayers</w:t>
      </w:r>
      <w:r w:rsidR="00BD27ED" w:rsidRPr="006F3D9D">
        <w:rPr>
          <w:rFonts w:cs="Arial"/>
        </w:rPr>
        <w:t xml:space="preserve"> </w:t>
      </w:r>
      <w:r w:rsidR="00BD27ED" w:rsidRPr="006F3D9D">
        <w:rPr>
          <w:rFonts w:cs="Arial"/>
          <w:color w:val="000000" w:themeColor="text1"/>
        </w:rPr>
        <w:t>1.1, 1.2, 1.3. 1.4, 1.5,</w:t>
      </w:r>
      <w:r w:rsidR="00D2105E" w:rsidRPr="006F3D9D">
        <w:rPr>
          <w:rFonts w:cs="Arial"/>
          <w:color w:val="000000" w:themeColor="text1"/>
        </w:rPr>
        <w:t xml:space="preserve"> </w:t>
      </w:r>
      <w:r w:rsidR="00BD27ED" w:rsidRPr="006F3D9D">
        <w:rPr>
          <w:rFonts w:cs="Arial"/>
          <w:color w:val="000000" w:themeColor="text1"/>
        </w:rPr>
        <w:t xml:space="preserve"> 1.7, 1.8, 1.9, 1.10,</w:t>
      </w:r>
      <w:r w:rsidR="00B32ACD" w:rsidRPr="006F3D9D">
        <w:rPr>
          <w:rFonts w:cs="Arial"/>
          <w:color w:val="000000" w:themeColor="text1"/>
        </w:rPr>
        <w:t xml:space="preserve"> </w:t>
      </w:r>
      <w:r w:rsidR="00BD27ED" w:rsidRPr="006F3D9D">
        <w:rPr>
          <w:rFonts w:cs="Arial"/>
          <w:color w:val="000000" w:themeColor="text1"/>
        </w:rPr>
        <w:t xml:space="preserve">1.11 </w:t>
      </w:r>
      <w:r w:rsidR="00BD27ED" w:rsidRPr="006F3D9D">
        <w:rPr>
          <w:rFonts w:cs="Arial"/>
        </w:rPr>
        <w:t>and 1.12 of the Notice of Motion</w:t>
      </w:r>
      <w:r w:rsidR="00386D2F" w:rsidRPr="006F3D9D">
        <w:rPr>
          <w:rFonts w:cs="Arial"/>
        </w:rPr>
        <w:t>,</w:t>
      </w:r>
      <w:r w:rsidR="00BD27ED" w:rsidRPr="006F3D9D">
        <w:rPr>
          <w:rFonts w:cs="Arial"/>
        </w:rPr>
        <w:t xml:space="preserve"> date</w:t>
      </w:r>
      <w:r w:rsidR="00D2105E" w:rsidRPr="006F3D9D">
        <w:rPr>
          <w:rFonts w:cs="Arial"/>
        </w:rPr>
        <w:t>d</w:t>
      </w:r>
      <w:r w:rsidR="00BD27ED" w:rsidRPr="006F3D9D">
        <w:rPr>
          <w:rFonts w:cs="Arial"/>
        </w:rPr>
        <w:t xml:space="preserve"> 5 March 2019</w:t>
      </w:r>
      <w:r w:rsidR="00386D2F" w:rsidRPr="006F3D9D">
        <w:rPr>
          <w:rFonts w:cs="Arial"/>
        </w:rPr>
        <w:t>,</w:t>
      </w:r>
      <w:r w:rsidR="00BD27ED" w:rsidRPr="006F3D9D">
        <w:rPr>
          <w:rFonts w:cs="Arial"/>
        </w:rPr>
        <w:t xml:space="preserve"> are hereby granted</w:t>
      </w:r>
    </w:p>
    <w:p w:rsidR="00D2105E" w:rsidRPr="006F3D9D" w:rsidRDefault="00D2105E" w:rsidP="006F3D9D">
      <w:pPr>
        <w:pStyle w:val="ListParagraph"/>
        <w:spacing w:line="360" w:lineRule="auto"/>
        <w:ind w:left="0"/>
        <w:jc w:val="both"/>
        <w:rPr>
          <w:rFonts w:cs="Arial"/>
        </w:rPr>
      </w:pPr>
    </w:p>
    <w:p w:rsidR="00D2105E" w:rsidRPr="006F3D9D" w:rsidRDefault="00D2105E" w:rsidP="0024038D">
      <w:pPr>
        <w:pStyle w:val="ListParagraph"/>
        <w:numPr>
          <w:ilvl w:val="0"/>
          <w:numId w:val="20"/>
        </w:numPr>
        <w:spacing w:line="360" w:lineRule="auto"/>
        <w:ind w:left="709" w:hanging="709"/>
        <w:jc w:val="both"/>
        <w:rPr>
          <w:rFonts w:cs="Arial"/>
        </w:rPr>
      </w:pPr>
      <w:r w:rsidRPr="006F3D9D">
        <w:rPr>
          <w:rFonts w:cs="Arial"/>
        </w:rPr>
        <w:t>The request made in paragraph 1.6 of the Notice of Motion</w:t>
      </w:r>
      <w:r w:rsidR="00386D2F" w:rsidRPr="006F3D9D">
        <w:rPr>
          <w:rFonts w:cs="Arial"/>
        </w:rPr>
        <w:t>,</w:t>
      </w:r>
      <w:r w:rsidRPr="006F3D9D">
        <w:rPr>
          <w:rFonts w:cs="Arial"/>
        </w:rPr>
        <w:t xml:space="preserve"> dated 5 March 2019</w:t>
      </w:r>
      <w:r w:rsidR="00386D2F" w:rsidRPr="006F3D9D">
        <w:rPr>
          <w:rFonts w:cs="Arial"/>
        </w:rPr>
        <w:t>,</w:t>
      </w:r>
      <w:r w:rsidRPr="006F3D9D">
        <w:rPr>
          <w:rFonts w:cs="Arial"/>
        </w:rPr>
        <w:t xml:space="preserve"> is refused.</w:t>
      </w:r>
    </w:p>
    <w:p w:rsidR="00E131D7" w:rsidRPr="006F3D9D" w:rsidRDefault="00E131D7" w:rsidP="006F3D9D">
      <w:pPr>
        <w:pStyle w:val="ListParagraph"/>
        <w:spacing w:line="360" w:lineRule="auto"/>
        <w:ind w:left="0"/>
        <w:jc w:val="both"/>
        <w:rPr>
          <w:rFonts w:cs="Arial"/>
        </w:rPr>
      </w:pPr>
    </w:p>
    <w:p w:rsidR="0017715C" w:rsidRDefault="00B144B7" w:rsidP="00B144B7">
      <w:pPr>
        <w:pStyle w:val="ListParagraph"/>
        <w:numPr>
          <w:ilvl w:val="0"/>
          <w:numId w:val="20"/>
        </w:numPr>
        <w:spacing w:line="360" w:lineRule="auto"/>
        <w:ind w:hanging="720"/>
        <w:jc w:val="both"/>
        <w:rPr>
          <w:rFonts w:cs="Arial"/>
        </w:rPr>
      </w:pPr>
      <w:r w:rsidRPr="00B144B7">
        <w:rPr>
          <w:rFonts w:cs="Arial"/>
        </w:rPr>
        <w:t>The request made in paragraph 1.13 of the Notice of Motion, dated 5 March 2019, is hereby granted in part and is limited to those documents evidencing compliance with Section 12 of the Namibia National Insurance Corporation Act, Act 22 of 1998 relevant to any NamibRe Board meetings convened for the taking of resolutions regarding the implementation or enforcement or giving effect to  Sections 39(5) and (8), and 43(2) of the said NamibRe Act;</w:t>
      </w:r>
    </w:p>
    <w:p w:rsidR="00B144B7" w:rsidRPr="006F3D9D" w:rsidRDefault="00B144B7" w:rsidP="00B144B7">
      <w:pPr>
        <w:pStyle w:val="ListParagraph"/>
        <w:spacing w:line="360" w:lineRule="auto"/>
        <w:jc w:val="both"/>
        <w:rPr>
          <w:rFonts w:cs="Arial"/>
        </w:rPr>
      </w:pPr>
    </w:p>
    <w:p w:rsidR="00B32ACD" w:rsidRDefault="00B144B7" w:rsidP="00B144B7">
      <w:pPr>
        <w:pStyle w:val="ListParagraph"/>
        <w:numPr>
          <w:ilvl w:val="0"/>
          <w:numId w:val="20"/>
        </w:numPr>
        <w:spacing w:line="360" w:lineRule="auto"/>
        <w:ind w:hanging="720"/>
        <w:jc w:val="both"/>
        <w:rPr>
          <w:rFonts w:cs="Arial"/>
        </w:rPr>
      </w:pPr>
      <w:r w:rsidRPr="00B144B7">
        <w:rPr>
          <w:rFonts w:cs="Arial"/>
        </w:rPr>
        <w:t>This Order is limited to the production of those documents in the First Respondent’s actual possession or under his control, alternatively to those documents which are in the possession or under the control of officials within the First Respondent’s Ministry and in any event this order is to apply also to all those documents/materials which the Minister’s may be able to obtain by virtue of the powers vested in his office;</w:t>
      </w:r>
    </w:p>
    <w:p w:rsidR="00B144B7" w:rsidRPr="006F3D9D" w:rsidRDefault="00B144B7" w:rsidP="00B144B7">
      <w:pPr>
        <w:pStyle w:val="ListParagraph"/>
        <w:spacing w:line="360" w:lineRule="auto"/>
        <w:jc w:val="both"/>
        <w:rPr>
          <w:rFonts w:cs="Arial"/>
        </w:rPr>
      </w:pPr>
    </w:p>
    <w:p w:rsidR="00B32ACD" w:rsidRPr="006F3D9D" w:rsidRDefault="001537C4" w:rsidP="0024038D">
      <w:pPr>
        <w:pStyle w:val="ListParagraph"/>
        <w:numPr>
          <w:ilvl w:val="0"/>
          <w:numId w:val="20"/>
        </w:numPr>
        <w:spacing w:line="360" w:lineRule="auto"/>
        <w:ind w:left="709" w:hanging="709"/>
        <w:jc w:val="both"/>
        <w:rPr>
          <w:rFonts w:cs="Arial"/>
        </w:rPr>
      </w:pPr>
      <w:r w:rsidRPr="006F3D9D">
        <w:rPr>
          <w:rFonts w:cs="Arial"/>
        </w:rPr>
        <w:t>Prayer</w:t>
      </w:r>
      <w:r w:rsidR="00486CB4" w:rsidRPr="006F3D9D">
        <w:rPr>
          <w:rFonts w:cs="Arial"/>
        </w:rPr>
        <w:t>s 2, 3 and</w:t>
      </w:r>
      <w:r w:rsidRPr="006F3D9D">
        <w:rPr>
          <w:rFonts w:cs="Arial"/>
        </w:rPr>
        <w:t xml:space="preserve"> 4 of the Notice of Motion</w:t>
      </w:r>
      <w:r w:rsidR="00486CB4" w:rsidRPr="006F3D9D">
        <w:rPr>
          <w:rFonts w:cs="Arial"/>
        </w:rPr>
        <w:t>,</w:t>
      </w:r>
      <w:r w:rsidRPr="006F3D9D">
        <w:rPr>
          <w:rFonts w:cs="Arial"/>
        </w:rPr>
        <w:t xml:space="preserve"> dated</w:t>
      </w:r>
      <w:r w:rsidR="00486CB4" w:rsidRPr="006F3D9D">
        <w:rPr>
          <w:rFonts w:cs="Arial"/>
        </w:rPr>
        <w:t xml:space="preserve"> 5 March 2019, are</w:t>
      </w:r>
      <w:r w:rsidRPr="006F3D9D">
        <w:rPr>
          <w:rFonts w:cs="Arial"/>
        </w:rPr>
        <w:t xml:space="preserve"> also granted.</w:t>
      </w:r>
    </w:p>
    <w:p w:rsidR="001537C4" w:rsidRPr="006F3D9D" w:rsidRDefault="001537C4" w:rsidP="006F3D9D">
      <w:pPr>
        <w:pStyle w:val="ListParagraph"/>
        <w:spacing w:line="360" w:lineRule="auto"/>
        <w:ind w:left="0"/>
        <w:rPr>
          <w:rFonts w:cs="Arial"/>
        </w:rPr>
      </w:pPr>
    </w:p>
    <w:p w:rsidR="001537C4" w:rsidRPr="006F3D9D" w:rsidRDefault="001537C4" w:rsidP="0024038D">
      <w:pPr>
        <w:pStyle w:val="ListParagraph"/>
        <w:numPr>
          <w:ilvl w:val="0"/>
          <w:numId w:val="20"/>
        </w:numPr>
        <w:spacing w:line="360" w:lineRule="auto"/>
        <w:ind w:left="0" w:firstLine="0"/>
        <w:jc w:val="both"/>
        <w:rPr>
          <w:rFonts w:cs="Arial"/>
        </w:rPr>
      </w:pPr>
      <w:r w:rsidRPr="006F3D9D">
        <w:rPr>
          <w:rFonts w:cs="Arial"/>
        </w:rPr>
        <w:t>The case is postponed to</w:t>
      </w:r>
      <w:r w:rsidR="00C95085" w:rsidRPr="006F3D9D">
        <w:rPr>
          <w:rFonts w:cs="Arial"/>
        </w:rPr>
        <w:t xml:space="preserve"> 19 February 2020 at 08h30 for a Status Hearing.</w:t>
      </w:r>
    </w:p>
    <w:p w:rsidR="00C95085" w:rsidRPr="006F3D9D" w:rsidRDefault="00C95085" w:rsidP="006F3D9D">
      <w:pPr>
        <w:pStyle w:val="ListParagraph"/>
        <w:spacing w:line="360" w:lineRule="auto"/>
        <w:ind w:left="0"/>
        <w:rPr>
          <w:rFonts w:cs="Arial"/>
        </w:rPr>
      </w:pPr>
    </w:p>
    <w:p w:rsidR="00F96987" w:rsidRDefault="00C95085" w:rsidP="0024038D">
      <w:pPr>
        <w:pStyle w:val="ListParagraph"/>
        <w:numPr>
          <w:ilvl w:val="0"/>
          <w:numId w:val="20"/>
        </w:numPr>
        <w:spacing w:line="360" w:lineRule="auto"/>
        <w:ind w:left="709" w:hanging="709"/>
        <w:jc w:val="both"/>
        <w:rPr>
          <w:rFonts w:cs="Arial"/>
        </w:rPr>
      </w:pPr>
      <w:r w:rsidRPr="006F3D9D">
        <w:rPr>
          <w:rFonts w:cs="Arial"/>
        </w:rPr>
        <w:t>The parties are to file a joint status report indicating their proposals on the way forward.</w:t>
      </w:r>
    </w:p>
    <w:p w:rsidR="0024038D" w:rsidRPr="0024038D" w:rsidRDefault="0024038D" w:rsidP="0024038D">
      <w:pPr>
        <w:pStyle w:val="ListParagraph"/>
        <w:rPr>
          <w:rFonts w:cs="Arial"/>
        </w:rPr>
      </w:pPr>
    </w:p>
    <w:p w:rsidR="0024038D" w:rsidRPr="006F3D9D" w:rsidRDefault="0024038D" w:rsidP="0024038D">
      <w:pPr>
        <w:pStyle w:val="ListParagraph"/>
        <w:spacing w:line="360" w:lineRule="auto"/>
        <w:ind w:left="709"/>
        <w:jc w:val="both"/>
        <w:rPr>
          <w:rFonts w:cs="Arial"/>
        </w:rPr>
      </w:pPr>
    </w:p>
    <w:p w:rsidR="000774ED" w:rsidRPr="006F3D9D" w:rsidRDefault="000774ED" w:rsidP="006F3D9D">
      <w:pPr>
        <w:spacing w:after="0" w:line="360" w:lineRule="auto"/>
        <w:jc w:val="both"/>
        <w:rPr>
          <w:rFonts w:asciiTheme="minorHAnsi" w:eastAsiaTheme="minorHAnsi" w:hAnsiTheme="minorHAnsi" w:cstheme="minorBidi"/>
          <w:b/>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F96987" w:rsidRDefault="00F96987" w:rsidP="001B7E1F">
      <w:pPr>
        <w:pStyle w:val="BodyText"/>
        <w:autoSpaceDE w:val="0"/>
        <w:autoSpaceDN w:val="0"/>
        <w:adjustRightInd w:val="0"/>
        <w:spacing w:line="360" w:lineRule="auto"/>
        <w:jc w:val="both"/>
        <w:rPr>
          <w:rFonts w:ascii="Arial" w:hAnsi="Arial" w:cs="Arial"/>
        </w:rPr>
      </w:pPr>
    </w:p>
    <w:p w:rsidR="003A05B0" w:rsidRDefault="003A05B0" w:rsidP="001B7E1F">
      <w:pPr>
        <w:pStyle w:val="BodyText"/>
        <w:autoSpaceDE w:val="0"/>
        <w:autoSpaceDN w:val="0"/>
        <w:adjustRightInd w:val="0"/>
        <w:spacing w:line="360" w:lineRule="auto"/>
        <w:jc w:val="both"/>
        <w:rPr>
          <w:rFonts w:ascii="Arial" w:hAnsi="Arial" w:cs="Arial"/>
        </w:rPr>
      </w:pPr>
    </w:p>
    <w:p w:rsidR="003A05B0" w:rsidRDefault="003A05B0" w:rsidP="001B7E1F">
      <w:pPr>
        <w:pStyle w:val="BodyText"/>
        <w:autoSpaceDE w:val="0"/>
        <w:autoSpaceDN w:val="0"/>
        <w:adjustRightInd w:val="0"/>
        <w:spacing w:line="360" w:lineRule="auto"/>
        <w:jc w:val="both"/>
        <w:rPr>
          <w:rFonts w:ascii="Arial" w:hAnsi="Arial" w:cs="Arial"/>
        </w:rPr>
      </w:pPr>
    </w:p>
    <w:p w:rsidR="003A05B0" w:rsidRDefault="003A05B0" w:rsidP="001B7E1F">
      <w:pPr>
        <w:pStyle w:val="BodyText"/>
        <w:autoSpaceDE w:val="0"/>
        <w:autoSpaceDN w:val="0"/>
        <w:adjustRightInd w:val="0"/>
        <w:spacing w:line="360" w:lineRule="auto"/>
        <w:jc w:val="both"/>
        <w:rPr>
          <w:rFonts w:ascii="Arial" w:hAnsi="Arial" w:cs="Arial"/>
        </w:rPr>
      </w:pPr>
    </w:p>
    <w:p w:rsidR="001B7E1F" w:rsidRPr="00936A1C" w:rsidRDefault="00F96987" w:rsidP="001B7E1F">
      <w:pPr>
        <w:pStyle w:val="BodyText"/>
        <w:autoSpaceDE w:val="0"/>
        <w:autoSpaceDN w:val="0"/>
        <w:adjustRightInd w:val="0"/>
        <w:spacing w:line="360" w:lineRule="auto"/>
        <w:jc w:val="both"/>
        <w:rPr>
          <w:rFonts w:ascii="Arial" w:hAnsi="Arial" w:cs="Arial"/>
        </w:rPr>
      </w:pPr>
      <w:r>
        <w:rPr>
          <w:rFonts w:ascii="Arial" w:hAnsi="Arial" w:cs="Arial"/>
        </w:rPr>
        <w:t>FOR</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A657F1" w:rsidRDefault="00350CDF" w:rsidP="00DF2B33">
      <w:pPr>
        <w:pStyle w:val="BodyTextIndent"/>
        <w:tabs>
          <w:tab w:val="left" w:pos="1394"/>
          <w:tab w:val="left" w:pos="2528"/>
        </w:tabs>
        <w:spacing w:line="360" w:lineRule="auto"/>
        <w:ind w:left="2528" w:hanging="2528"/>
        <w:jc w:val="both"/>
        <w:rPr>
          <w:rFonts w:ascii="Arial" w:hAnsi="Arial" w:cs="Arial"/>
        </w:rPr>
      </w:pPr>
      <w:r>
        <w:rPr>
          <w:rFonts w:ascii="Arial" w:hAnsi="Arial" w:cs="Arial"/>
        </w:rPr>
        <w:t>1</w:t>
      </w:r>
      <w:r w:rsidRPr="00350CDF">
        <w:rPr>
          <w:rFonts w:ascii="Arial" w:hAnsi="Arial" w:cs="Arial"/>
          <w:vertAlign w:val="superscript"/>
        </w:rPr>
        <w:t>st</w:t>
      </w:r>
      <w:r>
        <w:rPr>
          <w:rFonts w:ascii="Arial" w:hAnsi="Arial" w:cs="Arial"/>
        </w:rPr>
        <w:t xml:space="preserve"> and 2</w:t>
      </w:r>
      <w:r w:rsidRPr="00350CDF">
        <w:rPr>
          <w:rFonts w:ascii="Arial" w:hAnsi="Arial" w:cs="Arial"/>
          <w:vertAlign w:val="superscript"/>
        </w:rPr>
        <w:t>nd</w:t>
      </w:r>
      <w:r>
        <w:rPr>
          <w:rFonts w:ascii="Arial" w:hAnsi="Arial" w:cs="Arial"/>
        </w:rPr>
        <w:t xml:space="preserve"> </w:t>
      </w:r>
      <w:r w:rsidR="00207EC1">
        <w:rPr>
          <w:rFonts w:ascii="Arial" w:hAnsi="Arial" w:cs="Arial"/>
        </w:rPr>
        <w:t>APPLICANT</w:t>
      </w:r>
      <w:r w:rsidR="005A40DE">
        <w:rPr>
          <w:rFonts w:ascii="Arial" w:hAnsi="Arial" w:cs="Arial"/>
        </w:rPr>
        <w:t>S</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207EC1">
        <w:rPr>
          <w:rFonts w:ascii="Arial" w:hAnsi="Arial" w:cs="Arial"/>
        </w:rPr>
        <w:tab/>
      </w:r>
      <w:r w:rsidR="00225521">
        <w:rPr>
          <w:rFonts w:ascii="Arial" w:hAnsi="Arial" w:cs="Arial"/>
        </w:rPr>
        <w:t>R Heathcote</w:t>
      </w:r>
      <w:r w:rsidR="00677E64">
        <w:rPr>
          <w:rFonts w:ascii="Arial" w:hAnsi="Arial" w:cs="Arial"/>
        </w:rPr>
        <w:t xml:space="preserve"> SC</w:t>
      </w:r>
      <w:r w:rsidR="00A657F1">
        <w:rPr>
          <w:rFonts w:ascii="Arial" w:hAnsi="Arial" w:cs="Arial"/>
        </w:rPr>
        <w:t xml:space="preserve"> (with him </w:t>
      </w:r>
      <w:r w:rsidR="00225521">
        <w:rPr>
          <w:rFonts w:ascii="Arial" w:hAnsi="Arial" w:cs="Arial"/>
        </w:rPr>
        <w:t>R</w:t>
      </w:r>
      <w:r w:rsidR="00A657F1">
        <w:rPr>
          <w:rFonts w:ascii="Arial" w:hAnsi="Arial" w:cs="Arial"/>
        </w:rPr>
        <w:t xml:space="preserve"> </w:t>
      </w:r>
      <w:r w:rsidR="00225521">
        <w:rPr>
          <w:rFonts w:ascii="Arial" w:hAnsi="Arial" w:cs="Arial"/>
        </w:rPr>
        <w:t>Maasdorp</w:t>
      </w:r>
    </w:p>
    <w:p w:rsidR="00DF2B33" w:rsidRDefault="007A2036" w:rsidP="00DF2B3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F4007">
        <w:rPr>
          <w:rFonts w:ascii="Arial" w:hAnsi="Arial" w:cs="Arial"/>
          <w:sz w:val="24"/>
          <w:szCs w:val="24"/>
        </w:rPr>
        <w:tab/>
      </w:r>
      <w:r w:rsidR="00AF4007">
        <w:rPr>
          <w:rFonts w:ascii="Arial" w:hAnsi="Arial" w:cs="Arial"/>
          <w:sz w:val="24"/>
          <w:szCs w:val="24"/>
        </w:rPr>
        <w:tab/>
        <w:t xml:space="preserve">Instructed by </w:t>
      </w:r>
      <w:r w:rsidR="00225521">
        <w:rPr>
          <w:rFonts w:ascii="Arial" w:hAnsi="Arial" w:cs="Arial"/>
          <w:sz w:val="24"/>
          <w:szCs w:val="24"/>
        </w:rPr>
        <w:t>Francois Erasmus</w:t>
      </w:r>
      <w:r w:rsidR="00AF4007" w:rsidRPr="00AF4007">
        <w:rPr>
          <w:rFonts w:ascii="Arial" w:hAnsi="Arial" w:cs="Arial"/>
          <w:sz w:val="24"/>
          <w:szCs w:val="24"/>
        </w:rPr>
        <w:t xml:space="preserve"> &amp; Partners</w:t>
      </w:r>
      <w:r w:rsidR="00AF4007">
        <w:rPr>
          <w:rFonts w:ascii="Arial" w:hAnsi="Arial" w:cs="Arial"/>
          <w:sz w:val="24"/>
          <w:szCs w:val="24"/>
        </w:rPr>
        <w:t>,</w:t>
      </w:r>
      <w:r w:rsidR="00DF2B33">
        <w:rPr>
          <w:rFonts w:ascii="Arial" w:hAnsi="Arial" w:cs="Arial"/>
          <w:sz w:val="24"/>
          <w:szCs w:val="24"/>
        </w:rPr>
        <w:t xml:space="preserve"> </w:t>
      </w:r>
    </w:p>
    <w:p w:rsidR="00350CDF" w:rsidRDefault="00350CDF" w:rsidP="00350CDF">
      <w:pPr>
        <w:spacing w:after="0" w:line="360" w:lineRule="auto"/>
        <w:jc w:val="both"/>
        <w:rPr>
          <w:rFonts w:ascii="Arial" w:hAnsi="Arial" w:cs="Arial"/>
          <w:sz w:val="24"/>
          <w:szCs w:val="24"/>
        </w:rPr>
      </w:pPr>
    </w:p>
    <w:p w:rsidR="00350CDF" w:rsidRDefault="00350CDF" w:rsidP="00350CDF">
      <w:pPr>
        <w:spacing w:after="0" w:line="360" w:lineRule="auto"/>
        <w:jc w:val="both"/>
        <w:rPr>
          <w:rFonts w:ascii="Arial" w:hAnsi="Arial" w:cs="Arial"/>
          <w:sz w:val="24"/>
          <w:szCs w:val="24"/>
        </w:rPr>
      </w:pPr>
      <w:r>
        <w:rPr>
          <w:rFonts w:ascii="Arial" w:hAnsi="Arial" w:cs="Arial"/>
          <w:sz w:val="24"/>
          <w:szCs w:val="24"/>
        </w:rPr>
        <w:t>3</w:t>
      </w:r>
      <w:r w:rsidRPr="00350CDF">
        <w:rPr>
          <w:rFonts w:ascii="Arial" w:hAnsi="Arial" w:cs="Arial"/>
          <w:sz w:val="24"/>
          <w:szCs w:val="24"/>
          <w:vertAlign w:val="superscript"/>
        </w:rPr>
        <w:t>rd</w:t>
      </w:r>
      <w:r>
        <w:rPr>
          <w:rFonts w:ascii="Arial" w:hAnsi="Arial" w:cs="Arial"/>
          <w:sz w:val="24"/>
          <w:szCs w:val="24"/>
        </w:rPr>
        <w:t xml:space="preserve"> – 11</w:t>
      </w:r>
      <w:r w:rsidRPr="00350CDF">
        <w:rPr>
          <w:rFonts w:ascii="Arial" w:hAnsi="Arial" w:cs="Arial"/>
          <w:sz w:val="24"/>
          <w:szCs w:val="24"/>
          <w:vertAlign w:val="superscript"/>
        </w:rPr>
        <w:t>th</w:t>
      </w:r>
      <w:r>
        <w:rPr>
          <w:rFonts w:ascii="Arial" w:hAnsi="Arial" w:cs="Arial"/>
          <w:sz w:val="24"/>
          <w:szCs w:val="24"/>
        </w:rPr>
        <w:t xml:space="preserve"> APPLICANTS:</w:t>
      </w:r>
      <w:r>
        <w:rPr>
          <w:rFonts w:ascii="Arial" w:hAnsi="Arial" w:cs="Arial"/>
          <w:sz w:val="24"/>
          <w:szCs w:val="24"/>
        </w:rPr>
        <w:tab/>
      </w:r>
      <w:r>
        <w:rPr>
          <w:rFonts w:ascii="Arial" w:hAnsi="Arial" w:cs="Arial"/>
          <w:sz w:val="24"/>
          <w:szCs w:val="24"/>
        </w:rPr>
        <w:tab/>
        <w:t>Van der Merwe-Greeff Andima Inc</w:t>
      </w:r>
    </w:p>
    <w:p w:rsidR="00350CDF" w:rsidRDefault="00350CDF" w:rsidP="00350CDF">
      <w:pPr>
        <w:spacing w:after="0" w:line="360" w:lineRule="auto"/>
        <w:jc w:val="both"/>
        <w:rPr>
          <w:rFonts w:ascii="Arial" w:hAnsi="Arial" w:cs="Arial"/>
          <w:sz w:val="24"/>
          <w:szCs w:val="24"/>
        </w:rPr>
      </w:pPr>
    </w:p>
    <w:p w:rsidR="00350CDF" w:rsidRDefault="00350CDF" w:rsidP="00350CDF">
      <w:pPr>
        <w:spacing w:after="0" w:line="360" w:lineRule="auto"/>
        <w:jc w:val="both"/>
        <w:rPr>
          <w:rFonts w:ascii="Arial" w:hAnsi="Arial" w:cs="Arial"/>
          <w:sz w:val="24"/>
          <w:szCs w:val="24"/>
        </w:rPr>
      </w:pPr>
      <w:r>
        <w:rPr>
          <w:rFonts w:ascii="Arial" w:hAnsi="Arial" w:cs="Arial"/>
          <w:sz w:val="24"/>
          <w:szCs w:val="24"/>
        </w:rPr>
        <w:t>12</w:t>
      </w:r>
      <w:r w:rsidRPr="00350CDF">
        <w:rPr>
          <w:rFonts w:ascii="Arial" w:hAnsi="Arial" w:cs="Arial"/>
          <w:sz w:val="24"/>
          <w:szCs w:val="24"/>
          <w:vertAlign w:val="superscript"/>
        </w:rPr>
        <w:t>TH</w:t>
      </w:r>
      <w:r>
        <w:rPr>
          <w:rFonts w:ascii="Arial" w:hAnsi="Arial" w:cs="Arial"/>
          <w:sz w:val="24"/>
          <w:szCs w:val="24"/>
        </w:rPr>
        <w:t xml:space="preserve"> APPLICANTS:</w:t>
      </w:r>
      <w:r>
        <w:rPr>
          <w:rFonts w:ascii="Arial" w:hAnsi="Arial" w:cs="Arial"/>
          <w:sz w:val="24"/>
          <w:szCs w:val="24"/>
        </w:rPr>
        <w:tab/>
      </w:r>
      <w:r>
        <w:rPr>
          <w:rFonts w:ascii="Arial" w:hAnsi="Arial" w:cs="Arial"/>
          <w:sz w:val="24"/>
          <w:szCs w:val="24"/>
        </w:rPr>
        <w:tab/>
      </w:r>
      <w:r>
        <w:rPr>
          <w:rFonts w:ascii="Arial" w:hAnsi="Arial" w:cs="Arial"/>
          <w:sz w:val="24"/>
          <w:szCs w:val="24"/>
        </w:rPr>
        <w:tab/>
        <w:t>Instructed by Engling, Stritter &amp; Partners, Windhoek</w:t>
      </w:r>
    </w:p>
    <w:p w:rsidR="001B7E1F" w:rsidRDefault="001B7E1F" w:rsidP="00DF2B33">
      <w:pPr>
        <w:autoSpaceDE w:val="0"/>
        <w:autoSpaceDN w:val="0"/>
        <w:adjustRightInd w:val="0"/>
        <w:spacing w:after="0" w:line="360" w:lineRule="auto"/>
        <w:ind w:left="3780" w:hanging="3780"/>
        <w:jc w:val="both"/>
        <w:rPr>
          <w:rFonts w:ascii="Arial" w:hAnsi="Arial" w:cs="Arial"/>
          <w:sz w:val="24"/>
          <w:szCs w:val="24"/>
        </w:rPr>
      </w:pPr>
    </w:p>
    <w:p w:rsidR="005A40DE" w:rsidRDefault="00350CDF" w:rsidP="00DF2B33">
      <w:pPr>
        <w:spacing w:after="0" w:line="360" w:lineRule="auto"/>
        <w:jc w:val="both"/>
        <w:rPr>
          <w:rFonts w:ascii="Arial" w:hAnsi="Arial" w:cs="Arial"/>
          <w:bCs/>
          <w:sz w:val="24"/>
          <w:szCs w:val="24"/>
        </w:rPr>
      </w:pPr>
      <w:r>
        <w:rPr>
          <w:rFonts w:ascii="Arial" w:hAnsi="Arial" w:cs="Arial"/>
          <w:sz w:val="24"/>
          <w:szCs w:val="24"/>
        </w:rPr>
        <w:t>1</w:t>
      </w:r>
      <w:r w:rsidRPr="00350CDF">
        <w:rPr>
          <w:rFonts w:ascii="Arial" w:hAnsi="Arial" w:cs="Arial"/>
          <w:sz w:val="24"/>
          <w:szCs w:val="24"/>
          <w:vertAlign w:val="superscript"/>
        </w:rPr>
        <w:t>st</w:t>
      </w:r>
      <w:r>
        <w:rPr>
          <w:rFonts w:ascii="Arial" w:hAnsi="Arial" w:cs="Arial"/>
          <w:sz w:val="24"/>
          <w:szCs w:val="24"/>
        </w:rPr>
        <w:t xml:space="preserve"> </w:t>
      </w:r>
      <w:r w:rsidR="00207EC1" w:rsidRPr="00A657F1">
        <w:rPr>
          <w:rFonts w:ascii="Arial" w:hAnsi="Arial" w:cs="Arial"/>
          <w:sz w:val="24"/>
          <w:szCs w:val="24"/>
        </w:rPr>
        <w:t>RESPONDENT</w:t>
      </w:r>
      <w:r w:rsidR="00E1343E" w:rsidRPr="00A657F1">
        <w:rPr>
          <w:rFonts w:ascii="Arial" w:hAnsi="Arial" w:cs="Arial"/>
          <w:sz w:val="24"/>
          <w:szCs w:val="24"/>
        </w:rPr>
        <w:t>:</w:t>
      </w:r>
      <w:r w:rsidR="00B87DB8" w:rsidRPr="00A657F1">
        <w:rPr>
          <w:rFonts w:ascii="Arial" w:hAnsi="Arial" w:cs="Arial"/>
          <w:sz w:val="24"/>
          <w:szCs w:val="24"/>
        </w:rPr>
        <w:tab/>
      </w:r>
      <w:r w:rsidR="00207EC1">
        <w:rPr>
          <w:rFonts w:ascii="Arial" w:hAnsi="Arial" w:cs="Arial"/>
        </w:rPr>
        <w:tab/>
      </w:r>
      <w:r w:rsidR="00A657F1">
        <w:rPr>
          <w:rFonts w:ascii="Arial" w:hAnsi="Arial" w:cs="Arial"/>
        </w:rPr>
        <w:tab/>
      </w:r>
      <w:r w:rsidR="005A40DE" w:rsidRPr="005A40DE">
        <w:rPr>
          <w:rFonts w:ascii="Arial" w:hAnsi="Arial" w:cs="Arial"/>
          <w:bCs/>
          <w:sz w:val="24"/>
          <w:szCs w:val="24"/>
        </w:rPr>
        <w:t xml:space="preserve">JJ </w:t>
      </w:r>
      <w:r w:rsidR="00DF2B33">
        <w:rPr>
          <w:rFonts w:ascii="Arial" w:hAnsi="Arial" w:cs="Arial"/>
          <w:bCs/>
          <w:sz w:val="24"/>
          <w:szCs w:val="24"/>
        </w:rPr>
        <w:t>G</w:t>
      </w:r>
      <w:r w:rsidR="00DF2B33" w:rsidRPr="005A40DE">
        <w:rPr>
          <w:rFonts w:ascii="Arial" w:hAnsi="Arial" w:cs="Arial"/>
          <w:bCs/>
          <w:sz w:val="24"/>
          <w:szCs w:val="24"/>
        </w:rPr>
        <w:t>auntlett</w:t>
      </w:r>
      <w:r w:rsidR="005A40DE" w:rsidRPr="005A40DE">
        <w:rPr>
          <w:rFonts w:ascii="Arial" w:hAnsi="Arial" w:cs="Arial"/>
          <w:bCs/>
          <w:sz w:val="24"/>
          <w:szCs w:val="24"/>
        </w:rPr>
        <w:t xml:space="preserve"> SC QC</w:t>
      </w:r>
      <w:r w:rsidR="00A657F1" w:rsidRPr="00DE55AF">
        <w:rPr>
          <w:rFonts w:ascii="Arial" w:hAnsi="Arial" w:cs="Arial"/>
          <w:color w:val="000000" w:themeColor="text1"/>
          <w:sz w:val="24"/>
          <w:szCs w:val="24"/>
        </w:rPr>
        <w:t>, with him (</w:t>
      </w:r>
      <w:r w:rsidR="005A40DE" w:rsidRPr="005A40DE">
        <w:rPr>
          <w:rFonts w:ascii="Arial" w:hAnsi="Arial" w:cs="Arial"/>
          <w:bCs/>
          <w:sz w:val="24"/>
          <w:szCs w:val="24"/>
        </w:rPr>
        <w:t>L C K</w:t>
      </w:r>
      <w:r w:rsidR="00DF2B33" w:rsidRPr="005A40DE">
        <w:rPr>
          <w:rFonts w:ascii="Arial" w:hAnsi="Arial" w:cs="Arial"/>
          <w:bCs/>
          <w:sz w:val="24"/>
          <w:szCs w:val="24"/>
        </w:rPr>
        <w:t>elly</w:t>
      </w:r>
    </w:p>
    <w:p w:rsidR="005A40DE" w:rsidRPr="00C705A7" w:rsidRDefault="005A40DE" w:rsidP="00DF2B33">
      <w:pPr>
        <w:spacing w:after="0" w:line="360" w:lineRule="auto"/>
        <w:ind w:left="2880" w:firstLine="720"/>
        <w:jc w:val="both"/>
        <w:rPr>
          <w:rFonts w:ascii="Arial" w:hAnsi="Arial" w:cs="Arial"/>
          <w:b/>
          <w:bCs/>
        </w:rPr>
      </w:pPr>
      <w:r>
        <w:rPr>
          <w:rFonts w:ascii="Arial" w:hAnsi="Arial" w:cs="Arial"/>
          <w:color w:val="000000" w:themeColor="text1"/>
          <w:sz w:val="24"/>
          <w:szCs w:val="24"/>
        </w:rPr>
        <w:t xml:space="preserve">&amp; </w:t>
      </w:r>
      <w:r w:rsidR="00350CDF">
        <w:rPr>
          <w:rFonts w:ascii="Arial" w:hAnsi="Arial" w:cs="Arial"/>
          <w:bCs/>
          <w:sz w:val="24"/>
          <w:szCs w:val="24"/>
        </w:rPr>
        <w:t>E Nekwaya</w:t>
      </w:r>
      <w:r>
        <w:rPr>
          <w:rFonts w:ascii="Arial" w:hAnsi="Arial" w:cs="Arial"/>
          <w:bCs/>
          <w:sz w:val="24"/>
          <w:szCs w:val="24"/>
        </w:rPr>
        <w:t>)</w:t>
      </w:r>
    </w:p>
    <w:p w:rsidR="00350CDF" w:rsidRDefault="00167074" w:rsidP="00DF2B33">
      <w:pPr>
        <w:pStyle w:val="BodyTextIndent"/>
        <w:tabs>
          <w:tab w:val="left" w:pos="1394"/>
          <w:tab w:val="left" w:pos="2528"/>
        </w:tabs>
        <w:spacing w:line="360" w:lineRule="auto"/>
        <w:ind w:left="3600" w:hanging="2528"/>
        <w:jc w:val="both"/>
        <w:rPr>
          <w:rFonts w:ascii="Arial" w:hAnsi="Arial" w:cs="Arial"/>
          <w:color w:val="000000" w:themeColor="text1"/>
        </w:rPr>
      </w:pPr>
      <w:r w:rsidRPr="00DE55AF">
        <w:rPr>
          <w:rFonts w:ascii="Arial" w:hAnsi="Arial" w:cs="Arial"/>
          <w:color w:val="000000" w:themeColor="text1"/>
        </w:rPr>
        <w:tab/>
      </w:r>
      <w:r w:rsidRPr="00DE55AF">
        <w:rPr>
          <w:rFonts w:ascii="Arial" w:hAnsi="Arial" w:cs="Arial"/>
          <w:color w:val="000000" w:themeColor="text1"/>
        </w:rPr>
        <w:tab/>
      </w:r>
      <w:r w:rsidRPr="00DE55AF">
        <w:rPr>
          <w:rFonts w:ascii="Arial" w:hAnsi="Arial" w:cs="Arial"/>
          <w:color w:val="000000" w:themeColor="text1"/>
        </w:rPr>
        <w:tab/>
      </w:r>
      <w:r w:rsidR="00AF4007" w:rsidRPr="00DE55AF">
        <w:rPr>
          <w:rFonts w:ascii="Arial" w:hAnsi="Arial" w:cs="Arial"/>
          <w:color w:val="000000" w:themeColor="text1"/>
        </w:rPr>
        <w:t xml:space="preserve">Instructed by </w:t>
      </w:r>
      <w:r w:rsidR="004B42FC">
        <w:rPr>
          <w:rFonts w:ascii="Arial" w:hAnsi="Arial" w:cs="Arial"/>
          <w:color w:val="000000" w:themeColor="text1"/>
        </w:rPr>
        <w:t>Government Attorney</w:t>
      </w:r>
      <w:r w:rsidR="00AF4007" w:rsidRPr="00DE55AF">
        <w:rPr>
          <w:rFonts w:ascii="Arial" w:hAnsi="Arial" w:cs="Arial"/>
          <w:color w:val="000000" w:themeColor="text1"/>
        </w:rPr>
        <w:t>,</w:t>
      </w:r>
      <w:r w:rsidR="00DF2B33">
        <w:rPr>
          <w:rFonts w:ascii="Arial" w:hAnsi="Arial" w:cs="Arial"/>
          <w:color w:val="000000" w:themeColor="text1"/>
        </w:rPr>
        <w:t xml:space="preserve"> </w:t>
      </w:r>
      <w:r w:rsidR="00AF4007" w:rsidRPr="00DE55AF">
        <w:rPr>
          <w:rFonts w:ascii="Arial" w:hAnsi="Arial" w:cs="Arial"/>
          <w:color w:val="000000" w:themeColor="text1"/>
        </w:rPr>
        <w:t>Windhoek</w:t>
      </w:r>
    </w:p>
    <w:p w:rsidR="00350CDF" w:rsidRDefault="00350CDF" w:rsidP="00350CDF">
      <w:pPr>
        <w:pStyle w:val="BodyTextIndent"/>
        <w:tabs>
          <w:tab w:val="left" w:pos="1394"/>
          <w:tab w:val="left" w:pos="2528"/>
        </w:tabs>
        <w:spacing w:line="360" w:lineRule="auto"/>
        <w:ind w:left="0"/>
        <w:jc w:val="both"/>
        <w:rPr>
          <w:rFonts w:ascii="Arial" w:hAnsi="Arial" w:cs="Arial"/>
          <w:color w:val="000000" w:themeColor="text1"/>
        </w:rPr>
      </w:pPr>
    </w:p>
    <w:p w:rsidR="00350CDF" w:rsidRDefault="00350CDF" w:rsidP="00350CDF">
      <w:pPr>
        <w:pStyle w:val="BodyTextIndent"/>
        <w:spacing w:line="360" w:lineRule="auto"/>
        <w:ind w:left="0"/>
        <w:jc w:val="both"/>
        <w:rPr>
          <w:rFonts w:ascii="Arial" w:hAnsi="Arial" w:cs="Arial"/>
          <w:color w:val="000000" w:themeColor="text1"/>
        </w:rPr>
      </w:pPr>
      <w:r>
        <w:rPr>
          <w:rFonts w:ascii="Arial" w:hAnsi="Arial" w:cs="Arial"/>
          <w:color w:val="000000" w:themeColor="text1"/>
        </w:rPr>
        <w:t>2</w:t>
      </w:r>
      <w:r w:rsidRPr="00350CDF">
        <w:rPr>
          <w:rFonts w:ascii="Arial" w:hAnsi="Arial" w:cs="Arial"/>
          <w:color w:val="000000" w:themeColor="text1"/>
          <w:vertAlign w:val="superscript"/>
        </w:rPr>
        <w:t>nd</w:t>
      </w:r>
      <w:r>
        <w:rPr>
          <w:rFonts w:ascii="Arial" w:hAnsi="Arial" w:cs="Arial"/>
          <w:color w:val="000000" w:themeColor="text1"/>
        </w:rPr>
        <w:t xml:space="preserve"> RESPONDENT: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 Namandje </w:t>
      </w:r>
    </w:p>
    <w:p w:rsidR="00CE2E4E" w:rsidRDefault="00350CDF" w:rsidP="00350CDF">
      <w:pPr>
        <w:pStyle w:val="BodyTextIndent"/>
        <w:spacing w:line="360" w:lineRule="auto"/>
        <w:ind w:left="0"/>
        <w:jc w:val="both"/>
        <w:rPr>
          <w:rFonts w:ascii="Arial" w:hAnsi="Arial" w:cs="Arial"/>
          <w:b/>
          <w:lang w:eastAsia="en-GB"/>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Sisa Namandje &amp; Co. Inc.</w:t>
      </w:r>
      <w:r w:rsidR="00E463EB" w:rsidRPr="00DE55AF">
        <w:rPr>
          <w:rFonts w:ascii="Arial" w:hAnsi="Arial" w:cs="Arial"/>
          <w:color w:val="000000" w:themeColor="text1"/>
        </w:rPr>
        <w:t xml:space="preserve">  </w:t>
      </w:r>
    </w:p>
    <w:p w:rsidR="00945DCE" w:rsidRDefault="00945DCE" w:rsidP="00901B03">
      <w:pPr>
        <w:pStyle w:val="NoSpacing"/>
      </w:pPr>
    </w:p>
    <w:p w:rsidR="00CE2E4E" w:rsidRDefault="00CE2E4E"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p w:rsidR="00B144B7" w:rsidRDefault="00B144B7" w:rsidP="00901B03">
      <w:pPr>
        <w:pStyle w:val="NoSpacing"/>
      </w:pPr>
    </w:p>
    <w:sectPr w:rsidR="00B144B7"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18" w:rsidRDefault="00432C18" w:rsidP="00741B0B">
      <w:pPr>
        <w:spacing w:after="0" w:line="240" w:lineRule="auto"/>
      </w:pPr>
      <w:r>
        <w:separator/>
      </w:r>
    </w:p>
  </w:endnote>
  <w:endnote w:type="continuationSeparator" w:id="0">
    <w:p w:rsidR="00432C18" w:rsidRDefault="00432C1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18" w:rsidRDefault="00432C18" w:rsidP="00741B0B">
      <w:pPr>
        <w:spacing w:after="0" w:line="240" w:lineRule="auto"/>
      </w:pPr>
      <w:r>
        <w:separator/>
      </w:r>
    </w:p>
  </w:footnote>
  <w:footnote w:type="continuationSeparator" w:id="0">
    <w:p w:rsidR="00432C18" w:rsidRDefault="00432C18" w:rsidP="00741B0B">
      <w:pPr>
        <w:spacing w:after="0" w:line="240" w:lineRule="auto"/>
      </w:pPr>
      <w:r>
        <w:continuationSeparator/>
      </w:r>
    </w:p>
  </w:footnote>
  <w:footnote w:id="1">
    <w:p w:rsidR="000C7948" w:rsidRPr="00233E66" w:rsidRDefault="000C7948" w:rsidP="009352BB">
      <w:pPr>
        <w:pStyle w:val="FootnoteText"/>
        <w:rPr>
          <w:sz w:val="20"/>
          <w:szCs w:val="20"/>
          <w:lang w:val="en-ZA"/>
        </w:rPr>
      </w:pPr>
      <w:r w:rsidRPr="00233E66">
        <w:rPr>
          <w:rStyle w:val="FootnoteReference"/>
          <w:sz w:val="20"/>
          <w:szCs w:val="20"/>
        </w:rPr>
        <w:footnoteRef/>
      </w:r>
      <w:r w:rsidRPr="00233E66">
        <w:rPr>
          <w:sz w:val="20"/>
          <w:szCs w:val="20"/>
        </w:rPr>
        <w:t xml:space="preserve"> </w:t>
      </w:r>
      <w:r w:rsidRPr="00233E66">
        <w:rPr>
          <w:sz w:val="20"/>
          <w:szCs w:val="20"/>
          <w:lang w:val="en-ZA"/>
        </w:rPr>
        <w:t>GN 266 of 2016, Founding Affidavit in Review Application, Record 61-62, Annexure “JL5”</w:t>
      </w:r>
      <w:r>
        <w:rPr>
          <w:sz w:val="20"/>
          <w:szCs w:val="20"/>
          <w:lang w:val="en-ZA"/>
        </w:rPr>
        <w:t>.</w:t>
      </w:r>
    </w:p>
  </w:footnote>
  <w:footnote w:id="2">
    <w:p w:rsidR="000C7948" w:rsidRPr="00233E66" w:rsidRDefault="000C7948" w:rsidP="009352BB">
      <w:pPr>
        <w:pStyle w:val="FootnoteText"/>
        <w:rPr>
          <w:sz w:val="20"/>
          <w:szCs w:val="20"/>
          <w:lang w:val="en-ZA"/>
        </w:rPr>
      </w:pPr>
      <w:r w:rsidRPr="00233E66">
        <w:rPr>
          <w:rStyle w:val="FootnoteReference"/>
          <w:sz w:val="20"/>
          <w:szCs w:val="20"/>
        </w:rPr>
        <w:footnoteRef/>
      </w:r>
      <w:r w:rsidRPr="00233E66">
        <w:rPr>
          <w:sz w:val="20"/>
          <w:szCs w:val="20"/>
        </w:rPr>
        <w:t xml:space="preserve"> </w:t>
      </w:r>
      <w:r w:rsidRPr="00233E66">
        <w:rPr>
          <w:sz w:val="20"/>
          <w:szCs w:val="20"/>
          <w:lang w:val="en-ZA"/>
        </w:rPr>
        <w:t>Founding Affidavit in Review Application, Record 77, Annexure “JL8”</w:t>
      </w:r>
      <w:r>
        <w:rPr>
          <w:sz w:val="20"/>
          <w:szCs w:val="20"/>
          <w:lang w:val="en-ZA"/>
        </w:rPr>
        <w:t>.</w:t>
      </w:r>
    </w:p>
  </w:footnote>
  <w:footnote w:id="3">
    <w:p w:rsidR="000C7948" w:rsidRPr="00233E66" w:rsidRDefault="000C7948" w:rsidP="009352BB">
      <w:pPr>
        <w:pStyle w:val="FootnoteText"/>
        <w:rPr>
          <w:sz w:val="20"/>
          <w:szCs w:val="20"/>
          <w:lang w:val="en-ZA"/>
        </w:rPr>
      </w:pPr>
      <w:r w:rsidRPr="00233E66">
        <w:rPr>
          <w:rStyle w:val="FootnoteReference"/>
          <w:sz w:val="20"/>
          <w:szCs w:val="20"/>
        </w:rPr>
        <w:footnoteRef/>
      </w:r>
      <w:r w:rsidRPr="00233E66">
        <w:rPr>
          <w:sz w:val="20"/>
          <w:szCs w:val="20"/>
        </w:rPr>
        <w:t xml:space="preserve"> </w:t>
      </w:r>
      <w:r w:rsidRPr="00233E66">
        <w:rPr>
          <w:sz w:val="20"/>
          <w:szCs w:val="20"/>
          <w:lang w:val="en-ZA"/>
        </w:rPr>
        <w:t xml:space="preserve">Founding Affidavit in Review Application, Record 76, Annexure “JL8” </w:t>
      </w:r>
      <w:r>
        <w:rPr>
          <w:sz w:val="20"/>
          <w:szCs w:val="20"/>
          <w:lang w:val="en-ZA"/>
        </w:rPr>
        <w:t>.</w:t>
      </w:r>
    </w:p>
  </w:footnote>
  <w:footnote w:id="4">
    <w:p w:rsidR="000C7948" w:rsidRPr="00233E66" w:rsidRDefault="000C7948" w:rsidP="009352BB">
      <w:pPr>
        <w:pStyle w:val="FootnoteText"/>
        <w:rPr>
          <w:sz w:val="20"/>
          <w:szCs w:val="20"/>
          <w:lang w:val="en-ZA"/>
        </w:rPr>
      </w:pPr>
      <w:r w:rsidRPr="00233E66">
        <w:rPr>
          <w:rStyle w:val="FootnoteReference"/>
          <w:sz w:val="20"/>
          <w:szCs w:val="20"/>
        </w:rPr>
        <w:footnoteRef/>
      </w:r>
      <w:r w:rsidRPr="00233E66">
        <w:rPr>
          <w:sz w:val="20"/>
          <w:szCs w:val="20"/>
        </w:rPr>
        <w:t xml:space="preserve"> </w:t>
      </w:r>
      <w:r w:rsidRPr="00233E66">
        <w:rPr>
          <w:sz w:val="20"/>
          <w:szCs w:val="20"/>
          <w:lang w:val="en-ZA"/>
        </w:rPr>
        <w:t>Founding Affidavit, Discovery Application, Record 17-18, paras 8.2.1-8.2.7</w:t>
      </w:r>
      <w:r>
        <w:rPr>
          <w:sz w:val="20"/>
          <w:szCs w:val="20"/>
          <w:lang w:val="en-ZA"/>
        </w:rPr>
        <w:t>.</w:t>
      </w:r>
    </w:p>
  </w:footnote>
  <w:footnote w:id="5">
    <w:p w:rsidR="000C7948" w:rsidRPr="00233E66" w:rsidRDefault="000C7948" w:rsidP="001B48BF">
      <w:pPr>
        <w:pStyle w:val="FootnoteText"/>
        <w:jc w:val="both"/>
        <w:rPr>
          <w:rFonts w:cs="Arial"/>
          <w:sz w:val="20"/>
          <w:szCs w:val="20"/>
        </w:rPr>
      </w:pPr>
      <w:r w:rsidRPr="00233E66">
        <w:rPr>
          <w:rStyle w:val="FootnoteReference"/>
          <w:rFonts w:cs="Arial"/>
          <w:sz w:val="20"/>
          <w:szCs w:val="20"/>
        </w:rPr>
        <w:footnoteRef/>
      </w:r>
      <w:r w:rsidRPr="00233E66">
        <w:rPr>
          <w:rFonts w:cs="Arial"/>
          <w:sz w:val="20"/>
          <w:szCs w:val="20"/>
        </w:rPr>
        <w:t xml:space="preserve"> This was on the record in August last year in the implementation proceedings.  Clearly, with neither the review nor the action even enrolled yet for hearing in the High Court, the estimation of two years  was optimistic. </w:t>
      </w:r>
    </w:p>
  </w:footnote>
  <w:footnote w:id="6">
    <w:p w:rsidR="000C7948" w:rsidRPr="00233E66" w:rsidRDefault="000C7948" w:rsidP="00233E66">
      <w:pPr>
        <w:pStyle w:val="FootnoteText"/>
        <w:jc w:val="both"/>
        <w:rPr>
          <w:rFonts w:cs="Arial"/>
          <w:sz w:val="20"/>
          <w:szCs w:val="20"/>
        </w:rPr>
      </w:pPr>
      <w:r w:rsidRPr="00233E66">
        <w:rPr>
          <w:rStyle w:val="FootnoteReference"/>
          <w:rFonts w:cs="Arial"/>
          <w:sz w:val="20"/>
          <w:szCs w:val="20"/>
        </w:rPr>
        <w:footnoteRef/>
      </w:r>
      <w:r w:rsidRPr="00233E66">
        <w:rPr>
          <w:rFonts w:cs="Arial"/>
          <w:sz w:val="20"/>
          <w:szCs w:val="20"/>
        </w:rPr>
        <w:t xml:space="preserve"> The Supreme Court’s judgment is available at </w:t>
      </w:r>
      <w:hyperlink r:id="rId1" w:history="1">
        <w:r w:rsidRPr="00233E66">
          <w:rPr>
            <w:rStyle w:val="Hyperlink"/>
            <w:rFonts w:cs="Arial"/>
            <w:sz w:val="20"/>
            <w:szCs w:val="20"/>
            <w:shd w:val="clear" w:color="auto" w:fill="FFFFFF"/>
          </w:rPr>
          <w:t>http://www.ejustice.moj.na/Supreme%20Court/Judgments/Judgments/Minister%20of%20Finance%20%20v%20Hollard%20Insurance%20Company%20of%20Namibia%20Limited%20(P8-2018)%20%5B2019%5D%20NASC%20(28%20May%202019).docx</w:t>
        </w:r>
      </w:hyperlink>
      <w:r w:rsidRPr="00233E66">
        <w:rPr>
          <w:rFonts w:cs="Arial"/>
          <w:sz w:val="20"/>
          <w:szCs w:val="20"/>
        </w:rPr>
        <w:t>.</w:t>
      </w:r>
    </w:p>
  </w:footnote>
  <w:footnote w:id="7">
    <w:p w:rsidR="000C7948" w:rsidRPr="00233E66" w:rsidRDefault="000C7948" w:rsidP="00233E66">
      <w:pPr>
        <w:pStyle w:val="FootnoteText"/>
        <w:jc w:val="both"/>
        <w:rPr>
          <w:rFonts w:cs="Arial"/>
          <w:sz w:val="20"/>
          <w:szCs w:val="20"/>
        </w:rPr>
      </w:pPr>
      <w:r w:rsidRPr="00233E66">
        <w:rPr>
          <w:rStyle w:val="FootnoteReference"/>
          <w:rFonts w:cs="Arial"/>
          <w:sz w:val="20"/>
          <w:szCs w:val="20"/>
        </w:rPr>
        <w:footnoteRef/>
      </w:r>
      <w:r w:rsidRPr="00233E66">
        <w:rPr>
          <w:rFonts w:cs="Arial"/>
          <w:sz w:val="20"/>
          <w:szCs w:val="20"/>
        </w:rPr>
        <w:t xml:space="preserve"> At para [77].</w:t>
      </w:r>
    </w:p>
  </w:footnote>
  <w:footnote w:id="8">
    <w:p w:rsidR="000C7948" w:rsidRPr="00AF41D1" w:rsidRDefault="000C7948" w:rsidP="00233E66">
      <w:pPr>
        <w:pStyle w:val="FootnoteText"/>
        <w:jc w:val="both"/>
        <w:rPr>
          <w:rFonts w:cs="Arial"/>
          <w:sz w:val="20"/>
          <w:szCs w:val="20"/>
          <w:lang w:val="en-ZA"/>
        </w:rPr>
      </w:pPr>
      <w:r w:rsidRPr="00233E66">
        <w:rPr>
          <w:rStyle w:val="FootnoteReference"/>
          <w:rFonts w:cs="Arial"/>
          <w:sz w:val="20"/>
          <w:szCs w:val="20"/>
        </w:rPr>
        <w:footnoteRef/>
      </w:r>
      <w:r w:rsidRPr="00233E66">
        <w:rPr>
          <w:rFonts w:cs="Arial"/>
          <w:sz w:val="20"/>
          <w:szCs w:val="20"/>
        </w:rPr>
        <w:t xml:space="preserve"> </w:t>
      </w:r>
      <w:r w:rsidRPr="00233E66">
        <w:rPr>
          <w:rFonts w:cs="Arial"/>
          <w:i/>
          <w:sz w:val="20"/>
          <w:szCs w:val="20"/>
        </w:rPr>
        <w:t>Chairperson of the Tender Board of Namibia v Pamo Trading Enterprises CC and Another</w:t>
      </w:r>
      <w:r w:rsidRPr="00233E66">
        <w:rPr>
          <w:rFonts w:cs="Arial"/>
          <w:sz w:val="20"/>
          <w:szCs w:val="20"/>
        </w:rPr>
        <w:t xml:space="preserve"> 2017 (1) NR 1 (SC)</w:t>
      </w:r>
      <w:r>
        <w:rPr>
          <w:rFonts w:cs="Arial"/>
          <w:sz w:val="20"/>
          <w:szCs w:val="20"/>
          <w:lang w:val="en-ZA"/>
        </w:rPr>
        <w:t>.</w:t>
      </w:r>
    </w:p>
  </w:footnote>
  <w:footnote w:id="9">
    <w:p w:rsidR="000C7948" w:rsidRPr="00233E66" w:rsidRDefault="000C7948" w:rsidP="00233E66">
      <w:pPr>
        <w:spacing w:after="0" w:line="240" w:lineRule="auto"/>
        <w:jc w:val="both"/>
        <w:rPr>
          <w:rFonts w:ascii="Arial" w:hAnsi="Arial" w:cs="Arial"/>
          <w:sz w:val="20"/>
          <w:szCs w:val="20"/>
        </w:rPr>
      </w:pPr>
      <w:r w:rsidRPr="00233E66">
        <w:rPr>
          <w:rStyle w:val="FootnoteReference"/>
          <w:rFonts w:ascii="Arial" w:hAnsi="Arial" w:cs="Arial"/>
          <w:sz w:val="20"/>
          <w:szCs w:val="20"/>
        </w:rPr>
        <w:footnoteRef/>
      </w:r>
      <w:r w:rsidRPr="00233E66">
        <w:rPr>
          <w:rFonts w:ascii="Arial" w:hAnsi="Arial" w:cs="Arial"/>
          <w:sz w:val="20"/>
          <w:szCs w:val="20"/>
        </w:rPr>
        <w:t xml:space="preserve"> Case No. </w:t>
      </w:r>
      <w:r w:rsidRPr="00233E66">
        <w:rPr>
          <w:rFonts w:ascii="Arial" w:hAnsi="Arial" w:cs="Arial"/>
          <w:sz w:val="20"/>
          <w:szCs w:val="20"/>
          <w:lang w:val="en-ZA"/>
        </w:rPr>
        <w:t>HC-MD</w:t>
      </w:r>
      <w:r w:rsidRPr="00233E66">
        <w:rPr>
          <w:rFonts w:ascii="Arial" w:hAnsi="Arial" w:cs="Arial"/>
          <w:color w:val="090A0D"/>
          <w:sz w:val="20"/>
          <w:szCs w:val="20"/>
          <w:lang w:val="en-ZA"/>
        </w:rPr>
        <w:t>-</w:t>
      </w:r>
      <w:r w:rsidRPr="00233E66">
        <w:rPr>
          <w:rFonts w:ascii="Arial" w:hAnsi="Arial" w:cs="Arial"/>
          <w:sz w:val="20"/>
          <w:szCs w:val="20"/>
          <w:lang w:val="en-ZA"/>
        </w:rPr>
        <w:t>C</w:t>
      </w:r>
      <w:r w:rsidRPr="00233E66">
        <w:rPr>
          <w:rFonts w:ascii="Arial" w:hAnsi="Arial" w:cs="Arial"/>
          <w:color w:val="090A0D"/>
          <w:sz w:val="20"/>
          <w:szCs w:val="20"/>
          <w:lang w:val="en-ZA"/>
        </w:rPr>
        <w:t>I</w:t>
      </w:r>
      <w:r w:rsidRPr="00233E66">
        <w:rPr>
          <w:rFonts w:ascii="Arial" w:hAnsi="Arial" w:cs="Arial"/>
          <w:sz w:val="20"/>
          <w:szCs w:val="20"/>
          <w:lang w:val="en-ZA"/>
        </w:rPr>
        <w:t>V-MO</w:t>
      </w:r>
      <w:r w:rsidRPr="00233E66">
        <w:rPr>
          <w:rFonts w:ascii="Arial" w:hAnsi="Arial" w:cs="Arial"/>
          <w:color w:val="090A0D"/>
          <w:sz w:val="20"/>
          <w:szCs w:val="20"/>
          <w:lang w:val="en-ZA"/>
        </w:rPr>
        <w:t>T</w:t>
      </w:r>
      <w:r w:rsidRPr="00233E66">
        <w:rPr>
          <w:rFonts w:ascii="Arial" w:hAnsi="Arial" w:cs="Arial"/>
          <w:sz w:val="20"/>
          <w:szCs w:val="20"/>
          <w:lang w:val="en-ZA"/>
        </w:rPr>
        <w:t>-GEN-2017/00</w:t>
      </w:r>
      <w:r w:rsidRPr="00233E66">
        <w:rPr>
          <w:rFonts w:ascii="Arial" w:hAnsi="Arial" w:cs="Arial"/>
          <w:color w:val="090A0D"/>
          <w:sz w:val="20"/>
          <w:szCs w:val="20"/>
          <w:lang w:val="en-ZA"/>
        </w:rPr>
        <w:t>22</w:t>
      </w:r>
      <w:r w:rsidRPr="00233E66">
        <w:rPr>
          <w:rFonts w:ascii="Arial" w:hAnsi="Arial" w:cs="Arial"/>
          <w:sz w:val="20"/>
          <w:szCs w:val="20"/>
          <w:lang w:val="en-ZA"/>
        </w:rPr>
        <w:t>0.</w:t>
      </w:r>
    </w:p>
  </w:footnote>
  <w:footnote w:id="10">
    <w:p w:rsidR="000C7948" w:rsidRPr="00233E66" w:rsidRDefault="000C7948" w:rsidP="00233E66">
      <w:pPr>
        <w:pStyle w:val="FootnoteText"/>
        <w:jc w:val="both"/>
        <w:rPr>
          <w:rFonts w:cs="Arial"/>
          <w:sz w:val="20"/>
          <w:szCs w:val="20"/>
          <w:lang w:val="en-ZA"/>
        </w:rPr>
      </w:pPr>
      <w:r w:rsidRPr="00233E66">
        <w:rPr>
          <w:rStyle w:val="FootnoteReference"/>
          <w:rFonts w:cs="Arial"/>
          <w:sz w:val="20"/>
          <w:szCs w:val="20"/>
        </w:rPr>
        <w:footnoteRef/>
      </w:r>
      <w:r w:rsidRPr="00233E66">
        <w:rPr>
          <w:rFonts w:cs="Arial"/>
          <w:sz w:val="20"/>
          <w:szCs w:val="20"/>
        </w:rPr>
        <w:t xml:space="preserve"> Record p 4 para 1.4</w:t>
      </w:r>
      <w:r>
        <w:rPr>
          <w:rFonts w:cs="Arial"/>
          <w:sz w:val="20"/>
          <w:szCs w:val="20"/>
          <w:lang w:val="en-ZA"/>
        </w:rPr>
        <w:t>.</w:t>
      </w:r>
    </w:p>
  </w:footnote>
  <w:footnote w:id="11">
    <w:p w:rsidR="000C7948" w:rsidRPr="00233E66" w:rsidRDefault="000C7948" w:rsidP="00233E66">
      <w:pPr>
        <w:spacing w:after="0" w:line="240" w:lineRule="auto"/>
        <w:jc w:val="both"/>
        <w:rPr>
          <w:rFonts w:ascii="Arial" w:hAnsi="Arial" w:cs="Arial"/>
          <w:sz w:val="20"/>
          <w:szCs w:val="20"/>
          <w:lang w:val="en-ZA"/>
        </w:rPr>
      </w:pPr>
      <w:r w:rsidRPr="00233E66">
        <w:rPr>
          <w:rStyle w:val="FootnoteReference"/>
          <w:rFonts w:ascii="Arial" w:hAnsi="Arial" w:cs="Arial"/>
          <w:sz w:val="20"/>
          <w:szCs w:val="20"/>
        </w:rPr>
        <w:footnoteRef/>
      </w:r>
      <w:r w:rsidRPr="00233E66">
        <w:rPr>
          <w:rFonts w:ascii="Arial" w:hAnsi="Arial" w:cs="Arial"/>
          <w:sz w:val="20"/>
          <w:szCs w:val="20"/>
        </w:rPr>
        <w:t xml:space="preserve"> </w:t>
      </w:r>
      <w:r w:rsidRPr="00233E66">
        <w:rPr>
          <w:rFonts w:ascii="Arial" w:hAnsi="Arial" w:cs="Arial"/>
          <w:i/>
          <w:sz w:val="20"/>
          <w:szCs w:val="20"/>
          <w:lang w:val="en-ZA"/>
        </w:rPr>
        <w:t xml:space="preserve">Hollard Insurance Company of Namibia Limited </w:t>
      </w:r>
      <w:r w:rsidRPr="00233E66">
        <w:rPr>
          <w:rFonts w:ascii="Arial" w:hAnsi="Arial" w:cs="Arial"/>
          <w:i/>
          <w:color w:val="48484A"/>
          <w:sz w:val="20"/>
          <w:szCs w:val="20"/>
          <w:lang w:val="en-ZA"/>
        </w:rPr>
        <w:t xml:space="preserve">v </w:t>
      </w:r>
      <w:r w:rsidRPr="00233E66">
        <w:rPr>
          <w:rFonts w:ascii="Arial" w:hAnsi="Arial" w:cs="Arial"/>
          <w:i/>
          <w:sz w:val="20"/>
          <w:szCs w:val="20"/>
          <w:lang w:val="en-ZA"/>
        </w:rPr>
        <w:t xml:space="preserve">Minister of </w:t>
      </w:r>
      <w:r w:rsidRPr="00233E66">
        <w:rPr>
          <w:rFonts w:ascii="Arial" w:hAnsi="Arial" w:cs="Arial"/>
          <w:i/>
          <w:color w:val="1A1B1E"/>
          <w:sz w:val="20"/>
          <w:szCs w:val="20"/>
          <w:lang w:val="en-ZA"/>
        </w:rPr>
        <w:t>Finance</w:t>
      </w:r>
      <w:r w:rsidRPr="00233E66">
        <w:rPr>
          <w:rFonts w:ascii="Arial" w:hAnsi="Arial" w:cs="Arial"/>
          <w:color w:val="1A1B1E"/>
          <w:sz w:val="20"/>
          <w:szCs w:val="20"/>
          <w:lang w:val="en-ZA"/>
        </w:rPr>
        <w:t xml:space="preserve"> </w:t>
      </w:r>
      <w:r w:rsidRPr="00233E66">
        <w:rPr>
          <w:rFonts w:ascii="Arial" w:hAnsi="Arial" w:cs="Arial"/>
          <w:sz w:val="20"/>
          <w:szCs w:val="20"/>
          <w:lang w:val="en-ZA"/>
        </w:rPr>
        <w:t>(HC-MD</w:t>
      </w:r>
      <w:r w:rsidRPr="00233E66">
        <w:rPr>
          <w:rFonts w:ascii="Arial" w:hAnsi="Arial" w:cs="Arial"/>
          <w:color w:val="090A0D"/>
          <w:sz w:val="20"/>
          <w:szCs w:val="20"/>
          <w:lang w:val="en-ZA"/>
        </w:rPr>
        <w:t>-</w:t>
      </w:r>
      <w:r w:rsidRPr="00233E66">
        <w:rPr>
          <w:rFonts w:ascii="Arial" w:hAnsi="Arial" w:cs="Arial"/>
          <w:sz w:val="20"/>
          <w:szCs w:val="20"/>
          <w:lang w:val="en-ZA"/>
        </w:rPr>
        <w:t>C</w:t>
      </w:r>
      <w:r w:rsidRPr="00233E66">
        <w:rPr>
          <w:rFonts w:ascii="Arial" w:hAnsi="Arial" w:cs="Arial"/>
          <w:color w:val="090A0D"/>
          <w:sz w:val="20"/>
          <w:szCs w:val="20"/>
          <w:lang w:val="en-ZA"/>
        </w:rPr>
        <w:t>I</w:t>
      </w:r>
      <w:r w:rsidRPr="00233E66">
        <w:rPr>
          <w:rFonts w:ascii="Arial" w:hAnsi="Arial" w:cs="Arial"/>
          <w:sz w:val="20"/>
          <w:szCs w:val="20"/>
          <w:lang w:val="en-ZA"/>
        </w:rPr>
        <w:t>V-MO</w:t>
      </w:r>
      <w:r w:rsidRPr="00233E66">
        <w:rPr>
          <w:rFonts w:ascii="Arial" w:hAnsi="Arial" w:cs="Arial"/>
          <w:color w:val="090A0D"/>
          <w:sz w:val="20"/>
          <w:szCs w:val="20"/>
          <w:lang w:val="en-ZA"/>
        </w:rPr>
        <w:t>T</w:t>
      </w:r>
      <w:r w:rsidRPr="00233E66">
        <w:rPr>
          <w:rFonts w:ascii="Arial" w:hAnsi="Arial" w:cs="Arial"/>
          <w:sz w:val="20"/>
          <w:szCs w:val="20"/>
          <w:lang w:val="en-ZA"/>
        </w:rPr>
        <w:t>-GEN-2017/00</w:t>
      </w:r>
      <w:r w:rsidRPr="00233E66">
        <w:rPr>
          <w:rFonts w:ascii="Arial" w:hAnsi="Arial" w:cs="Arial"/>
          <w:color w:val="090A0D"/>
          <w:sz w:val="20"/>
          <w:szCs w:val="20"/>
          <w:lang w:val="en-ZA"/>
        </w:rPr>
        <w:t>22</w:t>
      </w:r>
      <w:r w:rsidRPr="00233E66">
        <w:rPr>
          <w:rFonts w:ascii="Arial" w:hAnsi="Arial" w:cs="Arial"/>
          <w:sz w:val="20"/>
          <w:szCs w:val="20"/>
          <w:lang w:val="en-ZA"/>
        </w:rPr>
        <w:t xml:space="preserve">0) </w:t>
      </w:r>
      <w:r w:rsidRPr="00233E66">
        <w:rPr>
          <w:rFonts w:ascii="Arial" w:hAnsi="Arial" w:cs="Arial"/>
          <w:color w:val="1A1B1E"/>
          <w:sz w:val="20"/>
          <w:szCs w:val="20"/>
          <w:lang w:val="en-ZA"/>
        </w:rPr>
        <w:t xml:space="preserve">[2018) NAHCMD </w:t>
      </w:r>
      <w:r w:rsidRPr="00233E66">
        <w:rPr>
          <w:rFonts w:ascii="Arial" w:hAnsi="Arial" w:cs="Arial"/>
          <w:color w:val="090A0D"/>
          <w:sz w:val="20"/>
          <w:szCs w:val="20"/>
          <w:lang w:val="en-ZA"/>
        </w:rPr>
        <w:t>4</w:t>
      </w:r>
      <w:r w:rsidRPr="00233E66">
        <w:rPr>
          <w:rFonts w:ascii="Arial" w:hAnsi="Arial" w:cs="Arial"/>
          <w:sz w:val="20"/>
          <w:szCs w:val="20"/>
          <w:lang w:val="en-ZA"/>
        </w:rPr>
        <w:t xml:space="preserve">11 (15 </w:t>
      </w:r>
      <w:r w:rsidRPr="00233E66">
        <w:rPr>
          <w:rFonts w:ascii="Arial" w:hAnsi="Arial" w:cs="Arial"/>
          <w:color w:val="1A1B1E"/>
          <w:sz w:val="20"/>
          <w:szCs w:val="20"/>
          <w:lang w:val="en-ZA"/>
        </w:rPr>
        <w:t>November 2018).</w:t>
      </w:r>
    </w:p>
  </w:footnote>
  <w:footnote w:id="12">
    <w:p w:rsidR="000C7948" w:rsidRPr="00233E66" w:rsidRDefault="000C7948" w:rsidP="00233E66">
      <w:pPr>
        <w:spacing w:after="0" w:line="240" w:lineRule="auto"/>
        <w:jc w:val="both"/>
        <w:rPr>
          <w:rFonts w:ascii="Arial" w:hAnsi="Arial" w:cs="Arial"/>
          <w:sz w:val="20"/>
          <w:szCs w:val="20"/>
          <w:lang w:val="en-ZA"/>
        </w:rPr>
      </w:pPr>
      <w:r w:rsidRPr="00233E66">
        <w:rPr>
          <w:rStyle w:val="FootnoteReference"/>
          <w:rFonts w:ascii="Arial" w:hAnsi="Arial" w:cs="Arial"/>
          <w:sz w:val="20"/>
          <w:szCs w:val="20"/>
        </w:rPr>
        <w:footnoteRef/>
      </w:r>
      <w:r w:rsidRPr="00233E66">
        <w:rPr>
          <w:rFonts w:ascii="Arial" w:hAnsi="Arial" w:cs="Arial"/>
          <w:sz w:val="20"/>
          <w:szCs w:val="20"/>
        </w:rPr>
        <w:t xml:space="preserve"> </w:t>
      </w:r>
      <w:r w:rsidRPr="00233E66">
        <w:rPr>
          <w:rFonts w:ascii="Arial" w:hAnsi="Arial" w:cs="Arial"/>
          <w:i/>
          <w:sz w:val="20"/>
          <w:szCs w:val="20"/>
          <w:lang w:val="en-ZA"/>
        </w:rPr>
        <w:t>Hollard Insurance Company of Namibia Limited v Minister of Finance</w:t>
      </w:r>
      <w:r w:rsidRPr="00233E66">
        <w:rPr>
          <w:rFonts w:ascii="Arial" w:hAnsi="Arial" w:cs="Arial"/>
          <w:sz w:val="20"/>
          <w:szCs w:val="20"/>
          <w:lang w:val="en-ZA"/>
        </w:rPr>
        <w:t xml:space="preserve"> (HC-MD-C</w:t>
      </w:r>
      <w:r w:rsidRPr="00233E66">
        <w:rPr>
          <w:rFonts w:ascii="Arial" w:hAnsi="Arial" w:cs="Arial"/>
          <w:color w:val="08080B"/>
          <w:sz w:val="20"/>
          <w:szCs w:val="20"/>
          <w:lang w:val="en-ZA"/>
        </w:rPr>
        <w:t>I</w:t>
      </w:r>
      <w:r w:rsidRPr="00233E66">
        <w:rPr>
          <w:rFonts w:ascii="Arial" w:hAnsi="Arial" w:cs="Arial"/>
          <w:sz w:val="20"/>
          <w:szCs w:val="20"/>
          <w:lang w:val="en-ZA"/>
        </w:rPr>
        <w:t xml:space="preserve">V-MOT-GEN-2017/00220) [2019] </w:t>
      </w:r>
      <w:r w:rsidRPr="00233E66">
        <w:rPr>
          <w:rFonts w:ascii="Arial" w:hAnsi="Arial" w:cs="Arial"/>
          <w:color w:val="18191D"/>
          <w:sz w:val="20"/>
          <w:szCs w:val="20"/>
          <w:lang w:val="en-ZA"/>
        </w:rPr>
        <w:t xml:space="preserve">NAHCMD 136 </w:t>
      </w:r>
      <w:r w:rsidRPr="00233E66">
        <w:rPr>
          <w:rFonts w:ascii="Arial" w:hAnsi="Arial" w:cs="Arial"/>
          <w:sz w:val="20"/>
          <w:szCs w:val="20"/>
          <w:lang w:val="en-ZA"/>
        </w:rPr>
        <w:t>(02 April 2019).</w:t>
      </w:r>
    </w:p>
  </w:footnote>
  <w:footnote w:id="13">
    <w:p w:rsidR="000C7948" w:rsidRPr="00233E66" w:rsidRDefault="000C7948" w:rsidP="00233E66">
      <w:pPr>
        <w:pStyle w:val="FootnoteText"/>
        <w:jc w:val="both"/>
        <w:rPr>
          <w:rFonts w:cs="Arial"/>
          <w:sz w:val="20"/>
          <w:szCs w:val="20"/>
        </w:rPr>
      </w:pPr>
      <w:r w:rsidRPr="00233E66">
        <w:rPr>
          <w:rStyle w:val="FootnoteReference"/>
          <w:rFonts w:cs="Arial"/>
          <w:sz w:val="20"/>
          <w:szCs w:val="20"/>
        </w:rPr>
        <w:footnoteRef/>
      </w:r>
      <w:r w:rsidRPr="00233E66">
        <w:rPr>
          <w:rFonts w:cs="Arial"/>
          <w:sz w:val="20"/>
          <w:szCs w:val="20"/>
        </w:rPr>
        <w:t xml:space="preserve"> </w:t>
      </w:r>
      <w:r w:rsidRPr="00233E66">
        <w:rPr>
          <w:rFonts w:cs="Arial"/>
          <w:i/>
          <w:sz w:val="20"/>
          <w:szCs w:val="20"/>
        </w:rPr>
        <w:t>Namibia Insurance Association v Government of the Republic of Namibia</w:t>
      </w:r>
      <w:r w:rsidRPr="00233E66">
        <w:rPr>
          <w:rFonts w:cs="Arial"/>
          <w:sz w:val="20"/>
          <w:szCs w:val="20"/>
        </w:rPr>
        <w:t xml:space="preserve"> 2001 NR 1 (HC)</w:t>
      </w:r>
    </w:p>
  </w:footnote>
  <w:footnote w:id="14">
    <w:p w:rsidR="000C7948" w:rsidRPr="00233E66" w:rsidRDefault="000C7948" w:rsidP="00233E66">
      <w:pPr>
        <w:spacing w:after="0" w:line="240" w:lineRule="auto"/>
        <w:jc w:val="both"/>
        <w:rPr>
          <w:rFonts w:ascii="Arial" w:hAnsi="Arial" w:cs="Arial"/>
          <w:b/>
          <w:bCs/>
          <w:sz w:val="20"/>
          <w:szCs w:val="20"/>
        </w:rPr>
      </w:pPr>
      <w:r w:rsidRPr="00233E66">
        <w:rPr>
          <w:rStyle w:val="FootnoteReference"/>
          <w:rFonts w:ascii="Arial" w:hAnsi="Arial" w:cs="Arial"/>
          <w:sz w:val="20"/>
          <w:szCs w:val="20"/>
        </w:rPr>
        <w:footnoteRef/>
      </w:r>
      <w:r w:rsidRPr="00233E66">
        <w:rPr>
          <w:rFonts w:ascii="Arial" w:hAnsi="Arial" w:cs="Arial"/>
          <w:sz w:val="20"/>
          <w:szCs w:val="20"/>
        </w:rPr>
        <w:t xml:space="preserve"> Case No: HC-MD-CIV-ACT-OTH-2017/04493.</w:t>
      </w:r>
    </w:p>
  </w:footnote>
  <w:footnote w:id="15">
    <w:p w:rsidR="000C7948" w:rsidRPr="00233E66" w:rsidRDefault="000C7948" w:rsidP="00233E66">
      <w:pPr>
        <w:pStyle w:val="FootnoteText"/>
        <w:jc w:val="both"/>
        <w:rPr>
          <w:rFonts w:cs="Arial"/>
          <w:sz w:val="20"/>
          <w:szCs w:val="20"/>
          <w:lang w:val="en-ZA"/>
        </w:rPr>
      </w:pPr>
      <w:r w:rsidRPr="00233E66">
        <w:rPr>
          <w:rStyle w:val="FootnoteReference"/>
          <w:rFonts w:cs="Arial"/>
          <w:sz w:val="20"/>
          <w:szCs w:val="20"/>
        </w:rPr>
        <w:footnoteRef/>
      </w:r>
      <w:r w:rsidRPr="00233E66">
        <w:rPr>
          <w:rFonts w:cs="Arial"/>
          <w:sz w:val="20"/>
          <w:szCs w:val="20"/>
        </w:rPr>
        <w:t xml:space="preserve"> </w:t>
      </w:r>
      <w:r w:rsidRPr="00233E66">
        <w:rPr>
          <w:rFonts w:cs="Arial"/>
          <w:i/>
          <w:sz w:val="20"/>
          <w:szCs w:val="20"/>
          <w:lang w:val="en-ZA"/>
        </w:rPr>
        <w:t xml:space="preserve">Hollard Insurance Company of Namibia Limited </w:t>
      </w:r>
      <w:r w:rsidRPr="00233E66">
        <w:rPr>
          <w:rFonts w:cs="Arial"/>
          <w:i/>
          <w:color w:val="48484A"/>
          <w:sz w:val="20"/>
          <w:szCs w:val="20"/>
          <w:lang w:val="en-ZA"/>
        </w:rPr>
        <w:t xml:space="preserve">v </w:t>
      </w:r>
      <w:r w:rsidRPr="00233E66">
        <w:rPr>
          <w:rFonts w:cs="Arial"/>
          <w:i/>
          <w:sz w:val="20"/>
          <w:szCs w:val="20"/>
          <w:lang w:val="en-ZA"/>
        </w:rPr>
        <w:t xml:space="preserve">Minister of </w:t>
      </w:r>
      <w:r w:rsidRPr="00233E66">
        <w:rPr>
          <w:rFonts w:cs="Arial"/>
          <w:i/>
          <w:color w:val="1A1B1E"/>
          <w:sz w:val="20"/>
          <w:szCs w:val="20"/>
          <w:lang w:val="en-ZA"/>
        </w:rPr>
        <w:t>Finance</w:t>
      </w:r>
      <w:r w:rsidRPr="00233E66">
        <w:rPr>
          <w:rFonts w:cs="Arial"/>
          <w:color w:val="1A1B1E"/>
          <w:sz w:val="20"/>
          <w:szCs w:val="20"/>
          <w:lang w:val="en-ZA"/>
        </w:rPr>
        <w:t xml:space="preserve"> </w:t>
      </w:r>
      <w:r w:rsidRPr="00233E66">
        <w:rPr>
          <w:rFonts w:cs="Arial"/>
          <w:sz w:val="20"/>
          <w:szCs w:val="20"/>
          <w:lang w:val="en-ZA"/>
        </w:rPr>
        <w:t>(HC-MD</w:t>
      </w:r>
      <w:r w:rsidRPr="00233E66">
        <w:rPr>
          <w:rFonts w:cs="Arial"/>
          <w:color w:val="090A0D"/>
          <w:sz w:val="20"/>
          <w:szCs w:val="20"/>
          <w:lang w:val="en-ZA"/>
        </w:rPr>
        <w:t>-</w:t>
      </w:r>
      <w:r w:rsidRPr="00233E66">
        <w:rPr>
          <w:rFonts w:cs="Arial"/>
          <w:sz w:val="20"/>
          <w:szCs w:val="20"/>
          <w:lang w:val="en-ZA"/>
        </w:rPr>
        <w:t>C</w:t>
      </w:r>
      <w:r w:rsidRPr="00233E66">
        <w:rPr>
          <w:rFonts w:cs="Arial"/>
          <w:color w:val="090A0D"/>
          <w:sz w:val="20"/>
          <w:szCs w:val="20"/>
          <w:lang w:val="en-ZA"/>
        </w:rPr>
        <w:t>I</w:t>
      </w:r>
      <w:r w:rsidRPr="00233E66">
        <w:rPr>
          <w:rFonts w:cs="Arial"/>
          <w:sz w:val="20"/>
          <w:szCs w:val="20"/>
          <w:lang w:val="en-ZA"/>
        </w:rPr>
        <w:t>V-MO</w:t>
      </w:r>
      <w:r w:rsidRPr="00233E66">
        <w:rPr>
          <w:rFonts w:cs="Arial"/>
          <w:color w:val="090A0D"/>
          <w:sz w:val="20"/>
          <w:szCs w:val="20"/>
          <w:lang w:val="en-ZA"/>
        </w:rPr>
        <w:t>T</w:t>
      </w:r>
      <w:r w:rsidRPr="00233E66">
        <w:rPr>
          <w:rFonts w:cs="Arial"/>
          <w:sz w:val="20"/>
          <w:szCs w:val="20"/>
          <w:lang w:val="en-ZA"/>
        </w:rPr>
        <w:t>-GEN-2017/00</w:t>
      </w:r>
      <w:r w:rsidRPr="00233E66">
        <w:rPr>
          <w:rFonts w:cs="Arial"/>
          <w:color w:val="090A0D"/>
          <w:sz w:val="20"/>
          <w:szCs w:val="20"/>
          <w:lang w:val="en-ZA"/>
        </w:rPr>
        <w:t>22</w:t>
      </w:r>
      <w:r w:rsidRPr="00233E66">
        <w:rPr>
          <w:rFonts w:cs="Arial"/>
          <w:sz w:val="20"/>
          <w:szCs w:val="20"/>
          <w:lang w:val="en-ZA"/>
        </w:rPr>
        <w:t xml:space="preserve">0) </w:t>
      </w:r>
      <w:r w:rsidRPr="00233E66">
        <w:rPr>
          <w:rFonts w:cs="Arial"/>
          <w:color w:val="1A1B1E"/>
          <w:sz w:val="20"/>
          <w:szCs w:val="20"/>
          <w:lang w:val="en-ZA"/>
        </w:rPr>
        <w:t xml:space="preserve">[2018) NAHCMD </w:t>
      </w:r>
      <w:r w:rsidRPr="00233E66">
        <w:rPr>
          <w:rFonts w:cs="Arial"/>
          <w:color w:val="090A0D"/>
          <w:sz w:val="20"/>
          <w:szCs w:val="20"/>
          <w:lang w:val="en-ZA"/>
        </w:rPr>
        <w:t>4</w:t>
      </w:r>
      <w:r w:rsidRPr="00233E66">
        <w:rPr>
          <w:rFonts w:cs="Arial"/>
          <w:sz w:val="20"/>
          <w:szCs w:val="20"/>
          <w:lang w:val="en-ZA"/>
        </w:rPr>
        <w:t xml:space="preserve">11 (15 </w:t>
      </w:r>
      <w:r w:rsidRPr="00233E66">
        <w:rPr>
          <w:rFonts w:cs="Arial"/>
          <w:color w:val="1A1B1E"/>
          <w:sz w:val="20"/>
          <w:szCs w:val="20"/>
          <w:lang w:val="en-ZA"/>
        </w:rPr>
        <w:t>November 2018) para 26.</w:t>
      </w:r>
    </w:p>
  </w:footnote>
  <w:footnote w:id="16">
    <w:p w:rsidR="000C7948" w:rsidRPr="00233E66" w:rsidRDefault="000C7948" w:rsidP="00DD4621">
      <w:pPr>
        <w:pStyle w:val="FootnoteText"/>
        <w:jc w:val="both"/>
        <w:rPr>
          <w:rFonts w:cs="Arial"/>
          <w:sz w:val="20"/>
          <w:szCs w:val="20"/>
          <w:lang w:val="en-ZA"/>
        </w:rPr>
      </w:pPr>
      <w:r w:rsidRPr="00233E66">
        <w:rPr>
          <w:rStyle w:val="FootnoteReference"/>
          <w:rFonts w:cs="Arial"/>
          <w:sz w:val="20"/>
          <w:szCs w:val="20"/>
        </w:rPr>
        <w:footnoteRef/>
      </w:r>
      <w:r w:rsidRPr="00233E66">
        <w:rPr>
          <w:rFonts w:cs="Arial"/>
          <w:sz w:val="20"/>
          <w:szCs w:val="20"/>
        </w:rPr>
        <w:t xml:space="preserve"> </w:t>
      </w:r>
      <w:r w:rsidRPr="00233E66">
        <w:rPr>
          <w:rFonts w:cs="Arial"/>
          <w:sz w:val="20"/>
          <w:szCs w:val="20"/>
          <w:lang w:val="en-ZA"/>
        </w:rPr>
        <w:t>Review Record pp 555 – 570.</w:t>
      </w:r>
    </w:p>
  </w:footnote>
  <w:footnote w:id="17">
    <w:p w:rsidR="000C7948" w:rsidRPr="001B48BF" w:rsidRDefault="000C7948" w:rsidP="00DD4621">
      <w:pPr>
        <w:pStyle w:val="FootnoteText"/>
        <w:jc w:val="both"/>
        <w:rPr>
          <w:rFonts w:cs="Arial"/>
          <w:sz w:val="20"/>
          <w:szCs w:val="20"/>
          <w:lang w:val="en-ZA"/>
        </w:rPr>
      </w:pPr>
      <w:r w:rsidRPr="001B48BF">
        <w:rPr>
          <w:rStyle w:val="FootnoteReference"/>
          <w:rFonts w:cs="Arial"/>
          <w:sz w:val="20"/>
          <w:szCs w:val="20"/>
        </w:rPr>
        <w:footnoteRef/>
      </w:r>
      <w:r w:rsidRPr="001B48BF">
        <w:rPr>
          <w:rFonts w:cs="Arial"/>
          <w:sz w:val="20"/>
          <w:szCs w:val="20"/>
        </w:rPr>
        <w:t xml:space="preserve"> </w:t>
      </w:r>
      <w:r w:rsidRPr="001B48BF">
        <w:rPr>
          <w:rFonts w:cs="Arial"/>
          <w:sz w:val="20"/>
          <w:szCs w:val="20"/>
          <w:lang w:val="en-ZA"/>
        </w:rPr>
        <w:t>Index record to interlocutory application (“record”) pp 41 - 47.</w:t>
      </w:r>
    </w:p>
  </w:footnote>
  <w:footnote w:id="18">
    <w:p w:rsidR="000C7948" w:rsidRPr="001B48BF" w:rsidRDefault="000C7948" w:rsidP="00DD4621">
      <w:pPr>
        <w:pStyle w:val="FootnoteText"/>
        <w:jc w:val="both"/>
        <w:rPr>
          <w:rFonts w:cs="Arial"/>
          <w:sz w:val="20"/>
          <w:szCs w:val="20"/>
          <w:lang w:val="en-ZA"/>
        </w:rPr>
      </w:pPr>
      <w:r w:rsidRPr="001B48BF">
        <w:rPr>
          <w:rStyle w:val="FootnoteReference"/>
          <w:rFonts w:cs="Arial"/>
          <w:sz w:val="20"/>
          <w:szCs w:val="20"/>
        </w:rPr>
        <w:footnoteRef/>
      </w:r>
      <w:r w:rsidRPr="001B48BF">
        <w:rPr>
          <w:rFonts w:cs="Arial"/>
          <w:sz w:val="20"/>
          <w:szCs w:val="20"/>
        </w:rPr>
        <w:t xml:space="preserve"> Record p 42.</w:t>
      </w:r>
    </w:p>
  </w:footnote>
  <w:footnote w:id="19">
    <w:p w:rsidR="000C7948" w:rsidRPr="00015922" w:rsidRDefault="000C7948" w:rsidP="00F93B6A">
      <w:pPr>
        <w:pStyle w:val="FootnoteText"/>
        <w:jc w:val="both"/>
        <w:rPr>
          <w:rFonts w:cs="Arial"/>
        </w:rPr>
      </w:pPr>
      <w:r w:rsidRPr="001B48BF">
        <w:rPr>
          <w:rStyle w:val="FootnoteReference"/>
          <w:rFonts w:cs="Arial"/>
          <w:sz w:val="20"/>
          <w:szCs w:val="20"/>
        </w:rPr>
        <w:footnoteRef/>
      </w:r>
      <w:r w:rsidRPr="001B48BF">
        <w:rPr>
          <w:rFonts w:cs="Arial"/>
          <w:sz w:val="20"/>
          <w:szCs w:val="20"/>
        </w:rPr>
        <w:t xml:space="preserve"> Record: p 48ff.</w:t>
      </w:r>
    </w:p>
  </w:footnote>
  <w:footnote w:id="20">
    <w:p w:rsidR="000C7948" w:rsidRPr="001B48BF" w:rsidRDefault="000C7948" w:rsidP="00F93B6A">
      <w:pPr>
        <w:pStyle w:val="FootnoteText"/>
        <w:jc w:val="both"/>
        <w:rPr>
          <w:rFonts w:cs="Arial"/>
          <w:sz w:val="20"/>
          <w:szCs w:val="20"/>
          <w:lang w:val="en-ZA"/>
        </w:rPr>
      </w:pPr>
      <w:r w:rsidRPr="001B48BF">
        <w:rPr>
          <w:rStyle w:val="FootnoteReference"/>
          <w:rFonts w:cs="Arial"/>
          <w:sz w:val="20"/>
          <w:szCs w:val="20"/>
        </w:rPr>
        <w:footnoteRef/>
      </w:r>
      <w:r w:rsidRPr="001B48BF">
        <w:rPr>
          <w:rFonts w:cs="Arial"/>
          <w:sz w:val="20"/>
          <w:szCs w:val="20"/>
        </w:rPr>
        <w:t xml:space="preserve"> </w:t>
      </w:r>
      <w:r w:rsidRPr="001B48BF">
        <w:rPr>
          <w:rFonts w:cs="Arial"/>
          <w:sz w:val="20"/>
          <w:szCs w:val="20"/>
          <w:lang w:val="en-ZA"/>
        </w:rPr>
        <w:t>Record pp 48 – 77.</w:t>
      </w:r>
    </w:p>
  </w:footnote>
  <w:footnote w:id="21">
    <w:p w:rsidR="000C7948" w:rsidRPr="0060227E" w:rsidRDefault="000C7948" w:rsidP="0060227E">
      <w:pPr>
        <w:pStyle w:val="FootnoteText"/>
        <w:rPr>
          <w:sz w:val="20"/>
          <w:szCs w:val="20"/>
          <w:lang w:val="en-ZA"/>
        </w:rPr>
      </w:pPr>
      <w:r w:rsidRPr="0060227E">
        <w:rPr>
          <w:rStyle w:val="FootnoteReference"/>
          <w:sz w:val="20"/>
          <w:szCs w:val="20"/>
        </w:rPr>
        <w:footnoteRef/>
      </w:r>
      <w:r w:rsidRPr="0060227E">
        <w:rPr>
          <w:sz w:val="20"/>
          <w:szCs w:val="20"/>
        </w:rPr>
        <w:t xml:space="preserve"> </w:t>
      </w:r>
      <w:r w:rsidRPr="0060227E">
        <w:rPr>
          <w:sz w:val="20"/>
          <w:szCs w:val="20"/>
          <w:lang w:val="en-ZA"/>
        </w:rPr>
        <w:t>1970 (2) SA 89 (T) 91</w:t>
      </w:r>
      <w:r>
        <w:rPr>
          <w:sz w:val="20"/>
          <w:szCs w:val="20"/>
          <w:lang w:val="en-ZA"/>
        </w:rPr>
        <w:t>.</w:t>
      </w:r>
    </w:p>
  </w:footnote>
  <w:footnote w:id="22">
    <w:p w:rsidR="000C7948" w:rsidRPr="0060227E" w:rsidRDefault="000C7948" w:rsidP="0060227E">
      <w:pPr>
        <w:pStyle w:val="FootnoteText"/>
        <w:rPr>
          <w:sz w:val="20"/>
          <w:szCs w:val="20"/>
          <w:lang w:val="en-ZA"/>
        </w:rPr>
      </w:pPr>
      <w:r w:rsidRPr="0060227E">
        <w:rPr>
          <w:rStyle w:val="FootnoteReference"/>
          <w:sz w:val="20"/>
          <w:szCs w:val="20"/>
        </w:rPr>
        <w:footnoteRef/>
      </w:r>
      <w:r w:rsidRPr="0060227E">
        <w:rPr>
          <w:sz w:val="20"/>
          <w:szCs w:val="20"/>
        </w:rPr>
        <w:t xml:space="preserve"> </w:t>
      </w:r>
      <w:r w:rsidRPr="0060227E">
        <w:rPr>
          <w:sz w:val="20"/>
          <w:szCs w:val="20"/>
          <w:lang w:val="en-ZA"/>
        </w:rPr>
        <w:t>1972 (2) SA 220 (SWA)</w:t>
      </w:r>
      <w:r>
        <w:rPr>
          <w:sz w:val="20"/>
          <w:szCs w:val="20"/>
          <w:lang w:val="en-ZA"/>
        </w:rPr>
        <w:t>.</w:t>
      </w:r>
    </w:p>
  </w:footnote>
  <w:footnote w:id="23">
    <w:p w:rsidR="000C7948" w:rsidRPr="003212EE" w:rsidRDefault="000C7948" w:rsidP="0060227E">
      <w:pPr>
        <w:pStyle w:val="FootnoteText"/>
        <w:rPr>
          <w:lang w:val="en-ZA"/>
        </w:rPr>
      </w:pPr>
      <w:r w:rsidRPr="0060227E">
        <w:rPr>
          <w:rStyle w:val="FootnoteReference"/>
          <w:sz w:val="20"/>
          <w:szCs w:val="20"/>
        </w:rPr>
        <w:footnoteRef/>
      </w:r>
      <w:r w:rsidRPr="0060227E">
        <w:rPr>
          <w:sz w:val="20"/>
          <w:szCs w:val="20"/>
        </w:rPr>
        <w:t xml:space="preserve"> 1998 NR 147 at 150 B-F</w:t>
      </w:r>
      <w:r>
        <w:rPr>
          <w:sz w:val="20"/>
          <w:szCs w:val="20"/>
          <w:lang w:val="en-ZA"/>
        </w:rPr>
        <w:t>.</w:t>
      </w:r>
    </w:p>
  </w:footnote>
  <w:footnote w:id="24">
    <w:p w:rsidR="000C7948" w:rsidRPr="0060227E" w:rsidRDefault="000C7948" w:rsidP="0060227E">
      <w:pPr>
        <w:pStyle w:val="FootnoteText"/>
        <w:rPr>
          <w:sz w:val="20"/>
          <w:szCs w:val="20"/>
          <w:lang w:val="en-ZA"/>
        </w:rPr>
      </w:pPr>
      <w:r w:rsidRPr="0060227E">
        <w:rPr>
          <w:rStyle w:val="FootnoteReference"/>
          <w:sz w:val="20"/>
          <w:szCs w:val="20"/>
        </w:rPr>
        <w:footnoteRef/>
      </w:r>
      <w:r w:rsidRPr="0060227E">
        <w:rPr>
          <w:sz w:val="20"/>
          <w:szCs w:val="20"/>
        </w:rPr>
        <w:t xml:space="preserve"> </w:t>
      </w:r>
      <w:r w:rsidRPr="0060227E">
        <w:rPr>
          <w:sz w:val="20"/>
          <w:szCs w:val="20"/>
          <w:lang w:val="en-ZA"/>
        </w:rPr>
        <w:t>Minister’s Reply to the applicants’ rule 76(6) notice, paras 9 and 10</w:t>
      </w:r>
      <w:r>
        <w:rPr>
          <w:sz w:val="20"/>
          <w:szCs w:val="20"/>
          <w:lang w:val="en-ZA"/>
        </w:rPr>
        <w:t>.</w:t>
      </w:r>
    </w:p>
  </w:footnote>
  <w:footnote w:id="25">
    <w:p w:rsidR="000C7948" w:rsidRPr="0060227E" w:rsidRDefault="000C7948" w:rsidP="0060227E">
      <w:pPr>
        <w:pStyle w:val="FootnoteText"/>
        <w:rPr>
          <w:sz w:val="20"/>
          <w:szCs w:val="20"/>
          <w:lang w:val="en-ZA"/>
        </w:rPr>
      </w:pPr>
      <w:r w:rsidRPr="0060227E">
        <w:rPr>
          <w:rStyle w:val="FootnoteReference"/>
          <w:sz w:val="20"/>
          <w:szCs w:val="20"/>
        </w:rPr>
        <w:footnoteRef/>
      </w:r>
      <w:r w:rsidRPr="0060227E">
        <w:rPr>
          <w:sz w:val="20"/>
          <w:szCs w:val="20"/>
        </w:rPr>
        <w:t xml:space="preserve"> </w:t>
      </w:r>
      <w:r w:rsidRPr="0060227E">
        <w:rPr>
          <w:sz w:val="20"/>
          <w:szCs w:val="20"/>
          <w:lang w:val="en-ZA"/>
        </w:rPr>
        <w:t>2018 (4) SA 1 (CC)</w:t>
      </w:r>
      <w:r>
        <w:rPr>
          <w:sz w:val="20"/>
          <w:szCs w:val="20"/>
          <w:lang w:val="en-ZA"/>
        </w:rPr>
        <w:t>.</w:t>
      </w:r>
    </w:p>
  </w:footnote>
  <w:footnote w:id="26">
    <w:p w:rsidR="000C7948" w:rsidRPr="0060227E" w:rsidRDefault="000C7948" w:rsidP="0060227E">
      <w:pPr>
        <w:pStyle w:val="FootnoteText"/>
        <w:rPr>
          <w:sz w:val="20"/>
          <w:szCs w:val="20"/>
          <w:lang w:val="en-ZA"/>
        </w:rPr>
      </w:pPr>
      <w:r w:rsidRPr="0060227E">
        <w:rPr>
          <w:rStyle w:val="FootnoteReference"/>
          <w:sz w:val="20"/>
          <w:szCs w:val="20"/>
        </w:rPr>
        <w:footnoteRef/>
      </w:r>
      <w:r w:rsidRPr="0060227E">
        <w:rPr>
          <w:sz w:val="20"/>
          <w:szCs w:val="20"/>
        </w:rPr>
        <w:t xml:space="preserve"> </w:t>
      </w:r>
      <w:r w:rsidRPr="0060227E">
        <w:rPr>
          <w:sz w:val="20"/>
          <w:szCs w:val="20"/>
          <w:lang w:val="en-ZA"/>
        </w:rPr>
        <w:t>Ibid par 15</w:t>
      </w:r>
      <w:r>
        <w:rPr>
          <w:sz w:val="20"/>
          <w:szCs w:val="20"/>
          <w:lang w:val="en-ZA"/>
        </w:rPr>
        <w:t>.</w:t>
      </w:r>
    </w:p>
  </w:footnote>
  <w:footnote w:id="27">
    <w:p w:rsidR="000C7948" w:rsidRPr="0060227E" w:rsidRDefault="000C7948" w:rsidP="0060227E">
      <w:pPr>
        <w:pStyle w:val="FootnoteText"/>
        <w:rPr>
          <w:sz w:val="20"/>
          <w:szCs w:val="20"/>
          <w:lang w:val="en-ZA"/>
        </w:rPr>
      </w:pPr>
      <w:r w:rsidRPr="0060227E">
        <w:rPr>
          <w:rStyle w:val="FootnoteReference"/>
          <w:sz w:val="20"/>
          <w:szCs w:val="20"/>
        </w:rPr>
        <w:footnoteRef/>
      </w:r>
      <w:r w:rsidRPr="0060227E">
        <w:rPr>
          <w:sz w:val="20"/>
          <w:szCs w:val="20"/>
        </w:rPr>
        <w:t xml:space="preserve"> </w:t>
      </w:r>
      <w:r w:rsidRPr="0060227E">
        <w:rPr>
          <w:sz w:val="20"/>
          <w:szCs w:val="20"/>
          <w:lang w:val="en-ZA"/>
        </w:rPr>
        <w:t>150 G-H</w:t>
      </w:r>
      <w:r>
        <w:rPr>
          <w:sz w:val="20"/>
          <w:szCs w:val="20"/>
          <w:lang w:val="en-ZA"/>
        </w:rPr>
        <w:t>.</w:t>
      </w:r>
    </w:p>
  </w:footnote>
  <w:footnote w:id="28">
    <w:p w:rsidR="000C7948" w:rsidRPr="00A005F1" w:rsidRDefault="000C7948" w:rsidP="0060227E">
      <w:pPr>
        <w:pStyle w:val="FootnoteText"/>
        <w:rPr>
          <w:lang w:val="en-ZA"/>
        </w:rPr>
      </w:pPr>
      <w:r>
        <w:rPr>
          <w:rStyle w:val="FootnoteReference"/>
        </w:rPr>
        <w:footnoteRef/>
      </w:r>
      <w:r>
        <w:t xml:space="preserve"> </w:t>
      </w:r>
      <w:r>
        <w:rPr>
          <w:lang w:val="en-ZA"/>
        </w:rPr>
        <w:t>150 I-J.</w:t>
      </w:r>
    </w:p>
  </w:footnote>
  <w:footnote w:id="29">
    <w:p w:rsidR="000C7948" w:rsidRPr="001D0388" w:rsidRDefault="000C7948" w:rsidP="0060227E">
      <w:pPr>
        <w:pStyle w:val="FootnoteText"/>
        <w:rPr>
          <w:lang w:val="en-ZA"/>
        </w:rPr>
      </w:pPr>
      <w:r>
        <w:rPr>
          <w:rStyle w:val="FootnoteReference"/>
        </w:rPr>
        <w:footnoteRef/>
      </w:r>
      <w:r>
        <w:t xml:space="preserve"> </w:t>
      </w:r>
      <w:r>
        <w:rPr>
          <w:lang w:val="en-ZA"/>
        </w:rPr>
        <w:t>151 B.</w:t>
      </w:r>
    </w:p>
  </w:footnote>
  <w:footnote w:id="30">
    <w:p w:rsidR="000C7948" w:rsidRPr="00C0774C" w:rsidRDefault="000C7948" w:rsidP="00C0774C">
      <w:pPr>
        <w:pStyle w:val="FootnoteText"/>
        <w:jc w:val="both"/>
        <w:rPr>
          <w:rFonts w:cs="Arial"/>
          <w:sz w:val="20"/>
          <w:szCs w:val="20"/>
        </w:rPr>
      </w:pPr>
      <w:r w:rsidRPr="00C0774C">
        <w:rPr>
          <w:rStyle w:val="FootnoteReference"/>
          <w:rFonts w:cs="Arial"/>
          <w:sz w:val="20"/>
          <w:szCs w:val="20"/>
        </w:rPr>
        <w:footnoteRef/>
      </w:r>
      <w:r w:rsidRPr="00C0774C">
        <w:rPr>
          <w:rFonts w:cs="Arial"/>
          <w:sz w:val="20"/>
          <w:szCs w:val="20"/>
        </w:rPr>
        <w:t xml:space="preserve"> </w:t>
      </w:r>
      <w:r w:rsidRPr="00C0774C">
        <w:rPr>
          <w:rFonts w:cs="Arial"/>
          <w:i/>
          <w:sz w:val="20"/>
          <w:szCs w:val="20"/>
        </w:rPr>
        <w:t xml:space="preserve">Pieters v Administrateur, SWA </w:t>
      </w:r>
      <w:r w:rsidRPr="00C0774C">
        <w:rPr>
          <w:rFonts w:cs="Arial"/>
          <w:sz w:val="20"/>
          <w:szCs w:val="20"/>
        </w:rPr>
        <w:t xml:space="preserve">1972(2) SA 220 (SWA).  Exactly that solution is still in use under Rule 53 in South Africa, with </w:t>
      </w:r>
      <w:r w:rsidRPr="00C0774C">
        <w:rPr>
          <w:rFonts w:cs="Arial"/>
          <w:i/>
          <w:sz w:val="20"/>
          <w:szCs w:val="20"/>
        </w:rPr>
        <w:t xml:space="preserve">Pieters supra </w:t>
      </w:r>
      <w:r w:rsidRPr="00C0774C">
        <w:rPr>
          <w:rFonts w:cs="Arial"/>
          <w:sz w:val="20"/>
          <w:szCs w:val="20"/>
        </w:rPr>
        <w:t xml:space="preserve"> still the authority for it: see Erasmus </w:t>
      </w:r>
      <w:r w:rsidRPr="00C0774C">
        <w:rPr>
          <w:rFonts w:cs="Arial"/>
          <w:i/>
          <w:sz w:val="20"/>
          <w:szCs w:val="20"/>
        </w:rPr>
        <w:t xml:space="preserve">Superior Court Practice </w:t>
      </w:r>
      <w:r w:rsidRPr="00C0774C">
        <w:rPr>
          <w:rFonts w:cs="Arial"/>
          <w:sz w:val="20"/>
          <w:szCs w:val="20"/>
        </w:rPr>
        <w:t>(2</w:t>
      </w:r>
      <w:r w:rsidRPr="00C0774C">
        <w:rPr>
          <w:rFonts w:cs="Arial"/>
          <w:sz w:val="20"/>
          <w:szCs w:val="20"/>
          <w:vertAlign w:val="superscript"/>
        </w:rPr>
        <w:t>nd</w:t>
      </w:r>
      <w:r w:rsidRPr="00C0774C">
        <w:rPr>
          <w:rFonts w:cs="Arial"/>
          <w:sz w:val="20"/>
          <w:szCs w:val="20"/>
        </w:rPr>
        <w:t xml:space="preserve"> ed, 2017 rev.) D1-709.</w:t>
      </w:r>
    </w:p>
  </w:footnote>
  <w:footnote w:id="31">
    <w:p w:rsidR="000C7948" w:rsidRPr="00C0774C" w:rsidRDefault="000C7948" w:rsidP="00C0774C">
      <w:pPr>
        <w:pStyle w:val="FootnoteText"/>
        <w:jc w:val="both"/>
        <w:rPr>
          <w:rFonts w:cs="Arial"/>
          <w:i/>
          <w:sz w:val="20"/>
          <w:szCs w:val="20"/>
        </w:rPr>
      </w:pPr>
      <w:r w:rsidRPr="00C0774C">
        <w:rPr>
          <w:rStyle w:val="FootnoteReference"/>
          <w:rFonts w:cs="Arial"/>
          <w:sz w:val="20"/>
          <w:szCs w:val="20"/>
        </w:rPr>
        <w:footnoteRef/>
      </w:r>
      <w:r w:rsidRPr="00C0774C">
        <w:rPr>
          <w:rFonts w:cs="Arial"/>
          <w:sz w:val="20"/>
          <w:szCs w:val="20"/>
        </w:rPr>
        <w:t xml:space="preserve"> At 226A-B: “</w:t>
      </w:r>
      <w:r w:rsidRPr="00C0774C">
        <w:rPr>
          <w:rFonts w:cs="Arial"/>
          <w:i/>
          <w:sz w:val="20"/>
          <w:szCs w:val="20"/>
        </w:rPr>
        <w:t xml:space="preserve">by </w:t>
      </w:r>
      <w:r w:rsidRPr="00C0774C">
        <w:rPr>
          <w:rFonts w:cs="Arial"/>
          <w:b/>
          <w:i/>
          <w:sz w:val="20"/>
          <w:szCs w:val="20"/>
        </w:rPr>
        <w:t xml:space="preserve">production </w:t>
      </w:r>
      <w:r w:rsidRPr="00C0774C">
        <w:rPr>
          <w:rFonts w:cs="Arial"/>
          <w:i/>
          <w:sz w:val="20"/>
          <w:szCs w:val="20"/>
        </w:rPr>
        <w:t xml:space="preserve">to fill the gaps in the respondent’s record” </w:t>
      </w:r>
      <w:r w:rsidRPr="00C0774C">
        <w:rPr>
          <w:rFonts w:cs="Arial"/>
          <w:sz w:val="20"/>
          <w:szCs w:val="20"/>
        </w:rPr>
        <w:t xml:space="preserve">(our translation). </w:t>
      </w:r>
      <w:r w:rsidRPr="00C0774C">
        <w:rPr>
          <w:rFonts w:cs="Arial"/>
          <w:i/>
          <w:sz w:val="20"/>
          <w:szCs w:val="20"/>
        </w:rPr>
        <w:t xml:space="preserve">Voorlegging, </w:t>
      </w:r>
      <w:r w:rsidRPr="00C0774C">
        <w:rPr>
          <w:rFonts w:cs="Arial"/>
          <w:sz w:val="20"/>
          <w:szCs w:val="20"/>
        </w:rPr>
        <w:t xml:space="preserve">ie </w:t>
      </w:r>
      <w:r w:rsidRPr="00C0774C">
        <w:rPr>
          <w:rFonts w:cs="Arial"/>
          <w:i/>
          <w:sz w:val="20"/>
          <w:szCs w:val="20"/>
        </w:rPr>
        <w:t>production</w:t>
      </w:r>
      <w:r w:rsidRPr="00C0774C">
        <w:rPr>
          <w:rFonts w:cs="Arial"/>
          <w:sz w:val="20"/>
          <w:szCs w:val="20"/>
        </w:rPr>
        <w:t xml:space="preserve">, is reiterated at 227H </w:t>
      </w:r>
      <w:r w:rsidRPr="00C0774C">
        <w:rPr>
          <w:rFonts w:cs="Arial"/>
          <w:i/>
          <w:sz w:val="20"/>
          <w:szCs w:val="20"/>
        </w:rPr>
        <w:t>ad finem.</w:t>
      </w:r>
    </w:p>
  </w:footnote>
  <w:footnote w:id="32">
    <w:p w:rsidR="000C7948" w:rsidRPr="00C0774C" w:rsidRDefault="000C7948" w:rsidP="00C0774C">
      <w:pPr>
        <w:pStyle w:val="FootnoteText"/>
        <w:jc w:val="both"/>
        <w:rPr>
          <w:rFonts w:cs="Arial"/>
          <w:i/>
          <w:sz w:val="20"/>
          <w:szCs w:val="20"/>
        </w:rPr>
      </w:pPr>
      <w:r w:rsidRPr="00C0774C">
        <w:rPr>
          <w:rStyle w:val="FootnoteReference"/>
          <w:rFonts w:cs="Arial"/>
          <w:sz w:val="20"/>
          <w:szCs w:val="20"/>
        </w:rPr>
        <w:footnoteRef/>
      </w:r>
      <w:r w:rsidRPr="00C0774C">
        <w:rPr>
          <w:rFonts w:cs="Arial"/>
          <w:sz w:val="20"/>
          <w:szCs w:val="20"/>
        </w:rPr>
        <w:t xml:space="preserve">  At 227H </w:t>
      </w:r>
      <w:r w:rsidRPr="00C0774C">
        <w:rPr>
          <w:rFonts w:cs="Arial"/>
          <w:i/>
          <w:sz w:val="20"/>
          <w:szCs w:val="20"/>
        </w:rPr>
        <w:t>ad finem.</w:t>
      </w:r>
    </w:p>
  </w:footnote>
  <w:footnote w:id="33">
    <w:p w:rsidR="000C7948" w:rsidRPr="00C0774C" w:rsidRDefault="000C7948" w:rsidP="00C0774C">
      <w:pPr>
        <w:pStyle w:val="FootnoteText"/>
        <w:jc w:val="both"/>
        <w:rPr>
          <w:rFonts w:cs="Arial"/>
          <w:sz w:val="20"/>
          <w:szCs w:val="20"/>
        </w:rPr>
      </w:pPr>
      <w:r w:rsidRPr="00C0774C">
        <w:rPr>
          <w:rStyle w:val="FootnoteReference"/>
          <w:rFonts w:cs="Arial"/>
          <w:sz w:val="20"/>
          <w:szCs w:val="20"/>
        </w:rPr>
        <w:footnoteRef/>
      </w:r>
      <w:r w:rsidRPr="00C0774C">
        <w:rPr>
          <w:rFonts w:cs="Arial"/>
          <w:sz w:val="20"/>
          <w:szCs w:val="20"/>
        </w:rPr>
        <w:t xml:space="preserve"> At 228 C (“</w:t>
      </w:r>
      <w:r w:rsidRPr="00C0774C">
        <w:rPr>
          <w:rFonts w:cs="Arial"/>
          <w:i/>
          <w:sz w:val="20"/>
          <w:szCs w:val="20"/>
        </w:rPr>
        <w:t xml:space="preserve">production </w:t>
      </w:r>
      <w:r w:rsidRPr="00C0774C">
        <w:rPr>
          <w:rFonts w:cs="Arial"/>
          <w:b/>
          <w:i/>
          <w:sz w:val="20"/>
          <w:szCs w:val="20"/>
        </w:rPr>
        <w:t>not discovery</w:t>
      </w:r>
      <w:r w:rsidRPr="00C0774C">
        <w:rPr>
          <w:rFonts w:cs="Arial"/>
          <w:i/>
          <w:sz w:val="20"/>
          <w:szCs w:val="20"/>
        </w:rPr>
        <w:t xml:space="preserve"> of documents”: </w:t>
      </w:r>
      <w:r w:rsidRPr="00C0774C">
        <w:rPr>
          <w:rFonts w:cs="Arial"/>
          <w:sz w:val="20"/>
          <w:szCs w:val="20"/>
        </w:rPr>
        <w:t>our translation and emphasis).</w:t>
      </w:r>
    </w:p>
  </w:footnote>
  <w:footnote w:id="34">
    <w:p w:rsidR="000C7948" w:rsidRPr="00C0774C" w:rsidRDefault="000C7948" w:rsidP="00C0774C">
      <w:pPr>
        <w:rPr>
          <w:sz w:val="20"/>
          <w:szCs w:val="20"/>
        </w:rPr>
      </w:pPr>
      <w:r w:rsidRPr="00C0774C">
        <w:rPr>
          <w:rStyle w:val="FootnoteReference"/>
          <w:rFonts w:ascii="Arial" w:hAnsi="Arial" w:cs="Arial"/>
          <w:sz w:val="20"/>
          <w:szCs w:val="20"/>
        </w:rPr>
        <w:footnoteRef/>
      </w:r>
      <w:r w:rsidRPr="00C0774C">
        <w:rPr>
          <w:rFonts w:ascii="Arial" w:hAnsi="Arial" w:cs="Arial"/>
          <w:sz w:val="20"/>
          <w:szCs w:val="20"/>
        </w:rPr>
        <w:t xml:space="preserve"> </w:t>
      </w:r>
      <w:r w:rsidRPr="00C0774C">
        <w:rPr>
          <w:rFonts w:ascii="Arial" w:hAnsi="Arial" w:cs="Arial"/>
          <w:i/>
          <w:iCs/>
          <w:sz w:val="20"/>
          <w:szCs w:val="20"/>
        </w:rPr>
        <w:t>Competition Commission v Wilmar Continental Edible Oils and Fats (</w:t>
      </w:r>
      <w:r w:rsidRPr="00C0774C">
        <w:rPr>
          <w:rFonts w:ascii="Arial" w:hAnsi="Arial" w:cs="Arial"/>
          <w:i/>
          <w:iCs/>
          <w:color w:val="000000"/>
          <w:sz w:val="20"/>
          <w:szCs w:val="20"/>
          <w:shd w:val="clear" w:color="auto" w:fill="FFFFFF"/>
        </w:rPr>
        <w:t>Pty) Ltd and others</w:t>
      </w:r>
      <w:r w:rsidRPr="00C0774C">
        <w:rPr>
          <w:rFonts w:ascii="Arial" w:hAnsi="Arial" w:cs="Arial"/>
          <w:color w:val="000000"/>
          <w:sz w:val="20"/>
          <w:szCs w:val="20"/>
        </w:rPr>
        <w:br/>
      </w:r>
      <w:r w:rsidRPr="00C0774C">
        <w:rPr>
          <w:rFonts w:ascii="Arial" w:hAnsi="Arial" w:cs="Arial"/>
          <w:color w:val="000000"/>
          <w:sz w:val="20"/>
          <w:szCs w:val="20"/>
          <w:shd w:val="clear" w:color="auto" w:fill="FFFFFF"/>
        </w:rPr>
        <w:t>[2018] 3 All SA 517 (KZP)</w:t>
      </w:r>
      <w:r w:rsidRPr="00C0774C">
        <w:rPr>
          <w:rFonts w:ascii="Arial" w:hAnsi="Arial" w:cs="Arial"/>
          <w:sz w:val="20"/>
          <w:szCs w:val="20"/>
        </w:rPr>
        <w:t xml:space="preserve"> para 56</w:t>
      </w:r>
      <w:r>
        <w:rPr>
          <w:rFonts w:ascii="Arial" w:hAnsi="Arial" w:cs="Arial"/>
          <w:sz w:val="20"/>
          <w:szCs w:val="20"/>
        </w:rPr>
        <w:t>.</w:t>
      </w:r>
      <w:r w:rsidRPr="00C0774C">
        <w:rPr>
          <w:rFonts w:ascii="Arial" w:hAnsi="Arial" w:cs="Arial"/>
          <w:sz w:val="20"/>
          <w:szCs w:val="20"/>
        </w:rPr>
        <w:t xml:space="preserve"> </w:t>
      </w:r>
    </w:p>
  </w:footnote>
  <w:footnote w:id="35">
    <w:p w:rsidR="000C7948" w:rsidRPr="00394AA0" w:rsidRDefault="000C7948" w:rsidP="00C0774C">
      <w:pPr>
        <w:pStyle w:val="FootnoteText"/>
        <w:jc w:val="both"/>
        <w:rPr>
          <w:rFonts w:cs="Arial"/>
        </w:rPr>
      </w:pPr>
      <w:r w:rsidRPr="00C0774C">
        <w:rPr>
          <w:rStyle w:val="FootnoteReference"/>
          <w:rFonts w:cs="Arial"/>
          <w:sz w:val="20"/>
          <w:szCs w:val="20"/>
        </w:rPr>
        <w:footnoteRef/>
      </w:r>
      <w:r w:rsidRPr="00C0774C">
        <w:rPr>
          <w:rFonts w:cs="Arial"/>
          <w:sz w:val="20"/>
          <w:szCs w:val="20"/>
        </w:rPr>
        <w:t xml:space="preserve"> This is the rule in </w:t>
      </w:r>
      <w:r w:rsidRPr="00C0774C">
        <w:rPr>
          <w:rFonts w:cs="Arial"/>
          <w:i/>
          <w:sz w:val="20"/>
          <w:szCs w:val="20"/>
        </w:rPr>
        <w:t xml:space="preserve">Govan v Skidmore </w:t>
      </w:r>
      <w:r w:rsidRPr="00C0774C">
        <w:rPr>
          <w:rFonts w:cs="Arial"/>
          <w:sz w:val="20"/>
          <w:szCs w:val="20"/>
        </w:rPr>
        <w:t xml:space="preserve">1952 (1) SA 732 (N), followed in </w:t>
      </w:r>
      <w:r w:rsidRPr="00C0774C">
        <w:rPr>
          <w:rFonts w:cs="Arial"/>
          <w:i/>
          <w:iCs/>
          <w:sz w:val="20"/>
          <w:szCs w:val="20"/>
        </w:rPr>
        <w:t>M Pupkewitz &amp; Sons (Pty) Ltd t/a Pupkewitz Megabuilt v Kurz</w:t>
      </w:r>
      <w:r w:rsidRPr="00C0774C">
        <w:rPr>
          <w:rFonts w:cs="Arial"/>
          <w:sz w:val="20"/>
          <w:szCs w:val="20"/>
        </w:rPr>
        <w:t xml:space="preserve"> 2008 (2) NR 775 (SC) para 30.</w:t>
      </w:r>
    </w:p>
  </w:footnote>
  <w:footnote w:id="36">
    <w:p w:rsidR="000C7948" w:rsidRPr="00C0774C" w:rsidRDefault="000C7948" w:rsidP="00C0774C">
      <w:pPr>
        <w:pStyle w:val="FootnoteText"/>
        <w:jc w:val="both"/>
        <w:rPr>
          <w:rFonts w:cs="Arial"/>
          <w:sz w:val="20"/>
          <w:szCs w:val="20"/>
        </w:rPr>
      </w:pPr>
      <w:r w:rsidRPr="00C0774C">
        <w:rPr>
          <w:rStyle w:val="FootnoteReference"/>
          <w:rFonts w:cs="Arial"/>
          <w:sz w:val="20"/>
          <w:szCs w:val="20"/>
        </w:rPr>
        <w:footnoteRef/>
      </w:r>
      <w:r w:rsidRPr="00C0774C">
        <w:rPr>
          <w:rFonts w:cs="Arial"/>
          <w:sz w:val="20"/>
          <w:szCs w:val="20"/>
        </w:rPr>
        <w:t xml:space="preserve"> </w:t>
      </w:r>
      <w:r w:rsidRPr="00C0774C">
        <w:rPr>
          <w:rFonts w:cs="Arial"/>
          <w:i/>
          <w:sz w:val="20"/>
          <w:szCs w:val="20"/>
        </w:rPr>
        <w:t xml:space="preserve">Muller v The Master </w:t>
      </w:r>
      <w:r w:rsidRPr="00C0774C">
        <w:rPr>
          <w:rFonts w:cs="Arial"/>
          <w:sz w:val="20"/>
          <w:szCs w:val="20"/>
        </w:rPr>
        <w:t xml:space="preserve">1991(2) SA 217 (N) at 220D-F; </w:t>
      </w:r>
      <w:r w:rsidRPr="00C0774C">
        <w:rPr>
          <w:rFonts w:cs="Arial"/>
          <w:i/>
          <w:sz w:val="20"/>
          <w:szCs w:val="20"/>
        </w:rPr>
        <w:t xml:space="preserve">Ekuphumleni Resort (Pty) Ltd v Gambling and Betting Board, Eastern Cape </w:t>
      </w:r>
      <w:r w:rsidRPr="00C0774C">
        <w:rPr>
          <w:rFonts w:cs="Arial"/>
          <w:sz w:val="20"/>
          <w:szCs w:val="20"/>
        </w:rPr>
        <w:t>2010 (1) SA 228 (E) at 233D.</w:t>
      </w:r>
      <w:r w:rsidRPr="00C0774C">
        <w:rPr>
          <w:rFonts w:cs="Arial"/>
          <w:i/>
          <w:sz w:val="20"/>
          <w:szCs w:val="20"/>
        </w:rPr>
        <w:t xml:space="preserve">  </w:t>
      </w:r>
    </w:p>
  </w:footnote>
  <w:footnote w:id="37">
    <w:p w:rsidR="000C7948" w:rsidRPr="00C0774C" w:rsidRDefault="000C7948" w:rsidP="00C0774C">
      <w:pPr>
        <w:pStyle w:val="FootnoteText"/>
        <w:spacing w:after="120"/>
        <w:jc w:val="both"/>
        <w:rPr>
          <w:rFonts w:cs="Arial"/>
          <w:sz w:val="20"/>
          <w:szCs w:val="20"/>
        </w:rPr>
      </w:pPr>
      <w:r w:rsidRPr="00C0774C">
        <w:rPr>
          <w:rStyle w:val="FootnoteReference"/>
          <w:rFonts w:cs="Arial"/>
          <w:sz w:val="20"/>
          <w:szCs w:val="20"/>
        </w:rPr>
        <w:footnoteRef/>
      </w:r>
      <w:r w:rsidRPr="00C0774C">
        <w:rPr>
          <w:rFonts w:cs="Arial"/>
          <w:sz w:val="20"/>
          <w:szCs w:val="20"/>
        </w:rPr>
        <w:t xml:space="preserve"> This Court has said so: </w:t>
      </w:r>
      <w:r w:rsidRPr="00C0774C">
        <w:rPr>
          <w:rFonts w:cs="Arial"/>
          <w:i/>
          <w:sz w:val="20"/>
          <w:szCs w:val="20"/>
        </w:rPr>
        <w:t>South African Poultry Association and Others v Ministry of Trade and Industry and Others</w:t>
      </w:r>
      <w:r w:rsidRPr="00C0774C">
        <w:rPr>
          <w:rFonts w:cs="Arial"/>
          <w:sz w:val="20"/>
          <w:szCs w:val="20"/>
        </w:rPr>
        <w:t xml:space="preserve"> 2015 (1) NR 260 (HC) paras 39 - 41.</w:t>
      </w:r>
    </w:p>
  </w:footnote>
  <w:footnote w:id="38">
    <w:p w:rsidR="000C7948" w:rsidRPr="00C0774C" w:rsidRDefault="000C7948" w:rsidP="00C0774C">
      <w:pPr>
        <w:pStyle w:val="FootnoteText"/>
        <w:spacing w:after="120"/>
        <w:jc w:val="both"/>
        <w:rPr>
          <w:rFonts w:cs="Arial"/>
          <w:i/>
          <w:sz w:val="20"/>
          <w:szCs w:val="20"/>
        </w:rPr>
      </w:pPr>
      <w:r w:rsidRPr="00C0774C">
        <w:rPr>
          <w:rStyle w:val="FootnoteReference"/>
          <w:rFonts w:cs="Arial"/>
          <w:sz w:val="20"/>
          <w:szCs w:val="20"/>
        </w:rPr>
        <w:footnoteRef/>
      </w:r>
      <w:r w:rsidRPr="00C0774C">
        <w:rPr>
          <w:rFonts w:cs="Arial"/>
          <w:sz w:val="20"/>
          <w:szCs w:val="20"/>
        </w:rPr>
        <w:t xml:space="preserve"> </w:t>
      </w:r>
      <w:r w:rsidRPr="00C0774C">
        <w:rPr>
          <w:rFonts w:cs="Arial"/>
          <w:i/>
          <w:sz w:val="20"/>
          <w:szCs w:val="20"/>
        </w:rPr>
        <w:t>South African Poultry Association and Others v Ministry of Trade and Industry and Others</w:t>
      </w:r>
      <w:r w:rsidRPr="00C0774C">
        <w:rPr>
          <w:rFonts w:cs="Arial"/>
          <w:sz w:val="20"/>
          <w:szCs w:val="20"/>
        </w:rPr>
        <w:t xml:space="preserve"> 2015 (1) NR 260 (HC) paras 39 - 41. </w:t>
      </w:r>
      <w:r w:rsidRPr="00C0774C">
        <w:rPr>
          <w:rFonts w:cs="Arial"/>
          <w:i/>
          <w:sz w:val="20"/>
          <w:szCs w:val="20"/>
        </w:rPr>
        <w:t xml:space="preserve">“[39] …… observed that in — </w:t>
      </w:r>
    </w:p>
    <w:p w:rsidR="000C7948" w:rsidRPr="00C0774C" w:rsidRDefault="000C7948" w:rsidP="00C0774C">
      <w:pPr>
        <w:pStyle w:val="FootnoteText"/>
        <w:spacing w:after="120"/>
        <w:jc w:val="both"/>
        <w:rPr>
          <w:rFonts w:cs="Arial"/>
          <w:i/>
          <w:sz w:val="20"/>
          <w:szCs w:val="20"/>
        </w:rPr>
      </w:pPr>
      <w:r w:rsidRPr="00C0774C">
        <w:rPr>
          <w:rFonts w:cs="Arial"/>
          <w:i/>
          <w:sz w:val="20"/>
          <w:szCs w:val="20"/>
        </w:rPr>
        <w:t xml:space="preserve">[39] … [in] application proceedings we know that discovery is very, </w:t>
      </w:r>
      <w:r w:rsidRPr="00C0774C">
        <w:rPr>
          <w:rFonts w:cs="Arial"/>
          <w:i/>
          <w:sz w:val="20"/>
          <w:szCs w:val="20"/>
          <w:u w:val="single"/>
        </w:rPr>
        <w:t>very rare and unusual procedure to use and I have no doubt that that is a sound practice and it is only in exceptional circumstances . . . that discovery should be ordered in application proceedings'.</w:t>
      </w:r>
    </w:p>
    <w:p w:rsidR="000C7948" w:rsidRPr="00C0774C" w:rsidRDefault="000C7948" w:rsidP="00C0774C">
      <w:pPr>
        <w:pStyle w:val="FootnoteText"/>
        <w:spacing w:after="120"/>
        <w:jc w:val="both"/>
        <w:rPr>
          <w:rFonts w:cs="Arial"/>
          <w:i/>
          <w:sz w:val="20"/>
          <w:szCs w:val="20"/>
        </w:rPr>
      </w:pPr>
      <w:r w:rsidRPr="00C0774C">
        <w:rPr>
          <w:rFonts w:cs="Arial"/>
          <w:i/>
          <w:sz w:val="20"/>
          <w:szCs w:val="20"/>
        </w:rPr>
        <w:t xml:space="preserve">…… that </w:t>
      </w:r>
      <w:r w:rsidRPr="00C0774C">
        <w:rPr>
          <w:rFonts w:cs="Arial"/>
          <w:i/>
          <w:sz w:val="20"/>
          <w:szCs w:val="20"/>
          <w:u w:val="single"/>
        </w:rPr>
        <w:t>discovery would only be allowed in motion proceedings in 'exceptional circumstances'</w:t>
      </w:r>
      <w:r w:rsidRPr="00C0774C">
        <w:rPr>
          <w:rFonts w:cs="Arial"/>
          <w:i/>
          <w:sz w:val="20"/>
          <w:szCs w:val="20"/>
        </w:rPr>
        <w:t>...</w:t>
      </w:r>
    </w:p>
    <w:p w:rsidR="000C7948" w:rsidRPr="00C0774C" w:rsidRDefault="000C7948" w:rsidP="00C0774C">
      <w:pPr>
        <w:pStyle w:val="FootnoteText"/>
        <w:spacing w:after="120"/>
        <w:jc w:val="both"/>
        <w:rPr>
          <w:rFonts w:cs="Arial"/>
          <w:i/>
          <w:sz w:val="20"/>
          <w:szCs w:val="20"/>
        </w:rPr>
      </w:pPr>
      <w:r w:rsidRPr="00C0774C">
        <w:rPr>
          <w:rFonts w:cs="Arial"/>
          <w:i/>
          <w:sz w:val="20"/>
          <w:szCs w:val="20"/>
        </w:rPr>
        <w:t>[40] Even in the case of action proceedings, conscious of the oppressive effect that excessive and disproportionate discovery claims may have on parties engaged in litigation, the rule-maker has ordained that discovery must be 'proportionate to the</w:t>
      </w:r>
      <w:r w:rsidRPr="00015922">
        <w:rPr>
          <w:rFonts w:cs="Arial"/>
          <w:i/>
        </w:rPr>
        <w:t xml:space="preserve"> </w:t>
      </w:r>
      <w:r w:rsidRPr="00C0774C">
        <w:rPr>
          <w:rFonts w:cs="Arial"/>
          <w:i/>
          <w:sz w:val="20"/>
          <w:szCs w:val="20"/>
        </w:rPr>
        <w:t>needs of a case'. That makes the case for general discovery even harder in motion proceedings; and where asked is an indication of a fishing expedition.  Therefore, to obtain discovery in motion proceedings, the party seeking it must show exceptional circumstances and, as a rule, must make out the case for specific information or documents subject to relevance and proportionality to the needs of the case. Once such a case has been made out, the normal rule is 'full inspection'</w:t>
      </w:r>
    </w:p>
    <w:p w:rsidR="000C7948" w:rsidRPr="00C0774C" w:rsidRDefault="000C7948" w:rsidP="00C0774C">
      <w:pPr>
        <w:pStyle w:val="FootnoteText"/>
        <w:spacing w:after="120"/>
        <w:jc w:val="both"/>
        <w:rPr>
          <w:rFonts w:cs="Arial"/>
          <w:sz w:val="20"/>
          <w:szCs w:val="20"/>
        </w:rPr>
      </w:pPr>
      <w:r w:rsidRPr="00C0774C">
        <w:rPr>
          <w:rFonts w:cs="Arial"/>
          <w:i/>
          <w:sz w:val="20"/>
          <w:szCs w:val="20"/>
        </w:rPr>
        <w:t xml:space="preserve">[41] Against the above backdrop, </w:t>
      </w:r>
      <w:r w:rsidRPr="00C0774C">
        <w:rPr>
          <w:rFonts w:cs="Arial"/>
          <w:i/>
          <w:sz w:val="20"/>
          <w:szCs w:val="20"/>
          <w:u w:val="single"/>
        </w:rPr>
        <w:t>discovery entitlement in motion proceedings must be a rarity. It follows that there is no right to general   discovery such as is the case in</w:t>
      </w:r>
      <w:r w:rsidRPr="00015922">
        <w:rPr>
          <w:rFonts w:cs="Arial"/>
          <w:i/>
          <w:u w:val="single"/>
        </w:rPr>
        <w:t xml:space="preserve"> </w:t>
      </w:r>
      <w:r w:rsidRPr="00C0774C">
        <w:rPr>
          <w:rFonts w:cs="Arial"/>
          <w:i/>
          <w:sz w:val="20"/>
          <w:szCs w:val="20"/>
          <w:u w:val="single"/>
        </w:rPr>
        <w:t>action proceedings</w:t>
      </w:r>
      <w:r w:rsidRPr="00C0774C">
        <w:rPr>
          <w:rFonts w:cs="Arial"/>
          <w:i/>
          <w:sz w:val="20"/>
          <w:szCs w:val="20"/>
        </w:rPr>
        <w:t xml:space="preserve">” </w:t>
      </w:r>
      <w:r w:rsidRPr="00C0774C">
        <w:rPr>
          <w:rFonts w:cs="Arial"/>
          <w:iCs/>
          <w:sz w:val="20"/>
          <w:szCs w:val="20"/>
        </w:rPr>
        <w:t>(</w:t>
      </w:r>
      <w:r w:rsidRPr="00C0774C">
        <w:rPr>
          <w:rFonts w:cs="Arial"/>
          <w:sz w:val="20"/>
          <w:szCs w:val="20"/>
        </w:rPr>
        <w:t>our emphasis and</w:t>
      </w:r>
      <w:r w:rsidRPr="00C0774C">
        <w:rPr>
          <w:rFonts w:cs="Arial"/>
          <w:i/>
          <w:sz w:val="20"/>
          <w:szCs w:val="20"/>
        </w:rPr>
        <w:t xml:space="preserve"> </w:t>
      </w:r>
      <w:r w:rsidRPr="00C0774C">
        <w:rPr>
          <w:rFonts w:cs="Arial"/>
          <w:sz w:val="20"/>
          <w:szCs w:val="20"/>
        </w:rPr>
        <w:t>footnotes omitted.)</w:t>
      </w:r>
    </w:p>
  </w:footnote>
  <w:footnote w:id="39">
    <w:p w:rsidR="000C7948" w:rsidRPr="00C0774C" w:rsidRDefault="000C7948" w:rsidP="00C0774C">
      <w:pPr>
        <w:pStyle w:val="FootnoteText"/>
        <w:spacing w:after="120"/>
        <w:jc w:val="both"/>
        <w:rPr>
          <w:rFonts w:cs="Arial"/>
          <w:sz w:val="20"/>
          <w:szCs w:val="20"/>
          <w:lang w:val="en-ZA"/>
        </w:rPr>
      </w:pPr>
      <w:r w:rsidRPr="00C0774C">
        <w:rPr>
          <w:rStyle w:val="FootnoteReference"/>
          <w:rFonts w:cs="Arial"/>
          <w:sz w:val="20"/>
          <w:szCs w:val="20"/>
        </w:rPr>
        <w:footnoteRef/>
      </w:r>
      <w:r w:rsidRPr="00C0774C">
        <w:rPr>
          <w:rFonts w:cs="Arial"/>
          <w:sz w:val="20"/>
          <w:szCs w:val="20"/>
        </w:rPr>
        <w:t xml:space="preserve"> </w:t>
      </w:r>
      <w:r w:rsidRPr="00C0774C">
        <w:rPr>
          <w:rFonts w:cs="Arial"/>
          <w:sz w:val="20"/>
          <w:szCs w:val="20"/>
          <w:lang w:val="en-ZA" w:eastAsia="en-ZA"/>
        </w:rPr>
        <w:t xml:space="preserve">2015 (3) SA 386 (SCA) at 415G–417A. </w:t>
      </w:r>
      <w:r w:rsidRPr="00C0774C">
        <w:rPr>
          <w:rFonts w:cs="Arial"/>
          <w:sz w:val="20"/>
          <w:szCs w:val="20"/>
        </w:rPr>
        <w:t>S</w:t>
      </w:r>
      <w:r w:rsidRPr="00C0774C">
        <w:rPr>
          <w:rFonts w:cs="Arial"/>
          <w:sz w:val="20"/>
          <w:szCs w:val="20"/>
          <w:lang w:val="en-ZA" w:eastAsia="en-ZA"/>
        </w:rPr>
        <w:t xml:space="preserve">ee also </w:t>
      </w:r>
      <w:r w:rsidRPr="00C0774C">
        <w:rPr>
          <w:rFonts w:cs="Arial"/>
          <w:i/>
          <w:sz w:val="20"/>
          <w:szCs w:val="20"/>
          <w:lang w:val="en-ZA" w:eastAsia="en-ZA"/>
        </w:rPr>
        <w:t>Helen Suzman Foundation v Judicial</w:t>
      </w:r>
      <w:r w:rsidRPr="00C0774C">
        <w:rPr>
          <w:rFonts w:cs="Arial"/>
          <w:sz w:val="20"/>
          <w:szCs w:val="20"/>
          <w:lang w:val="en-ZA" w:eastAsia="en-ZA"/>
        </w:rPr>
        <w:t xml:space="preserve"> </w:t>
      </w:r>
      <w:r w:rsidRPr="00C0774C">
        <w:rPr>
          <w:rFonts w:cs="Arial"/>
          <w:i/>
          <w:sz w:val="20"/>
          <w:szCs w:val="20"/>
          <w:lang w:val="en-ZA" w:eastAsia="en-ZA"/>
        </w:rPr>
        <w:t>Service Commission</w:t>
      </w:r>
      <w:r w:rsidRPr="00C0774C">
        <w:rPr>
          <w:rFonts w:cs="Arial"/>
          <w:sz w:val="20"/>
          <w:szCs w:val="20"/>
          <w:lang w:val="en-ZA" w:eastAsia="en-ZA"/>
        </w:rPr>
        <w:t> 2018 (4) SA 1 (CC) the majority at 15B–C.</w:t>
      </w:r>
    </w:p>
  </w:footnote>
  <w:footnote w:id="40">
    <w:p w:rsidR="000C7948" w:rsidRPr="00C0774C" w:rsidRDefault="000C7948" w:rsidP="00C0774C">
      <w:pPr>
        <w:pStyle w:val="FootnoteText"/>
        <w:spacing w:after="120"/>
        <w:jc w:val="both"/>
        <w:rPr>
          <w:rFonts w:cs="Arial"/>
          <w:sz w:val="20"/>
          <w:szCs w:val="20"/>
          <w:lang w:val="en-ZA"/>
        </w:rPr>
      </w:pPr>
      <w:r w:rsidRPr="00C0774C">
        <w:rPr>
          <w:rStyle w:val="FootnoteReference"/>
          <w:rFonts w:cs="Arial"/>
          <w:sz w:val="20"/>
          <w:szCs w:val="20"/>
        </w:rPr>
        <w:footnoteRef/>
      </w:r>
      <w:r w:rsidRPr="00C0774C">
        <w:rPr>
          <w:rFonts w:cs="Arial"/>
          <w:sz w:val="20"/>
          <w:szCs w:val="20"/>
        </w:rPr>
        <w:t xml:space="preserve"> </w:t>
      </w:r>
      <w:r w:rsidRPr="00C0774C">
        <w:rPr>
          <w:rFonts w:cs="Arial"/>
          <w:color w:val="000000"/>
          <w:sz w:val="20"/>
          <w:szCs w:val="20"/>
        </w:rPr>
        <w:t xml:space="preserve">1970 (2) SA 89 (T) at 91G–92A followed in </w:t>
      </w:r>
      <w:r w:rsidRPr="00C0774C">
        <w:rPr>
          <w:rFonts w:cs="Arial"/>
          <w:i/>
          <w:sz w:val="20"/>
          <w:szCs w:val="20"/>
        </w:rPr>
        <w:t>Aonin Fishing (Pty) Ltd v Minister of Fisheries and</w:t>
      </w:r>
      <w:r w:rsidRPr="00C0774C">
        <w:rPr>
          <w:rFonts w:cs="Arial"/>
          <w:sz w:val="20"/>
          <w:szCs w:val="20"/>
        </w:rPr>
        <w:t xml:space="preserve"> </w:t>
      </w:r>
      <w:r w:rsidRPr="00C0774C">
        <w:rPr>
          <w:rFonts w:cs="Arial"/>
          <w:i/>
          <w:sz w:val="20"/>
          <w:szCs w:val="20"/>
        </w:rPr>
        <w:t>Marine Resources</w:t>
      </w:r>
      <w:r w:rsidRPr="00C0774C">
        <w:rPr>
          <w:rFonts w:cs="Arial"/>
          <w:sz w:val="20"/>
          <w:szCs w:val="20"/>
        </w:rPr>
        <w:t xml:space="preserve"> 1998 NR 147 (HC) at 150A-F.  See too: </w:t>
      </w:r>
      <w:r w:rsidRPr="00C0774C">
        <w:rPr>
          <w:rFonts w:cs="Arial"/>
          <w:i/>
          <w:sz w:val="20"/>
          <w:szCs w:val="20"/>
        </w:rPr>
        <w:t>Helen Suzman Foundation v Judicial Service Commission supra</w:t>
      </w:r>
      <w:r w:rsidRPr="00C0774C">
        <w:rPr>
          <w:rFonts w:cs="Arial"/>
          <w:sz w:val="20"/>
          <w:szCs w:val="20"/>
        </w:rPr>
        <w:t xml:space="preserve"> para 17.</w:t>
      </w:r>
    </w:p>
  </w:footnote>
  <w:footnote w:id="41">
    <w:p w:rsidR="000C7948" w:rsidRPr="00C0774C" w:rsidRDefault="000C7948" w:rsidP="00C0774C">
      <w:pPr>
        <w:pStyle w:val="FootnoteText"/>
        <w:jc w:val="both"/>
        <w:rPr>
          <w:rFonts w:cs="Arial"/>
          <w:sz w:val="20"/>
          <w:szCs w:val="20"/>
        </w:rPr>
      </w:pPr>
      <w:r w:rsidRPr="00C0774C">
        <w:rPr>
          <w:rStyle w:val="FootnoteReference"/>
          <w:rFonts w:cs="Arial"/>
          <w:sz w:val="20"/>
          <w:szCs w:val="20"/>
        </w:rPr>
        <w:footnoteRef/>
      </w:r>
      <w:r w:rsidRPr="00C0774C">
        <w:rPr>
          <w:rFonts w:cs="Arial"/>
          <w:sz w:val="20"/>
          <w:szCs w:val="20"/>
        </w:rPr>
        <w:t xml:space="preserve"> Thus see further the first authoritative text in this field: Rose-Innes </w:t>
      </w:r>
      <w:r w:rsidRPr="00C0774C">
        <w:rPr>
          <w:rFonts w:cs="Arial"/>
          <w:i/>
          <w:sz w:val="20"/>
          <w:szCs w:val="20"/>
        </w:rPr>
        <w:t xml:space="preserve">Judicial Review of Administrative Tribunals in South Africa </w:t>
      </w:r>
      <w:r w:rsidRPr="00C0774C">
        <w:rPr>
          <w:rFonts w:cs="Arial"/>
          <w:sz w:val="20"/>
          <w:szCs w:val="20"/>
        </w:rPr>
        <w:t>(1963) 25-6.</w:t>
      </w:r>
    </w:p>
  </w:footnote>
  <w:footnote w:id="42">
    <w:p w:rsidR="000C7948" w:rsidRPr="00C0774C" w:rsidRDefault="000C7948" w:rsidP="00C0774C">
      <w:pPr>
        <w:spacing w:after="120" w:line="240" w:lineRule="auto"/>
        <w:jc w:val="both"/>
        <w:rPr>
          <w:rFonts w:ascii="Arial" w:hAnsi="Arial" w:cs="Arial"/>
          <w:sz w:val="20"/>
          <w:szCs w:val="20"/>
        </w:rPr>
      </w:pPr>
      <w:r w:rsidRPr="00C0774C">
        <w:rPr>
          <w:rStyle w:val="FootnoteReference"/>
          <w:rFonts w:ascii="Arial" w:hAnsi="Arial" w:cs="Arial"/>
          <w:sz w:val="20"/>
          <w:szCs w:val="20"/>
        </w:rPr>
        <w:footnoteRef/>
      </w:r>
      <w:r w:rsidRPr="00C0774C">
        <w:rPr>
          <w:rFonts w:ascii="Arial" w:hAnsi="Arial" w:cs="Arial"/>
          <w:sz w:val="20"/>
          <w:szCs w:val="20"/>
        </w:rPr>
        <w:t xml:space="preserve"> </w:t>
      </w:r>
      <w:r w:rsidRPr="00C0774C">
        <w:rPr>
          <w:rFonts w:ascii="Arial" w:hAnsi="Arial" w:cs="Arial"/>
          <w:i/>
          <w:sz w:val="20"/>
          <w:szCs w:val="20"/>
          <w:shd w:val="clear" w:color="auto" w:fill="FFFFFF"/>
        </w:rPr>
        <w:t>Johannesburg City Council v Administrator Transvaal </w:t>
      </w:r>
      <w:r w:rsidRPr="00C0774C">
        <w:rPr>
          <w:rFonts w:ascii="Arial" w:hAnsi="Arial" w:cs="Arial"/>
          <w:sz w:val="20"/>
          <w:szCs w:val="20"/>
        </w:rPr>
        <w:t>1970 (2) SA 89</w:t>
      </w:r>
      <w:r w:rsidRPr="00C0774C">
        <w:rPr>
          <w:rFonts w:ascii="Arial" w:hAnsi="Arial" w:cs="Arial"/>
          <w:sz w:val="20"/>
          <w:szCs w:val="20"/>
          <w:shd w:val="clear" w:color="auto" w:fill="FFFFFF"/>
        </w:rPr>
        <w:t> (T); </w:t>
      </w:r>
      <w:r w:rsidRPr="00C0774C">
        <w:rPr>
          <w:rFonts w:ascii="Arial" w:hAnsi="Arial" w:cs="Arial"/>
          <w:i/>
          <w:sz w:val="20"/>
          <w:szCs w:val="20"/>
          <w:shd w:val="clear" w:color="auto" w:fill="FFFFFF"/>
        </w:rPr>
        <w:t>Lawyers for Human Rights v Rules Board for Courts of Law </w:t>
      </w:r>
      <w:r w:rsidRPr="00C0774C">
        <w:rPr>
          <w:rFonts w:ascii="Arial" w:hAnsi="Arial" w:cs="Arial"/>
          <w:sz w:val="20"/>
          <w:szCs w:val="20"/>
        </w:rPr>
        <w:t>2012 (3) All SA 153 (GNP)</w:t>
      </w:r>
      <w:r w:rsidRPr="00C0774C">
        <w:rPr>
          <w:rFonts w:ascii="Arial" w:hAnsi="Arial" w:cs="Arial"/>
          <w:sz w:val="20"/>
          <w:szCs w:val="20"/>
          <w:shd w:val="clear" w:color="auto" w:fill="FFFFFF"/>
        </w:rPr>
        <w:t xml:space="preserve"> para 22.</w:t>
      </w:r>
    </w:p>
  </w:footnote>
  <w:footnote w:id="43">
    <w:p w:rsidR="000C7948" w:rsidRPr="00C0774C" w:rsidRDefault="000C7948" w:rsidP="00C0774C">
      <w:pPr>
        <w:spacing w:after="120" w:line="240" w:lineRule="auto"/>
        <w:jc w:val="both"/>
        <w:rPr>
          <w:rFonts w:ascii="Arial" w:hAnsi="Arial" w:cs="Arial"/>
          <w:i/>
          <w:sz w:val="20"/>
          <w:szCs w:val="20"/>
        </w:rPr>
      </w:pPr>
      <w:r w:rsidRPr="00C0774C">
        <w:rPr>
          <w:rStyle w:val="FootnoteReference"/>
          <w:rFonts w:ascii="Arial" w:hAnsi="Arial" w:cs="Arial"/>
          <w:sz w:val="20"/>
          <w:szCs w:val="20"/>
        </w:rPr>
        <w:footnoteRef/>
      </w:r>
      <w:r w:rsidRPr="00C0774C">
        <w:rPr>
          <w:rFonts w:ascii="Arial" w:hAnsi="Arial" w:cs="Arial"/>
          <w:sz w:val="20"/>
          <w:szCs w:val="20"/>
        </w:rPr>
        <w:t xml:space="preserve"> </w:t>
      </w:r>
      <w:r w:rsidRPr="00C0774C">
        <w:rPr>
          <w:rFonts w:ascii="Arial" w:hAnsi="Arial" w:cs="Arial"/>
          <w:i/>
          <w:iCs/>
          <w:sz w:val="20"/>
          <w:szCs w:val="20"/>
          <w:shd w:val="clear" w:color="auto" w:fill="FFFFFF"/>
        </w:rPr>
        <w:t>Muller v The Master</w:t>
      </w:r>
      <w:r w:rsidRPr="00C0774C">
        <w:rPr>
          <w:rFonts w:ascii="Arial" w:hAnsi="Arial" w:cs="Arial"/>
          <w:iCs/>
          <w:sz w:val="20"/>
          <w:szCs w:val="20"/>
          <w:u w:val="single"/>
          <w:shd w:val="clear" w:color="auto" w:fill="FFFFFF"/>
        </w:rPr>
        <w:t> </w:t>
      </w:r>
      <w:r w:rsidRPr="00C0774C">
        <w:rPr>
          <w:rFonts w:ascii="Arial" w:hAnsi="Arial" w:cs="Arial"/>
          <w:sz w:val="20"/>
          <w:szCs w:val="20"/>
        </w:rPr>
        <w:t>1991 (2) SA 217</w:t>
      </w:r>
      <w:r w:rsidRPr="00C0774C">
        <w:rPr>
          <w:rFonts w:ascii="Arial" w:hAnsi="Arial" w:cs="Arial"/>
          <w:sz w:val="20"/>
          <w:szCs w:val="20"/>
          <w:shd w:val="clear" w:color="auto" w:fill="FFFFFF"/>
        </w:rPr>
        <w:t> (N); Erasmus</w:t>
      </w:r>
      <w:r w:rsidRPr="00C0774C">
        <w:rPr>
          <w:rFonts w:ascii="Arial" w:hAnsi="Arial" w:cs="Arial"/>
          <w:i/>
          <w:sz w:val="20"/>
          <w:szCs w:val="20"/>
          <w:shd w:val="clear" w:color="auto" w:fill="FFFFFF"/>
        </w:rPr>
        <w:t xml:space="preserve"> et al </w:t>
      </w:r>
      <w:r w:rsidRPr="00C0774C">
        <w:rPr>
          <w:rFonts w:ascii="Arial" w:hAnsi="Arial" w:cs="Arial"/>
          <w:sz w:val="20"/>
          <w:szCs w:val="20"/>
          <w:shd w:val="clear" w:color="auto" w:fill="FFFFFF"/>
        </w:rPr>
        <w:t>Superior</w:t>
      </w:r>
      <w:r w:rsidRPr="00C0774C">
        <w:rPr>
          <w:rFonts w:ascii="Arial" w:hAnsi="Arial" w:cs="Arial"/>
          <w:i/>
          <w:sz w:val="20"/>
          <w:szCs w:val="20"/>
          <w:shd w:val="clear" w:color="auto" w:fill="FFFFFF"/>
        </w:rPr>
        <w:t xml:space="preserve"> Court Practice </w:t>
      </w:r>
      <w:r w:rsidRPr="00C0774C">
        <w:rPr>
          <w:rFonts w:ascii="Arial" w:hAnsi="Arial" w:cs="Arial"/>
          <w:sz w:val="20"/>
          <w:szCs w:val="20"/>
          <w:shd w:val="clear" w:color="auto" w:fill="FFFFFF"/>
        </w:rPr>
        <w:t>(2</w:t>
      </w:r>
      <w:r w:rsidRPr="00C0774C">
        <w:rPr>
          <w:rFonts w:ascii="Arial" w:hAnsi="Arial" w:cs="Arial"/>
          <w:sz w:val="20"/>
          <w:szCs w:val="20"/>
          <w:shd w:val="clear" w:color="auto" w:fill="FFFFFF"/>
          <w:vertAlign w:val="superscript"/>
        </w:rPr>
        <w:t>nd</w:t>
      </w:r>
      <w:r w:rsidRPr="00C0774C">
        <w:rPr>
          <w:rFonts w:ascii="Arial" w:hAnsi="Arial" w:cs="Arial"/>
          <w:sz w:val="20"/>
          <w:szCs w:val="20"/>
          <w:shd w:val="clear" w:color="auto" w:fill="FFFFFF"/>
        </w:rPr>
        <w:t xml:space="preserve"> ed) D1-708</w:t>
      </w:r>
      <w:r w:rsidRPr="00C0774C">
        <w:rPr>
          <w:rFonts w:ascii="Arial" w:hAnsi="Arial" w:cs="Arial"/>
          <w:i/>
          <w:sz w:val="20"/>
          <w:szCs w:val="20"/>
          <w:shd w:val="clear" w:color="auto" w:fill="FFFFFF"/>
        </w:rPr>
        <w:t>.</w:t>
      </w:r>
    </w:p>
  </w:footnote>
  <w:footnote w:id="44">
    <w:p w:rsidR="000C7948" w:rsidRPr="004B3EDF" w:rsidRDefault="000C7948" w:rsidP="00C0774C">
      <w:pPr>
        <w:pStyle w:val="FootnoteText"/>
        <w:spacing w:after="120"/>
        <w:jc w:val="both"/>
        <w:rPr>
          <w:rFonts w:cs="Arial"/>
        </w:rPr>
      </w:pPr>
      <w:r w:rsidRPr="00C0774C">
        <w:rPr>
          <w:rStyle w:val="FootnoteReference"/>
          <w:rFonts w:cs="Arial"/>
          <w:i/>
          <w:sz w:val="20"/>
          <w:szCs w:val="20"/>
        </w:rPr>
        <w:footnoteRef/>
      </w:r>
      <w:r w:rsidRPr="00C0774C">
        <w:rPr>
          <w:rFonts w:cs="Arial"/>
          <w:i/>
          <w:sz w:val="20"/>
          <w:szCs w:val="20"/>
        </w:rPr>
        <w:t xml:space="preserve"> Telecom Namibia Ltd v Communications Regulatory Authority of Namibia</w:t>
      </w:r>
      <w:r w:rsidRPr="00C0774C">
        <w:rPr>
          <w:rFonts w:cs="Arial"/>
          <w:sz w:val="20"/>
          <w:szCs w:val="20"/>
          <w:u w:val="single"/>
        </w:rPr>
        <w:t xml:space="preserve"> </w:t>
      </w:r>
      <w:r w:rsidRPr="00C0774C">
        <w:rPr>
          <w:rFonts w:cs="Arial"/>
          <w:sz w:val="20"/>
          <w:szCs w:val="20"/>
        </w:rPr>
        <w:t xml:space="preserve"> 2015 (3) NR 747 (HC) para 8.</w:t>
      </w:r>
    </w:p>
  </w:footnote>
  <w:footnote w:id="45">
    <w:p w:rsidR="000C7948" w:rsidRPr="004001EE" w:rsidRDefault="000C7948" w:rsidP="00C0774C">
      <w:pPr>
        <w:pStyle w:val="FootnoteText"/>
        <w:spacing w:after="120"/>
        <w:jc w:val="both"/>
        <w:rPr>
          <w:rFonts w:cs="Arial"/>
          <w:sz w:val="20"/>
          <w:szCs w:val="20"/>
        </w:rPr>
      </w:pPr>
      <w:r w:rsidRPr="004001EE">
        <w:rPr>
          <w:rStyle w:val="FootnoteReference"/>
          <w:rFonts w:cs="Arial"/>
          <w:sz w:val="20"/>
          <w:szCs w:val="20"/>
        </w:rPr>
        <w:footnoteRef/>
      </w:r>
      <w:r w:rsidRPr="004001EE">
        <w:rPr>
          <w:rFonts w:cs="Arial"/>
          <w:sz w:val="20"/>
          <w:szCs w:val="20"/>
        </w:rPr>
        <w:t xml:space="preserve"> </w:t>
      </w:r>
      <w:bookmarkStart w:id="2" w:name="_Hlk10425682"/>
      <w:r w:rsidRPr="004001EE">
        <w:rPr>
          <w:rFonts w:cs="Arial"/>
          <w:i/>
          <w:sz w:val="20"/>
          <w:szCs w:val="20"/>
        </w:rPr>
        <w:t>Waltraut Fritzche t/a Reit Safari v Telecom Namibia Ltd</w:t>
      </w:r>
      <w:r w:rsidRPr="004001EE">
        <w:rPr>
          <w:rFonts w:cs="Arial"/>
          <w:sz w:val="20"/>
          <w:szCs w:val="20"/>
        </w:rPr>
        <w:t xml:space="preserve"> 2000 NR 201 (HC) at 205I quoting with approval </w:t>
      </w:r>
      <w:r w:rsidRPr="004001EE">
        <w:rPr>
          <w:rFonts w:cs="Arial"/>
          <w:i/>
          <w:sz w:val="20"/>
          <w:szCs w:val="20"/>
        </w:rPr>
        <w:t>Federal Wine and  Brandy Co Ltd v</w:t>
      </w:r>
      <w:r w:rsidRPr="004001EE">
        <w:rPr>
          <w:rFonts w:cs="Arial"/>
          <w:sz w:val="20"/>
          <w:szCs w:val="20"/>
        </w:rPr>
        <w:t xml:space="preserve"> </w:t>
      </w:r>
      <w:r w:rsidRPr="004001EE">
        <w:rPr>
          <w:rFonts w:cs="Arial"/>
          <w:i/>
          <w:sz w:val="20"/>
          <w:szCs w:val="20"/>
        </w:rPr>
        <w:t xml:space="preserve">Kantor </w:t>
      </w:r>
      <w:r w:rsidRPr="004001EE">
        <w:rPr>
          <w:rFonts w:cs="Arial"/>
          <w:sz w:val="20"/>
          <w:szCs w:val="20"/>
        </w:rPr>
        <w:t>1958 (4) SA 735 (E)</w:t>
      </w:r>
      <w:r w:rsidRPr="004001EE">
        <w:rPr>
          <w:rFonts w:cs="Arial"/>
          <w:color w:val="222222"/>
          <w:sz w:val="20"/>
          <w:szCs w:val="20"/>
          <w:lang w:eastAsia="en-ZA"/>
        </w:rPr>
        <w:t xml:space="preserve"> </w:t>
      </w:r>
      <w:r w:rsidRPr="004001EE">
        <w:rPr>
          <w:rFonts w:cs="Arial"/>
          <w:color w:val="222222"/>
          <w:sz w:val="20"/>
          <w:szCs w:val="20"/>
          <w:lang w:val="en-ZA" w:eastAsia="en-ZA"/>
        </w:rPr>
        <w:t>at 749H</w:t>
      </w:r>
      <w:r w:rsidRPr="004001EE">
        <w:rPr>
          <w:rFonts w:cs="Arial"/>
          <w:color w:val="222222"/>
          <w:sz w:val="20"/>
          <w:szCs w:val="20"/>
          <w:lang w:eastAsia="en-ZA"/>
        </w:rPr>
        <w:t>;</w:t>
      </w:r>
      <w:r w:rsidRPr="004001EE">
        <w:rPr>
          <w:rFonts w:cs="Arial"/>
          <w:sz w:val="20"/>
          <w:szCs w:val="20"/>
          <w:u w:val="single"/>
        </w:rPr>
        <w:t xml:space="preserve"> </w:t>
      </w:r>
      <w:r w:rsidRPr="004001EE">
        <w:rPr>
          <w:rFonts w:cs="Arial"/>
          <w:i/>
          <w:sz w:val="20"/>
          <w:szCs w:val="20"/>
        </w:rPr>
        <w:t>Marco Fishing</w:t>
      </w:r>
      <w:r w:rsidRPr="004001EE">
        <w:rPr>
          <w:rFonts w:cs="Arial"/>
          <w:sz w:val="20"/>
          <w:szCs w:val="20"/>
        </w:rPr>
        <w:t xml:space="preserve"> (</w:t>
      </w:r>
      <w:r w:rsidRPr="004001EE">
        <w:rPr>
          <w:rFonts w:cs="Arial"/>
          <w:i/>
          <w:sz w:val="20"/>
          <w:szCs w:val="20"/>
        </w:rPr>
        <w:t>Pty) Ltd v Government of</w:t>
      </w:r>
      <w:r w:rsidRPr="004001EE">
        <w:rPr>
          <w:rFonts w:cs="Arial"/>
          <w:sz w:val="20"/>
          <w:szCs w:val="20"/>
        </w:rPr>
        <w:t xml:space="preserve"> th</w:t>
      </w:r>
      <w:r w:rsidRPr="004001EE">
        <w:rPr>
          <w:rFonts w:cs="Arial"/>
          <w:i/>
          <w:sz w:val="20"/>
          <w:szCs w:val="20"/>
        </w:rPr>
        <w:t xml:space="preserve">e Republic of Namibia </w:t>
      </w:r>
      <w:r w:rsidRPr="004001EE">
        <w:rPr>
          <w:rFonts w:cs="Arial"/>
          <w:sz w:val="20"/>
          <w:szCs w:val="20"/>
        </w:rPr>
        <w:t xml:space="preserve">2008 (2) NR 742 (HC) para 33; </w:t>
      </w:r>
      <w:r w:rsidRPr="004001EE">
        <w:rPr>
          <w:rFonts w:cs="Arial"/>
          <w:i/>
          <w:sz w:val="20"/>
          <w:szCs w:val="20"/>
        </w:rPr>
        <w:t>Kanyama v Cupido</w:t>
      </w:r>
      <w:r w:rsidRPr="004001EE">
        <w:rPr>
          <w:rFonts w:cs="Arial"/>
          <w:sz w:val="20"/>
          <w:szCs w:val="20"/>
        </w:rPr>
        <w:t xml:space="preserve"> 2007 (1) NR 216 (HC).</w:t>
      </w:r>
      <w:bookmarkEnd w:id="2"/>
    </w:p>
  </w:footnote>
  <w:footnote w:id="46">
    <w:p w:rsidR="000C7948" w:rsidRPr="00D2473D" w:rsidRDefault="000C7948" w:rsidP="00D2473D">
      <w:pPr>
        <w:pStyle w:val="FootnoteText"/>
        <w:jc w:val="both"/>
        <w:rPr>
          <w:sz w:val="20"/>
          <w:szCs w:val="20"/>
          <w:lang w:val="en-US"/>
        </w:rPr>
      </w:pPr>
      <w:r w:rsidRPr="00D2473D">
        <w:rPr>
          <w:rStyle w:val="FootnoteReference"/>
          <w:sz w:val="20"/>
          <w:szCs w:val="20"/>
        </w:rPr>
        <w:footnoteRef/>
      </w:r>
      <w:r w:rsidRPr="00D2473D">
        <w:rPr>
          <w:sz w:val="20"/>
          <w:szCs w:val="20"/>
        </w:rPr>
        <w:t xml:space="preserve"> </w:t>
      </w:r>
      <w:r w:rsidRPr="00D2473D">
        <w:rPr>
          <w:sz w:val="20"/>
          <w:szCs w:val="20"/>
          <w:lang w:val="en-US"/>
        </w:rPr>
        <w:t>Compare also generally the comments mad</w:t>
      </w:r>
      <w:r>
        <w:rPr>
          <w:sz w:val="20"/>
          <w:szCs w:val="20"/>
          <w:lang w:val="en-US"/>
        </w:rPr>
        <w:t xml:space="preserve">e by the </w:t>
      </w:r>
      <w:r w:rsidRPr="00D05807">
        <w:rPr>
          <w:i/>
          <w:sz w:val="20"/>
          <w:szCs w:val="20"/>
          <w:lang w:val="en-US"/>
        </w:rPr>
        <w:t>Constitutional Court in</w:t>
      </w:r>
      <w:r w:rsidRPr="00D05807">
        <w:rPr>
          <w:i/>
        </w:rPr>
        <w:t xml:space="preserve"> </w:t>
      </w:r>
      <w:r w:rsidRPr="00D05807">
        <w:rPr>
          <w:i/>
          <w:sz w:val="20"/>
          <w:szCs w:val="20"/>
          <w:lang w:val="en-US"/>
        </w:rPr>
        <w:t>Helen Suzman Foundation v Judicial Service Commission and Others</w:t>
      </w:r>
      <w:r w:rsidRPr="00D05807">
        <w:rPr>
          <w:sz w:val="20"/>
          <w:szCs w:val="20"/>
          <w:lang w:val="en-US"/>
        </w:rPr>
        <w:t> 2017 (1) SA 367 (SCA)</w:t>
      </w:r>
      <w:r>
        <w:rPr>
          <w:sz w:val="20"/>
          <w:szCs w:val="20"/>
          <w:lang w:val="en-US"/>
        </w:rPr>
        <w:t xml:space="preserve"> on the South African Rule 53 where the Court stated</w:t>
      </w:r>
      <w:r w:rsidRPr="00D2473D">
        <w:rPr>
          <w:sz w:val="20"/>
          <w:szCs w:val="20"/>
          <w:lang w:val="en-US"/>
        </w:rPr>
        <w:t xml:space="preserve"> :</w:t>
      </w:r>
      <w:r w:rsidRPr="00D2473D">
        <w:rPr>
          <w:sz w:val="20"/>
          <w:szCs w:val="20"/>
        </w:rPr>
        <w:t xml:space="preserve"> </w:t>
      </w:r>
      <w:r>
        <w:rPr>
          <w:sz w:val="20"/>
          <w:szCs w:val="20"/>
          <w:lang w:val="en-US"/>
        </w:rPr>
        <w:t>‘</w:t>
      </w:r>
      <w:r w:rsidRPr="00D2473D">
        <w:rPr>
          <w:sz w:val="20"/>
          <w:szCs w:val="20"/>
          <w:lang w:val="en-US"/>
        </w:rPr>
        <w:t>[13] The primary purpose of the rule is to facilitate and regulate applications for review by granting the aggrieved party seeking to review a decision of an inferior court, administrative functio</w:t>
      </w:r>
      <w:r>
        <w:rPr>
          <w:sz w:val="20"/>
          <w:szCs w:val="20"/>
          <w:lang w:val="en-US"/>
        </w:rPr>
        <w:t xml:space="preserve">nary or state organ, </w:t>
      </w:r>
      <w:r w:rsidRPr="00D2473D">
        <w:rPr>
          <w:sz w:val="20"/>
          <w:szCs w:val="20"/>
          <w:lang w:val="en-US"/>
        </w:rPr>
        <w:t>access to the record of the proceedings in which the decision was made, to place the relevant eviden</w:t>
      </w:r>
      <w:r>
        <w:rPr>
          <w:sz w:val="20"/>
          <w:szCs w:val="20"/>
          <w:lang w:val="en-US"/>
        </w:rPr>
        <w:t xml:space="preserve">tial material before court. </w:t>
      </w:r>
      <w:r w:rsidRPr="00D2473D">
        <w:rPr>
          <w:sz w:val="20"/>
          <w:szCs w:val="20"/>
          <w:lang w:val="en-US"/>
        </w:rPr>
        <w:t>It is established in our law that the rule, which is intended to operate to the benefit of the app</w:t>
      </w:r>
      <w:r>
        <w:rPr>
          <w:sz w:val="20"/>
          <w:szCs w:val="20"/>
          <w:lang w:val="en-US"/>
        </w:rPr>
        <w:t>licant,</w:t>
      </w:r>
      <w:r w:rsidRPr="00D2473D">
        <w:rPr>
          <w:sz w:val="20"/>
          <w:szCs w:val="20"/>
          <w:lang w:val="en-US"/>
        </w:rPr>
        <w:t xml:space="preserve"> is an important tool in determining objectively what considerations were probably operative in the mind of the decision-maker when he or she made the decision sought to </w:t>
      </w:r>
      <w:r>
        <w:rPr>
          <w:sz w:val="20"/>
          <w:szCs w:val="20"/>
          <w:lang w:val="en-US"/>
        </w:rPr>
        <w:t xml:space="preserve">be reviewed. The applicant </w:t>
      </w:r>
      <w:r w:rsidRPr="00D2473D">
        <w:rPr>
          <w:sz w:val="20"/>
          <w:szCs w:val="20"/>
          <w:lang w:val="en-US"/>
        </w:rPr>
        <w:t>must be given access to the available information sufficient for it to make</w:t>
      </w:r>
      <w:r>
        <w:rPr>
          <w:sz w:val="20"/>
          <w:szCs w:val="20"/>
          <w:lang w:val="en-US"/>
        </w:rPr>
        <w:t xml:space="preserve"> </w:t>
      </w:r>
      <w:r w:rsidRPr="00D2473D">
        <w:rPr>
          <w:sz w:val="20"/>
          <w:szCs w:val="20"/>
          <w:lang w:val="en-US"/>
        </w:rPr>
        <w:t>its case and to place the parties on equal footin</w:t>
      </w:r>
      <w:r>
        <w:rPr>
          <w:sz w:val="20"/>
          <w:szCs w:val="20"/>
          <w:lang w:val="en-US"/>
        </w:rPr>
        <w:t xml:space="preserve">g in the assessment of the </w:t>
      </w:r>
      <w:r w:rsidRPr="00D2473D">
        <w:rPr>
          <w:sz w:val="20"/>
          <w:szCs w:val="20"/>
          <w:lang w:val="en-US"/>
        </w:rPr>
        <w:t>lawfulness and rat</w:t>
      </w:r>
      <w:r>
        <w:rPr>
          <w:sz w:val="20"/>
          <w:szCs w:val="20"/>
          <w:lang w:val="en-US"/>
        </w:rPr>
        <w:t xml:space="preserve">ionality of such decision. </w:t>
      </w:r>
      <w:r w:rsidRPr="00D2473D">
        <w:rPr>
          <w:sz w:val="20"/>
          <w:szCs w:val="20"/>
          <w:lang w:val="en-US"/>
        </w:rPr>
        <w:t>By facilitating access to the record of the proceedings under review, the rule enables the courts to perform their inherent review function to scrutinise the exercise of public power for compliance with constitutional prescripts. This, in turn, gives effect to a litigant's right in terms of s 34 of th</w:t>
      </w:r>
      <w:r>
        <w:rPr>
          <w:sz w:val="20"/>
          <w:szCs w:val="20"/>
          <w:lang w:val="en-US"/>
        </w:rPr>
        <w:t xml:space="preserve">e Constitution — to have a </w:t>
      </w:r>
      <w:r w:rsidRPr="00D2473D">
        <w:rPr>
          <w:sz w:val="20"/>
          <w:szCs w:val="20"/>
          <w:lang w:val="en-US"/>
        </w:rPr>
        <w:t xml:space="preserve">justiciable dispute decided in a fair public hearing before a court with all the issues </w:t>
      </w:r>
      <w:r>
        <w:rPr>
          <w:sz w:val="20"/>
          <w:szCs w:val="20"/>
          <w:lang w:val="en-US"/>
        </w:rPr>
        <w:t xml:space="preserve">being properly ventilated. </w:t>
      </w:r>
      <w:r w:rsidRPr="00D2473D">
        <w:rPr>
          <w:sz w:val="20"/>
          <w:szCs w:val="20"/>
          <w:lang w:val="en-US"/>
        </w:rPr>
        <w:t>Needless to say, it is unnecessary to furnish the whole record irrespective of whether or not it is relevant to the review. It is those portions of a record relevant to the decision in issue tha</w:t>
      </w:r>
      <w:r>
        <w:rPr>
          <w:sz w:val="20"/>
          <w:szCs w:val="20"/>
          <w:lang w:val="en-US"/>
        </w:rPr>
        <w:t>t should be made available.</w:t>
      </w:r>
      <w:r w:rsidRPr="00D2473D">
        <w:rPr>
          <w:sz w:val="20"/>
          <w:szCs w:val="20"/>
          <w:lang w:val="en-US"/>
        </w:rPr>
        <w:t xml:space="preserve"> A key enquiry in determining whether the recording should be furnished is therefore its relev</w:t>
      </w:r>
      <w:r>
        <w:rPr>
          <w:sz w:val="20"/>
          <w:szCs w:val="20"/>
          <w:lang w:val="en-US"/>
        </w:rPr>
        <w:t xml:space="preserve">ance to the </w:t>
      </w:r>
      <w:r w:rsidRPr="00D2473D">
        <w:rPr>
          <w:sz w:val="20"/>
          <w:szCs w:val="20"/>
          <w:lang w:val="en-US"/>
        </w:rPr>
        <w:t>decision sought to be reviewed.</w:t>
      </w:r>
      <w:r>
        <w:rPr>
          <w:sz w:val="20"/>
          <w:szCs w:val="20"/>
          <w:lang w:val="en-US"/>
        </w:rPr>
        <w:t>’</w:t>
      </w:r>
    </w:p>
  </w:footnote>
  <w:footnote w:id="47">
    <w:p w:rsidR="000C7948" w:rsidRPr="00C03C4D" w:rsidRDefault="000C7948" w:rsidP="006F11C8">
      <w:pPr>
        <w:pStyle w:val="FootnoteText"/>
        <w:rPr>
          <w:lang w:val="en-ZA"/>
        </w:rPr>
      </w:pPr>
      <w:r w:rsidRPr="00872B5D">
        <w:rPr>
          <w:rStyle w:val="FootnoteReference"/>
          <w:sz w:val="20"/>
          <w:szCs w:val="20"/>
        </w:rPr>
        <w:footnoteRef/>
      </w:r>
      <w:r w:rsidRPr="00872B5D">
        <w:rPr>
          <w:sz w:val="20"/>
          <w:szCs w:val="20"/>
        </w:rPr>
        <w:t xml:space="preserve"> </w:t>
      </w:r>
      <w:r w:rsidRPr="00872B5D">
        <w:rPr>
          <w:sz w:val="20"/>
          <w:szCs w:val="20"/>
          <w:lang w:val="en-ZA"/>
        </w:rPr>
        <w:t>Ibid [67] and [68]</w:t>
      </w:r>
      <w:r>
        <w:rPr>
          <w:sz w:val="20"/>
          <w:szCs w:val="20"/>
          <w:lang w:val="en-ZA"/>
        </w:rPr>
        <w:t>.</w:t>
      </w:r>
    </w:p>
  </w:footnote>
  <w:footnote w:id="48">
    <w:p w:rsidR="000C7948" w:rsidRPr="008D3E1A" w:rsidRDefault="000C7948">
      <w:pPr>
        <w:pStyle w:val="FootnoteText"/>
        <w:rPr>
          <w:sz w:val="20"/>
          <w:szCs w:val="20"/>
          <w:lang w:val="en-ZA"/>
        </w:rPr>
      </w:pPr>
      <w:r w:rsidRPr="00182875">
        <w:rPr>
          <w:rStyle w:val="FootnoteReference"/>
          <w:sz w:val="20"/>
          <w:szCs w:val="20"/>
        </w:rPr>
        <w:footnoteRef/>
      </w:r>
      <w:r w:rsidRPr="00182875">
        <w:rPr>
          <w:sz w:val="20"/>
          <w:szCs w:val="20"/>
        </w:rPr>
        <w:t xml:space="preserve"> </w:t>
      </w:r>
      <w:r w:rsidRPr="00182875">
        <w:rPr>
          <w:rFonts w:cs="Arial"/>
          <w:sz w:val="20"/>
          <w:szCs w:val="20"/>
        </w:rPr>
        <w:t>at [39] to [40]</w:t>
      </w:r>
      <w:r>
        <w:rPr>
          <w:rFonts w:cs="Arial"/>
          <w:sz w:val="20"/>
          <w:szCs w:val="20"/>
          <w:lang w:val="en-ZA"/>
        </w:rPr>
        <w:t>.</w:t>
      </w:r>
    </w:p>
  </w:footnote>
  <w:footnote w:id="49">
    <w:p w:rsidR="000C7948" w:rsidRPr="009632EB" w:rsidRDefault="000C7948" w:rsidP="009632EB">
      <w:pPr>
        <w:pStyle w:val="FootnoteText"/>
        <w:jc w:val="both"/>
        <w:rPr>
          <w:sz w:val="20"/>
          <w:szCs w:val="20"/>
        </w:rPr>
      </w:pPr>
      <w:r w:rsidRPr="009632EB">
        <w:rPr>
          <w:rStyle w:val="FootnoteReference"/>
          <w:sz w:val="20"/>
          <w:szCs w:val="20"/>
        </w:rPr>
        <w:footnoteRef/>
      </w:r>
      <w:r w:rsidRPr="009632EB">
        <w:rPr>
          <w:sz w:val="20"/>
          <w:szCs w:val="20"/>
        </w:rPr>
        <w:t xml:space="preserve"> In </w:t>
      </w:r>
      <w:r w:rsidRPr="009632EB">
        <w:rPr>
          <w:i/>
          <w:sz w:val="20"/>
          <w:szCs w:val="20"/>
        </w:rPr>
        <w:t xml:space="preserve">Jockey Club </w:t>
      </w:r>
      <w:r w:rsidRPr="009632EB">
        <w:rPr>
          <w:sz w:val="20"/>
          <w:szCs w:val="20"/>
        </w:rPr>
        <w:t>above n9 at 661G – H the court held:</w:t>
      </w:r>
      <w:r w:rsidRPr="009632EB">
        <w:rPr>
          <w:sz w:val="20"/>
          <w:szCs w:val="20"/>
          <w:lang w:val="en-US"/>
        </w:rPr>
        <w:t xml:space="preserve"> </w:t>
      </w:r>
      <w:r w:rsidRPr="009632EB">
        <w:rPr>
          <w:sz w:val="20"/>
          <w:szCs w:val="20"/>
        </w:rPr>
        <w:t>'More important in the present context is subrule (4), which enables the applicant, as of right and without the expense and delay of an interlocutory application, to amend, add to or vary the terms of his notice of motion and supplement the supporting affidavit.'</w:t>
      </w:r>
    </w:p>
  </w:footnote>
  <w:footnote w:id="50">
    <w:p w:rsidR="000C7948" w:rsidRPr="009632EB" w:rsidRDefault="000C7948" w:rsidP="009632EB">
      <w:pPr>
        <w:pStyle w:val="FootnoteText"/>
        <w:jc w:val="both"/>
        <w:rPr>
          <w:sz w:val="20"/>
          <w:szCs w:val="20"/>
        </w:rPr>
      </w:pPr>
      <w:r w:rsidRPr="009632EB">
        <w:rPr>
          <w:rStyle w:val="FootnoteReference"/>
          <w:sz w:val="20"/>
          <w:szCs w:val="20"/>
        </w:rPr>
        <w:footnoteRef/>
      </w:r>
      <w:r w:rsidRPr="009632EB">
        <w:rPr>
          <w:sz w:val="20"/>
          <w:szCs w:val="20"/>
        </w:rPr>
        <w:t xml:space="preserve"> </w:t>
      </w:r>
      <w:r w:rsidRPr="009632EB">
        <w:rPr>
          <w:i/>
          <w:sz w:val="20"/>
          <w:szCs w:val="20"/>
        </w:rPr>
        <w:t>Telcordia Technologies Inc v Telkom SA Ltd</w:t>
      </w:r>
      <w:r w:rsidRPr="009632EB">
        <w:rPr>
          <w:sz w:val="20"/>
          <w:szCs w:val="20"/>
        </w:rPr>
        <w:t> 2007 (3) SA 266 (SCA) (2007 (5) BCLR 503; [2007] 2 All SA 243; [2006] ZASCA 112) para 32:</w:t>
      </w:r>
      <w:r>
        <w:rPr>
          <w:sz w:val="20"/>
          <w:szCs w:val="20"/>
          <w:lang w:val="en-US"/>
        </w:rPr>
        <w:t xml:space="preserve"> </w:t>
      </w:r>
      <w:r w:rsidRPr="009632EB">
        <w:rPr>
          <w:sz w:val="20"/>
          <w:szCs w:val="20"/>
        </w:rPr>
        <w:t>'The grounds for any review as well as the facts and circumstances upon which the applicant wishes to rely have to be set out in the founding affidavit. These may be amplified in a supplementary founding affidavit after receipt of the record from the presiding officer, obviously based on the new information which has become available.'</w:t>
      </w:r>
    </w:p>
  </w:footnote>
  <w:footnote w:id="51">
    <w:p w:rsidR="000C7948" w:rsidRPr="009632EB" w:rsidRDefault="000C7948" w:rsidP="009632EB">
      <w:pPr>
        <w:pStyle w:val="FootnoteText"/>
        <w:jc w:val="both"/>
        <w:rPr>
          <w:sz w:val="20"/>
          <w:szCs w:val="20"/>
          <w:lang w:val="en-US"/>
        </w:rPr>
      </w:pPr>
      <w:r w:rsidRPr="009632EB">
        <w:rPr>
          <w:rStyle w:val="FootnoteReference"/>
          <w:sz w:val="20"/>
          <w:szCs w:val="20"/>
        </w:rPr>
        <w:footnoteRef/>
      </w:r>
      <w:r w:rsidRPr="009632EB">
        <w:rPr>
          <w:sz w:val="20"/>
          <w:szCs w:val="20"/>
        </w:rPr>
        <w:t xml:space="preserve"> Requesting the full record in a bona fide attempt to determine what factors were probably operative in the decision-maker's mind does not amount to a 'fishing excursion'. See Johannesburg City Council above n20 at 93C – D.</w:t>
      </w:r>
    </w:p>
  </w:footnote>
  <w:footnote w:id="52">
    <w:p w:rsidR="000C7948" w:rsidRPr="007A123D" w:rsidRDefault="000C7948" w:rsidP="007A123D">
      <w:pPr>
        <w:pStyle w:val="FootnoteText"/>
        <w:jc w:val="both"/>
        <w:rPr>
          <w:sz w:val="20"/>
          <w:szCs w:val="20"/>
          <w:lang w:val="en-ZA"/>
        </w:rPr>
      </w:pPr>
      <w:r w:rsidRPr="007A123D">
        <w:rPr>
          <w:rStyle w:val="FootnoteReference"/>
          <w:sz w:val="20"/>
          <w:szCs w:val="20"/>
        </w:rPr>
        <w:footnoteRef/>
      </w:r>
      <w:r w:rsidRPr="007A123D">
        <w:rPr>
          <w:sz w:val="20"/>
          <w:szCs w:val="20"/>
        </w:rPr>
        <w:t xml:space="preserve"> </w:t>
      </w:r>
      <w:r w:rsidRPr="007A123D">
        <w:rPr>
          <w:sz w:val="20"/>
          <w:szCs w:val="20"/>
          <w:lang w:val="en-ZA"/>
        </w:rPr>
        <w:t>The applicants sought access to the following documents in the Information Application:</w:t>
      </w:r>
    </w:p>
    <w:p w:rsidR="000C7948" w:rsidRPr="007A123D" w:rsidRDefault="000C7948" w:rsidP="007A123D">
      <w:pPr>
        <w:pStyle w:val="FootnoteText"/>
        <w:ind w:left="720"/>
        <w:jc w:val="both"/>
        <w:rPr>
          <w:sz w:val="20"/>
          <w:szCs w:val="20"/>
        </w:rPr>
      </w:pPr>
      <w:r w:rsidRPr="007A123D">
        <w:rPr>
          <w:sz w:val="20"/>
          <w:szCs w:val="20"/>
        </w:rPr>
        <w:t>1.1</w:t>
      </w:r>
      <w:r w:rsidRPr="007A123D">
        <w:rPr>
          <w:sz w:val="20"/>
          <w:szCs w:val="20"/>
        </w:rPr>
        <w:tab/>
        <w:t xml:space="preserve">All regulatory impact assessments or cost-benefit analyses which the first respondent and/or those advising him considered and/or used before the first respondent published the proposed Notices and amended Regulations under the Namibia National Reinsurance Corporation Act, 22 of 1998, including but not limited to the specific percentages, on 14 February 2017. </w:t>
      </w:r>
    </w:p>
    <w:p w:rsidR="000C7948" w:rsidRPr="007A123D" w:rsidRDefault="000C7948" w:rsidP="007A123D">
      <w:pPr>
        <w:pStyle w:val="FootnoteText"/>
        <w:ind w:left="720"/>
        <w:jc w:val="both"/>
        <w:rPr>
          <w:sz w:val="20"/>
          <w:szCs w:val="20"/>
        </w:rPr>
      </w:pPr>
      <w:r w:rsidRPr="007A123D">
        <w:rPr>
          <w:sz w:val="20"/>
          <w:szCs w:val="20"/>
        </w:rPr>
        <w:t xml:space="preserve">1.2 </w:t>
      </w:r>
      <w:r w:rsidRPr="007A123D">
        <w:rPr>
          <w:sz w:val="20"/>
          <w:szCs w:val="20"/>
        </w:rPr>
        <w:tab/>
        <w:t xml:space="preserve">All financial reports which the first respondent and/or those advising him considered and/or used before the first respondent published the proposed Notices and amended Regulations under the Namibia National Reinsurance Corporation Act, 22 of 1998, including but not limited to the specific percentages, on 14 February 2017. </w:t>
      </w:r>
    </w:p>
    <w:p w:rsidR="000C7948" w:rsidRPr="007A123D" w:rsidRDefault="000C7948" w:rsidP="007A123D">
      <w:pPr>
        <w:pStyle w:val="FootnoteText"/>
        <w:ind w:left="720"/>
        <w:jc w:val="both"/>
        <w:rPr>
          <w:sz w:val="20"/>
          <w:szCs w:val="20"/>
        </w:rPr>
      </w:pPr>
      <w:r w:rsidRPr="007A123D">
        <w:rPr>
          <w:sz w:val="20"/>
          <w:szCs w:val="20"/>
        </w:rPr>
        <w:t xml:space="preserve">1.3 </w:t>
      </w:r>
      <w:r w:rsidRPr="007A123D">
        <w:rPr>
          <w:sz w:val="20"/>
          <w:szCs w:val="20"/>
        </w:rPr>
        <w:tab/>
        <w:t xml:space="preserve">Feasibility study reports which the first respondent and/or those advising him considered and/or used before the first respondent published the proposed Notices and amended Regulations under the Namibia National Reinsurance Corporation Act, 22 of 1998, including but not limited to the specific percentages, on 14 February 2017. </w:t>
      </w:r>
    </w:p>
    <w:p w:rsidR="000C7948" w:rsidRPr="007A123D" w:rsidRDefault="000C7948" w:rsidP="007A123D">
      <w:pPr>
        <w:pStyle w:val="FootnoteText"/>
        <w:ind w:left="720"/>
        <w:jc w:val="both"/>
        <w:rPr>
          <w:sz w:val="20"/>
          <w:szCs w:val="20"/>
        </w:rPr>
      </w:pPr>
      <w:r w:rsidRPr="007A123D">
        <w:rPr>
          <w:sz w:val="20"/>
          <w:szCs w:val="20"/>
        </w:rPr>
        <w:t xml:space="preserve">1.4 </w:t>
      </w:r>
      <w:r w:rsidRPr="007A123D">
        <w:rPr>
          <w:sz w:val="20"/>
          <w:szCs w:val="20"/>
        </w:rPr>
        <w:tab/>
        <w:t xml:space="preserve">Actuarial reports which the Minister and/or those advising him received, considered and/or used before the first respondent published the proposed Notices and amended Regulations under the Namibia National Reinsurance Corporation Act, 22 of 1998, including but not limited to the specific percentages, on 14 February 2017. </w:t>
      </w:r>
    </w:p>
    <w:p w:rsidR="000C7948" w:rsidRPr="007A123D" w:rsidRDefault="000C7948" w:rsidP="007A123D">
      <w:pPr>
        <w:pStyle w:val="FootnoteText"/>
        <w:ind w:left="720"/>
        <w:jc w:val="both"/>
        <w:rPr>
          <w:sz w:val="20"/>
          <w:szCs w:val="20"/>
        </w:rPr>
      </w:pPr>
      <w:r w:rsidRPr="007A123D">
        <w:rPr>
          <w:sz w:val="20"/>
          <w:szCs w:val="20"/>
        </w:rPr>
        <w:t xml:space="preserve">1.5 </w:t>
      </w:r>
      <w:r w:rsidRPr="007A123D">
        <w:rPr>
          <w:sz w:val="20"/>
          <w:szCs w:val="20"/>
        </w:rPr>
        <w:tab/>
        <w:t xml:space="preserve">Micro and macroeconomic impact study reports (on consumers, the insurance industry, and the broader Namibian economy) which the Minister and/or those advising him considered and/or used before the first respondent published the proposed Notices and amended Regulations under the Namibia National Reinsurance Corporation Act, 22 of 1998, including but not limited to the specific percentages, on 14 February 2017. </w:t>
      </w:r>
    </w:p>
    <w:p w:rsidR="000C7948" w:rsidRPr="007A123D" w:rsidRDefault="000C7948" w:rsidP="007A123D">
      <w:pPr>
        <w:pStyle w:val="FootnoteText"/>
        <w:ind w:left="720"/>
        <w:jc w:val="both"/>
        <w:rPr>
          <w:sz w:val="20"/>
          <w:szCs w:val="20"/>
        </w:rPr>
      </w:pPr>
      <w:r w:rsidRPr="007A123D">
        <w:rPr>
          <w:sz w:val="20"/>
          <w:szCs w:val="20"/>
        </w:rPr>
        <w:t xml:space="preserve">1.6 </w:t>
      </w:r>
      <w:r w:rsidRPr="007A123D">
        <w:rPr>
          <w:sz w:val="20"/>
          <w:szCs w:val="20"/>
        </w:rPr>
        <w:tab/>
        <w:t xml:space="preserve">Comparative studies on the social and economic impact of similar initiatives sub-regionally, regionally, and/or internationally which the Minister and/or those advising him considered and/or used before the first respondent published the proposed Notices and amended Regulations under the Namibia National Reinsurance Corporation Act, 22 of 1998, including but not limited to the specific percentages, on 14 February 2017. </w:t>
      </w:r>
    </w:p>
    <w:p w:rsidR="000C7948" w:rsidRPr="007A123D" w:rsidRDefault="000C7948" w:rsidP="007A123D">
      <w:pPr>
        <w:pStyle w:val="FootnoteText"/>
        <w:ind w:left="720"/>
        <w:jc w:val="both"/>
        <w:rPr>
          <w:sz w:val="20"/>
          <w:szCs w:val="20"/>
        </w:rPr>
      </w:pPr>
      <w:r w:rsidRPr="007A123D">
        <w:rPr>
          <w:sz w:val="20"/>
          <w:szCs w:val="20"/>
        </w:rPr>
        <w:t xml:space="preserve">1.7 </w:t>
      </w:r>
      <w:r w:rsidRPr="007A123D">
        <w:rPr>
          <w:sz w:val="20"/>
          <w:szCs w:val="20"/>
        </w:rPr>
        <w:tab/>
        <w:t xml:space="preserve">All further documents, representations or reports in the first respondent’s possession or under his control that would allow the applicants to understand why exactly the first respondent proposed what he did on 14 February 2017 in the proposed Notices and amended Regulations under the Namibia National Reinsurance Corporation Act, 22 of 1998, including but not limited to the specific percentages. </w:t>
      </w:r>
    </w:p>
  </w:footnote>
  <w:footnote w:id="53">
    <w:p w:rsidR="000C7948" w:rsidRPr="007A123D" w:rsidRDefault="000C7948" w:rsidP="007A123D">
      <w:pPr>
        <w:pStyle w:val="FootnoteText"/>
        <w:jc w:val="both"/>
        <w:rPr>
          <w:b/>
          <w:sz w:val="20"/>
          <w:szCs w:val="20"/>
          <w:u w:val="single"/>
          <w:lang w:val="en-ZA"/>
        </w:rPr>
      </w:pPr>
      <w:r w:rsidRPr="007A123D">
        <w:rPr>
          <w:rStyle w:val="FootnoteReference"/>
          <w:sz w:val="20"/>
          <w:szCs w:val="20"/>
        </w:rPr>
        <w:footnoteRef/>
      </w:r>
      <w:r w:rsidRPr="007A123D">
        <w:rPr>
          <w:sz w:val="20"/>
          <w:szCs w:val="20"/>
        </w:rPr>
        <w:t xml:space="preserve"> </w:t>
      </w:r>
      <w:r w:rsidRPr="007A123D">
        <w:rPr>
          <w:sz w:val="20"/>
          <w:szCs w:val="20"/>
          <w:lang w:val="en-ZA"/>
        </w:rPr>
        <w:t>See Aonin’s case 150A-F and the authorities on which it is based as referred to above</w:t>
      </w:r>
    </w:p>
  </w:footnote>
  <w:footnote w:id="54">
    <w:p w:rsidR="000C7948" w:rsidRPr="00570268" w:rsidRDefault="000C7948" w:rsidP="007A123D">
      <w:pPr>
        <w:pStyle w:val="FootnoteText"/>
        <w:jc w:val="both"/>
        <w:rPr>
          <w:lang w:val="en-ZA"/>
        </w:rPr>
      </w:pPr>
      <w:r w:rsidRPr="007A123D">
        <w:rPr>
          <w:rStyle w:val="FootnoteReference"/>
          <w:sz w:val="20"/>
          <w:szCs w:val="20"/>
        </w:rPr>
        <w:footnoteRef/>
      </w:r>
      <w:r w:rsidRPr="007A123D">
        <w:rPr>
          <w:sz w:val="20"/>
          <w:szCs w:val="20"/>
        </w:rPr>
        <w:t xml:space="preserve"> Aonin’s case </w:t>
      </w:r>
      <w:r w:rsidRPr="007A123D">
        <w:rPr>
          <w:sz w:val="20"/>
          <w:szCs w:val="20"/>
          <w:lang w:val="en-ZA"/>
        </w:rPr>
        <w:t>150 E-F</w:t>
      </w:r>
      <w:r>
        <w:rPr>
          <w:sz w:val="20"/>
          <w:szCs w:val="20"/>
          <w:lang w:val="en-ZA"/>
        </w:rPr>
        <w:t>.</w:t>
      </w:r>
    </w:p>
  </w:footnote>
  <w:footnote w:id="55">
    <w:p w:rsidR="000C7948" w:rsidRPr="00F171E5" w:rsidRDefault="000C7948" w:rsidP="007A123D">
      <w:pPr>
        <w:pStyle w:val="FootnoteText"/>
        <w:rPr>
          <w:sz w:val="20"/>
          <w:szCs w:val="20"/>
          <w:lang w:val="en-ZA"/>
        </w:rPr>
      </w:pPr>
      <w:r w:rsidRPr="00F171E5">
        <w:rPr>
          <w:rStyle w:val="FootnoteReference"/>
          <w:sz w:val="20"/>
          <w:szCs w:val="20"/>
        </w:rPr>
        <w:footnoteRef/>
      </w:r>
      <w:r w:rsidRPr="00F171E5">
        <w:rPr>
          <w:sz w:val="20"/>
          <w:szCs w:val="20"/>
        </w:rPr>
        <w:t xml:space="preserve"> </w:t>
      </w:r>
      <w:r w:rsidRPr="00F171E5">
        <w:rPr>
          <w:sz w:val="20"/>
          <w:szCs w:val="20"/>
          <w:u w:val="single"/>
          <w:lang w:val="en-ZA"/>
        </w:rPr>
        <w:t>Helen Suzman Foundation</w:t>
      </w:r>
      <w:r w:rsidRPr="00F171E5">
        <w:rPr>
          <w:sz w:val="20"/>
          <w:szCs w:val="20"/>
          <w:lang w:val="en-ZA"/>
        </w:rPr>
        <w:t xml:space="preserve"> </w:t>
      </w:r>
      <w:r w:rsidRPr="00F171E5">
        <w:rPr>
          <w:i/>
          <w:sz w:val="20"/>
          <w:szCs w:val="20"/>
          <w:lang w:val="en-ZA"/>
        </w:rPr>
        <w:t>supra</w:t>
      </w:r>
      <w:r w:rsidRPr="00F171E5">
        <w:rPr>
          <w:sz w:val="20"/>
          <w:szCs w:val="20"/>
          <w:lang w:val="en-ZA"/>
        </w:rPr>
        <w:t xml:space="preserve"> at par 26</w:t>
      </w:r>
      <w:r>
        <w:rPr>
          <w:sz w:val="20"/>
          <w:szCs w:val="20"/>
          <w:lang w:val="en-ZA"/>
        </w:rPr>
        <w:t>.</w:t>
      </w:r>
    </w:p>
  </w:footnote>
  <w:footnote w:id="56">
    <w:p w:rsidR="000C7948" w:rsidRPr="00F171E5" w:rsidRDefault="000C7948" w:rsidP="007A123D">
      <w:pPr>
        <w:pStyle w:val="FootnoteText"/>
        <w:rPr>
          <w:sz w:val="20"/>
          <w:szCs w:val="20"/>
          <w:lang w:val="en-ZA"/>
        </w:rPr>
      </w:pPr>
      <w:r w:rsidRPr="00F171E5">
        <w:rPr>
          <w:rStyle w:val="FootnoteReference"/>
          <w:sz w:val="20"/>
          <w:szCs w:val="20"/>
        </w:rPr>
        <w:footnoteRef/>
      </w:r>
      <w:r w:rsidRPr="00F171E5">
        <w:rPr>
          <w:sz w:val="20"/>
          <w:szCs w:val="20"/>
        </w:rPr>
        <w:t xml:space="preserve"> </w:t>
      </w:r>
      <w:r w:rsidRPr="00F171E5">
        <w:rPr>
          <w:sz w:val="20"/>
          <w:szCs w:val="20"/>
          <w:lang w:val="en-ZA"/>
        </w:rPr>
        <w:t>Founding Affidavit in review, par 26.  Also see Annexure “JL3” to that affidavit</w:t>
      </w:r>
      <w:r>
        <w:rPr>
          <w:sz w:val="20"/>
          <w:szCs w:val="20"/>
          <w:lang w:val="en-ZA"/>
        </w:rPr>
        <w:t>.</w:t>
      </w:r>
    </w:p>
  </w:footnote>
  <w:footnote w:id="57">
    <w:p w:rsidR="000C7948" w:rsidRPr="00F171E5" w:rsidRDefault="000C7948" w:rsidP="007A123D">
      <w:pPr>
        <w:pStyle w:val="FootnoteText"/>
        <w:rPr>
          <w:sz w:val="20"/>
          <w:szCs w:val="20"/>
          <w:lang w:val="en-ZA"/>
        </w:rPr>
      </w:pPr>
      <w:r w:rsidRPr="00F171E5">
        <w:rPr>
          <w:rStyle w:val="FootnoteReference"/>
          <w:sz w:val="20"/>
          <w:szCs w:val="20"/>
        </w:rPr>
        <w:footnoteRef/>
      </w:r>
      <w:r w:rsidRPr="00F171E5">
        <w:rPr>
          <w:sz w:val="20"/>
          <w:szCs w:val="20"/>
        </w:rPr>
        <w:t xml:space="preserve"> </w:t>
      </w:r>
      <w:r w:rsidRPr="00F171E5">
        <w:rPr>
          <w:sz w:val="20"/>
          <w:szCs w:val="20"/>
          <w:lang w:val="en-ZA"/>
        </w:rPr>
        <w:t>Minister press release of 14 February 2017, Founding affidavit in review, Annexure “JL8”, par 4</w:t>
      </w:r>
      <w:r>
        <w:rPr>
          <w:sz w:val="20"/>
          <w:szCs w:val="20"/>
          <w:lang w:val="en-ZA"/>
        </w:rPr>
        <w:t>.</w:t>
      </w:r>
    </w:p>
  </w:footnote>
  <w:footnote w:id="58">
    <w:p w:rsidR="000C7948" w:rsidRPr="003536FC" w:rsidRDefault="000C7948" w:rsidP="007A123D">
      <w:pPr>
        <w:pStyle w:val="FootnoteText"/>
        <w:rPr>
          <w:lang w:val="en-ZA"/>
        </w:rPr>
      </w:pPr>
      <w:r w:rsidRPr="00F171E5">
        <w:rPr>
          <w:rStyle w:val="FootnoteReference"/>
          <w:sz w:val="20"/>
          <w:szCs w:val="20"/>
        </w:rPr>
        <w:footnoteRef/>
      </w:r>
      <w:r w:rsidRPr="00F171E5">
        <w:rPr>
          <w:sz w:val="20"/>
          <w:szCs w:val="20"/>
        </w:rPr>
        <w:t xml:space="preserve"> </w:t>
      </w:r>
      <w:r w:rsidRPr="00F171E5">
        <w:rPr>
          <w:sz w:val="20"/>
          <w:szCs w:val="20"/>
          <w:lang w:val="en-ZA"/>
        </w:rPr>
        <w:t>Founding affidavit in discovery application, par 8.3.3</w:t>
      </w:r>
      <w:r>
        <w:rPr>
          <w:sz w:val="20"/>
          <w:szCs w:val="20"/>
          <w:lang w:val="en-ZA"/>
        </w:rPr>
        <w:t>.</w:t>
      </w:r>
    </w:p>
  </w:footnote>
  <w:footnote w:id="59">
    <w:p w:rsidR="000C7948" w:rsidRPr="00F171E5" w:rsidRDefault="000C7948" w:rsidP="00F171E5">
      <w:pPr>
        <w:pStyle w:val="FootnoteText"/>
        <w:jc w:val="both"/>
        <w:rPr>
          <w:sz w:val="20"/>
          <w:szCs w:val="20"/>
          <w:u w:val="single"/>
          <w:lang w:val="en-ZA"/>
        </w:rPr>
      </w:pPr>
      <w:r w:rsidRPr="00F171E5">
        <w:rPr>
          <w:rStyle w:val="FootnoteReference"/>
          <w:sz w:val="20"/>
          <w:szCs w:val="20"/>
        </w:rPr>
        <w:footnoteRef/>
      </w:r>
      <w:r w:rsidRPr="00F171E5">
        <w:rPr>
          <w:sz w:val="20"/>
          <w:szCs w:val="20"/>
        </w:rPr>
        <w:t xml:space="preserve"> </w:t>
      </w:r>
      <w:r w:rsidRPr="00F171E5">
        <w:rPr>
          <w:i/>
          <w:sz w:val="20"/>
          <w:szCs w:val="20"/>
          <w:u w:val="single"/>
          <w:lang w:val="en-ZA"/>
        </w:rPr>
        <w:t>Consolidated Power Projects Namibia (Pty) Ltd v Namibia Power Corporation and others</w:t>
      </w:r>
      <w:r w:rsidRPr="00F171E5">
        <w:rPr>
          <w:i/>
          <w:sz w:val="20"/>
          <w:szCs w:val="20"/>
          <w:lang w:val="en-ZA"/>
        </w:rPr>
        <w:t>,</w:t>
      </w:r>
      <w:r w:rsidRPr="00F171E5">
        <w:rPr>
          <w:sz w:val="20"/>
          <w:szCs w:val="20"/>
          <w:lang w:val="en-ZA"/>
        </w:rPr>
        <w:t xml:space="preserve"> NAHCMD 281 (22 September 2017) par 39</w:t>
      </w:r>
      <w:r>
        <w:rPr>
          <w:sz w:val="20"/>
          <w:szCs w:val="20"/>
          <w:lang w:val="en-ZA"/>
        </w:rPr>
        <w:t>.</w:t>
      </w:r>
    </w:p>
  </w:footnote>
  <w:footnote w:id="60">
    <w:p w:rsidR="000C7948" w:rsidRPr="00F171E5" w:rsidRDefault="000C7948" w:rsidP="00F171E5">
      <w:pPr>
        <w:pStyle w:val="FootnoteText"/>
        <w:jc w:val="both"/>
        <w:rPr>
          <w:sz w:val="20"/>
          <w:szCs w:val="20"/>
          <w:lang w:val="en-ZA"/>
        </w:rPr>
      </w:pPr>
      <w:r w:rsidRPr="00F171E5">
        <w:rPr>
          <w:rStyle w:val="FootnoteReference"/>
          <w:sz w:val="20"/>
          <w:szCs w:val="20"/>
        </w:rPr>
        <w:footnoteRef/>
      </w:r>
      <w:r w:rsidRPr="00F171E5">
        <w:rPr>
          <w:sz w:val="20"/>
          <w:szCs w:val="20"/>
        </w:rPr>
        <w:t xml:space="preserve"> </w:t>
      </w:r>
      <w:r w:rsidRPr="00F171E5">
        <w:rPr>
          <w:i/>
          <w:sz w:val="20"/>
          <w:szCs w:val="20"/>
          <w:u w:val="single"/>
        </w:rPr>
        <w:t>South African Sugar Association v Namibia Sugar Distributors (Pty) Ltd</w:t>
      </w:r>
      <w:r w:rsidRPr="00F171E5">
        <w:rPr>
          <w:sz w:val="20"/>
          <w:szCs w:val="20"/>
        </w:rPr>
        <w:t xml:space="preserve"> 1999 NR 241 (HC) at 245C-D.  Although decided in the context of ordinary discovery in action proceedings, we submit the “power” to produce documents in action proceedings can be equated to the requirement of an administrative decision-maker to produce “materials at the tribunal’s disposal” as found in </w:t>
      </w:r>
      <w:r w:rsidRPr="00F171E5">
        <w:rPr>
          <w:sz w:val="20"/>
          <w:szCs w:val="20"/>
          <w:u w:val="single"/>
        </w:rPr>
        <w:t>Johannesburg City Council</w:t>
      </w:r>
      <w:r w:rsidRPr="00F171E5">
        <w:rPr>
          <w:sz w:val="20"/>
          <w:szCs w:val="20"/>
        </w:rPr>
        <w:t xml:space="preserve">.  </w:t>
      </w:r>
    </w:p>
  </w:footnote>
  <w:footnote w:id="61">
    <w:p w:rsidR="000C7948" w:rsidRPr="00F171E5" w:rsidRDefault="000C7948" w:rsidP="00F171E5">
      <w:pPr>
        <w:pStyle w:val="FootnoteText"/>
        <w:jc w:val="both"/>
        <w:rPr>
          <w:sz w:val="20"/>
          <w:szCs w:val="20"/>
          <w:lang w:val="en-ZA"/>
        </w:rPr>
      </w:pPr>
      <w:r w:rsidRPr="00F171E5">
        <w:rPr>
          <w:rStyle w:val="FootnoteReference"/>
          <w:sz w:val="20"/>
          <w:szCs w:val="20"/>
        </w:rPr>
        <w:footnoteRef/>
      </w:r>
      <w:r w:rsidRPr="00F171E5">
        <w:rPr>
          <w:sz w:val="20"/>
          <w:szCs w:val="20"/>
        </w:rPr>
        <w:t xml:space="preserve"> </w:t>
      </w:r>
      <w:r w:rsidRPr="00F171E5">
        <w:rPr>
          <w:sz w:val="20"/>
          <w:szCs w:val="20"/>
          <w:lang w:val="en-ZA"/>
        </w:rPr>
        <w:t xml:space="preserve">See, for example, this court’s affirmation of these as foundational values of the Namibian democracy in </w:t>
      </w:r>
      <w:r w:rsidRPr="00F171E5">
        <w:rPr>
          <w:i/>
          <w:sz w:val="20"/>
          <w:szCs w:val="20"/>
          <w:u w:val="single"/>
          <w:lang w:val="en-ZA"/>
        </w:rPr>
        <w:t>Director General Namibia Central Intelligence Service and another v Haufiku and others</w:t>
      </w:r>
      <w:r w:rsidRPr="00F171E5">
        <w:rPr>
          <w:sz w:val="20"/>
          <w:szCs w:val="20"/>
          <w:lang w:val="en-ZA"/>
        </w:rPr>
        <w:t xml:space="preserve"> 2018 (3) NR 757 (HC) at par [72].  </w:t>
      </w:r>
    </w:p>
  </w:footnote>
  <w:footnote w:id="62">
    <w:p w:rsidR="000C7948" w:rsidRPr="00F171E5" w:rsidRDefault="000C7948" w:rsidP="002724C5">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Record: p 78ff.</w:t>
      </w:r>
    </w:p>
  </w:footnote>
  <w:footnote w:id="63">
    <w:p w:rsidR="000C7948" w:rsidRPr="00F171E5" w:rsidRDefault="000C7948" w:rsidP="002724C5">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Record: p 95.</w:t>
      </w:r>
    </w:p>
  </w:footnote>
  <w:footnote w:id="64">
    <w:p w:rsidR="000C7948" w:rsidRPr="004B3EDF" w:rsidRDefault="000C7948" w:rsidP="00752D14">
      <w:pPr>
        <w:pStyle w:val="FootnoteText"/>
        <w:jc w:val="both"/>
        <w:rPr>
          <w:rFonts w:cs="Arial"/>
        </w:rPr>
      </w:pPr>
      <w:r w:rsidRPr="00F171E5">
        <w:rPr>
          <w:rStyle w:val="FootnoteReference"/>
          <w:rFonts w:cs="Arial"/>
          <w:sz w:val="20"/>
          <w:szCs w:val="20"/>
        </w:rPr>
        <w:footnoteRef/>
      </w:r>
      <w:r w:rsidRPr="00F171E5">
        <w:rPr>
          <w:rFonts w:cs="Arial"/>
          <w:sz w:val="20"/>
          <w:szCs w:val="20"/>
        </w:rPr>
        <w:t xml:space="preserve"> Record: p 32ff.</w:t>
      </w:r>
    </w:p>
  </w:footnote>
  <w:footnote w:id="65">
    <w:p w:rsidR="000C7948" w:rsidRPr="00F171E5" w:rsidRDefault="000C7948" w:rsidP="00752D14">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Record: p 50, para 6.</w:t>
      </w:r>
    </w:p>
  </w:footnote>
  <w:footnote w:id="66">
    <w:p w:rsidR="000C7948" w:rsidRPr="00F171E5" w:rsidRDefault="000C7948" w:rsidP="00752D14">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Applicant’s heads of argument, paras 14</w:t>
      </w:r>
    </w:p>
  </w:footnote>
  <w:footnote w:id="67">
    <w:p w:rsidR="000C7948" w:rsidRPr="00AC5F89" w:rsidRDefault="000C7948" w:rsidP="00752D14">
      <w:pPr>
        <w:pStyle w:val="FootnoteText"/>
        <w:jc w:val="both"/>
        <w:rPr>
          <w:rFonts w:cs="Arial"/>
          <w:sz w:val="20"/>
          <w:szCs w:val="20"/>
          <w:lang w:val="en-ZA"/>
        </w:rPr>
      </w:pPr>
      <w:r w:rsidRPr="00F171E5">
        <w:rPr>
          <w:rStyle w:val="FootnoteReference"/>
          <w:rFonts w:cs="Arial"/>
          <w:sz w:val="20"/>
          <w:szCs w:val="20"/>
        </w:rPr>
        <w:footnoteRef/>
      </w:r>
      <w:r w:rsidRPr="00F171E5">
        <w:rPr>
          <w:rFonts w:cs="Arial"/>
          <w:sz w:val="20"/>
          <w:szCs w:val="20"/>
        </w:rPr>
        <w:t xml:space="preserve"> 1970 (2) SA 89 (T) at 91</w:t>
      </w:r>
      <w:r>
        <w:rPr>
          <w:rFonts w:cs="Arial"/>
          <w:sz w:val="20"/>
          <w:szCs w:val="20"/>
          <w:lang w:val="en-ZA"/>
        </w:rPr>
        <w:t>.</w:t>
      </w:r>
    </w:p>
  </w:footnote>
  <w:footnote w:id="68">
    <w:p w:rsidR="000C7948" w:rsidRPr="00F171E5" w:rsidRDefault="000C7948" w:rsidP="00752D14">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1998 NR 147 at 150B-F.</w:t>
      </w:r>
    </w:p>
  </w:footnote>
  <w:footnote w:id="69">
    <w:p w:rsidR="000C7948" w:rsidRPr="00F171E5" w:rsidRDefault="000C7948" w:rsidP="00752D14">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w:t>
      </w:r>
      <w:r w:rsidRPr="00F171E5">
        <w:rPr>
          <w:rFonts w:cs="Arial"/>
          <w:i/>
          <w:sz w:val="20"/>
          <w:szCs w:val="20"/>
        </w:rPr>
        <w:t xml:space="preserve">Johannesburg City Council supra </w:t>
      </w:r>
      <w:r w:rsidRPr="00F171E5">
        <w:rPr>
          <w:rFonts w:cs="Arial"/>
          <w:sz w:val="20"/>
          <w:szCs w:val="20"/>
        </w:rPr>
        <w:t>at9 0H.</w:t>
      </w:r>
    </w:p>
  </w:footnote>
  <w:footnote w:id="70">
    <w:p w:rsidR="000C7948" w:rsidRPr="00F171E5" w:rsidRDefault="000C7948" w:rsidP="00752D14">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w:t>
      </w:r>
      <w:r w:rsidRPr="00F171E5">
        <w:rPr>
          <w:rFonts w:cs="Arial"/>
          <w:i/>
          <w:iCs/>
          <w:sz w:val="20"/>
          <w:szCs w:val="20"/>
        </w:rPr>
        <w:t xml:space="preserve">Johannesburg City Council v The Administrator Transvaal </w:t>
      </w:r>
      <w:r w:rsidRPr="00F171E5">
        <w:rPr>
          <w:rFonts w:cs="Arial"/>
          <w:sz w:val="20"/>
          <w:szCs w:val="20"/>
        </w:rPr>
        <w:t xml:space="preserve">(1) 1970 (2) SA 89 (T) at 92A-D.  </w:t>
      </w:r>
    </w:p>
  </w:footnote>
  <w:footnote w:id="71">
    <w:p w:rsidR="000C7948" w:rsidRPr="00F171E5" w:rsidRDefault="000C7948" w:rsidP="00752D14">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See  91A (“</w:t>
      </w:r>
      <w:r w:rsidRPr="00F171E5">
        <w:rPr>
          <w:rFonts w:cs="Arial"/>
          <w:i/>
          <w:sz w:val="20"/>
          <w:szCs w:val="20"/>
        </w:rPr>
        <w:t>on questionable grounds”</w:t>
      </w:r>
      <w:r w:rsidRPr="00F171E5">
        <w:rPr>
          <w:rFonts w:cs="Arial"/>
          <w:sz w:val="20"/>
          <w:szCs w:val="20"/>
        </w:rPr>
        <w:t>, and “</w:t>
      </w:r>
      <w:r w:rsidRPr="00F171E5">
        <w:rPr>
          <w:rFonts w:cs="Arial"/>
          <w:i/>
          <w:sz w:val="20"/>
          <w:szCs w:val="20"/>
        </w:rPr>
        <w:t>also make strange reading”)</w:t>
      </w:r>
      <w:r w:rsidRPr="00F171E5">
        <w:rPr>
          <w:rFonts w:cs="Arial"/>
          <w:sz w:val="20"/>
          <w:szCs w:val="20"/>
        </w:rPr>
        <w:t>, 91E (“</w:t>
      </w:r>
      <w:r w:rsidRPr="00F171E5">
        <w:rPr>
          <w:rFonts w:cs="Arial"/>
          <w:i/>
          <w:sz w:val="20"/>
          <w:szCs w:val="20"/>
        </w:rPr>
        <w:t>acted in an unusual manner”), 91F (</w:t>
      </w:r>
      <w:r w:rsidRPr="00F171E5">
        <w:rPr>
          <w:rFonts w:cs="Arial"/>
          <w:sz w:val="20"/>
          <w:szCs w:val="20"/>
        </w:rPr>
        <w:t xml:space="preserve">the reasons were </w:t>
      </w:r>
      <w:r w:rsidRPr="00F171E5">
        <w:rPr>
          <w:rFonts w:cs="Arial"/>
          <w:i/>
          <w:sz w:val="20"/>
          <w:szCs w:val="20"/>
        </w:rPr>
        <w:t>“nowhere disclosed on the papers before me</w:t>
      </w:r>
      <w:r w:rsidRPr="00F171E5">
        <w:rPr>
          <w:rFonts w:cs="Arial"/>
          <w:sz w:val="20"/>
          <w:szCs w:val="20"/>
        </w:rPr>
        <w:t>”).</w:t>
      </w:r>
    </w:p>
  </w:footnote>
  <w:footnote w:id="72">
    <w:p w:rsidR="000C7948" w:rsidRPr="00F171E5" w:rsidRDefault="000C7948" w:rsidP="00B50F17">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At 92A-B.</w:t>
      </w:r>
    </w:p>
  </w:footnote>
  <w:footnote w:id="73">
    <w:p w:rsidR="000C7948" w:rsidRPr="00015922" w:rsidRDefault="000C7948" w:rsidP="00732F6A">
      <w:pPr>
        <w:pStyle w:val="FootnoteText"/>
        <w:jc w:val="both"/>
        <w:rPr>
          <w:rFonts w:cs="Arial"/>
        </w:rPr>
      </w:pPr>
      <w:r w:rsidRPr="00F171E5">
        <w:rPr>
          <w:rStyle w:val="FootnoteReference"/>
          <w:rFonts w:cs="Arial"/>
          <w:sz w:val="20"/>
          <w:szCs w:val="20"/>
        </w:rPr>
        <w:footnoteRef/>
      </w:r>
      <w:r w:rsidRPr="00F171E5">
        <w:rPr>
          <w:rFonts w:cs="Arial"/>
          <w:sz w:val="20"/>
          <w:szCs w:val="20"/>
        </w:rPr>
        <w:t xml:space="preserve"> Applicants’ heads of argument, para 19.3.</w:t>
      </w:r>
      <w:r w:rsidRPr="00015922">
        <w:rPr>
          <w:rFonts w:cs="Arial"/>
        </w:rPr>
        <w:t xml:space="preserve">  </w:t>
      </w:r>
    </w:p>
  </w:footnote>
  <w:footnote w:id="74">
    <w:p w:rsidR="000C7948" w:rsidRPr="00F171E5" w:rsidRDefault="000C7948" w:rsidP="00732F6A">
      <w:pPr>
        <w:pStyle w:val="FootnoteText"/>
        <w:jc w:val="both"/>
        <w:rPr>
          <w:rFonts w:cs="Arial"/>
          <w:sz w:val="20"/>
          <w:szCs w:val="20"/>
        </w:rPr>
      </w:pPr>
      <w:r w:rsidRPr="00F171E5">
        <w:rPr>
          <w:rStyle w:val="FootnoteReference"/>
          <w:rFonts w:cs="Arial"/>
          <w:sz w:val="20"/>
          <w:szCs w:val="20"/>
        </w:rPr>
        <w:footnoteRef/>
      </w:r>
      <w:r w:rsidRPr="00F171E5">
        <w:rPr>
          <w:rFonts w:cs="Arial"/>
          <w:sz w:val="20"/>
          <w:szCs w:val="20"/>
        </w:rPr>
        <w:t xml:space="preserve"> Record: p 152, para 8.</w:t>
      </w:r>
    </w:p>
  </w:footnote>
  <w:footnote w:id="75">
    <w:p w:rsidR="000C7948" w:rsidRPr="00DA00B3" w:rsidRDefault="000C7948" w:rsidP="00DA00B3">
      <w:pPr>
        <w:pStyle w:val="FootnoteText"/>
        <w:jc w:val="both"/>
        <w:rPr>
          <w:sz w:val="20"/>
          <w:szCs w:val="20"/>
          <w:lang w:val="en-US"/>
        </w:rPr>
      </w:pPr>
      <w:r w:rsidRPr="00DA00B3">
        <w:rPr>
          <w:rStyle w:val="FootnoteReference"/>
          <w:sz w:val="20"/>
          <w:szCs w:val="20"/>
        </w:rPr>
        <w:footnoteRef/>
      </w:r>
      <w:r w:rsidRPr="00DA00B3">
        <w:rPr>
          <w:sz w:val="20"/>
          <w:szCs w:val="20"/>
        </w:rPr>
        <w:t xml:space="preserve"> </w:t>
      </w:r>
      <w:r w:rsidRPr="00DA00B3">
        <w:rPr>
          <w:sz w:val="20"/>
          <w:szCs w:val="20"/>
          <w:lang w:val="en-US"/>
        </w:rPr>
        <w:t>See for instance :</w:t>
      </w:r>
      <w:r w:rsidRPr="00DA00B3">
        <w:t xml:space="preserve"> </w:t>
      </w:r>
      <w:r w:rsidRPr="00DA00B3">
        <w:rPr>
          <w:i/>
          <w:sz w:val="20"/>
          <w:szCs w:val="20"/>
          <w:lang w:val="en-US"/>
        </w:rPr>
        <w:t>Vlasiu v President of the Rep of Namibia</w:t>
      </w:r>
      <w:r w:rsidRPr="00DA00B3">
        <w:rPr>
          <w:sz w:val="20"/>
          <w:szCs w:val="20"/>
          <w:lang w:val="en-US"/>
        </w:rPr>
        <w:t xml:space="preserve"> 1994 NR 332 (LC)</w:t>
      </w:r>
      <w:r>
        <w:rPr>
          <w:sz w:val="20"/>
          <w:szCs w:val="20"/>
          <w:lang w:val="en-US"/>
        </w:rPr>
        <w:t xml:space="preserve"> at 336A,</w:t>
      </w:r>
      <w:r w:rsidRPr="00DA00B3">
        <w:rPr>
          <w:sz w:val="20"/>
          <w:szCs w:val="20"/>
          <w:lang w:val="en-US"/>
        </w:rPr>
        <w:t xml:space="preserve"> </w:t>
      </w:r>
      <w:r w:rsidRPr="00DA00B3">
        <w:rPr>
          <w:i/>
          <w:sz w:val="20"/>
          <w:szCs w:val="20"/>
          <w:lang w:val="en-US"/>
        </w:rPr>
        <w:t>Ex Parte Momentum Group Ltd and Another</w:t>
      </w:r>
      <w:r w:rsidRPr="00DA00B3">
        <w:rPr>
          <w:sz w:val="20"/>
          <w:szCs w:val="20"/>
          <w:lang w:val="en-US"/>
        </w:rPr>
        <w:t xml:space="preserve"> 2007 (2) NR 453 (HC) at [36]</w:t>
      </w:r>
      <w:r>
        <w:rPr>
          <w:sz w:val="20"/>
          <w:szCs w:val="20"/>
          <w:lang w:val="en-US"/>
        </w:rPr>
        <w:t xml:space="preserve"> and </w:t>
      </w:r>
      <w:r w:rsidRPr="00D04546">
        <w:rPr>
          <w:i/>
          <w:sz w:val="20"/>
          <w:szCs w:val="20"/>
          <w:lang w:val="en-US"/>
        </w:rPr>
        <w:t>Kalipi v Hochobeb</w:t>
      </w:r>
      <w:r w:rsidRPr="00DA00B3">
        <w:rPr>
          <w:sz w:val="20"/>
          <w:szCs w:val="20"/>
          <w:lang w:val="en-US"/>
        </w:rPr>
        <w:t xml:space="preserve"> 2014 (1) NR 90 (HC)</w:t>
      </w:r>
      <w:r>
        <w:rPr>
          <w:sz w:val="20"/>
          <w:szCs w:val="20"/>
          <w:lang w:val="en-US"/>
        </w:rPr>
        <w:t xml:space="preserve"> at [31].</w:t>
      </w:r>
    </w:p>
  </w:footnote>
  <w:footnote w:id="76">
    <w:p w:rsidR="000C7948" w:rsidRPr="004E3F22" w:rsidRDefault="000C7948" w:rsidP="004E3F22">
      <w:pPr>
        <w:pStyle w:val="FootnoteText"/>
        <w:jc w:val="both"/>
        <w:rPr>
          <w:sz w:val="20"/>
          <w:szCs w:val="20"/>
          <w:lang w:val="en-ZA"/>
        </w:rPr>
      </w:pPr>
      <w:r w:rsidRPr="004E3F22">
        <w:rPr>
          <w:rStyle w:val="FootnoteReference"/>
          <w:sz w:val="20"/>
          <w:szCs w:val="20"/>
        </w:rPr>
        <w:footnoteRef/>
      </w:r>
      <w:r w:rsidRPr="004E3F22">
        <w:rPr>
          <w:sz w:val="20"/>
          <w:szCs w:val="20"/>
        </w:rPr>
        <w:t xml:space="preserve"> </w:t>
      </w:r>
      <w:r w:rsidRPr="004E3F22">
        <w:rPr>
          <w:i/>
          <w:sz w:val="20"/>
          <w:szCs w:val="20"/>
          <w:u w:val="single"/>
          <w:lang w:val="en-ZA"/>
        </w:rPr>
        <w:t>Continental Ore Construction</w:t>
      </w:r>
      <w:r w:rsidRPr="004E3F22">
        <w:rPr>
          <w:sz w:val="20"/>
          <w:szCs w:val="20"/>
          <w:lang w:val="en-ZA"/>
        </w:rPr>
        <w:t xml:space="preserve"> at 597H-598A, as implicitly approved in </w:t>
      </w:r>
      <w:r w:rsidRPr="004E3F22">
        <w:rPr>
          <w:i/>
          <w:sz w:val="20"/>
          <w:szCs w:val="20"/>
          <w:u w:val="single"/>
          <w:lang w:val="en-ZA"/>
        </w:rPr>
        <w:t>South African Sugar Association</w:t>
      </w:r>
      <w:r w:rsidRPr="004E3F22">
        <w:rPr>
          <w:sz w:val="20"/>
          <w:szCs w:val="20"/>
          <w:lang w:val="en-ZA"/>
        </w:rPr>
        <w:t xml:space="preserve"> </w:t>
      </w:r>
      <w:r w:rsidRPr="004E3F22">
        <w:rPr>
          <w:i/>
          <w:sz w:val="20"/>
          <w:szCs w:val="20"/>
          <w:lang w:val="en-ZA"/>
        </w:rPr>
        <w:t>supra</w:t>
      </w:r>
      <w:r w:rsidRPr="004E3F22">
        <w:rPr>
          <w:sz w:val="20"/>
          <w:szCs w:val="20"/>
          <w:lang w:val="en-ZA"/>
        </w:rPr>
        <w:t xml:space="preserve"> at 245 C-D</w:t>
      </w:r>
      <w:r>
        <w:rPr>
          <w:sz w:val="20"/>
          <w:szCs w:val="20"/>
          <w:lang w:val="en-ZA"/>
        </w:rPr>
        <w:t>.</w:t>
      </w:r>
    </w:p>
  </w:footnote>
  <w:footnote w:id="77">
    <w:p w:rsidR="000C7948" w:rsidRPr="000D0683" w:rsidRDefault="000C7948" w:rsidP="004E3F22">
      <w:pPr>
        <w:pStyle w:val="FootnoteText"/>
        <w:spacing w:after="120"/>
        <w:jc w:val="both"/>
        <w:rPr>
          <w:rFonts w:cs="Arial"/>
          <w:sz w:val="20"/>
          <w:szCs w:val="20"/>
        </w:rPr>
      </w:pPr>
      <w:r w:rsidRPr="000D0683">
        <w:rPr>
          <w:rStyle w:val="FootnoteReference"/>
          <w:rFonts w:cs="Arial"/>
          <w:sz w:val="20"/>
          <w:szCs w:val="20"/>
        </w:rPr>
        <w:footnoteRef/>
      </w:r>
      <w:r w:rsidRPr="000D0683">
        <w:rPr>
          <w:rFonts w:cs="Arial"/>
          <w:sz w:val="20"/>
          <w:szCs w:val="20"/>
        </w:rPr>
        <w:t xml:space="preserve"> Record: p 3-4.</w:t>
      </w:r>
    </w:p>
  </w:footnote>
  <w:footnote w:id="78">
    <w:p w:rsidR="000C7948" w:rsidRPr="00A24E64" w:rsidRDefault="000C7948" w:rsidP="004E3F22">
      <w:pPr>
        <w:pStyle w:val="FootnoteText"/>
        <w:jc w:val="both"/>
        <w:rPr>
          <w:rFonts w:cs="Arial"/>
          <w:sz w:val="20"/>
          <w:szCs w:val="20"/>
        </w:rPr>
      </w:pPr>
      <w:r w:rsidRPr="00A24E64">
        <w:rPr>
          <w:rStyle w:val="FootnoteReference"/>
          <w:rFonts w:cs="Arial"/>
          <w:sz w:val="20"/>
          <w:szCs w:val="20"/>
        </w:rPr>
        <w:footnoteRef/>
      </w:r>
      <w:r w:rsidRPr="00A24E64">
        <w:rPr>
          <w:rFonts w:cs="Arial"/>
          <w:sz w:val="20"/>
          <w:szCs w:val="20"/>
        </w:rPr>
        <w:t xml:space="preserve"> At 92B.</w:t>
      </w:r>
    </w:p>
  </w:footnote>
  <w:footnote w:id="79">
    <w:p w:rsidR="000C7948" w:rsidRPr="00A24E64" w:rsidRDefault="000C7948" w:rsidP="004E3F22">
      <w:pPr>
        <w:pStyle w:val="FootnoteText"/>
        <w:jc w:val="both"/>
        <w:rPr>
          <w:rFonts w:cs="Arial"/>
          <w:sz w:val="20"/>
          <w:szCs w:val="20"/>
        </w:rPr>
      </w:pPr>
      <w:r w:rsidRPr="00A24E64">
        <w:rPr>
          <w:rStyle w:val="FootnoteReference"/>
          <w:rFonts w:cs="Arial"/>
          <w:sz w:val="20"/>
          <w:szCs w:val="20"/>
        </w:rPr>
        <w:footnoteRef/>
      </w:r>
      <w:r w:rsidRPr="00A24E64">
        <w:rPr>
          <w:rFonts w:cs="Arial"/>
          <w:sz w:val="20"/>
          <w:szCs w:val="20"/>
        </w:rPr>
        <w:t xml:space="preserve"> See again Rose-Innes </w:t>
      </w:r>
      <w:r w:rsidRPr="00A24E64">
        <w:rPr>
          <w:rFonts w:cs="Arial"/>
          <w:i/>
          <w:sz w:val="20"/>
          <w:szCs w:val="20"/>
        </w:rPr>
        <w:t xml:space="preserve">op cit </w:t>
      </w:r>
      <w:r w:rsidRPr="00A24E64">
        <w:rPr>
          <w:rFonts w:cs="Arial"/>
          <w:sz w:val="20"/>
          <w:szCs w:val="20"/>
        </w:rPr>
        <w:t xml:space="preserve">27-8. </w:t>
      </w:r>
    </w:p>
  </w:footnote>
  <w:footnote w:id="80">
    <w:p w:rsidR="000C7948" w:rsidRPr="00A24E64" w:rsidRDefault="000C7948" w:rsidP="000D0683">
      <w:pPr>
        <w:pStyle w:val="FootnoteText"/>
        <w:jc w:val="both"/>
        <w:rPr>
          <w:rFonts w:cs="Arial"/>
          <w:sz w:val="20"/>
          <w:szCs w:val="20"/>
        </w:rPr>
      </w:pPr>
      <w:r w:rsidRPr="00A24E64">
        <w:rPr>
          <w:rStyle w:val="FootnoteReference"/>
          <w:rFonts w:cs="Arial"/>
          <w:sz w:val="20"/>
          <w:szCs w:val="20"/>
        </w:rPr>
        <w:footnoteRef/>
      </w:r>
      <w:r w:rsidRPr="00A24E64">
        <w:rPr>
          <w:rFonts w:cs="Arial"/>
          <w:sz w:val="20"/>
          <w:szCs w:val="20"/>
        </w:rPr>
        <w:t xml:space="preserve"> Ibid.</w:t>
      </w:r>
    </w:p>
  </w:footnote>
  <w:footnote w:id="81">
    <w:p w:rsidR="000C7948" w:rsidRPr="00A24E64" w:rsidRDefault="000C7948" w:rsidP="000D0683">
      <w:pPr>
        <w:pStyle w:val="FootnoteText"/>
        <w:jc w:val="both"/>
        <w:rPr>
          <w:rFonts w:cs="Arial"/>
          <w:sz w:val="20"/>
          <w:szCs w:val="20"/>
        </w:rPr>
      </w:pPr>
      <w:r w:rsidRPr="00A24E64">
        <w:rPr>
          <w:rStyle w:val="FootnoteReference"/>
          <w:rFonts w:cs="Arial"/>
          <w:sz w:val="20"/>
          <w:szCs w:val="20"/>
        </w:rPr>
        <w:footnoteRef/>
      </w:r>
      <w:r w:rsidRPr="00A24E64">
        <w:rPr>
          <w:rFonts w:cs="Arial"/>
          <w:sz w:val="20"/>
          <w:szCs w:val="20"/>
        </w:rPr>
        <w:t xml:space="preserve"> </w:t>
      </w:r>
      <w:r w:rsidRPr="00A24E64">
        <w:rPr>
          <w:rFonts w:cs="Arial"/>
          <w:i/>
          <w:iCs/>
          <w:sz w:val="20"/>
          <w:szCs w:val="20"/>
        </w:rPr>
        <w:t xml:space="preserve">Continental Ore Construction v Highveld Steel &amp; Vandium Corporation Ltd </w:t>
      </w:r>
      <w:r w:rsidRPr="00A24E64">
        <w:rPr>
          <w:rFonts w:cs="Arial"/>
          <w:sz w:val="20"/>
          <w:szCs w:val="20"/>
        </w:rPr>
        <w:t>1971 (4) SA 589 (W) at 598E-G.  See the applicants’ heads of argument, para 30.</w:t>
      </w:r>
    </w:p>
  </w:footnote>
  <w:footnote w:id="82">
    <w:p w:rsidR="000C7948" w:rsidRPr="004B3EDF" w:rsidRDefault="000C7948" w:rsidP="004E3F22">
      <w:pPr>
        <w:spacing w:after="120" w:line="240" w:lineRule="auto"/>
        <w:jc w:val="both"/>
        <w:rPr>
          <w:rFonts w:ascii="Arial" w:hAnsi="Arial" w:cs="Arial"/>
          <w:sz w:val="20"/>
          <w:szCs w:val="20"/>
          <w:lang w:eastAsia="en-ZA"/>
        </w:rPr>
      </w:pPr>
      <w:r w:rsidRPr="00A24E64">
        <w:rPr>
          <w:rStyle w:val="FootnoteReference"/>
          <w:rFonts w:ascii="Arial" w:hAnsi="Arial" w:cs="Arial"/>
          <w:sz w:val="20"/>
          <w:szCs w:val="20"/>
        </w:rPr>
        <w:footnoteRef/>
      </w:r>
      <w:r w:rsidRPr="00A24E64">
        <w:rPr>
          <w:rFonts w:ascii="Arial" w:hAnsi="Arial" w:cs="Arial"/>
          <w:sz w:val="20"/>
          <w:szCs w:val="20"/>
        </w:rPr>
        <w:t xml:space="preserve"> </w:t>
      </w:r>
      <w:r w:rsidRPr="00A24E64">
        <w:rPr>
          <w:rFonts w:ascii="Arial" w:hAnsi="Arial" w:cs="Arial"/>
          <w:i/>
          <w:sz w:val="20"/>
          <w:szCs w:val="20"/>
          <w:lang w:eastAsia="en-ZA"/>
        </w:rPr>
        <w:t>Stevens v Swart NO</w:t>
      </w:r>
      <w:r w:rsidRPr="00A24E64">
        <w:rPr>
          <w:rFonts w:ascii="Arial" w:hAnsi="Arial" w:cs="Arial"/>
          <w:sz w:val="20"/>
          <w:szCs w:val="20"/>
          <w:lang w:eastAsia="en-ZA"/>
        </w:rPr>
        <w:t xml:space="preserve">  2014 (2) SA 150 (GSJ) para 22.</w:t>
      </w:r>
    </w:p>
  </w:footnote>
  <w:footnote w:id="83">
    <w:p w:rsidR="000C7948" w:rsidRPr="007077D0" w:rsidRDefault="000C7948" w:rsidP="007077D0">
      <w:pPr>
        <w:pStyle w:val="FootnoteText"/>
        <w:spacing w:after="120"/>
        <w:jc w:val="both"/>
        <w:rPr>
          <w:rFonts w:cs="Arial"/>
          <w:sz w:val="20"/>
          <w:szCs w:val="20"/>
        </w:rPr>
      </w:pPr>
      <w:r w:rsidRPr="007077D0">
        <w:rPr>
          <w:rStyle w:val="FootnoteReference"/>
          <w:rFonts w:cs="Arial"/>
          <w:sz w:val="20"/>
          <w:szCs w:val="20"/>
        </w:rPr>
        <w:footnoteRef/>
      </w:r>
      <w:r w:rsidRPr="007077D0">
        <w:rPr>
          <w:rFonts w:cs="Arial"/>
          <w:sz w:val="20"/>
          <w:szCs w:val="20"/>
        </w:rPr>
        <w:t xml:space="preserve"> Record: p 155,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48" w:rsidRDefault="000C7948">
    <w:pPr>
      <w:pStyle w:val="Header"/>
      <w:jc w:val="right"/>
    </w:pPr>
    <w:r>
      <w:fldChar w:fldCharType="begin"/>
    </w:r>
    <w:r>
      <w:instrText xml:space="preserve"> PAGE   \* MERGEFORMAT </w:instrText>
    </w:r>
    <w:r>
      <w:fldChar w:fldCharType="separate"/>
    </w:r>
    <w:r w:rsidR="007F46D8">
      <w:rPr>
        <w:noProof/>
      </w:rPr>
      <w:t>20</w:t>
    </w:r>
    <w:r>
      <w:fldChar w:fldCharType="end"/>
    </w:r>
  </w:p>
  <w:p w:rsidR="000C7948" w:rsidRDefault="000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99A"/>
    <w:multiLevelType w:val="multilevel"/>
    <w:tmpl w:val="E5D24D2C"/>
    <w:lvl w:ilvl="0">
      <w:start w:val="1"/>
      <w:numFmt w:val="decimal"/>
      <w:lvlText w:val="%1."/>
      <w:lvlJc w:val="left"/>
      <w:pPr>
        <w:ind w:left="4167" w:hanging="567"/>
      </w:pPr>
      <w:rPr>
        <w:rFonts w:ascii="Arial" w:hAnsi="Arial" w:cs="Arial" w:hint="default"/>
        <w:b w:val="0"/>
        <w:i w:val="0"/>
        <w:sz w:val="22"/>
        <w:szCs w:val="22"/>
      </w:rPr>
    </w:lvl>
    <w:lvl w:ilvl="1">
      <w:start w:val="1"/>
      <w:numFmt w:val="decimal"/>
      <w:lvlText w:val="%1.%2."/>
      <w:lvlJc w:val="left"/>
      <w:pPr>
        <w:ind w:left="4392" w:hanging="432"/>
      </w:pPr>
      <w:rPr>
        <w:rFonts w:hint="default"/>
        <w:b w:val="0"/>
        <w:i w:val="0"/>
        <w:iCs/>
      </w:rPr>
    </w:lvl>
    <w:lvl w:ilvl="2">
      <w:start w:val="1"/>
      <w:numFmt w:val="decimal"/>
      <w:lvlText w:val="%1.%2.%3."/>
      <w:lvlJc w:val="left"/>
      <w:pPr>
        <w:ind w:left="4824" w:hanging="504"/>
      </w:pPr>
      <w:rPr>
        <w:rFonts w:hint="default"/>
      </w:rPr>
    </w:lvl>
    <w:lvl w:ilvl="3">
      <w:start w:val="1"/>
      <w:numFmt w:val="decimal"/>
      <w:lvlText w:val="%1.%2.%3.%4."/>
      <w:lvlJc w:val="left"/>
      <w:pPr>
        <w:ind w:left="5328" w:hanging="648"/>
      </w:pPr>
      <w:rPr>
        <w:rFonts w:hint="default"/>
      </w:rPr>
    </w:lvl>
    <w:lvl w:ilvl="4">
      <w:start w:val="1"/>
      <w:numFmt w:val="decimal"/>
      <w:lvlText w:val="%1.%2.%3.%4.%5."/>
      <w:lvlJc w:val="left"/>
      <w:pPr>
        <w:ind w:left="5832" w:hanging="792"/>
      </w:pPr>
      <w:rPr>
        <w:rFonts w:hint="default"/>
      </w:rPr>
    </w:lvl>
    <w:lvl w:ilvl="5">
      <w:start w:val="1"/>
      <w:numFmt w:val="decimal"/>
      <w:lvlText w:val="%1.%2.%3.%4.%5.%6."/>
      <w:lvlJc w:val="left"/>
      <w:pPr>
        <w:ind w:left="6336"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344" w:hanging="1224"/>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72478E5"/>
    <w:multiLevelType w:val="multilevel"/>
    <w:tmpl w:val="E5D24D2C"/>
    <w:lvl w:ilvl="0">
      <w:start w:val="1"/>
      <w:numFmt w:val="decimal"/>
      <w:lvlText w:val="%1."/>
      <w:lvlJc w:val="left"/>
      <w:pPr>
        <w:ind w:left="4167" w:hanging="567"/>
      </w:pPr>
      <w:rPr>
        <w:rFonts w:ascii="Arial" w:hAnsi="Arial" w:cs="Arial" w:hint="default"/>
        <w:b w:val="0"/>
        <w:i w:val="0"/>
        <w:sz w:val="22"/>
        <w:szCs w:val="22"/>
      </w:rPr>
    </w:lvl>
    <w:lvl w:ilvl="1">
      <w:start w:val="1"/>
      <w:numFmt w:val="decimal"/>
      <w:lvlText w:val="%1.%2."/>
      <w:lvlJc w:val="left"/>
      <w:pPr>
        <w:ind w:left="4392" w:hanging="432"/>
      </w:pPr>
      <w:rPr>
        <w:rFonts w:hint="default"/>
        <w:b w:val="0"/>
        <w:i w:val="0"/>
        <w:iCs/>
      </w:rPr>
    </w:lvl>
    <w:lvl w:ilvl="2">
      <w:start w:val="1"/>
      <w:numFmt w:val="decimal"/>
      <w:lvlText w:val="%1.%2.%3."/>
      <w:lvlJc w:val="left"/>
      <w:pPr>
        <w:ind w:left="4824" w:hanging="504"/>
      </w:pPr>
      <w:rPr>
        <w:rFonts w:hint="default"/>
      </w:rPr>
    </w:lvl>
    <w:lvl w:ilvl="3">
      <w:start w:val="1"/>
      <w:numFmt w:val="decimal"/>
      <w:lvlText w:val="%1.%2.%3.%4."/>
      <w:lvlJc w:val="left"/>
      <w:pPr>
        <w:ind w:left="5328" w:hanging="648"/>
      </w:pPr>
      <w:rPr>
        <w:rFonts w:hint="default"/>
      </w:rPr>
    </w:lvl>
    <w:lvl w:ilvl="4">
      <w:start w:val="1"/>
      <w:numFmt w:val="decimal"/>
      <w:lvlText w:val="%1.%2.%3.%4.%5."/>
      <w:lvlJc w:val="left"/>
      <w:pPr>
        <w:ind w:left="5832" w:hanging="792"/>
      </w:pPr>
      <w:rPr>
        <w:rFonts w:hint="default"/>
      </w:rPr>
    </w:lvl>
    <w:lvl w:ilvl="5">
      <w:start w:val="1"/>
      <w:numFmt w:val="decimal"/>
      <w:lvlText w:val="%1.%2.%3.%4.%5.%6."/>
      <w:lvlJc w:val="left"/>
      <w:pPr>
        <w:ind w:left="6336"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344" w:hanging="1224"/>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7AC62E2"/>
    <w:multiLevelType w:val="hybridMultilevel"/>
    <w:tmpl w:val="50CC06C6"/>
    <w:lvl w:ilvl="0" w:tplc="1C09000F">
      <w:start w:val="1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85640B6"/>
    <w:multiLevelType w:val="hybridMultilevel"/>
    <w:tmpl w:val="30325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92B5F51"/>
    <w:multiLevelType w:val="hybridMultilevel"/>
    <w:tmpl w:val="57AE0A18"/>
    <w:lvl w:ilvl="0" w:tplc="CE260DDE">
      <w:start w:val="105"/>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AA5"/>
    <w:multiLevelType w:val="hybridMultilevel"/>
    <w:tmpl w:val="3856B33E"/>
    <w:lvl w:ilvl="0" w:tplc="598CCE4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4DA28A2"/>
    <w:multiLevelType w:val="hybridMultilevel"/>
    <w:tmpl w:val="B430054A"/>
    <w:lvl w:ilvl="0" w:tplc="522A9E56">
      <w:start w:val="104"/>
      <w:numFmt w:val="decimal"/>
      <w:lvlText w:val="%1."/>
      <w:lvlJc w:val="left"/>
      <w:pPr>
        <w:ind w:left="735" w:hanging="375"/>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600A2"/>
    <w:multiLevelType w:val="hybridMultilevel"/>
    <w:tmpl w:val="3E92B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60F31"/>
    <w:multiLevelType w:val="hybridMultilevel"/>
    <w:tmpl w:val="2E0E2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665CB"/>
    <w:multiLevelType w:val="hybridMultilevel"/>
    <w:tmpl w:val="23026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5C06A2"/>
    <w:multiLevelType w:val="hybridMultilevel"/>
    <w:tmpl w:val="3BA8F7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B06C6C"/>
    <w:multiLevelType w:val="hybridMultilevel"/>
    <w:tmpl w:val="40623970"/>
    <w:lvl w:ilvl="0" w:tplc="78969798">
      <w:numFmt w:val="bullet"/>
      <w:lvlText w:val="-"/>
      <w:lvlJc w:val="left"/>
      <w:pPr>
        <w:ind w:left="567" w:hanging="360"/>
      </w:pPr>
      <w:rPr>
        <w:rFonts w:ascii="Arial" w:eastAsiaTheme="minorHAnsi" w:hAnsi="Arial" w:cs="Aria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4" w15:restartNumberingAfterBreak="0">
    <w:nsid w:val="5C14390B"/>
    <w:multiLevelType w:val="hybridMultilevel"/>
    <w:tmpl w:val="92AA1D10"/>
    <w:lvl w:ilvl="0" w:tplc="C9F43556">
      <w:start w:val="105"/>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E5A8C"/>
    <w:multiLevelType w:val="hybridMultilevel"/>
    <w:tmpl w:val="3732F324"/>
    <w:lvl w:ilvl="0" w:tplc="76541064">
      <w:start w:val="105"/>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3084D"/>
    <w:multiLevelType w:val="hybridMultilevel"/>
    <w:tmpl w:val="AFF6089E"/>
    <w:lvl w:ilvl="0" w:tplc="282C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881216"/>
    <w:multiLevelType w:val="hybridMultilevel"/>
    <w:tmpl w:val="776E368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A27B6"/>
    <w:multiLevelType w:val="hybridMultilevel"/>
    <w:tmpl w:val="ED9642B6"/>
    <w:lvl w:ilvl="0" w:tplc="23A60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E55825"/>
    <w:multiLevelType w:val="hybridMultilevel"/>
    <w:tmpl w:val="0F0E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8"/>
  </w:num>
  <w:num w:numId="6">
    <w:abstractNumId w:val="10"/>
  </w:num>
  <w:num w:numId="7">
    <w:abstractNumId w:val="3"/>
  </w:num>
  <w:num w:numId="8">
    <w:abstractNumId w:val="2"/>
  </w:num>
  <w:num w:numId="9">
    <w:abstractNumId w:val="18"/>
  </w:num>
  <w:num w:numId="10">
    <w:abstractNumId w:val="16"/>
  </w:num>
  <w:num w:numId="11">
    <w:abstractNumId w:val="6"/>
  </w:num>
  <w:num w:numId="12">
    <w:abstractNumId w:val="1"/>
  </w:num>
  <w:num w:numId="13">
    <w:abstractNumId w:val="7"/>
  </w:num>
  <w:num w:numId="14">
    <w:abstractNumId w:val="14"/>
  </w:num>
  <w:num w:numId="15">
    <w:abstractNumId w:val="5"/>
  </w:num>
  <w:num w:numId="16">
    <w:abstractNumId w:val="15"/>
  </w:num>
  <w:num w:numId="17">
    <w:abstractNumId w:val="17"/>
  </w:num>
  <w:num w:numId="18">
    <w:abstractNumId w:val="19"/>
  </w:num>
  <w:num w:numId="19">
    <w:abstractNumId w:val="9"/>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6E1"/>
    <w:rsid w:val="00016D77"/>
    <w:rsid w:val="00017A8B"/>
    <w:rsid w:val="00020CAB"/>
    <w:rsid w:val="000226E8"/>
    <w:rsid w:val="00022D0F"/>
    <w:rsid w:val="00023709"/>
    <w:rsid w:val="000241F7"/>
    <w:rsid w:val="000258AA"/>
    <w:rsid w:val="000259E3"/>
    <w:rsid w:val="000264CC"/>
    <w:rsid w:val="000309A0"/>
    <w:rsid w:val="000312A7"/>
    <w:rsid w:val="00032FAD"/>
    <w:rsid w:val="000342F9"/>
    <w:rsid w:val="00034D80"/>
    <w:rsid w:val="00036A90"/>
    <w:rsid w:val="00036F66"/>
    <w:rsid w:val="0003703F"/>
    <w:rsid w:val="00037142"/>
    <w:rsid w:val="00040FFE"/>
    <w:rsid w:val="0004175E"/>
    <w:rsid w:val="00042D93"/>
    <w:rsid w:val="00043CF5"/>
    <w:rsid w:val="00044A00"/>
    <w:rsid w:val="00044D1C"/>
    <w:rsid w:val="00044EC7"/>
    <w:rsid w:val="0004602C"/>
    <w:rsid w:val="00046504"/>
    <w:rsid w:val="00047981"/>
    <w:rsid w:val="000501BF"/>
    <w:rsid w:val="00050DEF"/>
    <w:rsid w:val="00052051"/>
    <w:rsid w:val="000530D0"/>
    <w:rsid w:val="00053B8F"/>
    <w:rsid w:val="00055531"/>
    <w:rsid w:val="00056D42"/>
    <w:rsid w:val="00060268"/>
    <w:rsid w:val="00061653"/>
    <w:rsid w:val="00062099"/>
    <w:rsid w:val="00062317"/>
    <w:rsid w:val="00063ACF"/>
    <w:rsid w:val="00063B8F"/>
    <w:rsid w:val="000644B5"/>
    <w:rsid w:val="0006607C"/>
    <w:rsid w:val="0006670A"/>
    <w:rsid w:val="00067DC1"/>
    <w:rsid w:val="00071B93"/>
    <w:rsid w:val="00073688"/>
    <w:rsid w:val="00075EF6"/>
    <w:rsid w:val="000774ED"/>
    <w:rsid w:val="0007785A"/>
    <w:rsid w:val="00077D4E"/>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2AA4"/>
    <w:rsid w:val="000A3111"/>
    <w:rsid w:val="000A36B4"/>
    <w:rsid w:val="000A46D0"/>
    <w:rsid w:val="000A5CD3"/>
    <w:rsid w:val="000A7447"/>
    <w:rsid w:val="000A7DC6"/>
    <w:rsid w:val="000B08BD"/>
    <w:rsid w:val="000B16AD"/>
    <w:rsid w:val="000B290E"/>
    <w:rsid w:val="000B2DDE"/>
    <w:rsid w:val="000B2FB5"/>
    <w:rsid w:val="000B3305"/>
    <w:rsid w:val="000B5A74"/>
    <w:rsid w:val="000B6525"/>
    <w:rsid w:val="000B7686"/>
    <w:rsid w:val="000C0344"/>
    <w:rsid w:val="000C0509"/>
    <w:rsid w:val="000C18B2"/>
    <w:rsid w:val="000C2E4A"/>
    <w:rsid w:val="000C3EEB"/>
    <w:rsid w:val="000C4C89"/>
    <w:rsid w:val="000C4CE1"/>
    <w:rsid w:val="000C7948"/>
    <w:rsid w:val="000D0683"/>
    <w:rsid w:val="000D1452"/>
    <w:rsid w:val="000D1680"/>
    <w:rsid w:val="000D2143"/>
    <w:rsid w:val="000D481F"/>
    <w:rsid w:val="000D4DDA"/>
    <w:rsid w:val="000D53E1"/>
    <w:rsid w:val="000D65EC"/>
    <w:rsid w:val="000D70E5"/>
    <w:rsid w:val="000D7100"/>
    <w:rsid w:val="000E0BDF"/>
    <w:rsid w:val="000E112A"/>
    <w:rsid w:val="000E13C5"/>
    <w:rsid w:val="000E1D91"/>
    <w:rsid w:val="000E1FDF"/>
    <w:rsid w:val="000E242E"/>
    <w:rsid w:val="000E25C9"/>
    <w:rsid w:val="000E3C71"/>
    <w:rsid w:val="000E4AD2"/>
    <w:rsid w:val="000E5F25"/>
    <w:rsid w:val="000E6330"/>
    <w:rsid w:val="000E727A"/>
    <w:rsid w:val="000E7F21"/>
    <w:rsid w:val="000F04D7"/>
    <w:rsid w:val="000F16B9"/>
    <w:rsid w:val="000F2018"/>
    <w:rsid w:val="000F2BF2"/>
    <w:rsid w:val="000F3A16"/>
    <w:rsid w:val="000F7D26"/>
    <w:rsid w:val="0010152D"/>
    <w:rsid w:val="00101576"/>
    <w:rsid w:val="0010166B"/>
    <w:rsid w:val="00103C38"/>
    <w:rsid w:val="001074F6"/>
    <w:rsid w:val="001079CB"/>
    <w:rsid w:val="00110899"/>
    <w:rsid w:val="00111C4D"/>
    <w:rsid w:val="00112FFC"/>
    <w:rsid w:val="00115F90"/>
    <w:rsid w:val="00116727"/>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7A3"/>
    <w:rsid w:val="00133CCB"/>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69DF"/>
    <w:rsid w:val="00151B51"/>
    <w:rsid w:val="0015261C"/>
    <w:rsid w:val="001535B6"/>
    <w:rsid w:val="001535CB"/>
    <w:rsid w:val="001537C4"/>
    <w:rsid w:val="00153B22"/>
    <w:rsid w:val="001545A9"/>
    <w:rsid w:val="0015486A"/>
    <w:rsid w:val="00156E41"/>
    <w:rsid w:val="00156EDE"/>
    <w:rsid w:val="00157421"/>
    <w:rsid w:val="00157760"/>
    <w:rsid w:val="00157C57"/>
    <w:rsid w:val="001604E8"/>
    <w:rsid w:val="0016050D"/>
    <w:rsid w:val="00160F80"/>
    <w:rsid w:val="00161148"/>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7715C"/>
    <w:rsid w:val="0018060D"/>
    <w:rsid w:val="00180B31"/>
    <w:rsid w:val="00180F4F"/>
    <w:rsid w:val="00181AC7"/>
    <w:rsid w:val="00182875"/>
    <w:rsid w:val="00182B3D"/>
    <w:rsid w:val="00184EDE"/>
    <w:rsid w:val="00184EE1"/>
    <w:rsid w:val="00184FD1"/>
    <w:rsid w:val="0018593B"/>
    <w:rsid w:val="00186893"/>
    <w:rsid w:val="00190985"/>
    <w:rsid w:val="001930EB"/>
    <w:rsid w:val="00193AA7"/>
    <w:rsid w:val="00194118"/>
    <w:rsid w:val="00195DCD"/>
    <w:rsid w:val="00197B5C"/>
    <w:rsid w:val="00197ED5"/>
    <w:rsid w:val="00197FE8"/>
    <w:rsid w:val="001A0110"/>
    <w:rsid w:val="001A144A"/>
    <w:rsid w:val="001A15AD"/>
    <w:rsid w:val="001A21A3"/>
    <w:rsid w:val="001A2BA6"/>
    <w:rsid w:val="001A3842"/>
    <w:rsid w:val="001A712D"/>
    <w:rsid w:val="001A74CA"/>
    <w:rsid w:val="001B12E0"/>
    <w:rsid w:val="001B1D7F"/>
    <w:rsid w:val="001B3B94"/>
    <w:rsid w:val="001B48BF"/>
    <w:rsid w:val="001B6745"/>
    <w:rsid w:val="001B7E1F"/>
    <w:rsid w:val="001C037D"/>
    <w:rsid w:val="001C0761"/>
    <w:rsid w:val="001C0910"/>
    <w:rsid w:val="001C0D92"/>
    <w:rsid w:val="001C0F5A"/>
    <w:rsid w:val="001C1A0E"/>
    <w:rsid w:val="001C1CDB"/>
    <w:rsid w:val="001C2444"/>
    <w:rsid w:val="001C402C"/>
    <w:rsid w:val="001C41B0"/>
    <w:rsid w:val="001C46E6"/>
    <w:rsid w:val="001C4789"/>
    <w:rsid w:val="001C682E"/>
    <w:rsid w:val="001C71EE"/>
    <w:rsid w:val="001C7261"/>
    <w:rsid w:val="001C7916"/>
    <w:rsid w:val="001D0BFC"/>
    <w:rsid w:val="001D1C4C"/>
    <w:rsid w:val="001D2EF3"/>
    <w:rsid w:val="001D5770"/>
    <w:rsid w:val="001D75AC"/>
    <w:rsid w:val="001E1B81"/>
    <w:rsid w:val="001E4AF9"/>
    <w:rsid w:val="001E5488"/>
    <w:rsid w:val="001E74EA"/>
    <w:rsid w:val="001E7A42"/>
    <w:rsid w:val="001F0BCC"/>
    <w:rsid w:val="001F3F05"/>
    <w:rsid w:val="001F4140"/>
    <w:rsid w:val="001F4EF8"/>
    <w:rsid w:val="001F60AD"/>
    <w:rsid w:val="001F717C"/>
    <w:rsid w:val="0020195A"/>
    <w:rsid w:val="00204C96"/>
    <w:rsid w:val="00204FA7"/>
    <w:rsid w:val="0020786D"/>
    <w:rsid w:val="00207EC1"/>
    <w:rsid w:val="0021102C"/>
    <w:rsid w:val="00211121"/>
    <w:rsid w:val="0021117B"/>
    <w:rsid w:val="002130A5"/>
    <w:rsid w:val="002133C6"/>
    <w:rsid w:val="002136AF"/>
    <w:rsid w:val="00213D43"/>
    <w:rsid w:val="0021620D"/>
    <w:rsid w:val="00220009"/>
    <w:rsid w:val="00220A91"/>
    <w:rsid w:val="0022151F"/>
    <w:rsid w:val="00222460"/>
    <w:rsid w:val="00223013"/>
    <w:rsid w:val="0022434E"/>
    <w:rsid w:val="002243D3"/>
    <w:rsid w:val="0022446B"/>
    <w:rsid w:val="00224DF3"/>
    <w:rsid w:val="00224E52"/>
    <w:rsid w:val="002251DC"/>
    <w:rsid w:val="002251E0"/>
    <w:rsid w:val="00225521"/>
    <w:rsid w:val="00231557"/>
    <w:rsid w:val="00231AB4"/>
    <w:rsid w:val="00232DB1"/>
    <w:rsid w:val="00232E1A"/>
    <w:rsid w:val="002334FC"/>
    <w:rsid w:val="002336E9"/>
    <w:rsid w:val="00233D60"/>
    <w:rsid w:val="00233E66"/>
    <w:rsid w:val="00234E7B"/>
    <w:rsid w:val="0023534E"/>
    <w:rsid w:val="0023595B"/>
    <w:rsid w:val="002362CD"/>
    <w:rsid w:val="0024038D"/>
    <w:rsid w:val="002416C5"/>
    <w:rsid w:val="00243CD7"/>
    <w:rsid w:val="00244D4B"/>
    <w:rsid w:val="00246361"/>
    <w:rsid w:val="00246674"/>
    <w:rsid w:val="0025300D"/>
    <w:rsid w:val="00253308"/>
    <w:rsid w:val="00254441"/>
    <w:rsid w:val="002551A1"/>
    <w:rsid w:val="00256557"/>
    <w:rsid w:val="00257083"/>
    <w:rsid w:val="00260348"/>
    <w:rsid w:val="00261313"/>
    <w:rsid w:val="00262A5C"/>
    <w:rsid w:val="0026343E"/>
    <w:rsid w:val="0026376C"/>
    <w:rsid w:val="00265377"/>
    <w:rsid w:val="0027117B"/>
    <w:rsid w:val="002724C5"/>
    <w:rsid w:val="00273438"/>
    <w:rsid w:val="002736B4"/>
    <w:rsid w:val="002738FE"/>
    <w:rsid w:val="00275052"/>
    <w:rsid w:val="00276370"/>
    <w:rsid w:val="002765E1"/>
    <w:rsid w:val="00277A6A"/>
    <w:rsid w:val="00280832"/>
    <w:rsid w:val="00281A18"/>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1C3D"/>
    <w:rsid w:val="002A3B20"/>
    <w:rsid w:val="002A4686"/>
    <w:rsid w:val="002A4E11"/>
    <w:rsid w:val="002A5A2F"/>
    <w:rsid w:val="002A62DC"/>
    <w:rsid w:val="002B0224"/>
    <w:rsid w:val="002B0ADF"/>
    <w:rsid w:val="002B0CF7"/>
    <w:rsid w:val="002B2E9C"/>
    <w:rsid w:val="002B3444"/>
    <w:rsid w:val="002B3A1C"/>
    <w:rsid w:val="002B3D55"/>
    <w:rsid w:val="002B3EA5"/>
    <w:rsid w:val="002B4320"/>
    <w:rsid w:val="002B4DD2"/>
    <w:rsid w:val="002B5342"/>
    <w:rsid w:val="002B6508"/>
    <w:rsid w:val="002B6CE6"/>
    <w:rsid w:val="002C18A7"/>
    <w:rsid w:val="002C42C5"/>
    <w:rsid w:val="002C442A"/>
    <w:rsid w:val="002C7D3F"/>
    <w:rsid w:val="002D184D"/>
    <w:rsid w:val="002D22FB"/>
    <w:rsid w:val="002D3739"/>
    <w:rsid w:val="002D389E"/>
    <w:rsid w:val="002D3C1E"/>
    <w:rsid w:val="002D4758"/>
    <w:rsid w:val="002D4988"/>
    <w:rsid w:val="002D49AE"/>
    <w:rsid w:val="002D668E"/>
    <w:rsid w:val="002E0A8A"/>
    <w:rsid w:val="002E1106"/>
    <w:rsid w:val="002E1259"/>
    <w:rsid w:val="002E4559"/>
    <w:rsid w:val="002E5416"/>
    <w:rsid w:val="002E5B6C"/>
    <w:rsid w:val="002E5D36"/>
    <w:rsid w:val="002E6E4C"/>
    <w:rsid w:val="002E6EAA"/>
    <w:rsid w:val="002E7956"/>
    <w:rsid w:val="002F1674"/>
    <w:rsid w:val="002F2A51"/>
    <w:rsid w:val="002F357C"/>
    <w:rsid w:val="002F57D0"/>
    <w:rsid w:val="002F57FE"/>
    <w:rsid w:val="002F6B09"/>
    <w:rsid w:val="002F6B2D"/>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12EE"/>
    <w:rsid w:val="00322F71"/>
    <w:rsid w:val="00323A00"/>
    <w:rsid w:val="003243F5"/>
    <w:rsid w:val="00325791"/>
    <w:rsid w:val="003264C6"/>
    <w:rsid w:val="0032729F"/>
    <w:rsid w:val="00327DFC"/>
    <w:rsid w:val="00330CF3"/>
    <w:rsid w:val="00331729"/>
    <w:rsid w:val="0033230A"/>
    <w:rsid w:val="003337F1"/>
    <w:rsid w:val="00333BEB"/>
    <w:rsid w:val="003341A3"/>
    <w:rsid w:val="003346BD"/>
    <w:rsid w:val="0033492B"/>
    <w:rsid w:val="00334F7F"/>
    <w:rsid w:val="00337624"/>
    <w:rsid w:val="00337CEE"/>
    <w:rsid w:val="00340E32"/>
    <w:rsid w:val="00340FC8"/>
    <w:rsid w:val="0034144F"/>
    <w:rsid w:val="00341CD8"/>
    <w:rsid w:val="00343A52"/>
    <w:rsid w:val="003445E1"/>
    <w:rsid w:val="00344895"/>
    <w:rsid w:val="00345971"/>
    <w:rsid w:val="00345D60"/>
    <w:rsid w:val="00346453"/>
    <w:rsid w:val="003471BD"/>
    <w:rsid w:val="00350CDF"/>
    <w:rsid w:val="00351D9E"/>
    <w:rsid w:val="00351DA6"/>
    <w:rsid w:val="00352B3A"/>
    <w:rsid w:val="00352D5D"/>
    <w:rsid w:val="003531BA"/>
    <w:rsid w:val="003556B6"/>
    <w:rsid w:val="00355EBF"/>
    <w:rsid w:val="003567DB"/>
    <w:rsid w:val="00360042"/>
    <w:rsid w:val="00362E29"/>
    <w:rsid w:val="00363AD6"/>
    <w:rsid w:val="003662DD"/>
    <w:rsid w:val="003664D7"/>
    <w:rsid w:val="00367A06"/>
    <w:rsid w:val="00367BD3"/>
    <w:rsid w:val="00367E94"/>
    <w:rsid w:val="00370892"/>
    <w:rsid w:val="00370C75"/>
    <w:rsid w:val="0037162B"/>
    <w:rsid w:val="00371A29"/>
    <w:rsid w:val="00372B12"/>
    <w:rsid w:val="00373B3B"/>
    <w:rsid w:val="00373DD7"/>
    <w:rsid w:val="003745C2"/>
    <w:rsid w:val="003755C8"/>
    <w:rsid w:val="00376137"/>
    <w:rsid w:val="00376B3F"/>
    <w:rsid w:val="00376D3B"/>
    <w:rsid w:val="003779B1"/>
    <w:rsid w:val="00377DF6"/>
    <w:rsid w:val="00380283"/>
    <w:rsid w:val="00380A86"/>
    <w:rsid w:val="00382D1D"/>
    <w:rsid w:val="00383B08"/>
    <w:rsid w:val="00385440"/>
    <w:rsid w:val="00386D2F"/>
    <w:rsid w:val="00390472"/>
    <w:rsid w:val="00391348"/>
    <w:rsid w:val="00391B17"/>
    <w:rsid w:val="00391FEE"/>
    <w:rsid w:val="00392F96"/>
    <w:rsid w:val="00393038"/>
    <w:rsid w:val="00393346"/>
    <w:rsid w:val="00394866"/>
    <w:rsid w:val="003948D2"/>
    <w:rsid w:val="00394A86"/>
    <w:rsid w:val="00394E9E"/>
    <w:rsid w:val="00394FD6"/>
    <w:rsid w:val="003960BA"/>
    <w:rsid w:val="00396B48"/>
    <w:rsid w:val="00397FD3"/>
    <w:rsid w:val="003A05B0"/>
    <w:rsid w:val="003A05B4"/>
    <w:rsid w:val="003A12E6"/>
    <w:rsid w:val="003A1571"/>
    <w:rsid w:val="003A1A10"/>
    <w:rsid w:val="003A1A15"/>
    <w:rsid w:val="003A1E54"/>
    <w:rsid w:val="003A23FD"/>
    <w:rsid w:val="003A28E2"/>
    <w:rsid w:val="003A4407"/>
    <w:rsid w:val="003A4689"/>
    <w:rsid w:val="003A74E8"/>
    <w:rsid w:val="003B0CFD"/>
    <w:rsid w:val="003B175E"/>
    <w:rsid w:val="003B35EF"/>
    <w:rsid w:val="003B361C"/>
    <w:rsid w:val="003B746E"/>
    <w:rsid w:val="003C1F20"/>
    <w:rsid w:val="003C2BC3"/>
    <w:rsid w:val="003D06B0"/>
    <w:rsid w:val="003D154D"/>
    <w:rsid w:val="003D16E8"/>
    <w:rsid w:val="003D3463"/>
    <w:rsid w:val="003D4666"/>
    <w:rsid w:val="003D692F"/>
    <w:rsid w:val="003D77D6"/>
    <w:rsid w:val="003E0017"/>
    <w:rsid w:val="003E2D98"/>
    <w:rsid w:val="003E4945"/>
    <w:rsid w:val="003E515A"/>
    <w:rsid w:val="003E64B0"/>
    <w:rsid w:val="003E767F"/>
    <w:rsid w:val="003E76E4"/>
    <w:rsid w:val="003E781A"/>
    <w:rsid w:val="003F0439"/>
    <w:rsid w:val="003F0C0B"/>
    <w:rsid w:val="003F14C4"/>
    <w:rsid w:val="003F20C1"/>
    <w:rsid w:val="003F287B"/>
    <w:rsid w:val="003F29D5"/>
    <w:rsid w:val="003F307F"/>
    <w:rsid w:val="003F3A3B"/>
    <w:rsid w:val="003F4174"/>
    <w:rsid w:val="003F6729"/>
    <w:rsid w:val="003F7013"/>
    <w:rsid w:val="003F77F7"/>
    <w:rsid w:val="004001EE"/>
    <w:rsid w:val="004008A1"/>
    <w:rsid w:val="00404296"/>
    <w:rsid w:val="00404A25"/>
    <w:rsid w:val="00404D61"/>
    <w:rsid w:val="00405C6E"/>
    <w:rsid w:val="00406659"/>
    <w:rsid w:val="004073C6"/>
    <w:rsid w:val="00412F87"/>
    <w:rsid w:val="004147C7"/>
    <w:rsid w:val="00414C05"/>
    <w:rsid w:val="00415258"/>
    <w:rsid w:val="00415566"/>
    <w:rsid w:val="0041643E"/>
    <w:rsid w:val="004200F1"/>
    <w:rsid w:val="0042243C"/>
    <w:rsid w:val="00422921"/>
    <w:rsid w:val="00422C2A"/>
    <w:rsid w:val="00422C7C"/>
    <w:rsid w:val="0042301F"/>
    <w:rsid w:val="0042330B"/>
    <w:rsid w:val="0042421B"/>
    <w:rsid w:val="00425886"/>
    <w:rsid w:val="00425DF4"/>
    <w:rsid w:val="00426D12"/>
    <w:rsid w:val="0043005E"/>
    <w:rsid w:val="00430F8C"/>
    <w:rsid w:val="004315C7"/>
    <w:rsid w:val="00432C18"/>
    <w:rsid w:val="004335CB"/>
    <w:rsid w:val="00433CB1"/>
    <w:rsid w:val="004341DE"/>
    <w:rsid w:val="0043629D"/>
    <w:rsid w:val="00440C92"/>
    <w:rsid w:val="00440F22"/>
    <w:rsid w:val="0044132B"/>
    <w:rsid w:val="00441792"/>
    <w:rsid w:val="00445AD9"/>
    <w:rsid w:val="0044712B"/>
    <w:rsid w:val="00460F7B"/>
    <w:rsid w:val="004611D9"/>
    <w:rsid w:val="004619B6"/>
    <w:rsid w:val="00461AF4"/>
    <w:rsid w:val="00462780"/>
    <w:rsid w:val="00464842"/>
    <w:rsid w:val="004659BE"/>
    <w:rsid w:val="00466270"/>
    <w:rsid w:val="00466C0D"/>
    <w:rsid w:val="00466E2C"/>
    <w:rsid w:val="004670BF"/>
    <w:rsid w:val="00467966"/>
    <w:rsid w:val="0047000B"/>
    <w:rsid w:val="00470A31"/>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6CB4"/>
    <w:rsid w:val="00487158"/>
    <w:rsid w:val="00487F1E"/>
    <w:rsid w:val="00490A5E"/>
    <w:rsid w:val="00490A96"/>
    <w:rsid w:val="00492D0A"/>
    <w:rsid w:val="00495CF9"/>
    <w:rsid w:val="00495E3A"/>
    <w:rsid w:val="00496853"/>
    <w:rsid w:val="00496A83"/>
    <w:rsid w:val="004A490A"/>
    <w:rsid w:val="004A65A5"/>
    <w:rsid w:val="004A6AA2"/>
    <w:rsid w:val="004A7DAA"/>
    <w:rsid w:val="004A7E48"/>
    <w:rsid w:val="004B37F7"/>
    <w:rsid w:val="004B42FC"/>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D74BC"/>
    <w:rsid w:val="004E0D6B"/>
    <w:rsid w:val="004E3F22"/>
    <w:rsid w:val="004E4091"/>
    <w:rsid w:val="004E6409"/>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5F2"/>
    <w:rsid w:val="005056F0"/>
    <w:rsid w:val="00507D93"/>
    <w:rsid w:val="00510E12"/>
    <w:rsid w:val="00511395"/>
    <w:rsid w:val="005116D5"/>
    <w:rsid w:val="00512B8D"/>
    <w:rsid w:val="005140E0"/>
    <w:rsid w:val="0051467A"/>
    <w:rsid w:val="00514B66"/>
    <w:rsid w:val="00516D14"/>
    <w:rsid w:val="00516F95"/>
    <w:rsid w:val="00517C72"/>
    <w:rsid w:val="00521730"/>
    <w:rsid w:val="005234BE"/>
    <w:rsid w:val="00524228"/>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5E"/>
    <w:rsid w:val="00552304"/>
    <w:rsid w:val="005544CA"/>
    <w:rsid w:val="00554868"/>
    <w:rsid w:val="00555CEA"/>
    <w:rsid w:val="00555ED0"/>
    <w:rsid w:val="00556B74"/>
    <w:rsid w:val="00560021"/>
    <w:rsid w:val="00560554"/>
    <w:rsid w:val="005613C4"/>
    <w:rsid w:val="005623EF"/>
    <w:rsid w:val="0056429B"/>
    <w:rsid w:val="005650ED"/>
    <w:rsid w:val="00566892"/>
    <w:rsid w:val="00567B0A"/>
    <w:rsid w:val="005703E1"/>
    <w:rsid w:val="00571C32"/>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4BB"/>
    <w:rsid w:val="00597810"/>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B6810"/>
    <w:rsid w:val="005C0884"/>
    <w:rsid w:val="005C2105"/>
    <w:rsid w:val="005C217D"/>
    <w:rsid w:val="005C30FB"/>
    <w:rsid w:val="005C32A2"/>
    <w:rsid w:val="005C3987"/>
    <w:rsid w:val="005C49FC"/>
    <w:rsid w:val="005C665E"/>
    <w:rsid w:val="005C705B"/>
    <w:rsid w:val="005C786F"/>
    <w:rsid w:val="005D01B4"/>
    <w:rsid w:val="005D37AC"/>
    <w:rsid w:val="005D3FEC"/>
    <w:rsid w:val="005D4163"/>
    <w:rsid w:val="005D4DBE"/>
    <w:rsid w:val="005D6A3E"/>
    <w:rsid w:val="005D7FCA"/>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227E"/>
    <w:rsid w:val="00605FC1"/>
    <w:rsid w:val="00607E82"/>
    <w:rsid w:val="00610A7A"/>
    <w:rsid w:val="00611CB8"/>
    <w:rsid w:val="006123FF"/>
    <w:rsid w:val="00612D3A"/>
    <w:rsid w:val="006139E4"/>
    <w:rsid w:val="00613D21"/>
    <w:rsid w:val="00613E22"/>
    <w:rsid w:val="00615460"/>
    <w:rsid w:val="00617B9A"/>
    <w:rsid w:val="00621003"/>
    <w:rsid w:val="00621BE0"/>
    <w:rsid w:val="006223EC"/>
    <w:rsid w:val="00622437"/>
    <w:rsid w:val="00622729"/>
    <w:rsid w:val="00622DC9"/>
    <w:rsid w:val="00624BEC"/>
    <w:rsid w:val="0062515D"/>
    <w:rsid w:val="00625395"/>
    <w:rsid w:val="00627B31"/>
    <w:rsid w:val="00631C61"/>
    <w:rsid w:val="00632BD2"/>
    <w:rsid w:val="00633DB4"/>
    <w:rsid w:val="00634022"/>
    <w:rsid w:val="00634681"/>
    <w:rsid w:val="00634CD5"/>
    <w:rsid w:val="006359B6"/>
    <w:rsid w:val="00637B29"/>
    <w:rsid w:val="0064107C"/>
    <w:rsid w:val="0064442E"/>
    <w:rsid w:val="00647233"/>
    <w:rsid w:val="00647BCB"/>
    <w:rsid w:val="00650DFB"/>
    <w:rsid w:val="00651D4F"/>
    <w:rsid w:val="00651DDE"/>
    <w:rsid w:val="0065290B"/>
    <w:rsid w:val="00652CB8"/>
    <w:rsid w:val="00653DD4"/>
    <w:rsid w:val="00656E3A"/>
    <w:rsid w:val="00656F21"/>
    <w:rsid w:val="00662540"/>
    <w:rsid w:val="00662994"/>
    <w:rsid w:val="00662A0D"/>
    <w:rsid w:val="00663CFA"/>
    <w:rsid w:val="00663F79"/>
    <w:rsid w:val="0066401F"/>
    <w:rsid w:val="00664EFC"/>
    <w:rsid w:val="00667CB5"/>
    <w:rsid w:val="00670662"/>
    <w:rsid w:val="0067187B"/>
    <w:rsid w:val="006724C3"/>
    <w:rsid w:val="00672AFD"/>
    <w:rsid w:val="00674060"/>
    <w:rsid w:val="0067461D"/>
    <w:rsid w:val="006749AF"/>
    <w:rsid w:val="00674AB4"/>
    <w:rsid w:val="00675CDE"/>
    <w:rsid w:val="00676CC5"/>
    <w:rsid w:val="00677685"/>
    <w:rsid w:val="00677833"/>
    <w:rsid w:val="00677E64"/>
    <w:rsid w:val="00680115"/>
    <w:rsid w:val="00680231"/>
    <w:rsid w:val="006830D8"/>
    <w:rsid w:val="00683C51"/>
    <w:rsid w:val="00684575"/>
    <w:rsid w:val="00686864"/>
    <w:rsid w:val="00687D4B"/>
    <w:rsid w:val="00690639"/>
    <w:rsid w:val="00690B4B"/>
    <w:rsid w:val="00692319"/>
    <w:rsid w:val="00692D63"/>
    <w:rsid w:val="006939B4"/>
    <w:rsid w:val="006948C5"/>
    <w:rsid w:val="006954A7"/>
    <w:rsid w:val="006965E9"/>
    <w:rsid w:val="006A00F9"/>
    <w:rsid w:val="006A0EF6"/>
    <w:rsid w:val="006A1E10"/>
    <w:rsid w:val="006A2180"/>
    <w:rsid w:val="006A4021"/>
    <w:rsid w:val="006A4833"/>
    <w:rsid w:val="006A6211"/>
    <w:rsid w:val="006B0AB9"/>
    <w:rsid w:val="006B3AEF"/>
    <w:rsid w:val="006B400C"/>
    <w:rsid w:val="006B4039"/>
    <w:rsid w:val="006B60A4"/>
    <w:rsid w:val="006B7494"/>
    <w:rsid w:val="006C1084"/>
    <w:rsid w:val="006C22B5"/>
    <w:rsid w:val="006C3554"/>
    <w:rsid w:val="006C3771"/>
    <w:rsid w:val="006C46A0"/>
    <w:rsid w:val="006C613C"/>
    <w:rsid w:val="006C6150"/>
    <w:rsid w:val="006C6CC9"/>
    <w:rsid w:val="006D0023"/>
    <w:rsid w:val="006D03AF"/>
    <w:rsid w:val="006D0AA7"/>
    <w:rsid w:val="006D122A"/>
    <w:rsid w:val="006D22EE"/>
    <w:rsid w:val="006D2D7A"/>
    <w:rsid w:val="006D3690"/>
    <w:rsid w:val="006D433E"/>
    <w:rsid w:val="006D5219"/>
    <w:rsid w:val="006D56D6"/>
    <w:rsid w:val="006D5C05"/>
    <w:rsid w:val="006E0074"/>
    <w:rsid w:val="006E0984"/>
    <w:rsid w:val="006E2EF9"/>
    <w:rsid w:val="006E37F4"/>
    <w:rsid w:val="006E3CC4"/>
    <w:rsid w:val="006E431B"/>
    <w:rsid w:val="006E4874"/>
    <w:rsid w:val="006E6694"/>
    <w:rsid w:val="006E713C"/>
    <w:rsid w:val="006F1051"/>
    <w:rsid w:val="006F11C8"/>
    <w:rsid w:val="006F2140"/>
    <w:rsid w:val="006F24D1"/>
    <w:rsid w:val="006F2B02"/>
    <w:rsid w:val="006F3D9D"/>
    <w:rsid w:val="006F4009"/>
    <w:rsid w:val="006F46B7"/>
    <w:rsid w:val="006F4E66"/>
    <w:rsid w:val="006F4ED3"/>
    <w:rsid w:val="006F5F4A"/>
    <w:rsid w:val="006F6343"/>
    <w:rsid w:val="00700181"/>
    <w:rsid w:val="00703C79"/>
    <w:rsid w:val="00704752"/>
    <w:rsid w:val="00704784"/>
    <w:rsid w:val="0070478B"/>
    <w:rsid w:val="00706DDA"/>
    <w:rsid w:val="007077D0"/>
    <w:rsid w:val="00707C34"/>
    <w:rsid w:val="00711119"/>
    <w:rsid w:val="0071152A"/>
    <w:rsid w:val="00711F71"/>
    <w:rsid w:val="00714046"/>
    <w:rsid w:val="00715174"/>
    <w:rsid w:val="00716CB6"/>
    <w:rsid w:val="0071752D"/>
    <w:rsid w:val="00720B0A"/>
    <w:rsid w:val="00720CF1"/>
    <w:rsid w:val="007215C9"/>
    <w:rsid w:val="00721B05"/>
    <w:rsid w:val="00723072"/>
    <w:rsid w:val="00723F0B"/>
    <w:rsid w:val="00726D8F"/>
    <w:rsid w:val="007275BD"/>
    <w:rsid w:val="007309C0"/>
    <w:rsid w:val="00731280"/>
    <w:rsid w:val="00731874"/>
    <w:rsid w:val="0073296A"/>
    <w:rsid w:val="00732F6A"/>
    <w:rsid w:val="00733728"/>
    <w:rsid w:val="0073619F"/>
    <w:rsid w:val="007362A2"/>
    <w:rsid w:val="0073696D"/>
    <w:rsid w:val="00740AFA"/>
    <w:rsid w:val="00740D8B"/>
    <w:rsid w:val="00741B0B"/>
    <w:rsid w:val="00742154"/>
    <w:rsid w:val="00743420"/>
    <w:rsid w:val="00744CBE"/>
    <w:rsid w:val="0074603A"/>
    <w:rsid w:val="00747520"/>
    <w:rsid w:val="00751AE9"/>
    <w:rsid w:val="00752D14"/>
    <w:rsid w:val="0075374C"/>
    <w:rsid w:val="007539C7"/>
    <w:rsid w:val="00753E5C"/>
    <w:rsid w:val="00755290"/>
    <w:rsid w:val="00755935"/>
    <w:rsid w:val="00755C82"/>
    <w:rsid w:val="007566BF"/>
    <w:rsid w:val="00757684"/>
    <w:rsid w:val="00757F90"/>
    <w:rsid w:val="00762F0B"/>
    <w:rsid w:val="0076600D"/>
    <w:rsid w:val="007707F6"/>
    <w:rsid w:val="00774590"/>
    <w:rsid w:val="007767B7"/>
    <w:rsid w:val="007775D2"/>
    <w:rsid w:val="007801CE"/>
    <w:rsid w:val="007802FA"/>
    <w:rsid w:val="00780D44"/>
    <w:rsid w:val="00780E76"/>
    <w:rsid w:val="00781095"/>
    <w:rsid w:val="0078146B"/>
    <w:rsid w:val="007822D3"/>
    <w:rsid w:val="00783AE1"/>
    <w:rsid w:val="007862B5"/>
    <w:rsid w:val="0078730A"/>
    <w:rsid w:val="007877D6"/>
    <w:rsid w:val="00790878"/>
    <w:rsid w:val="00790A50"/>
    <w:rsid w:val="0079290E"/>
    <w:rsid w:val="00792F8B"/>
    <w:rsid w:val="00793F70"/>
    <w:rsid w:val="0079523C"/>
    <w:rsid w:val="007A0326"/>
    <w:rsid w:val="007A032E"/>
    <w:rsid w:val="007A123D"/>
    <w:rsid w:val="007A13B0"/>
    <w:rsid w:val="007A18CE"/>
    <w:rsid w:val="007A2036"/>
    <w:rsid w:val="007A2CC7"/>
    <w:rsid w:val="007A2F09"/>
    <w:rsid w:val="007A3D40"/>
    <w:rsid w:val="007A78F2"/>
    <w:rsid w:val="007B08EE"/>
    <w:rsid w:val="007B0B38"/>
    <w:rsid w:val="007B14AE"/>
    <w:rsid w:val="007B1F33"/>
    <w:rsid w:val="007B34C8"/>
    <w:rsid w:val="007B3D03"/>
    <w:rsid w:val="007B45B5"/>
    <w:rsid w:val="007B4935"/>
    <w:rsid w:val="007B4E78"/>
    <w:rsid w:val="007B6C0A"/>
    <w:rsid w:val="007B70B0"/>
    <w:rsid w:val="007B7F3E"/>
    <w:rsid w:val="007C026A"/>
    <w:rsid w:val="007C2939"/>
    <w:rsid w:val="007C2B08"/>
    <w:rsid w:val="007C4190"/>
    <w:rsid w:val="007C4568"/>
    <w:rsid w:val="007C62AA"/>
    <w:rsid w:val="007C69F0"/>
    <w:rsid w:val="007C6D2A"/>
    <w:rsid w:val="007C76B5"/>
    <w:rsid w:val="007C7920"/>
    <w:rsid w:val="007D21F5"/>
    <w:rsid w:val="007D2442"/>
    <w:rsid w:val="007D2FEB"/>
    <w:rsid w:val="007D3A70"/>
    <w:rsid w:val="007D57D8"/>
    <w:rsid w:val="007D5A68"/>
    <w:rsid w:val="007D5E2A"/>
    <w:rsid w:val="007D73E7"/>
    <w:rsid w:val="007E02DA"/>
    <w:rsid w:val="007E0895"/>
    <w:rsid w:val="007E0CA6"/>
    <w:rsid w:val="007E0D9F"/>
    <w:rsid w:val="007E12C9"/>
    <w:rsid w:val="007E2458"/>
    <w:rsid w:val="007E2F81"/>
    <w:rsid w:val="007E349A"/>
    <w:rsid w:val="007E3661"/>
    <w:rsid w:val="007E4482"/>
    <w:rsid w:val="007E578C"/>
    <w:rsid w:val="007E6C90"/>
    <w:rsid w:val="007F1670"/>
    <w:rsid w:val="007F382A"/>
    <w:rsid w:val="007F3AC5"/>
    <w:rsid w:val="007F411D"/>
    <w:rsid w:val="007F46D8"/>
    <w:rsid w:val="007F62CD"/>
    <w:rsid w:val="008005A9"/>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A2D"/>
    <w:rsid w:val="00825B80"/>
    <w:rsid w:val="008260B4"/>
    <w:rsid w:val="00826BC0"/>
    <w:rsid w:val="00827386"/>
    <w:rsid w:val="0083009B"/>
    <w:rsid w:val="00830AA1"/>
    <w:rsid w:val="00830E6B"/>
    <w:rsid w:val="00830EB3"/>
    <w:rsid w:val="00830EBA"/>
    <w:rsid w:val="00832303"/>
    <w:rsid w:val="00832622"/>
    <w:rsid w:val="00832D44"/>
    <w:rsid w:val="00833161"/>
    <w:rsid w:val="0083346C"/>
    <w:rsid w:val="00833692"/>
    <w:rsid w:val="008336FC"/>
    <w:rsid w:val="008348B0"/>
    <w:rsid w:val="00834D1D"/>
    <w:rsid w:val="008374A5"/>
    <w:rsid w:val="008404CE"/>
    <w:rsid w:val="008409A3"/>
    <w:rsid w:val="00842593"/>
    <w:rsid w:val="00842974"/>
    <w:rsid w:val="00844AB9"/>
    <w:rsid w:val="00844B03"/>
    <w:rsid w:val="0084501A"/>
    <w:rsid w:val="0084654D"/>
    <w:rsid w:val="00850976"/>
    <w:rsid w:val="00850A2C"/>
    <w:rsid w:val="008514FC"/>
    <w:rsid w:val="008524F0"/>
    <w:rsid w:val="00854EE3"/>
    <w:rsid w:val="0085672D"/>
    <w:rsid w:val="0085676B"/>
    <w:rsid w:val="00856947"/>
    <w:rsid w:val="00856C62"/>
    <w:rsid w:val="00856D59"/>
    <w:rsid w:val="008602D3"/>
    <w:rsid w:val="008614EC"/>
    <w:rsid w:val="00861A34"/>
    <w:rsid w:val="00865549"/>
    <w:rsid w:val="0086569C"/>
    <w:rsid w:val="00865C14"/>
    <w:rsid w:val="00867700"/>
    <w:rsid w:val="0087162C"/>
    <w:rsid w:val="00871DCB"/>
    <w:rsid w:val="0087217A"/>
    <w:rsid w:val="00872B5D"/>
    <w:rsid w:val="00873323"/>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5706"/>
    <w:rsid w:val="008A72F0"/>
    <w:rsid w:val="008B03A9"/>
    <w:rsid w:val="008B04C9"/>
    <w:rsid w:val="008B0572"/>
    <w:rsid w:val="008B11A0"/>
    <w:rsid w:val="008B1662"/>
    <w:rsid w:val="008B1718"/>
    <w:rsid w:val="008B1789"/>
    <w:rsid w:val="008B18DB"/>
    <w:rsid w:val="008B1E56"/>
    <w:rsid w:val="008B271A"/>
    <w:rsid w:val="008B3451"/>
    <w:rsid w:val="008B37C5"/>
    <w:rsid w:val="008B52F4"/>
    <w:rsid w:val="008B5FDC"/>
    <w:rsid w:val="008B6389"/>
    <w:rsid w:val="008B6776"/>
    <w:rsid w:val="008B69FE"/>
    <w:rsid w:val="008B76F1"/>
    <w:rsid w:val="008C1A88"/>
    <w:rsid w:val="008C239C"/>
    <w:rsid w:val="008C4AEC"/>
    <w:rsid w:val="008C4BA3"/>
    <w:rsid w:val="008C5957"/>
    <w:rsid w:val="008C608B"/>
    <w:rsid w:val="008C7110"/>
    <w:rsid w:val="008C7480"/>
    <w:rsid w:val="008C7A05"/>
    <w:rsid w:val="008C7C3A"/>
    <w:rsid w:val="008C7CD1"/>
    <w:rsid w:val="008D18A9"/>
    <w:rsid w:val="008D3D10"/>
    <w:rsid w:val="008D3E1A"/>
    <w:rsid w:val="008D3F92"/>
    <w:rsid w:val="008D51C4"/>
    <w:rsid w:val="008D5B63"/>
    <w:rsid w:val="008D7106"/>
    <w:rsid w:val="008E3AFC"/>
    <w:rsid w:val="008E4330"/>
    <w:rsid w:val="008E4420"/>
    <w:rsid w:val="008E4C58"/>
    <w:rsid w:val="008E644E"/>
    <w:rsid w:val="008E6AAA"/>
    <w:rsid w:val="008E7166"/>
    <w:rsid w:val="008F1F5E"/>
    <w:rsid w:val="008F422F"/>
    <w:rsid w:val="008F578C"/>
    <w:rsid w:val="008F591E"/>
    <w:rsid w:val="008F5DAF"/>
    <w:rsid w:val="008F621A"/>
    <w:rsid w:val="00901697"/>
    <w:rsid w:val="00901B03"/>
    <w:rsid w:val="00901EA2"/>
    <w:rsid w:val="00902ED4"/>
    <w:rsid w:val="00902EF5"/>
    <w:rsid w:val="00905436"/>
    <w:rsid w:val="0090586B"/>
    <w:rsid w:val="009061A1"/>
    <w:rsid w:val="00906C61"/>
    <w:rsid w:val="00911CE9"/>
    <w:rsid w:val="00911D56"/>
    <w:rsid w:val="009127B3"/>
    <w:rsid w:val="00912BA8"/>
    <w:rsid w:val="00913807"/>
    <w:rsid w:val="0091493E"/>
    <w:rsid w:val="00914EA0"/>
    <w:rsid w:val="00915A56"/>
    <w:rsid w:val="009203D7"/>
    <w:rsid w:val="00920870"/>
    <w:rsid w:val="00920B10"/>
    <w:rsid w:val="00921752"/>
    <w:rsid w:val="00921FF2"/>
    <w:rsid w:val="00922DC0"/>
    <w:rsid w:val="009232E2"/>
    <w:rsid w:val="00925589"/>
    <w:rsid w:val="00926531"/>
    <w:rsid w:val="009273DE"/>
    <w:rsid w:val="00927FCE"/>
    <w:rsid w:val="00930C75"/>
    <w:rsid w:val="0093121F"/>
    <w:rsid w:val="00933827"/>
    <w:rsid w:val="009346BC"/>
    <w:rsid w:val="00934952"/>
    <w:rsid w:val="009352BB"/>
    <w:rsid w:val="00935DFB"/>
    <w:rsid w:val="009367C9"/>
    <w:rsid w:val="00937938"/>
    <w:rsid w:val="00937A56"/>
    <w:rsid w:val="009413B9"/>
    <w:rsid w:val="009416FF"/>
    <w:rsid w:val="00942903"/>
    <w:rsid w:val="00942B94"/>
    <w:rsid w:val="00943967"/>
    <w:rsid w:val="00943FDB"/>
    <w:rsid w:val="00945885"/>
    <w:rsid w:val="00945DCE"/>
    <w:rsid w:val="0094625A"/>
    <w:rsid w:val="009503D6"/>
    <w:rsid w:val="009506FF"/>
    <w:rsid w:val="00951F01"/>
    <w:rsid w:val="00952A24"/>
    <w:rsid w:val="0095343B"/>
    <w:rsid w:val="00953734"/>
    <w:rsid w:val="00954100"/>
    <w:rsid w:val="00955501"/>
    <w:rsid w:val="00961B0B"/>
    <w:rsid w:val="009632EB"/>
    <w:rsid w:val="00963458"/>
    <w:rsid w:val="00964ED5"/>
    <w:rsid w:val="0096677B"/>
    <w:rsid w:val="00966F34"/>
    <w:rsid w:val="009673C3"/>
    <w:rsid w:val="00971061"/>
    <w:rsid w:val="009711E1"/>
    <w:rsid w:val="00971A81"/>
    <w:rsid w:val="0097241C"/>
    <w:rsid w:val="00973CFE"/>
    <w:rsid w:val="009742B9"/>
    <w:rsid w:val="00976D63"/>
    <w:rsid w:val="00977FF5"/>
    <w:rsid w:val="009803C5"/>
    <w:rsid w:val="009811C6"/>
    <w:rsid w:val="00981801"/>
    <w:rsid w:val="009829AC"/>
    <w:rsid w:val="009840F3"/>
    <w:rsid w:val="00985572"/>
    <w:rsid w:val="00985DAD"/>
    <w:rsid w:val="009860B5"/>
    <w:rsid w:val="0098666B"/>
    <w:rsid w:val="00990846"/>
    <w:rsid w:val="0099180C"/>
    <w:rsid w:val="009938CA"/>
    <w:rsid w:val="00995E5E"/>
    <w:rsid w:val="009976C6"/>
    <w:rsid w:val="009A02BB"/>
    <w:rsid w:val="009A0B26"/>
    <w:rsid w:val="009A1E9E"/>
    <w:rsid w:val="009A21CD"/>
    <w:rsid w:val="009A3345"/>
    <w:rsid w:val="009A3701"/>
    <w:rsid w:val="009A434A"/>
    <w:rsid w:val="009A52A0"/>
    <w:rsid w:val="009A53EE"/>
    <w:rsid w:val="009A56BF"/>
    <w:rsid w:val="009A634C"/>
    <w:rsid w:val="009A6EBF"/>
    <w:rsid w:val="009B05C4"/>
    <w:rsid w:val="009B1178"/>
    <w:rsid w:val="009B1EDB"/>
    <w:rsid w:val="009B2DAA"/>
    <w:rsid w:val="009B3F32"/>
    <w:rsid w:val="009B4567"/>
    <w:rsid w:val="009B4B09"/>
    <w:rsid w:val="009B55C4"/>
    <w:rsid w:val="009B5AE3"/>
    <w:rsid w:val="009C0234"/>
    <w:rsid w:val="009C1AA7"/>
    <w:rsid w:val="009C2C28"/>
    <w:rsid w:val="009C33BC"/>
    <w:rsid w:val="009C3D70"/>
    <w:rsid w:val="009C3F33"/>
    <w:rsid w:val="009C49C2"/>
    <w:rsid w:val="009C4AF8"/>
    <w:rsid w:val="009C5D1A"/>
    <w:rsid w:val="009C5E47"/>
    <w:rsid w:val="009C5F4D"/>
    <w:rsid w:val="009D1498"/>
    <w:rsid w:val="009D485E"/>
    <w:rsid w:val="009D4926"/>
    <w:rsid w:val="009D4E57"/>
    <w:rsid w:val="009D64DE"/>
    <w:rsid w:val="009E0834"/>
    <w:rsid w:val="009E12DA"/>
    <w:rsid w:val="009E2908"/>
    <w:rsid w:val="009E3036"/>
    <w:rsid w:val="009E30E1"/>
    <w:rsid w:val="009E3F50"/>
    <w:rsid w:val="009E4AEE"/>
    <w:rsid w:val="009E544F"/>
    <w:rsid w:val="009E61F1"/>
    <w:rsid w:val="009E74DB"/>
    <w:rsid w:val="009E7A1C"/>
    <w:rsid w:val="009E7EE8"/>
    <w:rsid w:val="009F18B4"/>
    <w:rsid w:val="009F18E4"/>
    <w:rsid w:val="009F1C93"/>
    <w:rsid w:val="009F2F79"/>
    <w:rsid w:val="009F49E9"/>
    <w:rsid w:val="009F4C66"/>
    <w:rsid w:val="009F64CB"/>
    <w:rsid w:val="009F720E"/>
    <w:rsid w:val="009F7699"/>
    <w:rsid w:val="00A00671"/>
    <w:rsid w:val="00A00A41"/>
    <w:rsid w:val="00A0205B"/>
    <w:rsid w:val="00A034E5"/>
    <w:rsid w:val="00A042AA"/>
    <w:rsid w:val="00A04E5B"/>
    <w:rsid w:val="00A065EA"/>
    <w:rsid w:val="00A06C44"/>
    <w:rsid w:val="00A07580"/>
    <w:rsid w:val="00A10463"/>
    <w:rsid w:val="00A1154E"/>
    <w:rsid w:val="00A13396"/>
    <w:rsid w:val="00A137FA"/>
    <w:rsid w:val="00A15179"/>
    <w:rsid w:val="00A16211"/>
    <w:rsid w:val="00A16D5E"/>
    <w:rsid w:val="00A1733E"/>
    <w:rsid w:val="00A1781B"/>
    <w:rsid w:val="00A17C0B"/>
    <w:rsid w:val="00A20467"/>
    <w:rsid w:val="00A20C35"/>
    <w:rsid w:val="00A21E2B"/>
    <w:rsid w:val="00A22311"/>
    <w:rsid w:val="00A224E1"/>
    <w:rsid w:val="00A2256B"/>
    <w:rsid w:val="00A231F6"/>
    <w:rsid w:val="00A23ED2"/>
    <w:rsid w:val="00A24D7F"/>
    <w:rsid w:val="00A24E64"/>
    <w:rsid w:val="00A254EE"/>
    <w:rsid w:val="00A25571"/>
    <w:rsid w:val="00A30618"/>
    <w:rsid w:val="00A30E6A"/>
    <w:rsid w:val="00A310D3"/>
    <w:rsid w:val="00A321FD"/>
    <w:rsid w:val="00A34AC9"/>
    <w:rsid w:val="00A356A6"/>
    <w:rsid w:val="00A359C2"/>
    <w:rsid w:val="00A36EAD"/>
    <w:rsid w:val="00A36F20"/>
    <w:rsid w:val="00A3720F"/>
    <w:rsid w:val="00A400B2"/>
    <w:rsid w:val="00A403DD"/>
    <w:rsid w:val="00A41B72"/>
    <w:rsid w:val="00A433DA"/>
    <w:rsid w:val="00A4399B"/>
    <w:rsid w:val="00A44304"/>
    <w:rsid w:val="00A44DA9"/>
    <w:rsid w:val="00A453FC"/>
    <w:rsid w:val="00A45984"/>
    <w:rsid w:val="00A462C5"/>
    <w:rsid w:val="00A4645D"/>
    <w:rsid w:val="00A47C26"/>
    <w:rsid w:val="00A47F0F"/>
    <w:rsid w:val="00A51022"/>
    <w:rsid w:val="00A5108F"/>
    <w:rsid w:val="00A5190A"/>
    <w:rsid w:val="00A51CE4"/>
    <w:rsid w:val="00A538AF"/>
    <w:rsid w:val="00A53F54"/>
    <w:rsid w:val="00A5649B"/>
    <w:rsid w:val="00A573B8"/>
    <w:rsid w:val="00A5775C"/>
    <w:rsid w:val="00A617E0"/>
    <w:rsid w:val="00A622ED"/>
    <w:rsid w:val="00A63367"/>
    <w:rsid w:val="00A63DC4"/>
    <w:rsid w:val="00A64640"/>
    <w:rsid w:val="00A6508C"/>
    <w:rsid w:val="00A657F1"/>
    <w:rsid w:val="00A66900"/>
    <w:rsid w:val="00A70411"/>
    <w:rsid w:val="00A716C0"/>
    <w:rsid w:val="00A71C0B"/>
    <w:rsid w:val="00A73141"/>
    <w:rsid w:val="00A73B47"/>
    <w:rsid w:val="00A757DF"/>
    <w:rsid w:val="00A75DBD"/>
    <w:rsid w:val="00A761EB"/>
    <w:rsid w:val="00A7788F"/>
    <w:rsid w:val="00A77BFA"/>
    <w:rsid w:val="00A77F0E"/>
    <w:rsid w:val="00A77F5C"/>
    <w:rsid w:val="00A802B9"/>
    <w:rsid w:val="00A80692"/>
    <w:rsid w:val="00A80E02"/>
    <w:rsid w:val="00A8140A"/>
    <w:rsid w:val="00A82855"/>
    <w:rsid w:val="00A82FC7"/>
    <w:rsid w:val="00A83443"/>
    <w:rsid w:val="00A83BB8"/>
    <w:rsid w:val="00A83D0D"/>
    <w:rsid w:val="00A84483"/>
    <w:rsid w:val="00A84C6F"/>
    <w:rsid w:val="00A8587B"/>
    <w:rsid w:val="00A8692A"/>
    <w:rsid w:val="00A86AF3"/>
    <w:rsid w:val="00A87757"/>
    <w:rsid w:val="00A879C4"/>
    <w:rsid w:val="00A90B52"/>
    <w:rsid w:val="00A91630"/>
    <w:rsid w:val="00A92845"/>
    <w:rsid w:val="00A92F21"/>
    <w:rsid w:val="00A940C4"/>
    <w:rsid w:val="00A9438F"/>
    <w:rsid w:val="00A947C6"/>
    <w:rsid w:val="00A952E0"/>
    <w:rsid w:val="00A96338"/>
    <w:rsid w:val="00AA099F"/>
    <w:rsid w:val="00AA2A6E"/>
    <w:rsid w:val="00AA4053"/>
    <w:rsid w:val="00AA4071"/>
    <w:rsid w:val="00AA47AC"/>
    <w:rsid w:val="00AA4E12"/>
    <w:rsid w:val="00AA5774"/>
    <w:rsid w:val="00AA75CD"/>
    <w:rsid w:val="00AB0625"/>
    <w:rsid w:val="00AB0741"/>
    <w:rsid w:val="00AB3139"/>
    <w:rsid w:val="00AB3DCB"/>
    <w:rsid w:val="00AB3FA6"/>
    <w:rsid w:val="00AB42DE"/>
    <w:rsid w:val="00AB7537"/>
    <w:rsid w:val="00AC009B"/>
    <w:rsid w:val="00AC04B7"/>
    <w:rsid w:val="00AC14C1"/>
    <w:rsid w:val="00AC2C56"/>
    <w:rsid w:val="00AC340B"/>
    <w:rsid w:val="00AC3A36"/>
    <w:rsid w:val="00AC5A16"/>
    <w:rsid w:val="00AC5F89"/>
    <w:rsid w:val="00AC7E46"/>
    <w:rsid w:val="00AD48FC"/>
    <w:rsid w:val="00AD4A2C"/>
    <w:rsid w:val="00AD4F40"/>
    <w:rsid w:val="00AD5655"/>
    <w:rsid w:val="00AD5A81"/>
    <w:rsid w:val="00AD75BE"/>
    <w:rsid w:val="00AD767A"/>
    <w:rsid w:val="00AE0A48"/>
    <w:rsid w:val="00AE14FE"/>
    <w:rsid w:val="00AE1CA3"/>
    <w:rsid w:val="00AE22E8"/>
    <w:rsid w:val="00AE2839"/>
    <w:rsid w:val="00AE2ED7"/>
    <w:rsid w:val="00AE32E8"/>
    <w:rsid w:val="00AE4A50"/>
    <w:rsid w:val="00AE50B8"/>
    <w:rsid w:val="00AE50F9"/>
    <w:rsid w:val="00AE69BA"/>
    <w:rsid w:val="00AE7153"/>
    <w:rsid w:val="00AE7C1B"/>
    <w:rsid w:val="00AE7DB2"/>
    <w:rsid w:val="00AF0BF5"/>
    <w:rsid w:val="00AF10FA"/>
    <w:rsid w:val="00AF1827"/>
    <w:rsid w:val="00AF19EF"/>
    <w:rsid w:val="00AF2215"/>
    <w:rsid w:val="00AF247B"/>
    <w:rsid w:val="00AF3B03"/>
    <w:rsid w:val="00AF3F87"/>
    <w:rsid w:val="00AF4007"/>
    <w:rsid w:val="00AF41D1"/>
    <w:rsid w:val="00AF4D4A"/>
    <w:rsid w:val="00AF5303"/>
    <w:rsid w:val="00AF74FE"/>
    <w:rsid w:val="00AF7580"/>
    <w:rsid w:val="00B00D37"/>
    <w:rsid w:val="00B01304"/>
    <w:rsid w:val="00B02CBC"/>
    <w:rsid w:val="00B05679"/>
    <w:rsid w:val="00B07E27"/>
    <w:rsid w:val="00B120D6"/>
    <w:rsid w:val="00B12232"/>
    <w:rsid w:val="00B144B7"/>
    <w:rsid w:val="00B15193"/>
    <w:rsid w:val="00B16F4D"/>
    <w:rsid w:val="00B171D6"/>
    <w:rsid w:val="00B17DCB"/>
    <w:rsid w:val="00B21E11"/>
    <w:rsid w:val="00B22F12"/>
    <w:rsid w:val="00B22F42"/>
    <w:rsid w:val="00B23E62"/>
    <w:rsid w:val="00B242D3"/>
    <w:rsid w:val="00B265AE"/>
    <w:rsid w:val="00B3050E"/>
    <w:rsid w:val="00B30AAA"/>
    <w:rsid w:val="00B312F5"/>
    <w:rsid w:val="00B3201E"/>
    <w:rsid w:val="00B328D3"/>
    <w:rsid w:val="00B32ACD"/>
    <w:rsid w:val="00B33591"/>
    <w:rsid w:val="00B335F2"/>
    <w:rsid w:val="00B35A70"/>
    <w:rsid w:val="00B35E77"/>
    <w:rsid w:val="00B369CD"/>
    <w:rsid w:val="00B400D9"/>
    <w:rsid w:val="00B40271"/>
    <w:rsid w:val="00B40805"/>
    <w:rsid w:val="00B41A6E"/>
    <w:rsid w:val="00B42B4B"/>
    <w:rsid w:val="00B42C30"/>
    <w:rsid w:val="00B4305A"/>
    <w:rsid w:val="00B4323B"/>
    <w:rsid w:val="00B43FB8"/>
    <w:rsid w:val="00B44305"/>
    <w:rsid w:val="00B4434D"/>
    <w:rsid w:val="00B4467D"/>
    <w:rsid w:val="00B46843"/>
    <w:rsid w:val="00B46A91"/>
    <w:rsid w:val="00B47B8B"/>
    <w:rsid w:val="00B504CF"/>
    <w:rsid w:val="00B50F17"/>
    <w:rsid w:val="00B50F2E"/>
    <w:rsid w:val="00B51250"/>
    <w:rsid w:val="00B523C6"/>
    <w:rsid w:val="00B53193"/>
    <w:rsid w:val="00B53574"/>
    <w:rsid w:val="00B54EE5"/>
    <w:rsid w:val="00B55508"/>
    <w:rsid w:val="00B56E5A"/>
    <w:rsid w:val="00B60BA9"/>
    <w:rsid w:val="00B6163D"/>
    <w:rsid w:val="00B6235A"/>
    <w:rsid w:val="00B62C5B"/>
    <w:rsid w:val="00B66966"/>
    <w:rsid w:val="00B6792E"/>
    <w:rsid w:val="00B70556"/>
    <w:rsid w:val="00B70DDA"/>
    <w:rsid w:val="00B71B68"/>
    <w:rsid w:val="00B729E5"/>
    <w:rsid w:val="00B7433B"/>
    <w:rsid w:val="00B749F4"/>
    <w:rsid w:val="00B74A1A"/>
    <w:rsid w:val="00B752E3"/>
    <w:rsid w:val="00B75813"/>
    <w:rsid w:val="00B75E86"/>
    <w:rsid w:val="00B800BE"/>
    <w:rsid w:val="00B82302"/>
    <w:rsid w:val="00B85369"/>
    <w:rsid w:val="00B85ECD"/>
    <w:rsid w:val="00B87DB8"/>
    <w:rsid w:val="00B90776"/>
    <w:rsid w:val="00B915AE"/>
    <w:rsid w:val="00B92BDA"/>
    <w:rsid w:val="00B930C3"/>
    <w:rsid w:val="00B936A9"/>
    <w:rsid w:val="00B9421A"/>
    <w:rsid w:val="00B94EF5"/>
    <w:rsid w:val="00B94FCF"/>
    <w:rsid w:val="00B95329"/>
    <w:rsid w:val="00B95BC1"/>
    <w:rsid w:val="00B96A67"/>
    <w:rsid w:val="00B96C04"/>
    <w:rsid w:val="00BA145E"/>
    <w:rsid w:val="00BA2684"/>
    <w:rsid w:val="00BA374B"/>
    <w:rsid w:val="00BA5DCB"/>
    <w:rsid w:val="00BA771C"/>
    <w:rsid w:val="00BB1902"/>
    <w:rsid w:val="00BB2DBC"/>
    <w:rsid w:val="00BB354E"/>
    <w:rsid w:val="00BB466C"/>
    <w:rsid w:val="00BB473F"/>
    <w:rsid w:val="00BB7732"/>
    <w:rsid w:val="00BC0AD2"/>
    <w:rsid w:val="00BC168E"/>
    <w:rsid w:val="00BC1D92"/>
    <w:rsid w:val="00BC2916"/>
    <w:rsid w:val="00BC58B5"/>
    <w:rsid w:val="00BC6D05"/>
    <w:rsid w:val="00BC7703"/>
    <w:rsid w:val="00BC7729"/>
    <w:rsid w:val="00BD0510"/>
    <w:rsid w:val="00BD123E"/>
    <w:rsid w:val="00BD128F"/>
    <w:rsid w:val="00BD27ED"/>
    <w:rsid w:val="00BD6310"/>
    <w:rsid w:val="00BD64E4"/>
    <w:rsid w:val="00BD6BBB"/>
    <w:rsid w:val="00BD78CC"/>
    <w:rsid w:val="00BD7A64"/>
    <w:rsid w:val="00BE0461"/>
    <w:rsid w:val="00BE04FF"/>
    <w:rsid w:val="00BE120C"/>
    <w:rsid w:val="00BE18BE"/>
    <w:rsid w:val="00BE2E94"/>
    <w:rsid w:val="00BE5271"/>
    <w:rsid w:val="00BE64AF"/>
    <w:rsid w:val="00BE66B4"/>
    <w:rsid w:val="00BE6820"/>
    <w:rsid w:val="00BE6E25"/>
    <w:rsid w:val="00BF1087"/>
    <w:rsid w:val="00BF1206"/>
    <w:rsid w:val="00BF198B"/>
    <w:rsid w:val="00BF357B"/>
    <w:rsid w:val="00BF3EF9"/>
    <w:rsid w:val="00BF5046"/>
    <w:rsid w:val="00BF5F9F"/>
    <w:rsid w:val="00BF6DAA"/>
    <w:rsid w:val="00BF736F"/>
    <w:rsid w:val="00BF76CA"/>
    <w:rsid w:val="00C002AE"/>
    <w:rsid w:val="00C035DC"/>
    <w:rsid w:val="00C039F2"/>
    <w:rsid w:val="00C04592"/>
    <w:rsid w:val="00C059E1"/>
    <w:rsid w:val="00C064AA"/>
    <w:rsid w:val="00C0774C"/>
    <w:rsid w:val="00C103BD"/>
    <w:rsid w:val="00C11CC3"/>
    <w:rsid w:val="00C14457"/>
    <w:rsid w:val="00C14787"/>
    <w:rsid w:val="00C14FA4"/>
    <w:rsid w:val="00C163B6"/>
    <w:rsid w:val="00C169F8"/>
    <w:rsid w:val="00C1767A"/>
    <w:rsid w:val="00C20117"/>
    <w:rsid w:val="00C206EA"/>
    <w:rsid w:val="00C20D76"/>
    <w:rsid w:val="00C20E67"/>
    <w:rsid w:val="00C211F1"/>
    <w:rsid w:val="00C2290D"/>
    <w:rsid w:val="00C2594B"/>
    <w:rsid w:val="00C265E5"/>
    <w:rsid w:val="00C270A8"/>
    <w:rsid w:val="00C278A4"/>
    <w:rsid w:val="00C325C8"/>
    <w:rsid w:val="00C325E6"/>
    <w:rsid w:val="00C32791"/>
    <w:rsid w:val="00C3423C"/>
    <w:rsid w:val="00C345CB"/>
    <w:rsid w:val="00C345DC"/>
    <w:rsid w:val="00C34D00"/>
    <w:rsid w:val="00C34F43"/>
    <w:rsid w:val="00C3512F"/>
    <w:rsid w:val="00C356BE"/>
    <w:rsid w:val="00C35B95"/>
    <w:rsid w:val="00C37282"/>
    <w:rsid w:val="00C37CBA"/>
    <w:rsid w:val="00C40597"/>
    <w:rsid w:val="00C405D2"/>
    <w:rsid w:val="00C4079C"/>
    <w:rsid w:val="00C42C25"/>
    <w:rsid w:val="00C43361"/>
    <w:rsid w:val="00C43433"/>
    <w:rsid w:val="00C44149"/>
    <w:rsid w:val="00C44975"/>
    <w:rsid w:val="00C45605"/>
    <w:rsid w:val="00C4647A"/>
    <w:rsid w:val="00C500EA"/>
    <w:rsid w:val="00C50B61"/>
    <w:rsid w:val="00C52048"/>
    <w:rsid w:val="00C527F0"/>
    <w:rsid w:val="00C572C0"/>
    <w:rsid w:val="00C576C2"/>
    <w:rsid w:val="00C6023A"/>
    <w:rsid w:val="00C61010"/>
    <w:rsid w:val="00C61DC8"/>
    <w:rsid w:val="00C6244F"/>
    <w:rsid w:val="00C62917"/>
    <w:rsid w:val="00C63605"/>
    <w:rsid w:val="00C63EFA"/>
    <w:rsid w:val="00C648C5"/>
    <w:rsid w:val="00C64D5C"/>
    <w:rsid w:val="00C662C1"/>
    <w:rsid w:val="00C665E3"/>
    <w:rsid w:val="00C666EA"/>
    <w:rsid w:val="00C67C69"/>
    <w:rsid w:val="00C71A62"/>
    <w:rsid w:val="00C74431"/>
    <w:rsid w:val="00C75859"/>
    <w:rsid w:val="00C76344"/>
    <w:rsid w:val="00C77205"/>
    <w:rsid w:val="00C77425"/>
    <w:rsid w:val="00C80918"/>
    <w:rsid w:val="00C81069"/>
    <w:rsid w:val="00C811A3"/>
    <w:rsid w:val="00C81723"/>
    <w:rsid w:val="00C82B2A"/>
    <w:rsid w:val="00C84D98"/>
    <w:rsid w:val="00C85EB3"/>
    <w:rsid w:val="00C873F9"/>
    <w:rsid w:val="00C87A1D"/>
    <w:rsid w:val="00C87AE7"/>
    <w:rsid w:val="00C90E60"/>
    <w:rsid w:val="00C9173D"/>
    <w:rsid w:val="00C93D7F"/>
    <w:rsid w:val="00C94C2C"/>
    <w:rsid w:val="00C95085"/>
    <w:rsid w:val="00C95400"/>
    <w:rsid w:val="00C9570B"/>
    <w:rsid w:val="00C95A02"/>
    <w:rsid w:val="00CA05F2"/>
    <w:rsid w:val="00CA173F"/>
    <w:rsid w:val="00CA4B88"/>
    <w:rsid w:val="00CA50C7"/>
    <w:rsid w:val="00CA743C"/>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90C"/>
    <w:rsid w:val="00CE2E4E"/>
    <w:rsid w:val="00CE3C32"/>
    <w:rsid w:val="00CE6CDC"/>
    <w:rsid w:val="00CE7352"/>
    <w:rsid w:val="00CF1D0F"/>
    <w:rsid w:val="00CF25F6"/>
    <w:rsid w:val="00CF3914"/>
    <w:rsid w:val="00CF439D"/>
    <w:rsid w:val="00CF47B2"/>
    <w:rsid w:val="00CF579B"/>
    <w:rsid w:val="00CF5868"/>
    <w:rsid w:val="00CF5A35"/>
    <w:rsid w:val="00CF64CC"/>
    <w:rsid w:val="00D009AF"/>
    <w:rsid w:val="00D0146E"/>
    <w:rsid w:val="00D03115"/>
    <w:rsid w:val="00D033FA"/>
    <w:rsid w:val="00D04546"/>
    <w:rsid w:val="00D048ED"/>
    <w:rsid w:val="00D04F82"/>
    <w:rsid w:val="00D0524D"/>
    <w:rsid w:val="00D05807"/>
    <w:rsid w:val="00D06B51"/>
    <w:rsid w:val="00D1065B"/>
    <w:rsid w:val="00D11ECE"/>
    <w:rsid w:val="00D11F3E"/>
    <w:rsid w:val="00D15920"/>
    <w:rsid w:val="00D15E31"/>
    <w:rsid w:val="00D16351"/>
    <w:rsid w:val="00D16991"/>
    <w:rsid w:val="00D16C5E"/>
    <w:rsid w:val="00D1702E"/>
    <w:rsid w:val="00D20506"/>
    <w:rsid w:val="00D2105E"/>
    <w:rsid w:val="00D215C5"/>
    <w:rsid w:val="00D23CE7"/>
    <w:rsid w:val="00D244E4"/>
    <w:rsid w:val="00D2473D"/>
    <w:rsid w:val="00D24875"/>
    <w:rsid w:val="00D25AB0"/>
    <w:rsid w:val="00D2778B"/>
    <w:rsid w:val="00D27D33"/>
    <w:rsid w:val="00D302D4"/>
    <w:rsid w:val="00D32FE2"/>
    <w:rsid w:val="00D34453"/>
    <w:rsid w:val="00D3495D"/>
    <w:rsid w:val="00D358BD"/>
    <w:rsid w:val="00D40BE8"/>
    <w:rsid w:val="00D411D2"/>
    <w:rsid w:val="00D42CF0"/>
    <w:rsid w:val="00D4321E"/>
    <w:rsid w:val="00D43A7A"/>
    <w:rsid w:val="00D43D55"/>
    <w:rsid w:val="00D43E68"/>
    <w:rsid w:val="00D44A41"/>
    <w:rsid w:val="00D44C2F"/>
    <w:rsid w:val="00D45D1C"/>
    <w:rsid w:val="00D45DD2"/>
    <w:rsid w:val="00D45F0A"/>
    <w:rsid w:val="00D462B9"/>
    <w:rsid w:val="00D47AD2"/>
    <w:rsid w:val="00D47B91"/>
    <w:rsid w:val="00D47D6C"/>
    <w:rsid w:val="00D5072D"/>
    <w:rsid w:val="00D50E7D"/>
    <w:rsid w:val="00D51824"/>
    <w:rsid w:val="00D5193A"/>
    <w:rsid w:val="00D52B95"/>
    <w:rsid w:val="00D53394"/>
    <w:rsid w:val="00D54DCB"/>
    <w:rsid w:val="00D60F65"/>
    <w:rsid w:val="00D61108"/>
    <w:rsid w:val="00D6197C"/>
    <w:rsid w:val="00D6531E"/>
    <w:rsid w:val="00D6617A"/>
    <w:rsid w:val="00D6672A"/>
    <w:rsid w:val="00D66CE3"/>
    <w:rsid w:val="00D709F4"/>
    <w:rsid w:val="00D70A0F"/>
    <w:rsid w:val="00D72508"/>
    <w:rsid w:val="00D7339A"/>
    <w:rsid w:val="00D73C82"/>
    <w:rsid w:val="00D73DEE"/>
    <w:rsid w:val="00D76628"/>
    <w:rsid w:val="00D76AB2"/>
    <w:rsid w:val="00D776FA"/>
    <w:rsid w:val="00D777E8"/>
    <w:rsid w:val="00D77F24"/>
    <w:rsid w:val="00D81BAC"/>
    <w:rsid w:val="00D826A0"/>
    <w:rsid w:val="00D85C93"/>
    <w:rsid w:val="00D861C4"/>
    <w:rsid w:val="00D86DE1"/>
    <w:rsid w:val="00D87766"/>
    <w:rsid w:val="00D902BE"/>
    <w:rsid w:val="00D92C4F"/>
    <w:rsid w:val="00D9380C"/>
    <w:rsid w:val="00D9643D"/>
    <w:rsid w:val="00D96EBA"/>
    <w:rsid w:val="00D97486"/>
    <w:rsid w:val="00D974C1"/>
    <w:rsid w:val="00D97708"/>
    <w:rsid w:val="00D97CC1"/>
    <w:rsid w:val="00DA00B3"/>
    <w:rsid w:val="00DA0594"/>
    <w:rsid w:val="00DA1318"/>
    <w:rsid w:val="00DA3E7E"/>
    <w:rsid w:val="00DA4BB3"/>
    <w:rsid w:val="00DA4CFA"/>
    <w:rsid w:val="00DA6442"/>
    <w:rsid w:val="00DA79BF"/>
    <w:rsid w:val="00DA7C84"/>
    <w:rsid w:val="00DB04C1"/>
    <w:rsid w:val="00DB17D1"/>
    <w:rsid w:val="00DB31AD"/>
    <w:rsid w:val="00DB42F8"/>
    <w:rsid w:val="00DB490A"/>
    <w:rsid w:val="00DB6171"/>
    <w:rsid w:val="00DC0678"/>
    <w:rsid w:val="00DC0BC4"/>
    <w:rsid w:val="00DC1724"/>
    <w:rsid w:val="00DC179E"/>
    <w:rsid w:val="00DC3EA1"/>
    <w:rsid w:val="00DC46C9"/>
    <w:rsid w:val="00DC478F"/>
    <w:rsid w:val="00DC4976"/>
    <w:rsid w:val="00DC51BD"/>
    <w:rsid w:val="00DC5E0B"/>
    <w:rsid w:val="00DC6E15"/>
    <w:rsid w:val="00DC76DF"/>
    <w:rsid w:val="00DD02F0"/>
    <w:rsid w:val="00DD2062"/>
    <w:rsid w:val="00DD3144"/>
    <w:rsid w:val="00DD327F"/>
    <w:rsid w:val="00DD3795"/>
    <w:rsid w:val="00DD3A5C"/>
    <w:rsid w:val="00DD4621"/>
    <w:rsid w:val="00DD5421"/>
    <w:rsid w:val="00DD5712"/>
    <w:rsid w:val="00DD5B9E"/>
    <w:rsid w:val="00DD5C63"/>
    <w:rsid w:val="00DE0E1F"/>
    <w:rsid w:val="00DE1542"/>
    <w:rsid w:val="00DE16BC"/>
    <w:rsid w:val="00DE2A7C"/>
    <w:rsid w:val="00DE3D0A"/>
    <w:rsid w:val="00DE55AF"/>
    <w:rsid w:val="00DE5827"/>
    <w:rsid w:val="00DE5C57"/>
    <w:rsid w:val="00DE63ED"/>
    <w:rsid w:val="00DE7696"/>
    <w:rsid w:val="00DE79CC"/>
    <w:rsid w:val="00DF0280"/>
    <w:rsid w:val="00DF17A9"/>
    <w:rsid w:val="00DF1D2A"/>
    <w:rsid w:val="00DF2ACB"/>
    <w:rsid w:val="00DF2B33"/>
    <w:rsid w:val="00DF323B"/>
    <w:rsid w:val="00DF5B11"/>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2182"/>
    <w:rsid w:val="00E130E8"/>
    <w:rsid w:val="00E131D7"/>
    <w:rsid w:val="00E1343E"/>
    <w:rsid w:val="00E13AF7"/>
    <w:rsid w:val="00E142D1"/>
    <w:rsid w:val="00E14715"/>
    <w:rsid w:val="00E166B0"/>
    <w:rsid w:val="00E16B21"/>
    <w:rsid w:val="00E23B32"/>
    <w:rsid w:val="00E23E79"/>
    <w:rsid w:val="00E24BF2"/>
    <w:rsid w:val="00E26DF3"/>
    <w:rsid w:val="00E306FF"/>
    <w:rsid w:val="00E30D83"/>
    <w:rsid w:val="00E31576"/>
    <w:rsid w:val="00E344DA"/>
    <w:rsid w:val="00E34640"/>
    <w:rsid w:val="00E357B0"/>
    <w:rsid w:val="00E35B8B"/>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62CB8"/>
    <w:rsid w:val="00E64407"/>
    <w:rsid w:val="00E64E94"/>
    <w:rsid w:val="00E67A36"/>
    <w:rsid w:val="00E70161"/>
    <w:rsid w:val="00E7106E"/>
    <w:rsid w:val="00E71494"/>
    <w:rsid w:val="00E7245B"/>
    <w:rsid w:val="00E735A3"/>
    <w:rsid w:val="00E73DD0"/>
    <w:rsid w:val="00E74EFB"/>
    <w:rsid w:val="00E75089"/>
    <w:rsid w:val="00E76211"/>
    <w:rsid w:val="00E7626D"/>
    <w:rsid w:val="00E775B8"/>
    <w:rsid w:val="00E7761C"/>
    <w:rsid w:val="00E7782B"/>
    <w:rsid w:val="00E8011B"/>
    <w:rsid w:val="00E802F7"/>
    <w:rsid w:val="00E8099A"/>
    <w:rsid w:val="00E8293C"/>
    <w:rsid w:val="00E84210"/>
    <w:rsid w:val="00E84F77"/>
    <w:rsid w:val="00E8536C"/>
    <w:rsid w:val="00E85CB1"/>
    <w:rsid w:val="00E87923"/>
    <w:rsid w:val="00E90432"/>
    <w:rsid w:val="00E90891"/>
    <w:rsid w:val="00E90ACA"/>
    <w:rsid w:val="00E90F87"/>
    <w:rsid w:val="00E91737"/>
    <w:rsid w:val="00E92107"/>
    <w:rsid w:val="00E92F19"/>
    <w:rsid w:val="00E94A64"/>
    <w:rsid w:val="00E9683E"/>
    <w:rsid w:val="00E96F0C"/>
    <w:rsid w:val="00E96FE8"/>
    <w:rsid w:val="00EA3308"/>
    <w:rsid w:val="00EA43B6"/>
    <w:rsid w:val="00EA63F7"/>
    <w:rsid w:val="00EB08AF"/>
    <w:rsid w:val="00EB1668"/>
    <w:rsid w:val="00EB3000"/>
    <w:rsid w:val="00EB368C"/>
    <w:rsid w:val="00EB4F8A"/>
    <w:rsid w:val="00EB5384"/>
    <w:rsid w:val="00EB6C60"/>
    <w:rsid w:val="00EC1311"/>
    <w:rsid w:val="00EC2486"/>
    <w:rsid w:val="00EC26A5"/>
    <w:rsid w:val="00EC311B"/>
    <w:rsid w:val="00EC3940"/>
    <w:rsid w:val="00EC3DC8"/>
    <w:rsid w:val="00EC41FC"/>
    <w:rsid w:val="00EC49F2"/>
    <w:rsid w:val="00EC5E0B"/>
    <w:rsid w:val="00EC75B2"/>
    <w:rsid w:val="00ED1EE7"/>
    <w:rsid w:val="00ED1F50"/>
    <w:rsid w:val="00ED5505"/>
    <w:rsid w:val="00ED582E"/>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4F5"/>
    <w:rsid w:val="00EE6F5A"/>
    <w:rsid w:val="00EF0F2F"/>
    <w:rsid w:val="00EF0F9B"/>
    <w:rsid w:val="00EF19BE"/>
    <w:rsid w:val="00EF1D35"/>
    <w:rsid w:val="00EF56EE"/>
    <w:rsid w:val="00EF7965"/>
    <w:rsid w:val="00F01161"/>
    <w:rsid w:val="00F015BB"/>
    <w:rsid w:val="00F01A4C"/>
    <w:rsid w:val="00F02252"/>
    <w:rsid w:val="00F024A6"/>
    <w:rsid w:val="00F05028"/>
    <w:rsid w:val="00F113B2"/>
    <w:rsid w:val="00F1361D"/>
    <w:rsid w:val="00F13723"/>
    <w:rsid w:val="00F14373"/>
    <w:rsid w:val="00F145F1"/>
    <w:rsid w:val="00F15042"/>
    <w:rsid w:val="00F1597E"/>
    <w:rsid w:val="00F15EDA"/>
    <w:rsid w:val="00F171E5"/>
    <w:rsid w:val="00F20CA1"/>
    <w:rsid w:val="00F20CEA"/>
    <w:rsid w:val="00F215A3"/>
    <w:rsid w:val="00F2188A"/>
    <w:rsid w:val="00F21CCD"/>
    <w:rsid w:val="00F23B11"/>
    <w:rsid w:val="00F252D8"/>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743"/>
    <w:rsid w:val="00F51BE3"/>
    <w:rsid w:val="00F5237B"/>
    <w:rsid w:val="00F53067"/>
    <w:rsid w:val="00F540D8"/>
    <w:rsid w:val="00F54C21"/>
    <w:rsid w:val="00F56342"/>
    <w:rsid w:val="00F56B32"/>
    <w:rsid w:val="00F56E2A"/>
    <w:rsid w:val="00F609D6"/>
    <w:rsid w:val="00F6119D"/>
    <w:rsid w:val="00F61E0F"/>
    <w:rsid w:val="00F62240"/>
    <w:rsid w:val="00F6370B"/>
    <w:rsid w:val="00F6407D"/>
    <w:rsid w:val="00F64289"/>
    <w:rsid w:val="00F64AC3"/>
    <w:rsid w:val="00F65D22"/>
    <w:rsid w:val="00F66850"/>
    <w:rsid w:val="00F67080"/>
    <w:rsid w:val="00F67E3C"/>
    <w:rsid w:val="00F67F9F"/>
    <w:rsid w:val="00F70A37"/>
    <w:rsid w:val="00F7114A"/>
    <w:rsid w:val="00F7293E"/>
    <w:rsid w:val="00F73162"/>
    <w:rsid w:val="00F73355"/>
    <w:rsid w:val="00F73ED3"/>
    <w:rsid w:val="00F75017"/>
    <w:rsid w:val="00F75E57"/>
    <w:rsid w:val="00F77756"/>
    <w:rsid w:val="00F77D27"/>
    <w:rsid w:val="00F800D1"/>
    <w:rsid w:val="00F81822"/>
    <w:rsid w:val="00F81F7C"/>
    <w:rsid w:val="00F83A53"/>
    <w:rsid w:val="00F84F13"/>
    <w:rsid w:val="00F86675"/>
    <w:rsid w:val="00F90313"/>
    <w:rsid w:val="00F939F0"/>
    <w:rsid w:val="00F93B6A"/>
    <w:rsid w:val="00F963B3"/>
    <w:rsid w:val="00F96987"/>
    <w:rsid w:val="00F97183"/>
    <w:rsid w:val="00FA01BC"/>
    <w:rsid w:val="00FA01DB"/>
    <w:rsid w:val="00FA080A"/>
    <w:rsid w:val="00FA0CED"/>
    <w:rsid w:val="00FA0FA8"/>
    <w:rsid w:val="00FA137C"/>
    <w:rsid w:val="00FA284F"/>
    <w:rsid w:val="00FA2F8E"/>
    <w:rsid w:val="00FA318C"/>
    <w:rsid w:val="00FA40D2"/>
    <w:rsid w:val="00FA73EE"/>
    <w:rsid w:val="00FA745E"/>
    <w:rsid w:val="00FA75C3"/>
    <w:rsid w:val="00FA789B"/>
    <w:rsid w:val="00FB1C41"/>
    <w:rsid w:val="00FB3442"/>
    <w:rsid w:val="00FB3DC8"/>
    <w:rsid w:val="00FB4C6E"/>
    <w:rsid w:val="00FB51FB"/>
    <w:rsid w:val="00FB5272"/>
    <w:rsid w:val="00FC0C27"/>
    <w:rsid w:val="00FC0DBD"/>
    <w:rsid w:val="00FC26DC"/>
    <w:rsid w:val="00FC30FC"/>
    <w:rsid w:val="00FC33BD"/>
    <w:rsid w:val="00FC600E"/>
    <w:rsid w:val="00FC73E1"/>
    <w:rsid w:val="00FD07BA"/>
    <w:rsid w:val="00FD097B"/>
    <w:rsid w:val="00FD6353"/>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4B5"/>
    <w:rsid w:val="00FF3E1A"/>
    <w:rsid w:val="00FF43FB"/>
    <w:rsid w:val="00FF495E"/>
    <w:rsid w:val="00FF49F0"/>
    <w:rsid w:val="00FF6017"/>
    <w:rsid w:val="00FF67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 w:type="table" w:styleId="TableGrid">
    <w:name w:val="Table Grid"/>
    <w:basedOn w:val="TableNormal"/>
    <w:uiPriority w:val="39"/>
    <w:rsid w:val="00943F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moj.na/Supreme%20Court/Judgments/Judgments/Minister%20of%20Finance%20%20v%20Hollard%20Insurance%20Company%20of%20Namibia%20Limited%20(P8-2018)%20%5B2019%5D%20NASC%20(28%20May%20201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2020-01-20T18:30:00+00:00</Judgment_x0020_Date>
    <Year xmlns="c1afb1bd-f2fb-40fd-9abb-aea55b4d7662">2020</Year>
  </documentManagement>
</p:properties>
</file>

<file path=customXml/itemProps1.xml><?xml version="1.0" encoding="utf-8"?>
<ds:datastoreItem xmlns:ds="http://schemas.openxmlformats.org/officeDocument/2006/customXml" ds:itemID="{E11BBB86-950B-4967-8438-E093DE8AA407}"/>
</file>

<file path=customXml/itemProps2.xml><?xml version="1.0" encoding="utf-8"?>
<ds:datastoreItem xmlns:ds="http://schemas.openxmlformats.org/officeDocument/2006/customXml" ds:itemID="{095686D0-731D-4566-BA66-6EADF84C2DC8}"/>
</file>

<file path=customXml/itemProps3.xml><?xml version="1.0" encoding="utf-8"?>
<ds:datastoreItem xmlns:ds="http://schemas.openxmlformats.org/officeDocument/2006/customXml" ds:itemID="{EAEFC14D-4143-47A7-AE0F-6B925D8EE903}"/>
</file>

<file path=customXml/itemProps4.xml><?xml version="1.0" encoding="utf-8"?>
<ds:datastoreItem xmlns:ds="http://schemas.openxmlformats.org/officeDocument/2006/customXml" ds:itemID="{173B23CA-369D-4255-928C-645036ADB49E}"/>
</file>

<file path=docProps/app.xml><?xml version="1.0" encoding="utf-8"?>
<Properties xmlns="http://schemas.openxmlformats.org/officeDocument/2006/extended-properties" xmlns:vt="http://schemas.openxmlformats.org/officeDocument/2006/docPropsVTypes">
  <Template>JUDGMENT TEMPLATE</Template>
  <TotalTime>0</TotalTime>
  <Pages>61</Pages>
  <Words>17876</Words>
  <Characters>101897</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2020-01-23T07:12:00Z</cp:lastPrinted>
  <dcterms:created xsi:type="dcterms:W3CDTF">2020-01-24T15:10:00Z</dcterms:created>
  <dcterms:modified xsi:type="dcterms:W3CDTF">2020-01-24T15:10:00Z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