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D4B793" w14:textId="77777777" w:rsidR="00701B90" w:rsidRPr="00353D84" w:rsidRDefault="00701B90" w:rsidP="00701B90">
      <w:pPr>
        <w:spacing w:after="0" w:line="360" w:lineRule="auto"/>
        <w:jc w:val="center"/>
        <w:rPr>
          <w:rFonts w:ascii="Arial" w:eastAsiaTheme="minorEastAsia" w:hAnsi="Arial" w:cs="Arial"/>
          <w:b/>
          <w:sz w:val="24"/>
          <w:szCs w:val="24"/>
          <w:lang w:eastAsia="en-ZA"/>
        </w:rPr>
      </w:pPr>
      <w:r w:rsidRPr="00353D84">
        <w:rPr>
          <w:rFonts w:eastAsiaTheme="minorEastAsia" w:cs="Times New Roman"/>
          <w:noProof/>
          <w:lang w:eastAsia="en-ZA"/>
        </w:rPr>
        <mc:AlternateContent>
          <mc:Choice Requires="wps">
            <w:drawing>
              <wp:anchor distT="0" distB="0" distL="114300" distR="114300" simplePos="0" relativeHeight="251659264" behindDoc="0" locked="0" layoutInCell="1" allowOverlap="1" wp14:anchorId="73F41136" wp14:editId="7545378E">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6648704C" w14:textId="77777777" w:rsidR="00701B90" w:rsidRDefault="00701B90" w:rsidP="00701B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4113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14:paraId="6648704C" w14:textId="77777777" w:rsidR="00701B90" w:rsidRDefault="00701B90" w:rsidP="00701B90"/>
                  </w:txbxContent>
                </v:textbox>
              </v:shape>
            </w:pict>
          </mc:Fallback>
        </mc:AlternateContent>
      </w:r>
      <w:r w:rsidRPr="00353D84">
        <w:rPr>
          <w:rFonts w:ascii="Arial" w:eastAsiaTheme="minorEastAsia" w:hAnsi="Arial" w:cs="Arial"/>
          <w:b/>
          <w:sz w:val="24"/>
          <w:szCs w:val="24"/>
          <w:lang w:eastAsia="en-ZA"/>
        </w:rPr>
        <w:t>REPUBLIC OF NAMIBIA</w:t>
      </w:r>
    </w:p>
    <w:p w14:paraId="09937499" w14:textId="77777777" w:rsidR="00701B90" w:rsidRPr="00353D84" w:rsidRDefault="00701B90" w:rsidP="00701B90">
      <w:pPr>
        <w:spacing w:after="0" w:line="360" w:lineRule="auto"/>
        <w:jc w:val="center"/>
        <w:rPr>
          <w:rFonts w:eastAsiaTheme="minorEastAsia" w:cs="Times New Roman"/>
          <w:b/>
          <w:sz w:val="32"/>
          <w:szCs w:val="32"/>
          <w:lang w:eastAsia="en-ZA"/>
        </w:rPr>
      </w:pPr>
      <w:r w:rsidRPr="00353D84">
        <w:rPr>
          <w:rFonts w:eastAsiaTheme="minorEastAsia" w:cs="Times New Roman"/>
          <w:b/>
          <w:noProof/>
          <w:sz w:val="32"/>
          <w:szCs w:val="32"/>
          <w:lang w:eastAsia="en-ZA"/>
        </w:rPr>
        <w:drawing>
          <wp:inline distT="0" distB="0" distL="0" distR="0" wp14:anchorId="7B713500" wp14:editId="410B28ED">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14:paraId="78ECBE29" w14:textId="77777777" w:rsidR="00701B90" w:rsidRPr="00353D84" w:rsidRDefault="00701B90" w:rsidP="00701B90">
      <w:pPr>
        <w:spacing w:after="0" w:line="360" w:lineRule="auto"/>
        <w:jc w:val="center"/>
        <w:rPr>
          <w:rFonts w:ascii="Arial" w:hAnsi="Arial" w:cs="Arial"/>
          <w:b/>
          <w:sz w:val="24"/>
          <w:szCs w:val="24"/>
          <w:lang w:val="en-US"/>
        </w:rPr>
      </w:pPr>
      <w:r w:rsidRPr="00353D84">
        <w:rPr>
          <w:rFonts w:ascii="Arial" w:hAnsi="Arial" w:cs="Arial"/>
          <w:b/>
          <w:sz w:val="24"/>
          <w:szCs w:val="24"/>
          <w:lang w:val="en-US"/>
        </w:rPr>
        <w:t>IN THE HIGH COURT OF NAMIBIA MAIN DIVISION, WINDHOEK</w:t>
      </w:r>
    </w:p>
    <w:p w14:paraId="2D482E05" w14:textId="0A1FFC16" w:rsidR="00701B90" w:rsidRPr="00353D84" w:rsidRDefault="00A873AB" w:rsidP="00701B90">
      <w:pPr>
        <w:spacing w:after="0" w:line="360" w:lineRule="auto"/>
        <w:jc w:val="center"/>
        <w:rPr>
          <w:rFonts w:ascii="Arial" w:hAnsi="Arial" w:cs="Arial"/>
          <w:b/>
          <w:sz w:val="24"/>
          <w:szCs w:val="24"/>
          <w:lang w:val="en-US"/>
        </w:rPr>
      </w:pPr>
      <w:r w:rsidRPr="00353D84">
        <w:rPr>
          <w:rFonts w:ascii="Arial" w:hAnsi="Arial" w:cs="Arial"/>
          <w:b/>
          <w:sz w:val="24"/>
          <w:szCs w:val="24"/>
          <w:lang w:val="en-US"/>
        </w:rPr>
        <w:t>JUDGMENT</w:t>
      </w:r>
    </w:p>
    <w:p w14:paraId="451A4ADC" w14:textId="77777777" w:rsidR="00701B90" w:rsidRPr="00353D84" w:rsidRDefault="00701B90" w:rsidP="00701B90">
      <w:pPr>
        <w:spacing w:after="0" w:line="360" w:lineRule="auto"/>
        <w:jc w:val="center"/>
        <w:rPr>
          <w:rFonts w:ascii="Arial" w:eastAsiaTheme="minorEastAsia" w:hAnsi="Arial" w:cs="Arial"/>
          <w:b/>
          <w:sz w:val="24"/>
          <w:szCs w:val="24"/>
          <w:lang w:eastAsia="en-ZA"/>
        </w:rPr>
      </w:pPr>
    </w:p>
    <w:p w14:paraId="1CB6B9FC" w14:textId="77777777" w:rsidR="00701B90" w:rsidRPr="00353D84" w:rsidRDefault="00701B90" w:rsidP="00701B90">
      <w:pPr>
        <w:tabs>
          <w:tab w:val="right" w:pos="9360"/>
        </w:tabs>
        <w:spacing w:after="0" w:line="360" w:lineRule="auto"/>
        <w:jc w:val="center"/>
        <w:rPr>
          <w:rFonts w:ascii="Arial" w:eastAsiaTheme="minorEastAsia" w:hAnsi="Arial" w:cs="Arial"/>
          <w:sz w:val="24"/>
          <w:szCs w:val="24"/>
          <w:lang w:eastAsia="en-ZA"/>
        </w:rPr>
      </w:pPr>
      <w:r w:rsidRPr="00353D84">
        <w:rPr>
          <w:rFonts w:ascii="Arial" w:eastAsiaTheme="minorEastAsia" w:hAnsi="Arial" w:cs="Arial"/>
          <w:b/>
          <w:sz w:val="24"/>
          <w:szCs w:val="24"/>
          <w:lang w:eastAsia="en-ZA"/>
        </w:rPr>
        <w:tab/>
        <w:t>Case No: CC 18/2019</w:t>
      </w:r>
    </w:p>
    <w:p w14:paraId="2909A6C8" w14:textId="77777777" w:rsidR="00701B90" w:rsidRPr="00353D84" w:rsidRDefault="00701B90" w:rsidP="00701B90">
      <w:pPr>
        <w:spacing w:after="0" w:line="360" w:lineRule="auto"/>
        <w:rPr>
          <w:rFonts w:ascii="Arial" w:eastAsiaTheme="minorEastAsia" w:hAnsi="Arial" w:cs="Arial"/>
          <w:sz w:val="24"/>
          <w:szCs w:val="24"/>
          <w:lang w:eastAsia="en-ZA"/>
        </w:rPr>
      </w:pPr>
      <w:r w:rsidRPr="00353D84">
        <w:rPr>
          <w:rFonts w:ascii="Arial" w:eastAsiaTheme="minorEastAsia" w:hAnsi="Arial" w:cs="Arial"/>
          <w:sz w:val="24"/>
          <w:szCs w:val="24"/>
          <w:lang w:eastAsia="en-ZA"/>
        </w:rPr>
        <w:t>In the matter between:</w:t>
      </w:r>
    </w:p>
    <w:p w14:paraId="724FFCE7" w14:textId="77777777" w:rsidR="00701B90" w:rsidRPr="00353D84" w:rsidRDefault="00701B90" w:rsidP="00701B90">
      <w:pPr>
        <w:keepNext/>
        <w:tabs>
          <w:tab w:val="right" w:pos="9360"/>
        </w:tabs>
        <w:spacing w:after="0" w:line="360" w:lineRule="auto"/>
        <w:jc w:val="both"/>
        <w:outlineLvl w:val="3"/>
        <w:rPr>
          <w:rFonts w:ascii="Arial" w:eastAsiaTheme="minorEastAsia" w:hAnsi="Arial" w:cs="Arial"/>
          <w:sz w:val="24"/>
          <w:szCs w:val="24"/>
          <w:lang w:eastAsia="en-ZA"/>
        </w:rPr>
      </w:pPr>
    </w:p>
    <w:p w14:paraId="7A718B61" w14:textId="77777777" w:rsidR="00A873AB" w:rsidRPr="00353D84" w:rsidRDefault="00A873AB" w:rsidP="00A873AB">
      <w:pPr>
        <w:tabs>
          <w:tab w:val="right" w:pos="9360"/>
        </w:tabs>
        <w:spacing w:after="0" w:line="360" w:lineRule="auto"/>
        <w:jc w:val="both"/>
        <w:rPr>
          <w:rFonts w:ascii="Arial" w:eastAsiaTheme="minorEastAsia" w:hAnsi="Arial" w:cs="Arial"/>
          <w:b/>
          <w:sz w:val="24"/>
          <w:szCs w:val="24"/>
          <w:lang w:eastAsia="en-ZA"/>
        </w:rPr>
      </w:pPr>
      <w:r w:rsidRPr="00353D84">
        <w:rPr>
          <w:rFonts w:ascii="Arial" w:eastAsiaTheme="minorEastAsia" w:hAnsi="Arial" w:cs="Arial"/>
          <w:b/>
          <w:sz w:val="24"/>
          <w:szCs w:val="24"/>
          <w:lang w:eastAsia="en-ZA"/>
        </w:rPr>
        <w:t>THE STATE</w:t>
      </w:r>
    </w:p>
    <w:p w14:paraId="3480324D" w14:textId="5C991190" w:rsidR="00793F1D" w:rsidRPr="00353D84" w:rsidRDefault="00793F1D" w:rsidP="00793F1D">
      <w:pPr>
        <w:tabs>
          <w:tab w:val="right" w:pos="9360"/>
        </w:tabs>
        <w:spacing w:after="0" w:line="360" w:lineRule="auto"/>
        <w:jc w:val="both"/>
        <w:rPr>
          <w:rFonts w:ascii="Arial" w:eastAsiaTheme="minorEastAsia" w:hAnsi="Arial" w:cs="Arial"/>
          <w:b/>
          <w:sz w:val="24"/>
          <w:szCs w:val="24"/>
          <w:lang w:eastAsia="en-ZA"/>
        </w:rPr>
      </w:pPr>
      <w:r w:rsidRPr="00353D84">
        <w:rPr>
          <w:rFonts w:ascii="Arial" w:eastAsiaTheme="minorEastAsia" w:hAnsi="Arial" w:cs="Arial"/>
          <w:b/>
          <w:sz w:val="24"/>
          <w:szCs w:val="24"/>
          <w:lang w:eastAsia="en-ZA"/>
        </w:rPr>
        <w:tab/>
      </w:r>
    </w:p>
    <w:p w14:paraId="493825A3" w14:textId="51D5DD77" w:rsidR="00701B90" w:rsidRPr="00353D84" w:rsidRDefault="00A873AB" w:rsidP="00701B90">
      <w:pPr>
        <w:keepNext/>
        <w:tabs>
          <w:tab w:val="right" w:pos="9000"/>
        </w:tabs>
        <w:spacing w:after="0" w:line="360" w:lineRule="auto"/>
        <w:jc w:val="both"/>
        <w:outlineLvl w:val="3"/>
        <w:rPr>
          <w:rFonts w:ascii="Arial" w:eastAsia="Times New Roman" w:hAnsi="Arial" w:cs="Arial"/>
          <w:sz w:val="24"/>
          <w:szCs w:val="24"/>
          <w:lang w:val="en-GB"/>
        </w:rPr>
      </w:pPr>
      <w:r w:rsidRPr="00353D84">
        <w:rPr>
          <w:rFonts w:ascii="Arial" w:eastAsia="Times New Roman" w:hAnsi="Arial" w:cs="Arial"/>
          <w:sz w:val="24"/>
          <w:szCs w:val="24"/>
          <w:lang w:val="en-GB"/>
        </w:rPr>
        <w:t>V</w:t>
      </w:r>
      <w:r w:rsidR="00701B90" w:rsidRPr="00353D84">
        <w:rPr>
          <w:rFonts w:ascii="Arial" w:eastAsia="Times New Roman" w:hAnsi="Arial" w:cs="Arial"/>
          <w:sz w:val="24"/>
          <w:szCs w:val="24"/>
          <w:lang w:val="en-GB"/>
        </w:rPr>
        <w:t>ersus</w:t>
      </w:r>
    </w:p>
    <w:p w14:paraId="77C0B78B" w14:textId="77777777" w:rsidR="00A873AB" w:rsidRPr="00353D84" w:rsidRDefault="00A873AB" w:rsidP="00701B90">
      <w:pPr>
        <w:keepNext/>
        <w:tabs>
          <w:tab w:val="right" w:pos="9000"/>
        </w:tabs>
        <w:spacing w:after="0" w:line="360" w:lineRule="auto"/>
        <w:jc w:val="both"/>
        <w:outlineLvl w:val="3"/>
        <w:rPr>
          <w:rFonts w:ascii="Arial" w:eastAsia="Times New Roman" w:hAnsi="Arial" w:cs="Arial"/>
          <w:sz w:val="24"/>
          <w:szCs w:val="24"/>
          <w:lang w:val="en-GB"/>
        </w:rPr>
      </w:pPr>
    </w:p>
    <w:p w14:paraId="0DFF4670" w14:textId="77439BE6" w:rsidR="00701B90" w:rsidRPr="00353D84" w:rsidRDefault="00A873AB" w:rsidP="00701B90">
      <w:pPr>
        <w:tabs>
          <w:tab w:val="right" w:pos="9360"/>
        </w:tabs>
        <w:spacing w:after="0" w:line="360" w:lineRule="auto"/>
        <w:jc w:val="both"/>
        <w:rPr>
          <w:rFonts w:ascii="Arial" w:eastAsiaTheme="minorEastAsia" w:hAnsi="Arial" w:cs="Arial"/>
          <w:b/>
          <w:sz w:val="24"/>
          <w:szCs w:val="24"/>
          <w:lang w:eastAsia="en-ZA"/>
        </w:rPr>
      </w:pPr>
      <w:r w:rsidRPr="00353D84">
        <w:rPr>
          <w:rFonts w:ascii="Arial" w:eastAsiaTheme="minorEastAsia" w:hAnsi="Arial" w:cs="Arial"/>
          <w:b/>
          <w:sz w:val="24"/>
          <w:szCs w:val="24"/>
          <w:lang w:eastAsia="en-ZA"/>
        </w:rPr>
        <w:t>LIKIUS VALOMBOLA</w:t>
      </w:r>
      <w:r w:rsidR="00701B90" w:rsidRPr="00353D84">
        <w:rPr>
          <w:rFonts w:ascii="Arial" w:eastAsiaTheme="minorEastAsia" w:hAnsi="Arial" w:cs="Arial"/>
          <w:b/>
          <w:sz w:val="24"/>
          <w:szCs w:val="24"/>
          <w:lang w:eastAsia="en-ZA"/>
        </w:rPr>
        <w:tab/>
      </w:r>
    </w:p>
    <w:p w14:paraId="4C0F04A0" w14:textId="77777777" w:rsidR="00793F1D" w:rsidRPr="00353D84" w:rsidRDefault="00793F1D" w:rsidP="00701B90">
      <w:pPr>
        <w:tabs>
          <w:tab w:val="right" w:pos="9360"/>
        </w:tabs>
        <w:spacing w:after="0" w:line="360" w:lineRule="auto"/>
        <w:jc w:val="both"/>
        <w:rPr>
          <w:rFonts w:ascii="Arial" w:eastAsiaTheme="minorEastAsia" w:hAnsi="Arial" w:cs="Arial"/>
          <w:b/>
          <w:sz w:val="24"/>
          <w:szCs w:val="24"/>
          <w:lang w:eastAsia="en-ZA"/>
        </w:rPr>
      </w:pPr>
    </w:p>
    <w:p w14:paraId="05F66049" w14:textId="1B00C714" w:rsidR="00701B90" w:rsidRPr="00353D84" w:rsidRDefault="00701B90" w:rsidP="00701B90">
      <w:pPr>
        <w:spacing w:after="0" w:line="360" w:lineRule="auto"/>
        <w:jc w:val="both"/>
        <w:rPr>
          <w:rFonts w:ascii="Arial" w:eastAsiaTheme="minorEastAsia" w:hAnsi="Arial" w:cs="Arial"/>
          <w:sz w:val="24"/>
          <w:szCs w:val="24"/>
          <w:lang w:eastAsia="en-ZA"/>
        </w:rPr>
      </w:pPr>
      <w:r w:rsidRPr="00353D84">
        <w:rPr>
          <w:rFonts w:ascii="Arial" w:eastAsiaTheme="minorEastAsia" w:hAnsi="Arial" w:cs="Arial"/>
          <w:b/>
          <w:sz w:val="24"/>
          <w:szCs w:val="24"/>
          <w:lang w:eastAsia="en-ZA"/>
        </w:rPr>
        <w:t>Neutral citation</w:t>
      </w:r>
      <w:r w:rsidRPr="00353D84">
        <w:rPr>
          <w:rFonts w:ascii="Arial" w:eastAsiaTheme="minorEastAsia" w:hAnsi="Arial" w:cs="Arial"/>
          <w:i/>
          <w:sz w:val="24"/>
          <w:szCs w:val="24"/>
          <w:lang w:eastAsia="en-ZA"/>
        </w:rPr>
        <w:t xml:space="preserve">: </w:t>
      </w:r>
      <w:r w:rsidR="00A873AB" w:rsidRPr="00353D84">
        <w:rPr>
          <w:rFonts w:ascii="Arial" w:eastAsiaTheme="minorEastAsia" w:hAnsi="Arial" w:cs="Arial"/>
          <w:i/>
          <w:sz w:val="24"/>
          <w:szCs w:val="24"/>
          <w:lang w:eastAsia="en-ZA"/>
        </w:rPr>
        <w:t xml:space="preserve">S v </w:t>
      </w:r>
      <w:r w:rsidR="00353D84" w:rsidRPr="00353D84">
        <w:rPr>
          <w:rFonts w:ascii="Arial" w:eastAsiaTheme="minorEastAsia" w:hAnsi="Arial" w:cs="Arial"/>
          <w:i/>
          <w:sz w:val="24"/>
          <w:szCs w:val="24"/>
          <w:lang w:eastAsia="en-ZA"/>
        </w:rPr>
        <w:t>Valombola (</w:t>
      </w:r>
      <w:r w:rsidR="00793F1D" w:rsidRPr="00353D84">
        <w:rPr>
          <w:rFonts w:ascii="Arial" w:eastAsiaTheme="minorEastAsia" w:hAnsi="Arial" w:cs="Arial"/>
          <w:sz w:val="24"/>
          <w:szCs w:val="24"/>
          <w:lang w:eastAsia="en-ZA"/>
        </w:rPr>
        <w:t>CC 18/2019</w:t>
      </w:r>
      <w:r w:rsidRPr="00353D84">
        <w:rPr>
          <w:rFonts w:ascii="Arial" w:eastAsiaTheme="minorEastAsia" w:hAnsi="Arial" w:cs="Arial"/>
          <w:sz w:val="24"/>
          <w:szCs w:val="24"/>
          <w:lang w:eastAsia="en-ZA"/>
        </w:rPr>
        <w:t>) [202</w:t>
      </w:r>
      <w:r w:rsidR="00793F1D" w:rsidRPr="00353D84">
        <w:rPr>
          <w:rFonts w:ascii="Arial" w:eastAsiaTheme="minorEastAsia" w:hAnsi="Arial" w:cs="Arial"/>
          <w:sz w:val="24"/>
          <w:szCs w:val="24"/>
          <w:lang w:eastAsia="en-ZA"/>
        </w:rPr>
        <w:t>1</w:t>
      </w:r>
      <w:r w:rsidR="00617D8E" w:rsidRPr="00353D84">
        <w:rPr>
          <w:rFonts w:ascii="Arial" w:eastAsiaTheme="minorEastAsia" w:hAnsi="Arial" w:cs="Arial"/>
          <w:sz w:val="24"/>
          <w:szCs w:val="24"/>
          <w:lang w:eastAsia="en-ZA"/>
        </w:rPr>
        <w:t>] NAHCMD 105</w:t>
      </w:r>
      <w:r w:rsidRPr="00353D84">
        <w:rPr>
          <w:rFonts w:ascii="Arial" w:eastAsiaTheme="minorEastAsia" w:hAnsi="Arial" w:cs="Arial"/>
          <w:sz w:val="24"/>
          <w:szCs w:val="24"/>
          <w:lang w:eastAsia="en-ZA"/>
        </w:rPr>
        <w:t xml:space="preserve"> (</w:t>
      </w:r>
      <w:r w:rsidR="00793F1D" w:rsidRPr="00353D84">
        <w:rPr>
          <w:rFonts w:ascii="Arial" w:eastAsiaTheme="minorEastAsia" w:hAnsi="Arial" w:cs="Arial"/>
          <w:sz w:val="24"/>
          <w:szCs w:val="24"/>
          <w:lang w:eastAsia="en-ZA"/>
        </w:rPr>
        <w:t>10 March 2021</w:t>
      </w:r>
      <w:r w:rsidR="00353D84">
        <w:rPr>
          <w:rFonts w:ascii="Arial" w:eastAsiaTheme="minorEastAsia" w:hAnsi="Arial" w:cs="Arial"/>
          <w:sz w:val="24"/>
          <w:szCs w:val="24"/>
          <w:lang w:eastAsia="en-ZA"/>
        </w:rPr>
        <w:t>)</w:t>
      </w:r>
    </w:p>
    <w:p w14:paraId="57D871F0" w14:textId="77777777" w:rsidR="00701B90" w:rsidRPr="00353D84" w:rsidRDefault="00701B90" w:rsidP="00701B90">
      <w:pPr>
        <w:spacing w:after="0" w:line="360" w:lineRule="auto"/>
        <w:ind w:left="2160" w:hanging="2160"/>
        <w:jc w:val="both"/>
        <w:rPr>
          <w:rFonts w:ascii="Arial" w:eastAsiaTheme="minorEastAsia" w:hAnsi="Arial" w:cs="Arial"/>
          <w:sz w:val="24"/>
          <w:szCs w:val="24"/>
          <w:lang w:eastAsia="en-ZA"/>
        </w:rPr>
      </w:pPr>
    </w:p>
    <w:p w14:paraId="2597DE7A" w14:textId="77777777" w:rsidR="00701B90" w:rsidRPr="00353D84" w:rsidRDefault="00701B90" w:rsidP="00701B90">
      <w:pPr>
        <w:spacing w:after="0" w:line="360" w:lineRule="auto"/>
        <w:ind w:left="1440" w:hanging="1440"/>
        <w:jc w:val="both"/>
        <w:rPr>
          <w:rFonts w:ascii="Arial" w:eastAsiaTheme="minorEastAsia" w:hAnsi="Arial" w:cs="Arial"/>
          <w:sz w:val="24"/>
          <w:szCs w:val="24"/>
          <w:lang w:eastAsia="en-ZA"/>
        </w:rPr>
      </w:pPr>
      <w:r w:rsidRPr="00353D84">
        <w:rPr>
          <w:rFonts w:ascii="Arial" w:eastAsiaTheme="minorEastAsia" w:hAnsi="Arial" w:cs="Arial"/>
          <w:b/>
          <w:sz w:val="24"/>
          <w:szCs w:val="24"/>
          <w:lang w:eastAsia="en-ZA"/>
        </w:rPr>
        <w:t>Coram</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t>CLAASEN, J</w:t>
      </w:r>
    </w:p>
    <w:p w14:paraId="4E3EC370" w14:textId="77777777" w:rsidR="00701B90" w:rsidRPr="00353D84" w:rsidRDefault="00701B90" w:rsidP="00701B90">
      <w:pPr>
        <w:spacing w:after="0" w:line="360" w:lineRule="auto"/>
        <w:ind w:left="1440" w:hanging="1440"/>
        <w:jc w:val="both"/>
        <w:rPr>
          <w:rFonts w:ascii="Arial" w:eastAsiaTheme="minorEastAsia" w:hAnsi="Arial" w:cs="Arial"/>
          <w:sz w:val="24"/>
          <w:szCs w:val="24"/>
          <w:lang w:eastAsia="en-ZA"/>
        </w:rPr>
      </w:pPr>
    </w:p>
    <w:p w14:paraId="58DC86B6" w14:textId="77777777" w:rsidR="00701B90" w:rsidRPr="00D32A63" w:rsidRDefault="00701B90" w:rsidP="00D32A63">
      <w:pPr>
        <w:spacing w:after="0" w:line="360" w:lineRule="auto"/>
        <w:ind w:left="1440" w:hanging="1440"/>
        <w:rPr>
          <w:rFonts w:ascii="Arial" w:eastAsiaTheme="minorEastAsia" w:hAnsi="Arial" w:cs="Arial"/>
          <w:b/>
          <w:sz w:val="24"/>
          <w:szCs w:val="24"/>
          <w:lang w:eastAsia="en-ZA"/>
        </w:rPr>
      </w:pPr>
      <w:r w:rsidRPr="00D32A63">
        <w:rPr>
          <w:rFonts w:ascii="Arial" w:eastAsiaTheme="minorEastAsia" w:hAnsi="Arial" w:cs="Arial"/>
          <w:b/>
          <w:bCs/>
          <w:sz w:val="24"/>
          <w:szCs w:val="24"/>
          <w:lang w:eastAsia="en-ZA"/>
        </w:rPr>
        <w:t>Heard</w:t>
      </w:r>
      <w:r w:rsidRPr="00D32A63">
        <w:rPr>
          <w:rFonts w:ascii="Arial" w:eastAsiaTheme="minorEastAsia" w:hAnsi="Arial" w:cs="Arial"/>
          <w:b/>
          <w:sz w:val="24"/>
          <w:szCs w:val="24"/>
          <w:lang w:eastAsia="en-ZA"/>
        </w:rPr>
        <w:t>:</w:t>
      </w:r>
      <w:r w:rsidRPr="00D32A63">
        <w:rPr>
          <w:rFonts w:ascii="Arial" w:eastAsiaTheme="minorEastAsia" w:hAnsi="Arial" w:cs="Arial"/>
          <w:b/>
          <w:sz w:val="24"/>
          <w:szCs w:val="24"/>
          <w:lang w:eastAsia="en-ZA"/>
        </w:rPr>
        <w:tab/>
        <w:t>23 June 2020, 24 June 2020, 25 June 2020, 06 July 2020, 07 July 2020, 08 July 2020, 16 July 2020, 26 October 2020, 10 February 2021</w:t>
      </w:r>
    </w:p>
    <w:p w14:paraId="1F28EAF5" w14:textId="77777777" w:rsidR="00701B90" w:rsidRPr="00D32A63" w:rsidRDefault="00701B90" w:rsidP="00701B90">
      <w:pPr>
        <w:spacing w:after="0" w:line="360" w:lineRule="auto"/>
        <w:rPr>
          <w:rFonts w:ascii="Arial" w:eastAsiaTheme="minorEastAsia" w:hAnsi="Arial" w:cs="Arial"/>
          <w:b/>
          <w:sz w:val="24"/>
          <w:szCs w:val="24"/>
          <w:lang w:eastAsia="en-ZA"/>
        </w:rPr>
      </w:pPr>
      <w:r w:rsidRPr="00D32A63">
        <w:rPr>
          <w:rFonts w:ascii="Arial" w:eastAsiaTheme="minorEastAsia" w:hAnsi="Arial" w:cs="Arial"/>
          <w:b/>
          <w:bCs/>
          <w:sz w:val="24"/>
          <w:szCs w:val="24"/>
          <w:lang w:eastAsia="en-ZA"/>
        </w:rPr>
        <w:t>Delivered</w:t>
      </w:r>
      <w:r w:rsidRPr="00D32A63">
        <w:rPr>
          <w:rFonts w:ascii="Arial" w:eastAsiaTheme="minorEastAsia" w:hAnsi="Arial" w:cs="Arial"/>
          <w:b/>
          <w:sz w:val="24"/>
          <w:szCs w:val="24"/>
          <w:lang w:eastAsia="en-ZA"/>
        </w:rPr>
        <w:t>:</w:t>
      </w:r>
      <w:r w:rsidRPr="00D32A63">
        <w:rPr>
          <w:rFonts w:ascii="Arial" w:eastAsiaTheme="minorEastAsia" w:hAnsi="Arial" w:cs="Arial"/>
          <w:b/>
          <w:sz w:val="24"/>
          <w:szCs w:val="24"/>
          <w:lang w:eastAsia="en-ZA"/>
        </w:rPr>
        <w:tab/>
        <w:t>10 March 2021</w:t>
      </w:r>
    </w:p>
    <w:p w14:paraId="7FCA6FA0" w14:textId="77777777" w:rsidR="00701B90" w:rsidRPr="00353D84" w:rsidRDefault="00701B90" w:rsidP="00701B90">
      <w:pPr>
        <w:spacing w:after="0" w:line="360" w:lineRule="auto"/>
        <w:jc w:val="both"/>
        <w:rPr>
          <w:rFonts w:ascii="Arial" w:eastAsiaTheme="minorEastAsia" w:hAnsi="Arial" w:cs="Arial"/>
          <w:sz w:val="24"/>
          <w:szCs w:val="24"/>
          <w:lang w:eastAsia="en-ZA"/>
        </w:rPr>
      </w:pPr>
    </w:p>
    <w:p w14:paraId="142936ED" w14:textId="38584D35" w:rsidR="00701B90" w:rsidRPr="00353D84" w:rsidRDefault="00701B90" w:rsidP="00701B90">
      <w:pPr>
        <w:spacing w:line="360" w:lineRule="auto"/>
        <w:jc w:val="both"/>
        <w:rPr>
          <w:rFonts w:ascii="Arial" w:hAnsi="Arial" w:cs="Arial"/>
          <w:sz w:val="24"/>
          <w:szCs w:val="24"/>
        </w:rPr>
      </w:pPr>
      <w:r w:rsidRPr="00353D84">
        <w:rPr>
          <w:rFonts w:ascii="Arial" w:hAnsi="Arial" w:cs="Arial"/>
          <w:b/>
          <w:sz w:val="24"/>
          <w:szCs w:val="24"/>
        </w:rPr>
        <w:t>Flynote:</w:t>
      </w:r>
      <w:r w:rsidRPr="00353D84">
        <w:rPr>
          <w:rFonts w:ascii="Arial" w:eastAsia="Times New Roman" w:hAnsi="Arial" w:cs="Arial"/>
          <w:sz w:val="24"/>
          <w:szCs w:val="24"/>
          <w:lang w:eastAsia="en-GB"/>
        </w:rPr>
        <w:tab/>
        <w:t>Application in terms of s 174 of the Criminal Procedure Act, 51 of 1977 –Discharge of accused a</w:t>
      </w:r>
      <w:r w:rsidR="00214A1D" w:rsidRPr="00353D84">
        <w:rPr>
          <w:rFonts w:ascii="Arial" w:eastAsia="Times New Roman" w:hAnsi="Arial" w:cs="Arial"/>
          <w:sz w:val="24"/>
          <w:szCs w:val="24"/>
          <w:lang w:eastAsia="en-GB"/>
        </w:rPr>
        <w:t>t close of State case – Test – W</w:t>
      </w:r>
      <w:r w:rsidRPr="00353D84">
        <w:rPr>
          <w:rFonts w:ascii="Arial" w:eastAsia="Times New Roman" w:hAnsi="Arial" w:cs="Arial"/>
          <w:sz w:val="24"/>
          <w:szCs w:val="24"/>
          <w:lang w:eastAsia="en-GB"/>
        </w:rPr>
        <w:t>hether there is prima facie evidence on which a reasonable court can convict</w:t>
      </w:r>
      <w:r w:rsidRPr="00353D84">
        <w:rPr>
          <w:rFonts w:ascii="Arial" w:hAnsi="Arial" w:cs="Arial"/>
          <w:sz w:val="24"/>
          <w:szCs w:val="24"/>
        </w:rPr>
        <w:t xml:space="preserve"> –  Court held that there is </w:t>
      </w:r>
      <w:r w:rsidRPr="00353D84">
        <w:rPr>
          <w:rFonts w:ascii="Arial" w:hAnsi="Arial" w:cs="Arial"/>
          <w:sz w:val="24"/>
          <w:szCs w:val="24"/>
          <w:lang w:val="en-GB"/>
        </w:rPr>
        <w:t>sufficient evidence on which a court acting reasonably may convict the accused on the charges – Application dismissed.</w:t>
      </w:r>
    </w:p>
    <w:p w14:paraId="0C2CE7DC" w14:textId="5B2A0B91" w:rsidR="00701B90" w:rsidRPr="00353D84" w:rsidRDefault="00701B90" w:rsidP="00701B90">
      <w:pPr>
        <w:spacing w:line="360" w:lineRule="auto"/>
        <w:jc w:val="both"/>
        <w:rPr>
          <w:rFonts w:ascii="Arial" w:hAnsi="Arial" w:cs="Arial"/>
          <w:sz w:val="24"/>
          <w:szCs w:val="24"/>
        </w:rPr>
      </w:pPr>
      <w:r w:rsidRPr="00353D84">
        <w:rPr>
          <w:rFonts w:ascii="Arial" w:hAnsi="Arial" w:cs="Arial"/>
          <w:b/>
          <w:sz w:val="24"/>
          <w:szCs w:val="24"/>
        </w:rPr>
        <w:lastRenderedPageBreak/>
        <w:t>Summary:</w:t>
      </w:r>
      <w:r w:rsidRPr="00353D84">
        <w:rPr>
          <w:rFonts w:ascii="Arial" w:hAnsi="Arial" w:cs="Arial"/>
          <w:sz w:val="24"/>
          <w:szCs w:val="24"/>
        </w:rPr>
        <w:tab/>
        <w:t>The accused in this case is indicted for murder and discharging a firearm in public. The accused pleaded not guilty to the charge</w:t>
      </w:r>
      <w:r w:rsidR="00214A1D" w:rsidRPr="00353D84">
        <w:rPr>
          <w:rFonts w:ascii="Arial" w:hAnsi="Arial" w:cs="Arial"/>
          <w:sz w:val="24"/>
          <w:szCs w:val="24"/>
        </w:rPr>
        <w:t>s. At end of prosecution’s evidence</w:t>
      </w:r>
      <w:r w:rsidRPr="00353D84">
        <w:rPr>
          <w:rFonts w:ascii="Arial" w:hAnsi="Arial" w:cs="Arial"/>
          <w:sz w:val="24"/>
          <w:szCs w:val="24"/>
        </w:rPr>
        <w:t xml:space="preserve">, the </w:t>
      </w:r>
      <w:r w:rsidR="0032493B" w:rsidRPr="00353D84">
        <w:rPr>
          <w:rFonts w:ascii="Arial" w:hAnsi="Arial" w:cs="Arial"/>
          <w:sz w:val="24"/>
          <w:szCs w:val="24"/>
        </w:rPr>
        <w:t>accused</w:t>
      </w:r>
      <w:r w:rsidRPr="00353D84">
        <w:rPr>
          <w:rFonts w:ascii="Arial" w:hAnsi="Arial" w:cs="Arial"/>
          <w:sz w:val="24"/>
          <w:szCs w:val="24"/>
        </w:rPr>
        <w:t xml:space="preserve"> applied for discharge, which was opposed by </w:t>
      </w:r>
      <w:r w:rsidR="00214A1D" w:rsidRPr="00353D84">
        <w:rPr>
          <w:rFonts w:ascii="Arial" w:hAnsi="Arial" w:cs="Arial"/>
          <w:sz w:val="24"/>
          <w:szCs w:val="24"/>
        </w:rPr>
        <w:t>the S</w:t>
      </w:r>
      <w:r w:rsidRPr="00353D84">
        <w:rPr>
          <w:rFonts w:ascii="Arial" w:hAnsi="Arial" w:cs="Arial"/>
          <w:sz w:val="24"/>
          <w:szCs w:val="24"/>
        </w:rPr>
        <w:t xml:space="preserve">tate. </w:t>
      </w:r>
    </w:p>
    <w:p w14:paraId="31C79A85" w14:textId="168CC501" w:rsidR="00701B90" w:rsidRPr="00353D84" w:rsidRDefault="00701B90" w:rsidP="00701B90">
      <w:pPr>
        <w:spacing w:line="360" w:lineRule="auto"/>
        <w:jc w:val="both"/>
        <w:rPr>
          <w:rFonts w:ascii="Arial" w:hAnsi="Arial" w:cs="Arial"/>
          <w:sz w:val="24"/>
          <w:szCs w:val="24"/>
          <w:lang w:val="en-US"/>
        </w:rPr>
      </w:pPr>
      <w:r w:rsidRPr="00353D84">
        <w:rPr>
          <w:rFonts w:ascii="Arial" w:hAnsi="Arial" w:cs="Arial"/>
          <w:i/>
          <w:sz w:val="24"/>
          <w:szCs w:val="24"/>
          <w:lang w:val="en-US"/>
        </w:rPr>
        <w:t xml:space="preserve">Held </w:t>
      </w:r>
      <w:r w:rsidR="005C1A37" w:rsidRPr="00353D84">
        <w:rPr>
          <w:rFonts w:ascii="Arial" w:hAnsi="Arial" w:cs="Arial"/>
          <w:sz w:val="24"/>
          <w:szCs w:val="24"/>
          <w:lang w:val="en-US"/>
        </w:rPr>
        <w:t xml:space="preserve">that </w:t>
      </w:r>
      <w:r w:rsidR="005F51AF" w:rsidRPr="00353D84">
        <w:rPr>
          <w:rFonts w:ascii="Arial" w:hAnsi="Arial" w:cs="Arial"/>
          <w:sz w:val="24"/>
          <w:szCs w:val="24"/>
          <w:lang w:val="en-US"/>
        </w:rPr>
        <w:t xml:space="preserve">the </w:t>
      </w:r>
      <w:r w:rsidRPr="00353D84">
        <w:rPr>
          <w:rFonts w:ascii="Arial" w:hAnsi="Arial" w:cs="Arial"/>
          <w:sz w:val="24"/>
          <w:szCs w:val="24"/>
          <w:lang w:val="en-US"/>
        </w:rPr>
        <w:t xml:space="preserve">standard of proof at this juncture is that of a prima facie case and not proof beyond reasonable doubt. </w:t>
      </w:r>
    </w:p>
    <w:p w14:paraId="5052623D" w14:textId="22AF9A6F" w:rsidR="005C1A37" w:rsidRPr="00353D84" w:rsidRDefault="005C1A37" w:rsidP="00701B90">
      <w:pPr>
        <w:spacing w:line="360" w:lineRule="auto"/>
        <w:jc w:val="both"/>
        <w:rPr>
          <w:rFonts w:ascii="Arial" w:hAnsi="Arial" w:cs="Arial"/>
          <w:sz w:val="24"/>
          <w:szCs w:val="24"/>
          <w:lang w:val="en-US"/>
        </w:rPr>
      </w:pPr>
      <w:r w:rsidRPr="00353D84">
        <w:rPr>
          <w:rFonts w:ascii="Arial" w:eastAsiaTheme="minorEastAsia" w:hAnsi="Arial" w:cs="Arial"/>
          <w:i/>
          <w:sz w:val="24"/>
          <w:szCs w:val="24"/>
          <w:lang w:val="en-GB" w:eastAsia="en-ZA"/>
        </w:rPr>
        <w:t>Held</w:t>
      </w:r>
      <w:r w:rsidRPr="00353D84">
        <w:rPr>
          <w:rFonts w:ascii="Arial" w:eastAsiaTheme="minorEastAsia" w:hAnsi="Arial" w:cs="Arial"/>
          <w:sz w:val="24"/>
          <w:szCs w:val="24"/>
          <w:lang w:val="en-GB" w:eastAsia="en-ZA"/>
        </w:rPr>
        <w:t xml:space="preserve"> that the State has established a prima facie case against the accused and he is placed on his defense on both counts. </w:t>
      </w:r>
    </w:p>
    <w:p w14:paraId="2ACDB0F3" w14:textId="77777777" w:rsidR="00701B90" w:rsidRPr="00353D84" w:rsidRDefault="00701B90" w:rsidP="00701B90">
      <w:pPr>
        <w:tabs>
          <w:tab w:val="left" w:pos="510"/>
          <w:tab w:val="center" w:pos="4680"/>
        </w:tabs>
        <w:spacing w:after="0" w:line="360" w:lineRule="auto"/>
        <w:jc w:val="both"/>
        <w:rPr>
          <w:rFonts w:ascii="Arial" w:eastAsiaTheme="minorEastAsia" w:hAnsi="Arial" w:cs="Arial"/>
          <w:bCs/>
          <w:sz w:val="24"/>
          <w:szCs w:val="24"/>
          <w:lang w:eastAsia="en-ZA"/>
        </w:rPr>
      </w:pPr>
      <w:r w:rsidRPr="00353D84">
        <w:rPr>
          <w:rFonts w:ascii="Arial" w:eastAsiaTheme="minorEastAsia" w:hAnsi="Arial" w:cs="Arial"/>
          <w:bCs/>
          <w:sz w:val="24"/>
          <w:szCs w:val="24"/>
          <w:lang w:eastAsia="en-ZA"/>
        </w:rPr>
        <w:t>______________________________________________________________________</w:t>
      </w:r>
    </w:p>
    <w:p w14:paraId="300A16BF" w14:textId="77777777" w:rsidR="00701B90" w:rsidRPr="00353D84" w:rsidRDefault="00701B90" w:rsidP="00701B90">
      <w:pPr>
        <w:tabs>
          <w:tab w:val="left" w:pos="510"/>
          <w:tab w:val="center" w:pos="4680"/>
        </w:tabs>
        <w:spacing w:after="0" w:line="360" w:lineRule="auto"/>
        <w:jc w:val="center"/>
        <w:rPr>
          <w:rFonts w:ascii="Arial" w:eastAsiaTheme="minorEastAsia" w:hAnsi="Arial" w:cs="Arial"/>
          <w:b/>
          <w:bCs/>
          <w:sz w:val="24"/>
          <w:szCs w:val="24"/>
          <w:lang w:eastAsia="en-ZA"/>
        </w:rPr>
      </w:pPr>
      <w:r w:rsidRPr="00353D84">
        <w:rPr>
          <w:rFonts w:ascii="Arial" w:eastAsiaTheme="minorEastAsia" w:hAnsi="Arial" w:cs="Arial"/>
          <w:b/>
          <w:bCs/>
          <w:sz w:val="24"/>
          <w:szCs w:val="24"/>
          <w:lang w:eastAsia="en-ZA"/>
        </w:rPr>
        <w:t>ORDER</w:t>
      </w:r>
    </w:p>
    <w:p w14:paraId="0E176745" w14:textId="77777777" w:rsidR="00701B90" w:rsidRPr="00353D84" w:rsidRDefault="00701B90" w:rsidP="00701B90">
      <w:pPr>
        <w:tabs>
          <w:tab w:val="left" w:pos="510"/>
          <w:tab w:val="center" w:pos="4680"/>
        </w:tabs>
        <w:spacing w:after="0" w:line="360" w:lineRule="auto"/>
        <w:jc w:val="both"/>
        <w:rPr>
          <w:rFonts w:ascii="Arial" w:eastAsiaTheme="minorEastAsia" w:hAnsi="Arial" w:cs="Arial"/>
          <w:bCs/>
          <w:sz w:val="24"/>
          <w:szCs w:val="24"/>
          <w:lang w:eastAsia="en-ZA"/>
        </w:rPr>
      </w:pPr>
      <w:r w:rsidRPr="00353D84">
        <w:rPr>
          <w:rFonts w:ascii="Arial" w:eastAsiaTheme="minorEastAsia" w:hAnsi="Arial" w:cs="Arial"/>
          <w:bCs/>
          <w:sz w:val="24"/>
          <w:szCs w:val="24"/>
          <w:lang w:eastAsia="en-ZA"/>
        </w:rPr>
        <w:t>______________________________________________________________________</w:t>
      </w:r>
    </w:p>
    <w:p w14:paraId="32E1794A" w14:textId="77777777" w:rsidR="00701B90" w:rsidRPr="00353D84" w:rsidRDefault="00701B90" w:rsidP="00701B90">
      <w:pPr>
        <w:spacing w:after="0" w:line="360" w:lineRule="auto"/>
        <w:jc w:val="both"/>
        <w:rPr>
          <w:rFonts w:ascii="Arial" w:eastAsiaTheme="minorEastAsia" w:hAnsi="Arial" w:cs="Arial"/>
          <w:bCs/>
          <w:sz w:val="24"/>
          <w:szCs w:val="24"/>
          <w:lang w:eastAsia="en-ZA"/>
        </w:rPr>
      </w:pPr>
    </w:p>
    <w:p w14:paraId="0EF6E0B4" w14:textId="77777777" w:rsidR="00701B90" w:rsidRPr="00353D84" w:rsidRDefault="00701B90" w:rsidP="00701B90">
      <w:pPr>
        <w:spacing w:after="0" w:line="360" w:lineRule="auto"/>
        <w:ind w:left="720"/>
        <w:contextualSpacing/>
        <w:jc w:val="both"/>
        <w:rPr>
          <w:rFonts w:ascii="Arial" w:eastAsiaTheme="minorEastAsia" w:hAnsi="Arial" w:cs="Arial"/>
          <w:bCs/>
          <w:sz w:val="24"/>
          <w:szCs w:val="24"/>
          <w:lang w:val="en-GB" w:eastAsia="en-ZA"/>
        </w:rPr>
      </w:pPr>
      <w:r w:rsidRPr="00353D84">
        <w:rPr>
          <w:rFonts w:ascii="Arial" w:eastAsiaTheme="minorEastAsia" w:hAnsi="Arial" w:cs="Arial"/>
          <w:bCs/>
          <w:sz w:val="24"/>
          <w:szCs w:val="24"/>
          <w:lang w:eastAsia="en-ZA"/>
        </w:rPr>
        <w:t xml:space="preserve">The application </w:t>
      </w:r>
      <w:r w:rsidRPr="00353D84">
        <w:rPr>
          <w:rFonts w:ascii="Arial" w:eastAsiaTheme="minorEastAsia" w:hAnsi="Arial" w:cs="Arial"/>
          <w:bCs/>
          <w:sz w:val="24"/>
          <w:szCs w:val="24"/>
          <w:lang w:val="en-GB" w:eastAsia="en-ZA"/>
        </w:rPr>
        <w:t xml:space="preserve">in terms of section 174 is hereby dismissed. </w:t>
      </w:r>
    </w:p>
    <w:p w14:paraId="3017248C" w14:textId="77777777" w:rsidR="00701B90" w:rsidRPr="00353D84" w:rsidRDefault="00701B90" w:rsidP="00701B90">
      <w:pPr>
        <w:spacing w:after="0" w:line="360" w:lineRule="auto"/>
        <w:jc w:val="both"/>
        <w:rPr>
          <w:rFonts w:ascii="Arial" w:eastAsiaTheme="minorEastAsia" w:hAnsi="Arial" w:cs="Arial"/>
          <w:bCs/>
          <w:sz w:val="24"/>
          <w:szCs w:val="24"/>
          <w:lang w:eastAsia="en-ZA"/>
        </w:rPr>
      </w:pPr>
    </w:p>
    <w:p w14:paraId="02E1C975" w14:textId="77777777" w:rsidR="00701B90" w:rsidRPr="00353D84" w:rsidRDefault="00701B90" w:rsidP="00701B90">
      <w:pPr>
        <w:spacing w:after="0" w:line="360" w:lineRule="auto"/>
        <w:jc w:val="both"/>
        <w:rPr>
          <w:rFonts w:ascii="Arial" w:eastAsiaTheme="minorEastAsia" w:hAnsi="Arial" w:cs="Arial"/>
          <w:bCs/>
          <w:sz w:val="24"/>
          <w:szCs w:val="24"/>
          <w:lang w:eastAsia="en-ZA"/>
        </w:rPr>
      </w:pPr>
      <w:r w:rsidRPr="00353D84">
        <w:rPr>
          <w:rFonts w:ascii="Arial" w:eastAsiaTheme="minorEastAsia" w:hAnsi="Arial" w:cs="Arial"/>
          <w:bCs/>
          <w:sz w:val="24"/>
          <w:szCs w:val="24"/>
          <w:lang w:eastAsia="en-ZA"/>
        </w:rPr>
        <w:t>______________________________________________________________________</w:t>
      </w:r>
    </w:p>
    <w:p w14:paraId="2AFA42A1" w14:textId="5FB3FA0E" w:rsidR="00701B90" w:rsidRPr="00353D84" w:rsidRDefault="005F51AF" w:rsidP="00701B90">
      <w:pPr>
        <w:tabs>
          <w:tab w:val="left" w:pos="510"/>
          <w:tab w:val="center" w:pos="4680"/>
        </w:tabs>
        <w:spacing w:after="0" w:line="360" w:lineRule="auto"/>
        <w:jc w:val="center"/>
        <w:rPr>
          <w:rFonts w:ascii="Arial" w:eastAsiaTheme="minorEastAsia" w:hAnsi="Arial" w:cs="Arial"/>
          <w:b/>
          <w:bCs/>
          <w:sz w:val="24"/>
          <w:szCs w:val="24"/>
          <w:lang w:eastAsia="en-ZA"/>
        </w:rPr>
      </w:pPr>
      <w:r w:rsidRPr="00353D84">
        <w:rPr>
          <w:rFonts w:ascii="Arial" w:eastAsiaTheme="minorEastAsia" w:hAnsi="Arial" w:cs="Arial"/>
          <w:b/>
          <w:bCs/>
          <w:sz w:val="24"/>
          <w:szCs w:val="24"/>
          <w:lang w:eastAsia="en-ZA"/>
        </w:rPr>
        <w:t xml:space="preserve">RULING </w:t>
      </w:r>
      <w:r w:rsidR="00701B90" w:rsidRPr="00353D84">
        <w:rPr>
          <w:rFonts w:ascii="Arial" w:eastAsiaTheme="minorEastAsia" w:hAnsi="Arial" w:cs="Arial"/>
          <w:b/>
          <w:bCs/>
          <w:sz w:val="24"/>
          <w:szCs w:val="24"/>
          <w:lang w:eastAsia="en-ZA"/>
        </w:rPr>
        <w:t xml:space="preserve">ON APPLICATION FOR THE DISCHARGE IN TERMS OF SECTION 174 OF ACT 51 OF 1977 </w:t>
      </w:r>
    </w:p>
    <w:p w14:paraId="5DDAEC03" w14:textId="77777777" w:rsidR="00701B90" w:rsidRPr="00353D84" w:rsidRDefault="00701B90" w:rsidP="00701B90">
      <w:pPr>
        <w:tabs>
          <w:tab w:val="left" w:pos="510"/>
          <w:tab w:val="center" w:pos="4680"/>
        </w:tabs>
        <w:spacing w:after="0" w:line="360" w:lineRule="auto"/>
        <w:jc w:val="both"/>
        <w:rPr>
          <w:rFonts w:ascii="Arial" w:eastAsiaTheme="minorEastAsia" w:hAnsi="Arial" w:cs="Arial"/>
          <w:bCs/>
          <w:sz w:val="24"/>
          <w:szCs w:val="24"/>
          <w:lang w:eastAsia="en-ZA"/>
        </w:rPr>
      </w:pPr>
      <w:r w:rsidRPr="00353D84">
        <w:rPr>
          <w:rFonts w:ascii="Arial" w:eastAsiaTheme="minorEastAsia" w:hAnsi="Arial" w:cs="Arial"/>
          <w:bCs/>
          <w:sz w:val="24"/>
          <w:szCs w:val="24"/>
          <w:lang w:eastAsia="en-ZA"/>
        </w:rPr>
        <w:t>______________________________________________________________________</w:t>
      </w:r>
    </w:p>
    <w:p w14:paraId="716C8DDA" w14:textId="77777777" w:rsidR="00232716" w:rsidRPr="00353D84" w:rsidRDefault="00232716" w:rsidP="0032493B">
      <w:pPr>
        <w:widowControl w:val="0"/>
        <w:autoSpaceDE w:val="0"/>
        <w:autoSpaceDN w:val="0"/>
        <w:adjustRightInd w:val="0"/>
        <w:spacing w:after="0" w:line="360" w:lineRule="auto"/>
        <w:jc w:val="both"/>
        <w:rPr>
          <w:rFonts w:ascii="Arial" w:eastAsiaTheme="minorEastAsia" w:hAnsi="Arial" w:cs="Arial"/>
          <w:sz w:val="24"/>
          <w:szCs w:val="24"/>
          <w:lang w:eastAsia="en-ZA"/>
        </w:rPr>
      </w:pPr>
    </w:p>
    <w:p w14:paraId="3E907F84" w14:textId="527172CA" w:rsidR="00701B90" w:rsidRPr="00353D84" w:rsidRDefault="00701B90" w:rsidP="0032493B">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CLAASEN J:</w:t>
      </w:r>
    </w:p>
    <w:p w14:paraId="654D9522" w14:textId="77777777" w:rsidR="0032493B" w:rsidRPr="00353D84" w:rsidRDefault="0032493B" w:rsidP="0032493B">
      <w:pPr>
        <w:widowControl w:val="0"/>
        <w:autoSpaceDE w:val="0"/>
        <w:autoSpaceDN w:val="0"/>
        <w:adjustRightInd w:val="0"/>
        <w:spacing w:after="0" w:line="360" w:lineRule="auto"/>
        <w:jc w:val="both"/>
        <w:rPr>
          <w:rFonts w:ascii="Arial" w:eastAsiaTheme="minorEastAsia" w:hAnsi="Arial" w:cs="Arial"/>
          <w:sz w:val="24"/>
          <w:szCs w:val="24"/>
          <w:lang w:eastAsia="en-ZA"/>
        </w:rPr>
      </w:pPr>
    </w:p>
    <w:p w14:paraId="4878BCA0" w14:textId="77777777" w:rsidR="00701B90" w:rsidRPr="00353D84" w:rsidRDefault="00701B90" w:rsidP="00701B90">
      <w:pPr>
        <w:spacing w:after="0" w:line="360" w:lineRule="auto"/>
        <w:jc w:val="both"/>
        <w:rPr>
          <w:rFonts w:ascii="Arial" w:eastAsiaTheme="minorEastAsia" w:hAnsi="Arial" w:cs="Arial"/>
          <w:i/>
          <w:sz w:val="24"/>
          <w:szCs w:val="24"/>
          <w:lang w:eastAsia="en-ZA"/>
        </w:rPr>
      </w:pPr>
      <w:r w:rsidRPr="00353D84">
        <w:rPr>
          <w:rFonts w:ascii="Arial" w:eastAsiaTheme="minorEastAsia" w:hAnsi="Arial" w:cs="Arial"/>
          <w:i/>
          <w:sz w:val="24"/>
          <w:szCs w:val="24"/>
          <w:lang w:eastAsia="en-ZA"/>
        </w:rPr>
        <w:t>Introduction</w:t>
      </w:r>
    </w:p>
    <w:p w14:paraId="5AE91F83" w14:textId="770AB0BC"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w:t>
      </w:r>
      <w:r w:rsidRPr="00353D84">
        <w:rPr>
          <w:rFonts w:ascii="Arial" w:eastAsiaTheme="minorEastAsia" w:hAnsi="Arial" w:cs="Arial"/>
          <w:sz w:val="24"/>
          <w:szCs w:val="24"/>
          <w:lang w:eastAsia="en-ZA"/>
        </w:rPr>
        <w:tab/>
        <w:t>At the close of the State</w:t>
      </w:r>
      <w:r w:rsidR="00451400" w:rsidRPr="00353D84">
        <w:rPr>
          <w:rFonts w:ascii="Arial" w:eastAsiaTheme="minorEastAsia" w:hAnsi="Arial" w:cs="Arial"/>
          <w:sz w:val="24"/>
          <w:szCs w:val="24"/>
          <w:lang w:eastAsia="en-ZA"/>
        </w:rPr>
        <w:t>’s</w:t>
      </w:r>
      <w:r w:rsidRPr="00353D84">
        <w:rPr>
          <w:rFonts w:ascii="Arial" w:eastAsiaTheme="minorEastAsia" w:hAnsi="Arial" w:cs="Arial"/>
          <w:sz w:val="24"/>
          <w:szCs w:val="24"/>
          <w:lang w:eastAsia="en-ZA"/>
        </w:rPr>
        <w:t xml:space="preserve"> case, Mr Namandje made an application on behalf of his client in terms of Section 174 </w:t>
      </w:r>
      <w:r w:rsidR="00214A1D" w:rsidRPr="00353D84">
        <w:rPr>
          <w:rFonts w:ascii="Arial" w:eastAsiaTheme="minorEastAsia" w:hAnsi="Arial" w:cs="Arial"/>
          <w:sz w:val="24"/>
          <w:szCs w:val="24"/>
          <w:lang w:eastAsia="en-ZA"/>
        </w:rPr>
        <w:t xml:space="preserve">of the </w:t>
      </w:r>
      <w:r w:rsidRPr="00353D84">
        <w:rPr>
          <w:rFonts w:ascii="Arial" w:eastAsiaTheme="minorEastAsia" w:hAnsi="Arial" w:cs="Arial"/>
          <w:sz w:val="24"/>
          <w:szCs w:val="24"/>
          <w:lang w:eastAsia="en-ZA"/>
        </w:rPr>
        <w:t xml:space="preserve">Criminal Procedure Act 51 of 1977 (hereinafter the Act) for the discharge </w:t>
      </w:r>
      <w:r w:rsidR="006C5397" w:rsidRPr="00353D84">
        <w:rPr>
          <w:rFonts w:ascii="Arial" w:eastAsiaTheme="minorEastAsia" w:hAnsi="Arial" w:cs="Arial"/>
          <w:sz w:val="24"/>
          <w:szCs w:val="24"/>
          <w:lang w:eastAsia="en-ZA"/>
        </w:rPr>
        <w:t xml:space="preserve">on the charges </w:t>
      </w:r>
      <w:r w:rsidRPr="00353D84">
        <w:rPr>
          <w:rFonts w:ascii="Arial" w:eastAsiaTheme="minorEastAsia" w:hAnsi="Arial" w:cs="Arial"/>
          <w:sz w:val="24"/>
          <w:szCs w:val="24"/>
          <w:lang w:eastAsia="en-ZA"/>
        </w:rPr>
        <w:t>against him. This application was opposed by the State who is represented by Mrs Ndlovu.</w:t>
      </w:r>
    </w:p>
    <w:p w14:paraId="3C6AD92E" w14:textId="38AF6C55"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w:t>
      </w:r>
      <w:r w:rsidRPr="00353D84">
        <w:rPr>
          <w:rFonts w:ascii="Arial" w:eastAsiaTheme="minorEastAsia" w:hAnsi="Arial" w:cs="Arial"/>
          <w:sz w:val="24"/>
          <w:szCs w:val="24"/>
          <w:lang w:eastAsia="en-ZA"/>
        </w:rPr>
        <w:tab/>
        <w:t>The accused person faces allegations that he wrongfully, unlawfully and intentionally shot Helao Kapembe Ndaba twice in his head with a firearm with the intention to kill him. Additionally that he discharged a firearm in public,</w:t>
      </w:r>
      <w:r w:rsidR="00214A1D" w:rsidRPr="00353D84">
        <w:rPr>
          <w:rFonts w:ascii="Arial" w:eastAsiaTheme="minorEastAsia" w:hAnsi="Arial" w:cs="Arial"/>
          <w:sz w:val="24"/>
          <w:szCs w:val="24"/>
          <w:lang w:eastAsia="en-ZA"/>
        </w:rPr>
        <w:t xml:space="preserve"> contravening s 38(1)(o</w:t>
      </w:r>
      <w:r w:rsidRPr="00353D84">
        <w:rPr>
          <w:rFonts w:ascii="Arial" w:eastAsiaTheme="minorEastAsia" w:hAnsi="Arial" w:cs="Arial"/>
          <w:sz w:val="24"/>
          <w:szCs w:val="24"/>
          <w:lang w:eastAsia="en-ZA"/>
        </w:rPr>
        <w:t>) of the Arms and Ammunition Act 7 of 1996.</w:t>
      </w:r>
    </w:p>
    <w:p w14:paraId="6A1A8576" w14:textId="16BE55D1"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lastRenderedPageBreak/>
        <w:t xml:space="preserve">[3] </w:t>
      </w:r>
      <w:r w:rsidRPr="00353D84">
        <w:rPr>
          <w:rFonts w:ascii="Arial" w:eastAsiaTheme="minorEastAsia" w:hAnsi="Arial" w:cs="Arial"/>
          <w:sz w:val="24"/>
          <w:szCs w:val="24"/>
          <w:lang w:eastAsia="en-ZA"/>
        </w:rPr>
        <w:tab/>
        <w:t xml:space="preserve">The accused pleaded not guilty to both counts. He also gave a plea explanation in terms of s 115 of the Act and it includes s 220 admissions. According to the plea explanation he was a passenger in his vehicle, at the time, driven by his son. They found a motor vehicle parked in their lane at Omuvapu </w:t>
      </w:r>
      <w:r w:rsidR="00353D84" w:rsidRPr="00353D84">
        <w:rPr>
          <w:rFonts w:ascii="Arial" w:eastAsiaTheme="minorEastAsia" w:hAnsi="Arial" w:cs="Arial"/>
          <w:sz w:val="24"/>
          <w:szCs w:val="24"/>
          <w:lang w:eastAsia="en-ZA"/>
        </w:rPr>
        <w:t>Street</w:t>
      </w:r>
      <w:r w:rsidRPr="00353D84">
        <w:rPr>
          <w:rFonts w:ascii="Arial" w:eastAsiaTheme="minorEastAsia" w:hAnsi="Arial" w:cs="Arial"/>
          <w:sz w:val="24"/>
          <w:szCs w:val="24"/>
          <w:lang w:eastAsia="en-ZA"/>
        </w:rPr>
        <w:t>, facing oncoming traffic. That vehicle obstructed them from driving.  That prompted, first his son and thereafter himself, to request that the vehicle be moved out of the way.  Ther</w:t>
      </w:r>
      <w:r w:rsidR="002D3AE3" w:rsidRPr="00353D84">
        <w:rPr>
          <w:rFonts w:ascii="Arial" w:eastAsiaTheme="minorEastAsia" w:hAnsi="Arial" w:cs="Arial"/>
          <w:sz w:val="24"/>
          <w:szCs w:val="24"/>
          <w:lang w:eastAsia="en-ZA"/>
        </w:rPr>
        <w:t>e were however persons who mocked</w:t>
      </w:r>
      <w:r w:rsidRPr="00353D84">
        <w:rPr>
          <w:rFonts w:ascii="Arial" w:eastAsiaTheme="minorEastAsia" w:hAnsi="Arial" w:cs="Arial"/>
          <w:sz w:val="24"/>
          <w:szCs w:val="24"/>
          <w:lang w:eastAsia="en-ZA"/>
        </w:rPr>
        <w:t xml:space="preserve"> them, followed them and aggressively knocked on his vehicle. As a result, he opened his window and fired two warning shots in the air. When the second warning shot was fired his son suddenly drove. </w:t>
      </w:r>
    </w:p>
    <w:p w14:paraId="167EF236" w14:textId="1AE5552F"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[4]</w:t>
      </w:r>
      <w:r w:rsidRPr="00353D84">
        <w:rPr>
          <w:rFonts w:ascii="Arial" w:eastAsiaTheme="minorEastAsia" w:hAnsi="Arial" w:cs="Arial"/>
          <w:sz w:val="24"/>
          <w:szCs w:val="24"/>
          <w:lang w:eastAsia="en-ZA"/>
        </w:rPr>
        <w:tab/>
        <w:t>He alludes to a possibility that the deceased may have been accidentally hit by a bullet from the warning shots he fired, but in the event th</w:t>
      </w:r>
      <w:r w:rsidR="00451400" w:rsidRPr="00353D84">
        <w:rPr>
          <w:rFonts w:ascii="Arial" w:eastAsiaTheme="minorEastAsia" w:hAnsi="Arial" w:cs="Arial"/>
          <w:sz w:val="24"/>
          <w:szCs w:val="24"/>
          <w:lang w:eastAsia="en-ZA"/>
        </w:rPr>
        <w:t xml:space="preserve">at it is found to be the case, </w:t>
      </w:r>
      <w:r w:rsidRPr="00353D84">
        <w:rPr>
          <w:rFonts w:ascii="Arial" w:eastAsiaTheme="minorEastAsia" w:hAnsi="Arial" w:cs="Arial"/>
          <w:sz w:val="24"/>
          <w:szCs w:val="24"/>
          <w:lang w:eastAsia="en-ZA"/>
        </w:rPr>
        <w:t xml:space="preserve">that he did not have intention to kill any person. </w:t>
      </w:r>
    </w:p>
    <w:p w14:paraId="1F1EBC23" w14:textId="6D116A7C"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[5]</w:t>
      </w:r>
      <w:r w:rsidRPr="00353D84">
        <w:rPr>
          <w:rFonts w:ascii="Arial" w:eastAsiaTheme="minorEastAsia" w:hAnsi="Arial" w:cs="Arial"/>
          <w:sz w:val="24"/>
          <w:szCs w:val="24"/>
          <w:lang w:eastAsia="en-ZA"/>
        </w:rPr>
        <w:tab/>
        <w:t>The accused further made admissions in terms of s 220 of the Act that on 18</w:t>
      </w:r>
      <w:r w:rsidRPr="00353D84">
        <w:rPr>
          <w:rFonts w:ascii="Arial" w:eastAsiaTheme="minorEastAsia" w:hAnsi="Arial" w:cs="Arial"/>
          <w:sz w:val="24"/>
          <w:szCs w:val="24"/>
          <w:vertAlign w:val="superscript"/>
          <w:lang w:eastAsia="en-ZA"/>
        </w:rPr>
        <w:t>th</w:t>
      </w:r>
      <w:r w:rsidRPr="00353D84">
        <w:rPr>
          <w:rFonts w:ascii="Arial" w:eastAsiaTheme="minorEastAsia" w:hAnsi="Arial" w:cs="Arial"/>
          <w:sz w:val="24"/>
          <w:szCs w:val="24"/>
          <w:lang w:eastAsia="en-ZA"/>
        </w:rPr>
        <w:t xml:space="preserve"> May 2018 he was an occupant in the front passenger seat of his vehicle which was driven by his son. He further admits that whilst on the front passenger seat, he discharged his firearm to wit a pistol 22 long ISSCC with serial number A 11910 on a public road, namely King Kauluma Street and Omuwapu Street. </w:t>
      </w:r>
    </w:p>
    <w:p w14:paraId="79245F3B" w14:textId="202808BF"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[6]</w:t>
      </w:r>
      <w:r w:rsidRPr="00353D84">
        <w:rPr>
          <w:rFonts w:ascii="Arial" w:eastAsiaTheme="minorEastAsia" w:hAnsi="Arial" w:cs="Arial"/>
          <w:sz w:val="24"/>
          <w:szCs w:val="24"/>
          <w:lang w:eastAsia="en-ZA"/>
        </w:rPr>
        <w:tab/>
      </w:r>
      <w:r w:rsidR="00214A1D" w:rsidRPr="00353D84">
        <w:rPr>
          <w:rFonts w:ascii="Arial" w:eastAsiaTheme="minorEastAsia" w:hAnsi="Arial" w:cs="Arial"/>
          <w:sz w:val="24"/>
          <w:szCs w:val="24"/>
          <w:lang w:eastAsia="en-ZA"/>
        </w:rPr>
        <w:t xml:space="preserve">The State’s </w:t>
      </w:r>
      <w:r w:rsidR="000D79CB" w:rsidRPr="00353D84">
        <w:rPr>
          <w:rFonts w:ascii="Arial" w:eastAsiaTheme="minorEastAsia" w:hAnsi="Arial" w:cs="Arial"/>
          <w:sz w:val="24"/>
          <w:szCs w:val="24"/>
          <w:lang w:eastAsia="en-ZA"/>
        </w:rPr>
        <w:t xml:space="preserve">summary of substantial facts is that on the night in question the accused, who was passenger in his vehicle, arrived at certain junction where another vehicle was stationery due to mechanical problems. The accused and or his son insisted that the vehicle move and when it did not the accused fired two shots in the direction of the deceased. The shots struck the deceased and he passed away as a result thereof. </w:t>
      </w:r>
    </w:p>
    <w:p w14:paraId="302D9AB6" w14:textId="4E548BBA" w:rsidR="000D79CB" w:rsidRPr="00353D84" w:rsidRDefault="00C63B9D" w:rsidP="000D79CB">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[7]</w:t>
      </w:r>
      <w:r w:rsidRPr="00353D84">
        <w:rPr>
          <w:rFonts w:ascii="Arial" w:eastAsiaTheme="minorEastAsia" w:hAnsi="Arial" w:cs="Arial"/>
          <w:sz w:val="24"/>
          <w:szCs w:val="24"/>
          <w:lang w:eastAsia="en-ZA"/>
        </w:rPr>
        <w:tab/>
      </w:r>
      <w:r w:rsidR="006907BB" w:rsidRPr="00353D84">
        <w:rPr>
          <w:rFonts w:ascii="Arial" w:eastAsiaTheme="minorEastAsia" w:hAnsi="Arial" w:cs="Arial"/>
          <w:sz w:val="24"/>
          <w:szCs w:val="24"/>
          <w:lang w:eastAsia="en-ZA"/>
        </w:rPr>
        <w:t xml:space="preserve"> </w:t>
      </w:r>
      <w:r w:rsidR="000D79CB" w:rsidRPr="00353D84">
        <w:rPr>
          <w:rFonts w:ascii="Arial" w:eastAsiaTheme="minorEastAsia" w:hAnsi="Arial" w:cs="Arial"/>
          <w:sz w:val="24"/>
          <w:szCs w:val="24"/>
          <w:lang w:eastAsia="en-ZA"/>
        </w:rPr>
        <w:t xml:space="preserve">The prosecution presented evidence of 5 persons, Mr Peter Mukwilongo, Mr Gabriel Amadhila, Mr David Nakanyala, Mr Pineas Isaak and Ms Stefanie Khoeses, that claim to have been eye-witnesses on the night in question. The scene was attended to by 3 police officers namely, Mr Immanuel Shilamo, Mr Moses Shivolo and </w:t>
      </w:r>
      <w:r w:rsidR="00214A1D" w:rsidRPr="00353D84">
        <w:rPr>
          <w:rFonts w:ascii="Arial" w:eastAsiaTheme="minorEastAsia" w:hAnsi="Arial" w:cs="Arial"/>
          <w:sz w:val="24"/>
          <w:szCs w:val="24"/>
          <w:lang w:eastAsia="en-ZA"/>
        </w:rPr>
        <w:t xml:space="preserve">Mr Evan Berrand, who also testified. </w:t>
      </w:r>
      <w:r w:rsidR="000D79CB" w:rsidRPr="00353D84">
        <w:rPr>
          <w:rFonts w:ascii="Arial" w:eastAsiaTheme="minorEastAsia" w:hAnsi="Arial" w:cs="Arial"/>
          <w:sz w:val="24"/>
          <w:szCs w:val="24"/>
          <w:lang w:eastAsia="en-ZA"/>
        </w:rPr>
        <w:t xml:space="preserve">Dr Simasiku Kabanje </w:t>
      </w:r>
      <w:r w:rsidR="00214A1D" w:rsidRPr="00353D84">
        <w:rPr>
          <w:rFonts w:ascii="Arial" w:eastAsiaTheme="minorEastAsia" w:hAnsi="Arial" w:cs="Arial"/>
          <w:sz w:val="24"/>
          <w:szCs w:val="24"/>
          <w:lang w:eastAsia="en-ZA"/>
        </w:rPr>
        <w:t xml:space="preserve">who </w:t>
      </w:r>
      <w:r w:rsidR="000D79CB" w:rsidRPr="00353D84">
        <w:rPr>
          <w:rFonts w:ascii="Arial" w:eastAsiaTheme="minorEastAsia" w:hAnsi="Arial" w:cs="Arial"/>
          <w:sz w:val="24"/>
          <w:szCs w:val="24"/>
          <w:lang w:eastAsia="en-ZA"/>
        </w:rPr>
        <w:t xml:space="preserve">compiled the post-mortem and a forensic scientist Mr Kalipus Sem </w:t>
      </w:r>
      <w:r w:rsidR="00214A1D" w:rsidRPr="00353D84">
        <w:rPr>
          <w:rFonts w:ascii="Arial" w:eastAsiaTheme="minorEastAsia" w:hAnsi="Arial" w:cs="Arial"/>
          <w:sz w:val="24"/>
          <w:szCs w:val="24"/>
          <w:lang w:eastAsia="en-ZA"/>
        </w:rPr>
        <w:t xml:space="preserve">who </w:t>
      </w:r>
      <w:r w:rsidR="000D79CB" w:rsidRPr="00353D84">
        <w:rPr>
          <w:rFonts w:ascii="Arial" w:eastAsiaTheme="minorEastAsia" w:hAnsi="Arial" w:cs="Arial"/>
          <w:sz w:val="24"/>
          <w:szCs w:val="24"/>
          <w:lang w:eastAsia="en-ZA"/>
        </w:rPr>
        <w:t xml:space="preserve">compiled </w:t>
      </w:r>
      <w:r w:rsidR="00214A1D" w:rsidRPr="00353D84">
        <w:rPr>
          <w:rFonts w:ascii="Arial" w:eastAsiaTheme="minorEastAsia" w:hAnsi="Arial" w:cs="Arial"/>
          <w:sz w:val="24"/>
          <w:szCs w:val="24"/>
          <w:lang w:eastAsia="en-ZA"/>
        </w:rPr>
        <w:t xml:space="preserve">a ballistic </w:t>
      </w:r>
      <w:r w:rsidR="00353D84" w:rsidRPr="00353D84">
        <w:rPr>
          <w:rFonts w:ascii="Arial" w:eastAsiaTheme="minorEastAsia" w:hAnsi="Arial" w:cs="Arial"/>
          <w:sz w:val="24"/>
          <w:szCs w:val="24"/>
          <w:lang w:eastAsia="en-ZA"/>
        </w:rPr>
        <w:t>report also</w:t>
      </w:r>
      <w:r w:rsidR="00214A1D" w:rsidRPr="00353D84">
        <w:rPr>
          <w:rFonts w:ascii="Arial" w:eastAsiaTheme="minorEastAsia" w:hAnsi="Arial" w:cs="Arial"/>
          <w:sz w:val="24"/>
          <w:szCs w:val="24"/>
          <w:lang w:eastAsia="en-ZA"/>
        </w:rPr>
        <w:t xml:space="preserve"> testified.</w:t>
      </w:r>
    </w:p>
    <w:p w14:paraId="03665672" w14:textId="4A7F9624" w:rsidR="00701B90" w:rsidRPr="00353D84" w:rsidRDefault="00701B90" w:rsidP="006907BB">
      <w:pPr>
        <w:spacing w:before="240" w:after="0" w:line="360" w:lineRule="auto"/>
        <w:jc w:val="both"/>
        <w:rPr>
          <w:rFonts w:ascii="Arial" w:eastAsiaTheme="minorEastAsia" w:hAnsi="Arial" w:cs="Arial"/>
          <w:i/>
          <w:sz w:val="24"/>
          <w:szCs w:val="24"/>
          <w:lang w:eastAsia="en-ZA"/>
        </w:rPr>
      </w:pPr>
      <w:r w:rsidRPr="00353D84">
        <w:rPr>
          <w:rFonts w:ascii="Arial" w:eastAsiaTheme="minorEastAsia" w:hAnsi="Arial" w:cs="Arial"/>
          <w:i/>
          <w:sz w:val="24"/>
          <w:szCs w:val="24"/>
          <w:lang w:eastAsia="en-ZA"/>
        </w:rPr>
        <w:lastRenderedPageBreak/>
        <w:t>Arguments on behalf of the accused</w:t>
      </w:r>
    </w:p>
    <w:p w14:paraId="080EF835" w14:textId="3E90A4D2" w:rsidR="00701B90" w:rsidRPr="00353D84" w:rsidRDefault="006907BB"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[8</w:t>
      </w:r>
      <w:r w:rsidR="00701B90" w:rsidRPr="00353D84">
        <w:rPr>
          <w:rFonts w:ascii="Arial" w:eastAsiaTheme="minorEastAsia" w:hAnsi="Arial" w:cs="Arial"/>
          <w:sz w:val="24"/>
          <w:szCs w:val="24"/>
          <w:lang w:eastAsia="en-ZA"/>
        </w:rPr>
        <w:t>]</w:t>
      </w:r>
      <w:r w:rsidR="00701B90" w:rsidRPr="00353D84">
        <w:rPr>
          <w:rFonts w:ascii="Arial" w:eastAsiaTheme="minorEastAsia" w:hAnsi="Arial" w:cs="Arial"/>
          <w:sz w:val="24"/>
          <w:szCs w:val="24"/>
          <w:lang w:eastAsia="en-ZA"/>
        </w:rPr>
        <w:tab/>
        <w:t xml:space="preserve">Counsel for the applicant submitted detailed heads of argument which I endeavour to summarise. The central thread of the accused’s heads of argument is that the evidence of the State is riddled with contradictions and that none of the officials armed with the task of conducting the forensic investigations did a proper job. In respect of the eye witnesses, counsel contends that almost every eye witness had a different version, as opposed to the accused who had a consistent version </w:t>
      </w:r>
      <w:r w:rsidR="00451400" w:rsidRPr="00353D84">
        <w:rPr>
          <w:rFonts w:ascii="Arial" w:eastAsiaTheme="minorEastAsia" w:hAnsi="Arial" w:cs="Arial"/>
          <w:sz w:val="24"/>
          <w:szCs w:val="24"/>
          <w:lang w:eastAsia="en-ZA"/>
        </w:rPr>
        <w:t>of the</w:t>
      </w:r>
      <w:r w:rsidR="00701B90" w:rsidRPr="00353D84">
        <w:rPr>
          <w:rFonts w:ascii="Arial" w:eastAsiaTheme="minorEastAsia" w:hAnsi="Arial" w:cs="Arial"/>
          <w:sz w:val="24"/>
          <w:szCs w:val="24"/>
          <w:lang w:eastAsia="en-ZA"/>
        </w:rPr>
        <w:t xml:space="preserve"> events that transpired that night right from the bail hearing until the trial. </w:t>
      </w:r>
    </w:p>
    <w:p w14:paraId="4154C3D9" w14:textId="53864B74" w:rsidR="00701B90" w:rsidRPr="00353D84" w:rsidRDefault="006907BB"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[9</w:t>
      </w:r>
      <w:r w:rsidR="00451400" w:rsidRPr="00353D84">
        <w:rPr>
          <w:rFonts w:ascii="Arial" w:eastAsiaTheme="minorEastAsia" w:hAnsi="Arial" w:cs="Arial"/>
          <w:sz w:val="24"/>
          <w:szCs w:val="24"/>
          <w:lang w:eastAsia="en-ZA"/>
        </w:rPr>
        <w:t>]</w:t>
      </w:r>
      <w:r w:rsidR="00451400" w:rsidRPr="00353D84">
        <w:rPr>
          <w:rFonts w:ascii="Arial" w:eastAsiaTheme="minorEastAsia" w:hAnsi="Arial" w:cs="Arial"/>
          <w:sz w:val="24"/>
          <w:szCs w:val="24"/>
          <w:lang w:eastAsia="en-ZA"/>
        </w:rPr>
        <w:tab/>
      </w:r>
      <w:r w:rsidR="00701B90" w:rsidRPr="00353D84">
        <w:rPr>
          <w:rFonts w:ascii="Arial" w:eastAsiaTheme="minorEastAsia" w:hAnsi="Arial" w:cs="Arial"/>
          <w:sz w:val="24"/>
          <w:szCs w:val="24"/>
          <w:lang w:eastAsia="en-ZA"/>
        </w:rPr>
        <w:t xml:space="preserve">He criticized Mr Nakanyala for testifying that he saw ‘something’ in the accused hand as opposed to having certainty as to what it was and that he heard two gunshots but thereafter </w:t>
      </w:r>
      <w:r w:rsidR="00451400" w:rsidRPr="00353D84">
        <w:rPr>
          <w:rFonts w:ascii="Arial" w:eastAsiaTheme="minorEastAsia" w:hAnsi="Arial" w:cs="Arial"/>
          <w:sz w:val="24"/>
          <w:szCs w:val="24"/>
          <w:lang w:eastAsia="en-ZA"/>
        </w:rPr>
        <w:t>during</w:t>
      </w:r>
      <w:r w:rsidR="00701B90" w:rsidRPr="00353D84">
        <w:rPr>
          <w:rFonts w:ascii="Arial" w:eastAsiaTheme="minorEastAsia" w:hAnsi="Arial" w:cs="Arial"/>
          <w:sz w:val="24"/>
          <w:szCs w:val="24"/>
          <w:lang w:eastAsia="en-ZA"/>
        </w:rPr>
        <w:t xml:space="preserve"> cross-examination supplemented his version by explaining that he saw sparks from the accused’</w:t>
      </w:r>
      <w:r w:rsidR="00451400" w:rsidRPr="00353D84">
        <w:rPr>
          <w:rFonts w:ascii="Arial" w:eastAsiaTheme="minorEastAsia" w:hAnsi="Arial" w:cs="Arial"/>
          <w:sz w:val="24"/>
          <w:szCs w:val="24"/>
          <w:lang w:eastAsia="en-ZA"/>
        </w:rPr>
        <w:t>s</w:t>
      </w:r>
      <w:r w:rsidR="00701B90" w:rsidRPr="00353D84">
        <w:rPr>
          <w:rFonts w:ascii="Arial" w:eastAsiaTheme="minorEastAsia" w:hAnsi="Arial" w:cs="Arial"/>
          <w:sz w:val="24"/>
          <w:szCs w:val="24"/>
          <w:lang w:eastAsia="en-ZA"/>
        </w:rPr>
        <w:t xml:space="preserve"> car. </w:t>
      </w:r>
    </w:p>
    <w:p w14:paraId="6BEA3751" w14:textId="1FC88BFB" w:rsidR="00701B90" w:rsidRPr="00353D84" w:rsidRDefault="006907BB"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[10</w:t>
      </w:r>
      <w:r w:rsidR="00701B90" w:rsidRPr="00353D84">
        <w:rPr>
          <w:rFonts w:ascii="Arial" w:eastAsiaTheme="minorEastAsia" w:hAnsi="Arial" w:cs="Arial"/>
          <w:sz w:val="24"/>
          <w:szCs w:val="24"/>
          <w:lang w:eastAsia="en-ZA"/>
        </w:rPr>
        <w:t>]   As far as Mr Mukwilongo’s testimony was concerned, counsel characterised his conduct of pushing the deceased away from accused’s car as peculiar in the circumstances. This witness was blasted for not being able to remember whether the gun that was pointed in their direction was in the accused’s left or right hand. Counsel contends that this witness was outright untruthful for his account that he did not see the shooting but heard the shots.</w:t>
      </w:r>
    </w:p>
    <w:p w14:paraId="13591650" w14:textId="43732615"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w:t>
      </w:r>
      <w:r w:rsidR="006907BB" w:rsidRPr="00353D84">
        <w:rPr>
          <w:rFonts w:ascii="Arial" w:eastAsiaTheme="minorEastAsia" w:hAnsi="Arial" w:cs="Arial"/>
          <w:sz w:val="24"/>
          <w:szCs w:val="24"/>
          <w:lang w:eastAsia="en-ZA"/>
        </w:rPr>
        <w:t>11</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t>In respect of the evidence of Ms Khoeses, counsel argued that there was a fabrication of evidence because on more than one occasion she re</w:t>
      </w:r>
      <w:r w:rsidR="005B2E42" w:rsidRPr="00353D84">
        <w:rPr>
          <w:rFonts w:ascii="Arial" w:eastAsiaTheme="minorEastAsia" w:hAnsi="Arial" w:cs="Arial"/>
          <w:sz w:val="24"/>
          <w:szCs w:val="24"/>
          <w:lang w:eastAsia="en-ZA"/>
        </w:rPr>
        <w:t>p</w:t>
      </w:r>
      <w:r w:rsidRPr="00353D84">
        <w:rPr>
          <w:rFonts w:ascii="Arial" w:eastAsiaTheme="minorEastAsia" w:hAnsi="Arial" w:cs="Arial"/>
          <w:sz w:val="24"/>
          <w:szCs w:val="24"/>
          <w:lang w:eastAsia="en-ZA"/>
        </w:rPr>
        <w:t xml:space="preserve">lied that she cannot remember and also critiqued her for omissions in her witness statement. </w:t>
      </w:r>
    </w:p>
    <w:p w14:paraId="5BB9C684" w14:textId="0D1FB1EE"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w:t>
      </w:r>
      <w:r w:rsidR="006907BB" w:rsidRPr="00353D84">
        <w:rPr>
          <w:rFonts w:ascii="Arial" w:eastAsiaTheme="minorEastAsia" w:hAnsi="Arial" w:cs="Arial"/>
          <w:sz w:val="24"/>
          <w:szCs w:val="24"/>
          <w:lang w:eastAsia="en-ZA"/>
        </w:rPr>
        <w:t>2</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t xml:space="preserve">The quality of the investigations by the police was characterised as </w:t>
      </w:r>
      <w:r w:rsidR="00D8492F" w:rsidRPr="00353D84">
        <w:rPr>
          <w:rFonts w:ascii="Arial" w:eastAsiaTheme="minorEastAsia" w:hAnsi="Arial" w:cs="Arial"/>
          <w:sz w:val="24"/>
          <w:szCs w:val="24"/>
          <w:lang w:eastAsia="en-ZA"/>
        </w:rPr>
        <w:t xml:space="preserve">very </w:t>
      </w:r>
      <w:r w:rsidRPr="00353D84">
        <w:rPr>
          <w:rFonts w:ascii="Arial" w:eastAsiaTheme="minorEastAsia" w:hAnsi="Arial" w:cs="Arial"/>
          <w:sz w:val="24"/>
          <w:szCs w:val="24"/>
          <w:lang w:eastAsia="en-ZA"/>
        </w:rPr>
        <w:t xml:space="preserve">poor. </w:t>
      </w:r>
      <w:r w:rsidR="00F960D8" w:rsidRPr="00353D84">
        <w:rPr>
          <w:rFonts w:ascii="Arial" w:eastAsiaTheme="minorEastAsia" w:hAnsi="Arial" w:cs="Arial"/>
          <w:sz w:val="24"/>
          <w:szCs w:val="24"/>
          <w:lang w:eastAsia="en-ZA"/>
        </w:rPr>
        <w:t>The r</w:t>
      </w:r>
      <w:r w:rsidRPr="00353D84">
        <w:rPr>
          <w:rFonts w:ascii="Arial" w:eastAsiaTheme="minorEastAsia" w:hAnsi="Arial" w:cs="Arial"/>
          <w:sz w:val="24"/>
          <w:szCs w:val="24"/>
          <w:lang w:eastAsia="en-ZA"/>
        </w:rPr>
        <w:t>easons being, that the scene was not cordoned off and</w:t>
      </w:r>
      <w:r w:rsidR="00D8492F" w:rsidRPr="00353D84">
        <w:rPr>
          <w:rFonts w:ascii="Arial" w:eastAsiaTheme="minorEastAsia" w:hAnsi="Arial" w:cs="Arial"/>
          <w:sz w:val="24"/>
          <w:szCs w:val="24"/>
          <w:lang w:eastAsia="en-ZA"/>
        </w:rPr>
        <w:t xml:space="preserve"> because only two out of the many witnesses were utilised in </w:t>
      </w:r>
      <w:r w:rsidR="00F960D8" w:rsidRPr="00353D84">
        <w:rPr>
          <w:rFonts w:ascii="Arial" w:eastAsiaTheme="minorEastAsia" w:hAnsi="Arial" w:cs="Arial"/>
          <w:sz w:val="24"/>
          <w:szCs w:val="24"/>
          <w:lang w:eastAsia="en-ZA"/>
        </w:rPr>
        <w:t xml:space="preserve">the </w:t>
      </w:r>
      <w:r w:rsidRPr="00353D84">
        <w:rPr>
          <w:rFonts w:ascii="Arial" w:eastAsiaTheme="minorEastAsia" w:hAnsi="Arial" w:cs="Arial"/>
          <w:sz w:val="24"/>
          <w:szCs w:val="24"/>
          <w:lang w:eastAsia="en-ZA"/>
        </w:rPr>
        <w:t xml:space="preserve">demarcation of the points that formed the basis of the photo-plan </w:t>
      </w:r>
      <w:r w:rsidR="00D8492F" w:rsidRPr="00353D84">
        <w:rPr>
          <w:rFonts w:ascii="Arial" w:eastAsiaTheme="minorEastAsia" w:hAnsi="Arial" w:cs="Arial"/>
          <w:sz w:val="24"/>
          <w:szCs w:val="24"/>
          <w:lang w:eastAsia="en-ZA"/>
        </w:rPr>
        <w:t xml:space="preserve">and </w:t>
      </w:r>
      <w:r w:rsidRPr="00353D84">
        <w:rPr>
          <w:rFonts w:ascii="Arial" w:eastAsiaTheme="minorEastAsia" w:hAnsi="Arial" w:cs="Arial"/>
          <w:sz w:val="24"/>
          <w:szCs w:val="24"/>
          <w:lang w:eastAsia="en-ZA"/>
        </w:rPr>
        <w:t xml:space="preserve">the sketch-plan. </w:t>
      </w:r>
      <w:r w:rsidR="00D8492F" w:rsidRPr="00353D84">
        <w:rPr>
          <w:rFonts w:ascii="Arial" w:eastAsiaTheme="minorEastAsia" w:hAnsi="Arial" w:cs="Arial"/>
          <w:sz w:val="24"/>
          <w:szCs w:val="24"/>
          <w:lang w:eastAsia="en-ZA"/>
        </w:rPr>
        <w:t xml:space="preserve">Furthermore in the </w:t>
      </w:r>
      <w:r w:rsidRPr="00353D84">
        <w:rPr>
          <w:rFonts w:ascii="Arial" w:eastAsiaTheme="minorEastAsia" w:hAnsi="Arial" w:cs="Arial"/>
          <w:sz w:val="24"/>
          <w:szCs w:val="24"/>
          <w:lang w:eastAsia="en-ZA"/>
        </w:rPr>
        <w:t>forensic investigations, officials did not adhere to the rules relating to the handling of exhibits</w:t>
      </w:r>
      <w:r w:rsidR="00D8492F" w:rsidRPr="00353D84">
        <w:rPr>
          <w:rFonts w:ascii="Arial" w:eastAsiaTheme="minorEastAsia" w:hAnsi="Arial" w:cs="Arial"/>
          <w:sz w:val="24"/>
          <w:szCs w:val="24"/>
          <w:lang w:eastAsia="en-ZA"/>
        </w:rPr>
        <w:t xml:space="preserve"> i.e. the chain of custody. </w:t>
      </w:r>
      <w:r w:rsidRPr="00353D84">
        <w:rPr>
          <w:rFonts w:ascii="Arial" w:eastAsiaTheme="minorEastAsia" w:hAnsi="Arial" w:cs="Arial"/>
          <w:sz w:val="24"/>
          <w:szCs w:val="24"/>
          <w:lang w:eastAsia="en-ZA"/>
        </w:rPr>
        <w:t xml:space="preserve">The comparative analysis </w:t>
      </w:r>
      <w:r w:rsidR="00116149" w:rsidRPr="00353D84">
        <w:rPr>
          <w:rFonts w:ascii="Arial" w:eastAsiaTheme="minorEastAsia" w:hAnsi="Arial" w:cs="Arial"/>
          <w:sz w:val="24"/>
          <w:szCs w:val="24"/>
          <w:lang w:eastAsia="en-ZA"/>
        </w:rPr>
        <w:t xml:space="preserve">as to the </w:t>
      </w:r>
      <w:r w:rsidR="003E0A60" w:rsidRPr="00353D84">
        <w:rPr>
          <w:rFonts w:ascii="Arial" w:eastAsiaTheme="minorEastAsia" w:hAnsi="Arial" w:cs="Arial"/>
          <w:sz w:val="24"/>
          <w:szCs w:val="24"/>
          <w:lang w:eastAsia="en-ZA"/>
        </w:rPr>
        <w:t xml:space="preserve">weight of </w:t>
      </w:r>
      <w:r w:rsidRPr="00353D84">
        <w:rPr>
          <w:rFonts w:ascii="Arial" w:eastAsiaTheme="minorEastAsia" w:hAnsi="Arial" w:cs="Arial"/>
          <w:sz w:val="24"/>
          <w:szCs w:val="24"/>
          <w:lang w:eastAsia="en-ZA"/>
        </w:rPr>
        <w:t xml:space="preserve">projectiles </w:t>
      </w:r>
      <w:r w:rsidR="00D8492F" w:rsidRPr="00353D84">
        <w:rPr>
          <w:rFonts w:ascii="Arial" w:eastAsiaTheme="minorEastAsia" w:hAnsi="Arial" w:cs="Arial"/>
          <w:sz w:val="24"/>
          <w:szCs w:val="24"/>
          <w:lang w:eastAsia="en-ZA"/>
        </w:rPr>
        <w:t>also featured.</w:t>
      </w:r>
      <w:r w:rsidRPr="00353D84">
        <w:rPr>
          <w:rFonts w:ascii="Arial" w:eastAsiaTheme="minorEastAsia" w:hAnsi="Arial" w:cs="Arial"/>
          <w:sz w:val="24"/>
          <w:szCs w:val="24"/>
          <w:lang w:eastAsia="en-ZA"/>
        </w:rPr>
        <w:t xml:space="preserve"> </w:t>
      </w:r>
      <w:r w:rsidR="00F960D8" w:rsidRPr="00353D84">
        <w:rPr>
          <w:rFonts w:ascii="Arial" w:eastAsiaTheme="minorEastAsia" w:hAnsi="Arial" w:cs="Arial"/>
          <w:sz w:val="24"/>
          <w:szCs w:val="24"/>
          <w:lang w:eastAsia="en-ZA"/>
        </w:rPr>
        <w:t xml:space="preserve">According to Mr Sem’s </w:t>
      </w:r>
      <w:r w:rsidR="00353D84" w:rsidRPr="00353D84">
        <w:rPr>
          <w:rFonts w:ascii="Arial" w:eastAsiaTheme="minorEastAsia" w:hAnsi="Arial" w:cs="Arial"/>
          <w:sz w:val="24"/>
          <w:szCs w:val="24"/>
          <w:lang w:eastAsia="en-ZA"/>
        </w:rPr>
        <w:t>evidence the</w:t>
      </w:r>
      <w:r w:rsidR="00EB39F8" w:rsidRPr="00353D84">
        <w:rPr>
          <w:rFonts w:ascii="Arial" w:eastAsiaTheme="minorEastAsia" w:hAnsi="Arial" w:cs="Arial"/>
          <w:sz w:val="24"/>
          <w:szCs w:val="24"/>
          <w:lang w:eastAsia="en-ZA"/>
        </w:rPr>
        <w:t xml:space="preserve"> weight of the piece of lead in the deceased</w:t>
      </w:r>
      <w:r w:rsidR="00116149" w:rsidRPr="00353D84">
        <w:rPr>
          <w:rFonts w:ascii="Arial" w:eastAsiaTheme="minorEastAsia" w:hAnsi="Arial" w:cs="Arial"/>
          <w:sz w:val="24"/>
          <w:szCs w:val="24"/>
          <w:lang w:eastAsia="en-ZA"/>
        </w:rPr>
        <w:t xml:space="preserve">’s head, exhibit </w:t>
      </w:r>
      <w:r w:rsidRPr="00353D84">
        <w:rPr>
          <w:rFonts w:ascii="Arial" w:eastAsiaTheme="minorEastAsia" w:hAnsi="Arial" w:cs="Arial"/>
          <w:sz w:val="24"/>
          <w:szCs w:val="24"/>
          <w:lang w:eastAsia="en-ZA"/>
        </w:rPr>
        <w:t>‘C1’</w:t>
      </w:r>
      <w:r w:rsidR="00116149" w:rsidRPr="00353D84">
        <w:rPr>
          <w:rFonts w:ascii="Arial" w:eastAsiaTheme="minorEastAsia" w:hAnsi="Arial" w:cs="Arial"/>
          <w:sz w:val="24"/>
          <w:szCs w:val="24"/>
          <w:lang w:eastAsia="en-ZA"/>
        </w:rPr>
        <w:t xml:space="preserve"> weighed </w:t>
      </w:r>
      <w:r w:rsidRPr="00353D84">
        <w:rPr>
          <w:rFonts w:ascii="Arial" w:eastAsiaTheme="minorEastAsia" w:hAnsi="Arial" w:cs="Arial"/>
          <w:sz w:val="24"/>
          <w:szCs w:val="24"/>
          <w:lang w:eastAsia="en-ZA"/>
        </w:rPr>
        <w:lastRenderedPageBreak/>
        <w:t xml:space="preserve">0.121 grams, </w:t>
      </w:r>
      <w:r w:rsidR="00116149" w:rsidRPr="00353D84">
        <w:rPr>
          <w:rFonts w:ascii="Arial" w:eastAsiaTheme="minorEastAsia" w:hAnsi="Arial" w:cs="Arial"/>
          <w:sz w:val="24"/>
          <w:szCs w:val="24"/>
          <w:lang w:eastAsia="en-ZA"/>
        </w:rPr>
        <w:t xml:space="preserve">whilst </w:t>
      </w:r>
      <w:r w:rsidRPr="00353D84">
        <w:rPr>
          <w:rFonts w:ascii="Arial" w:eastAsiaTheme="minorEastAsia" w:hAnsi="Arial" w:cs="Arial"/>
          <w:sz w:val="24"/>
          <w:szCs w:val="24"/>
          <w:lang w:eastAsia="en-ZA"/>
        </w:rPr>
        <w:t>the fragment, exhibit ‘C2’ weighed 1.53 grams. However</w:t>
      </w:r>
      <w:r w:rsidR="00F960D8"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 xml:space="preserve"> the factory specifications </w:t>
      </w:r>
      <w:r w:rsidR="00D8492F" w:rsidRPr="00353D84">
        <w:rPr>
          <w:rFonts w:ascii="Arial" w:eastAsiaTheme="minorEastAsia" w:hAnsi="Arial" w:cs="Arial"/>
          <w:sz w:val="24"/>
          <w:szCs w:val="24"/>
          <w:lang w:eastAsia="en-ZA"/>
        </w:rPr>
        <w:t>on the ammunition</w:t>
      </w:r>
      <w:r w:rsidR="00116149" w:rsidRPr="00353D84">
        <w:rPr>
          <w:rFonts w:ascii="Arial" w:eastAsiaTheme="minorEastAsia" w:hAnsi="Arial" w:cs="Arial"/>
          <w:sz w:val="24"/>
          <w:szCs w:val="24"/>
          <w:lang w:eastAsia="en-ZA"/>
        </w:rPr>
        <w:t xml:space="preserve"> box submitted the </w:t>
      </w:r>
      <w:r w:rsidR="00F960D8" w:rsidRPr="00353D84">
        <w:rPr>
          <w:rFonts w:ascii="Arial" w:eastAsiaTheme="minorEastAsia" w:hAnsi="Arial" w:cs="Arial"/>
          <w:sz w:val="24"/>
          <w:szCs w:val="24"/>
          <w:lang w:eastAsia="en-ZA"/>
        </w:rPr>
        <w:t>laboratory</w:t>
      </w:r>
      <w:r w:rsidR="00D8492F" w:rsidRPr="00353D84">
        <w:rPr>
          <w:rFonts w:ascii="Arial" w:eastAsiaTheme="minorEastAsia" w:hAnsi="Arial" w:cs="Arial"/>
          <w:sz w:val="24"/>
          <w:szCs w:val="24"/>
          <w:lang w:eastAsia="en-ZA"/>
        </w:rPr>
        <w:t>, gives the mass of a projectile as</w:t>
      </w:r>
      <w:r w:rsidRPr="00353D84">
        <w:rPr>
          <w:rFonts w:ascii="Arial" w:eastAsiaTheme="minorEastAsia" w:hAnsi="Arial" w:cs="Arial"/>
          <w:sz w:val="24"/>
          <w:szCs w:val="24"/>
          <w:lang w:eastAsia="en-ZA"/>
        </w:rPr>
        <w:t xml:space="preserve"> 2.59 grams. Furthermore, it was negligent of </w:t>
      </w:r>
      <w:r w:rsidR="00F960D8" w:rsidRPr="00353D84">
        <w:rPr>
          <w:rFonts w:ascii="Arial" w:eastAsiaTheme="minorEastAsia" w:hAnsi="Arial" w:cs="Arial"/>
          <w:sz w:val="24"/>
          <w:szCs w:val="24"/>
          <w:lang w:eastAsia="en-ZA"/>
        </w:rPr>
        <w:t xml:space="preserve">Mr Sem, </w:t>
      </w:r>
      <w:r w:rsidRPr="00353D84">
        <w:rPr>
          <w:rFonts w:ascii="Arial" w:eastAsiaTheme="minorEastAsia" w:hAnsi="Arial" w:cs="Arial"/>
          <w:sz w:val="24"/>
          <w:szCs w:val="24"/>
          <w:lang w:eastAsia="en-ZA"/>
        </w:rPr>
        <w:t xml:space="preserve">not to have noted down observations during the post mortem examination and </w:t>
      </w:r>
      <w:r w:rsidR="00F960D8" w:rsidRPr="00353D84">
        <w:rPr>
          <w:rFonts w:ascii="Arial" w:eastAsiaTheme="minorEastAsia" w:hAnsi="Arial" w:cs="Arial"/>
          <w:sz w:val="24"/>
          <w:szCs w:val="24"/>
          <w:lang w:eastAsia="en-ZA"/>
        </w:rPr>
        <w:t xml:space="preserve">so was his </w:t>
      </w:r>
      <w:r w:rsidRPr="00353D84">
        <w:rPr>
          <w:rFonts w:ascii="Arial" w:eastAsiaTheme="minorEastAsia" w:hAnsi="Arial" w:cs="Arial"/>
          <w:sz w:val="24"/>
          <w:szCs w:val="24"/>
          <w:lang w:eastAsia="en-ZA"/>
        </w:rPr>
        <w:t>failure to measur</w:t>
      </w:r>
      <w:r w:rsidR="00F960D8" w:rsidRPr="00353D84">
        <w:rPr>
          <w:rFonts w:ascii="Arial" w:eastAsiaTheme="minorEastAsia" w:hAnsi="Arial" w:cs="Arial"/>
          <w:sz w:val="24"/>
          <w:szCs w:val="24"/>
          <w:lang w:eastAsia="en-ZA"/>
        </w:rPr>
        <w:t>e</w:t>
      </w:r>
      <w:r w:rsidRPr="00353D84">
        <w:rPr>
          <w:rFonts w:ascii="Arial" w:eastAsiaTheme="minorEastAsia" w:hAnsi="Arial" w:cs="Arial"/>
          <w:sz w:val="24"/>
          <w:szCs w:val="24"/>
          <w:lang w:eastAsia="en-ZA"/>
        </w:rPr>
        <w:t xml:space="preserve"> the perceived exit wound</w:t>
      </w:r>
      <w:r w:rsidR="00DB26B2" w:rsidRPr="00353D84">
        <w:rPr>
          <w:rFonts w:ascii="Arial" w:eastAsiaTheme="minorEastAsia" w:hAnsi="Arial" w:cs="Arial"/>
          <w:sz w:val="24"/>
          <w:szCs w:val="24"/>
          <w:lang w:eastAsia="en-ZA"/>
        </w:rPr>
        <w:t>. In addition</w:t>
      </w:r>
      <w:r w:rsidR="00F960D8" w:rsidRPr="00353D84">
        <w:rPr>
          <w:rFonts w:ascii="Arial" w:eastAsiaTheme="minorEastAsia" w:hAnsi="Arial" w:cs="Arial"/>
          <w:sz w:val="24"/>
          <w:szCs w:val="24"/>
          <w:lang w:eastAsia="en-ZA"/>
        </w:rPr>
        <w:t>,</w:t>
      </w:r>
      <w:r w:rsidR="00DB26B2" w:rsidRPr="00353D84">
        <w:rPr>
          <w:rFonts w:ascii="Arial" w:eastAsiaTheme="minorEastAsia" w:hAnsi="Arial" w:cs="Arial"/>
          <w:sz w:val="24"/>
          <w:szCs w:val="24"/>
          <w:lang w:eastAsia="en-ZA"/>
        </w:rPr>
        <w:t xml:space="preserve"> there was no documented chain of custody upon handover of the exhibit bag from Mr Nyambe, who received the exhibit bag from the reception at the National Forensic Science Institute. </w:t>
      </w:r>
    </w:p>
    <w:p w14:paraId="01018C6D" w14:textId="51F1BD50" w:rsidR="00701B90" w:rsidRPr="00353D84" w:rsidRDefault="00701B90"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w:t>
      </w:r>
      <w:r w:rsidR="006907BB" w:rsidRPr="00353D84">
        <w:rPr>
          <w:rFonts w:ascii="Arial" w:eastAsiaTheme="minorEastAsia" w:hAnsi="Arial" w:cs="Arial"/>
          <w:sz w:val="24"/>
          <w:szCs w:val="24"/>
          <w:lang w:eastAsia="en-ZA"/>
        </w:rPr>
        <w:t>3</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t xml:space="preserve">The crux of the submissions by counsel is that on account of these serious shortcomings </w:t>
      </w:r>
      <w:r w:rsidR="00F805C3" w:rsidRPr="00353D84">
        <w:rPr>
          <w:rFonts w:ascii="Arial" w:eastAsiaTheme="minorEastAsia" w:hAnsi="Arial" w:cs="Arial"/>
          <w:sz w:val="24"/>
          <w:szCs w:val="24"/>
          <w:lang w:eastAsia="en-ZA"/>
        </w:rPr>
        <w:t>the S</w:t>
      </w:r>
      <w:r w:rsidRPr="00353D84">
        <w:rPr>
          <w:rFonts w:ascii="Arial" w:eastAsiaTheme="minorEastAsia" w:hAnsi="Arial" w:cs="Arial"/>
          <w:sz w:val="24"/>
          <w:szCs w:val="24"/>
          <w:lang w:eastAsia="en-ZA"/>
        </w:rPr>
        <w:t>tate did not prove beyond reasonable doubt that the projectile which was compared to the live ammunition from the accused’s fire-arm was the object found in the skull of the deceased and that eye witnesses’ testimony cannot be relied upon because of the magnitude of the discrepancies therein. During oral arguments, counsel raised a hypothetical question of what if there was a second shooter on th</w:t>
      </w:r>
      <w:r w:rsidR="00F805C3" w:rsidRPr="00353D84">
        <w:rPr>
          <w:rFonts w:ascii="Arial" w:eastAsiaTheme="minorEastAsia" w:hAnsi="Arial" w:cs="Arial"/>
          <w:sz w:val="24"/>
          <w:szCs w:val="24"/>
          <w:lang w:eastAsia="en-ZA"/>
        </w:rPr>
        <w:t xml:space="preserve">e scene that fired </w:t>
      </w:r>
      <w:r w:rsidR="00F960D8" w:rsidRPr="00353D84">
        <w:rPr>
          <w:rFonts w:ascii="Arial" w:eastAsiaTheme="minorEastAsia" w:hAnsi="Arial" w:cs="Arial"/>
          <w:sz w:val="24"/>
          <w:szCs w:val="24"/>
          <w:lang w:eastAsia="en-ZA"/>
        </w:rPr>
        <w:t xml:space="preserve"> shots by using a gun with </w:t>
      </w:r>
      <w:r w:rsidRPr="00353D84">
        <w:rPr>
          <w:rFonts w:ascii="Arial" w:eastAsiaTheme="minorEastAsia" w:hAnsi="Arial" w:cs="Arial"/>
          <w:sz w:val="24"/>
          <w:szCs w:val="24"/>
          <w:lang w:eastAsia="en-ZA"/>
        </w:rPr>
        <w:t>a silencer. The</w:t>
      </w:r>
      <w:r w:rsidR="00451400" w:rsidRPr="00353D84">
        <w:rPr>
          <w:rFonts w:ascii="Arial" w:eastAsiaTheme="minorEastAsia" w:hAnsi="Arial" w:cs="Arial"/>
          <w:sz w:val="24"/>
          <w:szCs w:val="24"/>
          <w:lang w:eastAsia="en-ZA"/>
        </w:rPr>
        <w:t>ir</w:t>
      </w:r>
      <w:r w:rsidRPr="00353D84">
        <w:rPr>
          <w:rFonts w:ascii="Arial" w:eastAsiaTheme="minorEastAsia" w:hAnsi="Arial" w:cs="Arial"/>
          <w:sz w:val="24"/>
          <w:szCs w:val="24"/>
          <w:lang w:eastAsia="en-ZA"/>
        </w:rPr>
        <w:t xml:space="preserve"> argument is that it is futile to put the accused on his defence in an attempt to resuscitate the State’s bleeding case. He cited </w:t>
      </w:r>
      <w:r w:rsidRPr="00353D84">
        <w:rPr>
          <w:rFonts w:ascii="Arial" w:eastAsiaTheme="minorEastAsia" w:hAnsi="Arial" w:cs="Arial"/>
          <w:i/>
          <w:sz w:val="24"/>
          <w:szCs w:val="24"/>
          <w:lang w:eastAsia="en-ZA"/>
        </w:rPr>
        <w:t>S v Lubaxa</w:t>
      </w:r>
      <w:r w:rsidRPr="00353D84">
        <w:rPr>
          <w:rFonts w:ascii="Arial" w:eastAsiaTheme="minorEastAsia" w:hAnsi="Arial" w:cs="Arial"/>
          <w:sz w:val="24"/>
          <w:szCs w:val="24"/>
          <w:lang w:eastAsia="en-ZA"/>
        </w:rPr>
        <w:t>:</w:t>
      </w:r>
      <w:r w:rsidRPr="00353D84">
        <w:rPr>
          <w:rStyle w:val="FootnoteReference"/>
          <w:rFonts w:ascii="Arial" w:eastAsiaTheme="minorEastAsia" w:hAnsi="Arial"/>
          <w:sz w:val="24"/>
          <w:szCs w:val="24"/>
          <w:lang w:eastAsia="en-ZA"/>
        </w:rPr>
        <w:footnoteReference w:id="1"/>
      </w:r>
      <w:r w:rsidRPr="00353D84">
        <w:rPr>
          <w:rFonts w:ascii="Arial" w:eastAsiaTheme="minorEastAsia" w:hAnsi="Arial" w:cs="Arial"/>
          <w:sz w:val="24"/>
          <w:szCs w:val="24"/>
          <w:lang w:eastAsia="en-ZA"/>
        </w:rPr>
        <w:t xml:space="preserve">  </w:t>
      </w:r>
    </w:p>
    <w:p w14:paraId="3374D63D" w14:textId="21A6CB7D" w:rsidR="00701B90" w:rsidRPr="00353D84" w:rsidRDefault="00701B90" w:rsidP="00701B90">
      <w:pPr>
        <w:spacing w:before="240" w:after="0" w:line="360" w:lineRule="auto"/>
        <w:jc w:val="both"/>
        <w:rPr>
          <w:rFonts w:ascii="Arial" w:eastAsiaTheme="minorEastAsia" w:hAnsi="Arial" w:cs="Arial"/>
          <w:lang w:val="en-GB" w:eastAsia="en-ZA"/>
        </w:rPr>
      </w:pPr>
      <w:r w:rsidRPr="00353D84">
        <w:rPr>
          <w:rFonts w:ascii="Arial" w:eastAsiaTheme="minorEastAsia" w:hAnsi="Arial" w:cs="Arial"/>
          <w:sz w:val="24"/>
          <w:szCs w:val="24"/>
          <w:lang w:eastAsia="en-ZA"/>
        </w:rPr>
        <w:tab/>
      </w:r>
      <w:r w:rsidRPr="00353D84">
        <w:rPr>
          <w:rFonts w:ascii="Arial" w:eastAsiaTheme="minorEastAsia" w:hAnsi="Arial" w:cs="Arial"/>
          <w:lang w:eastAsia="en-ZA"/>
        </w:rPr>
        <w:t xml:space="preserve">‘[18] </w:t>
      </w:r>
      <w:r w:rsidRPr="00353D84">
        <w:rPr>
          <w:rFonts w:ascii="Arial" w:eastAsiaTheme="minorEastAsia" w:hAnsi="Arial" w:cs="Arial"/>
          <w:lang w:val="en-GB" w:eastAsia="en-ZA"/>
        </w:rPr>
        <w:t xml:space="preserve">I have no doubt that an accused person (whether or not he is represented) is entitled to be discharged at the close of the case for the prosecution if there is no possibility of a conviction other than if he enters the witness box and incriminates himself. The failure to discharge an accused in those circumstances, if necessary </w:t>
      </w:r>
      <w:r w:rsidRPr="00353D84">
        <w:rPr>
          <w:rFonts w:ascii="Arial" w:eastAsiaTheme="minorEastAsia" w:hAnsi="Arial" w:cs="Arial"/>
          <w:i/>
          <w:lang w:val="en-GB" w:eastAsia="en-ZA"/>
        </w:rPr>
        <w:t>mero motu,</w:t>
      </w:r>
      <w:r w:rsidRPr="00353D84">
        <w:rPr>
          <w:rFonts w:ascii="Arial" w:eastAsiaTheme="minorEastAsia" w:hAnsi="Arial" w:cs="Arial"/>
          <w:lang w:val="en-GB" w:eastAsia="en-ZA"/>
        </w:rPr>
        <w:t xml:space="preserve"> is in my view a breach of the rights that are guaranteed by the Constitution and will ordinarily vitiate a conviction based exclusively upon his self-incriminatory evidence.</w:t>
      </w:r>
      <w:r w:rsidR="00232716" w:rsidRPr="00353D84">
        <w:rPr>
          <w:rFonts w:ascii="Arial" w:eastAsiaTheme="minorEastAsia" w:hAnsi="Arial" w:cs="Arial"/>
          <w:lang w:val="en-GB" w:eastAsia="en-ZA"/>
        </w:rPr>
        <w:t>’</w:t>
      </w:r>
      <w:r w:rsidRPr="00353D84">
        <w:rPr>
          <w:rFonts w:ascii="Arial" w:eastAsiaTheme="minorEastAsia" w:hAnsi="Arial" w:cs="Arial"/>
          <w:lang w:val="en-GB" w:eastAsia="en-ZA"/>
        </w:rPr>
        <w:t xml:space="preserve">  </w:t>
      </w:r>
    </w:p>
    <w:p w14:paraId="244BB52F" w14:textId="1AC33E2A" w:rsidR="00701B90" w:rsidRPr="00353D84" w:rsidRDefault="006907BB" w:rsidP="00701B90">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[14</w:t>
      </w:r>
      <w:r w:rsidR="00701B90" w:rsidRPr="00353D84">
        <w:rPr>
          <w:rFonts w:ascii="Arial" w:eastAsiaTheme="minorEastAsia" w:hAnsi="Arial" w:cs="Arial"/>
          <w:sz w:val="24"/>
          <w:szCs w:val="24"/>
          <w:lang w:eastAsia="en-ZA"/>
        </w:rPr>
        <w:t>]</w:t>
      </w:r>
      <w:r w:rsidR="00701B90" w:rsidRPr="00353D84">
        <w:rPr>
          <w:rFonts w:ascii="Arial" w:eastAsiaTheme="minorEastAsia" w:hAnsi="Arial" w:cs="Arial"/>
          <w:sz w:val="24"/>
          <w:szCs w:val="24"/>
          <w:lang w:eastAsia="en-ZA"/>
        </w:rPr>
        <w:tab/>
        <w:t xml:space="preserve">The second basis was that if it is found that the shots fired by the accused caused the death of the deceased, then it was an accident because the accused had no intention to shoot and kill a person.  </w:t>
      </w:r>
    </w:p>
    <w:p w14:paraId="51C8C0F9" w14:textId="2F811331" w:rsidR="00701B90" w:rsidRPr="00353D84" w:rsidRDefault="00701B90" w:rsidP="00451400">
      <w:pPr>
        <w:spacing w:before="240" w:after="0" w:line="360" w:lineRule="auto"/>
        <w:jc w:val="both"/>
        <w:rPr>
          <w:rFonts w:ascii="Arial" w:eastAsiaTheme="minorEastAsia" w:hAnsi="Arial" w:cs="Arial"/>
          <w:strike/>
          <w:lang w:eastAsia="en-ZA"/>
        </w:rPr>
      </w:pPr>
      <w:r w:rsidRPr="00353D84">
        <w:rPr>
          <w:rFonts w:ascii="Arial" w:eastAsiaTheme="minorEastAsia" w:hAnsi="Arial" w:cs="Arial"/>
          <w:sz w:val="24"/>
          <w:szCs w:val="24"/>
          <w:lang w:eastAsia="en-ZA"/>
        </w:rPr>
        <w:t>[1</w:t>
      </w:r>
      <w:r w:rsidR="006907BB" w:rsidRPr="00353D84">
        <w:rPr>
          <w:rFonts w:ascii="Arial" w:eastAsiaTheme="minorEastAsia" w:hAnsi="Arial" w:cs="Arial"/>
          <w:sz w:val="24"/>
          <w:szCs w:val="24"/>
          <w:lang w:eastAsia="en-ZA"/>
        </w:rPr>
        <w:t>5</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t xml:space="preserve">In respect of the second charge, the argument was that the state failed to prove that there was no justification for a discharge of the fire-arm under the prevailing circumstances. </w:t>
      </w:r>
    </w:p>
    <w:p w14:paraId="1D9FE35E" w14:textId="77777777" w:rsidR="00701B90" w:rsidRPr="00353D84" w:rsidRDefault="00701B90" w:rsidP="00701B90">
      <w:pPr>
        <w:spacing w:line="360" w:lineRule="auto"/>
        <w:jc w:val="both"/>
        <w:rPr>
          <w:rFonts w:ascii="Arial" w:eastAsia="Arial" w:hAnsi="Arial" w:cs="Arial"/>
          <w:i/>
          <w:sz w:val="24"/>
          <w:szCs w:val="24"/>
          <w:lang w:eastAsia="en-ZA"/>
        </w:rPr>
      </w:pPr>
      <w:r w:rsidRPr="00353D84">
        <w:rPr>
          <w:rFonts w:ascii="Arial" w:eastAsia="Arial" w:hAnsi="Arial" w:cs="Arial"/>
          <w:i/>
          <w:sz w:val="24"/>
          <w:szCs w:val="24"/>
          <w:lang w:eastAsia="en-ZA"/>
        </w:rPr>
        <w:lastRenderedPageBreak/>
        <w:t>Arguments by State</w:t>
      </w:r>
    </w:p>
    <w:p w14:paraId="19E25349" w14:textId="29B5D61B" w:rsidR="00701B90" w:rsidRPr="00353D84" w:rsidRDefault="006907BB" w:rsidP="00701B90">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[16</w:t>
      </w:r>
      <w:r w:rsidR="00701B90" w:rsidRPr="00353D84">
        <w:rPr>
          <w:rFonts w:ascii="Arial" w:eastAsiaTheme="minorEastAsia" w:hAnsi="Arial" w:cs="Arial"/>
          <w:sz w:val="24"/>
          <w:szCs w:val="24"/>
          <w:lang w:eastAsia="en-ZA"/>
        </w:rPr>
        <w:t>]</w:t>
      </w:r>
      <w:r w:rsidR="00701B90" w:rsidRPr="00353D84">
        <w:rPr>
          <w:rFonts w:ascii="Arial" w:eastAsiaTheme="minorEastAsia" w:hAnsi="Arial" w:cs="Arial"/>
          <w:sz w:val="24"/>
          <w:szCs w:val="24"/>
          <w:lang w:eastAsia="en-ZA"/>
        </w:rPr>
        <w:tab/>
        <w:t xml:space="preserve">Council for the State, countered these arguments and advanced that from </w:t>
      </w:r>
      <w:r w:rsidR="00224A08" w:rsidRPr="00353D84">
        <w:rPr>
          <w:rFonts w:ascii="Arial" w:eastAsiaTheme="minorEastAsia" w:hAnsi="Arial" w:cs="Arial"/>
          <w:sz w:val="24"/>
          <w:szCs w:val="24"/>
          <w:lang w:eastAsia="en-ZA"/>
        </w:rPr>
        <w:t xml:space="preserve">an </w:t>
      </w:r>
      <w:r w:rsidR="00701B90" w:rsidRPr="00353D84">
        <w:rPr>
          <w:rFonts w:ascii="Arial" w:eastAsiaTheme="minorEastAsia" w:hAnsi="Arial" w:cs="Arial"/>
          <w:sz w:val="24"/>
          <w:szCs w:val="24"/>
          <w:lang w:eastAsia="en-ZA"/>
        </w:rPr>
        <w:t>analysi</w:t>
      </w:r>
      <w:r w:rsidR="00224A08" w:rsidRPr="00353D84">
        <w:rPr>
          <w:rFonts w:ascii="Arial" w:eastAsiaTheme="minorEastAsia" w:hAnsi="Arial" w:cs="Arial"/>
          <w:sz w:val="24"/>
          <w:szCs w:val="24"/>
          <w:lang w:eastAsia="en-ZA"/>
        </w:rPr>
        <w:t>s of</w:t>
      </w:r>
      <w:r w:rsidR="00701B90" w:rsidRPr="00353D84">
        <w:rPr>
          <w:rFonts w:ascii="Arial" w:eastAsiaTheme="minorEastAsia" w:hAnsi="Arial" w:cs="Arial"/>
          <w:sz w:val="24"/>
          <w:szCs w:val="24"/>
          <w:lang w:eastAsia="en-ZA"/>
        </w:rPr>
        <w:t xml:space="preserve"> the evidence presented by the state witnesses, the conclusion is that it cannot be said that there is no evidence on which a reasonable </w:t>
      </w:r>
      <w:r w:rsidR="00232716" w:rsidRPr="00353D84">
        <w:rPr>
          <w:rFonts w:ascii="Arial" w:eastAsiaTheme="minorEastAsia" w:hAnsi="Arial" w:cs="Arial"/>
          <w:sz w:val="24"/>
          <w:szCs w:val="24"/>
          <w:lang w:eastAsia="en-ZA"/>
        </w:rPr>
        <w:t>court, acting carefully may,</w:t>
      </w:r>
      <w:r w:rsidR="00701B90" w:rsidRPr="00353D84">
        <w:rPr>
          <w:rFonts w:ascii="Arial" w:eastAsiaTheme="minorEastAsia" w:hAnsi="Arial" w:cs="Arial"/>
          <w:sz w:val="24"/>
          <w:szCs w:val="24"/>
          <w:lang w:eastAsia="en-ZA"/>
        </w:rPr>
        <w:t xml:space="preserve"> convict.</w:t>
      </w:r>
    </w:p>
    <w:p w14:paraId="1AA1CB99" w14:textId="6EBA6CDA" w:rsidR="00701B90" w:rsidRPr="00353D84" w:rsidRDefault="006907BB" w:rsidP="00701B90">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[17</w:t>
      </w:r>
      <w:r w:rsidR="00F805C3" w:rsidRPr="00353D84">
        <w:rPr>
          <w:rFonts w:ascii="Arial" w:eastAsiaTheme="minorEastAsia" w:hAnsi="Arial" w:cs="Arial"/>
          <w:sz w:val="24"/>
          <w:szCs w:val="24"/>
          <w:lang w:eastAsia="en-ZA"/>
        </w:rPr>
        <w:t>]</w:t>
      </w:r>
      <w:r w:rsidR="00F805C3" w:rsidRPr="00353D84">
        <w:rPr>
          <w:rFonts w:ascii="Arial" w:eastAsiaTheme="minorEastAsia" w:hAnsi="Arial" w:cs="Arial"/>
          <w:sz w:val="24"/>
          <w:szCs w:val="24"/>
          <w:lang w:eastAsia="en-ZA"/>
        </w:rPr>
        <w:tab/>
        <w:t>In particular, counsel</w:t>
      </w:r>
      <w:r w:rsidR="00701B90" w:rsidRPr="00353D84">
        <w:rPr>
          <w:rFonts w:ascii="Arial" w:eastAsiaTheme="minorEastAsia" w:hAnsi="Arial" w:cs="Arial"/>
          <w:sz w:val="24"/>
          <w:szCs w:val="24"/>
          <w:lang w:eastAsia="en-ZA"/>
        </w:rPr>
        <w:t xml:space="preserve"> stated that there is evidence that the deceased was at the scene where the accused fired two shots. That is evident from several sources. </w:t>
      </w:r>
      <w:r w:rsidR="00224A08" w:rsidRPr="00353D84">
        <w:rPr>
          <w:rFonts w:ascii="Arial" w:eastAsiaTheme="minorEastAsia" w:hAnsi="Arial" w:cs="Arial"/>
          <w:sz w:val="24"/>
          <w:szCs w:val="24"/>
          <w:lang w:eastAsia="en-ZA"/>
        </w:rPr>
        <w:t xml:space="preserve">For starters, that is </w:t>
      </w:r>
      <w:r w:rsidR="00F805C3" w:rsidRPr="00353D84">
        <w:rPr>
          <w:rFonts w:ascii="Arial" w:eastAsiaTheme="minorEastAsia" w:hAnsi="Arial" w:cs="Arial"/>
          <w:sz w:val="24"/>
          <w:szCs w:val="24"/>
          <w:lang w:eastAsia="en-ZA"/>
        </w:rPr>
        <w:t>evident in his plea explanation and s 220 admission.</w:t>
      </w:r>
      <w:r w:rsidR="00701B90" w:rsidRPr="00353D84">
        <w:rPr>
          <w:rFonts w:ascii="Arial" w:eastAsiaTheme="minorEastAsia" w:hAnsi="Arial" w:cs="Arial"/>
          <w:sz w:val="24"/>
          <w:szCs w:val="24"/>
          <w:lang w:eastAsia="en-ZA"/>
        </w:rPr>
        <w:t xml:space="preserve"> Apart from that, there is the testimony of the eye witnesses who observed that the accused fired shots in the direction where people</w:t>
      </w:r>
      <w:r w:rsidR="00224A08" w:rsidRPr="00353D84">
        <w:rPr>
          <w:rFonts w:ascii="Arial" w:eastAsiaTheme="minorEastAsia" w:hAnsi="Arial" w:cs="Arial"/>
          <w:sz w:val="24"/>
          <w:szCs w:val="24"/>
          <w:lang w:eastAsia="en-ZA"/>
        </w:rPr>
        <w:t xml:space="preserve">, including the deceased, </w:t>
      </w:r>
      <w:r w:rsidR="00701B90" w:rsidRPr="00353D84">
        <w:rPr>
          <w:rFonts w:ascii="Arial" w:eastAsiaTheme="minorEastAsia" w:hAnsi="Arial" w:cs="Arial"/>
          <w:sz w:val="24"/>
          <w:szCs w:val="24"/>
          <w:lang w:eastAsia="en-ZA"/>
        </w:rPr>
        <w:t xml:space="preserve">were standing. She reminded the court that </w:t>
      </w:r>
      <w:r w:rsidR="00224A08" w:rsidRPr="00353D84">
        <w:rPr>
          <w:rFonts w:ascii="Arial" w:eastAsiaTheme="minorEastAsia" w:hAnsi="Arial" w:cs="Arial"/>
          <w:sz w:val="24"/>
          <w:szCs w:val="24"/>
          <w:lang w:eastAsia="en-ZA"/>
        </w:rPr>
        <w:t xml:space="preserve">that there is no evidence about </w:t>
      </w:r>
      <w:r w:rsidR="00701B90" w:rsidRPr="00353D84">
        <w:rPr>
          <w:rFonts w:ascii="Arial" w:eastAsiaTheme="minorEastAsia" w:hAnsi="Arial" w:cs="Arial"/>
          <w:sz w:val="24"/>
          <w:szCs w:val="24"/>
          <w:lang w:eastAsia="en-ZA"/>
        </w:rPr>
        <w:t>anyone else who discharged a firearm at the scene,</w:t>
      </w:r>
      <w:r w:rsidR="00224A08" w:rsidRPr="00353D84">
        <w:rPr>
          <w:rFonts w:ascii="Arial" w:eastAsiaTheme="minorEastAsia" w:hAnsi="Arial" w:cs="Arial"/>
          <w:sz w:val="24"/>
          <w:szCs w:val="24"/>
          <w:lang w:eastAsia="en-ZA"/>
        </w:rPr>
        <w:t xml:space="preserve"> at the time, </w:t>
      </w:r>
      <w:r w:rsidR="00353D84">
        <w:rPr>
          <w:rFonts w:ascii="Arial" w:eastAsiaTheme="minorEastAsia" w:hAnsi="Arial" w:cs="Arial"/>
          <w:sz w:val="24"/>
          <w:szCs w:val="24"/>
          <w:lang w:eastAsia="en-ZA"/>
        </w:rPr>
        <w:t xml:space="preserve"> thus Mr</w:t>
      </w:r>
      <w:r w:rsidR="00701B90" w:rsidRPr="00353D84">
        <w:rPr>
          <w:rFonts w:ascii="Arial" w:eastAsiaTheme="minorEastAsia" w:hAnsi="Arial" w:cs="Arial"/>
          <w:sz w:val="24"/>
          <w:szCs w:val="24"/>
          <w:lang w:eastAsia="en-ZA"/>
        </w:rPr>
        <w:t xml:space="preserve"> Namandje’s hypo</w:t>
      </w:r>
      <w:r w:rsidR="00224A08" w:rsidRPr="00353D84">
        <w:rPr>
          <w:rFonts w:ascii="Arial" w:eastAsiaTheme="minorEastAsia" w:hAnsi="Arial" w:cs="Arial"/>
          <w:sz w:val="24"/>
          <w:szCs w:val="24"/>
          <w:lang w:eastAsia="en-ZA"/>
        </w:rPr>
        <w:t>t</w:t>
      </w:r>
      <w:r w:rsidR="00F72F9E" w:rsidRPr="00353D84">
        <w:rPr>
          <w:rFonts w:ascii="Arial" w:eastAsiaTheme="minorEastAsia" w:hAnsi="Arial" w:cs="Arial"/>
          <w:sz w:val="24"/>
          <w:szCs w:val="24"/>
          <w:lang w:eastAsia="en-ZA"/>
        </w:rPr>
        <w:t>hetical question cannot be sustained</w:t>
      </w:r>
      <w:r w:rsidR="00701B90" w:rsidRPr="00353D84">
        <w:rPr>
          <w:rFonts w:ascii="Arial" w:eastAsiaTheme="minorEastAsia" w:hAnsi="Arial" w:cs="Arial"/>
          <w:sz w:val="24"/>
          <w:szCs w:val="24"/>
          <w:lang w:eastAsia="en-ZA"/>
        </w:rPr>
        <w:t>.</w:t>
      </w:r>
    </w:p>
    <w:p w14:paraId="4C0C6946" w14:textId="17540C96" w:rsidR="00701B90" w:rsidRPr="00353D84" w:rsidRDefault="006907BB" w:rsidP="00701B90">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[18</w:t>
      </w:r>
      <w:r w:rsidR="00701B90" w:rsidRPr="00353D84">
        <w:rPr>
          <w:rFonts w:ascii="Arial" w:eastAsiaTheme="minorEastAsia" w:hAnsi="Arial" w:cs="Arial"/>
          <w:sz w:val="24"/>
          <w:szCs w:val="24"/>
          <w:lang w:eastAsia="en-ZA"/>
        </w:rPr>
        <w:t>]</w:t>
      </w:r>
      <w:r w:rsidR="00701B90" w:rsidRPr="00353D84">
        <w:rPr>
          <w:rFonts w:ascii="Arial" w:eastAsiaTheme="minorEastAsia" w:hAnsi="Arial" w:cs="Arial"/>
          <w:sz w:val="24"/>
          <w:szCs w:val="24"/>
          <w:lang w:eastAsia="en-ZA"/>
        </w:rPr>
        <w:tab/>
      </w:r>
      <w:r w:rsidR="00F805C3" w:rsidRPr="00353D84">
        <w:rPr>
          <w:rFonts w:ascii="Arial" w:eastAsiaTheme="minorEastAsia" w:hAnsi="Arial" w:cs="Arial"/>
          <w:sz w:val="24"/>
          <w:szCs w:val="24"/>
          <w:lang w:eastAsia="en-ZA"/>
        </w:rPr>
        <w:t>Counsel</w:t>
      </w:r>
      <w:r w:rsidR="00701B90" w:rsidRPr="00353D84">
        <w:rPr>
          <w:rFonts w:ascii="Arial" w:eastAsiaTheme="minorEastAsia" w:hAnsi="Arial" w:cs="Arial"/>
          <w:sz w:val="24"/>
          <w:szCs w:val="24"/>
          <w:lang w:eastAsia="en-ZA"/>
        </w:rPr>
        <w:t xml:space="preserve"> also submitted that the medical report and the evidence from the medical doctor indicated that the wounds the deceased suffered were caused by two bullets. </w:t>
      </w:r>
    </w:p>
    <w:p w14:paraId="132F8138" w14:textId="7CFEDD9E" w:rsidR="00701B90" w:rsidRPr="00353D84" w:rsidRDefault="006907BB" w:rsidP="00701B90">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[19</w:t>
      </w:r>
      <w:r w:rsidR="00701B90" w:rsidRPr="00353D84">
        <w:rPr>
          <w:rFonts w:ascii="Arial" w:eastAsiaTheme="minorEastAsia" w:hAnsi="Arial" w:cs="Arial"/>
          <w:sz w:val="24"/>
          <w:szCs w:val="24"/>
          <w:lang w:eastAsia="en-ZA"/>
        </w:rPr>
        <w:t>]</w:t>
      </w:r>
      <w:r w:rsidR="00701B90" w:rsidRPr="00353D84">
        <w:rPr>
          <w:rFonts w:ascii="Arial" w:eastAsiaTheme="minorEastAsia" w:hAnsi="Arial" w:cs="Arial"/>
          <w:sz w:val="24"/>
          <w:szCs w:val="24"/>
          <w:lang w:eastAsia="en-ZA"/>
        </w:rPr>
        <w:tab/>
        <w:t>Another point that she advanced was that all the state witnesses on the scene, were in concurrence about the fact that the vehicle of the accused was not surrounded, nor was the accused in any imminent danger before the discharge of the fire-arm.</w:t>
      </w:r>
    </w:p>
    <w:p w14:paraId="207CEC34" w14:textId="0A0C1BC1" w:rsidR="00701B90" w:rsidRPr="00353D84" w:rsidRDefault="006907BB" w:rsidP="00701B90">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[20</w:t>
      </w:r>
      <w:r w:rsidR="00701B90" w:rsidRPr="00353D84">
        <w:rPr>
          <w:rFonts w:ascii="Arial" w:eastAsiaTheme="minorEastAsia" w:hAnsi="Arial" w:cs="Arial"/>
          <w:sz w:val="24"/>
          <w:szCs w:val="24"/>
          <w:lang w:eastAsia="en-ZA"/>
        </w:rPr>
        <w:t>]</w:t>
      </w:r>
      <w:r w:rsidR="00701B90" w:rsidRPr="00353D84">
        <w:rPr>
          <w:rFonts w:ascii="Arial" w:eastAsiaTheme="minorEastAsia" w:hAnsi="Arial" w:cs="Arial"/>
          <w:sz w:val="24"/>
          <w:szCs w:val="24"/>
          <w:lang w:eastAsia="en-ZA"/>
        </w:rPr>
        <w:tab/>
        <w:t>As for the attack on</w:t>
      </w:r>
      <w:r w:rsidR="00F805C3" w:rsidRPr="00353D84">
        <w:rPr>
          <w:rFonts w:ascii="Arial" w:eastAsiaTheme="minorEastAsia" w:hAnsi="Arial" w:cs="Arial"/>
          <w:sz w:val="24"/>
          <w:szCs w:val="24"/>
          <w:lang w:eastAsia="en-ZA"/>
        </w:rPr>
        <w:t xml:space="preserve"> credibility of the witnesses, counsel</w:t>
      </w:r>
      <w:r w:rsidR="00701B90" w:rsidRPr="00353D84">
        <w:rPr>
          <w:rFonts w:ascii="Arial" w:eastAsiaTheme="minorEastAsia" w:hAnsi="Arial" w:cs="Arial"/>
          <w:sz w:val="24"/>
          <w:szCs w:val="24"/>
          <w:lang w:eastAsia="en-ZA"/>
        </w:rPr>
        <w:t xml:space="preserve"> directed the court to the authorities of </w:t>
      </w:r>
      <w:r w:rsidR="00701B90" w:rsidRPr="00353D84">
        <w:rPr>
          <w:rFonts w:ascii="Arial" w:eastAsiaTheme="minorEastAsia" w:hAnsi="Arial" w:cs="Arial"/>
          <w:i/>
          <w:sz w:val="24"/>
          <w:szCs w:val="24"/>
          <w:lang w:eastAsia="en-ZA"/>
        </w:rPr>
        <w:t>S v Nakale and Others</w:t>
      </w:r>
      <w:r w:rsidR="00701B90" w:rsidRPr="00353D84">
        <w:rPr>
          <w:rStyle w:val="FootnoteReference"/>
          <w:rFonts w:ascii="Arial" w:eastAsiaTheme="minorEastAsia" w:hAnsi="Arial"/>
          <w:i/>
          <w:sz w:val="24"/>
          <w:szCs w:val="24"/>
          <w:lang w:eastAsia="en-ZA"/>
        </w:rPr>
        <w:footnoteReference w:id="2"/>
      </w:r>
      <w:r w:rsidR="00701B90" w:rsidRPr="00353D84">
        <w:rPr>
          <w:rFonts w:ascii="Arial" w:eastAsiaTheme="minorEastAsia" w:hAnsi="Arial" w:cs="Arial"/>
          <w:sz w:val="24"/>
          <w:szCs w:val="24"/>
          <w:lang w:eastAsia="en-ZA"/>
        </w:rPr>
        <w:t xml:space="preserve"> and </w:t>
      </w:r>
      <w:r w:rsidR="00701B90" w:rsidRPr="00353D84">
        <w:rPr>
          <w:rFonts w:ascii="Arial" w:eastAsiaTheme="minorEastAsia" w:hAnsi="Arial" w:cs="Arial"/>
          <w:i/>
          <w:sz w:val="24"/>
          <w:szCs w:val="24"/>
          <w:lang w:eastAsia="en-ZA"/>
        </w:rPr>
        <w:t>S v Teek</w:t>
      </w:r>
      <w:r w:rsidR="00701B90" w:rsidRPr="00353D84">
        <w:rPr>
          <w:rStyle w:val="FootnoteReference"/>
          <w:rFonts w:ascii="Arial" w:eastAsiaTheme="minorEastAsia" w:hAnsi="Arial"/>
          <w:i/>
          <w:sz w:val="24"/>
          <w:szCs w:val="24"/>
          <w:lang w:eastAsia="en-ZA"/>
        </w:rPr>
        <w:footnoteReference w:id="3"/>
      </w:r>
      <w:r w:rsidR="00701B90" w:rsidRPr="00353D84">
        <w:rPr>
          <w:rFonts w:ascii="Arial" w:eastAsiaTheme="minorEastAsia" w:hAnsi="Arial" w:cs="Arial"/>
          <w:sz w:val="24"/>
          <w:szCs w:val="24"/>
          <w:lang w:eastAsia="en-ZA"/>
        </w:rPr>
        <w:t xml:space="preserve"> from where it emanates that credibility of the witnesses plays a very limited role at this juncture. She continues by stating that though there are some inconsistencies in the evidence of some of the eye witnesses, it was not a situation of it being of such poor quality that no</w:t>
      </w:r>
      <w:r w:rsidR="00232716" w:rsidRPr="00353D84">
        <w:rPr>
          <w:rFonts w:ascii="Arial" w:eastAsiaTheme="minorEastAsia" w:hAnsi="Arial" w:cs="Arial"/>
          <w:sz w:val="24"/>
          <w:szCs w:val="24"/>
          <w:lang w:eastAsia="en-ZA"/>
        </w:rPr>
        <w:t xml:space="preserve"> reasonable court </w:t>
      </w:r>
      <w:r w:rsidR="00701B90" w:rsidRPr="00353D84">
        <w:rPr>
          <w:rFonts w:ascii="Arial" w:eastAsiaTheme="minorEastAsia" w:hAnsi="Arial" w:cs="Arial"/>
          <w:sz w:val="24"/>
          <w:szCs w:val="24"/>
          <w:lang w:eastAsia="en-ZA"/>
        </w:rPr>
        <w:t xml:space="preserve">could accept it. These, she argues, cannot be said to show a very high degree of untrustworthiness that their credibility can be utterly destroyed and that no part of their material evidence can possibly be believed. Thus, the accused has a case to answer to. </w:t>
      </w:r>
    </w:p>
    <w:p w14:paraId="61B45F00" w14:textId="77777777" w:rsidR="00F805C3" w:rsidRPr="00353D84" w:rsidRDefault="00F805C3" w:rsidP="00984253">
      <w:pPr>
        <w:spacing w:before="240" w:after="0" w:line="360" w:lineRule="auto"/>
        <w:ind w:left="720" w:hanging="720"/>
        <w:jc w:val="both"/>
        <w:rPr>
          <w:rFonts w:ascii="Arial" w:eastAsiaTheme="minorEastAsia" w:hAnsi="Arial" w:cs="Arial"/>
          <w:i/>
          <w:sz w:val="24"/>
          <w:szCs w:val="24"/>
          <w:lang w:eastAsia="en-ZA"/>
        </w:rPr>
      </w:pPr>
    </w:p>
    <w:p w14:paraId="79FA4132" w14:textId="77777777" w:rsidR="00984253" w:rsidRPr="00353D84" w:rsidRDefault="00984253" w:rsidP="00984253">
      <w:pPr>
        <w:spacing w:before="240" w:after="0" w:line="360" w:lineRule="auto"/>
        <w:ind w:left="720" w:hanging="720"/>
        <w:jc w:val="both"/>
        <w:rPr>
          <w:rFonts w:ascii="Arial" w:eastAsiaTheme="minorEastAsia" w:hAnsi="Arial" w:cs="Arial"/>
          <w:i/>
          <w:sz w:val="24"/>
          <w:szCs w:val="24"/>
          <w:lang w:eastAsia="en-ZA"/>
        </w:rPr>
      </w:pPr>
      <w:r w:rsidRPr="00353D84">
        <w:rPr>
          <w:rFonts w:ascii="Arial" w:eastAsiaTheme="minorEastAsia" w:hAnsi="Arial" w:cs="Arial"/>
          <w:i/>
          <w:sz w:val="24"/>
          <w:szCs w:val="24"/>
          <w:lang w:eastAsia="en-ZA"/>
        </w:rPr>
        <w:lastRenderedPageBreak/>
        <w:t>The law and application thereof</w:t>
      </w:r>
    </w:p>
    <w:p w14:paraId="10A414B3" w14:textId="1A992535" w:rsidR="00984253" w:rsidRPr="00353D84" w:rsidRDefault="006907BB" w:rsidP="00984253">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[21</w:t>
      </w:r>
      <w:r w:rsidR="00984253" w:rsidRPr="00353D84">
        <w:rPr>
          <w:rFonts w:ascii="Arial" w:eastAsiaTheme="minorEastAsia" w:hAnsi="Arial" w:cs="Arial"/>
          <w:sz w:val="24"/>
          <w:szCs w:val="24"/>
          <w:lang w:eastAsia="en-ZA"/>
        </w:rPr>
        <w:t>]</w:t>
      </w:r>
      <w:r w:rsidR="00984253" w:rsidRPr="00353D84">
        <w:rPr>
          <w:rFonts w:ascii="Arial" w:eastAsiaTheme="minorEastAsia" w:hAnsi="Arial" w:cs="Arial"/>
          <w:sz w:val="24"/>
          <w:szCs w:val="24"/>
          <w:lang w:eastAsia="en-ZA"/>
        </w:rPr>
        <w:tab/>
        <w:t>Applications for discharge at the end of the State case is governed by s 174 of the Act which reads follows:</w:t>
      </w:r>
    </w:p>
    <w:p w14:paraId="01BAE27C" w14:textId="6D81E9B9" w:rsidR="00984253" w:rsidRPr="00353D84" w:rsidRDefault="00232716" w:rsidP="0006262D">
      <w:pPr>
        <w:spacing w:before="240" w:after="0" w:line="360" w:lineRule="auto"/>
        <w:ind w:firstLine="709"/>
        <w:jc w:val="both"/>
        <w:rPr>
          <w:rFonts w:ascii="Arial" w:eastAsiaTheme="minorEastAsia" w:hAnsi="Arial" w:cs="Arial"/>
          <w:lang w:eastAsia="en-ZA"/>
        </w:rPr>
      </w:pPr>
      <w:r w:rsidRPr="00353D84">
        <w:rPr>
          <w:rFonts w:ascii="Arial" w:eastAsiaTheme="minorEastAsia" w:hAnsi="Arial" w:cs="Arial"/>
          <w:lang w:eastAsia="en-ZA"/>
        </w:rPr>
        <w:t>‘</w:t>
      </w:r>
      <w:r w:rsidR="00984253" w:rsidRPr="00353D84">
        <w:rPr>
          <w:rFonts w:ascii="Arial" w:eastAsiaTheme="minorEastAsia" w:hAnsi="Arial" w:cs="Arial"/>
          <w:lang w:eastAsia="en-ZA"/>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r w:rsidRPr="00353D84">
        <w:rPr>
          <w:rFonts w:ascii="Arial" w:eastAsiaTheme="minorEastAsia" w:hAnsi="Arial" w:cs="Arial"/>
          <w:lang w:eastAsia="en-ZA"/>
        </w:rPr>
        <w:t>’</w:t>
      </w:r>
    </w:p>
    <w:p w14:paraId="798F5F26" w14:textId="3DADC78D" w:rsidR="00984253" w:rsidRPr="00353D84" w:rsidRDefault="006907BB" w:rsidP="00984253">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[22</w:t>
      </w:r>
      <w:r w:rsidR="00984253" w:rsidRPr="00353D84">
        <w:rPr>
          <w:rFonts w:ascii="Arial" w:eastAsiaTheme="minorEastAsia" w:hAnsi="Arial" w:cs="Arial"/>
          <w:sz w:val="24"/>
          <w:szCs w:val="24"/>
          <w:lang w:eastAsia="en-ZA"/>
        </w:rPr>
        <w:t>]</w:t>
      </w:r>
      <w:r w:rsidR="00984253" w:rsidRPr="00353D84">
        <w:rPr>
          <w:rFonts w:ascii="Arial" w:eastAsiaTheme="minorEastAsia" w:hAnsi="Arial" w:cs="Arial"/>
          <w:sz w:val="24"/>
          <w:szCs w:val="24"/>
          <w:lang w:eastAsia="en-ZA"/>
        </w:rPr>
        <w:tab/>
        <w:t>It is trite that the words ‘no evidence’ means no evidence upon which a reasonable court, acting carefully, may convict.</w:t>
      </w:r>
      <w:r w:rsidR="00984253" w:rsidRPr="00353D84">
        <w:rPr>
          <w:rStyle w:val="FootnoteReference"/>
          <w:rFonts w:ascii="Arial" w:eastAsiaTheme="minorEastAsia" w:hAnsi="Arial"/>
          <w:sz w:val="24"/>
          <w:szCs w:val="24"/>
          <w:lang w:eastAsia="en-ZA"/>
        </w:rPr>
        <w:footnoteReference w:id="4"/>
      </w:r>
      <w:r w:rsidR="00984253" w:rsidRPr="00353D84">
        <w:rPr>
          <w:rFonts w:ascii="Arial" w:eastAsiaTheme="minorEastAsia" w:hAnsi="Arial" w:cs="Arial"/>
          <w:sz w:val="24"/>
          <w:szCs w:val="24"/>
          <w:lang w:eastAsia="en-ZA"/>
        </w:rPr>
        <w:t xml:space="preserve">  This overarching principle has been amplified in </w:t>
      </w:r>
      <w:r w:rsidR="00984253" w:rsidRPr="00353D84">
        <w:rPr>
          <w:rFonts w:ascii="Arial" w:eastAsiaTheme="minorEastAsia" w:hAnsi="Arial" w:cs="Arial"/>
          <w:i/>
          <w:sz w:val="24"/>
          <w:szCs w:val="24"/>
          <w:lang w:eastAsia="en-ZA"/>
        </w:rPr>
        <w:t>S v Nakale</w:t>
      </w:r>
      <w:r w:rsidR="00984253" w:rsidRPr="00353D84">
        <w:rPr>
          <w:rFonts w:ascii="Arial" w:eastAsiaTheme="minorEastAsia" w:hAnsi="Arial" w:cs="Arial"/>
          <w:sz w:val="24"/>
          <w:szCs w:val="24"/>
          <w:lang w:eastAsia="en-ZA"/>
        </w:rPr>
        <w:t xml:space="preserve"> </w:t>
      </w:r>
      <w:r w:rsidR="00984253" w:rsidRPr="00353D84">
        <w:rPr>
          <w:rFonts w:ascii="Arial" w:eastAsiaTheme="minorEastAsia" w:hAnsi="Arial" w:cs="Arial"/>
          <w:i/>
          <w:sz w:val="24"/>
          <w:szCs w:val="24"/>
          <w:lang w:eastAsia="en-ZA"/>
        </w:rPr>
        <w:t>and Others</w:t>
      </w:r>
      <w:r w:rsidR="00984253" w:rsidRPr="00353D84">
        <w:rPr>
          <w:rFonts w:ascii="Arial" w:eastAsiaTheme="minorEastAsia" w:hAnsi="Arial" w:cs="Arial"/>
          <w:sz w:val="24"/>
          <w:szCs w:val="24"/>
          <w:lang w:eastAsia="en-ZA"/>
        </w:rPr>
        <w:t xml:space="preserve"> </w:t>
      </w:r>
      <w:r w:rsidR="00984253" w:rsidRPr="00353D84">
        <w:rPr>
          <w:rStyle w:val="FootnoteReference"/>
          <w:rFonts w:ascii="Arial" w:eastAsiaTheme="minorEastAsia" w:hAnsi="Arial"/>
          <w:sz w:val="24"/>
          <w:szCs w:val="24"/>
          <w:lang w:eastAsia="en-ZA"/>
        </w:rPr>
        <w:footnoteReference w:id="5"/>
      </w:r>
      <w:r w:rsidR="00984253" w:rsidRPr="00353D84">
        <w:rPr>
          <w:rFonts w:ascii="Arial" w:eastAsiaTheme="minorEastAsia" w:hAnsi="Arial" w:cs="Arial"/>
          <w:sz w:val="24"/>
          <w:szCs w:val="24"/>
          <w:lang w:eastAsia="en-ZA"/>
        </w:rPr>
        <w:t xml:space="preserve">  wherein further gu</w:t>
      </w:r>
      <w:r w:rsidR="00232716" w:rsidRPr="00353D84">
        <w:rPr>
          <w:rFonts w:ascii="Arial" w:eastAsiaTheme="minorEastAsia" w:hAnsi="Arial" w:cs="Arial"/>
          <w:sz w:val="24"/>
          <w:szCs w:val="24"/>
          <w:lang w:eastAsia="en-ZA"/>
        </w:rPr>
        <w:t>idelines were articulated. The S</w:t>
      </w:r>
      <w:r w:rsidR="00984253" w:rsidRPr="00353D84">
        <w:rPr>
          <w:rFonts w:ascii="Arial" w:eastAsiaTheme="minorEastAsia" w:hAnsi="Arial" w:cs="Arial"/>
          <w:sz w:val="24"/>
          <w:szCs w:val="24"/>
          <w:lang w:eastAsia="en-ZA"/>
        </w:rPr>
        <w:t>tate in particular relied on some of the latter considerations, such as that there is evidence on which a reasonable court may c</w:t>
      </w:r>
      <w:r w:rsidR="0006262D" w:rsidRPr="00353D84">
        <w:rPr>
          <w:rFonts w:ascii="Arial" w:eastAsiaTheme="minorEastAsia" w:hAnsi="Arial" w:cs="Arial"/>
          <w:sz w:val="24"/>
          <w:szCs w:val="24"/>
          <w:lang w:eastAsia="en-ZA"/>
        </w:rPr>
        <w:t xml:space="preserve">onvict, that credibility plays </w:t>
      </w:r>
      <w:r w:rsidR="00984253" w:rsidRPr="00353D84">
        <w:rPr>
          <w:rFonts w:ascii="Arial" w:eastAsiaTheme="minorEastAsia" w:hAnsi="Arial" w:cs="Arial"/>
          <w:sz w:val="24"/>
          <w:szCs w:val="24"/>
          <w:lang w:eastAsia="en-ZA"/>
        </w:rPr>
        <w:t xml:space="preserve">a limited role at this junction and that the accused also placed evidential material before the court, which was not under oath, and which was denied by eyewitnesses. </w:t>
      </w:r>
    </w:p>
    <w:p w14:paraId="0C42262D" w14:textId="360359FA" w:rsidR="00984253" w:rsidRPr="00353D84" w:rsidRDefault="00984253" w:rsidP="00984253">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w:t>
      </w:r>
      <w:r w:rsidR="006907BB" w:rsidRPr="00353D84">
        <w:rPr>
          <w:rFonts w:ascii="Arial" w:eastAsiaTheme="minorEastAsia" w:hAnsi="Arial" w:cs="Arial"/>
          <w:sz w:val="24"/>
          <w:szCs w:val="24"/>
          <w:lang w:eastAsia="en-ZA"/>
        </w:rPr>
        <w:t>3</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t xml:space="preserve">Before I consider the validity of the arguments, I pause at an issue that momentarily flared up between the parties, namely </w:t>
      </w:r>
      <w:r w:rsidR="0006262D" w:rsidRPr="00353D84">
        <w:rPr>
          <w:rFonts w:ascii="Arial" w:eastAsiaTheme="minorEastAsia" w:hAnsi="Arial" w:cs="Arial"/>
          <w:sz w:val="24"/>
          <w:szCs w:val="24"/>
          <w:lang w:eastAsia="en-ZA"/>
        </w:rPr>
        <w:t>the standard of proof that the S</w:t>
      </w:r>
      <w:r w:rsidRPr="00353D84">
        <w:rPr>
          <w:rFonts w:ascii="Arial" w:eastAsiaTheme="minorEastAsia" w:hAnsi="Arial" w:cs="Arial"/>
          <w:sz w:val="24"/>
          <w:szCs w:val="24"/>
          <w:lang w:eastAsia="en-ZA"/>
        </w:rPr>
        <w:t xml:space="preserve">tate needs to meet at this juncture. The oral argument of counsel for the accused </w:t>
      </w:r>
      <w:r w:rsidR="0006262D" w:rsidRPr="00353D84">
        <w:rPr>
          <w:rFonts w:ascii="Arial" w:eastAsiaTheme="minorEastAsia" w:hAnsi="Arial" w:cs="Arial"/>
          <w:sz w:val="24"/>
          <w:szCs w:val="24"/>
          <w:lang w:eastAsia="en-ZA"/>
        </w:rPr>
        <w:t>gave the</w:t>
      </w:r>
      <w:r w:rsidRPr="00353D84">
        <w:rPr>
          <w:rFonts w:ascii="Arial" w:eastAsiaTheme="minorEastAsia" w:hAnsi="Arial" w:cs="Arial"/>
          <w:sz w:val="24"/>
          <w:szCs w:val="24"/>
          <w:lang w:eastAsia="en-ZA"/>
        </w:rPr>
        <w:t xml:space="preserve"> impression </w:t>
      </w:r>
      <w:r w:rsidR="0006262D" w:rsidRPr="00353D84">
        <w:rPr>
          <w:rFonts w:ascii="Arial" w:eastAsiaTheme="minorEastAsia" w:hAnsi="Arial" w:cs="Arial"/>
          <w:sz w:val="24"/>
          <w:szCs w:val="24"/>
          <w:lang w:eastAsia="en-ZA"/>
        </w:rPr>
        <w:t>that the</w:t>
      </w:r>
      <w:r w:rsidRPr="00353D84">
        <w:rPr>
          <w:rFonts w:ascii="Arial" w:eastAsiaTheme="minorEastAsia" w:hAnsi="Arial" w:cs="Arial"/>
          <w:sz w:val="24"/>
          <w:szCs w:val="24"/>
          <w:lang w:eastAsia="en-ZA"/>
        </w:rPr>
        <w:t xml:space="preserve"> standard of proof required at the stage of discharge is the same than at the end of trial, i.e. </w:t>
      </w:r>
      <w:r w:rsidR="0006262D" w:rsidRPr="00353D84">
        <w:rPr>
          <w:rFonts w:ascii="Arial" w:eastAsiaTheme="minorEastAsia" w:hAnsi="Arial" w:cs="Arial"/>
          <w:sz w:val="24"/>
          <w:szCs w:val="24"/>
          <w:lang w:eastAsia="en-ZA"/>
        </w:rPr>
        <w:t>proof beyond</w:t>
      </w:r>
      <w:r w:rsidRPr="00353D84">
        <w:rPr>
          <w:rFonts w:ascii="Arial" w:eastAsiaTheme="minorEastAsia" w:hAnsi="Arial" w:cs="Arial"/>
          <w:sz w:val="24"/>
          <w:szCs w:val="24"/>
          <w:lang w:eastAsia="en-ZA"/>
        </w:rPr>
        <w:t xml:space="preserve"> reasonable doubt. This was also supported by the reliance in the heads of argument on </w:t>
      </w:r>
      <w:r w:rsidRPr="00353D84">
        <w:rPr>
          <w:rFonts w:ascii="Arial" w:eastAsiaTheme="minorEastAsia" w:hAnsi="Arial" w:cs="Arial"/>
          <w:i/>
          <w:sz w:val="24"/>
          <w:szCs w:val="24"/>
          <w:lang w:eastAsia="en-ZA"/>
        </w:rPr>
        <w:t>Phetoe v S</w:t>
      </w:r>
      <w:r w:rsidRPr="00353D84">
        <w:rPr>
          <w:rStyle w:val="FootnoteReference"/>
          <w:rFonts w:ascii="Arial" w:eastAsiaTheme="minorEastAsia" w:hAnsi="Arial"/>
          <w:i/>
          <w:sz w:val="24"/>
          <w:szCs w:val="24"/>
          <w:lang w:eastAsia="en-ZA"/>
        </w:rPr>
        <w:footnoteReference w:id="6"/>
      </w:r>
      <w:r w:rsidRPr="00353D84">
        <w:rPr>
          <w:rFonts w:ascii="Arial" w:eastAsiaTheme="minorEastAsia" w:hAnsi="Arial" w:cs="Arial"/>
          <w:sz w:val="24"/>
          <w:szCs w:val="24"/>
          <w:lang w:eastAsia="en-ZA"/>
        </w:rPr>
        <w:t xml:space="preserve">  that: </w:t>
      </w:r>
    </w:p>
    <w:p w14:paraId="60BF5002" w14:textId="0D02A21E" w:rsidR="00984253" w:rsidRPr="00353D84" w:rsidRDefault="002A1BC4" w:rsidP="0006262D">
      <w:pPr>
        <w:spacing w:before="240" w:after="0" w:line="360" w:lineRule="auto"/>
        <w:ind w:firstLine="720"/>
        <w:jc w:val="both"/>
        <w:rPr>
          <w:rFonts w:ascii="Arial" w:eastAsiaTheme="minorEastAsia" w:hAnsi="Arial" w:cs="Arial"/>
          <w:lang w:eastAsia="en-ZA"/>
        </w:rPr>
      </w:pPr>
      <w:r w:rsidRPr="00353D84">
        <w:rPr>
          <w:rFonts w:ascii="Arial" w:eastAsiaTheme="minorEastAsia" w:hAnsi="Arial" w:cs="Arial"/>
          <w:lang w:eastAsia="en-ZA"/>
        </w:rPr>
        <w:t>‘</w:t>
      </w:r>
      <w:r w:rsidR="00984253" w:rsidRPr="00353D84">
        <w:rPr>
          <w:rFonts w:ascii="Arial" w:eastAsiaTheme="minorEastAsia" w:hAnsi="Arial" w:cs="Arial"/>
          <w:lang w:eastAsia="en-ZA"/>
        </w:rPr>
        <w:t>The state is required, when it tries a person for allegedly committing an offence, to prove the guilt of the accused person beyond reasonable doubt. This high standard of proof – universally required in civilised systems of criminal justice - is a core component of the fundamental right that every person enjoys under the Constitution and under</w:t>
      </w:r>
      <w:r w:rsidR="0006262D" w:rsidRPr="00353D84">
        <w:rPr>
          <w:rFonts w:ascii="Arial" w:eastAsiaTheme="minorEastAsia" w:hAnsi="Arial" w:cs="Arial"/>
          <w:lang w:eastAsia="en-ZA"/>
        </w:rPr>
        <w:t xml:space="preserve"> the common law prior to 1994.</w:t>
      </w:r>
      <w:r w:rsidRPr="00353D84">
        <w:rPr>
          <w:rFonts w:ascii="Arial" w:eastAsiaTheme="minorEastAsia" w:hAnsi="Arial" w:cs="Arial"/>
          <w:lang w:eastAsia="en-ZA"/>
        </w:rPr>
        <w:t>’</w:t>
      </w:r>
    </w:p>
    <w:p w14:paraId="266D3764" w14:textId="215FC42A" w:rsidR="00984253" w:rsidRPr="00353D84" w:rsidRDefault="006907BB" w:rsidP="00984253">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lastRenderedPageBreak/>
        <w:t>[24</w:t>
      </w:r>
      <w:r w:rsidR="00701B90" w:rsidRPr="00353D84">
        <w:rPr>
          <w:rFonts w:ascii="Arial" w:eastAsiaTheme="minorEastAsia" w:hAnsi="Arial" w:cs="Arial"/>
          <w:sz w:val="24"/>
          <w:szCs w:val="24"/>
          <w:lang w:eastAsia="en-ZA"/>
        </w:rPr>
        <w:t>]</w:t>
      </w:r>
      <w:r w:rsidR="00701B90" w:rsidRPr="00353D84">
        <w:rPr>
          <w:rFonts w:ascii="Arial" w:eastAsiaTheme="minorEastAsia" w:hAnsi="Arial" w:cs="Arial"/>
          <w:sz w:val="24"/>
          <w:szCs w:val="24"/>
          <w:lang w:eastAsia="en-ZA"/>
        </w:rPr>
        <w:tab/>
      </w:r>
      <w:r w:rsidR="00984253" w:rsidRPr="00353D84">
        <w:rPr>
          <w:rFonts w:ascii="Arial" w:eastAsiaTheme="minorEastAsia" w:hAnsi="Arial" w:cs="Arial"/>
          <w:sz w:val="24"/>
          <w:szCs w:val="24"/>
          <w:lang w:eastAsia="en-ZA"/>
        </w:rPr>
        <w:t xml:space="preserve">The state </w:t>
      </w:r>
      <w:r w:rsidR="0006262D" w:rsidRPr="00353D84">
        <w:rPr>
          <w:rFonts w:ascii="Arial" w:eastAsiaTheme="minorEastAsia" w:hAnsi="Arial" w:cs="Arial"/>
          <w:sz w:val="24"/>
          <w:szCs w:val="24"/>
          <w:lang w:eastAsia="en-ZA"/>
        </w:rPr>
        <w:t>counsel had</w:t>
      </w:r>
      <w:r w:rsidR="00984253" w:rsidRPr="00353D84">
        <w:rPr>
          <w:rFonts w:ascii="Arial" w:eastAsiaTheme="minorEastAsia" w:hAnsi="Arial" w:cs="Arial"/>
          <w:sz w:val="24"/>
          <w:szCs w:val="24"/>
          <w:lang w:eastAsia="en-ZA"/>
        </w:rPr>
        <w:t xml:space="preserve"> a different stance, namely that the threshold standard at the point of an application of this nature is that of </w:t>
      </w:r>
      <w:r w:rsidR="00394729" w:rsidRPr="00353D84">
        <w:rPr>
          <w:rFonts w:ascii="Arial" w:eastAsiaTheme="minorEastAsia" w:hAnsi="Arial" w:cs="Arial"/>
          <w:sz w:val="24"/>
          <w:szCs w:val="24"/>
          <w:lang w:eastAsia="en-ZA"/>
        </w:rPr>
        <w:t>‘</w:t>
      </w:r>
      <w:r w:rsidR="00984253" w:rsidRPr="00353D84">
        <w:rPr>
          <w:rFonts w:ascii="Arial" w:eastAsiaTheme="minorEastAsia" w:hAnsi="Arial" w:cs="Arial"/>
          <w:sz w:val="24"/>
          <w:szCs w:val="24"/>
          <w:lang w:eastAsia="en-ZA"/>
        </w:rPr>
        <w:t>prima facie proof</w:t>
      </w:r>
      <w:r w:rsidR="00394729" w:rsidRPr="00353D84">
        <w:rPr>
          <w:rFonts w:ascii="Arial" w:eastAsiaTheme="minorEastAsia" w:hAnsi="Arial" w:cs="Arial"/>
          <w:sz w:val="24"/>
          <w:szCs w:val="24"/>
          <w:lang w:eastAsia="en-ZA"/>
        </w:rPr>
        <w:t>’</w:t>
      </w:r>
      <w:r w:rsidR="00984253" w:rsidRPr="00353D84">
        <w:rPr>
          <w:rFonts w:ascii="Arial" w:eastAsiaTheme="minorEastAsia" w:hAnsi="Arial" w:cs="Arial"/>
          <w:sz w:val="24"/>
          <w:szCs w:val="24"/>
          <w:lang w:eastAsia="en-ZA"/>
        </w:rPr>
        <w:t xml:space="preserve"> and not that of ‘beyond reasonable doubt’ which applies </w:t>
      </w:r>
      <w:r w:rsidR="001A78C6" w:rsidRPr="00353D84">
        <w:rPr>
          <w:rFonts w:ascii="Arial" w:eastAsiaTheme="minorEastAsia" w:hAnsi="Arial" w:cs="Arial"/>
          <w:sz w:val="24"/>
          <w:szCs w:val="24"/>
          <w:lang w:eastAsia="en-ZA"/>
        </w:rPr>
        <w:t xml:space="preserve">at the end of all the evidence presented in a trial. </w:t>
      </w:r>
      <w:r w:rsidR="00984253" w:rsidRPr="00353D84">
        <w:rPr>
          <w:rFonts w:ascii="Arial" w:eastAsiaTheme="minorEastAsia" w:hAnsi="Arial" w:cs="Arial"/>
          <w:sz w:val="24"/>
          <w:szCs w:val="24"/>
          <w:lang w:eastAsia="en-ZA"/>
        </w:rPr>
        <w:t xml:space="preserve"> </w:t>
      </w:r>
    </w:p>
    <w:p w14:paraId="46F2C8ED" w14:textId="4ECD32CE" w:rsidR="00984253" w:rsidRPr="00353D84" w:rsidRDefault="00701B90" w:rsidP="00984253">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w:t>
      </w:r>
      <w:r w:rsidR="006907BB" w:rsidRPr="00353D84">
        <w:rPr>
          <w:rFonts w:ascii="Arial" w:eastAsiaTheme="minorEastAsia" w:hAnsi="Arial" w:cs="Arial"/>
          <w:sz w:val="24"/>
          <w:szCs w:val="24"/>
          <w:lang w:eastAsia="en-ZA"/>
        </w:rPr>
        <w:t>5</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r>
      <w:r w:rsidR="00984253" w:rsidRPr="00353D84">
        <w:rPr>
          <w:rFonts w:ascii="Arial" w:eastAsiaTheme="minorEastAsia" w:hAnsi="Arial" w:cs="Arial"/>
          <w:sz w:val="24"/>
          <w:szCs w:val="24"/>
          <w:lang w:eastAsia="en-ZA"/>
        </w:rPr>
        <w:t xml:space="preserve">In contemplation of the </w:t>
      </w:r>
      <w:r w:rsidR="00F805C3" w:rsidRPr="00353D84">
        <w:rPr>
          <w:rFonts w:ascii="Arial" w:eastAsiaTheme="minorEastAsia" w:hAnsi="Arial" w:cs="Arial"/>
          <w:sz w:val="24"/>
          <w:szCs w:val="24"/>
          <w:lang w:eastAsia="en-ZA"/>
        </w:rPr>
        <w:t>proposition</w:t>
      </w:r>
      <w:r w:rsidR="00984253" w:rsidRPr="00353D84">
        <w:rPr>
          <w:rFonts w:ascii="Arial" w:eastAsiaTheme="minorEastAsia" w:hAnsi="Arial" w:cs="Arial"/>
          <w:sz w:val="24"/>
          <w:szCs w:val="24"/>
          <w:lang w:eastAsia="en-ZA"/>
        </w:rPr>
        <w:t xml:space="preserve"> that </w:t>
      </w:r>
      <w:r w:rsidR="00F805C3" w:rsidRPr="00353D84">
        <w:rPr>
          <w:rFonts w:ascii="Arial" w:eastAsiaTheme="minorEastAsia" w:hAnsi="Arial" w:cs="Arial"/>
          <w:sz w:val="24"/>
          <w:szCs w:val="24"/>
          <w:lang w:eastAsia="en-ZA"/>
        </w:rPr>
        <w:t xml:space="preserve">the same standard of proof, i.e. beyond reasonable doubt applies in both a discharge application and at the end of trial, counsel </w:t>
      </w:r>
      <w:r w:rsidR="00232716" w:rsidRPr="00353D84">
        <w:rPr>
          <w:rFonts w:ascii="Arial" w:eastAsiaTheme="minorEastAsia" w:hAnsi="Arial" w:cs="Arial"/>
          <w:sz w:val="24"/>
          <w:szCs w:val="24"/>
          <w:lang w:eastAsia="en-ZA"/>
        </w:rPr>
        <w:t xml:space="preserve">for the accused </w:t>
      </w:r>
      <w:r w:rsidR="00F805C3" w:rsidRPr="00353D84">
        <w:rPr>
          <w:rFonts w:ascii="Arial" w:eastAsiaTheme="minorEastAsia" w:hAnsi="Arial" w:cs="Arial"/>
          <w:sz w:val="24"/>
          <w:szCs w:val="24"/>
          <w:lang w:eastAsia="en-ZA"/>
        </w:rPr>
        <w:t xml:space="preserve">did not refer me to any authority in our own jurisdiction, nor has I came across that in my pursuit of the issue. </w:t>
      </w:r>
      <w:r w:rsidR="00984253" w:rsidRPr="00353D84">
        <w:rPr>
          <w:rFonts w:ascii="Arial" w:eastAsiaTheme="minorEastAsia" w:hAnsi="Arial" w:cs="Arial"/>
          <w:sz w:val="24"/>
          <w:szCs w:val="24"/>
          <w:lang w:eastAsia="en-ZA"/>
        </w:rPr>
        <w:t xml:space="preserve">In </w:t>
      </w:r>
      <w:r w:rsidR="00984253" w:rsidRPr="00353D84">
        <w:rPr>
          <w:rFonts w:ascii="Arial" w:eastAsiaTheme="minorEastAsia" w:hAnsi="Arial" w:cs="Arial"/>
          <w:i/>
          <w:sz w:val="24"/>
          <w:szCs w:val="24"/>
          <w:lang w:eastAsia="en-ZA"/>
        </w:rPr>
        <w:t>Matroos v S</w:t>
      </w:r>
      <w:r w:rsidR="00984253" w:rsidRPr="00353D84">
        <w:rPr>
          <w:rFonts w:ascii="Arial" w:eastAsiaTheme="minorEastAsia" w:hAnsi="Arial" w:cs="Arial"/>
          <w:sz w:val="24"/>
          <w:szCs w:val="24"/>
          <w:lang w:eastAsia="en-ZA"/>
        </w:rPr>
        <w:t>,</w:t>
      </w:r>
      <w:r w:rsidR="00984253" w:rsidRPr="00353D84">
        <w:rPr>
          <w:rStyle w:val="FootnoteReference"/>
          <w:rFonts w:ascii="Arial" w:eastAsiaTheme="minorEastAsia" w:hAnsi="Arial"/>
          <w:sz w:val="24"/>
          <w:szCs w:val="24"/>
          <w:lang w:eastAsia="en-ZA"/>
        </w:rPr>
        <w:footnoteReference w:id="7"/>
      </w:r>
      <w:r w:rsidR="00F805C3" w:rsidRPr="00353D84">
        <w:rPr>
          <w:rFonts w:ascii="Arial" w:eastAsiaTheme="minorEastAsia" w:hAnsi="Arial" w:cs="Arial"/>
          <w:sz w:val="24"/>
          <w:szCs w:val="24"/>
          <w:lang w:eastAsia="en-ZA"/>
        </w:rPr>
        <w:t xml:space="preserve"> a relatively recent</w:t>
      </w:r>
      <w:r w:rsidR="00984253" w:rsidRPr="00353D84">
        <w:rPr>
          <w:rFonts w:ascii="Arial" w:eastAsiaTheme="minorEastAsia" w:hAnsi="Arial" w:cs="Arial"/>
          <w:sz w:val="24"/>
          <w:szCs w:val="24"/>
          <w:lang w:eastAsia="en-ZA"/>
        </w:rPr>
        <w:t xml:space="preserve"> appeal judgment that turned on whether the court a quo correctly applied the test, the appeal court confirmed the standard of proof at the close of the state’s case. The </w:t>
      </w:r>
      <w:r w:rsidR="00984253" w:rsidRPr="00353D84">
        <w:rPr>
          <w:rFonts w:ascii="Arial" w:eastAsiaTheme="minorEastAsia" w:hAnsi="Arial" w:cs="Arial"/>
          <w:i/>
          <w:sz w:val="24"/>
          <w:szCs w:val="24"/>
          <w:lang w:eastAsia="en-ZA"/>
        </w:rPr>
        <w:t>Matroos</w:t>
      </w:r>
      <w:r w:rsidR="00984253" w:rsidRPr="00353D84">
        <w:rPr>
          <w:rFonts w:ascii="Arial" w:eastAsiaTheme="minorEastAsia" w:hAnsi="Arial" w:cs="Arial"/>
          <w:sz w:val="24"/>
          <w:szCs w:val="24"/>
          <w:lang w:eastAsia="en-ZA"/>
        </w:rPr>
        <w:t xml:space="preserve"> matter held at para 13 that:</w:t>
      </w:r>
    </w:p>
    <w:p w14:paraId="6B12FE84" w14:textId="008D172C" w:rsidR="00984253" w:rsidRPr="00353D84" w:rsidRDefault="0006262D" w:rsidP="0006262D">
      <w:pPr>
        <w:spacing w:before="240" w:line="360" w:lineRule="auto"/>
        <w:ind w:firstLine="720"/>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w:t>
      </w:r>
      <w:r w:rsidR="00984253" w:rsidRPr="00353D84">
        <w:rPr>
          <w:rFonts w:ascii="Arial" w:eastAsiaTheme="minorEastAsia" w:hAnsi="Arial" w:cs="Arial"/>
          <w:lang w:eastAsia="en-ZA"/>
        </w:rPr>
        <w:t xml:space="preserve">Our law, as set out in the leading cases of </w:t>
      </w:r>
      <w:r w:rsidR="00984253" w:rsidRPr="00353D84">
        <w:rPr>
          <w:rFonts w:ascii="Arial" w:eastAsiaTheme="minorEastAsia" w:hAnsi="Arial" w:cs="Arial"/>
          <w:i/>
          <w:lang w:eastAsia="en-ZA"/>
        </w:rPr>
        <w:t>S v Teek</w:t>
      </w:r>
      <w:r w:rsidRPr="00353D84">
        <w:rPr>
          <w:rStyle w:val="FootnoteReference"/>
          <w:rFonts w:ascii="Arial" w:eastAsiaTheme="minorEastAsia" w:hAnsi="Arial"/>
          <w:i/>
          <w:lang w:eastAsia="en-ZA"/>
        </w:rPr>
        <w:footnoteReference w:id="8"/>
      </w:r>
      <w:r w:rsidR="00984253" w:rsidRPr="00353D84">
        <w:rPr>
          <w:rFonts w:ascii="Arial" w:eastAsiaTheme="minorEastAsia" w:hAnsi="Arial" w:cs="Arial"/>
          <w:lang w:eastAsia="en-ZA"/>
        </w:rPr>
        <w:t xml:space="preserve"> and </w:t>
      </w:r>
      <w:r w:rsidR="00984253" w:rsidRPr="00353D84">
        <w:rPr>
          <w:rFonts w:ascii="Arial" w:eastAsiaTheme="minorEastAsia" w:hAnsi="Arial" w:cs="Arial"/>
          <w:i/>
          <w:lang w:eastAsia="en-ZA"/>
        </w:rPr>
        <w:t>S v Nakale and Others</w:t>
      </w:r>
      <w:r w:rsidRPr="00353D84">
        <w:rPr>
          <w:rStyle w:val="FootnoteReference"/>
          <w:rFonts w:ascii="Arial" w:eastAsiaTheme="minorEastAsia" w:hAnsi="Arial"/>
          <w:lang w:eastAsia="en-ZA"/>
        </w:rPr>
        <w:footnoteReference w:id="9"/>
      </w:r>
      <w:r w:rsidR="00984253" w:rsidRPr="00353D84">
        <w:rPr>
          <w:rFonts w:ascii="Arial" w:eastAsiaTheme="minorEastAsia" w:hAnsi="Arial" w:cs="Arial"/>
          <w:lang w:eastAsia="en-ZA"/>
        </w:rPr>
        <w:t xml:space="preserve"> provides that, evidence required at the closure of the State’s case may not conclusively prove the guilt of the respondent, as at this stage, all that the State is required to establish is prima facie evidence on which a reasonable court, acting carefully, </w:t>
      </w:r>
      <w:r w:rsidR="00984253" w:rsidRPr="00353D84">
        <w:rPr>
          <w:rFonts w:ascii="Arial" w:eastAsiaTheme="minorEastAsia" w:hAnsi="Arial" w:cs="Arial"/>
          <w:u w:val="single"/>
          <w:lang w:eastAsia="en-ZA"/>
        </w:rPr>
        <w:t>might</w:t>
      </w:r>
      <w:r w:rsidR="00984253" w:rsidRPr="00353D84">
        <w:rPr>
          <w:rFonts w:ascii="Arial" w:eastAsiaTheme="minorEastAsia" w:hAnsi="Arial" w:cs="Arial"/>
          <w:lang w:eastAsia="en-ZA"/>
        </w:rPr>
        <w:t xml:space="preserve"> convict and not </w:t>
      </w:r>
      <w:r w:rsidR="00984253" w:rsidRPr="00353D84">
        <w:rPr>
          <w:rFonts w:ascii="Arial" w:eastAsiaTheme="minorEastAsia" w:hAnsi="Arial" w:cs="Arial"/>
          <w:u w:val="single"/>
          <w:lang w:eastAsia="en-ZA"/>
        </w:rPr>
        <w:t>will</w:t>
      </w:r>
      <w:r w:rsidRPr="00353D84">
        <w:rPr>
          <w:rFonts w:ascii="Arial" w:eastAsiaTheme="minorEastAsia" w:hAnsi="Arial" w:cs="Arial"/>
          <w:lang w:eastAsia="en-ZA"/>
        </w:rPr>
        <w:t xml:space="preserve"> convict.’ </w:t>
      </w:r>
      <w:r w:rsidR="00984253" w:rsidRPr="00353D84">
        <w:rPr>
          <w:rFonts w:ascii="Arial" w:eastAsiaTheme="minorEastAsia" w:hAnsi="Arial" w:cs="Arial"/>
          <w:lang w:eastAsia="en-ZA"/>
        </w:rPr>
        <w:t xml:space="preserve"> </w:t>
      </w:r>
    </w:p>
    <w:p w14:paraId="0967BB03" w14:textId="06333D6B" w:rsidR="0032493B" w:rsidRPr="00353D84" w:rsidRDefault="00701B90" w:rsidP="0032493B">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w:t>
      </w:r>
      <w:r w:rsidR="006907BB" w:rsidRPr="00353D84">
        <w:rPr>
          <w:rFonts w:ascii="Arial" w:eastAsiaTheme="minorEastAsia" w:hAnsi="Arial" w:cs="Arial"/>
          <w:sz w:val="24"/>
          <w:szCs w:val="24"/>
          <w:lang w:eastAsia="en-ZA"/>
        </w:rPr>
        <w:t>6</w:t>
      </w:r>
      <w:r w:rsidRPr="00353D84">
        <w:rPr>
          <w:rFonts w:ascii="Arial" w:eastAsiaTheme="minorEastAsia" w:hAnsi="Arial" w:cs="Arial"/>
          <w:sz w:val="24"/>
          <w:szCs w:val="24"/>
          <w:lang w:eastAsia="en-ZA"/>
        </w:rPr>
        <w:t>]</w:t>
      </w:r>
      <w:r w:rsidRPr="00353D84">
        <w:rPr>
          <w:rFonts w:ascii="Arial" w:eastAsiaTheme="minorEastAsia" w:hAnsi="Arial" w:cs="Arial"/>
          <w:sz w:val="24"/>
          <w:szCs w:val="24"/>
          <w:lang w:eastAsia="en-ZA"/>
        </w:rPr>
        <w:tab/>
      </w:r>
      <w:r w:rsidR="00984253" w:rsidRPr="00353D84">
        <w:rPr>
          <w:rFonts w:ascii="Arial" w:eastAsiaTheme="minorEastAsia" w:hAnsi="Arial" w:cs="Arial"/>
          <w:sz w:val="24"/>
          <w:szCs w:val="24"/>
          <w:lang w:eastAsia="en-ZA"/>
        </w:rPr>
        <w:t xml:space="preserve">In view of this, I respectfully disagree with counsel for the accused as to the standard of proof required at the stage of an application in </w:t>
      </w:r>
      <w:r w:rsidRPr="00353D84">
        <w:rPr>
          <w:rFonts w:ascii="Arial" w:eastAsiaTheme="minorEastAsia" w:hAnsi="Arial" w:cs="Arial"/>
          <w:sz w:val="24"/>
          <w:szCs w:val="24"/>
          <w:lang w:eastAsia="en-ZA"/>
        </w:rPr>
        <w:t>respect of</w:t>
      </w:r>
      <w:r w:rsidR="00984253" w:rsidRPr="00353D84">
        <w:rPr>
          <w:rFonts w:ascii="Arial" w:eastAsiaTheme="minorEastAsia" w:hAnsi="Arial" w:cs="Arial"/>
          <w:sz w:val="24"/>
          <w:szCs w:val="24"/>
          <w:lang w:eastAsia="en-ZA"/>
        </w:rPr>
        <w:t xml:space="preserve"> s 174 of the Act.  </w:t>
      </w:r>
    </w:p>
    <w:p w14:paraId="6B7E0E12" w14:textId="6F544661" w:rsidR="0032493B" w:rsidRPr="00353D84" w:rsidRDefault="006907BB" w:rsidP="0032493B">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[27</w:t>
      </w:r>
      <w:r w:rsidR="0032493B" w:rsidRPr="00353D84">
        <w:rPr>
          <w:rFonts w:ascii="Arial" w:eastAsiaTheme="minorEastAsia" w:hAnsi="Arial" w:cs="Arial"/>
          <w:sz w:val="24"/>
          <w:szCs w:val="24"/>
          <w:lang w:eastAsia="en-ZA"/>
        </w:rPr>
        <w:t>]</w:t>
      </w:r>
      <w:r w:rsidR="0032493B" w:rsidRPr="00353D84">
        <w:rPr>
          <w:rFonts w:ascii="Arial" w:eastAsiaTheme="minorEastAsia" w:hAnsi="Arial" w:cs="Arial"/>
          <w:sz w:val="24"/>
          <w:szCs w:val="24"/>
          <w:lang w:eastAsia="en-ZA"/>
        </w:rPr>
        <w:tab/>
        <w:t>I move to the role of credibility of the State’s witnesses. The main thrust of the application was premised on the notion that the evidence was incurably bad and thus the application turns on the issue of credibility, in particular lack thereof in the State’s evidence.  The parties were on the opposite sides of the spectrum as to the role of credibility at this juncture.</w:t>
      </w:r>
    </w:p>
    <w:p w14:paraId="5DEEBA47" w14:textId="62901B5A" w:rsidR="0032493B" w:rsidRPr="00353D84" w:rsidRDefault="006907BB" w:rsidP="0032493B">
      <w:pPr>
        <w:spacing w:before="240" w:after="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[28</w:t>
      </w:r>
      <w:r w:rsidR="0032493B" w:rsidRPr="00353D84">
        <w:rPr>
          <w:rFonts w:ascii="Arial" w:eastAsiaTheme="minorEastAsia" w:hAnsi="Arial" w:cs="Arial"/>
          <w:sz w:val="24"/>
          <w:szCs w:val="24"/>
          <w:lang w:eastAsia="en-ZA"/>
        </w:rPr>
        <w:t>]</w:t>
      </w:r>
      <w:r w:rsidR="0032493B" w:rsidRPr="00353D84">
        <w:rPr>
          <w:rFonts w:ascii="Arial" w:eastAsiaTheme="minorEastAsia" w:hAnsi="Arial" w:cs="Arial"/>
          <w:sz w:val="24"/>
          <w:szCs w:val="24"/>
          <w:lang w:eastAsia="en-ZA"/>
        </w:rPr>
        <w:tab/>
        <w:t xml:space="preserve">It is prudent to be mindful that the </w:t>
      </w:r>
      <w:r w:rsidR="0032493B" w:rsidRPr="00353D84">
        <w:rPr>
          <w:rFonts w:ascii="Arial" w:eastAsiaTheme="minorEastAsia" w:hAnsi="Arial" w:cs="Arial"/>
          <w:i/>
          <w:sz w:val="24"/>
          <w:szCs w:val="24"/>
          <w:lang w:eastAsia="en-ZA"/>
        </w:rPr>
        <w:t>Nakale</w:t>
      </w:r>
      <w:r w:rsidR="0032493B" w:rsidRPr="00353D84">
        <w:rPr>
          <w:rFonts w:ascii="Arial" w:eastAsiaTheme="minorEastAsia" w:hAnsi="Arial" w:cs="Arial"/>
          <w:sz w:val="24"/>
          <w:szCs w:val="24"/>
          <w:lang w:eastAsia="en-ZA"/>
        </w:rPr>
        <w:t xml:space="preserve"> matter advanced credibility of the witnesses as one of the factors amongst an array of relevant criteria for consideration during an application of this nature. Subsequently the question was considered in </w:t>
      </w:r>
      <w:r w:rsidR="0032493B" w:rsidRPr="00353D84">
        <w:rPr>
          <w:rFonts w:ascii="Arial" w:eastAsiaTheme="minorEastAsia" w:hAnsi="Arial" w:cs="Arial"/>
          <w:i/>
          <w:sz w:val="24"/>
          <w:szCs w:val="24"/>
          <w:lang w:eastAsia="en-ZA"/>
        </w:rPr>
        <w:t>S v Teek</w:t>
      </w:r>
      <w:r w:rsidR="0032493B" w:rsidRPr="00353D84">
        <w:rPr>
          <w:rStyle w:val="FootnoteReference"/>
          <w:rFonts w:ascii="Arial" w:eastAsiaTheme="minorEastAsia" w:hAnsi="Arial"/>
          <w:i/>
          <w:sz w:val="24"/>
          <w:szCs w:val="24"/>
          <w:lang w:eastAsia="en-ZA"/>
        </w:rPr>
        <w:footnoteReference w:id="10"/>
      </w:r>
      <w:r w:rsidR="0032493B" w:rsidRPr="00353D84">
        <w:rPr>
          <w:rFonts w:ascii="Arial" w:eastAsiaTheme="minorEastAsia" w:hAnsi="Arial" w:cs="Arial"/>
          <w:sz w:val="24"/>
          <w:szCs w:val="24"/>
          <w:lang w:eastAsia="en-ZA"/>
        </w:rPr>
        <w:t xml:space="preserve"> and it was held that: </w:t>
      </w:r>
    </w:p>
    <w:p w14:paraId="2A6D2BCF" w14:textId="77777777" w:rsidR="0032493B" w:rsidRPr="00353D84" w:rsidRDefault="0032493B" w:rsidP="0032493B">
      <w:pPr>
        <w:spacing w:before="240" w:after="0" w:line="360" w:lineRule="auto"/>
        <w:ind w:firstLine="720"/>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lastRenderedPageBreak/>
        <w:t>‘…</w:t>
      </w:r>
      <w:r w:rsidRPr="00353D84">
        <w:rPr>
          <w:rFonts w:ascii="Arial" w:eastAsiaTheme="minorEastAsia" w:hAnsi="Arial" w:cs="Arial"/>
          <w:lang w:eastAsia="en-ZA"/>
        </w:rPr>
        <w:t xml:space="preserve">the generally accepted view, both in Namibia and in South Africa, appears to be that, although credibility is a factor that can be considered at this stage, it plays a very limited role. If there is evidence supporting a charge, an application for discharge can only be sustained if that evidence is of such poor quality that it cannot, in the opinion of the trial court, be accepted by any reasonable court (see eg </w:t>
      </w:r>
      <w:r w:rsidRPr="00353D84">
        <w:rPr>
          <w:rFonts w:ascii="Arial" w:eastAsiaTheme="minorEastAsia" w:hAnsi="Arial" w:cs="Arial"/>
          <w:i/>
          <w:lang w:eastAsia="en-ZA"/>
        </w:rPr>
        <w:t>S v Mpetha</w:t>
      </w:r>
      <w:r w:rsidRPr="00353D84">
        <w:rPr>
          <w:rFonts w:ascii="Arial" w:eastAsiaTheme="minorEastAsia" w:hAnsi="Arial" w:cs="Arial"/>
          <w:lang w:eastAsia="en-ZA"/>
        </w:rPr>
        <w:t xml:space="preserve"> 1983 (4) SA 262 (C) at 265; </w:t>
      </w:r>
      <w:r w:rsidRPr="00353D84">
        <w:rPr>
          <w:rFonts w:ascii="Arial" w:eastAsiaTheme="minorEastAsia" w:hAnsi="Arial" w:cs="Arial"/>
          <w:i/>
          <w:lang w:eastAsia="en-ZA"/>
        </w:rPr>
        <w:t>S v Nakale</w:t>
      </w:r>
      <w:r w:rsidRPr="00353D84">
        <w:rPr>
          <w:rFonts w:ascii="Arial" w:eastAsiaTheme="minorEastAsia" w:hAnsi="Arial" w:cs="Arial"/>
          <w:lang w:eastAsia="en-ZA"/>
        </w:rPr>
        <w:t xml:space="preserve"> supra at 458). Put differently, the question remains: is there, having regard to the credibility of the witnesses, evidence upon which a reasonable court may convict?’</w:t>
      </w:r>
    </w:p>
    <w:p w14:paraId="39365AE6" w14:textId="3398B039" w:rsidR="0032493B" w:rsidRPr="00353D84" w:rsidRDefault="006907BB" w:rsidP="0032493B">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[29</w:t>
      </w:r>
      <w:r w:rsidR="0032493B" w:rsidRPr="00353D84">
        <w:rPr>
          <w:rFonts w:ascii="Arial" w:eastAsiaTheme="minorEastAsia" w:hAnsi="Arial" w:cs="Arial"/>
          <w:sz w:val="24"/>
          <w:szCs w:val="24"/>
          <w:lang w:eastAsia="en-ZA"/>
        </w:rPr>
        <w:t>]</w:t>
      </w:r>
      <w:r w:rsidR="0032493B" w:rsidRPr="00353D84">
        <w:rPr>
          <w:rFonts w:ascii="Arial" w:eastAsiaTheme="minorEastAsia" w:hAnsi="Arial" w:cs="Arial"/>
          <w:sz w:val="24"/>
          <w:szCs w:val="24"/>
          <w:lang w:eastAsia="en-ZA"/>
        </w:rPr>
        <w:tab/>
        <w:t xml:space="preserve">It leaves </w:t>
      </w:r>
      <w:r w:rsidRPr="00353D84">
        <w:rPr>
          <w:rFonts w:ascii="Arial" w:eastAsiaTheme="minorEastAsia" w:hAnsi="Arial" w:cs="Arial"/>
          <w:sz w:val="24"/>
          <w:szCs w:val="24"/>
          <w:lang w:eastAsia="en-ZA"/>
        </w:rPr>
        <w:t xml:space="preserve">no doubt as to the limited role of credibility, </w:t>
      </w:r>
      <w:r w:rsidR="0032493B" w:rsidRPr="00353D84">
        <w:rPr>
          <w:rFonts w:ascii="Arial" w:eastAsiaTheme="minorEastAsia" w:hAnsi="Arial" w:cs="Arial"/>
          <w:sz w:val="24"/>
          <w:szCs w:val="24"/>
          <w:lang w:eastAsia="en-ZA"/>
        </w:rPr>
        <w:t xml:space="preserve">unless the quality of the State’s evidence constitutes a doomed case in all respects. I thus proceed to the question of whether the State’s evidence was so incurably weak and riddled with contradictions that </w:t>
      </w:r>
      <w:r w:rsidR="00830A26" w:rsidRPr="00353D84">
        <w:rPr>
          <w:rFonts w:ascii="Arial" w:eastAsiaTheme="minorEastAsia" w:hAnsi="Arial" w:cs="Arial"/>
          <w:sz w:val="24"/>
          <w:szCs w:val="24"/>
          <w:lang w:eastAsia="en-ZA"/>
        </w:rPr>
        <w:t xml:space="preserve">it is a totally hopeless case. </w:t>
      </w:r>
    </w:p>
    <w:p w14:paraId="71AC0525" w14:textId="0CBF0DC5" w:rsidR="00107009" w:rsidRPr="00353D84" w:rsidRDefault="006907BB" w:rsidP="00293B1B">
      <w:pPr>
        <w:pStyle w:val="NormalWeb"/>
        <w:shd w:val="clear" w:color="auto" w:fill="F8F8F8"/>
        <w:spacing w:before="0" w:beforeAutospacing="0" w:line="360" w:lineRule="auto"/>
        <w:jc w:val="both"/>
        <w:rPr>
          <w:rFonts w:ascii="Arial" w:hAnsi="Arial" w:cs="Arial"/>
          <w:sz w:val="21"/>
          <w:szCs w:val="21"/>
        </w:rPr>
      </w:pPr>
      <w:r w:rsidRPr="00353D84">
        <w:rPr>
          <w:rFonts w:ascii="Arial" w:eastAsiaTheme="minorEastAsia" w:hAnsi="Arial" w:cs="Arial"/>
          <w:lang w:eastAsia="en-ZA"/>
        </w:rPr>
        <w:t>[30</w:t>
      </w:r>
      <w:r w:rsidR="0032493B" w:rsidRPr="00353D84">
        <w:rPr>
          <w:rFonts w:ascii="Arial" w:eastAsiaTheme="minorEastAsia" w:hAnsi="Arial" w:cs="Arial"/>
          <w:lang w:eastAsia="en-ZA"/>
        </w:rPr>
        <w:t xml:space="preserve">]    Much has been said by counsel for the accused about the contradictions </w:t>
      </w:r>
      <w:r w:rsidR="00293B1B" w:rsidRPr="00353D84">
        <w:rPr>
          <w:rFonts w:ascii="Arial" w:eastAsiaTheme="minorEastAsia" w:hAnsi="Arial" w:cs="Arial"/>
          <w:lang w:eastAsia="en-ZA"/>
        </w:rPr>
        <w:t>and the State concedes that there are some discrepancies.</w:t>
      </w:r>
      <w:r w:rsidR="0032493B" w:rsidRPr="00353D84">
        <w:rPr>
          <w:rFonts w:ascii="Arial" w:eastAsiaTheme="minorEastAsia" w:hAnsi="Arial" w:cs="Arial"/>
          <w:lang w:eastAsia="en-ZA"/>
        </w:rPr>
        <w:t xml:space="preserve"> Suffice it to say that not all contradictions are material</w:t>
      </w:r>
      <w:r w:rsidR="00107009" w:rsidRPr="00353D84">
        <w:rPr>
          <w:rFonts w:ascii="Arial" w:eastAsiaTheme="minorEastAsia" w:hAnsi="Arial" w:cs="Arial"/>
          <w:lang w:eastAsia="en-ZA"/>
        </w:rPr>
        <w:t xml:space="preserve"> and necessarily result in an </w:t>
      </w:r>
      <w:r w:rsidR="002D7E18" w:rsidRPr="00353D84">
        <w:rPr>
          <w:rFonts w:ascii="Arial" w:eastAsiaTheme="minorEastAsia" w:hAnsi="Arial" w:cs="Arial"/>
          <w:lang w:eastAsia="en-ZA"/>
        </w:rPr>
        <w:t xml:space="preserve">utter </w:t>
      </w:r>
      <w:r w:rsidR="00107009" w:rsidRPr="00353D84">
        <w:rPr>
          <w:rFonts w:ascii="Arial" w:eastAsiaTheme="minorEastAsia" w:hAnsi="Arial" w:cs="Arial"/>
          <w:lang w:eastAsia="en-ZA"/>
        </w:rPr>
        <w:t xml:space="preserve">destruction of the credibility of a witness. Rather a court must </w:t>
      </w:r>
      <w:r w:rsidR="00107009" w:rsidRPr="00353D84">
        <w:rPr>
          <w:rFonts w:ascii="Arial" w:hAnsi="Arial" w:cs="Arial"/>
        </w:rPr>
        <w:t>have regard to the nature and reason thereof.  It has been held in </w:t>
      </w:r>
      <w:r w:rsidR="002D7E18" w:rsidRPr="00353D84">
        <w:rPr>
          <w:rFonts w:ascii="Arial" w:hAnsi="Arial" w:cs="Arial"/>
        </w:rPr>
        <w:t>S</w:t>
      </w:r>
      <w:r w:rsidR="00107009" w:rsidRPr="00353D84">
        <w:rPr>
          <w:rStyle w:val="Emphasis"/>
          <w:rFonts w:ascii="Arial" w:hAnsi="Arial" w:cs="Arial"/>
        </w:rPr>
        <w:t xml:space="preserve"> v Auala</w:t>
      </w:r>
      <w:r w:rsidR="00107009" w:rsidRPr="00353D84">
        <w:rPr>
          <w:rStyle w:val="FootnoteReference"/>
          <w:rFonts w:ascii="Arial" w:hAnsi="Arial"/>
          <w:i/>
          <w:iCs/>
        </w:rPr>
        <w:footnoteReference w:id="11"/>
      </w:r>
      <w:r w:rsidR="002D7E18" w:rsidRPr="00353D84">
        <w:rPr>
          <w:rStyle w:val="Emphasis"/>
          <w:rFonts w:ascii="Arial" w:hAnsi="Arial" w:cs="Arial"/>
        </w:rPr>
        <w:t xml:space="preserve"> </w:t>
      </w:r>
      <w:r w:rsidR="002D7E18" w:rsidRPr="00353D84">
        <w:rPr>
          <w:rStyle w:val="Emphasis"/>
          <w:rFonts w:ascii="Arial" w:hAnsi="Arial" w:cs="Arial"/>
          <w:i w:val="0"/>
        </w:rPr>
        <w:t>at para 30</w:t>
      </w:r>
      <w:r w:rsidR="00107009" w:rsidRPr="00353D84">
        <w:rPr>
          <w:rFonts w:ascii="Arial" w:hAnsi="Arial" w:cs="Arial"/>
          <w:i/>
        </w:rPr>
        <w:t>:</w:t>
      </w:r>
    </w:p>
    <w:p w14:paraId="6F4E4078" w14:textId="1A110DC8" w:rsidR="00107009" w:rsidRPr="00353D84" w:rsidRDefault="00107009" w:rsidP="00293B1B">
      <w:pPr>
        <w:pStyle w:val="NormalWeb"/>
        <w:shd w:val="clear" w:color="auto" w:fill="F8F8F8"/>
        <w:spacing w:before="0" w:beforeAutospacing="0" w:line="360" w:lineRule="auto"/>
        <w:ind w:firstLine="720"/>
        <w:jc w:val="both"/>
        <w:rPr>
          <w:rFonts w:ascii="Arial" w:hAnsi="Arial" w:cs="Arial"/>
          <w:sz w:val="22"/>
          <w:szCs w:val="22"/>
        </w:rPr>
      </w:pPr>
      <w:r w:rsidRPr="00353D84">
        <w:rPr>
          <w:rFonts w:ascii="Arial" w:hAnsi="Arial" w:cs="Arial"/>
          <w:sz w:val="22"/>
          <w:szCs w:val="22"/>
        </w:rPr>
        <w:t>‘It is not uncommon tha</w:t>
      </w:r>
      <w:r w:rsidR="00781CD0" w:rsidRPr="00353D84">
        <w:rPr>
          <w:rFonts w:ascii="Arial" w:hAnsi="Arial" w:cs="Arial"/>
          <w:sz w:val="22"/>
          <w:szCs w:val="22"/>
        </w:rPr>
        <w:t xml:space="preserve">t witnesses, when testifying, </w:t>
      </w:r>
      <w:r w:rsidRPr="00353D84">
        <w:rPr>
          <w:rFonts w:ascii="Arial" w:hAnsi="Arial" w:cs="Arial"/>
          <w:sz w:val="22"/>
          <w:szCs w:val="22"/>
        </w:rPr>
        <w:t>differ from one another in minor respects, instead of relating identical versions to the court. There can be various reasons explaining this phenomenon and it does not necessarily mean that deliberate lies were told to the court. Contradictions per se do not lead to the rejection of a witness' evidence, as it may simply be indicative of an error.</w:t>
      </w:r>
      <w:r w:rsidR="00293B1B" w:rsidRPr="00353D84">
        <w:rPr>
          <w:rFonts w:ascii="Arial" w:hAnsi="Arial" w:cs="Arial"/>
          <w:sz w:val="22"/>
          <w:szCs w:val="22"/>
        </w:rPr>
        <w:t>’</w:t>
      </w:r>
    </w:p>
    <w:p w14:paraId="7549F3F5" w14:textId="4634CF37" w:rsidR="0032493B" w:rsidRPr="00353D84" w:rsidRDefault="00293B1B" w:rsidP="0032493B">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[31]</w:t>
      </w:r>
      <w:r w:rsidRPr="00353D84">
        <w:rPr>
          <w:rFonts w:ascii="Arial" w:eastAsiaTheme="minorEastAsia" w:hAnsi="Arial" w:cs="Arial"/>
          <w:sz w:val="24"/>
          <w:szCs w:val="24"/>
          <w:lang w:eastAsia="en-ZA"/>
        </w:rPr>
        <w:tab/>
        <w:t xml:space="preserve">At this stage </w:t>
      </w:r>
      <w:r w:rsidR="00830A26" w:rsidRPr="00353D84">
        <w:rPr>
          <w:rFonts w:ascii="Arial" w:eastAsiaTheme="minorEastAsia" w:hAnsi="Arial" w:cs="Arial"/>
          <w:sz w:val="24"/>
          <w:szCs w:val="24"/>
          <w:lang w:eastAsia="en-ZA"/>
        </w:rPr>
        <w:t xml:space="preserve">I refrain from making any particular credibility findings about the testimony of the </w:t>
      </w:r>
      <w:r w:rsidRPr="00353D84">
        <w:rPr>
          <w:rFonts w:ascii="Arial" w:eastAsiaTheme="minorEastAsia" w:hAnsi="Arial" w:cs="Arial"/>
          <w:sz w:val="24"/>
          <w:szCs w:val="24"/>
          <w:lang w:eastAsia="en-ZA"/>
        </w:rPr>
        <w:t>state</w:t>
      </w:r>
      <w:r w:rsidR="00830A26" w:rsidRPr="00353D84">
        <w:rPr>
          <w:rFonts w:ascii="Arial" w:eastAsiaTheme="minorEastAsia" w:hAnsi="Arial" w:cs="Arial"/>
          <w:sz w:val="24"/>
          <w:szCs w:val="24"/>
          <w:lang w:eastAsia="en-ZA"/>
        </w:rPr>
        <w:t xml:space="preserve"> witnesses, in view of </w:t>
      </w:r>
      <w:r w:rsidR="006907BB" w:rsidRPr="00353D84">
        <w:rPr>
          <w:rFonts w:ascii="Arial" w:eastAsiaTheme="minorEastAsia" w:hAnsi="Arial" w:cs="Arial"/>
          <w:sz w:val="24"/>
          <w:szCs w:val="24"/>
          <w:lang w:eastAsia="en-ZA"/>
        </w:rPr>
        <w:t>position</w:t>
      </w:r>
      <w:r w:rsidR="00830A26" w:rsidRPr="00353D84">
        <w:rPr>
          <w:rFonts w:ascii="Arial" w:eastAsiaTheme="minorEastAsia" w:hAnsi="Arial" w:cs="Arial"/>
          <w:sz w:val="24"/>
          <w:szCs w:val="24"/>
          <w:lang w:eastAsia="en-ZA"/>
        </w:rPr>
        <w:t xml:space="preserve"> that credibility of witnesses play</w:t>
      </w:r>
      <w:r w:rsidR="006907BB" w:rsidRPr="00353D84">
        <w:rPr>
          <w:rFonts w:ascii="Arial" w:eastAsiaTheme="minorEastAsia" w:hAnsi="Arial" w:cs="Arial"/>
          <w:sz w:val="24"/>
          <w:szCs w:val="24"/>
          <w:lang w:eastAsia="en-ZA"/>
        </w:rPr>
        <w:t>s</w:t>
      </w:r>
      <w:r w:rsidR="00830A26" w:rsidRPr="00353D84">
        <w:rPr>
          <w:rFonts w:ascii="Arial" w:eastAsiaTheme="minorEastAsia" w:hAnsi="Arial" w:cs="Arial"/>
          <w:sz w:val="24"/>
          <w:szCs w:val="24"/>
          <w:lang w:eastAsia="en-ZA"/>
        </w:rPr>
        <w:t xml:space="preserve"> a limited role</w:t>
      </w:r>
      <w:r w:rsidR="002D7E18" w:rsidRPr="00353D84">
        <w:rPr>
          <w:rFonts w:ascii="Arial" w:eastAsiaTheme="minorEastAsia" w:hAnsi="Arial" w:cs="Arial"/>
          <w:sz w:val="24"/>
          <w:szCs w:val="24"/>
          <w:lang w:eastAsia="en-ZA"/>
        </w:rPr>
        <w:t>,</w:t>
      </w:r>
      <w:r w:rsidR="00830A26" w:rsidRPr="00353D84">
        <w:rPr>
          <w:rFonts w:ascii="Arial" w:eastAsiaTheme="minorEastAsia" w:hAnsi="Arial" w:cs="Arial"/>
          <w:sz w:val="24"/>
          <w:szCs w:val="24"/>
          <w:lang w:eastAsia="en-ZA"/>
        </w:rPr>
        <w:t xml:space="preserve"> </w:t>
      </w:r>
      <w:r w:rsidRPr="00353D84">
        <w:rPr>
          <w:rFonts w:ascii="Arial" w:eastAsiaTheme="minorEastAsia" w:hAnsi="Arial" w:cs="Arial"/>
          <w:sz w:val="24"/>
          <w:szCs w:val="24"/>
          <w:lang w:eastAsia="en-ZA"/>
        </w:rPr>
        <w:t>and it would be premature.</w:t>
      </w:r>
    </w:p>
    <w:p w14:paraId="3120E601" w14:textId="6CA7793E" w:rsidR="0032493B" w:rsidRPr="00353D84" w:rsidRDefault="00293B1B" w:rsidP="0032493B">
      <w:pPr>
        <w:spacing w:before="240" w:after="0" w:line="360" w:lineRule="auto"/>
        <w:jc w:val="both"/>
        <w:rPr>
          <w:rFonts w:ascii="Arial" w:eastAsiaTheme="minorEastAsia" w:hAnsi="Arial" w:cs="Arial"/>
          <w:sz w:val="24"/>
          <w:szCs w:val="24"/>
          <w:lang w:val="en-US" w:eastAsia="en-ZA"/>
        </w:rPr>
      </w:pPr>
      <w:r w:rsidRPr="00353D84">
        <w:rPr>
          <w:rFonts w:ascii="Arial" w:eastAsiaTheme="minorEastAsia" w:hAnsi="Arial" w:cs="Arial"/>
          <w:sz w:val="24"/>
          <w:szCs w:val="24"/>
          <w:lang w:val="en-US" w:eastAsia="en-ZA"/>
        </w:rPr>
        <w:t>[32</w:t>
      </w:r>
      <w:r w:rsidR="0032493B" w:rsidRPr="00353D84">
        <w:rPr>
          <w:rFonts w:ascii="Arial" w:eastAsiaTheme="minorEastAsia" w:hAnsi="Arial" w:cs="Arial"/>
          <w:sz w:val="24"/>
          <w:szCs w:val="24"/>
          <w:lang w:val="en-US" w:eastAsia="en-ZA"/>
        </w:rPr>
        <w:t xml:space="preserve">] </w:t>
      </w:r>
      <w:r w:rsidR="0032493B" w:rsidRPr="00353D84">
        <w:rPr>
          <w:rFonts w:ascii="Arial" w:eastAsiaTheme="minorEastAsia" w:hAnsi="Arial" w:cs="Arial"/>
          <w:sz w:val="24"/>
          <w:szCs w:val="24"/>
          <w:lang w:val="en-US" w:eastAsia="en-ZA"/>
        </w:rPr>
        <w:tab/>
        <w:t xml:space="preserve">Moreover, the accused relies on </w:t>
      </w:r>
      <w:r w:rsidR="00B757EF" w:rsidRPr="00353D84">
        <w:rPr>
          <w:rFonts w:ascii="Arial" w:eastAsiaTheme="minorEastAsia" w:hAnsi="Arial" w:cs="Arial"/>
          <w:sz w:val="24"/>
          <w:szCs w:val="24"/>
          <w:lang w:val="en-US" w:eastAsia="en-ZA"/>
        </w:rPr>
        <w:t>self-</w:t>
      </w:r>
      <w:r w:rsidR="0032493B" w:rsidRPr="00353D84">
        <w:rPr>
          <w:rFonts w:ascii="Arial" w:eastAsiaTheme="minorEastAsia" w:hAnsi="Arial" w:cs="Arial"/>
          <w:sz w:val="24"/>
          <w:szCs w:val="24"/>
          <w:lang w:val="en-US" w:eastAsia="en-ZA"/>
        </w:rPr>
        <w:t xml:space="preserve">defense, thus implying that his action of discharging the shots where necessary to avert the danger </w:t>
      </w:r>
      <w:r w:rsidRPr="00353D84">
        <w:rPr>
          <w:rFonts w:ascii="Arial" w:eastAsiaTheme="minorEastAsia" w:hAnsi="Arial" w:cs="Arial"/>
          <w:sz w:val="24"/>
          <w:szCs w:val="24"/>
          <w:lang w:val="en-US" w:eastAsia="en-ZA"/>
        </w:rPr>
        <w:t xml:space="preserve">that he faced </w:t>
      </w:r>
      <w:r w:rsidR="0032493B" w:rsidRPr="00353D84">
        <w:rPr>
          <w:rFonts w:ascii="Arial" w:eastAsiaTheme="minorEastAsia" w:hAnsi="Arial" w:cs="Arial"/>
          <w:sz w:val="24"/>
          <w:szCs w:val="24"/>
          <w:lang w:val="en-US" w:eastAsia="en-ZA"/>
        </w:rPr>
        <w:t xml:space="preserve">at that moment. A court acting carefully cannot ignore that thus far there is nothing under oath as to the version postulated by the defense, while there is evidence from the State that </w:t>
      </w:r>
      <w:r w:rsidR="007D3F73" w:rsidRPr="00353D84">
        <w:rPr>
          <w:rFonts w:ascii="Arial" w:eastAsiaTheme="minorEastAsia" w:hAnsi="Arial" w:cs="Arial"/>
          <w:sz w:val="24"/>
          <w:szCs w:val="24"/>
          <w:lang w:val="en-US" w:eastAsia="en-ZA"/>
        </w:rPr>
        <w:t xml:space="preserve">there was </w:t>
      </w:r>
      <w:r w:rsidR="007D3F73" w:rsidRPr="00353D84">
        <w:rPr>
          <w:rFonts w:ascii="Arial" w:eastAsiaTheme="minorEastAsia" w:hAnsi="Arial" w:cs="Arial"/>
          <w:sz w:val="24"/>
          <w:szCs w:val="24"/>
          <w:lang w:val="en-US" w:eastAsia="en-ZA"/>
        </w:rPr>
        <w:lastRenderedPageBreak/>
        <w:t xml:space="preserve">no </w:t>
      </w:r>
      <w:r w:rsidR="005731C7" w:rsidRPr="00353D84">
        <w:rPr>
          <w:rFonts w:ascii="Arial" w:eastAsiaTheme="minorEastAsia" w:hAnsi="Arial" w:cs="Arial"/>
          <w:sz w:val="24"/>
          <w:szCs w:val="24"/>
          <w:lang w:val="en-US" w:eastAsia="en-ZA"/>
        </w:rPr>
        <w:t>imminent danger and these were not warning shots in the air.</w:t>
      </w:r>
      <w:r w:rsidR="00035508" w:rsidRPr="00353D84">
        <w:rPr>
          <w:rFonts w:ascii="Arial" w:eastAsiaTheme="minorEastAsia" w:hAnsi="Arial" w:cs="Arial"/>
          <w:sz w:val="24"/>
          <w:szCs w:val="24"/>
          <w:lang w:val="en-US" w:eastAsia="en-ZA"/>
        </w:rPr>
        <w:t xml:space="preserve"> Notwithstanding discrepancies amongst the eye witnesses, there are </w:t>
      </w:r>
      <w:r w:rsidR="004B7A52" w:rsidRPr="00353D84">
        <w:rPr>
          <w:rFonts w:ascii="Arial" w:eastAsiaTheme="minorEastAsia" w:hAnsi="Arial" w:cs="Arial"/>
          <w:sz w:val="24"/>
          <w:szCs w:val="24"/>
          <w:lang w:val="en-US" w:eastAsia="en-ZA"/>
        </w:rPr>
        <w:t xml:space="preserve">also </w:t>
      </w:r>
      <w:r w:rsidR="00035508" w:rsidRPr="00353D84">
        <w:rPr>
          <w:rFonts w:ascii="Arial" w:eastAsiaTheme="minorEastAsia" w:hAnsi="Arial" w:cs="Arial"/>
          <w:sz w:val="24"/>
          <w:szCs w:val="24"/>
          <w:lang w:val="en-US" w:eastAsia="en-ZA"/>
        </w:rPr>
        <w:t xml:space="preserve">similarities that supports the state’s case. </w:t>
      </w:r>
      <w:r w:rsidR="0032493B" w:rsidRPr="00353D84">
        <w:rPr>
          <w:rFonts w:ascii="Arial" w:eastAsiaTheme="minorEastAsia" w:hAnsi="Arial" w:cs="Arial"/>
          <w:sz w:val="24"/>
          <w:szCs w:val="24"/>
          <w:lang w:val="en-US" w:eastAsia="en-ZA"/>
        </w:rPr>
        <w:t xml:space="preserve"> Furthermore, a consideration of the evidence must also account for any competent verdict that the accused may be convicted of.  </w:t>
      </w:r>
    </w:p>
    <w:p w14:paraId="562492B2" w14:textId="1F4A39B2" w:rsidR="0032493B" w:rsidRPr="00353D84" w:rsidRDefault="0032493B" w:rsidP="0032493B">
      <w:pPr>
        <w:spacing w:before="240" w:line="360" w:lineRule="auto"/>
        <w:jc w:val="both"/>
        <w:rPr>
          <w:rFonts w:ascii="Arial" w:eastAsiaTheme="minorEastAsia" w:hAnsi="Arial" w:cs="Arial"/>
          <w:sz w:val="24"/>
          <w:szCs w:val="24"/>
          <w:lang w:val="en-GB" w:eastAsia="en-ZA"/>
        </w:rPr>
      </w:pPr>
      <w:r w:rsidRPr="00353D84">
        <w:rPr>
          <w:rFonts w:ascii="Arial" w:eastAsiaTheme="minorEastAsia" w:hAnsi="Arial" w:cs="Arial"/>
          <w:sz w:val="24"/>
          <w:szCs w:val="24"/>
          <w:lang w:val="en-GB" w:eastAsia="en-ZA"/>
        </w:rPr>
        <w:t>[3</w:t>
      </w:r>
      <w:r w:rsidR="005C723A" w:rsidRPr="00353D84">
        <w:rPr>
          <w:rFonts w:ascii="Arial" w:eastAsiaTheme="minorEastAsia" w:hAnsi="Arial" w:cs="Arial"/>
          <w:sz w:val="24"/>
          <w:szCs w:val="24"/>
          <w:lang w:val="en-GB" w:eastAsia="en-ZA"/>
        </w:rPr>
        <w:t>3</w:t>
      </w:r>
      <w:r w:rsidRPr="00353D84">
        <w:rPr>
          <w:rFonts w:ascii="Arial" w:eastAsiaTheme="minorEastAsia" w:hAnsi="Arial" w:cs="Arial"/>
          <w:sz w:val="24"/>
          <w:szCs w:val="24"/>
          <w:lang w:val="en-GB" w:eastAsia="en-ZA"/>
        </w:rPr>
        <w:t>]</w:t>
      </w:r>
      <w:r w:rsidRPr="00353D84">
        <w:rPr>
          <w:rFonts w:ascii="Arial" w:eastAsiaTheme="minorEastAsia" w:hAnsi="Arial" w:cs="Arial"/>
          <w:sz w:val="24"/>
          <w:szCs w:val="24"/>
          <w:lang w:val="en-GB" w:eastAsia="en-ZA"/>
        </w:rPr>
        <w:tab/>
        <w:t xml:space="preserve">For these reasons, </w:t>
      </w:r>
      <w:r w:rsidRPr="00353D84">
        <w:rPr>
          <w:rFonts w:ascii="Arial" w:eastAsiaTheme="minorEastAsia" w:hAnsi="Arial" w:cs="Arial"/>
          <w:sz w:val="24"/>
          <w:szCs w:val="24"/>
          <w:lang w:eastAsia="en-ZA"/>
        </w:rPr>
        <w:t xml:space="preserve">this court is of the view that the </w:t>
      </w:r>
      <w:r w:rsidRPr="00353D84">
        <w:rPr>
          <w:rFonts w:ascii="Arial" w:eastAsiaTheme="minorEastAsia" w:hAnsi="Arial" w:cs="Arial"/>
          <w:sz w:val="24"/>
          <w:szCs w:val="24"/>
          <w:lang w:val="en-GB" w:eastAsia="en-ZA"/>
        </w:rPr>
        <w:t xml:space="preserve">State has established a prima facie case against the accused and the accused is placed on his defence on both counts. </w:t>
      </w:r>
    </w:p>
    <w:p w14:paraId="41012D2A" w14:textId="2D94485B" w:rsidR="004B7A52" w:rsidRDefault="00661211" w:rsidP="0032493B">
      <w:pPr>
        <w:spacing w:before="240" w:line="36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p>
    <w:p w14:paraId="48893901" w14:textId="77777777" w:rsidR="00D32A63" w:rsidRPr="00353D84" w:rsidRDefault="00D32A63" w:rsidP="0032493B">
      <w:pPr>
        <w:spacing w:before="240" w:line="360" w:lineRule="auto"/>
        <w:jc w:val="both"/>
        <w:rPr>
          <w:rFonts w:ascii="Arial" w:eastAsiaTheme="minorEastAsia" w:hAnsi="Arial" w:cs="Arial"/>
          <w:sz w:val="24"/>
          <w:szCs w:val="24"/>
          <w:lang w:eastAsia="en-ZA"/>
        </w:rPr>
      </w:pPr>
    </w:p>
    <w:p w14:paraId="2CA88701" w14:textId="6C5DE689" w:rsidR="00661211" w:rsidRPr="00353D84" w:rsidRDefault="00661211" w:rsidP="00661211">
      <w:pPr>
        <w:spacing w:before="240" w:line="240" w:lineRule="auto"/>
        <w:jc w:val="both"/>
        <w:rPr>
          <w:rFonts w:ascii="Arial" w:eastAsiaTheme="minorEastAsia" w:hAnsi="Arial" w:cs="Arial"/>
          <w:sz w:val="24"/>
          <w:szCs w:val="24"/>
          <w:lang w:eastAsia="en-ZA"/>
        </w:rPr>
      </w:pP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t>__________</w:t>
      </w:r>
    </w:p>
    <w:p w14:paraId="72411954" w14:textId="20864DE2" w:rsidR="0053246E" w:rsidRPr="00353D84" w:rsidRDefault="00661211" w:rsidP="00661211">
      <w:pPr>
        <w:spacing w:before="240" w:line="240" w:lineRule="auto"/>
        <w:jc w:val="right"/>
        <w:rPr>
          <w:rFonts w:ascii="Arial" w:eastAsiaTheme="minorEastAsia" w:hAnsi="Arial" w:cs="Arial"/>
          <w:sz w:val="24"/>
          <w:szCs w:val="24"/>
          <w:lang w:eastAsia="en-ZA"/>
        </w:rPr>
      </w:pPr>
      <w:r w:rsidRPr="00353D84">
        <w:rPr>
          <w:rFonts w:ascii="Arial" w:eastAsiaTheme="minorEastAsia" w:hAnsi="Arial" w:cs="Arial"/>
          <w:sz w:val="24"/>
          <w:szCs w:val="24"/>
          <w:lang w:eastAsia="en-ZA"/>
        </w:rPr>
        <w:tab/>
        <w:t>C Claasen</w:t>
      </w:r>
    </w:p>
    <w:p w14:paraId="50BDE851" w14:textId="5B66A480" w:rsidR="00661211" w:rsidRPr="00353D84" w:rsidRDefault="00661211" w:rsidP="00661211">
      <w:pPr>
        <w:spacing w:before="240" w:line="240" w:lineRule="auto"/>
        <w:jc w:val="right"/>
        <w:rPr>
          <w:rFonts w:ascii="Arial" w:eastAsiaTheme="minorEastAsia" w:hAnsi="Arial" w:cs="Arial"/>
          <w:sz w:val="24"/>
          <w:szCs w:val="24"/>
          <w:lang w:eastAsia="en-ZA"/>
        </w:rPr>
      </w:pPr>
      <w:r w:rsidRPr="00353D84">
        <w:rPr>
          <w:rFonts w:ascii="Arial" w:eastAsiaTheme="minorEastAsia" w:hAnsi="Arial" w:cs="Arial"/>
          <w:sz w:val="24"/>
          <w:szCs w:val="24"/>
          <w:lang w:eastAsia="en-ZA"/>
        </w:rPr>
        <w:t>Judge</w:t>
      </w:r>
    </w:p>
    <w:p w14:paraId="46759D08" w14:textId="77777777" w:rsidR="0053246E" w:rsidRPr="00353D84" w:rsidRDefault="0053246E" w:rsidP="0053246E">
      <w:pPr>
        <w:spacing w:before="240" w:line="360" w:lineRule="auto"/>
        <w:rPr>
          <w:rFonts w:ascii="Arial" w:eastAsiaTheme="minorEastAsia" w:hAnsi="Arial" w:cs="Arial"/>
          <w:sz w:val="24"/>
          <w:szCs w:val="24"/>
          <w:lang w:eastAsia="en-ZA"/>
        </w:rPr>
      </w:pPr>
    </w:p>
    <w:p w14:paraId="29161CF1" w14:textId="77777777" w:rsidR="0053246E" w:rsidRPr="00353D84" w:rsidRDefault="0053246E" w:rsidP="0053246E">
      <w:pPr>
        <w:spacing w:before="240" w:line="360" w:lineRule="auto"/>
        <w:rPr>
          <w:rFonts w:ascii="Arial" w:eastAsiaTheme="minorEastAsia" w:hAnsi="Arial" w:cs="Arial"/>
          <w:sz w:val="24"/>
          <w:szCs w:val="24"/>
          <w:lang w:eastAsia="en-ZA"/>
        </w:rPr>
      </w:pPr>
    </w:p>
    <w:p w14:paraId="506105A5" w14:textId="77777777" w:rsidR="0053246E" w:rsidRPr="00353D84" w:rsidRDefault="0053246E" w:rsidP="0053246E">
      <w:pPr>
        <w:spacing w:before="240" w:line="360" w:lineRule="auto"/>
        <w:rPr>
          <w:rFonts w:ascii="Arial" w:eastAsiaTheme="minorEastAsia" w:hAnsi="Arial" w:cs="Arial"/>
          <w:sz w:val="24"/>
          <w:szCs w:val="24"/>
          <w:lang w:eastAsia="en-ZA"/>
        </w:rPr>
      </w:pPr>
    </w:p>
    <w:p w14:paraId="35225858" w14:textId="77777777" w:rsidR="0053246E" w:rsidRPr="00353D84" w:rsidRDefault="0053246E" w:rsidP="0053246E">
      <w:pPr>
        <w:spacing w:before="240" w:line="360" w:lineRule="auto"/>
        <w:rPr>
          <w:rFonts w:ascii="Arial" w:eastAsiaTheme="minorEastAsia" w:hAnsi="Arial" w:cs="Arial"/>
          <w:sz w:val="24"/>
          <w:szCs w:val="24"/>
          <w:lang w:eastAsia="en-ZA"/>
        </w:rPr>
      </w:pPr>
    </w:p>
    <w:p w14:paraId="01A3F3CD" w14:textId="77777777" w:rsidR="0053246E" w:rsidRPr="00353D84" w:rsidRDefault="0053246E" w:rsidP="0053246E">
      <w:pPr>
        <w:spacing w:before="240" w:line="360" w:lineRule="auto"/>
        <w:rPr>
          <w:rFonts w:ascii="Arial" w:eastAsiaTheme="minorEastAsia" w:hAnsi="Arial" w:cs="Arial"/>
          <w:sz w:val="24"/>
          <w:szCs w:val="24"/>
          <w:lang w:eastAsia="en-ZA"/>
        </w:rPr>
      </w:pPr>
    </w:p>
    <w:p w14:paraId="09CCAC0F" w14:textId="77777777" w:rsidR="0053246E" w:rsidRPr="00353D84" w:rsidRDefault="0053246E" w:rsidP="0053246E">
      <w:pPr>
        <w:spacing w:before="240" w:line="360" w:lineRule="auto"/>
        <w:rPr>
          <w:rFonts w:ascii="Arial" w:eastAsiaTheme="minorEastAsia" w:hAnsi="Arial" w:cs="Arial"/>
          <w:sz w:val="24"/>
          <w:szCs w:val="24"/>
          <w:lang w:eastAsia="en-ZA"/>
        </w:rPr>
      </w:pPr>
    </w:p>
    <w:p w14:paraId="0BF171DA" w14:textId="77777777" w:rsidR="0053246E" w:rsidRPr="00353D84" w:rsidRDefault="0053246E" w:rsidP="0053246E">
      <w:pPr>
        <w:spacing w:before="240" w:line="360" w:lineRule="auto"/>
        <w:rPr>
          <w:rFonts w:ascii="Arial" w:eastAsiaTheme="minorEastAsia" w:hAnsi="Arial" w:cs="Arial"/>
          <w:sz w:val="24"/>
          <w:szCs w:val="24"/>
          <w:lang w:eastAsia="en-ZA"/>
        </w:rPr>
      </w:pPr>
    </w:p>
    <w:p w14:paraId="48A9723A" w14:textId="77777777" w:rsidR="0053246E" w:rsidRPr="00353D84" w:rsidRDefault="0053246E" w:rsidP="0053246E">
      <w:pPr>
        <w:spacing w:before="240" w:line="360" w:lineRule="auto"/>
        <w:rPr>
          <w:rFonts w:ascii="Arial" w:eastAsiaTheme="minorEastAsia" w:hAnsi="Arial" w:cs="Arial"/>
          <w:sz w:val="24"/>
          <w:szCs w:val="24"/>
          <w:lang w:eastAsia="en-ZA"/>
        </w:rPr>
      </w:pPr>
    </w:p>
    <w:p w14:paraId="278FFBD8" w14:textId="77777777" w:rsidR="0053246E" w:rsidRPr="00353D84" w:rsidRDefault="0053246E" w:rsidP="0053246E">
      <w:pPr>
        <w:spacing w:before="240" w:line="360" w:lineRule="auto"/>
        <w:rPr>
          <w:rFonts w:ascii="Arial" w:eastAsiaTheme="minorEastAsia" w:hAnsi="Arial" w:cs="Arial"/>
          <w:sz w:val="24"/>
          <w:szCs w:val="24"/>
          <w:lang w:eastAsia="en-ZA"/>
        </w:rPr>
      </w:pPr>
    </w:p>
    <w:p w14:paraId="59BD4451" w14:textId="77777777" w:rsidR="0053246E" w:rsidRPr="00353D84" w:rsidRDefault="0053246E" w:rsidP="0053246E">
      <w:pPr>
        <w:spacing w:before="240" w:line="360" w:lineRule="auto"/>
        <w:rPr>
          <w:rFonts w:ascii="Arial" w:eastAsiaTheme="minorEastAsia" w:hAnsi="Arial" w:cs="Arial"/>
          <w:sz w:val="24"/>
          <w:szCs w:val="24"/>
          <w:lang w:eastAsia="en-ZA"/>
        </w:rPr>
      </w:pPr>
    </w:p>
    <w:p w14:paraId="4CF2AFC4" w14:textId="77777777" w:rsidR="0053246E" w:rsidRPr="00353D84" w:rsidRDefault="0053246E" w:rsidP="0053246E">
      <w:pPr>
        <w:spacing w:before="240" w:line="360" w:lineRule="auto"/>
        <w:rPr>
          <w:rFonts w:ascii="Arial" w:eastAsiaTheme="minorEastAsia" w:hAnsi="Arial" w:cs="Arial"/>
          <w:sz w:val="24"/>
          <w:szCs w:val="24"/>
          <w:lang w:eastAsia="en-ZA"/>
        </w:rPr>
      </w:pPr>
    </w:p>
    <w:p w14:paraId="0A4574AC" w14:textId="77777777" w:rsidR="0053246E" w:rsidRPr="00353D84" w:rsidRDefault="0053246E" w:rsidP="0053246E">
      <w:pPr>
        <w:spacing w:before="240" w:line="360" w:lineRule="auto"/>
        <w:rPr>
          <w:rFonts w:ascii="Arial" w:eastAsiaTheme="minorEastAsia" w:hAnsi="Arial" w:cs="Arial"/>
          <w:sz w:val="24"/>
          <w:szCs w:val="24"/>
          <w:lang w:eastAsia="en-ZA"/>
        </w:rPr>
      </w:pPr>
    </w:p>
    <w:p w14:paraId="10F1BC2E" w14:textId="42FF7CBE" w:rsidR="0053246E" w:rsidRPr="00353D84" w:rsidRDefault="0053246E" w:rsidP="0053246E">
      <w:pPr>
        <w:spacing w:before="240" w:line="360" w:lineRule="auto"/>
        <w:rPr>
          <w:rFonts w:ascii="Arial" w:eastAsiaTheme="minorEastAsia" w:hAnsi="Arial" w:cs="Arial"/>
          <w:sz w:val="24"/>
          <w:szCs w:val="24"/>
          <w:lang w:eastAsia="en-ZA"/>
        </w:rPr>
      </w:pPr>
      <w:r w:rsidRPr="00353D84">
        <w:rPr>
          <w:rFonts w:ascii="Arial" w:eastAsiaTheme="minorEastAsia" w:hAnsi="Arial" w:cs="Arial"/>
          <w:sz w:val="24"/>
          <w:szCs w:val="24"/>
          <w:lang w:eastAsia="en-ZA"/>
        </w:rPr>
        <w:t>APPEARANCES:</w:t>
      </w:r>
    </w:p>
    <w:p w14:paraId="16F152BB" w14:textId="535CBB32" w:rsidR="0053246E" w:rsidRPr="00353D84" w:rsidRDefault="00353D84" w:rsidP="0053246E">
      <w:pPr>
        <w:spacing w:before="240" w:line="360" w:lineRule="auto"/>
        <w:contextualSpacing/>
        <w:rPr>
          <w:rFonts w:ascii="Arial" w:eastAsiaTheme="minorEastAsia" w:hAnsi="Arial" w:cs="Arial"/>
          <w:sz w:val="24"/>
          <w:szCs w:val="24"/>
          <w:lang w:eastAsia="en-ZA"/>
        </w:rPr>
      </w:pPr>
      <w:r>
        <w:rPr>
          <w:rFonts w:ascii="Arial" w:eastAsiaTheme="minorEastAsia" w:hAnsi="Arial" w:cs="Arial"/>
          <w:sz w:val="24"/>
          <w:szCs w:val="24"/>
          <w:lang w:eastAsia="en-ZA"/>
        </w:rPr>
        <w:t xml:space="preserve">COUNCIL FOR THE ACCUSED: </w:t>
      </w:r>
      <w:r>
        <w:rPr>
          <w:rFonts w:ascii="Arial" w:eastAsiaTheme="minorEastAsia" w:hAnsi="Arial" w:cs="Arial"/>
          <w:sz w:val="24"/>
          <w:szCs w:val="24"/>
          <w:lang w:eastAsia="en-ZA"/>
        </w:rPr>
        <w:tab/>
      </w:r>
      <w:r>
        <w:rPr>
          <w:rFonts w:ascii="Arial" w:eastAsiaTheme="minorEastAsia" w:hAnsi="Arial" w:cs="Arial"/>
          <w:sz w:val="24"/>
          <w:szCs w:val="24"/>
          <w:lang w:eastAsia="en-ZA"/>
        </w:rPr>
        <w:tab/>
      </w:r>
      <w:r w:rsidR="00D32A63">
        <w:rPr>
          <w:rFonts w:ascii="Arial" w:eastAsiaTheme="minorEastAsia" w:hAnsi="Arial" w:cs="Arial"/>
          <w:sz w:val="24"/>
          <w:szCs w:val="24"/>
          <w:lang w:eastAsia="en-ZA"/>
        </w:rPr>
        <w:tab/>
      </w:r>
      <w:r>
        <w:rPr>
          <w:rFonts w:ascii="Arial" w:eastAsiaTheme="minorEastAsia" w:hAnsi="Arial" w:cs="Arial"/>
          <w:sz w:val="24"/>
          <w:szCs w:val="24"/>
          <w:lang w:eastAsia="en-ZA"/>
        </w:rPr>
        <w:t>Mr</w:t>
      </w:r>
      <w:r w:rsidR="0053246E" w:rsidRPr="00353D84">
        <w:rPr>
          <w:rFonts w:ascii="Arial" w:eastAsiaTheme="minorEastAsia" w:hAnsi="Arial" w:cs="Arial"/>
          <w:sz w:val="24"/>
          <w:szCs w:val="24"/>
          <w:lang w:eastAsia="en-ZA"/>
        </w:rPr>
        <w:t xml:space="preserve"> Namandje</w:t>
      </w:r>
    </w:p>
    <w:p w14:paraId="720CD81C" w14:textId="27865338" w:rsidR="0053246E" w:rsidRPr="00353D84" w:rsidRDefault="0053246E" w:rsidP="0053246E">
      <w:pPr>
        <w:spacing w:before="240" w:line="360" w:lineRule="auto"/>
        <w:contextualSpacing/>
        <w:rPr>
          <w:rFonts w:ascii="Arial" w:eastAsiaTheme="minorEastAsia" w:hAnsi="Arial" w:cs="Arial"/>
          <w:sz w:val="24"/>
          <w:szCs w:val="24"/>
          <w:lang w:eastAsia="en-ZA"/>
        </w:rPr>
      </w:pP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00D32A63">
        <w:rPr>
          <w:rFonts w:ascii="Arial" w:eastAsiaTheme="minorEastAsia" w:hAnsi="Arial" w:cs="Arial"/>
          <w:sz w:val="24"/>
          <w:szCs w:val="24"/>
          <w:lang w:eastAsia="en-ZA"/>
        </w:rPr>
        <w:tab/>
      </w:r>
      <w:r w:rsidRPr="00353D84">
        <w:rPr>
          <w:rFonts w:ascii="Arial" w:eastAsiaTheme="minorEastAsia" w:hAnsi="Arial" w:cs="Arial"/>
          <w:sz w:val="24"/>
          <w:szCs w:val="24"/>
          <w:lang w:eastAsia="en-ZA"/>
        </w:rPr>
        <w:t>Sisa Namandje &amp; Co. Inc</w:t>
      </w:r>
    </w:p>
    <w:p w14:paraId="29FE3D1C" w14:textId="77777777" w:rsidR="0053246E" w:rsidRPr="00353D84" w:rsidRDefault="0053246E" w:rsidP="0053246E">
      <w:pPr>
        <w:spacing w:before="240" w:line="360" w:lineRule="auto"/>
        <w:rPr>
          <w:rFonts w:ascii="Arial" w:eastAsiaTheme="minorEastAsia" w:hAnsi="Arial" w:cs="Arial"/>
          <w:sz w:val="24"/>
          <w:szCs w:val="24"/>
          <w:lang w:eastAsia="en-ZA"/>
        </w:rPr>
      </w:pPr>
    </w:p>
    <w:p w14:paraId="47A42B57" w14:textId="67334DF4" w:rsidR="0053246E" w:rsidRPr="00353D84" w:rsidRDefault="00353D84" w:rsidP="0053246E">
      <w:pPr>
        <w:spacing w:before="240" w:line="360" w:lineRule="auto"/>
        <w:contextualSpacing/>
        <w:rPr>
          <w:rFonts w:ascii="Arial" w:eastAsiaTheme="minorEastAsia" w:hAnsi="Arial" w:cs="Arial"/>
          <w:sz w:val="24"/>
          <w:szCs w:val="24"/>
          <w:lang w:eastAsia="en-ZA"/>
        </w:rPr>
      </w:pPr>
      <w:r>
        <w:rPr>
          <w:rFonts w:ascii="Arial" w:eastAsiaTheme="minorEastAsia" w:hAnsi="Arial" w:cs="Arial"/>
          <w:sz w:val="24"/>
          <w:szCs w:val="24"/>
          <w:lang w:eastAsia="en-ZA"/>
        </w:rPr>
        <w:t>THE STATE:</w:t>
      </w:r>
      <w:r>
        <w:rPr>
          <w:rFonts w:ascii="Arial" w:eastAsiaTheme="minorEastAsia" w:hAnsi="Arial" w:cs="Arial"/>
          <w:sz w:val="24"/>
          <w:szCs w:val="24"/>
          <w:lang w:eastAsia="en-ZA"/>
        </w:rPr>
        <w:tab/>
      </w:r>
      <w:r>
        <w:rPr>
          <w:rFonts w:ascii="Arial" w:eastAsiaTheme="minorEastAsia" w:hAnsi="Arial" w:cs="Arial"/>
          <w:sz w:val="24"/>
          <w:szCs w:val="24"/>
          <w:lang w:eastAsia="en-ZA"/>
        </w:rPr>
        <w:tab/>
      </w:r>
      <w:r>
        <w:rPr>
          <w:rFonts w:ascii="Arial" w:eastAsiaTheme="minorEastAsia" w:hAnsi="Arial" w:cs="Arial"/>
          <w:sz w:val="24"/>
          <w:szCs w:val="24"/>
          <w:lang w:eastAsia="en-ZA"/>
        </w:rPr>
        <w:tab/>
      </w:r>
      <w:r>
        <w:rPr>
          <w:rFonts w:ascii="Arial" w:eastAsiaTheme="minorEastAsia" w:hAnsi="Arial" w:cs="Arial"/>
          <w:sz w:val="24"/>
          <w:szCs w:val="24"/>
          <w:lang w:eastAsia="en-ZA"/>
        </w:rPr>
        <w:tab/>
      </w:r>
      <w:r>
        <w:rPr>
          <w:rFonts w:ascii="Arial" w:eastAsiaTheme="minorEastAsia" w:hAnsi="Arial" w:cs="Arial"/>
          <w:sz w:val="24"/>
          <w:szCs w:val="24"/>
          <w:lang w:eastAsia="en-ZA"/>
        </w:rPr>
        <w:tab/>
      </w:r>
      <w:r w:rsidR="00D32A63">
        <w:rPr>
          <w:rFonts w:ascii="Arial" w:eastAsiaTheme="minorEastAsia" w:hAnsi="Arial" w:cs="Arial"/>
          <w:sz w:val="24"/>
          <w:szCs w:val="24"/>
          <w:lang w:eastAsia="en-ZA"/>
        </w:rPr>
        <w:tab/>
      </w:r>
      <w:r>
        <w:rPr>
          <w:rFonts w:ascii="Arial" w:eastAsiaTheme="minorEastAsia" w:hAnsi="Arial" w:cs="Arial"/>
          <w:sz w:val="24"/>
          <w:szCs w:val="24"/>
          <w:lang w:eastAsia="en-ZA"/>
        </w:rPr>
        <w:t>Mrs</w:t>
      </w:r>
      <w:r w:rsidR="0053246E" w:rsidRPr="00353D84">
        <w:rPr>
          <w:rFonts w:ascii="Arial" w:eastAsiaTheme="minorEastAsia" w:hAnsi="Arial" w:cs="Arial"/>
          <w:sz w:val="24"/>
          <w:szCs w:val="24"/>
          <w:lang w:eastAsia="en-ZA"/>
        </w:rPr>
        <w:t xml:space="preserve"> Ndlovo</w:t>
      </w:r>
    </w:p>
    <w:p w14:paraId="73AD2600" w14:textId="364275D7" w:rsidR="0053246E" w:rsidRPr="00353D84" w:rsidRDefault="0053246E" w:rsidP="0053246E">
      <w:pPr>
        <w:spacing w:before="240" w:line="360" w:lineRule="auto"/>
        <w:contextualSpacing/>
        <w:rPr>
          <w:rFonts w:ascii="Arial" w:eastAsiaTheme="minorEastAsia" w:hAnsi="Arial" w:cs="Arial"/>
          <w:sz w:val="24"/>
          <w:szCs w:val="24"/>
          <w:lang w:eastAsia="en-ZA"/>
        </w:rPr>
      </w:pP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00D32A63">
        <w:rPr>
          <w:rFonts w:ascii="Arial" w:eastAsiaTheme="minorEastAsia" w:hAnsi="Arial" w:cs="Arial"/>
          <w:sz w:val="24"/>
          <w:szCs w:val="24"/>
          <w:lang w:eastAsia="en-ZA"/>
        </w:rPr>
        <w:tab/>
      </w:r>
      <w:r w:rsidRPr="00353D84">
        <w:rPr>
          <w:rFonts w:ascii="Arial" w:eastAsiaTheme="minorEastAsia" w:hAnsi="Arial" w:cs="Arial"/>
          <w:sz w:val="24"/>
          <w:szCs w:val="24"/>
          <w:lang w:eastAsia="en-ZA"/>
        </w:rPr>
        <w:t>Office of the Prosecutor-General</w:t>
      </w:r>
    </w:p>
    <w:p w14:paraId="5E615053" w14:textId="2EAF77AC" w:rsidR="0053246E" w:rsidRPr="00353D84" w:rsidRDefault="0053246E" w:rsidP="0053246E">
      <w:pPr>
        <w:spacing w:before="240" w:line="360" w:lineRule="auto"/>
        <w:contextualSpacing/>
        <w:rPr>
          <w:rFonts w:ascii="Arial" w:eastAsiaTheme="minorEastAsia" w:hAnsi="Arial" w:cs="Arial"/>
          <w:sz w:val="24"/>
          <w:szCs w:val="24"/>
          <w:lang w:eastAsia="en-ZA"/>
        </w:rPr>
      </w:pP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Pr="00353D84">
        <w:rPr>
          <w:rFonts w:ascii="Arial" w:eastAsiaTheme="minorEastAsia" w:hAnsi="Arial" w:cs="Arial"/>
          <w:sz w:val="24"/>
          <w:szCs w:val="24"/>
          <w:lang w:eastAsia="en-ZA"/>
        </w:rPr>
        <w:tab/>
      </w:r>
      <w:r w:rsidR="00D32A63">
        <w:rPr>
          <w:rFonts w:ascii="Arial" w:eastAsiaTheme="minorEastAsia" w:hAnsi="Arial" w:cs="Arial"/>
          <w:sz w:val="24"/>
          <w:szCs w:val="24"/>
          <w:lang w:eastAsia="en-ZA"/>
        </w:rPr>
        <w:tab/>
      </w:r>
      <w:r w:rsidRPr="00353D84">
        <w:rPr>
          <w:rFonts w:ascii="Arial" w:eastAsiaTheme="minorEastAsia" w:hAnsi="Arial" w:cs="Arial"/>
          <w:sz w:val="24"/>
          <w:szCs w:val="24"/>
          <w:lang w:eastAsia="en-ZA"/>
        </w:rPr>
        <w:t>Windhoek</w:t>
      </w:r>
      <w:r w:rsidRPr="00353D84">
        <w:rPr>
          <w:rFonts w:ascii="Arial" w:eastAsiaTheme="minorEastAsia" w:hAnsi="Arial" w:cs="Arial"/>
          <w:sz w:val="24"/>
          <w:szCs w:val="24"/>
          <w:lang w:eastAsia="en-ZA"/>
        </w:rPr>
        <w:tab/>
      </w:r>
    </w:p>
    <w:sectPr w:rsidR="0053246E" w:rsidRPr="00353D84" w:rsidSect="005F51AF">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6B15" w14:textId="77777777" w:rsidR="00E96B25" w:rsidRDefault="00E96B25" w:rsidP="00984253">
      <w:pPr>
        <w:spacing w:after="0" w:line="240" w:lineRule="auto"/>
      </w:pPr>
      <w:r>
        <w:separator/>
      </w:r>
    </w:p>
  </w:endnote>
  <w:endnote w:type="continuationSeparator" w:id="0">
    <w:p w14:paraId="499CAD43" w14:textId="77777777" w:rsidR="00E96B25" w:rsidRDefault="00E96B25" w:rsidP="0098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D909" w14:textId="77777777" w:rsidR="00E96B25" w:rsidRDefault="00E96B25" w:rsidP="00984253">
      <w:pPr>
        <w:spacing w:after="0" w:line="240" w:lineRule="auto"/>
      </w:pPr>
      <w:r>
        <w:separator/>
      </w:r>
    </w:p>
  </w:footnote>
  <w:footnote w:type="continuationSeparator" w:id="0">
    <w:p w14:paraId="0203D304" w14:textId="77777777" w:rsidR="00E96B25" w:rsidRDefault="00E96B25" w:rsidP="00984253">
      <w:pPr>
        <w:spacing w:after="0" w:line="240" w:lineRule="auto"/>
      </w:pPr>
      <w:r>
        <w:continuationSeparator/>
      </w:r>
    </w:p>
  </w:footnote>
  <w:footnote w:id="1">
    <w:p w14:paraId="642DE389" w14:textId="77777777" w:rsidR="00701B90" w:rsidRPr="00D32A63" w:rsidRDefault="00701B90" w:rsidP="00701B90">
      <w:pPr>
        <w:pStyle w:val="FootnoteText"/>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hAnsi="Arial" w:cs="Arial"/>
          <w:i/>
          <w:color w:val="000000" w:themeColor="text1"/>
        </w:rPr>
        <w:t>S v Lubaxa</w:t>
      </w:r>
      <w:r w:rsidRPr="00D32A63">
        <w:rPr>
          <w:rFonts w:ascii="Arial" w:hAnsi="Arial" w:cs="Arial"/>
          <w:color w:val="000000" w:themeColor="text1"/>
        </w:rPr>
        <w:t xml:space="preserve"> (372/2000) [2001] ZASCA 100.</w:t>
      </w:r>
    </w:p>
  </w:footnote>
  <w:footnote w:id="2">
    <w:p w14:paraId="4F7EFDFF" w14:textId="77777777" w:rsidR="00701B90" w:rsidRPr="00D32A63" w:rsidRDefault="00701B90" w:rsidP="00701B90">
      <w:pPr>
        <w:pStyle w:val="FootnoteText"/>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eastAsiaTheme="minorEastAsia" w:hAnsi="Arial" w:cs="Arial"/>
          <w:i/>
          <w:color w:val="000000" w:themeColor="text1"/>
          <w:lang w:val="en-GB" w:eastAsia="en-ZA"/>
        </w:rPr>
        <w:t xml:space="preserve">S v </w:t>
      </w:r>
      <w:r w:rsidRPr="00D32A63">
        <w:rPr>
          <w:rFonts w:ascii="Arial" w:eastAsiaTheme="minorEastAsia" w:hAnsi="Arial" w:cs="Arial"/>
          <w:i/>
          <w:iCs/>
          <w:color w:val="000000" w:themeColor="text1"/>
          <w:lang w:val="en-GB" w:eastAsia="en-ZA"/>
        </w:rPr>
        <w:t>Nakale</w:t>
      </w:r>
      <w:r w:rsidRPr="00D32A63">
        <w:rPr>
          <w:rFonts w:ascii="Arial" w:eastAsiaTheme="minorEastAsia" w:hAnsi="Arial" w:cs="Arial"/>
          <w:i/>
          <w:color w:val="000000" w:themeColor="text1"/>
          <w:lang w:val="en-GB" w:eastAsia="en-ZA"/>
        </w:rPr>
        <w:t xml:space="preserve"> and Others</w:t>
      </w:r>
      <w:r w:rsidRPr="00D32A63">
        <w:rPr>
          <w:rFonts w:ascii="Arial" w:eastAsiaTheme="minorEastAsia" w:hAnsi="Arial" w:cs="Arial"/>
          <w:color w:val="000000" w:themeColor="text1"/>
          <w:lang w:eastAsia="en-ZA"/>
        </w:rPr>
        <w:t xml:space="preserve"> 2006 (2) NR 455 (HC).</w:t>
      </w:r>
    </w:p>
  </w:footnote>
  <w:footnote w:id="3">
    <w:p w14:paraId="55E309CF" w14:textId="77777777" w:rsidR="00701B90" w:rsidRPr="00D32A63" w:rsidRDefault="00701B90" w:rsidP="00701B90">
      <w:pPr>
        <w:pStyle w:val="FootnoteText"/>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hAnsi="Arial" w:cs="Arial"/>
          <w:i/>
          <w:color w:val="000000" w:themeColor="text1"/>
        </w:rPr>
        <w:t>S v Teek</w:t>
      </w:r>
      <w:r w:rsidRPr="00D32A63">
        <w:rPr>
          <w:rFonts w:ascii="Arial" w:hAnsi="Arial" w:cs="Arial"/>
          <w:color w:val="000000" w:themeColor="text1"/>
        </w:rPr>
        <w:t xml:space="preserve"> 2009 (1) NR 127 (SC).</w:t>
      </w:r>
    </w:p>
  </w:footnote>
  <w:footnote w:id="4">
    <w:p w14:paraId="3CE89BBA" w14:textId="77777777" w:rsidR="00984253" w:rsidRPr="00D32A63" w:rsidRDefault="00984253" w:rsidP="00984253">
      <w:pPr>
        <w:pStyle w:val="FootnoteText"/>
        <w:jc w:val="both"/>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eastAsiaTheme="minorEastAsia" w:hAnsi="Arial" w:cs="Arial"/>
          <w:i/>
          <w:color w:val="000000" w:themeColor="text1"/>
          <w:lang w:val="en-GB" w:eastAsia="en-ZA"/>
        </w:rPr>
        <w:t xml:space="preserve">S v </w:t>
      </w:r>
      <w:r w:rsidRPr="00D32A63">
        <w:rPr>
          <w:rFonts w:ascii="Arial" w:eastAsiaTheme="minorEastAsia" w:hAnsi="Arial" w:cs="Arial"/>
          <w:i/>
          <w:iCs/>
          <w:color w:val="000000" w:themeColor="text1"/>
          <w:lang w:val="en-GB" w:eastAsia="en-ZA"/>
        </w:rPr>
        <w:t>Nakale</w:t>
      </w:r>
      <w:r w:rsidRPr="00D32A63">
        <w:rPr>
          <w:rFonts w:ascii="Arial" w:eastAsiaTheme="minorEastAsia" w:hAnsi="Arial" w:cs="Arial"/>
          <w:i/>
          <w:color w:val="000000" w:themeColor="text1"/>
          <w:lang w:val="en-GB" w:eastAsia="en-ZA"/>
        </w:rPr>
        <w:t xml:space="preserve"> and Others</w:t>
      </w:r>
      <w:r w:rsidRPr="00D32A63">
        <w:rPr>
          <w:rFonts w:ascii="Arial" w:eastAsiaTheme="minorEastAsia" w:hAnsi="Arial" w:cs="Arial"/>
          <w:color w:val="000000" w:themeColor="text1"/>
          <w:lang w:eastAsia="en-ZA"/>
        </w:rPr>
        <w:t xml:space="preserve"> 2006 (2) NR 455 (HC).</w:t>
      </w:r>
    </w:p>
  </w:footnote>
  <w:footnote w:id="5">
    <w:p w14:paraId="42AAFE12" w14:textId="77777777" w:rsidR="00984253" w:rsidRPr="00D32A63" w:rsidRDefault="00984253" w:rsidP="00984253">
      <w:pPr>
        <w:pStyle w:val="FootnoteText"/>
        <w:rPr>
          <w:rFonts w:ascii="Arial" w:hAnsi="Arial" w:cs="Arial"/>
          <w:color w:val="000000" w:themeColor="text1"/>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Ibid at para 26</w:t>
      </w:r>
    </w:p>
  </w:footnote>
  <w:footnote w:id="6">
    <w:p w14:paraId="34E1C7AA" w14:textId="77777777" w:rsidR="00984253" w:rsidRPr="00D32A63" w:rsidRDefault="00984253" w:rsidP="00984253">
      <w:pPr>
        <w:pStyle w:val="FootnoteText"/>
        <w:jc w:val="both"/>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hAnsi="Arial" w:cs="Arial"/>
          <w:i/>
          <w:color w:val="000000" w:themeColor="text1"/>
          <w:lang w:val="en-ZA"/>
        </w:rPr>
        <w:t xml:space="preserve">Phetoe v S </w:t>
      </w:r>
      <w:r w:rsidRPr="00D32A63">
        <w:rPr>
          <w:rFonts w:ascii="Arial" w:hAnsi="Arial" w:cs="Arial"/>
          <w:color w:val="000000" w:themeColor="text1"/>
          <w:lang w:val="en-ZA"/>
        </w:rPr>
        <w:t>2018 (1) SACR 593 (SCA).</w:t>
      </w:r>
    </w:p>
  </w:footnote>
  <w:footnote w:id="7">
    <w:p w14:paraId="54B59767" w14:textId="405C673C" w:rsidR="00984253" w:rsidRPr="00D32A63" w:rsidRDefault="00984253" w:rsidP="00984253">
      <w:pPr>
        <w:pStyle w:val="FootnoteText"/>
        <w:rPr>
          <w:rFonts w:ascii="Arial" w:hAnsi="Arial" w:cs="Arial"/>
          <w:color w:val="000000" w:themeColor="text1"/>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hAnsi="Arial" w:cs="Arial"/>
          <w:i/>
          <w:color w:val="000000" w:themeColor="text1"/>
        </w:rPr>
        <w:t>Matroos v S</w:t>
      </w:r>
      <w:r w:rsidRPr="00D32A63">
        <w:rPr>
          <w:rFonts w:ascii="Arial" w:hAnsi="Arial" w:cs="Arial"/>
          <w:color w:val="000000" w:themeColor="text1"/>
        </w:rPr>
        <w:t xml:space="preserve"> (HC-MD-CRI-APP-SLA-</w:t>
      </w:r>
      <w:r w:rsidR="00701B90" w:rsidRPr="00D32A63">
        <w:rPr>
          <w:rFonts w:ascii="Arial" w:hAnsi="Arial" w:cs="Arial"/>
          <w:color w:val="000000" w:themeColor="text1"/>
        </w:rPr>
        <w:t>2018/00071) [2019] NAHCMD 255 (</w:t>
      </w:r>
      <w:r w:rsidRPr="00D32A63">
        <w:rPr>
          <w:rFonts w:ascii="Arial" w:hAnsi="Arial" w:cs="Arial"/>
          <w:color w:val="000000" w:themeColor="text1"/>
        </w:rPr>
        <w:t>20 September 2019)</w:t>
      </w:r>
      <w:r w:rsidR="0006262D" w:rsidRPr="00D32A63">
        <w:rPr>
          <w:rFonts w:ascii="Arial" w:hAnsi="Arial" w:cs="Arial"/>
          <w:color w:val="000000" w:themeColor="text1"/>
        </w:rPr>
        <w:t>.</w:t>
      </w:r>
    </w:p>
  </w:footnote>
  <w:footnote w:id="8">
    <w:p w14:paraId="0B794951" w14:textId="063F326B" w:rsidR="0006262D" w:rsidRPr="00D32A63" w:rsidRDefault="0006262D">
      <w:pPr>
        <w:pStyle w:val="FootnoteText"/>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hAnsi="Arial" w:cs="Arial"/>
          <w:i/>
          <w:color w:val="000000" w:themeColor="text1"/>
        </w:rPr>
        <w:t>S v Teek</w:t>
      </w:r>
      <w:r w:rsidRPr="00D32A63">
        <w:rPr>
          <w:rFonts w:ascii="Arial" w:hAnsi="Arial" w:cs="Arial"/>
          <w:color w:val="000000" w:themeColor="text1"/>
        </w:rPr>
        <w:t xml:space="preserve"> 2009 (1) NR 127 (SC).</w:t>
      </w:r>
    </w:p>
  </w:footnote>
  <w:footnote w:id="9">
    <w:p w14:paraId="11B2F897" w14:textId="6B76A227" w:rsidR="0006262D" w:rsidRPr="00D32A63" w:rsidRDefault="0006262D">
      <w:pPr>
        <w:pStyle w:val="FootnoteText"/>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hAnsi="Arial" w:cs="Arial"/>
          <w:i/>
          <w:color w:val="000000" w:themeColor="text1"/>
        </w:rPr>
        <w:t>S v Nakale and Others</w:t>
      </w:r>
      <w:r w:rsidRPr="00D32A63">
        <w:rPr>
          <w:rFonts w:ascii="Arial" w:hAnsi="Arial" w:cs="Arial"/>
          <w:color w:val="000000" w:themeColor="text1"/>
        </w:rPr>
        <w:t xml:space="preserve"> 2006 (2) NR 455 (HC).</w:t>
      </w:r>
    </w:p>
  </w:footnote>
  <w:footnote w:id="10">
    <w:p w14:paraId="5B19C497" w14:textId="6A0386E6" w:rsidR="0032493B" w:rsidRPr="00D32A63" w:rsidRDefault="0032493B">
      <w:pPr>
        <w:pStyle w:val="FootnoteText"/>
        <w:rPr>
          <w:rFonts w:ascii="Arial" w:hAnsi="Arial" w:cs="Arial"/>
          <w:color w:val="000000" w:themeColor="text1"/>
          <w:lang w:val="en-ZA"/>
        </w:rPr>
      </w:pPr>
      <w:r w:rsidRPr="00D32A63">
        <w:rPr>
          <w:rStyle w:val="FootnoteReference"/>
          <w:rFonts w:ascii="Arial" w:hAnsi="Arial" w:cs="Arial"/>
          <w:color w:val="000000" w:themeColor="text1"/>
        </w:rPr>
        <w:footnoteRef/>
      </w:r>
      <w:r w:rsidRPr="00D32A63">
        <w:rPr>
          <w:rFonts w:ascii="Arial" w:hAnsi="Arial" w:cs="Arial"/>
          <w:color w:val="000000" w:themeColor="text1"/>
        </w:rPr>
        <w:t xml:space="preserve"> </w:t>
      </w:r>
      <w:r w:rsidRPr="00D32A63">
        <w:rPr>
          <w:rFonts w:ascii="Arial" w:hAnsi="Arial" w:cs="Arial"/>
          <w:i/>
          <w:color w:val="000000" w:themeColor="text1"/>
        </w:rPr>
        <w:t>S v Teek</w:t>
      </w:r>
      <w:r w:rsidRPr="00D32A63">
        <w:rPr>
          <w:rFonts w:ascii="Arial" w:hAnsi="Arial" w:cs="Arial"/>
          <w:color w:val="000000" w:themeColor="text1"/>
        </w:rPr>
        <w:t xml:space="preserve"> 2009 (1) NR 127 (SC).</w:t>
      </w:r>
    </w:p>
  </w:footnote>
  <w:footnote w:id="11">
    <w:p w14:paraId="70C65FCE" w14:textId="75841091" w:rsidR="00107009" w:rsidRPr="00D32A63" w:rsidRDefault="00107009">
      <w:pPr>
        <w:pStyle w:val="FootnoteText"/>
        <w:rPr>
          <w:color w:val="000000" w:themeColor="text1"/>
        </w:rPr>
      </w:pPr>
      <w:r w:rsidRPr="00D32A63">
        <w:rPr>
          <w:rStyle w:val="FootnoteReference"/>
          <w:color w:val="000000" w:themeColor="text1"/>
        </w:rPr>
        <w:footnoteRef/>
      </w:r>
      <w:r w:rsidRPr="00D32A63">
        <w:rPr>
          <w:color w:val="000000" w:themeColor="text1"/>
        </w:rPr>
        <w:t xml:space="preserve"> </w:t>
      </w:r>
      <w:r w:rsidRPr="00D32A63">
        <w:rPr>
          <w:rStyle w:val="Emphasis"/>
          <w:rFonts w:ascii="Arial" w:hAnsi="Arial" w:cs="Arial"/>
          <w:color w:val="000000" w:themeColor="text1"/>
          <w:sz w:val="21"/>
          <w:szCs w:val="21"/>
        </w:rPr>
        <w:t xml:space="preserve">S v Auala  </w:t>
      </w:r>
      <w:r w:rsidRPr="00D32A63">
        <w:rPr>
          <w:rStyle w:val="Emphasis"/>
          <w:rFonts w:ascii="Arial" w:hAnsi="Arial" w:cs="Arial"/>
          <w:i w:val="0"/>
          <w:color w:val="000000" w:themeColor="text1"/>
          <w:sz w:val="21"/>
          <w:szCs w:val="21"/>
        </w:rPr>
        <w:t>(No 1) 2008 (1) NR 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061735"/>
      <w:docPartObj>
        <w:docPartGallery w:val="Page Numbers (Top of Page)"/>
        <w:docPartUnique/>
      </w:docPartObj>
    </w:sdtPr>
    <w:sdtEndPr>
      <w:rPr>
        <w:noProof/>
      </w:rPr>
    </w:sdtEndPr>
    <w:sdtContent>
      <w:p w14:paraId="0091B75E" w14:textId="7F86C548" w:rsidR="005F51AF" w:rsidRDefault="005F51AF">
        <w:pPr>
          <w:pStyle w:val="Header"/>
          <w:jc w:val="right"/>
        </w:pPr>
        <w:r>
          <w:fldChar w:fldCharType="begin"/>
        </w:r>
        <w:r>
          <w:instrText xml:space="preserve"> PAGE   \* MERGEFORMAT </w:instrText>
        </w:r>
        <w:r>
          <w:fldChar w:fldCharType="separate"/>
        </w:r>
        <w:r w:rsidR="00A719E8">
          <w:rPr>
            <w:noProof/>
          </w:rPr>
          <w:t>11</w:t>
        </w:r>
        <w:r>
          <w:rPr>
            <w:noProof/>
          </w:rPr>
          <w:fldChar w:fldCharType="end"/>
        </w:r>
      </w:p>
    </w:sdtContent>
  </w:sdt>
  <w:p w14:paraId="466D8B48" w14:textId="77777777" w:rsidR="005F51AF" w:rsidRDefault="005F5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62"/>
    <w:rsid w:val="00035508"/>
    <w:rsid w:val="00042543"/>
    <w:rsid w:val="0006262D"/>
    <w:rsid w:val="000D5927"/>
    <w:rsid w:val="000D79CB"/>
    <w:rsid w:val="000E09A4"/>
    <w:rsid w:val="00107009"/>
    <w:rsid w:val="00116149"/>
    <w:rsid w:val="00136D62"/>
    <w:rsid w:val="001442D4"/>
    <w:rsid w:val="001A78C6"/>
    <w:rsid w:val="00214A1D"/>
    <w:rsid w:val="00216AE6"/>
    <w:rsid w:val="00224A08"/>
    <w:rsid w:val="00232716"/>
    <w:rsid w:val="00293B1B"/>
    <w:rsid w:val="002A1BC4"/>
    <w:rsid w:val="002D3AE3"/>
    <w:rsid w:val="002D7E18"/>
    <w:rsid w:val="00305531"/>
    <w:rsid w:val="0032493B"/>
    <w:rsid w:val="00347F89"/>
    <w:rsid w:val="00353D84"/>
    <w:rsid w:val="00372E9D"/>
    <w:rsid w:val="00394729"/>
    <w:rsid w:val="003E0A60"/>
    <w:rsid w:val="00451400"/>
    <w:rsid w:val="004B7A52"/>
    <w:rsid w:val="0053246E"/>
    <w:rsid w:val="00553F81"/>
    <w:rsid w:val="005731C7"/>
    <w:rsid w:val="00584E77"/>
    <w:rsid w:val="005A16DF"/>
    <w:rsid w:val="005A2114"/>
    <w:rsid w:val="005B2E42"/>
    <w:rsid w:val="005C1A37"/>
    <w:rsid w:val="005C723A"/>
    <w:rsid w:val="005F51AF"/>
    <w:rsid w:val="00617D8E"/>
    <w:rsid w:val="0065149E"/>
    <w:rsid w:val="00661211"/>
    <w:rsid w:val="00686E0B"/>
    <w:rsid w:val="006907BB"/>
    <w:rsid w:val="006C5397"/>
    <w:rsid w:val="00701B90"/>
    <w:rsid w:val="00781CD0"/>
    <w:rsid w:val="00786280"/>
    <w:rsid w:val="00793F1D"/>
    <w:rsid w:val="007B7561"/>
    <w:rsid w:val="007D3F73"/>
    <w:rsid w:val="00814199"/>
    <w:rsid w:val="00830A26"/>
    <w:rsid w:val="00884B17"/>
    <w:rsid w:val="00984253"/>
    <w:rsid w:val="00A719E8"/>
    <w:rsid w:val="00A76EE8"/>
    <w:rsid w:val="00A873AB"/>
    <w:rsid w:val="00AB7761"/>
    <w:rsid w:val="00AC2DFF"/>
    <w:rsid w:val="00AE20A8"/>
    <w:rsid w:val="00B757EF"/>
    <w:rsid w:val="00BA4279"/>
    <w:rsid w:val="00C63B9D"/>
    <w:rsid w:val="00C65D2A"/>
    <w:rsid w:val="00CB33A5"/>
    <w:rsid w:val="00D32A63"/>
    <w:rsid w:val="00D759EC"/>
    <w:rsid w:val="00D8492F"/>
    <w:rsid w:val="00D85EE3"/>
    <w:rsid w:val="00DB26B2"/>
    <w:rsid w:val="00E63A4D"/>
    <w:rsid w:val="00E96B25"/>
    <w:rsid w:val="00EB39F8"/>
    <w:rsid w:val="00F1535A"/>
    <w:rsid w:val="00F612C6"/>
    <w:rsid w:val="00F70E02"/>
    <w:rsid w:val="00F72F9E"/>
    <w:rsid w:val="00F805C3"/>
    <w:rsid w:val="00F960D8"/>
    <w:rsid w:val="00FD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59FD"/>
  <w15:chartTrackingRefBased/>
  <w15:docId w15:val="{32A957DF-B9A3-43A5-81FE-4DB66673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5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253"/>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984253"/>
    <w:rPr>
      <w:rFonts w:eastAsia="Times New Roman" w:cs="Times New Roman"/>
      <w:sz w:val="20"/>
      <w:szCs w:val="20"/>
    </w:rPr>
  </w:style>
  <w:style w:type="character" w:styleId="FootnoteReference">
    <w:name w:val="footnote reference"/>
    <w:basedOn w:val="DefaultParagraphFont"/>
    <w:uiPriority w:val="99"/>
    <w:semiHidden/>
    <w:unhideWhenUsed/>
    <w:rsid w:val="00984253"/>
    <w:rPr>
      <w:rFonts w:cs="Times New Roman"/>
      <w:vertAlign w:val="superscript"/>
    </w:rPr>
  </w:style>
  <w:style w:type="character" w:styleId="CommentReference">
    <w:name w:val="annotation reference"/>
    <w:basedOn w:val="DefaultParagraphFont"/>
    <w:uiPriority w:val="99"/>
    <w:semiHidden/>
    <w:unhideWhenUsed/>
    <w:rsid w:val="00984253"/>
    <w:rPr>
      <w:sz w:val="16"/>
      <w:szCs w:val="16"/>
    </w:rPr>
  </w:style>
  <w:style w:type="paragraph" w:styleId="CommentText">
    <w:name w:val="annotation text"/>
    <w:basedOn w:val="Normal"/>
    <w:link w:val="CommentTextChar"/>
    <w:uiPriority w:val="99"/>
    <w:semiHidden/>
    <w:unhideWhenUsed/>
    <w:rsid w:val="00984253"/>
    <w:pPr>
      <w:spacing w:line="240" w:lineRule="auto"/>
    </w:pPr>
    <w:rPr>
      <w:sz w:val="20"/>
      <w:szCs w:val="20"/>
    </w:rPr>
  </w:style>
  <w:style w:type="character" w:customStyle="1" w:styleId="CommentTextChar">
    <w:name w:val="Comment Text Char"/>
    <w:basedOn w:val="DefaultParagraphFont"/>
    <w:link w:val="CommentText"/>
    <w:uiPriority w:val="99"/>
    <w:semiHidden/>
    <w:rsid w:val="00984253"/>
    <w:rPr>
      <w:sz w:val="20"/>
      <w:szCs w:val="20"/>
      <w:lang w:val="en-ZA"/>
    </w:rPr>
  </w:style>
  <w:style w:type="paragraph" w:styleId="BalloonText">
    <w:name w:val="Balloon Text"/>
    <w:basedOn w:val="Normal"/>
    <w:link w:val="BalloonTextChar"/>
    <w:uiPriority w:val="99"/>
    <w:semiHidden/>
    <w:unhideWhenUsed/>
    <w:rsid w:val="0098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53"/>
    <w:rPr>
      <w:rFonts w:ascii="Segoe UI" w:hAnsi="Segoe UI" w:cs="Segoe UI"/>
      <w:sz w:val="18"/>
      <w:szCs w:val="18"/>
      <w:lang w:val="en-ZA"/>
    </w:rPr>
  </w:style>
  <w:style w:type="paragraph" w:styleId="NormalWeb">
    <w:name w:val="Normal (Web)"/>
    <w:basedOn w:val="Normal"/>
    <w:uiPriority w:val="99"/>
    <w:semiHidden/>
    <w:unhideWhenUsed/>
    <w:rsid w:val="001070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07009"/>
    <w:rPr>
      <w:i/>
      <w:iCs/>
    </w:rPr>
  </w:style>
  <w:style w:type="paragraph" w:styleId="Header">
    <w:name w:val="header"/>
    <w:basedOn w:val="Normal"/>
    <w:link w:val="HeaderChar"/>
    <w:uiPriority w:val="99"/>
    <w:unhideWhenUsed/>
    <w:rsid w:val="005F5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AF"/>
    <w:rPr>
      <w:lang w:val="en-ZA"/>
    </w:rPr>
  </w:style>
  <w:style w:type="paragraph" w:styleId="Footer">
    <w:name w:val="footer"/>
    <w:basedOn w:val="Normal"/>
    <w:link w:val="FooterChar"/>
    <w:uiPriority w:val="99"/>
    <w:unhideWhenUsed/>
    <w:rsid w:val="005F5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A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5044">
      <w:bodyDiv w:val="1"/>
      <w:marLeft w:val="0"/>
      <w:marRight w:val="0"/>
      <w:marTop w:val="0"/>
      <w:marBottom w:val="0"/>
      <w:divBdr>
        <w:top w:val="none" w:sz="0" w:space="0" w:color="auto"/>
        <w:left w:val="none" w:sz="0" w:space="0" w:color="auto"/>
        <w:bottom w:val="none" w:sz="0" w:space="0" w:color="auto"/>
        <w:right w:val="none" w:sz="0" w:space="0" w:color="auto"/>
      </w:divBdr>
    </w:div>
    <w:div w:id="18630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2021-03-09T18:30:00+00:00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0994-F3F2-4BE9-A39E-0B40913EC080}">
  <ds:schemaRefs>
    <ds:schemaRef ds:uri="http://schemas.microsoft.com/sharepoint/v3/contenttype/forms"/>
  </ds:schemaRefs>
</ds:datastoreItem>
</file>

<file path=customXml/itemProps2.xml><?xml version="1.0" encoding="utf-8"?>
<ds:datastoreItem xmlns:ds="http://schemas.openxmlformats.org/officeDocument/2006/customXml" ds:itemID="{E990203F-F70C-4AB9-9AAB-AEF178CAC544}">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AA15F271-72BD-4B37-858E-C13C5551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99C77-5D2A-4C00-AB0A-B92D82B5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Claasen</dc:creator>
  <cp:keywords/>
  <dc:description/>
  <cp:lastModifiedBy>HOME</cp:lastModifiedBy>
  <cp:revision>2</cp:revision>
  <cp:lastPrinted>2021-03-10T08:54:00Z</cp:lastPrinted>
  <dcterms:created xsi:type="dcterms:W3CDTF">2021-07-14T15:27:00Z</dcterms:created>
  <dcterms:modified xsi:type="dcterms:W3CDTF">2021-07-14T15:27:00Z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