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B8" w:rsidRPr="00B010EB" w:rsidRDefault="00B83AB8" w:rsidP="001A7C59">
      <w:pPr>
        <w:spacing w:after="0" w:line="360" w:lineRule="auto"/>
        <w:jc w:val="center"/>
        <w:rPr>
          <w:rFonts w:ascii="Arial" w:hAnsi="Arial" w:cs="Arial"/>
          <w:b/>
          <w:sz w:val="24"/>
          <w:szCs w:val="24"/>
          <w:lang w:val="en-GB"/>
        </w:rPr>
      </w:pPr>
      <w:bookmarkStart w:id="0" w:name="_GoBack"/>
      <w:bookmarkEnd w:id="0"/>
      <w:r w:rsidRPr="00B010EB">
        <w:rPr>
          <w:rFonts w:ascii="Arial" w:hAnsi="Arial" w:cs="Arial"/>
          <w:b/>
          <w:sz w:val="24"/>
          <w:szCs w:val="24"/>
          <w:lang w:val="en-GB"/>
        </w:rPr>
        <w:t>REPUBLIC OF NAMIBIA</w:t>
      </w:r>
    </w:p>
    <w:p w:rsidR="00B83AB8" w:rsidRPr="00B010EB" w:rsidRDefault="00B83AB8" w:rsidP="001A7C59">
      <w:pPr>
        <w:spacing w:after="0" w:line="360" w:lineRule="auto"/>
        <w:jc w:val="center"/>
        <w:rPr>
          <w:rFonts w:ascii="Arial" w:hAnsi="Arial" w:cs="Arial"/>
          <w:b/>
          <w:sz w:val="24"/>
          <w:szCs w:val="24"/>
          <w:lang w:val="en-GB"/>
        </w:rPr>
      </w:pPr>
      <w:r w:rsidRPr="00B010EB">
        <w:rPr>
          <w:rFonts w:ascii="Arial" w:hAnsi="Arial" w:cs="Arial"/>
          <w:b/>
          <w:noProof/>
          <w:sz w:val="24"/>
          <w:szCs w:val="24"/>
          <w:lang w:val="en-ZA" w:eastAsia="en-ZA"/>
        </w:rPr>
        <w:drawing>
          <wp:inline distT="0" distB="0" distL="0" distR="0" wp14:anchorId="33902E42" wp14:editId="3D4B6043">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rsidR="00B83AB8" w:rsidRPr="00B010EB" w:rsidRDefault="00B83AB8" w:rsidP="001A7C59">
      <w:pPr>
        <w:spacing w:after="0" w:line="360" w:lineRule="auto"/>
        <w:jc w:val="center"/>
        <w:rPr>
          <w:rFonts w:ascii="Arial" w:hAnsi="Arial" w:cs="Arial"/>
          <w:b/>
          <w:sz w:val="24"/>
          <w:szCs w:val="24"/>
          <w:lang w:val="en-GB"/>
        </w:rPr>
      </w:pPr>
    </w:p>
    <w:p w:rsidR="00B83AB8" w:rsidRPr="00B010EB" w:rsidRDefault="00B83AB8" w:rsidP="001A7C59">
      <w:pPr>
        <w:spacing w:after="0" w:line="360" w:lineRule="auto"/>
        <w:jc w:val="center"/>
        <w:rPr>
          <w:rFonts w:ascii="Arial" w:hAnsi="Arial" w:cs="Arial"/>
          <w:b/>
          <w:bCs/>
          <w:sz w:val="24"/>
          <w:szCs w:val="24"/>
          <w:lang w:val="en-GB"/>
        </w:rPr>
      </w:pPr>
      <w:r w:rsidRPr="00B010EB">
        <w:rPr>
          <w:rFonts w:ascii="Arial" w:hAnsi="Arial" w:cs="Arial"/>
          <w:b/>
          <w:sz w:val="24"/>
          <w:szCs w:val="24"/>
          <w:lang w:val="en-GB"/>
        </w:rPr>
        <w:t>HIGH COURT OF NAMIBIA MAIN DIVISION, WINDHOEK</w:t>
      </w:r>
    </w:p>
    <w:p w:rsidR="00B83AB8" w:rsidRPr="00B010EB" w:rsidRDefault="00B83AB8" w:rsidP="001A7C59">
      <w:pPr>
        <w:spacing w:after="0" w:line="360" w:lineRule="auto"/>
        <w:jc w:val="center"/>
        <w:rPr>
          <w:rFonts w:ascii="Arial" w:hAnsi="Arial" w:cs="Arial"/>
          <w:b/>
          <w:sz w:val="24"/>
          <w:szCs w:val="24"/>
          <w:lang w:val="en-ZA"/>
        </w:rPr>
      </w:pPr>
    </w:p>
    <w:p w:rsidR="00B83AB8" w:rsidRPr="00B010EB" w:rsidRDefault="00B83AB8" w:rsidP="001A7C59">
      <w:pPr>
        <w:spacing w:after="0" w:line="360" w:lineRule="auto"/>
        <w:jc w:val="center"/>
        <w:rPr>
          <w:rFonts w:ascii="Arial" w:hAnsi="Arial" w:cs="Arial"/>
          <w:b/>
          <w:sz w:val="24"/>
          <w:szCs w:val="24"/>
          <w:lang w:val="en-ZA"/>
        </w:rPr>
      </w:pPr>
      <w:r w:rsidRPr="00B010EB">
        <w:rPr>
          <w:rFonts w:ascii="Arial" w:hAnsi="Arial" w:cs="Arial"/>
          <w:b/>
          <w:sz w:val="24"/>
          <w:szCs w:val="24"/>
          <w:lang w:val="en-ZA"/>
        </w:rPr>
        <w:t>JUDGMENT</w:t>
      </w:r>
    </w:p>
    <w:p w:rsidR="00B83AB8" w:rsidRPr="00B010EB" w:rsidRDefault="00B83AB8" w:rsidP="001A7C59">
      <w:pPr>
        <w:spacing w:after="0" w:line="360" w:lineRule="auto"/>
        <w:jc w:val="center"/>
        <w:rPr>
          <w:rFonts w:ascii="Arial" w:hAnsi="Arial" w:cs="Arial"/>
          <w:b/>
          <w:sz w:val="24"/>
          <w:szCs w:val="24"/>
          <w:lang w:val="en-ZA"/>
        </w:rPr>
      </w:pPr>
    </w:p>
    <w:p w:rsidR="00B83AB8" w:rsidRPr="00B010EB" w:rsidRDefault="00B83AB8" w:rsidP="001A7C59">
      <w:pPr>
        <w:spacing w:after="0" w:line="360" w:lineRule="auto"/>
        <w:jc w:val="right"/>
        <w:rPr>
          <w:rFonts w:ascii="Arial" w:hAnsi="Arial" w:cs="Arial"/>
          <w:b/>
          <w:sz w:val="24"/>
          <w:szCs w:val="24"/>
        </w:rPr>
      </w:pPr>
      <w:r w:rsidRPr="00B010EB">
        <w:rPr>
          <w:rFonts w:ascii="Arial" w:hAnsi="Arial" w:cs="Arial"/>
          <w:b/>
          <w:sz w:val="24"/>
          <w:szCs w:val="24"/>
          <w:lang w:val="en-ZA"/>
        </w:rPr>
        <w:t xml:space="preserve">Case No: </w:t>
      </w:r>
      <w:r w:rsidRPr="00B010EB">
        <w:rPr>
          <w:rFonts w:ascii="Arial" w:hAnsi="Arial" w:cs="Arial"/>
          <w:b/>
          <w:sz w:val="24"/>
          <w:szCs w:val="24"/>
        </w:rPr>
        <w:t>HC-MD-CIV-ACT- OTH-</w:t>
      </w:r>
      <w:r w:rsidR="00F41C62" w:rsidRPr="00B010EB">
        <w:rPr>
          <w:rFonts w:ascii="Arial" w:hAnsi="Arial" w:cs="Arial"/>
          <w:b/>
          <w:sz w:val="24"/>
          <w:szCs w:val="24"/>
        </w:rPr>
        <w:t>2018/02642</w:t>
      </w:r>
    </w:p>
    <w:p w:rsidR="00B83AB8" w:rsidRPr="00B010EB" w:rsidRDefault="00B83AB8" w:rsidP="001A7C59">
      <w:pPr>
        <w:spacing w:after="0" w:line="360" w:lineRule="auto"/>
        <w:jc w:val="right"/>
        <w:rPr>
          <w:rFonts w:ascii="Arial" w:hAnsi="Arial" w:cs="Arial"/>
          <w:b/>
          <w:sz w:val="24"/>
          <w:szCs w:val="24"/>
          <w:lang w:val="en-ZA"/>
        </w:rPr>
      </w:pPr>
    </w:p>
    <w:p w:rsidR="00B83AB8" w:rsidRPr="00B010EB" w:rsidRDefault="00B83AB8" w:rsidP="001A7C59">
      <w:pPr>
        <w:spacing w:after="0" w:line="360" w:lineRule="auto"/>
        <w:jc w:val="both"/>
        <w:rPr>
          <w:rFonts w:ascii="Arial" w:hAnsi="Arial" w:cs="Arial"/>
          <w:sz w:val="24"/>
          <w:szCs w:val="24"/>
          <w:lang w:val="en-ZA"/>
        </w:rPr>
      </w:pPr>
      <w:r w:rsidRPr="00B010EB">
        <w:rPr>
          <w:rFonts w:ascii="Arial" w:hAnsi="Arial" w:cs="Arial"/>
          <w:sz w:val="24"/>
          <w:szCs w:val="24"/>
          <w:lang w:val="en-ZA"/>
        </w:rPr>
        <w:t>In the matter between:</w:t>
      </w:r>
    </w:p>
    <w:p w:rsidR="00B83AB8" w:rsidRPr="00B010EB" w:rsidRDefault="00B83AB8" w:rsidP="001A7C59">
      <w:pPr>
        <w:spacing w:after="0" w:line="360" w:lineRule="auto"/>
        <w:jc w:val="both"/>
        <w:rPr>
          <w:rFonts w:ascii="Arial" w:hAnsi="Arial" w:cs="Arial"/>
          <w:b/>
          <w:sz w:val="24"/>
          <w:szCs w:val="24"/>
          <w:lang w:val="en-ZA"/>
        </w:rPr>
      </w:pPr>
      <w:r w:rsidRPr="00B010EB">
        <w:rPr>
          <w:rFonts w:ascii="Arial" w:hAnsi="Arial" w:cs="Arial"/>
          <w:b/>
          <w:sz w:val="24"/>
          <w:szCs w:val="24"/>
          <w:lang w:val="en-ZA"/>
        </w:rPr>
        <w:tab/>
      </w:r>
      <w:r w:rsidRPr="00B010EB">
        <w:rPr>
          <w:rFonts w:ascii="Arial" w:hAnsi="Arial" w:cs="Arial"/>
          <w:b/>
          <w:sz w:val="24"/>
          <w:szCs w:val="24"/>
          <w:lang w:val="en-ZA"/>
        </w:rPr>
        <w:tab/>
      </w:r>
    </w:p>
    <w:p w:rsidR="00B83AB8" w:rsidRPr="00B010EB" w:rsidRDefault="00F41C62" w:rsidP="001A7C59">
      <w:pPr>
        <w:spacing w:after="0" w:line="360" w:lineRule="auto"/>
        <w:jc w:val="both"/>
        <w:rPr>
          <w:rFonts w:ascii="Arial" w:hAnsi="Arial" w:cs="Arial"/>
          <w:b/>
          <w:sz w:val="24"/>
          <w:szCs w:val="24"/>
        </w:rPr>
      </w:pPr>
      <w:r w:rsidRPr="00B010EB">
        <w:rPr>
          <w:rFonts w:ascii="Arial" w:hAnsi="Arial" w:cs="Arial"/>
          <w:b/>
          <w:sz w:val="24"/>
          <w:szCs w:val="24"/>
        </w:rPr>
        <w:t>URSUL</w:t>
      </w:r>
      <w:r w:rsidR="008B4707" w:rsidRPr="00B010EB">
        <w:rPr>
          <w:rFonts w:ascii="Arial" w:hAnsi="Arial" w:cs="Arial"/>
          <w:b/>
          <w:sz w:val="24"/>
          <w:szCs w:val="24"/>
        </w:rPr>
        <w:t>A</w:t>
      </w:r>
      <w:r w:rsidRPr="00B010EB">
        <w:rPr>
          <w:rFonts w:ascii="Arial" w:hAnsi="Arial" w:cs="Arial"/>
          <w:b/>
          <w:sz w:val="24"/>
          <w:szCs w:val="24"/>
        </w:rPr>
        <w:t xml:space="preserve"> ESTER BLAAUW   </w:t>
      </w:r>
      <w:r w:rsidRPr="00B010EB">
        <w:rPr>
          <w:rFonts w:ascii="Arial" w:hAnsi="Arial" w:cs="Arial"/>
          <w:b/>
          <w:sz w:val="24"/>
          <w:szCs w:val="24"/>
        </w:rPr>
        <w:tab/>
      </w:r>
      <w:r w:rsidRPr="00B010EB">
        <w:rPr>
          <w:rFonts w:ascii="Arial" w:hAnsi="Arial" w:cs="Arial"/>
          <w:b/>
          <w:sz w:val="24"/>
          <w:szCs w:val="24"/>
        </w:rPr>
        <w:tab/>
      </w:r>
      <w:r w:rsidR="00B83AB8" w:rsidRPr="00B010EB">
        <w:rPr>
          <w:rFonts w:ascii="Arial" w:hAnsi="Arial" w:cs="Arial"/>
          <w:b/>
          <w:sz w:val="24"/>
          <w:szCs w:val="24"/>
        </w:rPr>
        <w:tab/>
        <w:t xml:space="preserve"> </w:t>
      </w:r>
      <w:r w:rsidR="00B83AB8" w:rsidRPr="00B010EB">
        <w:rPr>
          <w:rFonts w:ascii="Arial" w:hAnsi="Arial" w:cs="Arial"/>
          <w:b/>
          <w:sz w:val="24"/>
          <w:szCs w:val="24"/>
        </w:rPr>
        <w:tab/>
      </w:r>
      <w:r w:rsidR="00B83AB8" w:rsidRPr="00B010EB">
        <w:rPr>
          <w:rFonts w:ascii="Arial" w:hAnsi="Arial" w:cs="Arial"/>
          <w:b/>
          <w:sz w:val="24"/>
          <w:szCs w:val="24"/>
        </w:rPr>
        <w:tab/>
      </w:r>
      <w:r w:rsidR="00B83AB8" w:rsidRPr="00B010EB">
        <w:rPr>
          <w:rFonts w:ascii="Arial" w:hAnsi="Arial" w:cs="Arial"/>
          <w:b/>
          <w:sz w:val="24"/>
          <w:szCs w:val="24"/>
        </w:rPr>
        <w:tab/>
        <w:t>PLAINTIFF</w:t>
      </w:r>
    </w:p>
    <w:p w:rsidR="00B83AB8" w:rsidRPr="00B010EB" w:rsidRDefault="00B83AB8" w:rsidP="001A7C59">
      <w:pPr>
        <w:spacing w:after="0" w:line="360" w:lineRule="auto"/>
        <w:jc w:val="both"/>
        <w:rPr>
          <w:rFonts w:ascii="Arial" w:hAnsi="Arial" w:cs="Arial"/>
          <w:b/>
          <w:sz w:val="24"/>
          <w:szCs w:val="24"/>
          <w:lang w:val="en-ZA"/>
        </w:rPr>
      </w:pPr>
    </w:p>
    <w:p w:rsidR="00B83AB8" w:rsidRPr="00B010EB" w:rsidRDefault="00B83AB8" w:rsidP="001A7C59">
      <w:pPr>
        <w:spacing w:after="0" w:line="360" w:lineRule="auto"/>
        <w:jc w:val="both"/>
        <w:rPr>
          <w:rFonts w:ascii="Arial" w:hAnsi="Arial" w:cs="Arial"/>
          <w:b/>
          <w:sz w:val="24"/>
          <w:szCs w:val="24"/>
          <w:lang w:val="en-ZA"/>
        </w:rPr>
      </w:pPr>
      <w:r w:rsidRPr="00B010EB">
        <w:rPr>
          <w:rFonts w:ascii="Arial" w:hAnsi="Arial" w:cs="Arial"/>
          <w:sz w:val="24"/>
          <w:szCs w:val="24"/>
          <w:lang w:val="en-ZA"/>
        </w:rPr>
        <w:t>and</w:t>
      </w:r>
    </w:p>
    <w:p w:rsidR="00B83AB8" w:rsidRPr="00B010EB" w:rsidRDefault="00B83AB8" w:rsidP="001A7C59">
      <w:pPr>
        <w:spacing w:after="0" w:line="360" w:lineRule="auto"/>
        <w:jc w:val="both"/>
        <w:rPr>
          <w:rFonts w:ascii="Arial" w:hAnsi="Arial" w:cs="Arial"/>
          <w:b/>
          <w:sz w:val="24"/>
          <w:szCs w:val="24"/>
          <w:lang w:val="en-ZA"/>
        </w:rPr>
      </w:pPr>
    </w:p>
    <w:p w:rsidR="00B83AB8" w:rsidRPr="00B010EB" w:rsidRDefault="00F41C62" w:rsidP="001A7C59">
      <w:pPr>
        <w:spacing w:after="0" w:line="360" w:lineRule="auto"/>
        <w:jc w:val="both"/>
        <w:rPr>
          <w:rFonts w:ascii="Arial" w:hAnsi="Arial" w:cs="Arial"/>
          <w:b/>
          <w:sz w:val="24"/>
          <w:szCs w:val="24"/>
        </w:rPr>
      </w:pPr>
      <w:r w:rsidRPr="00B010EB">
        <w:rPr>
          <w:rFonts w:ascii="Arial" w:hAnsi="Arial" w:cs="Arial"/>
          <w:b/>
          <w:sz w:val="24"/>
          <w:szCs w:val="24"/>
        </w:rPr>
        <w:t xml:space="preserve">CHRISCHENDA AKIMI PALLAIS                                       FIRST </w:t>
      </w:r>
      <w:r w:rsidR="00B83AB8" w:rsidRPr="00B010EB">
        <w:rPr>
          <w:rFonts w:ascii="Arial" w:hAnsi="Arial" w:cs="Arial"/>
          <w:b/>
          <w:sz w:val="24"/>
          <w:szCs w:val="24"/>
        </w:rPr>
        <w:t xml:space="preserve">DEFENDANT </w:t>
      </w:r>
    </w:p>
    <w:p w:rsidR="00F41C62" w:rsidRPr="00B010EB" w:rsidRDefault="00F41C62" w:rsidP="001A7C59">
      <w:pPr>
        <w:spacing w:after="0" w:line="360" w:lineRule="auto"/>
        <w:jc w:val="both"/>
        <w:rPr>
          <w:rFonts w:ascii="Arial" w:hAnsi="Arial" w:cs="Arial"/>
          <w:b/>
          <w:sz w:val="24"/>
          <w:szCs w:val="24"/>
        </w:rPr>
      </w:pPr>
      <w:r w:rsidRPr="00B010EB">
        <w:rPr>
          <w:rFonts w:ascii="Arial" w:hAnsi="Arial" w:cs="Arial"/>
          <w:b/>
          <w:sz w:val="24"/>
          <w:szCs w:val="24"/>
        </w:rPr>
        <w:t>BANK WINDHOEK LIMITED                                          SECOND DEFENDANT</w:t>
      </w:r>
    </w:p>
    <w:p w:rsidR="00B83AB8" w:rsidRPr="00B010EB" w:rsidRDefault="00B83AB8" w:rsidP="001A7C59">
      <w:pPr>
        <w:spacing w:after="0" w:line="360" w:lineRule="auto"/>
        <w:jc w:val="both"/>
        <w:rPr>
          <w:rFonts w:ascii="Arial" w:hAnsi="Arial" w:cs="Arial"/>
          <w:b/>
          <w:sz w:val="24"/>
          <w:szCs w:val="24"/>
        </w:rPr>
      </w:pPr>
      <w:r w:rsidRPr="00B010EB">
        <w:rPr>
          <w:rFonts w:ascii="Arial" w:hAnsi="Arial" w:cs="Arial"/>
          <w:b/>
          <w:sz w:val="24"/>
          <w:szCs w:val="24"/>
        </w:rPr>
        <w:tab/>
      </w:r>
      <w:r w:rsidRPr="00B010EB">
        <w:rPr>
          <w:rFonts w:ascii="Arial" w:hAnsi="Arial" w:cs="Arial"/>
          <w:b/>
          <w:sz w:val="24"/>
          <w:szCs w:val="24"/>
        </w:rPr>
        <w:tab/>
      </w:r>
      <w:r w:rsidRPr="00B010EB">
        <w:rPr>
          <w:rFonts w:ascii="Arial" w:hAnsi="Arial" w:cs="Arial"/>
          <w:b/>
          <w:sz w:val="24"/>
          <w:szCs w:val="24"/>
        </w:rPr>
        <w:tab/>
      </w:r>
      <w:r w:rsidRPr="00B010EB">
        <w:rPr>
          <w:rFonts w:ascii="Arial" w:hAnsi="Arial" w:cs="Arial"/>
          <w:b/>
          <w:sz w:val="24"/>
          <w:szCs w:val="24"/>
        </w:rPr>
        <w:tab/>
      </w:r>
      <w:r w:rsidRPr="00B010EB">
        <w:rPr>
          <w:rFonts w:ascii="Arial" w:hAnsi="Arial" w:cs="Arial"/>
          <w:b/>
          <w:sz w:val="24"/>
          <w:szCs w:val="24"/>
        </w:rPr>
        <w:tab/>
      </w:r>
      <w:r w:rsidRPr="00B010EB">
        <w:rPr>
          <w:rFonts w:ascii="Arial" w:hAnsi="Arial" w:cs="Arial"/>
          <w:b/>
          <w:sz w:val="24"/>
          <w:szCs w:val="24"/>
        </w:rPr>
        <w:tab/>
      </w:r>
    </w:p>
    <w:p w:rsidR="00B83AB8" w:rsidRPr="00B010EB" w:rsidRDefault="00B83AB8" w:rsidP="001A7C59">
      <w:pPr>
        <w:spacing w:after="0" w:line="360" w:lineRule="auto"/>
        <w:jc w:val="both"/>
        <w:rPr>
          <w:rFonts w:ascii="Arial" w:hAnsi="Arial" w:cs="Arial"/>
          <w:b/>
          <w:sz w:val="24"/>
          <w:szCs w:val="24"/>
          <w:lang w:val="en-ZA"/>
        </w:rPr>
      </w:pPr>
      <w:r w:rsidRPr="00B010EB">
        <w:rPr>
          <w:rFonts w:ascii="Arial" w:hAnsi="Arial" w:cs="Arial"/>
          <w:b/>
          <w:sz w:val="24"/>
          <w:szCs w:val="24"/>
          <w:lang w:val="en-ZA"/>
        </w:rPr>
        <w:t xml:space="preserve"> </w:t>
      </w:r>
    </w:p>
    <w:p w:rsidR="00B83AB8" w:rsidRPr="00B010EB" w:rsidRDefault="00B83AB8" w:rsidP="001A7C59">
      <w:pPr>
        <w:spacing w:after="0" w:line="360" w:lineRule="auto"/>
        <w:jc w:val="both"/>
        <w:rPr>
          <w:rFonts w:ascii="Arial" w:hAnsi="Arial" w:cs="Arial"/>
          <w:sz w:val="24"/>
          <w:szCs w:val="24"/>
          <w:lang w:val="en-ZA"/>
        </w:rPr>
      </w:pPr>
      <w:r w:rsidRPr="00B010EB">
        <w:rPr>
          <w:rFonts w:ascii="Arial" w:hAnsi="Arial" w:cs="Arial"/>
          <w:b/>
          <w:sz w:val="24"/>
          <w:szCs w:val="24"/>
          <w:lang w:val="en-ZA"/>
        </w:rPr>
        <w:t xml:space="preserve">Neutral Citation:  </w:t>
      </w:r>
      <w:r w:rsidR="00F41C62" w:rsidRPr="00B010EB">
        <w:rPr>
          <w:rFonts w:ascii="Arial" w:hAnsi="Arial" w:cs="Arial"/>
          <w:i/>
          <w:sz w:val="24"/>
          <w:szCs w:val="24"/>
          <w:lang w:val="en-ZA"/>
        </w:rPr>
        <w:t>Blaauw v Pallais &amp; another</w:t>
      </w:r>
      <w:r w:rsidR="00F41C62" w:rsidRPr="00B010EB">
        <w:rPr>
          <w:rFonts w:ascii="Arial" w:hAnsi="Arial" w:cs="Arial"/>
          <w:b/>
          <w:sz w:val="24"/>
          <w:szCs w:val="24"/>
          <w:lang w:val="en-ZA"/>
        </w:rPr>
        <w:t xml:space="preserve"> </w:t>
      </w:r>
      <w:r w:rsidRPr="00B010EB">
        <w:rPr>
          <w:rFonts w:ascii="Arial" w:hAnsi="Arial" w:cs="Arial"/>
          <w:sz w:val="24"/>
          <w:szCs w:val="24"/>
          <w:lang w:val="en-ZA"/>
        </w:rPr>
        <w:t>(HC-MD-CIV-</w:t>
      </w:r>
      <w:r w:rsidRPr="00B010EB">
        <w:rPr>
          <w:rFonts w:ascii="Arial" w:hAnsi="Arial" w:cs="Arial"/>
          <w:sz w:val="24"/>
          <w:szCs w:val="24"/>
        </w:rPr>
        <w:t>ACT-OTH-20</w:t>
      </w:r>
      <w:r w:rsidR="00F41C62" w:rsidRPr="00B010EB">
        <w:rPr>
          <w:rFonts w:ascii="Arial" w:hAnsi="Arial" w:cs="Arial"/>
          <w:sz w:val="24"/>
          <w:szCs w:val="24"/>
        </w:rPr>
        <w:t>18</w:t>
      </w:r>
      <w:r w:rsidRPr="00B010EB">
        <w:rPr>
          <w:rFonts w:ascii="Arial" w:hAnsi="Arial" w:cs="Arial"/>
          <w:sz w:val="24"/>
          <w:szCs w:val="24"/>
        </w:rPr>
        <w:t>/0</w:t>
      </w:r>
      <w:r w:rsidR="00F41C62" w:rsidRPr="00B010EB">
        <w:rPr>
          <w:rFonts w:ascii="Arial" w:hAnsi="Arial" w:cs="Arial"/>
          <w:sz w:val="24"/>
          <w:szCs w:val="24"/>
        </w:rPr>
        <w:t>2642</w:t>
      </w:r>
      <w:r w:rsidR="00F41C62" w:rsidRPr="00B010EB">
        <w:rPr>
          <w:rFonts w:ascii="Arial" w:hAnsi="Arial" w:cs="Arial"/>
          <w:sz w:val="24"/>
          <w:szCs w:val="24"/>
          <w:lang w:val="en-ZA"/>
        </w:rPr>
        <w:t>) [2021</w:t>
      </w:r>
      <w:r w:rsidRPr="00B010EB">
        <w:rPr>
          <w:rFonts w:ascii="Arial" w:hAnsi="Arial" w:cs="Arial"/>
          <w:sz w:val="24"/>
          <w:szCs w:val="24"/>
          <w:lang w:val="en-ZA"/>
        </w:rPr>
        <w:t xml:space="preserve">] NAHCMD </w:t>
      </w:r>
      <w:r w:rsidR="001E2670" w:rsidRPr="00B010EB">
        <w:rPr>
          <w:rFonts w:ascii="Arial" w:hAnsi="Arial" w:cs="Arial"/>
          <w:sz w:val="24"/>
          <w:szCs w:val="24"/>
          <w:lang w:val="en-ZA"/>
        </w:rPr>
        <w:t>13</w:t>
      </w:r>
      <w:r w:rsidRPr="00B010EB">
        <w:rPr>
          <w:rFonts w:ascii="Arial" w:hAnsi="Arial" w:cs="Arial"/>
          <w:sz w:val="24"/>
          <w:szCs w:val="24"/>
          <w:lang w:val="en-ZA"/>
        </w:rPr>
        <w:t xml:space="preserve"> (</w:t>
      </w:r>
      <w:r w:rsidR="00B33113" w:rsidRPr="00B010EB">
        <w:rPr>
          <w:rFonts w:ascii="Arial" w:hAnsi="Arial" w:cs="Arial"/>
          <w:sz w:val="24"/>
          <w:szCs w:val="24"/>
          <w:lang w:val="en-ZA"/>
        </w:rPr>
        <w:t>27</w:t>
      </w:r>
      <w:r w:rsidR="008D3281" w:rsidRPr="00B010EB">
        <w:rPr>
          <w:rFonts w:ascii="Arial" w:hAnsi="Arial" w:cs="Arial"/>
          <w:sz w:val="24"/>
          <w:szCs w:val="24"/>
          <w:lang w:val="en-ZA"/>
        </w:rPr>
        <w:t xml:space="preserve"> January</w:t>
      </w:r>
      <w:r w:rsidR="00F41C62" w:rsidRPr="00B010EB">
        <w:rPr>
          <w:rFonts w:ascii="Arial" w:hAnsi="Arial" w:cs="Arial"/>
          <w:sz w:val="24"/>
          <w:szCs w:val="24"/>
          <w:lang w:val="en-ZA"/>
        </w:rPr>
        <w:t xml:space="preserve"> 2021</w:t>
      </w:r>
      <w:r w:rsidRPr="00B010EB">
        <w:rPr>
          <w:rFonts w:ascii="Arial" w:hAnsi="Arial" w:cs="Arial"/>
          <w:sz w:val="24"/>
          <w:szCs w:val="24"/>
          <w:lang w:val="en-ZA"/>
        </w:rPr>
        <w:t>)</w:t>
      </w:r>
    </w:p>
    <w:p w:rsidR="00B83AB8" w:rsidRPr="00B010EB" w:rsidRDefault="00B83AB8" w:rsidP="001A7C59">
      <w:pPr>
        <w:spacing w:after="0" w:line="360" w:lineRule="auto"/>
        <w:jc w:val="both"/>
        <w:rPr>
          <w:rFonts w:ascii="Arial" w:hAnsi="Arial" w:cs="Arial"/>
          <w:b/>
          <w:sz w:val="24"/>
          <w:szCs w:val="24"/>
          <w:lang w:val="en-ZA"/>
        </w:rPr>
      </w:pPr>
    </w:p>
    <w:p w:rsidR="00B83AB8" w:rsidRPr="00B010EB" w:rsidRDefault="00B010EB" w:rsidP="001A7C59">
      <w:pPr>
        <w:spacing w:after="0" w:line="360" w:lineRule="auto"/>
        <w:jc w:val="both"/>
        <w:rPr>
          <w:rFonts w:ascii="Arial" w:hAnsi="Arial" w:cs="Arial"/>
          <w:b/>
          <w:sz w:val="24"/>
          <w:szCs w:val="24"/>
          <w:lang w:val="en-ZA"/>
        </w:rPr>
      </w:pPr>
      <w:r w:rsidRPr="00B010EB">
        <w:rPr>
          <w:rFonts w:ascii="Arial" w:hAnsi="Arial" w:cs="Arial"/>
          <w:b/>
          <w:sz w:val="24"/>
          <w:szCs w:val="24"/>
          <w:lang w:val="en-ZA"/>
        </w:rPr>
        <w:t>Coram:</w:t>
      </w:r>
      <w:r w:rsidR="00B83AB8" w:rsidRPr="00B010EB">
        <w:rPr>
          <w:rFonts w:ascii="Arial" w:hAnsi="Arial" w:cs="Arial"/>
          <w:b/>
          <w:sz w:val="24"/>
          <w:szCs w:val="24"/>
          <w:lang w:val="en-ZA"/>
        </w:rPr>
        <w:tab/>
      </w:r>
      <w:r w:rsidR="00B83AB8" w:rsidRPr="00B010EB">
        <w:rPr>
          <w:rFonts w:ascii="Arial" w:hAnsi="Arial" w:cs="Arial"/>
          <w:sz w:val="24"/>
          <w:szCs w:val="24"/>
          <w:lang w:val="en-ZA"/>
        </w:rPr>
        <w:t>PRINSLOO J</w:t>
      </w:r>
    </w:p>
    <w:p w:rsidR="00B83AB8" w:rsidRPr="00B010EB" w:rsidRDefault="00B83AB8" w:rsidP="001A7C59">
      <w:pPr>
        <w:spacing w:after="0" w:line="360" w:lineRule="auto"/>
        <w:ind w:left="1440" w:hanging="1440"/>
        <w:jc w:val="both"/>
        <w:rPr>
          <w:rFonts w:ascii="Arial" w:hAnsi="Arial" w:cs="Arial"/>
          <w:b/>
          <w:sz w:val="24"/>
          <w:szCs w:val="24"/>
          <w:lang w:val="en-ZA"/>
        </w:rPr>
      </w:pPr>
      <w:r w:rsidRPr="00B010EB">
        <w:rPr>
          <w:rFonts w:ascii="Arial" w:hAnsi="Arial" w:cs="Arial"/>
          <w:b/>
          <w:sz w:val="24"/>
          <w:szCs w:val="24"/>
          <w:lang w:val="en-ZA"/>
        </w:rPr>
        <w:t>Heard:</w:t>
      </w:r>
      <w:r w:rsidRPr="00B010EB">
        <w:rPr>
          <w:rFonts w:ascii="Arial" w:hAnsi="Arial" w:cs="Arial"/>
          <w:b/>
          <w:sz w:val="24"/>
          <w:szCs w:val="24"/>
          <w:lang w:val="en-ZA"/>
        </w:rPr>
        <w:tab/>
      </w:r>
      <w:r w:rsidR="00AD42EE" w:rsidRPr="00B010EB">
        <w:rPr>
          <w:rFonts w:ascii="Arial" w:hAnsi="Arial" w:cs="Arial"/>
          <w:b/>
          <w:sz w:val="24"/>
          <w:szCs w:val="24"/>
          <w:lang w:val="en-ZA"/>
        </w:rPr>
        <w:t>22-23 September 2020; 6 November 2020</w:t>
      </w:r>
      <w:r w:rsidRPr="00B010EB">
        <w:rPr>
          <w:rFonts w:ascii="Arial" w:hAnsi="Arial" w:cs="Arial"/>
          <w:b/>
          <w:sz w:val="24"/>
          <w:szCs w:val="24"/>
          <w:lang w:val="en-ZA"/>
        </w:rPr>
        <w:tab/>
      </w:r>
    </w:p>
    <w:p w:rsidR="00B83AB8" w:rsidRPr="00B010EB" w:rsidRDefault="00B83AB8" w:rsidP="001A7C59">
      <w:pPr>
        <w:spacing w:after="0" w:line="360" w:lineRule="auto"/>
        <w:jc w:val="both"/>
        <w:rPr>
          <w:rFonts w:ascii="Arial" w:hAnsi="Arial" w:cs="Arial"/>
          <w:b/>
          <w:sz w:val="24"/>
          <w:szCs w:val="24"/>
          <w:lang w:val="en-ZA"/>
        </w:rPr>
      </w:pPr>
      <w:r w:rsidRPr="00B010EB">
        <w:rPr>
          <w:rFonts w:ascii="Arial" w:hAnsi="Arial" w:cs="Arial"/>
          <w:b/>
          <w:sz w:val="24"/>
          <w:szCs w:val="24"/>
          <w:lang w:val="en-ZA"/>
        </w:rPr>
        <w:t>Delivered:</w:t>
      </w:r>
      <w:r w:rsidRPr="00B010EB">
        <w:rPr>
          <w:rFonts w:ascii="Arial" w:hAnsi="Arial" w:cs="Arial"/>
          <w:b/>
          <w:sz w:val="24"/>
          <w:szCs w:val="24"/>
          <w:lang w:val="en-ZA"/>
        </w:rPr>
        <w:tab/>
      </w:r>
      <w:r w:rsidR="00F41C62" w:rsidRPr="00B010EB">
        <w:rPr>
          <w:rFonts w:ascii="Arial" w:hAnsi="Arial" w:cs="Arial"/>
          <w:b/>
          <w:sz w:val="24"/>
          <w:szCs w:val="24"/>
          <w:lang w:val="en-ZA"/>
        </w:rPr>
        <w:t>25</w:t>
      </w:r>
      <w:r w:rsidR="009F5BAE" w:rsidRPr="00B010EB">
        <w:rPr>
          <w:rFonts w:ascii="Arial" w:hAnsi="Arial" w:cs="Arial"/>
          <w:b/>
          <w:sz w:val="24"/>
          <w:szCs w:val="24"/>
          <w:lang w:val="en-ZA"/>
        </w:rPr>
        <w:t xml:space="preserve"> January 2021</w:t>
      </w:r>
    </w:p>
    <w:p w:rsidR="00B83AB8" w:rsidRPr="00B010EB" w:rsidRDefault="00B83AB8" w:rsidP="001A7C59">
      <w:pPr>
        <w:spacing w:after="0" w:line="360" w:lineRule="auto"/>
        <w:jc w:val="both"/>
        <w:rPr>
          <w:rFonts w:ascii="Arial" w:hAnsi="Arial" w:cs="Arial"/>
          <w:b/>
          <w:sz w:val="24"/>
          <w:szCs w:val="24"/>
          <w:lang w:val="en-ZA"/>
        </w:rPr>
      </w:pPr>
      <w:r w:rsidRPr="00B010EB">
        <w:rPr>
          <w:rFonts w:ascii="Arial" w:hAnsi="Arial" w:cs="Arial"/>
          <w:b/>
          <w:sz w:val="24"/>
          <w:szCs w:val="24"/>
          <w:lang w:val="en-ZA"/>
        </w:rPr>
        <w:t>Reasons:</w:t>
      </w:r>
      <w:r w:rsidRPr="00B010EB">
        <w:rPr>
          <w:rFonts w:ascii="Arial" w:hAnsi="Arial" w:cs="Arial"/>
          <w:b/>
          <w:sz w:val="24"/>
          <w:szCs w:val="24"/>
          <w:lang w:val="en-ZA"/>
        </w:rPr>
        <w:tab/>
      </w:r>
      <w:r w:rsidR="002A2EB2" w:rsidRPr="00B010EB">
        <w:rPr>
          <w:rFonts w:ascii="Arial" w:hAnsi="Arial" w:cs="Arial"/>
          <w:b/>
          <w:sz w:val="24"/>
          <w:szCs w:val="24"/>
          <w:lang w:val="en-ZA"/>
        </w:rPr>
        <w:t>27</w:t>
      </w:r>
      <w:r w:rsidR="009F5BAE" w:rsidRPr="00B010EB">
        <w:rPr>
          <w:rFonts w:ascii="Arial" w:hAnsi="Arial" w:cs="Arial"/>
          <w:b/>
          <w:sz w:val="24"/>
          <w:szCs w:val="24"/>
          <w:lang w:val="en-ZA"/>
        </w:rPr>
        <w:t xml:space="preserve"> January 2021</w:t>
      </w:r>
    </w:p>
    <w:p w:rsidR="00B83AB8" w:rsidRPr="00B010EB" w:rsidRDefault="00B83AB8" w:rsidP="001A7C59">
      <w:pPr>
        <w:spacing w:after="0" w:line="360" w:lineRule="auto"/>
        <w:jc w:val="both"/>
        <w:rPr>
          <w:rFonts w:ascii="Arial" w:hAnsi="Arial" w:cs="Arial"/>
          <w:sz w:val="24"/>
          <w:szCs w:val="24"/>
          <w:lang w:val="en-ZA"/>
        </w:rPr>
      </w:pPr>
    </w:p>
    <w:p w:rsidR="00F41C62" w:rsidRPr="00B010EB" w:rsidRDefault="00B83AB8" w:rsidP="001A7C59">
      <w:pPr>
        <w:spacing w:after="0" w:line="360" w:lineRule="auto"/>
        <w:jc w:val="both"/>
        <w:rPr>
          <w:rFonts w:ascii="Arial" w:eastAsia="Calibri" w:hAnsi="Arial" w:cs="Arial"/>
          <w:sz w:val="24"/>
          <w:szCs w:val="24"/>
        </w:rPr>
      </w:pPr>
      <w:r w:rsidRPr="00B010EB">
        <w:rPr>
          <w:rFonts w:ascii="Arial" w:hAnsi="Arial" w:cs="Arial"/>
          <w:sz w:val="24"/>
          <w:szCs w:val="24"/>
          <w:lang w:val="en-ZA"/>
        </w:rPr>
        <w:t>Flynote:</w:t>
      </w:r>
      <w:r w:rsidRPr="00B010EB">
        <w:rPr>
          <w:rFonts w:ascii="Arial" w:hAnsi="Arial" w:cs="Arial"/>
          <w:sz w:val="24"/>
          <w:szCs w:val="24"/>
          <w:lang w:val="en-ZA"/>
        </w:rPr>
        <w:tab/>
      </w:r>
      <w:r w:rsidR="00F41C62" w:rsidRPr="00B010EB">
        <w:rPr>
          <w:rFonts w:ascii="Arial" w:hAnsi="Arial" w:cs="Arial"/>
          <w:sz w:val="24"/>
          <w:szCs w:val="24"/>
        </w:rPr>
        <w:t xml:space="preserve">Civil practice – Vicarious Liability </w:t>
      </w:r>
      <w:r w:rsidR="002A2EB2" w:rsidRPr="00B010EB">
        <w:rPr>
          <w:rFonts w:ascii="Arial" w:hAnsi="Arial" w:cs="Arial"/>
          <w:sz w:val="24"/>
          <w:szCs w:val="24"/>
        </w:rPr>
        <w:t>–</w:t>
      </w:r>
      <w:r w:rsidR="00F41C62" w:rsidRPr="00B010EB">
        <w:rPr>
          <w:rFonts w:ascii="Arial" w:hAnsi="Arial" w:cs="Arial"/>
          <w:sz w:val="24"/>
          <w:szCs w:val="24"/>
        </w:rPr>
        <w:t xml:space="preserve"> </w:t>
      </w:r>
      <w:r w:rsidR="00F41C62" w:rsidRPr="00B010EB">
        <w:rPr>
          <w:rFonts w:ascii="Arial" w:eastAsia="Calibri" w:hAnsi="Arial" w:cs="Arial"/>
          <w:sz w:val="24"/>
          <w:szCs w:val="24"/>
        </w:rPr>
        <w:t xml:space="preserve">An employee who is clearly mandated to work within certain guidelines but decides to deviate from the scope of authority of his or her employer and the deviation is remotely detached from her </w:t>
      </w:r>
      <w:r w:rsidR="00F41C62" w:rsidRPr="00B010EB">
        <w:rPr>
          <w:rFonts w:ascii="Arial" w:eastAsia="Calibri" w:hAnsi="Arial" w:cs="Arial"/>
          <w:sz w:val="24"/>
          <w:szCs w:val="24"/>
        </w:rPr>
        <w:lastRenderedPageBreak/>
        <w:t xml:space="preserve">mandate – is solely responsible for his or her deeds. – An employer cannot be held vicariously liable for those deeds. – In that determination the court applied both subjective and objective tests and held that the employer was not vicariously liable for his employees’ wrongfulness. </w:t>
      </w:r>
    </w:p>
    <w:p w:rsidR="00B83AB8" w:rsidRPr="00B010EB" w:rsidRDefault="00B83AB8" w:rsidP="001A7C59">
      <w:pPr>
        <w:spacing w:after="0" w:line="360" w:lineRule="auto"/>
        <w:jc w:val="both"/>
        <w:rPr>
          <w:rFonts w:ascii="Arial" w:hAnsi="Arial" w:cs="Arial"/>
          <w:sz w:val="24"/>
          <w:szCs w:val="24"/>
          <w:lang w:val="en-ZA"/>
        </w:rPr>
      </w:pPr>
    </w:p>
    <w:p w:rsidR="00EB49CD" w:rsidRPr="00B010EB" w:rsidRDefault="00B83AB8" w:rsidP="001A7C59">
      <w:pPr>
        <w:spacing w:after="0" w:line="360" w:lineRule="auto"/>
        <w:contextualSpacing/>
        <w:jc w:val="both"/>
        <w:rPr>
          <w:rFonts w:ascii="Arial" w:hAnsi="Arial" w:cs="Arial"/>
          <w:sz w:val="24"/>
          <w:szCs w:val="24"/>
        </w:rPr>
      </w:pPr>
      <w:r w:rsidRPr="00B010EB">
        <w:rPr>
          <w:rFonts w:ascii="Arial" w:hAnsi="Arial" w:cs="Arial"/>
          <w:sz w:val="24"/>
          <w:szCs w:val="24"/>
          <w:lang w:val="en-ZA"/>
        </w:rPr>
        <w:t>Summary:</w:t>
      </w:r>
      <w:r w:rsidR="008F0134" w:rsidRPr="00B010EB">
        <w:rPr>
          <w:rFonts w:ascii="Arial" w:hAnsi="Arial" w:cs="Arial"/>
          <w:sz w:val="24"/>
          <w:szCs w:val="24"/>
          <w:lang w:val="en-ZA"/>
        </w:rPr>
        <w:t xml:space="preserve"> </w:t>
      </w:r>
      <w:r w:rsidR="00EB49CD" w:rsidRPr="00B010EB">
        <w:rPr>
          <w:rFonts w:ascii="Arial" w:hAnsi="Arial" w:cs="Arial"/>
          <w:sz w:val="24"/>
          <w:szCs w:val="24"/>
        </w:rPr>
        <w:t>The plaintiff issued summons against the first and second defendant on 6 July 2018. The plaintiff claimed for payment against the first and second defendant jointly and severally (the one to pay the other to be absolved) for payment in the amount of N$588, 044.70 which amount was amended during trial to N$403 04.70 plus interest and costs for money misappropriated from her account by the first defendant who is an employee of the second defendant.</w:t>
      </w:r>
    </w:p>
    <w:p w:rsidR="001E5CB3" w:rsidRPr="00B010EB" w:rsidRDefault="001E5CB3" w:rsidP="001A7C59">
      <w:pPr>
        <w:spacing w:after="0" w:line="360" w:lineRule="auto"/>
        <w:contextualSpacing/>
        <w:jc w:val="both"/>
        <w:rPr>
          <w:rFonts w:ascii="Arial" w:hAnsi="Arial" w:cs="Arial"/>
          <w:sz w:val="24"/>
          <w:szCs w:val="24"/>
        </w:rPr>
      </w:pPr>
    </w:p>
    <w:p w:rsidR="001E5CB3" w:rsidRPr="00B010EB" w:rsidRDefault="001E5CB3" w:rsidP="001A7C59">
      <w:pPr>
        <w:spacing w:after="0" w:line="360" w:lineRule="auto"/>
        <w:contextualSpacing/>
        <w:jc w:val="both"/>
        <w:rPr>
          <w:rFonts w:ascii="Arial" w:hAnsi="Arial" w:cs="Arial"/>
          <w:sz w:val="24"/>
          <w:szCs w:val="24"/>
        </w:rPr>
      </w:pPr>
      <w:r w:rsidRPr="00B010EB">
        <w:rPr>
          <w:rFonts w:ascii="Arial" w:hAnsi="Arial" w:cs="Arial"/>
          <w:i/>
          <w:sz w:val="24"/>
          <w:szCs w:val="24"/>
        </w:rPr>
        <w:t xml:space="preserve">Held that </w:t>
      </w:r>
      <w:r w:rsidRPr="00B010EB">
        <w:rPr>
          <w:rFonts w:ascii="Arial" w:eastAsia="Calibri" w:hAnsi="Arial" w:cs="Arial"/>
          <w:sz w:val="24"/>
          <w:szCs w:val="24"/>
        </w:rPr>
        <w:t>when the first defendant acted on behalf of the plaintiff as her mandatary /mandate holder, she acted in her personal capacity as the plaintiff’s agent                                                                                                                                                                                                                                                                                                                                                                                                                                                                                                                                                                                                                                                                                                                                                                                                                                                                                                                                                                                                                                                                 and not in her capacity as personal banker.</w:t>
      </w:r>
    </w:p>
    <w:p w:rsidR="00EB49CD" w:rsidRPr="00B010EB" w:rsidRDefault="00EB49CD" w:rsidP="001A7C59">
      <w:pPr>
        <w:spacing w:after="0" w:line="360" w:lineRule="auto"/>
        <w:contextualSpacing/>
        <w:jc w:val="both"/>
        <w:rPr>
          <w:rFonts w:ascii="Arial" w:hAnsi="Arial" w:cs="Arial"/>
          <w:sz w:val="24"/>
          <w:szCs w:val="24"/>
        </w:rPr>
      </w:pPr>
    </w:p>
    <w:p w:rsidR="003C4E3F" w:rsidRPr="00B010EB" w:rsidRDefault="009C7248" w:rsidP="001A7C59">
      <w:pPr>
        <w:spacing w:after="0" w:line="360" w:lineRule="auto"/>
        <w:contextualSpacing/>
        <w:jc w:val="both"/>
        <w:rPr>
          <w:rFonts w:ascii="Arial" w:eastAsia="Calibri" w:hAnsi="Arial" w:cs="Arial"/>
          <w:sz w:val="24"/>
          <w:szCs w:val="24"/>
        </w:rPr>
      </w:pPr>
      <w:r w:rsidRPr="00B010EB">
        <w:rPr>
          <w:rFonts w:ascii="Arial" w:hAnsi="Arial" w:cs="Arial"/>
          <w:i/>
          <w:sz w:val="24"/>
          <w:szCs w:val="24"/>
        </w:rPr>
        <w:t>Held that</w:t>
      </w:r>
      <w:r w:rsidRPr="00B010EB">
        <w:rPr>
          <w:rFonts w:ascii="Arial" w:hAnsi="Arial" w:cs="Arial"/>
          <w:sz w:val="24"/>
          <w:szCs w:val="24"/>
        </w:rPr>
        <w:t xml:space="preserve"> </w:t>
      </w:r>
      <w:r w:rsidR="00C2266E" w:rsidRPr="00B010EB">
        <w:rPr>
          <w:rFonts w:ascii="Arial" w:eastAsia="Calibri" w:hAnsi="Arial" w:cs="Arial"/>
          <w:sz w:val="24"/>
          <w:szCs w:val="24"/>
        </w:rPr>
        <w:t>the first defendants conduct and natu</w:t>
      </w:r>
      <w:r w:rsidR="002A2EB2" w:rsidRPr="00B010EB">
        <w:rPr>
          <w:rFonts w:ascii="Arial" w:eastAsia="Calibri" w:hAnsi="Arial" w:cs="Arial"/>
          <w:sz w:val="24"/>
          <w:szCs w:val="24"/>
        </w:rPr>
        <w:t>re of her duties are far and not</w:t>
      </w:r>
      <w:r w:rsidR="00C2266E" w:rsidRPr="00B010EB">
        <w:rPr>
          <w:rFonts w:ascii="Arial" w:eastAsia="Calibri" w:hAnsi="Arial" w:cs="Arial"/>
          <w:sz w:val="24"/>
          <w:szCs w:val="24"/>
        </w:rPr>
        <w:t xml:space="preserve"> remotely connected to her mandate from the plaintiff. It can therefore, be safely held that first defendant was on a frolic of her own and as such vicarious liability cannot and should not be extended to engulf second defendant in the circumstances</w:t>
      </w:r>
      <w:r w:rsidRPr="00B010EB">
        <w:rPr>
          <w:rFonts w:ascii="Arial" w:eastAsia="Calibri" w:hAnsi="Arial" w:cs="Arial"/>
          <w:sz w:val="24"/>
          <w:szCs w:val="24"/>
        </w:rPr>
        <w:t>.</w:t>
      </w:r>
    </w:p>
    <w:p w:rsidR="00C2266E" w:rsidRPr="00B010EB" w:rsidRDefault="00C2266E" w:rsidP="001A7C59">
      <w:pPr>
        <w:spacing w:after="0" w:line="360" w:lineRule="auto"/>
        <w:contextualSpacing/>
        <w:jc w:val="both"/>
        <w:rPr>
          <w:rFonts w:ascii="Arial" w:hAnsi="Arial" w:cs="Arial"/>
          <w:sz w:val="24"/>
          <w:szCs w:val="24"/>
        </w:rPr>
      </w:pPr>
    </w:p>
    <w:p w:rsidR="00B83AB8" w:rsidRPr="00B010EB" w:rsidRDefault="00025FA7" w:rsidP="001A7C59">
      <w:pPr>
        <w:spacing w:after="0" w:line="360" w:lineRule="auto"/>
        <w:jc w:val="both"/>
        <w:rPr>
          <w:rFonts w:ascii="Arial" w:hAnsi="Arial" w:cs="Arial"/>
          <w:sz w:val="24"/>
          <w:szCs w:val="24"/>
          <w:lang w:val="en-ZA"/>
        </w:rPr>
      </w:pPr>
      <w:r w:rsidRPr="00B010EB">
        <w:rPr>
          <w:rFonts w:ascii="Arial" w:hAnsi="Arial" w:cs="Arial"/>
          <w:sz w:val="24"/>
          <w:szCs w:val="24"/>
          <w:lang w:val="en-ZA"/>
        </w:rPr>
        <w:t>__________________________________________________________________</w:t>
      </w:r>
      <w:r w:rsidR="00B83AB8" w:rsidRPr="00B010EB">
        <w:rPr>
          <w:rFonts w:ascii="Arial" w:hAnsi="Arial" w:cs="Arial"/>
          <w:sz w:val="24"/>
          <w:szCs w:val="24"/>
          <w:lang w:val="en-ZA"/>
        </w:rPr>
        <w:tab/>
      </w:r>
      <w:r w:rsidRPr="00B010EB">
        <w:rPr>
          <w:rFonts w:ascii="Arial" w:hAnsi="Arial" w:cs="Arial"/>
          <w:sz w:val="24"/>
          <w:szCs w:val="24"/>
          <w:lang w:val="en-ZA"/>
        </w:rPr>
        <w:tab/>
      </w:r>
      <w:r w:rsidRPr="00B010EB">
        <w:rPr>
          <w:rFonts w:ascii="Arial" w:hAnsi="Arial" w:cs="Arial"/>
          <w:sz w:val="24"/>
          <w:szCs w:val="24"/>
          <w:lang w:val="en-ZA"/>
        </w:rPr>
        <w:tab/>
      </w:r>
      <w:r w:rsidRPr="00B010EB">
        <w:rPr>
          <w:rFonts w:ascii="Arial" w:hAnsi="Arial" w:cs="Arial"/>
          <w:sz w:val="24"/>
          <w:szCs w:val="24"/>
          <w:lang w:val="en-ZA"/>
        </w:rPr>
        <w:tab/>
      </w:r>
      <w:r w:rsidRPr="00B010EB">
        <w:rPr>
          <w:rFonts w:ascii="Arial" w:hAnsi="Arial" w:cs="Arial"/>
          <w:sz w:val="24"/>
          <w:szCs w:val="24"/>
          <w:lang w:val="en-ZA"/>
        </w:rPr>
        <w:tab/>
      </w:r>
    </w:p>
    <w:p w:rsidR="00025FA7" w:rsidRPr="00B010EB" w:rsidRDefault="00025FA7" w:rsidP="001A7C59">
      <w:pPr>
        <w:spacing w:after="0" w:line="360" w:lineRule="auto"/>
        <w:jc w:val="both"/>
        <w:rPr>
          <w:rFonts w:ascii="Arial" w:hAnsi="Arial" w:cs="Arial"/>
          <w:b/>
          <w:sz w:val="24"/>
          <w:szCs w:val="24"/>
          <w:lang w:val="en-ZA"/>
        </w:rPr>
      </w:pPr>
      <w:r w:rsidRPr="00B010EB">
        <w:rPr>
          <w:rFonts w:ascii="Arial" w:hAnsi="Arial" w:cs="Arial"/>
          <w:sz w:val="24"/>
          <w:szCs w:val="24"/>
          <w:lang w:val="en-ZA"/>
        </w:rPr>
        <w:tab/>
      </w:r>
      <w:r w:rsidRPr="00B010EB">
        <w:rPr>
          <w:rFonts w:ascii="Arial" w:hAnsi="Arial" w:cs="Arial"/>
          <w:sz w:val="24"/>
          <w:szCs w:val="24"/>
          <w:lang w:val="en-ZA"/>
        </w:rPr>
        <w:tab/>
      </w:r>
      <w:r w:rsidRPr="00B010EB">
        <w:rPr>
          <w:rFonts w:ascii="Arial" w:hAnsi="Arial" w:cs="Arial"/>
          <w:sz w:val="24"/>
          <w:szCs w:val="24"/>
          <w:lang w:val="en-ZA"/>
        </w:rPr>
        <w:tab/>
      </w:r>
      <w:r w:rsidRPr="00B010EB">
        <w:rPr>
          <w:rFonts w:ascii="Arial" w:hAnsi="Arial" w:cs="Arial"/>
          <w:sz w:val="24"/>
          <w:szCs w:val="24"/>
          <w:lang w:val="en-ZA"/>
        </w:rPr>
        <w:tab/>
      </w:r>
      <w:r w:rsidRPr="00B010EB">
        <w:rPr>
          <w:rFonts w:ascii="Arial" w:hAnsi="Arial" w:cs="Arial"/>
          <w:sz w:val="24"/>
          <w:szCs w:val="24"/>
          <w:lang w:val="en-ZA"/>
        </w:rPr>
        <w:tab/>
      </w:r>
      <w:r w:rsidRPr="00B010EB">
        <w:rPr>
          <w:rFonts w:ascii="Arial" w:hAnsi="Arial" w:cs="Arial"/>
          <w:b/>
          <w:sz w:val="24"/>
          <w:szCs w:val="24"/>
          <w:lang w:val="en-ZA"/>
        </w:rPr>
        <w:t>ORDER</w:t>
      </w:r>
    </w:p>
    <w:p w:rsidR="00B83AB8" w:rsidRPr="00B010EB" w:rsidRDefault="00025FA7" w:rsidP="001A7C59">
      <w:pPr>
        <w:spacing w:after="0" w:line="360" w:lineRule="auto"/>
        <w:jc w:val="both"/>
        <w:rPr>
          <w:rFonts w:ascii="Arial" w:hAnsi="Arial" w:cs="Arial"/>
          <w:sz w:val="24"/>
          <w:szCs w:val="24"/>
          <w:lang w:val="en-ZA"/>
        </w:rPr>
      </w:pPr>
      <w:r w:rsidRPr="00B010EB">
        <w:rPr>
          <w:rFonts w:ascii="Arial" w:hAnsi="Arial" w:cs="Arial"/>
          <w:sz w:val="24"/>
          <w:szCs w:val="24"/>
          <w:lang w:val="en-ZA"/>
        </w:rPr>
        <w:t>__________________________________________________________________</w:t>
      </w:r>
    </w:p>
    <w:p w:rsidR="00734068" w:rsidRPr="00B010EB" w:rsidRDefault="00734068" w:rsidP="001A7C59">
      <w:pPr>
        <w:spacing w:after="0" w:line="360" w:lineRule="auto"/>
        <w:jc w:val="both"/>
        <w:rPr>
          <w:rFonts w:ascii="Arial" w:eastAsia="Calibri" w:hAnsi="Arial" w:cs="Arial"/>
          <w:sz w:val="24"/>
          <w:szCs w:val="24"/>
        </w:rPr>
      </w:pPr>
    </w:p>
    <w:p w:rsidR="00734068" w:rsidRPr="00B010EB" w:rsidRDefault="00734068" w:rsidP="001A7C59">
      <w:pPr>
        <w:spacing w:after="0" w:line="360" w:lineRule="auto"/>
        <w:jc w:val="both"/>
        <w:rPr>
          <w:rFonts w:ascii="Arial" w:hAnsi="Arial" w:cs="Arial"/>
          <w:sz w:val="24"/>
          <w:szCs w:val="24"/>
          <w:lang w:val="en-ZA"/>
        </w:rPr>
      </w:pPr>
      <w:r w:rsidRPr="00B010EB">
        <w:rPr>
          <w:rFonts w:ascii="Arial" w:eastAsia="Calibri" w:hAnsi="Arial" w:cs="Arial"/>
          <w:sz w:val="24"/>
          <w:szCs w:val="24"/>
        </w:rPr>
        <w:t xml:space="preserve">The plaintiff’s claim </w:t>
      </w:r>
      <w:r w:rsidR="00C54FE8" w:rsidRPr="00B010EB">
        <w:rPr>
          <w:rFonts w:ascii="Arial" w:eastAsia="Calibri" w:hAnsi="Arial" w:cs="Arial"/>
          <w:sz w:val="24"/>
          <w:szCs w:val="24"/>
        </w:rPr>
        <w:t xml:space="preserve">against the second defendant </w:t>
      </w:r>
      <w:r w:rsidRPr="00B010EB">
        <w:rPr>
          <w:rFonts w:ascii="Arial" w:eastAsia="Calibri" w:hAnsi="Arial" w:cs="Arial"/>
          <w:sz w:val="24"/>
          <w:szCs w:val="24"/>
        </w:rPr>
        <w:t>is dismissed with cost</w:t>
      </w:r>
      <w:r w:rsidR="00C54FE8" w:rsidRPr="00B010EB">
        <w:rPr>
          <w:rFonts w:ascii="Arial" w:eastAsia="Calibri" w:hAnsi="Arial" w:cs="Arial"/>
          <w:sz w:val="24"/>
          <w:szCs w:val="24"/>
        </w:rPr>
        <w:t>. Such cost to include the cost</w:t>
      </w:r>
      <w:r w:rsidR="00F84D55" w:rsidRPr="00B010EB">
        <w:rPr>
          <w:rFonts w:ascii="Arial" w:eastAsia="Calibri" w:hAnsi="Arial" w:cs="Arial"/>
          <w:sz w:val="24"/>
          <w:szCs w:val="24"/>
        </w:rPr>
        <w:t xml:space="preserve"> </w:t>
      </w:r>
      <w:r w:rsidRPr="00B010EB">
        <w:rPr>
          <w:rFonts w:ascii="Arial" w:eastAsia="Calibri" w:hAnsi="Arial" w:cs="Arial"/>
          <w:sz w:val="24"/>
          <w:szCs w:val="24"/>
        </w:rPr>
        <w:t>of one</w:t>
      </w:r>
      <w:r w:rsidR="00C54FE8" w:rsidRPr="00B010EB">
        <w:rPr>
          <w:rFonts w:ascii="Arial" w:eastAsia="Calibri" w:hAnsi="Arial" w:cs="Arial"/>
          <w:sz w:val="24"/>
          <w:szCs w:val="24"/>
        </w:rPr>
        <w:t xml:space="preserve"> instructing</w:t>
      </w:r>
      <w:r w:rsidRPr="00B010EB">
        <w:rPr>
          <w:rFonts w:ascii="Arial" w:eastAsia="Calibri" w:hAnsi="Arial" w:cs="Arial"/>
          <w:sz w:val="24"/>
          <w:szCs w:val="24"/>
        </w:rPr>
        <w:t xml:space="preserve"> and one instructed counsel.</w:t>
      </w:r>
    </w:p>
    <w:p w:rsidR="00B83AB8" w:rsidRPr="00B010EB" w:rsidRDefault="00B83AB8" w:rsidP="001A7C59">
      <w:pPr>
        <w:pStyle w:val="ListParagraph"/>
        <w:spacing w:after="0" w:line="360" w:lineRule="auto"/>
        <w:jc w:val="both"/>
        <w:rPr>
          <w:rFonts w:ascii="Arial" w:hAnsi="Arial" w:cs="Arial"/>
          <w:sz w:val="24"/>
          <w:szCs w:val="24"/>
          <w:lang w:val="en-ZA"/>
        </w:rPr>
      </w:pPr>
    </w:p>
    <w:p w:rsidR="006347DC" w:rsidRPr="00B010EB" w:rsidRDefault="006347DC" w:rsidP="001A7C59">
      <w:pPr>
        <w:pStyle w:val="ListParagraph"/>
        <w:spacing w:after="0" w:line="360" w:lineRule="auto"/>
        <w:jc w:val="both"/>
        <w:rPr>
          <w:rFonts w:ascii="Arial" w:hAnsi="Arial" w:cs="Arial"/>
          <w:sz w:val="24"/>
          <w:szCs w:val="24"/>
          <w:lang w:val="en-ZA"/>
        </w:rPr>
      </w:pPr>
    </w:p>
    <w:p w:rsidR="006347DC" w:rsidRPr="00B010EB" w:rsidRDefault="006347DC" w:rsidP="001A7C59">
      <w:pPr>
        <w:pStyle w:val="ListParagraph"/>
        <w:spacing w:after="0" w:line="360" w:lineRule="auto"/>
        <w:jc w:val="both"/>
        <w:rPr>
          <w:rFonts w:ascii="Arial" w:hAnsi="Arial" w:cs="Arial"/>
          <w:sz w:val="24"/>
          <w:szCs w:val="24"/>
          <w:lang w:val="en-ZA"/>
        </w:rPr>
      </w:pPr>
    </w:p>
    <w:p w:rsidR="00B83AB8" w:rsidRPr="00B010EB" w:rsidRDefault="00E34D1E" w:rsidP="001A7C59">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B83AB8" w:rsidRPr="00B010EB" w:rsidRDefault="00025FA7" w:rsidP="001A7C59">
      <w:pPr>
        <w:spacing w:after="0" w:line="360" w:lineRule="auto"/>
        <w:jc w:val="center"/>
        <w:rPr>
          <w:rFonts w:ascii="Arial" w:hAnsi="Arial" w:cs="Arial"/>
          <w:b/>
          <w:strike/>
          <w:sz w:val="24"/>
          <w:szCs w:val="24"/>
        </w:rPr>
      </w:pPr>
      <w:r w:rsidRPr="00B010EB">
        <w:rPr>
          <w:rFonts w:ascii="Arial" w:hAnsi="Arial" w:cs="Arial"/>
          <w:b/>
          <w:sz w:val="24"/>
          <w:szCs w:val="24"/>
        </w:rPr>
        <w:t xml:space="preserve">JUDGMENT </w:t>
      </w:r>
    </w:p>
    <w:p w:rsidR="00B83AB8" w:rsidRPr="00B010EB" w:rsidRDefault="00E34D1E" w:rsidP="001A7C59">
      <w:pPr>
        <w:spacing w:after="0" w:line="360" w:lineRule="auto"/>
        <w:jc w:val="center"/>
        <w:rPr>
          <w:rFonts w:ascii="Arial" w:hAnsi="Arial" w:cs="Arial"/>
          <w:b/>
          <w:sz w:val="24"/>
          <w:szCs w:val="24"/>
        </w:rPr>
      </w:pPr>
      <w:r>
        <w:rPr>
          <w:rFonts w:ascii="Arial" w:hAnsi="Arial" w:cs="Arial"/>
          <w:bCs/>
          <w:sz w:val="24"/>
          <w:szCs w:val="24"/>
        </w:rPr>
        <w:pict>
          <v:rect id="_x0000_i1026" style="width:0;height:1.5pt" o:hralign="center" o:hrstd="t" o:hr="t" fillcolor="#a0a0a0" stroked="f"/>
        </w:pict>
      </w:r>
    </w:p>
    <w:p w:rsidR="00B83AB8" w:rsidRPr="00B010EB" w:rsidRDefault="00B83AB8" w:rsidP="001A7C59">
      <w:pPr>
        <w:spacing w:after="0" w:line="360" w:lineRule="auto"/>
        <w:jc w:val="both"/>
        <w:rPr>
          <w:rFonts w:ascii="Arial" w:hAnsi="Arial" w:cs="Arial"/>
          <w:u w:val="single"/>
        </w:rPr>
      </w:pPr>
    </w:p>
    <w:p w:rsidR="00B83AB8" w:rsidRPr="00B010EB" w:rsidRDefault="00B83AB8" w:rsidP="001A7C59">
      <w:pPr>
        <w:spacing w:after="0" w:line="360" w:lineRule="auto"/>
        <w:jc w:val="both"/>
        <w:rPr>
          <w:rFonts w:ascii="Arial" w:hAnsi="Arial" w:cs="Arial"/>
          <w:sz w:val="24"/>
          <w:szCs w:val="24"/>
          <w:u w:val="single"/>
        </w:rPr>
      </w:pPr>
      <w:r w:rsidRPr="00B010EB">
        <w:rPr>
          <w:rFonts w:ascii="Arial" w:hAnsi="Arial" w:cs="Arial"/>
          <w:sz w:val="24"/>
          <w:szCs w:val="24"/>
          <w:u w:val="single"/>
        </w:rPr>
        <w:t>Introduction</w:t>
      </w:r>
      <w:r w:rsidR="00C90641" w:rsidRPr="00B010EB">
        <w:rPr>
          <w:rFonts w:ascii="Arial" w:hAnsi="Arial" w:cs="Arial"/>
          <w:sz w:val="24"/>
          <w:szCs w:val="24"/>
          <w:u w:val="single"/>
        </w:rPr>
        <w:t xml:space="preserve"> and background</w:t>
      </w:r>
      <w:r w:rsidRPr="00B010EB">
        <w:rPr>
          <w:rFonts w:ascii="Arial" w:hAnsi="Arial" w:cs="Arial"/>
          <w:sz w:val="24"/>
          <w:szCs w:val="24"/>
          <w:u w:val="single"/>
        </w:rPr>
        <w:t xml:space="preserve">: </w:t>
      </w:r>
    </w:p>
    <w:p w:rsidR="00B83AB8" w:rsidRPr="00B010EB" w:rsidRDefault="00B83AB8" w:rsidP="001A7C59">
      <w:pPr>
        <w:spacing w:after="0" w:line="360" w:lineRule="auto"/>
        <w:contextualSpacing/>
        <w:jc w:val="both"/>
        <w:rPr>
          <w:rFonts w:ascii="Arial" w:hAnsi="Arial" w:cs="Arial"/>
          <w:sz w:val="24"/>
          <w:szCs w:val="24"/>
        </w:rPr>
      </w:pPr>
    </w:p>
    <w:p w:rsidR="00C95620" w:rsidRPr="00B010EB" w:rsidRDefault="00B83AB8" w:rsidP="001A7C59">
      <w:pPr>
        <w:spacing w:after="0" w:line="360" w:lineRule="auto"/>
        <w:contextualSpacing/>
        <w:jc w:val="both"/>
        <w:rPr>
          <w:rFonts w:ascii="Arial" w:hAnsi="Arial" w:cs="Arial"/>
          <w:sz w:val="24"/>
          <w:szCs w:val="24"/>
        </w:rPr>
      </w:pPr>
      <w:r w:rsidRPr="00B010EB">
        <w:rPr>
          <w:rFonts w:ascii="Arial" w:hAnsi="Arial" w:cs="Arial"/>
          <w:sz w:val="24"/>
          <w:szCs w:val="24"/>
        </w:rPr>
        <w:t>[1]</w:t>
      </w:r>
      <w:r w:rsidRPr="00B010EB">
        <w:rPr>
          <w:rFonts w:ascii="Arial" w:hAnsi="Arial" w:cs="Arial"/>
          <w:sz w:val="24"/>
          <w:szCs w:val="24"/>
        </w:rPr>
        <w:tab/>
      </w:r>
      <w:r w:rsidR="00770EA0" w:rsidRPr="00B010EB">
        <w:rPr>
          <w:rFonts w:ascii="Arial" w:hAnsi="Arial" w:cs="Arial"/>
          <w:sz w:val="24"/>
          <w:szCs w:val="24"/>
        </w:rPr>
        <w:t>The plaintiff</w:t>
      </w:r>
      <w:r w:rsidR="000C1586" w:rsidRPr="00B010EB">
        <w:rPr>
          <w:rFonts w:ascii="Arial" w:hAnsi="Arial" w:cs="Arial"/>
          <w:sz w:val="24"/>
          <w:szCs w:val="24"/>
        </w:rPr>
        <w:t>,</w:t>
      </w:r>
      <w:r w:rsidR="00770EA0" w:rsidRPr="00B010EB">
        <w:rPr>
          <w:rFonts w:ascii="Arial" w:hAnsi="Arial" w:cs="Arial"/>
          <w:sz w:val="24"/>
          <w:szCs w:val="24"/>
        </w:rPr>
        <w:t xml:space="preserve"> </w:t>
      </w:r>
      <w:r w:rsidR="00C95620" w:rsidRPr="00B010EB">
        <w:rPr>
          <w:rFonts w:ascii="Arial" w:hAnsi="Arial" w:cs="Arial"/>
          <w:sz w:val="24"/>
          <w:szCs w:val="24"/>
        </w:rPr>
        <w:t>Ursula Ester Blaauw</w:t>
      </w:r>
      <w:r w:rsidR="000C1586" w:rsidRPr="00B010EB">
        <w:rPr>
          <w:rFonts w:ascii="Arial" w:hAnsi="Arial" w:cs="Arial"/>
          <w:sz w:val="24"/>
          <w:szCs w:val="24"/>
        </w:rPr>
        <w:t>,</w:t>
      </w:r>
      <w:r w:rsidR="00C95620" w:rsidRPr="00B010EB">
        <w:rPr>
          <w:rFonts w:ascii="Arial" w:hAnsi="Arial" w:cs="Arial"/>
          <w:sz w:val="24"/>
          <w:szCs w:val="24"/>
        </w:rPr>
        <w:t xml:space="preserve"> issued summons against the first and second defendant on 6 July 2018. The plaintiff claimed for payment against the first and second defendant jointly and severally (the one to pay the other to be absolved) for payment in the amount of N$588</w:t>
      </w:r>
      <w:r w:rsidR="00F06DEC" w:rsidRPr="00B010EB">
        <w:rPr>
          <w:rFonts w:ascii="Arial" w:hAnsi="Arial" w:cs="Arial"/>
          <w:sz w:val="24"/>
          <w:szCs w:val="24"/>
        </w:rPr>
        <w:t>, 044.70</w:t>
      </w:r>
      <w:r w:rsidR="00F84D55" w:rsidRPr="00B010EB">
        <w:rPr>
          <w:rFonts w:ascii="Arial" w:hAnsi="Arial" w:cs="Arial"/>
          <w:sz w:val="24"/>
          <w:szCs w:val="24"/>
        </w:rPr>
        <w:t>,</w:t>
      </w:r>
      <w:r w:rsidR="002D446D" w:rsidRPr="00B010EB">
        <w:rPr>
          <w:rFonts w:ascii="Arial" w:hAnsi="Arial" w:cs="Arial"/>
          <w:sz w:val="24"/>
          <w:szCs w:val="24"/>
        </w:rPr>
        <w:t xml:space="preserve"> which amount was amended during trial to </w:t>
      </w:r>
      <w:r w:rsidR="00EB49CD" w:rsidRPr="00B010EB">
        <w:rPr>
          <w:rFonts w:ascii="Arial" w:hAnsi="Arial" w:cs="Arial"/>
          <w:sz w:val="24"/>
          <w:szCs w:val="24"/>
        </w:rPr>
        <w:t xml:space="preserve">N$403 04.70 </w:t>
      </w:r>
      <w:r w:rsidR="00F06DEC" w:rsidRPr="00B010EB">
        <w:rPr>
          <w:rFonts w:ascii="Arial" w:hAnsi="Arial" w:cs="Arial"/>
          <w:sz w:val="24"/>
          <w:szCs w:val="24"/>
        </w:rPr>
        <w:t>plus interest and costs</w:t>
      </w:r>
      <w:r w:rsidR="002D446D" w:rsidRPr="00B010EB">
        <w:rPr>
          <w:rFonts w:ascii="Arial" w:hAnsi="Arial" w:cs="Arial"/>
          <w:sz w:val="24"/>
          <w:szCs w:val="24"/>
        </w:rPr>
        <w:t xml:space="preserve"> for money misappropriated from her account by the first defendant who </w:t>
      </w:r>
      <w:r w:rsidR="000C1586" w:rsidRPr="00B010EB">
        <w:rPr>
          <w:rFonts w:ascii="Arial" w:hAnsi="Arial" w:cs="Arial"/>
          <w:sz w:val="24"/>
          <w:szCs w:val="24"/>
        </w:rPr>
        <w:t xml:space="preserve">was </w:t>
      </w:r>
      <w:r w:rsidR="002D446D" w:rsidRPr="00B010EB">
        <w:rPr>
          <w:rFonts w:ascii="Arial" w:hAnsi="Arial" w:cs="Arial"/>
          <w:sz w:val="24"/>
          <w:szCs w:val="24"/>
        </w:rPr>
        <w:t>an employee of the second defendant</w:t>
      </w:r>
      <w:r w:rsidR="00F06DEC" w:rsidRPr="00B010EB">
        <w:rPr>
          <w:rFonts w:ascii="Arial" w:hAnsi="Arial" w:cs="Arial"/>
          <w:sz w:val="24"/>
          <w:szCs w:val="24"/>
        </w:rPr>
        <w:t>.</w:t>
      </w:r>
    </w:p>
    <w:p w:rsidR="00C95620" w:rsidRPr="00B010EB" w:rsidRDefault="00C95620" w:rsidP="001A7C59">
      <w:pPr>
        <w:spacing w:after="0" w:line="360" w:lineRule="auto"/>
        <w:contextualSpacing/>
        <w:jc w:val="both"/>
        <w:rPr>
          <w:rFonts w:ascii="Arial" w:hAnsi="Arial" w:cs="Arial"/>
          <w:sz w:val="24"/>
          <w:szCs w:val="24"/>
        </w:rPr>
      </w:pPr>
    </w:p>
    <w:p w:rsidR="00C95620" w:rsidRPr="00B010EB" w:rsidRDefault="00C95620" w:rsidP="001A7C59">
      <w:pPr>
        <w:spacing w:after="0" w:line="360" w:lineRule="auto"/>
        <w:contextualSpacing/>
        <w:jc w:val="both"/>
        <w:rPr>
          <w:rFonts w:ascii="Arial" w:hAnsi="Arial" w:cs="Arial"/>
          <w:sz w:val="24"/>
          <w:szCs w:val="24"/>
        </w:rPr>
      </w:pPr>
      <w:r w:rsidRPr="00B010EB">
        <w:rPr>
          <w:rFonts w:ascii="Arial" w:hAnsi="Arial" w:cs="Arial"/>
          <w:sz w:val="24"/>
          <w:szCs w:val="24"/>
        </w:rPr>
        <w:t xml:space="preserve"> </w:t>
      </w:r>
      <w:r w:rsidR="009F6448" w:rsidRPr="00B010EB">
        <w:rPr>
          <w:rFonts w:ascii="Arial" w:hAnsi="Arial" w:cs="Arial"/>
          <w:sz w:val="24"/>
          <w:szCs w:val="24"/>
        </w:rPr>
        <w:t>[</w:t>
      </w:r>
      <w:r w:rsidR="00997EEF" w:rsidRPr="00B010EB">
        <w:rPr>
          <w:rFonts w:ascii="Arial" w:hAnsi="Arial" w:cs="Arial"/>
          <w:sz w:val="24"/>
          <w:szCs w:val="24"/>
        </w:rPr>
        <w:t>2</w:t>
      </w:r>
      <w:r w:rsidR="009F6448" w:rsidRPr="00B010EB">
        <w:rPr>
          <w:rFonts w:ascii="Arial" w:hAnsi="Arial" w:cs="Arial"/>
          <w:sz w:val="24"/>
          <w:szCs w:val="24"/>
        </w:rPr>
        <w:t>]</w:t>
      </w:r>
      <w:r w:rsidR="009F6448" w:rsidRPr="00B010EB">
        <w:rPr>
          <w:rFonts w:ascii="Arial" w:hAnsi="Arial" w:cs="Arial"/>
          <w:sz w:val="24"/>
          <w:szCs w:val="24"/>
        </w:rPr>
        <w:tab/>
      </w:r>
      <w:r w:rsidRPr="00B010EB">
        <w:rPr>
          <w:rFonts w:ascii="Arial" w:hAnsi="Arial" w:cs="Arial"/>
          <w:sz w:val="24"/>
          <w:szCs w:val="24"/>
        </w:rPr>
        <w:t xml:space="preserve">The first and second defendant </w:t>
      </w:r>
      <w:r w:rsidR="00CF266C" w:rsidRPr="00B010EB">
        <w:rPr>
          <w:rFonts w:ascii="Arial" w:hAnsi="Arial" w:cs="Arial"/>
          <w:sz w:val="24"/>
          <w:szCs w:val="24"/>
        </w:rPr>
        <w:t xml:space="preserve">entered their appearance to defend </w:t>
      </w:r>
      <w:r w:rsidRPr="00B010EB">
        <w:rPr>
          <w:rFonts w:ascii="Arial" w:hAnsi="Arial" w:cs="Arial"/>
          <w:sz w:val="24"/>
          <w:szCs w:val="24"/>
        </w:rPr>
        <w:t>on 26 July 2018. However</w:t>
      </w:r>
      <w:r w:rsidR="000C1586" w:rsidRPr="00B010EB">
        <w:rPr>
          <w:rFonts w:ascii="Arial" w:hAnsi="Arial" w:cs="Arial"/>
          <w:sz w:val="24"/>
          <w:szCs w:val="24"/>
        </w:rPr>
        <w:t>,</w:t>
      </w:r>
      <w:r w:rsidRPr="00B010EB">
        <w:rPr>
          <w:rFonts w:ascii="Arial" w:hAnsi="Arial" w:cs="Arial"/>
          <w:sz w:val="24"/>
          <w:szCs w:val="24"/>
        </w:rPr>
        <w:t xml:space="preserve"> the first defendant’s legal practitioner withdrew his representation on 20 November 2018.  As a result thereof only the plaintiff and the second defendant took part in the further conduct of the matter</w:t>
      </w:r>
      <w:r w:rsidR="00F84D55" w:rsidRPr="00B010EB">
        <w:rPr>
          <w:rFonts w:ascii="Arial" w:hAnsi="Arial" w:cs="Arial"/>
          <w:sz w:val="24"/>
          <w:szCs w:val="24"/>
        </w:rPr>
        <w:t>, and it would not appear that the plaintiff is pursuing the action against first defendant. This position might however change in light of the judgment that follows hereunder.</w:t>
      </w:r>
    </w:p>
    <w:p w:rsidR="00C90641" w:rsidRPr="00B010EB" w:rsidRDefault="00C90641" w:rsidP="001A7C59">
      <w:pPr>
        <w:spacing w:after="0" w:line="360" w:lineRule="auto"/>
        <w:contextualSpacing/>
        <w:jc w:val="both"/>
        <w:rPr>
          <w:rFonts w:ascii="Arial" w:hAnsi="Arial" w:cs="Arial"/>
          <w:sz w:val="24"/>
          <w:szCs w:val="24"/>
        </w:rPr>
      </w:pPr>
    </w:p>
    <w:p w:rsidR="00CF266C" w:rsidRPr="00B010EB" w:rsidRDefault="00C90641" w:rsidP="001A7C59">
      <w:pPr>
        <w:spacing w:after="0" w:line="360" w:lineRule="auto"/>
        <w:jc w:val="both"/>
        <w:rPr>
          <w:rFonts w:ascii="Arial" w:hAnsi="Arial" w:cs="Arial"/>
          <w:sz w:val="24"/>
          <w:szCs w:val="24"/>
        </w:rPr>
      </w:pPr>
      <w:r w:rsidRPr="00B010EB">
        <w:rPr>
          <w:rFonts w:ascii="Arial" w:hAnsi="Arial" w:cs="Arial"/>
          <w:sz w:val="24"/>
          <w:szCs w:val="24"/>
        </w:rPr>
        <w:t xml:space="preserve"> </w:t>
      </w:r>
      <w:r w:rsidR="00B70462" w:rsidRPr="00B010EB">
        <w:rPr>
          <w:rFonts w:ascii="Arial" w:hAnsi="Arial" w:cs="Arial"/>
          <w:sz w:val="24"/>
          <w:szCs w:val="24"/>
        </w:rPr>
        <w:t>[</w:t>
      </w:r>
      <w:r w:rsidR="00997EEF" w:rsidRPr="00B010EB">
        <w:rPr>
          <w:rFonts w:ascii="Arial" w:hAnsi="Arial" w:cs="Arial"/>
          <w:sz w:val="24"/>
          <w:szCs w:val="24"/>
        </w:rPr>
        <w:t>3</w:t>
      </w:r>
      <w:r w:rsidR="00B70462" w:rsidRPr="00B010EB">
        <w:rPr>
          <w:rFonts w:ascii="Arial" w:hAnsi="Arial" w:cs="Arial"/>
          <w:sz w:val="24"/>
          <w:szCs w:val="24"/>
        </w:rPr>
        <w:t>]</w:t>
      </w:r>
      <w:r w:rsidR="00B70462" w:rsidRPr="00B010EB">
        <w:rPr>
          <w:rFonts w:ascii="Arial" w:hAnsi="Arial" w:cs="Arial"/>
          <w:sz w:val="24"/>
          <w:szCs w:val="24"/>
        </w:rPr>
        <w:tab/>
      </w:r>
      <w:r w:rsidR="004F7646" w:rsidRPr="00B010EB">
        <w:rPr>
          <w:rFonts w:ascii="Arial" w:hAnsi="Arial" w:cs="Arial"/>
          <w:sz w:val="24"/>
          <w:szCs w:val="24"/>
        </w:rPr>
        <w:t>The</w:t>
      </w:r>
      <w:r w:rsidR="00F06DEC" w:rsidRPr="00B010EB">
        <w:rPr>
          <w:rFonts w:ascii="Arial" w:hAnsi="Arial" w:cs="Arial"/>
          <w:sz w:val="24"/>
          <w:szCs w:val="24"/>
        </w:rPr>
        <w:t xml:space="preserve"> </w:t>
      </w:r>
      <w:r w:rsidRPr="00B010EB">
        <w:rPr>
          <w:rFonts w:ascii="Arial" w:hAnsi="Arial" w:cs="Arial"/>
          <w:sz w:val="24"/>
          <w:szCs w:val="24"/>
        </w:rPr>
        <w:t>plaintiff</w:t>
      </w:r>
      <w:r w:rsidR="00EA1E61" w:rsidRPr="00B010EB">
        <w:rPr>
          <w:rFonts w:ascii="Arial" w:hAnsi="Arial" w:cs="Arial"/>
          <w:sz w:val="24"/>
          <w:szCs w:val="24"/>
        </w:rPr>
        <w:t>’</w:t>
      </w:r>
      <w:r w:rsidRPr="00B010EB">
        <w:rPr>
          <w:rFonts w:ascii="Arial" w:hAnsi="Arial" w:cs="Arial"/>
          <w:sz w:val="24"/>
          <w:szCs w:val="24"/>
        </w:rPr>
        <w:t>s cause of action i</w:t>
      </w:r>
      <w:r w:rsidR="00F06DEC" w:rsidRPr="00B010EB">
        <w:rPr>
          <w:rFonts w:ascii="Arial" w:hAnsi="Arial" w:cs="Arial"/>
          <w:sz w:val="24"/>
          <w:szCs w:val="24"/>
        </w:rPr>
        <w:t>s premised on the fact that she had several bank accounts at the Mariental Branch of the second defendant</w:t>
      </w:r>
      <w:r w:rsidR="00E90A74" w:rsidRPr="00B010EB">
        <w:rPr>
          <w:rFonts w:ascii="Arial" w:hAnsi="Arial" w:cs="Arial"/>
          <w:sz w:val="24"/>
          <w:szCs w:val="24"/>
        </w:rPr>
        <w:t xml:space="preserve"> from which money was misappropriated by the first defendant</w:t>
      </w:r>
      <w:r w:rsidR="00EA1E61" w:rsidRPr="00B010EB">
        <w:rPr>
          <w:rFonts w:ascii="Arial" w:hAnsi="Arial" w:cs="Arial"/>
          <w:sz w:val="24"/>
          <w:szCs w:val="24"/>
        </w:rPr>
        <w:t xml:space="preserve">. </w:t>
      </w:r>
      <w:r w:rsidR="00E90A74" w:rsidRPr="00B010EB">
        <w:rPr>
          <w:rFonts w:ascii="Arial" w:hAnsi="Arial" w:cs="Arial"/>
          <w:sz w:val="24"/>
          <w:szCs w:val="24"/>
        </w:rPr>
        <w:t>It is the plaintiff’s case that a</w:t>
      </w:r>
      <w:r w:rsidR="00F06DEC" w:rsidRPr="00B010EB">
        <w:rPr>
          <w:rFonts w:ascii="Arial" w:hAnsi="Arial" w:cs="Arial"/>
          <w:sz w:val="24"/>
          <w:szCs w:val="24"/>
        </w:rPr>
        <w:t>t all relevant times</w:t>
      </w:r>
      <w:r w:rsidR="00EA1E61" w:rsidRPr="00B010EB">
        <w:rPr>
          <w:rFonts w:ascii="Arial" w:hAnsi="Arial" w:cs="Arial"/>
          <w:sz w:val="24"/>
          <w:szCs w:val="24"/>
        </w:rPr>
        <w:t>,</w:t>
      </w:r>
      <w:r w:rsidR="00F06DEC" w:rsidRPr="00B010EB">
        <w:rPr>
          <w:rFonts w:ascii="Arial" w:hAnsi="Arial" w:cs="Arial"/>
          <w:sz w:val="24"/>
          <w:szCs w:val="24"/>
        </w:rPr>
        <w:t xml:space="preserve"> the first defendant</w:t>
      </w:r>
      <w:r w:rsidR="00E90A74" w:rsidRPr="00B010EB">
        <w:rPr>
          <w:rFonts w:ascii="Arial" w:hAnsi="Arial" w:cs="Arial"/>
          <w:sz w:val="24"/>
          <w:szCs w:val="24"/>
        </w:rPr>
        <w:t>,</w:t>
      </w:r>
      <w:r w:rsidR="00346103" w:rsidRPr="00B010EB">
        <w:rPr>
          <w:rFonts w:ascii="Arial" w:hAnsi="Arial" w:cs="Arial"/>
          <w:sz w:val="24"/>
          <w:szCs w:val="24"/>
        </w:rPr>
        <w:t xml:space="preserve"> Ms Pallais,</w:t>
      </w:r>
      <w:r w:rsidR="00F06DEC" w:rsidRPr="00B010EB">
        <w:rPr>
          <w:rFonts w:ascii="Arial" w:hAnsi="Arial" w:cs="Arial"/>
          <w:sz w:val="24"/>
          <w:szCs w:val="24"/>
        </w:rPr>
        <w:t xml:space="preserve"> was a senior credit clerk in the employ of the second defendant at the </w:t>
      </w:r>
      <w:r w:rsidR="00E90A74" w:rsidRPr="00B010EB">
        <w:rPr>
          <w:rFonts w:ascii="Arial" w:hAnsi="Arial" w:cs="Arial"/>
          <w:sz w:val="24"/>
          <w:szCs w:val="24"/>
        </w:rPr>
        <w:t xml:space="preserve">said branch </w:t>
      </w:r>
      <w:r w:rsidR="00F06DEC" w:rsidRPr="00B010EB">
        <w:rPr>
          <w:rFonts w:ascii="Arial" w:hAnsi="Arial" w:cs="Arial"/>
          <w:sz w:val="24"/>
          <w:szCs w:val="24"/>
        </w:rPr>
        <w:t xml:space="preserve">and </w:t>
      </w:r>
      <w:r w:rsidR="000C1586" w:rsidRPr="00B010EB">
        <w:rPr>
          <w:rFonts w:ascii="Arial" w:hAnsi="Arial" w:cs="Arial"/>
          <w:sz w:val="24"/>
          <w:szCs w:val="24"/>
        </w:rPr>
        <w:t xml:space="preserve">as </w:t>
      </w:r>
      <w:r w:rsidR="00F06DEC" w:rsidRPr="00B010EB">
        <w:rPr>
          <w:rFonts w:ascii="Arial" w:hAnsi="Arial" w:cs="Arial"/>
          <w:sz w:val="24"/>
          <w:szCs w:val="24"/>
        </w:rPr>
        <w:t>such performed her duties at the second defendant</w:t>
      </w:r>
      <w:r w:rsidR="00EA1E61" w:rsidRPr="00B010EB">
        <w:rPr>
          <w:rFonts w:ascii="Arial" w:hAnsi="Arial" w:cs="Arial"/>
          <w:sz w:val="24"/>
          <w:szCs w:val="24"/>
        </w:rPr>
        <w:t>,</w:t>
      </w:r>
      <w:r w:rsidR="00F06DEC" w:rsidRPr="00B010EB">
        <w:rPr>
          <w:rFonts w:ascii="Arial" w:hAnsi="Arial" w:cs="Arial"/>
          <w:sz w:val="24"/>
          <w:szCs w:val="24"/>
        </w:rPr>
        <w:t xml:space="preserve"> within the scope of her employment with the second defendant</w:t>
      </w:r>
      <w:r w:rsidR="00EA1E61" w:rsidRPr="00B010EB">
        <w:rPr>
          <w:rFonts w:ascii="Arial" w:hAnsi="Arial" w:cs="Arial"/>
          <w:sz w:val="24"/>
          <w:szCs w:val="24"/>
        </w:rPr>
        <w:t>.</w:t>
      </w:r>
      <w:r w:rsidR="00F06DEC" w:rsidRPr="00B010EB">
        <w:rPr>
          <w:rFonts w:ascii="Arial" w:hAnsi="Arial" w:cs="Arial"/>
          <w:sz w:val="24"/>
          <w:szCs w:val="24"/>
        </w:rPr>
        <w:t xml:space="preserve"> </w:t>
      </w:r>
      <w:r w:rsidR="00E90A74" w:rsidRPr="00B010EB">
        <w:rPr>
          <w:rFonts w:ascii="Arial" w:hAnsi="Arial" w:cs="Arial"/>
          <w:sz w:val="24"/>
          <w:szCs w:val="24"/>
        </w:rPr>
        <w:t>In addition thereto t</w:t>
      </w:r>
      <w:r w:rsidR="00EA1E61" w:rsidRPr="00B010EB">
        <w:rPr>
          <w:rFonts w:ascii="Arial" w:hAnsi="Arial" w:cs="Arial"/>
          <w:sz w:val="24"/>
          <w:szCs w:val="24"/>
        </w:rPr>
        <w:t>he</w:t>
      </w:r>
      <w:r w:rsidR="00F06DEC" w:rsidRPr="00B010EB">
        <w:rPr>
          <w:rFonts w:ascii="Arial" w:hAnsi="Arial" w:cs="Arial"/>
          <w:sz w:val="24"/>
          <w:szCs w:val="24"/>
        </w:rPr>
        <w:t xml:space="preserve"> second defendant appointed the first defendant as the personal banker of the plaintiff. </w:t>
      </w:r>
    </w:p>
    <w:p w:rsidR="00C90641" w:rsidRPr="00B010EB" w:rsidRDefault="00C90641" w:rsidP="001A7C59">
      <w:pPr>
        <w:spacing w:after="0" w:line="360" w:lineRule="auto"/>
        <w:contextualSpacing/>
        <w:jc w:val="both"/>
        <w:rPr>
          <w:rFonts w:ascii="Arial" w:hAnsi="Arial" w:cs="Arial"/>
          <w:sz w:val="24"/>
          <w:szCs w:val="24"/>
        </w:rPr>
      </w:pPr>
    </w:p>
    <w:p w:rsidR="00C90641" w:rsidRPr="00B010EB" w:rsidRDefault="00C90641" w:rsidP="001A7C59">
      <w:pPr>
        <w:spacing w:after="0" w:line="360" w:lineRule="auto"/>
        <w:rPr>
          <w:rFonts w:ascii="Arial" w:hAnsi="Arial" w:cs="Arial"/>
          <w:sz w:val="24"/>
          <w:szCs w:val="24"/>
          <w:u w:val="single"/>
        </w:rPr>
      </w:pPr>
      <w:r w:rsidRPr="00B010EB">
        <w:rPr>
          <w:rFonts w:ascii="Arial" w:hAnsi="Arial" w:cs="Arial"/>
          <w:sz w:val="24"/>
          <w:szCs w:val="24"/>
          <w:u w:val="single"/>
        </w:rPr>
        <w:t>Plaintiff’s</w:t>
      </w:r>
      <w:r w:rsidR="00A007BC" w:rsidRPr="00B010EB">
        <w:rPr>
          <w:rFonts w:ascii="Arial" w:hAnsi="Arial" w:cs="Arial"/>
          <w:sz w:val="24"/>
          <w:szCs w:val="24"/>
          <w:u w:val="single"/>
        </w:rPr>
        <w:t xml:space="preserve"> </w:t>
      </w:r>
      <w:r w:rsidR="00F84D55" w:rsidRPr="00B010EB">
        <w:rPr>
          <w:rFonts w:ascii="Arial" w:hAnsi="Arial" w:cs="Arial"/>
          <w:sz w:val="24"/>
          <w:szCs w:val="24"/>
          <w:u w:val="single"/>
        </w:rPr>
        <w:t>case</w:t>
      </w:r>
    </w:p>
    <w:p w:rsidR="002645A8" w:rsidRPr="00B010EB" w:rsidRDefault="002645A8" w:rsidP="001A7C59">
      <w:pPr>
        <w:spacing w:after="0" w:line="360" w:lineRule="auto"/>
        <w:jc w:val="both"/>
        <w:rPr>
          <w:rFonts w:ascii="Arial" w:hAnsi="Arial" w:cs="Arial"/>
          <w:sz w:val="24"/>
          <w:szCs w:val="24"/>
        </w:rPr>
      </w:pPr>
    </w:p>
    <w:p w:rsidR="00F06DEC" w:rsidRPr="00B010EB" w:rsidRDefault="009913F0" w:rsidP="001A7C59">
      <w:pPr>
        <w:spacing w:after="0" w:line="360" w:lineRule="auto"/>
        <w:jc w:val="both"/>
        <w:rPr>
          <w:rFonts w:ascii="Arial" w:hAnsi="Arial" w:cs="Arial"/>
          <w:sz w:val="24"/>
          <w:szCs w:val="24"/>
        </w:rPr>
      </w:pPr>
      <w:r w:rsidRPr="00B010EB">
        <w:rPr>
          <w:rFonts w:ascii="Arial" w:hAnsi="Arial" w:cs="Arial"/>
          <w:sz w:val="24"/>
          <w:szCs w:val="24"/>
        </w:rPr>
        <w:t>[</w:t>
      </w:r>
      <w:r w:rsidR="00997EEF" w:rsidRPr="00B010EB">
        <w:rPr>
          <w:rFonts w:ascii="Arial" w:hAnsi="Arial" w:cs="Arial"/>
          <w:sz w:val="24"/>
          <w:szCs w:val="24"/>
        </w:rPr>
        <w:t>4</w:t>
      </w:r>
      <w:r w:rsidR="00F06DEC" w:rsidRPr="00B010EB">
        <w:rPr>
          <w:rFonts w:ascii="Arial" w:hAnsi="Arial" w:cs="Arial"/>
          <w:sz w:val="24"/>
          <w:szCs w:val="24"/>
        </w:rPr>
        <w:t xml:space="preserve">]       </w:t>
      </w:r>
      <w:r w:rsidR="00C90641" w:rsidRPr="00B010EB">
        <w:rPr>
          <w:rFonts w:ascii="Arial" w:hAnsi="Arial" w:cs="Arial"/>
          <w:sz w:val="24"/>
          <w:szCs w:val="24"/>
        </w:rPr>
        <w:t xml:space="preserve">The plaintiff </w:t>
      </w:r>
      <w:r w:rsidR="006E31F9" w:rsidRPr="00B010EB">
        <w:rPr>
          <w:rFonts w:ascii="Arial" w:hAnsi="Arial" w:cs="Arial"/>
          <w:sz w:val="24"/>
          <w:szCs w:val="24"/>
        </w:rPr>
        <w:t xml:space="preserve">was the only witness who </w:t>
      </w:r>
      <w:r w:rsidR="00C90641" w:rsidRPr="00B010EB">
        <w:rPr>
          <w:rFonts w:ascii="Arial" w:hAnsi="Arial" w:cs="Arial"/>
          <w:sz w:val="24"/>
          <w:szCs w:val="24"/>
        </w:rPr>
        <w:t xml:space="preserve">testified in support of her claim. Briefly </w:t>
      </w:r>
      <w:r w:rsidR="00346103" w:rsidRPr="00B010EB">
        <w:rPr>
          <w:rFonts w:ascii="Arial" w:hAnsi="Arial" w:cs="Arial"/>
          <w:sz w:val="24"/>
          <w:szCs w:val="24"/>
        </w:rPr>
        <w:t xml:space="preserve">Ms Blaauw </w:t>
      </w:r>
      <w:r w:rsidR="00C90641" w:rsidRPr="00B010EB">
        <w:rPr>
          <w:rFonts w:ascii="Arial" w:hAnsi="Arial" w:cs="Arial"/>
          <w:sz w:val="24"/>
          <w:szCs w:val="24"/>
        </w:rPr>
        <w:t>testified that</w:t>
      </w:r>
      <w:r w:rsidR="00DF7FC0" w:rsidRPr="00B010EB">
        <w:rPr>
          <w:rFonts w:ascii="Arial" w:hAnsi="Arial" w:cs="Arial"/>
          <w:sz w:val="24"/>
          <w:szCs w:val="24"/>
        </w:rPr>
        <w:t xml:space="preserve"> she </w:t>
      </w:r>
      <w:r w:rsidR="00FD4F3A" w:rsidRPr="00B010EB">
        <w:rPr>
          <w:rFonts w:ascii="Arial" w:hAnsi="Arial" w:cs="Arial"/>
          <w:sz w:val="24"/>
          <w:szCs w:val="24"/>
        </w:rPr>
        <w:t xml:space="preserve">has many business interests which ranges from being a bookkeeper for approximately 8 years to </w:t>
      </w:r>
      <w:r w:rsidR="00F63C94" w:rsidRPr="00B010EB">
        <w:rPr>
          <w:rFonts w:ascii="Arial" w:hAnsi="Arial" w:cs="Arial"/>
          <w:sz w:val="24"/>
          <w:szCs w:val="24"/>
        </w:rPr>
        <w:t>speculating in</w:t>
      </w:r>
      <w:r w:rsidR="00FD4F3A" w:rsidRPr="00B010EB">
        <w:rPr>
          <w:rFonts w:ascii="Arial" w:hAnsi="Arial" w:cs="Arial"/>
          <w:sz w:val="24"/>
          <w:szCs w:val="24"/>
        </w:rPr>
        <w:t xml:space="preserve"> livestock </w:t>
      </w:r>
      <w:r w:rsidR="00DF7FC0" w:rsidRPr="00B010EB">
        <w:rPr>
          <w:rFonts w:ascii="Arial" w:hAnsi="Arial" w:cs="Arial"/>
          <w:sz w:val="24"/>
          <w:szCs w:val="24"/>
        </w:rPr>
        <w:t xml:space="preserve">and because of the nature of her </w:t>
      </w:r>
      <w:r w:rsidR="00FD4F3A" w:rsidRPr="00B010EB">
        <w:rPr>
          <w:rFonts w:ascii="Arial" w:hAnsi="Arial" w:cs="Arial"/>
          <w:sz w:val="24"/>
          <w:szCs w:val="24"/>
        </w:rPr>
        <w:t xml:space="preserve">speculator </w:t>
      </w:r>
      <w:r w:rsidR="00DF7FC0" w:rsidRPr="00B010EB">
        <w:rPr>
          <w:rFonts w:ascii="Arial" w:hAnsi="Arial" w:cs="Arial"/>
          <w:sz w:val="24"/>
          <w:szCs w:val="24"/>
        </w:rPr>
        <w:t xml:space="preserve">business she is frequently out of town. </w:t>
      </w:r>
      <w:r w:rsidR="00E90A74" w:rsidRPr="00B010EB">
        <w:rPr>
          <w:rFonts w:ascii="Arial" w:hAnsi="Arial" w:cs="Arial"/>
          <w:sz w:val="24"/>
          <w:szCs w:val="24"/>
        </w:rPr>
        <w:t>Ms Blaauw</w:t>
      </w:r>
      <w:r w:rsidR="00DF7FC0" w:rsidRPr="00B010EB">
        <w:rPr>
          <w:rFonts w:ascii="Arial" w:hAnsi="Arial" w:cs="Arial"/>
          <w:sz w:val="24"/>
          <w:szCs w:val="24"/>
        </w:rPr>
        <w:t xml:space="preserve"> testified that</w:t>
      </w:r>
      <w:r w:rsidR="00C90641" w:rsidRPr="00B010EB">
        <w:rPr>
          <w:rFonts w:ascii="Arial" w:hAnsi="Arial" w:cs="Arial"/>
          <w:sz w:val="24"/>
          <w:szCs w:val="24"/>
        </w:rPr>
        <w:t xml:space="preserve"> the second defendant appointed </w:t>
      </w:r>
      <w:r w:rsidR="00346103" w:rsidRPr="00B010EB">
        <w:rPr>
          <w:rFonts w:ascii="Arial" w:hAnsi="Arial" w:cs="Arial"/>
          <w:sz w:val="24"/>
          <w:szCs w:val="24"/>
        </w:rPr>
        <w:t>Ms Pallais</w:t>
      </w:r>
      <w:r w:rsidR="00346103" w:rsidRPr="00B010EB" w:rsidDel="00346103">
        <w:rPr>
          <w:rFonts w:ascii="Arial" w:hAnsi="Arial" w:cs="Arial"/>
          <w:sz w:val="24"/>
          <w:szCs w:val="24"/>
        </w:rPr>
        <w:t xml:space="preserve"> </w:t>
      </w:r>
      <w:r w:rsidR="00C90641" w:rsidRPr="00B010EB">
        <w:rPr>
          <w:rFonts w:ascii="Arial" w:hAnsi="Arial" w:cs="Arial"/>
          <w:sz w:val="24"/>
          <w:szCs w:val="24"/>
        </w:rPr>
        <w:t xml:space="preserve">as her personal banker and </w:t>
      </w:r>
      <w:r w:rsidR="00346103" w:rsidRPr="00B010EB">
        <w:rPr>
          <w:rFonts w:ascii="Arial" w:hAnsi="Arial" w:cs="Arial"/>
          <w:sz w:val="24"/>
          <w:szCs w:val="24"/>
        </w:rPr>
        <w:t>Ms Pallais</w:t>
      </w:r>
      <w:r w:rsidR="00346103" w:rsidRPr="00B010EB" w:rsidDel="00346103">
        <w:rPr>
          <w:rFonts w:ascii="Arial" w:hAnsi="Arial" w:cs="Arial"/>
          <w:sz w:val="24"/>
          <w:szCs w:val="24"/>
        </w:rPr>
        <w:t xml:space="preserve"> </w:t>
      </w:r>
      <w:r w:rsidR="00C90641" w:rsidRPr="00B010EB">
        <w:rPr>
          <w:rFonts w:ascii="Arial" w:hAnsi="Arial" w:cs="Arial"/>
          <w:sz w:val="24"/>
          <w:szCs w:val="24"/>
        </w:rPr>
        <w:t xml:space="preserve">provided her with advice regarding the management of her accounts and she trusted  </w:t>
      </w:r>
      <w:r w:rsidR="00346103" w:rsidRPr="00B010EB">
        <w:rPr>
          <w:rFonts w:ascii="Arial" w:hAnsi="Arial" w:cs="Arial"/>
          <w:sz w:val="24"/>
          <w:szCs w:val="24"/>
        </w:rPr>
        <w:lastRenderedPageBreak/>
        <w:t>Ms Pallais</w:t>
      </w:r>
      <w:r w:rsidR="00346103" w:rsidRPr="00B010EB" w:rsidDel="00346103">
        <w:rPr>
          <w:rFonts w:ascii="Arial" w:hAnsi="Arial" w:cs="Arial"/>
          <w:sz w:val="24"/>
          <w:szCs w:val="24"/>
        </w:rPr>
        <w:t xml:space="preserve"> </w:t>
      </w:r>
      <w:r w:rsidR="00C90641" w:rsidRPr="00B010EB">
        <w:rPr>
          <w:rFonts w:ascii="Arial" w:hAnsi="Arial" w:cs="Arial"/>
          <w:sz w:val="24"/>
          <w:szCs w:val="24"/>
        </w:rPr>
        <w:t xml:space="preserve">with all her banking and financial matters. She testified that </w:t>
      </w:r>
      <w:r w:rsidR="00346103" w:rsidRPr="00B010EB">
        <w:rPr>
          <w:rFonts w:ascii="Arial" w:hAnsi="Arial" w:cs="Arial"/>
          <w:sz w:val="24"/>
          <w:szCs w:val="24"/>
        </w:rPr>
        <w:t>Ms Pallais</w:t>
      </w:r>
      <w:r w:rsidR="00346103" w:rsidRPr="00B010EB" w:rsidDel="00346103">
        <w:rPr>
          <w:rFonts w:ascii="Arial" w:hAnsi="Arial" w:cs="Arial"/>
          <w:sz w:val="24"/>
          <w:szCs w:val="24"/>
        </w:rPr>
        <w:t xml:space="preserve"> </w:t>
      </w:r>
      <w:r w:rsidR="00C90641" w:rsidRPr="00B010EB">
        <w:rPr>
          <w:rFonts w:ascii="Arial" w:hAnsi="Arial" w:cs="Arial"/>
          <w:sz w:val="24"/>
          <w:szCs w:val="24"/>
        </w:rPr>
        <w:t>came to her on 20 May 2014 and proposed</w:t>
      </w:r>
      <w:r w:rsidR="00EA1E61" w:rsidRPr="00B010EB">
        <w:rPr>
          <w:rFonts w:ascii="Arial" w:hAnsi="Arial" w:cs="Arial"/>
          <w:sz w:val="24"/>
          <w:szCs w:val="24"/>
        </w:rPr>
        <w:t xml:space="preserve"> that</w:t>
      </w:r>
      <w:r w:rsidR="00C90641" w:rsidRPr="00B010EB">
        <w:rPr>
          <w:rFonts w:ascii="Arial" w:hAnsi="Arial" w:cs="Arial"/>
          <w:sz w:val="24"/>
          <w:szCs w:val="24"/>
        </w:rPr>
        <w:t xml:space="preserve"> due to </w:t>
      </w:r>
      <w:r w:rsidR="00346103" w:rsidRPr="00B010EB">
        <w:rPr>
          <w:rFonts w:ascii="Arial" w:hAnsi="Arial" w:cs="Arial"/>
          <w:sz w:val="24"/>
          <w:szCs w:val="24"/>
        </w:rPr>
        <w:t xml:space="preserve">her </w:t>
      </w:r>
      <w:r w:rsidR="00C90641" w:rsidRPr="00B010EB">
        <w:rPr>
          <w:rFonts w:ascii="Arial" w:hAnsi="Arial" w:cs="Arial"/>
          <w:sz w:val="24"/>
          <w:szCs w:val="24"/>
        </w:rPr>
        <w:t>not</w:t>
      </w:r>
      <w:r w:rsidR="00EA1E61" w:rsidRPr="00B010EB">
        <w:rPr>
          <w:rFonts w:ascii="Arial" w:hAnsi="Arial" w:cs="Arial"/>
          <w:sz w:val="24"/>
          <w:szCs w:val="24"/>
        </w:rPr>
        <w:t xml:space="preserve"> always</w:t>
      </w:r>
      <w:r w:rsidR="00C90641" w:rsidRPr="00B010EB">
        <w:rPr>
          <w:rFonts w:ascii="Arial" w:hAnsi="Arial" w:cs="Arial"/>
          <w:sz w:val="24"/>
          <w:szCs w:val="24"/>
        </w:rPr>
        <w:t xml:space="preserve"> being available </w:t>
      </w:r>
      <w:r w:rsidR="00EA1E61" w:rsidRPr="00B010EB">
        <w:rPr>
          <w:rFonts w:ascii="Arial" w:hAnsi="Arial" w:cs="Arial"/>
          <w:sz w:val="24"/>
          <w:szCs w:val="24"/>
        </w:rPr>
        <w:t>to sign</w:t>
      </w:r>
      <w:r w:rsidR="00C90641" w:rsidRPr="00B010EB">
        <w:rPr>
          <w:rFonts w:ascii="Arial" w:hAnsi="Arial" w:cs="Arial"/>
          <w:sz w:val="24"/>
          <w:szCs w:val="24"/>
        </w:rPr>
        <w:t xml:space="preserve"> documentation</w:t>
      </w:r>
      <w:r w:rsidR="00EA1E61" w:rsidRPr="00B010EB">
        <w:rPr>
          <w:rFonts w:ascii="Arial" w:hAnsi="Arial" w:cs="Arial"/>
          <w:sz w:val="24"/>
          <w:szCs w:val="24"/>
        </w:rPr>
        <w:t xml:space="preserve"> and</w:t>
      </w:r>
      <w:r w:rsidR="00C90641" w:rsidRPr="00B010EB">
        <w:rPr>
          <w:rFonts w:ascii="Arial" w:hAnsi="Arial" w:cs="Arial"/>
          <w:sz w:val="24"/>
          <w:szCs w:val="24"/>
        </w:rPr>
        <w:t xml:space="preserve"> to approve necessary transactions</w:t>
      </w:r>
      <w:r w:rsidR="00EA1E61" w:rsidRPr="00B010EB">
        <w:rPr>
          <w:rFonts w:ascii="Arial" w:hAnsi="Arial" w:cs="Arial"/>
          <w:sz w:val="24"/>
          <w:szCs w:val="24"/>
        </w:rPr>
        <w:t>,</w:t>
      </w:r>
      <w:r w:rsidR="00C90641" w:rsidRPr="00B010EB">
        <w:rPr>
          <w:rFonts w:ascii="Arial" w:hAnsi="Arial" w:cs="Arial"/>
          <w:sz w:val="24"/>
          <w:szCs w:val="24"/>
        </w:rPr>
        <w:t xml:space="preserve"> that </w:t>
      </w:r>
      <w:r w:rsidR="00F63C94" w:rsidRPr="00B010EB">
        <w:rPr>
          <w:rFonts w:ascii="Arial" w:hAnsi="Arial" w:cs="Arial"/>
          <w:sz w:val="24"/>
          <w:szCs w:val="24"/>
        </w:rPr>
        <w:t xml:space="preserve">she </w:t>
      </w:r>
      <w:r w:rsidR="00C90641" w:rsidRPr="00B010EB">
        <w:rPr>
          <w:rFonts w:ascii="Arial" w:hAnsi="Arial" w:cs="Arial"/>
          <w:sz w:val="24"/>
          <w:szCs w:val="24"/>
        </w:rPr>
        <w:t>sign</w:t>
      </w:r>
      <w:r w:rsidR="00036D0F" w:rsidRPr="00B010EB">
        <w:rPr>
          <w:rFonts w:ascii="Arial" w:hAnsi="Arial" w:cs="Arial"/>
          <w:sz w:val="24"/>
          <w:szCs w:val="24"/>
        </w:rPr>
        <w:t>s</w:t>
      </w:r>
      <w:r w:rsidR="00C90641" w:rsidRPr="00B010EB">
        <w:rPr>
          <w:rFonts w:ascii="Arial" w:hAnsi="Arial" w:cs="Arial"/>
          <w:sz w:val="24"/>
          <w:szCs w:val="24"/>
        </w:rPr>
        <w:t xml:space="preserve"> a mandate in </w:t>
      </w:r>
      <w:r w:rsidR="00F63C94" w:rsidRPr="00B010EB">
        <w:rPr>
          <w:rFonts w:ascii="Arial" w:hAnsi="Arial" w:cs="Arial"/>
          <w:sz w:val="24"/>
          <w:szCs w:val="24"/>
        </w:rPr>
        <w:t>Ms Pallais</w:t>
      </w:r>
      <w:r w:rsidR="00E90A74" w:rsidRPr="00B010EB">
        <w:rPr>
          <w:rFonts w:ascii="Arial" w:hAnsi="Arial" w:cs="Arial"/>
          <w:sz w:val="24"/>
          <w:szCs w:val="24"/>
        </w:rPr>
        <w:t>’</w:t>
      </w:r>
      <w:r w:rsidR="00F63C94" w:rsidRPr="00B010EB">
        <w:rPr>
          <w:rFonts w:ascii="Arial" w:hAnsi="Arial" w:cs="Arial"/>
          <w:sz w:val="24"/>
          <w:szCs w:val="24"/>
        </w:rPr>
        <w:t xml:space="preserve"> </w:t>
      </w:r>
      <w:r w:rsidR="00C90641" w:rsidRPr="00B010EB">
        <w:rPr>
          <w:rFonts w:ascii="Arial" w:hAnsi="Arial" w:cs="Arial"/>
          <w:sz w:val="24"/>
          <w:szCs w:val="24"/>
        </w:rPr>
        <w:t xml:space="preserve">favour on each of her </w:t>
      </w:r>
      <w:r w:rsidR="0027221D" w:rsidRPr="00B010EB">
        <w:rPr>
          <w:rFonts w:ascii="Arial" w:hAnsi="Arial" w:cs="Arial"/>
          <w:sz w:val="24"/>
          <w:szCs w:val="24"/>
        </w:rPr>
        <w:t>respective bank accounts</w:t>
      </w:r>
      <w:r w:rsidR="00E90A74" w:rsidRPr="00B010EB">
        <w:rPr>
          <w:rFonts w:ascii="Arial" w:hAnsi="Arial" w:cs="Arial"/>
          <w:sz w:val="24"/>
          <w:szCs w:val="24"/>
        </w:rPr>
        <w:t>,</w:t>
      </w:r>
      <w:r w:rsidR="00346103" w:rsidRPr="00B010EB">
        <w:rPr>
          <w:rFonts w:ascii="Arial" w:hAnsi="Arial" w:cs="Arial"/>
          <w:sz w:val="24"/>
          <w:szCs w:val="24"/>
        </w:rPr>
        <w:t xml:space="preserve"> which</w:t>
      </w:r>
      <w:r w:rsidR="0027221D" w:rsidRPr="00B010EB">
        <w:rPr>
          <w:rFonts w:ascii="Arial" w:hAnsi="Arial" w:cs="Arial"/>
          <w:sz w:val="24"/>
          <w:szCs w:val="24"/>
        </w:rPr>
        <w:t xml:space="preserve"> will enable </w:t>
      </w:r>
      <w:r w:rsidR="00036D0F" w:rsidRPr="00B010EB">
        <w:rPr>
          <w:rFonts w:ascii="Arial" w:hAnsi="Arial" w:cs="Arial"/>
          <w:sz w:val="24"/>
          <w:szCs w:val="24"/>
        </w:rPr>
        <w:t xml:space="preserve">Ms Pallais </w:t>
      </w:r>
      <w:r w:rsidR="0027221D" w:rsidRPr="00B010EB">
        <w:rPr>
          <w:rFonts w:ascii="Arial" w:hAnsi="Arial" w:cs="Arial"/>
          <w:sz w:val="24"/>
          <w:szCs w:val="24"/>
        </w:rPr>
        <w:t xml:space="preserve">to sign on her behalf should she not be available. </w:t>
      </w:r>
      <w:r w:rsidR="00036D0F" w:rsidRPr="00B010EB">
        <w:rPr>
          <w:rFonts w:ascii="Arial" w:hAnsi="Arial" w:cs="Arial"/>
          <w:sz w:val="24"/>
          <w:szCs w:val="24"/>
        </w:rPr>
        <w:t xml:space="preserve">Ms Blaauw </w:t>
      </w:r>
      <w:r w:rsidR="0027221D" w:rsidRPr="00B010EB">
        <w:rPr>
          <w:rFonts w:ascii="Arial" w:hAnsi="Arial" w:cs="Arial"/>
          <w:sz w:val="24"/>
          <w:szCs w:val="24"/>
        </w:rPr>
        <w:t xml:space="preserve">further testified that she believed that </w:t>
      </w:r>
      <w:r w:rsidR="00036D0F" w:rsidRPr="00B010EB">
        <w:rPr>
          <w:rFonts w:ascii="Arial" w:hAnsi="Arial" w:cs="Arial"/>
          <w:sz w:val="24"/>
          <w:szCs w:val="24"/>
        </w:rPr>
        <w:t>Ms Pallais</w:t>
      </w:r>
      <w:r w:rsidR="00036D0F" w:rsidRPr="00B010EB" w:rsidDel="00346103">
        <w:rPr>
          <w:rFonts w:ascii="Arial" w:hAnsi="Arial" w:cs="Arial"/>
          <w:sz w:val="24"/>
          <w:szCs w:val="24"/>
        </w:rPr>
        <w:t xml:space="preserve"> </w:t>
      </w:r>
      <w:r w:rsidR="0027221D" w:rsidRPr="00B010EB">
        <w:rPr>
          <w:rFonts w:ascii="Arial" w:hAnsi="Arial" w:cs="Arial"/>
          <w:sz w:val="24"/>
          <w:szCs w:val="24"/>
        </w:rPr>
        <w:t>was acting in her best interest in her capacity as the second defendant’s employee.</w:t>
      </w:r>
    </w:p>
    <w:p w:rsidR="00F06DEC" w:rsidRPr="00B010EB" w:rsidRDefault="00F06DEC" w:rsidP="001A7C59">
      <w:pPr>
        <w:spacing w:after="0" w:line="360" w:lineRule="auto"/>
        <w:jc w:val="both"/>
        <w:rPr>
          <w:rFonts w:ascii="Arial" w:hAnsi="Arial" w:cs="Arial"/>
          <w:sz w:val="24"/>
          <w:szCs w:val="24"/>
        </w:rPr>
      </w:pPr>
    </w:p>
    <w:p w:rsidR="006F53DF" w:rsidRPr="00B010EB" w:rsidRDefault="00C90641" w:rsidP="001A7C59">
      <w:pPr>
        <w:spacing w:after="0" w:line="360" w:lineRule="auto"/>
        <w:jc w:val="both"/>
        <w:rPr>
          <w:rFonts w:ascii="Arial" w:hAnsi="Arial" w:cs="Arial"/>
          <w:sz w:val="24"/>
          <w:szCs w:val="24"/>
        </w:rPr>
      </w:pPr>
      <w:r w:rsidRPr="00B010EB">
        <w:rPr>
          <w:rFonts w:ascii="Arial" w:hAnsi="Arial" w:cs="Arial"/>
          <w:sz w:val="24"/>
          <w:szCs w:val="24"/>
        </w:rPr>
        <w:t xml:space="preserve"> </w:t>
      </w:r>
      <w:r w:rsidR="00DD5DAA" w:rsidRPr="00B010EB">
        <w:rPr>
          <w:rFonts w:ascii="Arial" w:hAnsi="Arial" w:cs="Arial"/>
          <w:sz w:val="24"/>
          <w:szCs w:val="24"/>
        </w:rPr>
        <w:t>[</w:t>
      </w:r>
      <w:r w:rsidR="00997EEF" w:rsidRPr="00B010EB">
        <w:rPr>
          <w:rFonts w:ascii="Arial" w:hAnsi="Arial" w:cs="Arial"/>
          <w:sz w:val="24"/>
          <w:szCs w:val="24"/>
        </w:rPr>
        <w:t>5</w:t>
      </w:r>
      <w:r w:rsidR="00DD5DAA" w:rsidRPr="00B010EB">
        <w:rPr>
          <w:rFonts w:ascii="Arial" w:hAnsi="Arial" w:cs="Arial"/>
          <w:sz w:val="24"/>
          <w:szCs w:val="24"/>
        </w:rPr>
        <w:t>]</w:t>
      </w:r>
      <w:r w:rsidR="00DD5DAA" w:rsidRPr="00B010EB">
        <w:rPr>
          <w:rFonts w:ascii="Arial" w:hAnsi="Arial" w:cs="Arial"/>
          <w:sz w:val="24"/>
          <w:szCs w:val="24"/>
        </w:rPr>
        <w:tab/>
      </w:r>
      <w:r w:rsidR="00DF7FC0" w:rsidRPr="00B010EB">
        <w:rPr>
          <w:rFonts w:ascii="Arial" w:hAnsi="Arial" w:cs="Arial"/>
          <w:sz w:val="24"/>
          <w:szCs w:val="24"/>
        </w:rPr>
        <w:t xml:space="preserve">Ms Blaauw testified that she welcomed the proposal by </w:t>
      </w:r>
      <w:r w:rsidR="00CD69CC" w:rsidRPr="00B010EB">
        <w:rPr>
          <w:rFonts w:ascii="Arial" w:hAnsi="Arial" w:cs="Arial"/>
          <w:sz w:val="24"/>
          <w:szCs w:val="24"/>
        </w:rPr>
        <w:t>Ms Pallais</w:t>
      </w:r>
      <w:r w:rsidR="00CD69CC" w:rsidRPr="00B010EB" w:rsidDel="00CD69CC">
        <w:rPr>
          <w:rFonts w:ascii="Arial" w:hAnsi="Arial" w:cs="Arial"/>
          <w:sz w:val="24"/>
          <w:szCs w:val="24"/>
        </w:rPr>
        <w:t xml:space="preserve"> </w:t>
      </w:r>
      <w:r w:rsidR="00DF7FC0" w:rsidRPr="00B010EB">
        <w:rPr>
          <w:rFonts w:ascii="Arial" w:hAnsi="Arial" w:cs="Arial"/>
          <w:sz w:val="24"/>
          <w:szCs w:val="24"/>
        </w:rPr>
        <w:t>and therefore signed the mandates in</w:t>
      </w:r>
      <w:r w:rsidR="00CD69CC" w:rsidRPr="00B010EB">
        <w:rPr>
          <w:rFonts w:ascii="Arial" w:hAnsi="Arial" w:cs="Arial"/>
          <w:sz w:val="24"/>
          <w:szCs w:val="24"/>
        </w:rPr>
        <w:t xml:space="preserve"> her</w:t>
      </w:r>
      <w:r w:rsidR="00DF7FC0" w:rsidRPr="00B010EB">
        <w:rPr>
          <w:rFonts w:ascii="Arial" w:hAnsi="Arial" w:cs="Arial"/>
          <w:sz w:val="24"/>
          <w:szCs w:val="24"/>
        </w:rPr>
        <w:t xml:space="preserve"> favour in respect of all her accounts. Ms Blaauw testified that she knew </w:t>
      </w:r>
      <w:r w:rsidR="00CD69CC" w:rsidRPr="00B010EB">
        <w:rPr>
          <w:rFonts w:ascii="Arial" w:hAnsi="Arial" w:cs="Arial"/>
          <w:sz w:val="24"/>
          <w:szCs w:val="24"/>
        </w:rPr>
        <w:t>Ms Pallais</w:t>
      </w:r>
      <w:r w:rsidR="00CD69CC" w:rsidRPr="00B010EB" w:rsidDel="00CD69CC">
        <w:rPr>
          <w:rFonts w:ascii="Arial" w:hAnsi="Arial" w:cs="Arial"/>
          <w:sz w:val="24"/>
          <w:szCs w:val="24"/>
        </w:rPr>
        <w:t xml:space="preserve"> </w:t>
      </w:r>
      <w:r w:rsidR="00DF7FC0" w:rsidRPr="00B010EB">
        <w:rPr>
          <w:rFonts w:ascii="Arial" w:hAnsi="Arial" w:cs="Arial"/>
          <w:sz w:val="24"/>
          <w:szCs w:val="24"/>
        </w:rPr>
        <w:t>in a personal capacity from the time</w:t>
      </w:r>
      <w:r w:rsidR="00CD69CC" w:rsidRPr="00B010EB">
        <w:rPr>
          <w:rFonts w:ascii="Arial" w:hAnsi="Arial" w:cs="Arial"/>
          <w:sz w:val="24"/>
          <w:szCs w:val="24"/>
        </w:rPr>
        <w:t xml:space="preserve"> she</w:t>
      </w:r>
      <w:r w:rsidR="00DF7FC0" w:rsidRPr="00B010EB">
        <w:rPr>
          <w:rFonts w:ascii="Arial" w:hAnsi="Arial" w:cs="Arial"/>
          <w:sz w:val="24"/>
          <w:szCs w:val="24"/>
        </w:rPr>
        <w:t xml:space="preserve"> became a tenant in one of the flats</w:t>
      </w:r>
      <w:r w:rsidR="00E90A74" w:rsidRPr="00B010EB">
        <w:rPr>
          <w:rFonts w:ascii="Arial" w:hAnsi="Arial" w:cs="Arial"/>
          <w:sz w:val="24"/>
          <w:szCs w:val="24"/>
        </w:rPr>
        <w:t xml:space="preserve"> she (</w:t>
      </w:r>
      <w:r w:rsidR="00CD69CC" w:rsidRPr="00B010EB">
        <w:rPr>
          <w:rFonts w:ascii="Arial" w:hAnsi="Arial" w:cs="Arial"/>
          <w:sz w:val="24"/>
          <w:szCs w:val="24"/>
        </w:rPr>
        <w:t>the plaintiff</w:t>
      </w:r>
      <w:r w:rsidR="00E90A74" w:rsidRPr="00B010EB">
        <w:rPr>
          <w:rFonts w:ascii="Arial" w:hAnsi="Arial" w:cs="Arial"/>
          <w:sz w:val="24"/>
          <w:szCs w:val="24"/>
        </w:rPr>
        <w:t>)</w:t>
      </w:r>
      <w:r w:rsidR="00DF7FC0" w:rsidRPr="00B010EB">
        <w:rPr>
          <w:rFonts w:ascii="Arial" w:hAnsi="Arial" w:cs="Arial"/>
          <w:sz w:val="24"/>
          <w:szCs w:val="24"/>
        </w:rPr>
        <w:t xml:space="preserve"> owned. She testified that </w:t>
      </w:r>
      <w:r w:rsidR="00CD69CC" w:rsidRPr="00B010EB">
        <w:rPr>
          <w:rFonts w:ascii="Arial" w:hAnsi="Arial" w:cs="Arial"/>
          <w:sz w:val="24"/>
          <w:szCs w:val="24"/>
        </w:rPr>
        <w:t>Ms Pallais</w:t>
      </w:r>
      <w:r w:rsidR="00CD69CC" w:rsidRPr="00B010EB" w:rsidDel="00CD69CC">
        <w:rPr>
          <w:rFonts w:ascii="Arial" w:hAnsi="Arial" w:cs="Arial"/>
          <w:sz w:val="24"/>
          <w:szCs w:val="24"/>
        </w:rPr>
        <w:t xml:space="preserve"> </w:t>
      </w:r>
      <w:r w:rsidR="00DF7FC0" w:rsidRPr="00B010EB">
        <w:rPr>
          <w:rFonts w:ascii="Arial" w:hAnsi="Arial" w:cs="Arial"/>
          <w:sz w:val="24"/>
          <w:szCs w:val="24"/>
        </w:rPr>
        <w:t>confided in her regarding her personal issues and that she at some stage len</w:t>
      </w:r>
      <w:r w:rsidR="000F2FC3" w:rsidRPr="00B010EB">
        <w:rPr>
          <w:rFonts w:ascii="Arial" w:hAnsi="Arial" w:cs="Arial"/>
          <w:sz w:val="24"/>
          <w:szCs w:val="24"/>
        </w:rPr>
        <w:t>t</w:t>
      </w:r>
      <w:r w:rsidR="00DF7FC0" w:rsidRPr="00B010EB">
        <w:rPr>
          <w:rFonts w:ascii="Arial" w:hAnsi="Arial" w:cs="Arial"/>
          <w:sz w:val="24"/>
          <w:szCs w:val="24"/>
        </w:rPr>
        <w:t xml:space="preserve"> </w:t>
      </w:r>
      <w:r w:rsidR="00CD69CC" w:rsidRPr="00B010EB">
        <w:rPr>
          <w:rFonts w:ascii="Arial" w:hAnsi="Arial" w:cs="Arial"/>
          <w:sz w:val="24"/>
          <w:szCs w:val="24"/>
        </w:rPr>
        <w:t xml:space="preserve">her </w:t>
      </w:r>
      <w:r w:rsidR="00DF7FC0" w:rsidRPr="00B010EB">
        <w:rPr>
          <w:rFonts w:ascii="Arial" w:hAnsi="Arial" w:cs="Arial"/>
          <w:sz w:val="24"/>
          <w:szCs w:val="24"/>
        </w:rPr>
        <w:t xml:space="preserve">money. Ms Blaauw testified that </w:t>
      </w:r>
      <w:r w:rsidR="006F53DF" w:rsidRPr="00B010EB">
        <w:rPr>
          <w:rFonts w:ascii="Arial" w:hAnsi="Arial" w:cs="Arial"/>
          <w:sz w:val="24"/>
          <w:szCs w:val="24"/>
        </w:rPr>
        <w:t xml:space="preserve">she never thought </w:t>
      </w:r>
      <w:r w:rsidR="00CD69CC" w:rsidRPr="00B010EB">
        <w:rPr>
          <w:rFonts w:ascii="Arial" w:hAnsi="Arial" w:cs="Arial"/>
          <w:sz w:val="24"/>
          <w:szCs w:val="24"/>
        </w:rPr>
        <w:t>Ms Pallais</w:t>
      </w:r>
      <w:r w:rsidR="006F53DF" w:rsidRPr="00B010EB">
        <w:rPr>
          <w:rFonts w:ascii="Arial" w:hAnsi="Arial" w:cs="Arial"/>
          <w:sz w:val="24"/>
          <w:szCs w:val="24"/>
        </w:rPr>
        <w:t xml:space="preserve"> would abuse her position of trust to defraud her by drawing amounts from her accounts for </w:t>
      </w:r>
      <w:r w:rsidR="00CD69CC" w:rsidRPr="00B010EB">
        <w:rPr>
          <w:rFonts w:ascii="Arial" w:hAnsi="Arial" w:cs="Arial"/>
          <w:sz w:val="24"/>
          <w:szCs w:val="24"/>
        </w:rPr>
        <w:t xml:space="preserve">her </w:t>
      </w:r>
      <w:r w:rsidR="006F53DF" w:rsidRPr="00B010EB">
        <w:rPr>
          <w:rFonts w:ascii="Arial" w:hAnsi="Arial" w:cs="Arial"/>
          <w:sz w:val="24"/>
          <w:szCs w:val="24"/>
        </w:rPr>
        <w:t xml:space="preserve">own use. </w:t>
      </w:r>
    </w:p>
    <w:p w:rsidR="006F53DF" w:rsidRPr="00B010EB" w:rsidRDefault="006F53DF" w:rsidP="001A7C59">
      <w:pPr>
        <w:spacing w:after="0" w:line="360" w:lineRule="auto"/>
        <w:jc w:val="both"/>
        <w:rPr>
          <w:rFonts w:ascii="Arial" w:hAnsi="Arial" w:cs="Arial"/>
          <w:sz w:val="24"/>
          <w:szCs w:val="24"/>
        </w:rPr>
      </w:pPr>
    </w:p>
    <w:p w:rsidR="0012690D" w:rsidRPr="00B010EB" w:rsidRDefault="00C90641" w:rsidP="001A7C59">
      <w:pPr>
        <w:spacing w:after="0" w:line="360" w:lineRule="auto"/>
        <w:jc w:val="both"/>
        <w:rPr>
          <w:rFonts w:ascii="Arial" w:hAnsi="Arial" w:cs="Arial"/>
          <w:sz w:val="24"/>
          <w:szCs w:val="24"/>
        </w:rPr>
      </w:pPr>
      <w:r w:rsidRPr="00B010EB">
        <w:rPr>
          <w:rFonts w:ascii="Arial" w:hAnsi="Arial" w:cs="Arial"/>
          <w:sz w:val="24"/>
          <w:szCs w:val="24"/>
        </w:rPr>
        <w:t xml:space="preserve"> </w:t>
      </w:r>
      <w:r w:rsidR="0079334A" w:rsidRPr="00B010EB">
        <w:rPr>
          <w:rFonts w:ascii="Arial" w:hAnsi="Arial" w:cs="Arial"/>
          <w:sz w:val="24"/>
          <w:szCs w:val="24"/>
        </w:rPr>
        <w:t>[</w:t>
      </w:r>
      <w:r w:rsidR="00997EEF" w:rsidRPr="00B010EB">
        <w:rPr>
          <w:rFonts w:ascii="Arial" w:hAnsi="Arial" w:cs="Arial"/>
          <w:sz w:val="24"/>
          <w:szCs w:val="24"/>
        </w:rPr>
        <w:t>6</w:t>
      </w:r>
      <w:r w:rsidR="0079334A" w:rsidRPr="00B010EB">
        <w:rPr>
          <w:rFonts w:ascii="Arial" w:hAnsi="Arial" w:cs="Arial"/>
          <w:sz w:val="24"/>
          <w:szCs w:val="24"/>
        </w:rPr>
        <w:t>]</w:t>
      </w:r>
      <w:r w:rsidR="0079334A" w:rsidRPr="00B010EB">
        <w:rPr>
          <w:rFonts w:ascii="Arial" w:hAnsi="Arial" w:cs="Arial"/>
          <w:sz w:val="24"/>
          <w:szCs w:val="24"/>
        </w:rPr>
        <w:tab/>
        <w:t xml:space="preserve"> </w:t>
      </w:r>
      <w:r w:rsidR="006F53DF" w:rsidRPr="00B010EB">
        <w:rPr>
          <w:rFonts w:ascii="Arial" w:hAnsi="Arial" w:cs="Arial"/>
          <w:sz w:val="24"/>
          <w:szCs w:val="24"/>
        </w:rPr>
        <w:t>According to Ms Blaauw</w:t>
      </w:r>
      <w:r w:rsidR="008B4707" w:rsidRPr="00B010EB">
        <w:rPr>
          <w:rFonts w:ascii="Arial" w:hAnsi="Arial" w:cs="Arial"/>
          <w:sz w:val="24"/>
          <w:szCs w:val="24"/>
        </w:rPr>
        <w:t xml:space="preserve"> </w:t>
      </w:r>
      <w:r w:rsidR="006F53DF" w:rsidRPr="00B010EB">
        <w:rPr>
          <w:rFonts w:ascii="Arial" w:hAnsi="Arial" w:cs="Arial"/>
          <w:sz w:val="24"/>
          <w:szCs w:val="24"/>
        </w:rPr>
        <w:t>a senior employee of the second defendant</w:t>
      </w:r>
      <w:r w:rsidR="00E90A74" w:rsidRPr="00B010EB">
        <w:rPr>
          <w:rFonts w:ascii="Arial" w:hAnsi="Arial" w:cs="Arial"/>
          <w:sz w:val="24"/>
          <w:szCs w:val="24"/>
        </w:rPr>
        <w:t>’s</w:t>
      </w:r>
      <w:r w:rsidR="006F53DF" w:rsidRPr="00B010EB">
        <w:rPr>
          <w:rFonts w:ascii="Arial" w:hAnsi="Arial" w:cs="Arial"/>
          <w:sz w:val="24"/>
          <w:szCs w:val="24"/>
        </w:rPr>
        <w:t xml:space="preserve"> Mariental Branch, </w:t>
      </w:r>
      <w:r w:rsidR="000F2FC3" w:rsidRPr="00B010EB">
        <w:rPr>
          <w:rFonts w:ascii="Arial" w:hAnsi="Arial" w:cs="Arial"/>
          <w:sz w:val="24"/>
          <w:szCs w:val="24"/>
        </w:rPr>
        <w:t xml:space="preserve">one </w:t>
      </w:r>
      <w:r w:rsidR="006F53DF" w:rsidRPr="00B010EB">
        <w:rPr>
          <w:rFonts w:ascii="Arial" w:hAnsi="Arial" w:cs="Arial"/>
          <w:sz w:val="24"/>
          <w:szCs w:val="24"/>
        </w:rPr>
        <w:t xml:space="preserve">Mr Schroer, informed her that he believed that transactions on her accounts appeared to be irregular and she must investigate the transactions. Ms Blaauw testified that she investigated her accounts and found that an amount of N$403 044.70 was misappropriated from her accounts by </w:t>
      </w:r>
      <w:r w:rsidR="00CD69CC" w:rsidRPr="00B010EB">
        <w:rPr>
          <w:rFonts w:ascii="Arial" w:hAnsi="Arial" w:cs="Arial"/>
          <w:sz w:val="24"/>
          <w:szCs w:val="24"/>
        </w:rPr>
        <w:t>Ms Pallais</w:t>
      </w:r>
      <w:r w:rsidR="006F53DF" w:rsidRPr="00B010EB">
        <w:rPr>
          <w:rFonts w:ascii="Arial" w:hAnsi="Arial" w:cs="Arial"/>
          <w:sz w:val="24"/>
          <w:szCs w:val="24"/>
        </w:rPr>
        <w:t xml:space="preserve">. Ms Blaauw testified that she demanded that the second defendant compensate her for her loss because </w:t>
      </w:r>
      <w:r w:rsidR="000F2FC3" w:rsidRPr="00B010EB">
        <w:rPr>
          <w:rFonts w:ascii="Arial" w:hAnsi="Arial" w:cs="Arial"/>
          <w:sz w:val="24"/>
          <w:szCs w:val="24"/>
        </w:rPr>
        <w:t>it</w:t>
      </w:r>
      <w:r w:rsidR="006F53DF" w:rsidRPr="00B010EB">
        <w:rPr>
          <w:rFonts w:ascii="Arial" w:hAnsi="Arial" w:cs="Arial"/>
          <w:sz w:val="24"/>
          <w:szCs w:val="24"/>
        </w:rPr>
        <w:t xml:space="preserve"> was caused by the first defendant</w:t>
      </w:r>
      <w:r w:rsidR="006E31F9" w:rsidRPr="00B010EB">
        <w:rPr>
          <w:rFonts w:ascii="Arial" w:hAnsi="Arial" w:cs="Arial"/>
          <w:sz w:val="24"/>
          <w:szCs w:val="24"/>
        </w:rPr>
        <w:t>,</w:t>
      </w:r>
      <w:r w:rsidR="006F53DF" w:rsidRPr="00B010EB">
        <w:rPr>
          <w:rFonts w:ascii="Arial" w:hAnsi="Arial" w:cs="Arial"/>
          <w:sz w:val="24"/>
          <w:szCs w:val="24"/>
        </w:rPr>
        <w:t xml:space="preserve"> who acted in the </w:t>
      </w:r>
      <w:r w:rsidR="00E90A74" w:rsidRPr="00B010EB">
        <w:rPr>
          <w:rFonts w:ascii="Arial" w:hAnsi="Arial" w:cs="Arial"/>
          <w:sz w:val="24"/>
          <w:szCs w:val="24"/>
        </w:rPr>
        <w:t>course</w:t>
      </w:r>
      <w:r w:rsidR="00AD42EE" w:rsidRPr="00B010EB">
        <w:rPr>
          <w:rFonts w:ascii="Arial" w:hAnsi="Arial" w:cs="Arial"/>
          <w:sz w:val="24"/>
          <w:szCs w:val="24"/>
        </w:rPr>
        <w:t xml:space="preserve"> </w:t>
      </w:r>
      <w:r w:rsidR="006F53DF" w:rsidRPr="00B010EB">
        <w:rPr>
          <w:rFonts w:ascii="Arial" w:hAnsi="Arial" w:cs="Arial"/>
          <w:sz w:val="24"/>
          <w:szCs w:val="24"/>
        </w:rPr>
        <w:t xml:space="preserve">and scope of her employment with the second defendant. </w:t>
      </w:r>
      <w:r w:rsidR="001026E3" w:rsidRPr="00B010EB">
        <w:rPr>
          <w:rFonts w:ascii="Arial" w:hAnsi="Arial" w:cs="Arial"/>
          <w:sz w:val="24"/>
          <w:szCs w:val="24"/>
        </w:rPr>
        <w:t>Ms Blaauw</w:t>
      </w:r>
      <w:r w:rsidR="006F53DF" w:rsidRPr="00B010EB">
        <w:rPr>
          <w:rFonts w:ascii="Arial" w:hAnsi="Arial" w:cs="Arial"/>
          <w:sz w:val="24"/>
          <w:szCs w:val="24"/>
        </w:rPr>
        <w:t xml:space="preserve"> further testified </w:t>
      </w:r>
      <w:r w:rsidR="001026E3" w:rsidRPr="00B010EB">
        <w:rPr>
          <w:rFonts w:ascii="Arial" w:hAnsi="Arial" w:cs="Arial"/>
          <w:sz w:val="24"/>
          <w:szCs w:val="24"/>
        </w:rPr>
        <w:t xml:space="preserve">that the second defendant addressed a letter to her dated 8 March 2017 wherein the </w:t>
      </w:r>
      <w:r w:rsidR="006E31F9" w:rsidRPr="00B010EB">
        <w:rPr>
          <w:rFonts w:ascii="Arial" w:hAnsi="Arial" w:cs="Arial"/>
          <w:sz w:val="24"/>
          <w:szCs w:val="24"/>
        </w:rPr>
        <w:t xml:space="preserve">it </w:t>
      </w:r>
      <w:r w:rsidR="001026E3" w:rsidRPr="00B010EB">
        <w:rPr>
          <w:rFonts w:ascii="Arial" w:hAnsi="Arial" w:cs="Arial"/>
          <w:sz w:val="24"/>
          <w:szCs w:val="24"/>
        </w:rPr>
        <w:t xml:space="preserve">denied liability for any of her losses caused by </w:t>
      </w:r>
      <w:r w:rsidR="00CD69CC" w:rsidRPr="00B010EB">
        <w:rPr>
          <w:rFonts w:ascii="Arial" w:hAnsi="Arial" w:cs="Arial"/>
          <w:sz w:val="24"/>
          <w:szCs w:val="24"/>
        </w:rPr>
        <w:t>Ms Pallais</w:t>
      </w:r>
      <w:r w:rsidR="00CD69CC" w:rsidRPr="00B010EB" w:rsidDel="00CD69CC">
        <w:rPr>
          <w:rFonts w:ascii="Arial" w:hAnsi="Arial" w:cs="Arial"/>
          <w:sz w:val="24"/>
          <w:szCs w:val="24"/>
        </w:rPr>
        <w:t xml:space="preserve"> </w:t>
      </w:r>
      <w:r w:rsidR="001026E3" w:rsidRPr="00B010EB">
        <w:rPr>
          <w:rFonts w:ascii="Arial" w:hAnsi="Arial" w:cs="Arial"/>
          <w:sz w:val="24"/>
          <w:szCs w:val="24"/>
        </w:rPr>
        <w:t xml:space="preserve">and provided her with the following reasons: (a) that there was a personal relationship between plaintiff and first defendant, (b) that the plaintiff provided the first defendant signatory powers for her accounts and (c) that the plaintiff therefore endorsed any amounts transferred by the first defendant from her accounts. </w:t>
      </w:r>
      <w:r w:rsidR="00555F39" w:rsidRPr="00B010EB">
        <w:rPr>
          <w:rFonts w:ascii="Arial" w:hAnsi="Arial" w:cs="Arial"/>
          <w:sz w:val="24"/>
          <w:szCs w:val="24"/>
        </w:rPr>
        <w:t xml:space="preserve">Ms Blaauw testified that the she did not accept the reasons provided to her by the second defendant and that led to the summons being issued against both first and second defendant to recover her monies. </w:t>
      </w:r>
      <w:r w:rsidR="005C1AE6" w:rsidRPr="00B010EB">
        <w:rPr>
          <w:rFonts w:ascii="Arial" w:hAnsi="Arial" w:cs="Arial"/>
          <w:sz w:val="24"/>
          <w:szCs w:val="24"/>
        </w:rPr>
        <w:t xml:space="preserve">Ms Blaauw </w:t>
      </w:r>
      <w:r w:rsidR="006E31F9" w:rsidRPr="00B010EB">
        <w:rPr>
          <w:rFonts w:ascii="Arial" w:hAnsi="Arial" w:cs="Arial"/>
          <w:sz w:val="24"/>
          <w:szCs w:val="24"/>
        </w:rPr>
        <w:t>further</w:t>
      </w:r>
      <w:r w:rsidR="00555F39" w:rsidRPr="00B010EB">
        <w:rPr>
          <w:rFonts w:ascii="Arial" w:hAnsi="Arial" w:cs="Arial"/>
          <w:sz w:val="24"/>
          <w:szCs w:val="24"/>
        </w:rPr>
        <w:t xml:space="preserve"> testified that </w:t>
      </w:r>
      <w:r w:rsidR="00CD69CC" w:rsidRPr="00B010EB">
        <w:rPr>
          <w:rFonts w:ascii="Arial" w:hAnsi="Arial" w:cs="Arial"/>
          <w:sz w:val="24"/>
          <w:szCs w:val="24"/>
        </w:rPr>
        <w:t>Ms Pallais</w:t>
      </w:r>
      <w:r w:rsidR="00555F39" w:rsidRPr="00B010EB">
        <w:rPr>
          <w:rFonts w:ascii="Arial" w:hAnsi="Arial" w:cs="Arial"/>
          <w:sz w:val="24"/>
          <w:szCs w:val="24"/>
        </w:rPr>
        <w:t xml:space="preserve"> also stole</w:t>
      </w:r>
      <w:r w:rsidR="00CD69CC" w:rsidRPr="00B010EB">
        <w:rPr>
          <w:rFonts w:ascii="Arial" w:hAnsi="Arial" w:cs="Arial"/>
          <w:sz w:val="24"/>
          <w:szCs w:val="24"/>
        </w:rPr>
        <w:t xml:space="preserve"> from</w:t>
      </w:r>
      <w:r w:rsidR="00555F39" w:rsidRPr="00B010EB">
        <w:rPr>
          <w:rFonts w:ascii="Arial" w:hAnsi="Arial" w:cs="Arial"/>
          <w:sz w:val="24"/>
          <w:szCs w:val="24"/>
        </w:rPr>
        <w:t xml:space="preserve"> her daughter</w:t>
      </w:r>
      <w:r w:rsidR="005C1AE6" w:rsidRPr="00B010EB">
        <w:rPr>
          <w:rFonts w:ascii="Arial" w:hAnsi="Arial" w:cs="Arial"/>
          <w:sz w:val="24"/>
          <w:szCs w:val="24"/>
        </w:rPr>
        <w:t xml:space="preserve"> during 2014, subsequent to the signing of the mandates. On a question of the court the witness stated that she could not think why </w:t>
      </w:r>
      <w:r w:rsidR="005C1AE6" w:rsidRPr="00B010EB">
        <w:rPr>
          <w:rFonts w:ascii="Arial" w:hAnsi="Arial" w:cs="Arial"/>
          <w:sz w:val="24"/>
          <w:szCs w:val="24"/>
        </w:rPr>
        <w:lastRenderedPageBreak/>
        <w:t>Ms Pallais would steal from her</w:t>
      </w:r>
      <w:r w:rsidR="006C7670" w:rsidRPr="00B010EB">
        <w:rPr>
          <w:rFonts w:ascii="Arial" w:hAnsi="Arial" w:cs="Arial"/>
          <w:sz w:val="24"/>
          <w:szCs w:val="24"/>
        </w:rPr>
        <w:t>, and</w:t>
      </w:r>
      <w:r w:rsidR="005C1AE6" w:rsidRPr="00B010EB">
        <w:rPr>
          <w:rFonts w:ascii="Arial" w:hAnsi="Arial" w:cs="Arial"/>
          <w:sz w:val="24"/>
          <w:szCs w:val="24"/>
        </w:rPr>
        <w:t xml:space="preserve"> in spite of the incident regarding her daughter she did not cancel the mandates</w:t>
      </w:r>
      <w:r w:rsidR="00036D0F" w:rsidRPr="00B010EB">
        <w:rPr>
          <w:rFonts w:ascii="Arial" w:hAnsi="Arial" w:cs="Arial"/>
          <w:sz w:val="24"/>
          <w:szCs w:val="24"/>
        </w:rPr>
        <w:t>.</w:t>
      </w:r>
      <w:r w:rsidR="00555F39" w:rsidRPr="00B010EB">
        <w:rPr>
          <w:rFonts w:ascii="Arial" w:hAnsi="Arial" w:cs="Arial"/>
          <w:sz w:val="24"/>
          <w:szCs w:val="24"/>
        </w:rPr>
        <w:t xml:space="preserve"> During the course of the hearing the plaintiff provided the </w:t>
      </w:r>
      <w:r w:rsidR="006E31F9" w:rsidRPr="00B010EB">
        <w:rPr>
          <w:rFonts w:ascii="Arial" w:hAnsi="Arial" w:cs="Arial"/>
          <w:sz w:val="24"/>
          <w:szCs w:val="24"/>
        </w:rPr>
        <w:t>c</w:t>
      </w:r>
      <w:r w:rsidR="00555F39" w:rsidRPr="00B010EB">
        <w:rPr>
          <w:rFonts w:ascii="Arial" w:hAnsi="Arial" w:cs="Arial"/>
          <w:sz w:val="24"/>
          <w:szCs w:val="24"/>
        </w:rPr>
        <w:t xml:space="preserve">ourt with various documentation in support of her claim which were handed up and submitted as exhibits. </w:t>
      </w:r>
    </w:p>
    <w:p w:rsidR="00555F39" w:rsidRPr="00B010EB" w:rsidRDefault="00555F39" w:rsidP="001A7C59">
      <w:pPr>
        <w:spacing w:after="0" w:line="360" w:lineRule="auto"/>
        <w:jc w:val="both"/>
        <w:rPr>
          <w:rFonts w:ascii="Arial" w:hAnsi="Arial" w:cs="Arial"/>
          <w:sz w:val="24"/>
          <w:szCs w:val="24"/>
        </w:rPr>
      </w:pPr>
    </w:p>
    <w:p w:rsidR="0006110B" w:rsidRPr="00B010EB" w:rsidRDefault="0012690D" w:rsidP="001A7C59">
      <w:pPr>
        <w:spacing w:after="0" w:line="360" w:lineRule="auto"/>
        <w:jc w:val="both"/>
        <w:rPr>
          <w:rFonts w:ascii="Arial" w:hAnsi="Arial" w:cs="Arial"/>
          <w:sz w:val="24"/>
          <w:szCs w:val="24"/>
        </w:rPr>
      </w:pPr>
      <w:r w:rsidRPr="00B010EB">
        <w:rPr>
          <w:rFonts w:ascii="Arial" w:hAnsi="Arial" w:cs="Arial"/>
          <w:sz w:val="24"/>
          <w:szCs w:val="24"/>
        </w:rPr>
        <w:t>[</w:t>
      </w:r>
      <w:r w:rsidR="00C2266E" w:rsidRPr="00B010EB">
        <w:rPr>
          <w:rFonts w:ascii="Arial" w:hAnsi="Arial" w:cs="Arial"/>
          <w:sz w:val="24"/>
          <w:szCs w:val="24"/>
        </w:rPr>
        <w:t>7</w:t>
      </w:r>
      <w:r w:rsidRPr="00B010EB">
        <w:rPr>
          <w:rFonts w:ascii="Arial" w:hAnsi="Arial" w:cs="Arial"/>
          <w:sz w:val="24"/>
          <w:szCs w:val="24"/>
        </w:rPr>
        <w:t>]</w:t>
      </w:r>
      <w:r w:rsidRPr="00B010EB">
        <w:rPr>
          <w:rFonts w:ascii="Arial" w:hAnsi="Arial" w:cs="Arial"/>
          <w:sz w:val="24"/>
          <w:szCs w:val="24"/>
        </w:rPr>
        <w:tab/>
      </w:r>
      <w:r w:rsidR="00555F39" w:rsidRPr="00B010EB">
        <w:rPr>
          <w:rFonts w:ascii="Arial" w:hAnsi="Arial" w:cs="Arial"/>
          <w:sz w:val="24"/>
          <w:szCs w:val="24"/>
        </w:rPr>
        <w:t xml:space="preserve">Under cross examination </w:t>
      </w:r>
      <w:r w:rsidR="00CD69CC" w:rsidRPr="00B010EB">
        <w:rPr>
          <w:rFonts w:ascii="Arial" w:hAnsi="Arial" w:cs="Arial"/>
          <w:sz w:val="24"/>
          <w:szCs w:val="24"/>
        </w:rPr>
        <w:t xml:space="preserve">Ms Blaauw </w:t>
      </w:r>
      <w:r w:rsidR="006E31F9" w:rsidRPr="00B010EB">
        <w:rPr>
          <w:rFonts w:ascii="Arial" w:hAnsi="Arial" w:cs="Arial"/>
          <w:sz w:val="24"/>
          <w:szCs w:val="24"/>
        </w:rPr>
        <w:t>confirmed</w:t>
      </w:r>
      <w:r w:rsidR="00001918" w:rsidRPr="00B010EB">
        <w:rPr>
          <w:rFonts w:ascii="Arial" w:hAnsi="Arial" w:cs="Arial"/>
          <w:sz w:val="24"/>
          <w:szCs w:val="24"/>
        </w:rPr>
        <w:t xml:space="preserve"> that she </w:t>
      </w:r>
      <w:r w:rsidR="006E31F9" w:rsidRPr="00B010EB">
        <w:rPr>
          <w:rFonts w:ascii="Arial" w:hAnsi="Arial" w:cs="Arial"/>
          <w:sz w:val="24"/>
          <w:szCs w:val="24"/>
        </w:rPr>
        <w:t>employed</w:t>
      </w:r>
      <w:r w:rsidR="00001918" w:rsidRPr="00B010EB">
        <w:rPr>
          <w:rFonts w:ascii="Arial" w:hAnsi="Arial" w:cs="Arial"/>
          <w:sz w:val="24"/>
          <w:szCs w:val="24"/>
        </w:rPr>
        <w:t xml:space="preserve"> a bookkeeper and that she paid tax for her various </w:t>
      </w:r>
      <w:r w:rsidR="006E31F9" w:rsidRPr="00B010EB">
        <w:rPr>
          <w:rFonts w:ascii="Arial" w:hAnsi="Arial" w:cs="Arial"/>
          <w:sz w:val="24"/>
          <w:szCs w:val="24"/>
        </w:rPr>
        <w:t>business</w:t>
      </w:r>
      <w:r w:rsidR="006E31F9" w:rsidRPr="00B010EB">
        <w:rPr>
          <w:rFonts w:ascii="Arial" w:hAnsi="Arial" w:cs="Arial"/>
          <w:strike/>
          <w:sz w:val="24"/>
          <w:szCs w:val="24"/>
        </w:rPr>
        <w:t xml:space="preserve"> </w:t>
      </w:r>
      <w:r w:rsidR="006E31F9" w:rsidRPr="00B010EB">
        <w:rPr>
          <w:rFonts w:ascii="Arial" w:hAnsi="Arial" w:cs="Arial"/>
          <w:sz w:val="24"/>
          <w:szCs w:val="24"/>
        </w:rPr>
        <w:t>enterprises</w:t>
      </w:r>
      <w:r w:rsidR="00001918" w:rsidRPr="00B010EB">
        <w:rPr>
          <w:rFonts w:ascii="Arial" w:hAnsi="Arial" w:cs="Arial"/>
          <w:sz w:val="24"/>
          <w:szCs w:val="24"/>
        </w:rPr>
        <w:t xml:space="preserve">. The plaintiff confirmed that at the time when she signed the mandates in favour of </w:t>
      </w:r>
      <w:r w:rsidR="00CD69CC" w:rsidRPr="00B010EB">
        <w:rPr>
          <w:rFonts w:ascii="Arial" w:hAnsi="Arial" w:cs="Arial"/>
          <w:sz w:val="24"/>
          <w:szCs w:val="24"/>
        </w:rPr>
        <w:t>Ms Pallais</w:t>
      </w:r>
      <w:r w:rsidR="00001918" w:rsidRPr="00B010EB">
        <w:rPr>
          <w:rFonts w:ascii="Arial" w:hAnsi="Arial" w:cs="Arial"/>
          <w:sz w:val="24"/>
          <w:szCs w:val="24"/>
        </w:rPr>
        <w:t xml:space="preserve">, </w:t>
      </w:r>
      <w:r w:rsidR="00CD69CC" w:rsidRPr="00B010EB">
        <w:rPr>
          <w:rFonts w:ascii="Arial" w:hAnsi="Arial" w:cs="Arial"/>
          <w:sz w:val="24"/>
          <w:szCs w:val="24"/>
        </w:rPr>
        <w:t>Ms Pallais</w:t>
      </w:r>
      <w:r w:rsidR="00CD69CC" w:rsidRPr="00B010EB" w:rsidDel="00CD69CC">
        <w:rPr>
          <w:rFonts w:ascii="Arial" w:hAnsi="Arial" w:cs="Arial"/>
          <w:sz w:val="24"/>
          <w:szCs w:val="24"/>
        </w:rPr>
        <w:t xml:space="preserve"> </w:t>
      </w:r>
      <w:r w:rsidR="00001918" w:rsidRPr="00B010EB">
        <w:rPr>
          <w:rFonts w:ascii="Arial" w:hAnsi="Arial" w:cs="Arial"/>
          <w:sz w:val="24"/>
          <w:szCs w:val="24"/>
        </w:rPr>
        <w:t xml:space="preserve">was not a personal banker but just a senior credit clerk. </w:t>
      </w:r>
      <w:r w:rsidR="00CD69CC" w:rsidRPr="00B010EB">
        <w:rPr>
          <w:rFonts w:ascii="Arial" w:hAnsi="Arial" w:cs="Arial"/>
          <w:sz w:val="24"/>
          <w:szCs w:val="24"/>
        </w:rPr>
        <w:t xml:space="preserve">Ms Blaauw </w:t>
      </w:r>
      <w:r w:rsidR="00001918" w:rsidRPr="00B010EB">
        <w:rPr>
          <w:rFonts w:ascii="Arial" w:hAnsi="Arial" w:cs="Arial"/>
          <w:sz w:val="24"/>
          <w:szCs w:val="24"/>
        </w:rPr>
        <w:t xml:space="preserve">further confirmed that </w:t>
      </w:r>
      <w:r w:rsidR="00CD69CC" w:rsidRPr="00B010EB">
        <w:rPr>
          <w:rFonts w:ascii="Arial" w:hAnsi="Arial" w:cs="Arial"/>
          <w:sz w:val="24"/>
          <w:szCs w:val="24"/>
        </w:rPr>
        <w:t>Ms Pallais</w:t>
      </w:r>
      <w:r w:rsidR="00CD69CC" w:rsidRPr="00B010EB" w:rsidDel="00CD69CC">
        <w:rPr>
          <w:rFonts w:ascii="Arial" w:hAnsi="Arial" w:cs="Arial"/>
          <w:sz w:val="24"/>
          <w:szCs w:val="24"/>
        </w:rPr>
        <w:t xml:space="preserve"> </w:t>
      </w:r>
      <w:r w:rsidR="00001918" w:rsidRPr="00B010EB">
        <w:rPr>
          <w:rFonts w:ascii="Arial" w:hAnsi="Arial" w:cs="Arial"/>
          <w:sz w:val="24"/>
          <w:szCs w:val="24"/>
        </w:rPr>
        <w:t>could not have transact</w:t>
      </w:r>
      <w:r w:rsidR="000F2FC3" w:rsidRPr="00B010EB">
        <w:rPr>
          <w:rFonts w:ascii="Arial" w:hAnsi="Arial" w:cs="Arial"/>
          <w:sz w:val="24"/>
          <w:szCs w:val="24"/>
        </w:rPr>
        <w:t>ed</w:t>
      </w:r>
      <w:r w:rsidR="00001918" w:rsidRPr="00B010EB">
        <w:rPr>
          <w:rFonts w:ascii="Arial" w:hAnsi="Arial" w:cs="Arial"/>
          <w:sz w:val="24"/>
          <w:szCs w:val="24"/>
        </w:rPr>
        <w:t xml:space="preserve"> on her accounts without the mandates</w:t>
      </w:r>
      <w:r w:rsidR="00036D0F" w:rsidRPr="00B010EB">
        <w:rPr>
          <w:rFonts w:ascii="Arial" w:hAnsi="Arial" w:cs="Arial"/>
          <w:sz w:val="24"/>
          <w:szCs w:val="24"/>
        </w:rPr>
        <w:t xml:space="preserve"> in place.</w:t>
      </w:r>
      <w:r w:rsidR="001611D4" w:rsidRPr="00B010EB">
        <w:rPr>
          <w:rFonts w:ascii="Arial" w:hAnsi="Arial" w:cs="Arial"/>
          <w:sz w:val="24"/>
          <w:szCs w:val="24"/>
        </w:rPr>
        <w:t xml:space="preserve"> </w:t>
      </w:r>
      <w:r w:rsidR="006E31F9" w:rsidRPr="00B010EB">
        <w:rPr>
          <w:rFonts w:ascii="Arial" w:hAnsi="Arial" w:cs="Arial"/>
          <w:sz w:val="24"/>
          <w:szCs w:val="24"/>
        </w:rPr>
        <w:t>When confronted about how the second defendant would distinguish between authorized and unauthorized transactions the plaintiff chose not to comment to it</w:t>
      </w:r>
      <w:r w:rsidR="0006110B" w:rsidRPr="00B010EB">
        <w:rPr>
          <w:rFonts w:ascii="Arial" w:hAnsi="Arial" w:cs="Arial"/>
          <w:sz w:val="24"/>
          <w:szCs w:val="24"/>
        </w:rPr>
        <w:t>.</w:t>
      </w:r>
      <w:r w:rsidR="0006110B" w:rsidRPr="00B010EB">
        <w:rPr>
          <w:rStyle w:val="FootnoteReference"/>
          <w:rFonts w:ascii="Arial" w:hAnsi="Arial" w:cs="Arial"/>
          <w:sz w:val="24"/>
          <w:szCs w:val="24"/>
        </w:rPr>
        <w:footnoteReference w:id="1"/>
      </w:r>
      <w:r w:rsidR="0006110B" w:rsidRPr="00B010EB">
        <w:rPr>
          <w:rFonts w:ascii="Arial" w:hAnsi="Arial" w:cs="Arial"/>
          <w:sz w:val="24"/>
          <w:szCs w:val="24"/>
        </w:rPr>
        <w:t xml:space="preserve"> The plaintiff further </w:t>
      </w:r>
      <w:r w:rsidR="006E31F9" w:rsidRPr="00B010EB">
        <w:rPr>
          <w:rFonts w:ascii="Arial" w:hAnsi="Arial" w:cs="Arial"/>
          <w:sz w:val="24"/>
          <w:szCs w:val="24"/>
        </w:rPr>
        <w:t>conceded</w:t>
      </w:r>
      <w:r w:rsidR="0006110B" w:rsidRPr="00B010EB">
        <w:rPr>
          <w:rFonts w:ascii="Arial" w:hAnsi="Arial" w:cs="Arial"/>
          <w:sz w:val="24"/>
          <w:szCs w:val="24"/>
        </w:rPr>
        <w:t xml:space="preserve"> that </w:t>
      </w:r>
      <w:r w:rsidR="00CD69CC" w:rsidRPr="00B010EB">
        <w:rPr>
          <w:rFonts w:ascii="Arial" w:hAnsi="Arial" w:cs="Arial"/>
          <w:sz w:val="24"/>
          <w:szCs w:val="24"/>
        </w:rPr>
        <w:t>Ms Pallais</w:t>
      </w:r>
      <w:r w:rsidR="00CD69CC" w:rsidRPr="00B010EB" w:rsidDel="00CD69CC">
        <w:rPr>
          <w:rFonts w:ascii="Arial" w:hAnsi="Arial" w:cs="Arial"/>
          <w:sz w:val="24"/>
          <w:szCs w:val="24"/>
        </w:rPr>
        <w:t xml:space="preserve"> </w:t>
      </w:r>
      <w:r w:rsidR="0006110B" w:rsidRPr="00B010EB">
        <w:rPr>
          <w:rFonts w:ascii="Arial" w:hAnsi="Arial" w:cs="Arial"/>
          <w:sz w:val="24"/>
          <w:szCs w:val="24"/>
        </w:rPr>
        <w:t xml:space="preserve">was acting in her capacity as the </w:t>
      </w:r>
      <w:r w:rsidR="007A059C" w:rsidRPr="00B010EB">
        <w:rPr>
          <w:rFonts w:ascii="Arial" w:hAnsi="Arial" w:cs="Arial"/>
          <w:sz w:val="24"/>
          <w:szCs w:val="24"/>
        </w:rPr>
        <w:t>plaintiff’s</w:t>
      </w:r>
      <w:r w:rsidR="0006110B" w:rsidRPr="00B010EB">
        <w:rPr>
          <w:rFonts w:ascii="Arial" w:hAnsi="Arial" w:cs="Arial"/>
          <w:sz w:val="24"/>
          <w:szCs w:val="24"/>
        </w:rPr>
        <w:t xml:space="preserve"> agent. The plaintiff indicated that on occasions she would call </w:t>
      </w:r>
      <w:r w:rsidR="00CD69CC" w:rsidRPr="00B010EB">
        <w:rPr>
          <w:rFonts w:ascii="Arial" w:hAnsi="Arial" w:cs="Arial"/>
          <w:sz w:val="24"/>
          <w:szCs w:val="24"/>
        </w:rPr>
        <w:t>Ms Pallais</w:t>
      </w:r>
      <w:r w:rsidR="00CD69CC" w:rsidRPr="00B010EB" w:rsidDel="00CD69CC">
        <w:rPr>
          <w:rFonts w:ascii="Arial" w:hAnsi="Arial" w:cs="Arial"/>
          <w:sz w:val="24"/>
          <w:szCs w:val="24"/>
        </w:rPr>
        <w:t xml:space="preserve"> </w:t>
      </w:r>
      <w:r w:rsidR="0006110B" w:rsidRPr="00B010EB">
        <w:rPr>
          <w:rFonts w:ascii="Arial" w:hAnsi="Arial" w:cs="Arial"/>
          <w:sz w:val="24"/>
          <w:szCs w:val="24"/>
        </w:rPr>
        <w:t xml:space="preserve">to withdraw money for her over the counter and </w:t>
      </w:r>
      <w:r w:rsidR="00CD69CC" w:rsidRPr="00B010EB">
        <w:rPr>
          <w:rFonts w:ascii="Arial" w:hAnsi="Arial" w:cs="Arial"/>
          <w:sz w:val="24"/>
          <w:szCs w:val="24"/>
        </w:rPr>
        <w:t xml:space="preserve">she </w:t>
      </w:r>
      <w:r w:rsidR="0006110B" w:rsidRPr="00B010EB">
        <w:rPr>
          <w:rFonts w:ascii="Arial" w:hAnsi="Arial" w:cs="Arial"/>
          <w:sz w:val="24"/>
          <w:szCs w:val="24"/>
        </w:rPr>
        <w:t xml:space="preserve">would then provide it to her. </w:t>
      </w:r>
      <w:r w:rsidR="00CD69CC" w:rsidRPr="00B010EB">
        <w:rPr>
          <w:rFonts w:ascii="Arial" w:hAnsi="Arial" w:cs="Arial"/>
          <w:sz w:val="24"/>
          <w:szCs w:val="24"/>
        </w:rPr>
        <w:t xml:space="preserve">Ms Blaauw </w:t>
      </w:r>
      <w:r w:rsidR="007A059C" w:rsidRPr="00B010EB">
        <w:rPr>
          <w:rFonts w:ascii="Arial" w:hAnsi="Arial" w:cs="Arial"/>
          <w:sz w:val="24"/>
          <w:szCs w:val="24"/>
        </w:rPr>
        <w:t xml:space="preserve">was further asked </w:t>
      </w:r>
      <w:r w:rsidR="00CD69CC" w:rsidRPr="00B010EB">
        <w:rPr>
          <w:rFonts w:ascii="Arial" w:hAnsi="Arial" w:cs="Arial"/>
          <w:sz w:val="24"/>
          <w:szCs w:val="24"/>
        </w:rPr>
        <w:t xml:space="preserve">how she could </w:t>
      </w:r>
      <w:r w:rsidR="007A059C" w:rsidRPr="00B010EB">
        <w:rPr>
          <w:rFonts w:ascii="Arial" w:hAnsi="Arial" w:cs="Arial"/>
          <w:sz w:val="24"/>
          <w:szCs w:val="24"/>
        </w:rPr>
        <w:t xml:space="preserve">distinguish between the transactions made by </w:t>
      </w:r>
      <w:r w:rsidR="00CD69CC" w:rsidRPr="00B010EB">
        <w:rPr>
          <w:rFonts w:ascii="Arial" w:hAnsi="Arial" w:cs="Arial"/>
          <w:sz w:val="24"/>
          <w:szCs w:val="24"/>
        </w:rPr>
        <w:t>Ms Pallais</w:t>
      </w:r>
      <w:r w:rsidR="00CD69CC" w:rsidRPr="00B010EB" w:rsidDel="00CD69CC">
        <w:rPr>
          <w:rFonts w:ascii="Arial" w:hAnsi="Arial" w:cs="Arial"/>
          <w:sz w:val="24"/>
          <w:szCs w:val="24"/>
        </w:rPr>
        <w:t xml:space="preserve"> </w:t>
      </w:r>
      <w:r w:rsidR="007A059C" w:rsidRPr="00B010EB">
        <w:rPr>
          <w:rFonts w:ascii="Arial" w:hAnsi="Arial" w:cs="Arial"/>
          <w:sz w:val="24"/>
          <w:szCs w:val="24"/>
        </w:rPr>
        <w:t>on her instructions and those actioned without her authorization</w:t>
      </w:r>
      <w:r w:rsidR="00E82413" w:rsidRPr="00B010EB">
        <w:rPr>
          <w:rFonts w:ascii="Arial" w:hAnsi="Arial" w:cs="Arial"/>
          <w:sz w:val="24"/>
          <w:szCs w:val="24"/>
        </w:rPr>
        <w:t xml:space="preserve">. </w:t>
      </w:r>
      <w:r w:rsidR="001611D4" w:rsidRPr="00B010EB">
        <w:rPr>
          <w:rFonts w:ascii="Arial" w:hAnsi="Arial" w:cs="Arial"/>
          <w:sz w:val="24"/>
          <w:szCs w:val="24"/>
        </w:rPr>
        <w:t xml:space="preserve">Ms Blaauw </w:t>
      </w:r>
      <w:r w:rsidR="00E82413" w:rsidRPr="00B010EB">
        <w:rPr>
          <w:rFonts w:ascii="Arial" w:hAnsi="Arial" w:cs="Arial"/>
          <w:sz w:val="24"/>
          <w:szCs w:val="24"/>
        </w:rPr>
        <w:t>was however</w:t>
      </w:r>
      <w:r w:rsidR="007A059C" w:rsidRPr="00B010EB">
        <w:rPr>
          <w:rFonts w:ascii="Arial" w:hAnsi="Arial" w:cs="Arial"/>
          <w:sz w:val="24"/>
          <w:szCs w:val="24"/>
        </w:rPr>
        <w:t xml:space="preserve"> unable to provide an answer to it</w:t>
      </w:r>
      <w:r w:rsidR="00E82413" w:rsidRPr="00B010EB">
        <w:rPr>
          <w:rStyle w:val="FootnoteReference"/>
          <w:rFonts w:ascii="Arial" w:hAnsi="Arial" w:cs="Arial"/>
          <w:sz w:val="24"/>
          <w:szCs w:val="24"/>
        </w:rPr>
        <w:footnoteReference w:id="2"/>
      </w:r>
      <w:r w:rsidR="007A059C" w:rsidRPr="00B010EB">
        <w:rPr>
          <w:rFonts w:ascii="Arial" w:hAnsi="Arial" w:cs="Arial"/>
          <w:sz w:val="24"/>
          <w:szCs w:val="24"/>
        </w:rPr>
        <w:t xml:space="preserve">. </w:t>
      </w:r>
      <w:r w:rsidR="00ED75D7" w:rsidRPr="00B010EB">
        <w:rPr>
          <w:rFonts w:ascii="Arial" w:hAnsi="Arial" w:cs="Arial"/>
          <w:sz w:val="24"/>
          <w:szCs w:val="24"/>
        </w:rPr>
        <w:t xml:space="preserve">The court inquired from the </w:t>
      </w:r>
      <w:r w:rsidR="006C7670" w:rsidRPr="00B010EB">
        <w:rPr>
          <w:rFonts w:ascii="Arial" w:hAnsi="Arial" w:cs="Arial"/>
          <w:sz w:val="24"/>
          <w:szCs w:val="24"/>
        </w:rPr>
        <w:t xml:space="preserve">witness </w:t>
      </w:r>
      <w:r w:rsidR="00ED75D7" w:rsidRPr="00B010EB">
        <w:rPr>
          <w:rFonts w:ascii="Arial" w:hAnsi="Arial" w:cs="Arial"/>
          <w:sz w:val="24"/>
          <w:szCs w:val="24"/>
        </w:rPr>
        <w:t xml:space="preserve">whether she instituted </w:t>
      </w:r>
      <w:r w:rsidR="000139B2" w:rsidRPr="00B010EB">
        <w:rPr>
          <w:rFonts w:ascii="Arial" w:hAnsi="Arial" w:cs="Arial"/>
          <w:sz w:val="24"/>
          <w:szCs w:val="24"/>
        </w:rPr>
        <w:t xml:space="preserve">criminal proceedings against </w:t>
      </w:r>
      <w:r w:rsidR="001611D4" w:rsidRPr="00B010EB">
        <w:rPr>
          <w:rFonts w:ascii="Arial" w:hAnsi="Arial" w:cs="Arial"/>
          <w:sz w:val="24"/>
          <w:szCs w:val="24"/>
        </w:rPr>
        <w:t>Ms Pallais</w:t>
      </w:r>
      <w:r w:rsidR="000139B2" w:rsidRPr="00B010EB">
        <w:rPr>
          <w:rFonts w:ascii="Arial" w:hAnsi="Arial" w:cs="Arial"/>
          <w:sz w:val="24"/>
          <w:szCs w:val="24"/>
        </w:rPr>
        <w:t xml:space="preserve"> to which she answered in the negative. </w:t>
      </w:r>
    </w:p>
    <w:p w:rsidR="007A059C" w:rsidRPr="00B010EB" w:rsidRDefault="007A059C" w:rsidP="001A7C59">
      <w:pPr>
        <w:spacing w:after="0" w:line="360" w:lineRule="auto"/>
        <w:jc w:val="both"/>
        <w:rPr>
          <w:rFonts w:ascii="Arial" w:hAnsi="Arial" w:cs="Arial"/>
          <w:sz w:val="24"/>
          <w:szCs w:val="24"/>
        </w:rPr>
      </w:pPr>
    </w:p>
    <w:p w:rsidR="007A059C" w:rsidRPr="00B010EB" w:rsidRDefault="00CF266C" w:rsidP="001A7C59">
      <w:pPr>
        <w:spacing w:after="0" w:line="360" w:lineRule="auto"/>
        <w:jc w:val="both"/>
        <w:rPr>
          <w:rFonts w:ascii="Arial" w:hAnsi="Arial" w:cs="Arial"/>
          <w:sz w:val="24"/>
          <w:szCs w:val="24"/>
          <w:u w:val="single"/>
        </w:rPr>
      </w:pPr>
      <w:r w:rsidRPr="00B010EB">
        <w:rPr>
          <w:rFonts w:ascii="Arial" w:hAnsi="Arial" w:cs="Arial"/>
          <w:sz w:val="24"/>
          <w:szCs w:val="24"/>
          <w:u w:val="single"/>
        </w:rPr>
        <w:t>Second defendant’s case</w:t>
      </w:r>
    </w:p>
    <w:p w:rsidR="00CF266C" w:rsidRPr="00B010EB" w:rsidRDefault="00CF266C" w:rsidP="001A7C59">
      <w:pPr>
        <w:spacing w:after="0" w:line="360" w:lineRule="auto"/>
        <w:jc w:val="both"/>
        <w:rPr>
          <w:rFonts w:ascii="Arial" w:hAnsi="Arial" w:cs="Arial"/>
          <w:sz w:val="24"/>
          <w:szCs w:val="24"/>
          <w:u w:val="single"/>
        </w:rPr>
      </w:pPr>
    </w:p>
    <w:p w:rsidR="00124082" w:rsidRPr="00B010EB" w:rsidRDefault="0012690D" w:rsidP="001A7C59">
      <w:pPr>
        <w:spacing w:after="0" w:line="360" w:lineRule="auto"/>
        <w:jc w:val="both"/>
        <w:rPr>
          <w:rFonts w:ascii="Arial" w:hAnsi="Arial" w:cs="Arial"/>
          <w:sz w:val="24"/>
          <w:szCs w:val="24"/>
        </w:rPr>
      </w:pPr>
      <w:r w:rsidRPr="00B010EB">
        <w:rPr>
          <w:rFonts w:ascii="Arial" w:hAnsi="Arial" w:cs="Arial"/>
          <w:sz w:val="24"/>
          <w:szCs w:val="24"/>
        </w:rPr>
        <w:t>[</w:t>
      </w:r>
      <w:r w:rsidR="00C2266E" w:rsidRPr="00B010EB">
        <w:rPr>
          <w:rFonts w:ascii="Arial" w:hAnsi="Arial" w:cs="Arial"/>
          <w:sz w:val="24"/>
          <w:szCs w:val="24"/>
        </w:rPr>
        <w:t>8</w:t>
      </w:r>
      <w:r w:rsidRPr="00B010EB">
        <w:rPr>
          <w:rFonts w:ascii="Arial" w:hAnsi="Arial" w:cs="Arial"/>
          <w:sz w:val="24"/>
          <w:szCs w:val="24"/>
        </w:rPr>
        <w:t>]</w:t>
      </w:r>
      <w:r w:rsidRPr="00B010EB">
        <w:rPr>
          <w:rFonts w:ascii="Arial" w:hAnsi="Arial" w:cs="Arial"/>
          <w:sz w:val="24"/>
          <w:szCs w:val="24"/>
        </w:rPr>
        <w:tab/>
      </w:r>
      <w:r w:rsidR="000744A5" w:rsidRPr="00B010EB">
        <w:rPr>
          <w:rFonts w:ascii="Arial" w:hAnsi="Arial" w:cs="Arial"/>
          <w:sz w:val="24"/>
          <w:szCs w:val="24"/>
        </w:rPr>
        <w:t>In its plea the second defendant denied that the first defendant was acting within the course and scope of her employment with the second defendant</w:t>
      </w:r>
      <w:r w:rsidR="000744A5" w:rsidRPr="00B010EB">
        <w:rPr>
          <w:rStyle w:val="FootnoteReference"/>
          <w:rFonts w:ascii="Arial" w:hAnsi="Arial" w:cs="Arial"/>
          <w:sz w:val="24"/>
          <w:szCs w:val="24"/>
        </w:rPr>
        <w:footnoteReference w:id="3"/>
      </w:r>
      <w:r w:rsidR="00124082" w:rsidRPr="00B010EB">
        <w:rPr>
          <w:rFonts w:ascii="Arial" w:hAnsi="Arial" w:cs="Arial"/>
          <w:sz w:val="24"/>
          <w:szCs w:val="24"/>
        </w:rPr>
        <w:t xml:space="preserve"> for the following reasons:</w:t>
      </w:r>
    </w:p>
    <w:p w:rsidR="00124082" w:rsidRPr="00B010EB" w:rsidRDefault="000744A5" w:rsidP="001A7C59">
      <w:pPr>
        <w:pStyle w:val="ListParagraph"/>
        <w:numPr>
          <w:ilvl w:val="0"/>
          <w:numId w:val="8"/>
        </w:numPr>
        <w:spacing w:after="0" w:line="360" w:lineRule="auto"/>
        <w:ind w:left="0" w:firstLine="426"/>
        <w:jc w:val="both"/>
        <w:rPr>
          <w:rFonts w:ascii="Arial" w:hAnsi="Arial" w:cs="Arial"/>
          <w:strike/>
          <w:sz w:val="24"/>
          <w:szCs w:val="24"/>
        </w:rPr>
      </w:pPr>
      <w:r w:rsidRPr="00B010EB">
        <w:rPr>
          <w:rFonts w:ascii="Arial" w:hAnsi="Arial" w:cs="Arial"/>
          <w:sz w:val="24"/>
          <w:szCs w:val="24"/>
        </w:rPr>
        <w:t xml:space="preserve">that as per the terms stipulated in the mandates given </w:t>
      </w:r>
      <w:r w:rsidR="00124082" w:rsidRPr="00B010EB">
        <w:rPr>
          <w:rFonts w:ascii="Arial" w:hAnsi="Arial" w:cs="Arial"/>
          <w:sz w:val="24"/>
          <w:szCs w:val="24"/>
        </w:rPr>
        <w:t>by</w:t>
      </w:r>
      <w:r w:rsidR="001A7C59" w:rsidRPr="00B010EB">
        <w:rPr>
          <w:rFonts w:ascii="Arial" w:hAnsi="Arial" w:cs="Arial"/>
          <w:sz w:val="24"/>
          <w:szCs w:val="24"/>
        </w:rPr>
        <w:t xml:space="preserve"> the plaintiff to the first </w:t>
      </w:r>
      <w:r w:rsidRPr="00B010EB">
        <w:rPr>
          <w:rFonts w:ascii="Arial" w:hAnsi="Arial" w:cs="Arial"/>
          <w:sz w:val="24"/>
          <w:szCs w:val="24"/>
        </w:rPr>
        <w:t>defendant on each of the relevant bank accounts of the plaintiff</w:t>
      </w:r>
      <w:r w:rsidR="00124082" w:rsidRPr="00B010EB">
        <w:rPr>
          <w:rFonts w:ascii="Arial" w:hAnsi="Arial" w:cs="Arial"/>
          <w:sz w:val="24"/>
          <w:szCs w:val="24"/>
        </w:rPr>
        <w:t>;</w:t>
      </w:r>
      <w:r w:rsidR="001A7C59" w:rsidRPr="00B010EB">
        <w:rPr>
          <w:rFonts w:ascii="Arial" w:hAnsi="Arial" w:cs="Arial"/>
          <w:sz w:val="24"/>
          <w:szCs w:val="24"/>
        </w:rPr>
        <w:t xml:space="preserve"> </w:t>
      </w:r>
    </w:p>
    <w:p w:rsidR="001A7C59" w:rsidRPr="00B010EB" w:rsidRDefault="000744A5" w:rsidP="001A7C59">
      <w:pPr>
        <w:pStyle w:val="ListParagraph"/>
        <w:numPr>
          <w:ilvl w:val="0"/>
          <w:numId w:val="8"/>
        </w:numPr>
        <w:spacing w:after="0" w:line="360" w:lineRule="auto"/>
        <w:ind w:left="0" w:firstLine="426"/>
        <w:jc w:val="both"/>
        <w:rPr>
          <w:rFonts w:ascii="Arial" w:hAnsi="Arial" w:cs="Arial"/>
          <w:sz w:val="24"/>
          <w:szCs w:val="24"/>
        </w:rPr>
      </w:pPr>
      <w:r w:rsidRPr="00B010EB">
        <w:rPr>
          <w:rFonts w:ascii="Arial" w:hAnsi="Arial" w:cs="Arial"/>
          <w:sz w:val="24"/>
          <w:szCs w:val="24"/>
        </w:rPr>
        <w:t xml:space="preserve">the plaintiff has in so far the second defendant is concerned given authority to the first defendant to operate on the plaintiff’s bank account on the plaintiff’s behalf and to act as plaintiff’s assignee in all matters and affairs; </w:t>
      </w:r>
    </w:p>
    <w:p w:rsidR="001A7C59" w:rsidRPr="00B010EB" w:rsidRDefault="000744A5" w:rsidP="001A7C59">
      <w:pPr>
        <w:pStyle w:val="ListParagraph"/>
        <w:numPr>
          <w:ilvl w:val="0"/>
          <w:numId w:val="8"/>
        </w:numPr>
        <w:spacing w:after="0" w:line="360" w:lineRule="auto"/>
        <w:ind w:left="0" w:firstLine="426"/>
        <w:jc w:val="both"/>
        <w:rPr>
          <w:rFonts w:ascii="Arial" w:hAnsi="Arial" w:cs="Arial"/>
          <w:sz w:val="24"/>
          <w:szCs w:val="24"/>
        </w:rPr>
      </w:pPr>
      <w:r w:rsidRPr="00B010EB">
        <w:rPr>
          <w:rFonts w:ascii="Arial" w:hAnsi="Arial" w:cs="Arial"/>
          <w:sz w:val="24"/>
          <w:szCs w:val="24"/>
        </w:rPr>
        <w:lastRenderedPageBreak/>
        <w:t>the plaintiff has given assurance and bound herself in the mandates that all acts of the first defendant shall be binding upon the plaintiff;</w:t>
      </w:r>
    </w:p>
    <w:p w:rsidR="004B1966" w:rsidRPr="00B010EB" w:rsidRDefault="00ED75D7" w:rsidP="001A7C59">
      <w:pPr>
        <w:pStyle w:val="ListParagraph"/>
        <w:numPr>
          <w:ilvl w:val="0"/>
          <w:numId w:val="8"/>
        </w:numPr>
        <w:spacing w:after="0" w:line="360" w:lineRule="auto"/>
        <w:ind w:left="0" w:firstLine="426"/>
        <w:jc w:val="both"/>
        <w:rPr>
          <w:rFonts w:ascii="Arial" w:hAnsi="Arial" w:cs="Arial"/>
          <w:sz w:val="24"/>
          <w:szCs w:val="24"/>
        </w:rPr>
      </w:pPr>
      <w:r w:rsidRPr="00B010EB">
        <w:rPr>
          <w:rFonts w:ascii="Arial" w:hAnsi="Arial" w:cs="Arial"/>
          <w:sz w:val="24"/>
          <w:szCs w:val="24"/>
        </w:rPr>
        <w:t xml:space="preserve">the said authority in the </w:t>
      </w:r>
      <w:r w:rsidR="001611D4" w:rsidRPr="00B010EB">
        <w:rPr>
          <w:rFonts w:ascii="Arial" w:hAnsi="Arial" w:cs="Arial"/>
          <w:sz w:val="24"/>
          <w:szCs w:val="24"/>
        </w:rPr>
        <w:t>m</w:t>
      </w:r>
      <w:r w:rsidRPr="00B010EB">
        <w:rPr>
          <w:rFonts w:ascii="Arial" w:hAnsi="Arial" w:cs="Arial"/>
          <w:sz w:val="24"/>
          <w:szCs w:val="24"/>
        </w:rPr>
        <w:t>andate given by the plaintiff to the second defendant shall remain in force until the second defendant receives written notice form the plaintiff of alteration or cancellation thereof</w:t>
      </w:r>
      <w:r w:rsidR="004B1966" w:rsidRPr="00B010EB">
        <w:rPr>
          <w:rFonts w:ascii="Arial" w:hAnsi="Arial" w:cs="Arial"/>
          <w:sz w:val="24"/>
          <w:szCs w:val="24"/>
        </w:rPr>
        <w:t>;</w:t>
      </w:r>
      <w:r w:rsidRPr="00B010EB">
        <w:rPr>
          <w:rFonts w:ascii="Arial" w:hAnsi="Arial" w:cs="Arial"/>
          <w:sz w:val="24"/>
          <w:szCs w:val="24"/>
        </w:rPr>
        <w:t xml:space="preserve"> and</w:t>
      </w:r>
    </w:p>
    <w:p w:rsidR="00555F39" w:rsidRPr="00B010EB" w:rsidRDefault="00805A65" w:rsidP="001A7C59">
      <w:pPr>
        <w:pStyle w:val="ListParagraph"/>
        <w:numPr>
          <w:ilvl w:val="0"/>
          <w:numId w:val="8"/>
        </w:numPr>
        <w:spacing w:after="0" w:line="360" w:lineRule="auto"/>
        <w:ind w:left="0" w:firstLine="426"/>
        <w:jc w:val="both"/>
        <w:rPr>
          <w:rFonts w:ascii="Arial" w:hAnsi="Arial" w:cs="Arial"/>
          <w:sz w:val="24"/>
          <w:szCs w:val="24"/>
        </w:rPr>
      </w:pPr>
      <w:r w:rsidRPr="00B010EB">
        <w:rPr>
          <w:rFonts w:ascii="Arial" w:hAnsi="Arial" w:cs="Arial"/>
          <w:sz w:val="24"/>
          <w:szCs w:val="24"/>
        </w:rPr>
        <w:t>t</w:t>
      </w:r>
      <w:r w:rsidR="00ED75D7" w:rsidRPr="00B010EB">
        <w:rPr>
          <w:rFonts w:ascii="Arial" w:hAnsi="Arial" w:cs="Arial"/>
          <w:sz w:val="24"/>
          <w:szCs w:val="24"/>
        </w:rPr>
        <w:t xml:space="preserve">hat all relevant transactions that were conducted on the plaintiff’s bank accounts were authorized, with the permission or consent of the plaintiff; alternatively deemed to have been so authorized, with the permission or consent of the </w:t>
      </w:r>
      <w:r w:rsidRPr="00B010EB">
        <w:rPr>
          <w:rFonts w:ascii="Arial" w:hAnsi="Arial" w:cs="Arial"/>
          <w:sz w:val="24"/>
          <w:szCs w:val="24"/>
        </w:rPr>
        <w:t>p</w:t>
      </w:r>
      <w:r w:rsidR="00ED75D7" w:rsidRPr="00B010EB">
        <w:rPr>
          <w:rFonts w:ascii="Arial" w:hAnsi="Arial" w:cs="Arial"/>
          <w:sz w:val="24"/>
          <w:szCs w:val="24"/>
        </w:rPr>
        <w:t>laintiff in accordance with the aforesaid Mandates</w:t>
      </w:r>
      <w:r w:rsidR="00E82413" w:rsidRPr="00B010EB">
        <w:rPr>
          <w:rStyle w:val="FootnoteReference"/>
          <w:rFonts w:ascii="Arial" w:hAnsi="Arial" w:cs="Arial"/>
          <w:sz w:val="24"/>
          <w:szCs w:val="24"/>
        </w:rPr>
        <w:footnoteReference w:id="4"/>
      </w:r>
      <w:r w:rsidR="00ED75D7" w:rsidRPr="00B010EB">
        <w:rPr>
          <w:rFonts w:ascii="Arial" w:hAnsi="Arial" w:cs="Arial"/>
          <w:sz w:val="24"/>
          <w:szCs w:val="24"/>
        </w:rPr>
        <w:t xml:space="preserve">. </w:t>
      </w:r>
    </w:p>
    <w:p w:rsidR="00555F39" w:rsidRPr="00B010EB" w:rsidRDefault="00555F39" w:rsidP="001A7C59">
      <w:pPr>
        <w:spacing w:after="0" w:line="360" w:lineRule="auto"/>
        <w:jc w:val="both"/>
        <w:rPr>
          <w:rFonts w:ascii="Arial" w:hAnsi="Arial" w:cs="Arial"/>
          <w:sz w:val="24"/>
          <w:szCs w:val="24"/>
        </w:rPr>
      </w:pPr>
    </w:p>
    <w:p w:rsidR="00ED75D7" w:rsidRPr="00B010EB" w:rsidRDefault="00FD1C38" w:rsidP="001A7C59">
      <w:pPr>
        <w:spacing w:after="0" w:line="360" w:lineRule="auto"/>
        <w:jc w:val="both"/>
        <w:rPr>
          <w:rFonts w:ascii="Arial" w:hAnsi="Arial" w:cs="Arial"/>
          <w:sz w:val="24"/>
          <w:szCs w:val="24"/>
        </w:rPr>
      </w:pPr>
      <w:r w:rsidRPr="00B010EB">
        <w:rPr>
          <w:rFonts w:ascii="Arial" w:hAnsi="Arial" w:cs="Arial"/>
          <w:sz w:val="24"/>
          <w:szCs w:val="24"/>
        </w:rPr>
        <w:t>[</w:t>
      </w:r>
      <w:r w:rsidR="00C2266E" w:rsidRPr="00B010EB">
        <w:rPr>
          <w:rFonts w:ascii="Arial" w:hAnsi="Arial" w:cs="Arial"/>
          <w:sz w:val="24"/>
          <w:szCs w:val="24"/>
        </w:rPr>
        <w:t>9</w:t>
      </w:r>
      <w:r w:rsidRPr="00B010EB">
        <w:rPr>
          <w:rFonts w:ascii="Arial" w:hAnsi="Arial" w:cs="Arial"/>
          <w:sz w:val="24"/>
          <w:szCs w:val="24"/>
        </w:rPr>
        <w:t>]</w:t>
      </w:r>
      <w:r w:rsidRPr="00B010EB">
        <w:rPr>
          <w:rFonts w:ascii="Arial" w:hAnsi="Arial" w:cs="Arial"/>
          <w:sz w:val="24"/>
          <w:szCs w:val="24"/>
        </w:rPr>
        <w:tab/>
      </w:r>
      <w:r w:rsidR="00ED75D7" w:rsidRPr="00B010EB">
        <w:rPr>
          <w:rFonts w:ascii="Arial" w:hAnsi="Arial" w:cs="Arial"/>
          <w:sz w:val="24"/>
          <w:szCs w:val="24"/>
        </w:rPr>
        <w:t xml:space="preserve">The second defendant called two witnesses to testify in support of its case. The first to testify was </w:t>
      </w:r>
      <w:r w:rsidR="000139B2" w:rsidRPr="00B010EB">
        <w:rPr>
          <w:rFonts w:ascii="Arial" w:hAnsi="Arial" w:cs="Arial"/>
          <w:sz w:val="24"/>
          <w:szCs w:val="24"/>
        </w:rPr>
        <w:t>Johann Kube Schroer. Mr Schroer testified that he is a Branch Manager of the second defendant</w:t>
      </w:r>
      <w:r w:rsidR="00E82413" w:rsidRPr="00B010EB">
        <w:rPr>
          <w:rFonts w:ascii="Arial" w:hAnsi="Arial" w:cs="Arial"/>
          <w:sz w:val="24"/>
          <w:szCs w:val="24"/>
        </w:rPr>
        <w:t>’s</w:t>
      </w:r>
      <w:r w:rsidR="000139B2" w:rsidRPr="00B010EB">
        <w:rPr>
          <w:rFonts w:ascii="Arial" w:hAnsi="Arial" w:cs="Arial"/>
          <w:sz w:val="24"/>
          <w:szCs w:val="24"/>
        </w:rPr>
        <w:t xml:space="preserve"> Mariental Branch and that he recalled </w:t>
      </w:r>
      <w:r w:rsidR="000F2FC3" w:rsidRPr="00B010EB">
        <w:rPr>
          <w:rFonts w:ascii="Arial" w:hAnsi="Arial" w:cs="Arial"/>
          <w:sz w:val="24"/>
          <w:szCs w:val="24"/>
        </w:rPr>
        <w:t xml:space="preserve">that </w:t>
      </w:r>
      <w:r w:rsidR="000139B2" w:rsidRPr="00B010EB">
        <w:rPr>
          <w:rFonts w:ascii="Arial" w:hAnsi="Arial" w:cs="Arial"/>
          <w:sz w:val="24"/>
          <w:szCs w:val="24"/>
        </w:rPr>
        <w:t xml:space="preserve">whenever </w:t>
      </w:r>
      <w:r w:rsidR="00B05C42" w:rsidRPr="00B010EB">
        <w:rPr>
          <w:rFonts w:ascii="Arial" w:hAnsi="Arial" w:cs="Arial"/>
          <w:sz w:val="24"/>
          <w:szCs w:val="24"/>
        </w:rPr>
        <w:t>Ms Blaauw</w:t>
      </w:r>
      <w:r w:rsidR="000139B2" w:rsidRPr="00B010EB">
        <w:rPr>
          <w:rFonts w:ascii="Arial" w:hAnsi="Arial" w:cs="Arial"/>
          <w:sz w:val="24"/>
          <w:szCs w:val="24"/>
        </w:rPr>
        <w:t xml:space="preserve"> called or visited the branch she would ask for the first defendant</w:t>
      </w:r>
      <w:r w:rsidR="00E82413" w:rsidRPr="00B010EB">
        <w:rPr>
          <w:rFonts w:ascii="Arial" w:hAnsi="Arial" w:cs="Arial"/>
          <w:sz w:val="24"/>
          <w:szCs w:val="24"/>
        </w:rPr>
        <w:t>, Ms Pallais,</w:t>
      </w:r>
      <w:r w:rsidR="000139B2" w:rsidRPr="00B010EB">
        <w:rPr>
          <w:rFonts w:ascii="Arial" w:hAnsi="Arial" w:cs="Arial"/>
          <w:sz w:val="24"/>
          <w:szCs w:val="24"/>
        </w:rPr>
        <w:t xml:space="preserve"> to assist her with her banking needs. He testified that</w:t>
      </w:r>
      <w:r w:rsidR="00E82413" w:rsidRPr="00B010EB">
        <w:rPr>
          <w:rFonts w:ascii="Arial" w:hAnsi="Arial" w:cs="Arial"/>
          <w:sz w:val="24"/>
          <w:szCs w:val="24"/>
        </w:rPr>
        <w:t xml:space="preserve"> Ms Pallais</w:t>
      </w:r>
      <w:r w:rsidR="000139B2" w:rsidRPr="00B010EB">
        <w:rPr>
          <w:rFonts w:ascii="Arial" w:hAnsi="Arial" w:cs="Arial"/>
          <w:sz w:val="24"/>
          <w:szCs w:val="24"/>
        </w:rPr>
        <w:t xml:space="preserve"> rented a place from the plaintiff and that</w:t>
      </w:r>
      <w:r w:rsidR="00E82413" w:rsidRPr="00B010EB">
        <w:rPr>
          <w:rFonts w:ascii="Arial" w:hAnsi="Arial" w:cs="Arial"/>
          <w:sz w:val="24"/>
          <w:szCs w:val="24"/>
        </w:rPr>
        <w:t xml:space="preserve"> she</w:t>
      </w:r>
      <w:r w:rsidR="000139B2" w:rsidRPr="00B010EB">
        <w:rPr>
          <w:rFonts w:ascii="Arial" w:hAnsi="Arial" w:cs="Arial"/>
          <w:sz w:val="24"/>
          <w:szCs w:val="24"/>
        </w:rPr>
        <w:t xml:space="preserve"> collected and deposited rental money from the other tenants on behalf of </w:t>
      </w:r>
      <w:r w:rsidR="00B05C42" w:rsidRPr="00B010EB">
        <w:rPr>
          <w:rFonts w:ascii="Arial" w:hAnsi="Arial" w:cs="Arial"/>
          <w:sz w:val="24"/>
          <w:szCs w:val="24"/>
        </w:rPr>
        <w:t>Ms Blaauw</w:t>
      </w:r>
      <w:r w:rsidR="000139B2" w:rsidRPr="00B010EB">
        <w:rPr>
          <w:rFonts w:ascii="Arial" w:hAnsi="Arial" w:cs="Arial"/>
          <w:sz w:val="24"/>
          <w:szCs w:val="24"/>
        </w:rPr>
        <w:t xml:space="preserve">. He testified that he was aware that at that time </w:t>
      </w:r>
      <w:r w:rsidR="00B05C42" w:rsidRPr="00B010EB">
        <w:rPr>
          <w:rFonts w:ascii="Arial" w:hAnsi="Arial" w:cs="Arial"/>
          <w:sz w:val="24"/>
          <w:szCs w:val="24"/>
        </w:rPr>
        <w:t xml:space="preserve">Ms Blaauw </w:t>
      </w:r>
      <w:r w:rsidR="000139B2" w:rsidRPr="00B010EB">
        <w:rPr>
          <w:rFonts w:ascii="Arial" w:hAnsi="Arial" w:cs="Arial"/>
          <w:sz w:val="24"/>
          <w:szCs w:val="24"/>
        </w:rPr>
        <w:t xml:space="preserve">gave </w:t>
      </w:r>
      <w:r w:rsidR="00B05C42" w:rsidRPr="00B010EB">
        <w:rPr>
          <w:rFonts w:ascii="Arial" w:hAnsi="Arial" w:cs="Arial"/>
          <w:sz w:val="24"/>
          <w:szCs w:val="24"/>
        </w:rPr>
        <w:t>m</w:t>
      </w:r>
      <w:r w:rsidR="000139B2" w:rsidRPr="00B010EB">
        <w:rPr>
          <w:rFonts w:ascii="Arial" w:hAnsi="Arial" w:cs="Arial"/>
          <w:sz w:val="24"/>
          <w:szCs w:val="24"/>
        </w:rPr>
        <w:t xml:space="preserve">andates in favour of </w:t>
      </w:r>
      <w:r w:rsidR="00E82413" w:rsidRPr="00B010EB">
        <w:rPr>
          <w:rFonts w:ascii="Arial" w:hAnsi="Arial" w:cs="Arial"/>
          <w:sz w:val="24"/>
          <w:szCs w:val="24"/>
        </w:rPr>
        <w:t>Ms Pallais</w:t>
      </w:r>
      <w:r w:rsidR="00E82413" w:rsidRPr="00B010EB" w:rsidDel="00E82413">
        <w:rPr>
          <w:rFonts w:ascii="Arial" w:hAnsi="Arial" w:cs="Arial"/>
          <w:sz w:val="24"/>
          <w:szCs w:val="24"/>
        </w:rPr>
        <w:t xml:space="preserve"> </w:t>
      </w:r>
      <w:r w:rsidR="000139B2" w:rsidRPr="00B010EB">
        <w:rPr>
          <w:rFonts w:ascii="Arial" w:hAnsi="Arial" w:cs="Arial"/>
          <w:sz w:val="24"/>
          <w:szCs w:val="24"/>
        </w:rPr>
        <w:t>on h</w:t>
      </w:r>
      <w:r w:rsidR="00512161" w:rsidRPr="00B010EB">
        <w:rPr>
          <w:rFonts w:ascii="Arial" w:hAnsi="Arial" w:cs="Arial"/>
          <w:sz w:val="24"/>
          <w:szCs w:val="24"/>
        </w:rPr>
        <w:t xml:space="preserve">er bank accounts, which mandates </w:t>
      </w:r>
      <w:r w:rsidR="000139B2" w:rsidRPr="00B010EB">
        <w:rPr>
          <w:rFonts w:ascii="Arial" w:hAnsi="Arial" w:cs="Arial"/>
          <w:sz w:val="24"/>
          <w:szCs w:val="24"/>
        </w:rPr>
        <w:t xml:space="preserve">gave </w:t>
      </w:r>
      <w:r w:rsidR="00E82413" w:rsidRPr="00B010EB">
        <w:rPr>
          <w:rFonts w:ascii="Arial" w:hAnsi="Arial" w:cs="Arial"/>
          <w:sz w:val="24"/>
          <w:szCs w:val="24"/>
        </w:rPr>
        <w:t>Ms Pallais</w:t>
      </w:r>
      <w:r w:rsidR="002310BB" w:rsidRPr="00B010EB">
        <w:rPr>
          <w:rFonts w:ascii="Arial" w:hAnsi="Arial" w:cs="Arial"/>
          <w:sz w:val="24"/>
          <w:szCs w:val="24"/>
        </w:rPr>
        <w:t xml:space="preserve"> authority </w:t>
      </w:r>
      <w:r w:rsidR="000139B2" w:rsidRPr="00B010EB">
        <w:rPr>
          <w:rFonts w:ascii="Arial" w:hAnsi="Arial" w:cs="Arial"/>
          <w:sz w:val="24"/>
          <w:szCs w:val="24"/>
        </w:rPr>
        <w:t xml:space="preserve">to operate </w:t>
      </w:r>
      <w:r w:rsidR="00B05C42" w:rsidRPr="00B010EB">
        <w:rPr>
          <w:rFonts w:ascii="Arial" w:hAnsi="Arial" w:cs="Arial"/>
          <w:sz w:val="24"/>
          <w:szCs w:val="24"/>
        </w:rPr>
        <w:t xml:space="preserve">Ms Blaauw </w:t>
      </w:r>
      <w:r w:rsidR="000139B2" w:rsidRPr="00B010EB">
        <w:rPr>
          <w:rFonts w:ascii="Arial" w:hAnsi="Arial" w:cs="Arial"/>
          <w:sz w:val="24"/>
          <w:szCs w:val="24"/>
        </w:rPr>
        <w:t xml:space="preserve">bank accounts on her behalf and to act as </w:t>
      </w:r>
      <w:r w:rsidR="00B05C42" w:rsidRPr="00B010EB">
        <w:rPr>
          <w:rFonts w:ascii="Arial" w:hAnsi="Arial" w:cs="Arial"/>
          <w:sz w:val="24"/>
          <w:szCs w:val="24"/>
        </w:rPr>
        <w:t xml:space="preserve">her </w:t>
      </w:r>
      <w:r w:rsidR="003150D5" w:rsidRPr="00B010EB">
        <w:rPr>
          <w:rFonts w:ascii="Arial" w:hAnsi="Arial" w:cs="Arial"/>
          <w:sz w:val="24"/>
          <w:szCs w:val="24"/>
        </w:rPr>
        <w:t xml:space="preserve">agent in matters and affairs </w:t>
      </w:r>
      <w:r w:rsidR="002310BB" w:rsidRPr="00B010EB">
        <w:rPr>
          <w:rFonts w:ascii="Arial" w:hAnsi="Arial" w:cs="Arial"/>
          <w:sz w:val="24"/>
          <w:szCs w:val="24"/>
        </w:rPr>
        <w:t>concerning</w:t>
      </w:r>
      <w:r w:rsidR="003150D5" w:rsidRPr="00B010EB">
        <w:rPr>
          <w:rFonts w:ascii="Arial" w:hAnsi="Arial" w:cs="Arial"/>
          <w:sz w:val="24"/>
          <w:szCs w:val="24"/>
        </w:rPr>
        <w:t xml:space="preserve"> </w:t>
      </w:r>
      <w:r w:rsidR="00E82413" w:rsidRPr="00B010EB">
        <w:rPr>
          <w:rFonts w:ascii="Arial" w:hAnsi="Arial" w:cs="Arial"/>
          <w:sz w:val="24"/>
          <w:szCs w:val="24"/>
        </w:rPr>
        <w:t>these</w:t>
      </w:r>
      <w:r w:rsidR="00B05C42" w:rsidRPr="00B010EB">
        <w:rPr>
          <w:rFonts w:ascii="Arial" w:hAnsi="Arial" w:cs="Arial"/>
          <w:sz w:val="24"/>
          <w:szCs w:val="24"/>
        </w:rPr>
        <w:t xml:space="preserve"> accounts.</w:t>
      </w:r>
    </w:p>
    <w:p w:rsidR="001E7B7C" w:rsidRPr="00B010EB" w:rsidRDefault="001E7B7C" w:rsidP="001A7C59">
      <w:pPr>
        <w:spacing w:after="0" w:line="360" w:lineRule="auto"/>
        <w:jc w:val="both"/>
        <w:rPr>
          <w:rFonts w:ascii="Arial" w:hAnsi="Arial" w:cs="Arial"/>
          <w:sz w:val="24"/>
          <w:szCs w:val="24"/>
        </w:rPr>
      </w:pPr>
    </w:p>
    <w:p w:rsidR="001E7B7C" w:rsidRPr="00B010EB" w:rsidRDefault="001E7B7C" w:rsidP="001A7C59">
      <w:pPr>
        <w:spacing w:after="0" w:line="360" w:lineRule="auto"/>
        <w:jc w:val="both"/>
        <w:rPr>
          <w:rFonts w:ascii="Arial" w:hAnsi="Arial" w:cs="Arial"/>
          <w:sz w:val="24"/>
          <w:szCs w:val="24"/>
        </w:rPr>
      </w:pPr>
      <w:r w:rsidRPr="00B010EB">
        <w:rPr>
          <w:rFonts w:ascii="Arial" w:hAnsi="Arial" w:cs="Arial"/>
          <w:sz w:val="24"/>
          <w:szCs w:val="24"/>
        </w:rPr>
        <w:t>[</w:t>
      </w:r>
      <w:r w:rsidR="00C2266E" w:rsidRPr="00B010EB">
        <w:rPr>
          <w:rFonts w:ascii="Arial" w:hAnsi="Arial" w:cs="Arial"/>
          <w:sz w:val="24"/>
          <w:szCs w:val="24"/>
        </w:rPr>
        <w:t>10</w:t>
      </w:r>
      <w:r w:rsidRPr="00B010EB">
        <w:rPr>
          <w:rFonts w:ascii="Arial" w:hAnsi="Arial" w:cs="Arial"/>
          <w:sz w:val="24"/>
          <w:szCs w:val="24"/>
        </w:rPr>
        <w:t>]</w:t>
      </w:r>
      <w:r w:rsidRPr="00B010EB">
        <w:rPr>
          <w:rFonts w:ascii="Arial" w:hAnsi="Arial" w:cs="Arial"/>
          <w:sz w:val="24"/>
          <w:szCs w:val="24"/>
        </w:rPr>
        <w:tab/>
        <w:t xml:space="preserve"> </w:t>
      </w:r>
      <w:r w:rsidR="003150D5" w:rsidRPr="00B010EB">
        <w:rPr>
          <w:rFonts w:ascii="Arial" w:hAnsi="Arial" w:cs="Arial"/>
          <w:sz w:val="24"/>
          <w:szCs w:val="24"/>
        </w:rPr>
        <w:t xml:space="preserve">Mr Schroer </w:t>
      </w:r>
      <w:r w:rsidR="00B05C42" w:rsidRPr="00B010EB">
        <w:rPr>
          <w:rFonts w:ascii="Arial" w:hAnsi="Arial" w:cs="Arial"/>
          <w:sz w:val="24"/>
          <w:szCs w:val="24"/>
        </w:rPr>
        <w:t>testified that in terms of the m</w:t>
      </w:r>
      <w:r w:rsidR="003150D5" w:rsidRPr="00B010EB">
        <w:rPr>
          <w:rFonts w:ascii="Arial" w:hAnsi="Arial" w:cs="Arial"/>
          <w:sz w:val="24"/>
          <w:szCs w:val="24"/>
        </w:rPr>
        <w:t>andate</w:t>
      </w:r>
      <w:r w:rsidR="001A7C59" w:rsidRPr="00B010EB">
        <w:rPr>
          <w:rFonts w:ascii="Arial" w:hAnsi="Arial" w:cs="Arial"/>
          <w:sz w:val="24"/>
          <w:szCs w:val="24"/>
        </w:rPr>
        <w:t xml:space="preserve">s </w:t>
      </w:r>
      <w:r w:rsidR="006C7670" w:rsidRPr="00B010EB">
        <w:rPr>
          <w:rFonts w:ascii="Arial" w:hAnsi="Arial" w:cs="Arial"/>
          <w:sz w:val="24"/>
          <w:szCs w:val="24"/>
        </w:rPr>
        <w:t>it remained in force until such time that</w:t>
      </w:r>
      <w:r w:rsidR="003150D5" w:rsidRPr="00B010EB">
        <w:rPr>
          <w:rFonts w:ascii="Arial" w:hAnsi="Arial" w:cs="Arial"/>
          <w:sz w:val="24"/>
          <w:szCs w:val="24"/>
        </w:rPr>
        <w:t xml:space="preserve"> the plaintiff provide</w:t>
      </w:r>
      <w:r w:rsidR="00B05C42" w:rsidRPr="00B010EB">
        <w:rPr>
          <w:rFonts w:ascii="Arial" w:hAnsi="Arial" w:cs="Arial"/>
          <w:sz w:val="24"/>
          <w:szCs w:val="24"/>
        </w:rPr>
        <w:t>s</w:t>
      </w:r>
      <w:r w:rsidR="003150D5" w:rsidRPr="00B010EB">
        <w:rPr>
          <w:rFonts w:ascii="Arial" w:hAnsi="Arial" w:cs="Arial"/>
          <w:sz w:val="24"/>
          <w:szCs w:val="24"/>
        </w:rPr>
        <w:t xml:space="preserve"> the second defendant with a written</w:t>
      </w:r>
      <w:r w:rsidR="006C7670" w:rsidRPr="00B010EB">
        <w:rPr>
          <w:rFonts w:ascii="Arial" w:hAnsi="Arial" w:cs="Arial"/>
          <w:sz w:val="24"/>
          <w:szCs w:val="24"/>
        </w:rPr>
        <w:t xml:space="preserve"> notice of alteration or</w:t>
      </w:r>
      <w:r w:rsidR="003150D5" w:rsidRPr="00B010EB">
        <w:rPr>
          <w:rFonts w:ascii="Arial" w:hAnsi="Arial" w:cs="Arial"/>
          <w:sz w:val="24"/>
          <w:szCs w:val="24"/>
        </w:rPr>
        <w:t xml:space="preserve"> </w:t>
      </w:r>
      <w:r w:rsidR="00B05C42" w:rsidRPr="00B010EB">
        <w:rPr>
          <w:rFonts w:ascii="Arial" w:hAnsi="Arial" w:cs="Arial"/>
          <w:sz w:val="24"/>
          <w:szCs w:val="24"/>
        </w:rPr>
        <w:t xml:space="preserve">cancellation of the mandates. </w:t>
      </w:r>
      <w:r w:rsidR="006C7670" w:rsidRPr="00B010EB">
        <w:rPr>
          <w:rFonts w:ascii="Arial" w:hAnsi="Arial" w:cs="Arial"/>
          <w:sz w:val="24"/>
          <w:szCs w:val="24"/>
        </w:rPr>
        <w:t>The witness testified that in spite of the misappropriation of money by Ms Pallais</w:t>
      </w:r>
      <w:r w:rsidR="00B05C42" w:rsidRPr="00B010EB">
        <w:rPr>
          <w:rFonts w:ascii="Arial" w:hAnsi="Arial" w:cs="Arial"/>
          <w:sz w:val="24"/>
          <w:szCs w:val="24"/>
        </w:rPr>
        <w:t>,</w:t>
      </w:r>
      <w:r w:rsidR="006C7670" w:rsidRPr="00B010EB">
        <w:rPr>
          <w:rFonts w:ascii="Arial" w:hAnsi="Arial" w:cs="Arial"/>
          <w:sz w:val="24"/>
          <w:szCs w:val="24"/>
        </w:rPr>
        <w:t xml:space="preserve"> </w:t>
      </w:r>
      <w:r w:rsidR="00B05C42" w:rsidRPr="00B010EB">
        <w:rPr>
          <w:rFonts w:ascii="Arial" w:hAnsi="Arial" w:cs="Arial"/>
          <w:sz w:val="24"/>
          <w:szCs w:val="24"/>
        </w:rPr>
        <w:t xml:space="preserve">Ms Blaauw </w:t>
      </w:r>
      <w:r w:rsidR="006C7670" w:rsidRPr="00B010EB">
        <w:rPr>
          <w:rFonts w:ascii="Arial" w:hAnsi="Arial" w:cs="Arial"/>
          <w:sz w:val="24"/>
          <w:szCs w:val="24"/>
        </w:rPr>
        <w:t xml:space="preserve">failed to give written notice of cancellation of the respective </w:t>
      </w:r>
      <w:r w:rsidR="00B05C42" w:rsidRPr="00B010EB">
        <w:rPr>
          <w:rFonts w:ascii="Arial" w:hAnsi="Arial" w:cs="Arial"/>
          <w:sz w:val="24"/>
          <w:szCs w:val="24"/>
        </w:rPr>
        <w:t>m</w:t>
      </w:r>
      <w:r w:rsidR="006C7670" w:rsidRPr="00B010EB">
        <w:rPr>
          <w:rFonts w:ascii="Arial" w:hAnsi="Arial" w:cs="Arial"/>
          <w:sz w:val="24"/>
          <w:szCs w:val="24"/>
        </w:rPr>
        <w:t xml:space="preserve">andates and </w:t>
      </w:r>
      <w:r w:rsidR="003150D5" w:rsidRPr="00B010EB">
        <w:rPr>
          <w:rFonts w:ascii="Arial" w:hAnsi="Arial" w:cs="Arial"/>
          <w:sz w:val="24"/>
          <w:szCs w:val="24"/>
        </w:rPr>
        <w:t xml:space="preserve">testified that </w:t>
      </w:r>
      <w:r w:rsidR="00B05C42" w:rsidRPr="00B010EB">
        <w:rPr>
          <w:rFonts w:ascii="Arial" w:hAnsi="Arial" w:cs="Arial"/>
          <w:sz w:val="24"/>
          <w:szCs w:val="24"/>
        </w:rPr>
        <w:t xml:space="preserve">Ms Blaauw </w:t>
      </w:r>
      <w:r w:rsidR="003150D5" w:rsidRPr="00B010EB">
        <w:rPr>
          <w:rFonts w:ascii="Arial" w:hAnsi="Arial" w:cs="Arial"/>
          <w:sz w:val="24"/>
          <w:szCs w:val="24"/>
        </w:rPr>
        <w:t>only gave a verbal cancellation during December 2015</w:t>
      </w:r>
      <w:r w:rsidR="006C7670" w:rsidRPr="00B010EB">
        <w:rPr>
          <w:rFonts w:ascii="Arial" w:hAnsi="Arial" w:cs="Arial"/>
          <w:sz w:val="24"/>
          <w:szCs w:val="24"/>
        </w:rPr>
        <w:t>.</w:t>
      </w:r>
      <w:r w:rsidR="003150D5" w:rsidRPr="00B010EB">
        <w:rPr>
          <w:rFonts w:ascii="Arial" w:hAnsi="Arial" w:cs="Arial"/>
          <w:sz w:val="24"/>
          <w:szCs w:val="24"/>
        </w:rPr>
        <w:t xml:space="preserve"> </w:t>
      </w:r>
      <w:r w:rsidR="006C7670" w:rsidRPr="00B010EB">
        <w:rPr>
          <w:rFonts w:ascii="Arial" w:hAnsi="Arial" w:cs="Arial"/>
          <w:sz w:val="24"/>
          <w:szCs w:val="24"/>
        </w:rPr>
        <w:t xml:space="preserve">The </w:t>
      </w:r>
      <w:r w:rsidR="00B05C42" w:rsidRPr="00B010EB">
        <w:rPr>
          <w:rFonts w:ascii="Arial" w:hAnsi="Arial" w:cs="Arial"/>
          <w:sz w:val="24"/>
          <w:szCs w:val="24"/>
        </w:rPr>
        <w:t xml:space="preserve">mandates were </w:t>
      </w:r>
      <w:r w:rsidR="00805A65" w:rsidRPr="00B010EB">
        <w:rPr>
          <w:rFonts w:ascii="Arial" w:hAnsi="Arial" w:cs="Arial"/>
          <w:sz w:val="24"/>
          <w:szCs w:val="24"/>
        </w:rPr>
        <w:t xml:space="preserve">however </w:t>
      </w:r>
      <w:r w:rsidR="003150D5" w:rsidRPr="00B010EB">
        <w:rPr>
          <w:rFonts w:ascii="Arial" w:hAnsi="Arial" w:cs="Arial"/>
          <w:sz w:val="24"/>
          <w:szCs w:val="24"/>
        </w:rPr>
        <w:t xml:space="preserve">cancelled on 16 December 2015. </w:t>
      </w:r>
      <w:r w:rsidR="006C7670" w:rsidRPr="00B010EB">
        <w:rPr>
          <w:rFonts w:ascii="Arial" w:hAnsi="Arial" w:cs="Arial"/>
          <w:sz w:val="24"/>
          <w:szCs w:val="24"/>
        </w:rPr>
        <w:t xml:space="preserve">Mr Shroer </w:t>
      </w:r>
      <w:r w:rsidR="003150D5" w:rsidRPr="00B010EB">
        <w:rPr>
          <w:rFonts w:ascii="Arial" w:hAnsi="Arial" w:cs="Arial"/>
          <w:sz w:val="24"/>
          <w:szCs w:val="24"/>
        </w:rPr>
        <w:t xml:space="preserve">testified that in terms of the </w:t>
      </w:r>
      <w:r w:rsidR="006C7670" w:rsidRPr="00B010EB">
        <w:rPr>
          <w:rFonts w:ascii="Arial" w:hAnsi="Arial" w:cs="Arial"/>
          <w:sz w:val="24"/>
          <w:szCs w:val="24"/>
        </w:rPr>
        <w:t>m</w:t>
      </w:r>
      <w:r w:rsidR="003150D5" w:rsidRPr="00B010EB">
        <w:rPr>
          <w:rFonts w:ascii="Arial" w:hAnsi="Arial" w:cs="Arial"/>
          <w:sz w:val="24"/>
          <w:szCs w:val="24"/>
        </w:rPr>
        <w:t xml:space="preserve">andates, </w:t>
      </w:r>
      <w:r w:rsidR="00B05C42" w:rsidRPr="00B010EB">
        <w:rPr>
          <w:rFonts w:ascii="Arial" w:hAnsi="Arial" w:cs="Arial"/>
          <w:sz w:val="24"/>
          <w:szCs w:val="24"/>
        </w:rPr>
        <w:t xml:space="preserve">Ms Blaauw </w:t>
      </w:r>
      <w:r w:rsidR="003150D5" w:rsidRPr="00B010EB">
        <w:rPr>
          <w:rFonts w:ascii="Arial" w:hAnsi="Arial" w:cs="Arial"/>
          <w:sz w:val="24"/>
          <w:szCs w:val="24"/>
        </w:rPr>
        <w:t xml:space="preserve">gave signing powers to </w:t>
      </w:r>
      <w:r w:rsidR="00B05C42" w:rsidRPr="00B010EB">
        <w:rPr>
          <w:rFonts w:ascii="Arial" w:hAnsi="Arial" w:cs="Arial"/>
          <w:sz w:val="24"/>
          <w:szCs w:val="24"/>
        </w:rPr>
        <w:t xml:space="preserve">Ms Pallais </w:t>
      </w:r>
      <w:r w:rsidR="003150D5" w:rsidRPr="00B010EB">
        <w:rPr>
          <w:rFonts w:ascii="Arial" w:hAnsi="Arial" w:cs="Arial"/>
          <w:sz w:val="24"/>
          <w:szCs w:val="24"/>
        </w:rPr>
        <w:t>to act on her behalf during the period 20 May 2014 up to 16 December 2015, which include</w:t>
      </w:r>
      <w:r w:rsidR="006C7670" w:rsidRPr="00B010EB">
        <w:rPr>
          <w:rFonts w:ascii="Arial" w:hAnsi="Arial" w:cs="Arial"/>
          <w:sz w:val="24"/>
          <w:szCs w:val="24"/>
        </w:rPr>
        <w:t>s</w:t>
      </w:r>
      <w:r w:rsidR="003150D5" w:rsidRPr="00B010EB">
        <w:rPr>
          <w:rFonts w:ascii="Arial" w:hAnsi="Arial" w:cs="Arial"/>
          <w:sz w:val="24"/>
          <w:szCs w:val="24"/>
        </w:rPr>
        <w:t xml:space="preserve"> the period </w:t>
      </w:r>
      <w:r w:rsidR="006C7670" w:rsidRPr="00B010EB">
        <w:rPr>
          <w:rFonts w:ascii="Arial" w:hAnsi="Arial" w:cs="Arial"/>
          <w:sz w:val="24"/>
          <w:szCs w:val="24"/>
        </w:rPr>
        <w:t xml:space="preserve">that </w:t>
      </w:r>
      <w:r w:rsidR="003150D5" w:rsidRPr="00B010EB">
        <w:rPr>
          <w:rFonts w:ascii="Arial" w:hAnsi="Arial" w:cs="Arial"/>
          <w:sz w:val="24"/>
          <w:szCs w:val="24"/>
        </w:rPr>
        <w:t>the plaintiff claims for alleged misappropriated funds against the second defendant.</w:t>
      </w:r>
    </w:p>
    <w:p w:rsidR="003150D5" w:rsidRPr="00B010EB" w:rsidRDefault="003150D5" w:rsidP="001A7C59">
      <w:pPr>
        <w:spacing w:after="0" w:line="360" w:lineRule="auto"/>
        <w:jc w:val="both"/>
        <w:rPr>
          <w:rFonts w:ascii="Arial" w:hAnsi="Arial" w:cs="Arial"/>
          <w:sz w:val="24"/>
          <w:szCs w:val="24"/>
        </w:rPr>
      </w:pPr>
    </w:p>
    <w:p w:rsidR="008E395D" w:rsidRPr="00B010EB" w:rsidRDefault="001E7B7C" w:rsidP="001A7C59">
      <w:pPr>
        <w:spacing w:after="0" w:line="360" w:lineRule="auto"/>
        <w:jc w:val="both"/>
        <w:rPr>
          <w:rFonts w:ascii="Arial" w:hAnsi="Arial" w:cs="Arial"/>
          <w:sz w:val="24"/>
          <w:szCs w:val="24"/>
        </w:rPr>
      </w:pPr>
      <w:r w:rsidRPr="00B010EB">
        <w:rPr>
          <w:rFonts w:ascii="Arial" w:hAnsi="Arial" w:cs="Arial"/>
          <w:sz w:val="24"/>
          <w:szCs w:val="24"/>
        </w:rPr>
        <w:lastRenderedPageBreak/>
        <w:t>[</w:t>
      </w:r>
      <w:r w:rsidR="00C2266E" w:rsidRPr="00B010EB">
        <w:rPr>
          <w:rFonts w:ascii="Arial" w:hAnsi="Arial" w:cs="Arial"/>
          <w:sz w:val="24"/>
          <w:szCs w:val="24"/>
        </w:rPr>
        <w:t>11</w:t>
      </w:r>
      <w:r w:rsidRPr="00B010EB">
        <w:rPr>
          <w:rFonts w:ascii="Arial" w:hAnsi="Arial" w:cs="Arial"/>
          <w:sz w:val="24"/>
          <w:szCs w:val="24"/>
        </w:rPr>
        <w:t>]</w:t>
      </w:r>
      <w:r w:rsidRPr="00B010EB">
        <w:rPr>
          <w:rFonts w:ascii="Arial" w:hAnsi="Arial" w:cs="Arial"/>
          <w:sz w:val="24"/>
          <w:szCs w:val="24"/>
        </w:rPr>
        <w:tab/>
      </w:r>
      <w:r w:rsidR="003150D5" w:rsidRPr="00B010EB">
        <w:rPr>
          <w:rFonts w:ascii="Arial" w:hAnsi="Arial" w:cs="Arial"/>
          <w:sz w:val="24"/>
          <w:szCs w:val="24"/>
        </w:rPr>
        <w:t xml:space="preserve">Mr Schroer testified that the transactions during the period in question were duly authorized and signed by </w:t>
      </w:r>
      <w:r w:rsidR="00E82413" w:rsidRPr="00B010EB">
        <w:rPr>
          <w:rFonts w:ascii="Arial" w:hAnsi="Arial" w:cs="Arial"/>
          <w:sz w:val="24"/>
          <w:szCs w:val="24"/>
        </w:rPr>
        <w:t>Ms Pallais</w:t>
      </w:r>
      <w:r w:rsidR="00E82413" w:rsidRPr="00B010EB" w:rsidDel="00E82413">
        <w:rPr>
          <w:rFonts w:ascii="Arial" w:hAnsi="Arial" w:cs="Arial"/>
          <w:sz w:val="24"/>
          <w:szCs w:val="24"/>
        </w:rPr>
        <w:t xml:space="preserve"> </w:t>
      </w:r>
      <w:r w:rsidR="003150D5" w:rsidRPr="00B010EB">
        <w:rPr>
          <w:rFonts w:ascii="Arial" w:hAnsi="Arial" w:cs="Arial"/>
          <w:sz w:val="24"/>
          <w:szCs w:val="24"/>
        </w:rPr>
        <w:t xml:space="preserve">on behalf of </w:t>
      </w:r>
      <w:r w:rsidR="00B05C42" w:rsidRPr="00B010EB">
        <w:rPr>
          <w:rFonts w:ascii="Arial" w:hAnsi="Arial" w:cs="Arial"/>
          <w:sz w:val="24"/>
          <w:szCs w:val="24"/>
        </w:rPr>
        <w:t xml:space="preserve">Ms Blaauw </w:t>
      </w:r>
      <w:r w:rsidR="003150D5" w:rsidRPr="00B010EB">
        <w:rPr>
          <w:rFonts w:ascii="Arial" w:hAnsi="Arial" w:cs="Arial"/>
          <w:sz w:val="24"/>
          <w:szCs w:val="24"/>
        </w:rPr>
        <w:t>and</w:t>
      </w:r>
      <w:r w:rsidR="00E82413" w:rsidRPr="00B010EB">
        <w:rPr>
          <w:rFonts w:ascii="Arial" w:hAnsi="Arial" w:cs="Arial"/>
          <w:sz w:val="24"/>
          <w:szCs w:val="24"/>
        </w:rPr>
        <w:t xml:space="preserve"> this was done</w:t>
      </w:r>
      <w:r w:rsidR="00B05C42" w:rsidRPr="00B010EB">
        <w:rPr>
          <w:rFonts w:ascii="Arial" w:hAnsi="Arial" w:cs="Arial"/>
          <w:sz w:val="24"/>
          <w:szCs w:val="24"/>
        </w:rPr>
        <w:t xml:space="preserve"> </w:t>
      </w:r>
      <w:r w:rsidR="003150D5" w:rsidRPr="00B010EB">
        <w:rPr>
          <w:rFonts w:ascii="Arial" w:hAnsi="Arial" w:cs="Arial"/>
          <w:sz w:val="24"/>
          <w:szCs w:val="24"/>
        </w:rPr>
        <w:t xml:space="preserve">in accordance with the </w:t>
      </w:r>
      <w:r w:rsidR="00805A65" w:rsidRPr="00B010EB">
        <w:rPr>
          <w:rFonts w:ascii="Arial" w:hAnsi="Arial" w:cs="Arial"/>
          <w:sz w:val="24"/>
          <w:szCs w:val="24"/>
        </w:rPr>
        <w:t>mandates</w:t>
      </w:r>
      <w:r w:rsidR="003150D5" w:rsidRPr="00B010EB">
        <w:rPr>
          <w:rFonts w:ascii="Arial" w:hAnsi="Arial" w:cs="Arial"/>
          <w:sz w:val="24"/>
          <w:szCs w:val="24"/>
        </w:rPr>
        <w:t xml:space="preserve">. He testified that </w:t>
      </w:r>
      <w:r w:rsidR="00E82413" w:rsidRPr="00B010EB">
        <w:rPr>
          <w:rFonts w:ascii="Arial" w:hAnsi="Arial" w:cs="Arial"/>
          <w:sz w:val="24"/>
          <w:szCs w:val="24"/>
        </w:rPr>
        <w:t>Ms Pallais</w:t>
      </w:r>
      <w:r w:rsidR="003150D5" w:rsidRPr="00B010EB">
        <w:rPr>
          <w:rFonts w:ascii="Arial" w:hAnsi="Arial" w:cs="Arial"/>
          <w:sz w:val="24"/>
          <w:szCs w:val="24"/>
        </w:rPr>
        <w:t xml:space="preserve"> was acting as the agent of </w:t>
      </w:r>
      <w:r w:rsidR="00B05C42" w:rsidRPr="00B010EB">
        <w:rPr>
          <w:rFonts w:ascii="Arial" w:hAnsi="Arial" w:cs="Arial"/>
          <w:sz w:val="24"/>
          <w:szCs w:val="24"/>
        </w:rPr>
        <w:t xml:space="preserve">Ms Blaauw </w:t>
      </w:r>
      <w:r w:rsidR="003150D5" w:rsidRPr="00B010EB">
        <w:rPr>
          <w:rFonts w:ascii="Arial" w:hAnsi="Arial" w:cs="Arial"/>
          <w:sz w:val="24"/>
          <w:szCs w:val="24"/>
        </w:rPr>
        <w:t>and not as an employee of the second defendant</w:t>
      </w:r>
      <w:r w:rsidR="00E82413" w:rsidRPr="00B010EB">
        <w:rPr>
          <w:rFonts w:ascii="Arial" w:hAnsi="Arial" w:cs="Arial"/>
          <w:sz w:val="24"/>
          <w:szCs w:val="24"/>
        </w:rPr>
        <w:t xml:space="preserve">. Ms Pallais acted in the stead of </w:t>
      </w:r>
      <w:r w:rsidR="00B05C42" w:rsidRPr="00B010EB">
        <w:rPr>
          <w:rFonts w:ascii="Arial" w:hAnsi="Arial" w:cs="Arial"/>
          <w:sz w:val="24"/>
          <w:szCs w:val="24"/>
        </w:rPr>
        <w:t xml:space="preserve">Ms Blaauw </w:t>
      </w:r>
      <w:r w:rsidR="003150D5" w:rsidRPr="00B010EB">
        <w:rPr>
          <w:rFonts w:ascii="Arial" w:hAnsi="Arial" w:cs="Arial"/>
          <w:sz w:val="24"/>
          <w:szCs w:val="24"/>
        </w:rPr>
        <w:t xml:space="preserve">by giving </w:t>
      </w:r>
      <w:r w:rsidR="00ED59D5" w:rsidRPr="00B010EB">
        <w:rPr>
          <w:rFonts w:ascii="Arial" w:hAnsi="Arial" w:cs="Arial"/>
          <w:sz w:val="24"/>
          <w:szCs w:val="24"/>
        </w:rPr>
        <w:t xml:space="preserve">instructions to the second defendant and/or signing on behalf of </w:t>
      </w:r>
      <w:r w:rsidR="00B05C42" w:rsidRPr="00B010EB">
        <w:rPr>
          <w:rFonts w:ascii="Arial" w:hAnsi="Arial" w:cs="Arial"/>
          <w:sz w:val="24"/>
          <w:szCs w:val="24"/>
        </w:rPr>
        <w:t xml:space="preserve">Ms Blaauw </w:t>
      </w:r>
      <w:r w:rsidR="00ED59D5" w:rsidRPr="00B010EB">
        <w:rPr>
          <w:rFonts w:ascii="Arial" w:hAnsi="Arial" w:cs="Arial"/>
          <w:sz w:val="24"/>
          <w:szCs w:val="24"/>
        </w:rPr>
        <w:t xml:space="preserve">for any withdrawal and/or transfer from the accounts of </w:t>
      </w:r>
      <w:r w:rsidR="00B05C42" w:rsidRPr="00B010EB">
        <w:rPr>
          <w:rFonts w:ascii="Arial" w:hAnsi="Arial" w:cs="Arial"/>
          <w:sz w:val="24"/>
          <w:szCs w:val="24"/>
        </w:rPr>
        <w:t>Ms Blaauw</w:t>
      </w:r>
      <w:r w:rsidR="00ED59D5" w:rsidRPr="00B010EB">
        <w:rPr>
          <w:rFonts w:ascii="Arial" w:hAnsi="Arial" w:cs="Arial"/>
          <w:sz w:val="24"/>
          <w:szCs w:val="24"/>
        </w:rPr>
        <w:t xml:space="preserve">. He further testified that </w:t>
      </w:r>
      <w:r w:rsidR="00E665ED" w:rsidRPr="00B010EB">
        <w:rPr>
          <w:rFonts w:ascii="Arial" w:hAnsi="Arial" w:cs="Arial"/>
          <w:sz w:val="24"/>
          <w:szCs w:val="24"/>
        </w:rPr>
        <w:t xml:space="preserve">as far as </w:t>
      </w:r>
      <w:r w:rsidR="00ED59D5" w:rsidRPr="00B010EB">
        <w:rPr>
          <w:rFonts w:ascii="Arial" w:hAnsi="Arial" w:cs="Arial"/>
          <w:sz w:val="24"/>
          <w:szCs w:val="24"/>
        </w:rPr>
        <w:t xml:space="preserve">the second defendant </w:t>
      </w:r>
      <w:r w:rsidR="00E665ED" w:rsidRPr="00B010EB">
        <w:rPr>
          <w:rFonts w:ascii="Arial" w:hAnsi="Arial" w:cs="Arial"/>
          <w:sz w:val="24"/>
          <w:szCs w:val="24"/>
        </w:rPr>
        <w:t xml:space="preserve">was concerned it was satisfied with the assurances </w:t>
      </w:r>
      <w:r w:rsidR="00ED59D5" w:rsidRPr="00B010EB">
        <w:rPr>
          <w:rFonts w:ascii="Arial" w:hAnsi="Arial" w:cs="Arial"/>
          <w:sz w:val="24"/>
          <w:szCs w:val="24"/>
        </w:rPr>
        <w:t xml:space="preserve">given by </w:t>
      </w:r>
      <w:r w:rsidR="00B05C42" w:rsidRPr="00B010EB">
        <w:rPr>
          <w:rFonts w:ascii="Arial" w:hAnsi="Arial" w:cs="Arial"/>
          <w:sz w:val="24"/>
          <w:szCs w:val="24"/>
        </w:rPr>
        <w:t xml:space="preserve">Ms Blaauw </w:t>
      </w:r>
      <w:r w:rsidR="00E665ED" w:rsidRPr="00B010EB">
        <w:rPr>
          <w:rFonts w:ascii="Arial" w:hAnsi="Arial" w:cs="Arial"/>
          <w:sz w:val="24"/>
          <w:szCs w:val="24"/>
        </w:rPr>
        <w:t xml:space="preserve">(in terms of the </w:t>
      </w:r>
      <w:r w:rsidR="00B05C42" w:rsidRPr="00B010EB">
        <w:rPr>
          <w:rFonts w:ascii="Arial" w:hAnsi="Arial" w:cs="Arial"/>
          <w:sz w:val="24"/>
          <w:szCs w:val="24"/>
        </w:rPr>
        <w:t>m</w:t>
      </w:r>
      <w:r w:rsidR="00E665ED" w:rsidRPr="00B010EB">
        <w:rPr>
          <w:rFonts w:ascii="Arial" w:hAnsi="Arial" w:cs="Arial"/>
          <w:sz w:val="24"/>
          <w:szCs w:val="24"/>
        </w:rPr>
        <w:t>andates)</w:t>
      </w:r>
      <w:r w:rsidR="00ED59D5" w:rsidRPr="00B010EB">
        <w:rPr>
          <w:rFonts w:ascii="Arial" w:hAnsi="Arial" w:cs="Arial"/>
          <w:sz w:val="24"/>
          <w:szCs w:val="24"/>
        </w:rPr>
        <w:t xml:space="preserve"> </w:t>
      </w:r>
      <w:r w:rsidR="00E665ED" w:rsidRPr="00B010EB">
        <w:rPr>
          <w:rFonts w:ascii="Arial" w:hAnsi="Arial" w:cs="Arial"/>
          <w:sz w:val="24"/>
          <w:szCs w:val="24"/>
        </w:rPr>
        <w:t>that she was bound by any transaction executed by Ms Pallais</w:t>
      </w:r>
      <w:r w:rsidR="00B05C42" w:rsidRPr="00B010EB">
        <w:rPr>
          <w:rFonts w:ascii="Arial" w:hAnsi="Arial" w:cs="Arial"/>
          <w:sz w:val="24"/>
          <w:szCs w:val="24"/>
        </w:rPr>
        <w:t>.</w:t>
      </w:r>
      <w:r w:rsidR="00ED59D5" w:rsidRPr="00B010EB">
        <w:rPr>
          <w:rFonts w:ascii="Arial" w:hAnsi="Arial" w:cs="Arial"/>
          <w:sz w:val="24"/>
          <w:szCs w:val="24"/>
        </w:rPr>
        <w:t xml:space="preserve"> He testified that all the relevant transaction</w:t>
      </w:r>
      <w:r w:rsidR="002310BB" w:rsidRPr="00B010EB">
        <w:rPr>
          <w:rFonts w:ascii="Arial" w:hAnsi="Arial" w:cs="Arial"/>
          <w:sz w:val="24"/>
          <w:szCs w:val="24"/>
        </w:rPr>
        <w:t>s</w:t>
      </w:r>
      <w:r w:rsidR="00ED59D5" w:rsidRPr="00B010EB">
        <w:rPr>
          <w:rFonts w:ascii="Arial" w:hAnsi="Arial" w:cs="Arial"/>
          <w:sz w:val="24"/>
          <w:szCs w:val="24"/>
        </w:rPr>
        <w:t xml:space="preserve"> on </w:t>
      </w:r>
      <w:r w:rsidR="00B05C42" w:rsidRPr="00B010EB">
        <w:rPr>
          <w:rFonts w:ascii="Arial" w:hAnsi="Arial" w:cs="Arial"/>
          <w:sz w:val="24"/>
          <w:szCs w:val="24"/>
        </w:rPr>
        <w:t xml:space="preserve">Ms Blaauw’s </w:t>
      </w:r>
      <w:r w:rsidR="00ED59D5" w:rsidRPr="00B010EB">
        <w:rPr>
          <w:rFonts w:ascii="Arial" w:hAnsi="Arial" w:cs="Arial"/>
          <w:sz w:val="24"/>
          <w:szCs w:val="24"/>
        </w:rPr>
        <w:t xml:space="preserve">account were authorized by the plaintiff’s agent, </w:t>
      </w:r>
      <w:r w:rsidR="00E665ED" w:rsidRPr="00B010EB">
        <w:rPr>
          <w:rFonts w:ascii="Arial" w:hAnsi="Arial" w:cs="Arial"/>
          <w:sz w:val="24"/>
          <w:szCs w:val="24"/>
        </w:rPr>
        <w:t>Ms Pallais</w:t>
      </w:r>
      <w:r w:rsidR="002310BB" w:rsidRPr="00B010EB">
        <w:rPr>
          <w:rFonts w:ascii="Arial" w:hAnsi="Arial" w:cs="Arial"/>
          <w:sz w:val="24"/>
          <w:szCs w:val="24"/>
        </w:rPr>
        <w:t>,</w:t>
      </w:r>
      <w:r w:rsidR="00ED59D5" w:rsidRPr="00B010EB">
        <w:rPr>
          <w:rFonts w:ascii="Arial" w:hAnsi="Arial" w:cs="Arial"/>
          <w:sz w:val="24"/>
          <w:szCs w:val="24"/>
        </w:rPr>
        <w:t xml:space="preserve"> who had the necessary permiss</w:t>
      </w:r>
      <w:r w:rsidR="00B05C42" w:rsidRPr="00B010EB">
        <w:rPr>
          <w:rFonts w:ascii="Arial" w:hAnsi="Arial" w:cs="Arial"/>
          <w:sz w:val="24"/>
          <w:szCs w:val="24"/>
        </w:rPr>
        <w:t>ion or consent in terms of the m</w:t>
      </w:r>
      <w:r w:rsidR="00ED59D5" w:rsidRPr="00B010EB">
        <w:rPr>
          <w:rFonts w:ascii="Arial" w:hAnsi="Arial" w:cs="Arial"/>
          <w:sz w:val="24"/>
          <w:szCs w:val="24"/>
        </w:rPr>
        <w:t xml:space="preserve">andates and the second defendant was entitled to rely thereon and act in accordance with instructions.  </w:t>
      </w:r>
      <w:r w:rsidR="005C5485" w:rsidRPr="00B010EB">
        <w:rPr>
          <w:rFonts w:ascii="Arial" w:hAnsi="Arial" w:cs="Arial"/>
          <w:sz w:val="24"/>
          <w:szCs w:val="24"/>
        </w:rPr>
        <w:t>On a question of the court  regarding the bank’s policy and procedure in respect of mandates given to banking staff the witness indicated that although it does not happen frequently that a client gives a banking official a mandate there is nothing in the policies and procedures of the bank that prohibit</w:t>
      </w:r>
      <w:r w:rsidR="00B05C42" w:rsidRPr="00B010EB">
        <w:rPr>
          <w:rFonts w:ascii="Arial" w:hAnsi="Arial" w:cs="Arial"/>
          <w:sz w:val="24"/>
          <w:szCs w:val="24"/>
        </w:rPr>
        <w:t>s</w:t>
      </w:r>
      <w:r w:rsidR="005C5485" w:rsidRPr="00B010EB">
        <w:rPr>
          <w:rFonts w:ascii="Arial" w:hAnsi="Arial" w:cs="Arial"/>
          <w:sz w:val="24"/>
          <w:szCs w:val="24"/>
        </w:rPr>
        <w:t xml:space="preserve"> the granting of such a mandate.  </w:t>
      </w:r>
    </w:p>
    <w:p w:rsidR="00ED59D5" w:rsidRPr="00B010EB" w:rsidRDefault="00ED59D5" w:rsidP="001A7C59">
      <w:pPr>
        <w:spacing w:after="0" w:line="360" w:lineRule="auto"/>
        <w:jc w:val="both"/>
        <w:rPr>
          <w:rFonts w:ascii="Arial" w:hAnsi="Arial" w:cs="Arial"/>
          <w:sz w:val="24"/>
          <w:szCs w:val="24"/>
        </w:rPr>
      </w:pPr>
    </w:p>
    <w:p w:rsidR="00ED75D7" w:rsidRPr="00B010EB" w:rsidRDefault="008E395D" w:rsidP="001A7C59">
      <w:pPr>
        <w:spacing w:after="0" w:line="360" w:lineRule="auto"/>
        <w:jc w:val="both"/>
        <w:rPr>
          <w:rFonts w:ascii="Arial" w:hAnsi="Arial" w:cs="Arial"/>
          <w:sz w:val="24"/>
          <w:szCs w:val="24"/>
        </w:rPr>
      </w:pPr>
      <w:r w:rsidRPr="00B010EB">
        <w:rPr>
          <w:rFonts w:ascii="Arial" w:hAnsi="Arial" w:cs="Arial"/>
          <w:sz w:val="24"/>
          <w:szCs w:val="24"/>
        </w:rPr>
        <w:t>[</w:t>
      </w:r>
      <w:r w:rsidR="00C2266E" w:rsidRPr="00B010EB">
        <w:rPr>
          <w:rFonts w:ascii="Arial" w:hAnsi="Arial" w:cs="Arial"/>
          <w:sz w:val="24"/>
          <w:szCs w:val="24"/>
        </w:rPr>
        <w:t>12</w:t>
      </w:r>
      <w:r w:rsidRPr="00B010EB">
        <w:rPr>
          <w:rFonts w:ascii="Arial" w:hAnsi="Arial" w:cs="Arial"/>
          <w:sz w:val="24"/>
          <w:szCs w:val="24"/>
        </w:rPr>
        <w:t>]</w:t>
      </w:r>
      <w:r w:rsidRPr="00B010EB">
        <w:rPr>
          <w:rFonts w:ascii="Arial" w:hAnsi="Arial" w:cs="Arial"/>
          <w:sz w:val="24"/>
          <w:szCs w:val="24"/>
        </w:rPr>
        <w:tab/>
      </w:r>
      <w:r w:rsidR="000B7AAC" w:rsidRPr="00B010EB">
        <w:rPr>
          <w:rFonts w:ascii="Arial" w:hAnsi="Arial" w:cs="Arial"/>
          <w:sz w:val="24"/>
          <w:szCs w:val="24"/>
        </w:rPr>
        <w:t xml:space="preserve">The second witness in support of the second defendant’s case was Ms Salome Korf. She testified that she is </w:t>
      </w:r>
      <w:r w:rsidR="00805A65" w:rsidRPr="00B010EB">
        <w:rPr>
          <w:rFonts w:ascii="Arial" w:hAnsi="Arial" w:cs="Arial"/>
          <w:sz w:val="24"/>
          <w:szCs w:val="24"/>
        </w:rPr>
        <w:t xml:space="preserve">currently </w:t>
      </w:r>
      <w:r w:rsidR="000B7AAC" w:rsidRPr="00B010EB">
        <w:rPr>
          <w:rFonts w:ascii="Arial" w:hAnsi="Arial" w:cs="Arial"/>
          <w:sz w:val="24"/>
          <w:szCs w:val="24"/>
        </w:rPr>
        <w:t xml:space="preserve">the Supervisor: Customer </w:t>
      </w:r>
      <w:r w:rsidR="00B05C42" w:rsidRPr="00B010EB">
        <w:rPr>
          <w:rFonts w:ascii="Arial" w:hAnsi="Arial" w:cs="Arial"/>
          <w:sz w:val="24"/>
          <w:szCs w:val="24"/>
        </w:rPr>
        <w:t>Service</w:t>
      </w:r>
      <w:r w:rsidR="000B7AAC" w:rsidRPr="00B010EB">
        <w:rPr>
          <w:rFonts w:ascii="Arial" w:hAnsi="Arial" w:cs="Arial"/>
          <w:sz w:val="24"/>
          <w:szCs w:val="24"/>
        </w:rPr>
        <w:t xml:space="preserve"> at the second defendant</w:t>
      </w:r>
      <w:r w:rsidR="00E665ED" w:rsidRPr="00B010EB">
        <w:rPr>
          <w:rFonts w:ascii="Arial" w:hAnsi="Arial" w:cs="Arial"/>
          <w:sz w:val="24"/>
          <w:szCs w:val="24"/>
        </w:rPr>
        <w:t>’s</w:t>
      </w:r>
      <w:r w:rsidR="000B7AAC" w:rsidRPr="00B010EB">
        <w:rPr>
          <w:rFonts w:ascii="Arial" w:hAnsi="Arial" w:cs="Arial"/>
          <w:sz w:val="24"/>
          <w:szCs w:val="24"/>
        </w:rPr>
        <w:t xml:space="preserve"> Mariental Branch and that during the period of May 2014, </w:t>
      </w:r>
      <w:r w:rsidR="00E665ED" w:rsidRPr="00B010EB">
        <w:rPr>
          <w:rFonts w:ascii="Arial" w:hAnsi="Arial" w:cs="Arial"/>
          <w:sz w:val="24"/>
          <w:szCs w:val="24"/>
        </w:rPr>
        <w:t>Ms Pallais</w:t>
      </w:r>
      <w:r w:rsidR="000B7AAC" w:rsidRPr="00B010EB">
        <w:rPr>
          <w:rFonts w:ascii="Arial" w:hAnsi="Arial" w:cs="Arial"/>
          <w:sz w:val="24"/>
          <w:szCs w:val="24"/>
        </w:rPr>
        <w:t xml:space="preserve"> approached her with the request that she should complete </w:t>
      </w:r>
      <w:r w:rsidR="00B05C42" w:rsidRPr="00B010EB">
        <w:rPr>
          <w:rFonts w:ascii="Arial" w:hAnsi="Arial" w:cs="Arial"/>
          <w:sz w:val="24"/>
          <w:szCs w:val="24"/>
        </w:rPr>
        <w:t>m</w:t>
      </w:r>
      <w:r w:rsidR="000B7AAC" w:rsidRPr="00B010EB">
        <w:rPr>
          <w:rFonts w:ascii="Arial" w:hAnsi="Arial" w:cs="Arial"/>
          <w:sz w:val="24"/>
          <w:szCs w:val="24"/>
        </w:rPr>
        <w:t xml:space="preserve">andate documents for </w:t>
      </w:r>
      <w:r w:rsidR="00E665ED" w:rsidRPr="00B010EB">
        <w:rPr>
          <w:rFonts w:ascii="Arial" w:hAnsi="Arial" w:cs="Arial"/>
          <w:sz w:val="24"/>
          <w:szCs w:val="24"/>
        </w:rPr>
        <w:t>Ms Blaauw</w:t>
      </w:r>
      <w:r w:rsidR="000B7AAC" w:rsidRPr="00B010EB">
        <w:rPr>
          <w:rFonts w:ascii="Arial" w:hAnsi="Arial" w:cs="Arial"/>
          <w:sz w:val="24"/>
          <w:szCs w:val="24"/>
        </w:rPr>
        <w:t xml:space="preserve"> in favour of </w:t>
      </w:r>
      <w:r w:rsidR="00E665ED" w:rsidRPr="00B010EB">
        <w:rPr>
          <w:rFonts w:ascii="Arial" w:hAnsi="Arial" w:cs="Arial"/>
          <w:sz w:val="24"/>
          <w:szCs w:val="24"/>
        </w:rPr>
        <w:t xml:space="preserve">herself </w:t>
      </w:r>
      <w:r w:rsidR="00456CFB" w:rsidRPr="00B010EB">
        <w:rPr>
          <w:rFonts w:ascii="Arial" w:hAnsi="Arial" w:cs="Arial"/>
          <w:sz w:val="24"/>
          <w:szCs w:val="24"/>
        </w:rPr>
        <w:t xml:space="preserve">as </w:t>
      </w:r>
      <w:r w:rsidR="00E665ED" w:rsidRPr="00B010EB">
        <w:rPr>
          <w:rFonts w:ascii="Arial" w:hAnsi="Arial" w:cs="Arial"/>
          <w:sz w:val="24"/>
          <w:szCs w:val="24"/>
        </w:rPr>
        <w:t xml:space="preserve">she </w:t>
      </w:r>
      <w:r w:rsidR="00456CFB" w:rsidRPr="00B010EB">
        <w:rPr>
          <w:rFonts w:ascii="Arial" w:hAnsi="Arial" w:cs="Arial"/>
          <w:sz w:val="24"/>
          <w:szCs w:val="24"/>
        </w:rPr>
        <w:t>was handling the affairs of the plaintiff</w:t>
      </w:r>
      <w:r w:rsidR="00E665ED" w:rsidRPr="00B010EB">
        <w:rPr>
          <w:rFonts w:ascii="Arial" w:hAnsi="Arial" w:cs="Arial"/>
          <w:sz w:val="24"/>
          <w:szCs w:val="24"/>
        </w:rPr>
        <w:t>, Ms Blaauw</w:t>
      </w:r>
      <w:r w:rsidR="00456CFB" w:rsidRPr="00B010EB">
        <w:rPr>
          <w:rFonts w:ascii="Arial" w:hAnsi="Arial" w:cs="Arial"/>
          <w:sz w:val="24"/>
          <w:szCs w:val="24"/>
        </w:rPr>
        <w:t xml:space="preserve">. </w:t>
      </w:r>
      <w:r w:rsidR="00E665ED" w:rsidRPr="00B010EB">
        <w:rPr>
          <w:rFonts w:ascii="Arial" w:hAnsi="Arial" w:cs="Arial"/>
          <w:sz w:val="24"/>
          <w:szCs w:val="24"/>
        </w:rPr>
        <w:t xml:space="preserve">The witness </w:t>
      </w:r>
      <w:r w:rsidR="00456CFB" w:rsidRPr="00B010EB">
        <w:rPr>
          <w:rFonts w:ascii="Arial" w:hAnsi="Arial" w:cs="Arial"/>
          <w:sz w:val="24"/>
          <w:szCs w:val="24"/>
        </w:rPr>
        <w:t xml:space="preserve">testified that the first </w:t>
      </w:r>
      <w:r w:rsidR="00D87D86" w:rsidRPr="00B010EB">
        <w:rPr>
          <w:rFonts w:ascii="Arial" w:hAnsi="Arial" w:cs="Arial"/>
          <w:sz w:val="24"/>
          <w:szCs w:val="24"/>
        </w:rPr>
        <w:t xml:space="preserve">defendant rented one of the plaintiff’s flats and they developed a close relationship. </w:t>
      </w:r>
      <w:r w:rsidR="00E665ED" w:rsidRPr="00B010EB">
        <w:rPr>
          <w:rFonts w:ascii="Arial" w:hAnsi="Arial" w:cs="Arial"/>
          <w:sz w:val="24"/>
          <w:szCs w:val="24"/>
        </w:rPr>
        <w:t xml:space="preserve">The </w:t>
      </w:r>
      <w:r w:rsidR="00CA5B98" w:rsidRPr="00B010EB">
        <w:rPr>
          <w:rFonts w:ascii="Arial" w:hAnsi="Arial" w:cs="Arial"/>
          <w:sz w:val="24"/>
          <w:szCs w:val="24"/>
        </w:rPr>
        <w:t>witness also</w:t>
      </w:r>
      <w:r w:rsidR="00D87D86" w:rsidRPr="00B010EB">
        <w:rPr>
          <w:rFonts w:ascii="Arial" w:hAnsi="Arial" w:cs="Arial"/>
          <w:sz w:val="24"/>
          <w:szCs w:val="24"/>
        </w:rPr>
        <w:t xml:space="preserve"> indicated that whenever </w:t>
      </w:r>
      <w:r w:rsidR="00CA5B98" w:rsidRPr="00B010EB">
        <w:rPr>
          <w:rFonts w:ascii="Arial" w:hAnsi="Arial" w:cs="Arial"/>
          <w:sz w:val="24"/>
          <w:szCs w:val="24"/>
        </w:rPr>
        <w:t xml:space="preserve">Ms Blaauw </w:t>
      </w:r>
      <w:r w:rsidR="00AC5088" w:rsidRPr="00B010EB">
        <w:rPr>
          <w:rFonts w:ascii="Arial" w:hAnsi="Arial" w:cs="Arial"/>
          <w:sz w:val="24"/>
          <w:szCs w:val="24"/>
        </w:rPr>
        <w:t xml:space="preserve">called or visited the branch she would request </w:t>
      </w:r>
      <w:r w:rsidR="00E665ED" w:rsidRPr="00B010EB">
        <w:rPr>
          <w:rFonts w:ascii="Arial" w:hAnsi="Arial" w:cs="Arial"/>
          <w:sz w:val="24"/>
          <w:szCs w:val="24"/>
        </w:rPr>
        <w:t>Ms Pallais</w:t>
      </w:r>
      <w:r w:rsidR="00E665ED" w:rsidRPr="00B010EB" w:rsidDel="00E665ED">
        <w:rPr>
          <w:rFonts w:ascii="Arial" w:hAnsi="Arial" w:cs="Arial"/>
          <w:sz w:val="24"/>
          <w:szCs w:val="24"/>
        </w:rPr>
        <w:t xml:space="preserve"> </w:t>
      </w:r>
      <w:r w:rsidR="00AC5088" w:rsidRPr="00B010EB">
        <w:rPr>
          <w:rFonts w:ascii="Arial" w:hAnsi="Arial" w:cs="Arial"/>
          <w:sz w:val="24"/>
          <w:szCs w:val="24"/>
        </w:rPr>
        <w:t xml:space="preserve">to assist her. She testified that at the time she was an Admin Support Clerk of the Mariental Branch and was responsible for the mandates (completing, signing, loading and removing same from the system) of that branch. </w:t>
      </w:r>
    </w:p>
    <w:p w:rsidR="00ED75D7" w:rsidRPr="00B010EB" w:rsidRDefault="00ED75D7" w:rsidP="001A7C59">
      <w:pPr>
        <w:spacing w:after="0" w:line="360" w:lineRule="auto"/>
        <w:jc w:val="both"/>
        <w:rPr>
          <w:rFonts w:ascii="Arial" w:hAnsi="Arial" w:cs="Arial"/>
          <w:sz w:val="24"/>
          <w:szCs w:val="24"/>
        </w:rPr>
      </w:pPr>
    </w:p>
    <w:p w:rsidR="009A17E5" w:rsidRPr="00B010EB" w:rsidRDefault="00AC5088" w:rsidP="001A7C59">
      <w:pPr>
        <w:spacing w:after="0" w:line="360" w:lineRule="auto"/>
        <w:jc w:val="both"/>
        <w:rPr>
          <w:rFonts w:ascii="Arial" w:hAnsi="Arial" w:cs="Arial"/>
          <w:sz w:val="24"/>
          <w:szCs w:val="24"/>
        </w:rPr>
      </w:pPr>
      <w:r w:rsidRPr="00B010EB">
        <w:rPr>
          <w:rFonts w:ascii="Arial" w:hAnsi="Arial" w:cs="Arial"/>
          <w:sz w:val="24"/>
          <w:szCs w:val="24"/>
        </w:rPr>
        <w:t>[</w:t>
      </w:r>
      <w:r w:rsidR="00C2266E" w:rsidRPr="00B010EB">
        <w:rPr>
          <w:rFonts w:ascii="Arial" w:hAnsi="Arial" w:cs="Arial"/>
          <w:sz w:val="24"/>
          <w:szCs w:val="24"/>
        </w:rPr>
        <w:t>13</w:t>
      </w:r>
      <w:r w:rsidR="00946443" w:rsidRPr="00B010EB">
        <w:rPr>
          <w:rFonts w:ascii="Arial" w:hAnsi="Arial" w:cs="Arial"/>
          <w:sz w:val="24"/>
          <w:szCs w:val="24"/>
        </w:rPr>
        <w:t>]</w:t>
      </w:r>
      <w:r w:rsidR="00946443" w:rsidRPr="00B010EB">
        <w:rPr>
          <w:rFonts w:ascii="Arial" w:hAnsi="Arial" w:cs="Arial"/>
          <w:sz w:val="24"/>
          <w:szCs w:val="24"/>
        </w:rPr>
        <w:tab/>
      </w:r>
      <w:r w:rsidR="00CA5B98" w:rsidRPr="00B010EB">
        <w:rPr>
          <w:rFonts w:ascii="Arial" w:hAnsi="Arial" w:cs="Arial"/>
          <w:sz w:val="24"/>
          <w:szCs w:val="24"/>
        </w:rPr>
        <w:t>Ms</w:t>
      </w:r>
      <w:r w:rsidRPr="00B010EB">
        <w:rPr>
          <w:rFonts w:ascii="Arial" w:hAnsi="Arial" w:cs="Arial"/>
          <w:sz w:val="24"/>
          <w:szCs w:val="24"/>
        </w:rPr>
        <w:t xml:space="preserve"> Korf testified that she</w:t>
      </w:r>
      <w:r w:rsidR="00CA5B98" w:rsidRPr="00B010EB">
        <w:rPr>
          <w:rFonts w:ascii="Arial" w:hAnsi="Arial" w:cs="Arial"/>
          <w:sz w:val="24"/>
          <w:szCs w:val="24"/>
        </w:rPr>
        <w:t xml:space="preserve"> knew of the transfers made by</w:t>
      </w:r>
      <w:r w:rsidRPr="00B010EB">
        <w:rPr>
          <w:rFonts w:ascii="Arial" w:hAnsi="Arial" w:cs="Arial"/>
          <w:sz w:val="24"/>
          <w:szCs w:val="24"/>
        </w:rPr>
        <w:t xml:space="preserve"> </w:t>
      </w:r>
      <w:r w:rsidR="00CA5B98" w:rsidRPr="00B010EB">
        <w:rPr>
          <w:rFonts w:ascii="Arial" w:hAnsi="Arial" w:cs="Arial"/>
          <w:sz w:val="24"/>
          <w:szCs w:val="24"/>
        </w:rPr>
        <w:t>Ms Pallais</w:t>
      </w:r>
      <w:r w:rsidR="00CA5B98" w:rsidRPr="00B010EB" w:rsidDel="00E665ED">
        <w:rPr>
          <w:rFonts w:ascii="Arial" w:hAnsi="Arial" w:cs="Arial"/>
          <w:sz w:val="24"/>
          <w:szCs w:val="24"/>
        </w:rPr>
        <w:t xml:space="preserve"> </w:t>
      </w:r>
      <w:r w:rsidRPr="00B010EB">
        <w:rPr>
          <w:rFonts w:ascii="Arial" w:hAnsi="Arial" w:cs="Arial"/>
          <w:sz w:val="24"/>
          <w:szCs w:val="24"/>
        </w:rPr>
        <w:t>because she was responsible for compiling the online transfer r</w:t>
      </w:r>
      <w:r w:rsidR="00266592" w:rsidRPr="00B010EB">
        <w:rPr>
          <w:rFonts w:ascii="Arial" w:hAnsi="Arial" w:cs="Arial"/>
          <w:sz w:val="24"/>
          <w:szCs w:val="24"/>
        </w:rPr>
        <w:t>e</w:t>
      </w:r>
      <w:r w:rsidRPr="00B010EB">
        <w:rPr>
          <w:rFonts w:ascii="Arial" w:hAnsi="Arial" w:cs="Arial"/>
          <w:sz w:val="24"/>
          <w:szCs w:val="24"/>
        </w:rPr>
        <w:t>p</w:t>
      </w:r>
      <w:r w:rsidR="00266592" w:rsidRPr="00B010EB">
        <w:rPr>
          <w:rFonts w:ascii="Arial" w:hAnsi="Arial" w:cs="Arial"/>
          <w:sz w:val="24"/>
          <w:szCs w:val="24"/>
        </w:rPr>
        <w:t>o</w:t>
      </w:r>
      <w:r w:rsidRPr="00B010EB">
        <w:rPr>
          <w:rFonts w:ascii="Arial" w:hAnsi="Arial" w:cs="Arial"/>
          <w:sz w:val="24"/>
          <w:szCs w:val="24"/>
        </w:rPr>
        <w:t>rt</w:t>
      </w:r>
      <w:r w:rsidR="00DD25CC" w:rsidRPr="00B010EB">
        <w:rPr>
          <w:rFonts w:ascii="Arial" w:hAnsi="Arial" w:cs="Arial"/>
          <w:sz w:val="24"/>
          <w:szCs w:val="24"/>
        </w:rPr>
        <w:t>s</w:t>
      </w:r>
      <w:r w:rsidRPr="00B010EB">
        <w:rPr>
          <w:rFonts w:ascii="Arial" w:hAnsi="Arial" w:cs="Arial"/>
          <w:sz w:val="24"/>
          <w:szCs w:val="24"/>
        </w:rPr>
        <w:t xml:space="preserve"> of the branch as every transfer would come to her at the end of the day. </w:t>
      </w:r>
      <w:r w:rsidR="00E665ED" w:rsidRPr="00B010EB">
        <w:rPr>
          <w:rFonts w:ascii="Arial" w:hAnsi="Arial" w:cs="Arial"/>
          <w:sz w:val="24"/>
          <w:szCs w:val="24"/>
        </w:rPr>
        <w:t>Ms Pallais</w:t>
      </w:r>
      <w:r w:rsidR="00E665ED" w:rsidRPr="00B010EB" w:rsidDel="00E665ED">
        <w:rPr>
          <w:rFonts w:ascii="Arial" w:hAnsi="Arial" w:cs="Arial"/>
          <w:sz w:val="24"/>
          <w:szCs w:val="24"/>
        </w:rPr>
        <w:t xml:space="preserve"> </w:t>
      </w:r>
      <w:r w:rsidRPr="00B010EB">
        <w:rPr>
          <w:rFonts w:ascii="Arial" w:hAnsi="Arial" w:cs="Arial"/>
          <w:sz w:val="24"/>
          <w:szCs w:val="24"/>
        </w:rPr>
        <w:t>would complete the transfer and then ask one of the second defendant</w:t>
      </w:r>
      <w:r w:rsidR="00266592" w:rsidRPr="00B010EB">
        <w:rPr>
          <w:rFonts w:ascii="Arial" w:hAnsi="Arial" w:cs="Arial"/>
          <w:sz w:val="24"/>
          <w:szCs w:val="24"/>
        </w:rPr>
        <w:t>’</w:t>
      </w:r>
      <w:r w:rsidRPr="00B010EB">
        <w:rPr>
          <w:rFonts w:ascii="Arial" w:hAnsi="Arial" w:cs="Arial"/>
          <w:sz w:val="24"/>
          <w:szCs w:val="24"/>
        </w:rPr>
        <w:t xml:space="preserve">s employees to do the transfer </w:t>
      </w:r>
      <w:r w:rsidRPr="00B010EB">
        <w:rPr>
          <w:rFonts w:ascii="Arial" w:hAnsi="Arial" w:cs="Arial"/>
          <w:sz w:val="24"/>
          <w:szCs w:val="24"/>
        </w:rPr>
        <w:lastRenderedPageBreak/>
        <w:t xml:space="preserve">because </w:t>
      </w:r>
      <w:r w:rsidR="00E665ED" w:rsidRPr="00B010EB">
        <w:rPr>
          <w:rFonts w:ascii="Arial" w:hAnsi="Arial" w:cs="Arial"/>
          <w:sz w:val="24"/>
          <w:szCs w:val="24"/>
        </w:rPr>
        <w:t>Ms Pallais</w:t>
      </w:r>
      <w:r w:rsidR="00E665ED" w:rsidRPr="00B010EB" w:rsidDel="00E665ED">
        <w:rPr>
          <w:rFonts w:ascii="Arial" w:hAnsi="Arial" w:cs="Arial"/>
          <w:sz w:val="24"/>
          <w:szCs w:val="24"/>
        </w:rPr>
        <w:t xml:space="preserve"> </w:t>
      </w:r>
      <w:r w:rsidRPr="00B010EB">
        <w:rPr>
          <w:rFonts w:ascii="Arial" w:hAnsi="Arial" w:cs="Arial"/>
          <w:sz w:val="24"/>
          <w:szCs w:val="24"/>
        </w:rPr>
        <w:t xml:space="preserve">may not action the transfer. </w:t>
      </w:r>
      <w:r w:rsidR="00E665ED" w:rsidRPr="00B010EB">
        <w:rPr>
          <w:rFonts w:ascii="Arial" w:hAnsi="Arial" w:cs="Arial"/>
          <w:sz w:val="24"/>
          <w:szCs w:val="24"/>
        </w:rPr>
        <w:t xml:space="preserve">The witness </w:t>
      </w:r>
      <w:r w:rsidR="00053EB1" w:rsidRPr="00B010EB">
        <w:rPr>
          <w:rFonts w:ascii="Arial" w:hAnsi="Arial" w:cs="Arial"/>
          <w:sz w:val="24"/>
          <w:szCs w:val="24"/>
        </w:rPr>
        <w:t>testified</w:t>
      </w:r>
      <w:r w:rsidRPr="00B010EB">
        <w:rPr>
          <w:rFonts w:ascii="Arial" w:hAnsi="Arial" w:cs="Arial"/>
          <w:sz w:val="24"/>
          <w:szCs w:val="24"/>
        </w:rPr>
        <w:t xml:space="preserve"> that due</w:t>
      </w:r>
      <w:r w:rsidR="00266592" w:rsidRPr="00B010EB">
        <w:rPr>
          <w:rFonts w:ascii="Arial" w:hAnsi="Arial" w:cs="Arial"/>
          <w:sz w:val="24"/>
          <w:szCs w:val="24"/>
        </w:rPr>
        <w:t xml:space="preserve"> to</w:t>
      </w:r>
      <w:r w:rsidRPr="00B010EB">
        <w:rPr>
          <w:rFonts w:ascii="Arial" w:hAnsi="Arial" w:cs="Arial"/>
          <w:sz w:val="24"/>
          <w:szCs w:val="24"/>
        </w:rPr>
        <w:t xml:space="preserve"> the relationship between the plaintiff and </w:t>
      </w:r>
      <w:r w:rsidR="005C5485" w:rsidRPr="00B010EB">
        <w:rPr>
          <w:rFonts w:ascii="Arial" w:hAnsi="Arial" w:cs="Arial"/>
          <w:sz w:val="24"/>
          <w:szCs w:val="24"/>
        </w:rPr>
        <w:t>Ms Pallais</w:t>
      </w:r>
      <w:r w:rsidR="005C5485" w:rsidRPr="00B010EB" w:rsidDel="005C5485">
        <w:rPr>
          <w:rFonts w:ascii="Arial" w:hAnsi="Arial" w:cs="Arial"/>
          <w:sz w:val="24"/>
          <w:szCs w:val="24"/>
        </w:rPr>
        <w:t xml:space="preserve"> </w:t>
      </w:r>
      <w:r w:rsidRPr="00B010EB">
        <w:rPr>
          <w:rFonts w:ascii="Arial" w:hAnsi="Arial" w:cs="Arial"/>
          <w:sz w:val="24"/>
          <w:szCs w:val="24"/>
        </w:rPr>
        <w:t xml:space="preserve">and the </w:t>
      </w:r>
      <w:r w:rsidR="00CA5B98" w:rsidRPr="00B010EB">
        <w:rPr>
          <w:rFonts w:ascii="Arial" w:hAnsi="Arial" w:cs="Arial"/>
          <w:sz w:val="24"/>
          <w:szCs w:val="24"/>
        </w:rPr>
        <w:t>m</w:t>
      </w:r>
      <w:r w:rsidRPr="00B010EB">
        <w:rPr>
          <w:rFonts w:ascii="Arial" w:hAnsi="Arial" w:cs="Arial"/>
          <w:sz w:val="24"/>
          <w:szCs w:val="24"/>
        </w:rPr>
        <w:t xml:space="preserve">andates given, no one questioned the first defendant </w:t>
      </w:r>
      <w:r w:rsidR="00266592" w:rsidRPr="00B010EB">
        <w:rPr>
          <w:rFonts w:ascii="Arial" w:hAnsi="Arial" w:cs="Arial"/>
          <w:sz w:val="24"/>
          <w:szCs w:val="24"/>
        </w:rPr>
        <w:t>on</w:t>
      </w:r>
      <w:r w:rsidRPr="00B010EB">
        <w:rPr>
          <w:rFonts w:ascii="Arial" w:hAnsi="Arial" w:cs="Arial"/>
          <w:sz w:val="24"/>
          <w:szCs w:val="24"/>
        </w:rPr>
        <w:t xml:space="preserve"> her actions. </w:t>
      </w:r>
    </w:p>
    <w:p w:rsidR="00402B1D" w:rsidRPr="00B010EB" w:rsidRDefault="00402B1D" w:rsidP="001A7C59">
      <w:pPr>
        <w:spacing w:after="0" w:line="360" w:lineRule="auto"/>
        <w:jc w:val="both"/>
        <w:rPr>
          <w:rFonts w:ascii="Arial" w:hAnsi="Arial" w:cs="Arial"/>
          <w:sz w:val="24"/>
          <w:szCs w:val="24"/>
        </w:rPr>
      </w:pPr>
    </w:p>
    <w:p w:rsidR="009A17E5" w:rsidRPr="00B010EB" w:rsidRDefault="009A17E5" w:rsidP="001A7C59">
      <w:pPr>
        <w:spacing w:after="0" w:line="360" w:lineRule="auto"/>
        <w:jc w:val="both"/>
        <w:rPr>
          <w:rFonts w:ascii="Arial" w:hAnsi="Arial" w:cs="Arial"/>
          <w:sz w:val="24"/>
          <w:szCs w:val="24"/>
          <w:u w:val="single"/>
        </w:rPr>
      </w:pPr>
      <w:r w:rsidRPr="00B010EB">
        <w:rPr>
          <w:rFonts w:ascii="Arial" w:hAnsi="Arial" w:cs="Arial"/>
          <w:sz w:val="24"/>
          <w:szCs w:val="24"/>
          <w:u w:val="single"/>
        </w:rPr>
        <w:t>Submissions on behalf of the parties</w:t>
      </w:r>
    </w:p>
    <w:p w:rsidR="009A17E5" w:rsidRPr="00B010EB" w:rsidRDefault="009A17E5" w:rsidP="001A7C59">
      <w:pPr>
        <w:spacing w:after="0" w:line="360" w:lineRule="auto"/>
        <w:jc w:val="both"/>
        <w:rPr>
          <w:rFonts w:ascii="Arial" w:hAnsi="Arial" w:cs="Arial"/>
          <w:sz w:val="24"/>
          <w:szCs w:val="24"/>
          <w:u w:val="single"/>
        </w:rPr>
      </w:pPr>
    </w:p>
    <w:p w:rsidR="009A17E5" w:rsidRPr="00B010EB" w:rsidRDefault="009A17E5" w:rsidP="001A7C59">
      <w:pPr>
        <w:spacing w:after="0" w:line="360" w:lineRule="auto"/>
        <w:jc w:val="both"/>
        <w:rPr>
          <w:rFonts w:ascii="Arial" w:hAnsi="Arial" w:cs="Arial"/>
          <w:i/>
          <w:sz w:val="24"/>
          <w:szCs w:val="24"/>
        </w:rPr>
      </w:pPr>
      <w:r w:rsidRPr="00B010EB">
        <w:rPr>
          <w:rFonts w:ascii="Arial" w:hAnsi="Arial" w:cs="Arial"/>
          <w:i/>
          <w:sz w:val="24"/>
          <w:szCs w:val="24"/>
        </w:rPr>
        <w:t>On behalf of the plaintiff</w:t>
      </w:r>
    </w:p>
    <w:p w:rsidR="00AC5088" w:rsidRPr="00B010EB" w:rsidRDefault="00AC5088" w:rsidP="001A7C59">
      <w:pPr>
        <w:spacing w:after="0" w:line="360" w:lineRule="auto"/>
        <w:jc w:val="both"/>
        <w:rPr>
          <w:rFonts w:ascii="Arial" w:hAnsi="Arial" w:cs="Arial"/>
          <w:sz w:val="24"/>
          <w:szCs w:val="24"/>
        </w:rPr>
      </w:pPr>
    </w:p>
    <w:p w:rsidR="0044699C" w:rsidRPr="00B010EB" w:rsidRDefault="00946443" w:rsidP="001A7C59">
      <w:pPr>
        <w:spacing w:after="0" w:line="360" w:lineRule="auto"/>
        <w:jc w:val="both"/>
        <w:rPr>
          <w:rFonts w:ascii="Arial" w:hAnsi="Arial" w:cs="Arial"/>
          <w:sz w:val="24"/>
          <w:szCs w:val="24"/>
        </w:rPr>
      </w:pPr>
      <w:r w:rsidRPr="00B010EB">
        <w:rPr>
          <w:rFonts w:ascii="Arial" w:hAnsi="Arial" w:cs="Arial"/>
          <w:sz w:val="24"/>
          <w:szCs w:val="24"/>
        </w:rPr>
        <w:t>[</w:t>
      </w:r>
      <w:r w:rsidR="00C2266E" w:rsidRPr="00B010EB">
        <w:rPr>
          <w:rFonts w:ascii="Arial" w:hAnsi="Arial" w:cs="Arial"/>
          <w:sz w:val="24"/>
          <w:szCs w:val="24"/>
        </w:rPr>
        <w:t>14</w:t>
      </w:r>
      <w:r w:rsidRPr="00B010EB">
        <w:rPr>
          <w:rFonts w:ascii="Arial" w:hAnsi="Arial" w:cs="Arial"/>
          <w:sz w:val="24"/>
          <w:szCs w:val="24"/>
        </w:rPr>
        <w:t>]</w:t>
      </w:r>
      <w:r w:rsidRPr="00B010EB">
        <w:rPr>
          <w:rFonts w:ascii="Arial" w:hAnsi="Arial" w:cs="Arial"/>
          <w:sz w:val="24"/>
          <w:szCs w:val="24"/>
        </w:rPr>
        <w:tab/>
      </w:r>
      <w:r w:rsidR="002D5606" w:rsidRPr="00B010EB">
        <w:rPr>
          <w:rFonts w:ascii="Arial" w:hAnsi="Arial" w:cs="Arial"/>
          <w:sz w:val="24"/>
          <w:szCs w:val="24"/>
        </w:rPr>
        <w:t>Mr</w:t>
      </w:r>
      <w:r w:rsidR="0044699C" w:rsidRPr="00B010EB">
        <w:rPr>
          <w:rFonts w:ascii="Arial" w:hAnsi="Arial" w:cs="Arial"/>
          <w:sz w:val="24"/>
          <w:szCs w:val="24"/>
        </w:rPr>
        <w:t>.</w:t>
      </w:r>
      <w:r w:rsidR="002D5606" w:rsidRPr="00B010EB">
        <w:rPr>
          <w:rFonts w:ascii="Arial" w:hAnsi="Arial" w:cs="Arial"/>
          <w:sz w:val="24"/>
          <w:szCs w:val="24"/>
        </w:rPr>
        <w:t xml:space="preserve"> Grobl</w:t>
      </w:r>
      <w:r w:rsidR="0044699C" w:rsidRPr="00B010EB">
        <w:rPr>
          <w:rFonts w:ascii="Arial" w:hAnsi="Arial" w:cs="Arial"/>
          <w:sz w:val="24"/>
          <w:szCs w:val="24"/>
        </w:rPr>
        <w:t xml:space="preserve">er, on behalf of the plaintiff, in his heads of arguments, submitted </w:t>
      </w:r>
      <w:r w:rsidR="00266592" w:rsidRPr="00B010EB">
        <w:rPr>
          <w:rFonts w:ascii="Arial" w:hAnsi="Arial" w:cs="Arial"/>
          <w:sz w:val="24"/>
          <w:szCs w:val="24"/>
        </w:rPr>
        <w:t>at</w:t>
      </w:r>
      <w:r w:rsidR="0044699C" w:rsidRPr="00B010EB">
        <w:rPr>
          <w:rFonts w:ascii="Arial" w:hAnsi="Arial" w:cs="Arial"/>
          <w:sz w:val="24"/>
          <w:szCs w:val="24"/>
        </w:rPr>
        <w:t xml:space="preserve"> the onset as stated in the </w:t>
      </w:r>
      <w:r w:rsidR="0044699C" w:rsidRPr="00B010EB">
        <w:rPr>
          <w:rFonts w:ascii="Arial" w:hAnsi="Arial" w:cs="Arial"/>
          <w:i/>
          <w:sz w:val="24"/>
          <w:szCs w:val="24"/>
        </w:rPr>
        <w:t>Shikale v Universal Distributors of Nevada</w:t>
      </w:r>
      <w:r w:rsidR="0044699C" w:rsidRPr="00B010EB">
        <w:rPr>
          <w:rFonts w:ascii="Arial" w:hAnsi="Arial" w:cs="Arial"/>
          <w:sz w:val="24"/>
          <w:szCs w:val="24"/>
        </w:rPr>
        <w:t xml:space="preserve"> that:</w:t>
      </w:r>
    </w:p>
    <w:p w:rsidR="0044699C" w:rsidRPr="00B010EB" w:rsidRDefault="0044699C" w:rsidP="001A7C59">
      <w:pPr>
        <w:spacing w:after="0" w:line="360" w:lineRule="auto"/>
        <w:jc w:val="both"/>
        <w:rPr>
          <w:rFonts w:ascii="Arial" w:hAnsi="Arial" w:cs="Arial"/>
          <w:sz w:val="24"/>
          <w:szCs w:val="24"/>
        </w:rPr>
      </w:pPr>
    </w:p>
    <w:p w:rsidR="001542C5" w:rsidRPr="00B010EB" w:rsidRDefault="0044699C" w:rsidP="001A7C59">
      <w:pPr>
        <w:spacing w:after="0" w:line="360" w:lineRule="auto"/>
        <w:ind w:firstLine="720"/>
        <w:jc w:val="both"/>
        <w:rPr>
          <w:rFonts w:ascii="Arial" w:hAnsi="Arial" w:cs="Arial"/>
        </w:rPr>
      </w:pPr>
      <w:r w:rsidRPr="00B010EB">
        <w:rPr>
          <w:rFonts w:ascii="Arial" w:hAnsi="Arial" w:cs="Arial"/>
          <w:sz w:val="24"/>
          <w:szCs w:val="24"/>
        </w:rPr>
        <w:t>‘</w:t>
      </w:r>
      <w:r w:rsidRPr="00B010EB">
        <w:rPr>
          <w:rFonts w:ascii="Arial" w:hAnsi="Arial" w:cs="Arial"/>
        </w:rPr>
        <w:t>it is expected of the plaintiff to prove its case at least prima facie. This means that if the plaintiff places sufficient evidence before the Honourable Court on any particular disputed issue, then defendant will attract the evidential burden (the duty to rebut) or the so called “weerleggingslas”.’</w:t>
      </w:r>
      <w:r w:rsidRPr="00B010EB">
        <w:rPr>
          <w:rStyle w:val="FootnoteReference"/>
          <w:rFonts w:ascii="Arial" w:hAnsi="Arial" w:cs="Arial"/>
        </w:rPr>
        <w:footnoteReference w:id="5"/>
      </w:r>
    </w:p>
    <w:p w:rsidR="0044699C" w:rsidRPr="00B010EB" w:rsidRDefault="0044699C" w:rsidP="001A7C59">
      <w:pPr>
        <w:spacing w:after="0" w:line="360" w:lineRule="auto"/>
        <w:jc w:val="both"/>
        <w:rPr>
          <w:rFonts w:ascii="Arial" w:hAnsi="Arial" w:cs="Arial"/>
          <w:sz w:val="24"/>
          <w:szCs w:val="24"/>
        </w:rPr>
      </w:pPr>
    </w:p>
    <w:p w:rsidR="0044699C" w:rsidRPr="00B010EB" w:rsidRDefault="0044699C" w:rsidP="001A7C59">
      <w:pPr>
        <w:spacing w:after="0" w:line="360" w:lineRule="auto"/>
        <w:jc w:val="both"/>
        <w:rPr>
          <w:rFonts w:ascii="Arial" w:hAnsi="Arial" w:cs="Arial"/>
          <w:sz w:val="24"/>
          <w:szCs w:val="24"/>
        </w:rPr>
      </w:pPr>
    </w:p>
    <w:p w:rsidR="00DF5369" w:rsidRPr="00B010EB" w:rsidRDefault="002C4191" w:rsidP="001A7C59">
      <w:pPr>
        <w:spacing w:after="0" w:line="360" w:lineRule="auto"/>
        <w:jc w:val="both"/>
        <w:rPr>
          <w:rFonts w:ascii="Arial" w:hAnsi="Arial" w:cs="Arial"/>
          <w:sz w:val="24"/>
          <w:szCs w:val="24"/>
        </w:rPr>
      </w:pPr>
      <w:r w:rsidRPr="00B010EB">
        <w:rPr>
          <w:rFonts w:ascii="Arial" w:hAnsi="Arial" w:cs="Arial"/>
          <w:sz w:val="24"/>
          <w:szCs w:val="24"/>
        </w:rPr>
        <w:t>[</w:t>
      </w:r>
      <w:r w:rsidR="00C2266E" w:rsidRPr="00B010EB">
        <w:rPr>
          <w:rFonts w:ascii="Arial" w:hAnsi="Arial" w:cs="Arial"/>
          <w:sz w:val="24"/>
          <w:szCs w:val="24"/>
        </w:rPr>
        <w:t>15</w:t>
      </w:r>
      <w:r w:rsidRPr="00B010EB">
        <w:rPr>
          <w:rFonts w:ascii="Arial" w:hAnsi="Arial" w:cs="Arial"/>
          <w:sz w:val="24"/>
          <w:szCs w:val="24"/>
        </w:rPr>
        <w:t>]</w:t>
      </w:r>
      <w:r w:rsidRPr="00B010EB">
        <w:rPr>
          <w:rFonts w:ascii="Arial" w:hAnsi="Arial" w:cs="Arial"/>
          <w:sz w:val="24"/>
          <w:szCs w:val="24"/>
        </w:rPr>
        <w:tab/>
        <w:t xml:space="preserve"> </w:t>
      </w:r>
      <w:r w:rsidR="002553B6" w:rsidRPr="00B010EB">
        <w:rPr>
          <w:rFonts w:ascii="Arial" w:hAnsi="Arial" w:cs="Arial"/>
          <w:sz w:val="24"/>
          <w:szCs w:val="24"/>
        </w:rPr>
        <w:t xml:space="preserve">Mr Grobler </w:t>
      </w:r>
      <w:r w:rsidR="0044699C" w:rsidRPr="00B010EB">
        <w:rPr>
          <w:rFonts w:ascii="Arial" w:hAnsi="Arial" w:cs="Arial"/>
          <w:sz w:val="24"/>
          <w:szCs w:val="24"/>
        </w:rPr>
        <w:t>submitted that the following evidence of the plaintiff was undisputed:</w:t>
      </w:r>
    </w:p>
    <w:p w:rsidR="0044699C" w:rsidRPr="00B010EB" w:rsidRDefault="0044699C" w:rsidP="001A7C59">
      <w:pPr>
        <w:spacing w:after="0" w:line="360" w:lineRule="auto"/>
        <w:jc w:val="both"/>
        <w:rPr>
          <w:rFonts w:ascii="Arial" w:hAnsi="Arial" w:cs="Arial"/>
          <w:sz w:val="24"/>
          <w:szCs w:val="24"/>
        </w:rPr>
      </w:pPr>
    </w:p>
    <w:p w:rsidR="0044699C" w:rsidRPr="00B010EB" w:rsidRDefault="0044699C" w:rsidP="001A7C59">
      <w:pPr>
        <w:spacing w:after="0" w:line="360" w:lineRule="auto"/>
        <w:ind w:firstLine="720"/>
        <w:jc w:val="both"/>
        <w:rPr>
          <w:rFonts w:ascii="Arial" w:hAnsi="Arial" w:cs="Arial"/>
        </w:rPr>
      </w:pPr>
      <w:r w:rsidRPr="00B010EB">
        <w:rPr>
          <w:rFonts w:ascii="Arial" w:hAnsi="Arial" w:cs="Arial"/>
          <w:sz w:val="24"/>
          <w:szCs w:val="24"/>
        </w:rPr>
        <w:t>‘</w:t>
      </w:r>
      <w:r w:rsidRPr="00B010EB">
        <w:rPr>
          <w:rFonts w:ascii="Arial" w:hAnsi="Arial" w:cs="Arial"/>
        </w:rPr>
        <w:t xml:space="preserve">4.1 that the first defendant approached her on 20 May 2014 and proposed that the plaintiff grant her a mandate on each of her accounts to authorize her to sign all necessary documents and approve necessary transactions when the plaintiff is not available. </w:t>
      </w:r>
    </w:p>
    <w:p w:rsidR="0044699C" w:rsidRPr="00B010EB" w:rsidRDefault="0044699C" w:rsidP="001A7C59">
      <w:pPr>
        <w:spacing w:after="0" w:line="360" w:lineRule="auto"/>
        <w:jc w:val="both"/>
        <w:rPr>
          <w:rFonts w:ascii="Arial" w:hAnsi="Arial" w:cs="Arial"/>
        </w:rPr>
      </w:pPr>
    </w:p>
    <w:p w:rsidR="0044699C" w:rsidRPr="00B010EB" w:rsidRDefault="0044699C" w:rsidP="001A7C59">
      <w:pPr>
        <w:spacing w:after="0" w:line="360" w:lineRule="auto"/>
        <w:ind w:firstLine="720"/>
        <w:jc w:val="both"/>
        <w:rPr>
          <w:rFonts w:ascii="Arial" w:hAnsi="Arial" w:cs="Arial"/>
        </w:rPr>
      </w:pPr>
      <w:r w:rsidRPr="00B010EB">
        <w:rPr>
          <w:rFonts w:ascii="Arial" w:hAnsi="Arial" w:cs="Arial"/>
        </w:rPr>
        <w:t>4.2 That she beli</w:t>
      </w:r>
      <w:r w:rsidR="005C5485" w:rsidRPr="00B010EB">
        <w:rPr>
          <w:rFonts w:ascii="Arial" w:hAnsi="Arial" w:cs="Arial"/>
        </w:rPr>
        <w:t>e</w:t>
      </w:r>
      <w:r w:rsidRPr="00B010EB">
        <w:rPr>
          <w:rFonts w:ascii="Arial" w:hAnsi="Arial" w:cs="Arial"/>
        </w:rPr>
        <w:t>ved that the first defendant in her capacity as bank officer will always act in her best interest and for this reason signed the mandate in favour of the first defendant.’</w:t>
      </w:r>
    </w:p>
    <w:p w:rsidR="0044699C" w:rsidRPr="00B010EB" w:rsidRDefault="0044699C" w:rsidP="001A7C59">
      <w:pPr>
        <w:spacing w:after="0" w:line="360" w:lineRule="auto"/>
        <w:jc w:val="both"/>
        <w:rPr>
          <w:rFonts w:ascii="Arial" w:hAnsi="Arial" w:cs="Arial"/>
        </w:rPr>
      </w:pPr>
    </w:p>
    <w:p w:rsidR="002553B6" w:rsidRPr="00B010EB" w:rsidRDefault="00C2266E" w:rsidP="001A7C59">
      <w:pPr>
        <w:spacing w:after="0" w:line="360" w:lineRule="auto"/>
        <w:jc w:val="both"/>
        <w:rPr>
          <w:rFonts w:ascii="Arial" w:hAnsi="Arial" w:cs="Arial"/>
          <w:sz w:val="24"/>
          <w:szCs w:val="24"/>
        </w:rPr>
      </w:pPr>
      <w:r w:rsidRPr="00B010EB">
        <w:rPr>
          <w:rFonts w:ascii="Arial" w:hAnsi="Arial" w:cs="Arial"/>
          <w:sz w:val="24"/>
          <w:szCs w:val="24"/>
        </w:rPr>
        <w:t>[16</w:t>
      </w:r>
      <w:r w:rsidR="002553B6" w:rsidRPr="00B010EB">
        <w:rPr>
          <w:rFonts w:ascii="Arial" w:hAnsi="Arial" w:cs="Arial"/>
          <w:sz w:val="24"/>
          <w:szCs w:val="24"/>
        </w:rPr>
        <w:t xml:space="preserve">] </w:t>
      </w:r>
      <w:r w:rsidR="002553B6" w:rsidRPr="00B010EB">
        <w:rPr>
          <w:rFonts w:ascii="Arial" w:hAnsi="Arial" w:cs="Arial"/>
          <w:sz w:val="24"/>
          <w:szCs w:val="24"/>
        </w:rPr>
        <w:tab/>
        <w:t>Mr Grobler submitted that the second defendant</w:t>
      </w:r>
      <w:r w:rsidR="005C5485" w:rsidRPr="00B010EB">
        <w:rPr>
          <w:rFonts w:ascii="Arial" w:hAnsi="Arial" w:cs="Arial"/>
          <w:sz w:val="24"/>
          <w:szCs w:val="24"/>
        </w:rPr>
        <w:t>’s</w:t>
      </w:r>
      <w:r w:rsidR="002553B6" w:rsidRPr="00B010EB">
        <w:rPr>
          <w:rFonts w:ascii="Arial" w:hAnsi="Arial" w:cs="Arial"/>
          <w:sz w:val="24"/>
          <w:szCs w:val="24"/>
        </w:rPr>
        <w:t xml:space="preserve"> case is based on conjecture and an attempt to discredit the evidence of the plaintiff. He submitted that the attempt to discredit the evidence of the plaintiff has nothing to do with the essential facts the plaintiff had to submit to pro</w:t>
      </w:r>
      <w:r w:rsidR="00266592" w:rsidRPr="00B010EB">
        <w:rPr>
          <w:rFonts w:ascii="Arial" w:hAnsi="Arial" w:cs="Arial"/>
          <w:sz w:val="24"/>
          <w:szCs w:val="24"/>
        </w:rPr>
        <w:t>ve</w:t>
      </w:r>
      <w:r w:rsidR="002553B6" w:rsidRPr="00B010EB">
        <w:rPr>
          <w:rFonts w:ascii="Arial" w:hAnsi="Arial" w:cs="Arial"/>
          <w:sz w:val="24"/>
          <w:szCs w:val="24"/>
        </w:rPr>
        <w:t xml:space="preserve"> her case, but only</w:t>
      </w:r>
      <w:r w:rsidR="00266592" w:rsidRPr="00B010EB">
        <w:rPr>
          <w:rFonts w:ascii="Arial" w:hAnsi="Arial" w:cs="Arial"/>
          <w:sz w:val="24"/>
          <w:szCs w:val="24"/>
        </w:rPr>
        <w:t xml:space="preserve"> had</w:t>
      </w:r>
      <w:r w:rsidR="00DD25CC" w:rsidRPr="00B010EB">
        <w:rPr>
          <w:rFonts w:ascii="Arial" w:hAnsi="Arial" w:cs="Arial"/>
          <w:sz w:val="24"/>
          <w:szCs w:val="24"/>
        </w:rPr>
        <w:t xml:space="preserve"> a</w:t>
      </w:r>
      <w:r w:rsidR="00266592" w:rsidRPr="00B010EB">
        <w:rPr>
          <w:rFonts w:ascii="Arial" w:hAnsi="Arial" w:cs="Arial"/>
          <w:sz w:val="24"/>
          <w:szCs w:val="24"/>
        </w:rPr>
        <w:t xml:space="preserve"> bearing to</w:t>
      </w:r>
      <w:r w:rsidR="002553B6" w:rsidRPr="00B010EB">
        <w:rPr>
          <w:rFonts w:ascii="Arial" w:hAnsi="Arial" w:cs="Arial"/>
          <w:sz w:val="24"/>
          <w:szCs w:val="24"/>
        </w:rPr>
        <w:t xml:space="preserve"> evidence on issues not related to prove her claim. In this regard, he referred to the case of </w:t>
      </w:r>
      <w:r w:rsidR="002553B6" w:rsidRPr="00B010EB">
        <w:rPr>
          <w:rFonts w:ascii="Arial" w:hAnsi="Arial" w:cs="Arial"/>
          <w:i/>
          <w:sz w:val="24"/>
          <w:szCs w:val="24"/>
        </w:rPr>
        <w:t xml:space="preserve">Ostriches </w:t>
      </w:r>
      <w:r w:rsidR="002553B6" w:rsidRPr="00B010EB">
        <w:rPr>
          <w:rFonts w:ascii="Arial" w:hAnsi="Arial" w:cs="Arial"/>
          <w:i/>
          <w:sz w:val="24"/>
          <w:szCs w:val="24"/>
        </w:rPr>
        <w:lastRenderedPageBreak/>
        <w:t>Namibia (Pty) Ltd v African Black Ostriches (Pty) Ltd</w:t>
      </w:r>
      <w:r w:rsidR="004E62B8" w:rsidRPr="00B010EB">
        <w:rPr>
          <w:rStyle w:val="FootnoteReference"/>
          <w:rFonts w:ascii="Arial" w:hAnsi="Arial" w:cs="Arial"/>
          <w:i/>
          <w:sz w:val="24"/>
          <w:szCs w:val="24"/>
        </w:rPr>
        <w:footnoteReference w:id="6"/>
      </w:r>
      <w:r w:rsidR="002553B6" w:rsidRPr="00B010EB">
        <w:rPr>
          <w:rFonts w:ascii="Arial" w:hAnsi="Arial" w:cs="Arial"/>
          <w:i/>
          <w:sz w:val="24"/>
          <w:szCs w:val="24"/>
        </w:rPr>
        <w:t xml:space="preserve"> </w:t>
      </w:r>
      <w:r w:rsidR="002553B6" w:rsidRPr="00B010EB">
        <w:rPr>
          <w:rFonts w:ascii="Arial" w:hAnsi="Arial" w:cs="Arial"/>
          <w:sz w:val="24"/>
          <w:szCs w:val="24"/>
        </w:rPr>
        <w:t xml:space="preserve">where it was held that “this court hesitates and is loath to condemn a witness because of her or her demeanour in a witness box. Consequently references to demeanour, if they are to carry any weight at all, should only back up conclusions reached by an objective assessment of the facts.” </w:t>
      </w:r>
    </w:p>
    <w:p w:rsidR="007A78FD" w:rsidRPr="00B010EB" w:rsidRDefault="007A78FD" w:rsidP="001A7C59">
      <w:pPr>
        <w:spacing w:after="0" w:line="360" w:lineRule="auto"/>
        <w:jc w:val="both"/>
        <w:rPr>
          <w:rFonts w:ascii="Arial" w:hAnsi="Arial" w:cs="Arial"/>
          <w:u w:val="single"/>
        </w:rPr>
      </w:pPr>
    </w:p>
    <w:p w:rsidR="002553B6" w:rsidRPr="00B010EB" w:rsidRDefault="00C2266E" w:rsidP="001A7C59">
      <w:pPr>
        <w:spacing w:after="0" w:line="360" w:lineRule="auto"/>
        <w:jc w:val="both"/>
        <w:rPr>
          <w:rFonts w:ascii="Arial" w:hAnsi="Arial" w:cs="Arial"/>
          <w:sz w:val="24"/>
          <w:szCs w:val="24"/>
        </w:rPr>
      </w:pPr>
      <w:r w:rsidRPr="00B010EB">
        <w:rPr>
          <w:rFonts w:ascii="Arial" w:hAnsi="Arial" w:cs="Arial"/>
          <w:sz w:val="24"/>
          <w:szCs w:val="24"/>
        </w:rPr>
        <w:t>[17</w:t>
      </w:r>
      <w:r w:rsidR="002553B6" w:rsidRPr="00B010EB">
        <w:rPr>
          <w:rFonts w:ascii="Arial" w:hAnsi="Arial" w:cs="Arial"/>
          <w:sz w:val="24"/>
          <w:szCs w:val="24"/>
        </w:rPr>
        <w:t>]</w:t>
      </w:r>
      <w:r w:rsidR="002553B6" w:rsidRPr="00B010EB">
        <w:rPr>
          <w:rFonts w:ascii="Arial" w:hAnsi="Arial" w:cs="Arial"/>
          <w:sz w:val="24"/>
          <w:szCs w:val="24"/>
        </w:rPr>
        <w:tab/>
      </w:r>
      <w:r w:rsidR="002F0D5C" w:rsidRPr="00B010EB">
        <w:rPr>
          <w:rFonts w:ascii="Arial" w:hAnsi="Arial" w:cs="Arial"/>
          <w:sz w:val="24"/>
          <w:szCs w:val="24"/>
        </w:rPr>
        <w:t xml:space="preserve">Mr Grobler submitted that the relationship between the bank and a client is basically a contract of </w:t>
      </w:r>
      <w:r w:rsidR="002F0D5C" w:rsidRPr="00B010EB">
        <w:rPr>
          <w:rFonts w:ascii="Arial" w:hAnsi="Arial" w:cs="Arial"/>
          <w:i/>
          <w:sz w:val="24"/>
          <w:szCs w:val="24"/>
        </w:rPr>
        <w:t>mandatum</w:t>
      </w:r>
      <w:r w:rsidR="002F0D5C" w:rsidRPr="00B010EB">
        <w:rPr>
          <w:rFonts w:ascii="Arial" w:hAnsi="Arial" w:cs="Arial"/>
          <w:sz w:val="24"/>
          <w:szCs w:val="24"/>
        </w:rPr>
        <w:t xml:space="preserve"> and he referred to the case of </w:t>
      </w:r>
      <w:r w:rsidR="002F0D5C" w:rsidRPr="00B010EB">
        <w:rPr>
          <w:rFonts w:ascii="Arial" w:hAnsi="Arial" w:cs="Arial"/>
          <w:i/>
          <w:sz w:val="24"/>
          <w:szCs w:val="24"/>
        </w:rPr>
        <w:t xml:space="preserve">Di Guilio v First National Bank of South Africa Ltd </w:t>
      </w:r>
      <w:r w:rsidR="002F0D5C" w:rsidRPr="00B010EB">
        <w:rPr>
          <w:rStyle w:val="FootnoteReference"/>
          <w:rFonts w:ascii="Arial" w:hAnsi="Arial" w:cs="Arial"/>
          <w:i/>
          <w:sz w:val="24"/>
          <w:szCs w:val="24"/>
        </w:rPr>
        <w:footnoteReference w:id="7"/>
      </w:r>
      <w:r w:rsidR="002F0D5C" w:rsidRPr="00B010EB">
        <w:rPr>
          <w:rFonts w:ascii="Arial" w:hAnsi="Arial" w:cs="Arial"/>
          <w:sz w:val="24"/>
          <w:szCs w:val="24"/>
        </w:rPr>
        <w:t xml:space="preserve"> where the relationship between bank and customer was confirmed to be one of </w:t>
      </w:r>
      <w:r w:rsidR="004E62B8" w:rsidRPr="00B010EB">
        <w:rPr>
          <w:rFonts w:ascii="Arial" w:hAnsi="Arial" w:cs="Arial"/>
          <w:sz w:val="24"/>
          <w:szCs w:val="24"/>
        </w:rPr>
        <w:t>a</w:t>
      </w:r>
      <w:r w:rsidR="002F0D5C" w:rsidRPr="00B010EB">
        <w:rPr>
          <w:rFonts w:ascii="Arial" w:hAnsi="Arial" w:cs="Arial"/>
          <w:sz w:val="24"/>
          <w:szCs w:val="24"/>
        </w:rPr>
        <w:t xml:space="preserve"> contract of </w:t>
      </w:r>
      <w:r w:rsidR="002F0D5C" w:rsidRPr="00B010EB">
        <w:rPr>
          <w:rFonts w:ascii="Arial" w:hAnsi="Arial" w:cs="Arial"/>
          <w:i/>
          <w:sz w:val="24"/>
          <w:szCs w:val="24"/>
        </w:rPr>
        <w:t>mandatum</w:t>
      </w:r>
      <w:r w:rsidR="002F0D5C" w:rsidRPr="00B010EB">
        <w:rPr>
          <w:rFonts w:ascii="Arial" w:hAnsi="Arial" w:cs="Arial"/>
          <w:sz w:val="24"/>
          <w:szCs w:val="24"/>
        </w:rPr>
        <w:t xml:space="preserve">. He submitted that </w:t>
      </w:r>
      <w:r w:rsidR="004E62B8" w:rsidRPr="00B010EB">
        <w:rPr>
          <w:rFonts w:ascii="Arial" w:hAnsi="Arial" w:cs="Arial"/>
          <w:sz w:val="24"/>
          <w:szCs w:val="24"/>
        </w:rPr>
        <w:t xml:space="preserve">where </w:t>
      </w:r>
      <w:r w:rsidR="002F0D5C" w:rsidRPr="00B010EB">
        <w:rPr>
          <w:rFonts w:ascii="Arial" w:hAnsi="Arial" w:cs="Arial"/>
          <w:sz w:val="24"/>
          <w:szCs w:val="24"/>
        </w:rPr>
        <w:t xml:space="preserve">a relationship of </w:t>
      </w:r>
      <w:r w:rsidR="002F0D5C" w:rsidRPr="00B010EB">
        <w:rPr>
          <w:rFonts w:ascii="Arial" w:hAnsi="Arial" w:cs="Arial"/>
          <w:i/>
          <w:sz w:val="24"/>
          <w:szCs w:val="24"/>
        </w:rPr>
        <w:t>mandatum</w:t>
      </w:r>
      <w:r w:rsidR="004E62B8" w:rsidRPr="00B010EB">
        <w:rPr>
          <w:rFonts w:ascii="Arial" w:hAnsi="Arial" w:cs="Arial"/>
          <w:sz w:val="24"/>
          <w:szCs w:val="24"/>
        </w:rPr>
        <w:t xml:space="preserve"> exists</w:t>
      </w:r>
      <w:r w:rsidR="002F0D5C" w:rsidRPr="00B010EB">
        <w:rPr>
          <w:rFonts w:ascii="Arial" w:hAnsi="Arial" w:cs="Arial"/>
          <w:sz w:val="24"/>
          <w:szCs w:val="24"/>
        </w:rPr>
        <w:t xml:space="preserve"> and </w:t>
      </w:r>
      <w:r w:rsidR="004E62B8" w:rsidRPr="00B010EB">
        <w:rPr>
          <w:rFonts w:ascii="Arial" w:hAnsi="Arial" w:cs="Arial"/>
          <w:sz w:val="24"/>
          <w:szCs w:val="24"/>
        </w:rPr>
        <w:t>that</w:t>
      </w:r>
      <w:r w:rsidR="002F0D5C" w:rsidRPr="00B010EB">
        <w:rPr>
          <w:rFonts w:ascii="Arial" w:hAnsi="Arial" w:cs="Arial"/>
          <w:sz w:val="24"/>
          <w:szCs w:val="24"/>
        </w:rPr>
        <w:t xml:space="preserve"> mandate is not honoured</w:t>
      </w:r>
      <w:r w:rsidR="004E62B8" w:rsidRPr="00B010EB">
        <w:rPr>
          <w:rFonts w:ascii="Arial" w:hAnsi="Arial" w:cs="Arial"/>
          <w:sz w:val="24"/>
          <w:szCs w:val="24"/>
        </w:rPr>
        <w:t>,</w:t>
      </w:r>
      <w:r w:rsidR="002F0D5C" w:rsidRPr="00B010EB">
        <w:rPr>
          <w:rFonts w:ascii="Arial" w:hAnsi="Arial" w:cs="Arial"/>
          <w:sz w:val="24"/>
          <w:szCs w:val="24"/>
        </w:rPr>
        <w:t xml:space="preserve"> the bank will be liable to the client for the breach. He submitted that the mandates provided to the first defendant by the plaintiff is nothing more than a reinforcement of the mandate between the client and the bank. </w:t>
      </w:r>
    </w:p>
    <w:p w:rsidR="002553B6" w:rsidRPr="00B010EB" w:rsidRDefault="002553B6" w:rsidP="001A7C59">
      <w:pPr>
        <w:spacing w:after="0" w:line="360" w:lineRule="auto"/>
        <w:jc w:val="both"/>
        <w:rPr>
          <w:rFonts w:ascii="Arial" w:hAnsi="Arial" w:cs="Arial"/>
          <w:u w:val="single"/>
        </w:rPr>
      </w:pPr>
    </w:p>
    <w:p w:rsidR="002553B6" w:rsidRPr="00B010EB" w:rsidRDefault="00C2266E" w:rsidP="001A7C59">
      <w:pPr>
        <w:spacing w:after="0" w:line="360" w:lineRule="auto"/>
        <w:jc w:val="both"/>
        <w:rPr>
          <w:rFonts w:ascii="Arial" w:hAnsi="Arial" w:cs="Arial"/>
          <w:sz w:val="24"/>
          <w:szCs w:val="24"/>
        </w:rPr>
      </w:pPr>
      <w:r w:rsidRPr="00B010EB">
        <w:rPr>
          <w:rFonts w:ascii="Arial" w:hAnsi="Arial" w:cs="Arial"/>
          <w:sz w:val="24"/>
          <w:szCs w:val="24"/>
        </w:rPr>
        <w:t>[18</w:t>
      </w:r>
      <w:r w:rsidR="002F0D5C" w:rsidRPr="00B010EB">
        <w:rPr>
          <w:rFonts w:ascii="Arial" w:hAnsi="Arial" w:cs="Arial"/>
          <w:sz w:val="24"/>
          <w:szCs w:val="24"/>
        </w:rPr>
        <w:t>]</w:t>
      </w:r>
      <w:r w:rsidR="002F0D5C" w:rsidRPr="00B010EB">
        <w:rPr>
          <w:rFonts w:ascii="Arial" w:hAnsi="Arial" w:cs="Arial"/>
          <w:sz w:val="24"/>
          <w:szCs w:val="24"/>
        </w:rPr>
        <w:tab/>
        <w:t>On the issue of vicarious liability, Mr Grobler, submitted</w:t>
      </w:r>
      <w:r w:rsidR="00715273" w:rsidRPr="00B010EB">
        <w:rPr>
          <w:rFonts w:ascii="Arial" w:hAnsi="Arial" w:cs="Arial"/>
          <w:sz w:val="24"/>
          <w:szCs w:val="24"/>
        </w:rPr>
        <w:t xml:space="preserve"> that the second defendant is liable for the actions of the first defendant on the accounts of the plaintiff in terms of the contract of </w:t>
      </w:r>
      <w:r w:rsidR="00715273" w:rsidRPr="00B010EB">
        <w:rPr>
          <w:rFonts w:ascii="Arial" w:hAnsi="Arial" w:cs="Arial"/>
          <w:i/>
          <w:sz w:val="24"/>
          <w:szCs w:val="24"/>
        </w:rPr>
        <w:t>mandatum</w:t>
      </w:r>
      <w:r w:rsidR="00715273" w:rsidRPr="00B010EB">
        <w:rPr>
          <w:rFonts w:ascii="Arial" w:hAnsi="Arial" w:cs="Arial"/>
          <w:sz w:val="24"/>
          <w:szCs w:val="24"/>
        </w:rPr>
        <w:t xml:space="preserve"> between the second defendant and the plaintiff. He submitted that there can be no doubt that the first defendant whilst managing the accounts of the plaintiff with the second defendant was acting in the c</w:t>
      </w:r>
      <w:r w:rsidR="001E2670" w:rsidRPr="00B010EB">
        <w:rPr>
          <w:rFonts w:ascii="Arial" w:hAnsi="Arial" w:cs="Arial"/>
          <w:sz w:val="24"/>
          <w:szCs w:val="24"/>
        </w:rPr>
        <w:t xml:space="preserve">ourse </w:t>
      </w:r>
      <w:r w:rsidR="00715273" w:rsidRPr="00B010EB">
        <w:rPr>
          <w:rFonts w:ascii="Arial" w:hAnsi="Arial" w:cs="Arial"/>
          <w:sz w:val="24"/>
          <w:szCs w:val="24"/>
        </w:rPr>
        <w:t xml:space="preserve">and scope of her employment with the second defendant. </w:t>
      </w:r>
      <w:r w:rsidR="001847D1" w:rsidRPr="00B010EB">
        <w:rPr>
          <w:rFonts w:ascii="Arial" w:hAnsi="Arial" w:cs="Arial"/>
          <w:sz w:val="24"/>
          <w:szCs w:val="24"/>
        </w:rPr>
        <w:t xml:space="preserve">He further submitted that according </w:t>
      </w:r>
      <w:r w:rsidR="004E62B8" w:rsidRPr="00B010EB">
        <w:rPr>
          <w:rFonts w:ascii="Arial" w:hAnsi="Arial" w:cs="Arial"/>
          <w:sz w:val="24"/>
          <w:szCs w:val="24"/>
        </w:rPr>
        <w:t xml:space="preserve">to </w:t>
      </w:r>
      <w:r w:rsidR="001847D1" w:rsidRPr="00B010EB">
        <w:rPr>
          <w:rFonts w:ascii="Arial" w:hAnsi="Arial" w:cs="Arial"/>
          <w:sz w:val="24"/>
          <w:szCs w:val="24"/>
        </w:rPr>
        <w:t xml:space="preserve">authorities the bank will not be liable for the actions of the first defendant if the first defendant was on frolic of her </w:t>
      </w:r>
      <w:r w:rsidR="00652947" w:rsidRPr="00B010EB">
        <w:rPr>
          <w:rFonts w:ascii="Arial" w:hAnsi="Arial" w:cs="Arial"/>
          <w:sz w:val="24"/>
          <w:szCs w:val="24"/>
        </w:rPr>
        <w:t xml:space="preserve">own </w:t>
      </w:r>
      <w:r w:rsidR="001847D1" w:rsidRPr="00B010EB">
        <w:rPr>
          <w:rFonts w:ascii="Arial" w:hAnsi="Arial" w:cs="Arial"/>
          <w:sz w:val="24"/>
          <w:szCs w:val="24"/>
        </w:rPr>
        <w:t xml:space="preserve">when she stole the money from the plaintiff. </w:t>
      </w:r>
      <w:r w:rsidR="00652947" w:rsidRPr="00B010EB">
        <w:rPr>
          <w:rFonts w:ascii="Arial" w:hAnsi="Arial" w:cs="Arial"/>
          <w:sz w:val="24"/>
          <w:szCs w:val="24"/>
        </w:rPr>
        <w:t xml:space="preserve">In this regard Mr Grobler </w:t>
      </w:r>
      <w:r w:rsidR="00715273" w:rsidRPr="00B010EB">
        <w:rPr>
          <w:rFonts w:ascii="Arial" w:hAnsi="Arial" w:cs="Arial"/>
          <w:sz w:val="24"/>
          <w:szCs w:val="24"/>
        </w:rPr>
        <w:t xml:space="preserve">referred to </w:t>
      </w:r>
      <w:r w:rsidR="00715273" w:rsidRPr="00B010EB">
        <w:rPr>
          <w:rFonts w:ascii="Arial" w:hAnsi="Arial" w:cs="Arial"/>
          <w:i/>
          <w:sz w:val="24"/>
          <w:szCs w:val="24"/>
        </w:rPr>
        <w:t>K v Minister of Safety and Security</w:t>
      </w:r>
      <w:r w:rsidR="00715273" w:rsidRPr="00B010EB">
        <w:rPr>
          <w:rFonts w:ascii="Arial" w:hAnsi="Arial" w:cs="Arial"/>
          <w:sz w:val="24"/>
          <w:szCs w:val="24"/>
        </w:rPr>
        <w:t xml:space="preserve"> </w:t>
      </w:r>
      <w:r w:rsidR="00715273" w:rsidRPr="00B010EB">
        <w:rPr>
          <w:rStyle w:val="FootnoteReference"/>
          <w:rFonts w:ascii="Arial" w:hAnsi="Arial" w:cs="Arial"/>
          <w:sz w:val="24"/>
          <w:szCs w:val="24"/>
        </w:rPr>
        <w:footnoteReference w:id="8"/>
      </w:r>
      <w:r w:rsidR="00715273" w:rsidRPr="00B010EB">
        <w:rPr>
          <w:rFonts w:ascii="Arial" w:hAnsi="Arial" w:cs="Arial"/>
          <w:sz w:val="24"/>
          <w:szCs w:val="24"/>
        </w:rPr>
        <w:t xml:space="preserve"> where the following was held:</w:t>
      </w:r>
    </w:p>
    <w:p w:rsidR="00715273" w:rsidRPr="00B010EB" w:rsidRDefault="00715273" w:rsidP="001A7C59">
      <w:pPr>
        <w:spacing w:after="0" w:line="360" w:lineRule="auto"/>
        <w:jc w:val="both"/>
        <w:rPr>
          <w:rFonts w:ascii="Arial" w:hAnsi="Arial" w:cs="Arial"/>
          <w:sz w:val="24"/>
          <w:szCs w:val="24"/>
        </w:rPr>
      </w:pPr>
    </w:p>
    <w:p w:rsidR="00715273" w:rsidRPr="00B010EB" w:rsidRDefault="00715273" w:rsidP="001A7C59">
      <w:pPr>
        <w:spacing w:after="0" w:line="360" w:lineRule="auto"/>
        <w:ind w:firstLine="720"/>
        <w:jc w:val="both"/>
        <w:rPr>
          <w:rFonts w:ascii="Arial" w:hAnsi="Arial" w:cs="Arial"/>
        </w:rPr>
      </w:pPr>
      <w:r w:rsidRPr="00B010EB">
        <w:rPr>
          <w:rFonts w:ascii="Arial" w:hAnsi="Arial" w:cs="Arial"/>
        </w:rPr>
        <w:t xml:space="preserve">‘[24] The general principle of vicarious liability holds an employer responsible for the wrongs committed by an employee during the course of employment. The Courts have held that as long as the employee is acting ‘within the course and scope of his or her duty’ or is ‘engaged with the affairs of his master’ that the employer will be </w:t>
      </w:r>
      <w:r w:rsidR="00CA5B98" w:rsidRPr="00B010EB">
        <w:rPr>
          <w:rFonts w:ascii="Arial" w:hAnsi="Arial" w:cs="Arial"/>
        </w:rPr>
        <w:t>liable</w:t>
      </w:r>
      <w:r w:rsidRPr="00B010EB">
        <w:rPr>
          <w:rFonts w:ascii="Arial" w:hAnsi="Arial" w:cs="Arial"/>
        </w:rPr>
        <w:t xml:space="preserve">.’ The principle of </w:t>
      </w:r>
      <w:r w:rsidRPr="00B010EB">
        <w:rPr>
          <w:rFonts w:ascii="Arial" w:hAnsi="Arial" w:cs="Arial"/>
        </w:rPr>
        <w:lastRenderedPageBreak/>
        <w:t>vicarious liability is not peculiar to our common law, but is also to be found in customary law rules. It is clear, therefore, that there is a deep seated sense of justice that is served by the notion that in certain circumstances a person in authority will be held liable to a third party for injuries caused by person falling under his or her authority. ‘</w:t>
      </w:r>
    </w:p>
    <w:p w:rsidR="00C2266E" w:rsidRPr="00B010EB" w:rsidRDefault="00C2266E" w:rsidP="001A7C59">
      <w:pPr>
        <w:spacing w:after="0" w:line="360" w:lineRule="auto"/>
        <w:ind w:firstLine="720"/>
        <w:jc w:val="both"/>
        <w:rPr>
          <w:rFonts w:ascii="Arial" w:hAnsi="Arial" w:cs="Arial"/>
        </w:rPr>
      </w:pPr>
    </w:p>
    <w:p w:rsidR="00715273" w:rsidRPr="00B010EB" w:rsidRDefault="00C2266E" w:rsidP="001A7C59">
      <w:pPr>
        <w:spacing w:after="0" w:line="360" w:lineRule="auto"/>
        <w:jc w:val="both"/>
        <w:rPr>
          <w:rFonts w:ascii="Arial" w:hAnsi="Arial" w:cs="Arial"/>
          <w:sz w:val="24"/>
          <w:szCs w:val="24"/>
        </w:rPr>
      </w:pPr>
      <w:r w:rsidRPr="00B010EB">
        <w:rPr>
          <w:rFonts w:ascii="Arial" w:hAnsi="Arial" w:cs="Arial"/>
          <w:sz w:val="24"/>
          <w:szCs w:val="24"/>
        </w:rPr>
        <w:t>[19</w:t>
      </w:r>
      <w:r w:rsidR="001847D1" w:rsidRPr="00B010EB">
        <w:rPr>
          <w:rFonts w:ascii="Arial" w:hAnsi="Arial" w:cs="Arial"/>
          <w:sz w:val="24"/>
          <w:szCs w:val="24"/>
        </w:rPr>
        <w:t>]</w:t>
      </w:r>
      <w:r w:rsidR="001847D1" w:rsidRPr="00B010EB">
        <w:rPr>
          <w:rFonts w:ascii="Arial" w:hAnsi="Arial" w:cs="Arial"/>
          <w:sz w:val="24"/>
          <w:szCs w:val="24"/>
        </w:rPr>
        <w:tab/>
        <w:t xml:space="preserve">Mr Grobler, further submitted that even where the bank official was guilty of fraud the bank can still be held vicariously liable as held in </w:t>
      </w:r>
      <w:r w:rsidR="001847D1" w:rsidRPr="00B010EB">
        <w:rPr>
          <w:rFonts w:ascii="Arial" w:hAnsi="Arial" w:cs="Arial"/>
          <w:i/>
          <w:sz w:val="24"/>
          <w:szCs w:val="24"/>
        </w:rPr>
        <w:t>Minister of Finance and other v Gore N.O</w:t>
      </w:r>
      <w:r w:rsidR="001847D1" w:rsidRPr="00B010EB">
        <w:rPr>
          <w:rStyle w:val="FootnoteReference"/>
          <w:rFonts w:ascii="Arial" w:hAnsi="Arial" w:cs="Arial"/>
          <w:i/>
          <w:sz w:val="24"/>
          <w:szCs w:val="24"/>
        </w:rPr>
        <w:footnoteReference w:id="9"/>
      </w:r>
      <w:r w:rsidR="001847D1" w:rsidRPr="00B010EB">
        <w:rPr>
          <w:rFonts w:ascii="Arial" w:hAnsi="Arial" w:cs="Arial"/>
          <w:sz w:val="24"/>
          <w:szCs w:val="24"/>
        </w:rPr>
        <w:t>. He submitted that</w:t>
      </w:r>
      <w:r w:rsidR="004E62B8" w:rsidRPr="00B010EB">
        <w:rPr>
          <w:rFonts w:ascii="Arial" w:hAnsi="Arial" w:cs="Arial"/>
          <w:sz w:val="24"/>
          <w:szCs w:val="24"/>
        </w:rPr>
        <w:t xml:space="preserve"> in</w:t>
      </w:r>
      <w:r w:rsidR="001847D1" w:rsidRPr="00B010EB">
        <w:rPr>
          <w:rFonts w:ascii="Arial" w:hAnsi="Arial" w:cs="Arial"/>
          <w:sz w:val="24"/>
          <w:szCs w:val="24"/>
        </w:rPr>
        <w:t xml:space="preserve"> the present case the theft from the plaint</w:t>
      </w:r>
      <w:r w:rsidR="00652947" w:rsidRPr="00B010EB">
        <w:rPr>
          <w:rFonts w:ascii="Arial" w:hAnsi="Arial" w:cs="Arial"/>
          <w:sz w:val="24"/>
          <w:szCs w:val="24"/>
        </w:rPr>
        <w:t>i</w:t>
      </w:r>
      <w:r w:rsidR="001847D1" w:rsidRPr="00B010EB">
        <w:rPr>
          <w:rFonts w:ascii="Arial" w:hAnsi="Arial" w:cs="Arial"/>
          <w:sz w:val="24"/>
          <w:szCs w:val="24"/>
        </w:rPr>
        <w:t>ff’s account, although it was for the benefit of the first defendant</w:t>
      </w:r>
      <w:r w:rsidR="004E62B8" w:rsidRPr="00B010EB">
        <w:rPr>
          <w:rFonts w:ascii="Arial" w:hAnsi="Arial" w:cs="Arial"/>
          <w:sz w:val="24"/>
          <w:szCs w:val="24"/>
        </w:rPr>
        <w:t>,</w:t>
      </w:r>
      <w:r w:rsidR="001847D1" w:rsidRPr="00B010EB">
        <w:rPr>
          <w:rFonts w:ascii="Arial" w:hAnsi="Arial" w:cs="Arial"/>
          <w:sz w:val="24"/>
          <w:szCs w:val="24"/>
        </w:rPr>
        <w:t xml:space="preserve"> “a sufficiently close link between the servants for his own interests and purposes and the business of his master” exists to make the master (second defendant) liable. He further submitted that the evidence that there was some or other relationship between the plaintiff and first defendant is irrelevant as there is </w:t>
      </w:r>
      <w:r w:rsidR="00DD25CC" w:rsidRPr="00B010EB">
        <w:rPr>
          <w:rFonts w:ascii="Arial" w:hAnsi="Arial" w:cs="Arial"/>
          <w:sz w:val="24"/>
          <w:szCs w:val="24"/>
        </w:rPr>
        <w:t xml:space="preserve">in </w:t>
      </w:r>
      <w:r w:rsidR="001847D1" w:rsidRPr="00B010EB">
        <w:rPr>
          <w:rFonts w:ascii="Arial" w:hAnsi="Arial" w:cs="Arial"/>
          <w:sz w:val="24"/>
          <w:szCs w:val="24"/>
        </w:rPr>
        <w:t xml:space="preserve">any event no facts that was placed before the Court that this relationship has any bearing on the fraudulent actions of the first defendant. </w:t>
      </w:r>
    </w:p>
    <w:p w:rsidR="002628CC" w:rsidRPr="00B010EB" w:rsidRDefault="002628CC" w:rsidP="001A7C59">
      <w:pPr>
        <w:spacing w:after="0" w:line="360" w:lineRule="auto"/>
        <w:jc w:val="both"/>
        <w:rPr>
          <w:rFonts w:ascii="Arial" w:hAnsi="Arial" w:cs="Arial"/>
          <w:sz w:val="24"/>
          <w:szCs w:val="24"/>
          <w:u w:val="single"/>
        </w:rPr>
      </w:pPr>
    </w:p>
    <w:p w:rsidR="00644613" w:rsidRPr="00B010EB" w:rsidRDefault="00644613" w:rsidP="001A7C59">
      <w:pPr>
        <w:spacing w:after="0" w:line="360" w:lineRule="auto"/>
        <w:jc w:val="both"/>
        <w:rPr>
          <w:rFonts w:ascii="Arial" w:hAnsi="Arial" w:cs="Arial"/>
          <w:i/>
          <w:sz w:val="24"/>
          <w:szCs w:val="24"/>
        </w:rPr>
      </w:pPr>
      <w:r w:rsidRPr="00B010EB">
        <w:rPr>
          <w:rFonts w:ascii="Arial" w:hAnsi="Arial" w:cs="Arial"/>
          <w:i/>
          <w:sz w:val="24"/>
          <w:szCs w:val="24"/>
        </w:rPr>
        <w:t>On behalf of the defendant</w:t>
      </w:r>
    </w:p>
    <w:p w:rsidR="00644613" w:rsidRPr="00B010EB" w:rsidRDefault="00644613" w:rsidP="001A7C59">
      <w:pPr>
        <w:spacing w:after="0" w:line="360" w:lineRule="auto"/>
        <w:jc w:val="both"/>
        <w:rPr>
          <w:rFonts w:ascii="Arial" w:hAnsi="Arial" w:cs="Arial"/>
          <w:i/>
          <w:sz w:val="24"/>
          <w:szCs w:val="24"/>
        </w:rPr>
      </w:pPr>
    </w:p>
    <w:p w:rsidR="001847D1" w:rsidRPr="00B010EB" w:rsidRDefault="00644613" w:rsidP="001A7C59">
      <w:pPr>
        <w:spacing w:after="0" w:line="360" w:lineRule="auto"/>
        <w:jc w:val="both"/>
        <w:rPr>
          <w:rFonts w:ascii="Arial" w:hAnsi="Arial" w:cs="Arial"/>
          <w:sz w:val="24"/>
          <w:szCs w:val="24"/>
        </w:rPr>
      </w:pPr>
      <w:r w:rsidRPr="00B010EB">
        <w:rPr>
          <w:rFonts w:ascii="Arial" w:hAnsi="Arial" w:cs="Arial"/>
          <w:sz w:val="24"/>
          <w:szCs w:val="24"/>
        </w:rPr>
        <w:t>[</w:t>
      </w:r>
      <w:r w:rsidR="00C2266E" w:rsidRPr="00B010EB">
        <w:rPr>
          <w:rFonts w:ascii="Arial" w:hAnsi="Arial" w:cs="Arial"/>
          <w:sz w:val="24"/>
          <w:szCs w:val="24"/>
        </w:rPr>
        <w:t>20</w:t>
      </w:r>
      <w:r w:rsidRPr="00B010EB">
        <w:rPr>
          <w:rFonts w:ascii="Arial" w:hAnsi="Arial" w:cs="Arial"/>
          <w:sz w:val="24"/>
          <w:szCs w:val="24"/>
        </w:rPr>
        <w:t>]</w:t>
      </w:r>
      <w:r w:rsidRPr="00B010EB">
        <w:rPr>
          <w:rFonts w:ascii="Arial" w:hAnsi="Arial" w:cs="Arial"/>
          <w:sz w:val="24"/>
          <w:szCs w:val="24"/>
        </w:rPr>
        <w:tab/>
      </w:r>
      <w:r w:rsidR="002F0D5C" w:rsidRPr="00B010EB">
        <w:rPr>
          <w:rFonts w:ascii="Arial" w:hAnsi="Arial" w:cs="Arial"/>
          <w:sz w:val="24"/>
          <w:szCs w:val="24"/>
        </w:rPr>
        <w:t xml:space="preserve"> </w:t>
      </w:r>
      <w:r w:rsidR="000D526A" w:rsidRPr="00B010EB">
        <w:rPr>
          <w:rFonts w:ascii="Arial" w:hAnsi="Arial" w:cs="Arial"/>
          <w:sz w:val="24"/>
          <w:szCs w:val="24"/>
        </w:rPr>
        <w:t>Mr Van Zyl, on behalf of the second defendant, in his heads of arguments submitted that the objective, undisputed facts and the totality of the evidence (documentary and testimony) read with the relevant law supports the second defendants defence and dispels the plaintiff’s claim, on a balance of probabilities</w:t>
      </w:r>
      <w:r w:rsidR="00652947" w:rsidRPr="00B010EB">
        <w:rPr>
          <w:rFonts w:ascii="Arial" w:hAnsi="Arial" w:cs="Arial"/>
          <w:sz w:val="24"/>
          <w:szCs w:val="24"/>
        </w:rPr>
        <w:t>,</w:t>
      </w:r>
      <w:r w:rsidR="000D526A" w:rsidRPr="00B010EB">
        <w:rPr>
          <w:rFonts w:ascii="Arial" w:hAnsi="Arial" w:cs="Arial"/>
          <w:sz w:val="24"/>
          <w:szCs w:val="24"/>
        </w:rPr>
        <w:t xml:space="preserve"> which is of course all that is required. In respect of onus, Mr Van Zyl referred to a passage as approved by the Supreme Court of Namibia in </w:t>
      </w:r>
      <w:r w:rsidR="00CA5B98" w:rsidRPr="00B010EB">
        <w:rPr>
          <w:rFonts w:ascii="Arial" w:hAnsi="Arial" w:cs="Arial"/>
          <w:i/>
          <w:sz w:val="24"/>
          <w:szCs w:val="24"/>
        </w:rPr>
        <w:t>Gamikaub (</w:t>
      </w:r>
      <w:r w:rsidR="00652947" w:rsidRPr="00B010EB">
        <w:rPr>
          <w:rFonts w:ascii="Arial" w:hAnsi="Arial" w:cs="Arial"/>
          <w:i/>
          <w:sz w:val="24"/>
          <w:szCs w:val="24"/>
        </w:rPr>
        <w:t>Pty) Ltd v Schweiger</w:t>
      </w:r>
      <w:r w:rsidR="004208A8" w:rsidRPr="00B010EB">
        <w:rPr>
          <w:rStyle w:val="FootnoteReference"/>
          <w:rFonts w:ascii="Arial" w:hAnsi="Arial" w:cs="Arial"/>
          <w:i/>
          <w:sz w:val="24"/>
          <w:szCs w:val="24"/>
        </w:rPr>
        <w:footnoteReference w:id="10"/>
      </w:r>
      <w:r w:rsidR="004208A8" w:rsidRPr="00B010EB">
        <w:rPr>
          <w:rFonts w:ascii="Arial" w:hAnsi="Arial" w:cs="Arial"/>
          <w:sz w:val="24"/>
          <w:szCs w:val="24"/>
        </w:rPr>
        <w:t xml:space="preserve"> matter where the following was stated:</w:t>
      </w:r>
    </w:p>
    <w:p w:rsidR="004208A8" w:rsidRPr="00B010EB" w:rsidRDefault="004208A8" w:rsidP="001A7C59">
      <w:pPr>
        <w:spacing w:after="0" w:line="360" w:lineRule="auto"/>
        <w:jc w:val="both"/>
        <w:rPr>
          <w:rFonts w:ascii="Arial" w:hAnsi="Arial" w:cs="Arial"/>
          <w:sz w:val="24"/>
          <w:szCs w:val="24"/>
        </w:rPr>
      </w:pPr>
    </w:p>
    <w:p w:rsidR="004208A8" w:rsidRPr="00B010EB" w:rsidRDefault="004208A8" w:rsidP="001A7C59">
      <w:pPr>
        <w:spacing w:after="0" w:line="360" w:lineRule="auto"/>
        <w:jc w:val="both"/>
        <w:rPr>
          <w:rFonts w:ascii="Arial" w:hAnsi="Arial" w:cs="Arial"/>
        </w:rPr>
      </w:pPr>
      <w:r w:rsidRPr="00B010EB">
        <w:rPr>
          <w:rFonts w:ascii="Arial" w:hAnsi="Arial" w:cs="Arial"/>
        </w:rPr>
        <w:tab/>
      </w:r>
      <w:r w:rsidR="00652947" w:rsidRPr="00B010EB">
        <w:rPr>
          <w:rFonts w:ascii="Arial" w:hAnsi="Arial" w:cs="Arial"/>
        </w:rPr>
        <w:t>‘</w:t>
      </w:r>
      <w:r w:rsidRPr="00B010EB">
        <w:rPr>
          <w:rFonts w:ascii="Arial" w:hAnsi="Arial" w:cs="Arial"/>
        </w:rPr>
        <w:t>[12]</w:t>
      </w:r>
      <w:r w:rsidRPr="00B010EB">
        <w:rPr>
          <w:rFonts w:ascii="Arial" w:hAnsi="Arial" w:cs="Arial"/>
        </w:rPr>
        <w:tab/>
        <w:t>In the second edition of the</w:t>
      </w:r>
      <w:r w:rsidRPr="00B010EB">
        <w:rPr>
          <w:rFonts w:ascii="Arial" w:hAnsi="Arial" w:cs="Arial"/>
          <w:b/>
        </w:rPr>
        <w:t xml:space="preserve"> Principles of Evidence</w:t>
      </w:r>
      <w:r w:rsidRPr="00B010EB">
        <w:rPr>
          <w:rFonts w:ascii="Arial" w:hAnsi="Arial" w:cs="Arial"/>
        </w:rPr>
        <w:t xml:space="preserve"> by Schwikkard and Van der Merwe it is stated, </w:t>
      </w:r>
      <w:r w:rsidRPr="00B010EB">
        <w:rPr>
          <w:rFonts w:ascii="Arial" w:hAnsi="Arial" w:cs="Arial"/>
          <w:i/>
        </w:rPr>
        <w:t>inter alia</w:t>
      </w:r>
      <w:r w:rsidRPr="00B010EB">
        <w:rPr>
          <w:rFonts w:ascii="Arial" w:hAnsi="Arial" w:cs="Arial"/>
        </w:rPr>
        <w:t xml:space="preserve">, at page 538 under the rubric "The Nature and Incidence of the Burden of Proof,’ that “(T)he test for determining who bears the burden of proof as set out in </w:t>
      </w:r>
      <w:r w:rsidRPr="00B010EB">
        <w:rPr>
          <w:rFonts w:ascii="Arial" w:hAnsi="Arial" w:cs="Arial"/>
          <w:i/>
        </w:rPr>
        <w:t>Pillay v Krishna 1946</w:t>
      </w:r>
      <w:r w:rsidRPr="00B010EB">
        <w:rPr>
          <w:rFonts w:ascii="Arial" w:hAnsi="Arial" w:cs="Arial"/>
          <w:b/>
        </w:rPr>
        <w:t xml:space="preserve"> </w:t>
      </w:r>
      <w:r w:rsidRPr="00B010EB">
        <w:rPr>
          <w:rFonts w:ascii="Arial" w:hAnsi="Arial" w:cs="Arial"/>
        </w:rPr>
        <w:t>AD 946</w:t>
      </w:r>
      <w:r w:rsidRPr="00B010EB">
        <w:rPr>
          <w:rFonts w:ascii="Arial" w:hAnsi="Arial" w:cs="Arial"/>
          <w:i/>
        </w:rPr>
        <w:t>,</w:t>
      </w:r>
      <w:r w:rsidRPr="00B010EB">
        <w:rPr>
          <w:rFonts w:ascii="Arial" w:hAnsi="Arial" w:cs="Arial"/>
        </w:rPr>
        <w:t xml:space="preserve"> is beguiling, for it rather begs the question which of the parties can properly be said to be ‘asserting’ or ‘denying’, as the case may be.  Nevertheless, it usefully encapsulates the guiding principle, which is that the person who makes a positive </w:t>
      </w:r>
      <w:r w:rsidRPr="00B010EB">
        <w:rPr>
          <w:rFonts w:ascii="Arial" w:hAnsi="Arial" w:cs="Arial"/>
        </w:rPr>
        <w:lastRenderedPageBreak/>
        <w:t xml:space="preserve">assertion is generally called upon  to prove it, </w:t>
      </w:r>
      <w:r w:rsidRPr="00B010EB">
        <w:rPr>
          <w:rFonts w:ascii="Arial" w:hAnsi="Arial" w:cs="Arial"/>
          <w:u w:val="single"/>
        </w:rPr>
        <w:t>with the effect that the burden of proof lies generally on the person who seeks to alter the status quo</w:t>
      </w:r>
      <w:r w:rsidRPr="00B010EB">
        <w:rPr>
          <w:rFonts w:ascii="Arial" w:hAnsi="Arial" w:cs="Arial"/>
        </w:rPr>
        <w:t xml:space="preserve">.  Most often that will be the plaintiff, </w:t>
      </w:r>
      <w:r w:rsidRPr="00B010EB">
        <w:rPr>
          <w:rFonts w:ascii="Arial" w:hAnsi="Arial" w:cs="Arial"/>
          <w:u w:val="single"/>
        </w:rPr>
        <w:t>and the defendant will bear the burden of proof only in relation to a special defence….</w:t>
      </w:r>
      <w:r w:rsidRPr="00B010EB">
        <w:rPr>
          <w:rFonts w:ascii="Arial" w:hAnsi="Arial" w:cs="Arial"/>
        </w:rPr>
        <w:t xml:space="preserve"> .” (emphasis is supplied). And on page 539, dealing with the evidential burden, the case of </w:t>
      </w:r>
      <w:r w:rsidRPr="00B010EB">
        <w:rPr>
          <w:rFonts w:ascii="Arial" w:hAnsi="Arial" w:cs="Arial"/>
          <w:i/>
        </w:rPr>
        <w:t>South Cape Corporation (Pty) Ltd v Engineering Management Services (Pty) Ltd</w:t>
      </w:r>
      <w:r w:rsidRPr="00B010EB">
        <w:rPr>
          <w:rFonts w:ascii="Arial" w:hAnsi="Arial" w:cs="Arial"/>
          <w:b/>
        </w:rPr>
        <w:t xml:space="preserve"> </w:t>
      </w:r>
      <w:r w:rsidRPr="00B010EB">
        <w:rPr>
          <w:rFonts w:ascii="Arial" w:hAnsi="Arial" w:cs="Arial"/>
        </w:rPr>
        <w:t>1977 (3) SA 534 (A)</w:t>
      </w:r>
      <w:r w:rsidRPr="00B010EB">
        <w:rPr>
          <w:rFonts w:ascii="Arial" w:hAnsi="Arial" w:cs="Arial"/>
          <w:b/>
        </w:rPr>
        <w:t xml:space="preserve"> </w:t>
      </w:r>
      <w:r w:rsidRPr="00B010EB">
        <w:rPr>
          <w:rFonts w:ascii="Arial" w:hAnsi="Arial" w:cs="Arial"/>
        </w:rPr>
        <w:t>is cited in which Corbett, JA, is reported to have made the following statement at page 548:</w:t>
      </w:r>
    </w:p>
    <w:p w:rsidR="004208A8" w:rsidRPr="00B010EB" w:rsidRDefault="004208A8" w:rsidP="001A7C59">
      <w:pPr>
        <w:spacing w:after="0" w:line="360" w:lineRule="auto"/>
        <w:ind w:left="720" w:hanging="720"/>
        <w:jc w:val="both"/>
        <w:rPr>
          <w:rFonts w:ascii="Arial" w:hAnsi="Arial" w:cs="Arial"/>
        </w:rPr>
      </w:pPr>
      <w:r w:rsidRPr="00B010EB">
        <w:rPr>
          <w:rFonts w:ascii="Arial" w:hAnsi="Arial" w:cs="Arial"/>
        </w:rPr>
        <w:tab/>
        <w:t xml:space="preserve">“As pointed out by Davis AJA in </w:t>
      </w:r>
      <w:r w:rsidRPr="00B010EB">
        <w:rPr>
          <w:rFonts w:ascii="Arial" w:hAnsi="Arial" w:cs="Arial"/>
          <w:i/>
        </w:rPr>
        <w:t xml:space="preserve">Pillay v Krishna 1946 AD at 952 – 3, </w:t>
      </w:r>
      <w:r w:rsidRPr="00B010EB">
        <w:rPr>
          <w:rFonts w:ascii="Arial" w:hAnsi="Arial" w:cs="Arial"/>
        </w:rPr>
        <w:t xml:space="preserve">the word onus has often been used to denote, inter alia, two distinct concepts: (i) the duty which is cast on the particular litigant, in order to be successful, of finally satisfying the court that he is entitled to succeed on his claim or defence, as the case may be; and (ii) the duty cast upon a litigant to adduce evidence in order to combat a </w:t>
      </w:r>
      <w:r w:rsidRPr="00B010EB">
        <w:rPr>
          <w:rFonts w:ascii="Arial" w:hAnsi="Arial" w:cs="Arial"/>
          <w:i/>
        </w:rPr>
        <w:t>prima facie</w:t>
      </w:r>
      <w:r w:rsidRPr="00B010EB">
        <w:rPr>
          <w:rFonts w:ascii="Arial" w:hAnsi="Arial" w:cs="Arial"/>
        </w:rPr>
        <w:t xml:space="preserve"> case made by his opponent.  Only the first of these concepts represents the onus in its true and original sense.  In </w:t>
      </w:r>
      <w:r w:rsidRPr="00B010EB">
        <w:rPr>
          <w:rFonts w:ascii="Arial" w:hAnsi="Arial" w:cs="Arial"/>
          <w:i/>
        </w:rPr>
        <w:t xml:space="preserve">Brand v Minister of Justice 1959 (4) SA 712 (A) </w:t>
      </w:r>
      <w:r w:rsidRPr="00B010EB">
        <w:rPr>
          <w:rFonts w:ascii="Arial" w:hAnsi="Arial" w:cs="Arial"/>
        </w:rPr>
        <w:t xml:space="preserve">at 715 Oglivi-Thompson JA called it ‘the overall onus.’  In this sense the onus can never shift from the party upon whom it originally rested. The second concept may be termed, in order to avoid confusion, the burden of adducing evidence in rebuttal.  This may shift, or be transferred in the course of the case, depending upon the measure of proof furnished by the one party or the other.  (See also </w:t>
      </w:r>
      <w:r w:rsidRPr="00B010EB">
        <w:rPr>
          <w:rFonts w:ascii="Arial" w:hAnsi="Arial" w:cs="Arial"/>
          <w:i/>
        </w:rPr>
        <w:t xml:space="preserve">Tregea v Godart 1939 AD 16 </w:t>
      </w:r>
      <w:r w:rsidRPr="00B010EB">
        <w:rPr>
          <w:rFonts w:ascii="Arial" w:hAnsi="Arial" w:cs="Arial"/>
        </w:rPr>
        <w:t xml:space="preserve">at 28; </w:t>
      </w:r>
      <w:r w:rsidRPr="00B010EB">
        <w:rPr>
          <w:rFonts w:ascii="Arial" w:hAnsi="Arial" w:cs="Arial"/>
          <w:i/>
        </w:rPr>
        <w:t xml:space="preserve">Marine and Trade Insurance Co Ltd v Van der Schyff 1972 (1) SA 26 </w:t>
      </w:r>
      <w:r w:rsidRPr="00B010EB">
        <w:rPr>
          <w:rFonts w:ascii="Arial" w:hAnsi="Arial" w:cs="Arial"/>
        </w:rPr>
        <w:t>at 378 – 9.).”</w:t>
      </w:r>
      <w:r w:rsidR="001A7C59" w:rsidRPr="00B010EB">
        <w:rPr>
          <w:rFonts w:ascii="Arial" w:hAnsi="Arial" w:cs="Arial"/>
        </w:rPr>
        <w:t>’</w:t>
      </w:r>
    </w:p>
    <w:p w:rsidR="004208A8" w:rsidRPr="00B010EB" w:rsidRDefault="004208A8" w:rsidP="001A7C59">
      <w:pPr>
        <w:spacing w:after="0" w:line="360" w:lineRule="auto"/>
        <w:jc w:val="both"/>
        <w:rPr>
          <w:rFonts w:ascii="Arial" w:hAnsi="Arial" w:cs="Arial"/>
          <w:sz w:val="24"/>
          <w:szCs w:val="24"/>
        </w:rPr>
      </w:pPr>
    </w:p>
    <w:p w:rsidR="004208A8" w:rsidRPr="00B010EB" w:rsidRDefault="009651F5" w:rsidP="001A7C59">
      <w:pPr>
        <w:spacing w:after="0" w:line="360" w:lineRule="auto"/>
        <w:jc w:val="both"/>
        <w:rPr>
          <w:rFonts w:ascii="Arial" w:hAnsi="Arial" w:cs="Arial"/>
          <w:sz w:val="24"/>
          <w:szCs w:val="24"/>
        </w:rPr>
      </w:pPr>
      <w:r w:rsidRPr="00B010EB">
        <w:rPr>
          <w:rFonts w:ascii="Arial" w:hAnsi="Arial" w:cs="Arial"/>
          <w:sz w:val="24"/>
          <w:szCs w:val="24"/>
        </w:rPr>
        <w:t>[</w:t>
      </w:r>
      <w:r w:rsidR="00C2266E" w:rsidRPr="00B010EB">
        <w:rPr>
          <w:rFonts w:ascii="Arial" w:hAnsi="Arial" w:cs="Arial"/>
          <w:sz w:val="24"/>
          <w:szCs w:val="24"/>
        </w:rPr>
        <w:t>21</w:t>
      </w:r>
      <w:r w:rsidRPr="00B010EB">
        <w:rPr>
          <w:rFonts w:ascii="Arial" w:hAnsi="Arial" w:cs="Arial"/>
          <w:sz w:val="24"/>
          <w:szCs w:val="24"/>
        </w:rPr>
        <w:t>]</w:t>
      </w:r>
      <w:r w:rsidRPr="00B010EB">
        <w:rPr>
          <w:rFonts w:ascii="Arial" w:hAnsi="Arial" w:cs="Arial"/>
          <w:sz w:val="24"/>
          <w:szCs w:val="24"/>
        </w:rPr>
        <w:tab/>
      </w:r>
      <w:r w:rsidR="004208A8" w:rsidRPr="00B010EB">
        <w:rPr>
          <w:rFonts w:ascii="Arial" w:hAnsi="Arial" w:cs="Arial"/>
          <w:sz w:val="24"/>
          <w:szCs w:val="24"/>
        </w:rPr>
        <w:t xml:space="preserve">In respect of vicarious liability, Mr Van Zyl submitted that the onus rests on the plaintiff to allege and prove in addition to the usual allegations to establish delictual liability, the following requirements- </w:t>
      </w:r>
    </w:p>
    <w:p w:rsidR="00EE0750" w:rsidRPr="00B010EB" w:rsidRDefault="00EE0750" w:rsidP="001A7C59">
      <w:pPr>
        <w:spacing w:after="0" w:line="360" w:lineRule="auto"/>
        <w:jc w:val="both"/>
        <w:rPr>
          <w:rFonts w:ascii="Arial" w:hAnsi="Arial" w:cs="Arial"/>
          <w:sz w:val="24"/>
          <w:szCs w:val="24"/>
        </w:rPr>
      </w:pPr>
    </w:p>
    <w:p w:rsidR="004208A8" w:rsidRPr="00B010EB" w:rsidRDefault="004208A8" w:rsidP="001A7C59">
      <w:pPr>
        <w:spacing w:after="0" w:line="360" w:lineRule="auto"/>
        <w:ind w:firstLine="720"/>
        <w:jc w:val="both"/>
        <w:rPr>
          <w:rFonts w:ascii="Arial" w:hAnsi="Arial" w:cs="Arial"/>
        </w:rPr>
      </w:pPr>
      <w:r w:rsidRPr="00B010EB">
        <w:rPr>
          <w:rFonts w:ascii="Arial" w:hAnsi="Arial" w:cs="Arial"/>
        </w:rPr>
        <w:t>‘a) there must be an employer- employee relationship ;</w:t>
      </w:r>
    </w:p>
    <w:p w:rsidR="004208A8" w:rsidRPr="00B010EB" w:rsidRDefault="00EE0750" w:rsidP="001A7C59">
      <w:pPr>
        <w:spacing w:after="0" w:line="360" w:lineRule="auto"/>
        <w:ind w:left="720"/>
        <w:jc w:val="both"/>
        <w:rPr>
          <w:rFonts w:ascii="Arial" w:hAnsi="Arial" w:cs="Arial"/>
        </w:rPr>
      </w:pPr>
      <w:r w:rsidRPr="00B010EB">
        <w:rPr>
          <w:rFonts w:ascii="Arial" w:hAnsi="Arial" w:cs="Arial"/>
        </w:rPr>
        <w:t>b) the employee must commit a delict; and</w:t>
      </w:r>
    </w:p>
    <w:p w:rsidR="004208A8" w:rsidRPr="00B010EB" w:rsidRDefault="00EE0750" w:rsidP="001A7C59">
      <w:pPr>
        <w:spacing w:after="0" w:line="360" w:lineRule="auto"/>
        <w:ind w:left="720"/>
        <w:jc w:val="both"/>
        <w:rPr>
          <w:rFonts w:ascii="Arial" w:hAnsi="Arial" w:cs="Arial"/>
        </w:rPr>
      </w:pPr>
      <w:r w:rsidRPr="00B010EB">
        <w:rPr>
          <w:rFonts w:ascii="Arial" w:hAnsi="Arial" w:cs="Arial"/>
        </w:rPr>
        <w:t>c) the employee must act within the scope of his employment when the delict was committed’</w:t>
      </w:r>
    </w:p>
    <w:p w:rsidR="00A9057F" w:rsidRPr="00B010EB" w:rsidRDefault="009651F5" w:rsidP="001A7C59">
      <w:pPr>
        <w:spacing w:after="0" w:line="360" w:lineRule="auto"/>
        <w:ind w:left="720"/>
        <w:jc w:val="both"/>
        <w:rPr>
          <w:rFonts w:ascii="Arial" w:hAnsi="Arial" w:cs="Arial"/>
          <w:sz w:val="24"/>
          <w:szCs w:val="24"/>
        </w:rPr>
      </w:pPr>
      <w:r w:rsidRPr="00B010EB">
        <w:rPr>
          <w:rFonts w:ascii="Arial" w:hAnsi="Arial" w:cs="Arial"/>
          <w:sz w:val="24"/>
          <w:szCs w:val="24"/>
        </w:rPr>
        <w:t xml:space="preserve"> </w:t>
      </w:r>
      <w:r w:rsidR="00644613" w:rsidRPr="00B010EB">
        <w:rPr>
          <w:rFonts w:ascii="Arial" w:hAnsi="Arial" w:cs="Arial"/>
          <w:sz w:val="24"/>
          <w:szCs w:val="24"/>
        </w:rPr>
        <w:t xml:space="preserve"> </w:t>
      </w:r>
    </w:p>
    <w:p w:rsidR="00EE0750" w:rsidRPr="00B010EB" w:rsidRDefault="00A9057F" w:rsidP="001A7C59">
      <w:pPr>
        <w:spacing w:after="0" w:line="360" w:lineRule="auto"/>
        <w:jc w:val="both"/>
        <w:rPr>
          <w:rFonts w:ascii="Arial" w:hAnsi="Arial" w:cs="Arial"/>
          <w:sz w:val="24"/>
          <w:szCs w:val="24"/>
        </w:rPr>
      </w:pPr>
      <w:r w:rsidRPr="00B010EB">
        <w:rPr>
          <w:rFonts w:ascii="Arial" w:hAnsi="Arial" w:cs="Arial"/>
          <w:sz w:val="24"/>
          <w:szCs w:val="24"/>
        </w:rPr>
        <w:t>[</w:t>
      </w:r>
      <w:r w:rsidR="00C2266E" w:rsidRPr="00B010EB">
        <w:rPr>
          <w:rFonts w:ascii="Arial" w:hAnsi="Arial" w:cs="Arial"/>
          <w:sz w:val="24"/>
          <w:szCs w:val="24"/>
        </w:rPr>
        <w:t>22</w:t>
      </w:r>
      <w:r w:rsidRPr="00B010EB">
        <w:rPr>
          <w:rFonts w:ascii="Arial" w:hAnsi="Arial" w:cs="Arial"/>
          <w:sz w:val="24"/>
          <w:szCs w:val="24"/>
        </w:rPr>
        <w:t>]</w:t>
      </w:r>
      <w:r w:rsidRPr="00B010EB">
        <w:rPr>
          <w:rFonts w:ascii="Arial" w:hAnsi="Arial" w:cs="Arial"/>
          <w:sz w:val="24"/>
          <w:szCs w:val="24"/>
        </w:rPr>
        <w:tab/>
      </w:r>
      <w:r w:rsidR="00EE0750" w:rsidRPr="00B010EB">
        <w:rPr>
          <w:rFonts w:ascii="Arial" w:hAnsi="Arial" w:cs="Arial"/>
          <w:sz w:val="24"/>
          <w:szCs w:val="24"/>
        </w:rPr>
        <w:t xml:space="preserve">Mr Van Zyl further submitted that a </w:t>
      </w:r>
      <w:r w:rsidR="00652947" w:rsidRPr="00B010EB">
        <w:rPr>
          <w:rFonts w:ascii="Arial" w:hAnsi="Arial" w:cs="Arial"/>
          <w:sz w:val="24"/>
          <w:szCs w:val="24"/>
        </w:rPr>
        <w:t>c</w:t>
      </w:r>
      <w:r w:rsidR="00EE0750" w:rsidRPr="00B010EB">
        <w:rPr>
          <w:rFonts w:ascii="Arial" w:hAnsi="Arial" w:cs="Arial"/>
          <w:sz w:val="24"/>
          <w:szCs w:val="24"/>
        </w:rPr>
        <w:t>ourt seized with a matter to determine whether or not an employer is liable for a delict committed by its employee should first determine whether the facts concern the standard test of vicarious liability or the so-called deviation cases. While the former test is straightforward and traditional in nature, the deviation cases present both policy and jurisprudential difficulties in deciding whether or not the employer is vicariously liable.</w:t>
      </w:r>
      <w:r w:rsidR="00646407" w:rsidRPr="00B010EB">
        <w:rPr>
          <w:rFonts w:ascii="Arial" w:hAnsi="Arial" w:cs="Arial"/>
          <w:sz w:val="24"/>
          <w:szCs w:val="24"/>
        </w:rPr>
        <w:t xml:space="preserve"> </w:t>
      </w:r>
    </w:p>
    <w:p w:rsidR="00EE0750" w:rsidRPr="00B010EB" w:rsidRDefault="00EE0750" w:rsidP="001A7C59">
      <w:pPr>
        <w:spacing w:after="0" w:line="360" w:lineRule="auto"/>
        <w:jc w:val="both"/>
        <w:rPr>
          <w:rFonts w:ascii="Arial" w:hAnsi="Arial" w:cs="Arial"/>
          <w:sz w:val="24"/>
          <w:szCs w:val="24"/>
        </w:rPr>
      </w:pPr>
    </w:p>
    <w:p w:rsidR="00E057D1" w:rsidRPr="00B010EB" w:rsidRDefault="0010137F" w:rsidP="001A7C59">
      <w:pPr>
        <w:spacing w:after="0" w:line="360" w:lineRule="auto"/>
        <w:jc w:val="both"/>
        <w:rPr>
          <w:rFonts w:ascii="Arial" w:hAnsi="Arial" w:cs="Arial"/>
          <w:sz w:val="24"/>
          <w:szCs w:val="24"/>
        </w:rPr>
      </w:pPr>
      <w:r w:rsidRPr="00B010EB">
        <w:rPr>
          <w:rFonts w:ascii="Arial" w:hAnsi="Arial" w:cs="Arial"/>
          <w:sz w:val="24"/>
          <w:szCs w:val="24"/>
        </w:rPr>
        <w:t>[</w:t>
      </w:r>
      <w:r w:rsidR="00C2266E" w:rsidRPr="00B010EB">
        <w:rPr>
          <w:rFonts w:ascii="Arial" w:hAnsi="Arial" w:cs="Arial"/>
          <w:sz w:val="24"/>
          <w:szCs w:val="24"/>
        </w:rPr>
        <w:t>23</w:t>
      </w:r>
      <w:r w:rsidRPr="00B010EB">
        <w:rPr>
          <w:rFonts w:ascii="Arial" w:hAnsi="Arial" w:cs="Arial"/>
          <w:sz w:val="24"/>
          <w:szCs w:val="24"/>
        </w:rPr>
        <w:t>]</w:t>
      </w:r>
      <w:r w:rsidRPr="00B010EB">
        <w:rPr>
          <w:rFonts w:ascii="Arial" w:hAnsi="Arial" w:cs="Arial"/>
          <w:sz w:val="24"/>
          <w:szCs w:val="24"/>
        </w:rPr>
        <w:tab/>
      </w:r>
      <w:r w:rsidR="00646407" w:rsidRPr="00B010EB">
        <w:rPr>
          <w:rFonts w:ascii="Arial" w:hAnsi="Arial" w:cs="Arial"/>
          <w:sz w:val="24"/>
          <w:szCs w:val="24"/>
        </w:rPr>
        <w:t xml:space="preserve">Counsel submitted that in respect of law </w:t>
      </w:r>
      <w:r w:rsidR="00D93D77" w:rsidRPr="00B010EB">
        <w:rPr>
          <w:rFonts w:ascii="Arial" w:hAnsi="Arial" w:cs="Arial"/>
          <w:sz w:val="24"/>
          <w:szCs w:val="24"/>
        </w:rPr>
        <w:t>of</w:t>
      </w:r>
      <w:r w:rsidR="00884F47" w:rsidRPr="00B010EB">
        <w:rPr>
          <w:rFonts w:ascii="Arial" w:hAnsi="Arial" w:cs="Arial"/>
          <w:sz w:val="24"/>
          <w:szCs w:val="24"/>
        </w:rPr>
        <w:t xml:space="preserve"> </w:t>
      </w:r>
      <w:r w:rsidR="00646407" w:rsidRPr="00B010EB">
        <w:rPr>
          <w:rFonts w:ascii="Arial" w:hAnsi="Arial" w:cs="Arial"/>
          <w:sz w:val="24"/>
          <w:szCs w:val="24"/>
        </w:rPr>
        <w:t xml:space="preserve">agency, it is trite that notwithstanding the fact </w:t>
      </w:r>
      <w:r w:rsidR="00DD25CC" w:rsidRPr="00B010EB">
        <w:rPr>
          <w:rFonts w:ascii="Arial" w:hAnsi="Arial" w:cs="Arial"/>
          <w:sz w:val="24"/>
          <w:szCs w:val="24"/>
        </w:rPr>
        <w:t xml:space="preserve">that </w:t>
      </w:r>
      <w:r w:rsidR="00646407" w:rsidRPr="00B010EB">
        <w:rPr>
          <w:rFonts w:ascii="Arial" w:hAnsi="Arial" w:cs="Arial"/>
          <w:sz w:val="24"/>
          <w:szCs w:val="24"/>
        </w:rPr>
        <w:t xml:space="preserve">the agent is in breach of her contract with her principal, an agent who </w:t>
      </w:r>
      <w:r w:rsidR="00652947" w:rsidRPr="00B010EB">
        <w:rPr>
          <w:rFonts w:ascii="Arial" w:hAnsi="Arial" w:cs="Arial"/>
          <w:sz w:val="24"/>
          <w:szCs w:val="24"/>
        </w:rPr>
        <w:t>uses</w:t>
      </w:r>
      <w:r w:rsidR="00646407" w:rsidRPr="00B010EB">
        <w:rPr>
          <w:rFonts w:ascii="Arial" w:hAnsi="Arial" w:cs="Arial"/>
          <w:sz w:val="24"/>
          <w:szCs w:val="24"/>
        </w:rPr>
        <w:t xml:space="preserve"> her power for her own and not her principal’s purposes binds her principal to the third person. </w:t>
      </w:r>
      <w:r w:rsidR="00E057D1" w:rsidRPr="00B010EB">
        <w:rPr>
          <w:rFonts w:ascii="Arial" w:hAnsi="Arial" w:cs="Arial"/>
          <w:sz w:val="24"/>
          <w:szCs w:val="24"/>
        </w:rPr>
        <w:t>He submitted that the first defendant did not act within the course and scope of her employment with second defendant, because it</w:t>
      </w:r>
      <w:r w:rsidR="00D93D77" w:rsidRPr="00B010EB">
        <w:rPr>
          <w:rFonts w:ascii="Arial" w:hAnsi="Arial" w:cs="Arial"/>
          <w:sz w:val="24"/>
          <w:szCs w:val="24"/>
        </w:rPr>
        <w:t xml:space="preserve"> did</w:t>
      </w:r>
      <w:r w:rsidR="00E057D1" w:rsidRPr="00B010EB">
        <w:rPr>
          <w:rFonts w:ascii="Arial" w:hAnsi="Arial" w:cs="Arial"/>
          <w:sz w:val="24"/>
          <w:szCs w:val="24"/>
        </w:rPr>
        <w:t xml:space="preserve"> not</w:t>
      </w:r>
      <w:r w:rsidR="00D93D77" w:rsidRPr="00B010EB">
        <w:rPr>
          <w:rFonts w:ascii="Arial" w:hAnsi="Arial" w:cs="Arial"/>
          <w:sz w:val="24"/>
          <w:szCs w:val="24"/>
        </w:rPr>
        <w:t xml:space="preserve"> form</w:t>
      </w:r>
      <w:r w:rsidR="00E057D1" w:rsidRPr="00B010EB">
        <w:rPr>
          <w:rFonts w:ascii="Arial" w:hAnsi="Arial" w:cs="Arial"/>
          <w:sz w:val="24"/>
          <w:szCs w:val="24"/>
        </w:rPr>
        <w:t xml:space="preserve"> part of her employment with the second defendant to sign on behalf of clients and to give instructions on behalf of clients to the second defendant to withdraw and/or transfer fund f</w:t>
      </w:r>
      <w:r w:rsidR="00AC04C5" w:rsidRPr="00B010EB">
        <w:rPr>
          <w:rFonts w:ascii="Arial" w:hAnsi="Arial" w:cs="Arial"/>
          <w:sz w:val="24"/>
          <w:szCs w:val="24"/>
        </w:rPr>
        <w:t>rom those clients</w:t>
      </w:r>
      <w:r w:rsidR="001E2670" w:rsidRPr="00B010EB">
        <w:rPr>
          <w:rFonts w:ascii="Arial" w:hAnsi="Arial" w:cs="Arial"/>
          <w:sz w:val="24"/>
          <w:szCs w:val="24"/>
        </w:rPr>
        <w:t>’</w:t>
      </w:r>
      <w:r w:rsidR="00AC04C5" w:rsidRPr="00B010EB">
        <w:rPr>
          <w:rFonts w:ascii="Arial" w:hAnsi="Arial" w:cs="Arial"/>
          <w:sz w:val="24"/>
          <w:szCs w:val="24"/>
        </w:rPr>
        <w:t xml:space="preserve"> accounts. Mr </w:t>
      </w:r>
      <w:r w:rsidR="00E057D1" w:rsidRPr="00B010EB">
        <w:rPr>
          <w:rFonts w:ascii="Arial" w:hAnsi="Arial" w:cs="Arial"/>
          <w:sz w:val="24"/>
          <w:szCs w:val="24"/>
        </w:rPr>
        <w:t>Van Zyl submitted that it could not be said that the first defendant (referring t</w:t>
      </w:r>
      <w:r w:rsidR="00D93D77" w:rsidRPr="00B010EB">
        <w:rPr>
          <w:rFonts w:ascii="Arial" w:hAnsi="Arial" w:cs="Arial"/>
          <w:sz w:val="24"/>
          <w:szCs w:val="24"/>
        </w:rPr>
        <w:t>o</w:t>
      </w:r>
      <w:r w:rsidR="00E057D1" w:rsidRPr="00B010EB">
        <w:rPr>
          <w:rFonts w:ascii="Arial" w:hAnsi="Arial" w:cs="Arial"/>
          <w:sz w:val="24"/>
          <w:szCs w:val="24"/>
        </w:rPr>
        <w:t xml:space="preserve"> the first subjective questions) was at the relevant time busy with the affairs, or business, or doing the work of the employer, but that the alleged w</w:t>
      </w:r>
      <w:r w:rsidR="00AC04C5" w:rsidRPr="00B010EB">
        <w:rPr>
          <w:rFonts w:ascii="Arial" w:hAnsi="Arial" w:cs="Arial"/>
          <w:sz w:val="24"/>
          <w:szCs w:val="24"/>
        </w:rPr>
        <w:t xml:space="preserve">rongful acts were done solely for the purposes of the employee and/or as agent of the plaintiff, which means that the employer (second defendant) would not be liable. </w:t>
      </w:r>
    </w:p>
    <w:p w:rsidR="00AC04C5" w:rsidRPr="00B010EB" w:rsidRDefault="00AC04C5" w:rsidP="001A7C59">
      <w:pPr>
        <w:spacing w:after="0" w:line="360" w:lineRule="auto"/>
        <w:jc w:val="both"/>
        <w:rPr>
          <w:rFonts w:ascii="Arial" w:hAnsi="Arial" w:cs="Arial"/>
          <w:sz w:val="24"/>
          <w:szCs w:val="24"/>
        </w:rPr>
      </w:pPr>
    </w:p>
    <w:p w:rsidR="00AC04C5" w:rsidRPr="00B010EB" w:rsidRDefault="00C2266E" w:rsidP="001A7C59">
      <w:pPr>
        <w:spacing w:after="0" w:line="360" w:lineRule="auto"/>
        <w:jc w:val="both"/>
        <w:rPr>
          <w:rFonts w:ascii="Arial" w:hAnsi="Arial" w:cs="Arial"/>
          <w:sz w:val="24"/>
          <w:szCs w:val="24"/>
        </w:rPr>
      </w:pPr>
      <w:r w:rsidRPr="00B010EB">
        <w:rPr>
          <w:rFonts w:ascii="Arial" w:hAnsi="Arial" w:cs="Arial"/>
          <w:sz w:val="24"/>
          <w:szCs w:val="24"/>
        </w:rPr>
        <w:t>[24</w:t>
      </w:r>
      <w:r w:rsidR="00AC04C5" w:rsidRPr="00B010EB">
        <w:rPr>
          <w:rFonts w:ascii="Arial" w:hAnsi="Arial" w:cs="Arial"/>
          <w:sz w:val="24"/>
          <w:szCs w:val="24"/>
        </w:rPr>
        <w:t xml:space="preserve">] </w:t>
      </w:r>
      <w:r w:rsidR="00AC04C5" w:rsidRPr="00B010EB">
        <w:rPr>
          <w:rFonts w:ascii="Arial" w:hAnsi="Arial" w:cs="Arial"/>
          <w:sz w:val="24"/>
          <w:szCs w:val="24"/>
        </w:rPr>
        <w:tab/>
        <w:t xml:space="preserve">Mr Van Zyl submitted that the second and objective questions is whether, even though the acts done have been done solely for the purpose of the employee, there is nevertheless a sufficiently close link between the employee’s acts for her own interests and the purposes and the business of the employer.  In answering this question the second defendant states and in accordance with the </w:t>
      </w:r>
      <w:r w:rsidR="00E96D2D" w:rsidRPr="00B010EB">
        <w:rPr>
          <w:rFonts w:ascii="Arial" w:hAnsi="Arial" w:cs="Arial"/>
          <w:sz w:val="24"/>
          <w:szCs w:val="24"/>
        </w:rPr>
        <w:t>m</w:t>
      </w:r>
      <w:r w:rsidR="00AC04C5" w:rsidRPr="00B010EB">
        <w:rPr>
          <w:rFonts w:ascii="Arial" w:hAnsi="Arial" w:cs="Arial"/>
          <w:sz w:val="24"/>
          <w:szCs w:val="24"/>
        </w:rPr>
        <w:t xml:space="preserve">andates provided, the first defendant at the relevant times of providing the instructions for the withdrawals and/or transfers from the plaintiff’s bank accounts, disassociated herself from the affairs of her employer when committing those acts and the nature and extent of deviation is </w:t>
      </w:r>
      <w:r w:rsidR="007E5A96" w:rsidRPr="00B010EB">
        <w:rPr>
          <w:rFonts w:ascii="Arial" w:hAnsi="Arial" w:cs="Arial"/>
          <w:sz w:val="24"/>
          <w:szCs w:val="24"/>
        </w:rPr>
        <w:t>critical</w:t>
      </w:r>
      <w:r w:rsidR="00AC04C5" w:rsidRPr="00B010EB">
        <w:rPr>
          <w:rFonts w:ascii="Arial" w:hAnsi="Arial" w:cs="Arial"/>
          <w:sz w:val="24"/>
          <w:szCs w:val="24"/>
        </w:rPr>
        <w:t xml:space="preserve"> </w:t>
      </w:r>
      <w:r w:rsidR="007E5A96" w:rsidRPr="00B010EB">
        <w:rPr>
          <w:rFonts w:ascii="Arial" w:hAnsi="Arial" w:cs="Arial"/>
          <w:sz w:val="24"/>
          <w:szCs w:val="24"/>
        </w:rPr>
        <w:t>and it</w:t>
      </w:r>
      <w:r w:rsidR="00AC04C5" w:rsidRPr="00B010EB">
        <w:rPr>
          <w:rFonts w:ascii="Arial" w:hAnsi="Arial" w:cs="Arial"/>
          <w:sz w:val="24"/>
          <w:szCs w:val="24"/>
        </w:rPr>
        <w:t xml:space="preserve"> cannot be reasonably held that the employee is still exercising </w:t>
      </w:r>
      <w:r w:rsidR="00945B69" w:rsidRPr="00B010EB">
        <w:rPr>
          <w:rFonts w:ascii="Arial" w:hAnsi="Arial" w:cs="Arial"/>
          <w:sz w:val="24"/>
          <w:szCs w:val="24"/>
        </w:rPr>
        <w:t xml:space="preserve">the functions to which she was appointed, or still carrying out some instruction of her employer, the latter (second defendant) will cease to be liable. </w:t>
      </w:r>
    </w:p>
    <w:p w:rsidR="00945B69" w:rsidRPr="00B010EB" w:rsidRDefault="00945B69" w:rsidP="001A7C59">
      <w:pPr>
        <w:spacing w:after="0" w:line="360" w:lineRule="auto"/>
        <w:jc w:val="both"/>
        <w:rPr>
          <w:rFonts w:ascii="Arial" w:hAnsi="Arial" w:cs="Arial"/>
          <w:sz w:val="24"/>
          <w:szCs w:val="24"/>
        </w:rPr>
      </w:pPr>
    </w:p>
    <w:p w:rsidR="00945B69" w:rsidRPr="00B010EB" w:rsidRDefault="00C2266E" w:rsidP="001A7C59">
      <w:pPr>
        <w:spacing w:after="0" w:line="360" w:lineRule="auto"/>
        <w:jc w:val="both"/>
        <w:rPr>
          <w:rFonts w:ascii="Arial" w:hAnsi="Arial" w:cs="Arial"/>
          <w:sz w:val="24"/>
          <w:szCs w:val="24"/>
        </w:rPr>
      </w:pPr>
      <w:r w:rsidRPr="00B010EB">
        <w:rPr>
          <w:rFonts w:ascii="Arial" w:hAnsi="Arial" w:cs="Arial"/>
          <w:sz w:val="24"/>
          <w:szCs w:val="24"/>
        </w:rPr>
        <w:t>[25</w:t>
      </w:r>
      <w:r w:rsidR="00945B69" w:rsidRPr="00B010EB">
        <w:rPr>
          <w:rFonts w:ascii="Arial" w:hAnsi="Arial" w:cs="Arial"/>
          <w:sz w:val="24"/>
          <w:szCs w:val="24"/>
        </w:rPr>
        <w:t>]</w:t>
      </w:r>
      <w:r w:rsidR="00945B69" w:rsidRPr="00B010EB">
        <w:rPr>
          <w:rFonts w:ascii="Arial" w:hAnsi="Arial" w:cs="Arial"/>
          <w:sz w:val="24"/>
          <w:szCs w:val="24"/>
        </w:rPr>
        <w:tab/>
        <w:t xml:space="preserve">Mr Van Zyl, further submitted that in answering the general question whether liability should lie against the employer (second defendant) the court should have regard to whether the alleged wrongful act is sufficiently related to conduct authorized by the employer to justify the imposition of vicarious liability. He submitted that vicarious liability is generally appropriate where there is a significant connection between the creations or enhancement of a risk and the wrong accrues therefrom, even if unrelated to the employer’s desires. He submitted that </w:t>
      </w:r>
      <w:r w:rsidR="007E5A96" w:rsidRPr="00B010EB">
        <w:rPr>
          <w:rFonts w:ascii="Arial" w:hAnsi="Arial" w:cs="Arial"/>
          <w:sz w:val="24"/>
          <w:szCs w:val="24"/>
        </w:rPr>
        <w:t xml:space="preserve">on the evidence before </w:t>
      </w:r>
      <w:r w:rsidR="00945B69" w:rsidRPr="00B010EB">
        <w:rPr>
          <w:rFonts w:ascii="Arial" w:hAnsi="Arial" w:cs="Arial"/>
          <w:sz w:val="24"/>
          <w:szCs w:val="24"/>
        </w:rPr>
        <w:lastRenderedPageBreak/>
        <w:t>this court the above questions do not arise in that the actions of the first defendant was as an agent duly appointed by the written mandates sig</w:t>
      </w:r>
      <w:r w:rsidR="00B117EE" w:rsidRPr="00B010EB">
        <w:rPr>
          <w:rFonts w:ascii="Arial" w:hAnsi="Arial" w:cs="Arial"/>
          <w:sz w:val="24"/>
          <w:szCs w:val="24"/>
        </w:rPr>
        <w:t>n</w:t>
      </w:r>
      <w:r w:rsidR="00945B69" w:rsidRPr="00B010EB">
        <w:rPr>
          <w:rFonts w:ascii="Arial" w:hAnsi="Arial" w:cs="Arial"/>
          <w:sz w:val="24"/>
          <w:szCs w:val="24"/>
        </w:rPr>
        <w:t>ed by the plaintiff and not acting at all the relevant times as an employee of the second defendant, meaning that the withdrawals and/or transfers did not occur as a result of any enhanced risk created by the employment of th</w:t>
      </w:r>
      <w:r w:rsidR="007E5A96" w:rsidRPr="00B010EB">
        <w:rPr>
          <w:rFonts w:ascii="Arial" w:hAnsi="Arial" w:cs="Arial"/>
          <w:sz w:val="24"/>
          <w:szCs w:val="24"/>
        </w:rPr>
        <w:t xml:space="preserve">e first defendant by the second, but was directly as a result of the plaintiff providing the first defendant with the </w:t>
      </w:r>
      <w:r w:rsidR="00E96D2D" w:rsidRPr="00B010EB">
        <w:rPr>
          <w:rFonts w:ascii="Arial" w:hAnsi="Arial" w:cs="Arial"/>
          <w:sz w:val="24"/>
          <w:szCs w:val="24"/>
        </w:rPr>
        <w:t>m</w:t>
      </w:r>
      <w:r w:rsidR="007E5A96" w:rsidRPr="00B010EB">
        <w:rPr>
          <w:rFonts w:ascii="Arial" w:hAnsi="Arial" w:cs="Arial"/>
          <w:sz w:val="24"/>
          <w:szCs w:val="24"/>
        </w:rPr>
        <w:t xml:space="preserve">andates. </w:t>
      </w:r>
    </w:p>
    <w:p w:rsidR="007E5A96" w:rsidRPr="00B010EB" w:rsidRDefault="007E5A96" w:rsidP="001A7C59">
      <w:pPr>
        <w:spacing w:after="0" w:line="360" w:lineRule="auto"/>
        <w:jc w:val="both"/>
        <w:rPr>
          <w:rFonts w:ascii="Arial" w:hAnsi="Arial" w:cs="Arial"/>
          <w:sz w:val="24"/>
          <w:szCs w:val="24"/>
        </w:rPr>
      </w:pPr>
    </w:p>
    <w:p w:rsidR="00646407" w:rsidRPr="00B010EB" w:rsidRDefault="00C2266E" w:rsidP="001A7C59">
      <w:pPr>
        <w:spacing w:after="0" w:line="360" w:lineRule="auto"/>
        <w:jc w:val="both"/>
        <w:rPr>
          <w:rFonts w:ascii="Arial" w:hAnsi="Arial" w:cs="Arial"/>
          <w:sz w:val="24"/>
          <w:szCs w:val="24"/>
        </w:rPr>
      </w:pPr>
      <w:r w:rsidRPr="00B010EB">
        <w:rPr>
          <w:rFonts w:ascii="Arial" w:hAnsi="Arial" w:cs="Arial"/>
          <w:sz w:val="24"/>
          <w:szCs w:val="24"/>
        </w:rPr>
        <w:t>[26</w:t>
      </w:r>
      <w:r w:rsidR="007E5A96" w:rsidRPr="00B010EB">
        <w:rPr>
          <w:rFonts w:ascii="Arial" w:hAnsi="Arial" w:cs="Arial"/>
          <w:sz w:val="24"/>
          <w:szCs w:val="24"/>
        </w:rPr>
        <w:t>]</w:t>
      </w:r>
      <w:r w:rsidR="007E5A96" w:rsidRPr="00B010EB">
        <w:rPr>
          <w:rFonts w:ascii="Arial" w:hAnsi="Arial" w:cs="Arial"/>
          <w:sz w:val="24"/>
          <w:szCs w:val="24"/>
        </w:rPr>
        <w:tab/>
        <w:t>Mr Van Zyl submitted that in accorda</w:t>
      </w:r>
      <w:r w:rsidR="004516BA" w:rsidRPr="00B010EB">
        <w:rPr>
          <w:rFonts w:ascii="Arial" w:hAnsi="Arial" w:cs="Arial"/>
          <w:sz w:val="24"/>
          <w:szCs w:val="24"/>
        </w:rPr>
        <w:t>nce with the provisions of the m</w:t>
      </w:r>
      <w:r w:rsidR="007E5A96" w:rsidRPr="00B010EB">
        <w:rPr>
          <w:rFonts w:ascii="Arial" w:hAnsi="Arial" w:cs="Arial"/>
          <w:sz w:val="24"/>
          <w:szCs w:val="24"/>
        </w:rPr>
        <w:t xml:space="preserve">andates and the law of agency, the first defendant acted in line with the authority provided by the plaintiff to her when she gave instructions (on behalf </w:t>
      </w:r>
      <w:r w:rsidR="00E83CFB" w:rsidRPr="00B010EB">
        <w:rPr>
          <w:rFonts w:ascii="Arial" w:hAnsi="Arial" w:cs="Arial"/>
          <w:sz w:val="24"/>
          <w:szCs w:val="24"/>
        </w:rPr>
        <w:t xml:space="preserve">of </w:t>
      </w:r>
      <w:r w:rsidR="007E5A96" w:rsidRPr="00B010EB">
        <w:rPr>
          <w:rFonts w:ascii="Arial" w:hAnsi="Arial" w:cs="Arial"/>
          <w:sz w:val="24"/>
          <w:szCs w:val="24"/>
        </w:rPr>
        <w:t xml:space="preserve">and in the place of the plaintiff to the second defendant) for the relevant withdrawals and/or transfers and, hence whether or not the instructions are </w:t>
      </w:r>
      <w:r w:rsidR="007E5A96" w:rsidRPr="00B010EB">
        <w:rPr>
          <w:rFonts w:ascii="Arial" w:hAnsi="Arial" w:cs="Arial"/>
          <w:i/>
          <w:sz w:val="24"/>
          <w:szCs w:val="24"/>
        </w:rPr>
        <w:t>mala fide</w:t>
      </w:r>
      <w:r w:rsidR="007E5A96" w:rsidRPr="00B010EB">
        <w:rPr>
          <w:rFonts w:ascii="Arial" w:hAnsi="Arial" w:cs="Arial"/>
          <w:sz w:val="24"/>
          <w:szCs w:val="24"/>
        </w:rPr>
        <w:t xml:space="preserve"> </w:t>
      </w:r>
      <w:r w:rsidR="00B117EE" w:rsidRPr="00B010EB">
        <w:rPr>
          <w:rFonts w:ascii="Arial" w:hAnsi="Arial" w:cs="Arial"/>
          <w:sz w:val="24"/>
          <w:szCs w:val="24"/>
        </w:rPr>
        <w:t xml:space="preserve">or </w:t>
      </w:r>
      <w:r w:rsidR="007E5A96" w:rsidRPr="00B010EB">
        <w:rPr>
          <w:rFonts w:ascii="Arial" w:hAnsi="Arial" w:cs="Arial"/>
          <w:sz w:val="24"/>
          <w:szCs w:val="24"/>
        </w:rPr>
        <w:t xml:space="preserve">given in fraud by the first defendant against the </w:t>
      </w:r>
      <w:r w:rsidR="007B34D2" w:rsidRPr="00B010EB">
        <w:rPr>
          <w:rFonts w:ascii="Arial" w:hAnsi="Arial" w:cs="Arial"/>
          <w:sz w:val="24"/>
          <w:szCs w:val="24"/>
        </w:rPr>
        <w:t>plaintiff</w:t>
      </w:r>
      <w:r w:rsidR="007E5A96" w:rsidRPr="00B010EB">
        <w:rPr>
          <w:rFonts w:ascii="Arial" w:hAnsi="Arial" w:cs="Arial"/>
          <w:sz w:val="24"/>
          <w:szCs w:val="24"/>
        </w:rPr>
        <w:t xml:space="preserve">, the plaintiff remains bound by those actions to the </w:t>
      </w:r>
      <w:r w:rsidR="00B117EE" w:rsidRPr="00B010EB">
        <w:rPr>
          <w:rFonts w:ascii="Arial" w:hAnsi="Arial" w:cs="Arial"/>
          <w:sz w:val="24"/>
          <w:szCs w:val="24"/>
        </w:rPr>
        <w:t xml:space="preserve">bank </w:t>
      </w:r>
      <w:r w:rsidR="007E5A96" w:rsidRPr="00B010EB">
        <w:rPr>
          <w:rFonts w:ascii="Arial" w:hAnsi="Arial" w:cs="Arial"/>
          <w:sz w:val="24"/>
          <w:szCs w:val="24"/>
        </w:rPr>
        <w:t xml:space="preserve"> and the bank (as a third party) was entitled to have relied on those instructions  </w:t>
      </w:r>
      <w:r w:rsidR="007B34D2" w:rsidRPr="00B010EB">
        <w:rPr>
          <w:rFonts w:ascii="Arial" w:hAnsi="Arial" w:cs="Arial"/>
          <w:sz w:val="24"/>
          <w:szCs w:val="24"/>
        </w:rPr>
        <w:t xml:space="preserve">received from the first defendant as the plaintiff’s duly authorized agent. Counsel concluded by submitting that the plaintiff is not entitled in law to the </w:t>
      </w:r>
      <w:r w:rsidR="00B117EE" w:rsidRPr="00B010EB">
        <w:rPr>
          <w:rFonts w:ascii="Arial" w:hAnsi="Arial" w:cs="Arial"/>
          <w:sz w:val="24"/>
          <w:szCs w:val="24"/>
        </w:rPr>
        <w:t xml:space="preserve">relief </w:t>
      </w:r>
      <w:r w:rsidR="007239A7" w:rsidRPr="00B010EB">
        <w:rPr>
          <w:rFonts w:ascii="Arial" w:hAnsi="Arial" w:cs="Arial"/>
          <w:sz w:val="24"/>
          <w:szCs w:val="24"/>
        </w:rPr>
        <w:t>she</w:t>
      </w:r>
      <w:r w:rsidR="007B34D2" w:rsidRPr="00B010EB">
        <w:rPr>
          <w:rFonts w:ascii="Arial" w:hAnsi="Arial" w:cs="Arial"/>
          <w:sz w:val="24"/>
          <w:szCs w:val="24"/>
        </w:rPr>
        <w:t xml:space="preserve"> claims from the second defendant and therefore the plaintiff’s claim should be dismissed with costs. </w:t>
      </w:r>
    </w:p>
    <w:p w:rsidR="004516BA" w:rsidRPr="00B010EB" w:rsidRDefault="004516BA" w:rsidP="001A7C59">
      <w:pPr>
        <w:spacing w:after="0" w:line="360" w:lineRule="auto"/>
        <w:jc w:val="both"/>
        <w:rPr>
          <w:rFonts w:ascii="Arial" w:hAnsi="Arial" w:cs="Arial"/>
          <w:sz w:val="24"/>
          <w:szCs w:val="24"/>
          <w:u w:val="single"/>
        </w:rPr>
      </w:pPr>
    </w:p>
    <w:p w:rsidR="004516BA" w:rsidRPr="00B010EB" w:rsidRDefault="004516BA" w:rsidP="001A7C59">
      <w:pPr>
        <w:spacing w:after="0" w:line="360" w:lineRule="auto"/>
        <w:jc w:val="both"/>
        <w:rPr>
          <w:rFonts w:ascii="Arial" w:hAnsi="Arial" w:cs="Arial"/>
          <w:sz w:val="24"/>
          <w:szCs w:val="24"/>
          <w:u w:val="single"/>
        </w:rPr>
      </w:pPr>
      <w:r w:rsidRPr="00B010EB">
        <w:rPr>
          <w:rFonts w:ascii="Arial" w:hAnsi="Arial" w:cs="Arial"/>
          <w:sz w:val="24"/>
          <w:szCs w:val="24"/>
          <w:lang w:val="en-ZA"/>
        </w:rPr>
        <w:t xml:space="preserve"> </w:t>
      </w:r>
      <w:r w:rsidRPr="00B010EB">
        <w:rPr>
          <w:rFonts w:ascii="Arial" w:hAnsi="Arial" w:cs="Arial"/>
          <w:sz w:val="24"/>
          <w:szCs w:val="24"/>
          <w:u w:val="single"/>
        </w:rPr>
        <w:t>The legal principles and application to the facts</w:t>
      </w:r>
    </w:p>
    <w:p w:rsidR="004516BA" w:rsidRPr="00B010EB" w:rsidRDefault="004516BA" w:rsidP="001A7C59">
      <w:pPr>
        <w:spacing w:after="0" w:line="360" w:lineRule="auto"/>
        <w:jc w:val="both"/>
        <w:rPr>
          <w:rFonts w:ascii="Arial" w:hAnsi="Arial" w:cs="Arial"/>
          <w:sz w:val="24"/>
          <w:szCs w:val="24"/>
          <w:u w:val="single"/>
        </w:rPr>
      </w:pPr>
    </w:p>
    <w:p w:rsidR="001A7C59" w:rsidRPr="00B010EB" w:rsidRDefault="004516BA" w:rsidP="001A7C59">
      <w:pPr>
        <w:spacing w:after="0" w:line="360" w:lineRule="auto"/>
        <w:jc w:val="both"/>
        <w:rPr>
          <w:rFonts w:ascii="Arial" w:hAnsi="Arial" w:cs="Arial"/>
          <w:sz w:val="24"/>
          <w:szCs w:val="24"/>
        </w:rPr>
      </w:pPr>
      <w:r w:rsidRPr="00B010EB">
        <w:rPr>
          <w:rFonts w:ascii="Arial" w:hAnsi="Arial" w:cs="Arial"/>
          <w:sz w:val="24"/>
          <w:szCs w:val="24"/>
        </w:rPr>
        <w:t>[27]</w:t>
      </w:r>
      <w:r w:rsidRPr="00B010EB">
        <w:rPr>
          <w:rFonts w:ascii="Arial" w:hAnsi="Arial" w:cs="Arial"/>
          <w:sz w:val="24"/>
          <w:szCs w:val="24"/>
        </w:rPr>
        <w:tab/>
        <w:t>The circumstance of the matter before me is quite unique. It involves a banking employee that dons the hat of employee on the one hand where she stood in an employer/employee relationship to the bank, i.e. the second defenda</w:t>
      </w:r>
      <w:r w:rsidR="007239A7" w:rsidRPr="00B010EB">
        <w:rPr>
          <w:rFonts w:ascii="Arial" w:hAnsi="Arial" w:cs="Arial"/>
          <w:sz w:val="24"/>
          <w:szCs w:val="24"/>
        </w:rPr>
        <w:t>nt but also the hat of a mandata</w:t>
      </w:r>
      <w:r w:rsidRPr="00B010EB">
        <w:rPr>
          <w:rFonts w:ascii="Arial" w:hAnsi="Arial" w:cs="Arial"/>
          <w:sz w:val="24"/>
          <w:szCs w:val="24"/>
        </w:rPr>
        <w:t>ry/mandatory relationship with the plaintiff, Ms Blaauw.</w:t>
      </w:r>
    </w:p>
    <w:p w:rsidR="004516BA" w:rsidRPr="00B010EB" w:rsidRDefault="004516BA" w:rsidP="001A7C59">
      <w:pPr>
        <w:spacing w:after="0" w:line="360" w:lineRule="auto"/>
        <w:jc w:val="both"/>
        <w:rPr>
          <w:rFonts w:ascii="Arial" w:hAnsi="Arial" w:cs="Arial"/>
          <w:sz w:val="24"/>
          <w:szCs w:val="24"/>
        </w:rPr>
      </w:pPr>
      <w:r w:rsidRPr="00B010EB">
        <w:rPr>
          <w:rFonts w:ascii="Arial" w:hAnsi="Arial" w:cs="Arial"/>
          <w:sz w:val="24"/>
          <w:szCs w:val="24"/>
        </w:rPr>
        <w:t xml:space="preserve"> </w:t>
      </w:r>
    </w:p>
    <w:p w:rsidR="004516BA" w:rsidRPr="00B010EB" w:rsidRDefault="004516BA" w:rsidP="001A7C59">
      <w:pPr>
        <w:spacing w:after="0" w:line="360" w:lineRule="auto"/>
        <w:jc w:val="both"/>
        <w:rPr>
          <w:rFonts w:ascii="Arial" w:hAnsi="Arial" w:cs="Arial"/>
          <w:sz w:val="24"/>
          <w:szCs w:val="24"/>
        </w:rPr>
      </w:pPr>
      <w:r w:rsidRPr="00B010EB">
        <w:rPr>
          <w:rFonts w:ascii="Arial" w:hAnsi="Arial" w:cs="Arial"/>
          <w:sz w:val="24"/>
          <w:szCs w:val="24"/>
        </w:rPr>
        <w:t>[28]</w:t>
      </w:r>
      <w:r w:rsidRPr="00B010EB">
        <w:rPr>
          <w:rFonts w:ascii="Arial" w:hAnsi="Arial" w:cs="Arial"/>
          <w:sz w:val="24"/>
          <w:szCs w:val="24"/>
        </w:rPr>
        <w:tab/>
        <w:t>It is undisputed evidence that the plaintiff considered Ms Pallais as her personal banker and relied on her advice given to her in that capacity but the relationship between the plaintiff and the first defendant went beyond that. It would also appear that the plaintiff and the first defendant had a diverse relationship. They were friends who knew one another from as far back as 2001 and they were in a business relationship, over and above the client/banker relationship. The first defendant did not only rent a flat from the plaintiff, she also collected rent from the other tenants on behalf of the plaintiff. During 2015</w:t>
      </w:r>
      <w:r w:rsidR="006D5BC3" w:rsidRPr="00B010EB">
        <w:rPr>
          <w:rFonts w:ascii="Arial" w:hAnsi="Arial" w:cs="Arial"/>
          <w:sz w:val="24"/>
          <w:szCs w:val="24"/>
        </w:rPr>
        <w:t>,</w:t>
      </w:r>
      <w:r w:rsidRPr="00B010EB">
        <w:rPr>
          <w:rFonts w:ascii="Arial" w:hAnsi="Arial" w:cs="Arial"/>
          <w:sz w:val="24"/>
          <w:szCs w:val="24"/>
        </w:rPr>
        <w:t xml:space="preserve"> Ms Pallais and her</w:t>
      </w:r>
      <w:r w:rsidR="006D5BC3" w:rsidRPr="00B010EB">
        <w:rPr>
          <w:rFonts w:ascii="Arial" w:hAnsi="Arial" w:cs="Arial"/>
          <w:sz w:val="24"/>
          <w:szCs w:val="24"/>
        </w:rPr>
        <w:t xml:space="preserve"> partner also rented a premises </w:t>
      </w:r>
      <w:r w:rsidRPr="00B010EB">
        <w:rPr>
          <w:rFonts w:ascii="Arial" w:hAnsi="Arial" w:cs="Arial"/>
          <w:sz w:val="24"/>
          <w:szCs w:val="24"/>
        </w:rPr>
        <w:t xml:space="preserve">from </w:t>
      </w:r>
      <w:r w:rsidRPr="00B010EB">
        <w:rPr>
          <w:rFonts w:ascii="Arial" w:hAnsi="Arial" w:cs="Arial"/>
          <w:sz w:val="24"/>
          <w:szCs w:val="24"/>
        </w:rPr>
        <w:lastRenderedPageBreak/>
        <w:t>the plaintiff fr</w:t>
      </w:r>
      <w:r w:rsidR="001E2670" w:rsidRPr="00B010EB">
        <w:rPr>
          <w:rFonts w:ascii="Arial" w:hAnsi="Arial" w:cs="Arial"/>
          <w:sz w:val="24"/>
          <w:szCs w:val="24"/>
        </w:rPr>
        <w:t xml:space="preserve">om where they operated a bar. On a personal level the plaintiff was also  </w:t>
      </w:r>
      <w:r w:rsidRPr="00B010EB">
        <w:rPr>
          <w:rFonts w:ascii="Arial" w:hAnsi="Arial" w:cs="Arial"/>
          <w:sz w:val="24"/>
          <w:szCs w:val="24"/>
        </w:rPr>
        <w:t xml:space="preserve">                                                                                                                                                                                                                                                                                                                                                                                                                                                                                                                                                                                                                                                                                                                                                                                                                                                                                                                                                                                                                                                                                                                                                                                                                                                                                                                                                                                                                                                                                                                                                                                                                                                                                                                                                                                                                                                                                                                                                                                                                                                                                                                                                                                                                                                                                                                                                                                                                                                                                                                                                                                                                                                                                                                                                                                                                                                                                                                                                                                                                                                                                                                                                                                                                                                                                                                                                                                                                                                                                                                                                                                                                                                                                                                                                                                                                                                                                                                                                                                                                                                                                                                                                                                                                                                                                                                                                                                                                                                                                                                                                                                                                                                                                                                                                                                                                                                                                                                                                                                                                                                                                                                                                                                                                                                                                                                                                                                                                                                                                                                                                                                                                                                                                                                                                                                                                                                                                                                                                                                                                                                                                                                                                                                                                                                                                                                                                                                                                                                                                                                                                                                                                                                                                                                                                                                                                                                                                                                                                                                                                                                                                                                                                                                                                                                                                                                                                                                                                                                                                                                                                                                                                                                                                                                                                                                                                                                                                                                                                                                                                                                                                                                                                                                                                                                                                                                                                                                                                                                                                                                                                                                                                                                                                                                                                                                                                                                                               </w:t>
      </w:r>
      <w:r w:rsidR="001E2670" w:rsidRPr="00B010EB">
        <w:rPr>
          <w:rFonts w:ascii="Arial" w:hAnsi="Arial" w:cs="Arial"/>
          <w:sz w:val="24"/>
          <w:szCs w:val="24"/>
        </w:rPr>
        <w:t xml:space="preserve">                             a </w:t>
      </w:r>
      <w:r w:rsidRPr="00B010EB">
        <w:rPr>
          <w:rFonts w:ascii="Arial" w:hAnsi="Arial" w:cs="Arial"/>
          <w:sz w:val="24"/>
          <w:szCs w:val="24"/>
        </w:rPr>
        <w:t xml:space="preserve">confidant of the first defendant, who confided in her about her personal and financial problems and </w:t>
      </w:r>
      <w:r w:rsidR="006D5BC3" w:rsidRPr="00B010EB">
        <w:rPr>
          <w:rFonts w:ascii="Arial" w:hAnsi="Arial" w:cs="Arial"/>
          <w:sz w:val="24"/>
          <w:szCs w:val="24"/>
        </w:rPr>
        <w:t>the plaintiff lent</w:t>
      </w:r>
      <w:r w:rsidRPr="00B010EB">
        <w:rPr>
          <w:rFonts w:ascii="Arial" w:hAnsi="Arial" w:cs="Arial"/>
          <w:sz w:val="24"/>
          <w:szCs w:val="24"/>
        </w:rPr>
        <w:t xml:space="preserve"> Ms Pallais money to care for her son at times</w:t>
      </w:r>
      <w:r w:rsidR="006D5BC3" w:rsidRPr="00B010EB">
        <w:rPr>
          <w:rFonts w:ascii="Arial" w:hAnsi="Arial" w:cs="Arial"/>
          <w:sz w:val="24"/>
          <w:szCs w:val="24"/>
        </w:rPr>
        <w:t>.</w:t>
      </w:r>
    </w:p>
    <w:p w:rsidR="001A7C59" w:rsidRPr="00B010EB" w:rsidRDefault="001A7C59" w:rsidP="001A7C59">
      <w:pPr>
        <w:spacing w:after="0" w:line="360" w:lineRule="auto"/>
        <w:jc w:val="both"/>
        <w:rPr>
          <w:rFonts w:ascii="Arial" w:hAnsi="Arial" w:cs="Arial"/>
          <w:sz w:val="24"/>
          <w:szCs w:val="24"/>
        </w:rPr>
      </w:pPr>
    </w:p>
    <w:p w:rsidR="004516BA" w:rsidRPr="00B010EB" w:rsidRDefault="004516BA" w:rsidP="001A7C59">
      <w:pPr>
        <w:spacing w:after="0" w:line="360" w:lineRule="auto"/>
        <w:jc w:val="both"/>
        <w:rPr>
          <w:rFonts w:ascii="Arial" w:hAnsi="Arial" w:cs="Arial"/>
          <w:sz w:val="24"/>
          <w:szCs w:val="24"/>
        </w:rPr>
      </w:pPr>
      <w:r w:rsidRPr="00B010EB">
        <w:rPr>
          <w:rFonts w:ascii="Arial" w:hAnsi="Arial" w:cs="Arial"/>
          <w:sz w:val="24"/>
          <w:szCs w:val="24"/>
        </w:rPr>
        <w:t>[</w:t>
      </w:r>
      <w:r w:rsidR="006D5BC3" w:rsidRPr="00B010EB">
        <w:rPr>
          <w:rFonts w:ascii="Arial" w:hAnsi="Arial" w:cs="Arial"/>
          <w:sz w:val="24"/>
          <w:szCs w:val="24"/>
        </w:rPr>
        <w:t>29</w:t>
      </w:r>
      <w:r w:rsidRPr="00B010EB">
        <w:rPr>
          <w:rFonts w:ascii="Arial" w:hAnsi="Arial" w:cs="Arial"/>
          <w:sz w:val="24"/>
          <w:szCs w:val="24"/>
        </w:rPr>
        <w:t>]</w:t>
      </w:r>
      <w:r w:rsidRPr="00B010EB">
        <w:rPr>
          <w:rFonts w:ascii="Arial" w:hAnsi="Arial" w:cs="Arial"/>
          <w:sz w:val="24"/>
          <w:szCs w:val="24"/>
        </w:rPr>
        <w:tab/>
        <w:t>In terms of her personal relationship with Ms Pallais</w:t>
      </w:r>
      <w:r w:rsidR="006D5BC3" w:rsidRPr="00B010EB">
        <w:rPr>
          <w:rFonts w:ascii="Arial" w:hAnsi="Arial" w:cs="Arial"/>
          <w:sz w:val="24"/>
          <w:szCs w:val="24"/>
        </w:rPr>
        <w:t>,</w:t>
      </w:r>
      <w:r w:rsidRPr="00B010EB">
        <w:rPr>
          <w:rFonts w:ascii="Arial" w:hAnsi="Arial" w:cs="Arial"/>
          <w:sz w:val="24"/>
          <w:szCs w:val="24"/>
        </w:rPr>
        <w:t xml:space="preserve"> the plaintiff trusted the first defendant enough to sign mandates in </w:t>
      </w:r>
      <w:r w:rsidR="001E2670" w:rsidRPr="00B010EB">
        <w:rPr>
          <w:rFonts w:ascii="Arial" w:hAnsi="Arial" w:cs="Arial"/>
          <w:sz w:val="24"/>
          <w:szCs w:val="24"/>
        </w:rPr>
        <w:t>the first defendant’</w:t>
      </w:r>
      <w:r w:rsidR="00233AC2" w:rsidRPr="00B010EB">
        <w:rPr>
          <w:rFonts w:ascii="Arial" w:hAnsi="Arial" w:cs="Arial"/>
          <w:sz w:val="24"/>
          <w:szCs w:val="24"/>
        </w:rPr>
        <w:t>s</w:t>
      </w:r>
      <w:r w:rsidRPr="00B010EB">
        <w:rPr>
          <w:rFonts w:ascii="Arial" w:hAnsi="Arial" w:cs="Arial"/>
          <w:sz w:val="24"/>
          <w:szCs w:val="24"/>
        </w:rPr>
        <w:t xml:space="preserve"> favour </w:t>
      </w:r>
      <w:r w:rsidR="001E2670" w:rsidRPr="00B010EB">
        <w:rPr>
          <w:rFonts w:ascii="Arial" w:hAnsi="Arial" w:cs="Arial"/>
          <w:sz w:val="24"/>
          <w:szCs w:val="24"/>
        </w:rPr>
        <w:t>in respect of</w:t>
      </w:r>
      <w:r w:rsidRPr="00B010EB">
        <w:rPr>
          <w:rFonts w:ascii="Arial" w:hAnsi="Arial" w:cs="Arial"/>
          <w:sz w:val="24"/>
          <w:szCs w:val="24"/>
        </w:rPr>
        <w:t xml:space="preserve"> all five accounts </w:t>
      </w:r>
      <w:r w:rsidR="00960645" w:rsidRPr="00B010EB">
        <w:rPr>
          <w:rFonts w:ascii="Arial" w:hAnsi="Arial" w:cs="Arial"/>
          <w:sz w:val="24"/>
          <w:szCs w:val="24"/>
        </w:rPr>
        <w:t>in the plaintiff’s</w:t>
      </w:r>
      <w:r w:rsidRPr="00B010EB">
        <w:rPr>
          <w:rFonts w:ascii="Arial" w:hAnsi="Arial" w:cs="Arial"/>
          <w:sz w:val="24"/>
          <w:szCs w:val="24"/>
        </w:rPr>
        <w:t xml:space="preserve"> name and that of her close corporations. </w:t>
      </w:r>
    </w:p>
    <w:p w:rsidR="001A7C59" w:rsidRPr="00B010EB" w:rsidRDefault="001A7C59" w:rsidP="001A7C59">
      <w:pPr>
        <w:spacing w:after="0" w:line="360" w:lineRule="auto"/>
        <w:jc w:val="both"/>
        <w:rPr>
          <w:rFonts w:ascii="Arial" w:hAnsi="Arial" w:cs="Arial"/>
          <w:sz w:val="24"/>
          <w:szCs w:val="24"/>
        </w:rPr>
      </w:pPr>
    </w:p>
    <w:p w:rsidR="004516BA" w:rsidRPr="00B010EB" w:rsidRDefault="004516BA" w:rsidP="001A7C59">
      <w:pPr>
        <w:spacing w:after="0" w:line="360" w:lineRule="auto"/>
        <w:jc w:val="both"/>
        <w:rPr>
          <w:rFonts w:ascii="Arial" w:hAnsi="Arial" w:cs="Arial"/>
          <w:sz w:val="24"/>
          <w:szCs w:val="24"/>
        </w:rPr>
      </w:pPr>
      <w:r w:rsidRPr="00B010EB">
        <w:rPr>
          <w:rFonts w:ascii="Arial" w:hAnsi="Arial" w:cs="Arial"/>
          <w:sz w:val="24"/>
          <w:szCs w:val="24"/>
        </w:rPr>
        <w:t>[</w:t>
      </w:r>
      <w:r w:rsidR="006D5BC3" w:rsidRPr="00B010EB">
        <w:rPr>
          <w:rFonts w:ascii="Arial" w:hAnsi="Arial" w:cs="Arial"/>
          <w:sz w:val="24"/>
          <w:szCs w:val="24"/>
        </w:rPr>
        <w:t>30</w:t>
      </w:r>
      <w:r w:rsidRPr="00B010EB">
        <w:rPr>
          <w:rFonts w:ascii="Arial" w:hAnsi="Arial" w:cs="Arial"/>
          <w:sz w:val="24"/>
          <w:szCs w:val="24"/>
        </w:rPr>
        <w:t>]</w:t>
      </w:r>
      <w:r w:rsidRPr="00B010EB">
        <w:rPr>
          <w:rFonts w:ascii="Arial" w:hAnsi="Arial" w:cs="Arial"/>
          <w:sz w:val="24"/>
          <w:szCs w:val="24"/>
        </w:rPr>
        <w:tab/>
        <w:t>The plaintiff gave the first defendant exten</w:t>
      </w:r>
      <w:r w:rsidR="006D5BC3" w:rsidRPr="00B010EB">
        <w:rPr>
          <w:rFonts w:ascii="Arial" w:hAnsi="Arial" w:cs="Arial"/>
          <w:sz w:val="24"/>
          <w:szCs w:val="24"/>
        </w:rPr>
        <w:t>sive rights as a result of the m</w:t>
      </w:r>
      <w:r w:rsidRPr="00B010EB">
        <w:rPr>
          <w:rFonts w:ascii="Arial" w:hAnsi="Arial" w:cs="Arial"/>
          <w:sz w:val="24"/>
          <w:szCs w:val="24"/>
        </w:rPr>
        <w:t>andates. For the sake of com</w:t>
      </w:r>
      <w:r w:rsidR="006D5BC3" w:rsidRPr="00B010EB">
        <w:rPr>
          <w:rFonts w:ascii="Arial" w:hAnsi="Arial" w:cs="Arial"/>
          <w:sz w:val="24"/>
          <w:szCs w:val="24"/>
        </w:rPr>
        <w:t>pleteness I will replicate the m</w:t>
      </w:r>
      <w:r w:rsidRPr="00B010EB">
        <w:rPr>
          <w:rFonts w:ascii="Arial" w:hAnsi="Arial" w:cs="Arial"/>
          <w:sz w:val="24"/>
          <w:szCs w:val="24"/>
        </w:rPr>
        <w:t xml:space="preserve">andate granted in favour of the first defendant: </w:t>
      </w:r>
    </w:p>
    <w:p w:rsidR="00B010EB" w:rsidRPr="00B010EB" w:rsidRDefault="00B010EB" w:rsidP="001A7C59">
      <w:pPr>
        <w:spacing w:after="0" w:line="360" w:lineRule="auto"/>
        <w:jc w:val="both"/>
        <w:rPr>
          <w:rFonts w:ascii="Arial" w:hAnsi="Arial" w:cs="Arial"/>
          <w:sz w:val="24"/>
          <w:szCs w:val="24"/>
        </w:rPr>
      </w:pPr>
    </w:p>
    <w:p w:rsidR="004516BA" w:rsidRPr="00B010EB" w:rsidRDefault="004516BA" w:rsidP="001A7C59">
      <w:pPr>
        <w:spacing w:after="0" w:line="360" w:lineRule="auto"/>
        <w:ind w:left="720"/>
        <w:jc w:val="both"/>
        <w:rPr>
          <w:rFonts w:ascii="Arial" w:hAnsi="Arial" w:cs="Arial"/>
        </w:rPr>
      </w:pPr>
      <w:r w:rsidRPr="00B010EB">
        <w:rPr>
          <w:rFonts w:ascii="Arial" w:hAnsi="Arial" w:cs="Arial"/>
        </w:rPr>
        <w:t>‘</w:t>
      </w:r>
      <w:r w:rsidRPr="00B010EB">
        <w:rPr>
          <w:rFonts w:ascii="Arial" w:hAnsi="Arial" w:cs="Arial"/>
          <w:b/>
        </w:rPr>
        <w:t>MANDATE BY Ursula Ester Blaauw IN FAVOUR OF Chrischenda Akimi Pallais</w:t>
      </w:r>
    </w:p>
    <w:p w:rsidR="004516BA" w:rsidRPr="00B010EB" w:rsidRDefault="004516BA" w:rsidP="001A7C59">
      <w:pPr>
        <w:spacing w:after="0" w:line="360" w:lineRule="auto"/>
        <w:jc w:val="both"/>
        <w:rPr>
          <w:rFonts w:ascii="Arial" w:hAnsi="Arial" w:cs="Arial"/>
        </w:rPr>
      </w:pPr>
      <w:r w:rsidRPr="00B010EB">
        <w:rPr>
          <w:rFonts w:ascii="Arial" w:hAnsi="Arial" w:cs="Arial"/>
        </w:rPr>
        <w:t xml:space="preserve">I have given my authority to </w:t>
      </w:r>
      <w:r w:rsidRPr="00B010EB">
        <w:rPr>
          <w:rFonts w:ascii="Arial" w:hAnsi="Arial" w:cs="Arial"/>
          <w:b/>
        </w:rPr>
        <w:t>Chris</w:t>
      </w:r>
      <w:r w:rsidR="006D5BC3" w:rsidRPr="00B010EB">
        <w:rPr>
          <w:rFonts w:ascii="Arial" w:hAnsi="Arial" w:cs="Arial"/>
          <w:b/>
        </w:rPr>
        <w:t>ch</w:t>
      </w:r>
      <w:r w:rsidRPr="00B010EB">
        <w:rPr>
          <w:rFonts w:ascii="Arial" w:hAnsi="Arial" w:cs="Arial"/>
          <w:b/>
        </w:rPr>
        <w:t>enda Akimi Pallais</w:t>
      </w:r>
      <w:r w:rsidRPr="00B010EB">
        <w:rPr>
          <w:rFonts w:ascii="Arial" w:hAnsi="Arial" w:cs="Arial"/>
        </w:rPr>
        <w:t xml:space="preserve"> to operate on my account on my behalf and to act as my assignee in all matters and affairs having reference to, or in any way connected with, my transaction with you, and for that purpose to sign all agreements and documents which may be necessary or expedient, and furthermore, without prejudice to the foregoing generality, as my assignee and on my behalf, to-</w:t>
      </w:r>
    </w:p>
    <w:p w:rsidR="004516BA" w:rsidRPr="00B010EB" w:rsidRDefault="004516BA" w:rsidP="001A7C59">
      <w:pPr>
        <w:pStyle w:val="ListParagraph"/>
        <w:numPr>
          <w:ilvl w:val="0"/>
          <w:numId w:val="6"/>
        </w:numPr>
        <w:spacing w:after="0" w:line="360" w:lineRule="auto"/>
        <w:jc w:val="both"/>
        <w:rPr>
          <w:rFonts w:ascii="Arial" w:hAnsi="Arial" w:cs="Arial"/>
        </w:rPr>
      </w:pPr>
      <w:r w:rsidRPr="00B010EB">
        <w:rPr>
          <w:rFonts w:ascii="Arial" w:hAnsi="Arial" w:cs="Arial"/>
        </w:rPr>
        <w:t>draw, sign and endorse cheques;</w:t>
      </w:r>
    </w:p>
    <w:p w:rsidR="004516BA" w:rsidRPr="00B010EB" w:rsidRDefault="004516BA" w:rsidP="001A7C59">
      <w:pPr>
        <w:pStyle w:val="ListParagraph"/>
        <w:numPr>
          <w:ilvl w:val="0"/>
          <w:numId w:val="6"/>
        </w:numPr>
        <w:spacing w:after="0" w:line="360" w:lineRule="auto"/>
        <w:jc w:val="both"/>
        <w:rPr>
          <w:rFonts w:ascii="Arial" w:hAnsi="Arial" w:cs="Arial"/>
        </w:rPr>
      </w:pPr>
      <w:r w:rsidRPr="00B010EB">
        <w:rPr>
          <w:rFonts w:ascii="Arial" w:hAnsi="Arial" w:cs="Arial"/>
        </w:rPr>
        <w:t xml:space="preserve">draw, accept and endorse bills of exchange and promissory notes; </w:t>
      </w:r>
    </w:p>
    <w:p w:rsidR="004516BA" w:rsidRPr="00B010EB" w:rsidRDefault="004516BA" w:rsidP="001A7C59">
      <w:pPr>
        <w:pStyle w:val="ListParagraph"/>
        <w:numPr>
          <w:ilvl w:val="0"/>
          <w:numId w:val="6"/>
        </w:numPr>
        <w:spacing w:after="0" w:line="360" w:lineRule="auto"/>
        <w:jc w:val="both"/>
        <w:rPr>
          <w:rFonts w:ascii="Arial" w:hAnsi="Arial" w:cs="Arial"/>
        </w:rPr>
      </w:pPr>
      <w:r w:rsidRPr="00B010EB">
        <w:rPr>
          <w:rFonts w:ascii="Arial" w:hAnsi="Arial" w:cs="Arial"/>
        </w:rPr>
        <w:t>negotiate for and take discounts and loans with or without security, and to pledge and/or cede any species of security for the repayment thereof, and to withdraw securities and to sign receipts therefore;</w:t>
      </w:r>
    </w:p>
    <w:p w:rsidR="004516BA" w:rsidRPr="00B010EB" w:rsidRDefault="004516BA" w:rsidP="001A7C59">
      <w:pPr>
        <w:pStyle w:val="ListParagraph"/>
        <w:numPr>
          <w:ilvl w:val="0"/>
          <w:numId w:val="6"/>
        </w:numPr>
        <w:spacing w:after="0" w:line="360" w:lineRule="auto"/>
        <w:jc w:val="both"/>
        <w:rPr>
          <w:rFonts w:ascii="Arial" w:hAnsi="Arial" w:cs="Arial"/>
        </w:rPr>
      </w:pPr>
      <w:r w:rsidRPr="00B010EB">
        <w:rPr>
          <w:rFonts w:ascii="Arial" w:hAnsi="Arial" w:cs="Arial"/>
        </w:rPr>
        <w:t>establish credit for others;</w:t>
      </w:r>
    </w:p>
    <w:p w:rsidR="004516BA" w:rsidRPr="00B010EB" w:rsidRDefault="004516BA" w:rsidP="001A7C59">
      <w:pPr>
        <w:pStyle w:val="ListParagraph"/>
        <w:numPr>
          <w:ilvl w:val="0"/>
          <w:numId w:val="6"/>
        </w:numPr>
        <w:spacing w:after="0" w:line="360" w:lineRule="auto"/>
        <w:jc w:val="both"/>
        <w:rPr>
          <w:rFonts w:ascii="Arial" w:hAnsi="Arial" w:cs="Arial"/>
        </w:rPr>
      </w:pPr>
      <w:r w:rsidRPr="00B010EB">
        <w:rPr>
          <w:rFonts w:ascii="Arial" w:hAnsi="Arial" w:cs="Arial"/>
        </w:rPr>
        <w:t>guarantee payment of any liability or indebtedness of others to you;</w:t>
      </w:r>
    </w:p>
    <w:p w:rsidR="004516BA" w:rsidRPr="00B010EB" w:rsidRDefault="004516BA" w:rsidP="001A7C59">
      <w:pPr>
        <w:pStyle w:val="ListParagraph"/>
        <w:numPr>
          <w:ilvl w:val="0"/>
          <w:numId w:val="6"/>
        </w:numPr>
        <w:spacing w:after="0" w:line="360" w:lineRule="auto"/>
        <w:jc w:val="both"/>
        <w:rPr>
          <w:rFonts w:ascii="Arial" w:hAnsi="Arial" w:cs="Arial"/>
        </w:rPr>
      </w:pPr>
      <w:r w:rsidRPr="00B010EB">
        <w:rPr>
          <w:rFonts w:ascii="Arial" w:hAnsi="Arial" w:cs="Arial"/>
        </w:rPr>
        <w:t>deposit or withdraw articles for safe custody and to sign acquaintances therefore;</w:t>
      </w:r>
    </w:p>
    <w:p w:rsidR="004516BA" w:rsidRPr="00B010EB" w:rsidRDefault="004516BA" w:rsidP="001A7C59">
      <w:pPr>
        <w:pStyle w:val="ListParagraph"/>
        <w:numPr>
          <w:ilvl w:val="0"/>
          <w:numId w:val="6"/>
        </w:numPr>
        <w:spacing w:after="0" w:line="360" w:lineRule="auto"/>
        <w:jc w:val="both"/>
        <w:rPr>
          <w:rFonts w:ascii="Arial" w:hAnsi="Arial" w:cs="Arial"/>
        </w:rPr>
      </w:pPr>
      <w:r w:rsidRPr="00B010EB">
        <w:rPr>
          <w:rFonts w:ascii="Arial" w:hAnsi="Arial" w:cs="Arial"/>
        </w:rPr>
        <w:t>invest money on Fixed Deposit, Special Deposit and/or Savings Accounts in my name with you to withdraw such money and to sign receipts in respect thereof;</w:t>
      </w:r>
    </w:p>
    <w:p w:rsidR="004516BA" w:rsidRPr="00B010EB" w:rsidRDefault="004516BA" w:rsidP="001A7C59">
      <w:pPr>
        <w:pStyle w:val="ListParagraph"/>
        <w:numPr>
          <w:ilvl w:val="0"/>
          <w:numId w:val="6"/>
        </w:numPr>
        <w:spacing w:after="0" w:line="360" w:lineRule="auto"/>
        <w:jc w:val="both"/>
        <w:rPr>
          <w:rFonts w:ascii="Arial" w:hAnsi="Arial" w:cs="Arial"/>
        </w:rPr>
      </w:pPr>
      <w:r w:rsidRPr="00B010EB">
        <w:rPr>
          <w:rFonts w:ascii="Arial" w:hAnsi="Arial" w:cs="Arial"/>
        </w:rPr>
        <w:t>provide and sign indemnities;</w:t>
      </w:r>
    </w:p>
    <w:p w:rsidR="004516BA" w:rsidRPr="00B010EB" w:rsidRDefault="004516BA" w:rsidP="001A7C59">
      <w:pPr>
        <w:pStyle w:val="ListParagraph"/>
        <w:numPr>
          <w:ilvl w:val="0"/>
          <w:numId w:val="6"/>
        </w:numPr>
        <w:spacing w:after="0" w:line="360" w:lineRule="auto"/>
        <w:jc w:val="both"/>
        <w:rPr>
          <w:rFonts w:ascii="Arial" w:hAnsi="Arial" w:cs="Arial"/>
        </w:rPr>
      </w:pPr>
      <w:r w:rsidRPr="00B010EB">
        <w:rPr>
          <w:rFonts w:ascii="Arial" w:hAnsi="Arial" w:cs="Arial"/>
        </w:rPr>
        <w:t xml:space="preserve"> bind myself to you as security that, so far as you are interested or concerned all such acts of the </w:t>
      </w:r>
      <w:r w:rsidRPr="00B010EB">
        <w:rPr>
          <w:rFonts w:ascii="Arial" w:hAnsi="Arial" w:cs="Arial"/>
          <w:b/>
        </w:rPr>
        <w:t>Chrischenda Akimi Pallais Chrischenda Akimi Pallais</w:t>
      </w:r>
      <w:r w:rsidRPr="00B010EB">
        <w:rPr>
          <w:rFonts w:ascii="Arial" w:hAnsi="Arial" w:cs="Arial"/>
        </w:rPr>
        <w:t xml:space="preserve"> (sic), shall be binding upon me and that the authority given to </w:t>
      </w:r>
      <w:r w:rsidRPr="00B010EB">
        <w:rPr>
          <w:rFonts w:ascii="Arial" w:hAnsi="Arial" w:cs="Arial"/>
          <w:b/>
        </w:rPr>
        <w:t>Chrischenda Akimi Pallais</w:t>
      </w:r>
      <w:r w:rsidRPr="00B010EB">
        <w:rPr>
          <w:rFonts w:ascii="Arial" w:hAnsi="Arial" w:cs="Arial"/>
        </w:rPr>
        <w:t xml:space="preserve"> remains in force until you receive written notice by me of alteration or cancellation thereof. </w:t>
      </w:r>
    </w:p>
    <w:p w:rsidR="004516BA" w:rsidRPr="00B010EB" w:rsidRDefault="004516BA" w:rsidP="001A7C59">
      <w:pPr>
        <w:spacing w:after="0" w:line="360" w:lineRule="auto"/>
        <w:ind w:left="720"/>
        <w:jc w:val="both"/>
        <w:rPr>
          <w:rFonts w:ascii="Arial" w:hAnsi="Arial" w:cs="Arial"/>
        </w:rPr>
      </w:pPr>
      <w:r w:rsidRPr="00B010EB">
        <w:rPr>
          <w:rFonts w:ascii="Arial" w:hAnsi="Arial" w:cs="Arial"/>
        </w:rPr>
        <w:t xml:space="preserve">This notice will also be effective at any other </w:t>
      </w:r>
      <w:r w:rsidR="006D5BC3" w:rsidRPr="00B010EB">
        <w:rPr>
          <w:rFonts w:ascii="Arial" w:hAnsi="Arial" w:cs="Arial"/>
        </w:rPr>
        <w:t>branch (</w:t>
      </w:r>
      <w:r w:rsidRPr="00B010EB">
        <w:rPr>
          <w:rFonts w:ascii="Arial" w:hAnsi="Arial" w:cs="Arial"/>
        </w:rPr>
        <w:t>es) of BANK WINDHOEK LIMITED to which the account may be transferred in future.’</w:t>
      </w:r>
    </w:p>
    <w:p w:rsidR="004516BA" w:rsidRPr="00B010EB" w:rsidRDefault="004516BA" w:rsidP="001A7C59">
      <w:pPr>
        <w:spacing w:after="0" w:line="360" w:lineRule="auto"/>
        <w:jc w:val="both"/>
        <w:rPr>
          <w:rFonts w:ascii="Arial" w:hAnsi="Arial" w:cs="Arial"/>
        </w:rPr>
      </w:pPr>
    </w:p>
    <w:p w:rsidR="004516BA" w:rsidRPr="00B010EB" w:rsidRDefault="004516BA" w:rsidP="001A7C59">
      <w:pPr>
        <w:spacing w:after="0" w:line="360" w:lineRule="auto"/>
        <w:jc w:val="both"/>
        <w:rPr>
          <w:rFonts w:ascii="Arial" w:eastAsia="Calibri" w:hAnsi="Arial" w:cs="Arial"/>
          <w:sz w:val="24"/>
          <w:szCs w:val="24"/>
        </w:rPr>
      </w:pPr>
      <w:r w:rsidRPr="00B010EB">
        <w:rPr>
          <w:rFonts w:ascii="Arial" w:eastAsia="Calibri" w:hAnsi="Arial" w:cs="Arial"/>
          <w:sz w:val="24"/>
          <w:szCs w:val="24"/>
        </w:rPr>
        <w:t>[</w:t>
      </w:r>
      <w:r w:rsidR="006D5BC3" w:rsidRPr="00B010EB">
        <w:rPr>
          <w:rFonts w:ascii="Arial" w:eastAsia="Calibri" w:hAnsi="Arial" w:cs="Arial"/>
          <w:sz w:val="24"/>
          <w:szCs w:val="24"/>
        </w:rPr>
        <w:t>31</w:t>
      </w:r>
      <w:r w:rsidRPr="00B010EB">
        <w:rPr>
          <w:rFonts w:ascii="Arial" w:eastAsia="Calibri" w:hAnsi="Arial" w:cs="Arial"/>
          <w:sz w:val="24"/>
          <w:szCs w:val="24"/>
        </w:rPr>
        <w:t>]</w:t>
      </w:r>
      <w:r w:rsidRPr="00B010EB">
        <w:rPr>
          <w:rFonts w:ascii="Arial" w:eastAsia="Calibri" w:hAnsi="Arial" w:cs="Arial"/>
          <w:sz w:val="24"/>
          <w:szCs w:val="24"/>
        </w:rPr>
        <w:tab/>
        <w:t xml:space="preserve">The fact that there was an employer-employee relationship and that a delict was committed by an employee of the second defendant is common cause between the parties. The issue that remains to be decided on is whether the first defendant was acting </w:t>
      </w:r>
      <w:r w:rsidRPr="00B010EB">
        <w:rPr>
          <w:rFonts w:ascii="Arial" w:eastAsia="Calibri" w:hAnsi="Arial" w:cs="Arial"/>
          <w:sz w:val="24"/>
          <w:szCs w:val="24"/>
          <w:u w:val="single"/>
        </w:rPr>
        <w:t>within the scope of her employment</w:t>
      </w:r>
      <w:r w:rsidRPr="00B010EB">
        <w:rPr>
          <w:rFonts w:ascii="Arial" w:eastAsia="Calibri" w:hAnsi="Arial" w:cs="Arial"/>
          <w:sz w:val="24"/>
          <w:szCs w:val="24"/>
        </w:rPr>
        <w:t xml:space="preserve"> when she committed the delict and whether the second defendant </w:t>
      </w:r>
      <w:r w:rsidR="00233AC2" w:rsidRPr="00B010EB">
        <w:rPr>
          <w:rFonts w:ascii="Arial" w:eastAsia="Calibri" w:hAnsi="Arial" w:cs="Arial"/>
          <w:sz w:val="24"/>
          <w:szCs w:val="24"/>
        </w:rPr>
        <w:t xml:space="preserve">should be </w:t>
      </w:r>
      <w:r w:rsidRPr="00B010EB">
        <w:rPr>
          <w:rFonts w:ascii="Arial" w:eastAsia="Calibri" w:hAnsi="Arial" w:cs="Arial"/>
          <w:sz w:val="24"/>
          <w:szCs w:val="24"/>
        </w:rPr>
        <w:t xml:space="preserve">held vicariously liable. </w:t>
      </w:r>
    </w:p>
    <w:p w:rsidR="00B010EB" w:rsidRPr="00B010EB" w:rsidRDefault="00B010EB" w:rsidP="001A7C59">
      <w:pPr>
        <w:spacing w:after="0" w:line="360" w:lineRule="auto"/>
        <w:jc w:val="both"/>
        <w:rPr>
          <w:rFonts w:ascii="Arial" w:hAnsi="Arial" w:cs="Arial"/>
          <w:sz w:val="24"/>
          <w:szCs w:val="24"/>
        </w:rPr>
      </w:pPr>
    </w:p>
    <w:p w:rsidR="004516BA" w:rsidRPr="00B010EB" w:rsidRDefault="006D5BC3" w:rsidP="001A7C59">
      <w:pPr>
        <w:spacing w:after="0" w:line="360" w:lineRule="auto"/>
        <w:jc w:val="both"/>
        <w:rPr>
          <w:rFonts w:ascii="Arial" w:hAnsi="Arial" w:cs="Arial"/>
          <w:sz w:val="24"/>
          <w:szCs w:val="24"/>
        </w:rPr>
      </w:pPr>
      <w:r w:rsidRPr="00B010EB">
        <w:rPr>
          <w:rFonts w:ascii="Arial" w:hAnsi="Arial" w:cs="Arial"/>
          <w:sz w:val="24"/>
          <w:szCs w:val="24"/>
        </w:rPr>
        <w:t>[32</w:t>
      </w:r>
      <w:r w:rsidR="004516BA" w:rsidRPr="00B010EB">
        <w:rPr>
          <w:rFonts w:ascii="Arial" w:hAnsi="Arial" w:cs="Arial"/>
          <w:sz w:val="24"/>
          <w:szCs w:val="24"/>
        </w:rPr>
        <w:t xml:space="preserve">] </w:t>
      </w:r>
      <w:r w:rsidR="004516BA" w:rsidRPr="00B010EB">
        <w:rPr>
          <w:rFonts w:ascii="Arial" w:hAnsi="Arial" w:cs="Arial"/>
          <w:sz w:val="24"/>
          <w:szCs w:val="24"/>
        </w:rPr>
        <w:tab/>
        <w:t xml:space="preserve">Vicarious liability was summarised as follows in </w:t>
      </w:r>
      <w:r w:rsidR="004516BA" w:rsidRPr="00B010EB">
        <w:rPr>
          <w:rFonts w:ascii="Arial" w:hAnsi="Arial" w:cs="Arial"/>
          <w:i/>
          <w:sz w:val="24"/>
          <w:szCs w:val="24"/>
        </w:rPr>
        <w:t>F v Minister of Safety and Security</w:t>
      </w:r>
      <w:r w:rsidR="004516BA" w:rsidRPr="00B010EB">
        <w:rPr>
          <w:rStyle w:val="FootnoteReference"/>
          <w:rFonts w:ascii="Arial" w:hAnsi="Arial" w:cs="Arial"/>
          <w:i/>
          <w:sz w:val="24"/>
          <w:szCs w:val="24"/>
        </w:rPr>
        <w:footnoteReference w:id="11"/>
      </w:r>
      <w:r w:rsidR="004516BA" w:rsidRPr="00B010EB">
        <w:rPr>
          <w:rFonts w:ascii="Arial" w:hAnsi="Arial" w:cs="Arial"/>
          <w:sz w:val="24"/>
          <w:szCs w:val="24"/>
        </w:rPr>
        <w:t>:</w:t>
      </w:r>
    </w:p>
    <w:p w:rsidR="00B010EB" w:rsidRPr="00B010EB" w:rsidRDefault="00B010EB" w:rsidP="001A7C59">
      <w:pPr>
        <w:spacing w:after="0" w:line="360" w:lineRule="auto"/>
        <w:jc w:val="both"/>
        <w:rPr>
          <w:rFonts w:ascii="Arial" w:hAnsi="Arial" w:cs="Arial"/>
          <w:sz w:val="24"/>
          <w:szCs w:val="24"/>
        </w:rPr>
      </w:pPr>
    </w:p>
    <w:p w:rsidR="004516BA" w:rsidRPr="00B010EB" w:rsidRDefault="004516BA" w:rsidP="001A7C59">
      <w:pPr>
        <w:spacing w:after="0" w:line="360" w:lineRule="auto"/>
        <w:ind w:firstLine="720"/>
        <w:jc w:val="both"/>
        <w:rPr>
          <w:rFonts w:ascii="Arial" w:hAnsi="Arial" w:cs="Arial"/>
        </w:rPr>
      </w:pPr>
      <w:r w:rsidRPr="00B010EB">
        <w:rPr>
          <w:rFonts w:ascii="Arial" w:hAnsi="Arial" w:cs="Arial"/>
          <w:sz w:val="20"/>
          <w:szCs w:val="20"/>
        </w:rPr>
        <w:t>‘</w:t>
      </w:r>
      <w:r w:rsidRPr="00B010EB">
        <w:rPr>
          <w:rFonts w:ascii="Arial" w:hAnsi="Arial" w:cs="Arial"/>
        </w:rPr>
        <w:t xml:space="preserve">Vicarious liability means a person may be held liable for the wrongful act or omission of another even though the former did not, strictly speaking, engage in any wrongful conduct. This would arise where there is a particular relationship between those persons, such as employment. As a general rule, an employer is vicariously liable for the wrongful acts or omissions of an employee committed with the course and scope of employment, or while the employee was engaged in any activity reasonably incidental to it. Two tests apply to the determination of vicarious liability. One applies when an employee commits the delict while going about the employer’s business. This is generally regarded as the ‘standard test’. The other test finds application where wrongdoing takes place outside the course and scope of employment. These are known as ‘deviation cases’. </w:t>
      </w:r>
      <w:r w:rsidRPr="00B010EB">
        <w:rPr>
          <w:rStyle w:val="FootnoteReference"/>
          <w:rFonts w:ascii="Arial" w:hAnsi="Arial" w:cs="Arial"/>
        </w:rPr>
        <w:footnoteReference w:id="12"/>
      </w:r>
    </w:p>
    <w:p w:rsidR="00B010EB" w:rsidRPr="00B010EB" w:rsidRDefault="00B010EB" w:rsidP="001A7C59">
      <w:pPr>
        <w:spacing w:after="0" w:line="360" w:lineRule="auto"/>
        <w:ind w:firstLine="720"/>
        <w:jc w:val="both"/>
        <w:rPr>
          <w:rFonts w:ascii="Arial" w:hAnsi="Arial" w:cs="Arial"/>
        </w:rPr>
      </w:pPr>
    </w:p>
    <w:p w:rsidR="004516BA" w:rsidRPr="00B010EB" w:rsidRDefault="004516BA" w:rsidP="001A7C59">
      <w:pPr>
        <w:spacing w:after="0" w:line="360" w:lineRule="auto"/>
        <w:jc w:val="both"/>
        <w:rPr>
          <w:rFonts w:ascii="Arial" w:hAnsi="Arial" w:cs="Arial"/>
          <w:b/>
          <w:sz w:val="24"/>
          <w:szCs w:val="24"/>
        </w:rPr>
      </w:pPr>
      <w:r w:rsidRPr="00B010EB">
        <w:rPr>
          <w:rFonts w:ascii="Arial" w:hAnsi="Arial" w:cs="Arial"/>
          <w:sz w:val="24"/>
          <w:szCs w:val="24"/>
        </w:rPr>
        <w:t>[</w:t>
      </w:r>
      <w:r w:rsidR="006D5BC3" w:rsidRPr="00B010EB">
        <w:rPr>
          <w:rFonts w:ascii="Arial" w:hAnsi="Arial" w:cs="Arial"/>
          <w:sz w:val="24"/>
          <w:szCs w:val="24"/>
        </w:rPr>
        <w:t>33</w:t>
      </w:r>
      <w:r w:rsidRPr="00B010EB">
        <w:rPr>
          <w:rFonts w:ascii="Arial" w:hAnsi="Arial" w:cs="Arial"/>
          <w:sz w:val="24"/>
          <w:szCs w:val="24"/>
        </w:rPr>
        <w:t xml:space="preserve">]  </w:t>
      </w:r>
      <w:r w:rsidRPr="00B010EB">
        <w:rPr>
          <w:rFonts w:ascii="Arial" w:hAnsi="Arial" w:cs="Arial"/>
          <w:sz w:val="24"/>
          <w:szCs w:val="24"/>
        </w:rPr>
        <w:tab/>
        <w:t xml:space="preserve">The test for vicarious liability was stated in the </w:t>
      </w:r>
      <w:r w:rsidRPr="00B010EB">
        <w:rPr>
          <w:rFonts w:ascii="Arial" w:hAnsi="Arial" w:cs="Arial"/>
          <w:i/>
          <w:sz w:val="24"/>
          <w:szCs w:val="24"/>
        </w:rPr>
        <w:t>Van der Merwe-Greeff v Martin and Another</w:t>
      </w:r>
      <w:r w:rsidRPr="00B010EB">
        <w:rPr>
          <w:rStyle w:val="FootnoteReference"/>
          <w:rFonts w:ascii="Arial" w:hAnsi="Arial" w:cs="Arial"/>
          <w:sz w:val="24"/>
          <w:szCs w:val="24"/>
        </w:rPr>
        <w:footnoteReference w:id="13"/>
      </w:r>
      <w:r w:rsidRPr="00B010EB">
        <w:rPr>
          <w:rFonts w:ascii="Arial" w:hAnsi="Arial" w:cs="Arial"/>
          <w:sz w:val="24"/>
          <w:szCs w:val="24"/>
        </w:rPr>
        <w:t xml:space="preserve">  where the court quoted the following from the South African case of  </w:t>
      </w:r>
      <w:r w:rsidRPr="00B010EB">
        <w:rPr>
          <w:rFonts w:ascii="Arial" w:hAnsi="Arial" w:cs="Arial"/>
          <w:i/>
          <w:sz w:val="24"/>
          <w:szCs w:val="24"/>
        </w:rPr>
        <w:t>ABSA Bank Ltd v Bond Equipment (Pretoria) (Pty) Ltd 2001</w:t>
      </w:r>
      <w:r w:rsidRPr="00B010EB">
        <w:rPr>
          <w:rFonts w:ascii="Arial" w:hAnsi="Arial" w:cs="Arial"/>
          <w:b/>
          <w:sz w:val="24"/>
          <w:szCs w:val="24"/>
        </w:rPr>
        <w:t xml:space="preserve"> </w:t>
      </w:r>
      <w:r w:rsidRPr="00B010EB">
        <w:rPr>
          <w:rFonts w:ascii="Arial" w:hAnsi="Arial" w:cs="Arial"/>
          <w:sz w:val="24"/>
          <w:szCs w:val="24"/>
        </w:rPr>
        <w:t>(1) SA 372</w:t>
      </w:r>
      <w:r w:rsidRPr="00B010EB">
        <w:rPr>
          <w:rFonts w:ascii="Arial" w:hAnsi="Arial" w:cs="Arial"/>
          <w:b/>
          <w:sz w:val="24"/>
          <w:szCs w:val="24"/>
        </w:rPr>
        <w:t xml:space="preserve"> </w:t>
      </w:r>
      <w:r w:rsidRPr="00B010EB">
        <w:rPr>
          <w:rFonts w:ascii="Arial" w:hAnsi="Arial" w:cs="Arial"/>
          <w:sz w:val="24"/>
          <w:szCs w:val="24"/>
        </w:rPr>
        <w:t>(SCA), at 378</w:t>
      </w:r>
      <w:r w:rsidRPr="00B010EB">
        <w:rPr>
          <w:rFonts w:ascii="Arial" w:hAnsi="Arial" w:cs="Arial"/>
          <w:b/>
          <w:sz w:val="24"/>
          <w:szCs w:val="24"/>
        </w:rPr>
        <w:t xml:space="preserve"> </w:t>
      </w:r>
      <w:r w:rsidRPr="00B010EB">
        <w:rPr>
          <w:rFonts w:ascii="Arial" w:hAnsi="Arial" w:cs="Arial"/>
          <w:sz w:val="24"/>
          <w:szCs w:val="24"/>
        </w:rPr>
        <w:t>as follows</w:t>
      </w:r>
      <w:r w:rsidRPr="00B010EB">
        <w:rPr>
          <w:rFonts w:ascii="Arial" w:hAnsi="Arial" w:cs="Arial"/>
          <w:b/>
          <w:sz w:val="24"/>
          <w:szCs w:val="24"/>
        </w:rPr>
        <w:t>:</w:t>
      </w:r>
    </w:p>
    <w:p w:rsidR="00B010EB" w:rsidRPr="00B010EB" w:rsidRDefault="00B010EB" w:rsidP="001A7C59">
      <w:pPr>
        <w:spacing w:after="0" w:line="360" w:lineRule="auto"/>
        <w:jc w:val="both"/>
        <w:rPr>
          <w:rFonts w:ascii="Arial" w:hAnsi="Arial" w:cs="Arial"/>
          <w:b/>
          <w:sz w:val="24"/>
          <w:szCs w:val="24"/>
        </w:rPr>
      </w:pPr>
    </w:p>
    <w:p w:rsidR="004516BA" w:rsidRPr="00B010EB" w:rsidRDefault="004516BA" w:rsidP="001A7C59">
      <w:pPr>
        <w:spacing w:after="0" w:line="360" w:lineRule="auto"/>
        <w:ind w:firstLine="720"/>
        <w:jc w:val="both"/>
        <w:rPr>
          <w:rFonts w:ascii="Arial" w:hAnsi="Arial" w:cs="Arial"/>
          <w:sz w:val="20"/>
          <w:szCs w:val="20"/>
        </w:rPr>
      </w:pPr>
      <w:r w:rsidRPr="00B010EB">
        <w:rPr>
          <w:rFonts w:ascii="Arial" w:hAnsi="Arial" w:cs="Arial"/>
        </w:rPr>
        <w:t>‘[5] The standard test for vicarious liability of a master for the delict of a servant is whether the delict was committed by the employee while acting in the course and scope of his employment. The inquiry is frequently said to be whether at the relevant time the employee was about the affairs, or business, or doing work of, the employer…</w:t>
      </w:r>
      <w:r w:rsidRPr="00B010EB">
        <w:rPr>
          <w:rFonts w:ascii="Arial" w:hAnsi="Arial" w:cs="Arial"/>
          <w:sz w:val="20"/>
          <w:szCs w:val="20"/>
        </w:rPr>
        <w:t xml:space="preserve"> </w:t>
      </w:r>
      <w:r w:rsidRPr="00B010EB">
        <w:rPr>
          <w:rFonts w:ascii="Arial" w:hAnsi="Arial" w:cs="Arial"/>
        </w:rPr>
        <w:t xml:space="preserve">A master is not responsible for the private and a personal act of his servant unconnected with the latter’s employment, even if done during the time of his employment and with permission of the </w:t>
      </w:r>
      <w:r w:rsidRPr="00B010EB">
        <w:rPr>
          <w:rFonts w:ascii="Arial" w:hAnsi="Arial" w:cs="Arial"/>
        </w:rPr>
        <w:lastRenderedPageBreak/>
        <w:t xml:space="preserve">employer. The act causing damage must have been done by the servant in his capacity </w:t>
      </w:r>
      <w:r w:rsidRPr="00B010EB">
        <w:rPr>
          <w:rFonts w:ascii="Arial" w:hAnsi="Arial" w:cs="Arial"/>
          <w:i/>
        </w:rPr>
        <w:t xml:space="preserve">qua </w:t>
      </w:r>
      <w:r w:rsidRPr="00B010EB">
        <w:rPr>
          <w:rFonts w:ascii="Arial" w:hAnsi="Arial" w:cs="Arial"/>
        </w:rPr>
        <w:t>servant and not as an independent individual</w:t>
      </w:r>
      <w:r w:rsidRPr="00B010EB">
        <w:rPr>
          <w:rFonts w:ascii="Arial" w:hAnsi="Arial" w:cs="Arial"/>
          <w:sz w:val="20"/>
          <w:szCs w:val="20"/>
        </w:rPr>
        <w:t>.’</w:t>
      </w:r>
    </w:p>
    <w:p w:rsidR="00B010EB" w:rsidRPr="00B010EB" w:rsidRDefault="00B010EB" w:rsidP="001A7C59">
      <w:pPr>
        <w:spacing w:after="0" w:line="360" w:lineRule="auto"/>
        <w:ind w:firstLine="720"/>
        <w:jc w:val="both"/>
        <w:rPr>
          <w:rFonts w:ascii="Arial" w:hAnsi="Arial" w:cs="Arial"/>
        </w:rPr>
      </w:pPr>
    </w:p>
    <w:p w:rsidR="004516BA" w:rsidRPr="00B010EB" w:rsidRDefault="006D5BC3" w:rsidP="001A7C59">
      <w:pPr>
        <w:spacing w:after="0" w:line="360" w:lineRule="auto"/>
        <w:jc w:val="both"/>
        <w:rPr>
          <w:rFonts w:ascii="Arial" w:hAnsi="Arial" w:cs="Arial"/>
          <w:sz w:val="24"/>
          <w:szCs w:val="24"/>
        </w:rPr>
      </w:pPr>
      <w:r w:rsidRPr="00B010EB">
        <w:rPr>
          <w:rFonts w:ascii="Arial" w:hAnsi="Arial" w:cs="Arial"/>
          <w:sz w:val="24"/>
          <w:szCs w:val="24"/>
        </w:rPr>
        <w:t>[34</w:t>
      </w:r>
      <w:r w:rsidR="004516BA" w:rsidRPr="00B010EB">
        <w:rPr>
          <w:rFonts w:ascii="Arial" w:hAnsi="Arial" w:cs="Arial"/>
          <w:sz w:val="24"/>
          <w:szCs w:val="24"/>
        </w:rPr>
        <w:t>]</w:t>
      </w:r>
      <w:r w:rsidR="004516BA" w:rsidRPr="00B010EB">
        <w:rPr>
          <w:rFonts w:ascii="Arial" w:hAnsi="Arial" w:cs="Arial"/>
          <w:sz w:val="24"/>
          <w:szCs w:val="24"/>
        </w:rPr>
        <w:tab/>
        <w:t xml:space="preserve">The phrase ‘within the course and scope of his or her employment’ encompasses in the first place acts committed by the employee in the exercise of the functions to which he or she was appointed, including such acts as are reasonably necessary to carry out the employer’s instructions. </w:t>
      </w:r>
    </w:p>
    <w:p w:rsidR="004516BA" w:rsidRPr="00B010EB" w:rsidRDefault="004516BA" w:rsidP="001A7C59">
      <w:pPr>
        <w:spacing w:after="0" w:line="360" w:lineRule="auto"/>
        <w:jc w:val="both"/>
        <w:rPr>
          <w:rFonts w:ascii="Arial" w:hAnsi="Arial" w:cs="Arial"/>
          <w:sz w:val="24"/>
          <w:szCs w:val="24"/>
        </w:rPr>
      </w:pPr>
    </w:p>
    <w:p w:rsidR="004516BA" w:rsidRPr="00B010EB" w:rsidRDefault="004516BA" w:rsidP="001A7C59">
      <w:pPr>
        <w:spacing w:after="0" w:line="360" w:lineRule="auto"/>
        <w:jc w:val="both"/>
        <w:rPr>
          <w:rFonts w:ascii="Arial" w:eastAsia="Calibri" w:hAnsi="Arial" w:cs="Arial"/>
          <w:sz w:val="24"/>
          <w:szCs w:val="24"/>
        </w:rPr>
      </w:pPr>
      <w:r w:rsidRPr="00B010EB">
        <w:rPr>
          <w:rFonts w:ascii="Arial" w:hAnsi="Arial" w:cs="Arial"/>
          <w:sz w:val="24"/>
          <w:szCs w:val="24"/>
        </w:rPr>
        <w:t>[</w:t>
      </w:r>
      <w:r w:rsidR="006D5BC3" w:rsidRPr="00B010EB">
        <w:rPr>
          <w:rFonts w:ascii="Arial" w:hAnsi="Arial" w:cs="Arial"/>
          <w:sz w:val="24"/>
          <w:szCs w:val="24"/>
        </w:rPr>
        <w:t>35</w:t>
      </w:r>
      <w:r w:rsidRPr="00B010EB">
        <w:rPr>
          <w:rFonts w:ascii="Arial" w:hAnsi="Arial" w:cs="Arial"/>
          <w:sz w:val="24"/>
          <w:szCs w:val="24"/>
        </w:rPr>
        <w:t>]</w:t>
      </w:r>
      <w:r w:rsidRPr="00B010EB">
        <w:rPr>
          <w:rFonts w:ascii="Arial" w:hAnsi="Arial" w:cs="Arial"/>
          <w:sz w:val="24"/>
          <w:szCs w:val="24"/>
        </w:rPr>
        <w:tab/>
        <w:t>It is not always easy to determine whether or not an employee</w:t>
      </w:r>
      <w:r w:rsidR="001E5CB3" w:rsidRPr="00B010EB">
        <w:rPr>
          <w:rFonts w:ascii="Arial" w:hAnsi="Arial" w:cs="Arial"/>
          <w:sz w:val="24"/>
          <w:szCs w:val="24"/>
        </w:rPr>
        <w:t xml:space="preserve"> has</w:t>
      </w:r>
      <w:r w:rsidRPr="00B010EB">
        <w:rPr>
          <w:rFonts w:ascii="Arial" w:hAnsi="Arial" w:cs="Arial"/>
          <w:sz w:val="24"/>
          <w:szCs w:val="24"/>
        </w:rPr>
        <w:t xml:space="preserve"> abandoned his or her employers work. </w:t>
      </w:r>
      <w:r w:rsidRPr="00B010EB">
        <w:rPr>
          <w:rFonts w:ascii="Arial" w:eastAsia="Calibri" w:hAnsi="Arial" w:cs="Arial"/>
          <w:sz w:val="24"/>
          <w:szCs w:val="24"/>
        </w:rPr>
        <w:t xml:space="preserve">In this regard the courts approach </w:t>
      </w:r>
      <w:r w:rsidR="006D5BC3" w:rsidRPr="00B010EB">
        <w:rPr>
          <w:rFonts w:ascii="Arial" w:eastAsia="Calibri" w:hAnsi="Arial" w:cs="Arial"/>
          <w:sz w:val="24"/>
          <w:szCs w:val="24"/>
        </w:rPr>
        <w:t xml:space="preserve">is </w:t>
      </w:r>
      <w:r w:rsidRPr="00B010EB">
        <w:rPr>
          <w:rFonts w:ascii="Arial" w:eastAsia="Calibri" w:hAnsi="Arial" w:cs="Arial"/>
          <w:sz w:val="24"/>
          <w:szCs w:val="24"/>
        </w:rPr>
        <w:t>that they apply the “standard test” which enquiry is whether there was deviation, in other words,</w:t>
      </w:r>
      <w:r w:rsidR="001E5CB3" w:rsidRPr="00B010EB">
        <w:rPr>
          <w:rFonts w:ascii="Arial" w:eastAsia="Calibri" w:hAnsi="Arial" w:cs="Arial"/>
          <w:sz w:val="24"/>
          <w:szCs w:val="24"/>
        </w:rPr>
        <w:t xml:space="preserve"> whether</w:t>
      </w:r>
      <w:r w:rsidRPr="00B010EB">
        <w:rPr>
          <w:rFonts w:ascii="Arial" w:eastAsia="Calibri" w:hAnsi="Arial" w:cs="Arial"/>
          <w:sz w:val="24"/>
          <w:szCs w:val="24"/>
        </w:rPr>
        <w:t xml:space="preserve"> the employee is still engaged in his or her employer’s business but at the same time also pursuing his or her own interest. Then the court must determine if the deviation was of such a degree that it can be said that in deviating the employee was furthering the functions to which he or she was appointed for or was still carrying out some instruction of his or her employer. If the answer is yes, the employer will be liable no matter how badly or dishonestly or negligently those functions or instructions were being exercised by the employee.</w:t>
      </w:r>
      <w:r w:rsidRPr="00B010EB">
        <w:rPr>
          <w:rStyle w:val="FootnoteReference"/>
          <w:rFonts w:ascii="Arial" w:eastAsia="Calibri" w:hAnsi="Arial" w:cs="Arial"/>
          <w:sz w:val="24"/>
          <w:szCs w:val="24"/>
        </w:rPr>
        <w:footnoteReference w:id="14"/>
      </w:r>
      <w:r w:rsidRPr="00B010EB">
        <w:rPr>
          <w:rFonts w:ascii="Arial" w:eastAsia="Calibri" w:hAnsi="Arial" w:cs="Arial"/>
          <w:sz w:val="24"/>
          <w:szCs w:val="24"/>
        </w:rPr>
        <w:t xml:space="preserve"> This principle was ably laid down in </w:t>
      </w:r>
      <w:r w:rsidRPr="00B010EB">
        <w:rPr>
          <w:rFonts w:ascii="Arial" w:eastAsia="Calibri" w:hAnsi="Arial" w:cs="Arial"/>
          <w:i/>
          <w:sz w:val="24"/>
          <w:szCs w:val="24"/>
        </w:rPr>
        <w:t xml:space="preserve">K v Minister of Safety and Security 2005 (3) SA 179 (SCA) </w:t>
      </w:r>
      <w:r w:rsidRPr="00B010EB">
        <w:rPr>
          <w:rFonts w:ascii="Arial" w:eastAsia="Calibri" w:hAnsi="Arial" w:cs="Arial"/>
          <w:sz w:val="24"/>
          <w:szCs w:val="24"/>
        </w:rPr>
        <w:t xml:space="preserve">at 183 C-G where Scott, JA stated:    </w:t>
      </w:r>
    </w:p>
    <w:p w:rsidR="004516BA" w:rsidRPr="00B010EB" w:rsidRDefault="004516BA" w:rsidP="001A7C59">
      <w:pPr>
        <w:spacing w:after="0" w:line="360" w:lineRule="auto"/>
        <w:jc w:val="both"/>
        <w:rPr>
          <w:rFonts w:ascii="Arial" w:eastAsia="Calibri" w:hAnsi="Arial" w:cs="Arial"/>
          <w:sz w:val="24"/>
          <w:szCs w:val="24"/>
        </w:rPr>
      </w:pPr>
    </w:p>
    <w:p w:rsidR="00B010EB" w:rsidRPr="00B010EB" w:rsidRDefault="004516BA" w:rsidP="001A7C59">
      <w:pPr>
        <w:spacing w:after="0" w:line="360" w:lineRule="auto"/>
        <w:ind w:firstLine="720"/>
        <w:jc w:val="both"/>
        <w:rPr>
          <w:rFonts w:ascii="Arial" w:eastAsia="Calibri" w:hAnsi="Arial" w:cs="Arial"/>
          <w:i/>
          <w:szCs w:val="24"/>
        </w:rPr>
      </w:pPr>
      <w:r w:rsidRPr="00B010EB">
        <w:rPr>
          <w:rFonts w:ascii="Arial" w:eastAsia="Calibri" w:hAnsi="Arial" w:cs="Arial"/>
          <w:szCs w:val="24"/>
        </w:rPr>
        <w:t xml:space="preserve">‘The legal principles underlying vicarious responsibility are well-established. An employer, whether a Minister of State or otherwise, will be vicariously liable for the delict of an employee </w:t>
      </w:r>
      <w:r w:rsidRPr="00B010EB">
        <w:rPr>
          <w:rFonts w:ascii="Arial" w:eastAsia="Calibri" w:hAnsi="Arial" w:cs="Arial"/>
          <w:szCs w:val="24"/>
          <w:u w:val="single"/>
        </w:rPr>
        <w:t>if the delict is committed by the employee in the course and scope of his or her employment.</w:t>
      </w:r>
      <w:r w:rsidRPr="00B010EB">
        <w:rPr>
          <w:rFonts w:ascii="Arial" w:eastAsia="Calibri" w:hAnsi="Arial" w:cs="Arial"/>
          <w:szCs w:val="24"/>
        </w:rPr>
        <w:t xml:space="preserve"> Difficulty frequently arises in the application of the rule, particularly in so-called ‘deviation’ cases.  But the test, commonly referred to as the ‘standard test’, has been repeatedly applied by this Court. </w:t>
      </w:r>
      <w:r w:rsidRPr="00B010EB">
        <w:rPr>
          <w:rFonts w:ascii="Arial" w:eastAsia="Calibri" w:hAnsi="Arial" w:cs="Arial"/>
          <w:szCs w:val="24"/>
          <w:u w:val="single"/>
        </w:rPr>
        <w:t>Where there is a deviation the enquiry, in short, is whether the deviation was of such a degree that it can be said that in doing what he or she did the employee was still exercising the functions to which he or she was appointed or was still carrying out some instruction of his or her employer. If the answer is yes, the employer will be liable no matter how badly or dishonestly or negligently those functions or instructions were being exercised by the employee.</w:t>
      </w:r>
      <w:r w:rsidRPr="00B010EB">
        <w:rPr>
          <w:rFonts w:ascii="Arial" w:eastAsia="Calibri" w:hAnsi="Arial" w:cs="Arial"/>
          <w:szCs w:val="24"/>
        </w:rPr>
        <w:t xml:space="preserve"> Notwithstanding the difficult questions of fact that frequently arise in the application of the test, it has been recognised by this Court as serving to maintain a balance between imputing liability without fault (which runs counter to general legal </w:t>
      </w:r>
      <w:r w:rsidRPr="00B010EB">
        <w:rPr>
          <w:rFonts w:ascii="Arial" w:eastAsia="Calibri" w:hAnsi="Arial" w:cs="Arial"/>
          <w:szCs w:val="24"/>
        </w:rPr>
        <w:lastRenderedPageBreak/>
        <w:t>principles) and the need to make amends to an injured person who might otherwise not be recompensed. From the innocent employer’s point of view, the greater the deviation the less justification there can be for holding him or her liable.’</w:t>
      </w:r>
      <w:r w:rsidRPr="00B010EB">
        <w:rPr>
          <w:rFonts w:ascii="Arial" w:eastAsia="Calibri" w:hAnsi="Arial" w:cs="Arial"/>
          <w:i/>
          <w:szCs w:val="24"/>
        </w:rPr>
        <w:t xml:space="preserve"> </w:t>
      </w:r>
      <w:r w:rsidRPr="00B010EB">
        <w:rPr>
          <w:rFonts w:ascii="Arial" w:eastAsia="Calibri" w:hAnsi="Arial" w:cs="Arial"/>
          <w:szCs w:val="24"/>
        </w:rPr>
        <w:t>(my emphasis)</w:t>
      </w:r>
      <w:r w:rsidRPr="00B010EB">
        <w:rPr>
          <w:rFonts w:ascii="Arial" w:eastAsia="Calibri" w:hAnsi="Arial" w:cs="Arial"/>
          <w:i/>
          <w:szCs w:val="24"/>
        </w:rPr>
        <w:t xml:space="preserve">           </w:t>
      </w:r>
    </w:p>
    <w:p w:rsidR="004516BA" w:rsidRPr="00B010EB" w:rsidRDefault="004516BA" w:rsidP="001A7C59">
      <w:pPr>
        <w:spacing w:after="0" w:line="360" w:lineRule="auto"/>
        <w:ind w:firstLine="720"/>
        <w:jc w:val="both"/>
        <w:rPr>
          <w:rFonts w:ascii="Arial" w:hAnsi="Arial" w:cs="Arial"/>
          <w:sz w:val="24"/>
          <w:szCs w:val="24"/>
        </w:rPr>
      </w:pPr>
      <w:r w:rsidRPr="00B010EB">
        <w:rPr>
          <w:rFonts w:ascii="Arial" w:eastAsia="Calibri" w:hAnsi="Arial" w:cs="Arial"/>
          <w:i/>
          <w:szCs w:val="24"/>
        </w:rPr>
        <w:t xml:space="preserve">    </w:t>
      </w:r>
      <w:r w:rsidRPr="00B010EB">
        <w:rPr>
          <w:rFonts w:ascii="Arial" w:eastAsia="Calibri" w:hAnsi="Arial" w:cs="Arial"/>
          <w:sz w:val="24"/>
          <w:szCs w:val="24"/>
        </w:rPr>
        <w:t xml:space="preserve">    </w:t>
      </w:r>
    </w:p>
    <w:p w:rsidR="004516BA" w:rsidRPr="00B010EB" w:rsidRDefault="004516BA" w:rsidP="001A7C59">
      <w:pPr>
        <w:spacing w:after="0" w:line="360" w:lineRule="auto"/>
        <w:jc w:val="both"/>
        <w:rPr>
          <w:rFonts w:ascii="Arial" w:eastAsia="Calibri" w:hAnsi="Arial" w:cs="Arial"/>
          <w:sz w:val="24"/>
          <w:szCs w:val="24"/>
        </w:rPr>
      </w:pPr>
      <w:r w:rsidRPr="00B010EB">
        <w:rPr>
          <w:rFonts w:ascii="Arial" w:eastAsia="Calibri" w:hAnsi="Arial" w:cs="Arial"/>
          <w:sz w:val="24"/>
          <w:szCs w:val="24"/>
        </w:rPr>
        <w:t>[</w:t>
      </w:r>
      <w:r w:rsidR="00C778C8" w:rsidRPr="00B010EB">
        <w:rPr>
          <w:rFonts w:ascii="Arial" w:eastAsia="Calibri" w:hAnsi="Arial" w:cs="Arial"/>
          <w:sz w:val="24"/>
          <w:szCs w:val="24"/>
        </w:rPr>
        <w:t>36</w:t>
      </w:r>
      <w:r w:rsidRPr="00B010EB">
        <w:rPr>
          <w:rFonts w:ascii="Arial" w:eastAsia="Calibri" w:hAnsi="Arial" w:cs="Arial"/>
          <w:sz w:val="24"/>
          <w:szCs w:val="24"/>
        </w:rPr>
        <w:t>]</w:t>
      </w:r>
      <w:r w:rsidRPr="00B010EB">
        <w:rPr>
          <w:rFonts w:ascii="Arial" w:eastAsia="Calibri" w:hAnsi="Arial" w:cs="Arial"/>
          <w:sz w:val="24"/>
          <w:szCs w:val="24"/>
        </w:rPr>
        <w:tab/>
        <w:t xml:space="preserve">To deal with these situations our courts have created a test which can be found in the </w:t>
      </w:r>
      <w:r w:rsidRPr="00B010EB">
        <w:rPr>
          <w:rFonts w:ascii="Arial" w:eastAsia="Calibri" w:hAnsi="Arial" w:cs="Arial"/>
          <w:i/>
          <w:sz w:val="24"/>
          <w:szCs w:val="24"/>
        </w:rPr>
        <w:t>Minister of Police v Rabie</w:t>
      </w:r>
      <w:r w:rsidRPr="00B010EB">
        <w:rPr>
          <w:rStyle w:val="FootnoteReference"/>
          <w:rFonts w:ascii="Arial" w:eastAsia="Calibri" w:hAnsi="Arial" w:cs="Arial"/>
          <w:sz w:val="24"/>
          <w:szCs w:val="24"/>
        </w:rPr>
        <w:footnoteReference w:id="15"/>
      </w:r>
      <w:r w:rsidRPr="00B010EB">
        <w:rPr>
          <w:rFonts w:ascii="Arial" w:eastAsia="Calibri" w:hAnsi="Arial" w:cs="Arial"/>
          <w:i/>
          <w:sz w:val="24"/>
          <w:szCs w:val="24"/>
        </w:rPr>
        <w:t xml:space="preserve">, </w:t>
      </w:r>
      <w:r w:rsidRPr="00B010EB">
        <w:rPr>
          <w:rFonts w:ascii="Arial" w:eastAsia="Calibri" w:hAnsi="Arial" w:cs="Arial"/>
          <w:sz w:val="24"/>
          <w:szCs w:val="24"/>
        </w:rPr>
        <w:t xml:space="preserve">which has been accepted in our jurisdiction in </w:t>
      </w:r>
      <w:r w:rsidRPr="00B010EB">
        <w:rPr>
          <w:rFonts w:ascii="Arial" w:hAnsi="Arial" w:cs="Arial"/>
          <w:i/>
          <w:sz w:val="24"/>
          <w:szCs w:val="24"/>
        </w:rPr>
        <w:t>Nghihepavali v Ministry of Agriculture Water and Forestry</w:t>
      </w:r>
      <w:r w:rsidRPr="00B010EB">
        <w:rPr>
          <w:rStyle w:val="FootnoteReference"/>
          <w:rFonts w:ascii="Arial" w:hAnsi="Arial" w:cs="Arial"/>
          <w:i/>
          <w:sz w:val="24"/>
          <w:szCs w:val="24"/>
        </w:rPr>
        <w:footnoteReference w:id="16"/>
      </w:r>
      <w:r w:rsidRPr="00B010EB">
        <w:rPr>
          <w:rFonts w:ascii="Arial" w:eastAsia="Calibri" w:hAnsi="Arial" w:cs="Arial"/>
          <w:i/>
          <w:sz w:val="24"/>
          <w:szCs w:val="24"/>
        </w:rPr>
        <w:t xml:space="preserve"> </w:t>
      </w:r>
      <w:r w:rsidRPr="00B010EB">
        <w:rPr>
          <w:rFonts w:ascii="Arial" w:eastAsia="Calibri" w:hAnsi="Arial" w:cs="Arial"/>
          <w:sz w:val="24"/>
          <w:szCs w:val="24"/>
        </w:rPr>
        <w:t xml:space="preserve">. The court in </w:t>
      </w:r>
      <w:r w:rsidRPr="00B010EB">
        <w:rPr>
          <w:rFonts w:ascii="Arial" w:eastAsia="Calibri" w:hAnsi="Arial" w:cs="Arial"/>
          <w:i/>
          <w:sz w:val="24"/>
          <w:szCs w:val="24"/>
        </w:rPr>
        <w:t xml:space="preserve">Rabie </w:t>
      </w:r>
      <w:r w:rsidRPr="00B010EB">
        <w:rPr>
          <w:rFonts w:ascii="Arial" w:eastAsia="Calibri" w:hAnsi="Arial" w:cs="Arial"/>
          <w:sz w:val="24"/>
          <w:szCs w:val="24"/>
        </w:rPr>
        <w:t>stated that the test has both a subjective and objective element:</w:t>
      </w:r>
    </w:p>
    <w:p w:rsidR="00B010EB" w:rsidRPr="00B010EB" w:rsidRDefault="00B010EB" w:rsidP="001A7C59">
      <w:pPr>
        <w:spacing w:after="0" w:line="360" w:lineRule="auto"/>
        <w:jc w:val="both"/>
        <w:rPr>
          <w:rFonts w:ascii="Arial" w:eastAsia="Calibri" w:hAnsi="Arial" w:cs="Arial"/>
          <w:sz w:val="24"/>
          <w:szCs w:val="24"/>
        </w:rPr>
      </w:pPr>
    </w:p>
    <w:p w:rsidR="004516BA" w:rsidRPr="00B010EB" w:rsidRDefault="004516BA" w:rsidP="001A7C59">
      <w:pPr>
        <w:shd w:val="clear" w:color="auto" w:fill="FFFFFF"/>
        <w:spacing w:after="0" w:line="360" w:lineRule="auto"/>
        <w:ind w:firstLine="720"/>
        <w:jc w:val="both"/>
        <w:rPr>
          <w:rFonts w:ascii="Arial" w:eastAsia="Times New Roman" w:hAnsi="Arial" w:cs="Arial"/>
          <w:lang w:eastAsia="en-ZA"/>
        </w:rPr>
      </w:pPr>
      <w:r w:rsidRPr="00B010EB">
        <w:rPr>
          <w:rFonts w:ascii="Arial" w:eastAsia="Times New Roman" w:hAnsi="Arial" w:cs="Arial"/>
          <w:lang w:eastAsia="en-ZA"/>
        </w:rPr>
        <w:t xml:space="preserve">‘It seems clear that an act done by a servant solely for </w:t>
      </w:r>
      <w:r w:rsidR="00C778C8" w:rsidRPr="00B010EB">
        <w:rPr>
          <w:rFonts w:ascii="Arial" w:eastAsia="Times New Roman" w:hAnsi="Arial" w:cs="Arial"/>
          <w:lang w:eastAsia="en-ZA"/>
        </w:rPr>
        <w:t>his own interests and purposes, although occasioned b</w:t>
      </w:r>
      <w:r w:rsidRPr="00B010EB">
        <w:rPr>
          <w:rFonts w:ascii="Arial" w:eastAsia="Times New Roman" w:hAnsi="Arial" w:cs="Arial"/>
          <w:lang w:eastAsia="en-ZA"/>
        </w:rPr>
        <w:t>y his employment, may fall outside the course or scope of his employment, and that in deciding whether an act by the servant does so fall, some reference is to be made to the servant's intention (cf </w:t>
      </w:r>
      <w:r w:rsidRPr="00B010EB">
        <w:rPr>
          <w:rFonts w:ascii="Arial" w:eastAsia="Times New Roman" w:hAnsi="Arial" w:cs="Arial"/>
          <w:i/>
          <w:u w:val="single"/>
          <w:lang w:eastAsia="en-ZA"/>
        </w:rPr>
        <w:t>Estate van der Byl v Swanepoe]</w:t>
      </w:r>
      <w:r w:rsidRPr="00B010EB">
        <w:rPr>
          <w:rFonts w:ascii="Arial" w:eastAsia="Times New Roman" w:hAnsi="Arial" w:cs="Arial"/>
          <w:i/>
          <w:lang w:eastAsia="en-ZA"/>
        </w:rPr>
        <w:t>,</w:t>
      </w:r>
      <w:r w:rsidRPr="00B010EB">
        <w:rPr>
          <w:rFonts w:ascii="Arial" w:eastAsia="Times New Roman" w:hAnsi="Arial" w:cs="Arial"/>
          <w:lang w:eastAsia="en-ZA"/>
        </w:rPr>
        <w:t> </w:t>
      </w:r>
      <w:hyperlink r:id="rId12" w:tooltip="View LawCiteRecord" w:history="1">
        <w:r w:rsidRPr="00B010EB">
          <w:rPr>
            <w:rFonts w:ascii="Arial" w:eastAsia="Times New Roman" w:hAnsi="Arial" w:cs="Arial"/>
            <w:bCs/>
            <w:u w:val="single"/>
            <w:lang w:eastAsia="en-ZA"/>
          </w:rPr>
          <w:t>1927 AD 141</w:t>
        </w:r>
      </w:hyperlink>
      <w:r w:rsidRPr="00B010EB">
        <w:rPr>
          <w:rFonts w:ascii="Arial" w:eastAsia="Times New Roman" w:hAnsi="Arial" w:cs="Arial"/>
          <w:lang w:eastAsia="en-ZA"/>
        </w:rPr>
        <w:t xml:space="preserve">, 150). The test is in this regard subjective. On the other hand, if there is nevertheless a sufficiently close link between the </w:t>
      </w:r>
      <w:r w:rsidR="00C778C8" w:rsidRPr="00B010EB">
        <w:rPr>
          <w:rFonts w:ascii="Arial" w:eastAsia="Times New Roman" w:hAnsi="Arial" w:cs="Arial"/>
          <w:lang w:eastAsia="en-ZA"/>
        </w:rPr>
        <w:t>servant’s</w:t>
      </w:r>
      <w:r w:rsidRPr="00B010EB">
        <w:rPr>
          <w:rFonts w:ascii="Arial" w:eastAsia="Times New Roman" w:hAnsi="Arial" w:cs="Arial"/>
          <w:lang w:eastAsia="en-ZA"/>
        </w:rPr>
        <w:t xml:space="preserve"> acts for his own interests and purposes and the business of his master, the master may yet be liable. This is an objective test.’</w:t>
      </w:r>
    </w:p>
    <w:p w:rsidR="00B010EB" w:rsidRPr="00B010EB" w:rsidRDefault="00B010EB" w:rsidP="001A7C59">
      <w:pPr>
        <w:shd w:val="clear" w:color="auto" w:fill="FFFFFF"/>
        <w:spacing w:after="0" w:line="360" w:lineRule="auto"/>
        <w:ind w:firstLine="720"/>
        <w:jc w:val="both"/>
        <w:rPr>
          <w:rFonts w:ascii="Arial" w:eastAsia="Times New Roman" w:hAnsi="Arial" w:cs="Arial"/>
          <w:lang w:eastAsia="en-ZA"/>
        </w:rPr>
      </w:pPr>
    </w:p>
    <w:p w:rsidR="004516BA" w:rsidRPr="00B010EB" w:rsidRDefault="004516BA" w:rsidP="001A7C59">
      <w:pPr>
        <w:spacing w:after="0" w:line="360" w:lineRule="auto"/>
        <w:jc w:val="both"/>
        <w:rPr>
          <w:rFonts w:ascii="Arial" w:eastAsia="Calibri" w:hAnsi="Arial" w:cs="Arial"/>
          <w:sz w:val="24"/>
          <w:szCs w:val="24"/>
        </w:rPr>
      </w:pPr>
      <w:r w:rsidRPr="00B010EB">
        <w:rPr>
          <w:rFonts w:ascii="Arial" w:eastAsia="Calibri" w:hAnsi="Arial" w:cs="Arial"/>
          <w:sz w:val="24"/>
          <w:szCs w:val="24"/>
        </w:rPr>
        <w:t>[</w:t>
      </w:r>
      <w:r w:rsidR="00C778C8" w:rsidRPr="00B010EB">
        <w:rPr>
          <w:rFonts w:ascii="Arial" w:eastAsia="Calibri" w:hAnsi="Arial" w:cs="Arial"/>
          <w:sz w:val="24"/>
          <w:szCs w:val="24"/>
        </w:rPr>
        <w:t>37</w:t>
      </w:r>
      <w:r w:rsidRPr="00B010EB">
        <w:rPr>
          <w:rFonts w:ascii="Arial" w:eastAsia="Calibri" w:hAnsi="Arial" w:cs="Arial"/>
          <w:sz w:val="24"/>
          <w:szCs w:val="24"/>
        </w:rPr>
        <w:t>]</w:t>
      </w:r>
      <w:r w:rsidRPr="00B010EB">
        <w:rPr>
          <w:rFonts w:ascii="Arial" w:eastAsia="Calibri" w:hAnsi="Arial" w:cs="Arial"/>
          <w:sz w:val="24"/>
          <w:szCs w:val="24"/>
        </w:rPr>
        <w:tab/>
        <w:t xml:space="preserve">In the matter of </w:t>
      </w:r>
      <w:r w:rsidRPr="00B010EB">
        <w:rPr>
          <w:rFonts w:ascii="Arial" w:eastAsia="Calibri" w:hAnsi="Arial" w:cs="Arial"/>
          <w:i/>
          <w:sz w:val="24"/>
          <w:szCs w:val="24"/>
        </w:rPr>
        <w:t xml:space="preserve">K v Minister of Safety and Security </w:t>
      </w:r>
      <w:r w:rsidRPr="00B010EB">
        <w:rPr>
          <w:rFonts w:ascii="Arial" w:eastAsia="Calibri" w:hAnsi="Arial" w:cs="Arial"/>
          <w:sz w:val="24"/>
          <w:szCs w:val="24"/>
        </w:rPr>
        <w:t xml:space="preserve">(supra) O’Regan J cautioned against applying the second part of the test in a mechanistic way. O’Regan J referred with approval to </w:t>
      </w:r>
      <w:r w:rsidRPr="00B010EB">
        <w:rPr>
          <w:rFonts w:ascii="Arial" w:hAnsi="Arial" w:cs="Arial"/>
          <w:i/>
          <w:iCs/>
          <w:sz w:val="24"/>
          <w:szCs w:val="24"/>
          <w:shd w:val="clear" w:color="auto" w:fill="FFFFFF"/>
        </w:rPr>
        <w:t>Bazley v Curry</w:t>
      </w:r>
      <w:r w:rsidRPr="00B010EB">
        <w:rPr>
          <w:rStyle w:val="FootnoteReference"/>
          <w:rFonts w:ascii="Arial" w:hAnsi="Arial" w:cs="Arial"/>
          <w:i/>
          <w:iCs/>
          <w:sz w:val="24"/>
          <w:szCs w:val="24"/>
          <w:shd w:val="clear" w:color="auto" w:fill="FFFFFF"/>
        </w:rPr>
        <w:footnoteReference w:id="17"/>
      </w:r>
      <w:r w:rsidRPr="00B010EB">
        <w:rPr>
          <w:rFonts w:ascii="Arial" w:hAnsi="Arial" w:cs="Arial"/>
          <w:i/>
          <w:iCs/>
          <w:sz w:val="24"/>
          <w:szCs w:val="24"/>
          <w:shd w:val="clear" w:color="auto" w:fill="FFFFFF"/>
        </w:rPr>
        <w:t xml:space="preserve"> </w:t>
      </w:r>
      <w:r w:rsidRPr="00B010EB">
        <w:rPr>
          <w:rFonts w:ascii="Arial" w:hAnsi="Arial" w:cs="Arial"/>
          <w:iCs/>
          <w:sz w:val="24"/>
          <w:szCs w:val="24"/>
          <w:shd w:val="clear" w:color="auto" w:fill="FFFFFF"/>
        </w:rPr>
        <w:t>wherein the Canadian Court stated that courts s</w:t>
      </w:r>
      <w:r w:rsidRPr="00B010EB">
        <w:rPr>
          <w:rFonts w:ascii="Arial" w:hAnsi="Arial" w:cs="Arial"/>
          <w:sz w:val="24"/>
          <w:szCs w:val="24"/>
          <w:shd w:val="clear" w:color="auto" w:fill="FFFFFF"/>
        </w:rPr>
        <w:t>hould openly confront the question of whether liability should lie against the employer, rather than obscuring the decision beneath semantic discussions of ‘scope of employment’ and ‘mode of conduct’.</w:t>
      </w:r>
    </w:p>
    <w:p w:rsidR="004516BA" w:rsidRPr="00B010EB" w:rsidRDefault="004516BA" w:rsidP="001A7C59">
      <w:pPr>
        <w:spacing w:after="0" w:line="360" w:lineRule="auto"/>
        <w:jc w:val="both"/>
        <w:rPr>
          <w:rFonts w:ascii="Arial" w:eastAsia="Calibri" w:hAnsi="Arial" w:cs="Arial"/>
          <w:sz w:val="24"/>
          <w:szCs w:val="24"/>
        </w:rPr>
      </w:pPr>
    </w:p>
    <w:p w:rsidR="004516BA" w:rsidRPr="00B010EB" w:rsidRDefault="004516BA" w:rsidP="001A7C59">
      <w:pPr>
        <w:spacing w:after="0" w:line="360" w:lineRule="auto"/>
        <w:jc w:val="both"/>
        <w:rPr>
          <w:rFonts w:ascii="Arial" w:eastAsia="Calibri" w:hAnsi="Arial" w:cs="Arial"/>
          <w:sz w:val="24"/>
          <w:szCs w:val="24"/>
        </w:rPr>
      </w:pPr>
      <w:r w:rsidRPr="00B010EB">
        <w:rPr>
          <w:rFonts w:ascii="Arial" w:eastAsia="Calibri" w:hAnsi="Arial" w:cs="Arial"/>
          <w:sz w:val="24"/>
          <w:szCs w:val="24"/>
        </w:rPr>
        <w:t>[</w:t>
      </w:r>
      <w:r w:rsidR="00C778C8" w:rsidRPr="00B010EB">
        <w:rPr>
          <w:rFonts w:ascii="Arial" w:eastAsia="Calibri" w:hAnsi="Arial" w:cs="Arial"/>
          <w:sz w:val="24"/>
          <w:szCs w:val="24"/>
        </w:rPr>
        <w:t>38</w:t>
      </w:r>
      <w:r w:rsidRPr="00B010EB">
        <w:rPr>
          <w:rFonts w:ascii="Arial" w:eastAsia="Calibri" w:hAnsi="Arial" w:cs="Arial"/>
          <w:sz w:val="24"/>
          <w:szCs w:val="24"/>
        </w:rPr>
        <w:t>]</w:t>
      </w:r>
      <w:r w:rsidRPr="00B010EB">
        <w:rPr>
          <w:rFonts w:ascii="Arial" w:eastAsia="Calibri" w:hAnsi="Arial" w:cs="Arial"/>
          <w:sz w:val="24"/>
          <w:szCs w:val="24"/>
        </w:rPr>
        <w:tab/>
        <w:t xml:space="preserve">I fully agree with the court’s sentiments in this regard and that is why it so important that the court makes an evaluative judgment in each case and regard to all the circumstances at hand. </w:t>
      </w:r>
    </w:p>
    <w:p w:rsidR="004516BA" w:rsidRPr="00B010EB" w:rsidRDefault="004516BA" w:rsidP="001A7C59">
      <w:pPr>
        <w:spacing w:after="0" w:line="360" w:lineRule="auto"/>
        <w:jc w:val="both"/>
        <w:rPr>
          <w:rFonts w:ascii="Arial" w:eastAsia="Calibri" w:hAnsi="Arial" w:cs="Arial"/>
          <w:sz w:val="24"/>
          <w:szCs w:val="24"/>
        </w:rPr>
      </w:pPr>
    </w:p>
    <w:p w:rsidR="004516BA" w:rsidRPr="00B010EB" w:rsidRDefault="004516BA" w:rsidP="001A7C59">
      <w:pPr>
        <w:spacing w:after="0" w:line="360" w:lineRule="auto"/>
        <w:jc w:val="both"/>
        <w:rPr>
          <w:rFonts w:ascii="Arial" w:eastAsia="Calibri" w:hAnsi="Arial" w:cs="Arial"/>
          <w:sz w:val="24"/>
          <w:szCs w:val="24"/>
        </w:rPr>
      </w:pPr>
      <w:r w:rsidRPr="00B010EB">
        <w:rPr>
          <w:rFonts w:ascii="Arial" w:eastAsia="Calibri" w:hAnsi="Arial" w:cs="Arial"/>
          <w:sz w:val="24"/>
          <w:szCs w:val="24"/>
        </w:rPr>
        <w:t>[</w:t>
      </w:r>
      <w:r w:rsidR="00C778C8" w:rsidRPr="00B010EB">
        <w:rPr>
          <w:rFonts w:ascii="Arial" w:eastAsia="Calibri" w:hAnsi="Arial" w:cs="Arial"/>
          <w:sz w:val="24"/>
          <w:szCs w:val="24"/>
        </w:rPr>
        <w:t>39</w:t>
      </w:r>
      <w:r w:rsidRPr="00B010EB">
        <w:rPr>
          <w:rFonts w:ascii="Arial" w:eastAsia="Calibri" w:hAnsi="Arial" w:cs="Arial"/>
          <w:sz w:val="24"/>
          <w:szCs w:val="24"/>
        </w:rPr>
        <w:t>]</w:t>
      </w:r>
      <w:r w:rsidRPr="00B010EB">
        <w:rPr>
          <w:rFonts w:ascii="Arial" w:eastAsia="Calibri" w:hAnsi="Arial" w:cs="Arial"/>
          <w:sz w:val="24"/>
          <w:szCs w:val="24"/>
        </w:rPr>
        <w:tab/>
        <w:t xml:space="preserve">In the matter before me the plaintiff trusted the first defendant apparently due to their history and friendship that they had. The plaintiff trusted the first defendant apparently against her better judgment as she </w:t>
      </w:r>
      <w:r w:rsidR="002A2EB2" w:rsidRPr="00B010EB">
        <w:rPr>
          <w:rFonts w:ascii="Arial" w:eastAsia="Calibri" w:hAnsi="Arial" w:cs="Arial"/>
          <w:sz w:val="24"/>
          <w:szCs w:val="24"/>
        </w:rPr>
        <w:t>did not withdraw or cancel the m</w:t>
      </w:r>
      <w:r w:rsidRPr="00B010EB">
        <w:rPr>
          <w:rFonts w:ascii="Arial" w:eastAsia="Calibri" w:hAnsi="Arial" w:cs="Arial"/>
          <w:sz w:val="24"/>
          <w:szCs w:val="24"/>
        </w:rPr>
        <w:t>andates in spite of the fact that it came to her knowl</w:t>
      </w:r>
      <w:r w:rsidR="00C778C8" w:rsidRPr="00B010EB">
        <w:rPr>
          <w:rFonts w:ascii="Arial" w:eastAsia="Calibri" w:hAnsi="Arial" w:cs="Arial"/>
          <w:sz w:val="24"/>
          <w:szCs w:val="24"/>
        </w:rPr>
        <w:t>edge s</w:t>
      </w:r>
      <w:r w:rsidR="002A2EB2" w:rsidRPr="00B010EB">
        <w:rPr>
          <w:rFonts w:ascii="Arial" w:eastAsia="Calibri" w:hAnsi="Arial" w:cs="Arial"/>
          <w:sz w:val="24"/>
          <w:szCs w:val="24"/>
        </w:rPr>
        <w:t xml:space="preserve">hortly after signing the </w:t>
      </w:r>
      <w:r w:rsidR="002A2EB2" w:rsidRPr="00B010EB">
        <w:rPr>
          <w:rFonts w:ascii="Arial" w:eastAsia="Calibri" w:hAnsi="Arial" w:cs="Arial"/>
          <w:sz w:val="24"/>
          <w:szCs w:val="24"/>
        </w:rPr>
        <w:lastRenderedPageBreak/>
        <w:t>m</w:t>
      </w:r>
      <w:r w:rsidRPr="00B010EB">
        <w:rPr>
          <w:rFonts w:ascii="Arial" w:eastAsia="Calibri" w:hAnsi="Arial" w:cs="Arial"/>
          <w:sz w:val="24"/>
          <w:szCs w:val="24"/>
        </w:rPr>
        <w:t xml:space="preserve">andates in 2014 that the first defendant actually stole money from her daughter. She </w:t>
      </w:r>
      <w:r w:rsidR="002A2EB2" w:rsidRPr="00B010EB">
        <w:rPr>
          <w:rFonts w:ascii="Arial" w:eastAsia="Calibri" w:hAnsi="Arial" w:cs="Arial"/>
          <w:sz w:val="24"/>
          <w:szCs w:val="24"/>
        </w:rPr>
        <w:t>did not withdraw or cancel the m</w:t>
      </w:r>
      <w:r w:rsidRPr="00B010EB">
        <w:rPr>
          <w:rFonts w:ascii="Arial" w:eastAsia="Calibri" w:hAnsi="Arial" w:cs="Arial"/>
          <w:sz w:val="24"/>
          <w:szCs w:val="24"/>
        </w:rPr>
        <w:t>andates in spite of the knowledge that the first defendant had financial difficulties. The plaintiff retained the first defendant as her mandatary, who had the right to deal with her accounts as she wishe</w:t>
      </w:r>
      <w:r w:rsidR="00C778C8" w:rsidRPr="00B010EB">
        <w:rPr>
          <w:rFonts w:ascii="Arial" w:eastAsia="Calibri" w:hAnsi="Arial" w:cs="Arial"/>
          <w:sz w:val="24"/>
          <w:szCs w:val="24"/>
        </w:rPr>
        <w:t>d</w:t>
      </w:r>
      <w:r w:rsidRPr="00B010EB">
        <w:rPr>
          <w:rFonts w:ascii="Arial" w:eastAsia="Calibri" w:hAnsi="Arial" w:cs="Arial"/>
          <w:sz w:val="24"/>
          <w:szCs w:val="24"/>
        </w:rPr>
        <w:t xml:space="preserve">. As a result </w:t>
      </w:r>
      <w:r w:rsidR="00C778C8" w:rsidRPr="00B010EB">
        <w:rPr>
          <w:rFonts w:ascii="Arial" w:eastAsia="Calibri" w:hAnsi="Arial" w:cs="Arial"/>
          <w:sz w:val="24"/>
          <w:szCs w:val="24"/>
        </w:rPr>
        <w:t>of the m</w:t>
      </w:r>
      <w:r w:rsidRPr="00B010EB">
        <w:rPr>
          <w:rFonts w:ascii="Arial" w:eastAsia="Calibri" w:hAnsi="Arial" w:cs="Arial"/>
          <w:sz w:val="24"/>
          <w:szCs w:val="24"/>
        </w:rPr>
        <w:t xml:space="preserve">andates the first defendant dealt with the bank </w:t>
      </w:r>
      <w:r w:rsidR="00C778C8" w:rsidRPr="00B010EB">
        <w:rPr>
          <w:rFonts w:ascii="Arial" w:eastAsia="Calibri" w:hAnsi="Arial" w:cs="Arial"/>
          <w:sz w:val="24"/>
          <w:szCs w:val="24"/>
        </w:rPr>
        <w:t xml:space="preserve">accounts </w:t>
      </w:r>
      <w:r w:rsidRPr="00B010EB">
        <w:rPr>
          <w:rFonts w:ascii="Arial" w:eastAsia="Calibri" w:hAnsi="Arial" w:cs="Arial"/>
          <w:sz w:val="24"/>
          <w:szCs w:val="24"/>
        </w:rPr>
        <w:t>as if it was the plaintiff in person. The moment the first defendant conducted any financial transaction with the bank she literally stepped into the shoes of the plaintiff. The first defendant would complete the withdrawal slip but could not process it the same as any other client. Another bank official had to process the transaction. When transacting the first defendant did it in terms of the authority granted to her by</w:t>
      </w:r>
      <w:r w:rsidR="00C778C8" w:rsidRPr="00B010EB">
        <w:rPr>
          <w:rFonts w:ascii="Arial" w:eastAsia="Calibri" w:hAnsi="Arial" w:cs="Arial"/>
          <w:sz w:val="24"/>
          <w:szCs w:val="24"/>
        </w:rPr>
        <w:t xml:space="preserve"> the plaintiff in terms of the m</w:t>
      </w:r>
      <w:r w:rsidRPr="00B010EB">
        <w:rPr>
          <w:rFonts w:ascii="Arial" w:eastAsia="Calibri" w:hAnsi="Arial" w:cs="Arial"/>
          <w:sz w:val="24"/>
          <w:szCs w:val="24"/>
        </w:rPr>
        <w:t xml:space="preserve">andate and not in her capacity as an employee of the bank. </w:t>
      </w:r>
    </w:p>
    <w:p w:rsidR="004516BA" w:rsidRPr="00B010EB" w:rsidRDefault="004516BA" w:rsidP="001A7C59">
      <w:pPr>
        <w:spacing w:after="0" w:line="360" w:lineRule="auto"/>
        <w:jc w:val="both"/>
        <w:rPr>
          <w:rFonts w:ascii="Arial" w:eastAsia="Calibri" w:hAnsi="Arial" w:cs="Arial"/>
          <w:sz w:val="24"/>
          <w:szCs w:val="24"/>
        </w:rPr>
      </w:pPr>
    </w:p>
    <w:p w:rsidR="004516BA" w:rsidRDefault="004516BA" w:rsidP="001A7C59">
      <w:pPr>
        <w:spacing w:after="0" w:line="360" w:lineRule="auto"/>
        <w:jc w:val="both"/>
        <w:rPr>
          <w:rFonts w:ascii="Arial" w:eastAsia="Calibri" w:hAnsi="Arial" w:cs="Arial"/>
          <w:sz w:val="24"/>
          <w:szCs w:val="24"/>
        </w:rPr>
      </w:pPr>
      <w:r w:rsidRPr="00B010EB">
        <w:rPr>
          <w:rFonts w:ascii="Arial" w:eastAsia="Calibri" w:hAnsi="Arial" w:cs="Arial"/>
          <w:sz w:val="24"/>
          <w:szCs w:val="24"/>
        </w:rPr>
        <w:t>[</w:t>
      </w:r>
      <w:r w:rsidR="00C778C8" w:rsidRPr="00B010EB">
        <w:rPr>
          <w:rFonts w:ascii="Arial" w:eastAsia="Calibri" w:hAnsi="Arial" w:cs="Arial"/>
          <w:sz w:val="24"/>
          <w:szCs w:val="24"/>
        </w:rPr>
        <w:t>40</w:t>
      </w:r>
      <w:r w:rsidRPr="00B010EB">
        <w:rPr>
          <w:rFonts w:ascii="Arial" w:eastAsia="Calibri" w:hAnsi="Arial" w:cs="Arial"/>
          <w:sz w:val="24"/>
          <w:szCs w:val="24"/>
        </w:rPr>
        <w:t>]</w:t>
      </w:r>
      <w:r w:rsidRPr="00B010EB">
        <w:rPr>
          <w:rFonts w:ascii="Arial" w:eastAsia="Calibri" w:hAnsi="Arial" w:cs="Arial"/>
          <w:sz w:val="24"/>
          <w:szCs w:val="24"/>
        </w:rPr>
        <w:tab/>
        <w:t>When the first defendant acted on behalf of the plaintiff as her mandatary /mandate holder</w:t>
      </w:r>
      <w:r w:rsidR="002A2EB2" w:rsidRPr="00B010EB">
        <w:rPr>
          <w:rFonts w:ascii="Arial" w:eastAsia="Calibri" w:hAnsi="Arial" w:cs="Arial"/>
          <w:sz w:val="24"/>
          <w:szCs w:val="24"/>
        </w:rPr>
        <w:t>,</w:t>
      </w:r>
      <w:r w:rsidRPr="00B010EB">
        <w:rPr>
          <w:rFonts w:ascii="Arial" w:eastAsia="Calibri" w:hAnsi="Arial" w:cs="Arial"/>
          <w:sz w:val="24"/>
          <w:szCs w:val="24"/>
        </w:rPr>
        <w:t xml:space="preserve"> she acted in her personal capacity as the plaintiff’s agent                                                                                                                                                                                                                                                                                                                                                                                                                                                                                                                                                                                                                                                                                                                                                                                                                                                                                                                                                                                                                                                                 and not in her capacity as </w:t>
      </w:r>
      <w:r w:rsidR="00C778C8" w:rsidRPr="00B010EB">
        <w:rPr>
          <w:rFonts w:ascii="Arial" w:eastAsia="Calibri" w:hAnsi="Arial" w:cs="Arial"/>
          <w:sz w:val="24"/>
          <w:szCs w:val="24"/>
        </w:rPr>
        <w:t>personal banker. The m</w:t>
      </w:r>
      <w:r w:rsidRPr="00B010EB">
        <w:rPr>
          <w:rFonts w:ascii="Arial" w:eastAsia="Calibri" w:hAnsi="Arial" w:cs="Arial"/>
          <w:sz w:val="24"/>
          <w:szCs w:val="24"/>
        </w:rPr>
        <w:t xml:space="preserve">andates as set out above clearly gave the first defendant the right to represent the plaintiff and in this instance the mandatary (first defendant) was the plaintiff’s agent. The first defendant acted as a general agent who </w:t>
      </w:r>
      <w:r w:rsidR="00C778C8" w:rsidRPr="00B010EB">
        <w:rPr>
          <w:rFonts w:ascii="Arial" w:eastAsia="Calibri" w:hAnsi="Arial" w:cs="Arial"/>
          <w:sz w:val="24"/>
          <w:szCs w:val="24"/>
        </w:rPr>
        <w:t>was</w:t>
      </w:r>
      <w:r w:rsidR="00960645" w:rsidRPr="00B010EB">
        <w:rPr>
          <w:rFonts w:ascii="Arial" w:eastAsia="Calibri" w:hAnsi="Arial" w:cs="Arial"/>
          <w:sz w:val="24"/>
          <w:szCs w:val="24"/>
        </w:rPr>
        <w:t xml:space="preserve"> </w:t>
      </w:r>
      <w:r w:rsidRPr="00B010EB">
        <w:rPr>
          <w:rFonts w:ascii="Arial" w:eastAsia="Calibri" w:hAnsi="Arial" w:cs="Arial"/>
          <w:sz w:val="24"/>
          <w:szCs w:val="24"/>
        </w:rPr>
        <w:t xml:space="preserve">authorised to act for the principal (plaintiff) in all banking transactions.  </w:t>
      </w:r>
    </w:p>
    <w:p w:rsidR="00B010EB" w:rsidRPr="00B010EB" w:rsidRDefault="00B010EB" w:rsidP="001A7C59">
      <w:pPr>
        <w:spacing w:after="0" w:line="360" w:lineRule="auto"/>
        <w:jc w:val="both"/>
        <w:rPr>
          <w:rFonts w:ascii="Arial" w:eastAsia="Calibri" w:hAnsi="Arial" w:cs="Arial"/>
          <w:sz w:val="24"/>
          <w:szCs w:val="24"/>
        </w:rPr>
      </w:pPr>
    </w:p>
    <w:p w:rsidR="004516BA" w:rsidRDefault="004516BA" w:rsidP="001A7C59">
      <w:pPr>
        <w:spacing w:after="0" w:line="360" w:lineRule="auto"/>
        <w:jc w:val="both"/>
        <w:rPr>
          <w:rFonts w:ascii="Arial" w:hAnsi="Arial" w:cs="Arial"/>
          <w:sz w:val="24"/>
          <w:szCs w:val="24"/>
        </w:rPr>
      </w:pPr>
      <w:r w:rsidRPr="00B010EB">
        <w:rPr>
          <w:rFonts w:ascii="Arial" w:eastAsia="Calibri" w:hAnsi="Arial" w:cs="Arial"/>
          <w:sz w:val="24"/>
          <w:szCs w:val="24"/>
        </w:rPr>
        <w:t>[</w:t>
      </w:r>
      <w:r w:rsidR="00C778C8" w:rsidRPr="00B010EB">
        <w:rPr>
          <w:rFonts w:ascii="Arial" w:eastAsia="Calibri" w:hAnsi="Arial" w:cs="Arial"/>
          <w:sz w:val="24"/>
          <w:szCs w:val="24"/>
        </w:rPr>
        <w:t>41</w:t>
      </w:r>
      <w:r w:rsidRPr="00B010EB">
        <w:rPr>
          <w:rFonts w:ascii="Arial" w:eastAsia="Calibri" w:hAnsi="Arial" w:cs="Arial"/>
          <w:sz w:val="24"/>
          <w:szCs w:val="24"/>
        </w:rPr>
        <w:t>]</w:t>
      </w:r>
      <w:r w:rsidRPr="00B010EB">
        <w:rPr>
          <w:rFonts w:ascii="Arial" w:eastAsia="Calibri" w:hAnsi="Arial" w:cs="Arial"/>
          <w:sz w:val="24"/>
          <w:szCs w:val="24"/>
        </w:rPr>
        <w:tab/>
        <w:t xml:space="preserve"> Acting as an agent on behalf of the plaintiff was neither part of the first defendant’s duties nor was it reasonably incidental thereto.  </w:t>
      </w:r>
      <w:r w:rsidR="00C778C8" w:rsidRPr="00B010EB">
        <w:rPr>
          <w:rFonts w:ascii="Arial" w:hAnsi="Arial" w:cs="Arial"/>
          <w:sz w:val="24"/>
          <w:szCs w:val="24"/>
        </w:rPr>
        <w:t>When the plaintiff signed the M</w:t>
      </w:r>
      <w:r w:rsidRPr="00B010EB">
        <w:rPr>
          <w:rFonts w:ascii="Arial" w:hAnsi="Arial" w:cs="Arial"/>
          <w:sz w:val="24"/>
          <w:szCs w:val="24"/>
        </w:rPr>
        <w:t xml:space="preserve">andates she attracted the risk that was associated with such a mandate. </w:t>
      </w:r>
    </w:p>
    <w:p w:rsidR="00B010EB" w:rsidRPr="00B010EB" w:rsidRDefault="00B010EB" w:rsidP="001A7C59">
      <w:pPr>
        <w:spacing w:after="0" w:line="360" w:lineRule="auto"/>
        <w:jc w:val="both"/>
        <w:rPr>
          <w:rFonts w:ascii="Arial" w:hAnsi="Arial" w:cs="Arial"/>
          <w:sz w:val="24"/>
          <w:szCs w:val="24"/>
        </w:rPr>
      </w:pPr>
    </w:p>
    <w:p w:rsidR="009C7248" w:rsidRPr="00B010EB" w:rsidRDefault="004516BA" w:rsidP="001A7C59">
      <w:pPr>
        <w:spacing w:after="0" w:line="360" w:lineRule="auto"/>
        <w:jc w:val="both"/>
        <w:rPr>
          <w:rFonts w:ascii="Arial" w:hAnsi="Arial" w:cs="Arial"/>
          <w:sz w:val="24"/>
          <w:szCs w:val="24"/>
        </w:rPr>
      </w:pPr>
      <w:r w:rsidRPr="00B010EB">
        <w:rPr>
          <w:rFonts w:ascii="Arial" w:eastAsia="Calibri" w:hAnsi="Arial" w:cs="Arial"/>
          <w:sz w:val="24"/>
          <w:szCs w:val="24"/>
        </w:rPr>
        <w:t>[</w:t>
      </w:r>
      <w:r w:rsidR="00C778C8" w:rsidRPr="00B010EB">
        <w:rPr>
          <w:rFonts w:ascii="Arial" w:eastAsia="Calibri" w:hAnsi="Arial" w:cs="Arial"/>
          <w:sz w:val="24"/>
          <w:szCs w:val="24"/>
        </w:rPr>
        <w:t>42</w:t>
      </w:r>
      <w:r w:rsidRPr="00B010EB">
        <w:rPr>
          <w:rFonts w:ascii="Arial" w:eastAsia="Calibri" w:hAnsi="Arial" w:cs="Arial"/>
          <w:sz w:val="24"/>
          <w:szCs w:val="24"/>
        </w:rPr>
        <w:t>]</w:t>
      </w:r>
      <w:r w:rsidRPr="00B010EB">
        <w:rPr>
          <w:rFonts w:ascii="Arial" w:eastAsia="Calibri" w:hAnsi="Arial" w:cs="Arial"/>
          <w:sz w:val="24"/>
          <w:szCs w:val="24"/>
        </w:rPr>
        <w:tab/>
        <w:t>The question is thus whether or not first defend</w:t>
      </w:r>
      <w:r w:rsidR="00233AC2" w:rsidRPr="00B010EB">
        <w:rPr>
          <w:rFonts w:ascii="Arial" w:eastAsia="Calibri" w:hAnsi="Arial" w:cs="Arial"/>
          <w:sz w:val="24"/>
          <w:szCs w:val="24"/>
        </w:rPr>
        <w:t xml:space="preserve">ant was furthering the interests </w:t>
      </w:r>
      <w:r w:rsidRPr="00B010EB">
        <w:rPr>
          <w:rFonts w:ascii="Arial" w:eastAsia="Calibri" w:hAnsi="Arial" w:cs="Arial"/>
          <w:sz w:val="24"/>
          <w:szCs w:val="24"/>
        </w:rPr>
        <w:t>of the second defendant when she misappropriated the money from the plaintiff’s account in accordance with the Mandates. Having considered the above, I am of the opinion that the first defendant’</w:t>
      </w:r>
      <w:r w:rsidR="00C778C8" w:rsidRPr="00B010EB">
        <w:rPr>
          <w:rFonts w:ascii="Arial" w:eastAsia="Calibri" w:hAnsi="Arial" w:cs="Arial"/>
          <w:sz w:val="24"/>
          <w:szCs w:val="24"/>
        </w:rPr>
        <w:t xml:space="preserve">s actions in this matter are </w:t>
      </w:r>
      <w:r w:rsidRPr="00B010EB">
        <w:rPr>
          <w:rFonts w:ascii="Arial" w:eastAsia="Calibri" w:hAnsi="Arial" w:cs="Arial"/>
          <w:sz w:val="24"/>
          <w:szCs w:val="24"/>
        </w:rPr>
        <w:t>completely detached from the expectations of second defendant in the circumstances. There is no sufficient link and/or connection that can qualify the first defendant to have been acting within the scope of her employment. First defendants conduct and nature of her duties are far and remotely connected to her mandate from the plaintiff. It can therefore, be safely held that first defendant was on a frolic of her own and as such vicarious liability cannot and should not be extended to engulf second defendant in the circumstances.</w:t>
      </w:r>
    </w:p>
    <w:p w:rsidR="00C778C8" w:rsidRPr="00B010EB" w:rsidRDefault="00C778C8" w:rsidP="001A7C59">
      <w:pPr>
        <w:spacing w:after="0" w:line="360" w:lineRule="auto"/>
        <w:jc w:val="both"/>
        <w:rPr>
          <w:rFonts w:ascii="Arial" w:hAnsi="Arial" w:cs="Arial"/>
          <w:sz w:val="24"/>
          <w:szCs w:val="24"/>
        </w:rPr>
      </w:pPr>
    </w:p>
    <w:p w:rsidR="007C37DF" w:rsidRPr="00B010EB" w:rsidRDefault="00025FA7" w:rsidP="001A7C59">
      <w:pPr>
        <w:pStyle w:val="NormalWeb"/>
        <w:tabs>
          <w:tab w:val="left" w:pos="5970"/>
        </w:tabs>
        <w:spacing w:before="0" w:beforeAutospacing="0" w:after="0" w:afterAutospacing="0" w:line="360" w:lineRule="auto"/>
        <w:rPr>
          <w:rFonts w:ascii="Arial" w:hAnsi="Arial" w:cs="Arial"/>
          <w:u w:val="single"/>
        </w:rPr>
      </w:pPr>
      <w:r w:rsidRPr="00B010EB">
        <w:rPr>
          <w:rFonts w:ascii="Arial" w:hAnsi="Arial" w:cs="Arial"/>
          <w:u w:val="single"/>
        </w:rPr>
        <w:t>Order</w:t>
      </w:r>
    </w:p>
    <w:p w:rsidR="00960645" w:rsidRDefault="00960645" w:rsidP="001A7C59">
      <w:pPr>
        <w:spacing w:after="0" w:line="360" w:lineRule="auto"/>
        <w:jc w:val="both"/>
        <w:rPr>
          <w:rFonts w:ascii="Arial" w:eastAsia="Calibri" w:hAnsi="Arial" w:cs="Arial"/>
          <w:sz w:val="24"/>
          <w:szCs w:val="24"/>
        </w:rPr>
      </w:pPr>
      <w:r w:rsidRPr="00B010EB">
        <w:rPr>
          <w:rFonts w:ascii="Arial" w:eastAsia="Calibri" w:hAnsi="Arial" w:cs="Arial"/>
          <w:sz w:val="24"/>
          <w:szCs w:val="24"/>
        </w:rPr>
        <w:t>The plaintiff’s claim against the second defendant is dismissed with cost. Such cost to include the cost of one instructing and one instructed counsel.</w:t>
      </w:r>
    </w:p>
    <w:p w:rsidR="00B010EB" w:rsidRPr="00B010EB" w:rsidRDefault="00B010EB" w:rsidP="001A7C59">
      <w:pPr>
        <w:spacing w:after="0" w:line="360" w:lineRule="auto"/>
        <w:jc w:val="both"/>
        <w:rPr>
          <w:rFonts w:ascii="Arial" w:hAnsi="Arial" w:cs="Arial"/>
          <w:sz w:val="24"/>
          <w:szCs w:val="24"/>
          <w:lang w:val="en-ZA"/>
        </w:rPr>
      </w:pPr>
    </w:p>
    <w:p w:rsidR="00184BCA" w:rsidRPr="00B010EB" w:rsidRDefault="00184BCA" w:rsidP="001A7C59">
      <w:pPr>
        <w:pStyle w:val="NormalWeb"/>
        <w:spacing w:before="0" w:beforeAutospacing="0" w:after="0" w:afterAutospacing="0" w:line="360" w:lineRule="auto"/>
        <w:jc w:val="both"/>
        <w:rPr>
          <w:rFonts w:ascii="Arial" w:hAnsi="Arial" w:cs="Arial"/>
        </w:rPr>
      </w:pP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t xml:space="preserve">                                                                        _________________________</w:t>
      </w:r>
    </w:p>
    <w:p w:rsidR="00960645" w:rsidRPr="00B010EB" w:rsidRDefault="00184BCA" w:rsidP="001A7C59">
      <w:pPr>
        <w:pStyle w:val="NormalWeb"/>
        <w:spacing w:before="0" w:beforeAutospacing="0" w:after="0" w:afterAutospacing="0" w:line="360" w:lineRule="auto"/>
        <w:jc w:val="both"/>
        <w:rPr>
          <w:rFonts w:ascii="Arial" w:hAnsi="Arial" w:cs="Arial"/>
        </w:rPr>
      </w:pP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t>J S Prinsloo</w:t>
      </w:r>
    </w:p>
    <w:p w:rsidR="00960645" w:rsidRPr="00B010EB" w:rsidRDefault="00960645" w:rsidP="001A7C59">
      <w:pPr>
        <w:pStyle w:val="NormalWeb"/>
        <w:spacing w:before="0" w:beforeAutospacing="0" w:after="0" w:afterAutospacing="0" w:line="360" w:lineRule="auto"/>
        <w:ind w:left="5040" w:firstLine="720"/>
        <w:jc w:val="both"/>
        <w:rPr>
          <w:rFonts w:ascii="Arial" w:hAnsi="Arial" w:cs="Arial"/>
        </w:rPr>
      </w:pPr>
      <w:r w:rsidRPr="00B010EB">
        <w:rPr>
          <w:rFonts w:ascii="Arial" w:hAnsi="Arial" w:cs="Arial"/>
        </w:rPr>
        <w:t>Judge</w:t>
      </w:r>
    </w:p>
    <w:p w:rsidR="00960645" w:rsidRPr="00B010EB" w:rsidRDefault="00960645" w:rsidP="001A7C59">
      <w:pPr>
        <w:pStyle w:val="NormalWeb"/>
        <w:spacing w:before="0" w:beforeAutospacing="0" w:after="0" w:afterAutospacing="0" w:line="360" w:lineRule="auto"/>
        <w:jc w:val="both"/>
        <w:rPr>
          <w:rFonts w:ascii="Arial" w:hAnsi="Arial" w:cs="Arial"/>
        </w:rPr>
      </w:pPr>
    </w:p>
    <w:p w:rsidR="00960645" w:rsidRPr="00B010EB" w:rsidRDefault="00960645" w:rsidP="001A7C59">
      <w:pPr>
        <w:pStyle w:val="NormalWeb"/>
        <w:spacing w:before="0" w:beforeAutospacing="0" w:after="0" w:afterAutospacing="0" w:line="360" w:lineRule="auto"/>
        <w:jc w:val="both"/>
        <w:rPr>
          <w:rFonts w:ascii="Arial" w:hAnsi="Arial" w:cs="Arial"/>
        </w:rPr>
      </w:pPr>
    </w:p>
    <w:p w:rsidR="00960645" w:rsidRPr="00B010EB" w:rsidRDefault="00960645" w:rsidP="001A7C59">
      <w:pPr>
        <w:pStyle w:val="NormalWeb"/>
        <w:spacing w:before="0" w:beforeAutospacing="0" w:after="0" w:afterAutospacing="0" w:line="360" w:lineRule="auto"/>
        <w:jc w:val="both"/>
        <w:rPr>
          <w:rFonts w:ascii="Arial" w:hAnsi="Arial" w:cs="Arial"/>
        </w:rPr>
      </w:pPr>
    </w:p>
    <w:p w:rsidR="00960645" w:rsidRPr="00B010EB" w:rsidRDefault="00960645" w:rsidP="001A7C59">
      <w:pPr>
        <w:pStyle w:val="NormalWeb"/>
        <w:spacing w:before="0" w:beforeAutospacing="0" w:after="0" w:afterAutospacing="0" w:line="360" w:lineRule="auto"/>
        <w:jc w:val="both"/>
        <w:rPr>
          <w:rFonts w:ascii="Arial" w:hAnsi="Arial" w:cs="Arial"/>
        </w:rPr>
      </w:pPr>
    </w:p>
    <w:p w:rsidR="00960645" w:rsidRPr="00B010EB" w:rsidRDefault="00960645" w:rsidP="001A7C59">
      <w:pPr>
        <w:pStyle w:val="NormalWeb"/>
        <w:spacing w:before="0" w:beforeAutospacing="0" w:after="0" w:afterAutospacing="0" w:line="360" w:lineRule="auto"/>
        <w:jc w:val="both"/>
        <w:rPr>
          <w:rFonts w:ascii="Arial" w:hAnsi="Arial" w:cs="Arial"/>
        </w:rPr>
      </w:pPr>
    </w:p>
    <w:p w:rsidR="00960645" w:rsidRPr="00B010EB" w:rsidRDefault="00960645" w:rsidP="001A7C59">
      <w:pPr>
        <w:pStyle w:val="NormalWeb"/>
        <w:spacing w:before="0" w:beforeAutospacing="0" w:after="0" w:afterAutospacing="0" w:line="360" w:lineRule="auto"/>
        <w:jc w:val="both"/>
        <w:rPr>
          <w:rFonts w:ascii="Arial" w:hAnsi="Arial" w:cs="Arial"/>
        </w:rPr>
      </w:pPr>
    </w:p>
    <w:p w:rsidR="00960645" w:rsidRPr="00B010EB" w:rsidRDefault="00960645" w:rsidP="001A7C59">
      <w:pPr>
        <w:pStyle w:val="NormalWeb"/>
        <w:spacing w:before="0" w:beforeAutospacing="0" w:after="0" w:afterAutospacing="0" w:line="360" w:lineRule="auto"/>
        <w:jc w:val="both"/>
        <w:rPr>
          <w:rFonts w:ascii="Arial" w:hAnsi="Arial" w:cs="Arial"/>
        </w:rPr>
      </w:pPr>
    </w:p>
    <w:p w:rsidR="00960645" w:rsidRPr="00B010EB" w:rsidRDefault="00960645" w:rsidP="001A7C59">
      <w:pPr>
        <w:pStyle w:val="NormalWeb"/>
        <w:spacing w:before="0" w:beforeAutospacing="0" w:after="0" w:afterAutospacing="0" w:line="360" w:lineRule="auto"/>
        <w:jc w:val="both"/>
        <w:rPr>
          <w:rFonts w:ascii="Arial" w:hAnsi="Arial" w:cs="Arial"/>
        </w:rPr>
      </w:pPr>
    </w:p>
    <w:p w:rsidR="00960645" w:rsidRPr="00B010EB" w:rsidRDefault="00960645" w:rsidP="001A7C59">
      <w:pPr>
        <w:pStyle w:val="NormalWeb"/>
        <w:spacing w:before="0" w:beforeAutospacing="0" w:after="0" w:afterAutospacing="0" w:line="360" w:lineRule="auto"/>
        <w:jc w:val="both"/>
        <w:rPr>
          <w:rFonts w:ascii="Arial" w:hAnsi="Arial" w:cs="Arial"/>
        </w:rPr>
      </w:pPr>
    </w:p>
    <w:p w:rsidR="00960645" w:rsidRPr="00B010EB" w:rsidRDefault="00960645" w:rsidP="001A7C59">
      <w:pPr>
        <w:pStyle w:val="NormalWeb"/>
        <w:spacing w:before="0" w:beforeAutospacing="0" w:after="0" w:afterAutospacing="0" w:line="360" w:lineRule="auto"/>
        <w:jc w:val="both"/>
        <w:rPr>
          <w:rFonts w:ascii="Arial" w:hAnsi="Arial" w:cs="Arial"/>
        </w:rPr>
      </w:pPr>
    </w:p>
    <w:p w:rsidR="00960645" w:rsidRPr="00B010EB" w:rsidRDefault="00960645" w:rsidP="001A7C59">
      <w:pPr>
        <w:pStyle w:val="NormalWeb"/>
        <w:spacing w:before="0" w:beforeAutospacing="0" w:after="0" w:afterAutospacing="0" w:line="360" w:lineRule="auto"/>
        <w:jc w:val="both"/>
        <w:rPr>
          <w:rFonts w:ascii="Arial" w:hAnsi="Arial" w:cs="Arial"/>
        </w:rPr>
      </w:pPr>
    </w:p>
    <w:p w:rsidR="00960645" w:rsidRPr="00B010EB" w:rsidRDefault="00960645" w:rsidP="001A7C59">
      <w:pPr>
        <w:pStyle w:val="NormalWeb"/>
        <w:spacing w:before="0" w:beforeAutospacing="0" w:after="0" w:afterAutospacing="0" w:line="360" w:lineRule="auto"/>
        <w:jc w:val="both"/>
        <w:rPr>
          <w:rFonts w:ascii="Arial" w:hAnsi="Arial" w:cs="Arial"/>
        </w:rPr>
      </w:pPr>
    </w:p>
    <w:p w:rsidR="00960645" w:rsidRPr="00B010EB" w:rsidRDefault="00960645" w:rsidP="001A7C59">
      <w:pPr>
        <w:pStyle w:val="NormalWeb"/>
        <w:spacing w:before="0" w:beforeAutospacing="0" w:after="0" w:afterAutospacing="0" w:line="360" w:lineRule="auto"/>
        <w:jc w:val="both"/>
        <w:rPr>
          <w:rFonts w:ascii="Arial" w:hAnsi="Arial" w:cs="Arial"/>
        </w:rPr>
      </w:pPr>
    </w:p>
    <w:p w:rsidR="00960645" w:rsidRPr="00B010EB" w:rsidRDefault="00960645" w:rsidP="001A7C59">
      <w:pPr>
        <w:pStyle w:val="NormalWeb"/>
        <w:spacing w:before="0" w:beforeAutospacing="0" w:after="0" w:afterAutospacing="0" w:line="360" w:lineRule="auto"/>
        <w:jc w:val="both"/>
        <w:rPr>
          <w:rFonts w:ascii="Arial" w:hAnsi="Arial" w:cs="Arial"/>
        </w:rPr>
      </w:pPr>
    </w:p>
    <w:p w:rsidR="00960645" w:rsidRPr="00B010EB" w:rsidRDefault="00960645" w:rsidP="001A7C59">
      <w:pPr>
        <w:pStyle w:val="NormalWeb"/>
        <w:spacing w:before="0" w:beforeAutospacing="0" w:after="0" w:afterAutospacing="0" w:line="360" w:lineRule="auto"/>
        <w:jc w:val="both"/>
        <w:rPr>
          <w:rFonts w:ascii="Arial" w:hAnsi="Arial" w:cs="Arial"/>
        </w:rPr>
      </w:pPr>
    </w:p>
    <w:p w:rsidR="00960645" w:rsidRPr="00B010EB" w:rsidRDefault="00960645" w:rsidP="001A7C59">
      <w:pPr>
        <w:pStyle w:val="NormalWeb"/>
        <w:spacing w:before="0" w:beforeAutospacing="0" w:after="0" w:afterAutospacing="0" w:line="360" w:lineRule="auto"/>
        <w:jc w:val="both"/>
        <w:rPr>
          <w:rFonts w:ascii="Arial" w:hAnsi="Arial" w:cs="Arial"/>
        </w:rPr>
      </w:pPr>
    </w:p>
    <w:p w:rsidR="00960645" w:rsidRPr="00B010EB" w:rsidRDefault="00960645" w:rsidP="001A7C59">
      <w:pPr>
        <w:pStyle w:val="NormalWeb"/>
        <w:spacing w:before="0" w:beforeAutospacing="0" w:after="0" w:afterAutospacing="0" w:line="360" w:lineRule="auto"/>
        <w:jc w:val="both"/>
        <w:rPr>
          <w:rFonts w:ascii="Arial" w:hAnsi="Arial" w:cs="Arial"/>
        </w:rPr>
      </w:pPr>
    </w:p>
    <w:p w:rsidR="00B010EB" w:rsidRDefault="00B010EB">
      <w:pPr>
        <w:rPr>
          <w:rFonts w:ascii="Arial" w:eastAsia="Times New Roman" w:hAnsi="Arial" w:cs="Arial"/>
          <w:sz w:val="24"/>
          <w:szCs w:val="24"/>
          <w:lang w:val="en-ZA" w:eastAsia="en-ZA"/>
        </w:rPr>
      </w:pPr>
      <w:r>
        <w:rPr>
          <w:rFonts w:ascii="Arial" w:hAnsi="Arial" w:cs="Arial"/>
        </w:rPr>
        <w:br w:type="page"/>
      </w:r>
    </w:p>
    <w:p w:rsidR="00B010EB" w:rsidRDefault="00B010EB" w:rsidP="001A7C59">
      <w:pPr>
        <w:pStyle w:val="NormalWeb"/>
        <w:spacing w:before="0" w:beforeAutospacing="0" w:after="0" w:afterAutospacing="0" w:line="360" w:lineRule="auto"/>
        <w:jc w:val="both"/>
        <w:rPr>
          <w:rFonts w:ascii="Arial" w:hAnsi="Arial" w:cs="Arial"/>
        </w:rPr>
      </w:pPr>
      <w:r>
        <w:rPr>
          <w:rFonts w:ascii="Arial" w:hAnsi="Arial" w:cs="Arial"/>
        </w:rPr>
        <w:lastRenderedPageBreak/>
        <w:t>APPEARANCES:</w:t>
      </w:r>
    </w:p>
    <w:p w:rsidR="00B010EB" w:rsidRDefault="00B010EB" w:rsidP="001A7C59">
      <w:pPr>
        <w:pStyle w:val="NormalWeb"/>
        <w:spacing w:before="0" w:beforeAutospacing="0" w:after="0" w:afterAutospacing="0" w:line="360" w:lineRule="auto"/>
        <w:jc w:val="both"/>
        <w:rPr>
          <w:rFonts w:ascii="Arial" w:hAnsi="Arial" w:cs="Arial"/>
        </w:rPr>
      </w:pPr>
    </w:p>
    <w:p w:rsidR="00B010EB" w:rsidRDefault="00B010EB" w:rsidP="001A7C59">
      <w:pPr>
        <w:pStyle w:val="NormalWeb"/>
        <w:spacing w:before="0" w:beforeAutospacing="0" w:after="0" w:afterAutospacing="0" w:line="360" w:lineRule="auto"/>
        <w:jc w:val="both"/>
        <w:rPr>
          <w:rFonts w:ascii="Arial" w:hAnsi="Arial" w:cs="Arial"/>
        </w:rPr>
      </w:pPr>
    </w:p>
    <w:p w:rsidR="000964C7" w:rsidRPr="00B010EB" w:rsidRDefault="000964C7" w:rsidP="001A7C59">
      <w:pPr>
        <w:pStyle w:val="NormalWeb"/>
        <w:spacing w:before="0" w:beforeAutospacing="0" w:after="0" w:afterAutospacing="0" w:line="360" w:lineRule="auto"/>
        <w:jc w:val="both"/>
        <w:rPr>
          <w:rFonts w:ascii="Arial" w:hAnsi="Arial" w:cs="Arial"/>
        </w:rPr>
      </w:pPr>
      <w:r w:rsidRPr="00B010EB">
        <w:rPr>
          <w:rFonts w:ascii="Arial" w:hAnsi="Arial" w:cs="Arial"/>
        </w:rPr>
        <w:t xml:space="preserve">For plaintiff: </w:t>
      </w: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t xml:space="preserve">Mr </w:t>
      </w:r>
      <w:r w:rsidR="00C2266E" w:rsidRPr="00B010EB">
        <w:rPr>
          <w:rFonts w:ascii="Arial" w:hAnsi="Arial" w:cs="Arial"/>
        </w:rPr>
        <w:t xml:space="preserve">Z Grobler </w:t>
      </w:r>
    </w:p>
    <w:p w:rsidR="0043128B" w:rsidRPr="00B010EB" w:rsidRDefault="00C2266E" w:rsidP="001A7C59">
      <w:pPr>
        <w:pStyle w:val="NormalWeb"/>
        <w:spacing w:before="0" w:beforeAutospacing="0" w:after="0" w:afterAutospacing="0" w:line="360" w:lineRule="auto"/>
        <w:jc w:val="both"/>
        <w:rPr>
          <w:rFonts w:ascii="Arial" w:hAnsi="Arial" w:cs="Arial"/>
        </w:rPr>
      </w:pP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r>
      <w:r w:rsidRPr="00B010EB">
        <w:rPr>
          <w:rFonts w:ascii="Arial" w:hAnsi="Arial" w:cs="Arial"/>
        </w:rPr>
        <w:tab/>
        <w:t>Of Grobler &amp; Co</w:t>
      </w:r>
      <w:r w:rsidR="0043128B" w:rsidRPr="00B010EB">
        <w:rPr>
          <w:rFonts w:ascii="Arial" w:hAnsi="Arial" w:cs="Arial"/>
        </w:rPr>
        <w:t xml:space="preserve">, Windhoek. </w:t>
      </w:r>
    </w:p>
    <w:p w:rsidR="000964C7" w:rsidRPr="00B010EB" w:rsidRDefault="000964C7" w:rsidP="001A7C59">
      <w:pPr>
        <w:pStyle w:val="NormalWeb"/>
        <w:spacing w:before="0" w:beforeAutospacing="0" w:after="0" w:afterAutospacing="0" w:line="360" w:lineRule="auto"/>
        <w:jc w:val="both"/>
        <w:rPr>
          <w:rFonts w:ascii="Arial" w:hAnsi="Arial" w:cs="Arial"/>
        </w:rPr>
      </w:pPr>
    </w:p>
    <w:p w:rsidR="00C2266E" w:rsidRPr="00B010EB" w:rsidRDefault="00C2266E" w:rsidP="001A7C59">
      <w:pPr>
        <w:pStyle w:val="NormalWeb"/>
        <w:spacing w:before="0" w:beforeAutospacing="0" w:after="0" w:afterAutospacing="0" w:line="360" w:lineRule="auto"/>
        <w:jc w:val="both"/>
        <w:rPr>
          <w:rFonts w:ascii="Arial" w:hAnsi="Arial" w:cs="Arial"/>
        </w:rPr>
      </w:pPr>
      <w:r w:rsidRPr="00B010EB">
        <w:rPr>
          <w:rFonts w:ascii="Arial" w:hAnsi="Arial" w:cs="Arial"/>
        </w:rPr>
        <w:t>For</w:t>
      </w:r>
      <w:r w:rsidR="00A76945" w:rsidRPr="00B010EB">
        <w:rPr>
          <w:rFonts w:ascii="Arial" w:hAnsi="Arial" w:cs="Arial"/>
        </w:rPr>
        <w:t xml:space="preserve"> second</w:t>
      </w:r>
      <w:r w:rsidRPr="00B010EB">
        <w:rPr>
          <w:rFonts w:ascii="Arial" w:hAnsi="Arial" w:cs="Arial"/>
        </w:rPr>
        <w:t xml:space="preserve"> defendant: </w:t>
      </w:r>
      <w:r w:rsidRPr="00B010EB">
        <w:rPr>
          <w:rFonts w:ascii="Arial" w:hAnsi="Arial" w:cs="Arial"/>
        </w:rPr>
        <w:tab/>
      </w:r>
      <w:r w:rsidRPr="00B010EB">
        <w:rPr>
          <w:rFonts w:ascii="Arial" w:hAnsi="Arial" w:cs="Arial"/>
        </w:rPr>
        <w:tab/>
      </w:r>
      <w:r w:rsidRPr="00B010EB">
        <w:rPr>
          <w:rFonts w:ascii="Arial" w:hAnsi="Arial" w:cs="Arial"/>
        </w:rPr>
        <w:tab/>
        <w:t>Mr C J Van Zyl</w:t>
      </w:r>
    </w:p>
    <w:p w:rsidR="0043128B" w:rsidRPr="00B010EB" w:rsidRDefault="00C2266E" w:rsidP="001A7C59">
      <w:pPr>
        <w:pStyle w:val="NormalWeb"/>
        <w:spacing w:before="0" w:beforeAutospacing="0" w:after="0" w:afterAutospacing="0" w:line="360" w:lineRule="auto"/>
        <w:ind w:left="4320"/>
        <w:jc w:val="both"/>
        <w:rPr>
          <w:rFonts w:ascii="Arial" w:hAnsi="Arial" w:cs="Arial"/>
        </w:rPr>
      </w:pPr>
      <w:r w:rsidRPr="00B010EB">
        <w:rPr>
          <w:rFonts w:ascii="Arial" w:hAnsi="Arial" w:cs="Arial"/>
        </w:rPr>
        <w:t xml:space="preserve">Instructed by Dr Weder, Kauta &amp; Hoveka Inc. Windhoek. </w:t>
      </w:r>
    </w:p>
    <w:sectPr w:rsidR="0043128B" w:rsidRPr="00B010EB" w:rsidSect="001A7C59">
      <w:headerReference w:type="default" r:id="rId13"/>
      <w:pgSz w:w="11906" w:h="16838"/>
      <w:pgMar w:top="1276"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D1E" w:rsidRDefault="00E34D1E" w:rsidP="003340B1">
      <w:pPr>
        <w:spacing w:after="0" w:line="240" w:lineRule="auto"/>
      </w:pPr>
      <w:r>
        <w:separator/>
      </w:r>
    </w:p>
  </w:endnote>
  <w:endnote w:type="continuationSeparator" w:id="0">
    <w:p w:rsidR="00E34D1E" w:rsidRDefault="00E34D1E" w:rsidP="0033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D1E" w:rsidRDefault="00E34D1E" w:rsidP="003340B1">
      <w:pPr>
        <w:spacing w:after="0" w:line="240" w:lineRule="auto"/>
      </w:pPr>
      <w:r>
        <w:separator/>
      </w:r>
    </w:p>
  </w:footnote>
  <w:footnote w:type="continuationSeparator" w:id="0">
    <w:p w:rsidR="00E34D1E" w:rsidRDefault="00E34D1E" w:rsidP="003340B1">
      <w:pPr>
        <w:spacing w:after="0" w:line="240" w:lineRule="auto"/>
      </w:pPr>
      <w:r>
        <w:continuationSeparator/>
      </w:r>
    </w:p>
  </w:footnote>
  <w:footnote w:id="1">
    <w:p w:rsidR="0044699C" w:rsidRPr="0006110B" w:rsidRDefault="0044699C">
      <w:pPr>
        <w:pStyle w:val="FootnoteText"/>
        <w:rPr>
          <w:rFonts w:ascii="Arial" w:hAnsi="Arial" w:cs="Arial"/>
        </w:rPr>
      </w:pPr>
      <w:r>
        <w:rPr>
          <w:rStyle w:val="FootnoteReference"/>
        </w:rPr>
        <w:footnoteRef/>
      </w:r>
      <w:r>
        <w:t xml:space="preserve"> </w:t>
      </w:r>
      <w:r w:rsidRPr="0006110B">
        <w:rPr>
          <w:rFonts w:ascii="Arial" w:hAnsi="Arial" w:cs="Arial"/>
        </w:rPr>
        <w:t xml:space="preserve">Transcribed record page 49 par 10. </w:t>
      </w:r>
    </w:p>
  </w:footnote>
  <w:footnote w:id="2">
    <w:p w:rsidR="00E82413" w:rsidRPr="007A059C" w:rsidRDefault="00E82413" w:rsidP="00E82413">
      <w:pPr>
        <w:pStyle w:val="FootnoteText"/>
        <w:rPr>
          <w:rFonts w:ascii="Arial" w:hAnsi="Arial" w:cs="Arial"/>
        </w:rPr>
      </w:pPr>
      <w:r w:rsidRPr="007A059C">
        <w:rPr>
          <w:rStyle w:val="FootnoteReference"/>
          <w:rFonts w:ascii="Arial" w:hAnsi="Arial" w:cs="Arial"/>
        </w:rPr>
        <w:footnoteRef/>
      </w:r>
      <w:r w:rsidRPr="007A059C">
        <w:rPr>
          <w:rFonts w:ascii="Arial" w:hAnsi="Arial" w:cs="Arial"/>
        </w:rPr>
        <w:t xml:space="preserve"> Transcribed record page 50 par 20.</w:t>
      </w:r>
    </w:p>
  </w:footnote>
  <w:footnote w:id="3">
    <w:p w:rsidR="0044699C" w:rsidRPr="000744A5" w:rsidRDefault="0044699C">
      <w:pPr>
        <w:pStyle w:val="FootnoteText"/>
        <w:rPr>
          <w:rFonts w:ascii="Arial" w:hAnsi="Arial" w:cs="Arial"/>
        </w:rPr>
      </w:pPr>
      <w:r w:rsidRPr="000744A5">
        <w:rPr>
          <w:rStyle w:val="FootnoteReference"/>
          <w:rFonts w:ascii="Arial" w:hAnsi="Arial" w:cs="Arial"/>
        </w:rPr>
        <w:footnoteRef/>
      </w:r>
      <w:r w:rsidRPr="000744A5">
        <w:rPr>
          <w:rFonts w:ascii="Arial" w:hAnsi="Arial" w:cs="Arial"/>
        </w:rPr>
        <w:t xml:space="preserve"> </w:t>
      </w:r>
      <w:r>
        <w:rPr>
          <w:rFonts w:ascii="Arial" w:hAnsi="Arial" w:cs="Arial"/>
        </w:rPr>
        <w:t>Second D</w:t>
      </w:r>
      <w:r w:rsidRPr="000744A5">
        <w:rPr>
          <w:rFonts w:ascii="Arial" w:hAnsi="Arial" w:cs="Arial"/>
        </w:rPr>
        <w:t>efendant</w:t>
      </w:r>
      <w:r>
        <w:rPr>
          <w:rFonts w:ascii="Arial" w:hAnsi="Arial" w:cs="Arial"/>
        </w:rPr>
        <w:t>’</w:t>
      </w:r>
      <w:r w:rsidRPr="000744A5">
        <w:rPr>
          <w:rFonts w:ascii="Arial" w:hAnsi="Arial" w:cs="Arial"/>
        </w:rPr>
        <w:t>s Plea par 3.1</w:t>
      </w:r>
      <w:r>
        <w:rPr>
          <w:rFonts w:ascii="Arial" w:hAnsi="Arial" w:cs="Arial"/>
        </w:rPr>
        <w:t>.</w:t>
      </w:r>
    </w:p>
  </w:footnote>
  <w:footnote w:id="4">
    <w:p w:rsidR="00E82413" w:rsidRPr="00ED75D7" w:rsidRDefault="00E82413" w:rsidP="00E82413">
      <w:pPr>
        <w:pStyle w:val="FootnoteText"/>
        <w:rPr>
          <w:rFonts w:ascii="Arial" w:hAnsi="Arial" w:cs="Arial"/>
        </w:rPr>
      </w:pPr>
      <w:r w:rsidRPr="00ED75D7">
        <w:rPr>
          <w:rStyle w:val="FootnoteReference"/>
          <w:rFonts w:ascii="Arial" w:hAnsi="Arial" w:cs="Arial"/>
        </w:rPr>
        <w:footnoteRef/>
      </w:r>
      <w:r w:rsidRPr="00ED75D7">
        <w:rPr>
          <w:rFonts w:ascii="Arial" w:hAnsi="Arial" w:cs="Arial"/>
        </w:rPr>
        <w:t xml:space="preserve"> Second Defendant’s</w:t>
      </w:r>
      <w:r>
        <w:rPr>
          <w:rFonts w:ascii="Arial" w:hAnsi="Arial" w:cs="Arial"/>
        </w:rPr>
        <w:t xml:space="preserve"> heads of arguments page 4</w:t>
      </w:r>
      <w:r w:rsidRPr="00ED75D7">
        <w:rPr>
          <w:rFonts w:ascii="Arial" w:hAnsi="Arial" w:cs="Arial"/>
        </w:rPr>
        <w:t>.</w:t>
      </w:r>
    </w:p>
  </w:footnote>
  <w:footnote w:id="5">
    <w:p w:rsidR="0044699C" w:rsidRPr="00C6697F" w:rsidRDefault="0044699C">
      <w:pPr>
        <w:pStyle w:val="FootnoteText"/>
        <w:rPr>
          <w:rFonts w:ascii="Arial" w:hAnsi="Arial" w:cs="Arial"/>
        </w:rPr>
      </w:pPr>
      <w:r w:rsidRPr="00C6697F">
        <w:rPr>
          <w:rStyle w:val="FootnoteReference"/>
          <w:rFonts w:ascii="Arial" w:hAnsi="Arial" w:cs="Arial"/>
        </w:rPr>
        <w:footnoteRef/>
      </w:r>
      <w:r w:rsidRPr="00C6697F">
        <w:rPr>
          <w:rFonts w:ascii="Arial" w:hAnsi="Arial" w:cs="Arial"/>
        </w:rPr>
        <w:t xml:space="preserve"> Plaintiff’s </w:t>
      </w:r>
      <w:r w:rsidR="00C6697F">
        <w:rPr>
          <w:rFonts w:ascii="Arial" w:hAnsi="Arial" w:cs="Arial"/>
        </w:rPr>
        <w:t>H</w:t>
      </w:r>
      <w:r w:rsidRPr="00C6697F">
        <w:rPr>
          <w:rFonts w:ascii="Arial" w:hAnsi="Arial" w:cs="Arial"/>
        </w:rPr>
        <w:t xml:space="preserve">eads of arguments page 2. </w:t>
      </w:r>
      <w:r w:rsidR="001A7C59" w:rsidRPr="001A7C59">
        <w:rPr>
          <w:rFonts w:ascii="Arial" w:hAnsi="Arial" w:cs="Arial"/>
          <w:i/>
        </w:rPr>
        <w:t>Shikale v Universal Distributors of Nevada</w:t>
      </w:r>
      <w:r w:rsidR="001A7C59" w:rsidRPr="001A7C59">
        <w:rPr>
          <w:rFonts w:ascii="Arial" w:hAnsi="Arial" w:cs="Arial"/>
        </w:rPr>
        <w:t xml:space="preserve"> </w:t>
      </w:r>
      <w:r w:rsidR="00C9036F">
        <w:rPr>
          <w:rFonts w:ascii="Arial" w:hAnsi="Arial" w:cs="Arial"/>
        </w:rPr>
        <w:t>(2015 (4) NR 1065 p.1082 H).</w:t>
      </w:r>
    </w:p>
  </w:footnote>
  <w:footnote w:id="6">
    <w:p w:rsidR="004E62B8" w:rsidRPr="00C6697F" w:rsidRDefault="004E62B8">
      <w:pPr>
        <w:pStyle w:val="FootnoteText"/>
        <w:rPr>
          <w:rFonts w:ascii="Arial" w:hAnsi="Arial" w:cs="Arial"/>
        </w:rPr>
      </w:pPr>
      <w:r w:rsidRPr="00C6697F">
        <w:rPr>
          <w:rStyle w:val="FootnoteReference"/>
          <w:rFonts w:ascii="Arial" w:hAnsi="Arial" w:cs="Arial"/>
        </w:rPr>
        <w:footnoteRef/>
      </w:r>
      <w:r w:rsidRPr="00C6697F">
        <w:rPr>
          <w:rFonts w:ascii="Arial" w:hAnsi="Arial" w:cs="Arial"/>
        </w:rPr>
        <w:t xml:space="preserve"> </w:t>
      </w:r>
      <w:r w:rsidR="00C6697F" w:rsidRPr="00C6697F">
        <w:rPr>
          <w:rFonts w:ascii="Arial" w:hAnsi="Arial" w:cs="Arial"/>
        </w:rPr>
        <w:t>Plaint</w:t>
      </w:r>
      <w:r w:rsidR="00C9036F">
        <w:rPr>
          <w:rFonts w:ascii="Arial" w:hAnsi="Arial" w:cs="Arial"/>
        </w:rPr>
        <w:t>iff’s Heads of Arguments page 6</w:t>
      </w:r>
      <w:r w:rsidR="001A7C59">
        <w:rPr>
          <w:rFonts w:ascii="Arial" w:hAnsi="Arial" w:cs="Arial"/>
        </w:rPr>
        <w:t xml:space="preserve">, </w:t>
      </w:r>
      <w:r w:rsidR="001A7C59" w:rsidRPr="001A7C59">
        <w:rPr>
          <w:rFonts w:ascii="Arial" w:hAnsi="Arial" w:cs="Arial"/>
          <w:i/>
        </w:rPr>
        <w:t>Ostriches Namibia (Pty) Ltd v African Black Ostriches (Pty) Ltd</w:t>
      </w:r>
      <w:r w:rsidR="00C9036F">
        <w:rPr>
          <w:rFonts w:ascii="Arial" w:hAnsi="Arial" w:cs="Arial"/>
        </w:rPr>
        <w:t xml:space="preserve"> (1996 NR 139 HC p 152).</w:t>
      </w:r>
    </w:p>
  </w:footnote>
  <w:footnote w:id="7">
    <w:p w:rsidR="002F0D5C" w:rsidRPr="00C6697F" w:rsidRDefault="002F0D5C">
      <w:pPr>
        <w:pStyle w:val="FootnoteText"/>
        <w:rPr>
          <w:rFonts w:ascii="Arial" w:hAnsi="Arial" w:cs="Arial"/>
        </w:rPr>
      </w:pPr>
      <w:r w:rsidRPr="00C6697F">
        <w:rPr>
          <w:rStyle w:val="FootnoteReference"/>
          <w:rFonts w:ascii="Arial" w:hAnsi="Arial" w:cs="Arial"/>
        </w:rPr>
        <w:footnoteRef/>
      </w:r>
      <w:r w:rsidRPr="00C6697F">
        <w:rPr>
          <w:rFonts w:ascii="Arial" w:hAnsi="Arial" w:cs="Arial"/>
        </w:rPr>
        <w:t xml:space="preserve"> Plaintif</w:t>
      </w:r>
      <w:r w:rsidR="00C9036F">
        <w:rPr>
          <w:rFonts w:ascii="Arial" w:hAnsi="Arial" w:cs="Arial"/>
        </w:rPr>
        <w:t>f’s Heads of Arguments page 6-7</w:t>
      </w:r>
      <w:r w:rsidR="001A7C59">
        <w:rPr>
          <w:rFonts w:ascii="Arial" w:hAnsi="Arial" w:cs="Arial"/>
        </w:rPr>
        <w:t xml:space="preserve">, </w:t>
      </w:r>
      <w:r w:rsidR="001A7C59" w:rsidRPr="001A7C59">
        <w:rPr>
          <w:rFonts w:ascii="Arial" w:hAnsi="Arial" w:cs="Arial"/>
          <w:i/>
        </w:rPr>
        <w:t>Di Guilio v First National Bank of South Africa Ltd</w:t>
      </w:r>
      <w:r w:rsidR="00C9036F">
        <w:rPr>
          <w:rFonts w:ascii="Arial" w:hAnsi="Arial" w:cs="Arial"/>
        </w:rPr>
        <w:t xml:space="preserve"> (2002 (6) SA 289 H-J). </w:t>
      </w:r>
    </w:p>
  </w:footnote>
  <w:footnote w:id="8">
    <w:p w:rsidR="00715273" w:rsidRPr="00715273" w:rsidRDefault="00715273">
      <w:pPr>
        <w:pStyle w:val="FootnoteText"/>
        <w:rPr>
          <w:rFonts w:ascii="Arial" w:hAnsi="Arial" w:cs="Arial"/>
        </w:rPr>
      </w:pPr>
      <w:r w:rsidRPr="00715273">
        <w:rPr>
          <w:rStyle w:val="FootnoteReference"/>
          <w:rFonts w:ascii="Arial" w:hAnsi="Arial" w:cs="Arial"/>
        </w:rPr>
        <w:footnoteRef/>
      </w:r>
      <w:r w:rsidRPr="00715273">
        <w:rPr>
          <w:rFonts w:ascii="Arial" w:hAnsi="Arial" w:cs="Arial"/>
        </w:rPr>
        <w:t xml:space="preserve"> Plaintiff’s </w:t>
      </w:r>
      <w:r w:rsidR="00C6697F" w:rsidRPr="00C6697F">
        <w:rPr>
          <w:rFonts w:ascii="Arial" w:hAnsi="Arial" w:cs="Arial"/>
        </w:rPr>
        <w:t xml:space="preserve">Heads of Arguments </w:t>
      </w:r>
      <w:r w:rsidRPr="00715273">
        <w:rPr>
          <w:rFonts w:ascii="Arial" w:hAnsi="Arial" w:cs="Arial"/>
        </w:rPr>
        <w:t>page 8-9</w:t>
      </w:r>
      <w:r w:rsidR="001A7C59">
        <w:rPr>
          <w:rFonts w:ascii="Arial" w:hAnsi="Arial" w:cs="Arial"/>
        </w:rPr>
        <w:t xml:space="preserve">, </w:t>
      </w:r>
      <w:r w:rsidR="001A7C59" w:rsidRPr="001A7C59">
        <w:rPr>
          <w:rFonts w:ascii="Arial" w:hAnsi="Arial" w:cs="Arial"/>
          <w:i/>
        </w:rPr>
        <w:t>K v Minister of Safety and Security</w:t>
      </w:r>
      <w:r w:rsidR="00C9036F">
        <w:rPr>
          <w:rFonts w:ascii="Arial" w:hAnsi="Arial" w:cs="Arial"/>
        </w:rPr>
        <w:t xml:space="preserve"> (2005 (6) SA 419 CC p433 E-F and 434 A). </w:t>
      </w:r>
    </w:p>
  </w:footnote>
  <w:footnote w:id="9">
    <w:p w:rsidR="001847D1" w:rsidRPr="00DD25CC" w:rsidRDefault="001847D1">
      <w:pPr>
        <w:pStyle w:val="FootnoteText"/>
        <w:rPr>
          <w:rFonts w:ascii="Arial" w:hAnsi="Arial" w:cs="Arial"/>
        </w:rPr>
      </w:pPr>
      <w:r w:rsidRPr="00DD25CC">
        <w:rPr>
          <w:rStyle w:val="FootnoteReference"/>
          <w:rFonts w:ascii="Arial" w:hAnsi="Arial" w:cs="Arial"/>
        </w:rPr>
        <w:footnoteRef/>
      </w:r>
      <w:r w:rsidRPr="00DD25CC">
        <w:rPr>
          <w:rFonts w:ascii="Arial" w:hAnsi="Arial" w:cs="Arial"/>
        </w:rPr>
        <w:t xml:space="preserve"> Plaintif</w:t>
      </w:r>
      <w:r w:rsidR="001A7C59">
        <w:rPr>
          <w:rFonts w:ascii="Arial" w:hAnsi="Arial" w:cs="Arial"/>
        </w:rPr>
        <w:t xml:space="preserve">f’s Heads of Arguments page 11, </w:t>
      </w:r>
      <w:r w:rsidR="001A7C59" w:rsidRPr="001A7C59">
        <w:rPr>
          <w:rFonts w:ascii="Arial" w:hAnsi="Arial" w:cs="Arial"/>
          <w:i/>
        </w:rPr>
        <w:t>Minister of Finance and other v Gore N.O</w:t>
      </w:r>
      <w:r w:rsidR="001A7C59" w:rsidRPr="001A7C59">
        <w:rPr>
          <w:rFonts w:ascii="Arial" w:hAnsi="Arial" w:cs="Arial"/>
        </w:rPr>
        <w:t xml:space="preserve"> </w:t>
      </w:r>
      <w:r w:rsidR="00C9036F">
        <w:rPr>
          <w:rFonts w:ascii="Arial" w:hAnsi="Arial" w:cs="Arial"/>
        </w:rPr>
        <w:t>(</w:t>
      </w:r>
      <w:r w:rsidR="00480C72">
        <w:rPr>
          <w:rFonts w:ascii="Arial" w:hAnsi="Arial" w:cs="Arial"/>
        </w:rPr>
        <w:t>2007 (1) SA 111 p.141 B).</w:t>
      </w:r>
    </w:p>
  </w:footnote>
  <w:footnote w:id="10">
    <w:p w:rsidR="004208A8" w:rsidRPr="00EB49CD" w:rsidRDefault="004208A8">
      <w:pPr>
        <w:pStyle w:val="FootnoteText"/>
        <w:rPr>
          <w:rFonts w:ascii="Arial" w:hAnsi="Arial" w:cs="Arial"/>
        </w:rPr>
      </w:pPr>
      <w:r w:rsidRPr="00DD25CC">
        <w:rPr>
          <w:rStyle w:val="FootnoteReference"/>
          <w:rFonts w:ascii="Arial" w:hAnsi="Arial" w:cs="Arial"/>
        </w:rPr>
        <w:footnoteRef/>
      </w:r>
      <w:r w:rsidRPr="00DD25CC">
        <w:rPr>
          <w:rFonts w:ascii="Arial" w:hAnsi="Arial" w:cs="Arial"/>
        </w:rPr>
        <w:t xml:space="preserve"> </w:t>
      </w:r>
      <w:r w:rsidR="001A7C59" w:rsidRPr="001A7C59">
        <w:rPr>
          <w:rFonts w:ascii="Arial" w:hAnsi="Arial" w:cs="Arial"/>
          <w:i/>
        </w:rPr>
        <w:t>Gamikaub (Pty) Ltd v Schweiger</w:t>
      </w:r>
      <w:r w:rsidR="001A7C59" w:rsidRPr="001A7C59">
        <w:rPr>
          <w:rFonts w:ascii="Arial" w:hAnsi="Arial" w:cs="Arial"/>
        </w:rPr>
        <w:t xml:space="preserve"> </w:t>
      </w:r>
      <w:r w:rsidR="00652947" w:rsidRPr="00DD25CC">
        <w:rPr>
          <w:rFonts w:ascii="Arial" w:hAnsi="Arial" w:cs="Arial"/>
        </w:rPr>
        <w:t>(</w:t>
      </w:r>
      <w:r w:rsidR="00652947" w:rsidRPr="00652947">
        <w:rPr>
          <w:rFonts w:ascii="Arial" w:hAnsi="Arial" w:cs="Arial"/>
        </w:rPr>
        <w:t>SA26/2005) [2008] NASC 18 (24 November 2008)</w:t>
      </w:r>
      <w:r w:rsidRPr="00EB49CD">
        <w:rPr>
          <w:rFonts w:ascii="Arial" w:hAnsi="Arial" w:cs="Arial"/>
        </w:rPr>
        <w:t xml:space="preserve"> </w:t>
      </w:r>
    </w:p>
  </w:footnote>
  <w:footnote w:id="11">
    <w:p w:rsidR="004516BA" w:rsidRPr="00D46511" w:rsidRDefault="004516BA" w:rsidP="004516BA">
      <w:pPr>
        <w:pStyle w:val="FootnoteText"/>
        <w:rPr>
          <w:rFonts w:ascii="Arial" w:hAnsi="Arial" w:cs="Arial"/>
        </w:rPr>
      </w:pPr>
      <w:r w:rsidRPr="00D46511">
        <w:rPr>
          <w:rStyle w:val="FootnoteReference"/>
          <w:rFonts w:ascii="Arial" w:hAnsi="Arial" w:cs="Arial"/>
        </w:rPr>
        <w:footnoteRef/>
      </w:r>
      <w:r w:rsidRPr="00D46511">
        <w:rPr>
          <w:rFonts w:ascii="Arial" w:hAnsi="Arial" w:cs="Arial"/>
        </w:rPr>
        <w:t xml:space="preserve"> 2012 (3) BCLR 244 at 24 paras 40 and 41.</w:t>
      </w:r>
    </w:p>
  </w:footnote>
  <w:footnote w:id="12">
    <w:p w:rsidR="004516BA" w:rsidRPr="002D6F64" w:rsidRDefault="004516BA" w:rsidP="004516BA">
      <w:pPr>
        <w:pStyle w:val="FootnoteText"/>
        <w:rPr>
          <w:rFonts w:ascii="Arial" w:hAnsi="Arial" w:cs="Arial"/>
        </w:rPr>
      </w:pPr>
      <w:r>
        <w:rPr>
          <w:rStyle w:val="FootnoteReference"/>
        </w:rPr>
        <w:footnoteRef/>
      </w:r>
      <w:r>
        <w:t xml:space="preserve"> </w:t>
      </w:r>
      <w:r w:rsidRPr="009C7248">
        <w:rPr>
          <w:rFonts w:ascii="Arial" w:hAnsi="Arial" w:cs="Arial"/>
          <w:i/>
        </w:rPr>
        <w:t xml:space="preserve">F v Minister of Safety and Security </w:t>
      </w:r>
      <w:r>
        <w:rPr>
          <w:rFonts w:ascii="Arial" w:hAnsi="Arial" w:cs="Arial"/>
        </w:rPr>
        <w:t xml:space="preserve">2012 (3) BCLR 244 at 254 paras 40 and 41. </w:t>
      </w:r>
    </w:p>
  </w:footnote>
  <w:footnote w:id="13">
    <w:p w:rsidR="004516BA" w:rsidRPr="00C6697F" w:rsidRDefault="004516BA" w:rsidP="004516BA">
      <w:pPr>
        <w:pStyle w:val="FootnoteText"/>
        <w:rPr>
          <w:rFonts w:ascii="Arial" w:hAnsi="Arial" w:cs="Arial"/>
        </w:rPr>
      </w:pPr>
      <w:r w:rsidRPr="00C6697F">
        <w:rPr>
          <w:rStyle w:val="FootnoteReference"/>
          <w:rFonts w:ascii="Arial" w:hAnsi="Arial" w:cs="Arial"/>
        </w:rPr>
        <w:footnoteRef/>
      </w:r>
      <w:r w:rsidRPr="00C6697F">
        <w:rPr>
          <w:rFonts w:ascii="Arial" w:hAnsi="Arial" w:cs="Arial"/>
        </w:rPr>
        <w:t xml:space="preserve"> </w:t>
      </w:r>
      <w:r>
        <w:rPr>
          <w:rFonts w:ascii="Arial" w:hAnsi="Arial" w:cs="Arial"/>
        </w:rPr>
        <w:t>(2003/15150 [2005] NAHC 18 (27 June 2005).</w:t>
      </w:r>
    </w:p>
  </w:footnote>
  <w:footnote w:id="14">
    <w:p w:rsidR="004516BA" w:rsidRPr="00DA6949" w:rsidRDefault="004516BA" w:rsidP="004516BA">
      <w:pPr>
        <w:pStyle w:val="FootnoteText"/>
        <w:rPr>
          <w:rFonts w:ascii="Arial" w:hAnsi="Arial" w:cs="Arial"/>
        </w:rPr>
      </w:pPr>
      <w:r w:rsidRPr="001E0081">
        <w:rPr>
          <w:rStyle w:val="FootnoteReference"/>
          <w:rFonts w:ascii="Arial" w:hAnsi="Arial" w:cs="Arial"/>
        </w:rPr>
        <w:footnoteRef/>
      </w:r>
      <w:r w:rsidRPr="001E0081">
        <w:rPr>
          <w:rFonts w:ascii="Arial" w:hAnsi="Arial" w:cs="Arial"/>
        </w:rPr>
        <w:t xml:space="preserve"> </w:t>
      </w:r>
      <w:r w:rsidRPr="00DA6949">
        <w:rPr>
          <w:rFonts w:ascii="Arial" w:hAnsi="Arial" w:cs="Arial"/>
          <w:i/>
        </w:rPr>
        <w:t xml:space="preserve">Nghihepavali v Ministry of Agriculture Water and Forestry </w:t>
      </w:r>
      <w:r w:rsidRPr="00DA6949">
        <w:rPr>
          <w:rFonts w:ascii="Arial" w:hAnsi="Arial" w:cs="Arial"/>
        </w:rPr>
        <w:t>(I 26-2014) [2016] NAHCNLD 51 (30 June 2016).</w:t>
      </w:r>
    </w:p>
  </w:footnote>
  <w:footnote w:id="15">
    <w:p w:rsidR="004516BA" w:rsidRPr="00C778C8" w:rsidRDefault="004516BA" w:rsidP="004516BA">
      <w:pPr>
        <w:pStyle w:val="FootnoteText"/>
        <w:rPr>
          <w:rFonts w:ascii="Arial" w:hAnsi="Arial" w:cs="Arial"/>
          <w:lang w:val="en-ZA"/>
        </w:rPr>
      </w:pPr>
      <w:r w:rsidRPr="00C778C8">
        <w:rPr>
          <w:rStyle w:val="FootnoteReference"/>
          <w:rFonts w:ascii="Arial" w:hAnsi="Arial" w:cs="Arial"/>
        </w:rPr>
        <w:footnoteRef/>
      </w:r>
      <w:r w:rsidRPr="00C778C8">
        <w:rPr>
          <w:rFonts w:ascii="Arial" w:hAnsi="Arial" w:cs="Arial"/>
        </w:rPr>
        <w:t xml:space="preserve"> </w:t>
      </w:r>
      <w:r w:rsidR="00B010EB" w:rsidRPr="00B010EB">
        <w:rPr>
          <w:rFonts w:ascii="Arial" w:hAnsi="Arial" w:cs="Arial"/>
          <w:i/>
        </w:rPr>
        <w:t>Minister of Police v Rabie</w:t>
      </w:r>
      <w:r w:rsidR="00B010EB" w:rsidRPr="00B010EB">
        <w:rPr>
          <w:rFonts w:ascii="Arial" w:hAnsi="Arial" w:cs="Arial"/>
        </w:rPr>
        <w:t xml:space="preserve"> </w:t>
      </w:r>
      <w:r w:rsidRPr="00C778C8">
        <w:rPr>
          <w:rFonts w:ascii="Arial" w:hAnsi="Arial" w:cs="Arial"/>
        </w:rPr>
        <w:t xml:space="preserve">1986 (1) SA 117 (A). </w:t>
      </w:r>
    </w:p>
  </w:footnote>
  <w:footnote w:id="16">
    <w:p w:rsidR="004516BA" w:rsidRPr="00C778C8" w:rsidRDefault="004516BA" w:rsidP="004516BA">
      <w:pPr>
        <w:pStyle w:val="FootnoteText"/>
        <w:rPr>
          <w:rFonts w:ascii="Arial" w:hAnsi="Arial" w:cs="Arial"/>
          <w:lang w:val="en-ZA"/>
        </w:rPr>
      </w:pPr>
      <w:r w:rsidRPr="00C778C8">
        <w:rPr>
          <w:rStyle w:val="FootnoteReference"/>
          <w:rFonts w:ascii="Arial" w:hAnsi="Arial" w:cs="Arial"/>
        </w:rPr>
        <w:footnoteRef/>
      </w:r>
      <w:r w:rsidRPr="00C778C8">
        <w:rPr>
          <w:rFonts w:ascii="Arial" w:hAnsi="Arial" w:cs="Arial"/>
        </w:rPr>
        <w:t xml:space="preserve"> Supra at footnote </w:t>
      </w:r>
      <w:r w:rsidR="00960645">
        <w:rPr>
          <w:rFonts w:ascii="Arial" w:hAnsi="Arial" w:cs="Arial"/>
        </w:rPr>
        <w:t>1</w:t>
      </w:r>
      <w:r w:rsidR="00B010EB">
        <w:rPr>
          <w:rFonts w:ascii="Arial" w:hAnsi="Arial" w:cs="Arial"/>
        </w:rPr>
        <w:t>4</w:t>
      </w:r>
    </w:p>
  </w:footnote>
  <w:footnote w:id="17">
    <w:p w:rsidR="004516BA" w:rsidRPr="00C778C8" w:rsidRDefault="004516BA" w:rsidP="004516BA">
      <w:pPr>
        <w:pStyle w:val="FootnoteText"/>
        <w:rPr>
          <w:rFonts w:ascii="Arial" w:hAnsi="Arial" w:cs="Arial"/>
          <w:lang w:val="en-ZA"/>
        </w:rPr>
      </w:pPr>
      <w:r w:rsidRPr="00C778C8">
        <w:rPr>
          <w:rStyle w:val="FootnoteReference"/>
          <w:rFonts w:ascii="Arial" w:hAnsi="Arial" w:cs="Arial"/>
        </w:rPr>
        <w:footnoteRef/>
      </w:r>
      <w:r w:rsidRPr="00C778C8">
        <w:rPr>
          <w:rFonts w:ascii="Arial" w:hAnsi="Arial" w:cs="Arial"/>
          <w:i/>
          <w:iCs/>
          <w:color w:val="242121"/>
          <w:sz w:val="27"/>
          <w:szCs w:val="27"/>
          <w:shd w:val="clear" w:color="auto" w:fill="FFFFFF"/>
        </w:rPr>
        <w:t> </w:t>
      </w:r>
      <w:r w:rsidR="00B010EB" w:rsidRPr="00B010EB">
        <w:rPr>
          <w:rFonts w:ascii="Arial" w:hAnsi="Arial" w:cs="Arial"/>
          <w:i/>
          <w:iCs/>
          <w:szCs w:val="24"/>
          <w:shd w:val="clear" w:color="auto" w:fill="FFFFFF"/>
        </w:rPr>
        <w:t>Bazley v Curry</w:t>
      </w:r>
      <w:r w:rsidR="00B010EB" w:rsidRPr="00B010EB">
        <w:rPr>
          <w:rStyle w:val="Hyperlink"/>
          <w:rFonts w:ascii="Arial" w:hAnsi="Arial" w:cs="Arial"/>
          <w:bCs/>
          <w:color w:val="auto"/>
          <w:sz w:val="16"/>
          <w:shd w:val="clear" w:color="auto" w:fill="FFFFFF"/>
        </w:rPr>
        <w:t xml:space="preserve"> </w:t>
      </w:r>
      <w:hyperlink r:id="rId1" w:tooltip="View Case" w:history="1">
        <w:r w:rsidRPr="00C778C8">
          <w:rPr>
            <w:rStyle w:val="Hyperlink"/>
            <w:rFonts w:ascii="Arial" w:hAnsi="Arial" w:cs="Arial"/>
            <w:bCs/>
            <w:color w:val="auto"/>
            <w:shd w:val="clear" w:color="auto" w:fill="FFFFFF"/>
          </w:rPr>
          <w:t>1999 Can LII 692 (SCC)</w:t>
        </w:r>
      </w:hyperlink>
      <w:r w:rsidRPr="00C778C8">
        <w:rPr>
          <w:rFonts w:ascii="Arial" w:hAnsi="Arial" w:cs="Arial"/>
          <w:shd w:val="clear" w:color="auto" w:fill="FFFFFF"/>
        </w:rPr>
        <w:t>; </w:t>
      </w:r>
      <w:hyperlink r:id="rId2" w:tooltip="View LawCiteRecord" w:history="1">
        <w:r w:rsidRPr="00C778C8">
          <w:rPr>
            <w:rStyle w:val="Hyperlink"/>
            <w:rFonts w:ascii="Arial" w:hAnsi="Arial" w:cs="Arial"/>
            <w:bCs/>
            <w:color w:val="auto"/>
            <w:shd w:val="clear" w:color="auto" w:fill="FFFFFF"/>
          </w:rPr>
          <w:t>[1999] 2 SCR 534</w:t>
        </w:r>
      </w:hyperlink>
      <w:r w:rsidRPr="00C778C8">
        <w:rPr>
          <w:rFonts w:ascii="Arial" w:hAnsi="Arial" w:cs="Arial"/>
          <w:shd w:val="clear" w:color="auto" w:fill="FFFFFF"/>
        </w:rPr>
        <w:t> at para 26ff.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493420"/>
      <w:docPartObj>
        <w:docPartGallery w:val="Page Numbers (Top of Page)"/>
        <w:docPartUnique/>
      </w:docPartObj>
    </w:sdtPr>
    <w:sdtEndPr>
      <w:rPr>
        <w:noProof/>
      </w:rPr>
    </w:sdtEndPr>
    <w:sdtContent>
      <w:p w:rsidR="0044699C" w:rsidRDefault="0044699C">
        <w:pPr>
          <w:pStyle w:val="Header"/>
          <w:jc w:val="right"/>
        </w:pPr>
        <w:r>
          <w:fldChar w:fldCharType="begin"/>
        </w:r>
        <w:r>
          <w:instrText xml:space="preserve"> PAGE   \* MERGEFORMAT </w:instrText>
        </w:r>
        <w:r>
          <w:fldChar w:fldCharType="separate"/>
        </w:r>
        <w:r w:rsidR="00634979">
          <w:rPr>
            <w:noProof/>
          </w:rPr>
          <w:t>20</w:t>
        </w:r>
        <w:r>
          <w:rPr>
            <w:noProof/>
          </w:rPr>
          <w:fldChar w:fldCharType="end"/>
        </w:r>
      </w:p>
    </w:sdtContent>
  </w:sdt>
  <w:p w:rsidR="0044699C" w:rsidRDefault="00446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5B83B86"/>
    <w:lvl w:ilvl="0">
      <w:start w:val="1"/>
      <w:numFmt w:val="decimal"/>
      <w:pStyle w:val="Heading1"/>
      <w:lvlText w:val="[%1]"/>
      <w:lvlJc w:val="left"/>
      <w:pPr>
        <w:tabs>
          <w:tab w:val="num" w:pos="737"/>
        </w:tabs>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1" w15:restartNumberingAfterBreak="0">
    <w:nsid w:val="03B15D90"/>
    <w:multiLevelType w:val="hybridMultilevel"/>
    <w:tmpl w:val="CE5E607A"/>
    <w:lvl w:ilvl="0" w:tplc="8F145F42">
      <w:start w:val="1"/>
      <w:numFmt w:val="lowerLetter"/>
      <w:lvlText w:val="%1)"/>
      <w:lvlJc w:val="left"/>
      <w:pPr>
        <w:ind w:left="360" w:hanging="360"/>
      </w:pPr>
      <w:rPr>
        <w:rFonts w:hint="default"/>
        <w:strike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6EB2D51"/>
    <w:multiLevelType w:val="hybridMultilevel"/>
    <w:tmpl w:val="D7989014"/>
    <w:lvl w:ilvl="0" w:tplc="BC128B5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98504E5"/>
    <w:multiLevelType w:val="hybridMultilevel"/>
    <w:tmpl w:val="D01E8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DA3462D"/>
    <w:multiLevelType w:val="hybridMultilevel"/>
    <w:tmpl w:val="FFAE3E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425D2A"/>
    <w:multiLevelType w:val="multilevel"/>
    <w:tmpl w:val="A078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FE4BEC"/>
    <w:multiLevelType w:val="hybridMultilevel"/>
    <w:tmpl w:val="F58EE618"/>
    <w:lvl w:ilvl="0" w:tplc="637AAC9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90529"/>
    <w:multiLevelType w:val="hybridMultilevel"/>
    <w:tmpl w:val="56FC949E"/>
    <w:lvl w:ilvl="0" w:tplc="47888CE6">
      <w:start w:val="2"/>
      <w:numFmt w:val="decimal"/>
      <w:lvlText w:val="[%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4"/>
  </w:num>
  <w:num w:numId="4">
    <w:abstractNumId w:val="6"/>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B8"/>
    <w:rsid w:val="00001918"/>
    <w:rsid w:val="000139B2"/>
    <w:rsid w:val="0001452E"/>
    <w:rsid w:val="000235FD"/>
    <w:rsid w:val="00025FA7"/>
    <w:rsid w:val="00036D0F"/>
    <w:rsid w:val="0004143F"/>
    <w:rsid w:val="00052B8B"/>
    <w:rsid w:val="00053EB1"/>
    <w:rsid w:val="00057841"/>
    <w:rsid w:val="0006110B"/>
    <w:rsid w:val="000744A5"/>
    <w:rsid w:val="00090A8C"/>
    <w:rsid w:val="000964C7"/>
    <w:rsid w:val="000A418A"/>
    <w:rsid w:val="000B7AAC"/>
    <w:rsid w:val="000C1586"/>
    <w:rsid w:val="000D526A"/>
    <w:rsid w:val="000F1248"/>
    <w:rsid w:val="000F2FC3"/>
    <w:rsid w:val="0010137F"/>
    <w:rsid w:val="001026E3"/>
    <w:rsid w:val="00124082"/>
    <w:rsid w:val="0012690D"/>
    <w:rsid w:val="00141B1E"/>
    <w:rsid w:val="001542C5"/>
    <w:rsid w:val="001611D4"/>
    <w:rsid w:val="0017610B"/>
    <w:rsid w:val="001847D1"/>
    <w:rsid w:val="00184BCA"/>
    <w:rsid w:val="0018602B"/>
    <w:rsid w:val="00187F19"/>
    <w:rsid w:val="001A7C59"/>
    <w:rsid w:val="001C19BD"/>
    <w:rsid w:val="001E0081"/>
    <w:rsid w:val="001E23E3"/>
    <w:rsid w:val="001E2670"/>
    <w:rsid w:val="001E5CB3"/>
    <w:rsid w:val="001E7B7C"/>
    <w:rsid w:val="002310BB"/>
    <w:rsid w:val="00233AC2"/>
    <w:rsid w:val="002553B6"/>
    <w:rsid w:val="00257CF4"/>
    <w:rsid w:val="002628CC"/>
    <w:rsid w:val="002645A8"/>
    <w:rsid w:val="00266592"/>
    <w:rsid w:val="0027221D"/>
    <w:rsid w:val="00280777"/>
    <w:rsid w:val="0028275B"/>
    <w:rsid w:val="002A2EB2"/>
    <w:rsid w:val="002C4191"/>
    <w:rsid w:val="002D3225"/>
    <w:rsid w:val="002D446D"/>
    <w:rsid w:val="002D5606"/>
    <w:rsid w:val="002E6CFE"/>
    <w:rsid w:val="002F0D5C"/>
    <w:rsid w:val="002F4AD3"/>
    <w:rsid w:val="003150D5"/>
    <w:rsid w:val="003340B1"/>
    <w:rsid w:val="003343CB"/>
    <w:rsid w:val="003458E8"/>
    <w:rsid w:val="00346103"/>
    <w:rsid w:val="00361CEC"/>
    <w:rsid w:val="00381D55"/>
    <w:rsid w:val="003B4F6D"/>
    <w:rsid w:val="003C4E3F"/>
    <w:rsid w:val="003F14A8"/>
    <w:rsid w:val="00402B1D"/>
    <w:rsid w:val="004208A8"/>
    <w:rsid w:val="00425024"/>
    <w:rsid w:val="0043128B"/>
    <w:rsid w:val="0044699C"/>
    <w:rsid w:val="004516BA"/>
    <w:rsid w:val="004546B4"/>
    <w:rsid w:val="00456CFB"/>
    <w:rsid w:val="00461C40"/>
    <w:rsid w:val="00480C72"/>
    <w:rsid w:val="00481DEC"/>
    <w:rsid w:val="004B1966"/>
    <w:rsid w:val="004C6A9F"/>
    <w:rsid w:val="004E18A1"/>
    <w:rsid w:val="004E562D"/>
    <w:rsid w:val="004E62B8"/>
    <w:rsid w:val="004E71C8"/>
    <w:rsid w:val="004F52C4"/>
    <w:rsid w:val="004F7646"/>
    <w:rsid w:val="00512161"/>
    <w:rsid w:val="00521CA1"/>
    <w:rsid w:val="005271A1"/>
    <w:rsid w:val="00543B24"/>
    <w:rsid w:val="00555F39"/>
    <w:rsid w:val="005973BF"/>
    <w:rsid w:val="005A570C"/>
    <w:rsid w:val="005C1AE6"/>
    <w:rsid w:val="005C5485"/>
    <w:rsid w:val="005F3B79"/>
    <w:rsid w:val="006059FF"/>
    <w:rsid w:val="006271CE"/>
    <w:rsid w:val="006347DC"/>
    <w:rsid w:val="00634979"/>
    <w:rsid w:val="00644613"/>
    <w:rsid w:val="00646407"/>
    <w:rsid w:val="00652947"/>
    <w:rsid w:val="00655549"/>
    <w:rsid w:val="00660B4F"/>
    <w:rsid w:val="0068704B"/>
    <w:rsid w:val="006C7670"/>
    <w:rsid w:val="006D5BC3"/>
    <w:rsid w:val="006E31F9"/>
    <w:rsid w:val="006E6A99"/>
    <w:rsid w:val="006F53DF"/>
    <w:rsid w:val="006F6168"/>
    <w:rsid w:val="00715273"/>
    <w:rsid w:val="00716744"/>
    <w:rsid w:val="007239A7"/>
    <w:rsid w:val="00734068"/>
    <w:rsid w:val="00746655"/>
    <w:rsid w:val="00751119"/>
    <w:rsid w:val="00766F0F"/>
    <w:rsid w:val="007676B0"/>
    <w:rsid w:val="00770EA0"/>
    <w:rsid w:val="0077455C"/>
    <w:rsid w:val="007832B7"/>
    <w:rsid w:val="00791638"/>
    <w:rsid w:val="0079334A"/>
    <w:rsid w:val="00793FE8"/>
    <w:rsid w:val="007A059C"/>
    <w:rsid w:val="007A78FD"/>
    <w:rsid w:val="007B34D2"/>
    <w:rsid w:val="007C37DF"/>
    <w:rsid w:val="007D2117"/>
    <w:rsid w:val="007D4F8F"/>
    <w:rsid w:val="007E5A96"/>
    <w:rsid w:val="008004EB"/>
    <w:rsid w:val="008010DC"/>
    <w:rsid w:val="0080449A"/>
    <w:rsid w:val="00805A65"/>
    <w:rsid w:val="00852888"/>
    <w:rsid w:val="008615B6"/>
    <w:rsid w:val="00884F47"/>
    <w:rsid w:val="008B4707"/>
    <w:rsid w:val="008C5281"/>
    <w:rsid w:val="008D3281"/>
    <w:rsid w:val="008D40BF"/>
    <w:rsid w:val="008E395D"/>
    <w:rsid w:val="008F0134"/>
    <w:rsid w:val="00914CF1"/>
    <w:rsid w:val="00934B73"/>
    <w:rsid w:val="00945B69"/>
    <w:rsid w:val="00946443"/>
    <w:rsid w:val="0095341E"/>
    <w:rsid w:val="00960645"/>
    <w:rsid w:val="009618A0"/>
    <w:rsid w:val="009626B9"/>
    <w:rsid w:val="009651F5"/>
    <w:rsid w:val="009913F0"/>
    <w:rsid w:val="00997EEF"/>
    <w:rsid w:val="009A17E5"/>
    <w:rsid w:val="009B1849"/>
    <w:rsid w:val="009B4FE5"/>
    <w:rsid w:val="009C7248"/>
    <w:rsid w:val="009F5BAE"/>
    <w:rsid w:val="009F6448"/>
    <w:rsid w:val="00A007BC"/>
    <w:rsid w:val="00A10E72"/>
    <w:rsid w:val="00A12CBC"/>
    <w:rsid w:val="00A2075B"/>
    <w:rsid w:val="00A21C9A"/>
    <w:rsid w:val="00A326D7"/>
    <w:rsid w:val="00A558D7"/>
    <w:rsid w:val="00A75D83"/>
    <w:rsid w:val="00A76945"/>
    <w:rsid w:val="00A8624E"/>
    <w:rsid w:val="00A9057F"/>
    <w:rsid w:val="00AC04C5"/>
    <w:rsid w:val="00AC5088"/>
    <w:rsid w:val="00AC7D94"/>
    <w:rsid w:val="00AD42EE"/>
    <w:rsid w:val="00AD69C1"/>
    <w:rsid w:val="00B010EB"/>
    <w:rsid w:val="00B05C42"/>
    <w:rsid w:val="00B117EE"/>
    <w:rsid w:val="00B16332"/>
    <w:rsid w:val="00B33113"/>
    <w:rsid w:val="00B61021"/>
    <w:rsid w:val="00B70462"/>
    <w:rsid w:val="00B83AB8"/>
    <w:rsid w:val="00BB67E0"/>
    <w:rsid w:val="00BE5084"/>
    <w:rsid w:val="00C015A5"/>
    <w:rsid w:val="00C17ECA"/>
    <w:rsid w:val="00C2125A"/>
    <w:rsid w:val="00C2266E"/>
    <w:rsid w:val="00C54FE8"/>
    <w:rsid w:val="00C6697F"/>
    <w:rsid w:val="00C778C8"/>
    <w:rsid w:val="00C9036F"/>
    <w:rsid w:val="00C90641"/>
    <w:rsid w:val="00C95620"/>
    <w:rsid w:val="00C95B25"/>
    <w:rsid w:val="00CA5B98"/>
    <w:rsid w:val="00CD69CC"/>
    <w:rsid w:val="00CD7ABB"/>
    <w:rsid w:val="00CF266C"/>
    <w:rsid w:val="00D30A17"/>
    <w:rsid w:val="00D459CB"/>
    <w:rsid w:val="00D46511"/>
    <w:rsid w:val="00D51462"/>
    <w:rsid w:val="00D76E97"/>
    <w:rsid w:val="00D80B8B"/>
    <w:rsid w:val="00D87D86"/>
    <w:rsid w:val="00D93D77"/>
    <w:rsid w:val="00D95FC7"/>
    <w:rsid w:val="00DB47FB"/>
    <w:rsid w:val="00DD25CC"/>
    <w:rsid w:val="00DD47F1"/>
    <w:rsid w:val="00DD5DAA"/>
    <w:rsid w:val="00DF5369"/>
    <w:rsid w:val="00DF7FC0"/>
    <w:rsid w:val="00E05060"/>
    <w:rsid w:val="00E057D1"/>
    <w:rsid w:val="00E103BB"/>
    <w:rsid w:val="00E143F8"/>
    <w:rsid w:val="00E210DC"/>
    <w:rsid w:val="00E27F8D"/>
    <w:rsid w:val="00E34D1E"/>
    <w:rsid w:val="00E57E5E"/>
    <w:rsid w:val="00E63BA7"/>
    <w:rsid w:val="00E665ED"/>
    <w:rsid w:val="00E82413"/>
    <w:rsid w:val="00E83CFB"/>
    <w:rsid w:val="00E90A74"/>
    <w:rsid w:val="00E92273"/>
    <w:rsid w:val="00E96D2D"/>
    <w:rsid w:val="00EA1E61"/>
    <w:rsid w:val="00EB49CD"/>
    <w:rsid w:val="00EC6BCA"/>
    <w:rsid w:val="00ED59D5"/>
    <w:rsid w:val="00ED75D7"/>
    <w:rsid w:val="00EE0750"/>
    <w:rsid w:val="00F06DEC"/>
    <w:rsid w:val="00F16F0B"/>
    <w:rsid w:val="00F24271"/>
    <w:rsid w:val="00F25ED4"/>
    <w:rsid w:val="00F40025"/>
    <w:rsid w:val="00F41C62"/>
    <w:rsid w:val="00F450BF"/>
    <w:rsid w:val="00F63C94"/>
    <w:rsid w:val="00F75E38"/>
    <w:rsid w:val="00F84D55"/>
    <w:rsid w:val="00F909EB"/>
    <w:rsid w:val="00F95DDF"/>
    <w:rsid w:val="00FD1C38"/>
    <w:rsid w:val="00FD4F3A"/>
    <w:rsid w:val="00FF1F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D5F87-1F11-4B30-BAF7-643D1AD2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B8"/>
    <w:rPr>
      <w:lang w:val="en-US"/>
    </w:rPr>
  </w:style>
  <w:style w:type="paragraph" w:styleId="Heading1">
    <w:name w:val="heading 1"/>
    <w:basedOn w:val="Normal"/>
    <w:next w:val="Normal"/>
    <w:link w:val="Heading1Char"/>
    <w:qFormat/>
    <w:rsid w:val="00184BCA"/>
    <w:pPr>
      <w:widowControl w:val="0"/>
      <w:numPr>
        <w:numId w:val="2"/>
      </w:numPr>
      <w:spacing w:after="0" w:line="360" w:lineRule="auto"/>
      <w:jc w:val="both"/>
      <w:outlineLvl w:val="0"/>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184BCA"/>
    <w:pPr>
      <w:widowControl w:val="0"/>
      <w:numPr>
        <w:ilvl w:val="2"/>
        <w:numId w:val="2"/>
      </w:numPr>
      <w:tabs>
        <w:tab w:val="left" w:pos="2552"/>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184BCA"/>
    <w:pPr>
      <w:widowControl w:val="0"/>
      <w:numPr>
        <w:ilvl w:val="3"/>
        <w:numId w:val="2"/>
      </w:numPr>
      <w:tabs>
        <w:tab w:val="left" w:pos="3686"/>
      </w:tabs>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184BCA"/>
    <w:pPr>
      <w:widowControl w:val="0"/>
      <w:numPr>
        <w:ilvl w:val="4"/>
        <w:numId w:val="2"/>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184BCA"/>
    <w:pPr>
      <w:widowControl w:val="0"/>
      <w:numPr>
        <w:ilvl w:val="5"/>
        <w:numId w:val="2"/>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184BCA"/>
    <w:pPr>
      <w:widowControl w:val="0"/>
      <w:numPr>
        <w:ilvl w:val="6"/>
        <w:numId w:val="2"/>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184BCA"/>
    <w:pPr>
      <w:widowControl w:val="0"/>
      <w:numPr>
        <w:ilvl w:val="7"/>
        <w:numId w:val="2"/>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184BCA"/>
    <w:pPr>
      <w:widowControl w:val="0"/>
      <w:numPr>
        <w:ilvl w:val="8"/>
        <w:numId w:val="2"/>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B7046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NormalWeb">
    <w:name w:val="Normal (Web)"/>
    <w:basedOn w:val="Normal"/>
    <w:uiPriority w:val="99"/>
    <w:unhideWhenUsed/>
    <w:rsid w:val="00B7046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B70462"/>
    <w:rPr>
      <w:b/>
      <w:bCs/>
    </w:rPr>
  </w:style>
  <w:style w:type="paragraph" w:styleId="FootnoteText">
    <w:name w:val="footnote text"/>
    <w:basedOn w:val="Normal"/>
    <w:link w:val="FootnoteTextChar"/>
    <w:uiPriority w:val="99"/>
    <w:unhideWhenUsed/>
    <w:rsid w:val="003340B1"/>
    <w:pPr>
      <w:spacing w:after="0" w:line="240" w:lineRule="auto"/>
    </w:pPr>
    <w:rPr>
      <w:sz w:val="20"/>
      <w:szCs w:val="20"/>
    </w:rPr>
  </w:style>
  <w:style w:type="character" w:customStyle="1" w:styleId="FootnoteTextChar">
    <w:name w:val="Footnote Text Char"/>
    <w:basedOn w:val="DefaultParagraphFont"/>
    <w:link w:val="FootnoteText"/>
    <w:uiPriority w:val="99"/>
    <w:rsid w:val="003340B1"/>
    <w:rPr>
      <w:sz w:val="20"/>
      <w:szCs w:val="20"/>
      <w:lang w:val="en-US"/>
    </w:rPr>
  </w:style>
  <w:style w:type="character" w:styleId="FootnoteReference">
    <w:name w:val="footnote reference"/>
    <w:basedOn w:val="DefaultParagraphFont"/>
    <w:uiPriority w:val="99"/>
    <w:unhideWhenUsed/>
    <w:rsid w:val="003340B1"/>
    <w:rPr>
      <w:vertAlign w:val="superscript"/>
    </w:rPr>
  </w:style>
  <w:style w:type="character" w:customStyle="1" w:styleId="Heading1Char">
    <w:name w:val="Heading 1 Char"/>
    <w:basedOn w:val="DefaultParagraphFont"/>
    <w:link w:val="Heading1"/>
    <w:rsid w:val="00184BCA"/>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184BCA"/>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184BCA"/>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184BCA"/>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184BCA"/>
    <w:rPr>
      <w:rFonts w:ascii="Arial" w:eastAsia="Times New Roman" w:hAnsi="Arial" w:cs="Arial"/>
      <w:i/>
      <w:spacing w:val="-3"/>
      <w:szCs w:val="24"/>
      <w:lang w:val="en-GB"/>
    </w:rPr>
  </w:style>
  <w:style w:type="character" w:customStyle="1" w:styleId="Heading7Char">
    <w:name w:val="Heading 7 Char"/>
    <w:basedOn w:val="DefaultParagraphFont"/>
    <w:link w:val="Heading7"/>
    <w:rsid w:val="00184BCA"/>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184BCA"/>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184BCA"/>
    <w:rPr>
      <w:rFonts w:ascii="Arial" w:eastAsia="Times New Roman" w:hAnsi="Arial" w:cs="Arial"/>
      <w:i/>
      <w:spacing w:val="-3"/>
      <w:sz w:val="18"/>
      <w:szCs w:val="24"/>
      <w:lang w:val="en-GB"/>
    </w:rPr>
  </w:style>
  <w:style w:type="character" w:styleId="Hyperlink">
    <w:name w:val="Hyperlink"/>
    <w:basedOn w:val="DefaultParagraphFont"/>
    <w:uiPriority w:val="99"/>
    <w:semiHidden/>
    <w:unhideWhenUsed/>
    <w:rsid w:val="00184BCA"/>
    <w:rPr>
      <w:color w:val="0000FF"/>
      <w:u w:val="single"/>
    </w:rPr>
  </w:style>
  <w:style w:type="paragraph" w:customStyle="1" w:styleId="rteindent2">
    <w:name w:val="rteindent2"/>
    <w:basedOn w:val="Normal"/>
    <w:rsid w:val="00184BC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rteindent3">
    <w:name w:val="rteindent3"/>
    <w:basedOn w:val="Normal"/>
    <w:rsid w:val="00184BC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184BCA"/>
    <w:rPr>
      <w:i/>
      <w:iCs/>
    </w:rPr>
  </w:style>
  <w:style w:type="paragraph" w:customStyle="1" w:styleId="LegalList1">
    <w:name w:val="Legal_List1"/>
    <w:basedOn w:val="Normal"/>
    <w:semiHidden/>
    <w:rsid w:val="00184BCA"/>
    <w:pPr>
      <w:suppressAutoHyphens/>
      <w:spacing w:after="360" w:line="480" w:lineRule="auto"/>
      <w:jc w:val="both"/>
      <w:outlineLvl w:val="0"/>
    </w:pPr>
    <w:rPr>
      <w:rFonts w:ascii="Arial" w:eastAsia="Times New Roman" w:hAnsi="Arial" w:cs="Times New Roman"/>
      <w:sz w:val="24"/>
      <w:szCs w:val="24"/>
      <w:lang w:val="en-GB" w:eastAsia="en-GB"/>
    </w:rPr>
  </w:style>
  <w:style w:type="paragraph" w:styleId="ListParagraph">
    <w:name w:val="List Paragraph"/>
    <w:basedOn w:val="Normal"/>
    <w:uiPriority w:val="34"/>
    <w:qFormat/>
    <w:rsid w:val="00F16F0B"/>
    <w:pPr>
      <w:ind w:left="720"/>
      <w:contextualSpacing/>
    </w:pPr>
  </w:style>
  <w:style w:type="paragraph" w:styleId="Header">
    <w:name w:val="header"/>
    <w:basedOn w:val="Normal"/>
    <w:link w:val="HeaderChar"/>
    <w:uiPriority w:val="99"/>
    <w:unhideWhenUsed/>
    <w:rsid w:val="00096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4C7"/>
    <w:rPr>
      <w:lang w:val="en-US"/>
    </w:rPr>
  </w:style>
  <w:style w:type="paragraph" w:styleId="Footer">
    <w:name w:val="footer"/>
    <w:basedOn w:val="Normal"/>
    <w:link w:val="FooterChar"/>
    <w:uiPriority w:val="99"/>
    <w:unhideWhenUsed/>
    <w:rsid w:val="00096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4C7"/>
    <w:rPr>
      <w:lang w:val="en-US"/>
    </w:rPr>
  </w:style>
  <w:style w:type="paragraph" w:styleId="BalloonText">
    <w:name w:val="Balloon Text"/>
    <w:basedOn w:val="Normal"/>
    <w:link w:val="BalloonTextChar"/>
    <w:uiPriority w:val="99"/>
    <w:semiHidden/>
    <w:unhideWhenUsed/>
    <w:rsid w:val="00231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0B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12969">
      <w:bodyDiv w:val="1"/>
      <w:marLeft w:val="0"/>
      <w:marRight w:val="0"/>
      <w:marTop w:val="0"/>
      <w:marBottom w:val="0"/>
      <w:divBdr>
        <w:top w:val="none" w:sz="0" w:space="0" w:color="auto"/>
        <w:left w:val="none" w:sz="0" w:space="0" w:color="auto"/>
        <w:bottom w:val="none" w:sz="0" w:space="0" w:color="auto"/>
        <w:right w:val="none" w:sz="0" w:space="0" w:color="auto"/>
      </w:divBdr>
    </w:div>
    <w:div w:id="932980029">
      <w:bodyDiv w:val="1"/>
      <w:marLeft w:val="0"/>
      <w:marRight w:val="0"/>
      <w:marTop w:val="0"/>
      <w:marBottom w:val="0"/>
      <w:divBdr>
        <w:top w:val="none" w:sz="0" w:space="0" w:color="auto"/>
        <w:left w:val="none" w:sz="0" w:space="0" w:color="auto"/>
        <w:bottom w:val="none" w:sz="0" w:space="0" w:color="auto"/>
        <w:right w:val="none" w:sz="0" w:space="0" w:color="auto"/>
      </w:divBdr>
    </w:div>
    <w:div w:id="1237086628">
      <w:bodyDiv w:val="1"/>
      <w:marLeft w:val="0"/>
      <w:marRight w:val="0"/>
      <w:marTop w:val="0"/>
      <w:marBottom w:val="0"/>
      <w:divBdr>
        <w:top w:val="none" w:sz="0" w:space="0" w:color="auto"/>
        <w:left w:val="none" w:sz="0" w:space="0" w:color="auto"/>
        <w:bottom w:val="none" w:sz="0" w:space="0" w:color="auto"/>
        <w:right w:val="none" w:sz="0" w:space="0" w:color="auto"/>
      </w:divBdr>
    </w:div>
    <w:div w:id="1481771640">
      <w:bodyDiv w:val="1"/>
      <w:marLeft w:val="0"/>
      <w:marRight w:val="0"/>
      <w:marTop w:val="0"/>
      <w:marBottom w:val="0"/>
      <w:divBdr>
        <w:top w:val="none" w:sz="0" w:space="0" w:color="auto"/>
        <w:left w:val="none" w:sz="0" w:space="0" w:color="auto"/>
        <w:bottom w:val="none" w:sz="0" w:space="0" w:color="auto"/>
        <w:right w:val="none" w:sz="0" w:space="0" w:color="auto"/>
      </w:divBdr>
    </w:div>
    <w:div w:id="15087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flii.org/cgi-bin/LawCite?cit=1927%20AD%2014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5b1999%5d%202%20SCR%20534" TargetMode="External"/><Relationship Id="rId1" Type="http://schemas.openxmlformats.org/officeDocument/2006/relationships/hyperlink" Target="http://scc.lexum.umontreal.ca/en/1999/1999rcs2-534/1999rcs2-5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2021-01-26T18:30:00+00:00</Judgment_x0020_Date>
    <Year xmlns="c1afb1bd-f2fb-40fd-9abb-aea55b4d7662">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761A6-45B3-42D0-BDB9-D98D2666D890}">
  <ds:schemaRefs>
    <ds:schemaRef ds:uri="http://schemas.microsoft.com/sharepoint/v3/contenttype/forms"/>
  </ds:schemaRefs>
</ds:datastoreItem>
</file>

<file path=customXml/itemProps2.xml><?xml version="1.0" encoding="utf-8"?>
<ds:datastoreItem xmlns:ds="http://schemas.openxmlformats.org/officeDocument/2006/customXml" ds:itemID="{C1AE7CFF-63D8-4596-A9E5-9958D48B6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B90A8-C1B2-4704-A77D-111DCD6246B6}">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3F27C88B-479B-49AE-ADEB-C5B203F0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7570</Words>
  <Characters>43155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HOME</cp:lastModifiedBy>
  <cp:revision>2</cp:revision>
  <cp:lastPrinted>2021-01-27T14:43:00Z</cp:lastPrinted>
  <dcterms:created xsi:type="dcterms:W3CDTF">2021-07-09T13:16:00Z</dcterms:created>
  <dcterms:modified xsi:type="dcterms:W3CDTF">2021-07-09T13:16:00Z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