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A2C5D30" w14:textId="2085BB0C" w:rsidR="00A973A4" w:rsidRPr="006E026B" w:rsidRDefault="009A4E61" w:rsidP="00A973A4">
      <w:pPr>
        <w:spacing w:line="360" w:lineRule="auto"/>
        <w:jc w:val="center"/>
        <w:rPr>
          <w:rFonts w:ascii="Arial" w:hAnsi="Arial" w:cs="Arial"/>
          <w:b/>
        </w:rPr>
      </w:pPr>
      <w:r>
        <w:rPr>
          <w:rFonts w:ascii="Arial" w:hAnsi="Arial" w:cs="Arial"/>
          <w:b/>
          <w:noProof/>
          <w:lang w:val="en-ZA" w:eastAsia="en-ZA"/>
        </w:rPr>
        <mc:AlternateContent>
          <mc:Choice Requires="wps">
            <w:drawing>
              <wp:anchor distT="0" distB="0" distL="114300" distR="114300" simplePos="0" relativeHeight="251659264" behindDoc="0" locked="0" layoutInCell="1" allowOverlap="1" wp14:anchorId="7946BD3C" wp14:editId="11590E49">
                <wp:simplePos x="0" y="0"/>
                <wp:positionH relativeFrom="column">
                  <wp:posOffset>4552950</wp:posOffset>
                </wp:positionH>
                <wp:positionV relativeFrom="paragraph">
                  <wp:posOffset>-57150</wp:posOffset>
                </wp:positionV>
                <wp:extent cx="1562100" cy="247650"/>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2B7DF4FD" w14:textId="77777777" w:rsidR="00D575F4" w:rsidRDefault="00D575F4" w:rsidP="00A973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6BD3C" id="_x0000_t202" coordsize="21600,21600" o:spt="202" path="m,l,21600r21600,l21600,xe">
                <v:stroke joinstyle="miter"/>
                <v:path gradientshapeok="t" o:connecttype="rect"/>
              </v:shapetype>
              <v:shape id="Text Box 5"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9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d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kf06fSgCAABQBAAADgAAAAAAAAAAAAAAAAAuAgAAZHJzL2Uy&#10;b0RvYy54bWxQSwECLQAUAAYACAAAACEAT6Rysd8AAAAJAQAADwAAAAAAAAAAAAAAAACCBAAAZHJz&#10;L2Rvd25yZXYueG1sUEsFBgAAAAAEAAQA8wAAAI4FAAAAAA==&#10;" strokecolor="white">
                <v:textbox>
                  <w:txbxContent>
                    <w:p w14:paraId="2B7DF4FD" w14:textId="77777777" w:rsidR="00D575F4" w:rsidRDefault="00D575F4" w:rsidP="00A973A4">
                      <w:pPr>
                        <w:jc w:val="center"/>
                      </w:pPr>
                    </w:p>
                  </w:txbxContent>
                </v:textbox>
              </v:shape>
            </w:pict>
          </mc:Fallback>
        </mc:AlternateContent>
      </w:r>
      <w:r w:rsidR="00A973A4" w:rsidRPr="006E026B">
        <w:rPr>
          <w:rFonts w:ascii="Arial" w:hAnsi="Arial" w:cs="Arial"/>
          <w:b/>
        </w:rPr>
        <w:t>REPUBLIC OF NAMIBIA</w:t>
      </w:r>
    </w:p>
    <w:p w14:paraId="32FFB4A8" w14:textId="0B183E85" w:rsidR="00A973A4" w:rsidRDefault="00A973A4" w:rsidP="00A973A4">
      <w:pPr>
        <w:jc w:val="center"/>
        <w:rPr>
          <w:b/>
          <w:noProof/>
          <w:sz w:val="32"/>
          <w:szCs w:val="32"/>
        </w:rPr>
      </w:pPr>
      <w:r w:rsidRPr="00552306">
        <w:rPr>
          <w:b/>
          <w:noProof/>
          <w:sz w:val="32"/>
          <w:szCs w:val="32"/>
          <w:lang w:val="en-ZA" w:eastAsia="en-ZA"/>
        </w:rPr>
        <w:drawing>
          <wp:inline distT="0" distB="0" distL="0" distR="0" wp14:anchorId="29D6AB7F" wp14:editId="5E9EBF28">
            <wp:extent cx="1276350" cy="1323975"/>
            <wp:effectExtent l="0" t="0" r="0" b="0"/>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16C2700B" w14:textId="77777777" w:rsidR="00A973A4" w:rsidRDefault="00A973A4" w:rsidP="00A973A4">
      <w:pPr>
        <w:jc w:val="center"/>
        <w:rPr>
          <w:b/>
          <w:sz w:val="32"/>
          <w:szCs w:val="32"/>
        </w:rPr>
      </w:pPr>
    </w:p>
    <w:p w14:paraId="3C5115C3" w14:textId="77777777" w:rsidR="00A973A4" w:rsidRPr="006E026B" w:rsidRDefault="00A973A4" w:rsidP="00A973A4">
      <w:pPr>
        <w:jc w:val="center"/>
        <w:rPr>
          <w:rFonts w:ascii="Arial" w:hAnsi="Arial" w:cs="Arial"/>
          <w:bCs/>
        </w:rPr>
      </w:pPr>
      <w:r w:rsidRPr="006E026B">
        <w:rPr>
          <w:rFonts w:ascii="Arial" w:hAnsi="Arial" w:cs="Arial"/>
          <w:b/>
        </w:rPr>
        <w:t>HIGH COURT OF NAMIBIA</w:t>
      </w:r>
      <w:r>
        <w:rPr>
          <w:rFonts w:ascii="Arial" w:hAnsi="Arial" w:cs="Arial"/>
          <w:b/>
        </w:rPr>
        <w:t>,</w:t>
      </w:r>
      <w:r w:rsidRPr="006E026B">
        <w:rPr>
          <w:rFonts w:ascii="Arial" w:hAnsi="Arial" w:cs="Arial"/>
          <w:b/>
        </w:rPr>
        <w:t xml:space="preserve"> MAIN DIVISION, WINDHOEK</w:t>
      </w:r>
    </w:p>
    <w:p w14:paraId="0DBCA36C" w14:textId="77777777" w:rsidR="00A973A4" w:rsidRPr="005C41E7" w:rsidRDefault="00A973A4" w:rsidP="00A973A4">
      <w:pPr>
        <w:spacing w:line="360" w:lineRule="auto"/>
        <w:jc w:val="center"/>
        <w:rPr>
          <w:rFonts w:ascii="Arial" w:hAnsi="Arial" w:cs="Arial"/>
          <w:b/>
          <w:sz w:val="10"/>
          <w:szCs w:val="10"/>
        </w:rPr>
      </w:pPr>
    </w:p>
    <w:p w14:paraId="18D627F3" w14:textId="7E0922E5" w:rsidR="00A973A4" w:rsidRDefault="00A973A4" w:rsidP="00A973A4">
      <w:pPr>
        <w:spacing w:line="360" w:lineRule="auto"/>
        <w:jc w:val="center"/>
        <w:rPr>
          <w:rFonts w:ascii="Arial" w:hAnsi="Arial" w:cs="Arial"/>
          <w:b/>
        </w:rPr>
      </w:pPr>
      <w:r>
        <w:rPr>
          <w:rFonts w:ascii="Arial" w:hAnsi="Arial" w:cs="Arial"/>
          <w:b/>
        </w:rPr>
        <w:t xml:space="preserve">RULING ON </w:t>
      </w:r>
      <w:r w:rsidR="001F4D81">
        <w:rPr>
          <w:rFonts w:ascii="Arial" w:hAnsi="Arial" w:cs="Arial"/>
          <w:b/>
        </w:rPr>
        <w:t>EXCEPTION</w:t>
      </w:r>
    </w:p>
    <w:p w14:paraId="6AC75437" w14:textId="77777777" w:rsidR="00A973A4" w:rsidRPr="00E379C9" w:rsidRDefault="00A973A4" w:rsidP="00A973A4">
      <w:pPr>
        <w:spacing w:line="360" w:lineRule="auto"/>
        <w:jc w:val="both"/>
        <w:rPr>
          <w:rFonts w:ascii="Arial" w:hAnsi="Arial" w:cs="Arial"/>
          <w:b/>
        </w:rPr>
      </w:pPr>
    </w:p>
    <w:p w14:paraId="7BF6B1FF" w14:textId="0059A43F" w:rsidR="00A973A4" w:rsidRPr="001B7E1F" w:rsidRDefault="00A973A4" w:rsidP="00A973A4">
      <w:pPr>
        <w:tabs>
          <w:tab w:val="right" w:pos="9000"/>
        </w:tabs>
        <w:spacing w:line="360" w:lineRule="auto"/>
        <w:jc w:val="center"/>
        <w:rPr>
          <w:rFonts w:ascii="Arial" w:hAnsi="Arial" w:cs="Arial"/>
          <w:b/>
        </w:rPr>
      </w:pPr>
      <w:r>
        <w:rPr>
          <w:rFonts w:ascii="Arial" w:hAnsi="Arial" w:cs="Arial"/>
          <w:b/>
        </w:rPr>
        <w:t xml:space="preserve">                                                </w:t>
      </w:r>
      <w:r w:rsidRPr="006E026B">
        <w:rPr>
          <w:rFonts w:ascii="Arial" w:hAnsi="Arial" w:cs="Arial"/>
        </w:rPr>
        <w:t>Case no</w:t>
      </w:r>
      <w:r>
        <w:rPr>
          <w:rFonts w:ascii="Arial" w:hAnsi="Arial" w:cs="Arial"/>
        </w:rPr>
        <w:t>: HC-MD-CIV-</w:t>
      </w:r>
      <w:r w:rsidR="001F4D81">
        <w:rPr>
          <w:rFonts w:ascii="Arial" w:hAnsi="Arial" w:cs="Arial"/>
        </w:rPr>
        <w:t>ACT-</w:t>
      </w:r>
      <w:r w:rsidR="003024FC">
        <w:rPr>
          <w:rFonts w:ascii="Arial" w:hAnsi="Arial" w:cs="Arial"/>
        </w:rPr>
        <w:t>OTH</w:t>
      </w:r>
      <w:r w:rsidR="001F4D81">
        <w:rPr>
          <w:rFonts w:ascii="Arial" w:hAnsi="Arial" w:cs="Arial"/>
        </w:rPr>
        <w:t>-2020/0</w:t>
      </w:r>
      <w:r w:rsidR="003024FC">
        <w:rPr>
          <w:rFonts w:ascii="Arial" w:hAnsi="Arial" w:cs="Arial"/>
        </w:rPr>
        <w:t>4153</w:t>
      </w:r>
      <w:r w:rsidRPr="006E026B">
        <w:rPr>
          <w:rFonts w:ascii="Arial" w:hAnsi="Arial" w:cs="Arial"/>
        </w:rPr>
        <w:t xml:space="preserve"> </w:t>
      </w:r>
    </w:p>
    <w:p w14:paraId="189A3E57" w14:textId="77777777" w:rsidR="00A973A4" w:rsidRPr="00A973A4" w:rsidRDefault="00A973A4" w:rsidP="00A973A4">
      <w:pPr>
        <w:spacing w:line="360" w:lineRule="auto"/>
        <w:jc w:val="both"/>
        <w:rPr>
          <w:rFonts w:ascii="Arial" w:hAnsi="Arial" w:cs="Arial"/>
        </w:rPr>
      </w:pPr>
      <w:r w:rsidRPr="00A973A4">
        <w:rPr>
          <w:rFonts w:ascii="Arial" w:hAnsi="Arial" w:cs="Arial"/>
        </w:rPr>
        <w:t>In the matter between:</w:t>
      </w:r>
    </w:p>
    <w:p w14:paraId="70565C7B" w14:textId="77777777" w:rsidR="00A973A4" w:rsidRPr="00A973A4" w:rsidRDefault="00A973A4" w:rsidP="00A973A4">
      <w:pPr>
        <w:pStyle w:val="Heading4"/>
        <w:tabs>
          <w:tab w:val="right" w:pos="9000"/>
        </w:tabs>
        <w:spacing w:line="360" w:lineRule="auto"/>
        <w:jc w:val="both"/>
        <w:rPr>
          <w:rFonts w:ascii="Arial" w:hAnsi="Arial" w:cs="Arial"/>
          <w:b/>
          <w:i w:val="0"/>
          <w:iCs w:val="0"/>
        </w:rPr>
      </w:pPr>
    </w:p>
    <w:p w14:paraId="3C26C276" w14:textId="5E2A7ADF" w:rsidR="00A973A4" w:rsidRDefault="003024FC" w:rsidP="00A973A4">
      <w:pPr>
        <w:pStyle w:val="Heading4"/>
        <w:tabs>
          <w:tab w:val="right" w:pos="9000"/>
        </w:tabs>
        <w:spacing w:line="360" w:lineRule="auto"/>
        <w:jc w:val="both"/>
        <w:rPr>
          <w:rFonts w:ascii="Arial" w:hAnsi="Arial" w:cs="Arial"/>
          <w:b/>
          <w:i w:val="0"/>
          <w:iCs w:val="0"/>
          <w:color w:val="000000" w:themeColor="text1"/>
        </w:rPr>
      </w:pPr>
      <w:r>
        <w:rPr>
          <w:rFonts w:ascii="Arial" w:hAnsi="Arial" w:cs="Arial"/>
          <w:b/>
          <w:i w:val="0"/>
          <w:iCs w:val="0"/>
          <w:color w:val="000000" w:themeColor="text1"/>
        </w:rPr>
        <w:t>HENDRIK JACOBUS VAN WYK                                           1</w:t>
      </w:r>
      <w:r w:rsidRPr="003024FC">
        <w:rPr>
          <w:rFonts w:ascii="Arial" w:hAnsi="Arial" w:cs="Arial"/>
          <w:b/>
          <w:i w:val="0"/>
          <w:iCs w:val="0"/>
          <w:color w:val="000000" w:themeColor="text1"/>
          <w:vertAlign w:val="superscript"/>
        </w:rPr>
        <w:t>ST</w:t>
      </w:r>
      <w:r>
        <w:rPr>
          <w:rFonts w:ascii="Arial" w:hAnsi="Arial" w:cs="Arial"/>
          <w:b/>
          <w:i w:val="0"/>
          <w:iCs w:val="0"/>
          <w:color w:val="000000" w:themeColor="text1"/>
        </w:rPr>
        <w:t xml:space="preserve"> </w:t>
      </w:r>
      <w:r w:rsidR="001F4D81">
        <w:rPr>
          <w:rFonts w:ascii="Arial" w:hAnsi="Arial" w:cs="Arial"/>
          <w:b/>
          <w:i w:val="0"/>
          <w:iCs w:val="0"/>
          <w:color w:val="000000" w:themeColor="text1"/>
        </w:rPr>
        <w:t>PLAINTIFF</w:t>
      </w:r>
    </w:p>
    <w:p w14:paraId="40736942" w14:textId="3D03A45F" w:rsidR="003024FC" w:rsidRPr="003024FC" w:rsidRDefault="003024FC" w:rsidP="003024FC">
      <w:pPr>
        <w:rPr>
          <w:rFonts w:ascii="Arial" w:hAnsi="Arial" w:cs="Arial"/>
          <w:sz w:val="18"/>
          <w:szCs w:val="18"/>
        </w:rPr>
      </w:pPr>
      <w:r w:rsidRPr="003024FC">
        <w:rPr>
          <w:rFonts w:ascii="Arial" w:hAnsi="Arial" w:cs="Arial"/>
          <w:b/>
          <w:bCs/>
        </w:rPr>
        <w:t>SARITA VAN WYK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024FC">
        <w:rPr>
          <w:rFonts w:ascii="Arial" w:hAnsi="Arial" w:cs="Arial"/>
          <w:b/>
          <w:bCs/>
        </w:rPr>
        <w:t>2</w:t>
      </w:r>
      <w:r w:rsidRPr="003024FC">
        <w:rPr>
          <w:rFonts w:ascii="Arial" w:hAnsi="Arial" w:cs="Arial"/>
          <w:b/>
          <w:bCs/>
          <w:vertAlign w:val="superscript"/>
        </w:rPr>
        <w:t>ND</w:t>
      </w:r>
      <w:r w:rsidRPr="003024FC">
        <w:rPr>
          <w:rFonts w:ascii="Arial" w:hAnsi="Arial" w:cs="Arial"/>
          <w:b/>
          <w:bCs/>
        </w:rPr>
        <w:t xml:space="preserve"> PLAINTIFF</w:t>
      </w:r>
      <w:r>
        <w:rPr>
          <w:rFonts w:ascii="Arial" w:hAnsi="Arial" w:cs="Arial"/>
          <w:sz w:val="18"/>
          <w:szCs w:val="18"/>
        </w:rPr>
        <w:t xml:space="preserve"> </w:t>
      </w:r>
      <w:r w:rsidRPr="003024FC">
        <w:rPr>
          <w:rFonts w:ascii="Arial" w:hAnsi="Arial" w:cs="Arial"/>
          <w:sz w:val="18"/>
          <w:szCs w:val="18"/>
        </w:rPr>
        <w:t xml:space="preserve"> </w:t>
      </w:r>
    </w:p>
    <w:p w14:paraId="35FEF25F" w14:textId="77777777" w:rsidR="00A973A4" w:rsidRPr="00A973A4" w:rsidRDefault="00A973A4" w:rsidP="00A973A4">
      <w:pPr>
        <w:spacing w:line="360" w:lineRule="auto"/>
        <w:jc w:val="both"/>
        <w:rPr>
          <w:rFonts w:ascii="Arial" w:hAnsi="Arial" w:cs="Arial"/>
          <w:sz w:val="18"/>
          <w:szCs w:val="18"/>
        </w:rPr>
      </w:pPr>
    </w:p>
    <w:p w14:paraId="10A5079F" w14:textId="77777777" w:rsidR="00A973A4" w:rsidRPr="00A973A4" w:rsidRDefault="00A973A4" w:rsidP="00A973A4">
      <w:pPr>
        <w:spacing w:line="360" w:lineRule="auto"/>
        <w:jc w:val="both"/>
        <w:rPr>
          <w:rFonts w:ascii="Arial" w:hAnsi="Arial" w:cs="Arial"/>
        </w:rPr>
      </w:pPr>
      <w:r w:rsidRPr="00A973A4">
        <w:rPr>
          <w:rFonts w:ascii="Arial" w:hAnsi="Arial" w:cs="Arial"/>
        </w:rPr>
        <w:t>and</w:t>
      </w:r>
    </w:p>
    <w:p w14:paraId="262221D3" w14:textId="77777777" w:rsidR="00A973A4" w:rsidRPr="001A0D6B" w:rsidRDefault="00A973A4" w:rsidP="00A973A4">
      <w:pPr>
        <w:spacing w:line="360" w:lineRule="auto"/>
        <w:jc w:val="both"/>
        <w:rPr>
          <w:rFonts w:ascii="Arial" w:hAnsi="Arial" w:cs="Arial"/>
        </w:rPr>
      </w:pPr>
    </w:p>
    <w:p w14:paraId="3E00BCE5" w14:textId="59C4AC46" w:rsidR="006E236B" w:rsidRDefault="003024FC" w:rsidP="00A973A4">
      <w:pPr>
        <w:spacing w:line="360" w:lineRule="auto"/>
        <w:rPr>
          <w:rFonts w:ascii="Arial" w:hAnsi="Arial" w:cs="Arial"/>
          <w:b/>
          <w:bCs/>
        </w:rPr>
      </w:pPr>
      <w:r>
        <w:rPr>
          <w:rFonts w:ascii="Arial" w:hAnsi="Arial" w:cs="Arial"/>
          <w:b/>
          <w:bCs/>
        </w:rPr>
        <w:t xml:space="preserve">JASON NANDAGO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1F4D81">
        <w:rPr>
          <w:rFonts w:ascii="Arial" w:hAnsi="Arial" w:cs="Arial"/>
          <w:b/>
          <w:bCs/>
        </w:rPr>
        <w:t xml:space="preserve"> </w:t>
      </w:r>
      <w:r w:rsidR="00A973A4">
        <w:rPr>
          <w:rFonts w:ascii="Arial" w:hAnsi="Arial" w:cs="Arial"/>
          <w:b/>
          <w:bCs/>
        </w:rPr>
        <w:tab/>
        <w:t xml:space="preserve">      </w:t>
      </w:r>
      <w:r w:rsidR="001F4D81">
        <w:rPr>
          <w:rFonts w:ascii="Arial" w:hAnsi="Arial" w:cs="Arial"/>
          <w:b/>
          <w:bCs/>
        </w:rPr>
        <w:t xml:space="preserve">   </w:t>
      </w:r>
      <w:r w:rsidR="00A973A4">
        <w:rPr>
          <w:rFonts w:ascii="Arial" w:hAnsi="Arial" w:cs="Arial"/>
          <w:b/>
          <w:bCs/>
        </w:rPr>
        <w:t>1</w:t>
      </w:r>
      <w:r w:rsidR="00A973A4" w:rsidRPr="00A973A4">
        <w:rPr>
          <w:rFonts w:ascii="Arial" w:hAnsi="Arial" w:cs="Arial"/>
          <w:b/>
          <w:bCs/>
          <w:vertAlign w:val="superscript"/>
        </w:rPr>
        <w:t>ST</w:t>
      </w:r>
      <w:r w:rsidR="00A973A4">
        <w:rPr>
          <w:rFonts w:ascii="Arial" w:hAnsi="Arial" w:cs="Arial"/>
          <w:b/>
          <w:bCs/>
        </w:rPr>
        <w:t xml:space="preserve"> </w:t>
      </w:r>
      <w:r w:rsidR="001F4D81">
        <w:rPr>
          <w:rFonts w:ascii="Arial" w:hAnsi="Arial" w:cs="Arial"/>
          <w:b/>
          <w:bCs/>
        </w:rPr>
        <w:t>DEFENDANT</w:t>
      </w:r>
    </w:p>
    <w:p w14:paraId="3003F440" w14:textId="59FCF30E" w:rsidR="00A973A4" w:rsidRDefault="003024FC" w:rsidP="00A973A4">
      <w:pPr>
        <w:spacing w:line="360" w:lineRule="auto"/>
        <w:rPr>
          <w:rFonts w:ascii="Arial" w:hAnsi="Arial" w:cs="Arial"/>
          <w:b/>
          <w:bCs/>
        </w:rPr>
      </w:pPr>
      <w:r>
        <w:rPr>
          <w:rFonts w:ascii="Arial" w:hAnsi="Arial" w:cs="Arial"/>
          <w:b/>
          <w:bCs/>
        </w:rPr>
        <w:t xml:space="preserve">BLUE DIAMOND PROPERTIES (PTY) LTD </w:t>
      </w:r>
      <w:r>
        <w:rPr>
          <w:rFonts w:ascii="Arial" w:hAnsi="Arial" w:cs="Arial"/>
          <w:b/>
          <w:bCs/>
        </w:rPr>
        <w:tab/>
      </w:r>
      <w:r w:rsidR="001F4D81">
        <w:rPr>
          <w:rFonts w:ascii="Arial" w:hAnsi="Arial" w:cs="Arial"/>
          <w:b/>
          <w:bCs/>
        </w:rPr>
        <w:t xml:space="preserve">  </w:t>
      </w:r>
      <w:r w:rsidR="001F4D81">
        <w:rPr>
          <w:rFonts w:ascii="Arial" w:hAnsi="Arial" w:cs="Arial"/>
          <w:b/>
          <w:bCs/>
        </w:rPr>
        <w:tab/>
      </w:r>
      <w:r w:rsidR="00A973A4">
        <w:rPr>
          <w:rFonts w:ascii="Arial" w:hAnsi="Arial" w:cs="Arial"/>
          <w:b/>
          <w:bCs/>
        </w:rPr>
        <w:t xml:space="preserve">      </w:t>
      </w:r>
      <w:r w:rsidR="001F4D81">
        <w:rPr>
          <w:rFonts w:ascii="Arial" w:hAnsi="Arial" w:cs="Arial"/>
          <w:b/>
          <w:bCs/>
        </w:rPr>
        <w:t xml:space="preserve">   </w:t>
      </w:r>
      <w:r w:rsidR="00A973A4">
        <w:rPr>
          <w:rFonts w:ascii="Arial" w:hAnsi="Arial" w:cs="Arial"/>
          <w:b/>
          <w:bCs/>
        </w:rPr>
        <w:t>2</w:t>
      </w:r>
      <w:r w:rsidR="00A973A4" w:rsidRPr="00A973A4">
        <w:rPr>
          <w:rFonts w:ascii="Arial" w:hAnsi="Arial" w:cs="Arial"/>
          <w:b/>
          <w:bCs/>
          <w:vertAlign w:val="superscript"/>
        </w:rPr>
        <w:t>ND</w:t>
      </w:r>
      <w:r w:rsidR="00A973A4">
        <w:rPr>
          <w:rFonts w:ascii="Arial" w:hAnsi="Arial" w:cs="Arial"/>
          <w:b/>
          <w:bCs/>
        </w:rPr>
        <w:t xml:space="preserve"> </w:t>
      </w:r>
      <w:r w:rsidR="001F4D81">
        <w:rPr>
          <w:rFonts w:ascii="Arial" w:hAnsi="Arial" w:cs="Arial"/>
          <w:b/>
          <w:bCs/>
        </w:rPr>
        <w:t>DEFENDANT</w:t>
      </w:r>
      <w:r>
        <w:rPr>
          <w:rFonts w:ascii="Arial" w:hAnsi="Arial" w:cs="Arial"/>
          <w:b/>
          <w:bCs/>
        </w:rPr>
        <w:br/>
        <w:t xml:space="preserve">AUCTION DYNAMICS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3</w:t>
      </w:r>
      <w:r w:rsidRPr="003024FC">
        <w:rPr>
          <w:rFonts w:ascii="Arial" w:hAnsi="Arial" w:cs="Arial"/>
          <w:b/>
          <w:bCs/>
          <w:vertAlign w:val="superscript"/>
        </w:rPr>
        <w:t>RD</w:t>
      </w:r>
      <w:r>
        <w:rPr>
          <w:rFonts w:ascii="Arial" w:hAnsi="Arial" w:cs="Arial"/>
          <w:b/>
          <w:bCs/>
        </w:rPr>
        <w:t xml:space="preserve"> DEFENDANT</w:t>
      </w:r>
    </w:p>
    <w:p w14:paraId="58053461" w14:textId="7EDCA05C" w:rsidR="003024FC" w:rsidRDefault="003024FC" w:rsidP="00A973A4">
      <w:pPr>
        <w:spacing w:line="360" w:lineRule="auto"/>
        <w:rPr>
          <w:rFonts w:ascii="Arial" w:hAnsi="Arial" w:cs="Arial"/>
          <w:b/>
          <w:bCs/>
        </w:rPr>
      </w:pPr>
      <w:r>
        <w:rPr>
          <w:rFonts w:ascii="Arial" w:hAnsi="Arial" w:cs="Arial"/>
          <w:b/>
          <w:bCs/>
        </w:rPr>
        <w:t xml:space="preserve">M P KIRSTEN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4</w:t>
      </w:r>
      <w:r w:rsidRPr="003024FC">
        <w:rPr>
          <w:rFonts w:ascii="Arial" w:hAnsi="Arial" w:cs="Arial"/>
          <w:b/>
          <w:bCs/>
          <w:vertAlign w:val="superscript"/>
        </w:rPr>
        <w:t>TH</w:t>
      </w:r>
      <w:r>
        <w:rPr>
          <w:rFonts w:ascii="Arial" w:hAnsi="Arial" w:cs="Arial"/>
          <w:b/>
          <w:bCs/>
        </w:rPr>
        <w:t xml:space="preserve"> DEFENDANT</w:t>
      </w:r>
    </w:p>
    <w:p w14:paraId="7100E952" w14:textId="05931C9B" w:rsidR="003024FC" w:rsidRDefault="003024FC" w:rsidP="00A973A4">
      <w:pPr>
        <w:spacing w:line="360" w:lineRule="auto"/>
        <w:rPr>
          <w:rFonts w:ascii="Arial" w:hAnsi="Arial" w:cs="Arial"/>
          <w:b/>
          <w:bCs/>
        </w:rPr>
      </w:pPr>
      <w:r>
        <w:rPr>
          <w:rFonts w:ascii="Arial" w:hAnsi="Arial" w:cs="Arial"/>
          <w:b/>
          <w:bCs/>
        </w:rPr>
        <w:t xml:space="preserve">BAREND N VENTER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5</w:t>
      </w:r>
      <w:r w:rsidRPr="003024FC">
        <w:rPr>
          <w:rFonts w:ascii="Arial" w:hAnsi="Arial" w:cs="Arial"/>
          <w:b/>
          <w:bCs/>
          <w:vertAlign w:val="superscript"/>
        </w:rPr>
        <w:t>TH</w:t>
      </w:r>
      <w:r>
        <w:rPr>
          <w:rFonts w:ascii="Arial" w:hAnsi="Arial" w:cs="Arial"/>
          <w:b/>
          <w:bCs/>
        </w:rPr>
        <w:t xml:space="preserve"> DEFENDANT</w:t>
      </w:r>
    </w:p>
    <w:p w14:paraId="2E42653E" w14:textId="4432CEFE" w:rsidR="00A973A4" w:rsidRDefault="00A973A4" w:rsidP="00A973A4">
      <w:pPr>
        <w:spacing w:line="360" w:lineRule="auto"/>
        <w:jc w:val="center"/>
        <w:rPr>
          <w:rFonts w:ascii="Arial" w:hAnsi="Arial" w:cs="Arial"/>
          <w:b/>
          <w:bCs/>
        </w:rPr>
      </w:pPr>
    </w:p>
    <w:p w14:paraId="29D4172F" w14:textId="7DF8D60F" w:rsidR="00A973A4" w:rsidRPr="00992F5E" w:rsidRDefault="00A973A4" w:rsidP="00D92088">
      <w:pPr>
        <w:spacing w:line="360" w:lineRule="auto"/>
        <w:jc w:val="both"/>
        <w:rPr>
          <w:rFonts w:ascii="Arial" w:hAnsi="Arial" w:cs="Arial"/>
        </w:rPr>
      </w:pPr>
      <w:r w:rsidRPr="00992F5E">
        <w:rPr>
          <w:rFonts w:ascii="Arial" w:hAnsi="Arial" w:cs="Arial"/>
          <w:b/>
        </w:rPr>
        <w:t>Neutral citation:</w:t>
      </w:r>
      <w:r w:rsidRPr="00992F5E">
        <w:rPr>
          <w:rFonts w:ascii="Arial" w:hAnsi="Arial" w:cs="Arial"/>
          <w:b/>
        </w:rPr>
        <w:tab/>
      </w:r>
      <w:r w:rsidR="00752A91">
        <w:rPr>
          <w:rFonts w:ascii="Arial" w:hAnsi="Arial" w:cs="Arial"/>
          <w:i/>
        </w:rPr>
        <w:t>Van Wyk</w:t>
      </w:r>
      <w:r w:rsidR="003024FC">
        <w:rPr>
          <w:rFonts w:ascii="Arial" w:hAnsi="Arial" w:cs="Arial"/>
          <w:i/>
        </w:rPr>
        <w:t xml:space="preserve"> </w:t>
      </w:r>
      <w:r w:rsidRPr="00992F5E">
        <w:rPr>
          <w:rFonts w:ascii="Arial" w:hAnsi="Arial" w:cs="Arial"/>
          <w:i/>
        </w:rPr>
        <w:t xml:space="preserve">v </w:t>
      </w:r>
      <w:r w:rsidR="00752A91">
        <w:rPr>
          <w:rFonts w:ascii="Arial" w:hAnsi="Arial" w:cs="Arial"/>
          <w:i/>
        </w:rPr>
        <w:t>Nandago</w:t>
      </w:r>
      <w:r w:rsidR="003024FC">
        <w:rPr>
          <w:rFonts w:ascii="Arial" w:hAnsi="Arial" w:cs="Arial"/>
          <w:i/>
        </w:rPr>
        <w:t xml:space="preserve"> </w:t>
      </w:r>
      <w:r w:rsidRPr="00992F5E">
        <w:rPr>
          <w:rFonts w:ascii="Arial" w:hAnsi="Arial" w:cs="Arial"/>
        </w:rPr>
        <w:t>(</w:t>
      </w:r>
      <w:r>
        <w:rPr>
          <w:rFonts w:ascii="Arial" w:hAnsi="Arial" w:cs="Arial"/>
        </w:rPr>
        <w:t>HC-MD-CIV-</w:t>
      </w:r>
      <w:r w:rsidR="001F4D81">
        <w:rPr>
          <w:rFonts w:ascii="Arial" w:hAnsi="Arial" w:cs="Arial"/>
        </w:rPr>
        <w:t>ACT-</w:t>
      </w:r>
      <w:r w:rsidR="003024FC">
        <w:rPr>
          <w:rFonts w:ascii="Arial" w:hAnsi="Arial" w:cs="Arial"/>
        </w:rPr>
        <w:t>OTH</w:t>
      </w:r>
      <w:r w:rsidR="001F4D81">
        <w:rPr>
          <w:rFonts w:ascii="Arial" w:hAnsi="Arial" w:cs="Arial"/>
        </w:rPr>
        <w:t>-2020/0</w:t>
      </w:r>
      <w:r w:rsidR="003024FC">
        <w:rPr>
          <w:rFonts w:ascii="Arial" w:hAnsi="Arial" w:cs="Arial"/>
        </w:rPr>
        <w:t>4153</w:t>
      </w:r>
      <w:r>
        <w:rPr>
          <w:rFonts w:ascii="Arial" w:hAnsi="Arial" w:cs="Arial"/>
        </w:rPr>
        <w:t xml:space="preserve">) </w:t>
      </w:r>
      <w:r w:rsidRPr="00992F5E">
        <w:rPr>
          <w:rFonts w:ascii="Arial" w:hAnsi="Arial" w:cs="Arial"/>
        </w:rPr>
        <w:t>[20</w:t>
      </w:r>
      <w:r>
        <w:rPr>
          <w:rFonts w:ascii="Arial" w:hAnsi="Arial" w:cs="Arial"/>
        </w:rPr>
        <w:t>2</w:t>
      </w:r>
      <w:r w:rsidR="001F4D81">
        <w:rPr>
          <w:rFonts w:ascii="Arial" w:hAnsi="Arial" w:cs="Arial"/>
        </w:rPr>
        <w:t>1</w:t>
      </w:r>
      <w:r w:rsidR="00133693">
        <w:rPr>
          <w:rFonts w:ascii="Arial" w:hAnsi="Arial" w:cs="Arial"/>
        </w:rPr>
        <w:t>] NAHCMD 171</w:t>
      </w:r>
      <w:r w:rsidRPr="00992F5E">
        <w:rPr>
          <w:rFonts w:ascii="Arial" w:hAnsi="Arial" w:cs="Arial"/>
        </w:rPr>
        <w:t xml:space="preserve"> (</w:t>
      </w:r>
      <w:r w:rsidR="003024FC">
        <w:rPr>
          <w:rFonts w:ascii="Arial" w:hAnsi="Arial" w:cs="Arial"/>
        </w:rPr>
        <w:t xml:space="preserve">19 April </w:t>
      </w:r>
      <w:r w:rsidR="001F4D81">
        <w:rPr>
          <w:rFonts w:ascii="Arial" w:hAnsi="Arial" w:cs="Arial"/>
        </w:rPr>
        <w:t>2021</w:t>
      </w:r>
      <w:r w:rsidRPr="00992F5E">
        <w:rPr>
          <w:rFonts w:ascii="Arial" w:hAnsi="Arial" w:cs="Arial"/>
        </w:rPr>
        <w:t>)</w:t>
      </w:r>
    </w:p>
    <w:p w14:paraId="488A1DBF" w14:textId="77777777" w:rsidR="00A973A4" w:rsidRPr="00992F5E" w:rsidRDefault="00A973A4" w:rsidP="00A973A4">
      <w:pPr>
        <w:spacing w:line="360" w:lineRule="auto"/>
        <w:ind w:left="2160" w:hanging="2160"/>
        <w:jc w:val="both"/>
        <w:rPr>
          <w:rFonts w:ascii="Arial" w:hAnsi="Arial" w:cs="Arial"/>
        </w:rPr>
      </w:pPr>
    </w:p>
    <w:p w14:paraId="75A400A6" w14:textId="348E5B37" w:rsidR="00A973A4" w:rsidRPr="00A0413B" w:rsidRDefault="00A973A4" w:rsidP="00A973A4">
      <w:pPr>
        <w:spacing w:line="360" w:lineRule="auto"/>
        <w:ind w:left="1440" w:hanging="1440"/>
        <w:jc w:val="both"/>
        <w:rPr>
          <w:rFonts w:ascii="Arial" w:hAnsi="Arial" w:cs="Arial"/>
          <w:b/>
          <w:i/>
        </w:rPr>
      </w:pPr>
      <w:r w:rsidRPr="00A0413B">
        <w:rPr>
          <w:rFonts w:ascii="Arial" w:hAnsi="Arial" w:cs="Arial"/>
          <w:b/>
        </w:rPr>
        <w:t>Coram:</w:t>
      </w:r>
      <w:r w:rsidRPr="00A0413B">
        <w:rPr>
          <w:rFonts w:ascii="Arial" w:hAnsi="Arial" w:cs="Arial"/>
        </w:rPr>
        <w:tab/>
      </w:r>
      <w:r>
        <w:rPr>
          <w:rFonts w:ascii="Arial" w:hAnsi="Arial" w:cs="Arial"/>
        </w:rPr>
        <w:t xml:space="preserve">SIBEYA </w:t>
      </w:r>
      <w:r w:rsidRPr="00A0413B">
        <w:rPr>
          <w:rFonts w:ascii="Arial" w:hAnsi="Arial" w:cs="Arial"/>
        </w:rPr>
        <w:t>J</w:t>
      </w:r>
    </w:p>
    <w:p w14:paraId="08BE6ECA" w14:textId="2EBD3999" w:rsidR="00A973A4" w:rsidRPr="00A0413B" w:rsidRDefault="00A973A4" w:rsidP="00A973A4">
      <w:pPr>
        <w:spacing w:line="360" w:lineRule="auto"/>
        <w:ind w:left="1440" w:hanging="1440"/>
        <w:rPr>
          <w:rFonts w:ascii="Arial" w:hAnsi="Arial" w:cs="Arial"/>
          <w:b/>
        </w:rPr>
      </w:pPr>
      <w:r w:rsidRPr="00A0413B">
        <w:rPr>
          <w:rFonts w:ascii="Arial" w:hAnsi="Arial" w:cs="Arial"/>
          <w:b/>
          <w:bCs/>
        </w:rPr>
        <w:t>Heard</w:t>
      </w:r>
      <w:r w:rsidR="00945625" w:rsidRPr="00945625">
        <w:rPr>
          <w:rFonts w:ascii="Arial" w:hAnsi="Arial" w:cs="Arial"/>
          <w:b/>
          <w:bCs/>
        </w:rPr>
        <w:t>:</w:t>
      </w:r>
      <w:r w:rsidRPr="000B0EF4">
        <w:rPr>
          <w:rFonts w:ascii="Arial" w:hAnsi="Arial" w:cs="Arial"/>
          <w:b/>
        </w:rPr>
        <w:tab/>
      </w:r>
      <w:r w:rsidR="00567120" w:rsidRPr="000B0EF4">
        <w:rPr>
          <w:rFonts w:ascii="Arial" w:hAnsi="Arial" w:cs="Arial"/>
          <w:b/>
        </w:rPr>
        <w:t xml:space="preserve">19 March </w:t>
      </w:r>
      <w:r w:rsidR="001F4D81" w:rsidRPr="000B0EF4">
        <w:rPr>
          <w:rFonts w:ascii="Arial" w:hAnsi="Arial" w:cs="Arial"/>
          <w:b/>
        </w:rPr>
        <w:t>2021</w:t>
      </w:r>
    </w:p>
    <w:p w14:paraId="0CACE259" w14:textId="1E88C0B1" w:rsidR="00A973A4" w:rsidRDefault="00325B0F" w:rsidP="00A973A4">
      <w:pPr>
        <w:spacing w:line="360" w:lineRule="auto"/>
        <w:jc w:val="both"/>
        <w:rPr>
          <w:rFonts w:ascii="Arial" w:hAnsi="Arial" w:cs="Arial"/>
          <w:b/>
        </w:rPr>
      </w:pPr>
      <w:r>
        <w:rPr>
          <w:rFonts w:ascii="Arial" w:hAnsi="Arial" w:cs="Arial"/>
          <w:b/>
          <w:bCs/>
        </w:rPr>
        <w:t>Delivered</w:t>
      </w:r>
      <w:r w:rsidR="00945625">
        <w:rPr>
          <w:rFonts w:ascii="Arial" w:hAnsi="Arial" w:cs="Arial"/>
          <w:b/>
          <w:bCs/>
        </w:rPr>
        <w:t>:</w:t>
      </w:r>
      <w:r w:rsidR="00A973A4" w:rsidRPr="00A0413B">
        <w:rPr>
          <w:rFonts w:ascii="Arial" w:hAnsi="Arial" w:cs="Arial"/>
        </w:rPr>
        <w:tab/>
      </w:r>
      <w:r w:rsidR="00567120">
        <w:rPr>
          <w:rFonts w:ascii="Arial" w:hAnsi="Arial" w:cs="Arial"/>
          <w:b/>
        </w:rPr>
        <w:t xml:space="preserve">19 April </w:t>
      </w:r>
      <w:r w:rsidR="001F4D81">
        <w:rPr>
          <w:rFonts w:ascii="Arial" w:hAnsi="Arial" w:cs="Arial"/>
          <w:b/>
        </w:rPr>
        <w:t>2021</w:t>
      </w:r>
    </w:p>
    <w:p w14:paraId="204E6FAB" w14:textId="7FD25AA8" w:rsidR="00DE11E8" w:rsidRDefault="000B0EF4" w:rsidP="00A973A4">
      <w:pPr>
        <w:spacing w:line="360" w:lineRule="auto"/>
        <w:jc w:val="both"/>
        <w:rPr>
          <w:rFonts w:ascii="Arial" w:hAnsi="Arial" w:cs="Arial"/>
          <w:b/>
        </w:rPr>
      </w:pPr>
      <w:r>
        <w:rPr>
          <w:rFonts w:ascii="Arial" w:hAnsi="Arial" w:cs="Arial"/>
          <w:b/>
        </w:rPr>
        <w:t>Reasons:</w:t>
      </w:r>
      <w:r w:rsidR="00DE11E8">
        <w:rPr>
          <w:rFonts w:ascii="Arial" w:hAnsi="Arial" w:cs="Arial"/>
          <w:b/>
        </w:rPr>
        <w:t xml:space="preserve">     </w:t>
      </w:r>
      <w:r>
        <w:rPr>
          <w:rFonts w:ascii="Arial" w:hAnsi="Arial" w:cs="Arial"/>
          <w:b/>
        </w:rPr>
        <w:t xml:space="preserve"> </w:t>
      </w:r>
      <w:r w:rsidR="00DE11E8">
        <w:rPr>
          <w:rFonts w:ascii="Arial" w:hAnsi="Arial" w:cs="Arial"/>
          <w:b/>
        </w:rPr>
        <w:t>20 April 2021</w:t>
      </w:r>
    </w:p>
    <w:p w14:paraId="0F91E5DF" w14:textId="77777777" w:rsidR="00600582" w:rsidRDefault="00600582" w:rsidP="00A973A4">
      <w:pPr>
        <w:spacing w:line="360" w:lineRule="auto"/>
        <w:jc w:val="both"/>
        <w:rPr>
          <w:rFonts w:ascii="Arial" w:hAnsi="Arial" w:cs="Arial"/>
          <w:b/>
        </w:rPr>
      </w:pPr>
    </w:p>
    <w:p w14:paraId="5B661077" w14:textId="12FB57E4" w:rsidR="00DE7E50" w:rsidRPr="007721ED" w:rsidRDefault="00A973A4" w:rsidP="007721ED">
      <w:pPr>
        <w:spacing w:line="360" w:lineRule="auto"/>
        <w:jc w:val="both"/>
        <w:rPr>
          <w:rFonts w:ascii="Arial" w:hAnsi="Arial" w:cs="Arial"/>
        </w:rPr>
      </w:pPr>
      <w:r w:rsidRPr="00752A91">
        <w:rPr>
          <w:rFonts w:ascii="Arial" w:hAnsi="Arial" w:cs="Arial"/>
          <w:b/>
        </w:rPr>
        <w:t>Flynote:</w:t>
      </w:r>
      <w:r w:rsidRPr="007721ED">
        <w:rPr>
          <w:rFonts w:ascii="Arial" w:hAnsi="Arial" w:cs="Arial"/>
        </w:rPr>
        <w:tab/>
      </w:r>
      <w:r w:rsidR="006029C4" w:rsidRPr="007721ED">
        <w:rPr>
          <w:rFonts w:ascii="Arial" w:hAnsi="Arial" w:cs="Arial"/>
        </w:rPr>
        <w:t>Practice – Exception – That particulars of claim do not sustain cause of action</w:t>
      </w:r>
      <w:r w:rsidR="00D92088" w:rsidRPr="007721ED">
        <w:rPr>
          <w:rFonts w:ascii="Arial" w:hAnsi="Arial" w:cs="Arial"/>
        </w:rPr>
        <w:t xml:space="preserve"> – Court </w:t>
      </w:r>
      <w:r w:rsidR="006029C4" w:rsidRPr="007721ED">
        <w:rPr>
          <w:rFonts w:ascii="Arial" w:hAnsi="Arial" w:cs="Arial"/>
        </w:rPr>
        <w:t xml:space="preserve">to determine </w:t>
      </w:r>
      <w:r w:rsidR="00C56E68" w:rsidRPr="007721ED">
        <w:rPr>
          <w:rFonts w:ascii="Arial" w:hAnsi="Arial" w:cs="Arial"/>
        </w:rPr>
        <w:t xml:space="preserve">whether or not the particulars of claim lack </w:t>
      </w:r>
      <w:r w:rsidR="00297C9F">
        <w:rPr>
          <w:rFonts w:ascii="Arial" w:hAnsi="Arial" w:cs="Arial"/>
        </w:rPr>
        <w:t xml:space="preserve">the necessary </w:t>
      </w:r>
      <w:r w:rsidR="00C56E68" w:rsidRPr="007721ED">
        <w:rPr>
          <w:rFonts w:ascii="Arial" w:hAnsi="Arial" w:cs="Arial"/>
        </w:rPr>
        <w:t xml:space="preserve">averments required </w:t>
      </w:r>
      <w:r w:rsidR="00297C9F">
        <w:rPr>
          <w:rFonts w:ascii="Arial" w:hAnsi="Arial" w:cs="Arial"/>
        </w:rPr>
        <w:t xml:space="preserve">to sustain a </w:t>
      </w:r>
      <w:r w:rsidR="00C56E68" w:rsidRPr="007721ED">
        <w:rPr>
          <w:rFonts w:ascii="Arial" w:hAnsi="Arial" w:cs="Arial"/>
        </w:rPr>
        <w:t>cause of action</w:t>
      </w:r>
      <w:r w:rsidR="006029C4" w:rsidRPr="007721ED">
        <w:rPr>
          <w:rFonts w:ascii="Arial" w:hAnsi="Arial" w:cs="Arial"/>
        </w:rPr>
        <w:t xml:space="preserve"> </w:t>
      </w:r>
      <w:r w:rsidR="00C56E68" w:rsidRPr="007721ED">
        <w:rPr>
          <w:rFonts w:ascii="Arial" w:hAnsi="Arial" w:cs="Arial"/>
        </w:rPr>
        <w:t xml:space="preserve">— </w:t>
      </w:r>
      <w:r w:rsidR="00297C9F">
        <w:rPr>
          <w:rFonts w:ascii="Arial" w:hAnsi="Arial" w:cs="Arial"/>
        </w:rPr>
        <w:t xml:space="preserve">Settled law </w:t>
      </w:r>
      <w:r w:rsidR="00297C9F">
        <w:rPr>
          <w:rFonts w:ascii="Arial" w:hAnsi="Arial" w:cs="Arial"/>
        </w:rPr>
        <w:lastRenderedPageBreak/>
        <w:t xml:space="preserve">that </w:t>
      </w:r>
      <w:r w:rsidR="00C56E68" w:rsidRPr="007721ED">
        <w:rPr>
          <w:rFonts w:ascii="Arial" w:hAnsi="Arial" w:cs="Arial"/>
        </w:rPr>
        <w:t>in adjudicating exceptions</w:t>
      </w:r>
      <w:r w:rsidR="00D92088" w:rsidRPr="007721ED">
        <w:rPr>
          <w:rFonts w:ascii="Arial" w:hAnsi="Arial" w:cs="Arial"/>
        </w:rPr>
        <w:t xml:space="preserve">, </w:t>
      </w:r>
      <w:r w:rsidR="00C56E68" w:rsidRPr="007721ED">
        <w:rPr>
          <w:rFonts w:ascii="Arial" w:hAnsi="Arial" w:cs="Arial"/>
        </w:rPr>
        <w:t xml:space="preserve"> </w:t>
      </w:r>
      <w:r w:rsidR="00297C9F">
        <w:rPr>
          <w:rFonts w:ascii="Arial" w:hAnsi="Arial" w:cs="Arial"/>
        </w:rPr>
        <w:t>averments a</w:t>
      </w:r>
      <w:r w:rsidR="00C56E68" w:rsidRPr="007721ED">
        <w:rPr>
          <w:rFonts w:ascii="Arial" w:hAnsi="Arial" w:cs="Arial"/>
        </w:rPr>
        <w:t xml:space="preserve">lleged by the </w:t>
      </w:r>
      <w:r w:rsidR="00D92088" w:rsidRPr="007721ED">
        <w:rPr>
          <w:rFonts w:ascii="Arial" w:hAnsi="Arial" w:cs="Arial"/>
        </w:rPr>
        <w:t xml:space="preserve">plaintiff </w:t>
      </w:r>
      <w:r w:rsidR="00297C9F">
        <w:rPr>
          <w:rFonts w:ascii="Arial" w:hAnsi="Arial" w:cs="Arial"/>
        </w:rPr>
        <w:t xml:space="preserve">are accepted </w:t>
      </w:r>
      <w:r w:rsidR="00D92088" w:rsidRPr="007721ED">
        <w:rPr>
          <w:rFonts w:ascii="Arial" w:hAnsi="Arial" w:cs="Arial"/>
        </w:rPr>
        <w:t>as correct – E</w:t>
      </w:r>
      <w:r w:rsidR="00C56E68" w:rsidRPr="007721ED">
        <w:rPr>
          <w:rFonts w:ascii="Arial" w:hAnsi="Arial" w:cs="Arial"/>
        </w:rPr>
        <w:t xml:space="preserve">xcipient bears the onus of </w:t>
      </w:r>
      <w:r w:rsidR="004D205F">
        <w:rPr>
          <w:rFonts w:ascii="Arial" w:hAnsi="Arial" w:cs="Arial"/>
        </w:rPr>
        <w:t xml:space="preserve">persuading the court that </w:t>
      </w:r>
      <w:r w:rsidR="00C56E68" w:rsidRPr="007721ED">
        <w:rPr>
          <w:rFonts w:ascii="Arial" w:hAnsi="Arial" w:cs="Arial"/>
        </w:rPr>
        <w:t>particulars of claim</w:t>
      </w:r>
      <w:r w:rsidR="004D205F">
        <w:rPr>
          <w:rFonts w:ascii="Arial" w:hAnsi="Arial" w:cs="Arial"/>
        </w:rPr>
        <w:t xml:space="preserve"> are excipiable </w:t>
      </w:r>
      <w:r w:rsidR="00D92088" w:rsidRPr="007721ED">
        <w:rPr>
          <w:rFonts w:ascii="Arial" w:hAnsi="Arial" w:cs="Arial"/>
        </w:rPr>
        <w:t xml:space="preserve">– </w:t>
      </w:r>
      <w:r w:rsidR="004D205F">
        <w:rPr>
          <w:rFonts w:ascii="Arial" w:hAnsi="Arial" w:cs="Arial"/>
        </w:rPr>
        <w:t xml:space="preserve">Court retains a duty to interpret legislation, agreement or document – </w:t>
      </w:r>
      <w:r w:rsidR="006029C4" w:rsidRPr="007721ED">
        <w:rPr>
          <w:rFonts w:ascii="Arial" w:hAnsi="Arial" w:cs="Arial"/>
        </w:rPr>
        <w:t xml:space="preserve">Court of the view that the particulars of claim are capable of being read </w:t>
      </w:r>
      <w:r w:rsidR="00FD7376">
        <w:rPr>
          <w:rFonts w:ascii="Arial" w:hAnsi="Arial" w:cs="Arial"/>
        </w:rPr>
        <w:t>to d</w:t>
      </w:r>
      <w:r w:rsidR="006029C4" w:rsidRPr="007721ED">
        <w:rPr>
          <w:rFonts w:ascii="Arial" w:hAnsi="Arial" w:cs="Arial"/>
        </w:rPr>
        <w:t>isclos</w:t>
      </w:r>
      <w:r w:rsidR="00FD7376">
        <w:rPr>
          <w:rFonts w:ascii="Arial" w:hAnsi="Arial" w:cs="Arial"/>
        </w:rPr>
        <w:t>e</w:t>
      </w:r>
      <w:r w:rsidR="006029C4" w:rsidRPr="007721ED">
        <w:rPr>
          <w:rFonts w:ascii="Arial" w:hAnsi="Arial" w:cs="Arial"/>
        </w:rPr>
        <w:t xml:space="preserve"> a cause of action</w:t>
      </w:r>
      <w:r w:rsidR="00FD7376">
        <w:rPr>
          <w:rFonts w:ascii="Arial" w:hAnsi="Arial" w:cs="Arial"/>
        </w:rPr>
        <w:t xml:space="preserve">. </w:t>
      </w:r>
    </w:p>
    <w:p w14:paraId="38B57409" w14:textId="77777777" w:rsidR="00A973A4" w:rsidRPr="007721ED" w:rsidRDefault="00A973A4" w:rsidP="007721ED">
      <w:pPr>
        <w:spacing w:line="360" w:lineRule="auto"/>
        <w:jc w:val="both"/>
        <w:rPr>
          <w:rFonts w:ascii="Arial" w:hAnsi="Arial" w:cs="Arial"/>
        </w:rPr>
      </w:pPr>
    </w:p>
    <w:p w14:paraId="2556EF81" w14:textId="1F16D1FB" w:rsidR="00B83C45" w:rsidRPr="007721ED" w:rsidRDefault="00A973A4" w:rsidP="007721ED">
      <w:pPr>
        <w:spacing w:line="360" w:lineRule="auto"/>
        <w:jc w:val="both"/>
        <w:rPr>
          <w:rFonts w:ascii="Arial" w:hAnsi="Arial" w:cs="Arial"/>
        </w:rPr>
      </w:pPr>
      <w:r w:rsidRPr="00752A91">
        <w:rPr>
          <w:rFonts w:ascii="Arial" w:hAnsi="Arial" w:cs="Arial"/>
          <w:b/>
        </w:rPr>
        <w:t>Summary:</w:t>
      </w:r>
      <w:r w:rsidR="00D92088" w:rsidRPr="007721ED">
        <w:rPr>
          <w:rFonts w:ascii="Arial" w:hAnsi="Arial" w:cs="Arial"/>
        </w:rPr>
        <w:tab/>
        <w:t xml:space="preserve">The </w:t>
      </w:r>
      <w:r w:rsidR="00CE3994">
        <w:rPr>
          <w:rFonts w:ascii="Arial" w:hAnsi="Arial" w:cs="Arial"/>
        </w:rPr>
        <w:t xml:space="preserve">first </w:t>
      </w:r>
      <w:r w:rsidR="00D92088" w:rsidRPr="007721ED">
        <w:rPr>
          <w:rFonts w:ascii="Arial" w:hAnsi="Arial" w:cs="Arial"/>
        </w:rPr>
        <w:t>defendant raised an exception to the plaintiffs</w:t>
      </w:r>
      <w:r w:rsidR="00CE3994">
        <w:rPr>
          <w:rFonts w:ascii="Arial" w:hAnsi="Arial" w:cs="Arial"/>
        </w:rPr>
        <w:t>’</w:t>
      </w:r>
      <w:r w:rsidR="00D92088" w:rsidRPr="007721ED">
        <w:rPr>
          <w:rFonts w:ascii="Arial" w:hAnsi="Arial" w:cs="Arial"/>
        </w:rPr>
        <w:t xml:space="preserve"> particulars of claim on the </w:t>
      </w:r>
      <w:r w:rsidR="00CE3994">
        <w:rPr>
          <w:rFonts w:ascii="Arial" w:hAnsi="Arial" w:cs="Arial"/>
        </w:rPr>
        <w:t xml:space="preserve">basis </w:t>
      </w:r>
      <w:r w:rsidR="00D92088" w:rsidRPr="007721ED">
        <w:rPr>
          <w:rFonts w:ascii="Arial" w:hAnsi="Arial" w:cs="Arial"/>
        </w:rPr>
        <w:t xml:space="preserve">that the </w:t>
      </w:r>
      <w:r w:rsidR="00CE3994">
        <w:rPr>
          <w:rFonts w:ascii="Arial" w:hAnsi="Arial" w:cs="Arial"/>
        </w:rPr>
        <w:t xml:space="preserve">particulars of claim do not sustain a cause of action. The first defendant </w:t>
      </w:r>
      <w:r w:rsidR="00752A91" w:rsidRPr="005447CC">
        <w:rPr>
          <w:rFonts w:ascii="Arial" w:hAnsi="Arial" w:cs="Arial"/>
        </w:rPr>
        <w:t>based</w:t>
      </w:r>
      <w:r w:rsidR="00CE3994">
        <w:rPr>
          <w:rFonts w:ascii="Arial" w:hAnsi="Arial" w:cs="Arial"/>
        </w:rPr>
        <w:t xml:space="preserve"> his exception on the ground that clause 9.5 of the </w:t>
      </w:r>
      <w:r w:rsidR="00D92088" w:rsidRPr="007721ED">
        <w:rPr>
          <w:rFonts w:ascii="Arial" w:hAnsi="Arial" w:cs="Arial"/>
        </w:rPr>
        <w:t xml:space="preserve">agreement </w:t>
      </w:r>
      <w:r w:rsidR="00CE3994">
        <w:rPr>
          <w:rFonts w:ascii="Arial" w:hAnsi="Arial" w:cs="Arial"/>
        </w:rPr>
        <w:t>for the sale of a farm which provides for first defendant to indemnify the plaintiffs for payment of VAT</w:t>
      </w:r>
      <w:r w:rsidR="00752A91">
        <w:rPr>
          <w:rFonts w:ascii="Arial" w:hAnsi="Arial" w:cs="Arial"/>
        </w:rPr>
        <w:t>,</w:t>
      </w:r>
      <w:r w:rsidR="00CE3994">
        <w:rPr>
          <w:rFonts w:ascii="Arial" w:hAnsi="Arial" w:cs="Arial"/>
        </w:rPr>
        <w:t xml:space="preserve"> if it is not zero-rated</w:t>
      </w:r>
      <w:r w:rsidR="00752A91">
        <w:rPr>
          <w:rFonts w:ascii="Arial" w:hAnsi="Arial" w:cs="Arial"/>
        </w:rPr>
        <w:t>,</w:t>
      </w:r>
      <w:r w:rsidR="00CE3994">
        <w:rPr>
          <w:rFonts w:ascii="Arial" w:hAnsi="Arial" w:cs="Arial"/>
        </w:rPr>
        <w:t xml:space="preserve"> only comes into effect when the plaintiffs are liable to pay such VAT. First defendant argues that liability to pay VAT does not amount</w:t>
      </w:r>
      <w:r w:rsidR="00752A91">
        <w:rPr>
          <w:rFonts w:ascii="Arial" w:hAnsi="Arial" w:cs="Arial"/>
        </w:rPr>
        <w:t xml:space="preserve"> </w:t>
      </w:r>
      <w:r w:rsidR="00752A91" w:rsidRPr="005447CC">
        <w:rPr>
          <w:rFonts w:ascii="Arial" w:hAnsi="Arial" w:cs="Arial"/>
        </w:rPr>
        <w:t>to</w:t>
      </w:r>
      <w:r w:rsidR="00CE3994">
        <w:rPr>
          <w:rFonts w:ascii="Arial" w:hAnsi="Arial" w:cs="Arial"/>
        </w:rPr>
        <w:t xml:space="preserve"> demand or a claim by the Receiver of Revenue but an obligation to pay in fact and in law. </w:t>
      </w:r>
      <w:r w:rsidR="004571AC">
        <w:rPr>
          <w:rFonts w:ascii="Arial" w:hAnsi="Arial" w:cs="Arial"/>
        </w:rPr>
        <w:t xml:space="preserve"> </w:t>
      </w:r>
      <w:r w:rsidR="00D92088" w:rsidRPr="007721ED">
        <w:rPr>
          <w:rFonts w:ascii="Arial" w:hAnsi="Arial" w:cs="Arial"/>
        </w:rPr>
        <w:t xml:space="preserve"> </w:t>
      </w:r>
    </w:p>
    <w:p w14:paraId="0CF3ECFB" w14:textId="77777777" w:rsidR="00B83C45" w:rsidRPr="007721ED" w:rsidRDefault="00B83C45" w:rsidP="007721ED">
      <w:pPr>
        <w:spacing w:line="360" w:lineRule="auto"/>
        <w:jc w:val="both"/>
        <w:rPr>
          <w:rFonts w:ascii="Arial" w:hAnsi="Arial" w:cs="Arial"/>
        </w:rPr>
      </w:pPr>
    </w:p>
    <w:p w14:paraId="212C4221" w14:textId="404C12E3" w:rsidR="00D92088" w:rsidRPr="007721ED" w:rsidRDefault="00D92088" w:rsidP="007721ED">
      <w:pPr>
        <w:spacing w:line="360" w:lineRule="auto"/>
        <w:jc w:val="both"/>
        <w:rPr>
          <w:rFonts w:ascii="Arial" w:hAnsi="Arial" w:cs="Arial"/>
        </w:rPr>
      </w:pPr>
      <w:r w:rsidRPr="007721ED">
        <w:rPr>
          <w:rFonts w:ascii="Arial" w:hAnsi="Arial" w:cs="Arial"/>
        </w:rPr>
        <w:t>The plaintiff</w:t>
      </w:r>
      <w:r w:rsidR="00F73CDF">
        <w:rPr>
          <w:rFonts w:ascii="Arial" w:hAnsi="Arial" w:cs="Arial"/>
        </w:rPr>
        <w:t>s</w:t>
      </w:r>
      <w:r w:rsidRPr="007721ED">
        <w:rPr>
          <w:rFonts w:ascii="Arial" w:hAnsi="Arial" w:cs="Arial"/>
        </w:rPr>
        <w:t xml:space="preserve"> </w:t>
      </w:r>
      <w:r w:rsidR="00F73CDF">
        <w:rPr>
          <w:rFonts w:ascii="Arial" w:hAnsi="Arial" w:cs="Arial"/>
        </w:rPr>
        <w:t xml:space="preserve">chose </w:t>
      </w:r>
      <w:r w:rsidRPr="007721ED">
        <w:rPr>
          <w:rFonts w:ascii="Arial" w:hAnsi="Arial" w:cs="Arial"/>
        </w:rPr>
        <w:t xml:space="preserve">not to amend the particulars of claim and opposed the exception. </w:t>
      </w:r>
      <w:r w:rsidR="00B83C45" w:rsidRPr="007721ED">
        <w:rPr>
          <w:rFonts w:ascii="Arial" w:hAnsi="Arial" w:cs="Arial"/>
        </w:rPr>
        <w:t>The plaintiff</w:t>
      </w:r>
      <w:r w:rsidR="00F73CDF">
        <w:rPr>
          <w:rFonts w:ascii="Arial" w:hAnsi="Arial" w:cs="Arial"/>
        </w:rPr>
        <w:t>s</w:t>
      </w:r>
      <w:r w:rsidR="00B83C45" w:rsidRPr="007721ED">
        <w:rPr>
          <w:rFonts w:ascii="Arial" w:hAnsi="Arial" w:cs="Arial"/>
        </w:rPr>
        <w:t xml:space="preserve"> allege that </w:t>
      </w:r>
      <w:r w:rsidR="00F73CDF">
        <w:rPr>
          <w:rFonts w:ascii="Arial" w:hAnsi="Arial" w:cs="Arial"/>
        </w:rPr>
        <w:t xml:space="preserve">they were compelled to pay the VAT claim by the Receiver and the first defendant breached the agreement when he refused to put the indemnification into effect. </w:t>
      </w:r>
      <w:r w:rsidR="00B83C45" w:rsidRPr="007721ED">
        <w:rPr>
          <w:rFonts w:ascii="Arial" w:hAnsi="Arial" w:cs="Arial"/>
        </w:rPr>
        <w:t xml:space="preserve"> </w:t>
      </w:r>
    </w:p>
    <w:p w14:paraId="484C661F" w14:textId="19710DD4" w:rsidR="00A973A4" w:rsidRPr="007721ED" w:rsidRDefault="00A973A4" w:rsidP="007721ED">
      <w:pPr>
        <w:spacing w:line="360" w:lineRule="auto"/>
        <w:jc w:val="both"/>
        <w:rPr>
          <w:rFonts w:ascii="Arial" w:hAnsi="Arial" w:cs="Arial"/>
        </w:rPr>
      </w:pPr>
    </w:p>
    <w:p w14:paraId="7FE3E7DB" w14:textId="0AFABD66" w:rsidR="00B83C45" w:rsidRPr="007721ED" w:rsidRDefault="00B83C45" w:rsidP="007721ED">
      <w:pPr>
        <w:spacing w:line="360" w:lineRule="auto"/>
        <w:jc w:val="both"/>
        <w:rPr>
          <w:rFonts w:ascii="Arial" w:hAnsi="Arial" w:cs="Arial"/>
        </w:rPr>
      </w:pPr>
      <w:r w:rsidRPr="000B0EF4">
        <w:rPr>
          <w:rFonts w:ascii="Arial" w:hAnsi="Arial" w:cs="Arial"/>
          <w:i/>
        </w:rPr>
        <w:t>Held</w:t>
      </w:r>
      <w:r w:rsidRPr="007721ED">
        <w:rPr>
          <w:rFonts w:ascii="Arial" w:hAnsi="Arial" w:cs="Arial"/>
        </w:rPr>
        <w:t xml:space="preserve"> – It is </w:t>
      </w:r>
      <w:r w:rsidR="00D575F4">
        <w:rPr>
          <w:rFonts w:ascii="Arial" w:hAnsi="Arial" w:cs="Arial"/>
        </w:rPr>
        <w:t xml:space="preserve">trite </w:t>
      </w:r>
      <w:r w:rsidRPr="007721ED">
        <w:rPr>
          <w:rFonts w:ascii="Arial" w:hAnsi="Arial" w:cs="Arial"/>
        </w:rPr>
        <w:t>that in adjudicating exceptions, the court must accept the facts alleged by the plaintiff</w:t>
      </w:r>
      <w:r w:rsidR="00D575F4">
        <w:rPr>
          <w:rFonts w:ascii="Arial" w:hAnsi="Arial" w:cs="Arial"/>
        </w:rPr>
        <w:t>s</w:t>
      </w:r>
      <w:r w:rsidRPr="007721ED">
        <w:rPr>
          <w:rFonts w:ascii="Arial" w:hAnsi="Arial" w:cs="Arial"/>
        </w:rPr>
        <w:t xml:space="preserve"> as correct</w:t>
      </w:r>
      <w:r w:rsidR="005151E9">
        <w:rPr>
          <w:rFonts w:ascii="Arial" w:hAnsi="Arial" w:cs="Arial"/>
        </w:rPr>
        <w:t xml:space="preserve"> and that the</w:t>
      </w:r>
      <w:r w:rsidRPr="007721ED">
        <w:rPr>
          <w:rFonts w:ascii="Arial" w:hAnsi="Arial" w:cs="Arial"/>
        </w:rPr>
        <w:t xml:space="preserve"> excipient bears the onus of p</w:t>
      </w:r>
      <w:r w:rsidR="00434CCB">
        <w:rPr>
          <w:rFonts w:ascii="Arial" w:hAnsi="Arial" w:cs="Arial"/>
        </w:rPr>
        <w:t xml:space="preserve">ersuading the court that the particulars of claim are excipiable in that </w:t>
      </w:r>
      <w:r w:rsidRPr="007721ED">
        <w:rPr>
          <w:rFonts w:ascii="Arial" w:hAnsi="Arial" w:cs="Arial"/>
        </w:rPr>
        <w:t>on</w:t>
      </w:r>
      <w:r w:rsidR="00434CCB">
        <w:rPr>
          <w:rFonts w:ascii="Arial" w:hAnsi="Arial" w:cs="Arial"/>
        </w:rPr>
        <w:t xml:space="preserve"> eve</w:t>
      </w:r>
      <w:r w:rsidRPr="007721ED">
        <w:rPr>
          <w:rFonts w:ascii="Arial" w:hAnsi="Arial" w:cs="Arial"/>
        </w:rPr>
        <w:t xml:space="preserve">ry interpretation </w:t>
      </w:r>
      <w:r w:rsidR="00434CCB">
        <w:rPr>
          <w:rFonts w:ascii="Arial" w:hAnsi="Arial" w:cs="Arial"/>
        </w:rPr>
        <w:t xml:space="preserve">thereof, </w:t>
      </w:r>
      <w:r w:rsidRPr="007721ED">
        <w:rPr>
          <w:rFonts w:ascii="Arial" w:hAnsi="Arial" w:cs="Arial"/>
        </w:rPr>
        <w:t>no cause of action is disclosed.</w:t>
      </w:r>
    </w:p>
    <w:p w14:paraId="0C234EB3" w14:textId="77777777" w:rsidR="00B83C45" w:rsidRPr="007721ED" w:rsidRDefault="00B83C45" w:rsidP="007721ED">
      <w:pPr>
        <w:spacing w:line="360" w:lineRule="auto"/>
        <w:jc w:val="both"/>
        <w:rPr>
          <w:rFonts w:ascii="Arial" w:hAnsi="Arial" w:cs="Arial"/>
        </w:rPr>
      </w:pPr>
    </w:p>
    <w:p w14:paraId="418EDFA6" w14:textId="27EC5306" w:rsidR="00B83C45" w:rsidRDefault="00B83C45" w:rsidP="007721ED">
      <w:pPr>
        <w:spacing w:line="360" w:lineRule="auto"/>
        <w:jc w:val="both"/>
        <w:rPr>
          <w:rFonts w:ascii="Arial" w:hAnsi="Arial" w:cs="Arial"/>
        </w:rPr>
      </w:pPr>
      <w:r w:rsidRPr="000B0EF4">
        <w:rPr>
          <w:rFonts w:ascii="Arial" w:hAnsi="Arial" w:cs="Arial"/>
          <w:i/>
        </w:rPr>
        <w:t>Held</w:t>
      </w:r>
      <w:r w:rsidRPr="007721ED">
        <w:rPr>
          <w:rFonts w:ascii="Arial" w:hAnsi="Arial" w:cs="Arial"/>
        </w:rPr>
        <w:t xml:space="preserve"> – </w:t>
      </w:r>
      <w:r w:rsidR="00937782">
        <w:rPr>
          <w:rFonts w:ascii="Arial" w:hAnsi="Arial" w:cs="Arial"/>
        </w:rPr>
        <w:t xml:space="preserve">Courts retain the responsibility to interpret legislations, agreements or documents and not witnesses. </w:t>
      </w:r>
      <w:r w:rsidR="00447754">
        <w:rPr>
          <w:rFonts w:ascii="Arial" w:hAnsi="Arial" w:cs="Arial"/>
        </w:rPr>
        <w:t xml:space="preserve"> </w:t>
      </w:r>
    </w:p>
    <w:p w14:paraId="3039E4EC" w14:textId="77777777" w:rsidR="00D07D83" w:rsidRPr="007721ED" w:rsidRDefault="00D07D83" w:rsidP="007721ED">
      <w:pPr>
        <w:spacing w:line="360" w:lineRule="auto"/>
        <w:jc w:val="both"/>
        <w:rPr>
          <w:rFonts w:ascii="Arial" w:hAnsi="Arial" w:cs="Arial"/>
        </w:rPr>
      </w:pPr>
    </w:p>
    <w:p w14:paraId="16C6C42D" w14:textId="49824DC5" w:rsidR="00D07D83" w:rsidRDefault="00D07D83" w:rsidP="00D07D83">
      <w:pPr>
        <w:spacing w:line="360" w:lineRule="auto"/>
        <w:jc w:val="both"/>
        <w:rPr>
          <w:rFonts w:ascii="Arial" w:hAnsi="Arial" w:cs="Arial"/>
        </w:rPr>
      </w:pPr>
      <w:r w:rsidRPr="000B0EF4">
        <w:rPr>
          <w:rFonts w:ascii="Arial" w:hAnsi="Arial" w:cs="Arial"/>
          <w:i/>
        </w:rPr>
        <w:t>Held</w:t>
      </w:r>
      <w:r w:rsidRPr="007721ED">
        <w:rPr>
          <w:rFonts w:ascii="Arial" w:hAnsi="Arial" w:cs="Arial"/>
        </w:rPr>
        <w:t xml:space="preserve"> – </w:t>
      </w:r>
      <w:r>
        <w:rPr>
          <w:rFonts w:ascii="Arial" w:hAnsi="Arial" w:cs="Arial"/>
        </w:rPr>
        <w:t>Reading the provisions of the VAT Act together</w:t>
      </w:r>
      <w:r w:rsidR="00752A91">
        <w:rPr>
          <w:rFonts w:ascii="Arial" w:hAnsi="Arial" w:cs="Arial"/>
        </w:rPr>
        <w:t xml:space="preserve"> and</w:t>
      </w:r>
      <w:r>
        <w:rPr>
          <w:rFonts w:ascii="Arial" w:hAnsi="Arial" w:cs="Arial"/>
        </w:rPr>
        <w:t xml:space="preserve"> not in isolation reveal that the sale of a farm can be interpreted as a taxable activity. </w:t>
      </w:r>
    </w:p>
    <w:p w14:paraId="3438D99F" w14:textId="77777777" w:rsidR="00D07D83" w:rsidRDefault="00D07D83" w:rsidP="00D07D83">
      <w:pPr>
        <w:spacing w:line="360" w:lineRule="auto"/>
        <w:jc w:val="both"/>
        <w:rPr>
          <w:rFonts w:ascii="Arial" w:hAnsi="Arial" w:cs="Arial"/>
        </w:rPr>
      </w:pPr>
    </w:p>
    <w:p w14:paraId="79E6D7A8" w14:textId="753045C8" w:rsidR="00D07D83" w:rsidRPr="007721ED" w:rsidRDefault="00D07D83" w:rsidP="00D07D83">
      <w:pPr>
        <w:spacing w:line="360" w:lineRule="auto"/>
        <w:jc w:val="both"/>
        <w:rPr>
          <w:rFonts w:ascii="Arial" w:hAnsi="Arial" w:cs="Arial"/>
        </w:rPr>
      </w:pPr>
      <w:r w:rsidRPr="000B0EF4">
        <w:rPr>
          <w:rFonts w:ascii="Arial" w:hAnsi="Arial" w:cs="Arial"/>
          <w:i/>
        </w:rPr>
        <w:t>Held</w:t>
      </w:r>
      <w:r>
        <w:rPr>
          <w:rFonts w:ascii="Arial" w:hAnsi="Arial" w:cs="Arial"/>
        </w:rPr>
        <w:t xml:space="preserve"> – The intention of the parties to an agreement is vital to determine the meaning afforded to a clause of an agreement. </w:t>
      </w:r>
      <w:r w:rsidRPr="007721ED">
        <w:rPr>
          <w:rFonts w:ascii="Arial" w:hAnsi="Arial" w:cs="Arial"/>
        </w:rPr>
        <w:t xml:space="preserve"> </w:t>
      </w:r>
    </w:p>
    <w:p w14:paraId="5FA4C64A" w14:textId="77777777" w:rsidR="00B83C45" w:rsidRPr="007721ED" w:rsidRDefault="00B83C45" w:rsidP="007721ED">
      <w:pPr>
        <w:spacing w:line="360" w:lineRule="auto"/>
        <w:jc w:val="both"/>
        <w:rPr>
          <w:rFonts w:ascii="Arial" w:hAnsi="Arial" w:cs="Arial"/>
        </w:rPr>
      </w:pPr>
    </w:p>
    <w:p w14:paraId="050C8F12" w14:textId="6778E71A" w:rsidR="00E47640" w:rsidRPr="007721ED" w:rsidRDefault="00B83C45" w:rsidP="007721ED">
      <w:pPr>
        <w:spacing w:line="360" w:lineRule="auto"/>
        <w:jc w:val="both"/>
        <w:rPr>
          <w:rFonts w:ascii="Arial" w:hAnsi="Arial" w:cs="Arial"/>
        </w:rPr>
      </w:pPr>
      <w:r w:rsidRPr="000B0EF4">
        <w:rPr>
          <w:rFonts w:ascii="Arial" w:hAnsi="Arial" w:cs="Arial"/>
          <w:i/>
        </w:rPr>
        <w:lastRenderedPageBreak/>
        <w:t>Held</w:t>
      </w:r>
      <w:r w:rsidRPr="007721ED">
        <w:rPr>
          <w:rFonts w:ascii="Arial" w:hAnsi="Arial" w:cs="Arial"/>
        </w:rPr>
        <w:t xml:space="preserve"> – An exception </w:t>
      </w:r>
      <w:r w:rsidR="00937782">
        <w:rPr>
          <w:rFonts w:ascii="Arial" w:hAnsi="Arial" w:cs="Arial"/>
        </w:rPr>
        <w:t>i</w:t>
      </w:r>
      <w:r w:rsidRPr="007721ED">
        <w:rPr>
          <w:rFonts w:ascii="Arial" w:hAnsi="Arial" w:cs="Arial"/>
        </w:rPr>
        <w:t>s upheld only if upon any reasonable reading of such pleading, no cause of action is disclosed</w:t>
      </w:r>
      <w:r w:rsidR="009A5036">
        <w:rPr>
          <w:rFonts w:ascii="Arial" w:hAnsi="Arial" w:cs="Arial"/>
        </w:rPr>
        <w:t xml:space="preserve"> and in </w:t>
      </w:r>
      <w:r w:rsidR="00937782">
        <w:rPr>
          <w:rFonts w:ascii="Arial" w:hAnsi="Arial" w:cs="Arial"/>
        </w:rPr>
        <w:t xml:space="preserve">this matter </w:t>
      </w:r>
      <w:r w:rsidRPr="007721ED">
        <w:rPr>
          <w:rFonts w:ascii="Arial" w:hAnsi="Arial" w:cs="Arial"/>
        </w:rPr>
        <w:t xml:space="preserve">particulars of claim are capable of disclosing a cause of action </w:t>
      </w:r>
      <w:r w:rsidR="00937782">
        <w:rPr>
          <w:rFonts w:ascii="Arial" w:hAnsi="Arial" w:cs="Arial"/>
        </w:rPr>
        <w:t xml:space="preserve">for damages </w:t>
      </w:r>
      <w:r w:rsidRPr="007721ED">
        <w:rPr>
          <w:rFonts w:ascii="Arial" w:hAnsi="Arial" w:cs="Arial"/>
        </w:rPr>
        <w:t xml:space="preserve">based </w:t>
      </w:r>
      <w:r w:rsidR="00937782">
        <w:rPr>
          <w:rFonts w:ascii="Arial" w:hAnsi="Arial" w:cs="Arial"/>
        </w:rPr>
        <w:t xml:space="preserve">on clause 9.5 of the agreement (indemnification). </w:t>
      </w:r>
      <w:r w:rsidR="00E47640" w:rsidRPr="007721ED">
        <w:rPr>
          <w:rFonts w:ascii="Arial" w:hAnsi="Arial" w:cs="Arial"/>
        </w:rPr>
        <w:t xml:space="preserve">   </w:t>
      </w:r>
    </w:p>
    <w:p w14:paraId="32A5924F" w14:textId="77777777" w:rsidR="00E47640" w:rsidRPr="007721ED" w:rsidRDefault="00E47640" w:rsidP="007721ED">
      <w:pPr>
        <w:spacing w:line="360" w:lineRule="auto"/>
        <w:jc w:val="both"/>
        <w:rPr>
          <w:rFonts w:ascii="Arial" w:hAnsi="Arial" w:cs="Arial"/>
        </w:rPr>
      </w:pPr>
    </w:p>
    <w:p w14:paraId="35F684A3" w14:textId="05C16B60" w:rsidR="00A973A4" w:rsidRDefault="00E47640" w:rsidP="007721ED">
      <w:pPr>
        <w:spacing w:line="360" w:lineRule="auto"/>
        <w:jc w:val="both"/>
        <w:rPr>
          <w:bCs/>
        </w:rPr>
      </w:pPr>
      <w:r w:rsidRPr="000B0EF4">
        <w:rPr>
          <w:rFonts w:ascii="Arial" w:hAnsi="Arial" w:cs="Arial"/>
          <w:i/>
        </w:rPr>
        <w:t>Held</w:t>
      </w:r>
      <w:r w:rsidRPr="007721ED">
        <w:rPr>
          <w:rFonts w:ascii="Arial" w:hAnsi="Arial" w:cs="Arial"/>
        </w:rPr>
        <w:t xml:space="preserve"> – The </w:t>
      </w:r>
      <w:r w:rsidR="004B2157">
        <w:rPr>
          <w:rFonts w:ascii="Arial" w:hAnsi="Arial" w:cs="Arial"/>
        </w:rPr>
        <w:t xml:space="preserve">first defendant is </w:t>
      </w:r>
      <w:r w:rsidR="00AF3DCC">
        <w:rPr>
          <w:rFonts w:ascii="Arial" w:hAnsi="Arial" w:cs="Arial"/>
        </w:rPr>
        <w:t xml:space="preserve">capable of </w:t>
      </w:r>
      <w:r w:rsidR="004B2157">
        <w:rPr>
          <w:rFonts w:ascii="Arial" w:hAnsi="Arial" w:cs="Arial"/>
        </w:rPr>
        <w:t xml:space="preserve">appreciating the nature of the case he is facing </w:t>
      </w:r>
      <w:r w:rsidRPr="007721ED">
        <w:rPr>
          <w:rFonts w:ascii="Arial" w:hAnsi="Arial" w:cs="Arial"/>
        </w:rPr>
        <w:t xml:space="preserve">and can meet such allegations. </w:t>
      </w:r>
      <w:r w:rsidR="00AF3DCC">
        <w:rPr>
          <w:rFonts w:ascii="Arial" w:hAnsi="Arial" w:cs="Arial"/>
        </w:rPr>
        <w:t>The exception is dismissed with costs</w:t>
      </w:r>
      <w:r w:rsidR="00715535">
        <w:rPr>
          <w:rFonts w:ascii="Arial" w:hAnsi="Arial" w:cs="Arial"/>
        </w:rPr>
        <w:t xml:space="preserve"> subject to rule 32(11)</w:t>
      </w:r>
      <w:r w:rsidR="00AF3DCC">
        <w:rPr>
          <w:rFonts w:ascii="Arial" w:hAnsi="Arial" w:cs="Arial"/>
        </w:rPr>
        <w:t>.</w:t>
      </w:r>
      <w:r w:rsidRPr="007721ED">
        <w:rPr>
          <w:rFonts w:ascii="Arial" w:hAnsi="Arial" w:cs="Arial"/>
        </w:rPr>
        <w:t xml:space="preserve"> </w:t>
      </w:r>
      <w:r w:rsidRPr="00E47640">
        <w:tab/>
      </w:r>
    </w:p>
    <w:p w14:paraId="4D4B1EBB" w14:textId="77777777" w:rsidR="00A973A4" w:rsidRPr="006E026B" w:rsidRDefault="00C32842" w:rsidP="00A973A4">
      <w:pPr>
        <w:spacing w:line="360" w:lineRule="auto"/>
        <w:jc w:val="both"/>
        <w:rPr>
          <w:rFonts w:ascii="Arial" w:hAnsi="Arial" w:cs="Arial"/>
          <w:bCs/>
        </w:rPr>
      </w:pPr>
      <w:r>
        <w:rPr>
          <w:rFonts w:ascii="Arial" w:hAnsi="Arial" w:cs="Arial"/>
          <w:bCs/>
        </w:rPr>
        <w:pict w14:anchorId="394F5A43">
          <v:rect id="_x0000_i1025" style="width:0;height:1.5pt" o:hralign="center" o:hrstd="t" o:hr="t" fillcolor="#a0a0a0" stroked="f"/>
        </w:pict>
      </w:r>
    </w:p>
    <w:p w14:paraId="55E6CAA4" w14:textId="77777777" w:rsidR="00A973A4" w:rsidRPr="006E026B" w:rsidRDefault="00A973A4" w:rsidP="00A973A4">
      <w:pPr>
        <w:spacing w:line="360" w:lineRule="auto"/>
        <w:jc w:val="center"/>
        <w:rPr>
          <w:rFonts w:ascii="Arial" w:hAnsi="Arial" w:cs="Arial"/>
          <w:b/>
          <w:bCs/>
        </w:rPr>
      </w:pPr>
      <w:r w:rsidRPr="006E026B">
        <w:rPr>
          <w:rFonts w:ascii="Arial" w:hAnsi="Arial" w:cs="Arial"/>
          <w:b/>
          <w:bCs/>
        </w:rPr>
        <w:t>ORDER</w:t>
      </w:r>
    </w:p>
    <w:p w14:paraId="11F8E633" w14:textId="77777777" w:rsidR="00A973A4" w:rsidRPr="00134F2B" w:rsidRDefault="00C32842" w:rsidP="00A973A4">
      <w:pPr>
        <w:spacing w:line="360" w:lineRule="auto"/>
        <w:jc w:val="center"/>
        <w:rPr>
          <w:rFonts w:ascii="Arial" w:hAnsi="Arial" w:cs="Arial"/>
          <w:b/>
          <w:bCs/>
        </w:rPr>
      </w:pPr>
      <w:r>
        <w:rPr>
          <w:rFonts w:ascii="Arial" w:hAnsi="Arial" w:cs="Arial"/>
          <w:bCs/>
        </w:rPr>
        <w:pict w14:anchorId="34467D4E">
          <v:rect id="_x0000_i1026" style="width:0;height:1.5pt" o:hralign="center" o:hrstd="t" o:hr="t" fillcolor="#a0a0a0" stroked="f"/>
        </w:pict>
      </w:r>
    </w:p>
    <w:p w14:paraId="14A3E63B" w14:textId="77777777" w:rsidR="00A973A4" w:rsidRPr="0052309E" w:rsidRDefault="00A973A4" w:rsidP="00A973A4">
      <w:pPr>
        <w:spacing w:line="360" w:lineRule="auto"/>
        <w:jc w:val="both"/>
        <w:rPr>
          <w:rFonts w:ascii="Arial" w:hAnsi="Arial" w:cs="Arial"/>
        </w:rPr>
      </w:pPr>
    </w:p>
    <w:p w14:paraId="09FACA5C" w14:textId="77777777" w:rsidR="00327EFF" w:rsidRPr="00D269FF" w:rsidRDefault="00327EFF" w:rsidP="00327EFF">
      <w:pPr>
        <w:pStyle w:val="BodyText"/>
        <w:numPr>
          <w:ilvl w:val="0"/>
          <w:numId w:val="34"/>
        </w:numPr>
        <w:spacing w:line="360" w:lineRule="auto"/>
        <w:jc w:val="both"/>
        <w:rPr>
          <w:rFonts w:ascii="Arial" w:hAnsi="Arial" w:cs="Arial"/>
        </w:rPr>
      </w:pPr>
      <w:bookmarkStart w:id="1" w:name="_Hlk64319127"/>
      <w:r w:rsidRPr="00D269FF">
        <w:rPr>
          <w:rFonts w:ascii="Arial" w:hAnsi="Arial" w:cs="Arial"/>
        </w:rPr>
        <w:t xml:space="preserve">The </w:t>
      </w:r>
      <w:r>
        <w:rPr>
          <w:rFonts w:ascii="Arial" w:hAnsi="Arial" w:cs="Arial"/>
        </w:rPr>
        <w:t xml:space="preserve">first </w:t>
      </w:r>
      <w:r w:rsidRPr="00D269FF">
        <w:rPr>
          <w:rFonts w:ascii="Arial" w:hAnsi="Arial" w:cs="Arial"/>
        </w:rPr>
        <w:t>defendant</w:t>
      </w:r>
      <w:r>
        <w:rPr>
          <w:rFonts w:ascii="Arial" w:hAnsi="Arial" w:cs="Arial"/>
        </w:rPr>
        <w:t>’</w:t>
      </w:r>
      <w:r w:rsidRPr="00D269FF">
        <w:rPr>
          <w:rFonts w:ascii="Arial" w:hAnsi="Arial" w:cs="Arial"/>
        </w:rPr>
        <w:t>s exception brought against the plaintiffs</w:t>
      </w:r>
      <w:r>
        <w:rPr>
          <w:rFonts w:ascii="Arial" w:hAnsi="Arial" w:cs="Arial"/>
        </w:rPr>
        <w:t>’</w:t>
      </w:r>
      <w:r w:rsidRPr="00D269FF">
        <w:rPr>
          <w:rFonts w:ascii="Arial" w:hAnsi="Arial" w:cs="Arial"/>
        </w:rPr>
        <w:t xml:space="preserve"> particulars of claim is dismissed. </w:t>
      </w:r>
    </w:p>
    <w:p w14:paraId="7531F36D" w14:textId="77777777" w:rsidR="00327EFF" w:rsidRPr="00D269FF" w:rsidRDefault="00327EFF" w:rsidP="00327EFF">
      <w:pPr>
        <w:numPr>
          <w:ilvl w:val="0"/>
          <w:numId w:val="34"/>
        </w:numPr>
        <w:spacing w:line="360" w:lineRule="auto"/>
        <w:jc w:val="both"/>
        <w:rPr>
          <w:rFonts w:ascii="Arial" w:hAnsi="Arial" w:cs="Arial"/>
        </w:rPr>
      </w:pPr>
      <w:r w:rsidRPr="00D269FF">
        <w:rPr>
          <w:rFonts w:ascii="Arial" w:hAnsi="Arial" w:cs="Arial"/>
        </w:rPr>
        <w:t xml:space="preserve">The </w:t>
      </w:r>
      <w:r>
        <w:rPr>
          <w:rFonts w:ascii="Arial" w:hAnsi="Arial" w:cs="Arial"/>
        </w:rPr>
        <w:t xml:space="preserve">first </w:t>
      </w:r>
      <w:r w:rsidRPr="00D269FF">
        <w:rPr>
          <w:rFonts w:ascii="Arial" w:hAnsi="Arial" w:cs="Arial"/>
        </w:rPr>
        <w:t>defendant</w:t>
      </w:r>
      <w:r>
        <w:rPr>
          <w:rFonts w:ascii="Arial" w:hAnsi="Arial" w:cs="Arial"/>
        </w:rPr>
        <w:t xml:space="preserve"> is </w:t>
      </w:r>
      <w:r w:rsidRPr="00D269FF">
        <w:rPr>
          <w:rFonts w:ascii="Arial" w:hAnsi="Arial" w:cs="Arial"/>
        </w:rPr>
        <w:t>to pay the plaintiffs</w:t>
      </w:r>
      <w:r>
        <w:rPr>
          <w:rFonts w:ascii="Arial" w:hAnsi="Arial" w:cs="Arial"/>
        </w:rPr>
        <w:t>’</w:t>
      </w:r>
      <w:r w:rsidRPr="00D269FF">
        <w:rPr>
          <w:rFonts w:ascii="Arial" w:hAnsi="Arial" w:cs="Arial"/>
        </w:rPr>
        <w:t xml:space="preserve"> costs of opposing the exception, subject to rule 32(11).</w:t>
      </w:r>
    </w:p>
    <w:p w14:paraId="18548BCB" w14:textId="125FEAD2" w:rsidR="00327EFF" w:rsidRPr="00D269FF" w:rsidRDefault="00327EFF" w:rsidP="00327EFF">
      <w:pPr>
        <w:numPr>
          <w:ilvl w:val="0"/>
          <w:numId w:val="34"/>
        </w:numPr>
        <w:spacing w:line="360" w:lineRule="auto"/>
        <w:jc w:val="both"/>
        <w:rPr>
          <w:rFonts w:ascii="Arial" w:hAnsi="Arial" w:cs="Arial"/>
        </w:rPr>
      </w:pPr>
      <w:r w:rsidRPr="00D269FF">
        <w:rPr>
          <w:rFonts w:ascii="Arial" w:hAnsi="Arial" w:cs="Arial"/>
        </w:rPr>
        <w:t xml:space="preserve">The matter is postponed to </w:t>
      </w:r>
      <w:r w:rsidRPr="005447CC">
        <w:rPr>
          <w:rFonts w:ascii="Arial" w:hAnsi="Arial" w:cs="Arial"/>
        </w:rPr>
        <w:t>1</w:t>
      </w:r>
      <w:r w:rsidR="00DE11E8" w:rsidRPr="005447CC">
        <w:rPr>
          <w:rFonts w:ascii="Arial" w:hAnsi="Arial" w:cs="Arial"/>
        </w:rPr>
        <w:t>8</w:t>
      </w:r>
      <w:r w:rsidRPr="005447CC">
        <w:rPr>
          <w:rFonts w:ascii="Arial" w:hAnsi="Arial" w:cs="Arial"/>
        </w:rPr>
        <w:t xml:space="preserve"> May 2021 </w:t>
      </w:r>
      <w:r w:rsidRPr="00D269FF">
        <w:rPr>
          <w:rFonts w:ascii="Arial" w:hAnsi="Arial" w:cs="Arial"/>
        </w:rPr>
        <w:t>at 14:00 for a case planning conference.</w:t>
      </w:r>
    </w:p>
    <w:p w14:paraId="7E83B37F" w14:textId="77777777" w:rsidR="00327EFF" w:rsidRPr="0052309E" w:rsidRDefault="00327EFF" w:rsidP="00327EFF">
      <w:pPr>
        <w:numPr>
          <w:ilvl w:val="0"/>
          <w:numId w:val="34"/>
        </w:numPr>
        <w:spacing w:line="360" w:lineRule="auto"/>
        <w:jc w:val="both"/>
        <w:rPr>
          <w:rFonts w:ascii="Arial" w:hAnsi="Arial" w:cs="Arial"/>
        </w:rPr>
      </w:pPr>
      <w:r w:rsidRPr="00D269FF">
        <w:rPr>
          <w:rFonts w:ascii="Arial" w:hAnsi="Arial" w:cs="Arial"/>
        </w:rPr>
        <w:t>The parties must file a joint case</w:t>
      </w:r>
      <w:r>
        <w:rPr>
          <w:rFonts w:ascii="Arial" w:hAnsi="Arial" w:cs="Arial"/>
        </w:rPr>
        <w:t xml:space="preserve"> plan on or before 06 May 2021. </w:t>
      </w:r>
    </w:p>
    <w:bookmarkEnd w:id="1"/>
    <w:p w14:paraId="583002B2" w14:textId="77777777" w:rsidR="00A973A4" w:rsidRPr="0052309E" w:rsidRDefault="00A973A4" w:rsidP="00A973A4">
      <w:pPr>
        <w:spacing w:line="360" w:lineRule="auto"/>
        <w:jc w:val="both"/>
        <w:rPr>
          <w:rFonts w:ascii="Arial" w:hAnsi="Arial" w:cs="Arial"/>
        </w:rPr>
      </w:pPr>
    </w:p>
    <w:p w14:paraId="44E44898" w14:textId="77777777" w:rsidR="00A973A4" w:rsidRPr="00134F2B" w:rsidRDefault="00C32842" w:rsidP="00A973A4">
      <w:pPr>
        <w:spacing w:line="360" w:lineRule="auto"/>
        <w:jc w:val="both"/>
        <w:rPr>
          <w:rFonts w:ascii="Arial" w:hAnsi="Arial" w:cs="Arial"/>
          <w:bCs/>
        </w:rPr>
      </w:pPr>
      <w:r>
        <w:rPr>
          <w:rFonts w:ascii="Arial" w:hAnsi="Arial" w:cs="Arial"/>
          <w:bCs/>
        </w:rPr>
        <w:pict w14:anchorId="0F41DF52">
          <v:rect id="_x0000_i1027" style="width:0;height:1.5pt" o:hralign="center" o:hrstd="t" o:hr="t" fillcolor="#a0a0a0" stroked="f"/>
        </w:pict>
      </w:r>
    </w:p>
    <w:p w14:paraId="04C1D892" w14:textId="77777777" w:rsidR="00A973A4" w:rsidRPr="00134F2B" w:rsidRDefault="00A973A4" w:rsidP="00A973A4">
      <w:pPr>
        <w:spacing w:line="360" w:lineRule="auto"/>
        <w:jc w:val="center"/>
        <w:rPr>
          <w:rFonts w:ascii="Arial" w:hAnsi="Arial" w:cs="Arial"/>
          <w:b/>
        </w:rPr>
      </w:pPr>
      <w:r w:rsidRPr="00134F2B">
        <w:rPr>
          <w:rFonts w:ascii="Arial" w:hAnsi="Arial" w:cs="Arial"/>
          <w:b/>
        </w:rPr>
        <w:t>JUDGMENT</w:t>
      </w:r>
    </w:p>
    <w:p w14:paraId="1B9E1B5A" w14:textId="77777777" w:rsidR="00A973A4" w:rsidRPr="00134F2B" w:rsidRDefault="00C32842" w:rsidP="00A973A4">
      <w:pPr>
        <w:spacing w:line="360" w:lineRule="auto"/>
        <w:jc w:val="center"/>
        <w:rPr>
          <w:rFonts w:ascii="Arial" w:hAnsi="Arial" w:cs="Arial"/>
          <w:b/>
        </w:rPr>
      </w:pPr>
      <w:r>
        <w:rPr>
          <w:rFonts w:ascii="Arial" w:hAnsi="Arial" w:cs="Arial"/>
          <w:bCs/>
        </w:rPr>
        <w:pict w14:anchorId="6D21194A">
          <v:rect id="_x0000_i1028" style="width:0;height:1.5pt" o:hralign="center" o:hrstd="t" o:hr="t" fillcolor="#a0a0a0" stroked="f"/>
        </w:pict>
      </w:r>
    </w:p>
    <w:p w14:paraId="691BBADD" w14:textId="1A528316" w:rsidR="00A973A4" w:rsidRPr="00295381" w:rsidRDefault="00A973A4" w:rsidP="00A973A4">
      <w:pPr>
        <w:spacing w:line="360" w:lineRule="auto"/>
        <w:ind w:left="1440" w:hanging="1440"/>
        <w:jc w:val="both"/>
        <w:rPr>
          <w:rFonts w:ascii="Arial" w:hAnsi="Arial" w:cs="Arial"/>
          <w:b/>
          <w:i/>
        </w:rPr>
      </w:pPr>
      <w:r>
        <w:rPr>
          <w:rFonts w:ascii="Arial" w:hAnsi="Arial" w:cs="Arial"/>
        </w:rPr>
        <w:t xml:space="preserve">SIBEYA </w:t>
      </w:r>
      <w:r w:rsidRPr="00295381">
        <w:rPr>
          <w:rFonts w:ascii="Arial" w:hAnsi="Arial" w:cs="Arial"/>
        </w:rPr>
        <w:t>J:</w:t>
      </w:r>
    </w:p>
    <w:p w14:paraId="67DCA253" w14:textId="77777777" w:rsidR="00A973A4" w:rsidRPr="00295381" w:rsidRDefault="00A973A4" w:rsidP="00A973A4">
      <w:pPr>
        <w:spacing w:line="360" w:lineRule="auto"/>
        <w:rPr>
          <w:rFonts w:ascii="Arial" w:hAnsi="Arial" w:cs="Arial"/>
        </w:rPr>
      </w:pPr>
    </w:p>
    <w:p w14:paraId="164C3587" w14:textId="77777777" w:rsidR="00A973A4" w:rsidRPr="00B4008E" w:rsidRDefault="00A973A4" w:rsidP="00A973A4">
      <w:pPr>
        <w:spacing w:line="360" w:lineRule="auto"/>
        <w:jc w:val="both"/>
        <w:rPr>
          <w:rFonts w:ascii="Arial" w:hAnsi="Arial" w:cs="Arial"/>
          <w:u w:val="single"/>
        </w:rPr>
      </w:pPr>
      <w:r w:rsidRPr="00B4008E">
        <w:rPr>
          <w:rFonts w:ascii="Arial" w:hAnsi="Arial" w:cs="Arial"/>
          <w:u w:val="single"/>
        </w:rPr>
        <w:t xml:space="preserve">Introduction </w:t>
      </w:r>
    </w:p>
    <w:p w14:paraId="04AE3AB0" w14:textId="77777777" w:rsidR="00A973A4" w:rsidRDefault="00A973A4" w:rsidP="00A973A4">
      <w:pPr>
        <w:spacing w:line="360" w:lineRule="auto"/>
        <w:jc w:val="both"/>
        <w:rPr>
          <w:rFonts w:ascii="Arial" w:hAnsi="Arial" w:cs="Arial"/>
        </w:rPr>
      </w:pPr>
    </w:p>
    <w:p w14:paraId="5BAAA838" w14:textId="5A85162A" w:rsidR="005B4E7E" w:rsidRDefault="00A973A4" w:rsidP="00A973A4">
      <w:pPr>
        <w:spacing w:line="360" w:lineRule="auto"/>
        <w:jc w:val="both"/>
        <w:rPr>
          <w:rFonts w:ascii="Arial" w:hAnsi="Arial" w:cs="Arial"/>
        </w:rPr>
      </w:pPr>
      <w:r>
        <w:rPr>
          <w:rFonts w:ascii="Arial" w:hAnsi="Arial" w:cs="Arial"/>
        </w:rPr>
        <w:t xml:space="preserve">[1] </w:t>
      </w:r>
      <w:r>
        <w:rPr>
          <w:rFonts w:ascii="Arial" w:hAnsi="Arial" w:cs="Arial"/>
        </w:rPr>
        <w:tab/>
      </w:r>
      <w:r w:rsidR="005B4E7E">
        <w:rPr>
          <w:rFonts w:ascii="Arial" w:hAnsi="Arial" w:cs="Arial"/>
        </w:rPr>
        <w:t xml:space="preserve">This </w:t>
      </w:r>
      <w:r w:rsidR="00D3567F">
        <w:rPr>
          <w:rFonts w:ascii="Arial" w:hAnsi="Arial" w:cs="Arial"/>
        </w:rPr>
        <w:t xml:space="preserve">is an exception that </w:t>
      </w:r>
      <w:r w:rsidR="005B4E7E">
        <w:rPr>
          <w:rFonts w:ascii="Arial" w:hAnsi="Arial" w:cs="Arial"/>
        </w:rPr>
        <w:t xml:space="preserve">revolves around an indemnification clause against liability for payment of value added tax </w:t>
      </w:r>
      <w:r w:rsidR="00D3567F">
        <w:rPr>
          <w:rFonts w:ascii="Arial" w:hAnsi="Arial" w:cs="Arial"/>
        </w:rPr>
        <w:t xml:space="preserve">(VAT) in accordance with the Value Added Tax Act 10 of 2000. This matter is clouded by the meaning of </w:t>
      </w:r>
      <w:r w:rsidR="00D3567F" w:rsidRPr="00D3567F">
        <w:rPr>
          <w:rFonts w:ascii="Arial" w:hAnsi="Arial" w:cs="Arial"/>
          <w:u w:val="single"/>
        </w:rPr>
        <w:t>liability</w:t>
      </w:r>
      <w:r w:rsidR="00D3567F">
        <w:rPr>
          <w:rFonts w:ascii="Arial" w:hAnsi="Arial" w:cs="Arial"/>
        </w:rPr>
        <w:t xml:space="preserve"> to pay VAT</w:t>
      </w:r>
      <w:r w:rsidR="005B4E7E">
        <w:rPr>
          <w:rFonts w:ascii="Arial" w:hAnsi="Arial" w:cs="Arial"/>
        </w:rPr>
        <w:t xml:space="preserve"> </w:t>
      </w:r>
      <w:r w:rsidR="00D3567F">
        <w:rPr>
          <w:rFonts w:ascii="Arial" w:hAnsi="Arial" w:cs="Arial"/>
        </w:rPr>
        <w:t>by one party in order for the indemnification by the other to be triggered</w:t>
      </w:r>
      <w:r w:rsidR="00A6184F">
        <w:rPr>
          <w:rFonts w:ascii="Arial" w:hAnsi="Arial" w:cs="Arial"/>
        </w:rPr>
        <w:t xml:space="preserve"> and whether same is pleaded in the particulars of claim. </w:t>
      </w:r>
      <w:r w:rsidR="00342F76" w:rsidRPr="005447CC">
        <w:rPr>
          <w:rFonts w:ascii="Arial" w:hAnsi="Arial" w:cs="Arial"/>
        </w:rPr>
        <w:t>(</w:t>
      </w:r>
      <w:r w:rsidR="005447CC" w:rsidRPr="005447CC">
        <w:rPr>
          <w:rFonts w:ascii="Arial" w:hAnsi="Arial" w:cs="Arial"/>
        </w:rPr>
        <w:t>My underlining e</w:t>
      </w:r>
      <w:r w:rsidR="00342F76" w:rsidRPr="005447CC">
        <w:rPr>
          <w:rFonts w:ascii="Arial" w:hAnsi="Arial" w:cs="Arial"/>
        </w:rPr>
        <w:t>mphasis added).</w:t>
      </w:r>
      <w:r w:rsidR="00D3567F" w:rsidRPr="005447CC">
        <w:rPr>
          <w:rFonts w:ascii="Arial" w:hAnsi="Arial" w:cs="Arial"/>
        </w:rPr>
        <w:t xml:space="preserve">  </w:t>
      </w:r>
    </w:p>
    <w:p w14:paraId="1683CB05" w14:textId="77777777" w:rsidR="00CD5B98" w:rsidRDefault="00CD5B98" w:rsidP="00CD5B98">
      <w:pPr>
        <w:spacing w:line="360" w:lineRule="auto"/>
        <w:jc w:val="both"/>
        <w:rPr>
          <w:rFonts w:ascii="Arial" w:hAnsi="Arial" w:cs="Arial"/>
          <w:u w:val="single"/>
        </w:rPr>
      </w:pPr>
    </w:p>
    <w:p w14:paraId="3F0D4DB5" w14:textId="77777777" w:rsidR="00342F76" w:rsidRDefault="00342F76" w:rsidP="00CD5B98">
      <w:pPr>
        <w:spacing w:line="360" w:lineRule="auto"/>
        <w:jc w:val="both"/>
        <w:rPr>
          <w:rFonts w:ascii="Arial" w:hAnsi="Arial" w:cs="Arial"/>
          <w:u w:val="single"/>
        </w:rPr>
      </w:pPr>
    </w:p>
    <w:p w14:paraId="7C6AE9F9" w14:textId="77777777" w:rsidR="00342F76" w:rsidRDefault="00342F76" w:rsidP="00CD5B98">
      <w:pPr>
        <w:spacing w:line="360" w:lineRule="auto"/>
        <w:jc w:val="both"/>
        <w:rPr>
          <w:rFonts w:ascii="Arial" w:hAnsi="Arial" w:cs="Arial"/>
          <w:u w:val="single"/>
        </w:rPr>
      </w:pPr>
    </w:p>
    <w:p w14:paraId="18ED8540" w14:textId="6ABE02F1" w:rsidR="00CD5B98" w:rsidRPr="002275CA" w:rsidRDefault="00CD5B98" w:rsidP="00CD5B98">
      <w:pPr>
        <w:spacing w:line="360" w:lineRule="auto"/>
        <w:jc w:val="both"/>
        <w:rPr>
          <w:rFonts w:ascii="Arial" w:hAnsi="Arial" w:cs="Arial"/>
          <w:u w:val="single"/>
        </w:rPr>
      </w:pPr>
      <w:r w:rsidRPr="002275CA">
        <w:rPr>
          <w:rFonts w:ascii="Arial" w:hAnsi="Arial" w:cs="Arial"/>
          <w:u w:val="single"/>
        </w:rPr>
        <w:t>The parties</w:t>
      </w:r>
    </w:p>
    <w:p w14:paraId="6B1D962E" w14:textId="77777777" w:rsidR="00CD5B98" w:rsidRDefault="00CD5B98" w:rsidP="00CD5B98">
      <w:pPr>
        <w:spacing w:line="360" w:lineRule="auto"/>
        <w:jc w:val="both"/>
        <w:rPr>
          <w:rFonts w:ascii="Arial" w:hAnsi="Arial" w:cs="Arial"/>
        </w:rPr>
      </w:pPr>
    </w:p>
    <w:p w14:paraId="691749CF" w14:textId="5AFEF181" w:rsidR="00CD5B98" w:rsidRDefault="00CD5B98" w:rsidP="00CD5B98">
      <w:pPr>
        <w:spacing w:line="360" w:lineRule="auto"/>
        <w:jc w:val="both"/>
        <w:rPr>
          <w:rFonts w:ascii="Arial" w:hAnsi="Arial" w:cs="Arial"/>
        </w:rPr>
      </w:pPr>
      <w:r>
        <w:rPr>
          <w:rFonts w:ascii="Arial" w:hAnsi="Arial" w:cs="Arial"/>
        </w:rPr>
        <w:t>[</w:t>
      </w:r>
      <w:r w:rsidR="003A0965">
        <w:rPr>
          <w:rFonts w:ascii="Arial" w:hAnsi="Arial" w:cs="Arial"/>
        </w:rPr>
        <w:t>2</w:t>
      </w:r>
      <w:r>
        <w:rPr>
          <w:rFonts w:ascii="Arial" w:hAnsi="Arial" w:cs="Arial"/>
        </w:rPr>
        <w:t>]</w:t>
      </w:r>
      <w:r>
        <w:rPr>
          <w:rFonts w:ascii="Arial" w:hAnsi="Arial" w:cs="Arial"/>
        </w:rPr>
        <w:tab/>
        <w:t xml:space="preserve">The plaintiffs are </w:t>
      </w:r>
      <w:r w:rsidR="00DE11E8" w:rsidRPr="005447CC">
        <w:rPr>
          <w:rFonts w:ascii="Arial" w:hAnsi="Arial" w:cs="Arial"/>
        </w:rPr>
        <w:t xml:space="preserve">Mr. </w:t>
      </w:r>
      <w:r>
        <w:rPr>
          <w:rFonts w:ascii="Arial" w:hAnsi="Arial" w:cs="Arial"/>
        </w:rPr>
        <w:t xml:space="preserve">Hendrik Jacobus Van Wyk, an adult Namibia male and </w:t>
      </w:r>
      <w:r w:rsidR="00DE11E8" w:rsidRPr="005447CC">
        <w:rPr>
          <w:rFonts w:ascii="Arial" w:hAnsi="Arial" w:cs="Arial"/>
        </w:rPr>
        <w:t>Mrs.</w:t>
      </w:r>
      <w:r w:rsidR="00DE11E8" w:rsidRPr="00DE11E8">
        <w:rPr>
          <w:rFonts w:ascii="Arial" w:hAnsi="Arial" w:cs="Arial"/>
          <w:color w:val="FF0000"/>
        </w:rPr>
        <w:t xml:space="preserve"> </w:t>
      </w:r>
      <w:r>
        <w:rPr>
          <w:rFonts w:ascii="Arial" w:hAnsi="Arial" w:cs="Arial"/>
        </w:rPr>
        <w:t>Sarita Van Wyk, an adult Namibian female, both of whom are pensioners</w:t>
      </w:r>
      <w:r w:rsidR="00E63125">
        <w:rPr>
          <w:rFonts w:ascii="Arial" w:hAnsi="Arial" w:cs="Arial"/>
        </w:rPr>
        <w:t xml:space="preserve"> </w:t>
      </w:r>
      <w:r w:rsidR="00E63125" w:rsidRPr="005447CC">
        <w:rPr>
          <w:rFonts w:ascii="Arial" w:hAnsi="Arial" w:cs="Arial"/>
        </w:rPr>
        <w:t>and are</w:t>
      </w:r>
      <w:r w:rsidRPr="005447CC">
        <w:rPr>
          <w:rFonts w:ascii="Arial" w:hAnsi="Arial" w:cs="Arial"/>
        </w:rPr>
        <w:t xml:space="preserve"> </w:t>
      </w:r>
      <w:r>
        <w:rPr>
          <w:rFonts w:ascii="Arial" w:hAnsi="Arial" w:cs="Arial"/>
        </w:rPr>
        <w:t>married to each other in community of property</w:t>
      </w:r>
      <w:r w:rsidR="00E63125">
        <w:rPr>
          <w:rFonts w:ascii="Arial" w:hAnsi="Arial" w:cs="Arial"/>
        </w:rPr>
        <w:t>,</w:t>
      </w:r>
      <w:r>
        <w:rPr>
          <w:rFonts w:ascii="Arial" w:hAnsi="Arial" w:cs="Arial"/>
        </w:rPr>
        <w:t xml:space="preserve"> residing at No. 49 Rugby Street, Gobabis.  </w:t>
      </w:r>
    </w:p>
    <w:p w14:paraId="3D778801" w14:textId="77777777" w:rsidR="00CD5B98" w:rsidRDefault="00CD5B98" w:rsidP="00CD5B98">
      <w:pPr>
        <w:spacing w:line="360" w:lineRule="auto"/>
        <w:jc w:val="both"/>
        <w:rPr>
          <w:rFonts w:ascii="Arial" w:hAnsi="Arial" w:cs="Arial"/>
        </w:rPr>
      </w:pPr>
    </w:p>
    <w:p w14:paraId="6ACC347A" w14:textId="0183C838" w:rsidR="00CD5B98" w:rsidRPr="005447CC" w:rsidRDefault="00CD5B98" w:rsidP="00CD5B98">
      <w:pPr>
        <w:spacing w:line="360" w:lineRule="auto"/>
        <w:jc w:val="both"/>
        <w:rPr>
          <w:rFonts w:ascii="Arial" w:hAnsi="Arial" w:cs="Arial"/>
        </w:rPr>
      </w:pPr>
      <w:r>
        <w:rPr>
          <w:rFonts w:ascii="Arial" w:hAnsi="Arial" w:cs="Arial"/>
        </w:rPr>
        <w:t>[</w:t>
      </w:r>
      <w:r w:rsidR="003A0965">
        <w:rPr>
          <w:rFonts w:ascii="Arial" w:hAnsi="Arial" w:cs="Arial"/>
        </w:rPr>
        <w:t>3</w:t>
      </w:r>
      <w:r>
        <w:rPr>
          <w:rFonts w:ascii="Arial" w:hAnsi="Arial" w:cs="Arial"/>
        </w:rPr>
        <w:t>]</w:t>
      </w:r>
      <w:r>
        <w:rPr>
          <w:rFonts w:ascii="Arial" w:hAnsi="Arial" w:cs="Arial"/>
        </w:rPr>
        <w:tab/>
        <w:t xml:space="preserve">The first defendant is </w:t>
      </w:r>
      <w:r w:rsidR="00DE11E8" w:rsidRPr="005447CC">
        <w:rPr>
          <w:rFonts w:ascii="Arial" w:hAnsi="Arial" w:cs="Arial"/>
        </w:rPr>
        <w:t xml:space="preserve">Mr. </w:t>
      </w:r>
      <w:r>
        <w:rPr>
          <w:rFonts w:ascii="Arial" w:hAnsi="Arial" w:cs="Arial"/>
        </w:rPr>
        <w:t>Jason Nandago, an adult Namibian male businessman residing at No. 24 Daan Bekker Street, Olymplia, Windhoek.</w:t>
      </w:r>
      <w:r w:rsidR="00871FD6">
        <w:rPr>
          <w:rFonts w:ascii="Arial" w:hAnsi="Arial" w:cs="Arial"/>
        </w:rPr>
        <w:t xml:space="preserve"> The second to th</w:t>
      </w:r>
      <w:r w:rsidR="00E63125">
        <w:rPr>
          <w:rFonts w:ascii="Arial" w:hAnsi="Arial" w:cs="Arial"/>
        </w:rPr>
        <w:t xml:space="preserve">e fifth defendants are not </w:t>
      </w:r>
      <w:r w:rsidR="00E63125" w:rsidRPr="005447CC">
        <w:rPr>
          <w:rFonts w:ascii="Arial" w:hAnsi="Arial" w:cs="Arial"/>
        </w:rPr>
        <w:t>parties</w:t>
      </w:r>
      <w:r w:rsidR="00871FD6">
        <w:rPr>
          <w:rFonts w:ascii="Arial" w:hAnsi="Arial" w:cs="Arial"/>
        </w:rPr>
        <w:t xml:space="preserve"> to the exception</w:t>
      </w:r>
      <w:r w:rsidR="00E63125">
        <w:rPr>
          <w:rFonts w:ascii="Arial" w:hAnsi="Arial" w:cs="Arial"/>
        </w:rPr>
        <w:t xml:space="preserve"> </w:t>
      </w:r>
      <w:r w:rsidR="00E63125" w:rsidRPr="005447CC">
        <w:rPr>
          <w:rFonts w:ascii="Arial" w:hAnsi="Arial" w:cs="Arial"/>
        </w:rPr>
        <w:t>proceedings</w:t>
      </w:r>
      <w:r w:rsidR="00871FD6" w:rsidRPr="005447CC">
        <w:rPr>
          <w:rFonts w:ascii="Arial" w:hAnsi="Arial" w:cs="Arial"/>
        </w:rPr>
        <w:t>.</w:t>
      </w:r>
      <w:r w:rsidRPr="005447CC">
        <w:rPr>
          <w:rFonts w:ascii="Arial" w:hAnsi="Arial" w:cs="Arial"/>
        </w:rPr>
        <w:t xml:space="preserve"> </w:t>
      </w:r>
    </w:p>
    <w:p w14:paraId="0051C02D" w14:textId="77777777" w:rsidR="00CD5B98" w:rsidRDefault="00CD5B98" w:rsidP="00CD5B98">
      <w:pPr>
        <w:spacing w:line="360" w:lineRule="auto"/>
        <w:jc w:val="both"/>
        <w:rPr>
          <w:rFonts w:ascii="Arial" w:hAnsi="Arial" w:cs="Arial"/>
        </w:rPr>
      </w:pPr>
    </w:p>
    <w:p w14:paraId="657E591F" w14:textId="77777777" w:rsidR="00CD5B98" w:rsidRPr="00CA1A32" w:rsidRDefault="00CD5B98" w:rsidP="00CD5B98">
      <w:pPr>
        <w:spacing w:line="360" w:lineRule="auto"/>
        <w:jc w:val="both"/>
        <w:rPr>
          <w:rFonts w:ascii="Arial" w:hAnsi="Arial" w:cs="Arial"/>
          <w:u w:val="single"/>
        </w:rPr>
      </w:pPr>
      <w:r w:rsidRPr="00CA1A32">
        <w:rPr>
          <w:rFonts w:ascii="Arial" w:hAnsi="Arial" w:cs="Arial"/>
          <w:u w:val="single"/>
        </w:rPr>
        <w:t>Background</w:t>
      </w:r>
    </w:p>
    <w:p w14:paraId="3B2DF6CB" w14:textId="77777777" w:rsidR="00CD5B98" w:rsidRDefault="00CD5B98" w:rsidP="00CD5B98">
      <w:pPr>
        <w:spacing w:line="360" w:lineRule="auto"/>
        <w:jc w:val="both"/>
        <w:rPr>
          <w:rFonts w:ascii="Arial" w:hAnsi="Arial" w:cs="Arial"/>
        </w:rPr>
      </w:pPr>
    </w:p>
    <w:p w14:paraId="6B6F77A9" w14:textId="70AF807B" w:rsidR="0020468D" w:rsidRPr="00FC79C2" w:rsidRDefault="00CD5B98" w:rsidP="00CD5B98">
      <w:pPr>
        <w:spacing w:line="360" w:lineRule="auto"/>
        <w:jc w:val="both"/>
        <w:rPr>
          <w:rFonts w:ascii="Arial" w:hAnsi="Arial" w:cs="Arial"/>
        </w:rPr>
      </w:pPr>
      <w:r>
        <w:rPr>
          <w:rFonts w:ascii="Arial" w:hAnsi="Arial" w:cs="Arial"/>
        </w:rPr>
        <w:t>[</w:t>
      </w:r>
      <w:r w:rsidR="00871FD6">
        <w:rPr>
          <w:rFonts w:ascii="Arial" w:hAnsi="Arial" w:cs="Arial"/>
        </w:rPr>
        <w:t>4</w:t>
      </w:r>
      <w:r>
        <w:rPr>
          <w:rFonts w:ascii="Arial" w:hAnsi="Arial" w:cs="Arial"/>
        </w:rPr>
        <w:t>]</w:t>
      </w:r>
      <w:r>
        <w:rPr>
          <w:rFonts w:ascii="Arial" w:hAnsi="Arial" w:cs="Arial"/>
        </w:rPr>
        <w:tab/>
        <w:t xml:space="preserve">In </w:t>
      </w:r>
      <w:r w:rsidR="00DE6588">
        <w:rPr>
          <w:rFonts w:ascii="Arial" w:hAnsi="Arial" w:cs="Arial"/>
        </w:rPr>
        <w:t xml:space="preserve">October </w:t>
      </w:r>
      <w:r>
        <w:rPr>
          <w:rFonts w:ascii="Arial" w:hAnsi="Arial" w:cs="Arial"/>
        </w:rPr>
        <w:t>2020, the plaintiff</w:t>
      </w:r>
      <w:r w:rsidR="00DE6588">
        <w:rPr>
          <w:rFonts w:ascii="Arial" w:hAnsi="Arial" w:cs="Arial"/>
        </w:rPr>
        <w:t>s</w:t>
      </w:r>
      <w:r>
        <w:rPr>
          <w:rFonts w:ascii="Arial" w:hAnsi="Arial" w:cs="Arial"/>
        </w:rPr>
        <w:t xml:space="preserve"> instituted </w:t>
      </w:r>
      <w:r w:rsidR="00DE6588">
        <w:rPr>
          <w:rFonts w:ascii="Arial" w:hAnsi="Arial" w:cs="Arial"/>
        </w:rPr>
        <w:t xml:space="preserve">action </w:t>
      </w:r>
      <w:r>
        <w:rPr>
          <w:rFonts w:ascii="Arial" w:hAnsi="Arial" w:cs="Arial"/>
        </w:rPr>
        <w:t xml:space="preserve">against the defendants </w:t>
      </w:r>
      <w:r w:rsidR="00DE6588">
        <w:rPr>
          <w:rFonts w:ascii="Arial" w:hAnsi="Arial" w:cs="Arial"/>
        </w:rPr>
        <w:t>for damages suffered in the amount of N$3 013 217.76</w:t>
      </w:r>
      <w:r w:rsidR="00DE11E8" w:rsidRPr="005447CC">
        <w:rPr>
          <w:rFonts w:ascii="Arial" w:hAnsi="Arial" w:cs="Arial"/>
        </w:rPr>
        <w:t>,</w:t>
      </w:r>
      <w:r w:rsidR="00DE6588">
        <w:rPr>
          <w:rFonts w:ascii="Arial" w:hAnsi="Arial" w:cs="Arial"/>
        </w:rPr>
        <w:t xml:space="preserve"> </w:t>
      </w:r>
      <w:r w:rsidR="00D82623">
        <w:rPr>
          <w:rFonts w:ascii="Arial" w:hAnsi="Arial" w:cs="Arial"/>
        </w:rPr>
        <w:t xml:space="preserve">representing the claim of the Receiver of Revenue </w:t>
      </w:r>
      <w:r w:rsidR="00BE0595">
        <w:rPr>
          <w:rFonts w:ascii="Arial" w:hAnsi="Arial" w:cs="Arial"/>
        </w:rPr>
        <w:t xml:space="preserve">(“the Receiver”) </w:t>
      </w:r>
      <w:r w:rsidR="00D82623">
        <w:rPr>
          <w:rFonts w:ascii="Arial" w:hAnsi="Arial" w:cs="Arial"/>
        </w:rPr>
        <w:t>for VAT</w:t>
      </w:r>
      <w:r w:rsidR="00DE11E8" w:rsidRPr="005447CC">
        <w:rPr>
          <w:rFonts w:ascii="Arial" w:hAnsi="Arial" w:cs="Arial"/>
        </w:rPr>
        <w:t>,</w:t>
      </w:r>
      <w:r w:rsidR="00D82623">
        <w:rPr>
          <w:rFonts w:ascii="Arial" w:hAnsi="Arial" w:cs="Arial"/>
        </w:rPr>
        <w:t xml:space="preserve"> together </w:t>
      </w:r>
      <w:r w:rsidR="00871FD6">
        <w:rPr>
          <w:rFonts w:ascii="Arial" w:hAnsi="Arial" w:cs="Arial"/>
        </w:rPr>
        <w:t xml:space="preserve">with </w:t>
      </w:r>
      <w:r w:rsidR="00D82623">
        <w:rPr>
          <w:rFonts w:ascii="Arial" w:hAnsi="Arial" w:cs="Arial"/>
        </w:rPr>
        <w:t xml:space="preserve">interest calculated thereon but where penalties </w:t>
      </w:r>
      <w:r w:rsidR="00D82623" w:rsidRPr="00FC79C2">
        <w:rPr>
          <w:rFonts w:ascii="Arial" w:hAnsi="Arial" w:cs="Arial"/>
        </w:rPr>
        <w:t xml:space="preserve">were deducted. Plaintiffs claim that they were compelled to pay the said aforesaid amount. </w:t>
      </w:r>
    </w:p>
    <w:p w14:paraId="119CD090" w14:textId="77777777" w:rsidR="0020468D" w:rsidRPr="00FC79C2" w:rsidRDefault="0020468D" w:rsidP="00CD5B98">
      <w:pPr>
        <w:spacing w:line="360" w:lineRule="auto"/>
        <w:jc w:val="both"/>
        <w:rPr>
          <w:rFonts w:ascii="Arial" w:hAnsi="Arial" w:cs="Arial"/>
        </w:rPr>
      </w:pPr>
    </w:p>
    <w:p w14:paraId="33067969" w14:textId="3EB0268B" w:rsidR="0098512B" w:rsidRPr="00FC79C2" w:rsidRDefault="0020468D" w:rsidP="00CD5B98">
      <w:pPr>
        <w:spacing w:line="360" w:lineRule="auto"/>
        <w:jc w:val="both"/>
        <w:rPr>
          <w:rFonts w:ascii="Arial" w:hAnsi="Arial" w:cs="Arial"/>
        </w:rPr>
      </w:pPr>
      <w:r w:rsidRPr="00FC79C2">
        <w:rPr>
          <w:rFonts w:ascii="Arial" w:hAnsi="Arial" w:cs="Arial"/>
        </w:rPr>
        <w:t>[</w:t>
      </w:r>
      <w:r w:rsidR="00871FD6">
        <w:rPr>
          <w:rFonts w:ascii="Arial" w:hAnsi="Arial" w:cs="Arial"/>
        </w:rPr>
        <w:t>5</w:t>
      </w:r>
      <w:r w:rsidRPr="00FC79C2">
        <w:rPr>
          <w:rFonts w:ascii="Arial" w:hAnsi="Arial" w:cs="Arial"/>
        </w:rPr>
        <w:t>]</w:t>
      </w:r>
      <w:r w:rsidRPr="00FC79C2">
        <w:rPr>
          <w:rFonts w:ascii="Arial" w:hAnsi="Arial" w:cs="Arial"/>
        </w:rPr>
        <w:tab/>
      </w:r>
      <w:r w:rsidR="00AA751D" w:rsidRPr="00FC79C2">
        <w:rPr>
          <w:rFonts w:ascii="Arial" w:hAnsi="Arial" w:cs="Arial"/>
        </w:rPr>
        <w:t xml:space="preserve">In 2012 the plaintiffs and the </w:t>
      </w:r>
      <w:r w:rsidR="00D87E4E">
        <w:rPr>
          <w:rFonts w:ascii="Arial" w:hAnsi="Arial" w:cs="Arial"/>
        </w:rPr>
        <w:t xml:space="preserve">first </w:t>
      </w:r>
      <w:r w:rsidR="00AA751D" w:rsidRPr="00FC79C2">
        <w:rPr>
          <w:rFonts w:ascii="Arial" w:hAnsi="Arial" w:cs="Arial"/>
        </w:rPr>
        <w:t>defendant entered into a</w:t>
      </w:r>
      <w:r w:rsidR="00DE11E8">
        <w:rPr>
          <w:rFonts w:ascii="Arial" w:hAnsi="Arial" w:cs="Arial"/>
        </w:rPr>
        <w:t xml:space="preserve"> written agreement of sale of </w:t>
      </w:r>
      <w:r w:rsidR="00AA751D" w:rsidRPr="00FC79C2">
        <w:rPr>
          <w:rFonts w:ascii="Arial" w:hAnsi="Arial" w:cs="Arial"/>
        </w:rPr>
        <w:t xml:space="preserve">immovable property where the plaintiffs sold their farm to the </w:t>
      </w:r>
      <w:r w:rsidR="00D87E4E">
        <w:rPr>
          <w:rFonts w:ascii="Arial" w:hAnsi="Arial" w:cs="Arial"/>
        </w:rPr>
        <w:t xml:space="preserve">first </w:t>
      </w:r>
      <w:r w:rsidR="00AA751D" w:rsidRPr="00FC79C2">
        <w:rPr>
          <w:rFonts w:ascii="Arial" w:hAnsi="Arial" w:cs="Arial"/>
        </w:rPr>
        <w:t>defendant</w:t>
      </w:r>
      <w:r w:rsidR="001F2B5A">
        <w:rPr>
          <w:rFonts w:ascii="Arial" w:hAnsi="Arial" w:cs="Arial"/>
        </w:rPr>
        <w:t xml:space="preserve"> for </w:t>
      </w:r>
      <w:r w:rsidR="00D87E4E">
        <w:rPr>
          <w:rFonts w:ascii="Arial" w:hAnsi="Arial" w:cs="Arial"/>
        </w:rPr>
        <w:t xml:space="preserve">an </w:t>
      </w:r>
      <w:r w:rsidR="001F2B5A">
        <w:rPr>
          <w:rFonts w:ascii="Arial" w:hAnsi="Arial" w:cs="Arial"/>
        </w:rPr>
        <w:t>amount of N$10 964 953.13</w:t>
      </w:r>
      <w:r w:rsidR="00AA751D" w:rsidRPr="00FC79C2">
        <w:rPr>
          <w:rFonts w:ascii="Arial" w:hAnsi="Arial" w:cs="Arial"/>
        </w:rPr>
        <w:t>.</w:t>
      </w:r>
      <w:r w:rsidR="0098512B" w:rsidRPr="00FC79C2">
        <w:rPr>
          <w:rFonts w:ascii="Arial" w:hAnsi="Arial" w:cs="Arial"/>
        </w:rPr>
        <w:t xml:space="preserve"> The agreement contains an indemnification clause which provides that:</w:t>
      </w:r>
    </w:p>
    <w:p w14:paraId="50566024" w14:textId="77777777" w:rsidR="0098512B" w:rsidRPr="00FC79C2" w:rsidRDefault="0098512B" w:rsidP="00CD5B98">
      <w:pPr>
        <w:spacing w:line="360" w:lineRule="auto"/>
        <w:jc w:val="both"/>
        <w:rPr>
          <w:rFonts w:ascii="Arial" w:hAnsi="Arial" w:cs="Arial"/>
        </w:rPr>
      </w:pPr>
    </w:p>
    <w:p w14:paraId="4324A282" w14:textId="1888063B" w:rsidR="00EA5820" w:rsidRPr="00FC79C2" w:rsidRDefault="0098512B" w:rsidP="00CD5B98">
      <w:pPr>
        <w:spacing w:line="360" w:lineRule="auto"/>
        <w:jc w:val="both"/>
        <w:rPr>
          <w:rFonts w:ascii="Arial" w:hAnsi="Arial" w:cs="Arial"/>
        </w:rPr>
      </w:pPr>
      <w:r w:rsidRPr="00FC79C2">
        <w:rPr>
          <w:rFonts w:ascii="Arial" w:hAnsi="Arial" w:cs="Arial"/>
        </w:rPr>
        <w:tab/>
      </w:r>
      <w:r w:rsidRPr="00FC79C2">
        <w:rPr>
          <w:rFonts w:ascii="Arial" w:hAnsi="Arial" w:cs="Arial"/>
          <w:sz w:val="22"/>
          <w:szCs w:val="22"/>
        </w:rPr>
        <w:t>‘</w:t>
      </w:r>
      <w:r w:rsidR="00753095" w:rsidRPr="00FC79C2">
        <w:rPr>
          <w:rFonts w:ascii="Arial" w:hAnsi="Arial" w:cs="Arial"/>
          <w:sz w:val="22"/>
          <w:szCs w:val="22"/>
        </w:rPr>
        <w:t>9.5</w:t>
      </w:r>
      <w:r w:rsidR="00753095" w:rsidRPr="00FC79C2">
        <w:rPr>
          <w:rFonts w:ascii="Arial" w:hAnsi="Arial" w:cs="Arial"/>
          <w:sz w:val="22"/>
          <w:szCs w:val="22"/>
        </w:rPr>
        <w:tab/>
        <w:t>Any amount offered in terms hereof shall be exclusive of V</w:t>
      </w:r>
      <w:r w:rsidR="004C1E64" w:rsidRPr="00FC79C2">
        <w:rPr>
          <w:rFonts w:ascii="Arial" w:hAnsi="Arial" w:cs="Arial"/>
          <w:sz w:val="22"/>
          <w:szCs w:val="22"/>
        </w:rPr>
        <w:t>.</w:t>
      </w:r>
      <w:r w:rsidR="00753095" w:rsidRPr="00FC79C2">
        <w:rPr>
          <w:rFonts w:ascii="Arial" w:hAnsi="Arial" w:cs="Arial"/>
          <w:sz w:val="22"/>
          <w:szCs w:val="22"/>
        </w:rPr>
        <w:t>A</w:t>
      </w:r>
      <w:r w:rsidR="004C1E64" w:rsidRPr="00FC79C2">
        <w:rPr>
          <w:rFonts w:ascii="Arial" w:hAnsi="Arial" w:cs="Arial"/>
          <w:sz w:val="22"/>
          <w:szCs w:val="22"/>
        </w:rPr>
        <w:t>.</w:t>
      </w:r>
      <w:r w:rsidR="00753095" w:rsidRPr="00FC79C2">
        <w:rPr>
          <w:rFonts w:ascii="Arial" w:hAnsi="Arial" w:cs="Arial"/>
          <w:sz w:val="22"/>
          <w:szCs w:val="22"/>
        </w:rPr>
        <w:t>T</w:t>
      </w:r>
      <w:r w:rsidR="004C1E64" w:rsidRPr="00FC79C2">
        <w:rPr>
          <w:rFonts w:ascii="Arial" w:hAnsi="Arial" w:cs="Arial"/>
          <w:sz w:val="22"/>
          <w:szCs w:val="22"/>
        </w:rPr>
        <w:t>.</w:t>
      </w:r>
      <w:r w:rsidR="00753095" w:rsidRPr="00FC79C2">
        <w:rPr>
          <w:rFonts w:ascii="Arial" w:hAnsi="Arial" w:cs="Arial"/>
          <w:sz w:val="22"/>
          <w:szCs w:val="22"/>
        </w:rPr>
        <w:t xml:space="preserve"> and if any V</w:t>
      </w:r>
      <w:r w:rsidR="004C1E64" w:rsidRPr="00FC79C2">
        <w:rPr>
          <w:rFonts w:ascii="Arial" w:hAnsi="Arial" w:cs="Arial"/>
          <w:sz w:val="22"/>
          <w:szCs w:val="22"/>
        </w:rPr>
        <w:t>.</w:t>
      </w:r>
      <w:r w:rsidR="00753095" w:rsidRPr="00FC79C2">
        <w:rPr>
          <w:rFonts w:ascii="Arial" w:hAnsi="Arial" w:cs="Arial"/>
          <w:sz w:val="22"/>
          <w:szCs w:val="22"/>
        </w:rPr>
        <w:t>A</w:t>
      </w:r>
      <w:r w:rsidR="004C1E64" w:rsidRPr="00FC79C2">
        <w:rPr>
          <w:rFonts w:ascii="Arial" w:hAnsi="Arial" w:cs="Arial"/>
          <w:sz w:val="22"/>
          <w:szCs w:val="22"/>
        </w:rPr>
        <w:t>.</w:t>
      </w:r>
      <w:r w:rsidR="00753095" w:rsidRPr="00FC79C2">
        <w:rPr>
          <w:rFonts w:ascii="Arial" w:hAnsi="Arial" w:cs="Arial"/>
          <w:sz w:val="22"/>
          <w:szCs w:val="22"/>
        </w:rPr>
        <w:t>T</w:t>
      </w:r>
      <w:r w:rsidR="004C1E64" w:rsidRPr="00FC79C2">
        <w:rPr>
          <w:rFonts w:ascii="Arial" w:hAnsi="Arial" w:cs="Arial"/>
          <w:sz w:val="22"/>
          <w:szCs w:val="22"/>
        </w:rPr>
        <w:t>.</w:t>
      </w:r>
      <w:r w:rsidR="00753095" w:rsidRPr="00FC79C2">
        <w:rPr>
          <w:rFonts w:ascii="Arial" w:hAnsi="Arial" w:cs="Arial"/>
          <w:sz w:val="22"/>
          <w:szCs w:val="22"/>
        </w:rPr>
        <w:t xml:space="preserve"> is or becomes payable (if the transaction is not regarded as zero rated supply) as a result of this sale the Purchaser shall be liable for payment of such VAT and hereby indemnifies the Seller accordingly</w:t>
      </w:r>
      <w:r w:rsidR="004C1E64" w:rsidRPr="00FC79C2">
        <w:rPr>
          <w:rFonts w:ascii="Arial" w:hAnsi="Arial" w:cs="Arial"/>
          <w:sz w:val="22"/>
          <w:szCs w:val="22"/>
        </w:rPr>
        <w:t>..</w:t>
      </w:r>
      <w:r w:rsidR="00753095" w:rsidRPr="00FC79C2">
        <w:rPr>
          <w:rFonts w:ascii="Arial" w:hAnsi="Arial" w:cs="Arial"/>
          <w:sz w:val="22"/>
          <w:szCs w:val="22"/>
        </w:rPr>
        <w:t>.</w:t>
      </w:r>
      <w:r w:rsidR="00753095" w:rsidRPr="00FC79C2">
        <w:rPr>
          <w:rFonts w:ascii="Arial" w:hAnsi="Arial" w:cs="Arial"/>
        </w:rPr>
        <w:t>’</w:t>
      </w:r>
    </w:p>
    <w:p w14:paraId="628D3F12" w14:textId="77777777" w:rsidR="00EA5820" w:rsidRPr="00FC79C2" w:rsidRDefault="00EA5820" w:rsidP="00CD5B98">
      <w:pPr>
        <w:spacing w:line="360" w:lineRule="auto"/>
        <w:jc w:val="both"/>
        <w:rPr>
          <w:rFonts w:ascii="Arial" w:hAnsi="Arial" w:cs="Arial"/>
        </w:rPr>
      </w:pPr>
    </w:p>
    <w:p w14:paraId="3E520CCB" w14:textId="7B833306" w:rsidR="00AA751D" w:rsidRPr="00FC79C2" w:rsidRDefault="00EA5820" w:rsidP="00CD5B98">
      <w:pPr>
        <w:spacing w:line="360" w:lineRule="auto"/>
        <w:jc w:val="both"/>
        <w:rPr>
          <w:rFonts w:ascii="Arial" w:hAnsi="Arial" w:cs="Arial"/>
        </w:rPr>
      </w:pPr>
      <w:r w:rsidRPr="00FC79C2">
        <w:rPr>
          <w:rFonts w:ascii="Arial" w:hAnsi="Arial" w:cs="Arial"/>
        </w:rPr>
        <w:t>[</w:t>
      </w:r>
      <w:r w:rsidR="009F21B3">
        <w:rPr>
          <w:rFonts w:ascii="Arial" w:hAnsi="Arial" w:cs="Arial"/>
        </w:rPr>
        <w:t>6</w:t>
      </w:r>
      <w:r w:rsidRPr="00FC79C2">
        <w:rPr>
          <w:rFonts w:ascii="Arial" w:hAnsi="Arial" w:cs="Arial"/>
        </w:rPr>
        <w:t>]</w:t>
      </w:r>
      <w:r w:rsidRPr="00FC79C2">
        <w:rPr>
          <w:rFonts w:ascii="Arial" w:hAnsi="Arial" w:cs="Arial"/>
        </w:rPr>
        <w:tab/>
      </w:r>
      <w:r w:rsidR="00EC2315" w:rsidRPr="00FC79C2">
        <w:rPr>
          <w:rFonts w:ascii="Arial" w:hAnsi="Arial" w:cs="Arial"/>
        </w:rPr>
        <w:t>Plaintiff</w:t>
      </w:r>
      <w:r w:rsidR="00BE0595" w:rsidRPr="00FC79C2">
        <w:rPr>
          <w:rFonts w:ascii="Arial" w:hAnsi="Arial" w:cs="Arial"/>
        </w:rPr>
        <w:t>s</w:t>
      </w:r>
      <w:r w:rsidR="00EC2315" w:rsidRPr="00FC79C2">
        <w:rPr>
          <w:rFonts w:ascii="Arial" w:hAnsi="Arial" w:cs="Arial"/>
        </w:rPr>
        <w:t xml:space="preserve"> claim that </w:t>
      </w:r>
      <w:r w:rsidR="00BE0595" w:rsidRPr="00FC79C2">
        <w:rPr>
          <w:rFonts w:ascii="Arial" w:hAnsi="Arial" w:cs="Arial"/>
        </w:rPr>
        <w:t xml:space="preserve">they were compelled to pay when </w:t>
      </w:r>
      <w:r w:rsidR="00EC2315" w:rsidRPr="00FC79C2">
        <w:rPr>
          <w:rFonts w:ascii="Arial" w:hAnsi="Arial" w:cs="Arial"/>
        </w:rPr>
        <w:t>the Receiver</w:t>
      </w:r>
      <w:r w:rsidR="00BE0595" w:rsidRPr="00FC79C2">
        <w:rPr>
          <w:rFonts w:ascii="Arial" w:hAnsi="Arial" w:cs="Arial"/>
        </w:rPr>
        <w:t xml:space="preserve"> demanded payment for VAT. This, plaintiffs claim, was attributed to </w:t>
      </w:r>
      <w:r w:rsidR="009F21B3">
        <w:rPr>
          <w:rFonts w:ascii="Arial" w:hAnsi="Arial" w:cs="Arial"/>
        </w:rPr>
        <w:t xml:space="preserve">the first </w:t>
      </w:r>
      <w:r w:rsidR="00BE0595" w:rsidRPr="00FC79C2">
        <w:rPr>
          <w:rFonts w:ascii="Arial" w:hAnsi="Arial" w:cs="Arial"/>
        </w:rPr>
        <w:t xml:space="preserve">defendant acting in breach of the agreement by refusing to put into operation the indemnity clause.   </w:t>
      </w:r>
      <w:r w:rsidR="00EC2315" w:rsidRPr="00FC79C2">
        <w:rPr>
          <w:rFonts w:ascii="Arial" w:hAnsi="Arial" w:cs="Arial"/>
        </w:rPr>
        <w:t xml:space="preserve"> </w:t>
      </w:r>
      <w:r w:rsidR="00AA751D" w:rsidRPr="00FC79C2">
        <w:rPr>
          <w:rFonts w:ascii="Arial" w:hAnsi="Arial" w:cs="Arial"/>
        </w:rPr>
        <w:t xml:space="preserve">  </w:t>
      </w:r>
    </w:p>
    <w:p w14:paraId="589F18E0" w14:textId="77777777" w:rsidR="00AA751D" w:rsidRPr="00FC79C2" w:rsidRDefault="00AA751D" w:rsidP="00CD5B98">
      <w:pPr>
        <w:spacing w:line="360" w:lineRule="auto"/>
        <w:jc w:val="both"/>
        <w:rPr>
          <w:rFonts w:ascii="Arial" w:hAnsi="Arial" w:cs="Arial"/>
        </w:rPr>
      </w:pPr>
    </w:p>
    <w:p w14:paraId="22A6CE1F" w14:textId="694117D4" w:rsidR="00A4055E" w:rsidRPr="00FC79C2" w:rsidRDefault="00AA751D" w:rsidP="00615200">
      <w:pPr>
        <w:spacing w:line="360" w:lineRule="auto"/>
        <w:jc w:val="both"/>
        <w:rPr>
          <w:rFonts w:ascii="Arial" w:hAnsi="Arial" w:cs="Arial"/>
          <w:color w:val="242121"/>
          <w:lang w:val="en-ZA"/>
        </w:rPr>
      </w:pPr>
      <w:r w:rsidRPr="00FC79C2">
        <w:rPr>
          <w:rFonts w:ascii="Arial" w:hAnsi="Arial" w:cs="Arial"/>
        </w:rPr>
        <w:t>[</w:t>
      </w:r>
      <w:r w:rsidR="009F21B3">
        <w:rPr>
          <w:rFonts w:ascii="Arial" w:hAnsi="Arial" w:cs="Arial"/>
        </w:rPr>
        <w:t>7</w:t>
      </w:r>
      <w:r w:rsidRPr="00FC79C2">
        <w:rPr>
          <w:rFonts w:ascii="Arial" w:hAnsi="Arial" w:cs="Arial"/>
        </w:rPr>
        <w:t>]</w:t>
      </w:r>
      <w:r w:rsidRPr="00FC79C2">
        <w:rPr>
          <w:rFonts w:ascii="Arial" w:hAnsi="Arial" w:cs="Arial"/>
        </w:rPr>
        <w:tab/>
      </w:r>
      <w:r w:rsidR="00615200" w:rsidRPr="00FC79C2">
        <w:rPr>
          <w:rFonts w:ascii="Arial" w:hAnsi="Arial" w:cs="Arial"/>
        </w:rPr>
        <w:t xml:space="preserve">The </w:t>
      </w:r>
      <w:r w:rsidR="009F21B3">
        <w:rPr>
          <w:rFonts w:ascii="Arial" w:hAnsi="Arial" w:cs="Arial"/>
        </w:rPr>
        <w:t xml:space="preserve">first </w:t>
      </w:r>
      <w:r w:rsidR="00615200" w:rsidRPr="00FC79C2">
        <w:rPr>
          <w:rFonts w:ascii="Arial" w:hAnsi="Arial" w:cs="Arial"/>
        </w:rPr>
        <w:t>defendant (ex</w:t>
      </w:r>
      <w:r w:rsidR="009F5106" w:rsidRPr="00FC79C2">
        <w:rPr>
          <w:rFonts w:ascii="Arial" w:hAnsi="Arial" w:cs="Arial"/>
        </w:rPr>
        <w:t xml:space="preserve">cipient) </w:t>
      </w:r>
      <w:r w:rsidR="006029CB" w:rsidRPr="00FC79C2">
        <w:rPr>
          <w:rFonts w:ascii="Arial" w:hAnsi="Arial" w:cs="Arial"/>
        </w:rPr>
        <w:t xml:space="preserve">raised </w:t>
      </w:r>
      <w:r w:rsidR="009F5106" w:rsidRPr="00FC79C2">
        <w:rPr>
          <w:rFonts w:ascii="Arial" w:hAnsi="Arial" w:cs="Arial"/>
        </w:rPr>
        <w:t>an exception to the plaintiffs</w:t>
      </w:r>
      <w:r w:rsidR="006029CB" w:rsidRPr="00FC79C2">
        <w:rPr>
          <w:rFonts w:ascii="Arial" w:hAnsi="Arial" w:cs="Arial"/>
        </w:rPr>
        <w:t>’</w:t>
      </w:r>
      <w:r w:rsidR="009F5106" w:rsidRPr="00FC79C2">
        <w:rPr>
          <w:rFonts w:ascii="Arial" w:hAnsi="Arial" w:cs="Arial"/>
        </w:rPr>
        <w:t xml:space="preserve"> particulars of claim</w:t>
      </w:r>
      <w:r w:rsidR="00F3086C" w:rsidRPr="00FC79C2">
        <w:rPr>
          <w:rFonts w:ascii="Arial" w:hAnsi="Arial" w:cs="Arial"/>
        </w:rPr>
        <w:t xml:space="preserve">. </w:t>
      </w:r>
      <w:r w:rsidR="00D10DA6" w:rsidRPr="00FC79C2">
        <w:rPr>
          <w:rFonts w:ascii="Arial" w:hAnsi="Arial" w:cs="Arial"/>
          <w:lang w:val="en-GB"/>
        </w:rPr>
        <w:t xml:space="preserve">He </w:t>
      </w:r>
      <w:r w:rsidR="00D10DA6" w:rsidRPr="00FC79C2">
        <w:rPr>
          <w:rFonts w:ascii="Arial" w:hAnsi="Arial" w:cs="Arial"/>
          <w:color w:val="242121"/>
          <w:lang w:val="en-ZA"/>
        </w:rPr>
        <w:t xml:space="preserve">contends that the particulars of claim lack averments </w:t>
      </w:r>
      <w:r w:rsidR="00615200" w:rsidRPr="00FC79C2">
        <w:rPr>
          <w:rFonts w:ascii="Arial" w:hAnsi="Arial" w:cs="Arial"/>
          <w:color w:val="242121"/>
          <w:lang w:val="en-ZA"/>
        </w:rPr>
        <w:t xml:space="preserve">necessary </w:t>
      </w:r>
      <w:r w:rsidR="00D10DA6" w:rsidRPr="00FC79C2">
        <w:rPr>
          <w:rFonts w:ascii="Arial" w:hAnsi="Arial" w:cs="Arial"/>
          <w:color w:val="242121"/>
          <w:lang w:val="en-ZA"/>
        </w:rPr>
        <w:t>to sustain a cause of action</w:t>
      </w:r>
      <w:r w:rsidR="00615200" w:rsidRPr="00FC79C2">
        <w:rPr>
          <w:rFonts w:ascii="Arial" w:hAnsi="Arial" w:cs="Arial"/>
          <w:color w:val="242121"/>
          <w:lang w:val="en-ZA"/>
        </w:rPr>
        <w:t xml:space="preserve">. </w:t>
      </w:r>
      <w:r w:rsidR="00A4055E" w:rsidRPr="00FC79C2">
        <w:rPr>
          <w:rFonts w:ascii="Arial" w:hAnsi="Arial" w:cs="Arial"/>
          <w:color w:val="242121"/>
          <w:lang w:val="en-ZA"/>
        </w:rPr>
        <w:t>I</w:t>
      </w:r>
      <w:r w:rsidR="00342F76">
        <w:rPr>
          <w:rFonts w:ascii="Arial" w:hAnsi="Arial" w:cs="Arial"/>
          <w:color w:val="242121"/>
          <w:lang w:val="en-ZA"/>
        </w:rPr>
        <w:t xml:space="preserve">t should be cleared from the </w:t>
      </w:r>
      <w:r w:rsidR="00342F76" w:rsidRPr="005447CC">
        <w:rPr>
          <w:rFonts w:ascii="Arial" w:hAnsi="Arial" w:cs="Arial"/>
          <w:lang w:val="en-ZA"/>
        </w:rPr>
        <w:t>on</w:t>
      </w:r>
      <w:r w:rsidR="00A4055E" w:rsidRPr="005447CC">
        <w:rPr>
          <w:rFonts w:ascii="Arial" w:hAnsi="Arial" w:cs="Arial"/>
          <w:lang w:val="en-ZA"/>
        </w:rPr>
        <w:t>set</w:t>
      </w:r>
      <w:r w:rsidR="00A4055E" w:rsidRPr="00FC79C2">
        <w:rPr>
          <w:rFonts w:ascii="Arial" w:hAnsi="Arial" w:cs="Arial"/>
          <w:color w:val="242121"/>
          <w:lang w:val="en-ZA"/>
        </w:rPr>
        <w:t xml:space="preserve"> that it is not </w:t>
      </w:r>
      <w:r w:rsidR="009F21B3">
        <w:rPr>
          <w:rFonts w:ascii="Arial" w:hAnsi="Arial" w:cs="Arial"/>
          <w:color w:val="242121"/>
          <w:lang w:val="en-ZA"/>
        </w:rPr>
        <w:t xml:space="preserve">first </w:t>
      </w:r>
      <w:r w:rsidR="00A4055E" w:rsidRPr="00FC79C2">
        <w:rPr>
          <w:rFonts w:ascii="Arial" w:hAnsi="Arial" w:cs="Arial"/>
          <w:color w:val="242121"/>
          <w:lang w:val="en-ZA"/>
        </w:rPr>
        <w:t>defendant’s case that the particulars of c</w:t>
      </w:r>
      <w:r w:rsidR="00342F76">
        <w:rPr>
          <w:rFonts w:ascii="Arial" w:hAnsi="Arial" w:cs="Arial"/>
          <w:color w:val="242121"/>
          <w:lang w:val="en-ZA"/>
        </w:rPr>
        <w:t xml:space="preserve">laim are vague and embarrassing. </w:t>
      </w:r>
      <w:r w:rsidR="00342F76" w:rsidRPr="005447CC">
        <w:rPr>
          <w:rFonts w:ascii="Arial" w:hAnsi="Arial" w:cs="Arial"/>
          <w:lang w:val="en-ZA"/>
        </w:rPr>
        <w:t>To</w:t>
      </w:r>
      <w:r w:rsidR="00A4055E" w:rsidRPr="00FC79C2">
        <w:rPr>
          <w:rFonts w:ascii="Arial" w:hAnsi="Arial" w:cs="Arial"/>
          <w:color w:val="242121"/>
          <w:lang w:val="en-ZA"/>
        </w:rPr>
        <w:t xml:space="preserve"> the contrary</w:t>
      </w:r>
      <w:r w:rsidR="009F21B3">
        <w:rPr>
          <w:rFonts w:ascii="Arial" w:hAnsi="Arial" w:cs="Arial"/>
          <w:color w:val="242121"/>
          <w:lang w:val="en-ZA"/>
        </w:rPr>
        <w:t>,</w:t>
      </w:r>
      <w:r w:rsidR="00A4055E" w:rsidRPr="00FC79C2">
        <w:rPr>
          <w:rFonts w:ascii="Arial" w:hAnsi="Arial" w:cs="Arial"/>
          <w:color w:val="242121"/>
          <w:lang w:val="en-ZA"/>
        </w:rPr>
        <w:t xml:space="preserve"> his exception is solely on the basis </w:t>
      </w:r>
      <w:r w:rsidR="009F21B3">
        <w:rPr>
          <w:rFonts w:ascii="Arial" w:hAnsi="Arial" w:cs="Arial"/>
          <w:color w:val="242121"/>
          <w:lang w:val="en-ZA"/>
        </w:rPr>
        <w:t xml:space="preserve">of </w:t>
      </w:r>
      <w:r w:rsidR="00342F76">
        <w:rPr>
          <w:rFonts w:ascii="Arial" w:hAnsi="Arial" w:cs="Arial"/>
          <w:color w:val="242121"/>
          <w:lang w:val="en-ZA"/>
        </w:rPr>
        <w:t xml:space="preserve">no cause of action </w:t>
      </w:r>
      <w:r w:rsidR="00342F76" w:rsidRPr="005447CC">
        <w:rPr>
          <w:rFonts w:ascii="Arial" w:hAnsi="Arial" w:cs="Arial"/>
          <w:lang w:val="en-ZA"/>
        </w:rPr>
        <w:t>being made out.</w:t>
      </w:r>
    </w:p>
    <w:p w14:paraId="148A8CAF" w14:textId="77777777" w:rsidR="00A4055E" w:rsidRPr="00FC79C2" w:rsidRDefault="00A4055E" w:rsidP="00615200">
      <w:pPr>
        <w:spacing w:line="360" w:lineRule="auto"/>
        <w:jc w:val="both"/>
        <w:rPr>
          <w:rFonts w:ascii="Arial" w:hAnsi="Arial" w:cs="Arial"/>
          <w:color w:val="242121"/>
          <w:lang w:val="en-ZA"/>
        </w:rPr>
      </w:pPr>
    </w:p>
    <w:p w14:paraId="7A5784D3" w14:textId="1495B575" w:rsidR="008D4377" w:rsidRPr="00FC79C2" w:rsidRDefault="00B07B7D" w:rsidP="00615200">
      <w:pPr>
        <w:spacing w:line="360" w:lineRule="auto"/>
        <w:jc w:val="both"/>
        <w:rPr>
          <w:rFonts w:ascii="Arial" w:hAnsi="Arial" w:cs="Arial"/>
          <w:color w:val="242121"/>
          <w:lang w:val="en-ZA"/>
        </w:rPr>
      </w:pPr>
      <w:r w:rsidRPr="00FC79C2">
        <w:rPr>
          <w:rFonts w:ascii="Arial" w:hAnsi="Arial" w:cs="Arial"/>
          <w:color w:val="242121"/>
          <w:lang w:val="en-ZA"/>
        </w:rPr>
        <w:t>[</w:t>
      </w:r>
      <w:r w:rsidR="00C432C7">
        <w:rPr>
          <w:rFonts w:ascii="Arial" w:hAnsi="Arial" w:cs="Arial"/>
          <w:color w:val="242121"/>
          <w:lang w:val="en-ZA"/>
        </w:rPr>
        <w:t>8</w:t>
      </w:r>
      <w:r w:rsidRPr="00FC79C2">
        <w:rPr>
          <w:rFonts w:ascii="Arial" w:hAnsi="Arial" w:cs="Arial"/>
          <w:color w:val="242121"/>
          <w:lang w:val="en-ZA"/>
        </w:rPr>
        <w:t>]</w:t>
      </w:r>
      <w:r w:rsidRPr="00FC79C2">
        <w:rPr>
          <w:rFonts w:ascii="Arial" w:hAnsi="Arial" w:cs="Arial"/>
          <w:color w:val="242121"/>
          <w:lang w:val="en-ZA"/>
        </w:rPr>
        <w:tab/>
        <w:t xml:space="preserve">The ground on which the exception is based is that clause 9.5 of the agreement is to the effect that the </w:t>
      </w:r>
      <w:r w:rsidR="00ED4359">
        <w:rPr>
          <w:rFonts w:ascii="Arial" w:hAnsi="Arial" w:cs="Arial"/>
          <w:color w:val="242121"/>
          <w:lang w:val="en-ZA"/>
        </w:rPr>
        <w:t xml:space="preserve">first </w:t>
      </w:r>
      <w:r w:rsidRPr="00FC79C2">
        <w:rPr>
          <w:rFonts w:ascii="Arial" w:hAnsi="Arial" w:cs="Arial"/>
          <w:color w:val="242121"/>
          <w:lang w:val="en-ZA"/>
        </w:rPr>
        <w:t xml:space="preserve">defendant shall be liable for payment of VAT if VAT becomes payable and </w:t>
      </w:r>
      <w:r w:rsidR="003F5EE9" w:rsidRPr="00FC79C2">
        <w:rPr>
          <w:rFonts w:ascii="Arial" w:hAnsi="Arial" w:cs="Arial"/>
          <w:color w:val="242121"/>
          <w:lang w:val="en-ZA"/>
        </w:rPr>
        <w:t>only t</w:t>
      </w:r>
      <w:r w:rsidR="00ED4359">
        <w:rPr>
          <w:rFonts w:ascii="Arial" w:hAnsi="Arial" w:cs="Arial"/>
          <w:color w:val="242121"/>
          <w:lang w:val="en-ZA"/>
        </w:rPr>
        <w:t>h</w:t>
      </w:r>
      <w:r w:rsidR="003F5EE9" w:rsidRPr="00FC79C2">
        <w:rPr>
          <w:rFonts w:ascii="Arial" w:hAnsi="Arial" w:cs="Arial"/>
          <w:color w:val="242121"/>
          <w:lang w:val="en-ZA"/>
        </w:rPr>
        <w:t xml:space="preserve">en shall the first defendant </w:t>
      </w:r>
      <w:r w:rsidRPr="00FC79C2">
        <w:rPr>
          <w:rFonts w:ascii="Arial" w:hAnsi="Arial" w:cs="Arial"/>
          <w:color w:val="242121"/>
          <w:lang w:val="en-ZA"/>
        </w:rPr>
        <w:t xml:space="preserve">indemnify the plaintiffs accordingly. </w:t>
      </w:r>
      <w:r w:rsidR="00D74961" w:rsidRPr="00FC79C2">
        <w:rPr>
          <w:rFonts w:ascii="Arial" w:hAnsi="Arial" w:cs="Arial"/>
          <w:color w:val="242121"/>
          <w:lang w:val="en-ZA"/>
        </w:rPr>
        <w:t xml:space="preserve">First defendant argues further that clause 9.5 can only be </w:t>
      </w:r>
      <w:r w:rsidR="00CE0BB0" w:rsidRPr="00FC79C2">
        <w:rPr>
          <w:rFonts w:ascii="Arial" w:hAnsi="Arial" w:cs="Arial"/>
          <w:color w:val="242121"/>
          <w:lang w:val="en-ZA"/>
        </w:rPr>
        <w:t xml:space="preserve">put </w:t>
      </w:r>
      <w:r w:rsidR="000A50B3" w:rsidRPr="00FC79C2">
        <w:rPr>
          <w:rFonts w:ascii="Arial" w:hAnsi="Arial" w:cs="Arial"/>
          <w:color w:val="242121"/>
          <w:lang w:val="en-ZA"/>
        </w:rPr>
        <w:t xml:space="preserve">into </w:t>
      </w:r>
      <w:r w:rsidR="00D74961" w:rsidRPr="00FC79C2">
        <w:rPr>
          <w:rFonts w:ascii="Arial" w:hAnsi="Arial" w:cs="Arial"/>
          <w:color w:val="242121"/>
          <w:lang w:val="en-ZA"/>
        </w:rPr>
        <w:t xml:space="preserve">effect when the plaintiffs are </w:t>
      </w:r>
      <w:r w:rsidR="00D74961" w:rsidRPr="00FC79C2">
        <w:rPr>
          <w:rFonts w:ascii="Arial" w:hAnsi="Arial" w:cs="Arial"/>
          <w:i/>
          <w:iCs/>
          <w:color w:val="242121"/>
          <w:lang w:val="en-ZA"/>
        </w:rPr>
        <w:t>de</w:t>
      </w:r>
      <w:r w:rsidR="000A50B3" w:rsidRPr="00FC79C2">
        <w:rPr>
          <w:rFonts w:ascii="Arial" w:hAnsi="Arial" w:cs="Arial"/>
          <w:i/>
          <w:iCs/>
          <w:color w:val="242121"/>
          <w:lang w:val="en-ZA"/>
        </w:rPr>
        <w:t xml:space="preserve"> </w:t>
      </w:r>
      <w:r w:rsidR="00D74961" w:rsidRPr="00FC79C2">
        <w:rPr>
          <w:rFonts w:ascii="Arial" w:hAnsi="Arial" w:cs="Arial"/>
          <w:i/>
          <w:iCs/>
          <w:color w:val="242121"/>
          <w:lang w:val="en-ZA"/>
        </w:rPr>
        <w:t>facto</w:t>
      </w:r>
      <w:r w:rsidR="00D74961" w:rsidRPr="00FC79C2">
        <w:rPr>
          <w:rFonts w:ascii="Arial" w:hAnsi="Arial" w:cs="Arial"/>
          <w:color w:val="242121"/>
          <w:lang w:val="en-ZA"/>
        </w:rPr>
        <w:t xml:space="preserve"> and </w:t>
      </w:r>
      <w:r w:rsidR="00D74961" w:rsidRPr="00FC79C2">
        <w:rPr>
          <w:rFonts w:ascii="Arial" w:hAnsi="Arial" w:cs="Arial"/>
          <w:i/>
          <w:iCs/>
          <w:color w:val="242121"/>
          <w:lang w:val="en-ZA"/>
        </w:rPr>
        <w:t>de</w:t>
      </w:r>
      <w:r w:rsidR="000A50B3" w:rsidRPr="00FC79C2">
        <w:rPr>
          <w:rFonts w:ascii="Arial" w:hAnsi="Arial" w:cs="Arial"/>
          <w:i/>
          <w:iCs/>
          <w:color w:val="242121"/>
          <w:lang w:val="en-ZA"/>
        </w:rPr>
        <w:t xml:space="preserve"> </w:t>
      </w:r>
      <w:r w:rsidR="00D74961" w:rsidRPr="00FC79C2">
        <w:rPr>
          <w:rFonts w:ascii="Arial" w:hAnsi="Arial" w:cs="Arial"/>
          <w:i/>
          <w:iCs/>
          <w:color w:val="242121"/>
          <w:lang w:val="en-ZA"/>
        </w:rPr>
        <w:t>jure</w:t>
      </w:r>
      <w:r w:rsidR="00D74961" w:rsidRPr="00FC79C2">
        <w:rPr>
          <w:rFonts w:ascii="Arial" w:hAnsi="Arial" w:cs="Arial"/>
          <w:color w:val="242121"/>
          <w:lang w:val="en-ZA"/>
        </w:rPr>
        <w:t xml:space="preserve"> liable to pay the Receiver. </w:t>
      </w:r>
      <w:r w:rsidR="00447509" w:rsidRPr="00FC79C2">
        <w:rPr>
          <w:rFonts w:ascii="Arial" w:hAnsi="Arial" w:cs="Arial"/>
          <w:color w:val="242121"/>
          <w:lang w:val="en-ZA"/>
        </w:rPr>
        <w:t>Furthermore, in order to sustain the claim, the plaintiff</w:t>
      </w:r>
      <w:r w:rsidR="00E63125" w:rsidRPr="005447CC">
        <w:rPr>
          <w:rFonts w:ascii="Arial" w:hAnsi="Arial" w:cs="Arial"/>
          <w:lang w:val="en-ZA"/>
        </w:rPr>
        <w:t>s</w:t>
      </w:r>
      <w:r w:rsidR="00342F76">
        <w:rPr>
          <w:rFonts w:ascii="Arial" w:hAnsi="Arial" w:cs="Arial"/>
          <w:color w:val="242121"/>
          <w:lang w:val="en-ZA"/>
        </w:rPr>
        <w:t xml:space="preserve"> had to allege that they were</w:t>
      </w:r>
      <w:r w:rsidR="00342F76" w:rsidRPr="00342F76">
        <w:rPr>
          <w:rFonts w:ascii="Arial" w:hAnsi="Arial" w:cs="Arial"/>
          <w:color w:val="FF0000"/>
          <w:lang w:val="en-ZA"/>
        </w:rPr>
        <w:t>,</w:t>
      </w:r>
      <w:r w:rsidR="00342F76">
        <w:rPr>
          <w:rFonts w:ascii="Arial" w:hAnsi="Arial" w:cs="Arial"/>
          <w:color w:val="242121"/>
          <w:lang w:val="en-ZA"/>
        </w:rPr>
        <w:t xml:space="preserve"> </w:t>
      </w:r>
      <w:r w:rsidR="00447509" w:rsidRPr="00FC79C2">
        <w:rPr>
          <w:rFonts w:ascii="Arial" w:hAnsi="Arial" w:cs="Arial"/>
          <w:color w:val="242121"/>
          <w:lang w:val="en-ZA"/>
        </w:rPr>
        <w:t>in fact and in law liable</w:t>
      </w:r>
      <w:r w:rsidR="00342F76" w:rsidRPr="00342F76">
        <w:rPr>
          <w:rFonts w:ascii="Arial" w:hAnsi="Arial" w:cs="Arial"/>
          <w:color w:val="FF0000"/>
          <w:lang w:val="en-ZA"/>
        </w:rPr>
        <w:t>,</w:t>
      </w:r>
      <w:r w:rsidR="00447509" w:rsidRPr="00FC79C2">
        <w:rPr>
          <w:rFonts w:ascii="Arial" w:hAnsi="Arial" w:cs="Arial"/>
          <w:color w:val="242121"/>
          <w:lang w:val="en-ZA"/>
        </w:rPr>
        <w:t xml:space="preserve"> to the Receiver for VAT </w:t>
      </w:r>
      <w:r w:rsidR="00ED4D6C">
        <w:rPr>
          <w:rFonts w:ascii="Arial" w:hAnsi="Arial" w:cs="Arial"/>
          <w:color w:val="242121"/>
          <w:lang w:val="en-ZA"/>
        </w:rPr>
        <w:t xml:space="preserve">payment </w:t>
      </w:r>
      <w:r w:rsidR="00447509" w:rsidRPr="00FC79C2">
        <w:rPr>
          <w:rFonts w:ascii="Arial" w:hAnsi="Arial" w:cs="Arial"/>
          <w:color w:val="242121"/>
          <w:lang w:val="en-ZA"/>
        </w:rPr>
        <w:t>in connection with the sale of the farm. T</w:t>
      </w:r>
      <w:r w:rsidR="00CE0BB0" w:rsidRPr="00FC79C2">
        <w:rPr>
          <w:rFonts w:ascii="Arial" w:hAnsi="Arial" w:cs="Arial"/>
          <w:color w:val="242121"/>
          <w:lang w:val="en-ZA"/>
        </w:rPr>
        <w:t>his is a liabil</w:t>
      </w:r>
      <w:r w:rsidR="00342F76">
        <w:rPr>
          <w:rFonts w:ascii="Arial" w:hAnsi="Arial" w:cs="Arial"/>
          <w:color w:val="242121"/>
          <w:lang w:val="en-ZA"/>
        </w:rPr>
        <w:t xml:space="preserve">ity enforceable by law and not </w:t>
      </w:r>
      <w:r w:rsidR="00342F76" w:rsidRPr="005447CC">
        <w:rPr>
          <w:rFonts w:ascii="Arial" w:hAnsi="Arial" w:cs="Arial"/>
          <w:lang w:val="en-ZA"/>
        </w:rPr>
        <w:t>by</w:t>
      </w:r>
      <w:r w:rsidR="00CE0BB0" w:rsidRPr="00FC79C2">
        <w:rPr>
          <w:rFonts w:ascii="Arial" w:hAnsi="Arial" w:cs="Arial"/>
          <w:color w:val="242121"/>
          <w:lang w:val="en-ZA"/>
        </w:rPr>
        <w:t xml:space="preserve"> demand, so </w:t>
      </w:r>
      <w:r w:rsidR="000A0611" w:rsidRPr="00FC79C2">
        <w:rPr>
          <w:rFonts w:ascii="Arial" w:hAnsi="Arial" w:cs="Arial"/>
          <w:color w:val="242121"/>
          <w:lang w:val="en-ZA"/>
        </w:rPr>
        <w:t xml:space="preserve">it </w:t>
      </w:r>
      <w:r w:rsidR="0021560C" w:rsidRPr="00FC79C2">
        <w:rPr>
          <w:rFonts w:ascii="Arial" w:hAnsi="Arial" w:cs="Arial"/>
          <w:color w:val="242121"/>
          <w:lang w:val="en-ZA"/>
        </w:rPr>
        <w:t xml:space="preserve">is argued. </w:t>
      </w:r>
    </w:p>
    <w:p w14:paraId="3ED40665" w14:textId="77777777" w:rsidR="008D4377" w:rsidRPr="00FC79C2" w:rsidRDefault="008D4377" w:rsidP="00615200">
      <w:pPr>
        <w:spacing w:line="360" w:lineRule="auto"/>
        <w:jc w:val="both"/>
        <w:rPr>
          <w:rFonts w:ascii="Arial" w:hAnsi="Arial" w:cs="Arial"/>
          <w:color w:val="242121"/>
          <w:lang w:val="en-ZA"/>
        </w:rPr>
      </w:pPr>
    </w:p>
    <w:p w14:paraId="59E9B2DB" w14:textId="5C47B33B" w:rsidR="009A4EBB" w:rsidRPr="00FC79C2" w:rsidRDefault="008D4377" w:rsidP="00615200">
      <w:pPr>
        <w:spacing w:line="360" w:lineRule="auto"/>
        <w:jc w:val="both"/>
        <w:rPr>
          <w:rFonts w:ascii="Arial" w:hAnsi="Arial" w:cs="Arial"/>
          <w:color w:val="242121"/>
          <w:lang w:val="en-ZA"/>
        </w:rPr>
      </w:pPr>
      <w:r w:rsidRPr="00FC79C2">
        <w:rPr>
          <w:rFonts w:ascii="Arial" w:hAnsi="Arial" w:cs="Arial"/>
          <w:color w:val="242121"/>
          <w:lang w:val="en-ZA"/>
        </w:rPr>
        <w:t>[</w:t>
      </w:r>
      <w:r w:rsidR="00A51BB5">
        <w:rPr>
          <w:rFonts w:ascii="Arial" w:hAnsi="Arial" w:cs="Arial"/>
          <w:color w:val="242121"/>
          <w:lang w:val="en-ZA"/>
        </w:rPr>
        <w:t>9</w:t>
      </w:r>
      <w:r w:rsidRPr="00FC79C2">
        <w:rPr>
          <w:rFonts w:ascii="Arial" w:hAnsi="Arial" w:cs="Arial"/>
          <w:color w:val="242121"/>
          <w:lang w:val="en-ZA"/>
        </w:rPr>
        <w:t>]</w:t>
      </w:r>
      <w:r w:rsidRPr="00FC79C2">
        <w:rPr>
          <w:rFonts w:ascii="Arial" w:hAnsi="Arial" w:cs="Arial"/>
          <w:color w:val="242121"/>
          <w:lang w:val="en-ZA"/>
        </w:rPr>
        <w:tab/>
        <w:t xml:space="preserve">First defendant laid bare his exception by stating that plaintiffs will have no claim </w:t>
      </w:r>
      <w:r w:rsidR="000A0611" w:rsidRPr="00FC79C2">
        <w:rPr>
          <w:rFonts w:ascii="Arial" w:hAnsi="Arial" w:cs="Arial"/>
          <w:color w:val="242121"/>
          <w:lang w:val="en-ZA"/>
        </w:rPr>
        <w:t xml:space="preserve">against </w:t>
      </w:r>
      <w:r w:rsidRPr="00FC79C2">
        <w:rPr>
          <w:rFonts w:ascii="Arial" w:hAnsi="Arial" w:cs="Arial"/>
          <w:color w:val="242121"/>
          <w:lang w:val="en-ZA"/>
        </w:rPr>
        <w:t xml:space="preserve">him if they paid the Receiver without an obligation to do so. He states further at the backdrop of the VAT Act, that the VAT charged by the Receiver was not due or not applicable to the agreement in question. </w:t>
      </w:r>
      <w:r w:rsidR="009A4EBB" w:rsidRPr="00FC79C2">
        <w:rPr>
          <w:rFonts w:ascii="Arial" w:hAnsi="Arial" w:cs="Arial"/>
          <w:color w:val="242121"/>
          <w:lang w:val="en-ZA"/>
        </w:rPr>
        <w:t xml:space="preserve">He further argues that the sale of the farm cannot </w:t>
      </w:r>
      <w:r w:rsidR="000A0611" w:rsidRPr="00FC79C2">
        <w:rPr>
          <w:rFonts w:ascii="Arial" w:hAnsi="Arial" w:cs="Arial"/>
          <w:color w:val="242121"/>
          <w:lang w:val="en-ZA"/>
        </w:rPr>
        <w:t xml:space="preserve">be </w:t>
      </w:r>
      <w:r w:rsidR="009A4EBB" w:rsidRPr="00FC79C2">
        <w:rPr>
          <w:rFonts w:ascii="Arial" w:hAnsi="Arial" w:cs="Arial"/>
          <w:color w:val="242121"/>
          <w:lang w:val="en-ZA"/>
        </w:rPr>
        <w:t>considered as a taxable activity</w:t>
      </w:r>
      <w:r w:rsidR="00E63125">
        <w:rPr>
          <w:rFonts w:ascii="Arial" w:hAnsi="Arial" w:cs="Arial"/>
          <w:color w:val="242121"/>
          <w:lang w:val="en-ZA"/>
        </w:rPr>
        <w:t>,</w:t>
      </w:r>
      <w:r w:rsidR="009A4EBB" w:rsidRPr="00FC79C2">
        <w:rPr>
          <w:rFonts w:ascii="Arial" w:hAnsi="Arial" w:cs="Arial"/>
          <w:color w:val="242121"/>
          <w:lang w:val="en-ZA"/>
        </w:rPr>
        <w:t xml:space="preserve"> as it is not carried on continuously or regularly. </w:t>
      </w:r>
    </w:p>
    <w:p w14:paraId="4454C85F" w14:textId="2151292C" w:rsidR="00B07B7D" w:rsidRPr="00FC79C2" w:rsidRDefault="00B07B7D" w:rsidP="00615200">
      <w:pPr>
        <w:spacing w:line="360" w:lineRule="auto"/>
        <w:jc w:val="both"/>
        <w:rPr>
          <w:rFonts w:ascii="Arial" w:hAnsi="Arial" w:cs="Arial"/>
          <w:color w:val="242121"/>
          <w:lang w:val="en-ZA"/>
        </w:rPr>
      </w:pPr>
    </w:p>
    <w:p w14:paraId="41A5533A" w14:textId="2DEDD16B" w:rsidR="00C221D7" w:rsidRDefault="00C221D7" w:rsidP="00615200">
      <w:pPr>
        <w:spacing w:line="360" w:lineRule="auto"/>
        <w:jc w:val="both"/>
        <w:rPr>
          <w:rFonts w:ascii="Arial" w:hAnsi="Arial" w:cs="Arial"/>
          <w:color w:val="242121"/>
          <w:lang w:val="en-ZA"/>
        </w:rPr>
      </w:pPr>
      <w:r w:rsidRPr="00FC79C2">
        <w:rPr>
          <w:rFonts w:ascii="Arial" w:hAnsi="Arial" w:cs="Arial"/>
          <w:color w:val="242121"/>
          <w:lang w:val="en-ZA"/>
        </w:rPr>
        <w:t>[</w:t>
      </w:r>
      <w:r w:rsidR="00A51BB5">
        <w:rPr>
          <w:rFonts w:ascii="Arial" w:hAnsi="Arial" w:cs="Arial"/>
          <w:color w:val="242121"/>
          <w:lang w:val="en-ZA"/>
        </w:rPr>
        <w:t>10</w:t>
      </w:r>
      <w:r w:rsidRPr="00FC79C2">
        <w:rPr>
          <w:rFonts w:ascii="Arial" w:hAnsi="Arial" w:cs="Arial"/>
          <w:color w:val="242121"/>
          <w:lang w:val="en-ZA"/>
        </w:rPr>
        <w:t>]</w:t>
      </w:r>
      <w:r w:rsidRPr="00FC79C2">
        <w:rPr>
          <w:rFonts w:ascii="Arial" w:hAnsi="Arial" w:cs="Arial"/>
          <w:color w:val="242121"/>
          <w:lang w:val="en-ZA"/>
        </w:rPr>
        <w:tab/>
        <w:t>Based on the above-mentioned grounds, first defendant claims that the exception</w:t>
      </w:r>
      <w:r w:rsidR="00342F76">
        <w:rPr>
          <w:rFonts w:ascii="Arial" w:hAnsi="Arial" w:cs="Arial"/>
          <w:color w:val="242121"/>
          <w:lang w:val="en-ZA"/>
        </w:rPr>
        <w:t xml:space="preserve"> </w:t>
      </w:r>
      <w:r w:rsidR="00342F76" w:rsidRPr="005447CC">
        <w:rPr>
          <w:rFonts w:ascii="Arial" w:hAnsi="Arial" w:cs="Arial"/>
          <w:lang w:val="en-ZA"/>
        </w:rPr>
        <w:t>should</w:t>
      </w:r>
      <w:r w:rsidR="00342F76">
        <w:rPr>
          <w:rFonts w:ascii="Arial" w:hAnsi="Arial" w:cs="Arial"/>
          <w:color w:val="242121"/>
          <w:lang w:val="en-ZA"/>
        </w:rPr>
        <w:t xml:space="preserve"> </w:t>
      </w:r>
      <w:r w:rsidRPr="00FC79C2">
        <w:rPr>
          <w:rFonts w:ascii="Arial" w:hAnsi="Arial" w:cs="Arial"/>
          <w:color w:val="242121"/>
          <w:lang w:val="en-ZA"/>
        </w:rPr>
        <w:t xml:space="preserve">be upheld with costs and further that </w:t>
      </w:r>
      <w:r w:rsidR="00A51BB5">
        <w:rPr>
          <w:rFonts w:ascii="Arial" w:hAnsi="Arial" w:cs="Arial"/>
          <w:color w:val="242121"/>
          <w:lang w:val="en-ZA"/>
        </w:rPr>
        <w:t xml:space="preserve">the </w:t>
      </w:r>
      <w:r w:rsidRPr="00FC79C2">
        <w:rPr>
          <w:rFonts w:ascii="Arial" w:hAnsi="Arial" w:cs="Arial"/>
          <w:color w:val="242121"/>
          <w:lang w:val="en-ZA"/>
        </w:rPr>
        <w:t xml:space="preserve">plaintiffs be afforded leave to amend their particulars of claim. </w:t>
      </w:r>
    </w:p>
    <w:p w14:paraId="258CD592" w14:textId="77777777" w:rsidR="00A51BB5" w:rsidRPr="00FC79C2" w:rsidRDefault="00A51BB5" w:rsidP="00615200">
      <w:pPr>
        <w:spacing w:line="360" w:lineRule="auto"/>
        <w:jc w:val="both"/>
        <w:rPr>
          <w:rFonts w:ascii="Arial" w:hAnsi="Arial" w:cs="Arial"/>
          <w:color w:val="242121"/>
          <w:lang w:val="en-ZA"/>
        </w:rPr>
      </w:pPr>
    </w:p>
    <w:p w14:paraId="06EF87F7" w14:textId="6070FAEF" w:rsidR="00F3086C" w:rsidRDefault="00767888" w:rsidP="00A973A4">
      <w:pPr>
        <w:spacing w:line="360" w:lineRule="auto"/>
        <w:jc w:val="both"/>
        <w:rPr>
          <w:rFonts w:ascii="Arial" w:hAnsi="Arial" w:cs="Arial"/>
        </w:rPr>
      </w:pPr>
      <w:r>
        <w:rPr>
          <w:rFonts w:ascii="Arial" w:hAnsi="Arial" w:cs="Arial"/>
        </w:rPr>
        <w:t>[</w:t>
      </w:r>
      <w:r w:rsidR="00A51BB5">
        <w:rPr>
          <w:rFonts w:ascii="Arial" w:hAnsi="Arial" w:cs="Arial"/>
        </w:rPr>
        <w:t>11</w:t>
      </w:r>
      <w:r>
        <w:rPr>
          <w:rFonts w:ascii="Arial" w:hAnsi="Arial" w:cs="Arial"/>
        </w:rPr>
        <w:t>]</w:t>
      </w:r>
      <w:r>
        <w:rPr>
          <w:rFonts w:ascii="Arial" w:hAnsi="Arial" w:cs="Arial"/>
        </w:rPr>
        <w:tab/>
      </w:r>
      <w:r w:rsidR="000B1EDB">
        <w:rPr>
          <w:rFonts w:ascii="Arial" w:hAnsi="Arial" w:cs="Arial"/>
        </w:rPr>
        <w:t xml:space="preserve">The </w:t>
      </w:r>
      <w:r w:rsidR="004257BC">
        <w:rPr>
          <w:rFonts w:ascii="Arial" w:hAnsi="Arial" w:cs="Arial"/>
        </w:rPr>
        <w:t>plaintiff</w:t>
      </w:r>
      <w:r w:rsidR="00A51BB5">
        <w:rPr>
          <w:rFonts w:ascii="Arial" w:hAnsi="Arial" w:cs="Arial"/>
        </w:rPr>
        <w:t>s</w:t>
      </w:r>
      <w:r w:rsidR="004257BC">
        <w:rPr>
          <w:rFonts w:ascii="Arial" w:hAnsi="Arial" w:cs="Arial"/>
        </w:rPr>
        <w:t xml:space="preserve"> </w:t>
      </w:r>
      <w:r w:rsidR="000B1EDB">
        <w:rPr>
          <w:rFonts w:ascii="Arial" w:hAnsi="Arial" w:cs="Arial"/>
        </w:rPr>
        <w:t xml:space="preserve">elected not to amend the particulars of claim </w:t>
      </w:r>
      <w:r w:rsidR="00855BF4">
        <w:rPr>
          <w:rFonts w:ascii="Arial" w:hAnsi="Arial" w:cs="Arial"/>
        </w:rPr>
        <w:t xml:space="preserve">in order to cater for the complaint of the first defendant </w:t>
      </w:r>
      <w:r w:rsidR="000B1EDB">
        <w:rPr>
          <w:rFonts w:ascii="Arial" w:hAnsi="Arial" w:cs="Arial"/>
        </w:rPr>
        <w:t xml:space="preserve">and opposed the exception. </w:t>
      </w:r>
    </w:p>
    <w:p w14:paraId="1557977A" w14:textId="77777777" w:rsidR="005447CC" w:rsidRDefault="005447CC" w:rsidP="00A973A4">
      <w:pPr>
        <w:spacing w:line="360" w:lineRule="auto"/>
        <w:jc w:val="both"/>
        <w:rPr>
          <w:rFonts w:ascii="Arial" w:hAnsi="Arial" w:cs="Arial"/>
        </w:rPr>
      </w:pPr>
    </w:p>
    <w:p w14:paraId="0B2FE7C5" w14:textId="77777777" w:rsidR="005472EC" w:rsidRDefault="005472EC" w:rsidP="00A973A4">
      <w:pPr>
        <w:spacing w:line="360" w:lineRule="auto"/>
        <w:jc w:val="both"/>
        <w:rPr>
          <w:rFonts w:ascii="Arial" w:hAnsi="Arial" w:cs="Arial"/>
        </w:rPr>
      </w:pPr>
    </w:p>
    <w:p w14:paraId="47DB34AD" w14:textId="77777777" w:rsidR="005472EC" w:rsidRDefault="005472EC" w:rsidP="00A973A4">
      <w:pPr>
        <w:spacing w:line="360" w:lineRule="auto"/>
        <w:jc w:val="both"/>
        <w:rPr>
          <w:rFonts w:ascii="Arial" w:hAnsi="Arial" w:cs="Arial"/>
        </w:rPr>
      </w:pPr>
    </w:p>
    <w:p w14:paraId="3F80AEF5" w14:textId="77777777" w:rsidR="005472EC" w:rsidRDefault="005472EC" w:rsidP="00A973A4">
      <w:pPr>
        <w:spacing w:line="360" w:lineRule="auto"/>
        <w:jc w:val="both"/>
        <w:rPr>
          <w:rFonts w:ascii="Arial" w:hAnsi="Arial" w:cs="Arial"/>
        </w:rPr>
      </w:pPr>
    </w:p>
    <w:p w14:paraId="127E7DA3" w14:textId="13416868" w:rsidR="00A973A4" w:rsidRPr="00B4008E" w:rsidRDefault="00A973A4" w:rsidP="00A973A4">
      <w:pPr>
        <w:spacing w:line="360" w:lineRule="auto"/>
        <w:jc w:val="both"/>
        <w:rPr>
          <w:rFonts w:ascii="Arial" w:hAnsi="Arial" w:cs="Arial"/>
          <w:u w:val="single"/>
        </w:rPr>
      </w:pPr>
      <w:r w:rsidRPr="00B4008E">
        <w:rPr>
          <w:rFonts w:ascii="Arial" w:hAnsi="Arial" w:cs="Arial"/>
          <w:u w:val="single"/>
        </w:rPr>
        <w:t xml:space="preserve">The </w:t>
      </w:r>
      <w:r w:rsidR="00B07866">
        <w:rPr>
          <w:rFonts w:ascii="Arial" w:hAnsi="Arial" w:cs="Arial"/>
          <w:u w:val="single"/>
        </w:rPr>
        <w:t xml:space="preserve">law </w:t>
      </w:r>
    </w:p>
    <w:p w14:paraId="19A69190" w14:textId="77777777" w:rsidR="00A973A4" w:rsidRDefault="00A973A4" w:rsidP="00A973A4">
      <w:pPr>
        <w:spacing w:line="360" w:lineRule="auto"/>
        <w:jc w:val="both"/>
        <w:rPr>
          <w:rFonts w:ascii="Arial" w:hAnsi="Arial" w:cs="Arial"/>
        </w:rPr>
      </w:pPr>
    </w:p>
    <w:p w14:paraId="43CAE538" w14:textId="1B1517DE" w:rsidR="00B56C16" w:rsidRDefault="00A973A4" w:rsidP="00561585">
      <w:pPr>
        <w:spacing w:line="480" w:lineRule="auto"/>
        <w:jc w:val="both"/>
        <w:rPr>
          <w:rFonts w:ascii="Arial" w:hAnsi="Arial" w:cs="Arial"/>
        </w:rPr>
      </w:pPr>
      <w:r>
        <w:rPr>
          <w:rFonts w:ascii="Arial" w:hAnsi="Arial" w:cs="Arial"/>
        </w:rPr>
        <w:t>[</w:t>
      </w:r>
      <w:r w:rsidR="00A51BB5">
        <w:rPr>
          <w:rFonts w:ascii="Arial" w:hAnsi="Arial" w:cs="Arial"/>
        </w:rPr>
        <w:t>12</w:t>
      </w:r>
      <w:r>
        <w:rPr>
          <w:rFonts w:ascii="Arial" w:hAnsi="Arial" w:cs="Arial"/>
        </w:rPr>
        <w:t>]</w:t>
      </w:r>
      <w:r>
        <w:rPr>
          <w:rFonts w:ascii="Arial" w:hAnsi="Arial" w:cs="Arial"/>
        </w:rPr>
        <w:tab/>
      </w:r>
      <w:r w:rsidR="00E63125">
        <w:rPr>
          <w:rFonts w:ascii="Arial" w:hAnsi="Arial" w:cs="Arial"/>
        </w:rPr>
        <w:t xml:space="preserve">The </w:t>
      </w:r>
      <w:r w:rsidR="00E63125" w:rsidRPr="005447CC">
        <w:rPr>
          <w:rFonts w:ascii="Arial" w:hAnsi="Arial" w:cs="Arial"/>
        </w:rPr>
        <w:t>first</w:t>
      </w:r>
      <w:r w:rsidR="00E63125">
        <w:rPr>
          <w:rFonts w:ascii="Arial" w:hAnsi="Arial" w:cs="Arial"/>
        </w:rPr>
        <w:t xml:space="preserve"> defendant</w:t>
      </w:r>
      <w:r w:rsidR="00503A8F">
        <w:rPr>
          <w:rFonts w:ascii="Arial" w:hAnsi="Arial" w:cs="Arial"/>
        </w:rPr>
        <w:t xml:space="preserve"> raised an exception empowered by </w:t>
      </w:r>
      <w:r w:rsidR="00B56C16">
        <w:rPr>
          <w:rFonts w:ascii="Arial" w:hAnsi="Arial" w:cs="Arial"/>
        </w:rPr>
        <w:t xml:space="preserve">rule 57(1) which provides that: </w:t>
      </w:r>
    </w:p>
    <w:p w14:paraId="7ABCDFF7" w14:textId="1FCACD4D" w:rsidR="00B56C16" w:rsidRPr="00DA0D31" w:rsidRDefault="00B56C16" w:rsidP="00561585">
      <w:pPr>
        <w:spacing w:line="480" w:lineRule="auto"/>
        <w:jc w:val="both"/>
        <w:rPr>
          <w:rFonts w:ascii="Arial" w:hAnsi="Arial" w:cs="Arial"/>
          <w:sz w:val="22"/>
          <w:szCs w:val="22"/>
        </w:rPr>
      </w:pPr>
      <w:r>
        <w:rPr>
          <w:rFonts w:ascii="Arial" w:hAnsi="Arial" w:cs="Arial"/>
        </w:rPr>
        <w:tab/>
      </w:r>
      <w:r w:rsidRPr="00DA0D31">
        <w:rPr>
          <w:rFonts w:ascii="Arial" w:hAnsi="Arial" w:cs="Arial"/>
          <w:sz w:val="22"/>
          <w:szCs w:val="22"/>
        </w:rPr>
        <w:t>‘Where a pleading is vague and embarrassing or lacks averments</w:t>
      </w:r>
      <w:r w:rsidR="00E95295" w:rsidRPr="00DA0D31">
        <w:rPr>
          <w:rFonts w:ascii="Arial" w:hAnsi="Arial" w:cs="Arial"/>
          <w:sz w:val="22"/>
          <w:szCs w:val="22"/>
        </w:rPr>
        <w:t xml:space="preserve"> </w:t>
      </w:r>
      <w:r w:rsidRPr="00DA0D31">
        <w:rPr>
          <w:rFonts w:ascii="Arial" w:hAnsi="Arial" w:cs="Arial"/>
          <w:sz w:val="22"/>
          <w:szCs w:val="22"/>
        </w:rPr>
        <w:t xml:space="preserve">which are necessary to sustain an action or a defence, the opposing party may deliver an exception thereto within the period allowed for the purpose in the case plan order or in the absence of provision for such period, within such time </w:t>
      </w:r>
      <w:r w:rsidR="00CD3FE9" w:rsidRPr="00DA0D31">
        <w:rPr>
          <w:rFonts w:ascii="Arial" w:hAnsi="Arial" w:cs="Arial"/>
          <w:sz w:val="22"/>
          <w:szCs w:val="22"/>
        </w:rPr>
        <w:t>as directed by the managing judge or the court for such purpose on directions in terms of rule 32(4) being sought by the party wishing to except.’</w:t>
      </w:r>
    </w:p>
    <w:p w14:paraId="76D7DF27" w14:textId="77777777" w:rsidR="00435DD1" w:rsidRDefault="00435DD1" w:rsidP="00CF4E25">
      <w:pPr>
        <w:tabs>
          <w:tab w:val="left" w:pos="720"/>
        </w:tabs>
        <w:spacing w:line="360" w:lineRule="auto"/>
        <w:jc w:val="both"/>
        <w:rPr>
          <w:rFonts w:ascii="Arial" w:hAnsi="Arial" w:cs="Arial"/>
          <w:lang w:val="en-ZA"/>
        </w:rPr>
      </w:pPr>
    </w:p>
    <w:p w14:paraId="63CE245C" w14:textId="2A9503B8" w:rsidR="00390DDE" w:rsidRPr="00CF4E25" w:rsidRDefault="00561585" w:rsidP="00CF4E25">
      <w:pPr>
        <w:tabs>
          <w:tab w:val="left" w:pos="720"/>
        </w:tabs>
        <w:spacing w:line="360" w:lineRule="auto"/>
        <w:jc w:val="both"/>
        <w:rPr>
          <w:rFonts w:ascii="Arial" w:hAnsi="Arial" w:cs="Arial"/>
        </w:rPr>
      </w:pPr>
      <w:r w:rsidRPr="00CF4E25">
        <w:rPr>
          <w:rFonts w:ascii="Arial" w:hAnsi="Arial" w:cs="Arial"/>
          <w:lang w:val="en-ZA"/>
        </w:rPr>
        <w:t>[</w:t>
      </w:r>
      <w:r w:rsidR="00435DD1">
        <w:rPr>
          <w:rFonts w:ascii="Arial" w:hAnsi="Arial" w:cs="Arial"/>
          <w:lang w:val="en-ZA"/>
        </w:rPr>
        <w:t>13</w:t>
      </w:r>
      <w:r w:rsidRPr="00CF4E25">
        <w:rPr>
          <w:rFonts w:ascii="Arial" w:hAnsi="Arial" w:cs="Arial"/>
          <w:lang w:val="en-ZA"/>
        </w:rPr>
        <w:t>]</w:t>
      </w:r>
      <w:r w:rsidRPr="00CF4E25">
        <w:rPr>
          <w:rFonts w:ascii="Arial" w:hAnsi="Arial" w:cs="Arial"/>
          <w:lang w:val="en-ZA"/>
        </w:rPr>
        <w:tab/>
      </w:r>
      <w:r w:rsidR="00BA0B7B">
        <w:rPr>
          <w:rFonts w:ascii="Arial" w:hAnsi="Arial" w:cs="Arial"/>
          <w:lang w:val="en-ZA"/>
        </w:rPr>
        <w:t>T</w:t>
      </w:r>
      <w:r w:rsidR="00390DDE" w:rsidRPr="00CF4E25">
        <w:rPr>
          <w:rFonts w:ascii="Arial" w:hAnsi="Arial" w:cs="Arial"/>
          <w:lang w:val="en-ZA"/>
        </w:rPr>
        <w:t>he Cape High</w:t>
      </w:r>
      <w:r w:rsidR="00390DDE" w:rsidRPr="00CF4E25">
        <w:rPr>
          <w:rFonts w:ascii="Arial" w:hAnsi="Arial" w:cs="Arial"/>
        </w:rPr>
        <w:t xml:space="preserve"> Court </w:t>
      </w:r>
      <w:r w:rsidR="00BA0B7B">
        <w:rPr>
          <w:rFonts w:ascii="Arial" w:hAnsi="Arial" w:cs="Arial"/>
        </w:rPr>
        <w:t>in</w:t>
      </w:r>
      <w:r w:rsidR="00390DDE" w:rsidRPr="00CF4E25">
        <w:rPr>
          <w:rFonts w:ascii="Arial" w:hAnsi="Arial" w:cs="Arial"/>
        </w:rPr>
        <w:t xml:space="preserve"> </w:t>
      </w:r>
      <w:r w:rsidR="00390DDE" w:rsidRPr="00CF4E25">
        <w:rPr>
          <w:rFonts w:ascii="Arial" w:hAnsi="Arial" w:cs="Arial"/>
          <w:i/>
        </w:rPr>
        <w:t>Colonial Industries Ltd v Provincial Insurance Co Ltd</w:t>
      </w:r>
      <w:r w:rsidR="00390DDE" w:rsidRPr="00CF4E25">
        <w:rPr>
          <w:rFonts w:ascii="Arial" w:hAnsi="Arial" w:cs="Arial"/>
          <w:vertAlign w:val="superscript"/>
        </w:rPr>
        <w:footnoteReference w:id="1"/>
      </w:r>
      <w:r w:rsidR="00390DDE" w:rsidRPr="00CF4E25">
        <w:rPr>
          <w:rFonts w:ascii="Arial" w:hAnsi="Arial" w:cs="Arial"/>
        </w:rPr>
        <w:t xml:space="preserve"> </w:t>
      </w:r>
      <w:r w:rsidR="00BA0B7B">
        <w:rPr>
          <w:rFonts w:ascii="Arial" w:hAnsi="Arial" w:cs="Arial"/>
        </w:rPr>
        <w:t xml:space="preserve">stated the following regarding </w:t>
      </w:r>
      <w:r w:rsidR="00390DDE" w:rsidRPr="00CF4E25">
        <w:rPr>
          <w:rFonts w:ascii="Arial" w:hAnsi="Arial" w:cs="Arial"/>
        </w:rPr>
        <w:t>the approach to exceptions</w:t>
      </w:r>
      <w:r w:rsidR="00E74AF2">
        <w:rPr>
          <w:rFonts w:ascii="Arial" w:hAnsi="Arial" w:cs="Arial"/>
        </w:rPr>
        <w:t xml:space="preserve">: </w:t>
      </w:r>
      <w:r w:rsidR="00390DDE" w:rsidRPr="00CF4E25">
        <w:rPr>
          <w:rFonts w:ascii="Arial" w:hAnsi="Arial" w:cs="Arial"/>
        </w:rPr>
        <w:t xml:space="preserve">  </w:t>
      </w:r>
    </w:p>
    <w:p w14:paraId="7655BF6D" w14:textId="77777777" w:rsidR="00390DDE" w:rsidRPr="00CF4E25" w:rsidRDefault="00390DDE" w:rsidP="00CF4E25">
      <w:pPr>
        <w:spacing w:line="360" w:lineRule="auto"/>
        <w:jc w:val="both"/>
        <w:rPr>
          <w:rFonts w:ascii="Arial" w:hAnsi="Arial" w:cs="Arial"/>
        </w:rPr>
      </w:pPr>
    </w:p>
    <w:p w14:paraId="529DA8EA" w14:textId="17E336C1" w:rsidR="00390DDE" w:rsidRPr="00060723" w:rsidRDefault="00390DDE" w:rsidP="00CF4E25">
      <w:pPr>
        <w:spacing w:line="360" w:lineRule="auto"/>
        <w:ind w:firstLine="720"/>
        <w:jc w:val="both"/>
        <w:rPr>
          <w:rFonts w:ascii="Arial" w:hAnsi="Arial" w:cs="Arial"/>
          <w:iCs/>
          <w:sz w:val="22"/>
          <w:szCs w:val="22"/>
        </w:rPr>
      </w:pPr>
      <w:r w:rsidRPr="00060723">
        <w:rPr>
          <w:rFonts w:ascii="Arial" w:hAnsi="Arial" w:cs="Arial"/>
          <w:sz w:val="22"/>
          <w:szCs w:val="22"/>
        </w:rPr>
        <w:t>‘Now the form of pleading known as an exception is a valuable part of our system of procedure if legitimately employed: its principal use is to raise and obtain a speedy and economical decision of questions of law which are apparent on the face of the pleadings: it also serves as a means of taking objection to pleadings which are not sufficiently detailed or otherwise lack lucidity and are thus embarrassing. Under the name of ''demurrer'' it grew under the old English practice into a most pernicious evil: the Courts of Law abnegating their functions as Courts of Justice directly countenanced and encouraged the ingenuity of counsel in drafting fine “demurrers” which ignored the rights on which they were called to adjudicate.</w:t>
      </w:r>
      <w:r w:rsidRPr="00060723">
        <w:rPr>
          <w:rFonts w:ascii="Arial" w:hAnsi="Arial" w:cs="Arial"/>
          <w:i/>
          <w:sz w:val="22"/>
          <w:szCs w:val="22"/>
        </w:rPr>
        <w:t xml:space="preserve"> </w:t>
      </w:r>
      <w:r w:rsidRPr="00060723">
        <w:rPr>
          <w:rFonts w:ascii="Arial" w:hAnsi="Arial" w:cs="Arial"/>
          <w:iCs/>
          <w:sz w:val="22"/>
          <w:szCs w:val="22"/>
        </w:rPr>
        <w:t>I think that the possibility of such abuse of legal proceedings should be jealously watched and that save in the instance where an exception is taken for the purpose of raising a substantive question of law which may have the effect of settling the dispute between the parties, an excipient should make out a very clear, strong case before h</w:t>
      </w:r>
      <w:r w:rsidR="00AC04BD">
        <w:rPr>
          <w:rFonts w:ascii="Arial" w:hAnsi="Arial" w:cs="Arial"/>
          <w:iCs/>
          <w:sz w:val="22"/>
          <w:szCs w:val="22"/>
        </w:rPr>
        <w:t>e should be allowed to succeed.’</w:t>
      </w:r>
      <w:r w:rsidRPr="00060723">
        <w:rPr>
          <w:rFonts w:ascii="Arial" w:hAnsi="Arial" w:cs="Arial"/>
          <w:iCs/>
          <w:sz w:val="22"/>
          <w:szCs w:val="22"/>
          <w:vertAlign w:val="superscript"/>
        </w:rPr>
        <w:footnoteReference w:id="2"/>
      </w:r>
      <w:r w:rsidRPr="00060723">
        <w:rPr>
          <w:rFonts w:ascii="Arial" w:hAnsi="Arial" w:cs="Arial"/>
          <w:iCs/>
          <w:sz w:val="22"/>
          <w:szCs w:val="22"/>
        </w:rPr>
        <w:t xml:space="preserve"> </w:t>
      </w:r>
    </w:p>
    <w:p w14:paraId="2574B5EC" w14:textId="0565FDA4" w:rsidR="00390DDE" w:rsidRPr="00CF4E25" w:rsidRDefault="00390DDE" w:rsidP="00CF4E25">
      <w:pPr>
        <w:spacing w:line="360" w:lineRule="auto"/>
        <w:jc w:val="both"/>
        <w:rPr>
          <w:rFonts w:ascii="Arial" w:hAnsi="Arial" w:cs="Arial"/>
          <w:lang w:val="en-ZA"/>
        </w:rPr>
      </w:pPr>
    </w:p>
    <w:p w14:paraId="1092C428" w14:textId="2A9F251B" w:rsidR="008C756C" w:rsidRDefault="009B53A9" w:rsidP="00CF4E25">
      <w:pPr>
        <w:spacing w:line="360" w:lineRule="auto"/>
        <w:jc w:val="both"/>
        <w:rPr>
          <w:rFonts w:ascii="Arial" w:hAnsi="Arial" w:cs="Arial"/>
        </w:rPr>
      </w:pPr>
      <w:r>
        <w:rPr>
          <w:rFonts w:ascii="Arial" w:hAnsi="Arial" w:cs="Arial"/>
        </w:rPr>
        <w:t>[</w:t>
      </w:r>
      <w:r w:rsidR="00DC15D3">
        <w:rPr>
          <w:rFonts w:ascii="Arial" w:hAnsi="Arial" w:cs="Arial"/>
        </w:rPr>
        <w:t>14</w:t>
      </w:r>
      <w:r>
        <w:rPr>
          <w:rFonts w:ascii="Arial" w:hAnsi="Arial" w:cs="Arial"/>
        </w:rPr>
        <w:t>]</w:t>
      </w:r>
      <w:r>
        <w:rPr>
          <w:rFonts w:ascii="Arial" w:hAnsi="Arial" w:cs="Arial"/>
        </w:rPr>
        <w:tab/>
      </w:r>
      <w:r w:rsidR="008C756C">
        <w:rPr>
          <w:rFonts w:ascii="Arial" w:hAnsi="Arial" w:cs="Arial"/>
        </w:rPr>
        <w:t xml:space="preserve">It is well established that the purpose of the pleadings is to define the issues in order to enable the other party to know the case it has to meet. Notwithstanding, courts still retain a central role in adjudicating the real issues </w:t>
      </w:r>
      <w:r w:rsidR="00B04CBB">
        <w:rPr>
          <w:rFonts w:ascii="Arial" w:hAnsi="Arial" w:cs="Arial"/>
        </w:rPr>
        <w:t xml:space="preserve">between the parties </w:t>
      </w:r>
      <w:r w:rsidR="008C756C">
        <w:rPr>
          <w:rFonts w:ascii="Arial" w:hAnsi="Arial" w:cs="Arial"/>
        </w:rPr>
        <w:t>raised in the pleadings</w:t>
      </w:r>
      <w:r w:rsidR="00342F76" w:rsidRPr="00342F76">
        <w:rPr>
          <w:rFonts w:ascii="Arial" w:hAnsi="Arial" w:cs="Arial"/>
          <w:color w:val="FF0000"/>
        </w:rPr>
        <w:t>,</w:t>
      </w:r>
      <w:r w:rsidR="008C756C" w:rsidRPr="00342F76">
        <w:rPr>
          <w:rFonts w:ascii="Arial" w:hAnsi="Arial" w:cs="Arial"/>
          <w:color w:val="FF0000"/>
        </w:rPr>
        <w:t xml:space="preserve"> </w:t>
      </w:r>
      <w:r w:rsidR="008C756C">
        <w:rPr>
          <w:rFonts w:ascii="Arial" w:hAnsi="Arial" w:cs="Arial"/>
        </w:rPr>
        <w:t>in keeping with the principle that pleadings are made for the court and not the court for the pleadings.</w:t>
      </w:r>
      <w:r w:rsidR="00B04CBB">
        <w:rPr>
          <w:rStyle w:val="FootnoteReference"/>
          <w:rFonts w:ascii="Arial" w:hAnsi="Arial" w:cs="Arial"/>
        </w:rPr>
        <w:footnoteReference w:id="3"/>
      </w:r>
      <w:r w:rsidR="008C756C">
        <w:rPr>
          <w:rFonts w:ascii="Arial" w:hAnsi="Arial" w:cs="Arial"/>
        </w:rPr>
        <w:t xml:space="preserve"> </w:t>
      </w:r>
    </w:p>
    <w:p w14:paraId="5BA32683" w14:textId="1D09641B" w:rsidR="00871A2A" w:rsidRDefault="00871A2A" w:rsidP="00CF4E25">
      <w:pPr>
        <w:spacing w:line="360" w:lineRule="auto"/>
        <w:jc w:val="both"/>
        <w:rPr>
          <w:rFonts w:ascii="Arial" w:hAnsi="Arial" w:cs="Arial"/>
        </w:rPr>
      </w:pPr>
    </w:p>
    <w:p w14:paraId="0C522499" w14:textId="38D22FAB" w:rsidR="00871A2A" w:rsidRDefault="00871A2A" w:rsidP="00CF4E25">
      <w:pPr>
        <w:spacing w:line="360" w:lineRule="auto"/>
        <w:jc w:val="both"/>
        <w:rPr>
          <w:rFonts w:ascii="Arial" w:hAnsi="Arial" w:cs="Arial"/>
        </w:rPr>
      </w:pPr>
      <w:r>
        <w:rPr>
          <w:rFonts w:ascii="Arial" w:hAnsi="Arial" w:cs="Arial"/>
        </w:rPr>
        <w:t>[</w:t>
      </w:r>
      <w:r w:rsidR="00DC15D3">
        <w:rPr>
          <w:rFonts w:ascii="Arial" w:hAnsi="Arial" w:cs="Arial"/>
        </w:rPr>
        <w:t>15</w:t>
      </w:r>
      <w:r>
        <w:rPr>
          <w:rFonts w:ascii="Arial" w:hAnsi="Arial" w:cs="Arial"/>
        </w:rPr>
        <w:t>]</w:t>
      </w:r>
      <w:r>
        <w:rPr>
          <w:rFonts w:ascii="Arial" w:hAnsi="Arial" w:cs="Arial"/>
        </w:rPr>
        <w:tab/>
        <w:t xml:space="preserve">A person is required to plead to the material facts and this requirement has developed the often-cited distinction for remembrance </w:t>
      </w:r>
      <w:r w:rsidR="00DC15D3">
        <w:rPr>
          <w:rFonts w:ascii="Arial" w:hAnsi="Arial" w:cs="Arial"/>
        </w:rPr>
        <w:t xml:space="preserve">at all times </w:t>
      </w:r>
      <w:r>
        <w:rPr>
          <w:rFonts w:ascii="Arial" w:hAnsi="Arial" w:cs="Arial"/>
        </w:rPr>
        <w:t xml:space="preserve">between </w:t>
      </w:r>
      <w:r w:rsidRPr="00871A2A">
        <w:rPr>
          <w:rFonts w:ascii="Arial" w:hAnsi="Arial" w:cs="Arial"/>
          <w:i/>
          <w:iCs/>
        </w:rPr>
        <w:t>facta probanda</w:t>
      </w:r>
      <w:r>
        <w:rPr>
          <w:rFonts w:ascii="Arial" w:hAnsi="Arial" w:cs="Arial"/>
        </w:rPr>
        <w:t xml:space="preserve"> (the facts that had to be proved) and the </w:t>
      </w:r>
      <w:r w:rsidRPr="00871A2A">
        <w:rPr>
          <w:rFonts w:ascii="Arial" w:hAnsi="Arial" w:cs="Arial"/>
          <w:i/>
          <w:iCs/>
        </w:rPr>
        <w:t>facta probantia</w:t>
      </w:r>
      <w:r>
        <w:rPr>
          <w:rFonts w:ascii="Arial" w:hAnsi="Arial" w:cs="Arial"/>
        </w:rPr>
        <w:t xml:space="preserve"> (the facts that would prove those facts</w:t>
      </w:r>
      <w:r w:rsidR="00DC15D3">
        <w:rPr>
          <w:rFonts w:ascii="Arial" w:hAnsi="Arial" w:cs="Arial"/>
        </w:rPr>
        <w:t>)</w:t>
      </w:r>
      <w:r>
        <w:rPr>
          <w:rFonts w:ascii="Arial" w:hAnsi="Arial" w:cs="Arial"/>
        </w:rPr>
        <w:t xml:space="preserve">. </w:t>
      </w:r>
    </w:p>
    <w:p w14:paraId="5241E03E" w14:textId="77777777" w:rsidR="008C756C" w:rsidRDefault="008C756C" w:rsidP="00CF4E25">
      <w:pPr>
        <w:spacing w:line="360" w:lineRule="auto"/>
        <w:jc w:val="both"/>
        <w:rPr>
          <w:rFonts w:ascii="Arial" w:hAnsi="Arial" w:cs="Arial"/>
        </w:rPr>
      </w:pPr>
    </w:p>
    <w:p w14:paraId="3C7C45F8" w14:textId="5CA7820F" w:rsidR="00390DDE" w:rsidRDefault="008C756C" w:rsidP="00CF4E25">
      <w:pPr>
        <w:spacing w:line="360" w:lineRule="auto"/>
        <w:jc w:val="both"/>
        <w:rPr>
          <w:rFonts w:ascii="Arial" w:hAnsi="Arial" w:cs="Arial"/>
        </w:rPr>
      </w:pPr>
      <w:r>
        <w:rPr>
          <w:rFonts w:ascii="Arial" w:hAnsi="Arial" w:cs="Arial"/>
        </w:rPr>
        <w:t>[</w:t>
      </w:r>
      <w:r w:rsidR="00DC15D3">
        <w:rPr>
          <w:rFonts w:ascii="Arial" w:hAnsi="Arial" w:cs="Arial"/>
        </w:rPr>
        <w:t>16</w:t>
      </w:r>
      <w:r>
        <w:rPr>
          <w:rFonts w:ascii="Arial" w:hAnsi="Arial" w:cs="Arial"/>
        </w:rPr>
        <w:t>]</w:t>
      </w:r>
      <w:r>
        <w:rPr>
          <w:rFonts w:ascii="Arial" w:hAnsi="Arial" w:cs="Arial"/>
        </w:rPr>
        <w:tab/>
      </w:r>
      <w:r w:rsidR="00E6533B">
        <w:rPr>
          <w:rFonts w:ascii="Arial" w:hAnsi="Arial" w:cs="Arial"/>
        </w:rPr>
        <w:t xml:space="preserve">The parties are </w:t>
      </w:r>
      <w:r w:rsidR="00E6533B" w:rsidRPr="00467D3E">
        <w:rPr>
          <w:rFonts w:ascii="Arial" w:hAnsi="Arial" w:cs="Arial"/>
          <w:i/>
          <w:iCs/>
        </w:rPr>
        <w:t>ad idem</w:t>
      </w:r>
      <w:r w:rsidR="00E6533B">
        <w:rPr>
          <w:rFonts w:ascii="Arial" w:hAnsi="Arial" w:cs="Arial"/>
        </w:rPr>
        <w:t xml:space="preserve"> on the legal position </w:t>
      </w:r>
      <w:r w:rsidR="00D0098F">
        <w:rPr>
          <w:rFonts w:ascii="Arial" w:hAnsi="Arial" w:cs="Arial"/>
        </w:rPr>
        <w:t xml:space="preserve">applicable to </w:t>
      </w:r>
      <w:r w:rsidR="00E6533B">
        <w:rPr>
          <w:rFonts w:ascii="Arial" w:hAnsi="Arial" w:cs="Arial"/>
        </w:rPr>
        <w:t xml:space="preserve">exceptions. </w:t>
      </w:r>
      <w:r w:rsidR="00390DDE" w:rsidRPr="00CF4E25">
        <w:rPr>
          <w:rFonts w:ascii="Arial" w:hAnsi="Arial" w:cs="Arial"/>
        </w:rPr>
        <w:t xml:space="preserve">The </w:t>
      </w:r>
      <w:r w:rsidR="00A32599">
        <w:rPr>
          <w:rFonts w:ascii="Arial" w:hAnsi="Arial" w:cs="Arial"/>
        </w:rPr>
        <w:t xml:space="preserve">excipient bears the </w:t>
      </w:r>
      <w:r w:rsidR="00390DDE" w:rsidRPr="00CF4E25">
        <w:rPr>
          <w:rFonts w:ascii="Arial" w:hAnsi="Arial" w:cs="Arial"/>
          <w:i/>
        </w:rPr>
        <w:t>onus</w:t>
      </w:r>
      <w:r w:rsidR="00390DDE" w:rsidRPr="00CF4E25">
        <w:rPr>
          <w:rFonts w:ascii="Arial" w:hAnsi="Arial" w:cs="Arial"/>
        </w:rPr>
        <w:t xml:space="preserve"> of </w:t>
      </w:r>
      <w:r w:rsidR="00E6533B">
        <w:rPr>
          <w:rFonts w:ascii="Arial" w:hAnsi="Arial" w:cs="Arial"/>
        </w:rPr>
        <w:t xml:space="preserve">persuading the court that the </w:t>
      </w:r>
      <w:r w:rsidR="00390DDE" w:rsidRPr="00CF4E25">
        <w:rPr>
          <w:rFonts w:ascii="Arial" w:hAnsi="Arial" w:cs="Arial"/>
        </w:rPr>
        <w:t>pleading is exc</w:t>
      </w:r>
      <w:r w:rsidR="00C635A2">
        <w:rPr>
          <w:rFonts w:ascii="Arial" w:hAnsi="Arial" w:cs="Arial"/>
        </w:rPr>
        <w:t>i</w:t>
      </w:r>
      <w:r w:rsidR="00390DDE" w:rsidRPr="00CF4E25">
        <w:rPr>
          <w:rFonts w:ascii="Arial" w:hAnsi="Arial" w:cs="Arial"/>
        </w:rPr>
        <w:t>piable</w:t>
      </w:r>
      <w:r w:rsidR="00A32599">
        <w:rPr>
          <w:rFonts w:ascii="Arial" w:hAnsi="Arial" w:cs="Arial"/>
        </w:rPr>
        <w:t>.</w:t>
      </w:r>
      <w:r w:rsidR="00390DDE" w:rsidRPr="00CF4E25">
        <w:rPr>
          <w:rFonts w:ascii="Arial" w:hAnsi="Arial" w:cs="Arial"/>
          <w:vertAlign w:val="superscript"/>
        </w:rPr>
        <w:footnoteReference w:id="4"/>
      </w:r>
      <w:r w:rsidR="00390DDE" w:rsidRPr="00CF4E25">
        <w:rPr>
          <w:rFonts w:ascii="Arial" w:hAnsi="Arial" w:cs="Arial"/>
        </w:rPr>
        <w:t xml:space="preserve"> </w:t>
      </w:r>
      <w:r w:rsidR="00E6533B">
        <w:rPr>
          <w:rFonts w:ascii="Arial" w:hAnsi="Arial" w:cs="Arial"/>
        </w:rPr>
        <w:t xml:space="preserve">The question to be asked is whether upon every interpretation which the particulars </w:t>
      </w:r>
      <w:r w:rsidR="00D0098F">
        <w:rPr>
          <w:rFonts w:ascii="Arial" w:hAnsi="Arial" w:cs="Arial"/>
        </w:rPr>
        <w:t xml:space="preserve">of claim </w:t>
      </w:r>
      <w:r w:rsidR="00342F76">
        <w:rPr>
          <w:rFonts w:ascii="Arial" w:hAnsi="Arial" w:cs="Arial"/>
        </w:rPr>
        <w:t>can reasonabl</w:t>
      </w:r>
      <w:r w:rsidR="00342F76" w:rsidRPr="005447CC">
        <w:rPr>
          <w:rFonts w:ascii="Arial" w:hAnsi="Arial" w:cs="Arial"/>
        </w:rPr>
        <w:t>y</w:t>
      </w:r>
      <w:r w:rsidR="00E6533B">
        <w:rPr>
          <w:rFonts w:ascii="Arial" w:hAnsi="Arial" w:cs="Arial"/>
        </w:rPr>
        <w:t xml:space="preserve"> be subjected to, it can be said that no cause of action is disclosed.</w:t>
      </w:r>
      <w:r w:rsidR="00D0098F">
        <w:rPr>
          <w:rFonts w:ascii="Arial" w:hAnsi="Arial" w:cs="Arial"/>
        </w:rPr>
        <w:t xml:space="preserve"> </w:t>
      </w:r>
      <w:r w:rsidR="00D0098F" w:rsidRPr="005447CC">
        <w:rPr>
          <w:rFonts w:ascii="Arial" w:hAnsi="Arial" w:cs="Arial"/>
        </w:rPr>
        <w:t>This</w:t>
      </w:r>
      <w:r w:rsidR="00342F76" w:rsidRPr="005447CC">
        <w:rPr>
          <w:rFonts w:ascii="Arial" w:hAnsi="Arial" w:cs="Arial"/>
        </w:rPr>
        <w:t xml:space="preserve"> is so</w:t>
      </w:r>
      <w:r w:rsidR="00D0098F" w:rsidRPr="005447CC">
        <w:rPr>
          <w:rFonts w:ascii="Arial" w:hAnsi="Arial" w:cs="Arial"/>
        </w:rPr>
        <w:t xml:space="preserve"> </w:t>
      </w:r>
      <w:r w:rsidR="00D0098F">
        <w:rPr>
          <w:rFonts w:ascii="Arial" w:hAnsi="Arial" w:cs="Arial"/>
        </w:rPr>
        <w:t>bearing in mind that the court takes the averments in the particulars of claim as correct.</w:t>
      </w:r>
      <w:r w:rsidR="00463E77">
        <w:rPr>
          <w:rStyle w:val="FootnoteReference"/>
          <w:rFonts w:ascii="Arial" w:hAnsi="Arial" w:cs="Arial"/>
        </w:rPr>
        <w:footnoteReference w:id="5"/>
      </w:r>
      <w:r w:rsidR="00D0098F">
        <w:rPr>
          <w:rFonts w:ascii="Arial" w:hAnsi="Arial" w:cs="Arial"/>
        </w:rPr>
        <w:t xml:space="preserve"> </w:t>
      </w:r>
      <w:r w:rsidR="00E6533B">
        <w:rPr>
          <w:rFonts w:ascii="Arial" w:hAnsi="Arial" w:cs="Arial"/>
        </w:rPr>
        <w:t xml:space="preserve"> </w:t>
      </w:r>
    </w:p>
    <w:p w14:paraId="57CF20C2" w14:textId="77777777" w:rsidR="00435DD1" w:rsidRPr="00B32C53" w:rsidRDefault="00435DD1" w:rsidP="00B32C53">
      <w:pPr>
        <w:spacing w:line="360" w:lineRule="auto"/>
        <w:jc w:val="both"/>
        <w:rPr>
          <w:rFonts w:ascii="Arial" w:hAnsi="Arial" w:cs="Arial"/>
        </w:rPr>
      </w:pPr>
    </w:p>
    <w:p w14:paraId="29B95BD7" w14:textId="551AF1CE" w:rsidR="00CC3FA7" w:rsidRDefault="00E16EDE" w:rsidP="00E16EDE">
      <w:pPr>
        <w:pStyle w:val="Default"/>
        <w:spacing w:line="360" w:lineRule="auto"/>
        <w:jc w:val="both"/>
      </w:pPr>
      <w:r>
        <w:t>[</w:t>
      </w:r>
      <w:r w:rsidR="00C57CDF">
        <w:t>17</w:t>
      </w:r>
      <w:r>
        <w:t>]</w:t>
      </w:r>
      <w:r>
        <w:tab/>
        <w:t>Plaintiff</w:t>
      </w:r>
      <w:r w:rsidR="00CC3FA7">
        <w:t xml:space="preserve">s make, </w:t>
      </w:r>
      <w:r w:rsidR="00CC3FA7" w:rsidRPr="00CC3FA7">
        <w:rPr>
          <w:i/>
          <w:iCs/>
        </w:rPr>
        <w:t>inter alia</w:t>
      </w:r>
      <w:r w:rsidR="00CC3FA7">
        <w:t xml:space="preserve">, the following averments in the particulars of claim: </w:t>
      </w:r>
    </w:p>
    <w:p w14:paraId="2A663A3E" w14:textId="77777777" w:rsidR="00CC3FA7" w:rsidRDefault="00CC3FA7" w:rsidP="00E16EDE">
      <w:pPr>
        <w:pStyle w:val="Default"/>
        <w:spacing w:line="360" w:lineRule="auto"/>
        <w:jc w:val="both"/>
      </w:pPr>
    </w:p>
    <w:p w14:paraId="53FCEA8F" w14:textId="2CC29CFA" w:rsidR="00C41C48" w:rsidRPr="005F5D7F" w:rsidRDefault="00E16EDE" w:rsidP="00E16EDE">
      <w:pPr>
        <w:pStyle w:val="Default"/>
        <w:spacing w:line="360" w:lineRule="auto"/>
        <w:jc w:val="both"/>
        <w:rPr>
          <w:sz w:val="22"/>
          <w:szCs w:val="22"/>
        </w:rPr>
      </w:pPr>
      <w:r>
        <w:t xml:space="preserve"> </w:t>
      </w:r>
      <w:r w:rsidR="00C41C48">
        <w:tab/>
      </w:r>
      <w:r w:rsidR="00C41C48" w:rsidRPr="005F5D7F">
        <w:rPr>
          <w:sz w:val="22"/>
          <w:szCs w:val="22"/>
        </w:rPr>
        <w:t>’10. The following constituted the express, alternatively the implied, in the further alternative the tacit terms of the sale agreement so concluded between the parties:</w:t>
      </w:r>
      <w:r w:rsidR="00DB4141" w:rsidRPr="005F5D7F">
        <w:rPr>
          <w:sz w:val="22"/>
          <w:szCs w:val="22"/>
        </w:rPr>
        <w:t xml:space="preserve"> …</w:t>
      </w:r>
    </w:p>
    <w:p w14:paraId="410CF8C3" w14:textId="7DB2BC7B" w:rsidR="00DB4141" w:rsidRPr="005F5D7F" w:rsidRDefault="00DB4141" w:rsidP="00E16EDE">
      <w:pPr>
        <w:pStyle w:val="Default"/>
        <w:spacing w:line="360" w:lineRule="auto"/>
        <w:jc w:val="both"/>
        <w:rPr>
          <w:sz w:val="22"/>
          <w:szCs w:val="22"/>
        </w:rPr>
      </w:pPr>
    </w:p>
    <w:p w14:paraId="4CF5B6B1" w14:textId="22284A6A" w:rsidR="00DB4141" w:rsidRPr="005F5D7F" w:rsidRDefault="00DB4141" w:rsidP="00E16EDE">
      <w:pPr>
        <w:pStyle w:val="Default"/>
        <w:spacing w:line="360" w:lineRule="auto"/>
        <w:jc w:val="both"/>
        <w:rPr>
          <w:sz w:val="22"/>
          <w:szCs w:val="22"/>
        </w:rPr>
      </w:pPr>
      <w:r w:rsidRPr="005F5D7F">
        <w:rPr>
          <w:sz w:val="22"/>
          <w:szCs w:val="22"/>
        </w:rPr>
        <w:t>10.2</w:t>
      </w:r>
      <w:r w:rsidRPr="005F5D7F">
        <w:rPr>
          <w:sz w:val="22"/>
          <w:szCs w:val="22"/>
        </w:rPr>
        <w:tab/>
        <w:t>The property was sold through the second and/or third defendants, acting as the duly appointed auctioneers/estate agents/ for and on behalf of the plaintiffs;</w:t>
      </w:r>
    </w:p>
    <w:p w14:paraId="7EBB9940" w14:textId="77777777" w:rsidR="00DB4141" w:rsidRPr="005F5D7F" w:rsidRDefault="00DB4141" w:rsidP="00E16EDE">
      <w:pPr>
        <w:pStyle w:val="Default"/>
        <w:spacing w:line="360" w:lineRule="auto"/>
        <w:jc w:val="both"/>
        <w:rPr>
          <w:sz w:val="22"/>
          <w:szCs w:val="22"/>
        </w:rPr>
      </w:pPr>
    </w:p>
    <w:p w14:paraId="68593040" w14:textId="1D8607F9" w:rsidR="00DB4141" w:rsidRDefault="00DB4141" w:rsidP="00E16EDE">
      <w:pPr>
        <w:pStyle w:val="Default"/>
        <w:spacing w:line="360" w:lineRule="auto"/>
        <w:jc w:val="both"/>
        <w:rPr>
          <w:sz w:val="22"/>
          <w:szCs w:val="22"/>
        </w:rPr>
      </w:pPr>
      <w:r w:rsidRPr="005F5D7F">
        <w:rPr>
          <w:sz w:val="22"/>
          <w:szCs w:val="22"/>
        </w:rPr>
        <w:t>10.3</w:t>
      </w:r>
      <w:r w:rsidRPr="005F5D7F">
        <w:rPr>
          <w:sz w:val="22"/>
          <w:szCs w:val="22"/>
        </w:rPr>
        <w:tab/>
        <w:t>The first defendant agreed to pay, over an</w:t>
      </w:r>
      <w:r w:rsidR="00384A73">
        <w:rPr>
          <w:sz w:val="22"/>
          <w:szCs w:val="22"/>
        </w:rPr>
        <w:t>d</w:t>
      </w:r>
      <w:r w:rsidRPr="005F5D7F">
        <w:rPr>
          <w:sz w:val="22"/>
          <w:szCs w:val="22"/>
        </w:rPr>
        <w:t xml:space="preserve"> above the amount offered as purchase price, buyer’s commission of 5.75% together with VAT calculated thereon and which amount would be paid to the second and third defendants; …</w:t>
      </w:r>
    </w:p>
    <w:p w14:paraId="720B2573" w14:textId="77777777" w:rsidR="00955A42" w:rsidRPr="005F5D7F" w:rsidRDefault="00955A42" w:rsidP="00E16EDE">
      <w:pPr>
        <w:pStyle w:val="Default"/>
        <w:spacing w:line="360" w:lineRule="auto"/>
        <w:jc w:val="both"/>
        <w:rPr>
          <w:sz w:val="22"/>
          <w:szCs w:val="22"/>
        </w:rPr>
      </w:pPr>
    </w:p>
    <w:p w14:paraId="7F031886" w14:textId="7019BD72" w:rsidR="00DB4141" w:rsidRPr="005F5D7F" w:rsidRDefault="00DB4141" w:rsidP="00E16EDE">
      <w:pPr>
        <w:pStyle w:val="Default"/>
        <w:spacing w:line="360" w:lineRule="auto"/>
        <w:jc w:val="both"/>
        <w:rPr>
          <w:sz w:val="22"/>
          <w:szCs w:val="22"/>
        </w:rPr>
      </w:pPr>
      <w:r w:rsidRPr="005F5D7F">
        <w:rPr>
          <w:sz w:val="22"/>
          <w:szCs w:val="22"/>
        </w:rPr>
        <w:t>10.6</w:t>
      </w:r>
      <w:r w:rsidRPr="005F5D7F">
        <w:rPr>
          <w:sz w:val="22"/>
          <w:szCs w:val="22"/>
        </w:rPr>
        <w:tab/>
        <w:t>All costs incidental to the transfer and registration of the property into the name of the first defendant shall be for the account of the first defendant and all risk of ownership shall pass to the first defendant on date of transfer of the property;</w:t>
      </w:r>
    </w:p>
    <w:p w14:paraId="23F3F714" w14:textId="615A929B" w:rsidR="00DB4141" w:rsidRPr="005F5D7F" w:rsidRDefault="00DB4141" w:rsidP="00E16EDE">
      <w:pPr>
        <w:pStyle w:val="Default"/>
        <w:spacing w:line="360" w:lineRule="auto"/>
        <w:jc w:val="both"/>
        <w:rPr>
          <w:sz w:val="22"/>
          <w:szCs w:val="22"/>
        </w:rPr>
      </w:pPr>
    </w:p>
    <w:p w14:paraId="6AB72411" w14:textId="0C8DF235" w:rsidR="00DB4141" w:rsidRPr="005F5D7F" w:rsidRDefault="00DB4141" w:rsidP="00E16EDE">
      <w:pPr>
        <w:pStyle w:val="Default"/>
        <w:spacing w:line="360" w:lineRule="auto"/>
        <w:jc w:val="both"/>
        <w:rPr>
          <w:sz w:val="22"/>
          <w:szCs w:val="22"/>
        </w:rPr>
      </w:pPr>
      <w:r w:rsidRPr="005F5D7F">
        <w:rPr>
          <w:sz w:val="22"/>
          <w:szCs w:val="22"/>
        </w:rPr>
        <w:t>10.7</w:t>
      </w:r>
      <w:r w:rsidRPr="005F5D7F">
        <w:rPr>
          <w:sz w:val="22"/>
          <w:szCs w:val="22"/>
        </w:rPr>
        <w:tab/>
      </w:r>
      <w:r w:rsidR="0023414E" w:rsidRPr="005F5D7F">
        <w:rPr>
          <w:sz w:val="22"/>
          <w:szCs w:val="22"/>
        </w:rPr>
        <w:t>All amounts offered in terms of the sale agreement shall be exclusive of VAT and if any VAT becomes payable (in the event of the transaction not regarded as zero rated) the first defendant shall be liable for payment of the VAT and to that end indemnifies the plaintiffs from such liability;</w:t>
      </w:r>
    </w:p>
    <w:p w14:paraId="617A89BF" w14:textId="6FDB7FEA" w:rsidR="0023414E" w:rsidRPr="005F5D7F" w:rsidRDefault="0023414E" w:rsidP="00E16EDE">
      <w:pPr>
        <w:pStyle w:val="Default"/>
        <w:spacing w:line="360" w:lineRule="auto"/>
        <w:jc w:val="both"/>
        <w:rPr>
          <w:sz w:val="22"/>
          <w:szCs w:val="22"/>
        </w:rPr>
      </w:pPr>
    </w:p>
    <w:p w14:paraId="52C715DD" w14:textId="5BF80030" w:rsidR="003C5A38" w:rsidRPr="005F5D7F" w:rsidRDefault="003C5A38" w:rsidP="00E16EDE">
      <w:pPr>
        <w:pStyle w:val="Default"/>
        <w:spacing w:line="360" w:lineRule="auto"/>
        <w:jc w:val="both"/>
        <w:rPr>
          <w:sz w:val="22"/>
          <w:szCs w:val="22"/>
        </w:rPr>
      </w:pPr>
      <w:r w:rsidRPr="005F5D7F">
        <w:rPr>
          <w:sz w:val="22"/>
          <w:szCs w:val="22"/>
        </w:rPr>
        <w:t>10.8</w:t>
      </w:r>
      <w:r w:rsidRPr="005F5D7F">
        <w:rPr>
          <w:sz w:val="22"/>
          <w:szCs w:val="22"/>
        </w:rPr>
        <w:tab/>
        <w:t>The bid made by the first defendant and eventual purchase price of the property amounted to N$10 964 953</w:t>
      </w:r>
      <w:r w:rsidR="00384A73">
        <w:rPr>
          <w:sz w:val="22"/>
          <w:szCs w:val="22"/>
        </w:rPr>
        <w:t>.13</w:t>
      </w:r>
      <w:r w:rsidRPr="005F5D7F">
        <w:rPr>
          <w:sz w:val="22"/>
          <w:szCs w:val="22"/>
        </w:rPr>
        <w:t xml:space="preserve"> and the first defendant undertook to also pay any</w:t>
      </w:r>
      <w:r w:rsidR="002175AE" w:rsidRPr="005F5D7F">
        <w:rPr>
          <w:sz w:val="22"/>
          <w:szCs w:val="22"/>
        </w:rPr>
        <w:t xml:space="preserve"> VAT on the said amount if same should become due;</w:t>
      </w:r>
      <w:r w:rsidR="00FB56FE" w:rsidRPr="005F5D7F">
        <w:rPr>
          <w:sz w:val="22"/>
          <w:szCs w:val="22"/>
        </w:rPr>
        <w:t xml:space="preserve"> …</w:t>
      </w:r>
    </w:p>
    <w:p w14:paraId="63F45798" w14:textId="2FD15FE0" w:rsidR="00FB56FE" w:rsidRPr="005F5D7F" w:rsidRDefault="00FB56FE" w:rsidP="00E16EDE">
      <w:pPr>
        <w:pStyle w:val="Default"/>
        <w:spacing w:line="360" w:lineRule="auto"/>
        <w:jc w:val="both"/>
        <w:rPr>
          <w:sz w:val="22"/>
          <w:szCs w:val="22"/>
        </w:rPr>
      </w:pPr>
    </w:p>
    <w:p w14:paraId="0E57DF4F" w14:textId="257563F9" w:rsidR="00FB56FE" w:rsidRPr="005F5D7F" w:rsidRDefault="00FB56FE" w:rsidP="00E16EDE">
      <w:pPr>
        <w:pStyle w:val="Default"/>
        <w:spacing w:line="360" w:lineRule="auto"/>
        <w:jc w:val="both"/>
        <w:rPr>
          <w:sz w:val="22"/>
          <w:szCs w:val="22"/>
        </w:rPr>
      </w:pPr>
      <w:r w:rsidRPr="005F5D7F">
        <w:rPr>
          <w:sz w:val="22"/>
          <w:szCs w:val="22"/>
        </w:rPr>
        <w:t>12.</w:t>
      </w:r>
      <w:r w:rsidRPr="005F5D7F">
        <w:rPr>
          <w:sz w:val="22"/>
          <w:szCs w:val="22"/>
        </w:rPr>
        <w:tab/>
        <w:t>On or about the 7</w:t>
      </w:r>
      <w:r w:rsidRPr="005F5D7F">
        <w:rPr>
          <w:sz w:val="22"/>
          <w:szCs w:val="22"/>
          <w:vertAlign w:val="superscript"/>
        </w:rPr>
        <w:t>th</w:t>
      </w:r>
      <w:r w:rsidRPr="005F5D7F">
        <w:rPr>
          <w:sz w:val="22"/>
          <w:szCs w:val="22"/>
        </w:rPr>
        <w:t xml:space="preserve"> of June 20</w:t>
      </w:r>
      <w:r w:rsidR="0026745A">
        <w:rPr>
          <w:sz w:val="22"/>
          <w:szCs w:val="22"/>
        </w:rPr>
        <w:t>1</w:t>
      </w:r>
      <w:r w:rsidRPr="005F5D7F">
        <w:rPr>
          <w:sz w:val="22"/>
          <w:szCs w:val="22"/>
        </w:rPr>
        <w:t xml:space="preserve">8 the Receiver of Revenue presented the plaintiffs with a tax demand in the amount of N$7 533 836.28 which amount represented the VAT due on the purchase price together with penalties and interest calculated thereon. </w:t>
      </w:r>
    </w:p>
    <w:p w14:paraId="45B482E7" w14:textId="390EBA13" w:rsidR="00FB56FE" w:rsidRPr="005F5D7F" w:rsidRDefault="00FB56FE" w:rsidP="00E16EDE">
      <w:pPr>
        <w:pStyle w:val="Default"/>
        <w:spacing w:line="360" w:lineRule="auto"/>
        <w:jc w:val="both"/>
        <w:rPr>
          <w:sz w:val="22"/>
          <w:szCs w:val="22"/>
        </w:rPr>
      </w:pPr>
    </w:p>
    <w:p w14:paraId="27D09C54" w14:textId="19A1AADB" w:rsidR="00FB56FE" w:rsidRPr="005F5D7F" w:rsidRDefault="00FB56FE" w:rsidP="00E16EDE">
      <w:pPr>
        <w:pStyle w:val="Default"/>
        <w:spacing w:line="360" w:lineRule="auto"/>
        <w:jc w:val="both"/>
        <w:rPr>
          <w:sz w:val="22"/>
          <w:szCs w:val="22"/>
        </w:rPr>
      </w:pPr>
      <w:r w:rsidRPr="005F5D7F">
        <w:rPr>
          <w:sz w:val="22"/>
          <w:szCs w:val="22"/>
        </w:rPr>
        <w:t>13.</w:t>
      </w:r>
      <w:r w:rsidR="00AF18C1" w:rsidRPr="005F5D7F">
        <w:rPr>
          <w:sz w:val="22"/>
          <w:szCs w:val="22"/>
        </w:rPr>
        <w:tab/>
      </w:r>
      <w:r w:rsidRPr="005F5D7F">
        <w:rPr>
          <w:sz w:val="22"/>
          <w:szCs w:val="22"/>
        </w:rPr>
        <w:t xml:space="preserve">First defendant, who by contract and consequently by law, </w:t>
      </w:r>
      <w:r w:rsidR="0026745A">
        <w:rPr>
          <w:sz w:val="22"/>
          <w:szCs w:val="22"/>
        </w:rPr>
        <w:t xml:space="preserve">(sic) </w:t>
      </w:r>
      <w:r w:rsidRPr="005F5D7F">
        <w:rPr>
          <w:sz w:val="22"/>
          <w:szCs w:val="22"/>
        </w:rPr>
        <w:t>obliged to pay the VAT however breached the terms of the sale agreement by failing to pay the outstanding VAT thereon and/or by failing to indemnify the plaintiffs against the claim from the Receiver of revenue to pay same on account of which the plaintiffs were compelled and obliged to pay same.</w:t>
      </w:r>
    </w:p>
    <w:p w14:paraId="5D76F81D" w14:textId="381949ED" w:rsidR="00AF18C1" w:rsidRPr="005F5D7F" w:rsidRDefault="00AF18C1" w:rsidP="00E16EDE">
      <w:pPr>
        <w:pStyle w:val="Default"/>
        <w:spacing w:line="360" w:lineRule="auto"/>
        <w:jc w:val="both"/>
        <w:rPr>
          <w:sz w:val="22"/>
          <w:szCs w:val="22"/>
        </w:rPr>
      </w:pPr>
    </w:p>
    <w:p w14:paraId="759A077D" w14:textId="77777777" w:rsidR="00AF18C1" w:rsidRPr="005F5D7F" w:rsidRDefault="00AF18C1" w:rsidP="00E16EDE">
      <w:pPr>
        <w:pStyle w:val="Default"/>
        <w:spacing w:line="360" w:lineRule="auto"/>
        <w:jc w:val="both"/>
        <w:rPr>
          <w:sz w:val="22"/>
          <w:szCs w:val="22"/>
        </w:rPr>
      </w:pPr>
      <w:r w:rsidRPr="005F5D7F">
        <w:rPr>
          <w:sz w:val="22"/>
          <w:szCs w:val="22"/>
        </w:rPr>
        <w:t>14.</w:t>
      </w:r>
      <w:r w:rsidRPr="005F5D7F">
        <w:rPr>
          <w:sz w:val="22"/>
          <w:szCs w:val="22"/>
        </w:rPr>
        <w:tab/>
        <w:t>By virtue of the first defendant’s breach as aforesaid the plaintiffs suffered damages to the tune of N$3 013 217.76 which amount represents the Receiver of Revenue’s claim for VAT together with interest calculated thereon but in respect of which the penalties were deducted and which amount the plaintiffs were compelled to pay to the Receiver.’</w:t>
      </w:r>
    </w:p>
    <w:p w14:paraId="6F76EA1D" w14:textId="77777777" w:rsidR="00AF18C1" w:rsidRDefault="00AF18C1" w:rsidP="00E16EDE">
      <w:pPr>
        <w:pStyle w:val="Default"/>
        <w:spacing w:line="360" w:lineRule="auto"/>
        <w:jc w:val="both"/>
      </w:pPr>
    </w:p>
    <w:p w14:paraId="08C94FD6" w14:textId="53BFB891" w:rsidR="00973BB3" w:rsidRDefault="00955A42" w:rsidP="00E16EDE">
      <w:pPr>
        <w:pStyle w:val="Default"/>
        <w:spacing w:line="360" w:lineRule="auto"/>
        <w:jc w:val="both"/>
      </w:pPr>
      <w:r>
        <w:t>[</w:t>
      </w:r>
      <w:r w:rsidR="0026745A">
        <w:t>18</w:t>
      </w:r>
      <w:r>
        <w:t>]</w:t>
      </w:r>
      <w:r w:rsidR="007E5947">
        <w:tab/>
        <w:t>Mr. Barnard</w:t>
      </w:r>
      <w:r w:rsidR="00E63125">
        <w:t>,</w:t>
      </w:r>
      <w:r w:rsidR="007E5947">
        <w:t xml:space="preserve"> who appeared for the first defendant</w:t>
      </w:r>
      <w:r w:rsidR="00E63125" w:rsidRPr="00342F76">
        <w:rPr>
          <w:color w:val="FF0000"/>
        </w:rPr>
        <w:t>,</w:t>
      </w:r>
      <w:r w:rsidR="007E5947">
        <w:t xml:space="preserve"> </w:t>
      </w:r>
      <w:r w:rsidR="00195B56">
        <w:t xml:space="preserve">submitted that the indemnity is not against </w:t>
      </w:r>
      <w:r w:rsidR="00720C0E">
        <w:t xml:space="preserve">the </w:t>
      </w:r>
      <w:r w:rsidR="00195B56">
        <w:t xml:space="preserve">claim for VAT but against the actual liability of the plaintiffs to pay VAT. </w:t>
      </w:r>
      <w:r w:rsidR="00797B33">
        <w:t>He drove the submission home by stating that such liability does not emanate from a demand by the Receiver but from liability to pay</w:t>
      </w:r>
      <w:r w:rsidR="00720C0E">
        <w:t xml:space="preserve"> VAT</w:t>
      </w:r>
      <w:r w:rsidR="00797B33">
        <w:t>. If the Receiver makes a spurious claim, the plaintiffs are duty bound to oppose such claim until liability for payment of VAT thereof is proven</w:t>
      </w:r>
      <w:r w:rsidR="002A1037">
        <w:t xml:space="preserve"> and only then </w:t>
      </w:r>
      <w:r w:rsidR="00797B33">
        <w:t>will the indemnity arise</w:t>
      </w:r>
      <w:r w:rsidR="009828C7">
        <w:t xml:space="preserve">, so the argument went. </w:t>
      </w:r>
    </w:p>
    <w:p w14:paraId="17BE419E" w14:textId="77777777" w:rsidR="00973BB3" w:rsidRDefault="00973BB3" w:rsidP="00E16EDE">
      <w:pPr>
        <w:pStyle w:val="Default"/>
        <w:spacing w:line="360" w:lineRule="auto"/>
        <w:jc w:val="both"/>
      </w:pPr>
    </w:p>
    <w:p w14:paraId="1FA676B4" w14:textId="66E5FB7D" w:rsidR="0034242B" w:rsidRDefault="00973BB3" w:rsidP="00E16EDE">
      <w:pPr>
        <w:pStyle w:val="Default"/>
        <w:spacing w:line="360" w:lineRule="auto"/>
        <w:jc w:val="both"/>
      </w:pPr>
      <w:r>
        <w:t>[19]</w:t>
      </w:r>
      <w:r>
        <w:tab/>
      </w:r>
      <w:r w:rsidR="00E15732">
        <w:t xml:space="preserve">It </w:t>
      </w:r>
      <w:r>
        <w:t xml:space="preserve">was </w:t>
      </w:r>
      <w:r w:rsidR="00E63125">
        <w:t>argued further that p</w:t>
      </w:r>
      <w:r w:rsidR="00E15732">
        <w:t xml:space="preserve">laintiffs do not make the averments that they are in fact and in law liable to pay VAT to the Receiver in order to hold the first defendant liable. </w:t>
      </w:r>
      <w:r w:rsidR="0034242B">
        <w:t xml:space="preserve">Mr. Barnard concluded with submissions that the provisions of the VAT Act furthermore do not render the sale of the farm in this matter VAT taxable. </w:t>
      </w:r>
    </w:p>
    <w:p w14:paraId="5873348A" w14:textId="56B37915" w:rsidR="008F55AF" w:rsidRDefault="008F55AF" w:rsidP="00E16EDE">
      <w:pPr>
        <w:pStyle w:val="Default"/>
        <w:spacing w:line="360" w:lineRule="auto"/>
        <w:jc w:val="both"/>
      </w:pPr>
    </w:p>
    <w:p w14:paraId="3E390A7F" w14:textId="336E6A08" w:rsidR="008F55AF" w:rsidRDefault="008F55AF" w:rsidP="00E16EDE">
      <w:pPr>
        <w:pStyle w:val="Default"/>
        <w:spacing w:line="360" w:lineRule="auto"/>
        <w:jc w:val="both"/>
      </w:pPr>
      <w:r>
        <w:t>[</w:t>
      </w:r>
      <w:r w:rsidR="005639EE">
        <w:t>20</w:t>
      </w:r>
      <w:r>
        <w:t>]</w:t>
      </w:r>
      <w:r>
        <w:tab/>
        <w:t>Mr. Strydom</w:t>
      </w:r>
      <w:r w:rsidR="00E63125">
        <w:t>,</w:t>
      </w:r>
      <w:r>
        <w:t xml:space="preserve"> who appeared for the plaintiffs</w:t>
      </w:r>
      <w:r w:rsidR="00E63125">
        <w:t>,</w:t>
      </w:r>
      <w:r>
        <w:t xml:space="preserve"> </w:t>
      </w:r>
      <w:r w:rsidR="000A46A2">
        <w:t>was not to be outmuscled</w:t>
      </w:r>
      <w:r w:rsidR="00342F76">
        <w:t xml:space="preserve"> </w:t>
      </w:r>
      <w:r w:rsidR="00342F76" w:rsidRPr="005447CC">
        <w:rPr>
          <w:color w:val="auto"/>
        </w:rPr>
        <w:t>in the contest</w:t>
      </w:r>
      <w:r w:rsidR="000A46A2" w:rsidRPr="005447CC">
        <w:rPr>
          <w:color w:val="auto"/>
        </w:rPr>
        <w:t xml:space="preserve"> </w:t>
      </w:r>
      <w:r w:rsidR="00082A3F">
        <w:t xml:space="preserve">and </w:t>
      </w:r>
      <w:r w:rsidR="006A2008">
        <w:t>submitted that the averments set out in the particulars of claim disclose a cause of action to which the first defendant can plea</w:t>
      </w:r>
      <w:r w:rsidR="00342F76" w:rsidRPr="005447CC">
        <w:rPr>
          <w:color w:val="auto"/>
        </w:rPr>
        <w:t>d</w:t>
      </w:r>
      <w:r w:rsidR="006A2008">
        <w:t xml:space="preserve">. He submitted further that the defence that the first defendant is not liable to indemnify the plaintiffs as the </w:t>
      </w:r>
      <w:r w:rsidR="0070113B">
        <w:t>p</w:t>
      </w:r>
      <w:r w:rsidR="006A2008">
        <w:t>laintiffs</w:t>
      </w:r>
      <w:r w:rsidR="0070113B">
        <w:t>’ claim is based on</w:t>
      </w:r>
      <w:r w:rsidR="00342F76">
        <w:t xml:space="preserve"> the Receiver’s demand and </w:t>
      </w:r>
      <w:r w:rsidR="00342F76" w:rsidRPr="005447CC">
        <w:rPr>
          <w:color w:val="auto"/>
        </w:rPr>
        <w:t>same</w:t>
      </w:r>
      <w:r w:rsidR="0070113B">
        <w:t xml:space="preserve"> can be addressed in </w:t>
      </w:r>
      <w:r w:rsidR="00E63125">
        <w:t xml:space="preserve">evidence. He invited the court </w:t>
      </w:r>
      <w:r w:rsidR="00E63125" w:rsidRPr="005447CC">
        <w:rPr>
          <w:color w:val="auto"/>
        </w:rPr>
        <w:t>t</w:t>
      </w:r>
      <w:r w:rsidR="0070113B" w:rsidRPr="005447CC">
        <w:rPr>
          <w:color w:val="auto"/>
        </w:rPr>
        <w:t>o</w:t>
      </w:r>
      <w:r w:rsidR="0070113B">
        <w:t xml:space="preserve"> dismiss the exception for being bad in law. </w:t>
      </w:r>
      <w:r w:rsidR="006A2008">
        <w:t xml:space="preserve"> </w:t>
      </w:r>
    </w:p>
    <w:p w14:paraId="2873B656" w14:textId="77777777" w:rsidR="0034242B" w:rsidRDefault="0034242B" w:rsidP="00E16EDE">
      <w:pPr>
        <w:pStyle w:val="Default"/>
        <w:spacing w:line="360" w:lineRule="auto"/>
        <w:jc w:val="both"/>
      </w:pPr>
    </w:p>
    <w:p w14:paraId="77F7F971" w14:textId="5CB9A313" w:rsidR="00FE2C1F" w:rsidRDefault="0034242B" w:rsidP="00E16EDE">
      <w:pPr>
        <w:pStyle w:val="Default"/>
        <w:spacing w:line="360" w:lineRule="auto"/>
        <w:jc w:val="both"/>
      </w:pPr>
      <w:r>
        <w:t>[</w:t>
      </w:r>
      <w:r w:rsidR="00082A3F">
        <w:t>21</w:t>
      </w:r>
      <w:r>
        <w:t>]</w:t>
      </w:r>
      <w:r w:rsidR="00FE2C1F">
        <w:tab/>
        <w:t>Can VAT be charged on the sale of a far</w:t>
      </w:r>
      <w:r w:rsidR="00115410">
        <w:t>m</w:t>
      </w:r>
      <w:r w:rsidR="00FE2C1F">
        <w:t>?</w:t>
      </w:r>
      <w:r w:rsidR="00CC32F2">
        <w:t xml:space="preserve"> The VAT Act provides for the following amongst others:</w:t>
      </w:r>
    </w:p>
    <w:p w14:paraId="55599860" w14:textId="6937741D" w:rsidR="00CC32F2" w:rsidRDefault="00CC32F2" w:rsidP="00E16EDE">
      <w:pPr>
        <w:pStyle w:val="Default"/>
        <w:spacing w:line="360" w:lineRule="auto"/>
        <w:jc w:val="both"/>
      </w:pPr>
    </w:p>
    <w:p w14:paraId="0F6E6331" w14:textId="1484D05F" w:rsidR="00CC32F2" w:rsidRDefault="00CC32F2" w:rsidP="00E63125">
      <w:pPr>
        <w:pStyle w:val="Default"/>
        <w:numPr>
          <w:ilvl w:val="0"/>
          <w:numId w:val="46"/>
        </w:numPr>
        <w:spacing w:line="360" w:lineRule="auto"/>
        <w:ind w:left="0" w:firstLine="0"/>
        <w:jc w:val="both"/>
      </w:pPr>
      <w:r>
        <w:t>That any sale of goods is deemed to be a supply of goods</w:t>
      </w:r>
      <w:r w:rsidR="00DA6C06">
        <w:t>;</w:t>
      </w:r>
      <w:r>
        <w:rPr>
          <w:rStyle w:val="FootnoteReference"/>
        </w:rPr>
        <w:footnoteReference w:id="6"/>
      </w:r>
    </w:p>
    <w:p w14:paraId="0FEC5DD4" w14:textId="10170B6F" w:rsidR="00CC32F2" w:rsidRDefault="00CC32F2" w:rsidP="00CC32F2">
      <w:pPr>
        <w:pStyle w:val="Default"/>
        <w:spacing w:line="360" w:lineRule="auto"/>
        <w:ind w:left="360"/>
        <w:jc w:val="both"/>
      </w:pPr>
    </w:p>
    <w:p w14:paraId="1D8846F6" w14:textId="5015BE82" w:rsidR="00CC32F2" w:rsidRDefault="00CC32F2" w:rsidP="00E63125">
      <w:pPr>
        <w:pStyle w:val="Default"/>
        <w:numPr>
          <w:ilvl w:val="0"/>
          <w:numId w:val="46"/>
        </w:numPr>
        <w:spacing w:line="360" w:lineRule="auto"/>
        <w:ind w:left="0" w:firstLine="0"/>
        <w:jc w:val="both"/>
      </w:pPr>
      <w:r>
        <w:t>That sale is an agreement of purchase and sale and includes any other transaction or act whereby ownership of goods passes from one person to another</w:t>
      </w:r>
      <w:r w:rsidR="00DA6C06">
        <w:t>;</w:t>
      </w:r>
      <w:r>
        <w:rPr>
          <w:rStyle w:val="FootnoteReference"/>
        </w:rPr>
        <w:footnoteReference w:id="7"/>
      </w:r>
    </w:p>
    <w:p w14:paraId="7F600942" w14:textId="77777777" w:rsidR="00CC32F2" w:rsidRDefault="00CC32F2" w:rsidP="00CC32F2">
      <w:pPr>
        <w:pStyle w:val="ListParagraph"/>
      </w:pPr>
    </w:p>
    <w:p w14:paraId="10C5627D" w14:textId="64BF1DEB" w:rsidR="00CC32F2" w:rsidRDefault="00DA6C06" w:rsidP="00E63125">
      <w:pPr>
        <w:pStyle w:val="Default"/>
        <w:numPr>
          <w:ilvl w:val="0"/>
          <w:numId w:val="46"/>
        </w:numPr>
        <w:spacing w:line="360" w:lineRule="auto"/>
        <w:ind w:left="0" w:firstLine="0"/>
        <w:jc w:val="both"/>
      </w:pPr>
      <w:r>
        <w:t>That goods mean all kinds of property inclusive of immovable property;</w:t>
      </w:r>
      <w:r w:rsidR="00AF5C7F">
        <w:rPr>
          <w:rStyle w:val="FootnoteReference"/>
        </w:rPr>
        <w:footnoteReference w:id="8"/>
      </w:r>
    </w:p>
    <w:p w14:paraId="42E42593" w14:textId="77777777" w:rsidR="00DA6C06" w:rsidRDefault="00DA6C06" w:rsidP="00DA6C06">
      <w:pPr>
        <w:pStyle w:val="ListParagraph"/>
      </w:pPr>
    </w:p>
    <w:p w14:paraId="4D975D53" w14:textId="5E627C9D" w:rsidR="00DA6C06" w:rsidRDefault="00AF5C7F" w:rsidP="00E63125">
      <w:pPr>
        <w:pStyle w:val="Default"/>
        <w:numPr>
          <w:ilvl w:val="0"/>
          <w:numId w:val="46"/>
        </w:numPr>
        <w:spacing w:line="360" w:lineRule="auto"/>
        <w:ind w:left="0" w:firstLine="0"/>
        <w:jc w:val="both"/>
      </w:pPr>
      <w:r>
        <w:t xml:space="preserve">That a taxable supply is the supply of goods in </w:t>
      </w:r>
      <w:r w:rsidR="00D51697">
        <w:t xml:space="preserve">the </w:t>
      </w:r>
      <w:r>
        <w:t>course or furtherance of a taxable activity</w:t>
      </w:r>
      <w:r w:rsidR="00DB5A4F">
        <w:t>, other than an exempt supply</w:t>
      </w:r>
      <w:r>
        <w:t>;</w:t>
      </w:r>
      <w:r>
        <w:rPr>
          <w:rStyle w:val="FootnoteReference"/>
        </w:rPr>
        <w:footnoteReference w:id="9"/>
      </w:r>
    </w:p>
    <w:p w14:paraId="3D4AAE81" w14:textId="77777777" w:rsidR="00DB5A4F" w:rsidRDefault="00DB5A4F" w:rsidP="00DB5A4F">
      <w:pPr>
        <w:pStyle w:val="ListParagraph"/>
      </w:pPr>
    </w:p>
    <w:p w14:paraId="10E1B0DC" w14:textId="482D610B" w:rsidR="00DB5A4F" w:rsidRDefault="00DB5A4F" w:rsidP="00E63125">
      <w:pPr>
        <w:pStyle w:val="Default"/>
        <w:numPr>
          <w:ilvl w:val="0"/>
          <w:numId w:val="46"/>
        </w:numPr>
        <w:spacing w:line="360" w:lineRule="auto"/>
        <w:ind w:left="0" w:firstLine="0"/>
        <w:jc w:val="both"/>
      </w:pPr>
      <w:r>
        <w:t xml:space="preserve">That a taxable activity is a taxable activity as defined in s 4(1). </w:t>
      </w:r>
      <w:r w:rsidR="006C3541">
        <w:t>This is a</w:t>
      </w:r>
      <w:r>
        <w:t>ny activity carried out continuously or regularly by a person in Namibia whether for profit or not, involving or intended to involve the supply of goods or services to any person for consideration.</w:t>
      </w:r>
      <w:r>
        <w:rPr>
          <w:rStyle w:val="FootnoteReference"/>
        </w:rPr>
        <w:footnoteReference w:id="10"/>
      </w:r>
      <w:r>
        <w:t xml:space="preserve">  </w:t>
      </w:r>
    </w:p>
    <w:p w14:paraId="505734E5" w14:textId="77777777" w:rsidR="00CC32F2" w:rsidRDefault="00CC32F2" w:rsidP="00E16EDE">
      <w:pPr>
        <w:pStyle w:val="Default"/>
        <w:spacing w:line="360" w:lineRule="auto"/>
        <w:jc w:val="both"/>
      </w:pPr>
    </w:p>
    <w:p w14:paraId="71096518" w14:textId="2D424CCB" w:rsidR="00FE2C1F" w:rsidRDefault="00A956BC" w:rsidP="00E16EDE">
      <w:pPr>
        <w:pStyle w:val="Default"/>
        <w:spacing w:line="360" w:lineRule="auto"/>
        <w:jc w:val="both"/>
      </w:pPr>
      <w:r>
        <w:t>[</w:t>
      </w:r>
      <w:r w:rsidR="00701353">
        <w:t>22</w:t>
      </w:r>
      <w:r>
        <w:t>]</w:t>
      </w:r>
      <w:r>
        <w:tab/>
        <w:t xml:space="preserve">The VAT Act is silent on what is meant by an activity carried out continuously or regularly. </w:t>
      </w:r>
      <w:r w:rsidR="00D06760">
        <w:t>What is apparent from the VAT Act however is that the supply of goods is a taxable activity attracting VAT</w:t>
      </w:r>
      <w:r w:rsidR="005447CC">
        <w:t xml:space="preserve"> charges unless excluded by s 4.</w:t>
      </w:r>
    </w:p>
    <w:p w14:paraId="24C6B815" w14:textId="77777777" w:rsidR="005447CC" w:rsidRDefault="005447CC" w:rsidP="00E16EDE">
      <w:pPr>
        <w:pStyle w:val="Default"/>
        <w:spacing w:line="360" w:lineRule="auto"/>
        <w:jc w:val="both"/>
      </w:pPr>
    </w:p>
    <w:p w14:paraId="6ABE3318" w14:textId="3E265BE7" w:rsidR="005E2531" w:rsidRDefault="003F2946" w:rsidP="00E16EDE">
      <w:pPr>
        <w:pStyle w:val="Default"/>
        <w:spacing w:line="360" w:lineRule="auto"/>
        <w:jc w:val="both"/>
      </w:pPr>
      <w:r>
        <w:t>[</w:t>
      </w:r>
      <w:r w:rsidR="00701353">
        <w:t>23</w:t>
      </w:r>
      <w:r>
        <w:t>]</w:t>
      </w:r>
      <w:r w:rsidR="005F246B">
        <w:tab/>
        <w:t xml:space="preserve">Tax legislations are not subjected to interpretation by courts daily and </w:t>
      </w:r>
      <w:r w:rsidR="00F820E8" w:rsidRPr="005447CC">
        <w:rPr>
          <w:color w:val="auto"/>
        </w:rPr>
        <w:t xml:space="preserve">are </w:t>
      </w:r>
      <w:r w:rsidR="00342F76" w:rsidRPr="005447CC">
        <w:rPr>
          <w:color w:val="auto"/>
        </w:rPr>
        <w:t xml:space="preserve">not </w:t>
      </w:r>
      <w:r w:rsidR="005F246B" w:rsidRPr="005447CC">
        <w:rPr>
          <w:color w:val="auto"/>
        </w:rPr>
        <w:t>drafted</w:t>
      </w:r>
      <w:r w:rsidR="00342F76" w:rsidRPr="005447CC">
        <w:rPr>
          <w:color w:val="auto"/>
        </w:rPr>
        <w:t xml:space="preserve"> in a straight forward manner either</w:t>
      </w:r>
      <w:r w:rsidR="005F246B">
        <w:t>. It is an arduous task to interpret provisions of the tax laws inclusive of the Vat Act. Notwithstanding, the court still retains the responsibility to</w:t>
      </w:r>
      <w:r w:rsidR="00342F76">
        <w:t xml:space="preserve"> interpret legislation</w:t>
      </w:r>
      <w:r w:rsidR="005F246B">
        <w:t xml:space="preserve">. </w:t>
      </w:r>
      <w:r w:rsidR="005E2531">
        <w:t xml:space="preserve">Harms DP in </w:t>
      </w:r>
      <w:r w:rsidR="001D51C6">
        <w:t xml:space="preserve">the Supreme Court of Appeal in </w:t>
      </w:r>
      <w:r w:rsidR="005E2531" w:rsidRPr="007463AC">
        <w:rPr>
          <w:i/>
          <w:iCs/>
        </w:rPr>
        <w:t>KPMG Chartered Accountants (SA) v Securefin Ltd and Another</w:t>
      </w:r>
      <w:r w:rsidR="007463AC">
        <w:rPr>
          <w:rStyle w:val="FootnoteReference"/>
          <w:i/>
          <w:iCs/>
        </w:rPr>
        <w:footnoteReference w:id="11"/>
      </w:r>
      <w:r w:rsidR="008C767D">
        <w:t xml:space="preserve"> stated as follows regarding the court’s duty to interpret:</w:t>
      </w:r>
    </w:p>
    <w:p w14:paraId="1CAEDE0E" w14:textId="7B8983DE" w:rsidR="008C767D" w:rsidRDefault="008C767D" w:rsidP="00E16EDE">
      <w:pPr>
        <w:pStyle w:val="Default"/>
        <w:spacing w:line="360" w:lineRule="auto"/>
        <w:jc w:val="both"/>
      </w:pPr>
    </w:p>
    <w:p w14:paraId="6594D21C" w14:textId="5B0332C8" w:rsidR="008C767D" w:rsidRDefault="00BB1FBC" w:rsidP="00E16EDE">
      <w:pPr>
        <w:pStyle w:val="Default"/>
        <w:spacing w:line="360" w:lineRule="auto"/>
        <w:jc w:val="both"/>
      </w:pPr>
      <w:r>
        <w:tab/>
      </w:r>
      <w:r w:rsidRPr="00F820E8">
        <w:rPr>
          <w:sz w:val="22"/>
        </w:rPr>
        <w:t>‘Interpretation is a matter for the court and not for witnesses (or, as said in common-law jurisprudence, it is not a jury question’</w:t>
      </w:r>
    </w:p>
    <w:p w14:paraId="7D10D3F6" w14:textId="259F48F2" w:rsidR="000A52F9" w:rsidRDefault="005F246B" w:rsidP="00E16EDE">
      <w:pPr>
        <w:pStyle w:val="Default"/>
        <w:spacing w:line="360" w:lineRule="auto"/>
        <w:jc w:val="both"/>
      </w:pPr>
      <w:r>
        <w:t xml:space="preserve"> </w:t>
      </w:r>
    </w:p>
    <w:p w14:paraId="6167B5BD" w14:textId="3EF2BECE" w:rsidR="006D2EA8" w:rsidRDefault="007200F3" w:rsidP="00E16EDE">
      <w:pPr>
        <w:pStyle w:val="Default"/>
        <w:spacing w:line="360" w:lineRule="auto"/>
        <w:jc w:val="both"/>
      </w:pPr>
      <w:r>
        <w:t>[24]</w:t>
      </w:r>
      <w:r>
        <w:tab/>
      </w:r>
      <w:r w:rsidR="00757477">
        <w:t>Courts should therefore not shy aw</w:t>
      </w:r>
      <w:r w:rsidR="00342F76">
        <w:t>ay from carrying out their task to interpret legislation</w:t>
      </w:r>
      <w:r w:rsidR="00757477">
        <w:t>, agreements or documents. Interpretation should not be left to witnesses</w:t>
      </w:r>
      <w:r w:rsidR="00342F76">
        <w:t>,</w:t>
      </w:r>
      <w:r w:rsidR="00757477">
        <w:t xml:space="preserve"> even if such witnesses are expert witnesses.</w:t>
      </w:r>
      <w:r w:rsidR="006D2EA8">
        <w:t xml:space="preserve"> </w:t>
      </w:r>
    </w:p>
    <w:p w14:paraId="2DC780DC" w14:textId="77777777" w:rsidR="006D2EA8" w:rsidRDefault="006D2EA8" w:rsidP="00E16EDE">
      <w:pPr>
        <w:pStyle w:val="Default"/>
        <w:spacing w:line="360" w:lineRule="auto"/>
        <w:jc w:val="both"/>
      </w:pPr>
    </w:p>
    <w:p w14:paraId="77AAE1B6" w14:textId="68CB5B2B" w:rsidR="004B139B" w:rsidRDefault="006D2EA8" w:rsidP="00E16EDE">
      <w:pPr>
        <w:pStyle w:val="Default"/>
        <w:spacing w:line="360" w:lineRule="auto"/>
        <w:jc w:val="both"/>
      </w:pPr>
      <w:r>
        <w:t>[25]</w:t>
      </w:r>
      <w:r>
        <w:tab/>
        <w:t>The ordinary dictionary meaning of continuously</w:t>
      </w:r>
      <w:r w:rsidR="00342F76">
        <w:t>,</w:t>
      </w:r>
      <w:r>
        <w:t xml:space="preserve"> is perpetual progression of a matter without interruption</w:t>
      </w:r>
      <w:r w:rsidR="00BE57D3">
        <w:t>,</w:t>
      </w:r>
      <w:r>
        <w:t xml:space="preserve"> while regularly means a constant patten.</w:t>
      </w:r>
      <w:r w:rsidR="009E6FE6">
        <w:rPr>
          <w:rStyle w:val="FootnoteReference"/>
        </w:rPr>
        <w:footnoteReference w:id="12"/>
      </w:r>
      <w:r>
        <w:t xml:space="preserve"> </w:t>
      </w:r>
      <w:r w:rsidR="00510DCE">
        <w:t xml:space="preserve">If one was to read </w:t>
      </w:r>
      <w:r w:rsidR="00342F76">
        <w:t xml:space="preserve">s </w:t>
      </w:r>
      <w:r w:rsidR="00C77D99">
        <w:t>4(1) in isolation</w:t>
      </w:r>
      <w:r w:rsidR="00F820E8">
        <w:t>,</w:t>
      </w:r>
      <w:r w:rsidR="00C77D99">
        <w:t xml:space="preserve"> it would be concluded th</w:t>
      </w:r>
      <w:r w:rsidR="00F820E8">
        <w:t xml:space="preserve">at the sale of a farm is a </w:t>
      </w:r>
      <w:r w:rsidR="00F820E8" w:rsidRPr="005447CC">
        <w:rPr>
          <w:color w:val="auto"/>
        </w:rPr>
        <w:t>once-</w:t>
      </w:r>
      <w:r w:rsidR="00C77D99" w:rsidRPr="005447CC">
        <w:rPr>
          <w:color w:val="auto"/>
        </w:rPr>
        <w:t xml:space="preserve">off </w:t>
      </w:r>
      <w:r w:rsidR="00C77D99">
        <w:t>transaction which is not continuous and certainly not regular. The rules of interpretation compel court</w:t>
      </w:r>
      <w:r w:rsidR="004B139B">
        <w:t>s</w:t>
      </w:r>
      <w:r w:rsidR="00C77D99">
        <w:t xml:space="preserve"> to read and interpret provisions in conjunction with other provisions of the</w:t>
      </w:r>
      <w:r w:rsidR="00342F76">
        <w:t xml:space="preserve"> </w:t>
      </w:r>
      <w:r w:rsidR="00342F76" w:rsidRPr="005447CC">
        <w:rPr>
          <w:color w:val="auto"/>
        </w:rPr>
        <w:t>same</w:t>
      </w:r>
      <w:r w:rsidR="00C77D99" w:rsidRPr="005447CC">
        <w:rPr>
          <w:color w:val="auto"/>
        </w:rPr>
        <w:t xml:space="preserve"> </w:t>
      </w:r>
      <w:r w:rsidR="00C77D99">
        <w:t xml:space="preserve">legislation. </w:t>
      </w:r>
    </w:p>
    <w:p w14:paraId="6DAE6665" w14:textId="77777777" w:rsidR="004B139B" w:rsidRDefault="004B139B" w:rsidP="00E16EDE">
      <w:pPr>
        <w:pStyle w:val="Default"/>
        <w:spacing w:line="360" w:lineRule="auto"/>
        <w:jc w:val="both"/>
      </w:pPr>
    </w:p>
    <w:p w14:paraId="240DFC3D" w14:textId="77777777" w:rsidR="004B139B" w:rsidRDefault="004B139B" w:rsidP="00E16EDE">
      <w:pPr>
        <w:pStyle w:val="Default"/>
        <w:spacing w:line="360" w:lineRule="auto"/>
        <w:jc w:val="both"/>
      </w:pPr>
      <w:r>
        <w:t>[26]</w:t>
      </w:r>
      <w:r>
        <w:tab/>
        <w:t>Section 3(2) and (3) provides that:</w:t>
      </w:r>
    </w:p>
    <w:p w14:paraId="5AA5809A" w14:textId="77777777" w:rsidR="004B139B" w:rsidRDefault="004B139B" w:rsidP="00E16EDE">
      <w:pPr>
        <w:pStyle w:val="Default"/>
        <w:spacing w:line="360" w:lineRule="auto"/>
        <w:jc w:val="both"/>
      </w:pPr>
    </w:p>
    <w:p w14:paraId="2C97DBF5" w14:textId="77777777" w:rsidR="004B139B" w:rsidRPr="004B139B" w:rsidRDefault="004B139B" w:rsidP="00E16EDE">
      <w:pPr>
        <w:pStyle w:val="Default"/>
        <w:spacing w:line="360" w:lineRule="auto"/>
        <w:jc w:val="both"/>
        <w:rPr>
          <w:sz w:val="22"/>
          <w:szCs w:val="22"/>
        </w:rPr>
      </w:pPr>
      <w:r>
        <w:tab/>
      </w:r>
      <w:r w:rsidRPr="004B139B">
        <w:rPr>
          <w:sz w:val="22"/>
          <w:szCs w:val="22"/>
        </w:rPr>
        <w:t>‘(2)</w:t>
      </w:r>
      <w:r w:rsidRPr="004B139B">
        <w:rPr>
          <w:sz w:val="22"/>
          <w:szCs w:val="22"/>
        </w:rPr>
        <w:tab/>
        <w:t xml:space="preserve">The disposition of a taxable activity as a going concern, or part of the taxable activity that is capable of separate operation, shall be deemed to be a supply of goods made in the course or furtherance of that taxable activity. </w:t>
      </w:r>
    </w:p>
    <w:p w14:paraId="594DD79C" w14:textId="77777777" w:rsidR="004B139B" w:rsidRPr="004B139B" w:rsidRDefault="004B139B" w:rsidP="00E16EDE">
      <w:pPr>
        <w:pStyle w:val="Default"/>
        <w:spacing w:line="360" w:lineRule="auto"/>
        <w:jc w:val="both"/>
        <w:rPr>
          <w:sz w:val="22"/>
          <w:szCs w:val="22"/>
        </w:rPr>
      </w:pPr>
    </w:p>
    <w:p w14:paraId="1EF794C0" w14:textId="13D319B9" w:rsidR="004B139B" w:rsidRDefault="004B139B" w:rsidP="00E16EDE">
      <w:pPr>
        <w:pStyle w:val="Default"/>
        <w:spacing w:line="360" w:lineRule="auto"/>
        <w:jc w:val="both"/>
        <w:rPr>
          <w:sz w:val="22"/>
          <w:szCs w:val="22"/>
        </w:rPr>
      </w:pPr>
      <w:r w:rsidRPr="004B139B">
        <w:rPr>
          <w:sz w:val="22"/>
          <w:szCs w:val="22"/>
        </w:rPr>
        <w:t>(3)</w:t>
      </w:r>
      <w:r w:rsidRPr="004B139B">
        <w:rPr>
          <w:sz w:val="22"/>
          <w:szCs w:val="22"/>
        </w:rPr>
        <w:tab/>
        <w:t xml:space="preserve">For the purposes of subsection (2), a taxable activity, or a part of a taxable activity that is capable of separate operation, is disposed of as a going concern where - </w:t>
      </w:r>
    </w:p>
    <w:p w14:paraId="6388D7FE" w14:textId="77777777" w:rsidR="005447CC" w:rsidRPr="004B139B" w:rsidRDefault="005447CC" w:rsidP="00E16EDE">
      <w:pPr>
        <w:pStyle w:val="Default"/>
        <w:spacing w:line="360" w:lineRule="auto"/>
        <w:jc w:val="both"/>
        <w:rPr>
          <w:sz w:val="22"/>
          <w:szCs w:val="22"/>
        </w:rPr>
      </w:pPr>
    </w:p>
    <w:p w14:paraId="7C70CC7C" w14:textId="6E55E499" w:rsidR="006D2EA8" w:rsidRPr="004B139B" w:rsidRDefault="004B139B" w:rsidP="00E16EDE">
      <w:pPr>
        <w:pStyle w:val="Default"/>
        <w:spacing w:line="360" w:lineRule="auto"/>
        <w:jc w:val="both"/>
        <w:rPr>
          <w:sz w:val="22"/>
          <w:szCs w:val="22"/>
        </w:rPr>
      </w:pPr>
      <w:r w:rsidRPr="004B139B">
        <w:rPr>
          <w:sz w:val="22"/>
          <w:szCs w:val="22"/>
        </w:rPr>
        <w:t>(a)</w:t>
      </w:r>
      <w:r w:rsidRPr="004B139B">
        <w:rPr>
          <w:sz w:val="22"/>
          <w:szCs w:val="22"/>
        </w:rPr>
        <w:tab/>
        <w:t xml:space="preserve">all the goods and services necessary for the continued operation of that taxable activity, or part of a taxable activity, are supplied to the transferee; …’    </w:t>
      </w:r>
      <w:r w:rsidR="00510DCE" w:rsidRPr="004B139B">
        <w:rPr>
          <w:sz w:val="22"/>
          <w:szCs w:val="22"/>
        </w:rPr>
        <w:t xml:space="preserve"> </w:t>
      </w:r>
    </w:p>
    <w:p w14:paraId="55834E71" w14:textId="77777777" w:rsidR="006D2EA8" w:rsidRDefault="006D2EA8" w:rsidP="00E16EDE">
      <w:pPr>
        <w:pStyle w:val="Default"/>
        <w:spacing w:line="360" w:lineRule="auto"/>
        <w:jc w:val="both"/>
      </w:pPr>
    </w:p>
    <w:p w14:paraId="1B4F3713" w14:textId="1E97A178" w:rsidR="00C74900" w:rsidRDefault="00C74900" w:rsidP="00E16EDE">
      <w:pPr>
        <w:pStyle w:val="Default"/>
        <w:spacing w:line="360" w:lineRule="auto"/>
        <w:jc w:val="both"/>
      </w:pPr>
      <w:r>
        <w:t>[27]</w:t>
      </w:r>
      <w:r>
        <w:tab/>
        <w:t xml:space="preserve">I hold the view that the sale of </w:t>
      </w:r>
      <w:r w:rsidR="00F820E8" w:rsidRPr="005447CC">
        <w:rPr>
          <w:color w:val="auto"/>
        </w:rPr>
        <w:t>a</w:t>
      </w:r>
      <w:r w:rsidR="00F820E8">
        <w:t xml:space="preserve"> </w:t>
      </w:r>
      <w:r>
        <w:t>farm is capable of being interpreted as part of a taxable activity</w:t>
      </w:r>
      <w:r w:rsidR="00342F76" w:rsidRPr="00342F76">
        <w:rPr>
          <w:color w:val="FF0000"/>
        </w:rPr>
        <w:t>,</w:t>
      </w:r>
      <w:r w:rsidRPr="00342F76">
        <w:rPr>
          <w:color w:val="FF0000"/>
        </w:rPr>
        <w:t xml:space="preserve"> </w:t>
      </w:r>
      <w:r>
        <w:t>capable of separate operation and in this matter</w:t>
      </w:r>
      <w:r w:rsidR="00F820E8">
        <w:t>,</w:t>
      </w:r>
      <w:r>
        <w:t xml:space="preserve"> all goods incidental to the sale of the farm were transferred to the first defendant.</w:t>
      </w:r>
      <w:r w:rsidR="002F5517">
        <w:t xml:space="preserve"> It therefore cannot be said that on all reasonable interpretation</w:t>
      </w:r>
      <w:r w:rsidR="00342F76" w:rsidRPr="005447CC">
        <w:rPr>
          <w:color w:val="auto"/>
        </w:rPr>
        <w:t>s</w:t>
      </w:r>
      <w:r w:rsidR="002F5517">
        <w:t xml:space="preserve"> to be afforded to the particulars of claim</w:t>
      </w:r>
      <w:r w:rsidR="00F820E8" w:rsidRPr="005447CC">
        <w:rPr>
          <w:color w:val="auto"/>
        </w:rPr>
        <w:t>,</w:t>
      </w:r>
      <w:r w:rsidR="002F5517">
        <w:t xml:space="preserve"> the sale of the farm is not a taxable activity. </w:t>
      </w:r>
      <w:r>
        <w:t xml:space="preserve"> </w:t>
      </w:r>
    </w:p>
    <w:p w14:paraId="351CBCFD" w14:textId="77777777" w:rsidR="00C74900" w:rsidRDefault="00C74900" w:rsidP="00E16EDE">
      <w:pPr>
        <w:pStyle w:val="Default"/>
        <w:spacing w:line="360" w:lineRule="auto"/>
        <w:jc w:val="both"/>
      </w:pPr>
    </w:p>
    <w:p w14:paraId="573B4274" w14:textId="31FFBABF" w:rsidR="00C02C69" w:rsidRDefault="00C74900" w:rsidP="00E16EDE">
      <w:pPr>
        <w:pStyle w:val="Default"/>
        <w:spacing w:line="360" w:lineRule="auto"/>
        <w:jc w:val="both"/>
      </w:pPr>
      <w:r>
        <w:t xml:space="preserve"> </w:t>
      </w:r>
      <w:r w:rsidR="00914C26">
        <w:t>[</w:t>
      </w:r>
      <w:r w:rsidR="00586448">
        <w:t>28</w:t>
      </w:r>
      <w:r w:rsidR="00914C26">
        <w:t>]</w:t>
      </w:r>
      <w:r w:rsidR="00914C26">
        <w:tab/>
      </w:r>
      <w:r w:rsidR="00262A0D">
        <w:t xml:space="preserve">Clause 9.5 of the agreement quoted herein above qualifies the obligation for payment arising out of a liability where the transaction is not </w:t>
      </w:r>
      <w:r w:rsidR="00C02C69">
        <w:t xml:space="preserve">a </w:t>
      </w:r>
      <w:r w:rsidR="00262A0D">
        <w:t>zero</w:t>
      </w:r>
      <w:r w:rsidR="00325B0F">
        <w:t>-</w:t>
      </w:r>
      <w:r w:rsidR="00262A0D">
        <w:t>rated</w:t>
      </w:r>
      <w:r w:rsidR="00C02C69">
        <w:t xml:space="preserve"> supply. </w:t>
      </w:r>
      <w:r w:rsidR="008300D3">
        <w:t>I accept that the parties signed the agreement with the understanding of the provisions of the VAT Act applicable to zero rating</w:t>
      </w:r>
      <w:r w:rsidR="00427906">
        <w:t xml:space="preserve">. </w:t>
      </w:r>
      <w:r w:rsidR="008300D3">
        <w:t xml:space="preserve"> </w:t>
      </w:r>
    </w:p>
    <w:p w14:paraId="7E9D4D19" w14:textId="73A3C16C" w:rsidR="00C02C69" w:rsidRDefault="00C02C69" w:rsidP="00E16EDE">
      <w:pPr>
        <w:pStyle w:val="Default"/>
        <w:spacing w:line="360" w:lineRule="auto"/>
        <w:jc w:val="both"/>
      </w:pPr>
    </w:p>
    <w:p w14:paraId="6C404A7C" w14:textId="2960BAC7" w:rsidR="00C02C69" w:rsidRDefault="00C02C69" w:rsidP="00E16EDE">
      <w:pPr>
        <w:pStyle w:val="Default"/>
        <w:spacing w:line="360" w:lineRule="auto"/>
        <w:jc w:val="both"/>
      </w:pPr>
      <w:r>
        <w:t>[</w:t>
      </w:r>
      <w:r w:rsidR="003F69C6">
        <w:t>29</w:t>
      </w:r>
      <w:r>
        <w:t>]</w:t>
      </w:r>
      <w:r>
        <w:tab/>
      </w:r>
      <w:r w:rsidR="0026441B">
        <w:t xml:space="preserve">The Act provides as follows regarding zero rating transactions: </w:t>
      </w:r>
    </w:p>
    <w:p w14:paraId="5ABB6033" w14:textId="61666B41" w:rsidR="0026441B" w:rsidRDefault="0026441B" w:rsidP="00E16EDE">
      <w:pPr>
        <w:pStyle w:val="Default"/>
        <w:spacing w:line="360" w:lineRule="auto"/>
        <w:jc w:val="both"/>
      </w:pPr>
    </w:p>
    <w:p w14:paraId="312D7794" w14:textId="22EE75F4" w:rsidR="0026441B" w:rsidRPr="0026441B" w:rsidRDefault="0026441B" w:rsidP="0026441B">
      <w:pPr>
        <w:pStyle w:val="Default"/>
        <w:spacing w:line="360" w:lineRule="auto"/>
        <w:ind w:firstLine="720"/>
        <w:jc w:val="both"/>
        <w:rPr>
          <w:sz w:val="22"/>
          <w:szCs w:val="22"/>
        </w:rPr>
      </w:pPr>
      <w:r w:rsidRPr="0026441B">
        <w:rPr>
          <w:sz w:val="22"/>
          <w:szCs w:val="22"/>
        </w:rPr>
        <w:t>‘9(1)</w:t>
      </w:r>
      <w:r w:rsidRPr="0026441B">
        <w:rPr>
          <w:sz w:val="22"/>
          <w:szCs w:val="22"/>
        </w:rPr>
        <w:tab/>
        <w:t>Where, but for this section, a supply of goods or services would be charged with tax imposed under section 6(1)(a), any such supply shall, subject to compliance with subsection (2), be charged with tax at the rate of zero per cent if that supply is specified in paragraph 2 of Schedule III as a zero</w:t>
      </w:r>
      <w:r w:rsidR="00C13FAA">
        <w:rPr>
          <w:sz w:val="22"/>
          <w:szCs w:val="22"/>
        </w:rPr>
        <w:t>-</w:t>
      </w:r>
      <w:r w:rsidRPr="0026441B">
        <w:rPr>
          <w:sz w:val="22"/>
          <w:szCs w:val="22"/>
        </w:rPr>
        <w:t xml:space="preserve">rated supply. </w:t>
      </w:r>
    </w:p>
    <w:p w14:paraId="1C577A80" w14:textId="630333C0" w:rsidR="0026441B" w:rsidRPr="0026441B" w:rsidRDefault="0026441B" w:rsidP="0026441B">
      <w:pPr>
        <w:pStyle w:val="Default"/>
        <w:spacing w:line="360" w:lineRule="auto"/>
        <w:jc w:val="both"/>
        <w:rPr>
          <w:sz w:val="22"/>
          <w:szCs w:val="22"/>
        </w:rPr>
      </w:pPr>
    </w:p>
    <w:p w14:paraId="0CE52FE2" w14:textId="39CAFF5C" w:rsidR="0026441B" w:rsidRDefault="0026441B" w:rsidP="0026441B">
      <w:pPr>
        <w:pStyle w:val="Default"/>
        <w:spacing w:line="360" w:lineRule="auto"/>
        <w:jc w:val="both"/>
      </w:pPr>
      <w:r w:rsidRPr="0026441B">
        <w:rPr>
          <w:sz w:val="22"/>
          <w:szCs w:val="22"/>
        </w:rPr>
        <w:t>(2)</w:t>
      </w:r>
      <w:r w:rsidRPr="0026441B">
        <w:rPr>
          <w:sz w:val="22"/>
          <w:szCs w:val="22"/>
        </w:rPr>
        <w:tab/>
        <w:t>Where the rate of zero per cent has been applied by a registered person to a supply under this section, the registered person shall obtain and retain such documentary proof acceptable to the Commissioner substantiating the registered person’s entitlement to apply the zero rate to the supply.</w:t>
      </w:r>
      <w:r>
        <w:t>’</w:t>
      </w:r>
    </w:p>
    <w:p w14:paraId="3BB343CA" w14:textId="673C6E47" w:rsidR="00E51BB6" w:rsidRDefault="00E51BB6" w:rsidP="0026441B">
      <w:pPr>
        <w:pStyle w:val="Default"/>
        <w:spacing w:line="360" w:lineRule="auto"/>
        <w:jc w:val="both"/>
      </w:pPr>
    </w:p>
    <w:p w14:paraId="145F8817" w14:textId="0AC9D229" w:rsidR="00E51BB6" w:rsidRDefault="00E51BB6" w:rsidP="0026441B">
      <w:pPr>
        <w:pStyle w:val="Default"/>
        <w:spacing w:line="360" w:lineRule="auto"/>
        <w:jc w:val="both"/>
      </w:pPr>
      <w:r>
        <w:t>[</w:t>
      </w:r>
      <w:r w:rsidR="00C13FAA">
        <w:t>30</w:t>
      </w:r>
      <w:r>
        <w:t>]</w:t>
      </w:r>
      <w:r>
        <w:tab/>
        <w:t xml:space="preserve">Paragraph 2(q) of Schedule III </w:t>
      </w:r>
      <w:r w:rsidR="00F820E8">
        <w:t xml:space="preserve">of the </w:t>
      </w:r>
      <w:r w:rsidR="00F820E8" w:rsidRPr="005447CC">
        <w:rPr>
          <w:color w:val="auto"/>
        </w:rPr>
        <w:t xml:space="preserve">VAT Act </w:t>
      </w:r>
      <w:r w:rsidR="00EA26C6">
        <w:t xml:space="preserve">states </w:t>
      </w:r>
      <w:r>
        <w:t>that subject to paragraph 3</w:t>
      </w:r>
      <w:r w:rsidR="00F820E8">
        <w:t>,</w:t>
      </w:r>
      <w:r w:rsidR="00342F76">
        <w:t xml:space="preserve"> goods or </w:t>
      </w:r>
      <w:r w:rsidR="00342F76" w:rsidRPr="005447CC">
        <w:rPr>
          <w:color w:val="auto"/>
        </w:rPr>
        <w:t>services</w:t>
      </w:r>
      <w:r>
        <w:t xml:space="preserve"> supplied are zero</w:t>
      </w:r>
      <w:r w:rsidR="00ED785C">
        <w:t>-</w:t>
      </w:r>
      <w:r>
        <w:t xml:space="preserve">rated </w:t>
      </w:r>
      <w:r w:rsidR="00EA26C6">
        <w:t xml:space="preserve">where a supply of a taxable activity or part of a taxable activity </w:t>
      </w:r>
      <w:r w:rsidR="00ED785C">
        <w:t>i</w:t>
      </w:r>
      <w:r w:rsidR="00EA26C6">
        <w:t xml:space="preserve">s a going concern, </w:t>
      </w:r>
      <w:r w:rsidR="00ED785C">
        <w:t xml:space="preserve">provided </w:t>
      </w:r>
      <w:r w:rsidR="00EA26C6">
        <w:t xml:space="preserve">a notice in writing signed by the transferor and </w:t>
      </w:r>
      <w:r w:rsidR="00ED785C">
        <w:t xml:space="preserve">the </w:t>
      </w:r>
      <w:r w:rsidR="00EA26C6">
        <w:t xml:space="preserve">transferee detailing the supply is provided to the Commissioner within 21 days after the supply. </w:t>
      </w:r>
    </w:p>
    <w:p w14:paraId="3304238A" w14:textId="40D44199" w:rsidR="00B0340C" w:rsidRDefault="00B0340C" w:rsidP="0026441B">
      <w:pPr>
        <w:pStyle w:val="Default"/>
        <w:spacing w:line="360" w:lineRule="auto"/>
        <w:jc w:val="both"/>
      </w:pPr>
    </w:p>
    <w:p w14:paraId="29E54F1B" w14:textId="7B902D02" w:rsidR="00B0340C" w:rsidRDefault="00B0340C" w:rsidP="0026441B">
      <w:pPr>
        <w:pStyle w:val="Default"/>
        <w:spacing w:line="360" w:lineRule="auto"/>
        <w:jc w:val="both"/>
      </w:pPr>
      <w:r>
        <w:t>[</w:t>
      </w:r>
      <w:r w:rsidR="00EE4DFF">
        <w:t>31</w:t>
      </w:r>
      <w:r>
        <w:t>]</w:t>
      </w:r>
      <w:r>
        <w:tab/>
      </w:r>
      <w:r w:rsidR="00C76AEB">
        <w:t xml:space="preserve">There is no averment </w:t>
      </w:r>
      <w:r w:rsidR="009C02D5">
        <w:t>in</w:t>
      </w:r>
      <w:r w:rsidR="00C76AEB">
        <w:t xml:space="preserve"> the particulars of claim that the </w:t>
      </w:r>
      <w:r w:rsidR="009C02D5">
        <w:t>parties provided the Commissioner w</w:t>
      </w:r>
      <w:r w:rsidR="00F820E8">
        <w:t xml:space="preserve">ith a notice in terms of </w:t>
      </w:r>
      <w:r w:rsidR="00F820E8" w:rsidRPr="005447CC">
        <w:rPr>
          <w:color w:val="auto"/>
        </w:rPr>
        <w:t>s</w:t>
      </w:r>
      <w:r w:rsidR="009C02D5" w:rsidRPr="005447CC">
        <w:rPr>
          <w:color w:val="auto"/>
        </w:rPr>
        <w:t xml:space="preserve"> 9</w:t>
      </w:r>
      <w:r w:rsidR="00342F76" w:rsidRPr="005447CC">
        <w:rPr>
          <w:color w:val="auto"/>
        </w:rPr>
        <w:t>,</w:t>
      </w:r>
      <w:r w:rsidR="009C02D5" w:rsidRPr="005447CC">
        <w:rPr>
          <w:color w:val="auto"/>
        </w:rPr>
        <w:t xml:space="preserve"> </w:t>
      </w:r>
      <w:r w:rsidR="004C1BEA">
        <w:t xml:space="preserve">read with paragraph 2 of Schedule III </w:t>
      </w:r>
      <w:r w:rsidR="009C02D5">
        <w:t xml:space="preserve">in order to regard the transaction as zero rated. </w:t>
      </w:r>
      <w:r w:rsidR="00C76AEB">
        <w:t xml:space="preserve">Mr. Barnard submitted that </w:t>
      </w:r>
      <w:r w:rsidR="005A46DD">
        <w:t>as a result</w:t>
      </w:r>
      <w:r w:rsidR="00F820E8">
        <w:t>,</w:t>
      </w:r>
      <w:r w:rsidR="005A46DD">
        <w:t xml:space="preserve"> the plaintiffs acceded to a demand by the Receiver which was not due according to law. </w:t>
      </w:r>
    </w:p>
    <w:p w14:paraId="26F771F9" w14:textId="7DDC344C" w:rsidR="005A46DD" w:rsidRDefault="005A46DD" w:rsidP="0026441B">
      <w:pPr>
        <w:pStyle w:val="Default"/>
        <w:spacing w:line="360" w:lineRule="auto"/>
        <w:jc w:val="both"/>
      </w:pPr>
    </w:p>
    <w:p w14:paraId="4AA85E86" w14:textId="42523FAE" w:rsidR="002D0F27" w:rsidRDefault="005A46DD" w:rsidP="0026441B">
      <w:pPr>
        <w:pStyle w:val="Default"/>
        <w:spacing w:line="360" w:lineRule="auto"/>
        <w:jc w:val="both"/>
      </w:pPr>
      <w:r>
        <w:t>[</w:t>
      </w:r>
      <w:r w:rsidR="00781996">
        <w:t>32</w:t>
      </w:r>
      <w:r>
        <w:t>]</w:t>
      </w:r>
      <w:r>
        <w:tab/>
      </w:r>
      <w:r w:rsidR="00635D92">
        <w:t xml:space="preserve">The VAT Act does not burden a particular person </w:t>
      </w:r>
      <w:r w:rsidR="00342F76" w:rsidRPr="005447CC">
        <w:rPr>
          <w:color w:val="auto"/>
        </w:rPr>
        <w:t>with</w:t>
      </w:r>
      <w:r w:rsidR="0068433C">
        <w:t xml:space="preserve"> an agreement </w:t>
      </w:r>
      <w:r w:rsidR="00133693" w:rsidRPr="005447CC">
        <w:rPr>
          <w:color w:val="auto"/>
        </w:rPr>
        <w:t>consisting of</w:t>
      </w:r>
      <w:r w:rsidR="00635D92" w:rsidRPr="005447CC">
        <w:rPr>
          <w:color w:val="auto"/>
        </w:rPr>
        <w:t xml:space="preserve"> </w:t>
      </w:r>
      <w:r w:rsidR="00635D92">
        <w:t>the responsibility to provid</w:t>
      </w:r>
      <w:r w:rsidR="00F820E8">
        <w:t xml:space="preserve">e the notice in terms of </w:t>
      </w:r>
      <w:r w:rsidR="00F820E8" w:rsidRPr="00F820E8">
        <w:rPr>
          <w:color w:val="FF0000"/>
        </w:rPr>
        <w:t>s</w:t>
      </w:r>
      <w:r w:rsidR="00635D92" w:rsidRPr="00F820E8">
        <w:rPr>
          <w:color w:val="FF0000"/>
        </w:rPr>
        <w:t xml:space="preserve"> 9</w:t>
      </w:r>
      <w:r w:rsidR="00635D92">
        <w:t xml:space="preserve"> read with paragraph 2 of Schedule III</w:t>
      </w:r>
      <w:r w:rsidR="0068433C">
        <w:t xml:space="preserve"> to the Commissioner. T</w:t>
      </w:r>
      <w:r w:rsidR="00635D92">
        <w:t>o the contrary</w:t>
      </w:r>
      <w:r w:rsidR="00F820E8">
        <w:t>,</w:t>
      </w:r>
      <w:r w:rsidR="00635D92">
        <w:t xml:space="preserve"> </w:t>
      </w:r>
      <w:r w:rsidR="0068433C">
        <w:t>the absence of a requirement or directive placing the burden on a particular person to launch the notice is indicative of the fact that both parties retain the responsibility to provide such notice to the Commissioner.</w:t>
      </w:r>
      <w:r w:rsidR="002D0F27">
        <w:t xml:space="preserve"> Neither </w:t>
      </w:r>
      <w:r w:rsidR="00133693">
        <w:t xml:space="preserve">party may therefore lay blame </w:t>
      </w:r>
      <w:r w:rsidR="00133693" w:rsidRPr="005447CC">
        <w:rPr>
          <w:color w:val="auto"/>
        </w:rPr>
        <w:t>on</w:t>
      </w:r>
      <w:r w:rsidR="002D0F27">
        <w:t xml:space="preserve"> the other for not providing the Commissioner with the notice</w:t>
      </w:r>
      <w:r w:rsidR="00F820E8">
        <w:t>,</w:t>
      </w:r>
      <w:r w:rsidR="002D0F27">
        <w:t xml:space="preserve"> which may trigger the zero</w:t>
      </w:r>
      <w:r w:rsidR="00781996">
        <w:t>-</w:t>
      </w:r>
      <w:r w:rsidR="002D0F27">
        <w:t xml:space="preserve">rating process </w:t>
      </w:r>
      <w:r w:rsidR="000A6D96">
        <w:t xml:space="preserve">within 21 days of the supply </w:t>
      </w:r>
      <w:r w:rsidR="002D0F27">
        <w:t>as all parties may be found wanting in the process.</w:t>
      </w:r>
    </w:p>
    <w:p w14:paraId="69224B8B" w14:textId="11A4B322" w:rsidR="002D0F27" w:rsidRDefault="002D0F27" w:rsidP="0026441B">
      <w:pPr>
        <w:pStyle w:val="Default"/>
        <w:spacing w:line="360" w:lineRule="auto"/>
        <w:jc w:val="both"/>
      </w:pPr>
    </w:p>
    <w:p w14:paraId="45EF745F" w14:textId="32AFCA90" w:rsidR="00B203B5" w:rsidRDefault="00514041" w:rsidP="0026441B">
      <w:pPr>
        <w:pStyle w:val="Default"/>
        <w:spacing w:line="360" w:lineRule="auto"/>
        <w:jc w:val="both"/>
      </w:pPr>
      <w:r>
        <w:t>[</w:t>
      </w:r>
      <w:r w:rsidR="00781996">
        <w:t>33</w:t>
      </w:r>
      <w:r>
        <w:t>]</w:t>
      </w:r>
      <w:r>
        <w:tab/>
      </w:r>
      <w:r w:rsidR="00B203B5">
        <w:t xml:space="preserve">The intention of the parties to an agreement is vital to determine the meaning to be attributed to a particular clause of the agreement. Roper J in </w:t>
      </w:r>
      <w:r w:rsidR="00B203B5" w:rsidRPr="0029447D">
        <w:rPr>
          <w:i/>
          <w:iCs/>
        </w:rPr>
        <w:t>Maskalik v Levitt</w:t>
      </w:r>
      <w:r w:rsidR="00DF415E">
        <w:rPr>
          <w:rStyle w:val="FootnoteReference"/>
          <w:i/>
          <w:iCs/>
        </w:rPr>
        <w:footnoteReference w:id="13"/>
      </w:r>
      <w:r w:rsidR="00B203B5">
        <w:t xml:space="preserve"> said the following at p 325:</w:t>
      </w:r>
    </w:p>
    <w:p w14:paraId="7312D12C" w14:textId="33EF8A82" w:rsidR="00B203B5" w:rsidRDefault="00B203B5" w:rsidP="0026441B">
      <w:pPr>
        <w:pStyle w:val="Default"/>
        <w:spacing w:line="360" w:lineRule="auto"/>
        <w:jc w:val="both"/>
      </w:pPr>
    </w:p>
    <w:p w14:paraId="07A16B15" w14:textId="75F81913" w:rsidR="00B203B5" w:rsidRDefault="00B203B5" w:rsidP="0026441B">
      <w:pPr>
        <w:pStyle w:val="Default"/>
        <w:spacing w:line="360" w:lineRule="auto"/>
        <w:jc w:val="both"/>
      </w:pPr>
      <w:r>
        <w:tab/>
        <w:t>‘</w:t>
      </w:r>
      <w:r w:rsidR="00325B0F">
        <w:rPr>
          <w:sz w:val="22"/>
          <w:szCs w:val="22"/>
        </w:rPr>
        <w:t>w</w:t>
      </w:r>
      <w:r w:rsidRPr="0029447D">
        <w:rPr>
          <w:sz w:val="22"/>
          <w:szCs w:val="22"/>
        </w:rPr>
        <w:t>hen the parties entered into clause 8 of the agreement they must have known that that any sum apportioned to the plaintiff would not merely increase his taxation by the amount which would have been leviable upon the apportioned amount had it stood alone; but that it would grade up the amount payable upon his income regarded as a whole. Clause 8 shows that both parties knew that the sum apportioned would not be the plaintiff’s sole income, because it refers to a salary earned by the plaintiff. The wording of clause 8, though ambiguous, does not exclude an interpretation which is consistent with an intention to indemnify the plaintiff against</w:t>
      </w:r>
      <w:r w:rsidR="004A40D6" w:rsidRPr="0029447D">
        <w:rPr>
          <w:sz w:val="22"/>
          <w:szCs w:val="22"/>
        </w:rPr>
        <w:t xml:space="preserve"> such an increase, and in my view, formed upon the document as a whole, that was the intention of the parties.</w:t>
      </w:r>
      <w:r w:rsidR="004A40D6">
        <w:t>’</w:t>
      </w:r>
      <w:r>
        <w:t xml:space="preserve">  </w:t>
      </w:r>
    </w:p>
    <w:p w14:paraId="35826FE3" w14:textId="77777777" w:rsidR="00B203B5" w:rsidRDefault="00B203B5" w:rsidP="0026441B">
      <w:pPr>
        <w:pStyle w:val="Default"/>
        <w:spacing w:line="360" w:lineRule="auto"/>
        <w:jc w:val="both"/>
      </w:pPr>
    </w:p>
    <w:p w14:paraId="7678CF27" w14:textId="6861D9A3" w:rsidR="00514041" w:rsidRDefault="00B203B5" w:rsidP="0026441B">
      <w:pPr>
        <w:pStyle w:val="Default"/>
        <w:spacing w:line="360" w:lineRule="auto"/>
        <w:jc w:val="both"/>
      </w:pPr>
      <w:r>
        <w:t>[</w:t>
      </w:r>
      <w:r w:rsidR="003D3832">
        <w:t>34</w:t>
      </w:r>
      <w:r>
        <w:t>]</w:t>
      </w:r>
      <w:r>
        <w:tab/>
      </w:r>
      <w:r w:rsidR="00207106">
        <w:t xml:space="preserve">In consideration of the above principle, it transpires that the </w:t>
      </w:r>
      <w:r w:rsidR="00B67A51">
        <w:t>reading of clause 9.5 reveal</w:t>
      </w:r>
      <w:r w:rsidR="00133693" w:rsidRPr="005447CC">
        <w:rPr>
          <w:color w:val="auto"/>
        </w:rPr>
        <w:t>s</w:t>
      </w:r>
      <w:r w:rsidR="00B67A51" w:rsidRPr="00133693">
        <w:rPr>
          <w:color w:val="FF0000"/>
        </w:rPr>
        <w:t xml:space="preserve"> </w:t>
      </w:r>
      <w:r w:rsidR="00B67A51">
        <w:t>that the parties were well aware that their sale agreement was subject to VAT charges. The only determination that needed to be made is the rate at which VAT is to be charged, that is whether zero</w:t>
      </w:r>
      <w:r w:rsidR="008117E9">
        <w:t>-</w:t>
      </w:r>
      <w:r w:rsidR="00B67A51">
        <w:t xml:space="preserve">rated or not. </w:t>
      </w:r>
      <w:r w:rsidR="00634931">
        <w:t>Strictly speaking</w:t>
      </w:r>
      <w:r w:rsidR="00F820E8">
        <w:t>,</w:t>
      </w:r>
      <w:r w:rsidR="00634931">
        <w:t xml:space="preserve"> a zero</w:t>
      </w:r>
      <w:r w:rsidR="008117E9">
        <w:t>-</w:t>
      </w:r>
      <w:r w:rsidR="00634931">
        <w:t>rate charge is VAT charge</w:t>
      </w:r>
      <w:r w:rsidR="004D676D">
        <w:t xml:space="preserve">d at the rate of zero percent. </w:t>
      </w:r>
      <w:r w:rsidR="00862A22">
        <w:t xml:space="preserve">It follows therefore that a VAT charge at any rate other than at the rate of zero percent to which the plaintiffs are liable is subject to indemnification by the first defendant. </w:t>
      </w:r>
    </w:p>
    <w:p w14:paraId="70306A1E" w14:textId="0C63E5D5" w:rsidR="00862A22" w:rsidRDefault="00862A22" w:rsidP="0026441B">
      <w:pPr>
        <w:pStyle w:val="Default"/>
        <w:spacing w:line="360" w:lineRule="auto"/>
        <w:jc w:val="both"/>
      </w:pPr>
    </w:p>
    <w:p w14:paraId="7A3232CF" w14:textId="077F8DD0" w:rsidR="006302E7" w:rsidRDefault="00862A22" w:rsidP="0026441B">
      <w:pPr>
        <w:pStyle w:val="Default"/>
        <w:spacing w:line="360" w:lineRule="auto"/>
        <w:jc w:val="both"/>
      </w:pPr>
      <w:r>
        <w:t>[</w:t>
      </w:r>
      <w:r w:rsidR="005C05E5">
        <w:t>3</w:t>
      </w:r>
      <w:r w:rsidR="003D3832">
        <w:t>5</w:t>
      </w:r>
      <w:r>
        <w:t>]</w:t>
      </w:r>
      <w:r>
        <w:tab/>
      </w:r>
      <w:r w:rsidR="009F7EC1">
        <w:t xml:space="preserve">The particulars of </w:t>
      </w:r>
      <w:r w:rsidR="00133693">
        <w:t>claim provide</w:t>
      </w:r>
      <w:r w:rsidR="009F7EC1">
        <w:t xml:space="preserve"> that the Receiver presented to the plaintiffs a VAT tax demand in the amount of N$7 533 836.28 due on the purchase price of the farm inclusive of penalties and interest. </w:t>
      </w:r>
      <w:r w:rsidR="00104EBE">
        <w:t xml:space="preserve">The particulars of claim provide further that the Receiver’s claim for VAT was reduced to N$3 013 217.76 after deducting the penalties. </w:t>
      </w:r>
      <w:r w:rsidR="00C903A4">
        <w:t>Considering that the only deductions made from the original VAT claim were penalties</w:t>
      </w:r>
      <w:r w:rsidR="006302E7">
        <w:t>,</w:t>
      </w:r>
      <w:r w:rsidR="00C903A4">
        <w:t xml:space="preserve"> it can be interpreted amongst </w:t>
      </w:r>
      <w:r w:rsidR="00C903A4" w:rsidRPr="005447CC">
        <w:rPr>
          <w:color w:val="auto"/>
        </w:rPr>
        <w:t>other</w:t>
      </w:r>
      <w:r w:rsidR="00133693" w:rsidRPr="005447CC">
        <w:rPr>
          <w:color w:val="auto"/>
        </w:rPr>
        <w:t xml:space="preserve"> possible</w:t>
      </w:r>
      <w:r w:rsidR="00C903A4" w:rsidRPr="005447CC">
        <w:rPr>
          <w:color w:val="auto"/>
        </w:rPr>
        <w:t xml:space="preserve"> </w:t>
      </w:r>
      <w:r w:rsidR="00C903A4">
        <w:t xml:space="preserve">interpretations that </w:t>
      </w:r>
      <w:r w:rsidR="00615190">
        <w:t xml:space="preserve">the Receiver does not regard the </w:t>
      </w:r>
      <w:r w:rsidR="000501C9">
        <w:t>VAT rate applicable to be zero</w:t>
      </w:r>
      <w:r w:rsidR="00B2190F">
        <w:t>-</w:t>
      </w:r>
      <w:r w:rsidR="000501C9">
        <w:t>rated</w:t>
      </w:r>
      <w:r w:rsidR="002E15C8">
        <w:t>, because if he did then he would have applied the rate of zero percent</w:t>
      </w:r>
      <w:r w:rsidR="00B2190F">
        <w:t xml:space="preserve"> to the entire claim</w:t>
      </w:r>
      <w:r w:rsidR="002E15C8">
        <w:t xml:space="preserve">. </w:t>
      </w:r>
      <w:r w:rsidR="006302E7">
        <w:t>The deduction of penalties only on the VAT claim leaving the remainder intact</w:t>
      </w:r>
      <w:r w:rsidR="00F820E8">
        <w:t>,</w:t>
      </w:r>
      <w:r w:rsidR="006302E7">
        <w:t xml:space="preserve"> supports the finding that the VAT charge was not zero</w:t>
      </w:r>
      <w:r w:rsidR="00B2190F">
        <w:t>-</w:t>
      </w:r>
      <w:r w:rsidR="006302E7">
        <w:t xml:space="preserve">rated. </w:t>
      </w:r>
    </w:p>
    <w:p w14:paraId="4F2BAB2F" w14:textId="77777777" w:rsidR="006302E7" w:rsidRDefault="006302E7" w:rsidP="0026441B">
      <w:pPr>
        <w:pStyle w:val="Default"/>
        <w:spacing w:line="360" w:lineRule="auto"/>
        <w:jc w:val="both"/>
      </w:pPr>
    </w:p>
    <w:p w14:paraId="6F74C344" w14:textId="204FB9E0" w:rsidR="00862A22" w:rsidRDefault="006302E7" w:rsidP="0026441B">
      <w:pPr>
        <w:pStyle w:val="Default"/>
        <w:spacing w:line="360" w:lineRule="auto"/>
        <w:jc w:val="both"/>
      </w:pPr>
      <w:r>
        <w:t>[</w:t>
      </w:r>
      <w:r w:rsidR="00896941">
        <w:t>3</w:t>
      </w:r>
      <w:r w:rsidR="003D3832">
        <w:t>6</w:t>
      </w:r>
      <w:r>
        <w:t>]</w:t>
      </w:r>
      <w:r>
        <w:tab/>
      </w:r>
      <w:r w:rsidR="00E17C57">
        <w:t xml:space="preserve">On the interpretation of the averments </w:t>
      </w:r>
      <w:r w:rsidR="006B50E4">
        <w:t>in</w:t>
      </w:r>
      <w:r w:rsidR="00E17C57">
        <w:t xml:space="preserve"> the particulars of claim</w:t>
      </w:r>
      <w:r w:rsidR="00F820E8">
        <w:t>,</w:t>
      </w:r>
      <w:r w:rsidR="00E17C57">
        <w:t xml:space="preserve"> it can be said that the plaintiffs became liable to pay the Receiver after the Receiver decided not to charge VAT at zero percent. There can be merit in the suggestion that perhaps the Receiver overcharged the plaintiffs or there could be errors in calculations but </w:t>
      </w:r>
      <w:r w:rsidR="00E17C57" w:rsidRPr="005447CC">
        <w:rPr>
          <w:color w:val="auto"/>
        </w:rPr>
        <w:t>this reduce</w:t>
      </w:r>
      <w:r w:rsidR="00133693" w:rsidRPr="005447CC">
        <w:rPr>
          <w:color w:val="auto"/>
        </w:rPr>
        <w:t xml:space="preserve">s nothing (does not detract) </w:t>
      </w:r>
      <w:r w:rsidR="00E17C57">
        <w:t>from the interpretation that the VAT was not zero</w:t>
      </w:r>
      <w:r w:rsidR="006B50E4">
        <w:t>-</w:t>
      </w:r>
      <w:r w:rsidR="00E17C57">
        <w:t xml:space="preserve">rated. </w:t>
      </w:r>
    </w:p>
    <w:p w14:paraId="51C20ACD" w14:textId="1C2536F0" w:rsidR="00E17C57" w:rsidRDefault="00E17C57" w:rsidP="0026441B">
      <w:pPr>
        <w:pStyle w:val="Default"/>
        <w:spacing w:line="360" w:lineRule="auto"/>
        <w:jc w:val="both"/>
      </w:pPr>
    </w:p>
    <w:p w14:paraId="2D40E1E6" w14:textId="54F7A1C3" w:rsidR="006E4925" w:rsidRPr="00D269FF" w:rsidRDefault="006E4925" w:rsidP="00803AF7">
      <w:pPr>
        <w:pStyle w:val="Default"/>
        <w:spacing w:line="360" w:lineRule="auto"/>
        <w:jc w:val="both"/>
        <w:rPr>
          <w:u w:val="single"/>
        </w:rPr>
      </w:pPr>
      <w:r w:rsidRPr="00D269FF">
        <w:rPr>
          <w:u w:val="single"/>
        </w:rPr>
        <w:t>Conclusion</w:t>
      </w:r>
    </w:p>
    <w:p w14:paraId="3B059779" w14:textId="77777777" w:rsidR="006E4925" w:rsidRPr="00D269FF" w:rsidRDefault="006E4925" w:rsidP="00803AF7">
      <w:pPr>
        <w:pStyle w:val="Default"/>
        <w:spacing w:line="360" w:lineRule="auto"/>
        <w:jc w:val="both"/>
        <w:rPr>
          <w:u w:val="single"/>
        </w:rPr>
      </w:pPr>
    </w:p>
    <w:p w14:paraId="499FE213" w14:textId="5667C556" w:rsidR="00A973A4" w:rsidRPr="00D269FF" w:rsidRDefault="00561585" w:rsidP="00E47640">
      <w:pPr>
        <w:spacing w:line="480" w:lineRule="auto"/>
        <w:jc w:val="both"/>
        <w:rPr>
          <w:rFonts w:ascii="Arial" w:hAnsi="Arial" w:cs="Arial"/>
        </w:rPr>
      </w:pPr>
      <w:r w:rsidRPr="00D269FF">
        <w:rPr>
          <w:rFonts w:ascii="Arial" w:hAnsi="Arial" w:cs="Arial"/>
          <w:lang w:val="en-ZA"/>
        </w:rPr>
        <w:t>[</w:t>
      </w:r>
      <w:r w:rsidR="007D73AC">
        <w:rPr>
          <w:rFonts w:ascii="Arial" w:hAnsi="Arial" w:cs="Arial"/>
          <w:lang w:val="en-ZA"/>
        </w:rPr>
        <w:t>3</w:t>
      </w:r>
      <w:r w:rsidR="003D3832">
        <w:rPr>
          <w:rFonts w:ascii="Arial" w:hAnsi="Arial" w:cs="Arial"/>
          <w:lang w:val="en-ZA"/>
        </w:rPr>
        <w:t>7</w:t>
      </w:r>
      <w:r w:rsidRPr="00D269FF">
        <w:rPr>
          <w:rFonts w:ascii="Arial" w:hAnsi="Arial" w:cs="Arial"/>
          <w:lang w:val="en-ZA"/>
        </w:rPr>
        <w:t>]</w:t>
      </w:r>
      <w:r w:rsidRPr="00D269FF">
        <w:rPr>
          <w:rFonts w:ascii="Arial" w:hAnsi="Arial" w:cs="Arial"/>
          <w:lang w:val="en-ZA"/>
        </w:rPr>
        <w:tab/>
      </w:r>
      <w:r w:rsidR="006E4925" w:rsidRPr="00D269FF">
        <w:rPr>
          <w:rFonts w:ascii="Arial" w:hAnsi="Arial" w:cs="Arial"/>
          <w:lang w:val="en-ZA"/>
        </w:rPr>
        <w:t xml:space="preserve">In the </w:t>
      </w:r>
      <w:r w:rsidR="00670248">
        <w:rPr>
          <w:rFonts w:ascii="Arial" w:hAnsi="Arial" w:cs="Arial"/>
          <w:lang w:val="en-ZA"/>
        </w:rPr>
        <w:t xml:space="preserve">view of my findings and conclusions stated above, I find that the averments in the particulars of claim can be interpreted to mean that the plaintiffs are liable for payment of VAT charged </w:t>
      </w:r>
      <w:r w:rsidR="00EC3457">
        <w:rPr>
          <w:rFonts w:ascii="Arial" w:hAnsi="Arial" w:cs="Arial"/>
          <w:lang w:val="en-ZA"/>
        </w:rPr>
        <w:t xml:space="preserve">and the first defendant is liable to indemnify the plaintiffs accordingly. </w:t>
      </w:r>
      <w:r w:rsidR="00325B0F">
        <w:rPr>
          <w:rFonts w:ascii="Arial" w:hAnsi="Arial" w:cs="Arial"/>
          <w:lang w:val="en-ZA"/>
        </w:rPr>
        <w:t>T</w:t>
      </w:r>
      <w:r w:rsidR="00133693">
        <w:rPr>
          <w:rFonts w:ascii="Arial" w:hAnsi="Arial" w:cs="Arial"/>
          <w:lang w:val="en-ZA"/>
        </w:rPr>
        <w:t xml:space="preserve">he first defendant is capable </w:t>
      </w:r>
      <w:r w:rsidR="00133693" w:rsidRPr="005447CC">
        <w:rPr>
          <w:rFonts w:ascii="Arial" w:hAnsi="Arial" w:cs="Arial"/>
          <w:lang w:val="en-ZA"/>
        </w:rPr>
        <w:t>of</w:t>
      </w:r>
      <w:r w:rsidR="00325B0F" w:rsidRPr="005447CC">
        <w:rPr>
          <w:rFonts w:ascii="Arial" w:hAnsi="Arial" w:cs="Arial"/>
          <w:lang w:val="en-ZA"/>
        </w:rPr>
        <w:t xml:space="preserve"> understand</w:t>
      </w:r>
      <w:r w:rsidR="00133693" w:rsidRPr="005447CC">
        <w:rPr>
          <w:rFonts w:ascii="Arial" w:hAnsi="Arial" w:cs="Arial"/>
          <w:lang w:val="en-ZA"/>
        </w:rPr>
        <w:t xml:space="preserve">ing </w:t>
      </w:r>
      <w:r w:rsidR="00133693">
        <w:rPr>
          <w:rFonts w:ascii="Arial" w:hAnsi="Arial" w:cs="Arial"/>
          <w:lang w:val="en-ZA"/>
        </w:rPr>
        <w:t xml:space="preserve">the nature </w:t>
      </w:r>
      <w:r w:rsidR="00133693" w:rsidRPr="005447CC">
        <w:rPr>
          <w:rFonts w:ascii="Arial" w:hAnsi="Arial" w:cs="Arial"/>
          <w:lang w:val="en-ZA"/>
        </w:rPr>
        <w:t>o</w:t>
      </w:r>
      <w:r w:rsidR="00325B0F" w:rsidRPr="005447CC">
        <w:rPr>
          <w:rFonts w:ascii="Arial" w:hAnsi="Arial" w:cs="Arial"/>
          <w:lang w:val="en-ZA"/>
        </w:rPr>
        <w:t>f</w:t>
      </w:r>
      <w:r w:rsidR="00325B0F">
        <w:rPr>
          <w:rFonts w:ascii="Arial" w:hAnsi="Arial" w:cs="Arial"/>
          <w:lang w:val="en-ZA"/>
        </w:rPr>
        <w:t xml:space="preserve"> the case he has to meet</w:t>
      </w:r>
      <w:r w:rsidR="00133693">
        <w:rPr>
          <w:rFonts w:ascii="Arial" w:hAnsi="Arial" w:cs="Arial"/>
          <w:lang w:val="en-ZA"/>
        </w:rPr>
        <w:t xml:space="preserve"> and </w:t>
      </w:r>
      <w:r w:rsidR="00133693" w:rsidRPr="005447CC">
        <w:rPr>
          <w:rFonts w:ascii="Arial" w:hAnsi="Arial" w:cs="Arial"/>
          <w:lang w:val="en-ZA"/>
        </w:rPr>
        <w:t>to plead to it accordingly</w:t>
      </w:r>
      <w:r w:rsidR="00325B0F" w:rsidRPr="005447CC">
        <w:rPr>
          <w:rFonts w:ascii="Arial" w:hAnsi="Arial" w:cs="Arial"/>
          <w:lang w:val="en-ZA"/>
        </w:rPr>
        <w:t>.</w:t>
      </w:r>
      <w:r w:rsidR="00325B0F">
        <w:rPr>
          <w:rFonts w:ascii="Arial" w:hAnsi="Arial" w:cs="Arial"/>
          <w:lang w:val="en-ZA"/>
        </w:rPr>
        <w:t xml:space="preserve"> </w:t>
      </w:r>
      <w:r w:rsidR="002B4CA9">
        <w:rPr>
          <w:rFonts w:ascii="Arial" w:hAnsi="Arial" w:cs="Arial"/>
          <w:lang w:val="en-ZA"/>
        </w:rPr>
        <w:t>I further find that</w:t>
      </w:r>
      <w:r w:rsidR="00133693">
        <w:rPr>
          <w:rFonts w:ascii="Arial" w:hAnsi="Arial" w:cs="Arial"/>
          <w:lang w:val="en-ZA"/>
        </w:rPr>
        <w:t xml:space="preserve"> </w:t>
      </w:r>
      <w:r w:rsidR="00133693" w:rsidRPr="005447CC">
        <w:rPr>
          <w:rFonts w:ascii="Arial" w:hAnsi="Arial" w:cs="Arial"/>
          <w:lang w:val="en-ZA"/>
        </w:rPr>
        <w:t>the</w:t>
      </w:r>
      <w:r w:rsidR="002B4CA9" w:rsidRPr="005447CC">
        <w:rPr>
          <w:rFonts w:ascii="Arial" w:hAnsi="Arial" w:cs="Arial"/>
          <w:lang w:val="en-ZA"/>
        </w:rPr>
        <w:t xml:space="preserve"> </w:t>
      </w:r>
      <w:r w:rsidR="002B4CA9">
        <w:rPr>
          <w:rFonts w:ascii="Arial" w:hAnsi="Arial" w:cs="Arial"/>
          <w:lang w:val="en-ZA"/>
        </w:rPr>
        <w:t xml:space="preserve">qualms raised by the first defendant can be pleaded </w:t>
      </w:r>
      <w:r w:rsidR="00743EE8">
        <w:rPr>
          <w:rFonts w:ascii="Arial" w:hAnsi="Arial" w:cs="Arial"/>
          <w:lang w:val="en-ZA"/>
        </w:rPr>
        <w:t xml:space="preserve">as the averments in the particulars of claim can sustain a cause of action, </w:t>
      </w:r>
      <w:r w:rsidR="002B4CA9">
        <w:rPr>
          <w:rFonts w:ascii="Arial" w:hAnsi="Arial" w:cs="Arial"/>
          <w:lang w:val="en-ZA"/>
        </w:rPr>
        <w:t xml:space="preserve">after which evidence should be led. </w:t>
      </w:r>
      <w:r w:rsidR="004A2D29">
        <w:rPr>
          <w:rFonts w:ascii="Arial" w:hAnsi="Arial" w:cs="Arial"/>
          <w:lang w:val="en-ZA"/>
        </w:rPr>
        <w:t>In the premises</w:t>
      </w:r>
      <w:r w:rsidR="00F820E8">
        <w:rPr>
          <w:rFonts w:ascii="Arial" w:hAnsi="Arial" w:cs="Arial"/>
          <w:lang w:val="en-ZA"/>
        </w:rPr>
        <w:t>,</w:t>
      </w:r>
      <w:r w:rsidR="004A2D29">
        <w:rPr>
          <w:rFonts w:ascii="Arial" w:hAnsi="Arial" w:cs="Arial"/>
          <w:lang w:val="en-ZA"/>
        </w:rPr>
        <w:t xml:space="preserve"> I am </w:t>
      </w:r>
      <w:r w:rsidR="006E4925" w:rsidRPr="00D269FF">
        <w:rPr>
          <w:rFonts w:ascii="Arial" w:hAnsi="Arial" w:cs="Arial"/>
          <w:lang w:val="en-ZA"/>
        </w:rPr>
        <w:t xml:space="preserve">of the considered </w:t>
      </w:r>
      <w:r w:rsidRPr="00D269FF">
        <w:rPr>
          <w:rFonts w:ascii="Arial" w:hAnsi="Arial" w:cs="Arial"/>
          <w:lang w:val="en-ZA"/>
        </w:rPr>
        <w:t xml:space="preserve">view that the exception was not </w:t>
      </w:r>
      <w:r w:rsidR="006E4925" w:rsidRPr="00D269FF">
        <w:rPr>
          <w:rFonts w:ascii="Arial" w:hAnsi="Arial" w:cs="Arial"/>
          <w:lang w:val="en-ZA"/>
        </w:rPr>
        <w:t xml:space="preserve">properly </w:t>
      </w:r>
      <w:r w:rsidRPr="00D269FF">
        <w:rPr>
          <w:rFonts w:ascii="Arial" w:hAnsi="Arial" w:cs="Arial"/>
          <w:lang w:val="en-ZA"/>
        </w:rPr>
        <w:t xml:space="preserve">taken and </w:t>
      </w:r>
      <w:r w:rsidR="006E4925" w:rsidRPr="00D269FF">
        <w:rPr>
          <w:rFonts w:ascii="Arial" w:hAnsi="Arial" w:cs="Arial"/>
          <w:lang w:val="en-ZA"/>
        </w:rPr>
        <w:t xml:space="preserve">falls to be </w:t>
      </w:r>
      <w:r w:rsidRPr="00D269FF">
        <w:rPr>
          <w:rFonts w:ascii="Arial" w:hAnsi="Arial" w:cs="Arial"/>
          <w:lang w:val="en-ZA"/>
        </w:rPr>
        <w:t xml:space="preserve">dismissed.   </w:t>
      </w:r>
    </w:p>
    <w:p w14:paraId="15B0BE22" w14:textId="48270216" w:rsidR="00A973A4" w:rsidRPr="00D269FF" w:rsidRDefault="00A973A4" w:rsidP="00A973A4">
      <w:pPr>
        <w:spacing w:line="360" w:lineRule="auto"/>
        <w:jc w:val="both"/>
        <w:rPr>
          <w:rFonts w:ascii="Arial" w:hAnsi="Arial" w:cs="Arial"/>
        </w:rPr>
      </w:pPr>
    </w:p>
    <w:p w14:paraId="387ADFEA" w14:textId="17F1354A" w:rsidR="00A973A4" w:rsidRPr="00D269FF" w:rsidRDefault="00A973A4" w:rsidP="00A973A4">
      <w:pPr>
        <w:spacing w:line="360" w:lineRule="auto"/>
        <w:jc w:val="both"/>
        <w:rPr>
          <w:rFonts w:ascii="Arial" w:hAnsi="Arial" w:cs="Arial"/>
        </w:rPr>
      </w:pPr>
      <w:r w:rsidRPr="00D269FF">
        <w:rPr>
          <w:rFonts w:ascii="Arial" w:hAnsi="Arial" w:cs="Arial"/>
        </w:rPr>
        <w:t>[</w:t>
      </w:r>
      <w:r w:rsidR="003D3832">
        <w:rPr>
          <w:rFonts w:ascii="Arial" w:hAnsi="Arial" w:cs="Arial"/>
        </w:rPr>
        <w:t>38</w:t>
      </w:r>
      <w:r w:rsidRPr="00D269FF">
        <w:rPr>
          <w:rFonts w:ascii="Arial" w:hAnsi="Arial" w:cs="Arial"/>
        </w:rPr>
        <w:t>]</w:t>
      </w:r>
      <w:r w:rsidRPr="00D269FF">
        <w:rPr>
          <w:rFonts w:ascii="Arial" w:hAnsi="Arial" w:cs="Arial"/>
        </w:rPr>
        <w:tab/>
        <w:t xml:space="preserve">In the result, it is ordered that: </w:t>
      </w:r>
    </w:p>
    <w:p w14:paraId="5CECEB5F" w14:textId="77777777" w:rsidR="00A973A4" w:rsidRPr="00D269FF" w:rsidRDefault="00A973A4" w:rsidP="00A973A4">
      <w:pPr>
        <w:pStyle w:val="BodyText"/>
        <w:spacing w:line="360" w:lineRule="auto"/>
        <w:jc w:val="both"/>
        <w:rPr>
          <w:rFonts w:ascii="Arial" w:hAnsi="Arial" w:cs="Arial"/>
        </w:rPr>
      </w:pPr>
    </w:p>
    <w:p w14:paraId="2B98FA29" w14:textId="7EAD7E5E" w:rsidR="00DE7E50" w:rsidRPr="00D269FF" w:rsidRDefault="00DE7E50" w:rsidP="00E47640">
      <w:pPr>
        <w:pStyle w:val="BodyText"/>
        <w:numPr>
          <w:ilvl w:val="0"/>
          <w:numId w:val="35"/>
        </w:numPr>
        <w:spacing w:line="360" w:lineRule="auto"/>
        <w:ind w:left="0" w:firstLine="0"/>
        <w:jc w:val="both"/>
        <w:rPr>
          <w:rFonts w:ascii="Arial" w:hAnsi="Arial" w:cs="Arial"/>
        </w:rPr>
      </w:pPr>
      <w:r w:rsidRPr="00D269FF">
        <w:rPr>
          <w:rFonts w:ascii="Arial" w:hAnsi="Arial" w:cs="Arial"/>
        </w:rPr>
        <w:t xml:space="preserve">The </w:t>
      </w:r>
      <w:r w:rsidR="006C24D9">
        <w:rPr>
          <w:rFonts w:ascii="Arial" w:hAnsi="Arial" w:cs="Arial"/>
        </w:rPr>
        <w:t xml:space="preserve">first </w:t>
      </w:r>
      <w:r w:rsidRPr="00D269FF">
        <w:rPr>
          <w:rFonts w:ascii="Arial" w:hAnsi="Arial" w:cs="Arial"/>
        </w:rPr>
        <w:t>defendant</w:t>
      </w:r>
      <w:r w:rsidR="006C24D9">
        <w:rPr>
          <w:rFonts w:ascii="Arial" w:hAnsi="Arial" w:cs="Arial"/>
        </w:rPr>
        <w:t>’</w:t>
      </w:r>
      <w:r w:rsidRPr="00D269FF">
        <w:rPr>
          <w:rFonts w:ascii="Arial" w:hAnsi="Arial" w:cs="Arial"/>
        </w:rPr>
        <w:t>s exception brought against the plaintiffs</w:t>
      </w:r>
      <w:r w:rsidR="006C24D9">
        <w:rPr>
          <w:rFonts w:ascii="Arial" w:hAnsi="Arial" w:cs="Arial"/>
        </w:rPr>
        <w:t>’</w:t>
      </w:r>
      <w:r w:rsidRPr="00D269FF">
        <w:rPr>
          <w:rFonts w:ascii="Arial" w:hAnsi="Arial" w:cs="Arial"/>
        </w:rPr>
        <w:t xml:space="preserve"> particulars of claim </w:t>
      </w:r>
      <w:r w:rsidR="00224965" w:rsidRPr="00D269FF">
        <w:rPr>
          <w:rFonts w:ascii="Arial" w:hAnsi="Arial" w:cs="Arial"/>
        </w:rPr>
        <w:t>is</w:t>
      </w:r>
      <w:r w:rsidRPr="00D269FF">
        <w:rPr>
          <w:rFonts w:ascii="Arial" w:hAnsi="Arial" w:cs="Arial"/>
        </w:rPr>
        <w:t xml:space="preserve"> dismissed. </w:t>
      </w:r>
    </w:p>
    <w:p w14:paraId="26C1C7BE" w14:textId="24C8DF33" w:rsidR="00DE7E50" w:rsidRPr="00D269FF" w:rsidRDefault="00DE7E50" w:rsidP="00E47640">
      <w:pPr>
        <w:numPr>
          <w:ilvl w:val="0"/>
          <w:numId w:val="35"/>
        </w:numPr>
        <w:spacing w:line="360" w:lineRule="auto"/>
        <w:ind w:left="0" w:firstLine="0"/>
        <w:jc w:val="both"/>
        <w:rPr>
          <w:rFonts w:ascii="Arial" w:hAnsi="Arial" w:cs="Arial"/>
        </w:rPr>
      </w:pPr>
      <w:r w:rsidRPr="00D269FF">
        <w:rPr>
          <w:rFonts w:ascii="Arial" w:hAnsi="Arial" w:cs="Arial"/>
        </w:rPr>
        <w:t xml:space="preserve">The </w:t>
      </w:r>
      <w:r w:rsidR="006C24D9">
        <w:rPr>
          <w:rFonts w:ascii="Arial" w:hAnsi="Arial" w:cs="Arial"/>
        </w:rPr>
        <w:t xml:space="preserve">first </w:t>
      </w:r>
      <w:r w:rsidRPr="00D269FF">
        <w:rPr>
          <w:rFonts w:ascii="Arial" w:hAnsi="Arial" w:cs="Arial"/>
        </w:rPr>
        <w:t>defendant</w:t>
      </w:r>
      <w:r w:rsidR="006C24D9">
        <w:rPr>
          <w:rFonts w:ascii="Arial" w:hAnsi="Arial" w:cs="Arial"/>
        </w:rPr>
        <w:t xml:space="preserve"> is </w:t>
      </w:r>
      <w:r w:rsidRPr="00D269FF">
        <w:rPr>
          <w:rFonts w:ascii="Arial" w:hAnsi="Arial" w:cs="Arial"/>
        </w:rPr>
        <w:t>to pay the plaintiffs</w:t>
      </w:r>
      <w:r w:rsidR="006C24D9">
        <w:rPr>
          <w:rFonts w:ascii="Arial" w:hAnsi="Arial" w:cs="Arial"/>
        </w:rPr>
        <w:t>’</w:t>
      </w:r>
      <w:r w:rsidRPr="00D269FF">
        <w:rPr>
          <w:rFonts w:ascii="Arial" w:hAnsi="Arial" w:cs="Arial"/>
        </w:rPr>
        <w:t xml:space="preserve"> costs of opposing the exception, subject to rule 32(11).</w:t>
      </w:r>
    </w:p>
    <w:p w14:paraId="73189D7C" w14:textId="20E91DF1" w:rsidR="00DE7E50" w:rsidRPr="00D269FF" w:rsidRDefault="00DE7E50" w:rsidP="00E47640">
      <w:pPr>
        <w:numPr>
          <w:ilvl w:val="0"/>
          <w:numId w:val="35"/>
        </w:numPr>
        <w:spacing w:line="360" w:lineRule="auto"/>
        <w:ind w:left="0" w:firstLine="0"/>
        <w:jc w:val="both"/>
        <w:rPr>
          <w:rFonts w:ascii="Arial" w:hAnsi="Arial" w:cs="Arial"/>
        </w:rPr>
      </w:pPr>
      <w:r w:rsidRPr="00D269FF">
        <w:rPr>
          <w:rFonts w:ascii="Arial" w:hAnsi="Arial" w:cs="Arial"/>
        </w:rPr>
        <w:t>The matter is postponed to 1</w:t>
      </w:r>
      <w:r w:rsidR="00600582">
        <w:rPr>
          <w:rFonts w:ascii="Arial" w:hAnsi="Arial" w:cs="Arial"/>
        </w:rPr>
        <w:t>8</w:t>
      </w:r>
      <w:r w:rsidR="002D3D6A">
        <w:rPr>
          <w:rFonts w:ascii="Arial" w:hAnsi="Arial" w:cs="Arial"/>
        </w:rPr>
        <w:t xml:space="preserve"> </w:t>
      </w:r>
      <w:r w:rsidRPr="00D269FF">
        <w:rPr>
          <w:rFonts w:ascii="Arial" w:hAnsi="Arial" w:cs="Arial"/>
        </w:rPr>
        <w:t>Ma</w:t>
      </w:r>
      <w:r w:rsidR="002D3D6A">
        <w:rPr>
          <w:rFonts w:ascii="Arial" w:hAnsi="Arial" w:cs="Arial"/>
        </w:rPr>
        <w:t>y</w:t>
      </w:r>
      <w:r w:rsidRPr="00D269FF">
        <w:rPr>
          <w:rFonts w:ascii="Arial" w:hAnsi="Arial" w:cs="Arial"/>
        </w:rPr>
        <w:t xml:space="preserve"> 2021 at 14:00 for a case planning conference.</w:t>
      </w:r>
    </w:p>
    <w:p w14:paraId="125E999B" w14:textId="30EA7633" w:rsidR="00DE7E50" w:rsidRPr="0052309E" w:rsidRDefault="00DE7E50" w:rsidP="00E47640">
      <w:pPr>
        <w:numPr>
          <w:ilvl w:val="0"/>
          <w:numId w:val="35"/>
        </w:numPr>
        <w:spacing w:line="360" w:lineRule="auto"/>
        <w:ind w:left="0" w:firstLine="0"/>
        <w:jc w:val="both"/>
        <w:rPr>
          <w:rFonts w:ascii="Arial" w:hAnsi="Arial" w:cs="Arial"/>
        </w:rPr>
      </w:pPr>
      <w:r w:rsidRPr="00D269FF">
        <w:rPr>
          <w:rFonts w:ascii="Arial" w:hAnsi="Arial" w:cs="Arial"/>
        </w:rPr>
        <w:t>The parties must file a joint case</w:t>
      </w:r>
      <w:r>
        <w:rPr>
          <w:rFonts w:ascii="Arial" w:hAnsi="Arial" w:cs="Arial"/>
        </w:rPr>
        <w:t xml:space="preserve"> plan on or before </w:t>
      </w:r>
      <w:r w:rsidR="002D3D6A">
        <w:rPr>
          <w:rFonts w:ascii="Arial" w:hAnsi="Arial" w:cs="Arial"/>
        </w:rPr>
        <w:t>06</w:t>
      </w:r>
      <w:r>
        <w:rPr>
          <w:rFonts w:ascii="Arial" w:hAnsi="Arial" w:cs="Arial"/>
        </w:rPr>
        <w:t xml:space="preserve"> Ma</w:t>
      </w:r>
      <w:r w:rsidR="002D3D6A">
        <w:rPr>
          <w:rFonts w:ascii="Arial" w:hAnsi="Arial" w:cs="Arial"/>
        </w:rPr>
        <w:t xml:space="preserve">y </w:t>
      </w:r>
      <w:r>
        <w:rPr>
          <w:rFonts w:ascii="Arial" w:hAnsi="Arial" w:cs="Arial"/>
        </w:rPr>
        <w:t xml:space="preserve">2021. </w:t>
      </w:r>
    </w:p>
    <w:p w14:paraId="09793C77" w14:textId="77777777" w:rsidR="00A973A4" w:rsidRDefault="00A973A4" w:rsidP="00A973A4">
      <w:pPr>
        <w:pStyle w:val="BodyText"/>
        <w:spacing w:line="360" w:lineRule="auto"/>
        <w:jc w:val="both"/>
        <w:rPr>
          <w:rFonts w:ascii="Arial" w:hAnsi="Arial" w:cs="Arial"/>
        </w:rPr>
      </w:pPr>
    </w:p>
    <w:p w14:paraId="0B114427" w14:textId="77777777" w:rsidR="00A973A4" w:rsidRPr="00C56C4F" w:rsidRDefault="00A973A4" w:rsidP="00A973A4">
      <w:pPr>
        <w:spacing w:line="360" w:lineRule="auto"/>
        <w:jc w:val="both"/>
        <w:rPr>
          <w:rFonts w:ascii="Arial" w:hAnsi="Arial" w:cs="Arial"/>
        </w:rPr>
      </w:pPr>
    </w:p>
    <w:p w14:paraId="30703202" w14:textId="77777777" w:rsidR="00A973A4" w:rsidRPr="006E026B" w:rsidRDefault="00A973A4" w:rsidP="00A973A4">
      <w:pPr>
        <w:spacing w:line="360" w:lineRule="auto"/>
        <w:jc w:val="right"/>
        <w:rPr>
          <w:rFonts w:ascii="Arial" w:hAnsi="Arial" w:cs="Arial"/>
        </w:rPr>
      </w:pPr>
      <w:r>
        <w:rPr>
          <w:rFonts w:ascii="Arial" w:hAnsi="Arial" w:cs="Arial"/>
        </w:rPr>
        <w:t>__________</w:t>
      </w:r>
    </w:p>
    <w:p w14:paraId="5B3B4626" w14:textId="77777777" w:rsidR="00A973A4" w:rsidRPr="006E026B" w:rsidRDefault="00A973A4" w:rsidP="00A973A4">
      <w:pPr>
        <w:spacing w:line="360" w:lineRule="auto"/>
        <w:jc w:val="right"/>
        <w:rPr>
          <w:rFonts w:ascii="Arial" w:hAnsi="Arial" w:cs="Arial"/>
        </w:rPr>
      </w:pPr>
      <w:r>
        <w:rPr>
          <w:rFonts w:ascii="Arial" w:hAnsi="Arial" w:cs="Arial"/>
        </w:rPr>
        <w:t>O S Sibeya</w:t>
      </w:r>
    </w:p>
    <w:p w14:paraId="0BFF0E54" w14:textId="2ADF36E0" w:rsidR="00A973A4" w:rsidRDefault="00A973A4" w:rsidP="00A973A4">
      <w:pPr>
        <w:spacing w:line="360" w:lineRule="auto"/>
        <w:jc w:val="right"/>
        <w:rPr>
          <w:rFonts w:ascii="Arial" w:hAnsi="Arial" w:cs="Arial"/>
        </w:rPr>
      </w:pPr>
      <w:r>
        <w:rPr>
          <w:rFonts w:ascii="Arial" w:hAnsi="Arial" w:cs="Arial"/>
        </w:rPr>
        <w:t>Judge</w:t>
      </w:r>
    </w:p>
    <w:p w14:paraId="52767BC9" w14:textId="77777777" w:rsidR="00A973A4" w:rsidRPr="00813195" w:rsidRDefault="00A973A4" w:rsidP="00A973A4">
      <w:pPr>
        <w:jc w:val="both"/>
        <w:rPr>
          <w:rFonts w:ascii="Arial" w:hAnsi="Arial" w:cs="Arial"/>
          <w:sz w:val="2"/>
          <w:szCs w:val="2"/>
        </w:rPr>
      </w:pPr>
      <w:r w:rsidRPr="00813195">
        <w:rPr>
          <w:rFonts w:ascii="Arial" w:hAnsi="Arial" w:cs="Arial"/>
          <w:sz w:val="2"/>
          <w:szCs w:val="2"/>
        </w:rPr>
        <w:br w:type="page"/>
      </w:r>
    </w:p>
    <w:p w14:paraId="2677B340" w14:textId="77777777" w:rsidR="00A973A4" w:rsidRDefault="00A973A4" w:rsidP="00A973A4">
      <w:pPr>
        <w:pStyle w:val="BodyText"/>
        <w:autoSpaceDE w:val="0"/>
        <w:autoSpaceDN w:val="0"/>
        <w:adjustRightInd w:val="0"/>
        <w:spacing w:line="360" w:lineRule="auto"/>
        <w:jc w:val="both"/>
        <w:rPr>
          <w:rFonts w:ascii="Arial" w:hAnsi="Arial" w:cs="Arial"/>
        </w:rPr>
      </w:pPr>
    </w:p>
    <w:p w14:paraId="592460EF" w14:textId="77777777" w:rsidR="00A973A4" w:rsidRPr="00936A1C" w:rsidRDefault="00A973A4" w:rsidP="00A973A4">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14:paraId="63A7A3FD" w14:textId="77777777" w:rsidR="00A973A4" w:rsidRDefault="00A973A4" w:rsidP="00A973A4">
      <w:pPr>
        <w:pStyle w:val="BodyText"/>
        <w:autoSpaceDE w:val="0"/>
        <w:autoSpaceDN w:val="0"/>
        <w:adjustRightInd w:val="0"/>
        <w:spacing w:line="360" w:lineRule="auto"/>
        <w:jc w:val="both"/>
        <w:rPr>
          <w:rFonts w:ascii="Arial" w:hAnsi="Arial" w:cs="Arial"/>
        </w:rPr>
      </w:pPr>
    </w:p>
    <w:p w14:paraId="314B01B8" w14:textId="77777777" w:rsidR="00A973A4" w:rsidRPr="000E7777" w:rsidRDefault="00A973A4" w:rsidP="00A973A4">
      <w:pPr>
        <w:pStyle w:val="BodyText"/>
        <w:autoSpaceDE w:val="0"/>
        <w:autoSpaceDN w:val="0"/>
        <w:adjustRightInd w:val="0"/>
        <w:spacing w:line="360" w:lineRule="auto"/>
        <w:jc w:val="both"/>
        <w:rPr>
          <w:rFonts w:ascii="Arial" w:hAnsi="Arial" w:cs="Arial"/>
        </w:rPr>
      </w:pPr>
    </w:p>
    <w:p w14:paraId="258DBD65" w14:textId="5185E380" w:rsidR="00A973A4" w:rsidRPr="0004272A" w:rsidRDefault="00E9027B" w:rsidP="00A973A4">
      <w:pPr>
        <w:tabs>
          <w:tab w:val="left" w:pos="1394"/>
          <w:tab w:val="left" w:pos="2790"/>
        </w:tabs>
        <w:spacing w:line="360" w:lineRule="auto"/>
        <w:jc w:val="both"/>
        <w:rPr>
          <w:rFonts w:ascii="Arial" w:hAnsi="Arial" w:cs="Arial"/>
        </w:rPr>
      </w:pPr>
      <w:r>
        <w:rPr>
          <w:rFonts w:ascii="Arial" w:hAnsi="Arial" w:cs="Arial"/>
        </w:rPr>
        <w:t>PLAINTIFF</w:t>
      </w:r>
      <w:r w:rsidR="00E73E3D">
        <w:rPr>
          <w:rFonts w:ascii="Arial" w:hAnsi="Arial" w:cs="Arial"/>
        </w:rPr>
        <w:t>S</w:t>
      </w:r>
      <w:r w:rsidR="00A973A4" w:rsidRPr="0004272A">
        <w:rPr>
          <w:rFonts w:ascii="Arial" w:hAnsi="Arial" w:cs="Arial"/>
        </w:rPr>
        <w:t>:</w:t>
      </w:r>
      <w:r w:rsidR="00A973A4" w:rsidRPr="0004272A">
        <w:rPr>
          <w:rFonts w:ascii="Arial" w:hAnsi="Arial" w:cs="Arial"/>
        </w:rPr>
        <w:tab/>
      </w:r>
      <w:r w:rsidR="00334A81">
        <w:rPr>
          <w:rFonts w:ascii="Arial" w:hAnsi="Arial" w:cs="Arial"/>
        </w:rPr>
        <w:t>J A N Strydom</w:t>
      </w:r>
    </w:p>
    <w:p w14:paraId="49A7A575" w14:textId="7EFEBC8B" w:rsidR="00A973A4" w:rsidRDefault="00334A81" w:rsidP="00A973A4">
      <w:pPr>
        <w:autoSpaceDE w:val="0"/>
        <w:autoSpaceDN w:val="0"/>
        <w:adjustRightInd w:val="0"/>
        <w:spacing w:line="360" w:lineRule="auto"/>
        <w:ind w:left="3420" w:hanging="630"/>
        <w:jc w:val="both"/>
        <w:rPr>
          <w:rFonts w:ascii="Arial" w:hAnsi="Arial" w:cs="Arial"/>
        </w:rPr>
      </w:pPr>
      <w:r>
        <w:rPr>
          <w:rFonts w:ascii="Arial" w:hAnsi="Arial" w:cs="Arial"/>
        </w:rPr>
        <w:t>Instructed by Fisher, Quarmby &amp; Pfeiffer</w:t>
      </w:r>
      <w:r w:rsidR="00E9027B">
        <w:rPr>
          <w:rFonts w:ascii="Arial" w:hAnsi="Arial" w:cs="Arial"/>
        </w:rPr>
        <w:t xml:space="preserve"> </w:t>
      </w:r>
    </w:p>
    <w:p w14:paraId="3F834435" w14:textId="77777777" w:rsidR="00A973A4" w:rsidRDefault="00A973A4" w:rsidP="00A973A4">
      <w:pPr>
        <w:autoSpaceDE w:val="0"/>
        <w:autoSpaceDN w:val="0"/>
        <w:adjustRightInd w:val="0"/>
        <w:spacing w:line="360" w:lineRule="auto"/>
        <w:ind w:left="3420" w:hanging="630"/>
        <w:jc w:val="both"/>
        <w:rPr>
          <w:rFonts w:ascii="Arial" w:hAnsi="Arial" w:cs="Arial"/>
        </w:rPr>
      </w:pPr>
      <w:r>
        <w:rPr>
          <w:rFonts w:ascii="Arial" w:hAnsi="Arial" w:cs="Arial"/>
        </w:rPr>
        <w:t>Windhoek</w:t>
      </w:r>
    </w:p>
    <w:p w14:paraId="29DC82C4" w14:textId="77777777" w:rsidR="00A973A4" w:rsidRDefault="00A973A4" w:rsidP="00A973A4">
      <w:pPr>
        <w:autoSpaceDE w:val="0"/>
        <w:autoSpaceDN w:val="0"/>
        <w:adjustRightInd w:val="0"/>
        <w:spacing w:line="360" w:lineRule="auto"/>
        <w:ind w:left="3780" w:hanging="3780"/>
        <w:jc w:val="both"/>
        <w:rPr>
          <w:rFonts w:ascii="Arial" w:hAnsi="Arial" w:cs="Arial"/>
        </w:rPr>
      </w:pPr>
    </w:p>
    <w:p w14:paraId="0151F4C3" w14:textId="77777777" w:rsidR="00F820E8" w:rsidRDefault="00F820E8" w:rsidP="00A973A4">
      <w:pPr>
        <w:autoSpaceDE w:val="0"/>
        <w:autoSpaceDN w:val="0"/>
        <w:adjustRightInd w:val="0"/>
        <w:spacing w:line="360" w:lineRule="auto"/>
        <w:ind w:left="3780" w:hanging="3780"/>
        <w:jc w:val="both"/>
        <w:rPr>
          <w:rFonts w:ascii="Arial" w:hAnsi="Arial" w:cs="Arial"/>
        </w:rPr>
      </w:pPr>
    </w:p>
    <w:p w14:paraId="642B535C" w14:textId="72E9759D" w:rsidR="00A973A4" w:rsidRDefault="00F820E8" w:rsidP="00A973A4">
      <w:pPr>
        <w:tabs>
          <w:tab w:val="left" w:pos="1394"/>
          <w:tab w:val="left" w:pos="2528"/>
          <w:tab w:val="left" w:pos="2790"/>
        </w:tabs>
        <w:spacing w:line="360" w:lineRule="auto"/>
        <w:jc w:val="both"/>
        <w:rPr>
          <w:rFonts w:ascii="Arial" w:hAnsi="Arial" w:cs="Arial"/>
        </w:rPr>
      </w:pPr>
      <w:r>
        <w:rPr>
          <w:rFonts w:ascii="Arial" w:hAnsi="Arial" w:cs="Arial"/>
        </w:rPr>
        <w:t>FIRST</w:t>
      </w:r>
      <w:r w:rsidR="00334A81">
        <w:rPr>
          <w:rFonts w:ascii="Arial" w:hAnsi="Arial" w:cs="Arial"/>
        </w:rPr>
        <w:t xml:space="preserve"> </w:t>
      </w:r>
      <w:r w:rsidR="00E9027B">
        <w:rPr>
          <w:rFonts w:ascii="Arial" w:hAnsi="Arial" w:cs="Arial"/>
        </w:rPr>
        <w:t>DEFENDANT</w:t>
      </w:r>
      <w:r w:rsidR="00A973A4" w:rsidRPr="009244D1">
        <w:rPr>
          <w:rFonts w:ascii="Arial" w:hAnsi="Arial" w:cs="Arial"/>
        </w:rPr>
        <w:t>:</w:t>
      </w:r>
      <w:r w:rsidR="00A973A4" w:rsidRPr="009244D1">
        <w:rPr>
          <w:rFonts w:ascii="Arial" w:hAnsi="Arial" w:cs="Arial"/>
        </w:rPr>
        <w:tab/>
      </w:r>
      <w:r w:rsidR="00A973A4" w:rsidRPr="009244D1">
        <w:rPr>
          <w:rFonts w:ascii="Arial" w:hAnsi="Arial" w:cs="Arial"/>
        </w:rPr>
        <w:tab/>
      </w:r>
      <w:r w:rsidR="00334A81">
        <w:rPr>
          <w:rFonts w:ascii="Arial" w:hAnsi="Arial" w:cs="Arial"/>
        </w:rPr>
        <w:t>P C I Barnard</w:t>
      </w:r>
      <w:r w:rsidR="00E9027B">
        <w:rPr>
          <w:rFonts w:ascii="Arial" w:hAnsi="Arial" w:cs="Arial"/>
        </w:rPr>
        <w:t xml:space="preserve"> </w:t>
      </w:r>
    </w:p>
    <w:p w14:paraId="6D29D101" w14:textId="0D941670" w:rsidR="00A973A4" w:rsidRDefault="00A973A4" w:rsidP="00A973A4">
      <w:pPr>
        <w:tabs>
          <w:tab w:val="left" w:pos="1394"/>
          <w:tab w:val="left" w:pos="2528"/>
          <w:tab w:val="left" w:pos="279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Instructed by </w:t>
      </w:r>
      <w:r w:rsidR="00334A81">
        <w:rPr>
          <w:rFonts w:ascii="Arial" w:hAnsi="Arial" w:cs="Arial"/>
        </w:rPr>
        <w:t>Francois Erasmus &amp; Partners</w:t>
      </w:r>
    </w:p>
    <w:p w14:paraId="7843F25F" w14:textId="77777777" w:rsidR="00A973A4" w:rsidRPr="008D0616" w:rsidRDefault="00A973A4" w:rsidP="00A973A4">
      <w:pPr>
        <w:tabs>
          <w:tab w:val="left" w:pos="1394"/>
          <w:tab w:val="left" w:pos="2528"/>
          <w:tab w:val="left" w:pos="279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Windhoek</w:t>
      </w:r>
    </w:p>
    <w:p w14:paraId="730E0AA5" w14:textId="77777777" w:rsidR="00A973A4" w:rsidRPr="00A973A4" w:rsidRDefault="00A973A4" w:rsidP="00A973A4"/>
    <w:sectPr w:rsidR="00A973A4" w:rsidRPr="00A973A4" w:rsidSect="00626C47">
      <w:headerReference w:type="default" r:id="rId12"/>
      <w:footerReference w:type="even" r:id="rId13"/>
      <w:footerReference w:type="default" r:id="rId14"/>
      <w:pgSz w:w="11906" w:h="16838"/>
      <w:pgMar w:top="1258" w:right="1800" w:bottom="108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DE741" w14:textId="77777777" w:rsidR="00C32842" w:rsidRDefault="00C32842">
      <w:r>
        <w:separator/>
      </w:r>
    </w:p>
  </w:endnote>
  <w:endnote w:type="continuationSeparator" w:id="0">
    <w:p w14:paraId="5ABF6CD5" w14:textId="77777777" w:rsidR="00C32842" w:rsidRDefault="00C3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6DADA" w14:textId="77777777" w:rsidR="00D575F4" w:rsidRDefault="00D575F4" w:rsidP="00626C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6885B" w14:textId="77777777" w:rsidR="00D575F4" w:rsidRDefault="00D57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7360F" w14:textId="36C35747" w:rsidR="00D575F4" w:rsidRDefault="00D575F4" w:rsidP="00626C47">
    <w:pPr>
      <w:pStyle w:val="Footer"/>
      <w:framePr w:wrap="around" w:vAnchor="text" w:hAnchor="margin" w:xAlign="center" w:y="1"/>
      <w:rPr>
        <w:rStyle w:val="PageNumber"/>
      </w:rPr>
    </w:pPr>
  </w:p>
  <w:p w14:paraId="42F1A874" w14:textId="77777777" w:rsidR="00D575F4" w:rsidRDefault="00D57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3FAF5" w14:textId="77777777" w:rsidR="00C32842" w:rsidRDefault="00C32842">
      <w:r>
        <w:separator/>
      </w:r>
    </w:p>
  </w:footnote>
  <w:footnote w:type="continuationSeparator" w:id="0">
    <w:p w14:paraId="3D67B336" w14:textId="77777777" w:rsidR="00C32842" w:rsidRDefault="00C32842">
      <w:r>
        <w:continuationSeparator/>
      </w:r>
    </w:p>
  </w:footnote>
  <w:footnote w:id="1">
    <w:p w14:paraId="4BACFE82" w14:textId="4BF5C444" w:rsidR="00D575F4" w:rsidRPr="00E63125" w:rsidRDefault="00D575F4" w:rsidP="00E63125">
      <w:pPr>
        <w:pBdr>
          <w:top w:val="nil"/>
          <w:left w:val="nil"/>
          <w:bottom w:val="nil"/>
          <w:right w:val="nil"/>
          <w:between w:val="nil"/>
        </w:pBdr>
        <w:tabs>
          <w:tab w:val="left" w:pos="360"/>
          <w:tab w:val="left" w:pos="540"/>
        </w:tabs>
        <w:ind w:left="540" w:hanging="540"/>
        <w:jc w:val="both"/>
        <w:rPr>
          <w:rFonts w:ascii="Arial" w:hAnsi="Arial" w:cs="Arial"/>
          <w:color w:val="000000"/>
          <w:sz w:val="20"/>
          <w:szCs w:val="20"/>
        </w:rPr>
      </w:pPr>
      <w:r w:rsidRPr="00E63125">
        <w:rPr>
          <w:rFonts w:ascii="Arial" w:hAnsi="Arial" w:cs="Arial"/>
          <w:sz w:val="20"/>
          <w:szCs w:val="20"/>
          <w:vertAlign w:val="superscript"/>
        </w:rPr>
        <w:footnoteRef/>
      </w:r>
      <w:r w:rsidRPr="00E63125">
        <w:rPr>
          <w:rFonts w:ascii="Arial" w:hAnsi="Arial" w:cs="Arial"/>
          <w:color w:val="000000"/>
          <w:sz w:val="20"/>
          <w:szCs w:val="20"/>
        </w:rPr>
        <w:tab/>
      </w:r>
      <w:r w:rsidRPr="00E63125">
        <w:rPr>
          <w:rFonts w:ascii="Arial" w:hAnsi="Arial" w:cs="Arial"/>
          <w:i/>
          <w:color w:val="000000"/>
          <w:sz w:val="20"/>
          <w:szCs w:val="20"/>
        </w:rPr>
        <w:t>Colonial Industries Ltd v Provincial Insurance Co Ltd</w:t>
      </w:r>
      <w:r w:rsidRPr="00E63125">
        <w:rPr>
          <w:rFonts w:ascii="Arial" w:hAnsi="Arial" w:cs="Arial"/>
          <w:color w:val="000000"/>
          <w:sz w:val="20"/>
          <w:szCs w:val="20"/>
        </w:rPr>
        <w:t xml:space="preserve"> 1920 CPD 627 (at 630).</w:t>
      </w:r>
    </w:p>
  </w:footnote>
  <w:footnote w:id="2">
    <w:p w14:paraId="46AC9F09" w14:textId="77777777" w:rsidR="00D575F4" w:rsidRPr="00E63125" w:rsidRDefault="00D575F4" w:rsidP="00E63125">
      <w:pPr>
        <w:pBdr>
          <w:top w:val="nil"/>
          <w:left w:val="nil"/>
          <w:bottom w:val="nil"/>
          <w:right w:val="nil"/>
          <w:between w:val="nil"/>
        </w:pBdr>
        <w:tabs>
          <w:tab w:val="left" w:pos="360"/>
        </w:tabs>
        <w:ind w:left="360" w:hanging="360"/>
        <w:jc w:val="both"/>
        <w:rPr>
          <w:rFonts w:ascii="Arial" w:hAnsi="Arial" w:cs="Arial"/>
          <w:color w:val="000000"/>
          <w:sz w:val="20"/>
          <w:szCs w:val="20"/>
        </w:rPr>
      </w:pPr>
      <w:r w:rsidRPr="00E63125">
        <w:rPr>
          <w:rFonts w:ascii="Arial" w:hAnsi="Arial" w:cs="Arial"/>
          <w:sz w:val="20"/>
          <w:szCs w:val="20"/>
          <w:vertAlign w:val="superscript"/>
        </w:rPr>
        <w:footnoteRef/>
      </w:r>
      <w:r w:rsidRPr="00E63125">
        <w:rPr>
          <w:rFonts w:ascii="Arial" w:hAnsi="Arial" w:cs="Arial"/>
          <w:color w:val="000000"/>
          <w:sz w:val="20"/>
          <w:szCs w:val="20"/>
        </w:rPr>
        <w:t xml:space="preserve"> </w:t>
      </w:r>
      <w:r w:rsidRPr="00E63125">
        <w:rPr>
          <w:rFonts w:ascii="Arial" w:hAnsi="Arial" w:cs="Arial"/>
          <w:color w:val="000000"/>
          <w:sz w:val="20"/>
          <w:szCs w:val="20"/>
        </w:rPr>
        <w:tab/>
        <w:t xml:space="preserve">This approach to exceptions has been consistently followed in this Court, see </w:t>
      </w:r>
      <w:r w:rsidRPr="00E63125">
        <w:rPr>
          <w:rFonts w:ascii="Arial" w:hAnsi="Arial" w:cs="Arial"/>
          <w:i/>
          <w:color w:val="000000"/>
          <w:sz w:val="20"/>
          <w:szCs w:val="20"/>
        </w:rPr>
        <w:t>Namibia Breweries Ltd v Seelenbinder, Henning &amp; Partners</w:t>
      </w:r>
      <w:r w:rsidRPr="00E63125">
        <w:rPr>
          <w:rFonts w:ascii="Arial" w:hAnsi="Arial" w:cs="Arial"/>
          <w:color w:val="000000"/>
          <w:sz w:val="20"/>
          <w:szCs w:val="20"/>
          <w:u w:val="single"/>
        </w:rPr>
        <w:t xml:space="preserve"> </w:t>
      </w:r>
      <w:r w:rsidRPr="00E63125">
        <w:rPr>
          <w:rFonts w:ascii="Arial" w:hAnsi="Arial" w:cs="Arial"/>
          <w:color w:val="000000"/>
          <w:sz w:val="20"/>
          <w:szCs w:val="20"/>
        </w:rPr>
        <w:t xml:space="preserve">2002 NR 155 (HC), </w:t>
      </w:r>
      <w:r w:rsidRPr="00E63125">
        <w:rPr>
          <w:rFonts w:ascii="Arial" w:hAnsi="Arial" w:cs="Arial"/>
          <w:i/>
          <w:color w:val="000000"/>
          <w:sz w:val="20"/>
          <w:szCs w:val="20"/>
        </w:rPr>
        <w:t xml:space="preserve">Total Namibia (Pty) Ltd v Van der Merwe t/a Ampies Motors </w:t>
      </w:r>
      <w:r w:rsidRPr="00E63125">
        <w:rPr>
          <w:rFonts w:ascii="Arial" w:hAnsi="Arial" w:cs="Arial"/>
          <w:color w:val="000000"/>
          <w:sz w:val="20"/>
          <w:szCs w:val="20"/>
        </w:rPr>
        <w:t>1998 NR 176 (HC).</w:t>
      </w:r>
    </w:p>
  </w:footnote>
  <w:footnote w:id="3">
    <w:p w14:paraId="212AF84E" w14:textId="0CF07AAA" w:rsidR="00D575F4" w:rsidRPr="00E63125" w:rsidRDefault="00D575F4" w:rsidP="00E63125">
      <w:pPr>
        <w:pStyle w:val="FootnoteText"/>
        <w:jc w:val="both"/>
        <w:rPr>
          <w:rFonts w:ascii="Arial" w:hAnsi="Arial" w:cs="Arial"/>
          <w:lang w:val="en-GB"/>
        </w:rPr>
      </w:pPr>
      <w:r w:rsidRPr="00E63125">
        <w:rPr>
          <w:rStyle w:val="FootnoteReference"/>
          <w:rFonts w:ascii="Arial" w:hAnsi="Arial" w:cs="Arial"/>
        </w:rPr>
        <w:footnoteRef/>
      </w:r>
      <w:r w:rsidRPr="00E63125">
        <w:rPr>
          <w:rFonts w:ascii="Arial" w:hAnsi="Arial" w:cs="Arial"/>
        </w:rPr>
        <w:t xml:space="preserve"> </w:t>
      </w:r>
      <w:r w:rsidRPr="00E63125">
        <w:rPr>
          <w:rFonts w:ascii="Arial" w:hAnsi="Arial" w:cs="Arial"/>
          <w:lang w:val="en-GB"/>
        </w:rPr>
        <w:t>Erasmus Superior Court Practice, Farlam et al at B1-129-B1-130.</w:t>
      </w:r>
    </w:p>
  </w:footnote>
  <w:footnote w:id="4">
    <w:p w14:paraId="5552B620" w14:textId="77777777" w:rsidR="00D575F4" w:rsidRPr="00E63125" w:rsidRDefault="00D575F4" w:rsidP="00E63125">
      <w:pPr>
        <w:pBdr>
          <w:top w:val="nil"/>
          <w:left w:val="nil"/>
          <w:bottom w:val="nil"/>
          <w:right w:val="nil"/>
          <w:between w:val="nil"/>
        </w:pBdr>
        <w:tabs>
          <w:tab w:val="left" w:pos="360"/>
          <w:tab w:val="left" w:pos="540"/>
        </w:tabs>
        <w:ind w:left="540" w:hanging="540"/>
        <w:jc w:val="both"/>
        <w:rPr>
          <w:rFonts w:ascii="Arial" w:hAnsi="Arial" w:cs="Arial"/>
          <w:color w:val="000000"/>
          <w:sz w:val="20"/>
          <w:szCs w:val="20"/>
        </w:rPr>
      </w:pPr>
      <w:r w:rsidRPr="00E63125">
        <w:rPr>
          <w:rFonts w:ascii="Arial" w:hAnsi="Arial" w:cs="Arial"/>
          <w:sz w:val="20"/>
          <w:szCs w:val="20"/>
          <w:vertAlign w:val="superscript"/>
        </w:rPr>
        <w:footnoteRef/>
      </w:r>
      <w:r w:rsidRPr="00E63125">
        <w:rPr>
          <w:rFonts w:ascii="Arial" w:hAnsi="Arial" w:cs="Arial"/>
          <w:color w:val="000000"/>
          <w:sz w:val="20"/>
          <w:szCs w:val="20"/>
        </w:rPr>
        <w:tab/>
      </w:r>
      <w:r w:rsidRPr="00E63125">
        <w:rPr>
          <w:rFonts w:ascii="Arial" w:hAnsi="Arial" w:cs="Arial"/>
          <w:i/>
          <w:color w:val="000000"/>
          <w:sz w:val="20"/>
          <w:szCs w:val="20"/>
        </w:rPr>
        <w:t xml:space="preserve">Kotsopoulus v Bilardi </w:t>
      </w:r>
      <w:r w:rsidRPr="00E63125">
        <w:rPr>
          <w:rFonts w:ascii="Arial" w:hAnsi="Arial" w:cs="Arial"/>
          <w:color w:val="000000"/>
          <w:sz w:val="20"/>
          <w:szCs w:val="20"/>
        </w:rPr>
        <w:t>1970 (2) SA 391 (C) at 395D.</w:t>
      </w:r>
    </w:p>
  </w:footnote>
  <w:footnote w:id="5">
    <w:p w14:paraId="7BE31465" w14:textId="3083DA82" w:rsidR="00D575F4" w:rsidRPr="00E63125" w:rsidRDefault="00D575F4" w:rsidP="00E63125">
      <w:pPr>
        <w:pStyle w:val="FootnoteText"/>
        <w:jc w:val="both"/>
        <w:rPr>
          <w:rFonts w:ascii="Arial" w:hAnsi="Arial" w:cs="Arial"/>
          <w:lang w:val="en-GB"/>
        </w:rPr>
      </w:pPr>
      <w:r w:rsidRPr="00E63125">
        <w:rPr>
          <w:rStyle w:val="FootnoteReference"/>
          <w:rFonts w:ascii="Arial" w:hAnsi="Arial" w:cs="Arial"/>
        </w:rPr>
        <w:footnoteRef/>
      </w:r>
      <w:r w:rsidR="00E63125">
        <w:rPr>
          <w:rFonts w:ascii="Arial" w:hAnsi="Arial" w:cs="Arial"/>
        </w:rPr>
        <w:t xml:space="preserve">     </w:t>
      </w:r>
      <w:r w:rsidRPr="00E63125">
        <w:rPr>
          <w:rFonts w:ascii="Arial" w:hAnsi="Arial" w:cs="Arial"/>
          <w:lang w:val="en-GB"/>
        </w:rPr>
        <w:t>Denker v Cosack and Others 2006 (1) NR 370 (HC) 373H-374B.</w:t>
      </w:r>
    </w:p>
  </w:footnote>
  <w:footnote w:id="6">
    <w:p w14:paraId="26CB96D5" w14:textId="2D0F6DE5" w:rsidR="00D575F4" w:rsidRPr="00E63125" w:rsidRDefault="00D575F4" w:rsidP="00E63125">
      <w:pPr>
        <w:pStyle w:val="FootnoteText"/>
        <w:jc w:val="both"/>
        <w:rPr>
          <w:rFonts w:ascii="Arial" w:hAnsi="Arial" w:cs="Arial"/>
          <w:lang w:val="en-GB"/>
        </w:rPr>
      </w:pPr>
      <w:r w:rsidRPr="00E63125">
        <w:rPr>
          <w:rStyle w:val="FootnoteReference"/>
          <w:rFonts w:ascii="Arial" w:hAnsi="Arial" w:cs="Arial"/>
        </w:rPr>
        <w:footnoteRef/>
      </w:r>
      <w:r w:rsidRPr="00E63125">
        <w:rPr>
          <w:rFonts w:ascii="Arial" w:hAnsi="Arial" w:cs="Arial"/>
        </w:rPr>
        <w:t xml:space="preserve"> </w:t>
      </w:r>
      <w:r w:rsidRPr="00E63125">
        <w:rPr>
          <w:rFonts w:ascii="Arial" w:hAnsi="Arial" w:cs="Arial"/>
          <w:lang w:val="en-GB"/>
        </w:rPr>
        <w:t>Section 3(1)(a)(i).</w:t>
      </w:r>
    </w:p>
  </w:footnote>
  <w:footnote w:id="7">
    <w:p w14:paraId="44FDC369" w14:textId="71A73FB2" w:rsidR="00D575F4" w:rsidRPr="00E63125" w:rsidRDefault="00D575F4" w:rsidP="00E63125">
      <w:pPr>
        <w:pStyle w:val="FootnoteText"/>
        <w:jc w:val="both"/>
        <w:rPr>
          <w:rFonts w:ascii="Arial" w:hAnsi="Arial" w:cs="Arial"/>
          <w:lang w:val="en-GB"/>
        </w:rPr>
      </w:pPr>
      <w:r w:rsidRPr="00E63125">
        <w:rPr>
          <w:rStyle w:val="FootnoteReference"/>
          <w:rFonts w:ascii="Arial" w:hAnsi="Arial" w:cs="Arial"/>
        </w:rPr>
        <w:footnoteRef/>
      </w:r>
      <w:r w:rsidRPr="00E63125">
        <w:rPr>
          <w:rFonts w:ascii="Arial" w:hAnsi="Arial" w:cs="Arial"/>
        </w:rPr>
        <w:t xml:space="preserve"> </w:t>
      </w:r>
      <w:r w:rsidRPr="00E63125">
        <w:rPr>
          <w:rFonts w:ascii="Arial" w:hAnsi="Arial" w:cs="Arial"/>
          <w:lang w:val="en-GB"/>
        </w:rPr>
        <w:t xml:space="preserve">Section 1. </w:t>
      </w:r>
    </w:p>
  </w:footnote>
  <w:footnote w:id="8">
    <w:p w14:paraId="12EB9E09" w14:textId="1CE28861" w:rsidR="00D575F4" w:rsidRPr="00E63125" w:rsidRDefault="00D575F4" w:rsidP="00E63125">
      <w:pPr>
        <w:pStyle w:val="FootnoteText"/>
        <w:jc w:val="both"/>
        <w:rPr>
          <w:rFonts w:ascii="Arial" w:hAnsi="Arial" w:cs="Arial"/>
          <w:lang w:val="en-GB"/>
        </w:rPr>
      </w:pPr>
      <w:r w:rsidRPr="00E63125">
        <w:rPr>
          <w:rStyle w:val="FootnoteReference"/>
          <w:rFonts w:ascii="Arial" w:hAnsi="Arial" w:cs="Arial"/>
        </w:rPr>
        <w:footnoteRef/>
      </w:r>
      <w:r w:rsidRPr="00E63125">
        <w:rPr>
          <w:rFonts w:ascii="Arial" w:hAnsi="Arial" w:cs="Arial"/>
        </w:rPr>
        <w:t xml:space="preserve"> Section 1.</w:t>
      </w:r>
    </w:p>
  </w:footnote>
  <w:footnote w:id="9">
    <w:p w14:paraId="2183D69B" w14:textId="202A08A8" w:rsidR="00D575F4" w:rsidRPr="00E63125" w:rsidRDefault="00D575F4" w:rsidP="00E63125">
      <w:pPr>
        <w:pStyle w:val="FootnoteText"/>
        <w:jc w:val="both"/>
        <w:rPr>
          <w:rFonts w:ascii="Arial" w:hAnsi="Arial" w:cs="Arial"/>
          <w:lang w:val="en-GB"/>
        </w:rPr>
      </w:pPr>
      <w:r w:rsidRPr="00E63125">
        <w:rPr>
          <w:rStyle w:val="FootnoteReference"/>
          <w:rFonts w:ascii="Arial" w:hAnsi="Arial" w:cs="Arial"/>
        </w:rPr>
        <w:footnoteRef/>
      </w:r>
      <w:r w:rsidRPr="00E63125">
        <w:rPr>
          <w:rFonts w:ascii="Arial" w:hAnsi="Arial" w:cs="Arial"/>
        </w:rPr>
        <w:t xml:space="preserve"> Section 1.</w:t>
      </w:r>
    </w:p>
  </w:footnote>
  <w:footnote w:id="10">
    <w:p w14:paraId="7B2A97D8" w14:textId="26E34D54" w:rsidR="00D575F4" w:rsidRPr="00E63125" w:rsidRDefault="00D575F4" w:rsidP="00E63125">
      <w:pPr>
        <w:pStyle w:val="FootnoteText"/>
        <w:jc w:val="both"/>
        <w:rPr>
          <w:rFonts w:ascii="Arial" w:hAnsi="Arial" w:cs="Arial"/>
          <w:lang w:val="en-GB"/>
        </w:rPr>
      </w:pPr>
      <w:r w:rsidRPr="00E63125">
        <w:rPr>
          <w:rStyle w:val="FootnoteReference"/>
          <w:rFonts w:ascii="Arial" w:hAnsi="Arial" w:cs="Arial"/>
        </w:rPr>
        <w:footnoteRef/>
      </w:r>
      <w:r w:rsidRPr="00E63125">
        <w:rPr>
          <w:rFonts w:ascii="Arial" w:hAnsi="Arial" w:cs="Arial"/>
        </w:rPr>
        <w:t xml:space="preserve"> </w:t>
      </w:r>
      <w:r w:rsidRPr="00E63125">
        <w:rPr>
          <w:rFonts w:ascii="Arial" w:hAnsi="Arial" w:cs="Arial"/>
          <w:lang w:val="en-GB"/>
        </w:rPr>
        <w:t xml:space="preserve">Section 1 and 4(1)(a). </w:t>
      </w:r>
    </w:p>
  </w:footnote>
  <w:footnote w:id="11">
    <w:p w14:paraId="41163385" w14:textId="65431A67" w:rsidR="00D575F4" w:rsidRPr="00E63125" w:rsidRDefault="00D575F4" w:rsidP="00E63125">
      <w:pPr>
        <w:pStyle w:val="FootnoteText"/>
        <w:jc w:val="both"/>
        <w:rPr>
          <w:rFonts w:ascii="Arial" w:hAnsi="Arial" w:cs="Arial"/>
          <w:lang w:val="en-GB"/>
        </w:rPr>
      </w:pPr>
      <w:r w:rsidRPr="00E63125">
        <w:rPr>
          <w:rStyle w:val="FootnoteReference"/>
          <w:rFonts w:ascii="Arial" w:hAnsi="Arial" w:cs="Arial"/>
        </w:rPr>
        <w:footnoteRef/>
      </w:r>
      <w:r w:rsidRPr="00E63125">
        <w:rPr>
          <w:rFonts w:ascii="Arial" w:hAnsi="Arial" w:cs="Arial"/>
        </w:rPr>
        <w:t xml:space="preserve"> </w:t>
      </w:r>
      <w:r w:rsidRPr="00E63125">
        <w:rPr>
          <w:rFonts w:ascii="Arial" w:hAnsi="Arial" w:cs="Arial"/>
          <w:lang w:val="en-GB"/>
        </w:rPr>
        <w:t>2009 (4) SA 399 (SCA) para [39].</w:t>
      </w:r>
    </w:p>
  </w:footnote>
  <w:footnote w:id="12">
    <w:p w14:paraId="4E5E753B" w14:textId="5955508F" w:rsidR="00D575F4" w:rsidRPr="00E63125" w:rsidRDefault="00D575F4" w:rsidP="00E63125">
      <w:pPr>
        <w:pStyle w:val="FootnoteText"/>
        <w:jc w:val="both"/>
        <w:rPr>
          <w:rFonts w:ascii="Arial" w:hAnsi="Arial" w:cs="Arial"/>
          <w:lang w:val="en-GB"/>
        </w:rPr>
      </w:pPr>
      <w:r w:rsidRPr="00E63125">
        <w:rPr>
          <w:rStyle w:val="FootnoteReference"/>
          <w:rFonts w:ascii="Arial" w:hAnsi="Arial" w:cs="Arial"/>
        </w:rPr>
        <w:footnoteRef/>
      </w:r>
      <w:r w:rsidRPr="00E63125">
        <w:rPr>
          <w:rFonts w:ascii="Arial" w:hAnsi="Arial" w:cs="Arial"/>
        </w:rPr>
        <w:t xml:space="preserve"> </w:t>
      </w:r>
      <w:r w:rsidRPr="00E63125">
        <w:rPr>
          <w:rFonts w:ascii="Arial" w:hAnsi="Arial" w:cs="Arial"/>
          <w:lang w:val="en-GB"/>
        </w:rPr>
        <w:t>Oxford English Dictionary, 11</w:t>
      </w:r>
      <w:r w:rsidRPr="00E63125">
        <w:rPr>
          <w:rFonts w:ascii="Arial" w:hAnsi="Arial" w:cs="Arial"/>
          <w:vertAlign w:val="superscript"/>
          <w:lang w:val="en-GB"/>
        </w:rPr>
        <w:t>th</w:t>
      </w:r>
      <w:r w:rsidRPr="00E63125">
        <w:rPr>
          <w:rFonts w:ascii="Arial" w:hAnsi="Arial" w:cs="Arial"/>
          <w:lang w:val="en-GB"/>
        </w:rPr>
        <w:t xml:space="preserve"> ed.</w:t>
      </w:r>
    </w:p>
  </w:footnote>
  <w:footnote w:id="13">
    <w:p w14:paraId="1CFAD579" w14:textId="46097E29" w:rsidR="00D575F4" w:rsidRPr="00E63125" w:rsidRDefault="00D575F4" w:rsidP="00E63125">
      <w:pPr>
        <w:pStyle w:val="FootnoteText"/>
        <w:jc w:val="both"/>
        <w:rPr>
          <w:rFonts w:ascii="Arial" w:hAnsi="Arial" w:cs="Arial"/>
          <w:lang w:val="en-GB"/>
        </w:rPr>
      </w:pPr>
      <w:r w:rsidRPr="00E63125">
        <w:rPr>
          <w:rStyle w:val="FootnoteReference"/>
          <w:rFonts w:ascii="Arial" w:hAnsi="Arial" w:cs="Arial"/>
        </w:rPr>
        <w:footnoteRef/>
      </w:r>
      <w:r w:rsidRPr="00E63125">
        <w:rPr>
          <w:rFonts w:ascii="Arial" w:hAnsi="Arial" w:cs="Arial"/>
        </w:rPr>
        <w:t xml:space="preserve"> </w:t>
      </w:r>
      <w:r w:rsidRPr="00E63125">
        <w:rPr>
          <w:rFonts w:ascii="Arial" w:hAnsi="Arial" w:cs="Arial"/>
          <w:lang w:val="en-GB"/>
        </w:rPr>
        <w:t>1947 (4) SA 321 (W).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648657"/>
      <w:docPartObj>
        <w:docPartGallery w:val="Page Numbers (Top of Page)"/>
        <w:docPartUnique/>
      </w:docPartObj>
    </w:sdtPr>
    <w:sdtEndPr>
      <w:rPr>
        <w:noProof/>
      </w:rPr>
    </w:sdtEndPr>
    <w:sdtContent>
      <w:p w14:paraId="5AB40D50" w14:textId="7CA54EEE" w:rsidR="00D575F4" w:rsidRDefault="00D575F4">
        <w:pPr>
          <w:pStyle w:val="Header"/>
          <w:jc w:val="right"/>
        </w:pPr>
        <w:r>
          <w:fldChar w:fldCharType="begin"/>
        </w:r>
        <w:r>
          <w:instrText xml:space="preserve"> PAGE   \* MERGEFORMAT </w:instrText>
        </w:r>
        <w:r>
          <w:fldChar w:fldCharType="separate"/>
        </w:r>
        <w:r w:rsidR="009A70BB">
          <w:rPr>
            <w:noProof/>
          </w:rPr>
          <w:t>2</w:t>
        </w:r>
        <w:r>
          <w:rPr>
            <w:noProof/>
          </w:rPr>
          <w:fldChar w:fldCharType="end"/>
        </w:r>
      </w:p>
    </w:sdtContent>
  </w:sdt>
  <w:p w14:paraId="54CC3544" w14:textId="77777777" w:rsidR="00D575F4" w:rsidRDefault="00D5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lowerRoman"/>
      <w:lvlText w:val="(%1)"/>
      <w:lvlJc w:val="left"/>
      <w:pPr>
        <w:ind w:left="1080" w:hanging="720"/>
      </w:pPr>
    </w:lvl>
  </w:abstractNum>
  <w:abstractNum w:abstractNumId="1" w15:restartNumberingAfterBreak="0">
    <w:nsid w:val="0000000D"/>
    <w:multiLevelType w:val="multilevel"/>
    <w:tmpl w:val="0000000D"/>
    <w:lvl w:ilvl="0">
      <w:start w:val="6"/>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15:restartNumberingAfterBreak="0">
    <w:nsid w:val="0000000E"/>
    <w:multiLevelType w:val="multilevel"/>
    <w:tmpl w:val="0000000E"/>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15:restartNumberingAfterBreak="0">
    <w:nsid w:val="0000000F"/>
    <w:multiLevelType w:val="multilevel"/>
    <w:tmpl w:val="0000000F"/>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15:restartNumberingAfterBreak="0">
    <w:nsid w:val="00000010"/>
    <w:multiLevelType w:val="multilevel"/>
    <w:tmpl w:val="00000010"/>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15:restartNumberingAfterBreak="0">
    <w:nsid w:val="00000011"/>
    <w:multiLevelType w:val="multilevel"/>
    <w:tmpl w:val="00000011"/>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 w15:restartNumberingAfterBreak="0">
    <w:nsid w:val="00000012"/>
    <w:multiLevelType w:val="multilevel"/>
    <w:tmpl w:val="00000012"/>
    <w:lvl w:ilvl="0">
      <w:start w:val="1"/>
      <w:numFmt w:val="decimal"/>
      <w:lvlText w:val="%1."/>
      <w:lvlJc w:val="left"/>
      <w:pPr>
        <w:ind w:left="283" w:hanging="283"/>
      </w:pPr>
    </w:lvl>
    <w:lvl w:ilvl="1">
      <w:start w:val="1"/>
      <w:numFmt w:val="decimal"/>
      <w:lvlText w:val="%2."/>
      <w:lvlJc w:val="left"/>
      <w:pPr>
        <w:ind w:left="990" w:hanging="283"/>
      </w:pPr>
    </w:lvl>
    <w:lvl w:ilvl="2">
      <w:start w:val="1"/>
      <w:numFmt w:val="decimal"/>
      <w:lvlText w:val="%3."/>
      <w:lvlJc w:val="left"/>
      <w:pPr>
        <w:ind w:left="1697" w:hanging="283"/>
      </w:pPr>
    </w:lvl>
    <w:lvl w:ilvl="3">
      <w:start w:val="1"/>
      <w:numFmt w:val="decimal"/>
      <w:lvlText w:val="%4."/>
      <w:lvlJc w:val="left"/>
      <w:pPr>
        <w:ind w:left="2404" w:hanging="283"/>
      </w:pPr>
    </w:lvl>
    <w:lvl w:ilvl="4">
      <w:start w:val="1"/>
      <w:numFmt w:val="decimal"/>
      <w:lvlText w:val="%5."/>
      <w:lvlJc w:val="left"/>
      <w:pPr>
        <w:ind w:left="3111" w:hanging="283"/>
      </w:pPr>
    </w:lvl>
    <w:lvl w:ilvl="5">
      <w:start w:val="1"/>
      <w:numFmt w:val="decimal"/>
      <w:lvlText w:val="%6."/>
      <w:lvlJc w:val="left"/>
      <w:pPr>
        <w:ind w:left="3818" w:hanging="283"/>
      </w:pPr>
    </w:lvl>
    <w:lvl w:ilvl="6">
      <w:start w:val="1"/>
      <w:numFmt w:val="decimal"/>
      <w:lvlText w:val="%7."/>
      <w:lvlJc w:val="left"/>
      <w:pPr>
        <w:ind w:left="4525" w:hanging="283"/>
      </w:pPr>
    </w:lvl>
    <w:lvl w:ilvl="7">
      <w:start w:val="1"/>
      <w:numFmt w:val="decimal"/>
      <w:lvlText w:val="%8."/>
      <w:lvlJc w:val="left"/>
      <w:pPr>
        <w:ind w:left="5232" w:hanging="283"/>
      </w:pPr>
    </w:lvl>
    <w:lvl w:ilvl="8">
      <w:start w:val="1"/>
      <w:numFmt w:val="decimal"/>
      <w:lvlText w:val="%9."/>
      <w:lvlJc w:val="left"/>
      <w:pPr>
        <w:ind w:left="5939" w:hanging="283"/>
      </w:pPr>
    </w:lvl>
  </w:abstractNum>
  <w:abstractNum w:abstractNumId="7" w15:restartNumberingAfterBreak="0">
    <w:nsid w:val="00F266AE"/>
    <w:multiLevelType w:val="multilevel"/>
    <w:tmpl w:val="634A9B9A"/>
    <w:lvl w:ilvl="0">
      <w:start w:val="1"/>
      <w:numFmt w:val="decimal"/>
      <w:lvlText w:val="%1."/>
      <w:lvlJc w:val="left"/>
      <w:pPr>
        <w:ind w:left="360" w:hanging="360"/>
      </w:pPr>
    </w:lvl>
    <w:lvl w:ilvl="1">
      <w:start w:val="1"/>
      <w:numFmt w:val="decimal"/>
      <w:isLgl/>
      <w:lvlText w:val="%1.%2"/>
      <w:lvlJc w:val="left"/>
      <w:pPr>
        <w:ind w:left="1440" w:hanging="1080"/>
      </w:pPr>
    </w:lvl>
    <w:lvl w:ilvl="2">
      <w:start w:val="1"/>
      <w:numFmt w:val="decimal"/>
      <w:isLgl/>
      <w:lvlText w:val="%1.%2.%3"/>
      <w:lvlJc w:val="left"/>
      <w:pPr>
        <w:ind w:left="1800" w:hanging="108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8" w15:restartNumberingAfterBreak="0">
    <w:nsid w:val="024D6E5F"/>
    <w:multiLevelType w:val="hybridMultilevel"/>
    <w:tmpl w:val="F1E687F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0C83378C"/>
    <w:multiLevelType w:val="hybridMultilevel"/>
    <w:tmpl w:val="AB847BCA"/>
    <w:lvl w:ilvl="0" w:tplc="654207AC">
      <w:start w:val="1"/>
      <w:numFmt w:val="lowerRoman"/>
      <w:lvlText w:val="(%1)"/>
      <w:lvlJc w:val="left"/>
      <w:pPr>
        <w:ind w:left="1980" w:hanging="72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0" w15:restartNumberingAfterBreak="0">
    <w:nsid w:val="0F306A0C"/>
    <w:multiLevelType w:val="hybridMultilevel"/>
    <w:tmpl w:val="A826666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07B6CAF"/>
    <w:multiLevelType w:val="hybridMultilevel"/>
    <w:tmpl w:val="04A8FD18"/>
    <w:lvl w:ilvl="0" w:tplc="52D8BD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1581E2E"/>
    <w:multiLevelType w:val="hybridMultilevel"/>
    <w:tmpl w:val="E934EEBA"/>
    <w:lvl w:ilvl="0" w:tplc="512A2A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783D57"/>
    <w:multiLevelType w:val="hybridMultilevel"/>
    <w:tmpl w:val="D806DA1A"/>
    <w:lvl w:ilvl="0" w:tplc="F83CC52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15423372"/>
    <w:multiLevelType w:val="hybridMultilevel"/>
    <w:tmpl w:val="8D7EABF2"/>
    <w:lvl w:ilvl="0" w:tplc="0B4A8F3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194F2BA0"/>
    <w:multiLevelType w:val="hybridMultilevel"/>
    <w:tmpl w:val="EAB240A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1A2E1173"/>
    <w:multiLevelType w:val="hybridMultilevel"/>
    <w:tmpl w:val="5F828C36"/>
    <w:lvl w:ilvl="0" w:tplc="147899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AF43B88"/>
    <w:multiLevelType w:val="hybridMultilevel"/>
    <w:tmpl w:val="0A0CDFA0"/>
    <w:lvl w:ilvl="0" w:tplc="BF4AF312">
      <w:start w:val="1"/>
      <w:numFmt w:val="lowerRoman"/>
      <w:lvlText w:val="(%1)"/>
      <w:lvlJc w:val="left"/>
      <w:pPr>
        <w:ind w:left="360" w:hanging="36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AD5084"/>
    <w:multiLevelType w:val="hybridMultilevel"/>
    <w:tmpl w:val="98D0CF7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258804C6"/>
    <w:multiLevelType w:val="hybridMultilevel"/>
    <w:tmpl w:val="97424C1E"/>
    <w:lvl w:ilvl="0" w:tplc="82FC8DC0">
      <w:start w:val="1"/>
      <w:numFmt w:val="lowerLetter"/>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26EE4430"/>
    <w:multiLevelType w:val="hybridMultilevel"/>
    <w:tmpl w:val="3FE2373C"/>
    <w:lvl w:ilvl="0" w:tplc="7752E4C0">
      <w:start w:val="1"/>
      <w:numFmt w:val="lowerRoman"/>
      <w:lvlText w:val="(%1)"/>
      <w:lvlJc w:val="left"/>
      <w:pPr>
        <w:ind w:left="2070" w:hanging="720"/>
      </w:pPr>
      <w:rPr>
        <w:rFonts w:hint="default"/>
      </w:rPr>
    </w:lvl>
    <w:lvl w:ilvl="1" w:tplc="1C090019" w:tentative="1">
      <w:start w:val="1"/>
      <w:numFmt w:val="lowerLetter"/>
      <w:lvlText w:val="%2."/>
      <w:lvlJc w:val="left"/>
      <w:pPr>
        <w:ind w:left="2430" w:hanging="360"/>
      </w:pPr>
    </w:lvl>
    <w:lvl w:ilvl="2" w:tplc="1C09001B" w:tentative="1">
      <w:start w:val="1"/>
      <w:numFmt w:val="lowerRoman"/>
      <w:lvlText w:val="%3."/>
      <w:lvlJc w:val="right"/>
      <w:pPr>
        <w:ind w:left="3150" w:hanging="180"/>
      </w:pPr>
    </w:lvl>
    <w:lvl w:ilvl="3" w:tplc="1C09000F" w:tentative="1">
      <w:start w:val="1"/>
      <w:numFmt w:val="decimal"/>
      <w:lvlText w:val="%4."/>
      <w:lvlJc w:val="left"/>
      <w:pPr>
        <w:ind w:left="3870" w:hanging="360"/>
      </w:pPr>
    </w:lvl>
    <w:lvl w:ilvl="4" w:tplc="1C090019" w:tentative="1">
      <w:start w:val="1"/>
      <w:numFmt w:val="lowerLetter"/>
      <w:lvlText w:val="%5."/>
      <w:lvlJc w:val="left"/>
      <w:pPr>
        <w:ind w:left="4590" w:hanging="360"/>
      </w:pPr>
    </w:lvl>
    <w:lvl w:ilvl="5" w:tplc="1C09001B" w:tentative="1">
      <w:start w:val="1"/>
      <w:numFmt w:val="lowerRoman"/>
      <w:lvlText w:val="%6."/>
      <w:lvlJc w:val="right"/>
      <w:pPr>
        <w:ind w:left="5310" w:hanging="180"/>
      </w:pPr>
    </w:lvl>
    <w:lvl w:ilvl="6" w:tplc="1C09000F" w:tentative="1">
      <w:start w:val="1"/>
      <w:numFmt w:val="decimal"/>
      <w:lvlText w:val="%7."/>
      <w:lvlJc w:val="left"/>
      <w:pPr>
        <w:ind w:left="6030" w:hanging="360"/>
      </w:pPr>
    </w:lvl>
    <w:lvl w:ilvl="7" w:tplc="1C090019" w:tentative="1">
      <w:start w:val="1"/>
      <w:numFmt w:val="lowerLetter"/>
      <w:lvlText w:val="%8."/>
      <w:lvlJc w:val="left"/>
      <w:pPr>
        <w:ind w:left="6750" w:hanging="360"/>
      </w:pPr>
    </w:lvl>
    <w:lvl w:ilvl="8" w:tplc="1C09001B" w:tentative="1">
      <w:start w:val="1"/>
      <w:numFmt w:val="lowerRoman"/>
      <w:lvlText w:val="%9."/>
      <w:lvlJc w:val="right"/>
      <w:pPr>
        <w:ind w:left="7470" w:hanging="180"/>
      </w:pPr>
    </w:lvl>
  </w:abstractNum>
  <w:abstractNum w:abstractNumId="21" w15:restartNumberingAfterBreak="0">
    <w:nsid w:val="27E54072"/>
    <w:multiLevelType w:val="hybridMultilevel"/>
    <w:tmpl w:val="EF9E0204"/>
    <w:lvl w:ilvl="0" w:tplc="373A3F1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289629F2"/>
    <w:multiLevelType w:val="hybridMultilevel"/>
    <w:tmpl w:val="71D6B5EC"/>
    <w:lvl w:ilvl="0" w:tplc="F6E2BC9E">
      <w:start w:val="1"/>
      <w:numFmt w:val="lowerRoman"/>
      <w:lvlText w:val="(%1)"/>
      <w:lvlJc w:val="left"/>
      <w:pPr>
        <w:ind w:left="1980" w:hanging="72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23" w15:restartNumberingAfterBreak="0">
    <w:nsid w:val="292F2D80"/>
    <w:multiLevelType w:val="hybridMultilevel"/>
    <w:tmpl w:val="103ACFD8"/>
    <w:lvl w:ilvl="0" w:tplc="EA8EC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9531BF5"/>
    <w:multiLevelType w:val="hybridMultilevel"/>
    <w:tmpl w:val="2624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CF3456"/>
    <w:multiLevelType w:val="hybridMultilevel"/>
    <w:tmpl w:val="19A880C4"/>
    <w:lvl w:ilvl="0" w:tplc="08C6CE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7447BD3"/>
    <w:multiLevelType w:val="hybridMultilevel"/>
    <w:tmpl w:val="27729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5F16AE"/>
    <w:multiLevelType w:val="hybridMultilevel"/>
    <w:tmpl w:val="8A102C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3C5A7B52"/>
    <w:multiLevelType w:val="hybridMultilevel"/>
    <w:tmpl w:val="1444C2A6"/>
    <w:lvl w:ilvl="0" w:tplc="5322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CF4C08"/>
    <w:multiLevelType w:val="hybridMultilevel"/>
    <w:tmpl w:val="301C2C30"/>
    <w:lvl w:ilvl="0" w:tplc="3F0638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4180114C"/>
    <w:multiLevelType w:val="hybridMultilevel"/>
    <w:tmpl w:val="9A2ADB08"/>
    <w:lvl w:ilvl="0" w:tplc="E542B8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6E90BF0"/>
    <w:multiLevelType w:val="hybridMultilevel"/>
    <w:tmpl w:val="349CC31E"/>
    <w:lvl w:ilvl="0" w:tplc="5C802A5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5513A71"/>
    <w:multiLevelType w:val="multilevel"/>
    <w:tmpl w:val="9972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F865E5"/>
    <w:multiLevelType w:val="hybridMultilevel"/>
    <w:tmpl w:val="E954EBE8"/>
    <w:lvl w:ilvl="0" w:tplc="7518865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57D01DC4"/>
    <w:multiLevelType w:val="hybridMultilevel"/>
    <w:tmpl w:val="0F80FA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5897656F"/>
    <w:multiLevelType w:val="multilevel"/>
    <w:tmpl w:val="56DA691A"/>
    <w:lvl w:ilvl="0">
      <w:start w:val="1"/>
      <w:numFmt w:val="decimal"/>
      <w:lvlText w:val="%1."/>
      <w:lvlJc w:val="left"/>
      <w:pPr>
        <w:ind w:left="720" w:hanging="360"/>
      </w:pPr>
      <w:rPr>
        <w:rFonts w:ascii="Arial Narrow" w:hAnsi="Arial Narrow" w:hint="default"/>
        <w:b w:val="0"/>
        <w:bCs/>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5B952769"/>
    <w:multiLevelType w:val="hybridMultilevel"/>
    <w:tmpl w:val="F61C1612"/>
    <w:lvl w:ilvl="0" w:tplc="FB544CB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CEE69C9"/>
    <w:multiLevelType w:val="hybridMultilevel"/>
    <w:tmpl w:val="6ED2D220"/>
    <w:lvl w:ilvl="0" w:tplc="E29C1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F24128"/>
    <w:multiLevelType w:val="hybridMultilevel"/>
    <w:tmpl w:val="A87A0396"/>
    <w:lvl w:ilvl="0" w:tplc="D8860F8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6984428D"/>
    <w:multiLevelType w:val="hybridMultilevel"/>
    <w:tmpl w:val="092EA4A8"/>
    <w:lvl w:ilvl="0" w:tplc="5DE2047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A825E1C"/>
    <w:multiLevelType w:val="hybridMultilevel"/>
    <w:tmpl w:val="977A8FEC"/>
    <w:lvl w:ilvl="0" w:tplc="0A5CB85E">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1" w15:restartNumberingAfterBreak="0">
    <w:nsid w:val="6A922378"/>
    <w:multiLevelType w:val="hybridMultilevel"/>
    <w:tmpl w:val="94BC780E"/>
    <w:lvl w:ilvl="0" w:tplc="495000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1A110C"/>
    <w:multiLevelType w:val="hybridMultilevel"/>
    <w:tmpl w:val="5C94F4AA"/>
    <w:lvl w:ilvl="0" w:tplc="FD96EFE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15:restartNumberingAfterBreak="0">
    <w:nsid w:val="72B56A6F"/>
    <w:multiLevelType w:val="hybridMultilevel"/>
    <w:tmpl w:val="5B122E5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73FA15D1"/>
    <w:multiLevelType w:val="hybridMultilevel"/>
    <w:tmpl w:val="356E4040"/>
    <w:lvl w:ilvl="0" w:tplc="B3B0EDB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A0979A0"/>
    <w:multiLevelType w:val="hybridMultilevel"/>
    <w:tmpl w:val="FA7AAC98"/>
    <w:lvl w:ilvl="0" w:tplc="2DEC1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6"/>
  </w:num>
  <w:num w:numId="4">
    <w:abstractNumId w:val="32"/>
  </w:num>
  <w:num w:numId="5">
    <w:abstractNumId w:val="37"/>
  </w:num>
  <w:num w:numId="6">
    <w:abstractNumId w:val="45"/>
  </w:num>
  <w:num w:numId="7">
    <w:abstractNumId w:val="24"/>
  </w:num>
  <w:num w:numId="8">
    <w:abstractNumId w:val="31"/>
  </w:num>
  <w:num w:numId="9">
    <w:abstractNumId w:val="19"/>
  </w:num>
  <w:num w:numId="10">
    <w:abstractNumId w:val="23"/>
  </w:num>
  <w:num w:numId="11">
    <w:abstractNumId w:val="12"/>
  </w:num>
  <w:num w:numId="12">
    <w:abstractNumId w:val="16"/>
  </w:num>
  <w:num w:numId="13">
    <w:abstractNumId w:val="28"/>
  </w:num>
  <w:num w:numId="14">
    <w:abstractNumId w:val="11"/>
  </w:num>
  <w:num w:numId="15">
    <w:abstractNumId w:val="41"/>
  </w:num>
  <w:num w:numId="16">
    <w:abstractNumId w:val="26"/>
  </w:num>
  <w:num w:numId="17">
    <w:abstractNumId w:val="29"/>
  </w:num>
  <w:num w:numId="18">
    <w:abstractNumId w:val="30"/>
  </w:num>
  <w:num w:numId="19">
    <w:abstractNumId w:val="42"/>
  </w:num>
  <w:num w:numId="20">
    <w:abstractNumId w:val="14"/>
  </w:num>
  <w:num w:numId="21">
    <w:abstractNumId w:val="9"/>
  </w:num>
  <w:num w:numId="22">
    <w:abstractNumId w:val="22"/>
  </w:num>
  <w:num w:numId="23">
    <w:abstractNumId w:val="13"/>
  </w:num>
  <w:num w:numId="24">
    <w:abstractNumId w:val="21"/>
  </w:num>
  <w:num w:numId="25">
    <w:abstractNumId w:val="25"/>
  </w:num>
  <w:num w:numId="26">
    <w:abstractNumId w:val="39"/>
  </w:num>
  <w:num w:numId="27">
    <w:abstractNumId w:val="20"/>
  </w:num>
  <w:num w:numId="28">
    <w:abstractNumId w:val="17"/>
  </w:num>
  <w:num w:numId="29">
    <w:abstractNumId w:val="0"/>
  </w:num>
  <w:num w:numId="30">
    <w:abstractNumId w:val="27"/>
  </w:num>
  <w:num w:numId="31">
    <w:abstractNumId w:val="33"/>
  </w:num>
  <w:num w:numId="32">
    <w:abstractNumId w:val="38"/>
  </w:num>
  <w:num w:numId="33">
    <w:abstractNumId w:val="44"/>
  </w:num>
  <w:num w:numId="34">
    <w:abstractNumId w:val="18"/>
  </w:num>
  <w:num w:numId="35">
    <w:abstractNumId w:val="10"/>
  </w:num>
  <w:num w:numId="36">
    <w:abstractNumId w:val="34"/>
  </w:num>
  <w:num w:numId="37">
    <w:abstractNumId w:val="15"/>
  </w:num>
  <w:num w:numId="38">
    <w:abstractNumId w:val="43"/>
  </w:num>
  <w:num w:numId="39">
    <w:abstractNumId w:val="1"/>
  </w:num>
  <w:num w:numId="40">
    <w:abstractNumId w:val="2"/>
  </w:num>
  <w:num w:numId="41">
    <w:abstractNumId w:val="3"/>
  </w:num>
  <w:num w:numId="42">
    <w:abstractNumId w:val="4"/>
  </w:num>
  <w:num w:numId="43">
    <w:abstractNumId w:val="5"/>
  </w:num>
  <w:num w:numId="44">
    <w:abstractNumId w:val="6"/>
  </w:num>
  <w:num w:numId="45">
    <w:abstractNumId w:val="8"/>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1C"/>
    <w:rsid w:val="00002D49"/>
    <w:rsid w:val="00004FCE"/>
    <w:rsid w:val="0001095C"/>
    <w:rsid w:val="000162B6"/>
    <w:rsid w:val="000379B5"/>
    <w:rsid w:val="000447FF"/>
    <w:rsid w:val="000462B7"/>
    <w:rsid w:val="00046CBD"/>
    <w:rsid w:val="000501C9"/>
    <w:rsid w:val="00055960"/>
    <w:rsid w:val="00060723"/>
    <w:rsid w:val="00072A99"/>
    <w:rsid w:val="00073213"/>
    <w:rsid w:val="00077805"/>
    <w:rsid w:val="00082A3F"/>
    <w:rsid w:val="00082E36"/>
    <w:rsid w:val="00084552"/>
    <w:rsid w:val="000925B3"/>
    <w:rsid w:val="000A0611"/>
    <w:rsid w:val="000A46A2"/>
    <w:rsid w:val="000A50B3"/>
    <w:rsid w:val="000A52F9"/>
    <w:rsid w:val="000A6D96"/>
    <w:rsid w:val="000B0EF4"/>
    <w:rsid w:val="000B1EDB"/>
    <w:rsid w:val="000B6775"/>
    <w:rsid w:val="000C0E0F"/>
    <w:rsid w:val="000C1878"/>
    <w:rsid w:val="000C1E34"/>
    <w:rsid w:val="000F7E42"/>
    <w:rsid w:val="001031AC"/>
    <w:rsid w:val="001038E4"/>
    <w:rsid w:val="00104EBE"/>
    <w:rsid w:val="00115410"/>
    <w:rsid w:val="00117949"/>
    <w:rsid w:val="00120D9D"/>
    <w:rsid w:val="00133693"/>
    <w:rsid w:val="001357D0"/>
    <w:rsid w:val="00143CD3"/>
    <w:rsid w:val="001453E3"/>
    <w:rsid w:val="001530BB"/>
    <w:rsid w:val="00163010"/>
    <w:rsid w:val="0019048E"/>
    <w:rsid w:val="00195B56"/>
    <w:rsid w:val="001A7768"/>
    <w:rsid w:val="001A7F4C"/>
    <w:rsid w:val="001B16D5"/>
    <w:rsid w:val="001B1F94"/>
    <w:rsid w:val="001B418A"/>
    <w:rsid w:val="001B621E"/>
    <w:rsid w:val="001C5B29"/>
    <w:rsid w:val="001D0255"/>
    <w:rsid w:val="001D459B"/>
    <w:rsid w:val="001D51C6"/>
    <w:rsid w:val="001E0ECA"/>
    <w:rsid w:val="001E209F"/>
    <w:rsid w:val="001E61C2"/>
    <w:rsid w:val="001F2B5A"/>
    <w:rsid w:val="001F3A70"/>
    <w:rsid w:val="001F4D81"/>
    <w:rsid w:val="0020468D"/>
    <w:rsid w:val="00207106"/>
    <w:rsid w:val="00207B7E"/>
    <w:rsid w:val="00211F30"/>
    <w:rsid w:val="00213931"/>
    <w:rsid w:val="00213ED8"/>
    <w:rsid w:val="0021560C"/>
    <w:rsid w:val="002175AE"/>
    <w:rsid w:val="00223688"/>
    <w:rsid w:val="00224965"/>
    <w:rsid w:val="002275CA"/>
    <w:rsid w:val="0023414E"/>
    <w:rsid w:val="00234A95"/>
    <w:rsid w:val="002367BC"/>
    <w:rsid w:val="00236A0B"/>
    <w:rsid w:val="002512C3"/>
    <w:rsid w:val="00256C6A"/>
    <w:rsid w:val="00261593"/>
    <w:rsid w:val="00262A0D"/>
    <w:rsid w:val="0026441B"/>
    <w:rsid w:val="002650B0"/>
    <w:rsid w:val="0026745A"/>
    <w:rsid w:val="0026757F"/>
    <w:rsid w:val="0026773E"/>
    <w:rsid w:val="0027014E"/>
    <w:rsid w:val="0028329F"/>
    <w:rsid w:val="00283B13"/>
    <w:rsid w:val="00290683"/>
    <w:rsid w:val="002933DA"/>
    <w:rsid w:val="0029447D"/>
    <w:rsid w:val="002979C9"/>
    <w:rsid w:val="00297C9F"/>
    <w:rsid w:val="002A1037"/>
    <w:rsid w:val="002A6FFF"/>
    <w:rsid w:val="002B2D7B"/>
    <w:rsid w:val="002B4CA9"/>
    <w:rsid w:val="002D0F27"/>
    <w:rsid w:val="002D3D6A"/>
    <w:rsid w:val="002E15C8"/>
    <w:rsid w:val="002F3CEC"/>
    <w:rsid w:val="002F4E27"/>
    <w:rsid w:val="002F5517"/>
    <w:rsid w:val="003000AE"/>
    <w:rsid w:val="003010F3"/>
    <w:rsid w:val="003024FC"/>
    <w:rsid w:val="00313248"/>
    <w:rsid w:val="0031347A"/>
    <w:rsid w:val="00315B81"/>
    <w:rsid w:val="00322962"/>
    <w:rsid w:val="00324ECE"/>
    <w:rsid w:val="00325B0F"/>
    <w:rsid w:val="00327EFF"/>
    <w:rsid w:val="00334A81"/>
    <w:rsid w:val="00341945"/>
    <w:rsid w:val="0034242B"/>
    <w:rsid w:val="00342F76"/>
    <w:rsid w:val="00346615"/>
    <w:rsid w:val="00350672"/>
    <w:rsid w:val="003644DE"/>
    <w:rsid w:val="00384A73"/>
    <w:rsid w:val="00390939"/>
    <w:rsid w:val="00390DDE"/>
    <w:rsid w:val="00395C8A"/>
    <w:rsid w:val="003975FD"/>
    <w:rsid w:val="003A0965"/>
    <w:rsid w:val="003A5B7E"/>
    <w:rsid w:val="003B1486"/>
    <w:rsid w:val="003B6668"/>
    <w:rsid w:val="003C5A38"/>
    <w:rsid w:val="003D3832"/>
    <w:rsid w:val="003D6398"/>
    <w:rsid w:val="003E209F"/>
    <w:rsid w:val="003F11D3"/>
    <w:rsid w:val="003F2946"/>
    <w:rsid w:val="003F5242"/>
    <w:rsid w:val="003F5EE9"/>
    <w:rsid w:val="003F69C6"/>
    <w:rsid w:val="003F6A04"/>
    <w:rsid w:val="00401374"/>
    <w:rsid w:val="00401482"/>
    <w:rsid w:val="00407341"/>
    <w:rsid w:val="00415467"/>
    <w:rsid w:val="00415BBE"/>
    <w:rsid w:val="0042023E"/>
    <w:rsid w:val="004257BC"/>
    <w:rsid w:val="00427906"/>
    <w:rsid w:val="00434CCB"/>
    <w:rsid w:val="00435DD1"/>
    <w:rsid w:val="004402DF"/>
    <w:rsid w:val="00441B21"/>
    <w:rsid w:val="00442495"/>
    <w:rsid w:val="00447509"/>
    <w:rsid w:val="00447754"/>
    <w:rsid w:val="004571AC"/>
    <w:rsid w:val="00462954"/>
    <w:rsid w:val="00463E77"/>
    <w:rsid w:val="004651B5"/>
    <w:rsid w:val="00467D3E"/>
    <w:rsid w:val="00471878"/>
    <w:rsid w:val="00475205"/>
    <w:rsid w:val="00477CB0"/>
    <w:rsid w:val="00491113"/>
    <w:rsid w:val="004A2D29"/>
    <w:rsid w:val="004A40D6"/>
    <w:rsid w:val="004A4CFB"/>
    <w:rsid w:val="004B03EE"/>
    <w:rsid w:val="004B139B"/>
    <w:rsid w:val="004B2157"/>
    <w:rsid w:val="004C0B6F"/>
    <w:rsid w:val="004C1BEA"/>
    <w:rsid w:val="004C1E64"/>
    <w:rsid w:val="004C25F9"/>
    <w:rsid w:val="004D1CB1"/>
    <w:rsid w:val="004D205F"/>
    <w:rsid w:val="004D3FE0"/>
    <w:rsid w:val="004D676D"/>
    <w:rsid w:val="004E080F"/>
    <w:rsid w:val="004E5232"/>
    <w:rsid w:val="004E57D6"/>
    <w:rsid w:val="004F071E"/>
    <w:rsid w:val="004F3A8A"/>
    <w:rsid w:val="004F5FC7"/>
    <w:rsid w:val="00501D28"/>
    <w:rsid w:val="00503A8F"/>
    <w:rsid w:val="00505E8E"/>
    <w:rsid w:val="00510DCE"/>
    <w:rsid w:val="00511520"/>
    <w:rsid w:val="00512461"/>
    <w:rsid w:val="00514041"/>
    <w:rsid w:val="005151E9"/>
    <w:rsid w:val="00515953"/>
    <w:rsid w:val="005234C5"/>
    <w:rsid w:val="00527C4C"/>
    <w:rsid w:val="005447CC"/>
    <w:rsid w:val="00546005"/>
    <w:rsid w:val="00546069"/>
    <w:rsid w:val="005472EC"/>
    <w:rsid w:val="00561585"/>
    <w:rsid w:val="005639EE"/>
    <w:rsid w:val="00567120"/>
    <w:rsid w:val="00581E48"/>
    <w:rsid w:val="00581E5D"/>
    <w:rsid w:val="00586448"/>
    <w:rsid w:val="005A03BC"/>
    <w:rsid w:val="005A46DD"/>
    <w:rsid w:val="005B4E7E"/>
    <w:rsid w:val="005B5119"/>
    <w:rsid w:val="005C05E5"/>
    <w:rsid w:val="005C2119"/>
    <w:rsid w:val="005C2A20"/>
    <w:rsid w:val="005E2531"/>
    <w:rsid w:val="005F246B"/>
    <w:rsid w:val="005F3F8A"/>
    <w:rsid w:val="005F5D7F"/>
    <w:rsid w:val="005F6B46"/>
    <w:rsid w:val="006000AA"/>
    <w:rsid w:val="00600582"/>
    <w:rsid w:val="00601C92"/>
    <w:rsid w:val="006029C4"/>
    <w:rsid w:val="006029CB"/>
    <w:rsid w:val="00604A7E"/>
    <w:rsid w:val="00607629"/>
    <w:rsid w:val="00615190"/>
    <w:rsid w:val="00615200"/>
    <w:rsid w:val="0062013B"/>
    <w:rsid w:val="00626C47"/>
    <w:rsid w:val="006302E7"/>
    <w:rsid w:val="00632B37"/>
    <w:rsid w:val="00634931"/>
    <w:rsid w:val="00635D92"/>
    <w:rsid w:val="00642ADA"/>
    <w:rsid w:val="0064784B"/>
    <w:rsid w:val="0067018A"/>
    <w:rsid w:val="00670248"/>
    <w:rsid w:val="00670BF8"/>
    <w:rsid w:val="0068433C"/>
    <w:rsid w:val="006850D8"/>
    <w:rsid w:val="00690736"/>
    <w:rsid w:val="006A2008"/>
    <w:rsid w:val="006A749F"/>
    <w:rsid w:val="006B231D"/>
    <w:rsid w:val="006B2EF8"/>
    <w:rsid w:val="006B50E4"/>
    <w:rsid w:val="006B68DB"/>
    <w:rsid w:val="006C24D9"/>
    <w:rsid w:val="006C3541"/>
    <w:rsid w:val="006D2EA8"/>
    <w:rsid w:val="006D4A2B"/>
    <w:rsid w:val="006D60A6"/>
    <w:rsid w:val="006E236B"/>
    <w:rsid w:val="006E4925"/>
    <w:rsid w:val="006E4A7A"/>
    <w:rsid w:val="006F3A0E"/>
    <w:rsid w:val="0070113B"/>
    <w:rsid w:val="00701353"/>
    <w:rsid w:val="00702FDC"/>
    <w:rsid w:val="007069EC"/>
    <w:rsid w:val="00707163"/>
    <w:rsid w:val="00715293"/>
    <w:rsid w:val="00715535"/>
    <w:rsid w:val="00715846"/>
    <w:rsid w:val="00716420"/>
    <w:rsid w:val="007200F3"/>
    <w:rsid w:val="00720C0E"/>
    <w:rsid w:val="00737DE9"/>
    <w:rsid w:val="0074243C"/>
    <w:rsid w:val="00743EE8"/>
    <w:rsid w:val="007463AC"/>
    <w:rsid w:val="00752A91"/>
    <w:rsid w:val="00753095"/>
    <w:rsid w:val="00757477"/>
    <w:rsid w:val="007616F4"/>
    <w:rsid w:val="007617A4"/>
    <w:rsid w:val="007644F5"/>
    <w:rsid w:val="00767888"/>
    <w:rsid w:val="007679A5"/>
    <w:rsid w:val="007721ED"/>
    <w:rsid w:val="007803D2"/>
    <w:rsid w:val="00781996"/>
    <w:rsid w:val="007906A6"/>
    <w:rsid w:val="007917ED"/>
    <w:rsid w:val="007971DF"/>
    <w:rsid w:val="00797B33"/>
    <w:rsid w:val="007A7DAB"/>
    <w:rsid w:val="007B0AAC"/>
    <w:rsid w:val="007B1AE1"/>
    <w:rsid w:val="007C5BD1"/>
    <w:rsid w:val="007D73AC"/>
    <w:rsid w:val="007E0085"/>
    <w:rsid w:val="007E2880"/>
    <w:rsid w:val="007E5947"/>
    <w:rsid w:val="007E7078"/>
    <w:rsid w:val="00803AF7"/>
    <w:rsid w:val="00805A9E"/>
    <w:rsid w:val="00810082"/>
    <w:rsid w:val="008117E9"/>
    <w:rsid w:val="008300D3"/>
    <w:rsid w:val="00840C69"/>
    <w:rsid w:val="00855829"/>
    <w:rsid w:val="00855BF4"/>
    <w:rsid w:val="00861287"/>
    <w:rsid w:val="00862A22"/>
    <w:rsid w:val="00871A2A"/>
    <w:rsid w:val="00871FD6"/>
    <w:rsid w:val="00872002"/>
    <w:rsid w:val="00881102"/>
    <w:rsid w:val="008848FF"/>
    <w:rsid w:val="00896941"/>
    <w:rsid w:val="008A104C"/>
    <w:rsid w:val="008A29E4"/>
    <w:rsid w:val="008A5468"/>
    <w:rsid w:val="008A63F1"/>
    <w:rsid w:val="008B4159"/>
    <w:rsid w:val="008C334C"/>
    <w:rsid w:val="008C4C68"/>
    <w:rsid w:val="008C756C"/>
    <w:rsid w:val="008C767D"/>
    <w:rsid w:val="008D4377"/>
    <w:rsid w:val="008D6508"/>
    <w:rsid w:val="008F55AF"/>
    <w:rsid w:val="008F62B1"/>
    <w:rsid w:val="008F6D1C"/>
    <w:rsid w:val="00901502"/>
    <w:rsid w:val="009025A2"/>
    <w:rsid w:val="00903358"/>
    <w:rsid w:val="00914C26"/>
    <w:rsid w:val="00937782"/>
    <w:rsid w:val="0094072B"/>
    <w:rsid w:val="00945625"/>
    <w:rsid w:val="00955A42"/>
    <w:rsid w:val="00960580"/>
    <w:rsid w:val="00973BB3"/>
    <w:rsid w:val="00974C76"/>
    <w:rsid w:val="009828C7"/>
    <w:rsid w:val="0098512B"/>
    <w:rsid w:val="00991917"/>
    <w:rsid w:val="009A4E61"/>
    <w:rsid w:val="009A4EBB"/>
    <w:rsid w:val="009A5036"/>
    <w:rsid w:val="009A70BB"/>
    <w:rsid w:val="009A7705"/>
    <w:rsid w:val="009B3C51"/>
    <w:rsid w:val="009B53A9"/>
    <w:rsid w:val="009C02D5"/>
    <w:rsid w:val="009C34D4"/>
    <w:rsid w:val="009E6FE6"/>
    <w:rsid w:val="009F21B3"/>
    <w:rsid w:val="009F5106"/>
    <w:rsid w:val="009F63BE"/>
    <w:rsid w:val="009F7EC1"/>
    <w:rsid w:val="00A0487C"/>
    <w:rsid w:val="00A13CCC"/>
    <w:rsid w:val="00A1553D"/>
    <w:rsid w:val="00A21F89"/>
    <w:rsid w:val="00A30B38"/>
    <w:rsid w:val="00A30FAB"/>
    <w:rsid w:val="00A32599"/>
    <w:rsid w:val="00A377B9"/>
    <w:rsid w:val="00A4055E"/>
    <w:rsid w:val="00A509D4"/>
    <w:rsid w:val="00A51307"/>
    <w:rsid w:val="00A518CD"/>
    <w:rsid w:val="00A51BB5"/>
    <w:rsid w:val="00A5362D"/>
    <w:rsid w:val="00A6115A"/>
    <w:rsid w:val="00A6184F"/>
    <w:rsid w:val="00A6321C"/>
    <w:rsid w:val="00A722F0"/>
    <w:rsid w:val="00A73408"/>
    <w:rsid w:val="00A762FA"/>
    <w:rsid w:val="00A9109E"/>
    <w:rsid w:val="00A956BC"/>
    <w:rsid w:val="00A962DA"/>
    <w:rsid w:val="00A973A4"/>
    <w:rsid w:val="00A97E73"/>
    <w:rsid w:val="00AA38E5"/>
    <w:rsid w:val="00AA4623"/>
    <w:rsid w:val="00AA751D"/>
    <w:rsid w:val="00AB2D13"/>
    <w:rsid w:val="00AC04BD"/>
    <w:rsid w:val="00AC2702"/>
    <w:rsid w:val="00AD3249"/>
    <w:rsid w:val="00AE4025"/>
    <w:rsid w:val="00AE69F2"/>
    <w:rsid w:val="00AF18C1"/>
    <w:rsid w:val="00AF2547"/>
    <w:rsid w:val="00AF3DCC"/>
    <w:rsid w:val="00AF5C7F"/>
    <w:rsid w:val="00B031AE"/>
    <w:rsid w:val="00B0340C"/>
    <w:rsid w:val="00B03E1A"/>
    <w:rsid w:val="00B04CBB"/>
    <w:rsid w:val="00B07866"/>
    <w:rsid w:val="00B07B7D"/>
    <w:rsid w:val="00B162CC"/>
    <w:rsid w:val="00B203B5"/>
    <w:rsid w:val="00B2190F"/>
    <w:rsid w:val="00B24549"/>
    <w:rsid w:val="00B32C53"/>
    <w:rsid w:val="00B32C69"/>
    <w:rsid w:val="00B52EE1"/>
    <w:rsid w:val="00B56C16"/>
    <w:rsid w:val="00B66FB8"/>
    <w:rsid w:val="00B67A51"/>
    <w:rsid w:val="00B83C45"/>
    <w:rsid w:val="00B94093"/>
    <w:rsid w:val="00B947A9"/>
    <w:rsid w:val="00BA0B7B"/>
    <w:rsid w:val="00BB1FBC"/>
    <w:rsid w:val="00BD0E17"/>
    <w:rsid w:val="00BD2231"/>
    <w:rsid w:val="00BD344E"/>
    <w:rsid w:val="00BE0595"/>
    <w:rsid w:val="00BE57D3"/>
    <w:rsid w:val="00BE7297"/>
    <w:rsid w:val="00BF2E2D"/>
    <w:rsid w:val="00C008D4"/>
    <w:rsid w:val="00C02C69"/>
    <w:rsid w:val="00C04517"/>
    <w:rsid w:val="00C13FAA"/>
    <w:rsid w:val="00C14A2D"/>
    <w:rsid w:val="00C221D7"/>
    <w:rsid w:val="00C31BFC"/>
    <w:rsid w:val="00C32842"/>
    <w:rsid w:val="00C35A17"/>
    <w:rsid w:val="00C41C48"/>
    <w:rsid w:val="00C432C7"/>
    <w:rsid w:val="00C56E68"/>
    <w:rsid w:val="00C57CDF"/>
    <w:rsid w:val="00C63039"/>
    <w:rsid w:val="00C635A2"/>
    <w:rsid w:val="00C74900"/>
    <w:rsid w:val="00C76AEB"/>
    <w:rsid w:val="00C77D99"/>
    <w:rsid w:val="00C83682"/>
    <w:rsid w:val="00C86684"/>
    <w:rsid w:val="00C903A4"/>
    <w:rsid w:val="00C93E2C"/>
    <w:rsid w:val="00CA1A32"/>
    <w:rsid w:val="00CB1620"/>
    <w:rsid w:val="00CC32F2"/>
    <w:rsid w:val="00CC3FA7"/>
    <w:rsid w:val="00CD3FE9"/>
    <w:rsid w:val="00CD5B98"/>
    <w:rsid w:val="00CD609F"/>
    <w:rsid w:val="00CD6833"/>
    <w:rsid w:val="00CE0BB0"/>
    <w:rsid w:val="00CE2A04"/>
    <w:rsid w:val="00CE37BA"/>
    <w:rsid w:val="00CE3994"/>
    <w:rsid w:val="00CF07CF"/>
    <w:rsid w:val="00CF4E25"/>
    <w:rsid w:val="00CF512C"/>
    <w:rsid w:val="00D0098F"/>
    <w:rsid w:val="00D03392"/>
    <w:rsid w:val="00D06760"/>
    <w:rsid w:val="00D07421"/>
    <w:rsid w:val="00D07D83"/>
    <w:rsid w:val="00D10DA6"/>
    <w:rsid w:val="00D269FF"/>
    <w:rsid w:val="00D335CE"/>
    <w:rsid w:val="00D3567F"/>
    <w:rsid w:val="00D375F4"/>
    <w:rsid w:val="00D51697"/>
    <w:rsid w:val="00D575F4"/>
    <w:rsid w:val="00D615B2"/>
    <w:rsid w:val="00D64CC2"/>
    <w:rsid w:val="00D747EC"/>
    <w:rsid w:val="00D74961"/>
    <w:rsid w:val="00D817EC"/>
    <w:rsid w:val="00D82623"/>
    <w:rsid w:val="00D87E4E"/>
    <w:rsid w:val="00D92088"/>
    <w:rsid w:val="00DA0D31"/>
    <w:rsid w:val="00DA3611"/>
    <w:rsid w:val="00DA39B6"/>
    <w:rsid w:val="00DA6C06"/>
    <w:rsid w:val="00DB1FFA"/>
    <w:rsid w:val="00DB4141"/>
    <w:rsid w:val="00DB5A4F"/>
    <w:rsid w:val="00DB5FEB"/>
    <w:rsid w:val="00DB6DF7"/>
    <w:rsid w:val="00DB7F58"/>
    <w:rsid w:val="00DB7FBC"/>
    <w:rsid w:val="00DC15D3"/>
    <w:rsid w:val="00DD39BE"/>
    <w:rsid w:val="00DD5712"/>
    <w:rsid w:val="00DD774D"/>
    <w:rsid w:val="00DE11E8"/>
    <w:rsid w:val="00DE6588"/>
    <w:rsid w:val="00DE765C"/>
    <w:rsid w:val="00DE7E50"/>
    <w:rsid w:val="00DF415E"/>
    <w:rsid w:val="00E15732"/>
    <w:rsid w:val="00E16C2E"/>
    <w:rsid w:val="00E16EDE"/>
    <w:rsid w:val="00E17C57"/>
    <w:rsid w:val="00E22378"/>
    <w:rsid w:val="00E2442A"/>
    <w:rsid w:val="00E43C51"/>
    <w:rsid w:val="00E46D31"/>
    <w:rsid w:val="00E47640"/>
    <w:rsid w:val="00E47A92"/>
    <w:rsid w:val="00E51BB6"/>
    <w:rsid w:val="00E55EBF"/>
    <w:rsid w:val="00E601D9"/>
    <w:rsid w:val="00E63125"/>
    <w:rsid w:val="00E6533B"/>
    <w:rsid w:val="00E73E3D"/>
    <w:rsid w:val="00E74AF2"/>
    <w:rsid w:val="00E9027B"/>
    <w:rsid w:val="00E95295"/>
    <w:rsid w:val="00EA214A"/>
    <w:rsid w:val="00EA26C6"/>
    <w:rsid w:val="00EA5820"/>
    <w:rsid w:val="00EA62B7"/>
    <w:rsid w:val="00EA7385"/>
    <w:rsid w:val="00EA7D02"/>
    <w:rsid w:val="00EB7275"/>
    <w:rsid w:val="00EC2315"/>
    <w:rsid w:val="00EC3457"/>
    <w:rsid w:val="00EC3A11"/>
    <w:rsid w:val="00ED03F6"/>
    <w:rsid w:val="00ED4359"/>
    <w:rsid w:val="00ED4D6C"/>
    <w:rsid w:val="00ED785C"/>
    <w:rsid w:val="00EE4DFF"/>
    <w:rsid w:val="00EF7E34"/>
    <w:rsid w:val="00F019B6"/>
    <w:rsid w:val="00F02E46"/>
    <w:rsid w:val="00F3086C"/>
    <w:rsid w:val="00F37173"/>
    <w:rsid w:val="00F50BB7"/>
    <w:rsid w:val="00F539FE"/>
    <w:rsid w:val="00F56324"/>
    <w:rsid w:val="00F66C21"/>
    <w:rsid w:val="00F70B79"/>
    <w:rsid w:val="00F73CDF"/>
    <w:rsid w:val="00F820E8"/>
    <w:rsid w:val="00F9232C"/>
    <w:rsid w:val="00FB369A"/>
    <w:rsid w:val="00FB56FE"/>
    <w:rsid w:val="00FC79C2"/>
    <w:rsid w:val="00FD3FB2"/>
    <w:rsid w:val="00FD7376"/>
    <w:rsid w:val="00FE00C2"/>
    <w:rsid w:val="00FE0B9E"/>
    <w:rsid w:val="00FE2C1F"/>
    <w:rsid w:val="00FF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0BCA"/>
  <w15:docId w15:val="{551648CD-745A-49BD-A2C5-7347CDE5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6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3A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7616F4"/>
    <w:pPr>
      <w:keepNext/>
      <w:widowControl w:val="0"/>
      <w:snapToGrid w:val="0"/>
      <w:spacing w:line="360" w:lineRule="auto"/>
      <w:jc w:val="both"/>
      <w:outlineLvl w:val="2"/>
    </w:pPr>
    <w:rPr>
      <w:b/>
      <w:szCs w:val="20"/>
    </w:rPr>
  </w:style>
  <w:style w:type="paragraph" w:styleId="Heading4">
    <w:name w:val="heading 4"/>
    <w:basedOn w:val="Normal"/>
    <w:next w:val="Normal"/>
    <w:link w:val="Heading4Char"/>
    <w:unhideWhenUsed/>
    <w:qFormat/>
    <w:rsid w:val="00A973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1C"/>
    <w:pPr>
      <w:ind w:left="720"/>
      <w:contextualSpacing/>
    </w:pPr>
  </w:style>
  <w:style w:type="character" w:customStyle="1" w:styleId="Heading3Char">
    <w:name w:val="Heading 3 Char"/>
    <w:basedOn w:val="DefaultParagraphFont"/>
    <w:link w:val="Heading3"/>
    <w:semiHidden/>
    <w:rsid w:val="007616F4"/>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616F4"/>
    <w:pPr>
      <w:tabs>
        <w:tab w:val="center" w:pos="4320"/>
        <w:tab w:val="right" w:pos="8640"/>
      </w:tabs>
    </w:pPr>
  </w:style>
  <w:style w:type="character" w:customStyle="1" w:styleId="HeaderChar">
    <w:name w:val="Header Char"/>
    <w:basedOn w:val="DefaultParagraphFont"/>
    <w:link w:val="Header"/>
    <w:uiPriority w:val="99"/>
    <w:rsid w:val="007616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18CD"/>
    <w:pPr>
      <w:tabs>
        <w:tab w:val="center" w:pos="4680"/>
        <w:tab w:val="right" w:pos="9360"/>
      </w:tabs>
    </w:pPr>
  </w:style>
  <w:style w:type="character" w:customStyle="1" w:styleId="FooterChar">
    <w:name w:val="Footer Char"/>
    <w:basedOn w:val="DefaultParagraphFont"/>
    <w:link w:val="Footer"/>
    <w:uiPriority w:val="99"/>
    <w:rsid w:val="00A518CD"/>
    <w:rPr>
      <w:rFonts w:ascii="Times New Roman" w:eastAsia="Times New Roman" w:hAnsi="Times New Roman" w:cs="Times New Roman"/>
      <w:sz w:val="24"/>
      <w:szCs w:val="24"/>
    </w:rPr>
  </w:style>
  <w:style w:type="character" w:styleId="PageNumber">
    <w:name w:val="page number"/>
    <w:basedOn w:val="DefaultParagraphFont"/>
    <w:rsid w:val="00A518CD"/>
  </w:style>
  <w:style w:type="character" w:customStyle="1" w:styleId="Heading4Char">
    <w:name w:val="Heading 4 Char"/>
    <w:basedOn w:val="DefaultParagraphFont"/>
    <w:link w:val="Heading4"/>
    <w:rsid w:val="00A973A4"/>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uiPriority w:val="99"/>
    <w:rsid w:val="00A973A4"/>
    <w:pPr>
      <w:jc w:val="center"/>
    </w:pPr>
    <w:rPr>
      <w:lang w:val="en-GB"/>
    </w:rPr>
  </w:style>
  <w:style w:type="character" w:customStyle="1" w:styleId="BodyTextChar">
    <w:name w:val="Body Text Char"/>
    <w:basedOn w:val="DefaultParagraphFont"/>
    <w:link w:val="BodyText"/>
    <w:uiPriority w:val="99"/>
    <w:rsid w:val="00A973A4"/>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A973A4"/>
    <w:pPr>
      <w:ind w:left="1440"/>
    </w:pPr>
    <w:rPr>
      <w:lang w:val="en-GB"/>
    </w:rPr>
  </w:style>
  <w:style w:type="character" w:customStyle="1" w:styleId="BodyTextIndentChar">
    <w:name w:val="Body Text Indent Char"/>
    <w:basedOn w:val="DefaultParagraphFont"/>
    <w:link w:val="BodyTextIndent"/>
    <w:rsid w:val="00A973A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973A4"/>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973A4"/>
    <w:rPr>
      <w:rFonts w:ascii="Tahoma" w:eastAsia="Calibri" w:hAnsi="Tahoma" w:cs="Tahoma"/>
      <w:sz w:val="16"/>
      <w:szCs w:val="16"/>
    </w:rPr>
  </w:style>
  <w:style w:type="paragraph" w:styleId="BodyTextIndent2">
    <w:name w:val="Body Text Indent 2"/>
    <w:basedOn w:val="Normal"/>
    <w:link w:val="BodyTextIndent2Char"/>
    <w:uiPriority w:val="99"/>
    <w:semiHidden/>
    <w:unhideWhenUsed/>
    <w:rsid w:val="00A973A4"/>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A973A4"/>
    <w:rPr>
      <w:rFonts w:ascii="Calibri" w:eastAsia="Calibri" w:hAnsi="Calibri" w:cs="Times New Roman"/>
    </w:rPr>
  </w:style>
  <w:style w:type="paragraph" w:styleId="FootnoteText">
    <w:name w:val="footnote text"/>
    <w:basedOn w:val="Normal"/>
    <w:link w:val="FootnoteTextChar"/>
    <w:uiPriority w:val="99"/>
    <w:unhideWhenUsed/>
    <w:rsid w:val="00A973A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A973A4"/>
    <w:rPr>
      <w:rFonts w:ascii="Calibri" w:eastAsia="Calibri" w:hAnsi="Calibri" w:cs="Times New Roman"/>
      <w:sz w:val="20"/>
      <w:szCs w:val="20"/>
    </w:rPr>
  </w:style>
  <w:style w:type="character" w:styleId="FootnoteReference">
    <w:name w:val="footnote reference"/>
    <w:uiPriority w:val="99"/>
    <w:unhideWhenUsed/>
    <w:rsid w:val="00A973A4"/>
    <w:rPr>
      <w:vertAlign w:val="superscript"/>
    </w:rPr>
  </w:style>
  <w:style w:type="character" w:customStyle="1" w:styleId="Heading1Char">
    <w:name w:val="Heading 1 Char"/>
    <w:basedOn w:val="DefaultParagraphFont"/>
    <w:link w:val="Heading1"/>
    <w:uiPriority w:val="9"/>
    <w:rsid w:val="00803AF7"/>
    <w:rPr>
      <w:rFonts w:asciiTheme="majorHAnsi" w:eastAsiaTheme="majorEastAsia" w:hAnsiTheme="majorHAnsi" w:cstheme="majorBidi"/>
      <w:color w:val="365F91" w:themeColor="accent1" w:themeShade="BF"/>
      <w:sz w:val="32"/>
      <w:szCs w:val="32"/>
    </w:rPr>
  </w:style>
  <w:style w:type="paragraph" w:customStyle="1" w:styleId="Default">
    <w:name w:val="Default"/>
    <w:rsid w:val="00803AF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A4E61"/>
    <w:rPr>
      <w:sz w:val="16"/>
      <w:szCs w:val="16"/>
    </w:rPr>
  </w:style>
  <w:style w:type="paragraph" w:styleId="CommentText">
    <w:name w:val="annotation text"/>
    <w:basedOn w:val="Normal"/>
    <w:link w:val="CommentTextChar"/>
    <w:uiPriority w:val="99"/>
    <w:semiHidden/>
    <w:unhideWhenUsed/>
    <w:rsid w:val="009A4E61"/>
    <w:rPr>
      <w:sz w:val="20"/>
      <w:szCs w:val="20"/>
    </w:rPr>
  </w:style>
  <w:style w:type="character" w:customStyle="1" w:styleId="CommentTextChar">
    <w:name w:val="Comment Text Char"/>
    <w:basedOn w:val="DefaultParagraphFont"/>
    <w:link w:val="CommentText"/>
    <w:uiPriority w:val="99"/>
    <w:semiHidden/>
    <w:rsid w:val="009A4E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4E61"/>
    <w:rPr>
      <w:b/>
      <w:bCs/>
    </w:rPr>
  </w:style>
  <w:style w:type="character" w:customStyle="1" w:styleId="CommentSubjectChar">
    <w:name w:val="Comment Subject Char"/>
    <w:basedOn w:val="CommentTextChar"/>
    <w:link w:val="CommentSubject"/>
    <w:uiPriority w:val="99"/>
    <w:semiHidden/>
    <w:rsid w:val="009A4E61"/>
    <w:rPr>
      <w:rFonts w:ascii="Times New Roman" w:eastAsia="Times New Roman" w:hAnsi="Times New Roman" w:cs="Times New Roman"/>
      <w:b/>
      <w:bCs/>
      <w:sz w:val="20"/>
      <w:szCs w:val="20"/>
    </w:rPr>
  </w:style>
  <w:style w:type="paragraph" w:customStyle="1" w:styleId="western">
    <w:name w:val="western"/>
    <w:basedOn w:val="Normal"/>
    <w:rsid w:val="00D10DA6"/>
    <w:pPr>
      <w:spacing w:before="100" w:beforeAutospacing="1" w:after="100" w:afterAutospacing="1"/>
    </w:pPr>
  </w:style>
  <w:style w:type="character" w:styleId="Hyperlink">
    <w:name w:val="Hyperlink"/>
    <w:basedOn w:val="DefaultParagraphFont"/>
    <w:uiPriority w:val="99"/>
    <w:semiHidden/>
    <w:unhideWhenUsed/>
    <w:rsid w:val="00D10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3600">
      <w:bodyDiv w:val="1"/>
      <w:marLeft w:val="0"/>
      <w:marRight w:val="0"/>
      <w:marTop w:val="0"/>
      <w:marBottom w:val="0"/>
      <w:divBdr>
        <w:top w:val="none" w:sz="0" w:space="0" w:color="auto"/>
        <w:left w:val="none" w:sz="0" w:space="0" w:color="auto"/>
        <w:bottom w:val="none" w:sz="0" w:space="0" w:color="auto"/>
        <w:right w:val="none" w:sz="0" w:space="0" w:color="auto"/>
      </w:divBdr>
    </w:div>
    <w:div w:id="847912992">
      <w:bodyDiv w:val="1"/>
      <w:marLeft w:val="0"/>
      <w:marRight w:val="0"/>
      <w:marTop w:val="0"/>
      <w:marBottom w:val="0"/>
      <w:divBdr>
        <w:top w:val="none" w:sz="0" w:space="0" w:color="auto"/>
        <w:left w:val="none" w:sz="0" w:space="0" w:color="auto"/>
        <w:bottom w:val="none" w:sz="0" w:space="0" w:color="auto"/>
        <w:right w:val="none" w:sz="0" w:space="0" w:color="auto"/>
      </w:divBdr>
    </w:div>
    <w:div w:id="18559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2021-04-18T18:30:00+00:00</Judgment_x0020_Date>
    <Year xmlns="c1afb1bd-f2fb-40fd-9abb-aea55b4d7662">2021</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6DEC3-6E6E-4E09-9D1E-2F9375D500A0}">
  <ds:schemaRefs>
    <ds:schemaRef ds:uri="http://schemas.microsoft.com/sharepoint/v3/contenttype/forms"/>
  </ds:schemaRefs>
</ds:datastoreItem>
</file>

<file path=customXml/itemProps2.xml><?xml version="1.0" encoding="utf-8"?>
<ds:datastoreItem xmlns:ds="http://schemas.openxmlformats.org/officeDocument/2006/customXml" ds:itemID="{91DFAD84-D476-4A9E-B8A0-87F8D0CDA234}">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B699A606-7806-414B-9E59-EED0F8DCF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C1966C-41F3-4EAC-AEF3-A745E4F9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3628</Words>
  <Characters>20684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Van Wyk v Nandago (HC-MD-CIV-ACT-OTH-2020-04153) [2021] NAHCMD 171 (19 April 2021)</vt:lpstr>
    </vt:vector>
  </TitlesOfParts>
  <Company>Hewlett-Packard</Company>
  <LinksUpToDate>false</LinksUpToDate>
  <CharactersWithSpaces>24264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Wyk v Nandago (HC-MD-CIV-ACT-OTH-2020-04153) [2021] NAHCMD 171 (19 April 2021)</dc:title>
  <dc:creator>PC</dc:creator>
  <cp:lastModifiedBy>HOME</cp:lastModifiedBy>
  <cp:revision>2</cp:revision>
  <dcterms:created xsi:type="dcterms:W3CDTF">2021-07-12T13:55:00Z</dcterms:created>
  <dcterms:modified xsi:type="dcterms:W3CDTF">2021-07-12T13:55:00Z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