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5ABA" w:rsidRPr="00050022" w:rsidRDefault="00AE5ABA" w:rsidP="00AD01CA">
      <w:pPr>
        <w:spacing w:after="0" w:line="360" w:lineRule="auto"/>
        <w:jc w:val="center"/>
        <w:rPr>
          <w:rFonts w:ascii="Arial" w:eastAsia="Times New Roman" w:hAnsi="Arial" w:cs="Arial"/>
          <w:b/>
          <w:sz w:val="24"/>
          <w:szCs w:val="24"/>
        </w:rPr>
      </w:pPr>
      <w:r w:rsidRPr="00050022">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14:anchorId="5ED02E1A" wp14:editId="738590C8">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A131F" w:rsidRPr="000A0FD8" w:rsidRDefault="001A131F" w:rsidP="00AE5ABA">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2E1A"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A131F" w:rsidRPr="000A0FD8" w:rsidRDefault="001A131F" w:rsidP="00AE5ABA">
                      <w:pPr>
                        <w:jc w:val="right"/>
                        <w:rPr>
                          <w:rFonts w:ascii="Arial" w:hAnsi="Arial" w:cs="Arial"/>
                          <w:b/>
                        </w:rPr>
                      </w:pPr>
                    </w:p>
                  </w:txbxContent>
                </v:textbox>
                <w10:wrap anchorx="margin"/>
              </v:shape>
            </w:pict>
          </mc:Fallback>
        </mc:AlternateContent>
      </w:r>
      <w:r w:rsidRPr="00050022">
        <w:rPr>
          <w:rFonts w:ascii="Arial" w:eastAsia="Times New Roman" w:hAnsi="Arial" w:cs="Arial"/>
          <w:b/>
          <w:sz w:val="24"/>
          <w:szCs w:val="24"/>
        </w:rPr>
        <w:t>REPUBLIC OF NAMIBIA</w:t>
      </w:r>
    </w:p>
    <w:p w:rsidR="00AE5ABA" w:rsidRPr="00050022" w:rsidRDefault="00AE5ABA" w:rsidP="00AD01CA">
      <w:pPr>
        <w:spacing w:after="0" w:line="360" w:lineRule="auto"/>
        <w:rPr>
          <w:rFonts w:ascii="Arial" w:eastAsia="Times New Roman" w:hAnsi="Arial" w:cs="Arial"/>
          <w:b/>
          <w:sz w:val="24"/>
          <w:szCs w:val="24"/>
        </w:rPr>
      </w:pPr>
      <w:r w:rsidRPr="00050022">
        <w:rPr>
          <w:rFonts w:ascii="Arial" w:eastAsia="Times New Roman" w:hAnsi="Arial" w:cs="Arial"/>
          <w:noProof/>
          <w:sz w:val="24"/>
          <w:szCs w:val="24"/>
          <w:lang w:eastAsia="en-ZA"/>
        </w:rPr>
        <w:drawing>
          <wp:anchor distT="0" distB="0" distL="114300" distR="114300" simplePos="0" relativeHeight="251660288" behindDoc="0" locked="0" layoutInCell="1" allowOverlap="1" wp14:anchorId="661033BA" wp14:editId="169D5624">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ABA" w:rsidRPr="00050022" w:rsidRDefault="00AE5ABA" w:rsidP="00AD01CA">
      <w:pPr>
        <w:spacing w:after="0" w:line="360" w:lineRule="auto"/>
        <w:rPr>
          <w:rFonts w:ascii="Arial" w:eastAsia="Times New Roman" w:hAnsi="Arial" w:cs="Arial"/>
          <w:b/>
          <w:sz w:val="24"/>
          <w:szCs w:val="24"/>
        </w:rPr>
      </w:pPr>
    </w:p>
    <w:p w:rsidR="00AE5ABA" w:rsidRPr="00050022" w:rsidRDefault="00AE5ABA" w:rsidP="00AD01CA">
      <w:pPr>
        <w:spacing w:after="0" w:line="360" w:lineRule="auto"/>
        <w:rPr>
          <w:rFonts w:ascii="Arial" w:eastAsia="Times New Roman" w:hAnsi="Arial" w:cs="Arial"/>
          <w:b/>
          <w:sz w:val="24"/>
          <w:szCs w:val="24"/>
        </w:rPr>
      </w:pPr>
    </w:p>
    <w:p w:rsidR="00AE5ABA" w:rsidRPr="00050022" w:rsidRDefault="00AE5ABA" w:rsidP="00AD01CA">
      <w:pPr>
        <w:spacing w:after="0" w:line="360" w:lineRule="auto"/>
        <w:rPr>
          <w:rFonts w:ascii="Arial" w:eastAsia="Times New Roman" w:hAnsi="Arial" w:cs="Arial"/>
          <w:b/>
          <w:sz w:val="24"/>
          <w:szCs w:val="24"/>
        </w:rPr>
      </w:pPr>
    </w:p>
    <w:p w:rsidR="00AE5ABA" w:rsidRPr="00050022" w:rsidRDefault="00AE5ABA" w:rsidP="00AD01CA">
      <w:pPr>
        <w:spacing w:after="0" w:line="360" w:lineRule="auto"/>
        <w:rPr>
          <w:rFonts w:ascii="Arial" w:eastAsia="Times New Roman" w:hAnsi="Arial" w:cs="Arial"/>
          <w:b/>
          <w:sz w:val="24"/>
          <w:szCs w:val="24"/>
        </w:rPr>
      </w:pPr>
    </w:p>
    <w:p w:rsidR="00AE5ABA" w:rsidRPr="00050022" w:rsidRDefault="00AE5ABA" w:rsidP="00AD01CA">
      <w:pPr>
        <w:spacing w:after="0" w:line="360" w:lineRule="auto"/>
        <w:jc w:val="center"/>
        <w:rPr>
          <w:rFonts w:ascii="Arial" w:eastAsia="Times New Roman" w:hAnsi="Arial" w:cs="Arial"/>
          <w:b/>
          <w:sz w:val="24"/>
          <w:szCs w:val="24"/>
        </w:rPr>
      </w:pPr>
    </w:p>
    <w:p w:rsidR="00AE5ABA" w:rsidRPr="00050022" w:rsidRDefault="00AE5ABA" w:rsidP="00AD01CA">
      <w:pPr>
        <w:spacing w:after="0" w:line="360" w:lineRule="auto"/>
        <w:rPr>
          <w:rFonts w:ascii="Arial" w:eastAsia="Times New Roman" w:hAnsi="Arial" w:cs="Arial"/>
          <w:b/>
          <w:sz w:val="24"/>
          <w:szCs w:val="24"/>
        </w:rPr>
      </w:pPr>
      <w:r>
        <w:rPr>
          <w:rFonts w:ascii="Arial" w:eastAsia="Times New Roman" w:hAnsi="Arial" w:cs="Arial"/>
          <w:b/>
          <w:sz w:val="24"/>
          <w:szCs w:val="24"/>
        </w:rPr>
        <w:t xml:space="preserve">                   IN THE </w:t>
      </w:r>
      <w:r w:rsidR="00076AD3" w:rsidRPr="00076AD3">
        <w:rPr>
          <w:rFonts w:ascii="Arial" w:eastAsia="Times New Roman" w:hAnsi="Arial" w:cs="Arial"/>
          <w:b/>
          <w:sz w:val="24"/>
          <w:szCs w:val="24"/>
          <w:lang w:val="en-GB"/>
        </w:rPr>
        <w:t>LABOUR COURT OF NAMIBIA</w:t>
      </w:r>
      <w:r w:rsidRPr="00050022">
        <w:rPr>
          <w:rFonts w:ascii="Arial" w:eastAsia="Times New Roman" w:hAnsi="Arial" w:cs="Arial"/>
          <w:b/>
          <w:sz w:val="24"/>
          <w:szCs w:val="24"/>
        </w:rPr>
        <w:t>, MAIN DIVISION, WINDHOEK</w:t>
      </w:r>
    </w:p>
    <w:p w:rsidR="00AE5ABA" w:rsidRPr="00050022" w:rsidRDefault="00AE5ABA" w:rsidP="00AD01CA">
      <w:pPr>
        <w:spacing w:after="0" w:line="360" w:lineRule="auto"/>
        <w:jc w:val="center"/>
        <w:rPr>
          <w:rFonts w:ascii="Arial" w:eastAsia="Times New Roman" w:hAnsi="Arial" w:cs="Arial"/>
          <w:b/>
          <w:sz w:val="24"/>
          <w:szCs w:val="24"/>
        </w:rPr>
      </w:pPr>
      <w:r w:rsidRPr="00050022">
        <w:rPr>
          <w:rFonts w:ascii="Arial" w:eastAsia="Times New Roman" w:hAnsi="Arial" w:cs="Arial"/>
          <w:b/>
          <w:sz w:val="24"/>
          <w:szCs w:val="24"/>
        </w:rPr>
        <w:t>JUDGMENT</w:t>
      </w:r>
    </w:p>
    <w:p w:rsidR="00950676" w:rsidRPr="00DA4588" w:rsidRDefault="00950676" w:rsidP="00AD01CA">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DA4588" w:rsidTr="001A131F">
        <w:trPr>
          <w:trHeight w:val="744"/>
        </w:trPr>
        <w:tc>
          <w:tcPr>
            <w:tcW w:w="5397" w:type="dxa"/>
            <w:gridSpan w:val="2"/>
            <w:vMerge w:val="restart"/>
          </w:tcPr>
          <w:p w:rsidR="00950676" w:rsidRPr="00DA4588" w:rsidRDefault="00950676" w:rsidP="00AD01CA">
            <w:pPr>
              <w:spacing w:before="240" w:after="0" w:line="360" w:lineRule="auto"/>
              <w:jc w:val="both"/>
              <w:rPr>
                <w:rFonts w:ascii="Arial Narrow" w:hAnsi="Arial Narrow" w:cs="Arial"/>
                <w:sz w:val="24"/>
                <w:szCs w:val="24"/>
              </w:rPr>
            </w:pPr>
            <w:r w:rsidRPr="00DA4588">
              <w:rPr>
                <w:rFonts w:ascii="Arial Narrow" w:hAnsi="Arial Narrow" w:cs="Arial"/>
                <w:b/>
                <w:sz w:val="24"/>
                <w:szCs w:val="24"/>
              </w:rPr>
              <w:t>Case Title:</w:t>
            </w:r>
          </w:p>
          <w:p w:rsidR="00193139" w:rsidRPr="00193139" w:rsidRDefault="0085060E" w:rsidP="00AD01CA">
            <w:pPr>
              <w:tabs>
                <w:tab w:val="left" w:pos="6750"/>
              </w:tabs>
              <w:spacing w:before="240" w:after="0" w:line="360" w:lineRule="auto"/>
              <w:rPr>
                <w:rFonts w:ascii="Arial Narrow" w:eastAsia="Times New Roman" w:hAnsi="Arial Narrow" w:cs="Arial"/>
                <w:sz w:val="24"/>
                <w:szCs w:val="24"/>
              </w:rPr>
            </w:pPr>
            <w:r>
              <w:rPr>
                <w:rFonts w:ascii="Arial Narrow" w:eastAsia="Times New Roman" w:hAnsi="Arial Narrow" w:cs="Arial"/>
                <w:sz w:val="24"/>
                <w:szCs w:val="24"/>
              </w:rPr>
              <w:t>KHORIXAS TOWN COUNCIL</w:t>
            </w:r>
            <w:r w:rsidR="00193139">
              <w:rPr>
                <w:rFonts w:ascii="Arial Narrow" w:eastAsia="Times New Roman" w:hAnsi="Arial Narrow" w:cs="Arial"/>
                <w:sz w:val="24"/>
                <w:szCs w:val="24"/>
              </w:rPr>
              <w:t xml:space="preserve">    </w:t>
            </w:r>
            <w:r>
              <w:rPr>
                <w:rFonts w:ascii="Arial Narrow" w:eastAsia="Times New Roman" w:hAnsi="Arial Narrow" w:cs="Arial"/>
                <w:sz w:val="24"/>
                <w:szCs w:val="24"/>
              </w:rPr>
              <w:t xml:space="preserve">                    </w:t>
            </w:r>
            <w:r w:rsidR="00193139">
              <w:rPr>
                <w:rFonts w:ascii="Arial Narrow" w:eastAsia="Times New Roman" w:hAnsi="Arial Narrow" w:cs="Arial"/>
                <w:sz w:val="24"/>
                <w:szCs w:val="24"/>
              </w:rPr>
              <w:t xml:space="preserve"> </w:t>
            </w:r>
            <w:r w:rsidRPr="00193139">
              <w:rPr>
                <w:rFonts w:ascii="Arial Narrow" w:eastAsia="Times New Roman" w:hAnsi="Arial Narrow" w:cs="Arial"/>
                <w:sz w:val="24"/>
                <w:szCs w:val="24"/>
              </w:rPr>
              <w:t>APPELLANT</w:t>
            </w:r>
            <w:r w:rsidR="00193139">
              <w:rPr>
                <w:rFonts w:ascii="Arial Narrow" w:eastAsia="Times New Roman" w:hAnsi="Arial Narrow" w:cs="Arial"/>
                <w:sz w:val="24"/>
                <w:szCs w:val="24"/>
              </w:rPr>
              <w:t xml:space="preserve">                </w:t>
            </w:r>
          </w:p>
          <w:p w:rsidR="00193139" w:rsidRPr="00193139" w:rsidRDefault="00193139" w:rsidP="00AD01CA">
            <w:pPr>
              <w:tabs>
                <w:tab w:val="left" w:pos="6750"/>
              </w:tabs>
              <w:spacing w:before="240" w:after="0" w:line="360" w:lineRule="auto"/>
              <w:jc w:val="both"/>
              <w:rPr>
                <w:rFonts w:ascii="Arial Narrow" w:eastAsia="Times New Roman" w:hAnsi="Arial Narrow" w:cs="Arial"/>
                <w:sz w:val="24"/>
                <w:szCs w:val="24"/>
              </w:rPr>
            </w:pPr>
            <w:r w:rsidRPr="00193139">
              <w:rPr>
                <w:rFonts w:ascii="Arial Narrow" w:eastAsia="Times New Roman" w:hAnsi="Arial Narrow" w:cs="Arial"/>
                <w:sz w:val="24"/>
                <w:szCs w:val="24"/>
              </w:rPr>
              <w:t>and</w:t>
            </w:r>
          </w:p>
          <w:p w:rsidR="00193139" w:rsidRPr="00193139" w:rsidRDefault="0085060E" w:rsidP="00AD01CA">
            <w:pPr>
              <w:tabs>
                <w:tab w:val="left" w:pos="6750"/>
              </w:tabs>
              <w:spacing w:before="240" w:after="0" w:line="360" w:lineRule="auto"/>
              <w:jc w:val="both"/>
              <w:rPr>
                <w:rFonts w:ascii="Arial Narrow" w:eastAsia="Times New Roman" w:hAnsi="Arial Narrow" w:cs="Arial"/>
                <w:sz w:val="24"/>
                <w:szCs w:val="24"/>
              </w:rPr>
            </w:pPr>
            <w:r>
              <w:rPr>
                <w:rFonts w:ascii="Arial Narrow" w:eastAsia="Times New Roman" w:hAnsi="Arial Narrow" w:cs="Arial"/>
                <w:sz w:val="24"/>
                <w:szCs w:val="24"/>
              </w:rPr>
              <w:t>STANLEY XAMISEB</w:t>
            </w:r>
            <w:r w:rsidR="001804BF">
              <w:rPr>
                <w:rFonts w:ascii="Arial Narrow" w:eastAsia="Times New Roman" w:hAnsi="Arial Narrow" w:cs="Arial"/>
                <w:sz w:val="24"/>
                <w:szCs w:val="24"/>
              </w:rPr>
              <w:t xml:space="preserve">                       FIRST</w:t>
            </w:r>
            <w:r w:rsidR="00193139" w:rsidRPr="00193139">
              <w:rPr>
                <w:rFonts w:ascii="Arial Narrow" w:eastAsia="Times New Roman" w:hAnsi="Arial Narrow" w:cs="Arial"/>
                <w:sz w:val="24"/>
                <w:szCs w:val="24"/>
              </w:rPr>
              <w:t xml:space="preserve"> RESPO</w:t>
            </w:r>
            <w:r w:rsidR="00193139">
              <w:rPr>
                <w:rFonts w:ascii="Arial Narrow" w:eastAsia="Times New Roman" w:hAnsi="Arial Narrow" w:cs="Arial"/>
                <w:sz w:val="24"/>
                <w:szCs w:val="24"/>
              </w:rPr>
              <w:t>NDENT</w:t>
            </w:r>
          </w:p>
          <w:p w:rsidR="00950676" w:rsidRPr="00193139" w:rsidRDefault="0085060E" w:rsidP="00AD01CA">
            <w:pPr>
              <w:tabs>
                <w:tab w:val="left" w:pos="6750"/>
              </w:tabs>
              <w:spacing w:before="240" w:after="0" w:line="360" w:lineRule="auto"/>
              <w:jc w:val="both"/>
              <w:rPr>
                <w:rFonts w:ascii="Arial Narrow" w:eastAsia="Times New Roman" w:hAnsi="Arial Narrow" w:cs="Arial"/>
                <w:sz w:val="24"/>
                <w:szCs w:val="24"/>
              </w:rPr>
            </w:pPr>
            <w:r>
              <w:rPr>
                <w:rFonts w:ascii="Arial Narrow" w:eastAsia="Times New Roman" w:hAnsi="Arial Narrow" w:cs="Arial"/>
                <w:sz w:val="24"/>
                <w:szCs w:val="24"/>
              </w:rPr>
              <w:t>KLEOFAS GAIN</w:t>
            </w:r>
            <w:r w:rsidR="001804BF">
              <w:rPr>
                <w:rFonts w:ascii="Arial Narrow" w:eastAsia="Times New Roman" w:hAnsi="Arial Narrow" w:cs="Arial"/>
                <w:sz w:val="24"/>
                <w:szCs w:val="24"/>
              </w:rPr>
              <w:t>GOB                  SECOND</w:t>
            </w:r>
            <w:r w:rsidR="00193139" w:rsidRPr="00193139">
              <w:rPr>
                <w:rFonts w:ascii="Arial Narrow" w:eastAsia="Times New Roman" w:hAnsi="Arial Narrow" w:cs="Arial"/>
                <w:sz w:val="24"/>
                <w:szCs w:val="24"/>
              </w:rPr>
              <w:t xml:space="preserve"> RESPONDENT</w:t>
            </w:r>
          </w:p>
        </w:tc>
        <w:tc>
          <w:tcPr>
            <w:tcW w:w="4323" w:type="dxa"/>
          </w:tcPr>
          <w:p w:rsidR="00950676" w:rsidRPr="00DA4588" w:rsidRDefault="00950676" w:rsidP="00AD01CA">
            <w:pPr>
              <w:spacing w:before="240" w:after="0" w:line="360" w:lineRule="auto"/>
              <w:jc w:val="both"/>
              <w:rPr>
                <w:rFonts w:ascii="Arial Narrow" w:hAnsi="Arial Narrow" w:cs="Arial"/>
                <w:sz w:val="24"/>
                <w:szCs w:val="24"/>
              </w:rPr>
            </w:pPr>
            <w:r w:rsidRPr="00DA4588">
              <w:rPr>
                <w:rFonts w:ascii="Arial Narrow" w:hAnsi="Arial Narrow" w:cs="Arial"/>
                <w:b/>
                <w:sz w:val="24"/>
                <w:szCs w:val="24"/>
              </w:rPr>
              <w:t>Case No:</w:t>
            </w:r>
          </w:p>
          <w:p w:rsidR="00950676" w:rsidRPr="00DA4588" w:rsidRDefault="0085060E" w:rsidP="00AD01CA">
            <w:pPr>
              <w:spacing w:before="240" w:after="0" w:line="360" w:lineRule="auto"/>
              <w:rPr>
                <w:rFonts w:ascii="Arial Narrow" w:hAnsi="Arial Narrow" w:cs="Arial"/>
                <w:b/>
                <w:sz w:val="24"/>
                <w:szCs w:val="24"/>
              </w:rPr>
            </w:pPr>
            <w:r>
              <w:rPr>
                <w:rFonts w:ascii="Arial Narrow" w:hAnsi="Arial Narrow" w:cs="Arial"/>
                <w:sz w:val="24"/>
                <w:szCs w:val="24"/>
              </w:rPr>
              <w:t>HC-MD-LAB-APP-AAA-2019/00057</w:t>
            </w:r>
          </w:p>
        </w:tc>
      </w:tr>
      <w:tr w:rsidR="00950676" w:rsidRPr="00DA4588" w:rsidTr="001A131F">
        <w:trPr>
          <w:trHeight w:val="844"/>
        </w:trPr>
        <w:tc>
          <w:tcPr>
            <w:tcW w:w="5397" w:type="dxa"/>
            <w:gridSpan w:val="2"/>
            <w:vMerge/>
          </w:tcPr>
          <w:p w:rsidR="00950676" w:rsidRPr="00DA4588" w:rsidRDefault="00950676" w:rsidP="00AD01CA">
            <w:pPr>
              <w:spacing w:before="240" w:after="0" w:line="360" w:lineRule="auto"/>
              <w:jc w:val="both"/>
              <w:rPr>
                <w:rFonts w:ascii="Arial Narrow" w:hAnsi="Arial Narrow" w:cs="Arial"/>
                <w:sz w:val="24"/>
                <w:szCs w:val="24"/>
              </w:rPr>
            </w:pPr>
          </w:p>
        </w:tc>
        <w:tc>
          <w:tcPr>
            <w:tcW w:w="4323" w:type="dxa"/>
          </w:tcPr>
          <w:p w:rsidR="00950676" w:rsidRPr="00DA4588" w:rsidRDefault="00950676" w:rsidP="00AD01CA">
            <w:pPr>
              <w:spacing w:before="240" w:after="0"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950676" w:rsidRPr="00DA4588" w:rsidRDefault="00076AD3" w:rsidP="00AD01CA">
            <w:pPr>
              <w:spacing w:before="240" w:after="0" w:line="360" w:lineRule="auto"/>
              <w:jc w:val="both"/>
              <w:rPr>
                <w:rFonts w:ascii="Arial Narrow" w:hAnsi="Arial Narrow" w:cs="Arial"/>
                <w:sz w:val="24"/>
                <w:szCs w:val="24"/>
              </w:rPr>
            </w:pPr>
            <w:r>
              <w:rPr>
                <w:rFonts w:ascii="Arial Narrow" w:hAnsi="Arial Narrow" w:cs="Arial"/>
                <w:sz w:val="24"/>
                <w:szCs w:val="24"/>
              </w:rPr>
              <w:t xml:space="preserve">LABOUR </w:t>
            </w:r>
            <w:r w:rsidR="00950676">
              <w:rPr>
                <w:rFonts w:ascii="Arial Narrow" w:hAnsi="Arial Narrow" w:cs="Arial"/>
                <w:sz w:val="24"/>
                <w:szCs w:val="24"/>
              </w:rPr>
              <w:t xml:space="preserve">COURT </w:t>
            </w:r>
            <w:r w:rsidR="00950676" w:rsidRPr="00DA4588">
              <w:rPr>
                <w:rFonts w:ascii="Arial Narrow" w:hAnsi="Arial Narrow" w:cs="Arial"/>
                <w:sz w:val="24"/>
                <w:szCs w:val="24"/>
              </w:rPr>
              <w:t>(MAIN DIVISION)</w:t>
            </w:r>
          </w:p>
        </w:tc>
      </w:tr>
      <w:tr w:rsidR="00950676" w:rsidRPr="00DA4588" w:rsidTr="001A131F">
        <w:trPr>
          <w:trHeight w:val="645"/>
        </w:trPr>
        <w:tc>
          <w:tcPr>
            <w:tcW w:w="5397" w:type="dxa"/>
            <w:gridSpan w:val="2"/>
            <w:vMerge w:val="restart"/>
          </w:tcPr>
          <w:p w:rsidR="00950676" w:rsidRPr="00DA4588" w:rsidRDefault="00950676" w:rsidP="00AD01CA">
            <w:pPr>
              <w:spacing w:before="240" w:after="0" w:line="360" w:lineRule="auto"/>
              <w:jc w:val="both"/>
              <w:rPr>
                <w:rFonts w:ascii="Arial Narrow" w:hAnsi="Arial Narrow" w:cs="Arial"/>
                <w:b/>
                <w:sz w:val="24"/>
                <w:szCs w:val="24"/>
              </w:rPr>
            </w:pPr>
            <w:r w:rsidRPr="00DA4588">
              <w:rPr>
                <w:rFonts w:ascii="Arial Narrow" w:hAnsi="Arial Narrow" w:cs="Arial"/>
                <w:b/>
                <w:sz w:val="24"/>
                <w:szCs w:val="24"/>
              </w:rPr>
              <w:t>Heard before:</w:t>
            </w:r>
          </w:p>
          <w:p w:rsidR="00950676" w:rsidRPr="00DA4588" w:rsidRDefault="001804BF" w:rsidP="00AD01CA">
            <w:pPr>
              <w:spacing w:before="240" w:after="0" w:line="360" w:lineRule="auto"/>
              <w:jc w:val="both"/>
              <w:rPr>
                <w:rFonts w:ascii="Arial Narrow" w:hAnsi="Arial Narrow" w:cs="Arial"/>
                <w:sz w:val="24"/>
                <w:szCs w:val="24"/>
              </w:rPr>
            </w:pPr>
            <w:r>
              <w:rPr>
                <w:rFonts w:ascii="Arial Narrow" w:hAnsi="Arial Narrow" w:cs="Arial"/>
                <w:sz w:val="24"/>
                <w:szCs w:val="24"/>
              </w:rPr>
              <w:t>Honourable Lady</w:t>
            </w:r>
            <w:r w:rsidR="00950676">
              <w:rPr>
                <w:rFonts w:ascii="Arial Narrow" w:hAnsi="Arial Narrow" w:cs="Arial"/>
                <w:sz w:val="24"/>
                <w:szCs w:val="24"/>
              </w:rPr>
              <w:t xml:space="preserve"> Justice Rakow</w:t>
            </w:r>
            <w:r w:rsidR="00FB6765">
              <w:rPr>
                <w:rFonts w:ascii="Arial Narrow" w:hAnsi="Arial Narrow" w:cs="Arial"/>
                <w:sz w:val="24"/>
                <w:szCs w:val="24"/>
              </w:rPr>
              <w:t xml:space="preserve">, </w:t>
            </w:r>
            <w:r w:rsidR="007B0F64">
              <w:rPr>
                <w:rFonts w:ascii="Arial Narrow" w:hAnsi="Arial Narrow" w:cs="Arial"/>
                <w:sz w:val="24"/>
                <w:szCs w:val="24"/>
              </w:rPr>
              <w:t>J</w:t>
            </w:r>
          </w:p>
        </w:tc>
        <w:tc>
          <w:tcPr>
            <w:tcW w:w="4323" w:type="dxa"/>
          </w:tcPr>
          <w:p w:rsidR="00950676" w:rsidRDefault="00950676" w:rsidP="00AD01CA">
            <w:pPr>
              <w:spacing w:before="240" w:after="0" w:line="360" w:lineRule="auto"/>
              <w:jc w:val="both"/>
              <w:rPr>
                <w:rFonts w:ascii="Arial Narrow" w:hAnsi="Arial Narrow" w:cs="Arial"/>
                <w:b/>
                <w:sz w:val="24"/>
                <w:szCs w:val="24"/>
              </w:rPr>
            </w:pPr>
            <w:r w:rsidRPr="00DA4588">
              <w:rPr>
                <w:rFonts w:ascii="Arial Narrow" w:hAnsi="Arial Narrow" w:cs="Arial"/>
                <w:b/>
                <w:sz w:val="24"/>
                <w:szCs w:val="24"/>
              </w:rPr>
              <w:t>Date of hearing:</w:t>
            </w:r>
          </w:p>
          <w:p w:rsidR="00193139" w:rsidRPr="00770DC9" w:rsidRDefault="0085060E" w:rsidP="00AD01CA">
            <w:pPr>
              <w:spacing w:before="240" w:after="0" w:line="360" w:lineRule="auto"/>
              <w:jc w:val="both"/>
              <w:rPr>
                <w:rFonts w:ascii="Arial Narrow" w:hAnsi="Arial Narrow" w:cs="Arial"/>
                <w:sz w:val="24"/>
                <w:szCs w:val="24"/>
              </w:rPr>
            </w:pPr>
            <w:r>
              <w:rPr>
                <w:rFonts w:ascii="Arial Narrow" w:hAnsi="Arial Narrow" w:cs="Arial"/>
                <w:sz w:val="24"/>
                <w:szCs w:val="24"/>
              </w:rPr>
              <w:t>27 November 2020</w:t>
            </w:r>
          </w:p>
        </w:tc>
      </w:tr>
      <w:tr w:rsidR="00950676" w:rsidRPr="00DA4588" w:rsidTr="001A131F">
        <w:trPr>
          <w:trHeight w:val="588"/>
        </w:trPr>
        <w:tc>
          <w:tcPr>
            <w:tcW w:w="5397" w:type="dxa"/>
            <w:gridSpan w:val="2"/>
            <w:vMerge/>
          </w:tcPr>
          <w:p w:rsidR="00950676" w:rsidRPr="00DA4588" w:rsidRDefault="00950676" w:rsidP="00AD01CA">
            <w:pPr>
              <w:spacing w:before="240" w:after="0" w:line="360" w:lineRule="auto"/>
              <w:jc w:val="both"/>
              <w:rPr>
                <w:rFonts w:ascii="Arial Narrow" w:hAnsi="Arial Narrow" w:cs="Arial"/>
                <w:b/>
                <w:sz w:val="24"/>
                <w:szCs w:val="24"/>
              </w:rPr>
            </w:pPr>
          </w:p>
        </w:tc>
        <w:tc>
          <w:tcPr>
            <w:tcW w:w="4323" w:type="dxa"/>
          </w:tcPr>
          <w:p w:rsidR="00950676" w:rsidRDefault="00950676" w:rsidP="00AD01CA">
            <w:pPr>
              <w:spacing w:before="240" w:after="0"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FB6765" w:rsidRPr="00FB6765" w:rsidRDefault="0085060E" w:rsidP="00AD01CA">
            <w:pPr>
              <w:spacing w:before="240" w:after="0" w:line="360" w:lineRule="auto"/>
              <w:jc w:val="both"/>
              <w:rPr>
                <w:rFonts w:ascii="Arial Narrow" w:hAnsi="Arial Narrow" w:cs="Arial"/>
                <w:sz w:val="24"/>
                <w:szCs w:val="24"/>
              </w:rPr>
            </w:pPr>
            <w:r>
              <w:rPr>
                <w:rFonts w:ascii="Arial Narrow" w:hAnsi="Arial Narrow" w:cs="Arial"/>
                <w:sz w:val="24"/>
                <w:szCs w:val="24"/>
              </w:rPr>
              <w:t>29 January 2021</w:t>
            </w:r>
          </w:p>
        </w:tc>
      </w:tr>
      <w:tr w:rsidR="00950676" w:rsidRPr="00DA4588" w:rsidTr="001A131F">
        <w:tc>
          <w:tcPr>
            <w:tcW w:w="9720" w:type="dxa"/>
            <w:gridSpan w:val="3"/>
          </w:tcPr>
          <w:p w:rsidR="001804BF" w:rsidRDefault="00950676" w:rsidP="00AD01CA">
            <w:pPr>
              <w:pStyle w:val="form-control-static"/>
              <w:shd w:val="clear" w:color="auto" w:fill="FFFFFF"/>
              <w:spacing w:before="0" w:beforeAutospacing="0" w:after="0" w:afterAutospacing="0" w:line="360" w:lineRule="auto"/>
              <w:rPr>
                <w:rFonts w:ascii="Arial Narrow" w:hAnsi="Arial Narrow" w:cs="Arial"/>
              </w:rPr>
            </w:pPr>
            <w:r w:rsidRPr="00DA4588">
              <w:rPr>
                <w:rFonts w:ascii="Arial Narrow" w:hAnsi="Arial Narrow" w:cs="Arial"/>
                <w:b/>
              </w:rPr>
              <w:t xml:space="preserve">Neutral citation: </w:t>
            </w:r>
            <w:r w:rsidR="008F6597">
              <w:rPr>
                <w:rFonts w:ascii="Arial Narrow" w:hAnsi="Arial Narrow" w:cs="Arial"/>
              </w:rPr>
              <w:t xml:space="preserve"> </w:t>
            </w:r>
            <w:r w:rsidR="00D8299A">
              <w:rPr>
                <w:rFonts w:ascii="Arial Narrow" w:hAnsi="Arial Narrow" w:cs="Arial"/>
                <w:i/>
                <w:lang w:val="en-ZA"/>
              </w:rPr>
              <w:t>Khorixas Town Council v</w:t>
            </w:r>
            <w:r w:rsidR="0085060E">
              <w:rPr>
                <w:rFonts w:ascii="Arial Narrow" w:hAnsi="Arial Narrow" w:cs="Arial"/>
                <w:i/>
                <w:lang w:val="en-ZA"/>
              </w:rPr>
              <w:t xml:space="preserve"> Xamiseb  </w:t>
            </w:r>
            <w:r w:rsidRPr="00DA4588">
              <w:rPr>
                <w:rFonts w:ascii="Arial Narrow" w:hAnsi="Arial Narrow" w:cs="Arial"/>
              </w:rPr>
              <w:t>(</w:t>
            </w:r>
            <w:r w:rsidR="00ED419D" w:rsidRPr="00ED419D">
              <w:rPr>
                <w:rFonts w:ascii="Arial Narrow" w:hAnsi="Arial Narrow" w:cs="Arial"/>
                <w:lang w:val="en-ZA"/>
              </w:rPr>
              <w:t>HC-MD-</w:t>
            </w:r>
            <w:r w:rsidR="00193139">
              <w:t xml:space="preserve"> </w:t>
            </w:r>
            <w:r w:rsidR="0085060E">
              <w:rPr>
                <w:rFonts w:ascii="Arial Narrow" w:hAnsi="Arial Narrow" w:cs="Arial"/>
                <w:lang w:val="en-ZA"/>
              </w:rPr>
              <w:t>LAB-APP-AAA-2019/00057</w:t>
            </w:r>
            <w:r>
              <w:rPr>
                <w:rFonts w:ascii="Arial Narrow" w:hAnsi="Arial Narrow" w:cs="Arial"/>
              </w:rPr>
              <w:t>) [</w:t>
            </w:r>
            <w:r w:rsidR="0085060E">
              <w:rPr>
                <w:rFonts w:ascii="Arial Narrow" w:hAnsi="Arial Narrow" w:cs="Arial"/>
              </w:rPr>
              <w:t>2021</w:t>
            </w:r>
            <w:r w:rsidR="00BE0B4C">
              <w:rPr>
                <w:rFonts w:ascii="Arial Narrow" w:hAnsi="Arial Narrow" w:cs="Arial"/>
              </w:rPr>
              <w:t xml:space="preserve">] </w:t>
            </w:r>
            <w:r w:rsidR="00076AD3">
              <w:rPr>
                <w:rFonts w:ascii="Arial Narrow" w:hAnsi="Arial Narrow" w:cs="Arial"/>
                <w:lang w:val="en-ZA"/>
              </w:rPr>
              <w:t>NAL</w:t>
            </w:r>
            <w:r w:rsidR="003E5170" w:rsidRPr="003E5170">
              <w:rPr>
                <w:rFonts w:ascii="Arial Narrow" w:hAnsi="Arial Narrow" w:cs="Arial"/>
                <w:lang w:val="en-ZA"/>
              </w:rPr>
              <w:t>CMD</w:t>
            </w:r>
            <w:r w:rsidR="00ED419D">
              <w:rPr>
                <w:rFonts w:ascii="Arial Narrow" w:hAnsi="Arial Narrow" w:cs="Arial"/>
              </w:rPr>
              <w:t xml:space="preserve"> </w:t>
            </w:r>
            <w:r w:rsidR="005A618C">
              <w:rPr>
                <w:rFonts w:ascii="Arial Narrow" w:hAnsi="Arial Narrow" w:cs="Arial"/>
              </w:rPr>
              <w:t>2</w:t>
            </w:r>
            <w:r w:rsidR="0095411B" w:rsidRPr="00266092">
              <w:rPr>
                <w:rFonts w:ascii="Arial Narrow" w:hAnsi="Arial Narrow" w:cs="Arial"/>
              </w:rPr>
              <w:t xml:space="preserve"> </w:t>
            </w:r>
            <w:r w:rsidRPr="00DA4588">
              <w:rPr>
                <w:rFonts w:ascii="Arial Narrow" w:hAnsi="Arial Narrow" w:cs="Arial"/>
              </w:rPr>
              <w:t>(</w:t>
            </w:r>
            <w:r w:rsidR="003E5170">
              <w:rPr>
                <w:rFonts w:ascii="Arial Narrow" w:hAnsi="Arial Narrow" w:cs="Arial"/>
              </w:rPr>
              <w:t>29 January 2021</w:t>
            </w:r>
            <w:r>
              <w:rPr>
                <w:rFonts w:ascii="Arial Narrow" w:hAnsi="Arial Narrow" w:cs="Arial"/>
              </w:rPr>
              <w:t>)</w:t>
            </w:r>
          </w:p>
          <w:p w:rsidR="00C60043" w:rsidRPr="008F6597" w:rsidRDefault="00C60043" w:rsidP="00AD01CA">
            <w:pPr>
              <w:pStyle w:val="form-control-static"/>
              <w:shd w:val="clear" w:color="auto" w:fill="FFFFFF"/>
              <w:spacing w:before="0" w:beforeAutospacing="0" w:after="0" w:afterAutospacing="0" w:line="360" w:lineRule="auto"/>
              <w:rPr>
                <w:rFonts w:ascii="Arial Narrow" w:hAnsi="Arial Narrow" w:cs="Arial"/>
              </w:rPr>
            </w:pPr>
          </w:p>
        </w:tc>
      </w:tr>
      <w:tr w:rsidR="00950676" w:rsidRPr="00DA4588" w:rsidTr="001A131F">
        <w:tc>
          <w:tcPr>
            <w:tcW w:w="9720" w:type="dxa"/>
            <w:gridSpan w:val="3"/>
          </w:tcPr>
          <w:p w:rsidR="00C60043" w:rsidRDefault="00C60043" w:rsidP="00AD01CA">
            <w:pPr>
              <w:spacing w:after="0" w:line="360" w:lineRule="auto"/>
              <w:jc w:val="both"/>
              <w:rPr>
                <w:rFonts w:ascii="Arial Narrow" w:hAnsi="Arial Narrow" w:cs="Arial"/>
                <w:sz w:val="24"/>
                <w:szCs w:val="24"/>
              </w:rPr>
            </w:pPr>
          </w:p>
          <w:p w:rsidR="00950676" w:rsidRDefault="00950676" w:rsidP="00AD01CA">
            <w:pPr>
              <w:spacing w:after="0" w:line="360" w:lineRule="auto"/>
              <w:jc w:val="both"/>
              <w:rPr>
                <w:rFonts w:ascii="Arial Narrow" w:hAnsi="Arial Narrow" w:cs="Arial"/>
                <w:sz w:val="24"/>
                <w:szCs w:val="24"/>
              </w:rPr>
            </w:pPr>
            <w:r>
              <w:rPr>
                <w:rFonts w:ascii="Arial Narrow" w:hAnsi="Arial Narrow" w:cs="Arial"/>
                <w:sz w:val="24"/>
                <w:szCs w:val="24"/>
              </w:rPr>
              <w:t xml:space="preserve">Having read the </w:t>
            </w:r>
            <w:r w:rsidRPr="0026448B">
              <w:rPr>
                <w:rFonts w:ascii="Arial Narrow" w:hAnsi="Arial Narrow" w:cs="Arial"/>
                <w:sz w:val="24"/>
                <w:szCs w:val="24"/>
              </w:rPr>
              <w:t xml:space="preserve">record of proceedings as well as </w:t>
            </w:r>
            <w:r w:rsidR="009B0462" w:rsidRPr="0026448B">
              <w:rPr>
                <w:rFonts w:ascii="Arial Narrow" w:hAnsi="Arial Narrow" w:cs="Arial"/>
                <w:sz w:val="24"/>
                <w:szCs w:val="24"/>
              </w:rPr>
              <w:t xml:space="preserve">having heard the </w:t>
            </w:r>
            <w:r w:rsidRPr="0026448B">
              <w:rPr>
                <w:rFonts w:ascii="Arial Narrow" w:hAnsi="Arial Narrow" w:cs="Arial"/>
                <w:sz w:val="24"/>
                <w:szCs w:val="24"/>
              </w:rPr>
              <w:t xml:space="preserve">submissions </w:t>
            </w:r>
            <w:r>
              <w:rPr>
                <w:rFonts w:ascii="Arial Narrow" w:hAnsi="Arial Narrow" w:cs="Arial"/>
                <w:sz w:val="24"/>
                <w:szCs w:val="24"/>
              </w:rPr>
              <w:t>ma</w:t>
            </w:r>
            <w:r w:rsidR="007B0F64">
              <w:rPr>
                <w:rFonts w:ascii="Arial Narrow" w:hAnsi="Arial Narrow" w:cs="Arial"/>
                <w:sz w:val="24"/>
                <w:szCs w:val="24"/>
              </w:rPr>
              <w:t>d</w:t>
            </w:r>
            <w:r w:rsidR="00FB6765">
              <w:rPr>
                <w:rFonts w:ascii="Arial Narrow" w:hAnsi="Arial Narrow" w:cs="Arial"/>
                <w:sz w:val="24"/>
                <w:szCs w:val="24"/>
              </w:rPr>
              <w:t>e by counsels for the applicant</w:t>
            </w:r>
            <w:r>
              <w:rPr>
                <w:rFonts w:ascii="Arial Narrow" w:hAnsi="Arial Narrow" w:cs="Arial"/>
                <w:sz w:val="24"/>
                <w:szCs w:val="24"/>
              </w:rPr>
              <w:t xml:space="preserve"> and the respondent:</w:t>
            </w:r>
          </w:p>
          <w:p w:rsidR="003E5170" w:rsidRPr="00DA4588" w:rsidRDefault="003E5170" w:rsidP="00AD01CA">
            <w:pPr>
              <w:spacing w:after="0" w:line="360" w:lineRule="auto"/>
              <w:jc w:val="both"/>
              <w:rPr>
                <w:rFonts w:ascii="Arial Narrow" w:hAnsi="Arial Narrow" w:cs="Arial"/>
                <w:b/>
                <w:sz w:val="24"/>
                <w:szCs w:val="24"/>
              </w:rPr>
            </w:pPr>
          </w:p>
          <w:p w:rsidR="00950676" w:rsidRDefault="00950676" w:rsidP="00AD01CA">
            <w:pPr>
              <w:spacing w:after="0" w:line="360" w:lineRule="auto"/>
              <w:jc w:val="both"/>
              <w:rPr>
                <w:rFonts w:ascii="Arial Narrow" w:hAnsi="Arial Narrow" w:cs="Arial"/>
                <w:b/>
                <w:sz w:val="24"/>
                <w:szCs w:val="24"/>
              </w:rPr>
            </w:pPr>
            <w:r>
              <w:rPr>
                <w:rFonts w:ascii="Arial Narrow" w:hAnsi="Arial Narrow" w:cs="Arial"/>
                <w:b/>
                <w:sz w:val="24"/>
                <w:szCs w:val="24"/>
              </w:rPr>
              <w:t>IT IS HEREBY ORDERED THAT:</w:t>
            </w:r>
          </w:p>
          <w:p w:rsidR="008F6597" w:rsidRPr="008F6597" w:rsidRDefault="008F6597" w:rsidP="00AD01CA">
            <w:pPr>
              <w:pStyle w:val="ListParagraph"/>
              <w:numPr>
                <w:ilvl w:val="0"/>
                <w:numId w:val="2"/>
              </w:numPr>
              <w:spacing w:after="0" w:line="360" w:lineRule="auto"/>
              <w:jc w:val="both"/>
              <w:rPr>
                <w:rFonts w:ascii="Arial Narrow" w:hAnsi="Arial Narrow"/>
                <w:lang w:val="af-ZA"/>
              </w:rPr>
            </w:pPr>
            <w:r w:rsidRPr="008F6597">
              <w:rPr>
                <w:rFonts w:ascii="Arial Narrow" w:hAnsi="Arial Narrow"/>
                <w:lang w:val="af-ZA"/>
              </w:rPr>
              <w:t xml:space="preserve">The </w:t>
            </w:r>
            <w:r w:rsidRPr="0026448B">
              <w:rPr>
                <w:rFonts w:ascii="Arial Narrow" w:hAnsi="Arial Narrow"/>
                <w:lang w:val="af-ZA"/>
              </w:rPr>
              <w:t xml:space="preserve">appeal </w:t>
            </w:r>
            <w:r w:rsidR="009B0462" w:rsidRPr="0026448B">
              <w:rPr>
                <w:rFonts w:ascii="Arial Narrow" w:hAnsi="Arial Narrow"/>
                <w:lang w:val="af-ZA"/>
              </w:rPr>
              <w:t>is upheld</w:t>
            </w:r>
            <w:r w:rsidRPr="0026448B">
              <w:rPr>
                <w:rFonts w:ascii="Arial Narrow" w:hAnsi="Arial Narrow"/>
                <w:lang w:val="af-ZA"/>
              </w:rPr>
              <w:t>.</w:t>
            </w:r>
          </w:p>
          <w:p w:rsidR="008F6597" w:rsidRPr="008F6597" w:rsidRDefault="008F6597" w:rsidP="00AD01CA">
            <w:pPr>
              <w:pStyle w:val="ListParagraph"/>
              <w:numPr>
                <w:ilvl w:val="0"/>
                <w:numId w:val="2"/>
              </w:numPr>
              <w:spacing w:after="0" w:line="360" w:lineRule="auto"/>
              <w:jc w:val="both"/>
              <w:rPr>
                <w:rFonts w:ascii="Arial Narrow" w:hAnsi="Arial Narrow"/>
                <w:lang w:val="af-ZA"/>
              </w:rPr>
            </w:pPr>
            <w:r w:rsidRPr="008F6597">
              <w:rPr>
                <w:rFonts w:ascii="Arial Narrow" w:hAnsi="Arial Narrow"/>
                <w:lang w:val="af-ZA"/>
              </w:rPr>
              <w:t>The arbitrator’s award dated 13 June 2019 is hereby set aside.</w:t>
            </w:r>
          </w:p>
          <w:p w:rsidR="003E5170" w:rsidRPr="00C60043" w:rsidRDefault="008F6597" w:rsidP="00AD01CA">
            <w:pPr>
              <w:pStyle w:val="ListParagraph"/>
              <w:numPr>
                <w:ilvl w:val="0"/>
                <w:numId w:val="2"/>
              </w:numPr>
              <w:spacing w:after="0" w:line="360" w:lineRule="auto"/>
              <w:jc w:val="both"/>
              <w:rPr>
                <w:rFonts w:ascii="Arial Narrow" w:hAnsi="Arial Narrow"/>
                <w:lang w:val="af-ZA"/>
              </w:rPr>
            </w:pPr>
            <w:r w:rsidRPr="008F6597">
              <w:rPr>
                <w:rFonts w:ascii="Arial Narrow" w:hAnsi="Arial Narrow"/>
                <w:lang w:val="af-ZA"/>
              </w:rPr>
              <w:t>No cost order is made</w:t>
            </w:r>
            <w:r w:rsidR="00D41718">
              <w:rPr>
                <w:rFonts w:ascii="Arial Narrow" w:hAnsi="Arial Narrow"/>
                <w:lang w:val="af-ZA"/>
              </w:rPr>
              <w:t>.</w:t>
            </w:r>
          </w:p>
        </w:tc>
      </w:tr>
      <w:tr w:rsidR="00950676" w:rsidRPr="00DA4588" w:rsidTr="001A131F">
        <w:tc>
          <w:tcPr>
            <w:tcW w:w="9720" w:type="dxa"/>
            <w:gridSpan w:val="3"/>
          </w:tcPr>
          <w:p w:rsidR="00950676" w:rsidRPr="00DA4588" w:rsidRDefault="00950676" w:rsidP="00AD01CA">
            <w:pPr>
              <w:spacing w:after="0" w:line="360" w:lineRule="auto"/>
              <w:jc w:val="both"/>
              <w:rPr>
                <w:rFonts w:ascii="Arial Narrow" w:hAnsi="Arial Narrow" w:cs="Arial"/>
                <w:b/>
                <w:sz w:val="24"/>
                <w:szCs w:val="24"/>
              </w:rPr>
            </w:pPr>
            <w:r w:rsidRPr="00DA4588">
              <w:rPr>
                <w:rFonts w:ascii="Arial Narrow" w:hAnsi="Arial Narrow" w:cs="Arial"/>
                <w:b/>
                <w:sz w:val="24"/>
                <w:szCs w:val="24"/>
              </w:rPr>
              <w:lastRenderedPageBreak/>
              <w:t>Reasons for orders:</w:t>
            </w:r>
          </w:p>
        </w:tc>
      </w:tr>
      <w:tr w:rsidR="00950676" w:rsidRPr="00DA4588" w:rsidTr="001A131F">
        <w:tc>
          <w:tcPr>
            <w:tcW w:w="9720" w:type="dxa"/>
            <w:gridSpan w:val="3"/>
          </w:tcPr>
          <w:p w:rsidR="003E5170" w:rsidRDefault="003E5170" w:rsidP="00AD01CA">
            <w:pPr>
              <w:spacing w:after="0" w:line="360" w:lineRule="auto"/>
              <w:jc w:val="both"/>
              <w:rPr>
                <w:rFonts w:ascii="Arial Narrow" w:hAnsi="Arial Narrow"/>
                <w:sz w:val="24"/>
                <w:szCs w:val="24"/>
                <w:u w:val="single"/>
                <w:lang w:val="af-ZA"/>
              </w:rPr>
            </w:pPr>
          </w:p>
          <w:p w:rsidR="001F4879" w:rsidRDefault="001F4879" w:rsidP="00AD01CA">
            <w:pPr>
              <w:spacing w:after="0" w:line="360" w:lineRule="auto"/>
              <w:jc w:val="both"/>
              <w:rPr>
                <w:rFonts w:ascii="Arial Narrow" w:hAnsi="Arial Narrow"/>
                <w:sz w:val="24"/>
                <w:szCs w:val="24"/>
                <w:u w:val="single"/>
                <w:lang w:val="af-ZA"/>
              </w:rPr>
            </w:pPr>
            <w:r w:rsidRPr="00AC16AC">
              <w:rPr>
                <w:rFonts w:ascii="Arial Narrow" w:hAnsi="Arial Narrow"/>
                <w:sz w:val="24"/>
                <w:szCs w:val="24"/>
                <w:u w:val="single"/>
                <w:lang w:val="af-ZA"/>
              </w:rPr>
              <w:t>Introduction</w:t>
            </w:r>
          </w:p>
          <w:p w:rsidR="00AE5ABA" w:rsidRPr="00AC16AC" w:rsidRDefault="00AE5ABA" w:rsidP="00AD01CA">
            <w:pPr>
              <w:spacing w:after="0" w:line="360" w:lineRule="auto"/>
              <w:jc w:val="both"/>
              <w:rPr>
                <w:rFonts w:ascii="Arial Narrow" w:hAnsi="Arial Narrow"/>
                <w:sz w:val="24"/>
                <w:szCs w:val="24"/>
                <w:u w:val="single"/>
                <w:lang w:val="af-ZA"/>
              </w:rPr>
            </w:pPr>
          </w:p>
          <w:p w:rsidR="0081191E" w:rsidRDefault="00950676" w:rsidP="00AD01CA">
            <w:pPr>
              <w:tabs>
                <w:tab w:val="left" w:pos="560"/>
              </w:tabs>
              <w:spacing w:after="0" w:line="360" w:lineRule="auto"/>
              <w:jc w:val="both"/>
              <w:rPr>
                <w:rFonts w:ascii="Arial Narrow" w:hAnsi="Arial Narrow"/>
                <w:sz w:val="24"/>
                <w:szCs w:val="24"/>
                <w:lang w:val="af-ZA"/>
              </w:rPr>
            </w:pPr>
            <w:r w:rsidRPr="00AC16AC">
              <w:rPr>
                <w:rFonts w:ascii="Arial Narrow" w:hAnsi="Arial Narrow"/>
                <w:sz w:val="24"/>
                <w:szCs w:val="24"/>
                <w:lang w:val="af-ZA"/>
              </w:rPr>
              <w:t>[1</w:t>
            </w:r>
            <w:r w:rsidR="0081191E">
              <w:rPr>
                <w:rFonts w:ascii="Arial Narrow" w:hAnsi="Arial Narrow"/>
                <w:sz w:val="24"/>
                <w:szCs w:val="24"/>
                <w:lang w:val="af-ZA"/>
              </w:rPr>
              <w:t xml:space="preserve">]     </w:t>
            </w:r>
            <w:r w:rsidR="007C7867">
              <w:rPr>
                <w:rFonts w:ascii="Arial Narrow" w:hAnsi="Arial Narrow"/>
                <w:sz w:val="24"/>
                <w:szCs w:val="24"/>
                <w:lang w:val="af-ZA"/>
              </w:rPr>
              <w:t xml:space="preserve">  </w:t>
            </w:r>
            <w:r w:rsidR="0085060E">
              <w:rPr>
                <w:rFonts w:ascii="Arial Narrow" w:hAnsi="Arial Narrow"/>
                <w:sz w:val="24"/>
                <w:szCs w:val="24"/>
                <w:lang w:val="af-ZA"/>
              </w:rPr>
              <w:t xml:space="preserve">Initially the matter was </w:t>
            </w:r>
            <w:r w:rsidR="006B0A1B">
              <w:rPr>
                <w:rFonts w:ascii="Arial Narrow" w:hAnsi="Arial Narrow"/>
                <w:sz w:val="24"/>
                <w:szCs w:val="24"/>
                <w:lang w:val="af-ZA"/>
              </w:rPr>
              <w:t>place on the roll and was not opposed but the Appellant did not comply with rule 17(23) of the Rules</w:t>
            </w:r>
            <w:r w:rsidR="007C7867">
              <w:rPr>
                <w:rFonts w:ascii="Arial Narrow" w:hAnsi="Arial Narrow"/>
                <w:sz w:val="24"/>
                <w:szCs w:val="24"/>
                <w:lang w:val="af-ZA"/>
              </w:rPr>
              <w:t xml:space="preserve"> of the Labour Court in that </w:t>
            </w:r>
            <w:r w:rsidR="007C7867" w:rsidRPr="0026448B">
              <w:rPr>
                <w:rFonts w:ascii="Arial Narrow" w:hAnsi="Arial Narrow"/>
                <w:sz w:val="24"/>
                <w:szCs w:val="24"/>
                <w:lang w:val="af-ZA"/>
              </w:rPr>
              <w:t>it</w:t>
            </w:r>
            <w:r w:rsidR="006B0A1B" w:rsidRPr="0026448B">
              <w:rPr>
                <w:rFonts w:ascii="Arial Narrow" w:hAnsi="Arial Narrow"/>
                <w:sz w:val="24"/>
                <w:szCs w:val="24"/>
                <w:lang w:val="af-ZA"/>
              </w:rPr>
              <w:t xml:space="preserve"> </w:t>
            </w:r>
            <w:r w:rsidR="007C7867" w:rsidRPr="0026448B">
              <w:rPr>
                <w:rFonts w:ascii="Arial Narrow" w:hAnsi="Arial Narrow"/>
                <w:sz w:val="24"/>
                <w:szCs w:val="24"/>
                <w:lang w:val="af-ZA"/>
              </w:rPr>
              <w:t>failed to file</w:t>
            </w:r>
            <w:r w:rsidR="006B0A1B" w:rsidRPr="0026448B">
              <w:rPr>
                <w:rFonts w:ascii="Arial Narrow" w:hAnsi="Arial Narrow"/>
                <w:sz w:val="24"/>
                <w:szCs w:val="24"/>
                <w:lang w:val="af-ZA"/>
              </w:rPr>
              <w:t xml:space="preserve"> heads </w:t>
            </w:r>
            <w:r w:rsidR="006B0A1B">
              <w:rPr>
                <w:rFonts w:ascii="Arial Narrow" w:hAnsi="Arial Narrow"/>
                <w:sz w:val="24"/>
                <w:szCs w:val="24"/>
                <w:lang w:val="af-ZA"/>
              </w:rPr>
              <w:t>of argument within the prescribe period being not less than 10</w:t>
            </w:r>
            <w:r w:rsidR="007C7867">
              <w:rPr>
                <w:rFonts w:ascii="Arial Narrow" w:hAnsi="Arial Narrow"/>
                <w:sz w:val="24"/>
                <w:szCs w:val="24"/>
                <w:lang w:val="af-ZA"/>
              </w:rPr>
              <w:t xml:space="preserve"> days before the hearing date. </w:t>
            </w:r>
            <w:r w:rsidR="006B0A1B">
              <w:rPr>
                <w:rFonts w:ascii="Arial Narrow" w:hAnsi="Arial Narrow"/>
                <w:sz w:val="24"/>
                <w:szCs w:val="24"/>
                <w:lang w:val="af-ZA"/>
              </w:rPr>
              <w:t>The court however allowed the Appellant to rectify this oversight and file a</w:t>
            </w:r>
            <w:r w:rsidR="00C60043">
              <w:rPr>
                <w:rFonts w:ascii="Arial Narrow" w:hAnsi="Arial Narrow"/>
                <w:sz w:val="24"/>
                <w:szCs w:val="24"/>
                <w:lang w:val="af-ZA"/>
              </w:rPr>
              <w:t>n</w:t>
            </w:r>
            <w:r w:rsidR="006B0A1B">
              <w:rPr>
                <w:rFonts w:ascii="Arial Narrow" w:hAnsi="Arial Narrow"/>
                <w:sz w:val="24"/>
                <w:szCs w:val="24"/>
                <w:lang w:val="af-ZA"/>
              </w:rPr>
              <w:t xml:space="preserve"> application for condonation, which they then did and the court condones the late filing of the heads of argument.</w:t>
            </w:r>
          </w:p>
          <w:p w:rsidR="006B0A1B" w:rsidRDefault="006B0A1B" w:rsidP="00AD01CA">
            <w:pPr>
              <w:tabs>
                <w:tab w:val="left" w:pos="560"/>
              </w:tabs>
              <w:spacing w:after="0" w:line="360" w:lineRule="auto"/>
              <w:jc w:val="both"/>
              <w:rPr>
                <w:rFonts w:ascii="Arial Narrow" w:hAnsi="Arial Narrow"/>
                <w:sz w:val="24"/>
                <w:szCs w:val="24"/>
                <w:lang w:val="af-ZA"/>
              </w:rPr>
            </w:pPr>
          </w:p>
          <w:p w:rsidR="0081191E" w:rsidRDefault="0081191E" w:rsidP="00AD01CA">
            <w:pPr>
              <w:tabs>
                <w:tab w:val="left" w:pos="560"/>
              </w:tabs>
              <w:spacing w:after="0" w:line="360" w:lineRule="auto"/>
              <w:jc w:val="both"/>
              <w:rPr>
                <w:rFonts w:ascii="Arial Narrow" w:hAnsi="Arial Narrow"/>
                <w:sz w:val="24"/>
                <w:szCs w:val="24"/>
                <w:u w:val="single"/>
                <w:lang w:val="af-ZA"/>
              </w:rPr>
            </w:pPr>
            <w:r w:rsidRPr="0081191E">
              <w:rPr>
                <w:rFonts w:ascii="Arial Narrow" w:hAnsi="Arial Narrow"/>
                <w:sz w:val="24"/>
                <w:szCs w:val="24"/>
                <w:u w:val="single"/>
                <w:lang w:val="af-ZA"/>
              </w:rPr>
              <w:t>Background:</w:t>
            </w:r>
          </w:p>
          <w:p w:rsidR="001D56F7" w:rsidRPr="0081191E" w:rsidRDefault="001D56F7" w:rsidP="00AD01CA">
            <w:pPr>
              <w:tabs>
                <w:tab w:val="left" w:pos="560"/>
              </w:tabs>
              <w:spacing w:after="0" w:line="360" w:lineRule="auto"/>
              <w:jc w:val="both"/>
              <w:rPr>
                <w:rFonts w:ascii="Arial Narrow" w:hAnsi="Arial Narrow"/>
                <w:sz w:val="24"/>
                <w:szCs w:val="24"/>
                <w:u w:val="single"/>
                <w:lang w:val="af-ZA"/>
              </w:rPr>
            </w:pPr>
          </w:p>
          <w:p w:rsidR="00493748" w:rsidRDefault="0081191E"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 xml:space="preserve">[2]      </w:t>
            </w:r>
            <w:r w:rsidR="006B0A1B">
              <w:rPr>
                <w:rFonts w:ascii="Arial Narrow" w:hAnsi="Arial Narrow"/>
                <w:sz w:val="24"/>
                <w:szCs w:val="24"/>
                <w:lang w:val="af-ZA"/>
              </w:rPr>
              <w:t xml:space="preserve">The Appellant is the Town Council of Khorixas </w:t>
            </w:r>
            <w:r w:rsidR="00A61EDF">
              <w:rPr>
                <w:rFonts w:ascii="Arial Narrow" w:hAnsi="Arial Narrow"/>
                <w:sz w:val="24"/>
                <w:szCs w:val="24"/>
                <w:lang w:val="af-ZA"/>
              </w:rPr>
              <w:t xml:space="preserve">, a local authority in terms of the Local Authorities Act, 1992, </w:t>
            </w:r>
            <w:r w:rsidR="006B0A1B">
              <w:rPr>
                <w:rFonts w:ascii="Arial Narrow" w:hAnsi="Arial Narrow"/>
                <w:sz w:val="24"/>
                <w:szCs w:val="24"/>
                <w:lang w:val="af-ZA"/>
              </w:rPr>
              <w:t xml:space="preserve">and the first respondent </w:t>
            </w:r>
            <w:r w:rsidR="007C7867">
              <w:rPr>
                <w:rFonts w:ascii="Arial Narrow" w:hAnsi="Arial Narrow"/>
                <w:sz w:val="24"/>
                <w:szCs w:val="24"/>
                <w:lang w:val="af-ZA"/>
              </w:rPr>
              <w:t xml:space="preserve">is </w:t>
            </w:r>
            <w:r w:rsidR="006B0A1B">
              <w:rPr>
                <w:rFonts w:ascii="Arial Narrow" w:hAnsi="Arial Narrow"/>
                <w:sz w:val="24"/>
                <w:szCs w:val="24"/>
                <w:lang w:val="af-ZA"/>
              </w:rPr>
              <w:t>an empl</w:t>
            </w:r>
            <w:r w:rsidR="007C7867">
              <w:rPr>
                <w:rFonts w:ascii="Arial Narrow" w:hAnsi="Arial Narrow"/>
                <w:sz w:val="24"/>
                <w:szCs w:val="24"/>
                <w:lang w:val="af-ZA"/>
              </w:rPr>
              <w:t>oyee of the said town council. The representative of the fir</w:t>
            </w:r>
            <w:r w:rsidR="006B0A1B">
              <w:rPr>
                <w:rFonts w:ascii="Arial Narrow" w:hAnsi="Arial Narrow"/>
                <w:sz w:val="24"/>
                <w:szCs w:val="24"/>
                <w:lang w:val="af-ZA"/>
              </w:rPr>
              <w:t>st respondent indicated to the court at the appearance of the matter previously that they do not intend to oppo</w:t>
            </w:r>
            <w:r w:rsidR="007C7867">
              <w:rPr>
                <w:rFonts w:ascii="Arial Narrow" w:hAnsi="Arial Narrow"/>
                <w:sz w:val="24"/>
                <w:szCs w:val="24"/>
                <w:lang w:val="af-ZA"/>
              </w:rPr>
              <w:t>se the appeal.</w:t>
            </w:r>
            <w:r w:rsidR="006B0A1B">
              <w:rPr>
                <w:rFonts w:ascii="Arial Narrow" w:hAnsi="Arial Narrow"/>
                <w:sz w:val="24"/>
                <w:szCs w:val="24"/>
                <w:lang w:val="af-ZA"/>
              </w:rPr>
              <w:t xml:space="preserve"> There is</w:t>
            </w:r>
            <w:r w:rsidR="007C7867">
              <w:rPr>
                <w:rFonts w:ascii="Arial Narrow" w:hAnsi="Arial Narrow"/>
                <w:sz w:val="24"/>
                <w:szCs w:val="24"/>
                <w:lang w:val="af-ZA"/>
              </w:rPr>
              <w:t xml:space="preserve"> further no appearance for the seco</w:t>
            </w:r>
            <w:r w:rsidR="006B0A1B">
              <w:rPr>
                <w:rFonts w:ascii="Arial Narrow" w:hAnsi="Arial Narrow"/>
                <w:sz w:val="24"/>
                <w:szCs w:val="24"/>
                <w:lang w:val="af-ZA"/>
              </w:rPr>
              <w:t>nd respondent, the arbitrator that dealt with the matter.</w:t>
            </w:r>
          </w:p>
          <w:p w:rsidR="006B0A1B" w:rsidRDefault="006B0A1B" w:rsidP="00AD01CA">
            <w:pPr>
              <w:tabs>
                <w:tab w:val="left" w:pos="560"/>
              </w:tabs>
              <w:spacing w:after="0" w:line="360" w:lineRule="auto"/>
              <w:jc w:val="both"/>
              <w:rPr>
                <w:rFonts w:ascii="Arial Narrow" w:hAnsi="Arial Narrow"/>
                <w:sz w:val="24"/>
                <w:szCs w:val="24"/>
                <w:lang w:val="af-ZA"/>
              </w:rPr>
            </w:pPr>
          </w:p>
          <w:p w:rsidR="00E42B1F" w:rsidRDefault="006B0A1B"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 xml:space="preserve">[3]      </w:t>
            </w:r>
            <w:r w:rsidR="007C7867">
              <w:rPr>
                <w:rFonts w:ascii="Arial Narrow" w:hAnsi="Arial Narrow"/>
                <w:sz w:val="24"/>
                <w:szCs w:val="24"/>
                <w:lang w:val="af-ZA"/>
              </w:rPr>
              <w:t>The fir</w:t>
            </w:r>
            <w:r>
              <w:rPr>
                <w:rFonts w:ascii="Arial Narrow" w:hAnsi="Arial Narrow"/>
                <w:sz w:val="24"/>
                <w:szCs w:val="24"/>
                <w:lang w:val="af-ZA"/>
              </w:rPr>
              <w:t>st Respondnet joined the personnel of the Appellant on 1 March 2009 as a Meter Reader and earned a montly salary of N$2630.00. He was later moved to another department and was placed in the position of a Debtors Controller which caused his basic salary to be adjusted to N$</w:t>
            </w:r>
            <w:r w:rsidR="007C7867">
              <w:rPr>
                <w:rFonts w:ascii="Arial Narrow" w:hAnsi="Arial Narrow"/>
                <w:sz w:val="24"/>
                <w:szCs w:val="24"/>
                <w:lang w:val="af-ZA"/>
              </w:rPr>
              <w:t>6 397.00.</w:t>
            </w:r>
            <w:r w:rsidR="00E42B1F">
              <w:rPr>
                <w:rFonts w:ascii="Arial Narrow" w:hAnsi="Arial Narrow"/>
                <w:sz w:val="24"/>
                <w:szCs w:val="24"/>
                <w:lang w:val="af-ZA"/>
              </w:rPr>
              <w:t xml:space="preserve"> O</w:t>
            </w:r>
            <w:r w:rsidR="007C7867">
              <w:rPr>
                <w:rFonts w:ascii="Arial Narrow" w:hAnsi="Arial Narrow"/>
                <w:sz w:val="24"/>
                <w:szCs w:val="24"/>
                <w:lang w:val="af-ZA"/>
              </w:rPr>
              <w:t>n or about 2 July 2014, the then</w:t>
            </w:r>
            <w:r w:rsidR="00E42B1F">
              <w:rPr>
                <w:rFonts w:ascii="Arial Narrow" w:hAnsi="Arial Narrow"/>
                <w:sz w:val="24"/>
                <w:szCs w:val="24"/>
                <w:lang w:val="af-ZA"/>
              </w:rPr>
              <w:t xml:space="preserve"> Ministry of Regional and Local Government, Housing and Rural Development, under whose control the Municipalities, Town Councils and Local Authorities opperated, caused a circular wit</w:t>
            </w:r>
            <w:r w:rsidR="003734E1">
              <w:rPr>
                <w:rFonts w:ascii="Arial Narrow" w:hAnsi="Arial Narrow"/>
                <w:sz w:val="24"/>
                <w:szCs w:val="24"/>
                <w:lang w:val="af-ZA"/>
              </w:rPr>
              <w:t>h reference number 13/2/1 to come into opperation although it was issued already in 2013</w:t>
            </w:r>
            <w:r w:rsidR="009F13E2">
              <w:rPr>
                <w:rFonts w:ascii="Arial Narrow" w:hAnsi="Arial Narrow"/>
                <w:sz w:val="24"/>
                <w:szCs w:val="24"/>
                <w:lang w:val="af-ZA"/>
              </w:rPr>
              <w:t xml:space="preserve">. </w:t>
            </w:r>
            <w:r w:rsidR="00E42B1F">
              <w:rPr>
                <w:rFonts w:ascii="Arial Narrow" w:hAnsi="Arial Narrow"/>
                <w:sz w:val="24"/>
                <w:szCs w:val="24"/>
                <w:lang w:val="af-ZA"/>
              </w:rPr>
              <w:t>All</w:t>
            </w:r>
            <w:r w:rsidR="009F13E2">
              <w:rPr>
                <w:rFonts w:ascii="Arial Narrow" w:hAnsi="Arial Narrow"/>
                <w:sz w:val="24"/>
                <w:szCs w:val="24"/>
                <w:lang w:val="af-ZA"/>
              </w:rPr>
              <w:t xml:space="preserve"> Local Authorities in Namibia are</w:t>
            </w:r>
            <w:r w:rsidR="00E42B1F">
              <w:rPr>
                <w:rFonts w:ascii="Arial Narrow" w:hAnsi="Arial Narrow"/>
                <w:sz w:val="24"/>
                <w:szCs w:val="24"/>
                <w:lang w:val="af-ZA"/>
              </w:rPr>
              <w:t xml:space="preserve"> catogorized in a specific catorgory in relation to the size of the Local Authority Area with Khorixas designated as</w:t>
            </w:r>
            <w:r w:rsidR="009F13E2">
              <w:rPr>
                <w:rFonts w:ascii="Arial Narrow" w:hAnsi="Arial Narrow"/>
                <w:sz w:val="24"/>
                <w:szCs w:val="24"/>
                <w:lang w:val="af-ZA"/>
              </w:rPr>
              <w:t xml:space="preserve"> a category D Local Authority. </w:t>
            </w:r>
            <w:r w:rsidR="00E42B1F">
              <w:rPr>
                <w:rFonts w:ascii="Arial Narrow" w:hAnsi="Arial Narrow"/>
                <w:sz w:val="24"/>
                <w:szCs w:val="24"/>
                <w:lang w:val="af-ZA"/>
              </w:rPr>
              <w:t xml:space="preserve">This circular contained new approved salary strucures and motor vehicle allowances, which was alligned to the unified salary structure of the Publice Service, which then listed the salary structure for 2014/2015 financial year with effect from 1/7/2014 and which would then be a indicator for the salary structure of a catagory D Local Authority.  </w:t>
            </w:r>
          </w:p>
          <w:p w:rsidR="00E42B1F" w:rsidRDefault="00E42B1F" w:rsidP="00AD01CA">
            <w:pPr>
              <w:tabs>
                <w:tab w:val="left" w:pos="560"/>
              </w:tabs>
              <w:spacing w:after="0" w:line="360" w:lineRule="auto"/>
              <w:jc w:val="both"/>
              <w:rPr>
                <w:rFonts w:ascii="Arial Narrow" w:hAnsi="Arial Narrow"/>
                <w:sz w:val="24"/>
                <w:szCs w:val="24"/>
                <w:lang w:val="af-ZA"/>
              </w:rPr>
            </w:pPr>
          </w:p>
          <w:p w:rsidR="00E20F4E" w:rsidRDefault="00E42B1F"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[4]           The effect of the</w:t>
            </w:r>
            <w:r w:rsidR="009F13E2">
              <w:rPr>
                <w:rFonts w:ascii="Arial Narrow" w:hAnsi="Arial Narrow"/>
                <w:sz w:val="24"/>
                <w:szCs w:val="24"/>
                <w:lang w:val="af-ZA"/>
              </w:rPr>
              <w:t xml:space="preserve"> circular, as contended by the firs</w:t>
            </w:r>
            <w:r>
              <w:rPr>
                <w:rFonts w:ascii="Arial Narrow" w:hAnsi="Arial Narrow"/>
                <w:sz w:val="24"/>
                <w:szCs w:val="24"/>
                <w:lang w:val="af-ZA"/>
              </w:rPr>
              <w:t>t respondent, was that he should have been placed in the position of an Assistant Accountant, which would have placed him in the C3 salary ba</w:t>
            </w:r>
            <w:r w:rsidR="009F13E2">
              <w:rPr>
                <w:rFonts w:ascii="Arial Narrow" w:hAnsi="Arial Narrow"/>
                <w:sz w:val="24"/>
                <w:szCs w:val="24"/>
                <w:lang w:val="af-ZA"/>
              </w:rPr>
              <w:t>nd with a salary notch of about</w:t>
            </w:r>
            <w:r>
              <w:rPr>
                <w:rFonts w:ascii="Arial Narrow" w:hAnsi="Arial Narrow"/>
                <w:sz w:val="24"/>
                <w:szCs w:val="24"/>
                <w:lang w:val="af-ZA"/>
              </w:rPr>
              <w:t xml:space="preserve"> N$159 590.00. This did not happen and the respondent approached the management of the Town Council to rectify the situatio</w:t>
            </w:r>
            <w:r w:rsidR="009F13E2">
              <w:rPr>
                <w:rFonts w:ascii="Arial Narrow" w:hAnsi="Arial Narrow"/>
                <w:sz w:val="24"/>
                <w:szCs w:val="24"/>
                <w:lang w:val="af-ZA"/>
              </w:rPr>
              <w:t xml:space="preserve">n without sucess. </w:t>
            </w:r>
            <w:r w:rsidR="00E20F4E">
              <w:rPr>
                <w:rFonts w:ascii="Arial Narrow" w:hAnsi="Arial Narrow"/>
                <w:sz w:val="24"/>
                <w:szCs w:val="24"/>
                <w:lang w:val="af-ZA"/>
              </w:rPr>
              <w:t xml:space="preserve">This position continued untill such time as he approach the Office of the Labour Commissioner on 27 June 2018 and laid a complaint with them alleging that the </w:t>
            </w:r>
            <w:r w:rsidR="00E20F4E">
              <w:rPr>
                <w:rFonts w:ascii="Arial Narrow" w:hAnsi="Arial Narrow"/>
                <w:sz w:val="24"/>
                <w:szCs w:val="24"/>
                <w:lang w:val="af-ZA"/>
              </w:rPr>
              <w:lastRenderedPageBreak/>
              <w:t>Appellant (then Respondent) treated him in contravention of section 9(2)(a)-(c) of the Labour Act, which consitutes unfair labour practices in thems of section 50(1)(e) of the Labour Act, 11 of 2007.</w:t>
            </w:r>
          </w:p>
          <w:p w:rsidR="00E20F4E" w:rsidRDefault="00E20F4E" w:rsidP="00AD01CA">
            <w:pPr>
              <w:tabs>
                <w:tab w:val="left" w:pos="560"/>
              </w:tabs>
              <w:spacing w:after="0" w:line="360" w:lineRule="auto"/>
              <w:jc w:val="both"/>
              <w:rPr>
                <w:rFonts w:ascii="Arial Narrow" w:hAnsi="Arial Narrow"/>
                <w:sz w:val="24"/>
                <w:szCs w:val="24"/>
                <w:lang w:val="af-ZA"/>
              </w:rPr>
            </w:pPr>
          </w:p>
          <w:p w:rsidR="006B0A1B" w:rsidRDefault="00E20F4E"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[5</w:t>
            </w:r>
            <w:r w:rsidRPr="003734E1">
              <w:rPr>
                <w:rFonts w:ascii="Arial Narrow" w:hAnsi="Arial Narrow"/>
                <w:sz w:val="24"/>
                <w:szCs w:val="24"/>
                <w:lang w:val="af-ZA"/>
              </w:rPr>
              <w:t>]</w:t>
            </w:r>
            <w:r w:rsidR="00E42B1F" w:rsidRPr="003734E1">
              <w:rPr>
                <w:rFonts w:ascii="Arial Narrow" w:hAnsi="Arial Narrow"/>
                <w:sz w:val="24"/>
                <w:szCs w:val="24"/>
                <w:lang w:val="af-ZA"/>
              </w:rPr>
              <w:t xml:space="preserve"> </w:t>
            </w:r>
            <w:r w:rsidRPr="003734E1">
              <w:rPr>
                <w:rFonts w:ascii="Arial Narrow" w:hAnsi="Arial Narrow"/>
                <w:sz w:val="24"/>
                <w:szCs w:val="24"/>
                <w:lang w:val="af-ZA"/>
              </w:rPr>
              <w:t xml:space="preserve">          The arbitrator made</w:t>
            </w:r>
            <w:r w:rsidR="009F13E2">
              <w:rPr>
                <w:rFonts w:ascii="Arial Narrow" w:hAnsi="Arial Narrow"/>
                <w:sz w:val="24"/>
                <w:szCs w:val="24"/>
                <w:lang w:val="af-ZA"/>
              </w:rPr>
              <w:t xml:space="preserve"> the following order after hearing </w:t>
            </w:r>
            <w:r w:rsidRPr="003734E1">
              <w:rPr>
                <w:rFonts w:ascii="Arial Narrow" w:hAnsi="Arial Narrow"/>
                <w:sz w:val="24"/>
                <w:szCs w:val="24"/>
                <w:lang w:val="af-ZA"/>
              </w:rPr>
              <w:t>the evidence presented in the matter:</w:t>
            </w:r>
          </w:p>
          <w:p w:rsidR="00AD01CA" w:rsidRPr="00FF77CD" w:rsidRDefault="00AD01CA" w:rsidP="00AD01CA">
            <w:pPr>
              <w:tabs>
                <w:tab w:val="left" w:pos="560"/>
              </w:tabs>
              <w:spacing w:after="0" w:line="360" w:lineRule="auto"/>
              <w:jc w:val="both"/>
              <w:rPr>
                <w:rFonts w:ascii="Arial Narrow" w:hAnsi="Arial Narrow"/>
                <w:sz w:val="24"/>
                <w:szCs w:val="24"/>
                <w:highlight w:val="yellow"/>
                <w:lang w:val="af-ZA"/>
              </w:rPr>
            </w:pPr>
          </w:p>
          <w:p w:rsidR="00E20F4E" w:rsidRPr="00415A78" w:rsidRDefault="00E20F4E" w:rsidP="00AD01CA">
            <w:pPr>
              <w:pStyle w:val="ListParagraph"/>
              <w:numPr>
                <w:ilvl w:val="0"/>
                <w:numId w:val="6"/>
              </w:numPr>
              <w:tabs>
                <w:tab w:val="left" w:pos="560"/>
              </w:tabs>
              <w:spacing w:after="0" w:line="360" w:lineRule="auto"/>
              <w:jc w:val="both"/>
              <w:rPr>
                <w:rFonts w:ascii="Arial Narrow" w:hAnsi="Arial Narrow"/>
                <w:lang w:val="af-ZA"/>
              </w:rPr>
            </w:pPr>
            <w:r w:rsidRPr="00415A78">
              <w:rPr>
                <w:rFonts w:ascii="Arial Narrow" w:hAnsi="Arial Narrow"/>
                <w:lang w:val="af-ZA"/>
              </w:rPr>
              <w:t>The respondent to this case is hereby ordered to comply with the Governement Ministerial circular 13/2/1 which outline the standarized salary structure for Catagory D Local Authorities.</w:t>
            </w:r>
          </w:p>
          <w:p w:rsidR="00E20F4E" w:rsidRPr="00415A78" w:rsidRDefault="00E20F4E" w:rsidP="00AD01CA">
            <w:pPr>
              <w:pStyle w:val="ListParagraph"/>
              <w:numPr>
                <w:ilvl w:val="0"/>
                <w:numId w:val="6"/>
              </w:numPr>
              <w:tabs>
                <w:tab w:val="left" w:pos="560"/>
              </w:tabs>
              <w:spacing w:after="0" w:line="360" w:lineRule="auto"/>
              <w:jc w:val="both"/>
              <w:rPr>
                <w:rFonts w:ascii="Arial Narrow" w:hAnsi="Arial Narrow"/>
                <w:lang w:val="af-ZA"/>
              </w:rPr>
            </w:pPr>
            <w:r w:rsidRPr="00415A78">
              <w:rPr>
                <w:rFonts w:ascii="Arial Narrow" w:hAnsi="Arial Narrow"/>
                <w:lang w:val="af-ZA"/>
              </w:rPr>
              <w:t>The respondent to this matter is hereby ordered to re-introduce the abolished position of assistant accountant as per the Personnel Rule of the respondent and per se Circulare 13/2/1;</w:t>
            </w:r>
          </w:p>
          <w:p w:rsidR="00E20F4E" w:rsidRPr="00415A78" w:rsidRDefault="00E20F4E" w:rsidP="00AD01CA">
            <w:pPr>
              <w:pStyle w:val="ListParagraph"/>
              <w:numPr>
                <w:ilvl w:val="0"/>
                <w:numId w:val="6"/>
              </w:numPr>
              <w:tabs>
                <w:tab w:val="left" w:pos="560"/>
              </w:tabs>
              <w:spacing w:after="0" w:line="360" w:lineRule="auto"/>
              <w:jc w:val="both"/>
              <w:rPr>
                <w:rFonts w:ascii="Arial Narrow" w:hAnsi="Arial Narrow" w:cs="Arial"/>
              </w:rPr>
            </w:pPr>
            <w:r w:rsidRPr="00415A78">
              <w:rPr>
                <w:rFonts w:ascii="Arial Narrow" w:hAnsi="Arial Narrow" w:cs="Arial"/>
              </w:rPr>
              <w:t>I hereby order the respondent to place the applicant in to the position of Assistant Accountant retrospectively from the next three(3) months after the first three months have lapsed in terms of Rule 17(3) of the Respondents Personnel rule counting from first of July 2014, after the implementation of the Ministerial unified salary structure as contained in Circular 13/2/1;</w:t>
            </w:r>
          </w:p>
          <w:p w:rsidR="00E20F4E" w:rsidRPr="00415A78" w:rsidRDefault="00E20F4E" w:rsidP="00AD01CA">
            <w:pPr>
              <w:pStyle w:val="ListParagraph"/>
              <w:numPr>
                <w:ilvl w:val="0"/>
                <w:numId w:val="6"/>
              </w:numPr>
              <w:tabs>
                <w:tab w:val="left" w:pos="560"/>
              </w:tabs>
              <w:spacing w:after="0" w:line="360" w:lineRule="auto"/>
              <w:jc w:val="both"/>
              <w:rPr>
                <w:rFonts w:ascii="Arial Narrow" w:hAnsi="Arial Narrow" w:cs="Arial"/>
              </w:rPr>
            </w:pPr>
            <w:r w:rsidRPr="00415A78">
              <w:rPr>
                <w:rFonts w:ascii="Arial Narrow" w:hAnsi="Arial Narrow" w:cs="Arial"/>
              </w:rPr>
              <w:t>The respondent to this matter is further ordered to effect the salary of assistant Accountant he would have received if he was not wrongly placed by the respondent during the Grading and Placement process;</w:t>
            </w:r>
          </w:p>
          <w:p w:rsidR="00E20F4E" w:rsidRPr="00415A78" w:rsidRDefault="00E20F4E" w:rsidP="00AD01CA">
            <w:pPr>
              <w:pStyle w:val="ListParagraph"/>
              <w:numPr>
                <w:ilvl w:val="0"/>
                <w:numId w:val="6"/>
              </w:numPr>
              <w:tabs>
                <w:tab w:val="left" w:pos="560"/>
              </w:tabs>
              <w:spacing w:after="0" w:line="360" w:lineRule="auto"/>
              <w:jc w:val="both"/>
              <w:rPr>
                <w:rFonts w:ascii="Arial Narrow" w:hAnsi="Arial Narrow" w:cs="Arial"/>
              </w:rPr>
            </w:pPr>
            <w:r w:rsidRPr="00415A78">
              <w:rPr>
                <w:rFonts w:ascii="Arial Narrow" w:hAnsi="Arial Narrow" w:cs="Arial"/>
              </w:rPr>
              <w:t xml:space="preserve">This order only include the difference in to the salaries </w:t>
            </w:r>
            <w:r w:rsidR="006578D0" w:rsidRPr="00415A78">
              <w:rPr>
                <w:rFonts w:ascii="Arial Narrow" w:hAnsi="Arial Narrow" w:cs="Arial"/>
              </w:rPr>
              <w:t>between</w:t>
            </w:r>
            <w:r w:rsidRPr="00415A78">
              <w:rPr>
                <w:rFonts w:ascii="Arial Narrow" w:hAnsi="Arial Narrow" w:cs="Arial"/>
              </w:rPr>
              <w:t xml:space="preserve"> the salary of applicant and that of the Assistant Accountant therefore the benefits are not included, the applicant salary July 2014 = N$8524 and Assistant Accountant Salary July 2014 = N$13 299,17, the difference N$4772,17.</w:t>
            </w:r>
          </w:p>
          <w:p w:rsidR="006578D0" w:rsidRPr="00415A78" w:rsidRDefault="006578D0" w:rsidP="00AD01CA">
            <w:pPr>
              <w:pStyle w:val="ListParagraph"/>
              <w:numPr>
                <w:ilvl w:val="0"/>
                <w:numId w:val="6"/>
              </w:numPr>
              <w:tabs>
                <w:tab w:val="left" w:pos="560"/>
              </w:tabs>
              <w:spacing w:after="0" w:line="360" w:lineRule="auto"/>
              <w:jc w:val="both"/>
              <w:rPr>
                <w:rFonts w:ascii="Arial Narrow" w:hAnsi="Arial Narrow" w:cs="Arial"/>
              </w:rPr>
            </w:pPr>
            <w:r w:rsidRPr="00415A78">
              <w:rPr>
                <w:rFonts w:ascii="Arial Narrow" w:hAnsi="Arial Narrow" w:cs="Arial"/>
              </w:rPr>
              <w:t>The arbitrator then calculates the difference between the salary the applicant (respondent in the appeal) received and should have received in the new position and concludes that the respondent is to pay the total difference in the amount of N$302 666,59.</w:t>
            </w:r>
          </w:p>
          <w:p w:rsidR="00C300BD" w:rsidRDefault="00C300BD" w:rsidP="00AD01CA">
            <w:pPr>
              <w:spacing w:after="0" w:line="360" w:lineRule="auto"/>
              <w:jc w:val="both"/>
              <w:rPr>
                <w:rFonts w:ascii="Arial Narrow" w:hAnsi="Arial Narrow" w:cs="Arial"/>
                <w:sz w:val="24"/>
              </w:rPr>
            </w:pPr>
          </w:p>
          <w:p w:rsidR="00C300BD" w:rsidRDefault="00A61EDF" w:rsidP="00AD01CA">
            <w:pPr>
              <w:spacing w:after="0" w:line="360" w:lineRule="auto"/>
              <w:jc w:val="both"/>
              <w:rPr>
                <w:rFonts w:ascii="Arial Narrow" w:hAnsi="Arial Narrow" w:cs="Arial"/>
                <w:sz w:val="24"/>
              </w:rPr>
            </w:pPr>
            <w:r>
              <w:rPr>
                <w:rFonts w:ascii="Arial Narrow" w:hAnsi="Arial Narrow" w:cs="Arial"/>
                <w:sz w:val="24"/>
              </w:rPr>
              <w:t>[6]          The Appellant appealed, but the appeal was filed out of time</w:t>
            </w:r>
            <w:r w:rsidRPr="0026448B">
              <w:rPr>
                <w:rFonts w:ascii="Arial Narrow" w:hAnsi="Arial Narrow" w:cs="Arial"/>
                <w:sz w:val="24"/>
              </w:rPr>
              <w:t xml:space="preserve">.  </w:t>
            </w:r>
            <w:r w:rsidR="009B0BC8" w:rsidRPr="0026448B">
              <w:rPr>
                <w:rFonts w:ascii="Arial Narrow" w:hAnsi="Arial Narrow" w:cs="Arial"/>
                <w:sz w:val="24"/>
              </w:rPr>
              <w:t xml:space="preserve">As a result </w:t>
            </w:r>
            <w:r>
              <w:rPr>
                <w:rFonts w:ascii="Arial Narrow" w:hAnsi="Arial Narrow" w:cs="Arial"/>
                <w:sz w:val="24"/>
              </w:rPr>
              <w:t>of this, they had to apply for leave to institute such an appeal and for the court to grant condonation for the late filing of the appeal</w:t>
            </w:r>
            <w:r w:rsidR="00FF77CD">
              <w:rPr>
                <w:rFonts w:ascii="Arial Narrow" w:hAnsi="Arial Narrow" w:cs="Arial"/>
                <w:sz w:val="24"/>
              </w:rPr>
              <w:t xml:space="preserve"> record</w:t>
            </w:r>
            <w:r>
              <w:rPr>
                <w:rFonts w:ascii="Arial Narrow" w:hAnsi="Arial Narrow" w:cs="Arial"/>
                <w:sz w:val="24"/>
              </w:rPr>
              <w:t>.</w:t>
            </w:r>
            <w:r w:rsidR="00FF77CD">
              <w:rPr>
                <w:rFonts w:ascii="Arial Narrow" w:hAnsi="Arial Narrow" w:cs="Arial"/>
                <w:sz w:val="24"/>
              </w:rPr>
              <w:t xml:space="preserve"> </w:t>
            </w:r>
            <w:r>
              <w:rPr>
                <w:rFonts w:ascii="Arial Narrow" w:hAnsi="Arial Narrow" w:cs="Arial"/>
                <w:sz w:val="24"/>
              </w:rPr>
              <w:t>This was heard by my brother Jus</w:t>
            </w:r>
            <w:r w:rsidR="00FF77CD">
              <w:rPr>
                <w:rFonts w:ascii="Arial Narrow" w:hAnsi="Arial Narrow" w:cs="Arial"/>
                <w:sz w:val="24"/>
              </w:rPr>
              <w:t>tice Masuku who granted the application as well as st</w:t>
            </w:r>
            <w:r w:rsidR="00041158">
              <w:rPr>
                <w:rFonts w:ascii="Arial Narrow" w:hAnsi="Arial Narrow" w:cs="Arial"/>
                <w:sz w:val="24"/>
              </w:rPr>
              <w:t>ayed the execution of the order as he found that there were reasonable prospects of success on appeal.</w:t>
            </w:r>
            <w:r w:rsidR="009B0BC8">
              <w:rPr>
                <w:rFonts w:ascii="Arial Narrow" w:hAnsi="Arial Narrow" w:cs="Arial"/>
                <w:sz w:val="24"/>
              </w:rPr>
              <w:t xml:space="preserve"> </w:t>
            </w:r>
          </w:p>
          <w:p w:rsidR="00041158" w:rsidRDefault="00041158" w:rsidP="00AD01CA">
            <w:pPr>
              <w:spacing w:after="0" w:line="360" w:lineRule="auto"/>
              <w:jc w:val="both"/>
              <w:rPr>
                <w:rFonts w:ascii="Arial Narrow" w:hAnsi="Arial Narrow" w:cs="Arial"/>
                <w:sz w:val="24"/>
              </w:rPr>
            </w:pPr>
          </w:p>
          <w:p w:rsidR="00041158" w:rsidRDefault="00041158" w:rsidP="00AD01CA">
            <w:pPr>
              <w:spacing w:after="0" w:line="360" w:lineRule="auto"/>
              <w:jc w:val="both"/>
              <w:rPr>
                <w:rFonts w:ascii="Arial Narrow" w:hAnsi="Arial Narrow" w:cs="Arial"/>
                <w:sz w:val="24"/>
              </w:rPr>
            </w:pPr>
            <w:r>
              <w:rPr>
                <w:rFonts w:ascii="Arial Narrow" w:hAnsi="Arial Narrow" w:cs="Arial"/>
                <w:sz w:val="24"/>
              </w:rPr>
              <w:t>[7]          The grounds of appeal that was set out in the notice of appeal are as follows:</w:t>
            </w: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Ground 1</w:t>
            </w: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In terms of Section 86(2)(b) of the Labour Act 11 of 2007 any dispute, other than a dismissal dispute, must be referred to the Labour Commissioner within one year after the</w:t>
            </w:r>
            <w:r w:rsidR="009B0BC8" w:rsidRPr="009B0BC8">
              <w:rPr>
                <w:rFonts w:ascii="Arial Narrow" w:hAnsi="Arial Narrow" w:cs="Arial"/>
              </w:rPr>
              <w:t xml:space="preserve"> dispute arose.</w:t>
            </w:r>
            <w:r w:rsidRPr="009B0BC8">
              <w:rPr>
                <w:rFonts w:ascii="Arial Narrow" w:hAnsi="Arial Narrow" w:cs="Arial"/>
              </w:rPr>
              <w:t xml:space="preserve"> In the event that such timeframe is not complied with, as in the case here, the Arbitrator has no jurisdiction to adjudicate the dispute;</w:t>
            </w:r>
          </w:p>
          <w:p w:rsidR="009B0BC8" w:rsidRPr="009B0BC8" w:rsidRDefault="009B0BC8" w:rsidP="00AD01CA">
            <w:pPr>
              <w:spacing w:after="0" w:line="360" w:lineRule="auto"/>
              <w:jc w:val="both"/>
              <w:rPr>
                <w:rFonts w:ascii="Arial Narrow" w:hAnsi="Arial Narrow" w:cs="Arial"/>
              </w:rPr>
            </w:pP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Ground 2</w:t>
            </w: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 xml:space="preserve">Section 50(1)(a) to (g) prescribes the list of conduct constituting unfair labour practice and is exhaustive.  The conduct complained of by the First respondent had nothing to do with alteration of existing rights or terms and conditions of </w:t>
            </w:r>
            <w:r w:rsidRPr="009B0BC8">
              <w:rPr>
                <w:rFonts w:ascii="Arial Narrow" w:hAnsi="Arial Narrow" w:cs="Arial"/>
              </w:rPr>
              <w:lastRenderedPageBreak/>
              <w:t>employment and hence does not fall within the parameters of this list and does not constitute unfair labour</w:t>
            </w:r>
            <w:r w:rsidR="009B0BC8" w:rsidRPr="009B0BC8">
              <w:rPr>
                <w:rFonts w:ascii="Arial Narrow" w:hAnsi="Arial Narrow" w:cs="Arial"/>
              </w:rPr>
              <w:t xml:space="preserve"> practice at all. </w:t>
            </w:r>
            <w:r w:rsidRPr="009B0BC8">
              <w:rPr>
                <w:rFonts w:ascii="Arial Narrow" w:hAnsi="Arial Narrow" w:cs="Arial"/>
              </w:rPr>
              <w:t>The dispute relates to promotion or the appointment to a new position and is thus a dispute over which the Arbitrator had no jurisdiction to hear and adjudicate.</w:t>
            </w:r>
          </w:p>
          <w:p w:rsidR="009B0BC8" w:rsidRPr="009B0BC8" w:rsidRDefault="009B0BC8" w:rsidP="00AD01CA">
            <w:pPr>
              <w:spacing w:after="0" w:line="360" w:lineRule="auto"/>
              <w:jc w:val="both"/>
              <w:rPr>
                <w:rFonts w:ascii="Arial Narrow" w:hAnsi="Arial Narrow" w:cs="Arial"/>
              </w:rPr>
            </w:pP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Ground 3</w:t>
            </w:r>
          </w:p>
          <w:p w:rsidR="00041158" w:rsidRDefault="00041158" w:rsidP="00AD01CA">
            <w:pPr>
              <w:spacing w:after="0" w:line="360" w:lineRule="auto"/>
              <w:jc w:val="both"/>
              <w:rPr>
                <w:rFonts w:ascii="Arial Narrow" w:hAnsi="Arial Narrow" w:cs="Arial"/>
                <w:sz w:val="24"/>
              </w:rPr>
            </w:pPr>
            <w:r w:rsidRPr="009B0BC8">
              <w:rPr>
                <w:rFonts w:ascii="Arial Narrow" w:hAnsi="Arial Narrow" w:cs="Arial"/>
              </w:rPr>
              <w:t xml:space="preserve">The dispute relates to promotion or the appointment to a new position and is not a dispute that an Arbitrator can deal with in terms of Section 84 of the Labour Act, which Section defines what a dispute to be referred to Arbitration means.  Such a dispute is a dispute of interest and has to be dealt with in terms of Section 28 and not Section 86 of the Act, i.e Conciliation and not Arbitration. </w:t>
            </w:r>
          </w:p>
          <w:p w:rsidR="00FF77CD" w:rsidRDefault="00FF77CD" w:rsidP="00AD01CA">
            <w:pPr>
              <w:spacing w:after="0" w:line="360" w:lineRule="auto"/>
              <w:jc w:val="both"/>
              <w:rPr>
                <w:rFonts w:ascii="Arial Narrow" w:hAnsi="Arial Narrow" w:cs="Arial"/>
                <w:sz w:val="24"/>
              </w:rPr>
            </w:pPr>
          </w:p>
          <w:p w:rsidR="00FF77CD" w:rsidRDefault="00FF77CD" w:rsidP="00AD01CA">
            <w:pPr>
              <w:spacing w:after="0" w:line="360" w:lineRule="auto"/>
              <w:jc w:val="both"/>
              <w:rPr>
                <w:rFonts w:ascii="Arial Narrow" w:hAnsi="Arial Narrow" w:cs="Arial"/>
                <w:sz w:val="24"/>
                <w:u w:val="single"/>
              </w:rPr>
            </w:pPr>
            <w:r w:rsidRPr="009B0BC8">
              <w:rPr>
                <w:rFonts w:ascii="Arial Narrow" w:hAnsi="Arial Narrow" w:cs="Arial"/>
                <w:sz w:val="24"/>
                <w:u w:val="single"/>
              </w:rPr>
              <w:t>The legal arguments</w:t>
            </w:r>
          </w:p>
          <w:p w:rsidR="00415A78" w:rsidRPr="009B0BC8" w:rsidRDefault="00415A78" w:rsidP="00AD01CA">
            <w:pPr>
              <w:spacing w:after="0" w:line="360" w:lineRule="auto"/>
              <w:jc w:val="both"/>
              <w:rPr>
                <w:rFonts w:ascii="Arial Narrow" w:hAnsi="Arial Narrow" w:cs="Arial"/>
                <w:sz w:val="24"/>
                <w:u w:val="single"/>
              </w:rPr>
            </w:pPr>
          </w:p>
          <w:p w:rsidR="00FF77CD" w:rsidRDefault="009B0BC8" w:rsidP="00AD01CA">
            <w:pPr>
              <w:spacing w:after="0" w:line="360" w:lineRule="auto"/>
              <w:jc w:val="both"/>
              <w:rPr>
                <w:rFonts w:ascii="Arial Narrow" w:hAnsi="Arial Narrow" w:cs="Arial"/>
                <w:sz w:val="24"/>
              </w:rPr>
            </w:pPr>
            <w:r>
              <w:rPr>
                <w:rFonts w:ascii="Arial Narrow" w:hAnsi="Arial Narrow" w:cs="Arial"/>
                <w:sz w:val="24"/>
              </w:rPr>
              <w:t>[8</w:t>
            </w:r>
            <w:r w:rsidR="00FF77CD">
              <w:rPr>
                <w:rFonts w:ascii="Arial Narrow" w:hAnsi="Arial Narrow" w:cs="Arial"/>
                <w:sz w:val="24"/>
              </w:rPr>
              <w:t>]       Section 86(</w:t>
            </w:r>
            <w:r w:rsidR="00FF77CD" w:rsidRPr="00FF77CD">
              <w:rPr>
                <w:rFonts w:ascii="Arial Narrow" w:hAnsi="Arial Narrow" w:cs="Arial"/>
                <w:sz w:val="24"/>
              </w:rPr>
              <w:t>2)</w:t>
            </w:r>
            <w:r w:rsidR="00FF77CD">
              <w:rPr>
                <w:rFonts w:ascii="Arial Narrow" w:hAnsi="Arial Narrow" w:cs="Arial"/>
                <w:sz w:val="24"/>
              </w:rPr>
              <w:t xml:space="preserve"> of the Labour Act reads that</w:t>
            </w:r>
          </w:p>
          <w:p w:rsidR="00FF77CD" w:rsidRPr="009B0BC8" w:rsidRDefault="009B0BC8" w:rsidP="00AD01CA">
            <w:pPr>
              <w:spacing w:after="0" w:line="360" w:lineRule="auto"/>
              <w:jc w:val="both"/>
              <w:rPr>
                <w:rFonts w:ascii="Arial Narrow" w:hAnsi="Arial Narrow" w:cs="Arial"/>
              </w:rPr>
            </w:pPr>
            <w:r>
              <w:rPr>
                <w:rFonts w:ascii="Arial Narrow" w:hAnsi="Arial Narrow" w:cs="Arial"/>
              </w:rPr>
              <w:t xml:space="preserve">            ‘</w:t>
            </w:r>
            <w:r w:rsidR="00FF77CD" w:rsidRPr="009B0BC8">
              <w:rPr>
                <w:rFonts w:ascii="Arial Narrow" w:hAnsi="Arial Narrow" w:cs="Arial"/>
              </w:rPr>
              <w:t>A party may refer a dispute in terms of subsection (1) only -</w:t>
            </w:r>
          </w:p>
          <w:p w:rsidR="00FF77CD" w:rsidRPr="009B0BC8" w:rsidRDefault="00FF77CD" w:rsidP="00AD01CA">
            <w:pPr>
              <w:spacing w:after="0" w:line="360" w:lineRule="auto"/>
              <w:jc w:val="both"/>
              <w:rPr>
                <w:rFonts w:ascii="Arial Narrow" w:hAnsi="Arial Narrow" w:cs="Arial"/>
              </w:rPr>
            </w:pPr>
            <w:r w:rsidRPr="009B0BC8">
              <w:rPr>
                <w:rFonts w:ascii="Arial Narrow" w:hAnsi="Arial Narrow" w:cs="Arial"/>
              </w:rPr>
              <w:t xml:space="preserve">  (a)   within six months after the date of dismissal, if the dispute concerns a dismissal, or</w:t>
            </w:r>
          </w:p>
          <w:p w:rsidR="00C300BD" w:rsidRPr="009B0BC8" w:rsidRDefault="00FF77CD" w:rsidP="00AD01CA">
            <w:pPr>
              <w:spacing w:after="0" w:line="360" w:lineRule="auto"/>
              <w:jc w:val="both"/>
              <w:rPr>
                <w:rFonts w:ascii="Arial Narrow" w:hAnsi="Arial Narrow" w:cs="Arial"/>
              </w:rPr>
            </w:pPr>
            <w:r w:rsidRPr="009B0BC8">
              <w:rPr>
                <w:rFonts w:ascii="Arial Narrow" w:hAnsi="Arial Narrow" w:cs="Arial"/>
              </w:rPr>
              <w:t xml:space="preserve">  (b)   within one year after the dispute arising, in any other case.</w:t>
            </w:r>
            <w:r w:rsidR="009B0BC8">
              <w:rPr>
                <w:rFonts w:ascii="Arial Narrow" w:hAnsi="Arial Narrow" w:cs="Arial"/>
              </w:rPr>
              <w:t>’</w:t>
            </w:r>
          </w:p>
          <w:p w:rsidR="003734E1" w:rsidRDefault="003734E1" w:rsidP="00AD01CA">
            <w:pPr>
              <w:spacing w:after="0" w:line="360" w:lineRule="auto"/>
              <w:jc w:val="both"/>
              <w:rPr>
                <w:rFonts w:ascii="Arial Narrow" w:hAnsi="Arial Narrow" w:cs="Arial"/>
                <w:sz w:val="24"/>
              </w:rPr>
            </w:pPr>
          </w:p>
          <w:p w:rsidR="00E3652B" w:rsidRDefault="009B0BC8" w:rsidP="00AD01CA">
            <w:pPr>
              <w:spacing w:after="0" w:line="360" w:lineRule="auto"/>
              <w:jc w:val="both"/>
              <w:rPr>
                <w:rFonts w:ascii="Arial Narrow" w:hAnsi="Arial Narrow" w:cs="Arial"/>
                <w:sz w:val="24"/>
              </w:rPr>
            </w:pPr>
            <w:r>
              <w:rPr>
                <w:rFonts w:ascii="Arial Narrow" w:hAnsi="Arial Narrow" w:cs="Arial"/>
                <w:sz w:val="24"/>
              </w:rPr>
              <w:t>[9</w:t>
            </w:r>
            <w:r w:rsidR="003734E1">
              <w:rPr>
                <w:rFonts w:ascii="Arial Narrow" w:hAnsi="Arial Narrow" w:cs="Arial"/>
                <w:sz w:val="24"/>
              </w:rPr>
              <w:t xml:space="preserve">]        Section 86(2) places a time restriction of one year on the lodgement of all disputes under the Labour Act, except for </w:t>
            </w:r>
            <w:r w:rsidR="001E7B45">
              <w:rPr>
                <w:rFonts w:ascii="Arial Narrow" w:hAnsi="Arial Narrow" w:cs="Arial"/>
                <w:sz w:val="24"/>
              </w:rPr>
              <w:t>unfair dismissal. The first r</w:t>
            </w:r>
            <w:r w:rsidR="003734E1">
              <w:rPr>
                <w:rFonts w:ascii="Arial Narrow" w:hAnsi="Arial Narrow" w:cs="Arial"/>
                <w:sz w:val="24"/>
              </w:rPr>
              <w:t xml:space="preserve">espondent lodged his dispute on 27 June 2018 while the circular forming the bone of contention was issued in 2013 and became operational on 1 July 2014, making the date the dispute was lodged almost 4 years after the date the circular came into operation. </w:t>
            </w:r>
            <w:r w:rsidR="00E3652B">
              <w:rPr>
                <w:rFonts w:ascii="Arial Narrow" w:hAnsi="Arial Narrow" w:cs="Arial"/>
                <w:sz w:val="24"/>
              </w:rPr>
              <w:t>It is true however that the period of time only starts to run after all int</w:t>
            </w:r>
            <w:r w:rsidR="001E7B45">
              <w:rPr>
                <w:rFonts w:ascii="Arial Narrow" w:hAnsi="Arial Narrow" w:cs="Arial"/>
                <w:sz w:val="24"/>
              </w:rPr>
              <w:t xml:space="preserve">ernal remedies were exhausted. </w:t>
            </w:r>
            <w:r w:rsidR="00E3652B">
              <w:rPr>
                <w:rFonts w:ascii="Arial Narrow" w:hAnsi="Arial Narrow" w:cs="Arial"/>
                <w:sz w:val="24"/>
              </w:rPr>
              <w:t>The interpretation</w:t>
            </w:r>
            <w:r w:rsidR="00E3652B" w:rsidRPr="00E3652B">
              <w:rPr>
                <w:rFonts w:ascii="Arial Narrow" w:hAnsi="Arial Narrow" w:cs="Arial"/>
                <w:sz w:val="24"/>
              </w:rPr>
              <w:t xml:space="preserve"> that was accorded </w:t>
            </w:r>
            <w:r w:rsidR="001E7B45">
              <w:rPr>
                <w:rFonts w:ascii="Arial Narrow" w:hAnsi="Arial Narrow" w:cs="Arial"/>
                <w:sz w:val="24"/>
              </w:rPr>
              <w:t xml:space="preserve">to </w:t>
            </w:r>
            <w:r w:rsidR="00E3652B" w:rsidRPr="00E3652B">
              <w:rPr>
                <w:rFonts w:ascii="Arial Narrow" w:hAnsi="Arial Narrow" w:cs="Arial"/>
                <w:sz w:val="24"/>
              </w:rPr>
              <w:t xml:space="preserve">the provisions of s. 86 by the Supreme Court in </w:t>
            </w:r>
            <w:r w:rsidR="00E3652B" w:rsidRPr="00E3652B">
              <w:rPr>
                <w:rFonts w:ascii="Arial Narrow" w:hAnsi="Arial Narrow" w:cs="Arial"/>
                <w:i/>
                <w:sz w:val="24"/>
              </w:rPr>
              <w:t>National Housing Enterprise v Maureen Hinda-Mbaz</w:t>
            </w:r>
            <w:r w:rsidR="00AD01CA">
              <w:rPr>
                <w:rFonts w:ascii="Arial Narrow" w:hAnsi="Arial Narrow" w:cs="Arial"/>
                <w:i/>
                <w:sz w:val="24"/>
              </w:rPr>
              <w:t>i</w:t>
            </w:r>
            <w:r w:rsidR="00E3652B" w:rsidRPr="00E3652B">
              <w:rPr>
                <w:rFonts w:ascii="Arial Narrow" w:hAnsi="Arial Narrow" w:cs="Arial"/>
                <w:i/>
                <w:sz w:val="24"/>
              </w:rPr>
              <w:t>ira</w:t>
            </w:r>
            <w:r w:rsidR="00E3652B">
              <w:rPr>
                <w:rStyle w:val="FootnoteReference"/>
                <w:rFonts w:ascii="Arial Narrow" w:hAnsi="Arial Narrow" w:cs="Arial"/>
                <w:i/>
                <w:sz w:val="24"/>
              </w:rPr>
              <w:footnoteReference w:id="1"/>
            </w:r>
            <w:r w:rsidR="00E3652B">
              <w:rPr>
                <w:rFonts w:ascii="Arial Narrow" w:hAnsi="Arial Narrow" w:cs="Arial"/>
                <w:sz w:val="24"/>
              </w:rPr>
              <w:t xml:space="preserve"> is expressed as follows:</w:t>
            </w:r>
          </w:p>
          <w:p w:rsidR="00AD01CA" w:rsidRDefault="00AD01CA" w:rsidP="00AD01CA">
            <w:pPr>
              <w:spacing w:after="0" w:line="360" w:lineRule="auto"/>
              <w:jc w:val="both"/>
              <w:rPr>
                <w:rFonts w:ascii="Arial Narrow" w:hAnsi="Arial Narrow" w:cs="Arial"/>
                <w:sz w:val="24"/>
              </w:rPr>
            </w:pPr>
          </w:p>
          <w:p w:rsidR="00E3652B" w:rsidRPr="004A1E7B" w:rsidRDefault="004A1E7B" w:rsidP="00AD01CA">
            <w:pPr>
              <w:spacing w:after="0" w:line="360" w:lineRule="auto"/>
              <w:jc w:val="both"/>
              <w:rPr>
                <w:rFonts w:ascii="Arial Narrow" w:hAnsi="Arial Narrow" w:cs="Arial"/>
              </w:rPr>
            </w:pPr>
            <w:r>
              <w:rPr>
                <w:rFonts w:ascii="Arial Narrow" w:hAnsi="Arial Narrow" w:cs="Arial"/>
              </w:rPr>
              <w:t xml:space="preserve">           ‘</w:t>
            </w:r>
            <w:r w:rsidR="00E3652B" w:rsidRPr="004A1E7B">
              <w:rPr>
                <w:rFonts w:ascii="Arial Narrow" w:hAnsi="Arial Narrow" w:cs="Arial"/>
              </w:rPr>
              <w:t xml:space="preserve">Therefore, the Court </w:t>
            </w:r>
            <w:r w:rsidR="00E3652B" w:rsidRPr="004A1E7B">
              <w:rPr>
                <w:rFonts w:ascii="Arial Narrow" w:hAnsi="Arial Narrow" w:cs="Arial"/>
                <w:i/>
              </w:rPr>
              <w:t xml:space="preserve">a quo </w:t>
            </w:r>
            <w:r w:rsidR="00E3652B" w:rsidRPr="004A1E7B">
              <w:rPr>
                <w:rFonts w:ascii="Arial Narrow" w:hAnsi="Arial Narrow" w:cs="Arial"/>
              </w:rPr>
              <w:t xml:space="preserve">was correct in the interpretation it accorded to s 86 (2) (a), that is, the six </w:t>
            </w:r>
            <w:r w:rsidR="00F12D07" w:rsidRPr="004A1E7B">
              <w:rPr>
                <w:rFonts w:ascii="Arial Narrow" w:hAnsi="Arial Narrow" w:cs="Arial"/>
              </w:rPr>
              <w:t>months’ time</w:t>
            </w:r>
            <w:r w:rsidR="00E3652B" w:rsidRPr="004A1E7B">
              <w:rPr>
                <w:rFonts w:ascii="Arial Narrow" w:hAnsi="Arial Narrow" w:cs="Arial"/>
              </w:rPr>
              <w:t xml:space="preserve"> limit in terms of s 86 (2) (a) begins to run after all reasonable or internal remedies have been exhausted and failed to resolve or settle the dispute. Such interpretation does not violate or offend the intention of the legislature in its use of the words “dispute” and “date</w:t>
            </w:r>
            <w:r>
              <w:rPr>
                <w:rFonts w:ascii="Arial Narrow" w:hAnsi="Arial Narrow" w:cs="Arial"/>
              </w:rPr>
              <w:t xml:space="preserve"> of dismissal” in s 86 (2) (a).’</w:t>
            </w:r>
          </w:p>
          <w:p w:rsidR="00F12D07" w:rsidRDefault="00F12D07" w:rsidP="00AD01CA">
            <w:pPr>
              <w:spacing w:after="0" w:line="360" w:lineRule="auto"/>
              <w:jc w:val="both"/>
              <w:rPr>
                <w:rFonts w:ascii="Arial Narrow" w:hAnsi="Arial Narrow" w:cs="Arial"/>
              </w:rPr>
            </w:pPr>
          </w:p>
          <w:p w:rsidR="004A1E7B" w:rsidRDefault="004A1E7B" w:rsidP="00AD01CA">
            <w:pPr>
              <w:spacing w:after="0" w:line="360" w:lineRule="auto"/>
              <w:jc w:val="both"/>
              <w:rPr>
                <w:rFonts w:ascii="Arial Narrow" w:hAnsi="Arial Narrow" w:cs="Arial"/>
              </w:rPr>
            </w:pPr>
            <w:r>
              <w:rPr>
                <w:rFonts w:ascii="Arial Narrow" w:hAnsi="Arial Narrow" w:cs="Arial"/>
              </w:rPr>
              <w:t>[10</w:t>
            </w:r>
            <w:r w:rsidR="00F12D07">
              <w:rPr>
                <w:rFonts w:ascii="Arial Narrow" w:hAnsi="Arial Narrow" w:cs="Arial"/>
              </w:rPr>
              <w:t>]           In the current matt</w:t>
            </w:r>
            <w:r>
              <w:rPr>
                <w:rFonts w:ascii="Arial Narrow" w:hAnsi="Arial Narrow" w:cs="Arial"/>
              </w:rPr>
              <w:t>er the first engagement by the first respondent with the a</w:t>
            </w:r>
            <w:r w:rsidR="00F12D07">
              <w:rPr>
                <w:rFonts w:ascii="Arial Narrow" w:hAnsi="Arial Narrow" w:cs="Arial"/>
              </w:rPr>
              <w:t xml:space="preserve">ppellant was in a letter dated </w:t>
            </w:r>
            <w:r w:rsidR="00A64FEC">
              <w:rPr>
                <w:rFonts w:ascii="Arial Narrow" w:hAnsi="Arial Narrow" w:cs="Arial"/>
              </w:rPr>
              <w:t>17 July 2014 to the Human Resources department expressing his unhappiness with the grading o</w:t>
            </w:r>
            <w:r>
              <w:rPr>
                <w:rFonts w:ascii="Arial Narrow" w:hAnsi="Arial Narrow" w:cs="Arial"/>
              </w:rPr>
              <w:t>n which he was placed.  There are</w:t>
            </w:r>
            <w:r w:rsidR="00A64FEC">
              <w:rPr>
                <w:rFonts w:ascii="Arial Narrow" w:hAnsi="Arial Narrow" w:cs="Arial"/>
              </w:rPr>
              <w:t xml:space="preserve"> a number of letters and letters of appea</w:t>
            </w:r>
            <w:r>
              <w:rPr>
                <w:rFonts w:ascii="Arial Narrow" w:hAnsi="Arial Narrow" w:cs="Arial"/>
              </w:rPr>
              <w:t>l from the r</w:t>
            </w:r>
            <w:r w:rsidR="00A64FEC">
              <w:rPr>
                <w:rFonts w:ascii="Arial Narrow" w:hAnsi="Arial Narrow" w:cs="Arial"/>
              </w:rPr>
              <w:t>esponde</w:t>
            </w:r>
            <w:r>
              <w:rPr>
                <w:rFonts w:ascii="Arial Narrow" w:hAnsi="Arial Narrow" w:cs="Arial"/>
              </w:rPr>
              <w:t>nt and his supervisor that form</w:t>
            </w:r>
            <w:r w:rsidR="00A64FEC">
              <w:rPr>
                <w:rFonts w:ascii="Arial Narrow" w:hAnsi="Arial Narrow" w:cs="Arial"/>
              </w:rPr>
              <w:t xml:space="preserve"> part o</w:t>
            </w:r>
            <w:r>
              <w:rPr>
                <w:rFonts w:ascii="Arial Narrow" w:hAnsi="Arial Narrow" w:cs="Arial"/>
              </w:rPr>
              <w:t xml:space="preserve">f the exhibits in this matter. </w:t>
            </w:r>
            <w:r w:rsidR="00A64FEC">
              <w:rPr>
                <w:rFonts w:ascii="Arial Narrow" w:hAnsi="Arial Narrow" w:cs="Arial"/>
              </w:rPr>
              <w:t xml:space="preserve">The last </w:t>
            </w:r>
            <w:r>
              <w:rPr>
                <w:rFonts w:ascii="Arial Narrow" w:hAnsi="Arial Narrow" w:cs="Arial"/>
              </w:rPr>
              <w:t xml:space="preserve">letter </w:t>
            </w:r>
            <w:r w:rsidR="00A64FEC">
              <w:rPr>
                <w:rFonts w:ascii="Arial Narrow" w:hAnsi="Arial Narrow" w:cs="Arial"/>
              </w:rPr>
              <w:t xml:space="preserve">being a </w:t>
            </w:r>
            <w:r w:rsidR="00B8307D">
              <w:rPr>
                <w:rFonts w:ascii="Arial Narrow" w:hAnsi="Arial Narrow" w:cs="Arial"/>
              </w:rPr>
              <w:t>recommendation</w:t>
            </w:r>
            <w:r w:rsidR="00A64FEC">
              <w:rPr>
                <w:rFonts w:ascii="Arial Narrow" w:hAnsi="Arial Narrow" w:cs="Arial"/>
              </w:rPr>
              <w:t xml:space="preserve"> by his supervisor to the Chief Exe</w:t>
            </w:r>
            <w:r>
              <w:rPr>
                <w:rFonts w:ascii="Arial Narrow" w:hAnsi="Arial Narrow" w:cs="Arial"/>
              </w:rPr>
              <w:t>cutive Officer to transfer the first r</w:t>
            </w:r>
            <w:r w:rsidR="00A64FEC">
              <w:rPr>
                <w:rFonts w:ascii="Arial Narrow" w:hAnsi="Arial Narrow" w:cs="Arial"/>
              </w:rPr>
              <w:t>espondent  to the vacant position of</w:t>
            </w:r>
            <w:r>
              <w:rPr>
                <w:rFonts w:ascii="Arial Narrow" w:hAnsi="Arial Narrow" w:cs="Arial"/>
              </w:rPr>
              <w:t xml:space="preserve"> Assistant Accountant Band C3. </w:t>
            </w:r>
            <w:r w:rsidR="00A64FEC">
              <w:rPr>
                <w:rFonts w:ascii="Arial Narrow" w:hAnsi="Arial Narrow" w:cs="Arial"/>
              </w:rPr>
              <w:t xml:space="preserve">This letter is dated 5 February 2018 and differs </w:t>
            </w:r>
            <w:r w:rsidR="00A64FEC">
              <w:rPr>
                <w:rFonts w:ascii="Arial Narrow" w:hAnsi="Arial Narrow" w:cs="Arial"/>
              </w:rPr>
              <w:lastRenderedPageBreak/>
              <w:t>from the initial request to rectify the grading that</w:t>
            </w:r>
            <w:r>
              <w:rPr>
                <w:rFonts w:ascii="Arial Narrow" w:hAnsi="Arial Narrow" w:cs="Arial"/>
              </w:rPr>
              <w:t xml:space="preserve"> the Respondent was placed in. </w:t>
            </w:r>
            <w:r w:rsidR="00A64FEC">
              <w:rPr>
                <w:rFonts w:ascii="Arial Narrow" w:hAnsi="Arial Narrow" w:cs="Arial"/>
              </w:rPr>
              <w:t xml:space="preserve">He followed up with requests to re-grade his current position in letters dated 1/8/2014, 20/8/2015, </w:t>
            </w:r>
            <w:r w:rsidR="002A12A5">
              <w:rPr>
                <w:rFonts w:ascii="Arial Narrow" w:hAnsi="Arial Narrow" w:cs="Arial"/>
              </w:rPr>
              <w:t xml:space="preserve">18/1/2016, 25/1/2017 and 4/10/2017 without receiving a positive response to his requests. </w:t>
            </w:r>
            <w:r w:rsidR="009B76A5">
              <w:rPr>
                <w:rFonts w:ascii="Arial Narrow" w:hAnsi="Arial Narrow" w:cs="Arial"/>
              </w:rPr>
              <w:t>From perusing the letter dated 20/8/2015 it seems that there was a letter acknowledging the receipt of the appeal dated 19/12/2014 although there was no copy of the said letter handed in as</w:t>
            </w:r>
            <w:r>
              <w:rPr>
                <w:rFonts w:ascii="Arial Narrow" w:hAnsi="Arial Narrow" w:cs="Arial"/>
              </w:rPr>
              <w:t xml:space="preserve"> exhibit. </w:t>
            </w:r>
          </w:p>
          <w:p w:rsidR="004A1E7B" w:rsidRDefault="004A1E7B" w:rsidP="00AD01CA">
            <w:pPr>
              <w:spacing w:after="0" w:line="360" w:lineRule="auto"/>
              <w:jc w:val="both"/>
              <w:rPr>
                <w:rFonts w:ascii="Arial Narrow" w:hAnsi="Arial Narrow" w:cs="Arial"/>
              </w:rPr>
            </w:pPr>
          </w:p>
          <w:p w:rsidR="00F12D07" w:rsidRPr="00415A78" w:rsidRDefault="004A1E7B" w:rsidP="00AD01CA">
            <w:pPr>
              <w:spacing w:after="0" w:line="360" w:lineRule="auto"/>
              <w:jc w:val="both"/>
              <w:rPr>
                <w:rFonts w:ascii="Arial Narrow" w:hAnsi="Arial Narrow" w:cs="Arial"/>
                <w:sz w:val="24"/>
                <w:szCs w:val="24"/>
              </w:rPr>
            </w:pPr>
            <w:r w:rsidRPr="00415A78">
              <w:rPr>
                <w:rFonts w:ascii="Arial Narrow" w:hAnsi="Arial Narrow" w:cs="Arial"/>
                <w:sz w:val="24"/>
                <w:szCs w:val="24"/>
              </w:rPr>
              <w:t xml:space="preserve">[11]              </w:t>
            </w:r>
            <w:r w:rsidR="002A12A5" w:rsidRPr="00415A78">
              <w:rPr>
                <w:rFonts w:ascii="Arial Narrow" w:hAnsi="Arial Narrow" w:cs="Arial"/>
                <w:sz w:val="24"/>
                <w:szCs w:val="24"/>
              </w:rPr>
              <w:t>There was one</w:t>
            </w:r>
            <w:r w:rsidR="009B76A5" w:rsidRPr="00415A78">
              <w:rPr>
                <w:rFonts w:ascii="Arial Narrow" w:hAnsi="Arial Narrow" w:cs="Arial"/>
                <w:sz w:val="24"/>
                <w:szCs w:val="24"/>
              </w:rPr>
              <w:t xml:space="preserve"> further</w:t>
            </w:r>
            <w:r w:rsidR="002A12A5" w:rsidRPr="00415A78">
              <w:rPr>
                <w:rFonts w:ascii="Arial Narrow" w:hAnsi="Arial Narrow" w:cs="Arial"/>
                <w:sz w:val="24"/>
                <w:szCs w:val="24"/>
              </w:rPr>
              <w:t xml:space="preserve"> response from the Human Resource office dated 28/1/2015 asking for more information regarding the job evaluation of the current position and why this position </w:t>
            </w:r>
            <w:r w:rsidRPr="00415A78">
              <w:rPr>
                <w:rFonts w:ascii="Arial Narrow" w:hAnsi="Arial Narrow" w:cs="Arial"/>
                <w:sz w:val="24"/>
                <w:szCs w:val="24"/>
              </w:rPr>
              <w:t xml:space="preserve">overlaps with other positions. </w:t>
            </w:r>
            <w:r w:rsidR="002A12A5" w:rsidRPr="00415A78">
              <w:rPr>
                <w:rFonts w:ascii="Arial Narrow" w:hAnsi="Arial Narrow" w:cs="Arial"/>
                <w:sz w:val="24"/>
                <w:szCs w:val="24"/>
              </w:rPr>
              <w:t xml:space="preserve">It is not clear from the documentation received that these </w:t>
            </w:r>
            <w:r w:rsidRPr="00415A78">
              <w:rPr>
                <w:rFonts w:ascii="Arial Narrow" w:hAnsi="Arial Narrow" w:cs="Arial"/>
                <w:sz w:val="24"/>
                <w:szCs w:val="24"/>
              </w:rPr>
              <w:t>questions were indeed answered.</w:t>
            </w:r>
            <w:r w:rsidR="002A12A5" w:rsidRPr="00415A78">
              <w:rPr>
                <w:rFonts w:ascii="Arial Narrow" w:hAnsi="Arial Narrow" w:cs="Arial"/>
                <w:sz w:val="24"/>
                <w:szCs w:val="24"/>
              </w:rPr>
              <w:t xml:space="preserve"> This correspondence clearly spans over a period of 4 years with the App</w:t>
            </w:r>
            <w:r w:rsidRPr="00415A78">
              <w:rPr>
                <w:rFonts w:ascii="Arial Narrow" w:hAnsi="Arial Narrow" w:cs="Arial"/>
                <w:sz w:val="24"/>
                <w:szCs w:val="24"/>
              </w:rPr>
              <w:t>ellant ignoring these requests.</w:t>
            </w:r>
            <w:r w:rsidR="002A12A5" w:rsidRPr="00415A78">
              <w:rPr>
                <w:rFonts w:ascii="Arial Narrow" w:hAnsi="Arial Narrow" w:cs="Arial"/>
                <w:sz w:val="24"/>
                <w:szCs w:val="24"/>
              </w:rPr>
              <w:t xml:space="preserve"> The initial remedy was therefore to write to the Chief Executive Officer and request a regarding</w:t>
            </w:r>
            <w:r w:rsidR="0044201C" w:rsidRPr="00415A78">
              <w:rPr>
                <w:rFonts w:ascii="Arial Narrow" w:hAnsi="Arial Narrow" w:cs="Arial"/>
                <w:sz w:val="24"/>
                <w:szCs w:val="24"/>
              </w:rPr>
              <w:t>, which was done in the initial letter dated 17/7/2014.</w:t>
            </w:r>
            <w:r w:rsidR="00415A78">
              <w:rPr>
                <w:rFonts w:ascii="Arial Narrow" w:hAnsi="Arial Narrow" w:cs="Arial"/>
                <w:sz w:val="24"/>
                <w:szCs w:val="24"/>
              </w:rPr>
              <w:t xml:space="preserve"> </w:t>
            </w:r>
          </w:p>
          <w:p w:rsidR="0044201C" w:rsidRDefault="0044201C" w:rsidP="00AD01CA">
            <w:pPr>
              <w:spacing w:after="0" w:line="360" w:lineRule="auto"/>
              <w:jc w:val="both"/>
              <w:rPr>
                <w:rFonts w:ascii="Arial Narrow" w:hAnsi="Arial Narrow" w:cs="Arial"/>
                <w:sz w:val="24"/>
              </w:rPr>
            </w:pPr>
          </w:p>
          <w:p w:rsidR="003734E1" w:rsidRDefault="004A1E7B" w:rsidP="00AD01CA">
            <w:pPr>
              <w:spacing w:after="0" w:line="360" w:lineRule="auto"/>
              <w:jc w:val="both"/>
              <w:rPr>
                <w:rFonts w:ascii="Arial Narrow" w:hAnsi="Arial Narrow" w:cs="Arial"/>
                <w:sz w:val="24"/>
              </w:rPr>
            </w:pPr>
            <w:r>
              <w:rPr>
                <w:rFonts w:ascii="Arial Narrow" w:hAnsi="Arial Narrow" w:cs="Arial"/>
                <w:sz w:val="24"/>
              </w:rPr>
              <w:t>[12</w:t>
            </w:r>
            <w:r w:rsidR="0044201C">
              <w:rPr>
                <w:rFonts w:ascii="Arial Narrow" w:hAnsi="Arial Narrow" w:cs="Arial"/>
                <w:sz w:val="24"/>
              </w:rPr>
              <w:t xml:space="preserve">]          </w:t>
            </w:r>
            <w:r w:rsidR="003734E1">
              <w:rPr>
                <w:rFonts w:ascii="Arial Narrow" w:hAnsi="Arial Narrow" w:cs="Arial"/>
                <w:sz w:val="24"/>
              </w:rPr>
              <w:t xml:space="preserve">In </w:t>
            </w:r>
            <w:r w:rsidR="003734E1" w:rsidRPr="003734E1">
              <w:rPr>
                <w:rFonts w:ascii="Arial Narrow" w:hAnsi="Arial Narrow" w:cs="Arial"/>
                <w:i/>
                <w:sz w:val="24"/>
              </w:rPr>
              <w:t>Luckhoff v The Municipality of Gobabis</w:t>
            </w:r>
            <w:r w:rsidR="00E3652B">
              <w:rPr>
                <w:rStyle w:val="FootnoteReference"/>
                <w:rFonts w:ascii="Arial Narrow" w:hAnsi="Arial Narrow" w:cs="Arial"/>
                <w:i/>
                <w:sz w:val="24"/>
              </w:rPr>
              <w:footnoteReference w:id="2"/>
            </w:r>
            <w:r w:rsidR="003734E1">
              <w:rPr>
                <w:rFonts w:ascii="Arial Narrow" w:hAnsi="Arial Narrow" w:cs="Arial"/>
                <w:i/>
                <w:sz w:val="24"/>
              </w:rPr>
              <w:t xml:space="preserve"> </w:t>
            </w:r>
            <w:r w:rsidR="003734E1">
              <w:rPr>
                <w:rFonts w:ascii="Arial Narrow" w:hAnsi="Arial Narrow" w:cs="Arial"/>
                <w:sz w:val="24"/>
              </w:rPr>
              <w:t>Justice Masuku</w:t>
            </w:r>
            <w:r w:rsidR="0044201C">
              <w:rPr>
                <w:rFonts w:ascii="Arial Narrow" w:hAnsi="Arial Narrow" w:cs="Arial"/>
                <w:sz w:val="24"/>
              </w:rPr>
              <w:t xml:space="preserve"> discussed the decision in </w:t>
            </w:r>
            <w:r w:rsidR="0044201C" w:rsidRPr="004A1E7B">
              <w:rPr>
                <w:rFonts w:ascii="Arial Narrow" w:hAnsi="Arial Narrow" w:cs="Arial"/>
                <w:i/>
                <w:sz w:val="24"/>
              </w:rPr>
              <w:t>Hinda</w:t>
            </w:r>
            <w:r w:rsidR="0044201C">
              <w:rPr>
                <w:rFonts w:ascii="Arial Narrow" w:hAnsi="Arial Narrow" w:cs="Arial"/>
                <w:sz w:val="24"/>
              </w:rPr>
              <w:t xml:space="preserve"> and said the following:</w:t>
            </w:r>
          </w:p>
          <w:p w:rsidR="0044201C" w:rsidRPr="004A1E7B" w:rsidRDefault="004A1E7B" w:rsidP="00AD01CA">
            <w:pPr>
              <w:spacing w:after="0" w:line="360" w:lineRule="auto"/>
              <w:jc w:val="both"/>
              <w:rPr>
                <w:rFonts w:ascii="Arial Narrow" w:hAnsi="Arial Narrow" w:cs="Arial"/>
              </w:rPr>
            </w:pPr>
            <w:r w:rsidRPr="004A1E7B">
              <w:rPr>
                <w:rFonts w:ascii="Arial Narrow" w:hAnsi="Arial Narrow" w:cs="Arial"/>
              </w:rPr>
              <w:t xml:space="preserve">           ‘</w:t>
            </w:r>
            <w:r w:rsidR="0044201C" w:rsidRPr="004A1E7B">
              <w:rPr>
                <w:rFonts w:ascii="Arial Narrow" w:hAnsi="Arial Narrow" w:cs="Arial"/>
              </w:rPr>
              <w:t xml:space="preserve">In the Hinda case, the respondent had been dismissed by the appellant, subject to an appeal against same. The appeal was noted to the relevant body and by the time the dismissal was confirmed, the period of six months stipulated in s. 86 (2) (a) had lapsed. The Supreme Court upheld the decision of the Labour Court to the effect that the running of the period does not commence immediately after the initial dismissal but should allow internal processes and remedies availed for appeal, until it was clear that the dispute </w:t>
            </w:r>
            <w:r w:rsidRPr="004A1E7B">
              <w:rPr>
                <w:rFonts w:ascii="Arial Narrow" w:hAnsi="Arial Narrow" w:cs="Arial"/>
              </w:rPr>
              <w:t>cannot be settled internally.’</w:t>
            </w:r>
          </w:p>
          <w:p w:rsidR="0044201C" w:rsidRDefault="0044201C" w:rsidP="00AD01CA">
            <w:pPr>
              <w:spacing w:after="0" w:line="360" w:lineRule="auto"/>
              <w:jc w:val="both"/>
              <w:rPr>
                <w:rFonts w:ascii="Arial Narrow" w:hAnsi="Arial Narrow" w:cs="Arial"/>
                <w:sz w:val="24"/>
              </w:rPr>
            </w:pPr>
          </w:p>
          <w:p w:rsidR="0044201C" w:rsidRDefault="00C52DB7" w:rsidP="00AD01CA">
            <w:pPr>
              <w:spacing w:after="0" w:line="360" w:lineRule="auto"/>
              <w:jc w:val="both"/>
              <w:rPr>
                <w:rFonts w:ascii="Arial Narrow" w:hAnsi="Arial Narrow" w:cs="Arial"/>
                <w:sz w:val="24"/>
              </w:rPr>
            </w:pPr>
            <w:r>
              <w:rPr>
                <w:rFonts w:ascii="Arial Narrow" w:hAnsi="Arial Narrow" w:cs="Arial"/>
                <w:sz w:val="24"/>
              </w:rPr>
              <w:t>[13</w:t>
            </w:r>
            <w:r w:rsidR="0044201C">
              <w:rPr>
                <w:rFonts w:ascii="Arial Narrow" w:hAnsi="Arial Narrow" w:cs="Arial"/>
                <w:sz w:val="24"/>
              </w:rPr>
              <w:t xml:space="preserve">]           Similarly the court is of the </w:t>
            </w:r>
            <w:r w:rsidR="009B76A5">
              <w:rPr>
                <w:rFonts w:ascii="Arial Narrow" w:hAnsi="Arial Narrow" w:cs="Arial"/>
                <w:sz w:val="24"/>
              </w:rPr>
              <w:t>opinion that after at least receiving the acknowledgement of receipt of appeal and following this issue up again in a letter dated 20/8/2015,</w:t>
            </w:r>
            <w:r w:rsidR="008F6597">
              <w:rPr>
                <w:rFonts w:ascii="Arial Narrow" w:hAnsi="Arial Narrow" w:cs="Arial"/>
                <w:sz w:val="24"/>
              </w:rPr>
              <w:t xml:space="preserve"> and then receiving no further feedback on the matter,</w:t>
            </w:r>
            <w:r w:rsidR="009B76A5">
              <w:rPr>
                <w:rFonts w:ascii="Arial Narrow" w:hAnsi="Arial Narrow" w:cs="Arial"/>
                <w:sz w:val="24"/>
              </w:rPr>
              <w:t xml:space="preserve"> it should have been clear to the respondent that the dispute with his employer w</w:t>
            </w:r>
            <w:r>
              <w:rPr>
                <w:rFonts w:ascii="Arial Narrow" w:hAnsi="Arial Narrow" w:cs="Arial"/>
                <w:sz w:val="24"/>
              </w:rPr>
              <w:t>ould not be settled internally.</w:t>
            </w:r>
            <w:r w:rsidR="009B76A5">
              <w:rPr>
                <w:rFonts w:ascii="Arial Narrow" w:hAnsi="Arial Narrow" w:cs="Arial"/>
                <w:sz w:val="24"/>
              </w:rPr>
              <w:t xml:space="preserve"> He</w:t>
            </w:r>
            <w:r w:rsidR="00051B67">
              <w:rPr>
                <w:rFonts w:ascii="Arial Narrow" w:hAnsi="Arial Narrow" w:cs="Arial"/>
                <w:sz w:val="24"/>
              </w:rPr>
              <w:t xml:space="preserve"> however waited almost another three</w:t>
            </w:r>
            <w:r w:rsidR="009B76A5">
              <w:rPr>
                <w:rFonts w:ascii="Arial Narrow" w:hAnsi="Arial Narrow" w:cs="Arial"/>
                <w:sz w:val="24"/>
              </w:rPr>
              <w:t xml:space="preserve"> years before instituting his complaint with the labour commissi</w:t>
            </w:r>
            <w:r>
              <w:rPr>
                <w:rFonts w:ascii="Arial Narrow" w:hAnsi="Arial Narrow" w:cs="Arial"/>
                <w:sz w:val="24"/>
              </w:rPr>
              <w:t xml:space="preserve">oner’s office on 27 June 2018. </w:t>
            </w:r>
            <w:r w:rsidR="009B76A5">
              <w:rPr>
                <w:rFonts w:ascii="Arial Narrow" w:hAnsi="Arial Narrow" w:cs="Arial"/>
                <w:sz w:val="24"/>
              </w:rPr>
              <w:t xml:space="preserve">The dispute was therefore </w:t>
            </w:r>
            <w:r w:rsidR="009B76A5" w:rsidRPr="0026448B">
              <w:rPr>
                <w:rFonts w:ascii="Arial Narrow" w:hAnsi="Arial Narrow" w:cs="Arial"/>
                <w:sz w:val="24"/>
              </w:rPr>
              <w:t>not refer</w:t>
            </w:r>
            <w:r w:rsidRPr="0026448B">
              <w:rPr>
                <w:rFonts w:ascii="Arial Narrow" w:hAnsi="Arial Narrow" w:cs="Arial"/>
                <w:sz w:val="24"/>
              </w:rPr>
              <w:t>red in terms of</w:t>
            </w:r>
            <w:r w:rsidR="009B76A5" w:rsidRPr="0026448B">
              <w:rPr>
                <w:rFonts w:ascii="Arial Narrow" w:hAnsi="Arial Narrow" w:cs="Arial"/>
                <w:sz w:val="24"/>
              </w:rPr>
              <w:t xml:space="preserve"> section </w:t>
            </w:r>
            <w:r w:rsidR="009B76A5">
              <w:rPr>
                <w:rFonts w:ascii="Arial Narrow" w:hAnsi="Arial Narrow" w:cs="Arial"/>
                <w:sz w:val="24"/>
              </w:rPr>
              <w:t>86(1)</w:t>
            </w:r>
            <w:r w:rsidR="009B76A5" w:rsidRPr="00FF77CD">
              <w:rPr>
                <w:rFonts w:ascii="Arial Narrow" w:hAnsi="Arial Narrow" w:cs="Arial"/>
                <w:sz w:val="24"/>
              </w:rPr>
              <w:t>(b)</w:t>
            </w:r>
            <w:r w:rsidR="009B76A5">
              <w:rPr>
                <w:rFonts w:ascii="Arial Narrow" w:hAnsi="Arial Narrow" w:cs="Arial"/>
                <w:sz w:val="24"/>
              </w:rPr>
              <w:t xml:space="preserve"> of the Labour Act,</w:t>
            </w:r>
            <w:r w:rsidR="009B76A5" w:rsidRPr="00FF77CD">
              <w:rPr>
                <w:rFonts w:ascii="Arial Narrow" w:hAnsi="Arial Narrow" w:cs="Arial"/>
                <w:sz w:val="24"/>
              </w:rPr>
              <w:t xml:space="preserve"> within one year after the di</w:t>
            </w:r>
            <w:r w:rsidR="009B76A5">
              <w:rPr>
                <w:rFonts w:ascii="Arial Narrow" w:hAnsi="Arial Narrow" w:cs="Arial"/>
                <w:sz w:val="24"/>
              </w:rPr>
              <w:t>spute arising and the appeal should accordingly succeed as the arbitrator did not act as a reasonable arbitrator should have, and dismissed the matter for not complying with section 86(1)(b) of the Labour Act.</w:t>
            </w:r>
            <w:r>
              <w:rPr>
                <w:rFonts w:ascii="Arial Narrow" w:hAnsi="Arial Narrow" w:cs="Arial"/>
                <w:sz w:val="24"/>
              </w:rPr>
              <w:t xml:space="preserve"> </w:t>
            </w:r>
            <w:r w:rsidR="00B8307D">
              <w:rPr>
                <w:rFonts w:ascii="Arial Narrow" w:hAnsi="Arial Narrow" w:cs="Arial"/>
                <w:sz w:val="24"/>
              </w:rPr>
              <w:t>In light of the above finding I am therefore not going to deal with Ground 2 and Ground 3 of the Appellant’s grounds of appeal.</w:t>
            </w:r>
          </w:p>
          <w:p w:rsidR="00B8307D" w:rsidRDefault="00B8307D" w:rsidP="00AD01CA">
            <w:pPr>
              <w:spacing w:after="0" w:line="360" w:lineRule="auto"/>
              <w:jc w:val="both"/>
              <w:rPr>
                <w:rFonts w:ascii="Arial Narrow" w:hAnsi="Arial Narrow" w:cs="Arial"/>
                <w:sz w:val="24"/>
              </w:rPr>
            </w:pPr>
          </w:p>
          <w:p w:rsidR="00B8307D" w:rsidRDefault="00C52DB7" w:rsidP="00AD01CA">
            <w:pPr>
              <w:spacing w:after="0" w:line="360" w:lineRule="auto"/>
              <w:jc w:val="both"/>
              <w:rPr>
                <w:rFonts w:ascii="Arial Narrow" w:hAnsi="Arial Narrow" w:cs="Arial"/>
                <w:sz w:val="24"/>
              </w:rPr>
            </w:pPr>
            <w:r>
              <w:rPr>
                <w:rFonts w:ascii="Arial Narrow" w:hAnsi="Arial Narrow" w:cs="Arial"/>
                <w:sz w:val="24"/>
              </w:rPr>
              <w:t>[14]</w:t>
            </w:r>
            <w:r w:rsidR="00051B67">
              <w:rPr>
                <w:rFonts w:ascii="Arial Narrow" w:hAnsi="Arial Narrow" w:cs="Arial"/>
                <w:sz w:val="24"/>
              </w:rPr>
              <w:t xml:space="preserve">     </w:t>
            </w:r>
            <w:r>
              <w:rPr>
                <w:rFonts w:ascii="Arial Narrow" w:hAnsi="Arial Narrow" w:cs="Arial"/>
                <w:sz w:val="24"/>
              </w:rPr>
              <w:t xml:space="preserve"> </w:t>
            </w:r>
            <w:r w:rsidR="00B8307D">
              <w:rPr>
                <w:rFonts w:ascii="Arial Narrow" w:hAnsi="Arial Narrow" w:cs="Arial"/>
                <w:sz w:val="24"/>
              </w:rPr>
              <w:t>I make the following order:</w:t>
            </w:r>
          </w:p>
          <w:p w:rsidR="0026448B" w:rsidRPr="0026448B" w:rsidRDefault="00C52DB7" w:rsidP="00AD01CA">
            <w:pPr>
              <w:pStyle w:val="ListParagraph"/>
              <w:numPr>
                <w:ilvl w:val="0"/>
                <w:numId w:val="8"/>
              </w:numPr>
              <w:spacing w:after="0" w:line="360" w:lineRule="auto"/>
              <w:jc w:val="both"/>
              <w:rPr>
                <w:rFonts w:ascii="Arial Narrow" w:hAnsi="Arial Narrow"/>
                <w:lang w:val="af-ZA"/>
              </w:rPr>
            </w:pPr>
            <w:r w:rsidRPr="0026448B">
              <w:rPr>
                <w:rFonts w:ascii="Arial Narrow" w:hAnsi="Arial Narrow"/>
                <w:lang w:val="af-ZA"/>
              </w:rPr>
              <w:t xml:space="preserve">The appeal  is upheld </w:t>
            </w:r>
          </w:p>
          <w:p w:rsidR="00C52DB7" w:rsidRPr="0026448B" w:rsidRDefault="00C52DB7" w:rsidP="00AD01CA">
            <w:pPr>
              <w:pStyle w:val="ListParagraph"/>
              <w:numPr>
                <w:ilvl w:val="0"/>
                <w:numId w:val="8"/>
              </w:numPr>
              <w:spacing w:after="0" w:line="360" w:lineRule="auto"/>
              <w:jc w:val="both"/>
              <w:rPr>
                <w:rFonts w:ascii="Arial Narrow" w:hAnsi="Arial Narrow"/>
                <w:lang w:val="af-ZA"/>
              </w:rPr>
            </w:pPr>
            <w:r w:rsidRPr="0026448B">
              <w:rPr>
                <w:rFonts w:ascii="Arial Narrow" w:hAnsi="Arial Narrow"/>
                <w:lang w:val="af-ZA"/>
              </w:rPr>
              <w:t>The arbitrator’s award dated 13 June 2019 is hereby set aside.</w:t>
            </w:r>
          </w:p>
          <w:p w:rsidR="00EC6845" w:rsidRPr="00C52DB7" w:rsidRDefault="00C52DB7" w:rsidP="00AD01CA">
            <w:pPr>
              <w:pStyle w:val="ListParagraph"/>
              <w:numPr>
                <w:ilvl w:val="0"/>
                <w:numId w:val="8"/>
              </w:numPr>
              <w:spacing w:after="0" w:line="360" w:lineRule="auto"/>
              <w:jc w:val="both"/>
              <w:rPr>
                <w:rFonts w:ascii="Arial Narrow" w:hAnsi="Arial Narrow"/>
                <w:lang w:val="af-ZA"/>
              </w:rPr>
            </w:pPr>
            <w:r w:rsidRPr="00C52DB7">
              <w:rPr>
                <w:rFonts w:ascii="Arial Narrow" w:hAnsi="Arial Narrow"/>
                <w:lang w:val="af-ZA"/>
              </w:rPr>
              <w:t>No cost order is made</w:t>
            </w:r>
            <w:r w:rsidRPr="00C52DB7">
              <w:rPr>
                <w:rFonts w:ascii="Arial Narrow" w:hAnsi="Arial Narrow" w:cs="Arial"/>
                <w:sz w:val="24"/>
              </w:rPr>
              <w:t xml:space="preserve"> </w:t>
            </w:r>
          </w:p>
        </w:tc>
      </w:tr>
      <w:tr w:rsidR="00950676" w:rsidRPr="00DA4588" w:rsidTr="001A131F">
        <w:tc>
          <w:tcPr>
            <w:tcW w:w="4770" w:type="dxa"/>
          </w:tcPr>
          <w:p w:rsidR="00950676" w:rsidRPr="00DA4588" w:rsidRDefault="00C52DB7" w:rsidP="00AD01CA">
            <w:pPr>
              <w:spacing w:after="0"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950676" w:rsidRPr="00DA4588" w:rsidRDefault="00950676" w:rsidP="00AD01CA">
            <w:pPr>
              <w:spacing w:after="0"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950676" w:rsidRPr="00DA4588" w:rsidTr="001A131F">
        <w:trPr>
          <w:trHeight w:val="1114"/>
        </w:trPr>
        <w:tc>
          <w:tcPr>
            <w:tcW w:w="4770" w:type="dxa"/>
          </w:tcPr>
          <w:p w:rsidR="00BA7FE2" w:rsidRDefault="00BA7FE2" w:rsidP="00002A09">
            <w:pPr>
              <w:spacing w:after="0" w:line="360" w:lineRule="auto"/>
              <w:jc w:val="center"/>
              <w:rPr>
                <w:rFonts w:ascii="Arial Narrow" w:hAnsi="Arial Narrow" w:cs="Arial"/>
                <w:b/>
                <w:sz w:val="24"/>
                <w:szCs w:val="24"/>
              </w:rPr>
            </w:pPr>
          </w:p>
          <w:p w:rsidR="00002A09" w:rsidRPr="00002A09" w:rsidRDefault="00002A09" w:rsidP="00002A09">
            <w:pPr>
              <w:spacing w:after="0" w:line="360" w:lineRule="auto"/>
              <w:jc w:val="center"/>
              <w:rPr>
                <w:rFonts w:ascii="Arial Narrow" w:hAnsi="Arial Narrow" w:cs="Arial"/>
                <w:b/>
                <w:sz w:val="24"/>
                <w:szCs w:val="24"/>
              </w:rPr>
            </w:pPr>
            <w:r w:rsidRPr="00002A09">
              <w:rPr>
                <w:rFonts w:ascii="Arial Narrow" w:hAnsi="Arial Narrow" w:cs="Arial"/>
                <w:b/>
                <w:sz w:val="24"/>
                <w:szCs w:val="24"/>
              </w:rPr>
              <w:t>E RAKOW</w:t>
            </w:r>
          </w:p>
          <w:p w:rsidR="00051B67" w:rsidRPr="00DA4588" w:rsidRDefault="00002A09" w:rsidP="00002A09">
            <w:pPr>
              <w:spacing w:after="0" w:line="360" w:lineRule="auto"/>
              <w:jc w:val="center"/>
              <w:rPr>
                <w:rFonts w:ascii="Arial Narrow" w:hAnsi="Arial Narrow" w:cs="Arial"/>
                <w:sz w:val="24"/>
                <w:szCs w:val="24"/>
              </w:rPr>
            </w:pPr>
            <w:r w:rsidRPr="00002A09">
              <w:rPr>
                <w:rFonts w:ascii="Arial Narrow" w:hAnsi="Arial Narrow" w:cs="Arial"/>
                <w:b/>
                <w:sz w:val="24"/>
                <w:szCs w:val="24"/>
              </w:rPr>
              <w:t>JUDGE</w:t>
            </w:r>
          </w:p>
        </w:tc>
        <w:tc>
          <w:tcPr>
            <w:tcW w:w="4950" w:type="dxa"/>
            <w:gridSpan w:val="2"/>
          </w:tcPr>
          <w:p w:rsidR="00BA7FE2" w:rsidRDefault="00BA7FE2" w:rsidP="00AD01CA">
            <w:pPr>
              <w:spacing w:after="0" w:line="360" w:lineRule="auto"/>
              <w:jc w:val="both"/>
              <w:rPr>
                <w:rFonts w:ascii="Arial Narrow" w:hAnsi="Arial Narrow" w:cs="Arial"/>
                <w:sz w:val="24"/>
                <w:szCs w:val="24"/>
              </w:rPr>
            </w:pPr>
          </w:p>
          <w:p w:rsidR="00950676" w:rsidRPr="00DA4588" w:rsidRDefault="00950676" w:rsidP="00BA7FE2">
            <w:pPr>
              <w:spacing w:after="0" w:line="360" w:lineRule="auto"/>
              <w:jc w:val="center"/>
              <w:rPr>
                <w:rFonts w:ascii="Arial Narrow" w:hAnsi="Arial Narrow" w:cs="Arial"/>
                <w:sz w:val="24"/>
                <w:szCs w:val="24"/>
              </w:rPr>
            </w:pPr>
            <w:r w:rsidRPr="00DA4588">
              <w:rPr>
                <w:rFonts w:ascii="Arial Narrow" w:hAnsi="Arial Narrow" w:cs="Arial"/>
                <w:sz w:val="24"/>
                <w:szCs w:val="24"/>
              </w:rPr>
              <w:t>Not applicable.</w:t>
            </w:r>
          </w:p>
        </w:tc>
      </w:tr>
      <w:tr w:rsidR="00950676" w:rsidRPr="00DA4588" w:rsidTr="001A131F">
        <w:tc>
          <w:tcPr>
            <w:tcW w:w="9720" w:type="dxa"/>
            <w:gridSpan w:val="3"/>
          </w:tcPr>
          <w:p w:rsidR="00950676" w:rsidRPr="00DA4588" w:rsidRDefault="00950676" w:rsidP="00AD01CA">
            <w:pPr>
              <w:spacing w:after="0"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950676" w:rsidRPr="00DA4588" w:rsidTr="001A131F">
        <w:tc>
          <w:tcPr>
            <w:tcW w:w="4770" w:type="dxa"/>
          </w:tcPr>
          <w:p w:rsidR="00950676" w:rsidRPr="00DA4588" w:rsidRDefault="00950676" w:rsidP="00AD01CA">
            <w:pPr>
              <w:spacing w:after="0" w:line="360" w:lineRule="auto"/>
              <w:jc w:val="center"/>
              <w:rPr>
                <w:rFonts w:ascii="Arial Narrow" w:hAnsi="Arial Narrow" w:cs="Arial"/>
                <w:b/>
                <w:sz w:val="24"/>
                <w:szCs w:val="24"/>
              </w:rPr>
            </w:pPr>
            <w:r w:rsidRPr="00DA4588">
              <w:rPr>
                <w:rFonts w:ascii="Arial Narrow" w:hAnsi="Arial Narrow" w:cs="Arial"/>
                <w:b/>
                <w:sz w:val="24"/>
                <w:szCs w:val="24"/>
              </w:rPr>
              <w:t>Applicant</w:t>
            </w:r>
            <w:r w:rsidR="00190BB3">
              <w:rPr>
                <w:rFonts w:ascii="Arial Narrow" w:hAnsi="Arial Narrow" w:cs="Arial"/>
                <w:b/>
                <w:sz w:val="24"/>
                <w:szCs w:val="24"/>
              </w:rPr>
              <w:t>s</w:t>
            </w:r>
          </w:p>
        </w:tc>
        <w:tc>
          <w:tcPr>
            <w:tcW w:w="4950" w:type="dxa"/>
            <w:gridSpan w:val="2"/>
          </w:tcPr>
          <w:p w:rsidR="00950676" w:rsidRPr="00DA4588" w:rsidRDefault="00CA3BA6" w:rsidP="00AD01CA">
            <w:pPr>
              <w:spacing w:after="0" w:line="360" w:lineRule="auto"/>
              <w:jc w:val="center"/>
              <w:rPr>
                <w:rFonts w:ascii="Arial Narrow" w:hAnsi="Arial Narrow" w:cs="Arial"/>
                <w:b/>
                <w:sz w:val="24"/>
                <w:szCs w:val="24"/>
              </w:rPr>
            </w:pPr>
            <w:r>
              <w:rPr>
                <w:rFonts w:ascii="Arial Narrow" w:hAnsi="Arial Narrow" w:cs="Arial"/>
                <w:b/>
                <w:sz w:val="24"/>
                <w:szCs w:val="24"/>
              </w:rPr>
              <w:t>First</w:t>
            </w:r>
            <w:r w:rsidR="00950676" w:rsidRPr="00DA4588">
              <w:rPr>
                <w:rFonts w:ascii="Arial Narrow" w:hAnsi="Arial Narrow" w:cs="Arial"/>
                <w:b/>
                <w:sz w:val="24"/>
                <w:szCs w:val="24"/>
              </w:rPr>
              <w:t xml:space="preserve"> Respondent</w:t>
            </w:r>
          </w:p>
        </w:tc>
      </w:tr>
      <w:tr w:rsidR="00950676" w:rsidRPr="00DA4588" w:rsidTr="001A131F">
        <w:tc>
          <w:tcPr>
            <w:tcW w:w="4770" w:type="dxa"/>
          </w:tcPr>
          <w:p w:rsidR="00950676" w:rsidRPr="00770DC9" w:rsidRDefault="00EC6845" w:rsidP="00AD01CA">
            <w:pPr>
              <w:spacing w:after="0" w:line="360" w:lineRule="auto"/>
              <w:jc w:val="center"/>
              <w:rPr>
                <w:rFonts w:ascii="Arial Narrow" w:hAnsi="Arial Narrow" w:cs="Arial"/>
                <w:i/>
                <w:sz w:val="24"/>
                <w:szCs w:val="24"/>
              </w:rPr>
            </w:pPr>
            <w:r>
              <w:rPr>
                <w:rFonts w:ascii="Arial Narrow" w:hAnsi="Arial Narrow" w:cs="Arial"/>
                <w:i/>
                <w:sz w:val="24"/>
                <w:szCs w:val="24"/>
              </w:rPr>
              <w:t>Adv.</w:t>
            </w:r>
            <w:r w:rsidR="00051B67">
              <w:rPr>
                <w:rFonts w:ascii="Arial Narrow" w:hAnsi="Arial Narrow" w:cs="Arial"/>
                <w:i/>
                <w:sz w:val="24"/>
                <w:szCs w:val="24"/>
              </w:rPr>
              <w:t xml:space="preserve"> T </w:t>
            </w:r>
            <w:r w:rsidR="00FB6765" w:rsidRPr="00770DC9">
              <w:rPr>
                <w:rFonts w:ascii="Arial Narrow" w:hAnsi="Arial Narrow" w:cs="Arial"/>
                <w:i/>
                <w:sz w:val="24"/>
                <w:szCs w:val="24"/>
              </w:rPr>
              <w:t xml:space="preserve">Muhongo </w:t>
            </w:r>
          </w:p>
          <w:p w:rsidR="00CA3BA6" w:rsidRDefault="005275E9" w:rsidP="00AD01CA">
            <w:pPr>
              <w:spacing w:after="0" w:line="360" w:lineRule="auto"/>
              <w:jc w:val="center"/>
              <w:rPr>
                <w:rFonts w:ascii="Arial Narrow" w:hAnsi="Arial Narrow" w:cs="Arial"/>
                <w:i/>
                <w:sz w:val="24"/>
                <w:szCs w:val="24"/>
              </w:rPr>
            </w:pPr>
            <w:r>
              <w:rPr>
                <w:rFonts w:ascii="Arial Narrow" w:hAnsi="Arial Narrow" w:cs="Arial"/>
                <w:i/>
                <w:sz w:val="24"/>
                <w:szCs w:val="24"/>
              </w:rPr>
              <w:t>o</w:t>
            </w:r>
            <w:r w:rsidR="00FB6765" w:rsidRPr="00770DC9">
              <w:rPr>
                <w:rFonts w:ascii="Arial Narrow" w:hAnsi="Arial Narrow" w:cs="Arial"/>
                <w:i/>
                <w:sz w:val="24"/>
                <w:szCs w:val="24"/>
              </w:rPr>
              <w:t xml:space="preserve">n </w:t>
            </w:r>
          </w:p>
          <w:p w:rsidR="00FB6765" w:rsidRPr="00770DC9" w:rsidRDefault="00CA3BA6" w:rsidP="00AD01CA">
            <w:pPr>
              <w:spacing w:after="0" w:line="360" w:lineRule="auto"/>
              <w:jc w:val="center"/>
              <w:rPr>
                <w:rFonts w:ascii="Arial Narrow" w:hAnsi="Arial Narrow" w:cs="Arial"/>
                <w:i/>
                <w:sz w:val="24"/>
                <w:szCs w:val="24"/>
              </w:rPr>
            </w:pPr>
            <w:r>
              <w:rPr>
                <w:rFonts w:ascii="Arial Narrow" w:hAnsi="Arial Narrow" w:cs="Arial"/>
                <w:i/>
                <w:sz w:val="24"/>
                <w:szCs w:val="24"/>
              </w:rPr>
              <w:t>I</w:t>
            </w:r>
            <w:r w:rsidR="00FB6765" w:rsidRPr="00770DC9">
              <w:rPr>
                <w:rFonts w:ascii="Arial Narrow" w:hAnsi="Arial Narrow" w:cs="Arial"/>
                <w:i/>
                <w:sz w:val="24"/>
                <w:szCs w:val="24"/>
              </w:rPr>
              <w:t xml:space="preserve">nstructions of ENS Africa </w:t>
            </w:r>
          </w:p>
        </w:tc>
        <w:tc>
          <w:tcPr>
            <w:tcW w:w="4950" w:type="dxa"/>
            <w:gridSpan w:val="2"/>
          </w:tcPr>
          <w:p w:rsidR="00950676" w:rsidRDefault="00051B67" w:rsidP="00AD01CA">
            <w:pPr>
              <w:spacing w:after="0" w:line="360" w:lineRule="auto"/>
              <w:jc w:val="center"/>
              <w:rPr>
                <w:rFonts w:ascii="Arial Narrow" w:hAnsi="Arial Narrow" w:cs="Arial"/>
                <w:i/>
                <w:sz w:val="24"/>
                <w:szCs w:val="24"/>
              </w:rPr>
            </w:pPr>
            <w:r>
              <w:rPr>
                <w:rFonts w:ascii="Arial Narrow" w:hAnsi="Arial Narrow" w:cs="Arial"/>
                <w:i/>
                <w:sz w:val="24"/>
                <w:szCs w:val="24"/>
              </w:rPr>
              <w:t>T Nan</w:t>
            </w:r>
            <w:r w:rsidR="00FB6765">
              <w:rPr>
                <w:rFonts w:ascii="Arial Narrow" w:hAnsi="Arial Narrow" w:cs="Arial"/>
                <w:i/>
                <w:sz w:val="24"/>
                <w:szCs w:val="24"/>
              </w:rPr>
              <w:t xml:space="preserve">hapo </w:t>
            </w:r>
          </w:p>
          <w:p w:rsidR="00CA3BA6" w:rsidRDefault="00FB6765" w:rsidP="00AD01CA">
            <w:pPr>
              <w:spacing w:after="0" w:line="360" w:lineRule="auto"/>
              <w:jc w:val="center"/>
              <w:rPr>
                <w:rFonts w:ascii="Arial Narrow" w:hAnsi="Arial Narrow" w:cs="Arial"/>
                <w:i/>
                <w:sz w:val="24"/>
                <w:szCs w:val="24"/>
              </w:rPr>
            </w:pPr>
            <w:r>
              <w:rPr>
                <w:rFonts w:ascii="Arial Narrow" w:hAnsi="Arial Narrow" w:cs="Arial"/>
                <w:i/>
                <w:sz w:val="24"/>
                <w:szCs w:val="24"/>
              </w:rPr>
              <w:t xml:space="preserve">of </w:t>
            </w:r>
          </w:p>
          <w:p w:rsidR="00AE5ABA" w:rsidRDefault="00FB6765" w:rsidP="00AD01CA">
            <w:pPr>
              <w:spacing w:after="0" w:line="360" w:lineRule="auto"/>
              <w:jc w:val="center"/>
              <w:rPr>
                <w:rFonts w:ascii="Arial Narrow" w:hAnsi="Arial Narrow" w:cs="Arial"/>
                <w:i/>
                <w:sz w:val="24"/>
                <w:szCs w:val="24"/>
              </w:rPr>
            </w:pPr>
            <w:r>
              <w:rPr>
                <w:rFonts w:ascii="Arial Narrow" w:hAnsi="Arial Narrow" w:cs="Arial"/>
                <w:i/>
                <w:sz w:val="24"/>
                <w:szCs w:val="24"/>
              </w:rPr>
              <w:t xml:space="preserve">Brockerhoff and Associates </w:t>
            </w:r>
            <w:r w:rsidR="00770DC9">
              <w:rPr>
                <w:rFonts w:ascii="Arial Narrow" w:hAnsi="Arial Narrow" w:cs="Arial"/>
                <w:i/>
                <w:sz w:val="24"/>
                <w:szCs w:val="24"/>
              </w:rPr>
              <w:t xml:space="preserve">Legal Practitioners </w:t>
            </w:r>
          </w:p>
          <w:p w:rsidR="00F2639E" w:rsidRPr="00D07CF4" w:rsidRDefault="00F2639E" w:rsidP="00AD01CA">
            <w:pPr>
              <w:spacing w:after="0" w:line="360" w:lineRule="auto"/>
              <w:jc w:val="center"/>
              <w:rPr>
                <w:rFonts w:ascii="Arial Narrow" w:hAnsi="Arial Narrow" w:cs="Arial"/>
                <w:i/>
                <w:sz w:val="24"/>
                <w:szCs w:val="24"/>
              </w:rPr>
            </w:pPr>
          </w:p>
        </w:tc>
      </w:tr>
    </w:tbl>
    <w:p w:rsidR="001A131F" w:rsidRDefault="001A131F" w:rsidP="00AD01CA">
      <w:pPr>
        <w:spacing w:after="0" w:line="360" w:lineRule="auto"/>
      </w:pPr>
    </w:p>
    <w:sectPr w:rsidR="001A131F" w:rsidSect="003D0BA1">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FD" w:rsidRDefault="005729FD">
      <w:pPr>
        <w:spacing w:after="0" w:line="240" w:lineRule="auto"/>
      </w:pPr>
      <w:r>
        <w:separator/>
      </w:r>
    </w:p>
  </w:endnote>
  <w:endnote w:type="continuationSeparator" w:id="0">
    <w:p w:rsidR="005729FD" w:rsidRDefault="0057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1F" w:rsidRDefault="00E20F4E">
    <w:pPr>
      <w:pStyle w:val="Footer"/>
      <w:jc w:val="right"/>
    </w:pPr>
    <w:r>
      <w:t>,</w:t>
    </w:r>
  </w:p>
  <w:p w:rsidR="001A131F" w:rsidRDefault="001A13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FD" w:rsidRDefault="005729FD">
      <w:pPr>
        <w:spacing w:after="0" w:line="240" w:lineRule="auto"/>
      </w:pPr>
      <w:r>
        <w:separator/>
      </w:r>
    </w:p>
  </w:footnote>
  <w:footnote w:type="continuationSeparator" w:id="0">
    <w:p w:rsidR="005729FD" w:rsidRDefault="005729FD">
      <w:pPr>
        <w:spacing w:after="0" w:line="240" w:lineRule="auto"/>
      </w:pPr>
      <w:r>
        <w:continuationSeparator/>
      </w:r>
    </w:p>
  </w:footnote>
  <w:footnote w:id="1">
    <w:p w:rsidR="00E3652B" w:rsidRPr="005275E9" w:rsidRDefault="00E3652B">
      <w:pPr>
        <w:pStyle w:val="FootnoteText"/>
        <w:rPr>
          <w:rFonts w:ascii="Arial Narrow" w:hAnsi="Arial Narrow"/>
        </w:rPr>
      </w:pPr>
      <w:r w:rsidRPr="005275E9">
        <w:rPr>
          <w:rStyle w:val="FootnoteReference"/>
          <w:rFonts w:ascii="Arial Narrow" w:hAnsi="Arial Narrow"/>
        </w:rPr>
        <w:footnoteRef/>
      </w:r>
      <w:r w:rsidRPr="005275E9">
        <w:rPr>
          <w:rFonts w:ascii="Arial Narrow" w:hAnsi="Arial Narrow"/>
        </w:rPr>
        <w:t xml:space="preserve"> </w:t>
      </w:r>
      <w:r w:rsidR="00AD01CA" w:rsidRPr="00AD01CA">
        <w:rPr>
          <w:rFonts w:ascii="Arial Narrow" w:hAnsi="Arial Narrow"/>
          <w:i/>
        </w:rPr>
        <w:t>National Housing Enterprise v Maureen Hinda-Mbaziira</w:t>
      </w:r>
      <w:r w:rsidR="00AD01CA" w:rsidRPr="00AD01CA">
        <w:rPr>
          <w:rFonts w:ascii="Arial Narrow" w:hAnsi="Arial Narrow"/>
        </w:rPr>
        <w:t xml:space="preserve"> </w:t>
      </w:r>
      <w:r w:rsidRPr="005275E9">
        <w:rPr>
          <w:rFonts w:ascii="Arial Narrow" w:hAnsi="Arial Narrow"/>
        </w:rPr>
        <w:t>Case No. SA 42/2012.</w:t>
      </w:r>
    </w:p>
  </w:footnote>
  <w:footnote w:id="2">
    <w:p w:rsidR="00E3652B" w:rsidRPr="00CA3BA6" w:rsidRDefault="00E3652B">
      <w:pPr>
        <w:pStyle w:val="FootnoteText"/>
        <w:rPr>
          <w:rFonts w:ascii="Arial Narrow" w:hAnsi="Arial Narrow"/>
        </w:rPr>
      </w:pPr>
      <w:r w:rsidRPr="00CA3BA6">
        <w:rPr>
          <w:rStyle w:val="FootnoteReference"/>
          <w:rFonts w:ascii="Arial Narrow" w:hAnsi="Arial Narrow"/>
        </w:rPr>
        <w:footnoteRef/>
      </w:r>
      <w:r w:rsidRPr="00CA3BA6">
        <w:rPr>
          <w:rFonts w:ascii="Arial Narrow" w:hAnsi="Arial Narrow"/>
        </w:rPr>
        <w:t xml:space="preserve"> (LCA 46/2014)[2016] NAHCMD 6 (2 March 2016)</w:t>
      </w:r>
      <w:r w:rsidR="00CA3BA6">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1A131F" w:rsidRDefault="001A131F">
        <w:pPr>
          <w:pStyle w:val="Header"/>
          <w:jc w:val="right"/>
        </w:pPr>
        <w:r>
          <w:fldChar w:fldCharType="begin"/>
        </w:r>
        <w:r>
          <w:instrText xml:space="preserve"> PAGE   \* MERGEFORMAT </w:instrText>
        </w:r>
        <w:r>
          <w:fldChar w:fldCharType="separate"/>
        </w:r>
        <w:r w:rsidR="005306C2">
          <w:rPr>
            <w:noProof/>
          </w:rPr>
          <w:t>6</w:t>
        </w:r>
        <w:r>
          <w:rPr>
            <w:noProof/>
          </w:rPr>
          <w:fldChar w:fldCharType="end"/>
        </w:r>
      </w:p>
    </w:sdtContent>
  </w:sdt>
  <w:p w:rsidR="001A131F" w:rsidRDefault="001A1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624"/>
    <w:multiLevelType w:val="hybridMultilevel"/>
    <w:tmpl w:val="4208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59D3"/>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2" w15:restartNumberingAfterBreak="0">
    <w:nsid w:val="27744F5C"/>
    <w:multiLevelType w:val="hybridMultilevel"/>
    <w:tmpl w:val="5322D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0B2267"/>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BF40E8"/>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5" w15:restartNumberingAfterBreak="0">
    <w:nsid w:val="56827C7E"/>
    <w:multiLevelType w:val="hybridMultilevel"/>
    <w:tmpl w:val="B51A4C4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83372D3"/>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7" w15:restartNumberingAfterBreak="0">
    <w:nsid w:val="5E760C44"/>
    <w:multiLevelType w:val="hybridMultilevel"/>
    <w:tmpl w:val="ECBEF2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02A09"/>
    <w:rsid w:val="00025364"/>
    <w:rsid w:val="00041158"/>
    <w:rsid w:val="00042D3A"/>
    <w:rsid w:val="00051B67"/>
    <w:rsid w:val="00072BC4"/>
    <w:rsid w:val="00073AB2"/>
    <w:rsid w:val="00076AD3"/>
    <w:rsid w:val="00080652"/>
    <w:rsid w:val="00086E73"/>
    <w:rsid w:val="000D43AA"/>
    <w:rsid w:val="000D4AF7"/>
    <w:rsid w:val="00104B44"/>
    <w:rsid w:val="0011493A"/>
    <w:rsid w:val="00123F3E"/>
    <w:rsid w:val="0012600C"/>
    <w:rsid w:val="001336E0"/>
    <w:rsid w:val="0013534D"/>
    <w:rsid w:val="001419A1"/>
    <w:rsid w:val="00145D7B"/>
    <w:rsid w:val="00145F7E"/>
    <w:rsid w:val="00164F37"/>
    <w:rsid w:val="001675D0"/>
    <w:rsid w:val="001804BF"/>
    <w:rsid w:val="00182236"/>
    <w:rsid w:val="00190BB3"/>
    <w:rsid w:val="00193139"/>
    <w:rsid w:val="00195714"/>
    <w:rsid w:val="001A131F"/>
    <w:rsid w:val="001D56F7"/>
    <w:rsid w:val="001D5879"/>
    <w:rsid w:val="001E7B45"/>
    <w:rsid w:val="001F4879"/>
    <w:rsid w:val="002268FC"/>
    <w:rsid w:val="00240D15"/>
    <w:rsid w:val="0026448B"/>
    <w:rsid w:val="00266092"/>
    <w:rsid w:val="002668D5"/>
    <w:rsid w:val="00294086"/>
    <w:rsid w:val="002A12A5"/>
    <w:rsid w:val="002C32C0"/>
    <w:rsid w:val="002C47EC"/>
    <w:rsid w:val="002E76C8"/>
    <w:rsid w:val="003046B2"/>
    <w:rsid w:val="00330434"/>
    <w:rsid w:val="00354864"/>
    <w:rsid w:val="003734E1"/>
    <w:rsid w:val="00374D25"/>
    <w:rsid w:val="00390B22"/>
    <w:rsid w:val="00391284"/>
    <w:rsid w:val="003D0BA1"/>
    <w:rsid w:val="003D674B"/>
    <w:rsid w:val="003E5170"/>
    <w:rsid w:val="003E7340"/>
    <w:rsid w:val="00415A78"/>
    <w:rsid w:val="0042322A"/>
    <w:rsid w:val="0044201C"/>
    <w:rsid w:val="00473E83"/>
    <w:rsid w:val="00476C95"/>
    <w:rsid w:val="00486433"/>
    <w:rsid w:val="00486DB6"/>
    <w:rsid w:val="00492F63"/>
    <w:rsid w:val="00493748"/>
    <w:rsid w:val="00493F4C"/>
    <w:rsid w:val="004A1E7B"/>
    <w:rsid w:val="004B35D6"/>
    <w:rsid w:val="004D765A"/>
    <w:rsid w:val="005275E9"/>
    <w:rsid w:val="00527E1B"/>
    <w:rsid w:val="005306C2"/>
    <w:rsid w:val="005330BF"/>
    <w:rsid w:val="0054152C"/>
    <w:rsid w:val="0055682C"/>
    <w:rsid w:val="0057053C"/>
    <w:rsid w:val="005729FD"/>
    <w:rsid w:val="005A5CEA"/>
    <w:rsid w:val="005A618C"/>
    <w:rsid w:val="005B3693"/>
    <w:rsid w:val="005B5600"/>
    <w:rsid w:val="005C7658"/>
    <w:rsid w:val="005D738E"/>
    <w:rsid w:val="006578D0"/>
    <w:rsid w:val="00657CBE"/>
    <w:rsid w:val="006A6DF3"/>
    <w:rsid w:val="006B0A1B"/>
    <w:rsid w:val="006B2017"/>
    <w:rsid w:val="006B79D8"/>
    <w:rsid w:val="006B7A53"/>
    <w:rsid w:val="006F4541"/>
    <w:rsid w:val="007053E1"/>
    <w:rsid w:val="00731E66"/>
    <w:rsid w:val="00733C73"/>
    <w:rsid w:val="00770DC9"/>
    <w:rsid w:val="00791651"/>
    <w:rsid w:val="00796844"/>
    <w:rsid w:val="007A23BF"/>
    <w:rsid w:val="007B0F64"/>
    <w:rsid w:val="007C686B"/>
    <w:rsid w:val="007C7867"/>
    <w:rsid w:val="007E39A5"/>
    <w:rsid w:val="00810C43"/>
    <w:rsid w:val="0081191E"/>
    <w:rsid w:val="0084585F"/>
    <w:rsid w:val="0085060E"/>
    <w:rsid w:val="008614B4"/>
    <w:rsid w:val="008834B5"/>
    <w:rsid w:val="0088597B"/>
    <w:rsid w:val="008A12AF"/>
    <w:rsid w:val="008A22C2"/>
    <w:rsid w:val="008A5ECB"/>
    <w:rsid w:val="008A7EF2"/>
    <w:rsid w:val="008B0F26"/>
    <w:rsid w:val="008B3556"/>
    <w:rsid w:val="008B7295"/>
    <w:rsid w:val="008F6597"/>
    <w:rsid w:val="00910876"/>
    <w:rsid w:val="00911788"/>
    <w:rsid w:val="009148F8"/>
    <w:rsid w:val="00920A93"/>
    <w:rsid w:val="00927FCB"/>
    <w:rsid w:val="00950676"/>
    <w:rsid w:val="00950A33"/>
    <w:rsid w:val="0095411B"/>
    <w:rsid w:val="0096232F"/>
    <w:rsid w:val="00965696"/>
    <w:rsid w:val="00995F18"/>
    <w:rsid w:val="009B0462"/>
    <w:rsid w:val="009B0BC8"/>
    <w:rsid w:val="009B76A5"/>
    <w:rsid w:val="009E2779"/>
    <w:rsid w:val="009E38B7"/>
    <w:rsid w:val="009F13E2"/>
    <w:rsid w:val="009F3BC1"/>
    <w:rsid w:val="00A001FE"/>
    <w:rsid w:val="00A132D3"/>
    <w:rsid w:val="00A41781"/>
    <w:rsid w:val="00A61EDF"/>
    <w:rsid w:val="00A64FEC"/>
    <w:rsid w:val="00A91E2D"/>
    <w:rsid w:val="00AA11C6"/>
    <w:rsid w:val="00AC16AC"/>
    <w:rsid w:val="00AC3FBD"/>
    <w:rsid w:val="00AD01CA"/>
    <w:rsid w:val="00AE5ABA"/>
    <w:rsid w:val="00AE69ED"/>
    <w:rsid w:val="00AE79A4"/>
    <w:rsid w:val="00B21E34"/>
    <w:rsid w:val="00B36C3A"/>
    <w:rsid w:val="00B707AE"/>
    <w:rsid w:val="00B80894"/>
    <w:rsid w:val="00B8307D"/>
    <w:rsid w:val="00BA3C1B"/>
    <w:rsid w:val="00BA7FE2"/>
    <w:rsid w:val="00BC334D"/>
    <w:rsid w:val="00BD57AE"/>
    <w:rsid w:val="00BE0B4C"/>
    <w:rsid w:val="00BF569E"/>
    <w:rsid w:val="00C16F41"/>
    <w:rsid w:val="00C300BD"/>
    <w:rsid w:val="00C52DB7"/>
    <w:rsid w:val="00C60043"/>
    <w:rsid w:val="00CA3BA6"/>
    <w:rsid w:val="00CC59C6"/>
    <w:rsid w:val="00D13EB8"/>
    <w:rsid w:val="00D41718"/>
    <w:rsid w:val="00D561C1"/>
    <w:rsid w:val="00D8299A"/>
    <w:rsid w:val="00D904AD"/>
    <w:rsid w:val="00D92FF3"/>
    <w:rsid w:val="00DC0ED4"/>
    <w:rsid w:val="00DC5EFE"/>
    <w:rsid w:val="00DC6EEA"/>
    <w:rsid w:val="00E00AB4"/>
    <w:rsid w:val="00E01384"/>
    <w:rsid w:val="00E17A14"/>
    <w:rsid w:val="00E20F4E"/>
    <w:rsid w:val="00E3652B"/>
    <w:rsid w:val="00E41420"/>
    <w:rsid w:val="00E42B1F"/>
    <w:rsid w:val="00E93A13"/>
    <w:rsid w:val="00EC6845"/>
    <w:rsid w:val="00ED2E70"/>
    <w:rsid w:val="00ED419D"/>
    <w:rsid w:val="00F078A5"/>
    <w:rsid w:val="00F12D07"/>
    <w:rsid w:val="00F2639E"/>
    <w:rsid w:val="00F51E9B"/>
    <w:rsid w:val="00F56B41"/>
    <w:rsid w:val="00F64339"/>
    <w:rsid w:val="00FB09C0"/>
    <w:rsid w:val="00FB1202"/>
    <w:rsid w:val="00FB6765"/>
    <w:rsid w:val="00FD6965"/>
    <w:rsid w:val="00FE5CAF"/>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C65D7-2445-4242-9D12-AB3B46A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B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ListParagraph">
    <w:name w:val="List Paragraph"/>
    <w:basedOn w:val="Normal"/>
    <w:uiPriority w:val="34"/>
    <w:qFormat/>
    <w:rsid w:val="002C47EC"/>
    <w:pPr>
      <w:ind w:left="720"/>
      <w:contextualSpacing/>
    </w:pPr>
  </w:style>
  <w:style w:type="paragraph" w:styleId="FootnoteText">
    <w:name w:val="footnote text"/>
    <w:basedOn w:val="Normal"/>
    <w:link w:val="FootnoteTextChar"/>
    <w:uiPriority w:val="99"/>
    <w:semiHidden/>
    <w:unhideWhenUsed/>
    <w:rsid w:val="00962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32F"/>
    <w:rPr>
      <w:sz w:val="20"/>
      <w:szCs w:val="20"/>
      <w:lang w:val="en-ZA"/>
    </w:rPr>
  </w:style>
  <w:style w:type="character" w:styleId="FootnoteReference">
    <w:name w:val="footnote reference"/>
    <w:basedOn w:val="DefaultParagraphFont"/>
    <w:uiPriority w:val="99"/>
    <w:semiHidden/>
    <w:unhideWhenUsed/>
    <w:rsid w:val="0096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2021-01-28T18:30:00+00:00</Judgment_x0020_Date>
    <Year xmlns="aec0a7e9-5f5c-4ba9-87b2-85cfc8a38b86">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7B61-345E-4FF7-8EC0-520A78C2AE20}">
  <ds:schemaRefs>
    <ds:schemaRef ds:uri="http://schemas.microsoft.com/sharepoint/v3/contenttype/forms"/>
  </ds:schemaRefs>
</ds:datastoreItem>
</file>

<file path=customXml/itemProps2.xml><?xml version="1.0" encoding="utf-8"?>
<ds:datastoreItem xmlns:ds="http://schemas.openxmlformats.org/officeDocument/2006/customXml" ds:itemID="{E2E9D78B-DF66-4CD6-96C8-474B1EDB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E882E-6973-49BF-AB89-0572B57DCAED}">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4.xml><?xml version="1.0" encoding="utf-8"?>
<ds:datastoreItem xmlns:ds="http://schemas.openxmlformats.org/officeDocument/2006/customXml" ds:itemID="{5158FDCC-A5D3-4473-BA8B-2ACD21D8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HOME</cp:lastModifiedBy>
  <cp:revision>2</cp:revision>
  <cp:lastPrinted>2020-09-11T07:46:00Z</cp:lastPrinted>
  <dcterms:created xsi:type="dcterms:W3CDTF">2021-07-16T17:05:00Z</dcterms:created>
  <dcterms:modified xsi:type="dcterms:W3CDTF">2021-07-16T17:05:00Z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