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A75FD" w:rsidRPr="005302BF" w:rsidRDefault="00EA75FD" w:rsidP="00EA75FD">
      <w:pPr>
        <w:spacing w:after="0" w:line="360" w:lineRule="auto"/>
        <w:jc w:val="center"/>
        <w:rPr>
          <w:rFonts w:ascii="Arial" w:eastAsia="Times New Roman" w:hAnsi="Arial" w:cs="Arial"/>
          <w:b/>
          <w:sz w:val="24"/>
          <w:szCs w:val="24"/>
        </w:rPr>
      </w:pPr>
      <w:r w:rsidRPr="005302BF">
        <w:rPr>
          <w:rFonts w:ascii="Arial" w:eastAsia="Times New Roman" w:hAnsi="Arial" w:cs="Arial"/>
          <w:noProof/>
          <w:sz w:val="24"/>
          <w:szCs w:val="24"/>
          <w:lang w:eastAsia="en-ZA"/>
        </w:rPr>
        <mc:AlternateContent>
          <mc:Choice Requires="wps">
            <w:drawing>
              <wp:anchor distT="0" distB="0" distL="114300" distR="114300" simplePos="0" relativeHeight="251659264" behindDoc="0" locked="0" layoutInCell="1" allowOverlap="1" wp14:anchorId="750DD466" wp14:editId="2E9A4803">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EA75FD" w:rsidRPr="000A0FD8" w:rsidRDefault="00EA75FD" w:rsidP="00EA75FD">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DD466"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EA75FD" w:rsidRPr="000A0FD8" w:rsidRDefault="00EA75FD" w:rsidP="00EA75FD">
                      <w:pPr>
                        <w:jc w:val="right"/>
                        <w:rPr>
                          <w:rFonts w:ascii="Arial" w:hAnsi="Arial" w:cs="Arial"/>
                          <w:b/>
                        </w:rPr>
                      </w:pPr>
                    </w:p>
                  </w:txbxContent>
                </v:textbox>
                <w10:wrap anchorx="margin"/>
              </v:shape>
            </w:pict>
          </mc:Fallback>
        </mc:AlternateContent>
      </w:r>
      <w:r w:rsidRPr="005302BF">
        <w:rPr>
          <w:rFonts w:ascii="Arial" w:eastAsia="Times New Roman" w:hAnsi="Arial" w:cs="Arial"/>
          <w:b/>
          <w:sz w:val="24"/>
          <w:szCs w:val="24"/>
        </w:rPr>
        <w:t>REPUBLIC OF NAMIBIA</w:t>
      </w:r>
    </w:p>
    <w:p w:rsidR="00EA75FD" w:rsidRPr="005302BF" w:rsidRDefault="00EA75FD" w:rsidP="00EA75FD">
      <w:pPr>
        <w:spacing w:after="0" w:line="360" w:lineRule="auto"/>
        <w:rPr>
          <w:rFonts w:ascii="Arial" w:eastAsia="Times New Roman" w:hAnsi="Arial" w:cs="Arial"/>
          <w:b/>
          <w:sz w:val="24"/>
          <w:szCs w:val="24"/>
        </w:rPr>
      </w:pPr>
      <w:r w:rsidRPr="005302BF">
        <w:rPr>
          <w:rFonts w:ascii="Arial" w:eastAsia="Times New Roman" w:hAnsi="Arial" w:cs="Arial"/>
          <w:noProof/>
          <w:sz w:val="24"/>
          <w:szCs w:val="24"/>
          <w:lang w:eastAsia="en-ZA"/>
        </w:rPr>
        <w:drawing>
          <wp:anchor distT="0" distB="0" distL="114300" distR="114300" simplePos="0" relativeHeight="251660288" behindDoc="0" locked="0" layoutInCell="1" allowOverlap="1" wp14:anchorId="6FC977C6" wp14:editId="1F04DB39">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5FD" w:rsidRPr="005302BF" w:rsidRDefault="00EA75FD" w:rsidP="00EA75FD">
      <w:pPr>
        <w:spacing w:after="0" w:line="360" w:lineRule="auto"/>
        <w:rPr>
          <w:rFonts w:ascii="Arial" w:eastAsia="Times New Roman" w:hAnsi="Arial" w:cs="Arial"/>
          <w:b/>
          <w:sz w:val="24"/>
          <w:szCs w:val="24"/>
        </w:rPr>
      </w:pPr>
    </w:p>
    <w:p w:rsidR="00EA75FD" w:rsidRPr="005302BF" w:rsidRDefault="00EA75FD" w:rsidP="00EA75FD">
      <w:pPr>
        <w:spacing w:after="0" w:line="360" w:lineRule="auto"/>
        <w:rPr>
          <w:rFonts w:ascii="Arial" w:eastAsia="Times New Roman" w:hAnsi="Arial" w:cs="Arial"/>
          <w:b/>
          <w:sz w:val="24"/>
          <w:szCs w:val="24"/>
        </w:rPr>
      </w:pPr>
    </w:p>
    <w:p w:rsidR="00EA75FD" w:rsidRPr="005302BF" w:rsidRDefault="00EA75FD" w:rsidP="00EA75FD">
      <w:pPr>
        <w:spacing w:after="0" w:line="360" w:lineRule="auto"/>
        <w:rPr>
          <w:rFonts w:ascii="Arial" w:eastAsia="Times New Roman" w:hAnsi="Arial" w:cs="Arial"/>
          <w:b/>
          <w:sz w:val="24"/>
          <w:szCs w:val="24"/>
        </w:rPr>
      </w:pPr>
    </w:p>
    <w:p w:rsidR="00EA75FD" w:rsidRPr="005302BF" w:rsidRDefault="00EA75FD" w:rsidP="00EA75FD">
      <w:pPr>
        <w:spacing w:after="0" w:line="360" w:lineRule="auto"/>
        <w:rPr>
          <w:rFonts w:ascii="Arial" w:eastAsia="Times New Roman" w:hAnsi="Arial" w:cs="Arial"/>
          <w:b/>
          <w:sz w:val="24"/>
          <w:szCs w:val="24"/>
        </w:rPr>
      </w:pPr>
    </w:p>
    <w:p w:rsidR="00EA75FD" w:rsidRPr="005302BF" w:rsidRDefault="00EA75FD" w:rsidP="00EA75FD">
      <w:pPr>
        <w:spacing w:after="0" w:line="360" w:lineRule="auto"/>
        <w:jc w:val="center"/>
        <w:rPr>
          <w:rFonts w:ascii="Arial" w:eastAsia="Times New Roman" w:hAnsi="Arial" w:cs="Arial"/>
          <w:b/>
          <w:sz w:val="24"/>
          <w:szCs w:val="24"/>
        </w:rPr>
      </w:pPr>
    </w:p>
    <w:p w:rsidR="00EA75FD" w:rsidRPr="005302BF" w:rsidRDefault="00EA75FD" w:rsidP="00EA75FD">
      <w:pPr>
        <w:spacing w:after="0" w:line="360" w:lineRule="auto"/>
        <w:jc w:val="center"/>
        <w:rPr>
          <w:rFonts w:ascii="Arial" w:eastAsia="Times New Roman" w:hAnsi="Arial" w:cs="Arial"/>
          <w:b/>
          <w:sz w:val="24"/>
          <w:szCs w:val="24"/>
        </w:rPr>
      </w:pPr>
      <w:r w:rsidRPr="005302BF">
        <w:rPr>
          <w:rFonts w:ascii="Arial" w:eastAsia="Times New Roman" w:hAnsi="Arial" w:cs="Arial"/>
          <w:b/>
          <w:sz w:val="24"/>
          <w:szCs w:val="24"/>
        </w:rPr>
        <w:t>IN THE HIGH COURT OF NAMIBIA,</w:t>
      </w:r>
    </w:p>
    <w:p w:rsidR="00EA75FD" w:rsidRPr="005302BF" w:rsidRDefault="00EA75FD" w:rsidP="008A674A">
      <w:pPr>
        <w:spacing w:after="0" w:line="360" w:lineRule="auto"/>
        <w:jc w:val="center"/>
        <w:rPr>
          <w:rFonts w:ascii="Arial" w:eastAsia="Times New Roman" w:hAnsi="Arial" w:cs="Arial"/>
          <w:b/>
          <w:sz w:val="24"/>
          <w:szCs w:val="24"/>
        </w:rPr>
      </w:pPr>
      <w:r w:rsidRPr="005302BF">
        <w:rPr>
          <w:rFonts w:ascii="Arial" w:eastAsia="Times New Roman" w:hAnsi="Arial" w:cs="Arial"/>
          <w:b/>
          <w:sz w:val="24"/>
          <w:szCs w:val="24"/>
        </w:rPr>
        <w:t>MAIN DIVISION, WINDHOEK</w:t>
      </w:r>
    </w:p>
    <w:p w:rsidR="00EA75FD" w:rsidRPr="005302BF" w:rsidRDefault="00EA75FD" w:rsidP="00EA75FD">
      <w:pPr>
        <w:spacing w:after="0" w:line="360" w:lineRule="auto"/>
        <w:jc w:val="center"/>
        <w:rPr>
          <w:rFonts w:ascii="Arial" w:eastAsia="Times New Roman" w:hAnsi="Arial" w:cs="Arial"/>
          <w:b/>
          <w:sz w:val="24"/>
          <w:szCs w:val="24"/>
        </w:rPr>
      </w:pPr>
      <w:r w:rsidRPr="005302BF">
        <w:rPr>
          <w:rFonts w:ascii="Arial" w:eastAsia="Times New Roman" w:hAnsi="Arial" w:cs="Arial"/>
          <w:b/>
          <w:sz w:val="24"/>
          <w:szCs w:val="24"/>
        </w:rPr>
        <w:t>RULING</w:t>
      </w:r>
    </w:p>
    <w:p w:rsidR="00950676" w:rsidRPr="005302BF"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5302BF" w:rsidRPr="005302BF" w:rsidTr="004667E3">
        <w:trPr>
          <w:trHeight w:val="744"/>
        </w:trPr>
        <w:tc>
          <w:tcPr>
            <w:tcW w:w="5397" w:type="dxa"/>
            <w:gridSpan w:val="2"/>
            <w:vMerge w:val="restart"/>
          </w:tcPr>
          <w:p w:rsidR="00950676" w:rsidRPr="005302BF" w:rsidRDefault="00950676" w:rsidP="005302BF">
            <w:pPr>
              <w:spacing w:before="240" w:after="0" w:line="360" w:lineRule="auto"/>
              <w:jc w:val="both"/>
              <w:rPr>
                <w:rFonts w:ascii="Arial Narrow" w:hAnsi="Arial Narrow" w:cs="Arial"/>
                <w:sz w:val="24"/>
                <w:szCs w:val="24"/>
              </w:rPr>
            </w:pPr>
            <w:r w:rsidRPr="005302BF">
              <w:rPr>
                <w:rFonts w:ascii="Arial Narrow" w:hAnsi="Arial Narrow" w:cs="Arial"/>
                <w:b/>
                <w:sz w:val="24"/>
                <w:szCs w:val="24"/>
              </w:rPr>
              <w:t>Case Title:</w:t>
            </w:r>
          </w:p>
          <w:p w:rsidR="00950676" w:rsidRPr="005302BF" w:rsidRDefault="00EB7DE1" w:rsidP="005302BF">
            <w:pPr>
              <w:tabs>
                <w:tab w:val="left" w:pos="6750"/>
              </w:tabs>
              <w:spacing w:after="0" w:line="360" w:lineRule="auto"/>
              <w:jc w:val="both"/>
              <w:rPr>
                <w:rFonts w:ascii="Arial Narrow" w:hAnsi="Arial Narrow" w:cs="Arial"/>
                <w:sz w:val="24"/>
                <w:szCs w:val="24"/>
              </w:rPr>
            </w:pPr>
            <w:r w:rsidRPr="005302BF">
              <w:rPr>
                <w:rFonts w:ascii="Arial Narrow" w:eastAsia="Times New Roman" w:hAnsi="Arial Narrow" w:cs="Arial"/>
                <w:sz w:val="24"/>
                <w:szCs w:val="24"/>
              </w:rPr>
              <w:t>DEVIN FAZZLY JANSEN V</w:t>
            </w:r>
            <w:r w:rsidR="006F25CF" w:rsidRPr="005302BF">
              <w:rPr>
                <w:rFonts w:ascii="Arial Narrow" w:eastAsia="Times New Roman" w:hAnsi="Arial Narrow" w:cs="Arial"/>
                <w:sz w:val="24"/>
                <w:szCs w:val="24"/>
              </w:rPr>
              <w:t xml:space="preserve"> GE-NEIL RANDY QUINDINE BEUKES, </w:t>
            </w:r>
            <w:r w:rsidR="006F25CF" w:rsidRPr="005302BF">
              <w:rPr>
                <w:rFonts w:ascii="Arial Narrow" w:hAnsi="Arial Narrow" w:cs="Arial"/>
                <w:sz w:val="24"/>
                <w:szCs w:val="24"/>
                <w:shd w:val="clear" w:color="auto" w:fill="FFFFFF"/>
              </w:rPr>
              <w:t>MINISTER OF GENDER EQUALITY, POVERTY ERADICATION AND SOCIAL WELFARE AND BRENDINE CLOETE</w:t>
            </w:r>
          </w:p>
        </w:tc>
        <w:tc>
          <w:tcPr>
            <w:tcW w:w="4323" w:type="dxa"/>
          </w:tcPr>
          <w:p w:rsidR="00950676" w:rsidRPr="005302BF" w:rsidRDefault="00950676" w:rsidP="005302BF">
            <w:pPr>
              <w:spacing w:before="240" w:after="0" w:line="360" w:lineRule="auto"/>
              <w:jc w:val="both"/>
              <w:rPr>
                <w:rFonts w:ascii="Arial Narrow" w:hAnsi="Arial Narrow" w:cs="Arial"/>
                <w:sz w:val="24"/>
                <w:szCs w:val="24"/>
              </w:rPr>
            </w:pPr>
            <w:r w:rsidRPr="005302BF">
              <w:rPr>
                <w:rFonts w:ascii="Arial Narrow" w:hAnsi="Arial Narrow" w:cs="Arial"/>
                <w:b/>
                <w:sz w:val="24"/>
                <w:szCs w:val="24"/>
              </w:rPr>
              <w:t>Case No:</w:t>
            </w:r>
          </w:p>
          <w:p w:rsidR="00950676" w:rsidRPr="005302BF" w:rsidRDefault="00ED701F" w:rsidP="005302BF">
            <w:pPr>
              <w:spacing w:after="0" w:line="360" w:lineRule="auto"/>
              <w:rPr>
                <w:rFonts w:ascii="Arial Narrow" w:hAnsi="Arial Narrow" w:cs="Arial"/>
                <w:b/>
                <w:sz w:val="24"/>
                <w:szCs w:val="24"/>
              </w:rPr>
            </w:pPr>
            <w:r w:rsidRPr="005302BF">
              <w:rPr>
                <w:rFonts w:ascii="Arial Narrow" w:hAnsi="Arial Narrow" w:cs="Arial"/>
                <w:sz w:val="24"/>
                <w:szCs w:val="24"/>
              </w:rPr>
              <w:t>HC-MD-CIV-MOT-GEN-2021/00002</w:t>
            </w:r>
          </w:p>
        </w:tc>
      </w:tr>
      <w:tr w:rsidR="005302BF" w:rsidRPr="005302BF" w:rsidTr="004667E3">
        <w:trPr>
          <w:trHeight w:val="844"/>
        </w:trPr>
        <w:tc>
          <w:tcPr>
            <w:tcW w:w="5397" w:type="dxa"/>
            <w:gridSpan w:val="2"/>
            <w:vMerge/>
          </w:tcPr>
          <w:p w:rsidR="00950676" w:rsidRPr="005302BF" w:rsidRDefault="00950676" w:rsidP="005302BF">
            <w:pPr>
              <w:spacing w:before="240" w:after="0" w:line="360" w:lineRule="auto"/>
              <w:jc w:val="both"/>
              <w:rPr>
                <w:rFonts w:ascii="Arial Narrow" w:hAnsi="Arial Narrow" w:cs="Arial"/>
                <w:sz w:val="24"/>
                <w:szCs w:val="24"/>
              </w:rPr>
            </w:pPr>
          </w:p>
        </w:tc>
        <w:tc>
          <w:tcPr>
            <w:tcW w:w="4323" w:type="dxa"/>
          </w:tcPr>
          <w:p w:rsidR="00950676" w:rsidRPr="005302BF" w:rsidRDefault="00950676" w:rsidP="005302BF">
            <w:pPr>
              <w:spacing w:before="240" w:after="0" w:line="360" w:lineRule="auto"/>
              <w:jc w:val="both"/>
              <w:rPr>
                <w:rFonts w:ascii="Arial Narrow" w:hAnsi="Arial Narrow" w:cs="Arial"/>
                <w:sz w:val="24"/>
                <w:szCs w:val="24"/>
              </w:rPr>
            </w:pPr>
            <w:r w:rsidRPr="005302BF">
              <w:rPr>
                <w:rFonts w:ascii="Arial Narrow" w:hAnsi="Arial Narrow" w:cs="Arial"/>
                <w:b/>
                <w:sz w:val="24"/>
                <w:szCs w:val="24"/>
              </w:rPr>
              <w:t>Division of Court:</w:t>
            </w:r>
          </w:p>
          <w:p w:rsidR="00950676" w:rsidRPr="005302BF" w:rsidRDefault="00950676" w:rsidP="005302BF">
            <w:pPr>
              <w:spacing w:after="0" w:line="360" w:lineRule="auto"/>
              <w:jc w:val="both"/>
              <w:rPr>
                <w:rFonts w:ascii="Arial Narrow" w:hAnsi="Arial Narrow" w:cs="Arial"/>
                <w:sz w:val="24"/>
                <w:szCs w:val="24"/>
              </w:rPr>
            </w:pPr>
            <w:r w:rsidRPr="005302BF">
              <w:rPr>
                <w:rFonts w:ascii="Arial Narrow" w:hAnsi="Arial Narrow" w:cs="Arial"/>
                <w:sz w:val="24"/>
                <w:szCs w:val="24"/>
              </w:rPr>
              <w:t>HIGH COURT (MAIN DIVISION)</w:t>
            </w:r>
          </w:p>
        </w:tc>
      </w:tr>
      <w:tr w:rsidR="005302BF" w:rsidRPr="005302BF" w:rsidTr="004667E3">
        <w:trPr>
          <w:trHeight w:val="645"/>
        </w:trPr>
        <w:tc>
          <w:tcPr>
            <w:tcW w:w="5397" w:type="dxa"/>
            <w:gridSpan w:val="2"/>
            <w:vMerge w:val="restart"/>
          </w:tcPr>
          <w:p w:rsidR="00950676" w:rsidRPr="005302BF" w:rsidRDefault="00950676" w:rsidP="005302BF">
            <w:pPr>
              <w:spacing w:before="240" w:after="0" w:line="360" w:lineRule="auto"/>
              <w:jc w:val="both"/>
              <w:rPr>
                <w:rFonts w:ascii="Arial Narrow" w:hAnsi="Arial Narrow" w:cs="Arial"/>
                <w:b/>
                <w:sz w:val="24"/>
                <w:szCs w:val="24"/>
              </w:rPr>
            </w:pPr>
            <w:r w:rsidRPr="005302BF">
              <w:rPr>
                <w:rFonts w:ascii="Arial Narrow" w:hAnsi="Arial Narrow" w:cs="Arial"/>
                <w:b/>
                <w:sz w:val="24"/>
                <w:szCs w:val="24"/>
              </w:rPr>
              <w:t>Heard before:</w:t>
            </w:r>
          </w:p>
          <w:p w:rsidR="00950676" w:rsidRPr="005302BF" w:rsidRDefault="00423B35" w:rsidP="005302BF">
            <w:pPr>
              <w:spacing w:after="0" w:line="360" w:lineRule="auto"/>
              <w:jc w:val="both"/>
              <w:rPr>
                <w:rFonts w:ascii="Arial Narrow" w:hAnsi="Arial Narrow" w:cs="Arial"/>
                <w:sz w:val="24"/>
                <w:szCs w:val="24"/>
              </w:rPr>
            </w:pPr>
            <w:r w:rsidRPr="005302BF">
              <w:rPr>
                <w:rFonts w:ascii="Arial Narrow" w:hAnsi="Arial Narrow" w:cs="Arial"/>
                <w:sz w:val="24"/>
                <w:szCs w:val="24"/>
              </w:rPr>
              <w:t>Honourable Lady</w:t>
            </w:r>
            <w:r w:rsidR="00950676" w:rsidRPr="005302BF">
              <w:rPr>
                <w:rFonts w:ascii="Arial Narrow" w:hAnsi="Arial Narrow" w:cs="Arial"/>
                <w:sz w:val="24"/>
                <w:szCs w:val="24"/>
              </w:rPr>
              <w:t xml:space="preserve"> Justice Rakow</w:t>
            </w:r>
            <w:r w:rsidR="006F25CF" w:rsidRPr="005302BF">
              <w:rPr>
                <w:rFonts w:ascii="Arial Narrow" w:hAnsi="Arial Narrow" w:cs="Arial"/>
                <w:sz w:val="24"/>
                <w:szCs w:val="24"/>
              </w:rPr>
              <w:t xml:space="preserve">, </w:t>
            </w:r>
            <w:r w:rsidR="007B0F64" w:rsidRPr="005302BF">
              <w:rPr>
                <w:rFonts w:ascii="Arial Narrow" w:hAnsi="Arial Narrow" w:cs="Arial"/>
                <w:sz w:val="24"/>
                <w:szCs w:val="24"/>
              </w:rPr>
              <w:t>J</w:t>
            </w:r>
          </w:p>
        </w:tc>
        <w:tc>
          <w:tcPr>
            <w:tcW w:w="4323" w:type="dxa"/>
          </w:tcPr>
          <w:p w:rsidR="00950676" w:rsidRPr="005302BF" w:rsidRDefault="00950676" w:rsidP="005302BF">
            <w:pPr>
              <w:spacing w:before="240" w:after="0" w:line="360" w:lineRule="auto"/>
              <w:jc w:val="both"/>
              <w:rPr>
                <w:rFonts w:ascii="Arial Narrow" w:hAnsi="Arial Narrow" w:cs="Arial"/>
                <w:b/>
                <w:sz w:val="24"/>
                <w:szCs w:val="24"/>
              </w:rPr>
            </w:pPr>
            <w:r w:rsidRPr="005302BF">
              <w:rPr>
                <w:rFonts w:ascii="Arial Narrow" w:hAnsi="Arial Narrow" w:cs="Arial"/>
                <w:b/>
                <w:sz w:val="24"/>
                <w:szCs w:val="24"/>
              </w:rPr>
              <w:t>Date of hearing:</w:t>
            </w:r>
          </w:p>
          <w:p w:rsidR="00950676" w:rsidRPr="005302BF" w:rsidRDefault="006F25CF" w:rsidP="005302BF">
            <w:pPr>
              <w:spacing w:after="0" w:line="360" w:lineRule="auto"/>
              <w:rPr>
                <w:rFonts w:ascii="Arial Narrow" w:hAnsi="Arial Narrow" w:cs="Arial"/>
                <w:sz w:val="24"/>
                <w:szCs w:val="24"/>
              </w:rPr>
            </w:pPr>
            <w:r w:rsidRPr="005302BF">
              <w:rPr>
                <w:rFonts w:ascii="Arial Narrow" w:hAnsi="Arial Narrow" w:cs="Arial"/>
                <w:sz w:val="24"/>
                <w:szCs w:val="24"/>
              </w:rPr>
              <w:t>13 January 2021</w:t>
            </w:r>
          </w:p>
        </w:tc>
      </w:tr>
      <w:tr w:rsidR="005302BF" w:rsidRPr="005302BF" w:rsidTr="004667E3">
        <w:trPr>
          <w:trHeight w:val="588"/>
        </w:trPr>
        <w:tc>
          <w:tcPr>
            <w:tcW w:w="5397" w:type="dxa"/>
            <w:gridSpan w:val="2"/>
            <w:vMerge/>
          </w:tcPr>
          <w:p w:rsidR="00950676" w:rsidRPr="005302BF" w:rsidRDefault="00950676" w:rsidP="005302BF">
            <w:pPr>
              <w:spacing w:before="240" w:after="0" w:line="360" w:lineRule="auto"/>
              <w:jc w:val="both"/>
              <w:rPr>
                <w:rFonts w:ascii="Arial Narrow" w:hAnsi="Arial Narrow" w:cs="Arial"/>
                <w:b/>
                <w:sz w:val="24"/>
                <w:szCs w:val="24"/>
              </w:rPr>
            </w:pPr>
          </w:p>
        </w:tc>
        <w:tc>
          <w:tcPr>
            <w:tcW w:w="4323" w:type="dxa"/>
          </w:tcPr>
          <w:p w:rsidR="00950676" w:rsidRPr="005302BF" w:rsidRDefault="00950676" w:rsidP="005302BF">
            <w:pPr>
              <w:spacing w:before="240" w:after="0" w:line="360" w:lineRule="auto"/>
              <w:jc w:val="both"/>
              <w:rPr>
                <w:rFonts w:ascii="Arial Narrow" w:hAnsi="Arial Narrow" w:cs="Arial"/>
                <w:b/>
                <w:sz w:val="24"/>
                <w:szCs w:val="24"/>
              </w:rPr>
            </w:pPr>
            <w:r w:rsidRPr="005302BF">
              <w:rPr>
                <w:rFonts w:ascii="Arial Narrow" w:hAnsi="Arial Narrow" w:cs="Arial"/>
                <w:b/>
                <w:sz w:val="24"/>
                <w:szCs w:val="24"/>
              </w:rPr>
              <w:t>Date of order:</w:t>
            </w:r>
          </w:p>
          <w:p w:rsidR="00950676" w:rsidRPr="005302BF" w:rsidRDefault="006F25CF" w:rsidP="005302BF">
            <w:pPr>
              <w:spacing w:after="0" w:line="360" w:lineRule="auto"/>
              <w:jc w:val="both"/>
              <w:rPr>
                <w:rFonts w:ascii="Arial Narrow" w:hAnsi="Arial Narrow" w:cs="Arial"/>
                <w:sz w:val="24"/>
                <w:szCs w:val="24"/>
              </w:rPr>
            </w:pPr>
            <w:r w:rsidRPr="005302BF">
              <w:rPr>
                <w:rFonts w:ascii="Arial Narrow" w:hAnsi="Arial Narrow" w:cs="Arial"/>
                <w:sz w:val="24"/>
                <w:szCs w:val="24"/>
              </w:rPr>
              <w:t>15 January 2021</w:t>
            </w:r>
          </w:p>
          <w:p w:rsidR="003648F1" w:rsidRPr="005302BF" w:rsidRDefault="003648F1" w:rsidP="005302BF">
            <w:pPr>
              <w:spacing w:before="240" w:after="0" w:line="360" w:lineRule="auto"/>
              <w:jc w:val="both"/>
              <w:rPr>
                <w:rFonts w:ascii="Arial Narrow" w:hAnsi="Arial Narrow" w:cs="Arial"/>
                <w:b/>
                <w:sz w:val="24"/>
                <w:szCs w:val="24"/>
              </w:rPr>
            </w:pPr>
            <w:r w:rsidRPr="005302BF">
              <w:rPr>
                <w:rFonts w:ascii="Arial Narrow" w:hAnsi="Arial Narrow" w:cs="Arial"/>
                <w:b/>
                <w:sz w:val="24"/>
                <w:szCs w:val="24"/>
              </w:rPr>
              <w:t>Date of reasons</w:t>
            </w:r>
          </w:p>
          <w:p w:rsidR="003648F1" w:rsidRPr="005302BF" w:rsidRDefault="00C55690" w:rsidP="005302BF">
            <w:pPr>
              <w:spacing w:after="0" w:line="360" w:lineRule="auto"/>
              <w:jc w:val="both"/>
              <w:rPr>
                <w:rFonts w:ascii="Arial Narrow" w:hAnsi="Arial Narrow" w:cs="Arial"/>
                <w:sz w:val="24"/>
                <w:szCs w:val="24"/>
              </w:rPr>
            </w:pPr>
            <w:r w:rsidRPr="005302BF">
              <w:rPr>
                <w:rFonts w:ascii="Arial Narrow" w:hAnsi="Arial Narrow" w:cs="Arial"/>
                <w:sz w:val="24"/>
                <w:szCs w:val="24"/>
              </w:rPr>
              <w:t>29</w:t>
            </w:r>
            <w:r w:rsidR="003648F1" w:rsidRPr="005302BF">
              <w:rPr>
                <w:rFonts w:ascii="Arial Narrow" w:hAnsi="Arial Narrow" w:cs="Arial"/>
                <w:sz w:val="24"/>
                <w:szCs w:val="24"/>
              </w:rPr>
              <w:t xml:space="preserve"> January 2021</w:t>
            </w:r>
          </w:p>
        </w:tc>
      </w:tr>
      <w:tr w:rsidR="005302BF" w:rsidRPr="005302BF" w:rsidTr="004667E3">
        <w:tc>
          <w:tcPr>
            <w:tcW w:w="9720" w:type="dxa"/>
            <w:gridSpan w:val="3"/>
          </w:tcPr>
          <w:p w:rsidR="00EB7DE1" w:rsidRPr="005302BF" w:rsidRDefault="00950676" w:rsidP="005302BF">
            <w:pPr>
              <w:pStyle w:val="form-control-static"/>
              <w:shd w:val="clear" w:color="auto" w:fill="FFFFFF"/>
              <w:spacing w:before="240" w:beforeAutospacing="0" w:after="0" w:afterAutospacing="0" w:line="360" w:lineRule="auto"/>
              <w:rPr>
                <w:rFonts w:ascii="Arial Narrow" w:hAnsi="Arial Narrow" w:cs="Arial"/>
              </w:rPr>
            </w:pPr>
            <w:r w:rsidRPr="005302BF">
              <w:rPr>
                <w:rFonts w:ascii="Arial Narrow" w:hAnsi="Arial Narrow" w:cs="Arial"/>
                <w:b/>
              </w:rPr>
              <w:t xml:space="preserve">Neutral citation: </w:t>
            </w:r>
            <w:r w:rsidR="00EA75FD" w:rsidRPr="005302BF">
              <w:rPr>
                <w:rFonts w:ascii="Arial Narrow" w:hAnsi="Arial Narrow" w:cs="Arial"/>
              </w:rPr>
              <w:t xml:space="preserve"> </w:t>
            </w:r>
            <w:r w:rsidR="006F25CF" w:rsidRPr="005302BF">
              <w:rPr>
                <w:rFonts w:ascii="Arial Narrow" w:hAnsi="Arial Narrow" w:cs="Arial"/>
                <w:i/>
                <w:lang w:val="en-ZA"/>
              </w:rPr>
              <w:t>Jansen v Beukes</w:t>
            </w:r>
            <w:r w:rsidR="00423B35" w:rsidRPr="005302BF">
              <w:rPr>
                <w:rFonts w:ascii="Arial Narrow" w:hAnsi="Arial Narrow" w:cs="Arial"/>
                <w:i/>
                <w:lang w:val="en-ZA"/>
              </w:rPr>
              <w:t xml:space="preserve"> </w:t>
            </w:r>
            <w:r w:rsidRPr="005302BF">
              <w:rPr>
                <w:rFonts w:ascii="Arial Narrow" w:hAnsi="Arial Narrow" w:cs="Arial"/>
                <w:i/>
                <w:lang w:val="en-ZA"/>
              </w:rPr>
              <w:t xml:space="preserve"> </w:t>
            </w:r>
            <w:r w:rsidRPr="005302BF">
              <w:rPr>
                <w:rFonts w:ascii="Arial Narrow" w:hAnsi="Arial Narrow" w:cs="Arial"/>
              </w:rPr>
              <w:t>(</w:t>
            </w:r>
            <w:r w:rsidR="006F25CF" w:rsidRPr="005302BF">
              <w:rPr>
                <w:rFonts w:ascii="Arial Narrow" w:hAnsi="Arial Narrow" w:cs="Arial"/>
                <w:lang w:val="en-ZA"/>
              </w:rPr>
              <w:t>HC-MD-CIV-MOT-GEN-2021/00002</w:t>
            </w:r>
            <w:r w:rsidRPr="005302BF">
              <w:rPr>
                <w:rFonts w:ascii="Arial Narrow" w:hAnsi="Arial Narrow" w:cs="Arial"/>
              </w:rPr>
              <w:t>) [20</w:t>
            </w:r>
            <w:r w:rsidR="00461EA5" w:rsidRPr="005302BF">
              <w:rPr>
                <w:rFonts w:ascii="Arial Narrow" w:hAnsi="Arial Narrow" w:cs="Arial"/>
              </w:rPr>
              <w:t>21</w:t>
            </w:r>
            <w:r w:rsidRPr="005302BF">
              <w:rPr>
                <w:rFonts w:ascii="Arial Narrow" w:hAnsi="Arial Narrow" w:cs="Arial"/>
              </w:rPr>
              <w:t>] NAHC</w:t>
            </w:r>
            <w:r w:rsidR="007B0F64" w:rsidRPr="005302BF">
              <w:rPr>
                <w:rFonts w:ascii="Arial Narrow" w:hAnsi="Arial Narrow" w:cs="Arial"/>
              </w:rPr>
              <w:t xml:space="preserve">MD </w:t>
            </w:r>
            <w:r w:rsidR="003C683D" w:rsidRPr="005302BF">
              <w:rPr>
                <w:rFonts w:ascii="Arial Narrow" w:hAnsi="Arial Narrow" w:cs="Arial"/>
              </w:rPr>
              <w:t>20</w:t>
            </w:r>
            <w:r w:rsidR="007B0F64" w:rsidRPr="005302BF">
              <w:rPr>
                <w:rFonts w:ascii="Arial Narrow" w:hAnsi="Arial Narrow" w:cs="Arial"/>
              </w:rPr>
              <w:t xml:space="preserve"> </w:t>
            </w:r>
            <w:r w:rsidRPr="005302BF">
              <w:rPr>
                <w:rFonts w:ascii="Arial Narrow" w:hAnsi="Arial Narrow" w:cs="Arial"/>
              </w:rPr>
              <w:t>(</w:t>
            </w:r>
            <w:r w:rsidR="00C55690" w:rsidRPr="005302BF">
              <w:rPr>
                <w:rFonts w:ascii="Arial Narrow" w:hAnsi="Arial Narrow" w:cs="Arial"/>
              </w:rPr>
              <w:t>29</w:t>
            </w:r>
            <w:r w:rsidR="00461EA5" w:rsidRPr="005302BF">
              <w:rPr>
                <w:rFonts w:ascii="Arial Narrow" w:hAnsi="Arial Narrow" w:cs="Arial"/>
              </w:rPr>
              <w:t xml:space="preserve"> January 2021)</w:t>
            </w:r>
          </w:p>
        </w:tc>
      </w:tr>
      <w:tr w:rsidR="005302BF" w:rsidRPr="005302BF" w:rsidTr="004667E3">
        <w:tc>
          <w:tcPr>
            <w:tcW w:w="9720" w:type="dxa"/>
            <w:gridSpan w:val="3"/>
          </w:tcPr>
          <w:p w:rsidR="00950676" w:rsidRPr="005302BF" w:rsidRDefault="00950676" w:rsidP="005302BF">
            <w:pPr>
              <w:spacing w:after="0" w:line="360" w:lineRule="auto"/>
              <w:jc w:val="both"/>
              <w:rPr>
                <w:rFonts w:ascii="Arial Narrow" w:hAnsi="Arial Narrow" w:cs="Arial"/>
                <w:b/>
                <w:sz w:val="24"/>
                <w:szCs w:val="24"/>
              </w:rPr>
            </w:pPr>
            <w:r w:rsidRPr="005302BF">
              <w:rPr>
                <w:rFonts w:ascii="Arial Narrow" w:hAnsi="Arial Narrow" w:cs="Arial"/>
                <w:sz w:val="24"/>
                <w:szCs w:val="24"/>
              </w:rPr>
              <w:t>Having read the record of proceedings as well as submissions ma</w:t>
            </w:r>
            <w:r w:rsidR="007B0F64" w:rsidRPr="005302BF">
              <w:rPr>
                <w:rFonts w:ascii="Arial Narrow" w:hAnsi="Arial Narrow" w:cs="Arial"/>
                <w:sz w:val="24"/>
                <w:szCs w:val="24"/>
              </w:rPr>
              <w:t>de by counsels for the applicants</w:t>
            </w:r>
            <w:r w:rsidRPr="005302BF">
              <w:rPr>
                <w:rFonts w:ascii="Arial Narrow" w:hAnsi="Arial Narrow" w:cs="Arial"/>
                <w:sz w:val="24"/>
                <w:szCs w:val="24"/>
              </w:rPr>
              <w:t xml:space="preserve"> and the respondent:</w:t>
            </w:r>
          </w:p>
          <w:p w:rsidR="00950676" w:rsidRPr="005302BF" w:rsidRDefault="00950676" w:rsidP="005302BF">
            <w:pPr>
              <w:spacing w:after="0" w:line="360" w:lineRule="auto"/>
              <w:jc w:val="both"/>
              <w:rPr>
                <w:rFonts w:ascii="Arial Narrow" w:hAnsi="Arial Narrow" w:cs="Arial"/>
                <w:b/>
                <w:sz w:val="24"/>
                <w:szCs w:val="24"/>
              </w:rPr>
            </w:pPr>
            <w:r w:rsidRPr="005302BF">
              <w:rPr>
                <w:rFonts w:ascii="Arial Narrow" w:hAnsi="Arial Narrow" w:cs="Arial"/>
                <w:b/>
                <w:sz w:val="24"/>
                <w:szCs w:val="24"/>
              </w:rPr>
              <w:t>IT IS HEREBY ORDERED THAT:</w:t>
            </w:r>
          </w:p>
          <w:p w:rsidR="00CE2F12" w:rsidRPr="005302BF" w:rsidRDefault="00CE2F12" w:rsidP="005302BF">
            <w:pPr>
              <w:pStyle w:val="ListParagraph"/>
              <w:numPr>
                <w:ilvl w:val="0"/>
                <w:numId w:val="1"/>
              </w:numPr>
              <w:spacing w:after="0" w:line="360" w:lineRule="auto"/>
              <w:jc w:val="both"/>
              <w:rPr>
                <w:rFonts w:ascii="Arial Narrow" w:hAnsi="Arial Narrow" w:cs="Arial"/>
                <w:sz w:val="24"/>
                <w:szCs w:val="24"/>
              </w:rPr>
            </w:pPr>
            <w:r w:rsidRPr="005302BF">
              <w:rPr>
                <w:rFonts w:ascii="Arial Narrow" w:hAnsi="Arial Narrow" w:cs="Arial"/>
                <w:sz w:val="24"/>
                <w:szCs w:val="24"/>
              </w:rPr>
              <w:t xml:space="preserve">The application </w:t>
            </w:r>
            <w:r w:rsidR="000A41F3" w:rsidRPr="005302BF">
              <w:rPr>
                <w:rFonts w:ascii="Arial Narrow" w:hAnsi="Arial Narrow" w:cs="Arial"/>
                <w:sz w:val="24"/>
                <w:szCs w:val="24"/>
              </w:rPr>
              <w:t>is struck from the roll;</w:t>
            </w:r>
          </w:p>
          <w:p w:rsidR="000A41F3" w:rsidRPr="005302BF" w:rsidRDefault="003066A6" w:rsidP="005302BF">
            <w:pPr>
              <w:pStyle w:val="ListParagraph"/>
              <w:numPr>
                <w:ilvl w:val="0"/>
                <w:numId w:val="1"/>
              </w:numPr>
              <w:spacing w:after="0" w:line="360" w:lineRule="auto"/>
              <w:jc w:val="both"/>
              <w:rPr>
                <w:rFonts w:ascii="Arial Narrow" w:hAnsi="Arial Narrow" w:cs="Arial"/>
                <w:sz w:val="24"/>
                <w:szCs w:val="24"/>
              </w:rPr>
            </w:pPr>
            <w:r w:rsidRPr="005302BF">
              <w:rPr>
                <w:rFonts w:ascii="Arial Narrow" w:hAnsi="Arial Narrow" w:cs="Arial"/>
                <w:sz w:val="24"/>
                <w:szCs w:val="24"/>
              </w:rPr>
              <w:t>T</w:t>
            </w:r>
            <w:r w:rsidR="00CE2F12" w:rsidRPr="005302BF">
              <w:rPr>
                <w:rFonts w:ascii="Arial Narrow" w:hAnsi="Arial Narrow" w:cs="Arial"/>
                <w:sz w:val="24"/>
                <w:szCs w:val="24"/>
              </w:rPr>
              <w:t>he applicant is ordered to pay the costs of these proceedings</w:t>
            </w:r>
            <w:r w:rsidR="000A41F3" w:rsidRPr="005302BF">
              <w:rPr>
                <w:rFonts w:ascii="Arial Narrow" w:hAnsi="Arial Narrow" w:cs="Arial"/>
                <w:sz w:val="24"/>
                <w:szCs w:val="24"/>
              </w:rPr>
              <w:t>.</w:t>
            </w:r>
          </w:p>
          <w:p w:rsidR="00950676" w:rsidRDefault="00CE2F12" w:rsidP="005302BF">
            <w:pPr>
              <w:pStyle w:val="ListParagraph"/>
              <w:numPr>
                <w:ilvl w:val="0"/>
                <w:numId w:val="1"/>
              </w:numPr>
              <w:spacing w:after="0" w:line="360" w:lineRule="auto"/>
              <w:jc w:val="both"/>
              <w:rPr>
                <w:rFonts w:ascii="Arial Narrow" w:hAnsi="Arial Narrow" w:cs="Arial"/>
                <w:sz w:val="24"/>
                <w:szCs w:val="24"/>
              </w:rPr>
            </w:pPr>
            <w:r w:rsidRPr="005302BF">
              <w:rPr>
                <w:rFonts w:ascii="Arial Narrow" w:hAnsi="Arial Narrow" w:cs="Arial"/>
                <w:sz w:val="24"/>
                <w:szCs w:val="24"/>
              </w:rPr>
              <w:t>The matter is removed from the roll and is regarded as finalized</w:t>
            </w:r>
            <w:r w:rsidR="000A41F3" w:rsidRPr="005302BF">
              <w:rPr>
                <w:rFonts w:ascii="Arial Narrow" w:hAnsi="Arial Narrow" w:cs="Arial"/>
                <w:sz w:val="24"/>
                <w:szCs w:val="24"/>
              </w:rPr>
              <w:t>.</w:t>
            </w:r>
          </w:p>
          <w:p w:rsidR="005302BF" w:rsidRDefault="005302BF" w:rsidP="005302BF">
            <w:pPr>
              <w:pStyle w:val="ListParagraph"/>
              <w:spacing w:after="0" w:line="360" w:lineRule="auto"/>
              <w:jc w:val="both"/>
              <w:rPr>
                <w:rFonts w:ascii="Arial Narrow" w:hAnsi="Arial Narrow" w:cs="Arial"/>
                <w:sz w:val="24"/>
                <w:szCs w:val="24"/>
              </w:rPr>
            </w:pPr>
          </w:p>
          <w:p w:rsidR="005302BF" w:rsidRPr="005302BF" w:rsidRDefault="005302BF" w:rsidP="005302BF">
            <w:pPr>
              <w:pStyle w:val="ListParagraph"/>
              <w:spacing w:after="0" w:line="360" w:lineRule="auto"/>
              <w:jc w:val="both"/>
              <w:rPr>
                <w:rFonts w:ascii="Arial Narrow" w:hAnsi="Arial Narrow" w:cs="Arial"/>
                <w:sz w:val="24"/>
                <w:szCs w:val="24"/>
              </w:rPr>
            </w:pPr>
          </w:p>
        </w:tc>
      </w:tr>
      <w:tr w:rsidR="005302BF" w:rsidRPr="005302BF" w:rsidTr="004667E3">
        <w:tc>
          <w:tcPr>
            <w:tcW w:w="9720" w:type="dxa"/>
            <w:gridSpan w:val="3"/>
          </w:tcPr>
          <w:p w:rsidR="00950676" w:rsidRPr="005302BF" w:rsidRDefault="00950676" w:rsidP="005302BF">
            <w:pPr>
              <w:spacing w:after="0" w:line="360" w:lineRule="auto"/>
              <w:jc w:val="both"/>
              <w:rPr>
                <w:rFonts w:ascii="Arial Narrow" w:hAnsi="Arial Narrow" w:cs="Arial"/>
                <w:b/>
                <w:sz w:val="24"/>
                <w:szCs w:val="24"/>
              </w:rPr>
            </w:pPr>
            <w:r w:rsidRPr="005302BF">
              <w:rPr>
                <w:rFonts w:ascii="Arial Narrow" w:hAnsi="Arial Narrow" w:cs="Arial"/>
                <w:b/>
                <w:sz w:val="24"/>
                <w:szCs w:val="24"/>
              </w:rPr>
              <w:lastRenderedPageBreak/>
              <w:t>Reasons for orders:</w:t>
            </w:r>
          </w:p>
        </w:tc>
      </w:tr>
      <w:tr w:rsidR="005302BF" w:rsidRPr="005302BF" w:rsidTr="004667E3">
        <w:tc>
          <w:tcPr>
            <w:tcW w:w="9720" w:type="dxa"/>
            <w:gridSpan w:val="3"/>
          </w:tcPr>
          <w:p w:rsidR="00EB7DE1" w:rsidRPr="005302BF" w:rsidRDefault="00EB7DE1" w:rsidP="005302BF">
            <w:pPr>
              <w:spacing w:after="0" w:line="360" w:lineRule="auto"/>
              <w:jc w:val="both"/>
              <w:rPr>
                <w:rFonts w:ascii="Arial Narrow" w:hAnsi="Arial Narrow"/>
                <w:sz w:val="24"/>
                <w:szCs w:val="24"/>
                <w:lang w:val="af-ZA"/>
              </w:rPr>
            </w:pPr>
          </w:p>
          <w:p w:rsidR="00572A3E" w:rsidRPr="005302BF" w:rsidRDefault="00EB7DE1" w:rsidP="005302BF">
            <w:pPr>
              <w:spacing w:after="0" w:line="360" w:lineRule="auto"/>
              <w:jc w:val="both"/>
              <w:rPr>
                <w:rFonts w:ascii="Arial Narrow" w:hAnsi="Arial Narrow"/>
                <w:sz w:val="24"/>
                <w:szCs w:val="24"/>
                <w:u w:val="single"/>
                <w:lang w:val="af-ZA"/>
              </w:rPr>
            </w:pPr>
            <w:r w:rsidRPr="005302BF">
              <w:rPr>
                <w:rFonts w:ascii="Arial Narrow" w:hAnsi="Arial Narrow"/>
                <w:sz w:val="24"/>
                <w:szCs w:val="24"/>
                <w:u w:val="single"/>
                <w:lang w:val="af-ZA"/>
              </w:rPr>
              <w:t>Introduction</w:t>
            </w:r>
          </w:p>
          <w:p w:rsidR="00EB7DE1" w:rsidRPr="005302BF" w:rsidRDefault="00EB7DE1" w:rsidP="005302BF">
            <w:pPr>
              <w:spacing w:after="0" w:line="360" w:lineRule="auto"/>
              <w:jc w:val="both"/>
              <w:rPr>
                <w:rFonts w:ascii="Arial Narrow" w:hAnsi="Arial Narrow"/>
                <w:sz w:val="24"/>
                <w:szCs w:val="24"/>
                <w:lang w:val="af-ZA"/>
              </w:rPr>
            </w:pPr>
          </w:p>
          <w:p w:rsidR="00950676" w:rsidRPr="005302BF" w:rsidRDefault="00950676" w:rsidP="005302BF">
            <w:pPr>
              <w:spacing w:after="0" w:line="360" w:lineRule="auto"/>
              <w:jc w:val="both"/>
              <w:rPr>
                <w:rFonts w:ascii="Arial Narrow" w:hAnsi="Arial Narrow"/>
                <w:sz w:val="24"/>
                <w:szCs w:val="24"/>
              </w:rPr>
            </w:pPr>
            <w:r w:rsidRPr="005302BF">
              <w:rPr>
                <w:rFonts w:ascii="Arial Narrow" w:hAnsi="Arial Narrow"/>
                <w:sz w:val="24"/>
                <w:szCs w:val="24"/>
                <w:lang w:val="af-ZA"/>
              </w:rPr>
              <w:t xml:space="preserve">[1]    </w:t>
            </w:r>
            <w:r w:rsidR="00572A3E" w:rsidRPr="005302BF">
              <w:rPr>
                <w:rFonts w:ascii="Arial Narrow" w:hAnsi="Arial Narrow"/>
                <w:sz w:val="24"/>
                <w:szCs w:val="24"/>
                <w:lang w:val="af-ZA"/>
              </w:rPr>
              <w:t>The applicatio</w:t>
            </w:r>
            <w:r w:rsidR="00CE2F12" w:rsidRPr="005302BF">
              <w:rPr>
                <w:rFonts w:ascii="Arial Narrow" w:hAnsi="Arial Narrow"/>
                <w:sz w:val="24"/>
                <w:szCs w:val="24"/>
                <w:lang w:val="af-ZA"/>
              </w:rPr>
              <w:t>n before court was initially filed as an ex-parte applica</w:t>
            </w:r>
            <w:r w:rsidR="00572A3E" w:rsidRPr="005302BF">
              <w:rPr>
                <w:rFonts w:ascii="Arial Narrow" w:hAnsi="Arial Narrow"/>
                <w:sz w:val="24"/>
                <w:szCs w:val="24"/>
                <w:lang w:val="af-ZA"/>
              </w:rPr>
              <w:t>tion on an urgent basis and was</w:t>
            </w:r>
            <w:r w:rsidR="00CE2F12" w:rsidRPr="005302BF">
              <w:rPr>
                <w:rFonts w:ascii="Arial Narrow" w:hAnsi="Arial Narrow"/>
                <w:sz w:val="24"/>
                <w:szCs w:val="24"/>
                <w:lang w:val="af-ZA"/>
              </w:rPr>
              <w:t xml:space="preserve"> heard on the afternoon of </w:t>
            </w:r>
            <w:r w:rsidR="00461EA5" w:rsidRPr="005302BF">
              <w:rPr>
                <w:rFonts w:ascii="Arial Narrow" w:hAnsi="Arial Narrow"/>
                <w:sz w:val="24"/>
                <w:szCs w:val="24"/>
                <w:lang w:val="af-ZA"/>
              </w:rPr>
              <w:t>13 January 2021</w:t>
            </w:r>
            <w:r w:rsidR="00572A3E" w:rsidRPr="005302BF">
              <w:rPr>
                <w:rFonts w:ascii="Arial Narrow" w:hAnsi="Arial Narrow"/>
                <w:sz w:val="24"/>
                <w:szCs w:val="24"/>
                <w:lang w:val="af-ZA"/>
              </w:rPr>
              <w:t xml:space="preserve">. </w:t>
            </w:r>
            <w:r w:rsidR="00CE2F12" w:rsidRPr="005302BF">
              <w:rPr>
                <w:rFonts w:ascii="Arial Narrow" w:hAnsi="Arial Narrow"/>
                <w:sz w:val="24"/>
                <w:szCs w:val="24"/>
                <w:lang w:val="af-ZA"/>
              </w:rPr>
              <w:t xml:space="preserve">The documents were however </w:t>
            </w:r>
            <w:r w:rsidR="00572A3E" w:rsidRPr="005302BF">
              <w:rPr>
                <w:rFonts w:ascii="Arial Narrow" w:hAnsi="Arial Narrow"/>
                <w:sz w:val="24"/>
                <w:szCs w:val="24"/>
                <w:lang w:val="af-ZA"/>
              </w:rPr>
              <w:t xml:space="preserve">served </w:t>
            </w:r>
            <w:r w:rsidR="00CE2F12" w:rsidRPr="005302BF">
              <w:rPr>
                <w:rFonts w:ascii="Arial Narrow" w:hAnsi="Arial Narrow"/>
                <w:sz w:val="24"/>
                <w:szCs w:val="24"/>
                <w:lang w:val="af-ZA"/>
              </w:rPr>
              <w:t xml:space="preserve">on the </w:t>
            </w:r>
            <w:r w:rsidR="00461EA5" w:rsidRPr="005302BF">
              <w:rPr>
                <w:rFonts w:ascii="Arial Narrow" w:hAnsi="Arial Narrow"/>
                <w:sz w:val="24"/>
                <w:szCs w:val="24"/>
                <w:lang w:val="af-ZA"/>
              </w:rPr>
              <w:t>first responden</w:t>
            </w:r>
            <w:r w:rsidR="00572A3E" w:rsidRPr="005302BF">
              <w:rPr>
                <w:rFonts w:ascii="Arial Narrow" w:hAnsi="Arial Narrow"/>
                <w:sz w:val="24"/>
                <w:szCs w:val="24"/>
                <w:lang w:val="af-ZA"/>
              </w:rPr>
              <w:t>t as well as the second and thir</w:t>
            </w:r>
            <w:r w:rsidR="00461EA5" w:rsidRPr="005302BF">
              <w:rPr>
                <w:rFonts w:ascii="Arial Narrow" w:hAnsi="Arial Narrow"/>
                <w:sz w:val="24"/>
                <w:szCs w:val="24"/>
                <w:lang w:val="af-ZA"/>
              </w:rPr>
              <w:t xml:space="preserve">d respondents and the </w:t>
            </w:r>
            <w:r w:rsidR="00CE2F12" w:rsidRPr="005302BF">
              <w:rPr>
                <w:rFonts w:ascii="Arial Narrow" w:hAnsi="Arial Narrow"/>
                <w:sz w:val="24"/>
                <w:szCs w:val="24"/>
                <w:lang w:val="af-ZA"/>
              </w:rPr>
              <w:t>respondents’s legal practitioner</w:t>
            </w:r>
            <w:r w:rsidR="00572A3E" w:rsidRPr="005302BF">
              <w:rPr>
                <w:rFonts w:ascii="Arial Narrow" w:hAnsi="Arial Narrow"/>
                <w:sz w:val="24"/>
                <w:szCs w:val="24"/>
                <w:lang w:val="af-ZA"/>
              </w:rPr>
              <w:t xml:space="preserve">s. </w:t>
            </w:r>
            <w:r w:rsidR="00461EA5" w:rsidRPr="005302BF">
              <w:rPr>
                <w:rFonts w:ascii="Arial Narrow" w:hAnsi="Arial Narrow"/>
                <w:sz w:val="24"/>
                <w:szCs w:val="24"/>
                <w:lang w:val="af-ZA"/>
              </w:rPr>
              <w:t>The legal repre</w:t>
            </w:r>
            <w:r w:rsidR="00572A3E" w:rsidRPr="005302BF">
              <w:rPr>
                <w:rFonts w:ascii="Arial Narrow" w:hAnsi="Arial Narrow"/>
                <w:sz w:val="24"/>
                <w:szCs w:val="24"/>
                <w:lang w:val="af-ZA"/>
              </w:rPr>
              <w:t>sentative of the first responden</w:t>
            </w:r>
            <w:r w:rsidR="00461EA5" w:rsidRPr="005302BF">
              <w:rPr>
                <w:rFonts w:ascii="Arial Narrow" w:hAnsi="Arial Narrow"/>
                <w:sz w:val="24"/>
                <w:szCs w:val="24"/>
                <w:lang w:val="af-ZA"/>
              </w:rPr>
              <w:t>t filed a notice to oppose as well as affidavits opposing the application</w:t>
            </w:r>
            <w:r w:rsidR="00572A3E" w:rsidRPr="005302BF">
              <w:rPr>
                <w:rFonts w:ascii="Arial Narrow" w:hAnsi="Arial Narrow"/>
                <w:sz w:val="24"/>
                <w:szCs w:val="24"/>
                <w:lang w:val="af-ZA"/>
              </w:rPr>
              <w:t xml:space="preserve">. </w:t>
            </w:r>
            <w:r w:rsidR="00EF1CCD" w:rsidRPr="005302BF">
              <w:rPr>
                <w:rFonts w:ascii="Arial Narrow" w:hAnsi="Arial Narrow"/>
                <w:sz w:val="24"/>
                <w:szCs w:val="24"/>
                <w:lang w:val="af-ZA"/>
              </w:rPr>
              <w:t>As a result, the matter was no longer  partly ex parte as the first defendant was represented and made submissions at the hearing of the matter. Taking into acoount that</w:t>
            </w:r>
            <w:r w:rsidR="00461EA5" w:rsidRPr="005302BF">
              <w:rPr>
                <w:rFonts w:ascii="Arial Narrow" w:hAnsi="Arial Narrow"/>
                <w:sz w:val="24"/>
                <w:szCs w:val="24"/>
                <w:lang w:val="af-ZA"/>
              </w:rPr>
              <w:t xml:space="preserve"> the papers for the first respondent were only filed on the morning of 13 January 2021 the court gave the applicant the opportunity to indicate whether they wish to respond to these or not and they elected to proceed to argue the matter and not to file any further papers.</w:t>
            </w:r>
          </w:p>
          <w:p w:rsidR="00182236" w:rsidRPr="005302BF" w:rsidRDefault="00182236" w:rsidP="005302BF">
            <w:pPr>
              <w:spacing w:after="0" w:line="360" w:lineRule="auto"/>
              <w:jc w:val="both"/>
              <w:rPr>
                <w:rFonts w:ascii="Arial Narrow" w:hAnsi="Arial Narrow"/>
                <w:sz w:val="24"/>
                <w:szCs w:val="24"/>
                <w:lang w:val="af-ZA"/>
              </w:rPr>
            </w:pPr>
          </w:p>
          <w:p w:rsidR="0013534D" w:rsidRPr="005302BF" w:rsidRDefault="00950676" w:rsidP="005302BF">
            <w:pPr>
              <w:spacing w:after="0" w:line="360" w:lineRule="auto"/>
              <w:jc w:val="both"/>
              <w:rPr>
                <w:rFonts w:ascii="Arial Narrow" w:hAnsi="Arial Narrow" w:cs="Arial"/>
                <w:sz w:val="24"/>
                <w:szCs w:val="24"/>
              </w:rPr>
            </w:pPr>
            <w:r w:rsidRPr="005302BF">
              <w:rPr>
                <w:rFonts w:ascii="Arial Narrow" w:hAnsi="Arial Narrow" w:cs="Arial"/>
                <w:sz w:val="24"/>
                <w:szCs w:val="24"/>
              </w:rPr>
              <w:t xml:space="preserve">[2]  </w:t>
            </w:r>
            <w:r w:rsidR="00911788" w:rsidRPr="005302BF">
              <w:rPr>
                <w:rFonts w:ascii="Arial Narrow" w:hAnsi="Arial Narrow" w:cs="Arial"/>
                <w:sz w:val="24"/>
                <w:szCs w:val="24"/>
              </w:rPr>
              <w:t xml:space="preserve">  </w:t>
            </w:r>
            <w:r w:rsidR="00545FC4" w:rsidRPr="005302BF">
              <w:rPr>
                <w:rFonts w:ascii="Arial Narrow" w:hAnsi="Arial Narrow" w:cs="Arial"/>
                <w:sz w:val="24"/>
                <w:szCs w:val="24"/>
              </w:rPr>
              <w:t xml:space="preserve"> The applicant initially sought</w:t>
            </w:r>
            <w:r w:rsidR="00CE2F12" w:rsidRPr="005302BF">
              <w:rPr>
                <w:rFonts w:ascii="Arial Narrow" w:hAnsi="Arial Narrow" w:cs="Arial"/>
                <w:sz w:val="24"/>
                <w:szCs w:val="24"/>
              </w:rPr>
              <w:t xml:space="preserve"> the following relief:</w:t>
            </w:r>
          </w:p>
          <w:p w:rsidR="00461EA5" w:rsidRPr="005302BF" w:rsidRDefault="00D64194" w:rsidP="005302BF">
            <w:pPr>
              <w:spacing w:after="0" w:line="360" w:lineRule="auto"/>
              <w:jc w:val="both"/>
              <w:rPr>
                <w:rFonts w:ascii="Arial Narrow" w:hAnsi="Arial Narrow"/>
                <w:lang w:val="en-US"/>
              </w:rPr>
            </w:pPr>
            <w:r w:rsidRPr="005302BF">
              <w:rPr>
                <w:rFonts w:ascii="Arial Narrow" w:hAnsi="Arial Narrow"/>
                <w:lang w:val="en-US"/>
              </w:rPr>
              <w:t xml:space="preserve">             ‘</w:t>
            </w:r>
            <w:r w:rsidR="00CE2F12" w:rsidRPr="005302BF">
              <w:rPr>
                <w:rFonts w:ascii="Arial Narrow" w:hAnsi="Arial Narrow"/>
                <w:lang w:val="en-US"/>
              </w:rPr>
              <w:t xml:space="preserve">1.  </w:t>
            </w:r>
            <w:r w:rsidR="00461EA5" w:rsidRPr="005302BF">
              <w:rPr>
                <w:rFonts w:ascii="Arial Narrow" w:hAnsi="Arial Narrow"/>
                <w:lang w:val="en-US"/>
              </w:rPr>
              <w:t xml:space="preserve">   Condoning the applicant’s non-compliance with the Rules of this Court pertaining to time periods and service of the application, as well as giving notice to parties, as contemplated in terms of Rule 73 of the Rules of this Court; and directing the application to be heard on an urgent basis; and should there be one of the respondents that is not served by the date of the hearing, that such respondent be served with the interim order together with copies of the application.</w:t>
            </w:r>
          </w:p>
          <w:p w:rsidR="00461EA5" w:rsidRPr="005302BF" w:rsidRDefault="00461EA5" w:rsidP="005302BF">
            <w:pPr>
              <w:spacing w:after="0" w:line="360" w:lineRule="auto"/>
              <w:jc w:val="both"/>
              <w:rPr>
                <w:rFonts w:ascii="Arial Narrow" w:hAnsi="Arial Narrow"/>
                <w:lang w:val="en-US"/>
              </w:rPr>
            </w:pPr>
          </w:p>
          <w:p w:rsidR="00461EA5" w:rsidRPr="005302BF" w:rsidRDefault="00461EA5" w:rsidP="005302BF">
            <w:pPr>
              <w:spacing w:after="0" w:line="360" w:lineRule="auto"/>
              <w:jc w:val="both"/>
              <w:rPr>
                <w:rFonts w:ascii="Arial Narrow" w:hAnsi="Arial Narrow"/>
                <w:lang w:val="en-US"/>
              </w:rPr>
            </w:pPr>
            <w:r w:rsidRPr="005302BF">
              <w:rPr>
                <w:rFonts w:ascii="Arial Narrow" w:hAnsi="Arial Narrow"/>
                <w:lang w:val="en-US"/>
              </w:rPr>
              <w:t>2.    That a rule nisi be issued calling upon the 1st Respondent to show cause (if any) on a day to be determined by the Honorable Court why an order in the following terms should not be made final:</w:t>
            </w:r>
          </w:p>
          <w:p w:rsidR="00461EA5" w:rsidRPr="005302BF" w:rsidRDefault="00461EA5" w:rsidP="005302BF">
            <w:pPr>
              <w:spacing w:after="0" w:line="360" w:lineRule="auto"/>
              <w:jc w:val="both"/>
              <w:rPr>
                <w:rFonts w:ascii="Arial Narrow" w:hAnsi="Arial Narrow"/>
                <w:lang w:val="en-US"/>
              </w:rPr>
            </w:pPr>
          </w:p>
          <w:p w:rsidR="00461EA5" w:rsidRPr="005302BF" w:rsidRDefault="00461EA5" w:rsidP="005302BF">
            <w:pPr>
              <w:spacing w:after="0" w:line="360" w:lineRule="auto"/>
              <w:jc w:val="both"/>
              <w:rPr>
                <w:rFonts w:ascii="Arial Narrow" w:hAnsi="Arial Narrow"/>
                <w:lang w:val="en-US"/>
              </w:rPr>
            </w:pPr>
            <w:r w:rsidRPr="005302BF">
              <w:rPr>
                <w:rFonts w:ascii="Arial Narrow" w:hAnsi="Arial Narrow"/>
                <w:lang w:val="en-US"/>
              </w:rPr>
              <w:t xml:space="preserve"> 2.1 Ordering </w:t>
            </w:r>
            <w:r w:rsidR="00B34812" w:rsidRPr="005302BF">
              <w:rPr>
                <w:rFonts w:ascii="Arial Narrow" w:hAnsi="Arial Narrow"/>
                <w:lang w:val="en-US"/>
              </w:rPr>
              <w:t>that</w:t>
            </w:r>
            <w:r w:rsidRPr="005302BF">
              <w:rPr>
                <w:rFonts w:ascii="Arial Narrow" w:hAnsi="Arial Narrow"/>
                <w:lang w:val="en-US"/>
              </w:rPr>
              <w:t xml:space="preserve"> the Court Order of the Children’s Court of Rehoboth with case number 14/1/3 – 02/2018 is varied and that custody of the female minor child born between the parties one Leah Chloe Beukes born 30 December 2011 be awarded to the Applicant subject the respondents right of reasonable access.</w:t>
            </w:r>
          </w:p>
          <w:p w:rsidR="00461EA5" w:rsidRPr="005302BF" w:rsidRDefault="00461EA5" w:rsidP="005302BF">
            <w:pPr>
              <w:spacing w:after="0" w:line="360" w:lineRule="auto"/>
              <w:jc w:val="both"/>
              <w:rPr>
                <w:rFonts w:ascii="Arial Narrow" w:hAnsi="Arial Narrow"/>
                <w:lang w:val="en-US"/>
              </w:rPr>
            </w:pPr>
          </w:p>
          <w:p w:rsidR="00461EA5" w:rsidRPr="005302BF" w:rsidRDefault="00B34812" w:rsidP="005302BF">
            <w:pPr>
              <w:spacing w:after="0" w:line="360" w:lineRule="auto"/>
              <w:jc w:val="both"/>
              <w:rPr>
                <w:rFonts w:ascii="Arial Narrow" w:hAnsi="Arial Narrow"/>
                <w:lang w:val="en-US"/>
              </w:rPr>
            </w:pPr>
            <w:r w:rsidRPr="005302BF">
              <w:rPr>
                <w:rFonts w:ascii="Arial Narrow" w:hAnsi="Arial Narrow"/>
                <w:lang w:val="en-US"/>
              </w:rPr>
              <w:t xml:space="preserve"> </w:t>
            </w:r>
            <w:r w:rsidR="00461EA5" w:rsidRPr="005302BF">
              <w:rPr>
                <w:rFonts w:ascii="Arial Narrow" w:hAnsi="Arial Narrow"/>
                <w:lang w:val="en-US"/>
              </w:rPr>
              <w:t>3.    That the relief sought under paragraph 2.1 serve as an interim order with immediate effect, pending the return date of the above rule nisi.</w:t>
            </w:r>
          </w:p>
          <w:p w:rsidR="00461EA5" w:rsidRPr="005302BF" w:rsidRDefault="00461EA5" w:rsidP="005302BF">
            <w:pPr>
              <w:spacing w:after="0" w:line="360" w:lineRule="auto"/>
              <w:jc w:val="both"/>
              <w:rPr>
                <w:rFonts w:ascii="Arial Narrow" w:hAnsi="Arial Narrow"/>
                <w:lang w:val="en-US"/>
              </w:rPr>
            </w:pPr>
          </w:p>
          <w:p w:rsidR="00461EA5" w:rsidRPr="005302BF" w:rsidRDefault="00461EA5" w:rsidP="005302BF">
            <w:pPr>
              <w:spacing w:after="0" w:line="360" w:lineRule="auto"/>
              <w:jc w:val="both"/>
              <w:rPr>
                <w:rFonts w:ascii="Arial Narrow" w:hAnsi="Arial Narrow"/>
                <w:lang w:val="en-US"/>
              </w:rPr>
            </w:pPr>
            <w:r w:rsidRPr="005302BF">
              <w:rPr>
                <w:rFonts w:ascii="Arial Narrow" w:hAnsi="Arial Narrow"/>
                <w:lang w:val="en-US"/>
              </w:rPr>
              <w:t>4.    That the 3rd Respondent be ordered to provide the Applicant and the 1st Respondent with a written report on the circumstances of the minor child (as per the interview with the child conducted on the 30th December 2020) by no later than Friday the 15t</w:t>
            </w:r>
            <w:r w:rsidR="00B34812" w:rsidRPr="005302BF">
              <w:rPr>
                <w:rFonts w:ascii="Arial Narrow" w:hAnsi="Arial Narrow"/>
                <w:lang w:val="en-US"/>
              </w:rPr>
              <w:t>h January 2021.</w:t>
            </w:r>
          </w:p>
          <w:p w:rsidR="00461EA5" w:rsidRPr="005302BF" w:rsidRDefault="00461EA5" w:rsidP="005302BF">
            <w:pPr>
              <w:spacing w:after="0" w:line="360" w:lineRule="auto"/>
              <w:jc w:val="both"/>
              <w:rPr>
                <w:rFonts w:ascii="Arial Narrow" w:hAnsi="Arial Narrow"/>
                <w:lang w:val="en-US"/>
              </w:rPr>
            </w:pPr>
          </w:p>
          <w:p w:rsidR="00461EA5" w:rsidRPr="005302BF" w:rsidRDefault="00461EA5" w:rsidP="005302BF">
            <w:pPr>
              <w:spacing w:after="0" w:line="360" w:lineRule="auto"/>
              <w:jc w:val="both"/>
              <w:rPr>
                <w:rFonts w:ascii="Arial Narrow" w:hAnsi="Arial Narrow"/>
                <w:lang w:val="en-US"/>
              </w:rPr>
            </w:pPr>
            <w:r w:rsidRPr="005302BF">
              <w:rPr>
                <w:rFonts w:ascii="Arial Narrow" w:hAnsi="Arial Narrow"/>
                <w:lang w:val="en-US"/>
              </w:rPr>
              <w:lastRenderedPageBreak/>
              <w:t>5.    That the 2nd Respondent be ordered to ensure that the 3rd Respondent or any Social worker in the employ of the Ministry of Gender Equality, Poverty Eradication and Social Welfare provide the Applicant and the 1st Respondent with a report on the circumstances of the minor child by no later than Friday the 15th January 2021.</w:t>
            </w:r>
          </w:p>
          <w:p w:rsidR="00461EA5" w:rsidRPr="005302BF" w:rsidRDefault="00461EA5" w:rsidP="005302BF">
            <w:pPr>
              <w:spacing w:after="0" w:line="360" w:lineRule="auto"/>
              <w:jc w:val="both"/>
              <w:rPr>
                <w:rFonts w:ascii="Arial Narrow" w:hAnsi="Arial Narrow"/>
                <w:lang w:val="en-US"/>
              </w:rPr>
            </w:pPr>
          </w:p>
          <w:p w:rsidR="00461EA5" w:rsidRPr="005302BF" w:rsidRDefault="00461EA5" w:rsidP="005302BF">
            <w:pPr>
              <w:spacing w:after="0" w:line="360" w:lineRule="auto"/>
              <w:jc w:val="both"/>
              <w:rPr>
                <w:rFonts w:ascii="Arial Narrow" w:hAnsi="Arial Narrow"/>
                <w:lang w:val="en-US"/>
              </w:rPr>
            </w:pPr>
            <w:r w:rsidRPr="005302BF">
              <w:rPr>
                <w:rFonts w:ascii="Arial Narrow" w:hAnsi="Arial Narrow"/>
                <w:lang w:val="en-US"/>
              </w:rPr>
              <w:t>6.    That the Applicant file the social workers report by no later than Monday the 18th January 2021.</w:t>
            </w:r>
          </w:p>
          <w:p w:rsidR="00B34812" w:rsidRPr="005302BF" w:rsidRDefault="00B34812" w:rsidP="005302BF">
            <w:pPr>
              <w:spacing w:after="0" w:line="360" w:lineRule="auto"/>
              <w:jc w:val="both"/>
              <w:rPr>
                <w:rFonts w:ascii="Arial Narrow" w:hAnsi="Arial Narrow"/>
                <w:lang w:val="en-US"/>
              </w:rPr>
            </w:pPr>
          </w:p>
          <w:p w:rsidR="00461EA5" w:rsidRPr="005302BF" w:rsidRDefault="00461EA5" w:rsidP="005302BF">
            <w:pPr>
              <w:spacing w:after="0" w:line="360" w:lineRule="auto"/>
              <w:jc w:val="both"/>
              <w:rPr>
                <w:rFonts w:ascii="Arial Narrow" w:hAnsi="Arial Narrow"/>
                <w:lang w:val="en-US"/>
              </w:rPr>
            </w:pPr>
            <w:r w:rsidRPr="005302BF">
              <w:rPr>
                <w:rFonts w:ascii="Arial Narrow" w:hAnsi="Arial Narrow"/>
                <w:lang w:val="en-US"/>
              </w:rPr>
              <w:t>7.    That the Applicant be directed to cause this application to be served on the 2nd and 3rd Respondent by the Deputy Sheriff and on the 1st Respondent via email and/or Whatsapp Messenger on or before a date to be determined by this Honourable Court.</w:t>
            </w:r>
          </w:p>
          <w:p w:rsidR="00461EA5" w:rsidRPr="005302BF" w:rsidRDefault="00461EA5" w:rsidP="005302BF">
            <w:pPr>
              <w:spacing w:after="0" w:line="360" w:lineRule="auto"/>
              <w:jc w:val="both"/>
              <w:rPr>
                <w:rFonts w:ascii="Arial Narrow" w:hAnsi="Arial Narrow"/>
                <w:lang w:val="en-US"/>
              </w:rPr>
            </w:pPr>
          </w:p>
          <w:p w:rsidR="00461EA5" w:rsidRPr="005302BF" w:rsidRDefault="00461EA5" w:rsidP="005302BF">
            <w:pPr>
              <w:spacing w:after="0" w:line="360" w:lineRule="auto"/>
              <w:jc w:val="both"/>
              <w:rPr>
                <w:rFonts w:ascii="Arial Narrow" w:hAnsi="Arial Narrow"/>
                <w:lang w:val="en-US"/>
              </w:rPr>
            </w:pPr>
            <w:r w:rsidRPr="005302BF">
              <w:rPr>
                <w:rFonts w:ascii="Arial Narrow" w:hAnsi="Arial Narrow"/>
                <w:lang w:val="en-US"/>
              </w:rPr>
              <w:t>8.    That any of the respondents who may to oppose this application be ordered to pay</w:t>
            </w:r>
            <w:r w:rsidR="00B34812" w:rsidRPr="005302BF">
              <w:rPr>
                <w:rFonts w:ascii="Arial Narrow" w:hAnsi="Arial Narrow"/>
                <w:lang w:val="en-US"/>
              </w:rPr>
              <w:t xml:space="preserve"> the costs of this application.</w:t>
            </w:r>
          </w:p>
          <w:p w:rsidR="00B34812" w:rsidRPr="005302BF" w:rsidRDefault="00B34812" w:rsidP="005302BF">
            <w:pPr>
              <w:spacing w:after="0" w:line="360" w:lineRule="auto"/>
              <w:jc w:val="both"/>
              <w:rPr>
                <w:rFonts w:ascii="Arial Narrow" w:hAnsi="Arial Narrow"/>
                <w:lang w:val="en-US"/>
              </w:rPr>
            </w:pPr>
          </w:p>
          <w:p w:rsidR="00190BB3" w:rsidRPr="005302BF" w:rsidRDefault="00461EA5" w:rsidP="005302BF">
            <w:pPr>
              <w:spacing w:after="0" w:line="360" w:lineRule="auto"/>
              <w:jc w:val="both"/>
              <w:rPr>
                <w:rFonts w:ascii="Arial Narrow" w:hAnsi="Arial Narrow"/>
                <w:sz w:val="24"/>
                <w:szCs w:val="24"/>
                <w:lang w:val="en-US"/>
              </w:rPr>
            </w:pPr>
            <w:r w:rsidRPr="005302BF">
              <w:rPr>
                <w:rFonts w:ascii="Arial Narrow" w:hAnsi="Arial Narrow"/>
                <w:lang w:val="en-US"/>
              </w:rPr>
              <w:t>9.    Further and or alternative Relief.</w:t>
            </w:r>
            <w:r w:rsidR="00D64194" w:rsidRPr="005302BF">
              <w:rPr>
                <w:rFonts w:ascii="Arial Narrow" w:hAnsi="Arial Narrow"/>
                <w:sz w:val="24"/>
                <w:szCs w:val="24"/>
                <w:lang w:val="en-US"/>
              </w:rPr>
              <w:t>’</w:t>
            </w:r>
          </w:p>
          <w:p w:rsidR="00B34812" w:rsidRPr="005302BF" w:rsidRDefault="00B34812" w:rsidP="005302BF">
            <w:pPr>
              <w:spacing w:after="0" w:line="360" w:lineRule="auto"/>
              <w:jc w:val="both"/>
              <w:rPr>
                <w:rFonts w:ascii="Arial Narrow" w:hAnsi="Arial Narrow"/>
                <w:sz w:val="24"/>
                <w:szCs w:val="24"/>
                <w:lang w:val="en-US"/>
              </w:rPr>
            </w:pPr>
          </w:p>
          <w:p w:rsidR="002547EE" w:rsidRPr="005302BF" w:rsidRDefault="00CE2F12" w:rsidP="005302BF">
            <w:pPr>
              <w:spacing w:after="0" w:line="360" w:lineRule="auto"/>
              <w:jc w:val="both"/>
              <w:rPr>
                <w:rFonts w:ascii="Arial Narrow" w:hAnsi="Arial Narrow"/>
                <w:i/>
                <w:sz w:val="24"/>
                <w:szCs w:val="24"/>
                <w:u w:val="single"/>
                <w:lang w:val="en-US"/>
              </w:rPr>
            </w:pPr>
            <w:r w:rsidRPr="005302BF">
              <w:rPr>
                <w:rFonts w:ascii="Arial Narrow" w:hAnsi="Arial Narrow"/>
                <w:sz w:val="24"/>
                <w:szCs w:val="24"/>
                <w:lang w:val="en-US"/>
              </w:rPr>
              <w:t xml:space="preserve">[3]  </w:t>
            </w:r>
            <w:r w:rsidR="00545FC4" w:rsidRPr="005302BF">
              <w:rPr>
                <w:rFonts w:ascii="Arial Narrow" w:hAnsi="Arial Narrow"/>
                <w:sz w:val="24"/>
                <w:szCs w:val="24"/>
                <w:lang w:val="en-US"/>
              </w:rPr>
              <w:t xml:space="preserve">   </w:t>
            </w:r>
            <w:r w:rsidR="002547EE" w:rsidRPr="005302BF">
              <w:rPr>
                <w:rFonts w:ascii="Arial Narrow" w:hAnsi="Arial Narrow"/>
                <w:sz w:val="24"/>
                <w:szCs w:val="24"/>
                <w:u w:val="single"/>
                <w:lang w:val="en-US"/>
              </w:rPr>
              <w:t xml:space="preserve">Points </w:t>
            </w:r>
            <w:r w:rsidR="002547EE" w:rsidRPr="005302BF">
              <w:rPr>
                <w:rFonts w:ascii="Arial Narrow" w:hAnsi="Arial Narrow"/>
                <w:i/>
                <w:sz w:val="24"/>
                <w:szCs w:val="24"/>
                <w:u w:val="single"/>
                <w:lang w:val="en-US"/>
              </w:rPr>
              <w:t>in limine</w:t>
            </w:r>
          </w:p>
          <w:p w:rsidR="00545FC4" w:rsidRPr="005302BF" w:rsidRDefault="00545FC4" w:rsidP="005302BF">
            <w:pPr>
              <w:spacing w:after="0" w:line="360" w:lineRule="auto"/>
              <w:jc w:val="both"/>
              <w:rPr>
                <w:rFonts w:ascii="Arial Narrow" w:hAnsi="Arial Narrow"/>
                <w:sz w:val="24"/>
                <w:szCs w:val="24"/>
                <w:lang w:val="en-US"/>
              </w:rPr>
            </w:pPr>
          </w:p>
          <w:p w:rsidR="00545FC4" w:rsidRPr="005302BF" w:rsidRDefault="00545FC4" w:rsidP="005302BF">
            <w:pPr>
              <w:spacing w:after="0" w:line="360" w:lineRule="auto"/>
              <w:jc w:val="both"/>
              <w:rPr>
                <w:rFonts w:ascii="Arial Narrow" w:hAnsi="Arial Narrow"/>
                <w:sz w:val="24"/>
                <w:szCs w:val="24"/>
                <w:lang w:val="en-US"/>
              </w:rPr>
            </w:pPr>
            <w:r w:rsidRPr="005302BF">
              <w:rPr>
                <w:rFonts w:ascii="Arial Narrow" w:hAnsi="Arial Narrow"/>
                <w:sz w:val="24"/>
                <w:szCs w:val="24"/>
                <w:lang w:val="en-US"/>
              </w:rPr>
              <w:t>[4</w:t>
            </w:r>
            <w:r w:rsidR="002547EE" w:rsidRPr="005302BF">
              <w:rPr>
                <w:rFonts w:ascii="Arial Narrow" w:hAnsi="Arial Narrow"/>
                <w:sz w:val="24"/>
                <w:szCs w:val="24"/>
                <w:lang w:val="en-US"/>
              </w:rPr>
              <w:t xml:space="preserve">]     Two points </w:t>
            </w:r>
            <w:r w:rsidR="002547EE" w:rsidRPr="005302BF">
              <w:rPr>
                <w:rFonts w:ascii="Arial Narrow" w:hAnsi="Arial Narrow"/>
                <w:i/>
                <w:sz w:val="24"/>
                <w:szCs w:val="24"/>
                <w:lang w:val="en-US"/>
              </w:rPr>
              <w:t>in limine</w:t>
            </w:r>
            <w:r w:rsidR="002547EE" w:rsidRPr="005302BF">
              <w:rPr>
                <w:rFonts w:ascii="Arial Narrow" w:hAnsi="Arial Narrow"/>
                <w:sz w:val="24"/>
                <w:szCs w:val="24"/>
                <w:lang w:val="en-US"/>
              </w:rPr>
              <w:t xml:space="preserve"> w</w:t>
            </w:r>
            <w:r w:rsidRPr="005302BF">
              <w:rPr>
                <w:rFonts w:ascii="Arial Narrow" w:hAnsi="Arial Narrow"/>
                <w:sz w:val="24"/>
                <w:szCs w:val="24"/>
                <w:lang w:val="en-US"/>
              </w:rPr>
              <w:t xml:space="preserve">ere raised by the respondents. The first one </w:t>
            </w:r>
            <w:r w:rsidR="002547EE" w:rsidRPr="005302BF">
              <w:rPr>
                <w:rFonts w:ascii="Arial Narrow" w:hAnsi="Arial Narrow"/>
                <w:sz w:val="24"/>
                <w:szCs w:val="24"/>
                <w:lang w:val="en-US"/>
              </w:rPr>
              <w:t>dealt with the</w:t>
            </w:r>
            <w:r w:rsidRPr="005302BF">
              <w:rPr>
                <w:rFonts w:ascii="Arial Narrow" w:hAnsi="Arial Narrow"/>
                <w:sz w:val="24"/>
                <w:szCs w:val="24"/>
                <w:lang w:val="en-US"/>
              </w:rPr>
              <w:t xml:space="preserve"> urgency of the matter and the second</w:t>
            </w:r>
            <w:r w:rsidR="002547EE" w:rsidRPr="005302BF">
              <w:rPr>
                <w:rFonts w:ascii="Arial Narrow" w:hAnsi="Arial Narrow"/>
                <w:sz w:val="24"/>
                <w:szCs w:val="24"/>
                <w:lang w:val="en-US"/>
              </w:rPr>
              <w:t xml:space="preserve">, although not necessarily raised as a point </w:t>
            </w:r>
            <w:r w:rsidR="002547EE" w:rsidRPr="005302BF">
              <w:rPr>
                <w:rFonts w:ascii="Arial Narrow" w:hAnsi="Arial Narrow"/>
                <w:i/>
                <w:sz w:val="24"/>
                <w:szCs w:val="24"/>
                <w:lang w:val="en-US"/>
              </w:rPr>
              <w:t>in limine</w:t>
            </w:r>
            <w:r w:rsidR="002547EE" w:rsidRPr="005302BF">
              <w:rPr>
                <w:rFonts w:ascii="Arial Narrow" w:hAnsi="Arial Narrow"/>
                <w:sz w:val="24"/>
                <w:szCs w:val="24"/>
                <w:lang w:val="en-US"/>
              </w:rPr>
              <w:t xml:space="preserve">, the applicant’s </w:t>
            </w:r>
            <w:r w:rsidR="002547EE" w:rsidRPr="005302BF">
              <w:rPr>
                <w:rFonts w:ascii="Arial Narrow" w:hAnsi="Arial Narrow"/>
                <w:i/>
                <w:sz w:val="24"/>
                <w:szCs w:val="24"/>
                <w:lang w:val="en-US"/>
              </w:rPr>
              <w:t>locus standi in judicio</w:t>
            </w:r>
            <w:r w:rsidR="002547EE" w:rsidRPr="005302BF">
              <w:rPr>
                <w:rFonts w:ascii="Arial Narrow" w:hAnsi="Arial Narrow"/>
                <w:sz w:val="24"/>
                <w:szCs w:val="24"/>
                <w:lang w:val="en-US"/>
              </w:rPr>
              <w:t xml:space="preserve">. </w:t>
            </w:r>
          </w:p>
          <w:p w:rsidR="00545FC4" w:rsidRPr="005302BF" w:rsidRDefault="00545FC4" w:rsidP="005302BF">
            <w:pPr>
              <w:spacing w:after="0" w:line="360" w:lineRule="auto"/>
              <w:jc w:val="both"/>
              <w:rPr>
                <w:rFonts w:ascii="Arial Narrow" w:hAnsi="Arial Narrow"/>
                <w:sz w:val="24"/>
                <w:szCs w:val="24"/>
                <w:lang w:val="en-US"/>
              </w:rPr>
            </w:pPr>
          </w:p>
          <w:p w:rsidR="00545FC4" w:rsidRPr="005302BF" w:rsidRDefault="00545FC4" w:rsidP="005302BF">
            <w:pPr>
              <w:spacing w:after="0" w:line="360" w:lineRule="auto"/>
              <w:jc w:val="both"/>
              <w:rPr>
                <w:rFonts w:ascii="Arial Narrow" w:hAnsi="Arial Narrow"/>
                <w:sz w:val="24"/>
                <w:szCs w:val="24"/>
                <w:lang w:val="en-US"/>
              </w:rPr>
            </w:pPr>
            <w:r w:rsidRPr="005302BF">
              <w:rPr>
                <w:rFonts w:ascii="Arial Narrow" w:hAnsi="Arial Narrow"/>
                <w:sz w:val="24"/>
                <w:szCs w:val="24"/>
                <w:lang w:val="en-US"/>
              </w:rPr>
              <w:t xml:space="preserve">[5]      </w:t>
            </w:r>
            <w:r w:rsidRPr="005302BF">
              <w:rPr>
                <w:rFonts w:ascii="Arial Narrow" w:hAnsi="Arial Narrow"/>
                <w:sz w:val="24"/>
                <w:szCs w:val="24"/>
                <w:u w:val="single"/>
                <w:lang w:val="en-US"/>
              </w:rPr>
              <w:t>Urgency</w:t>
            </w:r>
          </w:p>
          <w:p w:rsidR="00545FC4" w:rsidRPr="005302BF" w:rsidRDefault="00545FC4" w:rsidP="005302BF">
            <w:pPr>
              <w:spacing w:after="0" w:line="360" w:lineRule="auto"/>
              <w:jc w:val="both"/>
              <w:rPr>
                <w:rFonts w:ascii="Arial Narrow" w:hAnsi="Arial Narrow"/>
                <w:sz w:val="24"/>
                <w:szCs w:val="24"/>
                <w:lang w:val="en-US"/>
              </w:rPr>
            </w:pPr>
          </w:p>
          <w:p w:rsidR="00EA74E9" w:rsidRPr="005302BF" w:rsidRDefault="00545FC4" w:rsidP="005302BF">
            <w:pPr>
              <w:spacing w:after="0" w:line="360" w:lineRule="auto"/>
              <w:jc w:val="both"/>
              <w:rPr>
                <w:rFonts w:ascii="Arial Narrow" w:hAnsi="Arial Narrow"/>
                <w:sz w:val="24"/>
                <w:szCs w:val="24"/>
                <w:lang w:val="en-US"/>
              </w:rPr>
            </w:pPr>
            <w:r w:rsidRPr="005302BF">
              <w:rPr>
                <w:rFonts w:ascii="Arial Narrow" w:hAnsi="Arial Narrow"/>
                <w:sz w:val="24"/>
                <w:szCs w:val="24"/>
                <w:lang w:val="en-US"/>
              </w:rPr>
              <w:t xml:space="preserve">[6]     </w:t>
            </w:r>
            <w:r w:rsidR="002547EE" w:rsidRPr="005302BF">
              <w:rPr>
                <w:rFonts w:ascii="Arial Narrow" w:hAnsi="Arial Narrow"/>
                <w:sz w:val="24"/>
                <w:szCs w:val="24"/>
                <w:lang w:val="en-US"/>
              </w:rPr>
              <w:t xml:space="preserve"> </w:t>
            </w:r>
            <w:r w:rsidRPr="005302BF">
              <w:rPr>
                <w:rFonts w:ascii="Arial Narrow" w:hAnsi="Arial Narrow"/>
                <w:sz w:val="24"/>
                <w:szCs w:val="24"/>
                <w:lang w:val="en-US"/>
              </w:rPr>
              <w:t xml:space="preserve">In order for the applicant to succeed </w:t>
            </w:r>
            <w:r w:rsidR="00354C80" w:rsidRPr="005302BF">
              <w:rPr>
                <w:rFonts w:ascii="Arial Narrow" w:hAnsi="Arial Narrow"/>
                <w:sz w:val="24"/>
                <w:szCs w:val="24"/>
                <w:lang w:val="en-US"/>
              </w:rPr>
              <w:t>ag</w:t>
            </w:r>
            <w:r w:rsidR="00D64194" w:rsidRPr="005302BF">
              <w:rPr>
                <w:rFonts w:ascii="Arial Narrow" w:hAnsi="Arial Narrow"/>
                <w:sz w:val="24"/>
                <w:szCs w:val="24"/>
                <w:lang w:val="en-US"/>
              </w:rPr>
              <w:t>ainst the first point in limine</w:t>
            </w:r>
            <w:r w:rsidR="00EA74E9" w:rsidRPr="005302BF">
              <w:rPr>
                <w:rFonts w:ascii="Arial Narrow" w:hAnsi="Arial Narrow"/>
                <w:sz w:val="24"/>
                <w:szCs w:val="24"/>
                <w:lang w:val="en-US"/>
              </w:rPr>
              <w:t xml:space="preserve">, the applicant must make out a case that the application is </w:t>
            </w:r>
            <w:r w:rsidR="00354C80" w:rsidRPr="005302BF">
              <w:rPr>
                <w:rFonts w:ascii="Arial Narrow" w:hAnsi="Arial Narrow"/>
                <w:sz w:val="24"/>
                <w:szCs w:val="24"/>
                <w:lang w:val="en-US"/>
              </w:rPr>
              <w:t xml:space="preserve">indeed urgent. </w:t>
            </w:r>
            <w:r w:rsidR="00EA74E9" w:rsidRPr="005302BF">
              <w:rPr>
                <w:rFonts w:ascii="Arial Narrow" w:hAnsi="Arial Narrow"/>
                <w:sz w:val="24"/>
                <w:szCs w:val="24"/>
                <w:lang w:val="en-US"/>
              </w:rPr>
              <w:t xml:space="preserve">In </w:t>
            </w:r>
            <w:r w:rsidR="00EA74E9" w:rsidRPr="005302BF">
              <w:rPr>
                <w:rFonts w:ascii="Arial Narrow" w:hAnsi="Arial Narrow"/>
                <w:i/>
                <w:sz w:val="24"/>
                <w:szCs w:val="24"/>
                <w:lang w:val="en-US"/>
              </w:rPr>
              <w:t>Nghiimbwasha and Another v Minister of Justice and Others</w:t>
            </w:r>
            <w:r w:rsidR="00EA74E9" w:rsidRPr="005302BF">
              <w:rPr>
                <w:rStyle w:val="FootnoteReference"/>
                <w:rFonts w:ascii="Arial Narrow" w:hAnsi="Arial Narrow"/>
                <w:i/>
                <w:sz w:val="24"/>
                <w:szCs w:val="24"/>
                <w:lang w:val="en-US"/>
              </w:rPr>
              <w:footnoteReference w:id="1"/>
            </w:r>
            <w:r w:rsidR="00EA74E9" w:rsidRPr="005302BF">
              <w:rPr>
                <w:rFonts w:ascii="Arial Narrow" w:hAnsi="Arial Narrow"/>
                <w:sz w:val="24"/>
                <w:szCs w:val="24"/>
                <w:lang w:val="en-US"/>
              </w:rPr>
              <w:t xml:space="preserve"> the court dealt with the in</w:t>
            </w:r>
            <w:r w:rsidR="00354C80" w:rsidRPr="005302BF">
              <w:rPr>
                <w:rFonts w:ascii="Arial Narrow" w:hAnsi="Arial Narrow"/>
                <w:sz w:val="24"/>
                <w:szCs w:val="24"/>
                <w:lang w:val="en-US"/>
              </w:rPr>
              <w:t xml:space="preserve">terpretation of the word ‘must’ </w:t>
            </w:r>
            <w:r w:rsidR="00EA74E9" w:rsidRPr="005302BF">
              <w:rPr>
                <w:rFonts w:ascii="Arial Narrow" w:hAnsi="Arial Narrow"/>
                <w:sz w:val="24"/>
                <w:szCs w:val="24"/>
                <w:lang w:val="en-US"/>
              </w:rPr>
              <w:t>contained in rule 73(4) as well as the responsibility of an applicant in a matter alleged to be urgent.  Masuku J states at (11) and further:</w:t>
            </w:r>
          </w:p>
          <w:p w:rsidR="001D0ED9" w:rsidRPr="005302BF" w:rsidRDefault="001D0ED9" w:rsidP="005302BF">
            <w:pPr>
              <w:spacing w:after="0" w:line="360" w:lineRule="auto"/>
              <w:jc w:val="both"/>
              <w:rPr>
                <w:rFonts w:ascii="Arial Narrow" w:hAnsi="Arial Narrow"/>
                <w:sz w:val="24"/>
                <w:szCs w:val="24"/>
                <w:lang w:val="en-US"/>
              </w:rPr>
            </w:pPr>
          </w:p>
          <w:p w:rsidR="00EA74E9" w:rsidRPr="005302BF" w:rsidRDefault="00354C80" w:rsidP="005302BF">
            <w:pPr>
              <w:spacing w:after="0" w:line="360" w:lineRule="auto"/>
              <w:jc w:val="both"/>
              <w:rPr>
                <w:rFonts w:ascii="Arial Narrow" w:hAnsi="Arial Narrow"/>
                <w:lang w:val="en-US"/>
              </w:rPr>
            </w:pPr>
            <w:r w:rsidRPr="005302BF">
              <w:rPr>
                <w:rFonts w:ascii="Arial Narrow" w:hAnsi="Arial Narrow"/>
                <w:lang w:val="en-US"/>
              </w:rPr>
              <w:t xml:space="preserve">                 ‘</w:t>
            </w:r>
            <w:r w:rsidR="00EA74E9" w:rsidRPr="005302BF">
              <w:rPr>
                <w:rFonts w:ascii="Arial Narrow" w:hAnsi="Arial Narrow"/>
                <w:lang w:val="en-US"/>
              </w:rPr>
              <w:t>The first thing to note is that the said rule is couched in peremptory language regarding what a litigant who wishes to approach the court on urgency must do. That the language employed is mandatory in nature can be deduced from the use of the word “must” in rule 73 (4). In this regard, two requirements are placed on an applicant regarding necessary allegations to be made in the affidavit filed in support of the urgent application. It stands to reason that failure to comply with the mandatory nature of the burden cast may result in the application for the matter to be enrolled on urgency being refused.</w:t>
            </w:r>
          </w:p>
          <w:p w:rsidR="00EA74E9" w:rsidRPr="005302BF" w:rsidRDefault="00EA74E9" w:rsidP="005302BF">
            <w:pPr>
              <w:spacing w:after="0" w:line="360" w:lineRule="auto"/>
              <w:jc w:val="both"/>
              <w:rPr>
                <w:rFonts w:ascii="Arial Narrow" w:hAnsi="Arial Narrow"/>
                <w:lang w:val="en-US"/>
              </w:rPr>
            </w:pPr>
          </w:p>
          <w:p w:rsidR="00EA74E9" w:rsidRPr="005302BF" w:rsidRDefault="00EA74E9" w:rsidP="005302BF">
            <w:pPr>
              <w:spacing w:after="0" w:line="360" w:lineRule="auto"/>
              <w:jc w:val="both"/>
              <w:rPr>
                <w:rFonts w:ascii="Arial Narrow" w:hAnsi="Arial Narrow"/>
                <w:lang w:val="en-US"/>
              </w:rPr>
            </w:pPr>
            <w:r w:rsidRPr="005302BF">
              <w:rPr>
                <w:rFonts w:ascii="Arial Narrow" w:hAnsi="Arial Narrow"/>
                <w:lang w:val="en-US"/>
              </w:rPr>
              <w:t xml:space="preserve">[12] The first allegation the applicant must “explicitly” make in the affidavit relates to the circumstances alleged to render the matter urgent. Second, the applicant must “explicitly” state the reasons why it is alleged he or she cannot be granted </w:t>
            </w:r>
            <w:r w:rsidRPr="005302BF">
              <w:rPr>
                <w:rFonts w:ascii="Arial Narrow" w:hAnsi="Arial Narrow"/>
                <w:lang w:val="en-US"/>
              </w:rPr>
              <w:lastRenderedPageBreak/>
              <w:t>substantial relief at a hearing in due course. The use of the word “explicitly”, it is my view is not idle nor an inconsequential addition to the text. It has certainly not been included for decorative purposes. It serves to set out and underscore the level of disclosure that must be made by an applicant in such cases.</w:t>
            </w:r>
          </w:p>
          <w:p w:rsidR="00EA74E9" w:rsidRPr="005302BF" w:rsidRDefault="00EA74E9" w:rsidP="005302BF">
            <w:pPr>
              <w:spacing w:after="0" w:line="360" w:lineRule="auto"/>
              <w:jc w:val="both"/>
              <w:rPr>
                <w:rFonts w:ascii="Arial Narrow" w:hAnsi="Arial Narrow"/>
                <w:lang w:val="en-US"/>
              </w:rPr>
            </w:pPr>
          </w:p>
          <w:p w:rsidR="002547EE" w:rsidRPr="005302BF" w:rsidRDefault="00EA74E9" w:rsidP="005302BF">
            <w:pPr>
              <w:spacing w:after="0" w:line="360" w:lineRule="auto"/>
              <w:jc w:val="both"/>
              <w:rPr>
                <w:rFonts w:ascii="Arial Narrow" w:hAnsi="Arial Narrow"/>
                <w:lang w:val="en-US"/>
              </w:rPr>
            </w:pPr>
            <w:r w:rsidRPr="005302BF">
              <w:rPr>
                <w:rFonts w:ascii="Arial Narrow" w:hAnsi="Arial Narrow"/>
                <w:lang w:val="en-US"/>
              </w:rPr>
              <w:t>[13] In the English dictionary, the word “explicit” connotes something “stated clearly and in detail, leaving no room for confusion or doubt</w:t>
            </w:r>
            <w:r w:rsidRPr="005302BF">
              <w:rPr>
                <w:rFonts w:ascii="Arial Narrow" w:hAnsi="Arial Narrow"/>
                <w:u w:val="single"/>
                <w:lang w:val="en-US"/>
              </w:rPr>
              <w:t>.</w:t>
            </w:r>
            <w:r w:rsidRPr="005302BF">
              <w:rPr>
                <w:rFonts w:ascii="Arial Narrow" w:hAnsi="Arial Narrow"/>
                <w:lang w:val="en-US"/>
              </w:rPr>
              <w:t>” This therefore means that a deponent to an affidavit in which urgency is claimed or alleged, must state the reasons alleged for the urgency “clearly and in detail, leaving no room for confusion or doubt”. This, to my mind, denotes a very high, honest and comprehensive standard of disclosure, which in a sense results in the deponent taking the court fully in his or her confidence; neither hiding nor hoarding any relevant and necessary information relevant to the issue of urgency.’</w:t>
            </w:r>
          </w:p>
          <w:p w:rsidR="003648F1" w:rsidRPr="005302BF" w:rsidRDefault="003648F1" w:rsidP="005302BF">
            <w:pPr>
              <w:spacing w:after="0" w:line="360" w:lineRule="auto"/>
              <w:jc w:val="both"/>
              <w:rPr>
                <w:rFonts w:ascii="Arial Narrow" w:hAnsi="Arial Narrow"/>
                <w:sz w:val="24"/>
                <w:szCs w:val="24"/>
                <w:lang w:val="en-US"/>
              </w:rPr>
            </w:pPr>
          </w:p>
          <w:p w:rsidR="003648F1" w:rsidRPr="005302BF" w:rsidRDefault="00930D2A" w:rsidP="005302BF">
            <w:pPr>
              <w:spacing w:after="0" w:line="360" w:lineRule="auto"/>
              <w:jc w:val="both"/>
              <w:rPr>
                <w:rFonts w:ascii="Arial Narrow" w:hAnsi="Arial Narrow"/>
                <w:sz w:val="24"/>
                <w:szCs w:val="24"/>
                <w:lang w:val="en-US"/>
              </w:rPr>
            </w:pPr>
            <w:r w:rsidRPr="005302BF">
              <w:rPr>
                <w:rFonts w:ascii="Arial Narrow" w:hAnsi="Arial Narrow"/>
                <w:sz w:val="24"/>
                <w:szCs w:val="24"/>
                <w:lang w:val="en-US"/>
              </w:rPr>
              <w:t>[7</w:t>
            </w:r>
            <w:r w:rsidR="003648F1" w:rsidRPr="005302BF">
              <w:rPr>
                <w:rFonts w:ascii="Arial Narrow" w:hAnsi="Arial Narrow"/>
                <w:sz w:val="24"/>
                <w:szCs w:val="24"/>
                <w:lang w:val="en-US"/>
              </w:rPr>
              <w:t>]    The reason put forward by the applicant for not returning to the Children’s court in Rehoboth</w:t>
            </w:r>
            <w:r w:rsidRPr="005302BF">
              <w:rPr>
                <w:rFonts w:ascii="Arial Narrow" w:hAnsi="Arial Narrow"/>
                <w:sz w:val="24"/>
                <w:szCs w:val="24"/>
                <w:lang w:val="en-US"/>
              </w:rPr>
              <w:t xml:space="preserve"> and rather opting to approach the High Court on an urgent basis, </w:t>
            </w:r>
            <w:r w:rsidR="003648F1" w:rsidRPr="005302BF">
              <w:rPr>
                <w:rFonts w:ascii="Arial Narrow" w:hAnsi="Arial Narrow"/>
                <w:sz w:val="24"/>
                <w:szCs w:val="24"/>
                <w:lang w:val="en-US"/>
              </w:rPr>
              <w:t>was that during the previous proceed</w:t>
            </w:r>
            <w:r w:rsidRPr="005302BF">
              <w:rPr>
                <w:rFonts w:ascii="Arial Narrow" w:hAnsi="Arial Narrow"/>
                <w:sz w:val="24"/>
                <w:szCs w:val="24"/>
                <w:lang w:val="en-US"/>
              </w:rPr>
              <w:t>ings before the said court (the</w:t>
            </w:r>
            <w:r w:rsidR="003648F1" w:rsidRPr="005302BF">
              <w:rPr>
                <w:rFonts w:ascii="Arial Narrow" w:hAnsi="Arial Narrow"/>
                <w:sz w:val="24"/>
                <w:szCs w:val="24"/>
                <w:lang w:val="en-US"/>
              </w:rPr>
              <w:t xml:space="preserve"> proceedings which resulted in the making of a court order of the agreement entered into by the parties during May 2018), it took more than five</w:t>
            </w:r>
            <w:r w:rsidRPr="005302BF">
              <w:rPr>
                <w:rFonts w:ascii="Arial Narrow" w:hAnsi="Arial Narrow"/>
                <w:sz w:val="24"/>
                <w:szCs w:val="24"/>
                <w:lang w:val="en-US"/>
              </w:rPr>
              <w:t xml:space="preserve"> months to finalize the matter.</w:t>
            </w:r>
            <w:r w:rsidR="003648F1" w:rsidRPr="005302BF">
              <w:rPr>
                <w:rFonts w:ascii="Arial Narrow" w:hAnsi="Arial Narrow"/>
                <w:sz w:val="24"/>
                <w:szCs w:val="24"/>
                <w:lang w:val="en-US"/>
              </w:rPr>
              <w:t xml:space="preserve"> He was further advised that it could take between 3 to 6 months and that it will take too lon</w:t>
            </w:r>
            <w:r w:rsidRPr="005302BF">
              <w:rPr>
                <w:rFonts w:ascii="Arial Narrow" w:hAnsi="Arial Narrow"/>
                <w:sz w:val="24"/>
                <w:szCs w:val="24"/>
                <w:lang w:val="en-US"/>
              </w:rPr>
              <w:t xml:space="preserve">g to return to the said court. </w:t>
            </w:r>
            <w:r w:rsidR="003648F1" w:rsidRPr="005302BF">
              <w:rPr>
                <w:rFonts w:ascii="Arial Narrow" w:hAnsi="Arial Narrow"/>
                <w:sz w:val="24"/>
                <w:szCs w:val="24"/>
                <w:lang w:val="en-US"/>
              </w:rPr>
              <w:t xml:space="preserve">Although the previous matter could have taken some time, it is clearly differentiated from the current matter and the court is not convinced that the </w:t>
            </w:r>
            <w:r w:rsidR="003A68CB" w:rsidRPr="005302BF">
              <w:rPr>
                <w:rFonts w:ascii="Arial Narrow" w:hAnsi="Arial Narrow"/>
                <w:sz w:val="24"/>
                <w:szCs w:val="24"/>
                <w:lang w:val="en-US"/>
              </w:rPr>
              <w:t>applicant will not be granted substantial relief at a hearing in the Children’s court in due course.</w:t>
            </w:r>
          </w:p>
          <w:p w:rsidR="003A68CB" w:rsidRPr="005302BF" w:rsidRDefault="003A68CB" w:rsidP="005302BF">
            <w:pPr>
              <w:spacing w:after="0" w:line="360" w:lineRule="auto"/>
              <w:jc w:val="both"/>
              <w:rPr>
                <w:rFonts w:ascii="Arial Narrow" w:hAnsi="Arial Narrow"/>
                <w:sz w:val="24"/>
                <w:szCs w:val="24"/>
                <w:lang w:val="en-US"/>
              </w:rPr>
            </w:pPr>
          </w:p>
          <w:p w:rsidR="00CE2F12" w:rsidRPr="005302BF" w:rsidRDefault="00C216E9" w:rsidP="005302BF">
            <w:pPr>
              <w:spacing w:after="0" w:line="360" w:lineRule="auto"/>
              <w:jc w:val="both"/>
              <w:rPr>
                <w:rFonts w:ascii="Arial Narrow" w:hAnsi="Arial Narrow"/>
                <w:sz w:val="24"/>
                <w:szCs w:val="24"/>
                <w:lang w:val="en-US"/>
              </w:rPr>
            </w:pPr>
            <w:r w:rsidRPr="005302BF">
              <w:rPr>
                <w:rFonts w:ascii="Arial Narrow" w:hAnsi="Arial Narrow"/>
                <w:sz w:val="24"/>
                <w:szCs w:val="24"/>
                <w:lang w:val="en-US"/>
              </w:rPr>
              <w:t>[8</w:t>
            </w:r>
            <w:r w:rsidR="003A68CB" w:rsidRPr="005302BF">
              <w:rPr>
                <w:rFonts w:ascii="Arial Narrow" w:hAnsi="Arial Narrow"/>
                <w:sz w:val="24"/>
                <w:szCs w:val="24"/>
                <w:lang w:val="en-US"/>
              </w:rPr>
              <w:t xml:space="preserve">]           </w:t>
            </w:r>
            <w:r w:rsidR="00FF7CAE" w:rsidRPr="005302BF">
              <w:rPr>
                <w:rFonts w:ascii="Arial Narrow" w:hAnsi="Arial Narrow"/>
                <w:sz w:val="24"/>
                <w:szCs w:val="24"/>
                <w:lang w:val="en-US"/>
              </w:rPr>
              <w:t xml:space="preserve">The Court was further </w:t>
            </w:r>
            <w:r w:rsidR="009F2546" w:rsidRPr="005302BF">
              <w:rPr>
                <w:rFonts w:ascii="Arial Narrow" w:hAnsi="Arial Narrow"/>
                <w:sz w:val="24"/>
                <w:szCs w:val="24"/>
                <w:lang w:val="en-US"/>
              </w:rPr>
              <w:t xml:space="preserve">not </w:t>
            </w:r>
            <w:r w:rsidR="00454135" w:rsidRPr="005302BF">
              <w:rPr>
                <w:rFonts w:ascii="Arial Narrow" w:hAnsi="Arial Narrow"/>
                <w:sz w:val="24"/>
                <w:szCs w:val="24"/>
                <w:lang w:val="en-US"/>
              </w:rPr>
              <w:t>made to understand</w:t>
            </w:r>
            <w:r w:rsidR="00FF7CAE" w:rsidRPr="005302BF">
              <w:rPr>
                <w:rFonts w:ascii="Arial Narrow" w:hAnsi="Arial Narrow"/>
                <w:sz w:val="24"/>
                <w:szCs w:val="24"/>
                <w:lang w:val="en-US"/>
              </w:rPr>
              <w:t xml:space="preserve"> as to what the exact</w:t>
            </w:r>
            <w:r w:rsidRPr="005302BF">
              <w:rPr>
                <w:rFonts w:ascii="Arial Narrow" w:hAnsi="Arial Narrow"/>
                <w:sz w:val="24"/>
                <w:szCs w:val="24"/>
                <w:lang w:val="en-US"/>
              </w:rPr>
              <w:t xml:space="preserve"> of relief sought was</w:t>
            </w:r>
            <w:r w:rsidR="00FF7CAE" w:rsidRPr="005302BF">
              <w:rPr>
                <w:rFonts w:ascii="Arial Narrow" w:hAnsi="Arial Narrow"/>
                <w:sz w:val="24"/>
                <w:szCs w:val="24"/>
                <w:lang w:val="en-US"/>
              </w:rPr>
              <w:t>. Th</w:t>
            </w:r>
            <w:r w:rsidRPr="005302BF">
              <w:rPr>
                <w:rFonts w:ascii="Arial Narrow" w:hAnsi="Arial Narrow"/>
                <w:sz w:val="24"/>
                <w:szCs w:val="24"/>
                <w:lang w:val="en-US"/>
              </w:rPr>
              <w:t>e applicant on the one hand sought</w:t>
            </w:r>
            <w:r w:rsidR="00726794" w:rsidRPr="005302BF">
              <w:rPr>
                <w:rFonts w:ascii="Arial Narrow" w:hAnsi="Arial Narrow"/>
                <w:sz w:val="24"/>
                <w:szCs w:val="24"/>
                <w:lang w:val="en-US"/>
              </w:rPr>
              <w:t xml:space="preserve"> an order </w:t>
            </w:r>
            <w:r w:rsidR="0014008F" w:rsidRPr="005302BF">
              <w:rPr>
                <w:rFonts w:ascii="Arial Narrow" w:hAnsi="Arial Narrow"/>
                <w:sz w:val="24"/>
                <w:szCs w:val="24"/>
                <w:lang w:val="en-US"/>
              </w:rPr>
              <w:t xml:space="preserve">to have </w:t>
            </w:r>
            <w:r w:rsidR="00FF7CAE" w:rsidRPr="005302BF">
              <w:rPr>
                <w:rFonts w:ascii="Arial Narrow" w:hAnsi="Arial Narrow"/>
                <w:sz w:val="24"/>
                <w:szCs w:val="24"/>
                <w:lang w:val="en-US"/>
              </w:rPr>
              <w:t xml:space="preserve">the Court Order of the Children’s Court of Rehoboth with </w:t>
            </w:r>
            <w:r w:rsidR="0014008F" w:rsidRPr="005302BF">
              <w:rPr>
                <w:rFonts w:ascii="Arial Narrow" w:hAnsi="Arial Narrow"/>
                <w:sz w:val="24"/>
                <w:szCs w:val="24"/>
                <w:lang w:val="en-US"/>
              </w:rPr>
              <w:t xml:space="preserve">case number 14/1/3 – 02/2018 </w:t>
            </w:r>
            <w:r w:rsidR="00FF7CAE" w:rsidRPr="005302BF">
              <w:rPr>
                <w:rFonts w:ascii="Arial Narrow" w:hAnsi="Arial Narrow"/>
                <w:sz w:val="24"/>
                <w:szCs w:val="24"/>
                <w:lang w:val="en-US"/>
              </w:rPr>
              <w:t>varied and that custody of the female minor child born between the parties one Leah Chloe Beukes born 30 D</w:t>
            </w:r>
            <w:r w:rsidR="0014008F" w:rsidRPr="005302BF">
              <w:rPr>
                <w:rFonts w:ascii="Arial Narrow" w:hAnsi="Arial Narrow"/>
                <w:sz w:val="24"/>
                <w:szCs w:val="24"/>
                <w:lang w:val="en-US"/>
              </w:rPr>
              <w:t>ecember 2011 be awarded to the a</w:t>
            </w:r>
            <w:r w:rsidR="00FF7CAE" w:rsidRPr="005302BF">
              <w:rPr>
                <w:rFonts w:ascii="Arial Narrow" w:hAnsi="Arial Narrow"/>
                <w:sz w:val="24"/>
                <w:szCs w:val="24"/>
                <w:lang w:val="en-US"/>
              </w:rPr>
              <w:t>pplicant subject the respondents right of reasonable access, which would then mean that the terms t</w:t>
            </w:r>
            <w:r w:rsidR="0014008F" w:rsidRPr="005302BF">
              <w:rPr>
                <w:rFonts w:ascii="Arial Narrow" w:hAnsi="Arial Narrow"/>
                <w:sz w:val="24"/>
                <w:szCs w:val="24"/>
                <w:lang w:val="en-US"/>
              </w:rPr>
              <w:t>hat they initially agreed to, are</w:t>
            </w:r>
            <w:r w:rsidR="00FF7CAE" w:rsidRPr="005302BF">
              <w:rPr>
                <w:rFonts w:ascii="Arial Narrow" w:hAnsi="Arial Narrow"/>
                <w:sz w:val="24"/>
                <w:szCs w:val="24"/>
                <w:lang w:val="en-US"/>
              </w:rPr>
              <w:t xml:space="preserve"> no longer applicable.  On the oth</w:t>
            </w:r>
            <w:r w:rsidRPr="005302BF">
              <w:rPr>
                <w:rFonts w:ascii="Arial Narrow" w:hAnsi="Arial Narrow"/>
                <w:sz w:val="24"/>
                <w:szCs w:val="24"/>
                <w:lang w:val="en-US"/>
              </w:rPr>
              <w:t>er hand the applicant also sought</w:t>
            </w:r>
            <w:r w:rsidR="00FF7CAE" w:rsidRPr="005302BF">
              <w:rPr>
                <w:rFonts w:ascii="Arial Narrow" w:hAnsi="Arial Narrow"/>
                <w:sz w:val="24"/>
                <w:szCs w:val="24"/>
                <w:lang w:val="en-US"/>
              </w:rPr>
              <w:t xml:space="preserve"> an order</w:t>
            </w:r>
            <w:r w:rsidR="0014008F" w:rsidRPr="005302BF">
              <w:rPr>
                <w:rFonts w:ascii="Arial Narrow" w:hAnsi="Arial Narrow"/>
                <w:sz w:val="24"/>
                <w:szCs w:val="24"/>
                <w:lang w:val="en-US"/>
              </w:rPr>
              <w:t xml:space="preserve"> for</w:t>
            </w:r>
            <w:r w:rsidR="00FF7CAE" w:rsidRPr="005302BF">
              <w:rPr>
                <w:rFonts w:ascii="Arial Narrow" w:hAnsi="Arial Narrow"/>
                <w:sz w:val="24"/>
                <w:szCs w:val="24"/>
                <w:lang w:val="en-US"/>
              </w:rPr>
              <w:t xml:space="preserve"> </w:t>
            </w:r>
            <w:r w:rsidR="0014008F" w:rsidRPr="005302BF">
              <w:rPr>
                <w:rFonts w:ascii="Arial Narrow" w:hAnsi="Arial Narrow"/>
                <w:sz w:val="24"/>
                <w:szCs w:val="24"/>
                <w:lang w:val="en-US"/>
              </w:rPr>
              <w:t>the third r</w:t>
            </w:r>
            <w:r w:rsidR="00FF7CAE" w:rsidRPr="005302BF">
              <w:rPr>
                <w:rFonts w:ascii="Arial Narrow" w:hAnsi="Arial Narrow"/>
                <w:sz w:val="24"/>
                <w:szCs w:val="24"/>
                <w:lang w:val="en-US"/>
              </w:rPr>
              <w:t xml:space="preserve">espondent </w:t>
            </w:r>
            <w:r w:rsidR="0014008F" w:rsidRPr="005302BF">
              <w:rPr>
                <w:rFonts w:ascii="Arial Narrow" w:hAnsi="Arial Narrow"/>
                <w:sz w:val="24"/>
                <w:szCs w:val="24"/>
                <w:lang w:val="en-US"/>
              </w:rPr>
              <w:t>to provide the a</w:t>
            </w:r>
            <w:r w:rsidR="00FF7CAE" w:rsidRPr="005302BF">
              <w:rPr>
                <w:rFonts w:ascii="Arial Narrow" w:hAnsi="Arial Narrow"/>
                <w:sz w:val="24"/>
                <w:szCs w:val="24"/>
                <w:lang w:val="en-US"/>
              </w:rPr>
              <w:t xml:space="preserve">pplicant and the </w:t>
            </w:r>
            <w:r w:rsidR="0014008F" w:rsidRPr="005302BF">
              <w:rPr>
                <w:rFonts w:ascii="Arial Narrow" w:hAnsi="Arial Narrow"/>
                <w:sz w:val="24"/>
                <w:szCs w:val="24"/>
                <w:lang w:val="en-US"/>
              </w:rPr>
              <w:t>first r</w:t>
            </w:r>
            <w:r w:rsidR="00FF7CAE" w:rsidRPr="005302BF">
              <w:rPr>
                <w:rFonts w:ascii="Arial Narrow" w:hAnsi="Arial Narrow"/>
                <w:sz w:val="24"/>
                <w:szCs w:val="24"/>
                <w:lang w:val="en-US"/>
              </w:rPr>
              <w:t xml:space="preserve">espondent with a written report on the circumstances of the minor child (as per the interview with the child conducted on the 30th December 2020) as well as that </w:t>
            </w:r>
            <w:r w:rsidR="0014008F" w:rsidRPr="005302BF">
              <w:rPr>
                <w:rFonts w:ascii="Arial Narrow" w:hAnsi="Arial Narrow"/>
                <w:sz w:val="24"/>
                <w:szCs w:val="24"/>
                <w:lang w:val="en-US"/>
              </w:rPr>
              <w:t>the second r</w:t>
            </w:r>
            <w:r w:rsidR="00FF7CAE" w:rsidRPr="005302BF">
              <w:rPr>
                <w:rFonts w:ascii="Arial Narrow" w:hAnsi="Arial Narrow"/>
                <w:sz w:val="24"/>
                <w:szCs w:val="24"/>
                <w:lang w:val="en-US"/>
              </w:rPr>
              <w:t xml:space="preserve">espondent </w:t>
            </w:r>
            <w:r w:rsidR="0014008F" w:rsidRPr="005302BF">
              <w:rPr>
                <w:rFonts w:ascii="Arial Narrow" w:hAnsi="Arial Narrow"/>
                <w:sz w:val="24"/>
                <w:szCs w:val="24"/>
                <w:lang w:val="en-US"/>
              </w:rPr>
              <w:t>be ordered to ensure that the third respondent or any Social W</w:t>
            </w:r>
            <w:r w:rsidR="00FF7CAE" w:rsidRPr="005302BF">
              <w:rPr>
                <w:rFonts w:ascii="Arial Narrow" w:hAnsi="Arial Narrow"/>
                <w:sz w:val="24"/>
                <w:szCs w:val="24"/>
                <w:lang w:val="en-US"/>
              </w:rPr>
              <w:t xml:space="preserve">orker in the employ of the Ministry of Gender Equality, Poverty Eradication </w:t>
            </w:r>
            <w:r w:rsidR="0014008F" w:rsidRPr="005302BF">
              <w:rPr>
                <w:rFonts w:ascii="Arial Narrow" w:hAnsi="Arial Narrow"/>
                <w:sz w:val="24"/>
                <w:szCs w:val="24"/>
                <w:lang w:val="en-US"/>
              </w:rPr>
              <w:t xml:space="preserve">and Social Welfare provide the applicant and the first </w:t>
            </w:r>
            <w:r w:rsidR="00726794" w:rsidRPr="005302BF">
              <w:rPr>
                <w:rFonts w:ascii="Arial Narrow" w:hAnsi="Arial Narrow"/>
                <w:sz w:val="24"/>
                <w:szCs w:val="24"/>
                <w:lang w:val="en-US"/>
              </w:rPr>
              <w:t>r</w:t>
            </w:r>
            <w:r w:rsidR="00FF7CAE" w:rsidRPr="005302BF">
              <w:rPr>
                <w:rFonts w:ascii="Arial Narrow" w:hAnsi="Arial Narrow"/>
                <w:sz w:val="24"/>
                <w:szCs w:val="24"/>
                <w:lang w:val="en-US"/>
              </w:rPr>
              <w:t>espondent with a report on the circumstances of the minor child by no later than Friday the 15th January 2021.</w:t>
            </w:r>
            <w:r w:rsidR="0014008F" w:rsidRPr="005302BF">
              <w:rPr>
                <w:rFonts w:ascii="Arial Narrow" w:hAnsi="Arial Narrow"/>
                <w:sz w:val="24"/>
                <w:szCs w:val="24"/>
                <w:lang w:val="en-US"/>
              </w:rPr>
              <w:t xml:space="preserve"> </w:t>
            </w:r>
            <w:r w:rsidR="00FF7CAE" w:rsidRPr="005302BF">
              <w:rPr>
                <w:rFonts w:ascii="Arial Narrow" w:hAnsi="Arial Narrow"/>
                <w:sz w:val="24"/>
                <w:szCs w:val="24"/>
                <w:lang w:val="en-US"/>
              </w:rPr>
              <w:t>To what end these reports should be provided is not clear as there are no proceedings pending in terms of the Child Care and Protection Act.</w:t>
            </w:r>
            <w:r w:rsidR="0014008F" w:rsidRPr="005302BF">
              <w:rPr>
                <w:rStyle w:val="FootnoteReference"/>
                <w:rFonts w:ascii="Arial Narrow" w:hAnsi="Arial Narrow"/>
                <w:sz w:val="24"/>
                <w:szCs w:val="24"/>
                <w:lang w:val="en-US"/>
              </w:rPr>
              <w:footnoteReference w:id="2"/>
            </w:r>
          </w:p>
          <w:p w:rsidR="00FF7CAE" w:rsidRPr="005302BF" w:rsidRDefault="00FF7CAE" w:rsidP="005302BF">
            <w:pPr>
              <w:spacing w:after="0" w:line="360" w:lineRule="auto"/>
              <w:jc w:val="both"/>
              <w:rPr>
                <w:rFonts w:ascii="Arial Narrow" w:hAnsi="Arial Narrow"/>
                <w:sz w:val="24"/>
                <w:szCs w:val="24"/>
                <w:lang w:val="en-US"/>
              </w:rPr>
            </w:pPr>
          </w:p>
          <w:p w:rsidR="00FF7CAE" w:rsidRPr="005302BF" w:rsidRDefault="0014008F" w:rsidP="005302BF">
            <w:pPr>
              <w:spacing w:after="0" w:line="360" w:lineRule="auto"/>
              <w:jc w:val="both"/>
              <w:rPr>
                <w:rFonts w:ascii="Arial Narrow" w:hAnsi="Arial Narrow"/>
                <w:sz w:val="24"/>
                <w:szCs w:val="24"/>
                <w:lang w:val="en-US"/>
              </w:rPr>
            </w:pPr>
            <w:r w:rsidRPr="005302BF">
              <w:rPr>
                <w:rFonts w:ascii="Arial Narrow" w:hAnsi="Arial Narrow"/>
                <w:sz w:val="24"/>
                <w:szCs w:val="24"/>
                <w:lang w:val="en-US"/>
              </w:rPr>
              <w:lastRenderedPageBreak/>
              <w:t>[9</w:t>
            </w:r>
            <w:r w:rsidR="00FF7CAE" w:rsidRPr="005302BF">
              <w:rPr>
                <w:rFonts w:ascii="Arial Narrow" w:hAnsi="Arial Narrow"/>
                <w:sz w:val="24"/>
                <w:szCs w:val="24"/>
                <w:lang w:val="en-US"/>
              </w:rPr>
              <w:t xml:space="preserve">]         The court is of the opinion that there is other options for redress available which would be suited than to approach </w:t>
            </w:r>
            <w:r w:rsidR="00DE58D5" w:rsidRPr="005302BF">
              <w:rPr>
                <w:rFonts w:ascii="Arial Narrow" w:hAnsi="Arial Narrow"/>
                <w:sz w:val="24"/>
                <w:szCs w:val="24"/>
                <w:lang w:val="en-US"/>
              </w:rPr>
              <w:t>this court on an urgent basis and therefore redress in due course i</w:t>
            </w:r>
            <w:r w:rsidR="001D0ED9" w:rsidRPr="005302BF">
              <w:rPr>
                <w:rFonts w:ascii="Arial Narrow" w:hAnsi="Arial Narrow"/>
                <w:sz w:val="24"/>
                <w:szCs w:val="24"/>
                <w:lang w:val="en-US"/>
              </w:rPr>
              <w:t xml:space="preserve">s available. </w:t>
            </w:r>
            <w:r w:rsidR="00DE58D5" w:rsidRPr="005302BF">
              <w:rPr>
                <w:rFonts w:ascii="Arial Narrow" w:hAnsi="Arial Narrow"/>
                <w:sz w:val="24"/>
                <w:szCs w:val="24"/>
                <w:lang w:val="en-US"/>
              </w:rPr>
              <w:t xml:space="preserve">The court further did not address the issue of </w:t>
            </w:r>
            <w:r w:rsidR="00DE58D5" w:rsidRPr="005302BF">
              <w:rPr>
                <w:rFonts w:ascii="Arial Narrow" w:hAnsi="Arial Narrow"/>
                <w:i/>
                <w:sz w:val="24"/>
                <w:szCs w:val="24"/>
                <w:lang w:val="en-US"/>
              </w:rPr>
              <w:t>locus standi in judicio</w:t>
            </w:r>
            <w:r w:rsidR="00DE58D5" w:rsidRPr="005302BF">
              <w:rPr>
                <w:rFonts w:ascii="Arial Narrow" w:hAnsi="Arial Narrow"/>
                <w:sz w:val="24"/>
                <w:szCs w:val="24"/>
                <w:lang w:val="en-US"/>
              </w:rPr>
              <w:t xml:space="preserve"> in light of the finding regarding urgency.</w:t>
            </w:r>
          </w:p>
          <w:p w:rsidR="00FF7CAE" w:rsidRPr="005302BF" w:rsidRDefault="00FF7CAE" w:rsidP="005302BF">
            <w:pPr>
              <w:spacing w:after="0" w:line="360" w:lineRule="auto"/>
              <w:jc w:val="both"/>
              <w:rPr>
                <w:rFonts w:ascii="Arial Narrow" w:hAnsi="Arial Narrow"/>
                <w:sz w:val="24"/>
                <w:szCs w:val="24"/>
                <w:lang w:val="en-US"/>
              </w:rPr>
            </w:pPr>
          </w:p>
          <w:p w:rsidR="0014008F" w:rsidRPr="005302BF" w:rsidRDefault="00190BB3" w:rsidP="005302BF">
            <w:pPr>
              <w:spacing w:after="0" w:line="360" w:lineRule="auto"/>
              <w:jc w:val="both"/>
              <w:rPr>
                <w:rFonts w:ascii="Arial Narrow" w:hAnsi="Arial Narrow"/>
                <w:sz w:val="24"/>
                <w:szCs w:val="24"/>
                <w:lang w:val="en-US"/>
              </w:rPr>
            </w:pPr>
            <w:r w:rsidRPr="005302BF">
              <w:rPr>
                <w:rFonts w:ascii="Arial Narrow" w:hAnsi="Arial Narrow"/>
                <w:sz w:val="24"/>
                <w:szCs w:val="24"/>
                <w:lang w:val="en-US"/>
              </w:rPr>
              <w:t>[1</w:t>
            </w:r>
            <w:r w:rsidR="00EA75FD" w:rsidRPr="005302BF">
              <w:rPr>
                <w:rFonts w:ascii="Arial Narrow" w:hAnsi="Arial Narrow"/>
                <w:sz w:val="24"/>
                <w:szCs w:val="24"/>
                <w:lang w:val="en-US"/>
              </w:rPr>
              <w:t>0</w:t>
            </w:r>
            <w:r w:rsidRPr="005302BF">
              <w:rPr>
                <w:rFonts w:ascii="Arial Narrow" w:hAnsi="Arial Narrow"/>
                <w:sz w:val="24"/>
                <w:szCs w:val="24"/>
                <w:lang w:val="en-US"/>
              </w:rPr>
              <w:t xml:space="preserve">]        In the result, </w:t>
            </w:r>
          </w:p>
          <w:p w:rsidR="003066A6" w:rsidRPr="005302BF" w:rsidRDefault="003066A6" w:rsidP="005302BF">
            <w:pPr>
              <w:pStyle w:val="ListParagraph"/>
              <w:numPr>
                <w:ilvl w:val="0"/>
                <w:numId w:val="3"/>
              </w:numPr>
              <w:spacing w:after="0" w:line="360" w:lineRule="auto"/>
              <w:jc w:val="both"/>
              <w:rPr>
                <w:rFonts w:ascii="Arial Narrow" w:hAnsi="Arial Narrow" w:cs="Arial"/>
                <w:sz w:val="24"/>
                <w:szCs w:val="24"/>
              </w:rPr>
            </w:pPr>
            <w:r w:rsidRPr="005302BF">
              <w:rPr>
                <w:rFonts w:ascii="Arial Narrow" w:hAnsi="Arial Narrow" w:cs="Arial"/>
                <w:sz w:val="24"/>
                <w:szCs w:val="24"/>
              </w:rPr>
              <w:t>The application is struck from the roll;</w:t>
            </w:r>
          </w:p>
          <w:p w:rsidR="003066A6" w:rsidRPr="005302BF" w:rsidRDefault="003066A6" w:rsidP="005302BF">
            <w:pPr>
              <w:pStyle w:val="ListParagraph"/>
              <w:numPr>
                <w:ilvl w:val="0"/>
                <w:numId w:val="3"/>
              </w:numPr>
              <w:spacing w:after="0" w:line="360" w:lineRule="auto"/>
              <w:jc w:val="both"/>
              <w:rPr>
                <w:rFonts w:ascii="Arial Narrow" w:hAnsi="Arial Narrow" w:cs="Arial"/>
                <w:sz w:val="24"/>
                <w:szCs w:val="24"/>
              </w:rPr>
            </w:pPr>
            <w:r w:rsidRPr="005302BF">
              <w:rPr>
                <w:rFonts w:ascii="Arial Narrow" w:hAnsi="Arial Narrow" w:cs="Arial"/>
                <w:sz w:val="24"/>
                <w:szCs w:val="24"/>
              </w:rPr>
              <w:t>The applicant is ordered to pay the costs of these proceedings.</w:t>
            </w:r>
          </w:p>
          <w:p w:rsidR="003066A6" w:rsidRPr="005302BF" w:rsidRDefault="003066A6" w:rsidP="005302BF">
            <w:pPr>
              <w:pStyle w:val="ListParagraph"/>
              <w:numPr>
                <w:ilvl w:val="0"/>
                <w:numId w:val="3"/>
              </w:numPr>
              <w:spacing w:after="0" w:line="360" w:lineRule="auto"/>
              <w:jc w:val="both"/>
              <w:rPr>
                <w:rFonts w:ascii="Arial Narrow" w:hAnsi="Arial Narrow" w:cs="Arial"/>
                <w:sz w:val="24"/>
                <w:szCs w:val="24"/>
              </w:rPr>
            </w:pPr>
            <w:r w:rsidRPr="005302BF">
              <w:rPr>
                <w:rFonts w:ascii="Arial Narrow" w:hAnsi="Arial Narrow" w:cs="Arial"/>
                <w:sz w:val="24"/>
                <w:szCs w:val="24"/>
              </w:rPr>
              <w:t>The matter is removed from the roll and is regarded as finalized.</w:t>
            </w:r>
          </w:p>
          <w:p w:rsidR="00950676" w:rsidRPr="005302BF" w:rsidRDefault="00950676" w:rsidP="005302BF">
            <w:pPr>
              <w:spacing w:after="0" w:line="360" w:lineRule="auto"/>
              <w:rPr>
                <w:rFonts w:ascii="Arial Narrow" w:hAnsi="Arial Narrow"/>
                <w:sz w:val="24"/>
                <w:szCs w:val="24"/>
                <w:shd w:val="clear" w:color="auto" w:fill="FFFFFF"/>
              </w:rPr>
            </w:pPr>
          </w:p>
        </w:tc>
      </w:tr>
      <w:tr w:rsidR="005302BF" w:rsidRPr="005302BF" w:rsidTr="004667E3">
        <w:tc>
          <w:tcPr>
            <w:tcW w:w="4770" w:type="dxa"/>
          </w:tcPr>
          <w:p w:rsidR="00950676" w:rsidRPr="005302BF" w:rsidRDefault="00950676" w:rsidP="005302BF">
            <w:pPr>
              <w:spacing w:after="0" w:line="360" w:lineRule="auto"/>
              <w:jc w:val="center"/>
              <w:rPr>
                <w:rFonts w:ascii="Arial Narrow" w:hAnsi="Arial Narrow" w:cs="Arial"/>
                <w:b/>
                <w:sz w:val="24"/>
                <w:szCs w:val="24"/>
              </w:rPr>
            </w:pPr>
            <w:r w:rsidRPr="005302BF">
              <w:rPr>
                <w:rFonts w:ascii="Arial Narrow" w:hAnsi="Arial Narrow" w:cs="Arial"/>
                <w:b/>
                <w:sz w:val="24"/>
                <w:szCs w:val="24"/>
              </w:rPr>
              <w:lastRenderedPageBreak/>
              <w:t>Judge’s signature</w:t>
            </w:r>
          </w:p>
        </w:tc>
        <w:tc>
          <w:tcPr>
            <w:tcW w:w="4950" w:type="dxa"/>
            <w:gridSpan w:val="2"/>
          </w:tcPr>
          <w:p w:rsidR="00950676" w:rsidRPr="005302BF" w:rsidRDefault="00950676" w:rsidP="005302BF">
            <w:pPr>
              <w:spacing w:after="0" w:line="360" w:lineRule="auto"/>
              <w:jc w:val="center"/>
              <w:rPr>
                <w:rFonts w:ascii="Arial Narrow" w:hAnsi="Arial Narrow" w:cs="Arial"/>
                <w:b/>
                <w:sz w:val="24"/>
                <w:szCs w:val="24"/>
              </w:rPr>
            </w:pPr>
            <w:r w:rsidRPr="005302BF">
              <w:rPr>
                <w:rFonts w:ascii="Arial Narrow" w:hAnsi="Arial Narrow" w:cs="Arial"/>
                <w:b/>
                <w:sz w:val="24"/>
                <w:szCs w:val="24"/>
              </w:rPr>
              <w:t>Note to the parties:</w:t>
            </w:r>
          </w:p>
        </w:tc>
      </w:tr>
      <w:tr w:rsidR="005302BF" w:rsidRPr="005302BF" w:rsidTr="004667E3">
        <w:trPr>
          <w:trHeight w:val="1114"/>
        </w:trPr>
        <w:tc>
          <w:tcPr>
            <w:tcW w:w="4770" w:type="dxa"/>
          </w:tcPr>
          <w:p w:rsidR="005C0116" w:rsidRDefault="005C0116" w:rsidP="005C0116">
            <w:pPr>
              <w:spacing w:after="0" w:line="360" w:lineRule="auto"/>
              <w:jc w:val="center"/>
              <w:rPr>
                <w:rFonts w:ascii="Arial Narrow" w:hAnsi="Arial Narrow" w:cs="Arial"/>
                <w:b/>
                <w:sz w:val="24"/>
                <w:szCs w:val="24"/>
              </w:rPr>
            </w:pPr>
          </w:p>
          <w:p w:rsidR="001D0ED9" w:rsidRPr="005C0116" w:rsidRDefault="005C0116" w:rsidP="005C0116">
            <w:pPr>
              <w:spacing w:after="0" w:line="360" w:lineRule="auto"/>
              <w:jc w:val="center"/>
              <w:rPr>
                <w:rFonts w:ascii="Arial Narrow" w:hAnsi="Arial Narrow" w:cs="Arial"/>
                <w:b/>
                <w:sz w:val="24"/>
                <w:szCs w:val="24"/>
              </w:rPr>
            </w:pPr>
            <w:r w:rsidRPr="005C0116">
              <w:rPr>
                <w:rFonts w:ascii="Arial Narrow" w:hAnsi="Arial Narrow" w:cs="Arial"/>
                <w:b/>
                <w:sz w:val="24"/>
                <w:szCs w:val="24"/>
              </w:rPr>
              <w:t>E RAKOW</w:t>
            </w:r>
          </w:p>
          <w:p w:rsidR="005C0116" w:rsidRPr="005C0116" w:rsidRDefault="005C0116" w:rsidP="005C0116">
            <w:pPr>
              <w:spacing w:after="0" w:line="360" w:lineRule="auto"/>
              <w:jc w:val="center"/>
              <w:rPr>
                <w:rFonts w:ascii="Arial Narrow" w:hAnsi="Arial Narrow" w:cs="Arial"/>
                <w:b/>
                <w:sz w:val="24"/>
                <w:szCs w:val="24"/>
              </w:rPr>
            </w:pPr>
            <w:r w:rsidRPr="005C0116">
              <w:rPr>
                <w:rFonts w:ascii="Arial Narrow" w:hAnsi="Arial Narrow" w:cs="Arial"/>
                <w:b/>
                <w:sz w:val="24"/>
                <w:szCs w:val="24"/>
              </w:rPr>
              <w:t xml:space="preserve">JUDGE </w:t>
            </w:r>
          </w:p>
        </w:tc>
        <w:tc>
          <w:tcPr>
            <w:tcW w:w="4950" w:type="dxa"/>
            <w:gridSpan w:val="2"/>
          </w:tcPr>
          <w:p w:rsidR="005C0116" w:rsidRDefault="005C0116" w:rsidP="005C0116">
            <w:pPr>
              <w:spacing w:after="0" w:line="360" w:lineRule="auto"/>
              <w:jc w:val="center"/>
              <w:rPr>
                <w:rFonts w:ascii="Arial Narrow" w:hAnsi="Arial Narrow" w:cs="Arial"/>
                <w:sz w:val="24"/>
                <w:szCs w:val="24"/>
              </w:rPr>
            </w:pPr>
          </w:p>
          <w:p w:rsidR="00950676" w:rsidRPr="005302BF" w:rsidRDefault="00950676" w:rsidP="005C0116">
            <w:pPr>
              <w:spacing w:after="0" w:line="360" w:lineRule="auto"/>
              <w:jc w:val="center"/>
              <w:rPr>
                <w:rFonts w:ascii="Arial Narrow" w:hAnsi="Arial Narrow" w:cs="Arial"/>
                <w:sz w:val="24"/>
                <w:szCs w:val="24"/>
              </w:rPr>
            </w:pPr>
            <w:r w:rsidRPr="005302BF">
              <w:rPr>
                <w:rFonts w:ascii="Arial Narrow" w:hAnsi="Arial Narrow" w:cs="Arial"/>
                <w:sz w:val="24"/>
                <w:szCs w:val="24"/>
              </w:rPr>
              <w:t>Not applicable.</w:t>
            </w:r>
          </w:p>
        </w:tc>
      </w:tr>
      <w:tr w:rsidR="005302BF" w:rsidRPr="005302BF" w:rsidTr="004667E3">
        <w:tc>
          <w:tcPr>
            <w:tcW w:w="9720" w:type="dxa"/>
            <w:gridSpan w:val="3"/>
          </w:tcPr>
          <w:p w:rsidR="00950676" w:rsidRPr="005302BF" w:rsidRDefault="00950676" w:rsidP="005302BF">
            <w:pPr>
              <w:spacing w:after="0" w:line="360" w:lineRule="auto"/>
              <w:jc w:val="center"/>
              <w:rPr>
                <w:rFonts w:ascii="Arial Narrow" w:hAnsi="Arial Narrow" w:cs="Arial"/>
                <w:b/>
                <w:sz w:val="24"/>
                <w:szCs w:val="24"/>
              </w:rPr>
            </w:pPr>
            <w:r w:rsidRPr="005302BF">
              <w:rPr>
                <w:rFonts w:ascii="Arial Narrow" w:hAnsi="Arial Narrow" w:cs="Arial"/>
                <w:b/>
                <w:sz w:val="24"/>
                <w:szCs w:val="24"/>
              </w:rPr>
              <w:t>Counsel:</w:t>
            </w:r>
          </w:p>
        </w:tc>
      </w:tr>
      <w:tr w:rsidR="005302BF" w:rsidRPr="005302BF" w:rsidTr="004667E3">
        <w:tc>
          <w:tcPr>
            <w:tcW w:w="4770" w:type="dxa"/>
          </w:tcPr>
          <w:p w:rsidR="00950676" w:rsidRPr="005302BF" w:rsidRDefault="00950676" w:rsidP="005302BF">
            <w:pPr>
              <w:spacing w:after="0" w:line="360" w:lineRule="auto"/>
              <w:jc w:val="center"/>
              <w:rPr>
                <w:rFonts w:ascii="Arial Narrow" w:hAnsi="Arial Narrow" w:cs="Arial"/>
                <w:b/>
                <w:sz w:val="24"/>
                <w:szCs w:val="24"/>
              </w:rPr>
            </w:pPr>
            <w:r w:rsidRPr="005302BF">
              <w:rPr>
                <w:rFonts w:ascii="Arial Narrow" w:hAnsi="Arial Narrow" w:cs="Arial"/>
                <w:b/>
                <w:sz w:val="24"/>
                <w:szCs w:val="24"/>
              </w:rPr>
              <w:t>Applicant</w:t>
            </w:r>
            <w:r w:rsidR="00190BB3" w:rsidRPr="005302BF">
              <w:rPr>
                <w:rFonts w:ascii="Arial Narrow" w:hAnsi="Arial Narrow" w:cs="Arial"/>
                <w:b/>
                <w:sz w:val="24"/>
                <w:szCs w:val="24"/>
              </w:rPr>
              <w:t>s</w:t>
            </w:r>
          </w:p>
        </w:tc>
        <w:tc>
          <w:tcPr>
            <w:tcW w:w="4950" w:type="dxa"/>
            <w:gridSpan w:val="2"/>
          </w:tcPr>
          <w:p w:rsidR="00950676" w:rsidRPr="005302BF" w:rsidRDefault="00950676" w:rsidP="005302BF">
            <w:pPr>
              <w:spacing w:after="0" w:line="360" w:lineRule="auto"/>
              <w:jc w:val="center"/>
              <w:rPr>
                <w:rFonts w:ascii="Arial Narrow" w:hAnsi="Arial Narrow" w:cs="Arial"/>
                <w:b/>
                <w:sz w:val="24"/>
                <w:szCs w:val="24"/>
              </w:rPr>
            </w:pPr>
            <w:r w:rsidRPr="005302BF">
              <w:rPr>
                <w:rFonts w:ascii="Arial Narrow" w:hAnsi="Arial Narrow" w:cs="Arial"/>
                <w:b/>
                <w:sz w:val="24"/>
                <w:szCs w:val="24"/>
              </w:rPr>
              <w:t xml:space="preserve"> Respondent</w:t>
            </w:r>
          </w:p>
        </w:tc>
      </w:tr>
      <w:tr w:rsidR="005302BF" w:rsidRPr="005302BF" w:rsidTr="004667E3">
        <w:tc>
          <w:tcPr>
            <w:tcW w:w="4770" w:type="dxa"/>
          </w:tcPr>
          <w:p w:rsidR="00950676" w:rsidRPr="005302BF" w:rsidRDefault="00EA75FD" w:rsidP="005302BF">
            <w:pPr>
              <w:spacing w:after="0" w:line="360" w:lineRule="auto"/>
              <w:jc w:val="center"/>
              <w:rPr>
                <w:rFonts w:ascii="Arial Narrow" w:hAnsi="Arial Narrow" w:cs="Arial"/>
                <w:sz w:val="24"/>
                <w:szCs w:val="24"/>
              </w:rPr>
            </w:pPr>
            <w:r w:rsidRPr="005302BF">
              <w:rPr>
                <w:rFonts w:ascii="Arial Narrow" w:hAnsi="Arial Narrow" w:cs="Arial"/>
                <w:sz w:val="24"/>
                <w:szCs w:val="24"/>
              </w:rPr>
              <w:t>R Beukes</w:t>
            </w:r>
          </w:p>
          <w:p w:rsidR="00EA75FD" w:rsidRPr="005302BF" w:rsidRDefault="00EA75FD" w:rsidP="005302BF">
            <w:pPr>
              <w:spacing w:after="0" w:line="360" w:lineRule="auto"/>
              <w:jc w:val="center"/>
              <w:rPr>
                <w:rFonts w:ascii="Arial Narrow" w:hAnsi="Arial Narrow" w:cs="Arial"/>
                <w:sz w:val="24"/>
                <w:szCs w:val="24"/>
              </w:rPr>
            </w:pPr>
            <w:r w:rsidRPr="005302BF">
              <w:rPr>
                <w:rFonts w:ascii="Arial Narrow" w:hAnsi="Arial Narrow" w:cs="Arial"/>
                <w:sz w:val="24"/>
                <w:szCs w:val="24"/>
              </w:rPr>
              <w:t xml:space="preserve">of </w:t>
            </w:r>
          </w:p>
          <w:p w:rsidR="003066A6" w:rsidRPr="005302BF" w:rsidRDefault="00EA75FD" w:rsidP="005302BF">
            <w:pPr>
              <w:spacing w:after="0" w:line="360" w:lineRule="auto"/>
              <w:jc w:val="center"/>
              <w:rPr>
                <w:rFonts w:ascii="Arial Narrow" w:hAnsi="Arial Narrow" w:cs="Arial"/>
                <w:sz w:val="24"/>
                <w:szCs w:val="24"/>
              </w:rPr>
            </w:pPr>
            <w:r w:rsidRPr="005302BF">
              <w:rPr>
                <w:rFonts w:ascii="Arial Narrow" w:hAnsi="Arial Narrow" w:cs="Arial"/>
                <w:sz w:val="24"/>
                <w:szCs w:val="24"/>
              </w:rPr>
              <w:t>Henry Shimutwikeni &amp; Co Inc</w:t>
            </w:r>
          </w:p>
          <w:p w:rsidR="003066A6" w:rsidRPr="005302BF" w:rsidRDefault="00EA75FD" w:rsidP="005302BF">
            <w:pPr>
              <w:spacing w:after="0" w:line="360" w:lineRule="auto"/>
              <w:jc w:val="center"/>
              <w:rPr>
                <w:rFonts w:ascii="Arial Narrow" w:hAnsi="Arial Narrow" w:cs="Arial"/>
                <w:sz w:val="24"/>
                <w:szCs w:val="24"/>
              </w:rPr>
            </w:pPr>
            <w:r w:rsidRPr="005302BF">
              <w:rPr>
                <w:rFonts w:ascii="Arial Narrow" w:hAnsi="Arial Narrow" w:cs="Arial"/>
                <w:sz w:val="24"/>
                <w:szCs w:val="24"/>
              </w:rPr>
              <w:t>Windhoek</w:t>
            </w:r>
          </w:p>
        </w:tc>
        <w:tc>
          <w:tcPr>
            <w:tcW w:w="4950" w:type="dxa"/>
            <w:gridSpan w:val="2"/>
          </w:tcPr>
          <w:p w:rsidR="00950676" w:rsidRPr="005302BF" w:rsidRDefault="00EA75FD" w:rsidP="005302BF">
            <w:pPr>
              <w:spacing w:after="0" w:line="360" w:lineRule="auto"/>
              <w:jc w:val="center"/>
              <w:rPr>
                <w:rFonts w:ascii="Arial Narrow" w:hAnsi="Arial Narrow" w:cs="Arial"/>
                <w:i/>
                <w:sz w:val="24"/>
                <w:szCs w:val="24"/>
              </w:rPr>
            </w:pPr>
            <w:r w:rsidRPr="005302BF">
              <w:rPr>
                <w:rFonts w:ascii="Arial Narrow" w:hAnsi="Arial Narrow" w:cs="Arial"/>
                <w:i/>
                <w:sz w:val="24"/>
                <w:szCs w:val="24"/>
              </w:rPr>
              <w:t>W Christiaans</w:t>
            </w:r>
          </w:p>
          <w:p w:rsidR="00EA75FD" w:rsidRPr="005302BF" w:rsidRDefault="00EA75FD" w:rsidP="005302BF">
            <w:pPr>
              <w:spacing w:after="0" w:line="360" w:lineRule="auto"/>
              <w:jc w:val="center"/>
              <w:rPr>
                <w:rFonts w:ascii="Arial Narrow" w:hAnsi="Arial Narrow" w:cs="Arial"/>
                <w:i/>
                <w:sz w:val="24"/>
                <w:szCs w:val="24"/>
              </w:rPr>
            </w:pPr>
            <w:r w:rsidRPr="005302BF">
              <w:rPr>
                <w:rFonts w:ascii="Arial Narrow" w:hAnsi="Arial Narrow" w:cs="Arial"/>
                <w:i/>
                <w:sz w:val="24"/>
                <w:szCs w:val="24"/>
              </w:rPr>
              <w:t>of</w:t>
            </w:r>
          </w:p>
          <w:p w:rsidR="00EA75FD" w:rsidRPr="005302BF" w:rsidRDefault="00EA75FD" w:rsidP="005302BF">
            <w:pPr>
              <w:spacing w:after="0" w:line="360" w:lineRule="auto"/>
              <w:jc w:val="center"/>
              <w:rPr>
                <w:rFonts w:ascii="Arial Narrow" w:hAnsi="Arial Narrow" w:cs="Arial"/>
                <w:i/>
                <w:sz w:val="24"/>
                <w:szCs w:val="24"/>
              </w:rPr>
            </w:pPr>
            <w:r w:rsidRPr="005302BF">
              <w:rPr>
                <w:rFonts w:ascii="Arial Narrow" w:hAnsi="Arial Narrow" w:cs="Arial"/>
                <w:i/>
                <w:sz w:val="24"/>
                <w:szCs w:val="24"/>
              </w:rPr>
              <w:t>WT Christians Legal Practitioners</w:t>
            </w:r>
          </w:p>
          <w:p w:rsidR="00EA75FD" w:rsidRPr="005302BF" w:rsidRDefault="00EA75FD" w:rsidP="005302BF">
            <w:pPr>
              <w:spacing w:after="0" w:line="360" w:lineRule="auto"/>
              <w:jc w:val="center"/>
              <w:rPr>
                <w:rFonts w:ascii="Arial Narrow" w:hAnsi="Arial Narrow" w:cs="Arial"/>
                <w:i/>
                <w:sz w:val="24"/>
                <w:szCs w:val="24"/>
              </w:rPr>
            </w:pPr>
            <w:r w:rsidRPr="005302BF">
              <w:rPr>
                <w:rFonts w:ascii="Arial Narrow" w:hAnsi="Arial Narrow" w:cs="Arial"/>
                <w:i/>
                <w:sz w:val="24"/>
                <w:szCs w:val="24"/>
              </w:rPr>
              <w:t>Rehoboth</w:t>
            </w:r>
          </w:p>
        </w:tc>
      </w:tr>
    </w:tbl>
    <w:p w:rsidR="00627FDD" w:rsidRPr="005302BF" w:rsidRDefault="005A50FB"/>
    <w:sectPr w:rsidR="00627FDD" w:rsidRPr="005302BF" w:rsidSect="003D0BA1">
      <w:headerReference w:type="default" r:id="rId12"/>
      <w:footerReference w:type="default" r:id="rId13"/>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FB" w:rsidRDefault="005A50FB">
      <w:pPr>
        <w:spacing w:after="0" w:line="240" w:lineRule="auto"/>
      </w:pPr>
      <w:r>
        <w:separator/>
      </w:r>
    </w:p>
  </w:endnote>
  <w:endnote w:type="continuationSeparator" w:id="0">
    <w:p w:rsidR="005A50FB" w:rsidRDefault="005A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5A50FB">
    <w:pPr>
      <w:pStyle w:val="Footer"/>
      <w:jc w:val="right"/>
    </w:pPr>
  </w:p>
  <w:p w:rsidR="00536B8D" w:rsidRDefault="005A50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FB" w:rsidRDefault="005A50FB">
      <w:pPr>
        <w:spacing w:after="0" w:line="240" w:lineRule="auto"/>
      </w:pPr>
      <w:r>
        <w:separator/>
      </w:r>
    </w:p>
  </w:footnote>
  <w:footnote w:type="continuationSeparator" w:id="0">
    <w:p w:rsidR="005A50FB" w:rsidRDefault="005A50FB">
      <w:pPr>
        <w:spacing w:after="0" w:line="240" w:lineRule="auto"/>
      </w:pPr>
      <w:r>
        <w:continuationSeparator/>
      </w:r>
    </w:p>
  </w:footnote>
  <w:footnote w:id="1">
    <w:p w:rsidR="00EA74E9" w:rsidRPr="00930D2A" w:rsidRDefault="00EA74E9">
      <w:pPr>
        <w:pStyle w:val="FootnoteText"/>
        <w:rPr>
          <w:rFonts w:ascii="Arial Narrow" w:hAnsi="Arial Narrow"/>
        </w:rPr>
      </w:pPr>
      <w:r w:rsidRPr="00930D2A">
        <w:rPr>
          <w:rStyle w:val="FootnoteReference"/>
          <w:rFonts w:ascii="Arial Narrow" w:hAnsi="Arial Narrow"/>
        </w:rPr>
        <w:footnoteRef/>
      </w:r>
      <w:r w:rsidRPr="00930D2A">
        <w:rPr>
          <w:rFonts w:ascii="Arial Narrow" w:hAnsi="Arial Narrow"/>
        </w:rPr>
        <w:t xml:space="preserve"> </w:t>
      </w:r>
      <w:r w:rsidR="005C0116" w:rsidRPr="005C0116">
        <w:rPr>
          <w:rFonts w:ascii="Arial Narrow" w:hAnsi="Arial Narrow"/>
          <w:i/>
          <w:lang w:val="en-US"/>
        </w:rPr>
        <w:t>Nghiimbwasha and Another v Minister of Justice and Others</w:t>
      </w:r>
      <w:r w:rsidR="005C0116" w:rsidRPr="005C0116">
        <w:rPr>
          <w:rFonts w:ascii="Arial Narrow" w:hAnsi="Arial Narrow"/>
        </w:rPr>
        <w:t xml:space="preserve"> </w:t>
      </w:r>
      <w:r w:rsidRPr="00930D2A">
        <w:rPr>
          <w:rFonts w:ascii="Arial Narrow" w:hAnsi="Arial Narrow"/>
        </w:rPr>
        <w:t>[2015] NAHCMD 67 (A 38/2015; 20 March 2015).</w:t>
      </w:r>
    </w:p>
  </w:footnote>
  <w:footnote w:id="2">
    <w:p w:rsidR="0014008F" w:rsidRPr="003066A6" w:rsidRDefault="0014008F">
      <w:pPr>
        <w:pStyle w:val="FootnoteText"/>
        <w:rPr>
          <w:rFonts w:ascii="Arial Narrow" w:hAnsi="Arial Narrow"/>
          <w:lang w:val="en-US"/>
        </w:rPr>
      </w:pPr>
      <w:r w:rsidRPr="003066A6">
        <w:rPr>
          <w:rStyle w:val="FootnoteReference"/>
          <w:rFonts w:ascii="Arial Narrow" w:hAnsi="Arial Narrow"/>
        </w:rPr>
        <w:footnoteRef/>
      </w:r>
      <w:r w:rsidRPr="003066A6">
        <w:rPr>
          <w:rFonts w:ascii="Arial Narrow" w:hAnsi="Arial Narrow"/>
        </w:rPr>
        <w:t xml:space="preserve"> </w:t>
      </w:r>
      <w:r w:rsidR="005C0116" w:rsidRPr="005C0116">
        <w:rPr>
          <w:rFonts w:ascii="Arial Narrow" w:hAnsi="Arial Narrow"/>
          <w:lang w:val="en-US"/>
        </w:rPr>
        <w:t xml:space="preserve">Child Care and Protection Act </w:t>
      </w:r>
      <w:r w:rsidR="003066A6" w:rsidRPr="003066A6">
        <w:rPr>
          <w:rFonts w:ascii="Arial Narrow" w:hAnsi="Arial Narrow"/>
          <w:lang w:val="en-US"/>
        </w:rPr>
        <w:t>3 of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7E39A5">
        <w:pPr>
          <w:pStyle w:val="Header"/>
          <w:jc w:val="right"/>
        </w:pPr>
        <w:r>
          <w:fldChar w:fldCharType="begin"/>
        </w:r>
        <w:r>
          <w:instrText xml:space="preserve"> PAGE   \* MERGEFORMAT </w:instrText>
        </w:r>
        <w:r>
          <w:fldChar w:fldCharType="separate"/>
        </w:r>
        <w:r w:rsidR="00B4584C">
          <w:rPr>
            <w:noProof/>
          </w:rPr>
          <w:t>5</w:t>
        </w:r>
        <w:r>
          <w:rPr>
            <w:noProof/>
          </w:rPr>
          <w:fldChar w:fldCharType="end"/>
        </w:r>
      </w:p>
    </w:sdtContent>
  </w:sdt>
  <w:p w:rsidR="00536B8D" w:rsidRDefault="005A5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E0746"/>
    <w:multiLevelType w:val="hybridMultilevel"/>
    <w:tmpl w:val="CB5A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608FF"/>
    <w:multiLevelType w:val="hybridMultilevel"/>
    <w:tmpl w:val="CB5A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44E91"/>
    <w:multiLevelType w:val="hybridMultilevel"/>
    <w:tmpl w:val="CB5A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21555"/>
    <w:rsid w:val="000A41F3"/>
    <w:rsid w:val="000D4AF7"/>
    <w:rsid w:val="00121C2B"/>
    <w:rsid w:val="0013534D"/>
    <w:rsid w:val="0014008F"/>
    <w:rsid w:val="00145F7E"/>
    <w:rsid w:val="00164F37"/>
    <w:rsid w:val="00182236"/>
    <w:rsid w:val="00190BB3"/>
    <w:rsid w:val="00195714"/>
    <w:rsid w:val="001D0ED9"/>
    <w:rsid w:val="00240D15"/>
    <w:rsid w:val="00252336"/>
    <w:rsid w:val="002547EE"/>
    <w:rsid w:val="00264D2C"/>
    <w:rsid w:val="00294086"/>
    <w:rsid w:val="002C32C0"/>
    <w:rsid w:val="002E76C8"/>
    <w:rsid w:val="002F09A8"/>
    <w:rsid w:val="003066A6"/>
    <w:rsid w:val="003120A0"/>
    <w:rsid w:val="00354864"/>
    <w:rsid w:val="00354C80"/>
    <w:rsid w:val="003648F1"/>
    <w:rsid w:val="003A68CB"/>
    <w:rsid w:val="003C683D"/>
    <w:rsid w:val="003D0BA1"/>
    <w:rsid w:val="00423B35"/>
    <w:rsid w:val="00447EAE"/>
    <w:rsid w:val="00454135"/>
    <w:rsid w:val="00461EA5"/>
    <w:rsid w:val="00476C95"/>
    <w:rsid w:val="00495AA9"/>
    <w:rsid w:val="004B35D6"/>
    <w:rsid w:val="00507A0B"/>
    <w:rsid w:val="005302BF"/>
    <w:rsid w:val="005330BF"/>
    <w:rsid w:val="0054152C"/>
    <w:rsid w:val="00545FC4"/>
    <w:rsid w:val="00572A3E"/>
    <w:rsid w:val="005816B0"/>
    <w:rsid w:val="0059621D"/>
    <w:rsid w:val="005A50FB"/>
    <w:rsid w:val="005B5600"/>
    <w:rsid w:val="005C0116"/>
    <w:rsid w:val="005F4F3A"/>
    <w:rsid w:val="00683345"/>
    <w:rsid w:val="006B7A53"/>
    <w:rsid w:val="006F25CF"/>
    <w:rsid w:val="006F4541"/>
    <w:rsid w:val="00711E2F"/>
    <w:rsid w:val="00726794"/>
    <w:rsid w:val="00733708"/>
    <w:rsid w:val="00754D72"/>
    <w:rsid w:val="007843B8"/>
    <w:rsid w:val="007B0F64"/>
    <w:rsid w:val="007E39A5"/>
    <w:rsid w:val="0084585F"/>
    <w:rsid w:val="008834B5"/>
    <w:rsid w:val="008A674A"/>
    <w:rsid w:val="008A7EF2"/>
    <w:rsid w:val="008B0F26"/>
    <w:rsid w:val="008B3556"/>
    <w:rsid w:val="008F084B"/>
    <w:rsid w:val="00911788"/>
    <w:rsid w:val="00930D2A"/>
    <w:rsid w:val="00934264"/>
    <w:rsid w:val="00950676"/>
    <w:rsid w:val="00950A33"/>
    <w:rsid w:val="009F2546"/>
    <w:rsid w:val="009F3BC1"/>
    <w:rsid w:val="00A16447"/>
    <w:rsid w:val="00A41781"/>
    <w:rsid w:val="00AA11C6"/>
    <w:rsid w:val="00AE69ED"/>
    <w:rsid w:val="00AE79A4"/>
    <w:rsid w:val="00B21E34"/>
    <w:rsid w:val="00B34812"/>
    <w:rsid w:val="00B4584C"/>
    <w:rsid w:val="00B707AE"/>
    <w:rsid w:val="00BC1350"/>
    <w:rsid w:val="00BE0BB7"/>
    <w:rsid w:val="00BF569E"/>
    <w:rsid w:val="00C216E9"/>
    <w:rsid w:val="00C53D8E"/>
    <w:rsid w:val="00C55690"/>
    <w:rsid w:val="00CC59C6"/>
    <w:rsid w:val="00CE2F12"/>
    <w:rsid w:val="00D63A67"/>
    <w:rsid w:val="00D64194"/>
    <w:rsid w:val="00D92FF3"/>
    <w:rsid w:val="00DC0ED4"/>
    <w:rsid w:val="00DC6EEA"/>
    <w:rsid w:val="00DD3A99"/>
    <w:rsid w:val="00DE58D5"/>
    <w:rsid w:val="00E00198"/>
    <w:rsid w:val="00E00AB4"/>
    <w:rsid w:val="00E01384"/>
    <w:rsid w:val="00E17A14"/>
    <w:rsid w:val="00E93A13"/>
    <w:rsid w:val="00EA74E9"/>
    <w:rsid w:val="00EA75FD"/>
    <w:rsid w:val="00EB7DE1"/>
    <w:rsid w:val="00ED701F"/>
    <w:rsid w:val="00EF1CCD"/>
    <w:rsid w:val="00F50909"/>
    <w:rsid w:val="00FB09C0"/>
    <w:rsid w:val="00FB1202"/>
    <w:rsid w:val="00FD6965"/>
    <w:rsid w:val="00FE1A16"/>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BAB35-5387-4C62-AF5D-01573CC1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character" w:styleId="Hyperlink">
    <w:name w:val="Hyperlink"/>
    <w:basedOn w:val="DefaultParagraphFont"/>
    <w:uiPriority w:val="99"/>
    <w:unhideWhenUsed/>
    <w:rsid w:val="00CE2F12"/>
    <w:rPr>
      <w:color w:val="0000FF" w:themeColor="hyperlink"/>
      <w:u w:val="single"/>
    </w:rPr>
  </w:style>
  <w:style w:type="paragraph" w:styleId="FootnoteText">
    <w:name w:val="footnote text"/>
    <w:basedOn w:val="Normal"/>
    <w:link w:val="FootnoteTextChar"/>
    <w:uiPriority w:val="99"/>
    <w:semiHidden/>
    <w:unhideWhenUsed/>
    <w:rsid w:val="00EA7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4E9"/>
    <w:rPr>
      <w:sz w:val="20"/>
      <w:szCs w:val="20"/>
      <w:lang w:val="en-ZA"/>
    </w:rPr>
  </w:style>
  <w:style w:type="character" w:styleId="FootnoteReference">
    <w:name w:val="footnote reference"/>
    <w:basedOn w:val="DefaultParagraphFont"/>
    <w:uiPriority w:val="99"/>
    <w:semiHidden/>
    <w:unhideWhenUsed/>
    <w:rsid w:val="00EA74E9"/>
    <w:rPr>
      <w:vertAlign w:val="superscript"/>
    </w:rPr>
  </w:style>
  <w:style w:type="paragraph" w:styleId="ListParagraph">
    <w:name w:val="List Paragraph"/>
    <w:basedOn w:val="Normal"/>
    <w:uiPriority w:val="34"/>
    <w:qFormat/>
    <w:rsid w:val="0030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2021-01-28T18:30:00+00:00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F2B8-209B-4423-BE08-55365B9E2063}">
  <ds:schemaRefs>
    <ds:schemaRef ds:uri="http://schemas.microsoft.com/sharepoint/v3/contenttype/forms"/>
  </ds:schemaRefs>
</ds:datastoreItem>
</file>

<file path=customXml/itemProps2.xml><?xml version="1.0" encoding="utf-8"?>
<ds:datastoreItem xmlns:ds="http://schemas.openxmlformats.org/officeDocument/2006/customXml" ds:itemID="{87C697CD-9B52-4C06-A819-0D337298A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235EA-BEBF-41B3-A01C-CA5FCF325FA7}">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A5D520DE-DA63-4577-869D-D39BAF36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HOME</cp:lastModifiedBy>
  <cp:revision>2</cp:revision>
  <cp:lastPrinted>2020-08-29T14:43:00Z</cp:lastPrinted>
  <dcterms:created xsi:type="dcterms:W3CDTF">2021-07-09T13:27:00Z</dcterms:created>
  <dcterms:modified xsi:type="dcterms:W3CDTF">2021-07-09T13:27:00Z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