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07095" w:rsidRPr="00D07095" w:rsidRDefault="00D07095" w:rsidP="003C75E8">
      <w:pPr>
        <w:tabs>
          <w:tab w:val="center" w:pos="4513"/>
          <w:tab w:val="right" w:pos="9027"/>
        </w:tabs>
        <w:spacing w:after="0" w:line="360" w:lineRule="auto"/>
        <w:jc w:val="center"/>
        <w:rPr>
          <w:rFonts w:ascii="Arial" w:hAnsi="Arial" w:cs="Arial"/>
          <w:b/>
          <w:sz w:val="24"/>
          <w:szCs w:val="24"/>
          <w:lang w:val="en-US"/>
        </w:rPr>
      </w:pPr>
      <w:r w:rsidRPr="00D07095">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4859943E" wp14:editId="2F98F22E">
                <wp:simplePos x="0" y="0"/>
                <wp:positionH relativeFrom="column">
                  <wp:posOffset>4552950</wp:posOffset>
                </wp:positionH>
                <wp:positionV relativeFrom="paragraph">
                  <wp:posOffset>-57150</wp:posOffset>
                </wp:positionV>
                <wp:extent cx="15621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D86560" w:rsidRPr="005713BA" w:rsidRDefault="00D86560" w:rsidP="00D070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943E"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D86560" w:rsidRPr="005713BA" w:rsidRDefault="00D86560" w:rsidP="00D07095">
                      <w:pPr>
                        <w:jc w:val="center"/>
                      </w:pPr>
                    </w:p>
                  </w:txbxContent>
                </v:textbox>
              </v:shape>
            </w:pict>
          </mc:Fallback>
        </mc:AlternateContent>
      </w:r>
      <w:r w:rsidRPr="00D07095">
        <w:rPr>
          <w:rFonts w:ascii="Arial" w:hAnsi="Arial" w:cs="Arial"/>
          <w:b/>
          <w:sz w:val="24"/>
          <w:szCs w:val="24"/>
          <w:lang w:val="en-US"/>
        </w:rPr>
        <w:t>REPUBLIC OF NAMIBIA</w:t>
      </w:r>
    </w:p>
    <w:p w:rsidR="00D07095" w:rsidRPr="00D07095" w:rsidRDefault="00D07095" w:rsidP="003C75E8">
      <w:pPr>
        <w:spacing w:after="0" w:line="360" w:lineRule="auto"/>
        <w:jc w:val="center"/>
        <w:rPr>
          <w:rFonts w:ascii="Arial" w:hAnsi="Arial" w:cs="Arial"/>
          <w:b/>
          <w:sz w:val="32"/>
          <w:szCs w:val="32"/>
          <w:lang w:val="en-US"/>
        </w:rPr>
      </w:pPr>
      <w:r w:rsidRPr="00D07095">
        <w:rPr>
          <w:rFonts w:ascii="Arial" w:hAnsi="Arial" w:cs="Arial"/>
          <w:b/>
          <w:noProof/>
          <w:sz w:val="32"/>
          <w:szCs w:val="32"/>
          <w:lang w:eastAsia="en-ZA"/>
        </w:rPr>
        <w:drawing>
          <wp:inline distT="0" distB="0" distL="0" distR="0" wp14:anchorId="198F9885" wp14:editId="34DAD692">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D07095" w:rsidRPr="00D07095" w:rsidRDefault="00D07095" w:rsidP="003C75E8">
      <w:pPr>
        <w:spacing w:after="0" w:line="360" w:lineRule="auto"/>
        <w:jc w:val="center"/>
        <w:rPr>
          <w:rFonts w:ascii="Arial" w:hAnsi="Arial" w:cs="Arial"/>
          <w:b/>
          <w:sz w:val="24"/>
          <w:szCs w:val="24"/>
          <w:lang w:val="en-US"/>
        </w:rPr>
      </w:pPr>
      <w:r w:rsidRPr="00D07095">
        <w:rPr>
          <w:rFonts w:ascii="Arial" w:hAnsi="Arial" w:cs="Arial"/>
          <w:b/>
          <w:sz w:val="24"/>
          <w:szCs w:val="24"/>
          <w:lang w:val="en-US"/>
        </w:rPr>
        <w:t>HIGH COURT OF NAMIBIA MAIN DIVISION, WINDHOEK</w:t>
      </w:r>
    </w:p>
    <w:p w:rsidR="00D07095" w:rsidRPr="00D07095" w:rsidRDefault="003F44E2" w:rsidP="003C75E8">
      <w:pPr>
        <w:spacing w:after="0" w:line="360" w:lineRule="auto"/>
        <w:jc w:val="center"/>
        <w:rPr>
          <w:rFonts w:ascii="Arial" w:hAnsi="Arial" w:cs="Arial"/>
          <w:bCs/>
          <w:sz w:val="24"/>
          <w:szCs w:val="24"/>
          <w:lang w:val="en-US"/>
        </w:rPr>
      </w:pPr>
      <w:r>
        <w:rPr>
          <w:rFonts w:ascii="Arial" w:hAnsi="Arial" w:cs="Arial"/>
          <w:b/>
          <w:sz w:val="24"/>
          <w:szCs w:val="24"/>
          <w:lang w:val="en-US"/>
        </w:rPr>
        <w:t>JUDGMENT</w:t>
      </w:r>
    </w:p>
    <w:p w:rsidR="00D07095" w:rsidRPr="00D07095" w:rsidRDefault="00D07095" w:rsidP="003C75E8">
      <w:pPr>
        <w:spacing w:after="0" w:line="360" w:lineRule="auto"/>
        <w:jc w:val="both"/>
        <w:rPr>
          <w:rFonts w:ascii="Arial" w:hAnsi="Arial" w:cs="Arial"/>
          <w:b/>
          <w:sz w:val="24"/>
          <w:szCs w:val="24"/>
          <w:lang w:val="en-US"/>
        </w:rPr>
      </w:pPr>
    </w:p>
    <w:p w:rsidR="00D07095" w:rsidRPr="00D07095" w:rsidRDefault="00D07095" w:rsidP="003C75E8">
      <w:pPr>
        <w:tabs>
          <w:tab w:val="right" w:pos="9000"/>
        </w:tabs>
        <w:spacing w:after="0" w:line="360" w:lineRule="auto"/>
        <w:jc w:val="right"/>
        <w:rPr>
          <w:rFonts w:ascii="Arial" w:hAnsi="Arial" w:cs="Arial"/>
          <w:sz w:val="24"/>
          <w:szCs w:val="24"/>
          <w:lang w:val="en-US"/>
        </w:rPr>
      </w:pPr>
      <w:r w:rsidRPr="00D07095">
        <w:rPr>
          <w:rFonts w:ascii="Arial" w:hAnsi="Arial" w:cs="Arial"/>
          <w:sz w:val="24"/>
          <w:szCs w:val="24"/>
          <w:lang w:val="en-US"/>
        </w:rPr>
        <w:t>CASE N</w:t>
      </w:r>
      <w:r w:rsidR="0094340E">
        <w:rPr>
          <w:rFonts w:ascii="Arial" w:hAnsi="Arial" w:cs="Arial"/>
          <w:sz w:val="24"/>
          <w:szCs w:val="24"/>
          <w:lang w:val="en-US"/>
        </w:rPr>
        <w:t>O:  HC-MD-CIV-ACT-CON-201</w:t>
      </w:r>
      <w:r w:rsidR="00D4009D">
        <w:rPr>
          <w:rFonts w:ascii="Arial" w:hAnsi="Arial" w:cs="Arial"/>
          <w:sz w:val="24"/>
          <w:szCs w:val="24"/>
          <w:lang w:val="en-US"/>
        </w:rPr>
        <w:t>8</w:t>
      </w:r>
      <w:r w:rsidR="0094340E">
        <w:rPr>
          <w:rFonts w:ascii="Arial" w:hAnsi="Arial" w:cs="Arial"/>
          <w:sz w:val="24"/>
          <w:szCs w:val="24"/>
          <w:lang w:val="en-US"/>
        </w:rPr>
        <w:t>/02486</w:t>
      </w:r>
    </w:p>
    <w:p w:rsidR="00D07095" w:rsidRPr="00D07095" w:rsidRDefault="00D07095" w:rsidP="003C75E8">
      <w:pPr>
        <w:spacing w:after="0" w:line="360" w:lineRule="auto"/>
        <w:jc w:val="both"/>
        <w:rPr>
          <w:rFonts w:ascii="Arial" w:hAnsi="Arial" w:cs="Arial"/>
          <w:sz w:val="24"/>
          <w:szCs w:val="24"/>
          <w:lang w:val="en-US"/>
        </w:rPr>
      </w:pPr>
    </w:p>
    <w:p w:rsidR="00D07095" w:rsidRPr="00D07095" w:rsidRDefault="00D07095" w:rsidP="003C75E8">
      <w:pPr>
        <w:spacing w:after="0" w:line="360" w:lineRule="auto"/>
        <w:jc w:val="both"/>
        <w:rPr>
          <w:rFonts w:ascii="Arial" w:hAnsi="Arial" w:cs="Arial"/>
          <w:sz w:val="24"/>
          <w:szCs w:val="24"/>
          <w:lang w:val="en-US"/>
        </w:rPr>
      </w:pPr>
      <w:r w:rsidRPr="00D07095">
        <w:rPr>
          <w:rFonts w:ascii="Arial" w:hAnsi="Arial" w:cs="Arial"/>
          <w:sz w:val="24"/>
          <w:szCs w:val="24"/>
          <w:lang w:val="en-US"/>
        </w:rPr>
        <w:t>In the matter between:</w:t>
      </w:r>
    </w:p>
    <w:p w:rsidR="00D07095" w:rsidRPr="00D07095" w:rsidRDefault="00D07095" w:rsidP="003C75E8">
      <w:pPr>
        <w:keepNext/>
        <w:keepLines/>
        <w:tabs>
          <w:tab w:val="left" w:pos="6045"/>
          <w:tab w:val="right" w:pos="9000"/>
        </w:tabs>
        <w:spacing w:after="0" w:line="360" w:lineRule="auto"/>
        <w:jc w:val="both"/>
        <w:outlineLvl w:val="3"/>
        <w:rPr>
          <w:rFonts w:ascii="Arial" w:eastAsiaTheme="majorEastAsia" w:hAnsi="Arial" w:cs="Arial"/>
          <w:bCs/>
          <w:i/>
          <w:iCs/>
          <w:color w:val="5B9BD5" w:themeColor="accent1"/>
          <w:sz w:val="24"/>
          <w:lang w:eastAsia="en-ZA"/>
        </w:rPr>
      </w:pPr>
    </w:p>
    <w:p w:rsidR="00D07095" w:rsidRPr="008F058E" w:rsidRDefault="0094340E" w:rsidP="003C75E8">
      <w:pPr>
        <w:tabs>
          <w:tab w:val="left" w:pos="8100"/>
        </w:tabs>
        <w:spacing w:after="0" w:line="360" w:lineRule="auto"/>
        <w:ind w:right="26"/>
        <w:jc w:val="both"/>
        <w:rPr>
          <w:rFonts w:ascii="Arial" w:hAnsi="Arial" w:cs="Arial"/>
          <w:b/>
          <w:sz w:val="24"/>
          <w:szCs w:val="24"/>
          <w:lang w:val="en-GB"/>
        </w:rPr>
      </w:pPr>
      <w:r>
        <w:rPr>
          <w:rFonts w:ascii="Arial" w:hAnsi="Arial" w:cs="Arial"/>
          <w:b/>
          <w:sz w:val="24"/>
          <w:szCs w:val="24"/>
        </w:rPr>
        <w:t>NEW CREATIONS PRINTING AND DESIG</w:t>
      </w:r>
      <w:r w:rsidR="007647E8">
        <w:rPr>
          <w:rFonts w:ascii="Arial" w:hAnsi="Arial" w:cs="Arial"/>
          <w:b/>
          <w:sz w:val="24"/>
          <w:szCs w:val="24"/>
        </w:rPr>
        <w:t>N</w:t>
      </w:r>
      <w:r>
        <w:rPr>
          <w:rFonts w:ascii="Arial" w:hAnsi="Arial" w:cs="Arial"/>
          <w:b/>
          <w:sz w:val="24"/>
          <w:szCs w:val="24"/>
        </w:rPr>
        <w:t xml:space="preserve"> CC</w:t>
      </w:r>
      <w:r w:rsidR="00D07095" w:rsidRPr="00D07095">
        <w:rPr>
          <w:rFonts w:ascii="Arial" w:hAnsi="Arial" w:cs="Arial"/>
          <w:b/>
          <w:sz w:val="24"/>
          <w:szCs w:val="24"/>
          <w:lang w:val="en-GB"/>
        </w:rPr>
        <w:tab/>
      </w:r>
      <w:r w:rsidRPr="00D07095">
        <w:rPr>
          <w:rFonts w:ascii="Arial" w:hAnsi="Arial" w:cs="Arial"/>
          <w:b/>
          <w:sz w:val="24"/>
          <w:szCs w:val="24"/>
          <w:lang w:val="en-GB"/>
        </w:rPr>
        <w:t>PLAINTIFF</w:t>
      </w:r>
      <w:r w:rsidR="00D07095" w:rsidRPr="00D07095">
        <w:rPr>
          <w:rFonts w:ascii="Arial" w:hAnsi="Arial" w:cs="Arial"/>
          <w:b/>
          <w:sz w:val="24"/>
          <w:szCs w:val="24"/>
          <w:lang w:val="en-GB"/>
        </w:rPr>
        <w:t xml:space="preserve"> </w:t>
      </w:r>
    </w:p>
    <w:p w:rsidR="000A78FC" w:rsidRDefault="000A78FC" w:rsidP="003C75E8">
      <w:pPr>
        <w:spacing w:after="0" w:line="360" w:lineRule="auto"/>
        <w:jc w:val="both"/>
        <w:rPr>
          <w:rFonts w:ascii="Arial" w:hAnsi="Arial" w:cs="Arial"/>
          <w:sz w:val="24"/>
          <w:szCs w:val="24"/>
          <w:lang w:val="en-US"/>
        </w:rPr>
      </w:pPr>
    </w:p>
    <w:p w:rsidR="00D07095" w:rsidRPr="00D07095" w:rsidRDefault="00D07095" w:rsidP="003C75E8">
      <w:pPr>
        <w:spacing w:after="0" w:line="360" w:lineRule="auto"/>
        <w:jc w:val="both"/>
        <w:rPr>
          <w:rFonts w:ascii="Arial" w:hAnsi="Arial" w:cs="Arial"/>
          <w:sz w:val="24"/>
          <w:szCs w:val="24"/>
          <w:lang w:val="en-US"/>
        </w:rPr>
      </w:pPr>
      <w:r w:rsidRPr="00D07095">
        <w:rPr>
          <w:rFonts w:ascii="Arial" w:hAnsi="Arial" w:cs="Arial"/>
          <w:sz w:val="24"/>
          <w:szCs w:val="24"/>
          <w:lang w:val="en-US"/>
        </w:rPr>
        <w:t>and</w:t>
      </w:r>
    </w:p>
    <w:p w:rsidR="00D07095" w:rsidRPr="00D07095" w:rsidRDefault="00D07095" w:rsidP="003C75E8">
      <w:pPr>
        <w:spacing w:after="0" w:line="360" w:lineRule="auto"/>
        <w:jc w:val="both"/>
        <w:rPr>
          <w:rFonts w:ascii="Arial" w:hAnsi="Arial" w:cs="Arial"/>
          <w:sz w:val="24"/>
          <w:szCs w:val="24"/>
          <w:lang w:val="en-US"/>
        </w:rPr>
      </w:pPr>
    </w:p>
    <w:p w:rsidR="0094340E" w:rsidRDefault="0094340E" w:rsidP="003C75E8">
      <w:pPr>
        <w:tabs>
          <w:tab w:val="left" w:pos="7650"/>
        </w:tabs>
        <w:spacing w:after="0" w:line="360" w:lineRule="auto"/>
        <w:jc w:val="both"/>
        <w:rPr>
          <w:rFonts w:ascii="Arial" w:hAnsi="Arial" w:cs="Arial"/>
          <w:b/>
          <w:sz w:val="24"/>
          <w:szCs w:val="24"/>
        </w:rPr>
      </w:pPr>
      <w:r>
        <w:rPr>
          <w:rFonts w:ascii="Arial" w:hAnsi="Arial" w:cs="Arial"/>
          <w:b/>
          <w:sz w:val="24"/>
          <w:szCs w:val="24"/>
        </w:rPr>
        <w:t>QUANTA INSURANCE</w:t>
      </w:r>
      <w:r w:rsidR="00103180">
        <w:rPr>
          <w:rFonts w:ascii="Arial" w:hAnsi="Arial" w:cs="Arial"/>
          <w:b/>
          <w:sz w:val="24"/>
          <w:szCs w:val="24"/>
        </w:rPr>
        <w:t xml:space="preserve"> LIMITED</w:t>
      </w:r>
      <w:r w:rsidR="00103180">
        <w:rPr>
          <w:rFonts w:ascii="Arial" w:hAnsi="Arial" w:cs="Arial"/>
          <w:b/>
          <w:sz w:val="24"/>
          <w:szCs w:val="24"/>
        </w:rPr>
        <w:tab/>
      </w:r>
      <w:r w:rsidR="007647E8">
        <w:rPr>
          <w:rFonts w:ascii="Arial" w:hAnsi="Arial" w:cs="Arial"/>
          <w:b/>
          <w:sz w:val="24"/>
          <w:szCs w:val="24"/>
        </w:rPr>
        <w:t xml:space="preserve">   DEFENDANT</w:t>
      </w:r>
    </w:p>
    <w:p w:rsidR="00D07095" w:rsidRPr="00D07095" w:rsidRDefault="00D07095" w:rsidP="003C75E8">
      <w:pPr>
        <w:spacing w:after="0" w:line="360" w:lineRule="auto"/>
        <w:jc w:val="both"/>
        <w:rPr>
          <w:rFonts w:ascii="Arial" w:hAnsi="Arial" w:cs="Arial"/>
          <w:sz w:val="24"/>
          <w:szCs w:val="24"/>
          <w:lang w:val="en-US"/>
        </w:rPr>
      </w:pPr>
    </w:p>
    <w:p w:rsidR="00D07095" w:rsidRPr="00D07095" w:rsidRDefault="00D07095" w:rsidP="003C75E8">
      <w:pPr>
        <w:spacing w:line="360" w:lineRule="auto"/>
        <w:jc w:val="both"/>
        <w:rPr>
          <w:rFonts w:ascii="Arial" w:hAnsi="Arial" w:cs="Arial"/>
          <w:sz w:val="24"/>
          <w:szCs w:val="24"/>
          <w:lang w:val="en-US"/>
        </w:rPr>
      </w:pPr>
      <w:r w:rsidRPr="00D07095">
        <w:rPr>
          <w:rFonts w:ascii="Arial" w:hAnsi="Arial" w:cs="Arial"/>
          <w:b/>
          <w:sz w:val="24"/>
          <w:szCs w:val="24"/>
          <w:lang w:val="en-US"/>
        </w:rPr>
        <w:t>Neutral citation:</w:t>
      </w:r>
      <w:r w:rsidRPr="00D07095">
        <w:rPr>
          <w:rFonts w:ascii="Arial" w:hAnsi="Arial" w:cs="Arial"/>
          <w:b/>
          <w:sz w:val="24"/>
          <w:szCs w:val="24"/>
          <w:lang w:val="en-US"/>
        </w:rPr>
        <w:tab/>
      </w:r>
      <w:r w:rsidR="0094340E">
        <w:rPr>
          <w:rFonts w:ascii="Arial" w:hAnsi="Arial" w:cs="Arial"/>
          <w:i/>
          <w:sz w:val="24"/>
          <w:szCs w:val="24"/>
          <w:lang w:val="en-US"/>
        </w:rPr>
        <w:t>New Creations Printing and Design CC v Quanta Insurance Lim</w:t>
      </w:r>
      <w:r w:rsidR="002C4DAC">
        <w:rPr>
          <w:rFonts w:ascii="Arial" w:hAnsi="Arial" w:cs="Arial"/>
          <w:i/>
          <w:sz w:val="24"/>
          <w:szCs w:val="24"/>
          <w:lang w:val="en-US"/>
        </w:rPr>
        <w:t>i</w:t>
      </w:r>
      <w:r w:rsidR="0094340E">
        <w:rPr>
          <w:rFonts w:ascii="Arial" w:hAnsi="Arial" w:cs="Arial"/>
          <w:i/>
          <w:sz w:val="24"/>
          <w:szCs w:val="24"/>
          <w:lang w:val="en-US"/>
        </w:rPr>
        <w:t>ted</w:t>
      </w:r>
      <w:r w:rsidRPr="00D07095">
        <w:rPr>
          <w:rFonts w:ascii="Arial" w:hAnsi="Arial" w:cs="Arial"/>
          <w:i/>
          <w:sz w:val="24"/>
          <w:szCs w:val="24"/>
          <w:lang w:val="en-US"/>
        </w:rPr>
        <w:t xml:space="preserve"> </w:t>
      </w:r>
      <w:r w:rsidR="007647E8">
        <w:rPr>
          <w:rFonts w:ascii="Arial" w:hAnsi="Arial" w:cs="Arial"/>
          <w:i/>
          <w:sz w:val="24"/>
          <w:szCs w:val="24"/>
          <w:lang w:val="en-US"/>
        </w:rPr>
        <w:t>(</w:t>
      </w:r>
      <w:r w:rsidR="0094340E">
        <w:rPr>
          <w:rFonts w:ascii="Arial" w:hAnsi="Arial" w:cs="Arial"/>
          <w:sz w:val="24"/>
          <w:szCs w:val="24"/>
          <w:lang w:val="en-US"/>
        </w:rPr>
        <w:t>HC-MD-CIV-ACT-CON</w:t>
      </w:r>
      <w:r w:rsidR="007647E8">
        <w:rPr>
          <w:rFonts w:ascii="Arial" w:hAnsi="Arial" w:cs="Arial"/>
          <w:sz w:val="24"/>
          <w:szCs w:val="24"/>
          <w:lang w:val="en-US"/>
        </w:rPr>
        <w:t>-201</w:t>
      </w:r>
      <w:r w:rsidR="00D4009D">
        <w:rPr>
          <w:rFonts w:ascii="Arial" w:hAnsi="Arial" w:cs="Arial"/>
          <w:sz w:val="24"/>
          <w:szCs w:val="24"/>
          <w:lang w:val="en-US"/>
        </w:rPr>
        <w:t>8</w:t>
      </w:r>
      <w:r w:rsidR="007647E8">
        <w:rPr>
          <w:rFonts w:ascii="Arial" w:hAnsi="Arial" w:cs="Arial"/>
          <w:sz w:val="24"/>
          <w:szCs w:val="24"/>
          <w:lang w:val="en-US"/>
        </w:rPr>
        <w:t>/02486)</w:t>
      </w:r>
      <w:r w:rsidR="0094340E">
        <w:rPr>
          <w:rFonts w:ascii="Arial" w:hAnsi="Arial" w:cs="Arial"/>
          <w:sz w:val="24"/>
          <w:szCs w:val="24"/>
          <w:lang w:val="en-US"/>
        </w:rPr>
        <w:t xml:space="preserve"> [2020] </w:t>
      </w:r>
      <w:r w:rsidRPr="00D07095">
        <w:rPr>
          <w:rFonts w:ascii="Arial" w:hAnsi="Arial" w:cs="Arial"/>
          <w:sz w:val="24"/>
          <w:szCs w:val="24"/>
          <w:lang w:val="en-US"/>
        </w:rPr>
        <w:t xml:space="preserve">NAHCMD </w:t>
      </w:r>
      <w:r w:rsidR="00E02498">
        <w:rPr>
          <w:rFonts w:ascii="Arial" w:hAnsi="Arial" w:cs="Arial"/>
          <w:sz w:val="24"/>
          <w:szCs w:val="24"/>
          <w:lang w:val="en-US"/>
        </w:rPr>
        <w:t>27</w:t>
      </w:r>
      <w:r w:rsidRPr="00D07095">
        <w:rPr>
          <w:rFonts w:ascii="Arial" w:hAnsi="Arial" w:cs="Arial"/>
          <w:sz w:val="24"/>
          <w:szCs w:val="24"/>
          <w:lang w:val="en-US"/>
        </w:rPr>
        <w:t xml:space="preserve"> (</w:t>
      </w:r>
      <w:r w:rsidR="007647E8">
        <w:rPr>
          <w:rFonts w:ascii="Arial" w:hAnsi="Arial" w:cs="Arial"/>
          <w:sz w:val="24"/>
          <w:szCs w:val="24"/>
          <w:lang w:val="en-US"/>
        </w:rPr>
        <w:t>0</w:t>
      </w:r>
      <w:r w:rsidR="005E68F1">
        <w:rPr>
          <w:rFonts w:ascii="Arial" w:hAnsi="Arial" w:cs="Arial"/>
          <w:sz w:val="24"/>
          <w:szCs w:val="24"/>
          <w:lang w:val="en-US"/>
        </w:rPr>
        <w:t>5</w:t>
      </w:r>
      <w:r w:rsidR="007647E8">
        <w:rPr>
          <w:rFonts w:ascii="Arial" w:hAnsi="Arial" w:cs="Arial"/>
          <w:sz w:val="24"/>
          <w:szCs w:val="24"/>
          <w:lang w:val="en-US"/>
        </w:rPr>
        <w:t xml:space="preserve"> February 2021</w:t>
      </w:r>
      <w:r w:rsidRPr="00D07095">
        <w:rPr>
          <w:rFonts w:ascii="Arial" w:hAnsi="Arial" w:cs="Arial"/>
          <w:sz w:val="24"/>
          <w:szCs w:val="24"/>
          <w:lang w:val="en-US"/>
        </w:rPr>
        <w:t>)</w:t>
      </w:r>
    </w:p>
    <w:p w:rsidR="00D07095" w:rsidRPr="00D07095" w:rsidRDefault="00D07095" w:rsidP="003C75E8">
      <w:pPr>
        <w:spacing w:after="0" w:line="360" w:lineRule="auto"/>
        <w:jc w:val="both"/>
        <w:rPr>
          <w:rFonts w:ascii="Arial" w:hAnsi="Arial" w:cs="Arial"/>
          <w:sz w:val="24"/>
          <w:szCs w:val="24"/>
          <w:lang w:val="en-US"/>
        </w:rPr>
      </w:pPr>
    </w:p>
    <w:p w:rsidR="00D07095" w:rsidRPr="007647E8" w:rsidRDefault="00D07095" w:rsidP="003C75E8">
      <w:pPr>
        <w:spacing w:after="0" w:line="360" w:lineRule="auto"/>
        <w:ind w:left="1440" w:hanging="1440"/>
        <w:jc w:val="both"/>
        <w:rPr>
          <w:rFonts w:ascii="Arial" w:hAnsi="Arial" w:cs="Arial"/>
          <w:b/>
          <w:sz w:val="24"/>
          <w:szCs w:val="24"/>
          <w:lang w:val="en-US"/>
        </w:rPr>
      </w:pPr>
      <w:r w:rsidRPr="00D07095">
        <w:rPr>
          <w:rFonts w:ascii="Arial" w:hAnsi="Arial" w:cs="Arial"/>
          <w:b/>
          <w:sz w:val="24"/>
          <w:szCs w:val="24"/>
          <w:lang w:val="en-US"/>
        </w:rPr>
        <w:t>Coram:</w:t>
      </w:r>
      <w:r w:rsidRPr="00D07095">
        <w:rPr>
          <w:rFonts w:ascii="Arial" w:hAnsi="Arial" w:cs="Arial"/>
          <w:sz w:val="24"/>
          <w:szCs w:val="24"/>
          <w:lang w:val="en-US"/>
        </w:rPr>
        <w:tab/>
      </w:r>
      <w:r w:rsidR="003F44E2">
        <w:rPr>
          <w:rFonts w:ascii="Arial" w:hAnsi="Arial" w:cs="Arial"/>
          <w:sz w:val="24"/>
          <w:szCs w:val="24"/>
          <w:lang w:val="en-US"/>
        </w:rPr>
        <w:tab/>
      </w:r>
      <w:r w:rsidR="0094340E" w:rsidRPr="00D15F6B">
        <w:rPr>
          <w:rFonts w:ascii="Arial" w:hAnsi="Arial" w:cs="Arial"/>
          <w:sz w:val="24"/>
          <w:szCs w:val="24"/>
          <w:lang w:val="en-US"/>
        </w:rPr>
        <w:t>UEITEL</w:t>
      </w:r>
      <w:r w:rsidR="00CD4683" w:rsidRPr="00D15F6B">
        <w:rPr>
          <w:rFonts w:ascii="Arial" w:hAnsi="Arial" w:cs="Arial"/>
          <w:sz w:val="24"/>
          <w:szCs w:val="24"/>
          <w:lang w:val="en-US"/>
        </w:rPr>
        <w:t>E</w:t>
      </w:r>
      <w:r w:rsidRPr="00D15F6B">
        <w:rPr>
          <w:rFonts w:ascii="Arial" w:hAnsi="Arial" w:cs="Arial"/>
          <w:sz w:val="24"/>
          <w:szCs w:val="24"/>
          <w:lang w:val="en-US"/>
        </w:rPr>
        <w:t xml:space="preserve"> J</w:t>
      </w:r>
    </w:p>
    <w:p w:rsidR="00D07095" w:rsidRPr="007647E8" w:rsidRDefault="00D07095" w:rsidP="003C75E8">
      <w:pPr>
        <w:spacing w:after="0" w:line="360" w:lineRule="auto"/>
        <w:jc w:val="both"/>
        <w:rPr>
          <w:rFonts w:ascii="Arial" w:hAnsi="Arial" w:cs="Arial"/>
          <w:b/>
          <w:sz w:val="24"/>
          <w:szCs w:val="24"/>
          <w:lang w:val="en-US"/>
        </w:rPr>
      </w:pPr>
      <w:r w:rsidRPr="007647E8">
        <w:rPr>
          <w:rFonts w:ascii="Arial" w:hAnsi="Arial" w:cs="Arial"/>
          <w:b/>
          <w:bCs/>
          <w:sz w:val="24"/>
          <w:szCs w:val="24"/>
          <w:lang w:val="en-US"/>
        </w:rPr>
        <w:t>Heard</w:t>
      </w:r>
      <w:r w:rsidR="0094340E" w:rsidRPr="007647E8">
        <w:rPr>
          <w:rFonts w:ascii="Arial" w:hAnsi="Arial" w:cs="Arial"/>
          <w:b/>
          <w:sz w:val="24"/>
          <w:szCs w:val="24"/>
          <w:lang w:val="en-US"/>
        </w:rPr>
        <w:t>:</w:t>
      </w:r>
      <w:r w:rsidR="0094340E" w:rsidRPr="007647E8">
        <w:rPr>
          <w:rFonts w:ascii="Arial" w:hAnsi="Arial" w:cs="Arial"/>
          <w:b/>
          <w:sz w:val="24"/>
          <w:szCs w:val="24"/>
          <w:lang w:val="en-US"/>
        </w:rPr>
        <w:tab/>
      </w:r>
      <w:r w:rsidR="003F44E2" w:rsidRPr="007647E8">
        <w:rPr>
          <w:rFonts w:ascii="Arial" w:hAnsi="Arial" w:cs="Arial"/>
          <w:b/>
          <w:sz w:val="24"/>
          <w:szCs w:val="24"/>
          <w:lang w:val="en-US"/>
        </w:rPr>
        <w:tab/>
        <w:t>30 November 2020</w:t>
      </w:r>
      <w:r w:rsidR="007647E8" w:rsidRPr="007647E8">
        <w:rPr>
          <w:rFonts w:ascii="Arial" w:hAnsi="Arial" w:cs="Arial"/>
          <w:b/>
          <w:sz w:val="24"/>
          <w:szCs w:val="24"/>
          <w:lang w:val="en-US"/>
        </w:rPr>
        <w:t>;</w:t>
      </w:r>
      <w:r w:rsidR="003F44E2" w:rsidRPr="007647E8">
        <w:rPr>
          <w:rFonts w:ascii="Arial" w:hAnsi="Arial" w:cs="Arial"/>
          <w:b/>
          <w:sz w:val="24"/>
          <w:szCs w:val="24"/>
          <w:lang w:val="en-US"/>
        </w:rPr>
        <w:t xml:space="preserve"> 08 December 2020</w:t>
      </w:r>
    </w:p>
    <w:p w:rsidR="00D07095" w:rsidRPr="007647E8" w:rsidRDefault="00D07095" w:rsidP="003C75E8">
      <w:pPr>
        <w:spacing w:after="0" w:line="360" w:lineRule="auto"/>
        <w:jc w:val="both"/>
        <w:rPr>
          <w:rFonts w:ascii="Arial" w:hAnsi="Arial" w:cs="Arial"/>
          <w:b/>
          <w:sz w:val="24"/>
          <w:szCs w:val="24"/>
          <w:lang w:val="en-US"/>
        </w:rPr>
      </w:pPr>
      <w:r w:rsidRPr="007647E8">
        <w:rPr>
          <w:rFonts w:ascii="Arial" w:hAnsi="Arial" w:cs="Arial"/>
          <w:b/>
          <w:bCs/>
          <w:sz w:val="24"/>
          <w:szCs w:val="24"/>
          <w:lang w:val="en-US"/>
        </w:rPr>
        <w:t>Delivered</w:t>
      </w:r>
      <w:r w:rsidRPr="007647E8">
        <w:rPr>
          <w:rFonts w:ascii="Arial" w:hAnsi="Arial" w:cs="Arial"/>
          <w:b/>
          <w:sz w:val="24"/>
          <w:szCs w:val="24"/>
          <w:lang w:val="en-US"/>
        </w:rPr>
        <w:t>:</w:t>
      </w:r>
      <w:r w:rsidRPr="007647E8">
        <w:rPr>
          <w:rFonts w:ascii="Arial" w:hAnsi="Arial" w:cs="Arial"/>
          <w:b/>
          <w:sz w:val="24"/>
          <w:szCs w:val="24"/>
          <w:lang w:val="en-US"/>
        </w:rPr>
        <w:tab/>
      </w:r>
      <w:r w:rsidR="003F44E2" w:rsidRPr="007647E8">
        <w:rPr>
          <w:rFonts w:ascii="Arial" w:hAnsi="Arial" w:cs="Arial"/>
          <w:b/>
          <w:sz w:val="24"/>
          <w:szCs w:val="24"/>
          <w:lang w:val="en-US"/>
        </w:rPr>
        <w:tab/>
      </w:r>
      <w:r w:rsidR="007647E8" w:rsidRPr="007647E8">
        <w:rPr>
          <w:rFonts w:ascii="Arial" w:hAnsi="Arial" w:cs="Arial"/>
          <w:b/>
          <w:sz w:val="24"/>
          <w:szCs w:val="24"/>
          <w:lang w:val="en-US"/>
        </w:rPr>
        <w:t>0</w:t>
      </w:r>
      <w:r w:rsidR="005E68F1">
        <w:rPr>
          <w:rFonts w:ascii="Arial" w:hAnsi="Arial" w:cs="Arial"/>
          <w:b/>
          <w:sz w:val="24"/>
          <w:szCs w:val="24"/>
          <w:lang w:val="en-US"/>
        </w:rPr>
        <w:t>5</w:t>
      </w:r>
      <w:r w:rsidR="003F44E2" w:rsidRPr="007647E8">
        <w:rPr>
          <w:rFonts w:ascii="Arial" w:hAnsi="Arial" w:cs="Arial"/>
          <w:b/>
          <w:sz w:val="24"/>
          <w:szCs w:val="24"/>
          <w:lang w:val="en-US"/>
        </w:rPr>
        <w:t xml:space="preserve"> </w:t>
      </w:r>
      <w:r w:rsidR="007647E8" w:rsidRPr="007647E8">
        <w:rPr>
          <w:rFonts w:ascii="Arial" w:hAnsi="Arial" w:cs="Arial"/>
          <w:b/>
          <w:sz w:val="24"/>
          <w:szCs w:val="24"/>
          <w:lang w:val="en-US"/>
        </w:rPr>
        <w:t>February</w:t>
      </w:r>
      <w:r w:rsidR="003F44E2" w:rsidRPr="007647E8">
        <w:rPr>
          <w:rFonts w:ascii="Arial" w:hAnsi="Arial" w:cs="Arial"/>
          <w:b/>
          <w:sz w:val="24"/>
          <w:szCs w:val="24"/>
          <w:lang w:val="en-US"/>
        </w:rPr>
        <w:t xml:space="preserve"> 2021</w:t>
      </w:r>
    </w:p>
    <w:p w:rsidR="00D07095" w:rsidRPr="00D07095" w:rsidRDefault="00D07095" w:rsidP="003C75E8">
      <w:pPr>
        <w:spacing w:after="0" w:line="360" w:lineRule="auto"/>
        <w:jc w:val="both"/>
        <w:rPr>
          <w:rFonts w:ascii="Arial" w:hAnsi="Arial" w:cs="Arial"/>
          <w:sz w:val="24"/>
          <w:szCs w:val="24"/>
          <w:lang w:val="en-US"/>
        </w:rPr>
      </w:pPr>
    </w:p>
    <w:p w:rsidR="002A73C5" w:rsidRDefault="002A73C5" w:rsidP="003C75E8">
      <w:pPr>
        <w:spacing w:after="0" w:line="360" w:lineRule="auto"/>
        <w:jc w:val="both"/>
        <w:rPr>
          <w:rFonts w:ascii="Arial" w:hAnsi="Arial" w:cs="Arial"/>
          <w:b/>
          <w:sz w:val="24"/>
          <w:szCs w:val="24"/>
          <w:lang w:val="en-US"/>
        </w:rPr>
      </w:pPr>
    </w:p>
    <w:p w:rsidR="00D07095" w:rsidRDefault="00D07095" w:rsidP="003C75E8">
      <w:pPr>
        <w:spacing w:after="0" w:line="360" w:lineRule="auto"/>
        <w:jc w:val="both"/>
        <w:rPr>
          <w:rFonts w:ascii="Arial" w:hAnsi="Arial" w:cs="Arial"/>
          <w:sz w:val="24"/>
          <w:szCs w:val="24"/>
          <w:lang w:val="en-US"/>
        </w:rPr>
      </w:pPr>
      <w:r w:rsidRPr="00D07095">
        <w:rPr>
          <w:rFonts w:ascii="Arial" w:hAnsi="Arial" w:cs="Arial"/>
          <w:b/>
          <w:sz w:val="24"/>
          <w:szCs w:val="24"/>
          <w:lang w:val="en-US"/>
        </w:rPr>
        <w:t>Flynote:</w:t>
      </w:r>
      <w:r w:rsidRPr="00D07095">
        <w:rPr>
          <w:rFonts w:ascii="Arial" w:hAnsi="Arial" w:cs="Arial"/>
          <w:sz w:val="24"/>
          <w:szCs w:val="24"/>
          <w:lang w:val="en-US"/>
        </w:rPr>
        <w:tab/>
      </w:r>
      <w:r w:rsidR="00D4009D">
        <w:rPr>
          <w:rFonts w:ascii="Arial" w:hAnsi="Arial" w:cs="Arial"/>
          <w:sz w:val="24"/>
          <w:szCs w:val="24"/>
          <w:lang w:val="en-US"/>
        </w:rPr>
        <w:t xml:space="preserve">Special Plea ― </w:t>
      </w:r>
      <w:r w:rsidR="00B12CAB">
        <w:rPr>
          <w:rFonts w:ascii="Arial" w:hAnsi="Arial" w:cs="Arial"/>
          <w:sz w:val="24"/>
          <w:szCs w:val="24"/>
          <w:lang w:val="en-US"/>
        </w:rPr>
        <w:t>Insurance Contracts ― Agent ― Knowledge</w:t>
      </w:r>
      <w:r w:rsidR="000F5910">
        <w:rPr>
          <w:rFonts w:ascii="Arial" w:hAnsi="Arial" w:cs="Arial"/>
          <w:sz w:val="24"/>
          <w:szCs w:val="24"/>
        </w:rPr>
        <w:t xml:space="preserve"> of an agent acquired while acting within the scope of employment imputed to his principle</w:t>
      </w:r>
    </w:p>
    <w:p w:rsidR="003F44E2" w:rsidRDefault="003F44E2" w:rsidP="003C75E8">
      <w:pPr>
        <w:spacing w:after="0" w:line="360" w:lineRule="auto"/>
        <w:jc w:val="both"/>
        <w:rPr>
          <w:rFonts w:ascii="Arial" w:hAnsi="Arial" w:cs="Arial"/>
          <w:sz w:val="24"/>
          <w:szCs w:val="24"/>
          <w:lang w:val="en-US"/>
        </w:rPr>
      </w:pPr>
    </w:p>
    <w:p w:rsidR="000F5910" w:rsidRDefault="007647E8" w:rsidP="003C75E8">
      <w:pPr>
        <w:spacing w:after="0" w:line="360" w:lineRule="auto"/>
        <w:jc w:val="both"/>
        <w:rPr>
          <w:rFonts w:ascii="Arial" w:hAnsi="Arial" w:cs="Arial"/>
          <w:sz w:val="24"/>
          <w:szCs w:val="24"/>
          <w:lang w:val="en-US"/>
        </w:rPr>
      </w:pPr>
      <w:r w:rsidRPr="00E54270">
        <w:rPr>
          <w:rFonts w:ascii="Arial" w:hAnsi="Arial" w:cs="Arial"/>
          <w:b/>
          <w:sz w:val="24"/>
          <w:szCs w:val="24"/>
        </w:rPr>
        <w:lastRenderedPageBreak/>
        <w:t>Summary</w:t>
      </w:r>
      <w:r w:rsidRPr="00E54270">
        <w:rPr>
          <w:rFonts w:ascii="Arial" w:hAnsi="Arial" w:cs="Arial"/>
          <w:sz w:val="24"/>
          <w:szCs w:val="24"/>
        </w:rPr>
        <w:t>:</w:t>
      </w:r>
      <w:r w:rsidR="000F5910">
        <w:rPr>
          <w:rFonts w:ascii="Arial" w:hAnsi="Arial" w:cs="Arial"/>
          <w:sz w:val="24"/>
          <w:szCs w:val="24"/>
        </w:rPr>
        <w:tab/>
        <w:t>T</w:t>
      </w:r>
      <w:r w:rsidR="000F5910" w:rsidRPr="00D22542">
        <w:rPr>
          <w:rFonts w:ascii="Arial" w:hAnsi="Arial" w:cs="Arial"/>
          <w:sz w:val="24"/>
          <w:szCs w:val="24"/>
          <w:lang w:val="en-US"/>
        </w:rPr>
        <w:t>he plaintiff issued</w:t>
      </w:r>
      <w:r w:rsidR="000F5910">
        <w:rPr>
          <w:rFonts w:ascii="Arial" w:hAnsi="Arial" w:cs="Arial"/>
          <w:sz w:val="24"/>
          <w:szCs w:val="24"/>
          <w:lang w:val="en-US"/>
        </w:rPr>
        <w:t xml:space="preserve"> summons </w:t>
      </w:r>
      <w:r w:rsidR="000F5910" w:rsidRPr="00D22542">
        <w:rPr>
          <w:rFonts w:ascii="Arial" w:hAnsi="Arial" w:cs="Arial"/>
          <w:sz w:val="24"/>
          <w:szCs w:val="24"/>
          <w:lang w:val="en-US"/>
        </w:rPr>
        <w:t xml:space="preserve">in terms of which </w:t>
      </w:r>
      <w:r w:rsidR="000F5910">
        <w:rPr>
          <w:rFonts w:ascii="Arial" w:hAnsi="Arial" w:cs="Arial"/>
          <w:sz w:val="24"/>
          <w:szCs w:val="24"/>
          <w:lang w:val="en-US"/>
        </w:rPr>
        <w:t>it</w:t>
      </w:r>
      <w:r w:rsidR="000F5910" w:rsidRPr="00D22542">
        <w:rPr>
          <w:rFonts w:ascii="Arial" w:hAnsi="Arial" w:cs="Arial"/>
          <w:sz w:val="24"/>
          <w:szCs w:val="24"/>
          <w:lang w:val="en-US"/>
        </w:rPr>
        <w:t xml:space="preserve"> claims </w:t>
      </w:r>
      <w:r w:rsidR="000F5910">
        <w:rPr>
          <w:rFonts w:ascii="Arial" w:hAnsi="Arial" w:cs="Arial"/>
          <w:sz w:val="24"/>
          <w:szCs w:val="24"/>
          <w:lang w:val="en-US"/>
        </w:rPr>
        <w:t xml:space="preserve">for </w:t>
      </w:r>
      <w:r w:rsidR="000F5910" w:rsidRPr="00D22542">
        <w:rPr>
          <w:rFonts w:ascii="Arial" w:hAnsi="Arial" w:cs="Arial"/>
          <w:sz w:val="24"/>
          <w:szCs w:val="24"/>
          <w:lang w:val="en-US"/>
        </w:rPr>
        <w:t xml:space="preserve">damages in the amount of N$9 000 000 in respect of </w:t>
      </w:r>
      <w:r w:rsidR="000F5910">
        <w:rPr>
          <w:rFonts w:ascii="Arial" w:hAnsi="Arial" w:cs="Arial"/>
          <w:sz w:val="24"/>
          <w:szCs w:val="24"/>
          <w:lang w:val="en-US"/>
        </w:rPr>
        <w:t xml:space="preserve">alleged </w:t>
      </w:r>
      <w:r w:rsidR="000F5910" w:rsidRPr="00D22542">
        <w:rPr>
          <w:rFonts w:ascii="Arial" w:hAnsi="Arial" w:cs="Arial"/>
          <w:sz w:val="24"/>
          <w:szCs w:val="24"/>
          <w:lang w:val="en-US"/>
        </w:rPr>
        <w:t>damage to the plaintiff’s printer</w:t>
      </w:r>
      <w:r w:rsidR="000F5910">
        <w:rPr>
          <w:rFonts w:ascii="Arial" w:hAnsi="Arial" w:cs="Arial"/>
          <w:sz w:val="24"/>
          <w:szCs w:val="24"/>
          <w:lang w:val="en-US"/>
        </w:rPr>
        <w:t xml:space="preserve"> for which plaintiff was </w:t>
      </w:r>
      <w:r w:rsidR="00D15F6B">
        <w:rPr>
          <w:rFonts w:ascii="Arial" w:hAnsi="Arial" w:cs="Arial"/>
          <w:sz w:val="24"/>
          <w:szCs w:val="24"/>
          <w:lang w:val="en-US"/>
        </w:rPr>
        <w:t>i</w:t>
      </w:r>
      <w:r w:rsidR="000F5910">
        <w:rPr>
          <w:rFonts w:ascii="Arial" w:hAnsi="Arial" w:cs="Arial"/>
          <w:sz w:val="24"/>
          <w:szCs w:val="24"/>
          <w:lang w:val="en-US"/>
        </w:rPr>
        <w:t>nsured by the defendant</w:t>
      </w:r>
      <w:r w:rsidR="000F5910" w:rsidRPr="00D22542">
        <w:rPr>
          <w:rFonts w:ascii="Arial" w:hAnsi="Arial" w:cs="Arial"/>
          <w:sz w:val="24"/>
          <w:szCs w:val="24"/>
          <w:lang w:val="en-US"/>
        </w:rPr>
        <w:t xml:space="preserve"> and N$ 9 000 000 in respect of loss of income as a result of the damaged printer</w:t>
      </w:r>
      <w:r w:rsidR="000F5910">
        <w:rPr>
          <w:rFonts w:ascii="Arial" w:hAnsi="Arial" w:cs="Arial"/>
          <w:sz w:val="24"/>
          <w:szCs w:val="24"/>
          <w:lang w:val="en-US"/>
        </w:rPr>
        <w:t>, fo</w:t>
      </w:r>
      <w:r w:rsidR="00D15F6B">
        <w:rPr>
          <w:rFonts w:ascii="Arial" w:hAnsi="Arial" w:cs="Arial"/>
          <w:sz w:val="24"/>
          <w:szCs w:val="24"/>
          <w:lang w:val="en-US"/>
        </w:rPr>
        <w:t>r which the plaintiff was also i</w:t>
      </w:r>
      <w:r w:rsidR="000F5910">
        <w:rPr>
          <w:rFonts w:ascii="Arial" w:hAnsi="Arial" w:cs="Arial"/>
          <w:sz w:val="24"/>
          <w:szCs w:val="24"/>
          <w:lang w:val="en-US"/>
        </w:rPr>
        <w:t xml:space="preserve">nsured by the defendant. </w:t>
      </w:r>
    </w:p>
    <w:p w:rsidR="000F5910" w:rsidRDefault="000F5910" w:rsidP="003C75E8">
      <w:pPr>
        <w:spacing w:after="0" w:line="360" w:lineRule="auto"/>
        <w:jc w:val="both"/>
        <w:rPr>
          <w:rFonts w:ascii="Arial" w:hAnsi="Arial" w:cs="Arial"/>
          <w:sz w:val="24"/>
          <w:szCs w:val="24"/>
          <w:lang w:val="en-US"/>
        </w:rPr>
      </w:pPr>
    </w:p>
    <w:p w:rsidR="003F44E2" w:rsidRDefault="000F5910" w:rsidP="003C75E8">
      <w:pPr>
        <w:spacing w:after="0" w:line="360" w:lineRule="auto"/>
        <w:jc w:val="both"/>
        <w:rPr>
          <w:rFonts w:ascii="Arial" w:hAnsi="Arial" w:cs="Arial"/>
          <w:sz w:val="24"/>
          <w:szCs w:val="24"/>
        </w:rPr>
      </w:pPr>
      <w:r>
        <w:rPr>
          <w:rFonts w:ascii="Arial" w:hAnsi="Arial" w:cs="Arial"/>
          <w:sz w:val="24"/>
          <w:szCs w:val="24"/>
          <w:lang w:val="en-US"/>
        </w:rPr>
        <w:t xml:space="preserve">Defendant defended the action and filed a special plea raising prescription based on a time-bar clause contained in the insurance contract under </w:t>
      </w:r>
      <w:r w:rsidRPr="0052743D">
        <w:rPr>
          <w:rFonts w:ascii="Arial" w:hAnsi="Arial" w:cs="Arial"/>
          <w:sz w:val="24"/>
          <w:szCs w:val="24"/>
          <w:lang w:val="en-US"/>
        </w:rPr>
        <w:t>General Exceptions, Conditions and Provisions</w:t>
      </w:r>
      <w:r>
        <w:rPr>
          <w:rFonts w:ascii="Arial" w:hAnsi="Arial" w:cs="Arial"/>
          <w:sz w:val="24"/>
          <w:szCs w:val="24"/>
          <w:lang w:val="en-US"/>
        </w:rPr>
        <w:t xml:space="preserve">. </w:t>
      </w:r>
      <w:r w:rsidRPr="000F5910">
        <w:rPr>
          <w:rFonts w:ascii="Arial" w:hAnsi="Arial" w:cs="Arial"/>
          <w:sz w:val="24"/>
          <w:szCs w:val="24"/>
          <w:lang w:val="en-US"/>
        </w:rPr>
        <w:t>The time-bar clause states that n</w:t>
      </w:r>
      <w:r w:rsidRPr="000F5910">
        <w:rPr>
          <w:rFonts w:ascii="Arial" w:hAnsi="Arial" w:cs="Arial"/>
          <w:sz w:val="24"/>
          <w:szCs w:val="24"/>
        </w:rPr>
        <w:t>o claim shall be payable unless the insured</w:t>
      </w:r>
      <w:r>
        <w:rPr>
          <w:rFonts w:ascii="Arial" w:hAnsi="Arial" w:cs="Arial"/>
          <w:sz w:val="24"/>
          <w:szCs w:val="24"/>
        </w:rPr>
        <w:t xml:space="preserve"> (plaintiff)</w:t>
      </w:r>
      <w:r w:rsidRPr="000F5910">
        <w:rPr>
          <w:rFonts w:ascii="Arial" w:hAnsi="Arial" w:cs="Arial"/>
          <w:sz w:val="24"/>
          <w:szCs w:val="24"/>
        </w:rPr>
        <w:t xml:space="preserve"> claims payment by serving legal process on the company</w:t>
      </w:r>
      <w:r>
        <w:rPr>
          <w:rFonts w:ascii="Arial" w:hAnsi="Arial" w:cs="Arial"/>
          <w:sz w:val="24"/>
          <w:szCs w:val="24"/>
        </w:rPr>
        <w:t xml:space="preserve"> (defendant)</w:t>
      </w:r>
      <w:r w:rsidRPr="000F5910">
        <w:rPr>
          <w:rFonts w:ascii="Arial" w:hAnsi="Arial" w:cs="Arial"/>
          <w:sz w:val="24"/>
          <w:szCs w:val="24"/>
        </w:rPr>
        <w:t xml:space="preserve"> within 12 months of the rejection of the claim in writing and pursues such proceedings to finality</w:t>
      </w:r>
      <w:r>
        <w:rPr>
          <w:rFonts w:ascii="Arial" w:hAnsi="Arial" w:cs="Arial"/>
          <w:sz w:val="24"/>
          <w:szCs w:val="24"/>
        </w:rPr>
        <w:t>. Plaintiff objected to the special plea on the basis that the time-bar clause contained in the ‘</w:t>
      </w:r>
      <w:r w:rsidRPr="0052743D">
        <w:rPr>
          <w:rFonts w:ascii="Arial" w:hAnsi="Arial" w:cs="Arial"/>
          <w:sz w:val="24"/>
          <w:szCs w:val="24"/>
          <w:lang w:val="en-US"/>
        </w:rPr>
        <w:t>General Exceptions, Conditions and Provisions</w:t>
      </w:r>
      <w:r>
        <w:rPr>
          <w:rFonts w:ascii="Arial" w:hAnsi="Arial" w:cs="Arial"/>
          <w:sz w:val="24"/>
          <w:szCs w:val="24"/>
          <w:lang w:val="en-US"/>
        </w:rPr>
        <w:t>’ part of the insurance contract, was never brought to the attention of the plaintiff by the plaintiff’s agent.</w:t>
      </w:r>
    </w:p>
    <w:p w:rsidR="000F5910" w:rsidRDefault="000F5910" w:rsidP="003C75E8">
      <w:pPr>
        <w:spacing w:after="0" w:line="360" w:lineRule="auto"/>
        <w:jc w:val="both"/>
        <w:rPr>
          <w:rFonts w:ascii="Arial" w:hAnsi="Arial" w:cs="Arial"/>
          <w:sz w:val="24"/>
          <w:szCs w:val="24"/>
        </w:rPr>
      </w:pPr>
    </w:p>
    <w:p w:rsidR="000F5910" w:rsidRDefault="000F5910" w:rsidP="003C75E8">
      <w:pPr>
        <w:spacing w:after="0" w:line="360" w:lineRule="auto"/>
        <w:jc w:val="both"/>
        <w:rPr>
          <w:rFonts w:ascii="Arial" w:hAnsi="Arial" w:cs="Arial"/>
          <w:sz w:val="24"/>
          <w:szCs w:val="24"/>
          <w:lang w:val="en-US"/>
        </w:rPr>
      </w:pPr>
      <w:r>
        <w:rPr>
          <w:rFonts w:ascii="Arial" w:hAnsi="Arial" w:cs="Arial"/>
          <w:sz w:val="24"/>
          <w:szCs w:val="24"/>
        </w:rPr>
        <w:t xml:space="preserve">The issue for determination was whether </w:t>
      </w:r>
      <w:r w:rsidR="00943176">
        <w:rPr>
          <w:rFonts w:ascii="Arial" w:hAnsi="Arial" w:cs="Arial"/>
          <w:sz w:val="24"/>
          <w:szCs w:val="24"/>
        </w:rPr>
        <w:t xml:space="preserve">the time-bar clause </w:t>
      </w:r>
      <w:r w:rsidR="00943176" w:rsidRPr="00954734">
        <w:rPr>
          <w:rFonts w:ascii="Arial" w:hAnsi="Arial" w:cs="Arial"/>
          <w:sz w:val="24"/>
          <w:szCs w:val="24"/>
          <w:lang w:val="en-US"/>
        </w:rPr>
        <w:t>fo</w:t>
      </w:r>
      <w:r w:rsidR="00943176">
        <w:rPr>
          <w:rFonts w:ascii="Arial" w:hAnsi="Arial" w:cs="Arial"/>
          <w:sz w:val="24"/>
          <w:szCs w:val="24"/>
          <w:lang w:val="en-US"/>
        </w:rPr>
        <w:t xml:space="preserve">rmed </w:t>
      </w:r>
      <w:r w:rsidR="00943176" w:rsidRPr="00954734">
        <w:rPr>
          <w:rFonts w:ascii="Arial" w:hAnsi="Arial" w:cs="Arial"/>
          <w:sz w:val="24"/>
          <w:szCs w:val="24"/>
          <w:lang w:val="en-US"/>
        </w:rPr>
        <w:t>part of the contract entered into between the parties</w:t>
      </w:r>
      <w:r w:rsidR="00943176">
        <w:rPr>
          <w:rFonts w:ascii="Arial" w:hAnsi="Arial" w:cs="Arial"/>
          <w:sz w:val="24"/>
          <w:szCs w:val="24"/>
          <w:lang w:val="en-US"/>
        </w:rPr>
        <w:t>,</w:t>
      </w:r>
      <w:r w:rsidR="00943176" w:rsidRPr="00954734">
        <w:rPr>
          <w:rFonts w:ascii="Arial" w:hAnsi="Arial" w:cs="Arial"/>
          <w:sz w:val="24"/>
          <w:szCs w:val="24"/>
          <w:lang w:val="en-US"/>
        </w:rPr>
        <w:t xml:space="preserve"> and if so, whether the </w:t>
      </w:r>
      <w:r w:rsidR="00943176">
        <w:rPr>
          <w:rFonts w:ascii="Arial" w:hAnsi="Arial" w:cs="Arial"/>
          <w:sz w:val="24"/>
          <w:szCs w:val="24"/>
          <w:lang w:val="en-US"/>
        </w:rPr>
        <w:t>defendant</w:t>
      </w:r>
      <w:r w:rsidR="00943176" w:rsidRPr="00954734">
        <w:rPr>
          <w:rFonts w:ascii="Arial" w:hAnsi="Arial" w:cs="Arial"/>
          <w:sz w:val="24"/>
          <w:szCs w:val="24"/>
          <w:lang w:val="en-US"/>
        </w:rPr>
        <w:t xml:space="preserve"> </w:t>
      </w:r>
      <w:r w:rsidR="00943176">
        <w:rPr>
          <w:rFonts w:ascii="Arial" w:hAnsi="Arial" w:cs="Arial"/>
          <w:sz w:val="24"/>
          <w:szCs w:val="24"/>
          <w:lang w:val="en-US"/>
        </w:rPr>
        <w:t>was</w:t>
      </w:r>
      <w:r w:rsidR="00943176" w:rsidRPr="00954734">
        <w:rPr>
          <w:rFonts w:ascii="Arial" w:hAnsi="Arial" w:cs="Arial"/>
          <w:sz w:val="24"/>
          <w:szCs w:val="24"/>
          <w:lang w:val="en-US"/>
        </w:rPr>
        <w:t xml:space="preserve"> </w:t>
      </w:r>
      <w:r w:rsidR="00943176">
        <w:rPr>
          <w:rFonts w:ascii="Arial" w:hAnsi="Arial" w:cs="Arial"/>
          <w:sz w:val="24"/>
          <w:szCs w:val="24"/>
          <w:lang w:val="en-US"/>
        </w:rPr>
        <w:t xml:space="preserve">thereby </w:t>
      </w:r>
      <w:r w:rsidR="00943176" w:rsidRPr="00954734">
        <w:rPr>
          <w:rFonts w:ascii="Arial" w:hAnsi="Arial" w:cs="Arial"/>
          <w:sz w:val="24"/>
          <w:szCs w:val="24"/>
          <w:lang w:val="en-US"/>
        </w:rPr>
        <w:t>release</w:t>
      </w:r>
      <w:r w:rsidR="00943176">
        <w:rPr>
          <w:rFonts w:ascii="Arial" w:hAnsi="Arial" w:cs="Arial"/>
          <w:sz w:val="24"/>
          <w:szCs w:val="24"/>
          <w:lang w:val="en-US"/>
        </w:rPr>
        <w:t>d</w:t>
      </w:r>
      <w:r w:rsidR="00943176" w:rsidRPr="00954734">
        <w:rPr>
          <w:rFonts w:ascii="Arial" w:hAnsi="Arial" w:cs="Arial"/>
          <w:sz w:val="24"/>
          <w:szCs w:val="24"/>
          <w:lang w:val="en-US"/>
        </w:rPr>
        <w:t xml:space="preserve"> from liability to compensate the plaintiff</w:t>
      </w:r>
      <w:r w:rsidR="00943176">
        <w:rPr>
          <w:rFonts w:ascii="Arial" w:hAnsi="Arial" w:cs="Arial"/>
          <w:sz w:val="24"/>
          <w:szCs w:val="24"/>
          <w:lang w:val="en-US"/>
        </w:rPr>
        <w:t>.</w:t>
      </w:r>
    </w:p>
    <w:p w:rsidR="00943176" w:rsidRDefault="00943176" w:rsidP="003C75E8">
      <w:pPr>
        <w:spacing w:after="0" w:line="360" w:lineRule="auto"/>
        <w:jc w:val="both"/>
        <w:rPr>
          <w:rFonts w:ascii="Arial" w:hAnsi="Arial" w:cs="Arial"/>
          <w:sz w:val="24"/>
          <w:szCs w:val="24"/>
          <w:lang w:val="en-US"/>
        </w:rPr>
      </w:pPr>
    </w:p>
    <w:p w:rsidR="00943176" w:rsidRDefault="00943176" w:rsidP="003C75E8">
      <w:pPr>
        <w:spacing w:after="0" w:line="360" w:lineRule="auto"/>
        <w:jc w:val="both"/>
        <w:rPr>
          <w:rFonts w:ascii="Arial" w:hAnsi="Arial" w:cs="Arial"/>
          <w:sz w:val="24"/>
          <w:szCs w:val="24"/>
        </w:rPr>
      </w:pPr>
      <w:r w:rsidRPr="00943176">
        <w:rPr>
          <w:rFonts w:ascii="Arial" w:hAnsi="Arial" w:cs="Arial"/>
          <w:i/>
          <w:sz w:val="24"/>
          <w:szCs w:val="24"/>
          <w:lang w:val="en-US"/>
        </w:rPr>
        <w:t>Held,</w:t>
      </w:r>
      <w:r>
        <w:rPr>
          <w:rFonts w:ascii="Arial" w:hAnsi="Arial" w:cs="Arial"/>
          <w:sz w:val="24"/>
          <w:szCs w:val="24"/>
          <w:lang w:val="en-US"/>
        </w:rPr>
        <w:t xml:space="preserve"> that the </w:t>
      </w:r>
      <w:r>
        <w:rPr>
          <w:rFonts w:ascii="Arial" w:hAnsi="Arial" w:cs="Arial"/>
          <w:sz w:val="24"/>
          <w:szCs w:val="24"/>
        </w:rPr>
        <w:t>principles of agency law provide that the knowledge of an agent acquired while acting within the scope of employment, is imputed to his principle.</w:t>
      </w:r>
    </w:p>
    <w:p w:rsidR="00943176" w:rsidRDefault="00943176" w:rsidP="003C75E8">
      <w:pPr>
        <w:spacing w:after="0" w:line="360" w:lineRule="auto"/>
        <w:jc w:val="both"/>
        <w:rPr>
          <w:rFonts w:ascii="Arial" w:hAnsi="Arial" w:cs="Arial"/>
          <w:sz w:val="24"/>
          <w:szCs w:val="24"/>
        </w:rPr>
      </w:pPr>
    </w:p>
    <w:p w:rsidR="00943176" w:rsidRDefault="00943176" w:rsidP="003C75E8">
      <w:pPr>
        <w:spacing w:after="0" w:line="360" w:lineRule="auto"/>
        <w:jc w:val="both"/>
        <w:rPr>
          <w:rFonts w:ascii="Arial" w:hAnsi="Arial" w:cs="Arial"/>
          <w:sz w:val="24"/>
          <w:szCs w:val="24"/>
          <w:lang w:val="en-US"/>
        </w:rPr>
      </w:pPr>
      <w:r w:rsidRPr="00943176">
        <w:rPr>
          <w:rFonts w:ascii="Arial" w:hAnsi="Arial" w:cs="Arial"/>
          <w:i/>
          <w:sz w:val="24"/>
          <w:szCs w:val="24"/>
        </w:rPr>
        <w:t>Held further</w:t>
      </w:r>
      <w:r>
        <w:rPr>
          <w:rFonts w:ascii="Arial" w:hAnsi="Arial" w:cs="Arial"/>
          <w:sz w:val="24"/>
          <w:szCs w:val="24"/>
        </w:rPr>
        <w:t xml:space="preserve">, that the knowledge can be imputed to the plaintiff and therefore </w:t>
      </w:r>
      <w:r>
        <w:rPr>
          <w:rFonts w:ascii="Arial" w:hAnsi="Arial" w:cs="Arial"/>
          <w:sz w:val="24"/>
          <w:szCs w:val="24"/>
          <w:lang w:val="en-US"/>
        </w:rPr>
        <w:t xml:space="preserve">clause 6(c) of the </w:t>
      </w:r>
      <w:r w:rsidRPr="0052743D">
        <w:rPr>
          <w:rFonts w:ascii="Arial" w:hAnsi="Arial" w:cs="Arial"/>
          <w:sz w:val="24"/>
          <w:szCs w:val="24"/>
          <w:lang w:val="en-US"/>
        </w:rPr>
        <w:t>General Exceptions, Conditions and Provisions</w:t>
      </w:r>
      <w:r>
        <w:rPr>
          <w:rFonts w:ascii="Arial" w:hAnsi="Arial" w:cs="Arial"/>
          <w:sz w:val="24"/>
          <w:szCs w:val="24"/>
          <w:lang w:val="en-US"/>
        </w:rPr>
        <w:t xml:space="preserve"> forms part of the contract concluded between the parties. The plaintiff’s claim has thus prescribed and the special plea is upheld.</w:t>
      </w:r>
    </w:p>
    <w:p w:rsidR="002A73C5" w:rsidRDefault="002A73C5" w:rsidP="003C75E8">
      <w:pPr>
        <w:spacing w:after="0" w:line="360" w:lineRule="auto"/>
        <w:jc w:val="both"/>
        <w:rPr>
          <w:rFonts w:ascii="Arial" w:hAnsi="Arial" w:cs="Arial"/>
          <w:sz w:val="24"/>
          <w:szCs w:val="24"/>
          <w:lang w:val="en-US"/>
        </w:rPr>
      </w:pPr>
    </w:p>
    <w:p w:rsidR="002A73C5" w:rsidRDefault="002A73C5" w:rsidP="003C75E8">
      <w:pPr>
        <w:spacing w:after="0" w:line="360" w:lineRule="auto"/>
        <w:jc w:val="both"/>
        <w:rPr>
          <w:rFonts w:ascii="Arial" w:hAnsi="Arial" w:cs="Arial"/>
          <w:sz w:val="24"/>
          <w:szCs w:val="24"/>
          <w:lang w:val="en-US"/>
        </w:rPr>
      </w:pPr>
    </w:p>
    <w:p w:rsidR="002A73C5" w:rsidRDefault="002A73C5" w:rsidP="003C75E8">
      <w:pPr>
        <w:spacing w:after="0" w:line="360" w:lineRule="auto"/>
        <w:jc w:val="both"/>
        <w:rPr>
          <w:rFonts w:ascii="Arial" w:hAnsi="Arial" w:cs="Arial"/>
          <w:sz w:val="24"/>
          <w:szCs w:val="24"/>
          <w:lang w:val="en-US"/>
        </w:rPr>
      </w:pPr>
    </w:p>
    <w:p w:rsidR="002A73C5" w:rsidRDefault="002A73C5" w:rsidP="003C75E8">
      <w:pPr>
        <w:spacing w:after="0" w:line="360" w:lineRule="auto"/>
        <w:jc w:val="both"/>
        <w:rPr>
          <w:rFonts w:ascii="Arial" w:hAnsi="Arial" w:cs="Arial"/>
          <w:sz w:val="24"/>
          <w:szCs w:val="24"/>
          <w:lang w:val="en-US"/>
        </w:rPr>
      </w:pPr>
    </w:p>
    <w:p w:rsidR="002A73C5" w:rsidRPr="00D07095" w:rsidRDefault="002A73C5" w:rsidP="003C75E8">
      <w:pPr>
        <w:spacing w:after="0" w:line="360" w:lineRule="auto"/>
        <w:jc w:val="both"/>
        <w:rPr>
          <w:rFonts w:ascii="Arial" w:hAnsi="Arial" w:cs="Arial"/>
          <w:sz w:val="24"/>
          <w:szCs w:val="24"/>
          <w:lang w:val="en-US"/>
        </w:rPr>
      </w:pPr>
    </w:p>
    <w:p w:rsidR="00D07095" w:rsidRPr="002A73C5" w:rsidRDefault="002A73C5" w:rsidP="003C75E8">
      <w:pPr>
        <w:spacing w:after="0" w:line="360" w:lineRule="auto"/>
        <w:jc w:val="both"/>
        <w:rPr>
          <w:rFonts w:ascii="Arial" w:hAnsi="Arial" w:cs="Arial"/>
          <w:b/>
          <w:sz w:val="24"/>
          <w:szCs w:val="24"/>
          <w:lang w:val="en-US"/>
        </w:rPr>
      </w:pPr>
      <w:r w:rsidRPr="002A73C5">
        <w:rPr>
          <w:rFonts w:ascii="Arial" w:hAnsi="Arial" w:cs="Arial"/>
          <w:b/>
          <w:sz w:val="24"/>
          <w:szCs w:val="24"/>
          <w:lang w:val="en-US"/>
        </w:rPr>
        <w:lastRenderedPageBreak/>
        <w:t>______________________________________________________________________</w:t>
      </w:r>
    </w:p>
    <w:p w:rsidR="00D07095" w:rsidRDefault="00D07095" w:rsidP="003C75E8">
      <w:pPr>
        <w:pBdr>
          <w:bottom w:val="single" w:sz="12" w:space="1" w:color="auto"/>
        </w:pBdr>
        <w:spacing w:after="0" w:line="360" w:lineRule="auto"/>
        <w:jc w:val="center"/>
        <w:rPr>
          <w:rFonts w:ascii="Arial" w:hAnsi="Arial" w:cs="Arial"/>
          <w:b/>
          <w:sz w:val="24"/>
          <w:szCs w:val="24"/>
          <w:lang w:val="en-US"/>
        </w:rPr>
      </w:pPr>
      <w:r w:rsidRPr="00D07095">
        <w:rPr>
          <w:rFonts w:ascii="Arial" w:hAnsi="Arial" w:cs="Arial"/>
          <w:b/>
          <w:sz w:val="24"/>
          <w:szCs w:val="24"/>
          <w:lang w:val="en-US"/>
        </w:rPr>
        <w:t>ORDER</w:t>
      </w:r>
    </w:p>
    <w:p w:rsidR="00D07095" w:rsidRPr="00D07095" w:rsidRDefault="00D07095" w:rsidP="003C75E8">
      <w:pPr>
        <w:spacing w:line="360" w:lineRule="auto"/>
        <w:ind w:left="720" w:hanging="720"/>
        <w:jc w:val="both"/>
        <w:rPr>
          <w:rFonts w:ascii="Arial" w:hAnsi="Arial" w:cs="Arial"/>
          <w:lang w:val="en-US"/>
        </w:rPr>
      </w:pPr>
    </w:p>
    <w:p w:rsidR="007951A0" w:rsidRDefault="007951A0" w:rsidP="003C75E8">
      <w:pPr>
        <w:pStyle w:val="ListParagraph"/>
        <w:numPr>
          <w:ilvl w:val="0"/>
          <w:numId w:val="12"/>
        </w:numPr>
        <w:spacing w:after="0" w:line="360" w:lineRule="auto"/>
        <w:ind w:left="720"/>
        <w:jc w:val="both"/>
        <w:rPr>
          <w:rFonts w:ascii="Arial" w:hAnsi="Arial" w:cs="Arial"/>
          <w:sz w:val="24"/>
          <w:szCs w:val="24"/>
        </w:rPr>
      </w:pPr>
      <w:r>
        <w:rPr>
          <w:rFonts w:ascii="Arial" w:hAnsi="Arial" w:cs="Arial"/>
          <w:sz w:val="24"/>
          <w:szCs w:val="24"/>
        </w:rPr>
        <w:t>The defendants’ special plea is upheld.</w:t>
      </w:r>
    </w:p>
    <w:p w:rsidR="007951A0" w:rsidRDefault="007951A0" w:rsidP="003C75E8">
      <w:pPr>
        <w:pStyle w:val="ListParagraph"/>
        <w:spacing w:after="0" w:line="360" w:lineRule="auto"/>
        <w:jc w:val="both"/>
        <w:rPr>
          <w:rFonts w:ascii="Arial" w:hAnsi="Arial" w:cs="Arial"/>
          <w:sz w:val="24"/>
          <w:szCs w:val="24"/>
        </w:rPr>
      </w:pPr>
    </w:p>
    <w:p w:rsidR="007951A0" w:rsidRDefault="007951A0" w:rsidP="003C75E8">
      <w:pPr>
        <w:pStyle w:val="ListParagraph"/>
        <w:numPr>
          <w:ilvl w:val="0"/>
          <w:numId w:val="12"/>
        </w:numPr>
        <w:spacing w:after="0" w:line="360" w:lineRule="auto"/>
        <w:ind w:left="0" w:firstLine="0"/>
        <w:jc w:val="both"/>
        <w:rPr>
          <w:rFonts w:ascii="Arial" w:hAnsi="Arial" w:cs="Arial"/>
          <w:sz w:val="24"/>
          <w:szCs w:val="24"/>
        </w:rPr>
      </w:pPr>
      <w:r>
        <w:rPr>
          <w:rFonts w:ascii="Arial" w:hAnsi="Arial" w:cs="Arial"/>
          <w:sz w:val="24"/>
          <w:szCs w:val="24"/>
        </w:rPr>
        <w:t xml:space="preserve">The plaintiff must pay the defendant’s costs of suit, such costs to include the costs </w:t>
      </w:r>
      <w:r w:rsidR="002A73C5">
        <w:rPr>
          <w:rFonts w:ascii="Arial" w:hAnsi="Arial" w:cs="Arial"/>
          <w:sz w:val="24"/>
          <w:szCs w:val="24"/>
        </w:rPr>
        <w:tab/>
      </w:r>
      <w:r>
        <w:rPr>
          <w:rFonts w:ascii="Arial" w:hAnsi="Arial" w:cs="Arial"/>
          <w:sz w:val="24"/>
          <w:szCs w:val="24"/>
        </w:rPr>
        <w:t>of instructing and one instructed counsel.</w:t>
      </w:r>
    </w:p>
    <w:p w:rsidR="007951A0" w:rsidRPr="007951A0" w:rsidRDefault="007951A0" w:rsidP="003C75E8">
      <w:pPr>
        <w:spacing w:after="0" w:line="360" w:lineRule="auto"/>
        <w:jc w:val="both"/>
        <w:rPr>
          <w:rFonts w:ascii="Arial" w:hAnsi="Arial" w:cs="Arial"/>
          <w:sz w:val="24"/>
          <w:szCs w:val="24"/>
        </w:rPr>
      </w:pPr>
    </w:p>
    <w:p w:rsidR="007951A0" w:rsidRDefault="007951A0" w:rsidP="003C75E8">
      <w:pPr>
        <w:pStyle w:val="ListParagraph"/>
        <w:numPr>
          <w:ilvl w:val="0"/>
          <w:numId w:val="12"/>
        </w:numPr>
        <w:spacing w:after="0" w:line="360" w:lineRule="auto"/>
        <w:ind w:left="720"/>
        <w:jc w:val="both"/>
        <w:rPr>
          <w:rFonts w:ascii="Arial" w:hAnsi="Arial" w:cs="Arial"/>
          <w:sz w:val="24"/>
          <w:szCs w:val="24"/>
        </w:rPr>
      </w:pPr>
      <w:r>
        <w:rPr>
          <w:rFonts w:ascii="Arial" w:hAnsi="Arial" w:cs="Arial"/>
          <w:sz w:val="24"/>
          <w:szCs w:val="24"/>
        </w:rPr>
        <w:t xml:space="preserve">The matter is removed from the roll and </w:t>
      </w:r>
      <w:r w:rsidR="00DB7B7A">
        <w:rPr>
          <w:rFonts w:ascii="Arial" w:hAnsi="Arial" w:cs="Arial"/>
          <w:sz w:val="24"/>
          <w:szCs w:val="24"/>
        </w:rPr>
        <w:t>regarded</w:t>
      </w:r>
      <w:r>
        <w:rPr>
          <w:rFonts w:ascii="Arial" w:hAnsi="Arial" w:cs="Arial"/>
          <w:sz w:val="24"/>
          <w:szCs w:val="24"/>
        </w:rPr>
        <w:t xml:space="preserve"> as finali</w:t>
      </w:r>
      <w:r w:rsidR="00DB7B7A">
        <w:rPr>
          <w:rFonts w:ascii="Arial" w:hAnsi="Arial" w:cs="Arial"/>
          <w:sz w:val="24"/>
          <w:szCs w:val="24"/>
        </w:rPr>
        <w:t>s</w:t>
      </w:r>
      <w:r>
        <w:rPr>
          <w:rFonts w:ascii="Arial" w:hAnsi="Arial" w:cs="Arial"/>
          <w:sz w:val="24"/>
          <w:szCs w:val="24"/>
        </w:rPr>
        <w:t>ed.</w:t>
      </w:r>
    </w:p>
    <w:p w:rsidR="00D07095" w:rsidRPr="00D07095" w:rsidRDefault="00D07095" w:rsidP="003C75E8">
      <w:pPr>
        <w:pBdr>
          <w:bottom w:val="single" w:sz="12" w:space="1" w:color="auto"/>
        </w:pBdr>
        <w:spacing w:after="0" w:line="360" w:lineRule="auto"/>
        <w:jc w:val="both"/>
        <w:rPr>
          <w:rFonts w:ascii="Arial" w:hAnsi="Arial" w:cs="Arial"/>
          <w:sz w:val="24"/>
          <w:szCs w:val="24"/>
          <w:lang w:val="en-US"/>
        </w:rPr>
      </w:pPr>
    </w:p>
    <w:p w:rsidR="002A73C5" w:rsidRDefault="002A73C5" w:rsidP="003C75E8">
      <w:pPr>
        <w:pBdr>
          <w:bottom w:val="single" w:sz="12" w:space="1" w:color="auto"/>
        </w:pBdr>
        <w:spacing w:after="0" w:line="360" w:lineRule="auto"/>
        <w:jc w:val="center"/>
        <w:rPr>
          <w:rFonts w:ascii="Arial" w:hAnsi="Arial" w:cs="Arial"/>
          <w:b/>
          <w:sz w:val="24"/>
          <w:szCs w:val="24"/>
          <w:lang w:val="en-US"/>
        </w:rPr>
      </w:pPr>
      <w:r>
        <w:rPr>
          <w:rFonts w:ascii="Arial" w:hAnsi="Arial" w:cs="Arial"/>
          <w:b/>
          <w:sz w:val="24"/>
          <w:szCs w:val="24"/>
          <w:lang w:val="en-US"/>
        </w:rPr>
        <w:t>______________________________________________________________________</w:t>
      </w:r>
    </w:p>
    <w:p w:rsidR="00D07095" w:rsidRPr="00D07095" w:rsidRDefault="003F44E2" w:rsidP="003C75E8">
      <w:pPr>
        <w:pBdr>
          <w:bottom w:val="single" w:sz="12" w:space="1" w:color="auto"/>
        </w:pBdr>
        <w:spacing w:after="0" w:line="360" w:lineRule="auto"/>
        <w:jc w:val="center"/>
        <w:rPr>
          <w:rFonts w:ascii="Arial" w:hAnsi="Arial" w:cs="Arial"/>
          <w:b/>
          <w:sz w:val="24"/>
          <w:szCs w:val="24"/>
          <w:lang w:val="en-US"/>
        </w:rPr>
      </w:pPr>
      <w:r>
        <w:rPr>
          <w:rFonts w:ascii="Arial" w:hAnsi="Arial" w:cs="Arial"/>
          <w:b/>
          <w:sz w:val="24"/>
          <w:szCs w:val="24"/>
          <w:lang w:val="en-US"/>
        </w:rPr>
        <w:t>JUDGMENT</w:t>
      </w:r>
    </w:p>
    <w:p w:rsidR="00D07095" w:rsidRPr="00D07095" w:rsidRDefault="00D07095" w:rsidP="003C75E8">
      <w:pPr>
        <w:spacing w:after="0" w:line="360" w:lineRule="auto"/>
        <w:jc w:val="both"/>
        <w:rPr>
          <w:rFonts w:ascii="Arial" w:hAnsi="Arial" w:cs="Arial"/>
          <w:sz w:val="24"/>
          <w:szCs w:val="24"/>
          <w:lang w:val="en-US"/>
        </w:rPr>
      </w:pPr>
    </w:p>
    <w:p w:rsidR="00D07095" w:rsidRPr="00D22542" w:rsidRDefault="0094340E" w:rsidP="003C75E8">
      <w:pPr>
        <w:spacing w:after="0" w:line="360" w:lineRule="auto"/>
        <w:jc w:val="both"/>
        <w:rPr>
          <w:rFonts w:ascii="Arial" w:hAnsi="Arial" w:cs="Arial"/>
          <w:b/>
          <w:sz w:val="24"/>
          <w:szCs w:val="24"/>
          <w:lang w:val="en-US"/>
        </w:rPr>
      </w:pPr>
      <w:r w:rsidRPr="00D22542">
        <w:rPr>
          <w:rFonts w:ascii="Arial" w:hAnsi="Arial" w:cs="Arial"/>
          <w:b/>
          <w:sz w:val="24"/>
          <w:szCs w:val="24"/>
          <w:lang w:val="en-US"/>
        </w:rPr>
        <w:t>UEITELE</w:t>
      </w:r>
      <w:r w:rsidR="00D07095" w:rsidRPr="00D22542">
        <w:rPr>
          <w:rFonts w:ascii="Arial" w:hAnsi="Arial" w:cs="Arial"/>
          <w:b/>
          <w:sz w:val="24"/>
          <w:szCs w:val="24"/>
          <w:lang w:val="en-US"/>
        </w:rPr>
        <w:t xml:space="preserve"> J</w:t>
      </w:r>
    </w:p>
    <w:p w:rsidR="00D07095" w:rsidRPr="00D22542" w:rsidRDefault="00D07095" w:rsidP="003C75E8">
      <w:pPr>
        <w:spacing w:after="0" w:line="360" w:lineRule="auto"/>
        <w:jc w:val="both"/>
        <w:rPr>
          <w:rFonts w:ascii="Arial" w:hAnsi="Arial" w:cs="Arial"/>
          <w:sz w:val="24"/>
          <w:szCs w:val="24"/>
          <w:lang w:val="en-US"/>
        </w:rPr>
      </w:pPr>
    </w:p>
    <w:p w:rsidR="00D07095" w:rsidRPr="00D22542" w:rsidRDefault="00D07095" w:rsidP="003C75E8">
      <w:pPr>
        <w:spacing w:after="0" w:line="360" w:lineRule="auto"/>
        <w:jc w:val="both"/>
        <w:rPr>
          <w:rFonts w:ascii="Arial" w:hAnsi="Arial" w:cs="Arial"/>
          <w:sz w:val="24"/>
          <w:szCs w:val="24"/>
          <w:u w:val="single"/>
        </w:rPr>
      </w:pPr>
      <w:r w:rsidRPr="00D22542">
        <w:rPr>
          <w:rFonts w:ascii="Arial" w:hAnsi="Arial" w:cs="Arial"/>
          <w:sz w:val="24"/>
          <w:szCs w:val="24"/>
          <w:u w:val="single"/>
        </w:rPr>
        <w:t>Introduction</w:t>
      </w:r>
    </w:p>
    <w:p w:rsidR="00A01EC9" w:rsidRPr="00D22542" w:rsidRDefault="008616B4" w:rsidP="003C75E8">
      <w:pPr>
        <w:pStyle w:val="ListParagraph"/>
        <w:numPr>
          <w:ilvl w:val="0"/>
          <w:numId w:val="5"/>
        </w:numPr>
        <w:spacing w:before="240" w:after="0" w:line="360" w:lineRule="auto"/>
        <w:ind w:left="0" w:firstLine="0"/>
        <w:jc w:val="both"/>
        <w:rPr>
          <w:rFonts w:ascii="Arial" w:hAnsi="Arial" w:cs="Arial"/>
          <w:sz w:val="24"/>
          <w:szCs w:val="24"/>
          <w:lang w:val="en-US"/>
        </w:rPr>
      </w:pPr>
      <w:r w:rsidRPr="00D22542">
        <w:rPr>
          <w:rFonts w:ascii="Arial" w:hAnsi="Arial" w:cs="Arial"/>
          <w:sz w:val="24"/>
          <w:szCs w:val="24"/>
          <w:lang w:val="en-US"/>
        </w:rPr>
        <w:t xml:space="preserve">The </w:t>
      </w:r>
      <w:r w:rsidR="000538D2" w:rsidRPr="00D22542">
        <w:rPr>
          <w:rFonts w:ascii="Arial" w:hAnsi="Arial" w:cs="Arial"/>
          <w:sz w:val="24"/>
          <w:szCs w:val="24"/>
          <w:lang w:val="en-US"/>
        </w:rPr>
        <w:t>p</w:t>
      </w:r>
      <w:r w:rsidRPr="00D22542">
        <w:rPr>
          <w:rFonts w:ascii="Arial" w:hAnsi="Arial" w:cs="Arial"/>
          <w:sz w:val="24"/>
          <w:szCs w:val="24"/>
          <w:lang w:val="en-US"/>
        </w:rPr>
        <w:t xml:space="preserve">laintiff </w:t>
      </w:r>
      <w:r w:rsidR="005A79F4" w:rsidRPr="00D22542">
        <w:rPr>
          <w:rFonts w:ascii="Arial" w:hAnsi="Arial" w:cs="Arial"/>
          <w:sz w:val="24"/>
          <w:szCs w:val="24"/>
          <w:lang w:val="en-US"/>
        </w:rPr>
        <w:t xml:space="preserve">in this matter is New Creations Printing and Design CC, </w:t>
      </w:r>
      <w:r w:rsidR="00172DF5" w:rsidRPr="00D22542">
        <w:rPr>
          <w:rFonts w:ascii="Arial" w:hAnsi="Arial" w:cs="Arial"/>
          <w:sz w:val="24"/>
          <w:szCs w:val="24"/>
          <w:lang w:val="en-US"/>
        </w:rPr>
        <w:t>a Close Corpo</w:t>
      </w:r>
      <w:r w:rsidR="00773CE2" w:rsidRPr="00D22542">
        <w:rPr>
          <w:rFonts w:ascii="Arial" w:hAnsi="Arial" w:cs="Arial"/>
          <w:sz w:val="24"/>
          <w:szCs w:val="24"/>
          <w:lang w:val="en-US"/>
        </w:rPr>
        <w:t>ration duly incorporated in terms of the Close Corporations Law</w:t>
      </w:r>
      <w:r w:rsidR="00D4009D">
        <w:rPr>
          <w:rFonts w:ascii="Arial" w:hAnsi="Arial" w:cs="Arial"/>
          <w:sz w:val="24"/>
          <w:szCs w:val="24"/>
          <w:lang w:val="en-US"/>
        </w:rPr>
        <w:t>s of the Republic of Namibia which</w:t>
      </w:r>
      <w:r w:rsidR="00773CE2" w:rsidRPr="00D22542">
        <w:rPr>
          <w:rFonts w:ascii="Arial" w:hAnsi="Arial" w:cs="Arial"/>
          <w:sz w:val="24"/>
          <w:szCs w:val="24"/>
          <w:lang w:val="en-US"/>
        </w:rPr>
        <w:t xml:space="preserve"> was carrying on business as a printing and graphic design business enterprise in Windhoek.</w:t>
      </w:r>
    </w:p>
    <w:p w:rsidR="0052743D" w:rsidRPr="00D22542" w:rsidRDefault="0052743D" w:rsidP="003C75E8">
      <w:pPr>
        <w:pStyle w:val="ListParagraph"/>
        <w:spacing w:before="240" w:after="0" w:line="360" w:lineRule="auto"/>
        <w:jc w:val="both"/>
        <w:rPr>
          <w:rFonts w:ascii="Arial" w:hAnsi="Arial" w:cs="Arial"/>
          <w:sz w:val="24"/>
          <w:szCs w:val="24"/>
          <w:lang w:val="en-US"/>
        </w:rPr>
      </w:pPr>
    </w:p>
    <w:p w:rsidR="000E21D7" w:rsidRDefault="00773CE2" w:rsidP="003C75E8">
      <w:pPr>
        <w:pStyle w:val="ListParagraph"/>
        <w:numPr>
          <w:ilvl w:val="0"/>
          <w:numId w:val="5"/>
        </w:numPr>
        <w:spacing w:before="240" w:after="0" w:line="360" w:lineRule="auto"/>
        <w:ind w:left="0" w:firstLine="0"/>
        <w:jc w:val="both"/>
        <w:rPr>
          <w:rFonts w:ascii="Arial" w:hAnsi="Arial" w:cs="Arial"/>
          <w:sz w:val="24"/>
          <w:szCs w:val="24"/>
          <w:lang w:val="en-US"/>
        </w:rPr>
      </w:pPr>
      <w:r w:rsidRPr="00D22542">
        <w:rPr>
          <w:rFonts w:ascii="Arial" w:hAnsi="Arial" w:cs="Arial"/>
          <w:sz w:val="24"/>
          <w:szCs w:val="24"/>
          <w:lang w:val="en-US"/>
        </w:rPr>
        <w:t xml:space="preserve">The </w:t>
      </w:r>
      <w:r w:rsidR="000538D2" w:rsidRPr="00D22542">
        <w:rPr>
          <w:rFonts w:ascii="Arial" w:hAnsi="Arial" w:cs="Arial"/>
          <w:sz w:val="24"/>
          <w:szCs w:val="24"/>
          <w:lang w:val="en-US"/>
        </w:rPr>
        <w:t>d</w:t>
      </w:r>
      <w:r w:rsidRPr="00D22542">
        <w:rPr>
          <w:rFonts w:ascii="Arial" w:hAnsi="Arial" w:cs="Arial"/>
          <w:sz w:val="24"/>
          <w:szCs w:val="24"/>
          <w:lang w:val="en-US"/>
        </w:rPr>
        <w:t>efendant</w:t>
      </w:r>
      <w:r w:rsidR="005A79F4" w:rsidRPr="00D22542">
        <w:rPr>
          <w:rFonts w:ascii="Arial" w:hAnsi="Arial" w:cs="Arial"/>
          <w:sz w:val="24"/>
          <w:szCs w:val="24"/>
          <w:lang w:val="en-US"/>
        </w:rPr>
        <w:t xml:space="preserve"> is Quanta Insurance Limited</w:t>
      </w:r>
      <w:r w:rsidR="00D4009D">
        <w:rPr>
          <w:rFonts w:ascii="Arial" w:hAnsi="Arial" w:cs="Arial"/>
          <w:sz w:val="24"/>
          <w:szCs w:val="24"/>
          <w:lang w:val="en-US"/>
        </w:rPr>
        <w:t>,</w:t>
      </w:r>
      <w:r w:rsidRPr="00D22542">
        <w:rPr>
          <w:rFonts w:ascii="Arial" w:hAnsi="Arial" w:cs="Arial"/>
          <w:sz w:val="24"/>
          <w:szCs w:val="24"/>
          <w:lang w:val="en-US"/>
        </w:rPr>
        <w:t xml:space="preserve"> a </w:t>
      </w:r>
      <w:r w:rsidR="00D4009D">
        <w:rPr>
          <w:rFonts w:ascii="Arial" w:hAnsi="Arial" w:cs="Arial"/>
          <w:sz w:val="24"/>
          <w:szCs w:val="24"/>
          <w:lang w:val="en-US"/>
        </w:rPr>
        <w:t>C</w:t>
      </w:r>
      <w:r w:rsidRPr="00D22542">
        <w:rPr>
          <w:rFonts w:ascii="Arial" w:hAnsi="Arial" w:cs="Arial"/>
          <w:sz w:val="24"/>
          <w:szCs w:val="24"/>
          <w:lang w:val="en-US"/>
        </w:rPr>
        <w:t xml:space="preserve">ompany incorporated in terms of the applicable Company Laws of the Republic of Namibia and a duly registered and existing insurer, which carries on short-term insurance business in Namibia as contemplated </w:t>
      </w:r>
      <w:r w:rsidR="000538D2" w:rsidRPr="00D22542">
        <w:rPr>
          <w:rFonts w:ascii="Arial" w:hAnsi="Arial" w:cs="Arial"/>
          <w:sz w:val="24"/>
          <w:szCs w:val="24"/>
          <w:lang w:val="en-US"/>
        </w:rPr>
        <w:t xml:space="preserve">in the Short Term Insurance Act, </w:t>
      </w:r>
      <w:r w:rsidRPr="00D22542">
        <w:rPr>
          <w:rFonts w:ascii="Arial" w:hAnsi="Arial" w:cs="Arial"/>
          <w:sz w:val="24"/>
          <w:szCs w:val="24"/>
          <w:lang w:val="en-US"/>
        </w:rPr>
        <w:t>1998</w:t>
      </w:r>
      <w:r w:rsidR="005A79F4" w:rsidRPr="00D22542">
        <w:rPr>
          <w:rStyle w:val="FootnoteReference"/>
          <w:rFonts w:ascii="Arial" w:hAnsi="Arial" w:cs="Arial"/>
          <w:sz w:val="24"/>
          <w:szCs w:val="24"/>
          <w:lang w:val="en-US"/>
        </w:rPr>
        <w:footnoteReference w:id="1"/>
      </w:r>
      <w:r w:rsidRPr="00D22542">
        <w:rPr>
          <w:rFonts w:ascii="Arial" w:hAnsi="Arial" w:cs="Arial"/>
          <w:sz w:val="24"/>
          <w:szCs w:val="24"/>
          <w:lang w:val="en-US"/>
        </w:rPr>
        <w:t xml:space="preserve">. </w:t>
      </w:r>
    </w:p>
    <w:p w:rsidR="00D4009D" w:rsidRPr="00D22542" w:rsidRDefault="00D4009D" w:rsidP="003C75E8">
      <w:pPr>
        <w:pStyle w:val="ListParagraph"/>
        <w:spacing w:before="240" w:after="0" w:line="360" w:lineRule="auto"/>
        <w:ind w:left="0"/>
        <w:jc w:val="both"/>
        <w:rPr>
          <w:rFonts w:ascii="Arial" w:hAnsi="Arial" w:cs="Arial"/>
          <w:sz w:val="24"/>
          <w:szCs w:val="24"/>
          <w:lang w:val="en-US"/>
        </w:rPr>
      </w:pPr>
    </w:p>
    <w:p w:rsidR="007036DD" w:rsidRPr="00D22542" w:rsidRDefault="005A79F4" w:rsidP="003C75E8">
      <w:pPr>
        <w:pStyle w:val="ListParagraph"/>
        <w:numPr>
          <w:ilvl w:val="0"/>
          <w:numId w:val="5"/>
        </w:numPr>
        <w:spacing w:before="240" w:after="0" w:line="360" w:lineRule="auto"/>
        <w:ind w:left="0" w:firstLine="0"/>
        <w:jc w:val="both"/>
        <w:rPr>
          <w:rFonts w:ascii="Arial" w:hAnsi="Arial" w:cs="Arial"/>
          <w:sz w:val="24"/>
          <w:szCs w:val="24"/>
          <w:lang w:val="en-US"/>
        </w:rPr>
      </w:pPr>
      <w:r w:rsidRPr="00D22542">
        <w:rPr>
          <w:rFonts w:ascii="Arial" w:hAnsi="Arial" w:cs="Arial"/>
          <w:sz w:val="24"/>
          <w:szCs w:val="24"/>
          <w:lang w:val="en-US"/>
        </w:rPr>
        <w:t>On 28 June 2018 the p</w:t>
      </w:r>
      <w:r w:rsidR="00172DF5" w:rsidRPr="00D22542">
        <w:rPr>
          <w:rFonts w:ascii="Arial" w:hAnsi="Arial" w:cs="Arial"/>
          <w:sz w:val="24"/>
          <w:szCs w:val="24"/>
          <w:lang w:val="en-US"/>
        </w:rPr>
        <w:t xml:space="preserve">laintiff </w:t>
      </w:r>
      <w:r w:rsidRPr="00D22542">
        <w:rPr>
          <w:rFonts w:ascii="Arial" w:hAnsi="Arial" w:cs="Arial"/>
          <w:sz w:val="24"/>
          <w:szCs w:val="24"/>
          <w:lang w:val="en-US"/>
        </w:rPr>
        <w:t xml:space="preserve">caused summons to be issued out of this </w:t>
      </w:r>
      <w:r w:rsidR="00D4009D">
        <w:rPr>
          <w:rFonts w:ascii="Arial" w:hAnsi="Arial" w:cs="Arial"/>
          <w:sz w:val="24"/>
          <w:szCs w:val="24"/>
          <w:lang w:val="en-US"/>
        </w:rPr>
        <w:t>C</w:t>
      </w:r>
      <w:r w:rsidR="00187F53" w:rsidRPr="00D22542">
        <w:rPr>
          <w:rFonts w:ascii="Arial" w:hAnsi="Arial" w:cs="Arial"/>
          <w:sz w:val="24"/>
          <w:szCs w:val="24"/>
          <w:lang w:val="en-US"/>
        </w:rPr>
        <w:t>ourt in</w:t>
      </w:r>
      <w:r w:rsidRPr="00D22542">
        <w:rPr>
          <w:rFonts w:ascii="Arial" w:hAnsi="Arial" w:cs="Arial"/>
          <w:sz w:val="24"/>
          <w:szCs w:val="24"/>
          <w:lang w:val="en-US"/>
        </w:rPr>
        <w:t xml:space="preserve"> terms of which the plaintiff </w:t>
      </w:r>
      <w:r w:rsidR="008616B4" w:rsidRPr="00D22542">
        <w:rPr>
          <w:rFonts w:ascii="Arial" w:hAnsi="Arial" w:cs="Arial"/>
          <w:sz w:val="24"/>
          <w:szCs w:val="24"/>
          <w:lang w:val="en-US"/>
        </w:rPr>
        <w:t>claim</w:t>
      </w:r>
      <w:r w:rsidRPr="00D22542">
        <w:rPr>
          <w:rFonts w:ascii="Arial" w:hAnsi="Arial" w:cs="Arial"/>
          <w:sz w:val="24"/>
          <w:szCs w:val="24"/>
          <w:lang w:val="en-US"/>
        </w:rPr>
        <w:t>s</w:t>
      </w:r>
      <w:r w:rsidR="008616B4" w:rsidRPr="00D22542">
        <w:rPr>
          <w:rFonts w:ascii="Arial" w:hAnsi="Arial" w:cs="Arial"/>
          <w:sz w:val="24"/>
          <w:szCs w:val="24"/>
          <w:lang w:val="en-US"/>
        </w:rPr>
        <w:t xml:space="preserve"> </w:t>
      </w:r>
      <w:r w:rsidR="00205D71">
        <w:rPr>
          <w:rFonts w:ascii="Arial" w:hAnsi="Arial" w:cs="Arial"/>
          <w:sz w:val="24"/>
          <w:szCs w:val="24"/>
          <w:lang w:val="en-US"/>
        </w:rPr>
        <w:t xml:space="preserve">for </w:t>
      </w:r>
      <w:r w:rsidR="008616B4" w:rsidRPr="00D22542">
        <w:rPr>
          <w:rFonts w:ascii="Arial" w:hAnsi="Arial" w:cs="Arial"/>
          <w:sz w:val="24"/>
          <w:szCs w:val="24"/>
          <w:lang w:val="en-US"/>
        </w:rPr>
        <w:t xml:space="preserve">damages </w:t>
      </w:r>
      <w:r w:rsidR="00EB2BE0" w:rsidRPr="00D22542">
        <w:rPr>
          <w:rFonts w:ascii="Arial" w:hAnsi="Arial" w:cs="Arial"/>
          <w:sz w:val="24"/>
          <w:szCs w:val="24"/>
          <w:lang w:val="en-US"/>
        </w:rPr>
        <w:t>in the amount of N$</w:t>
      </w:r>
      <w:r w:rsidR="008616B4" w:rsidRPr="00D22542">
        <w:rPr>
          <w:rFonts w:ascii="Arial" w:hAnsi="Arial" w:cs="Arial"/>
          <w:sz w:val="24"/>
          <w:szCs w:val="24"/>
          <w:lang w:val="en-US"/>
        </w:rPr>
        <w:t>9</w:t>
      </w:r>
      <w:r w:rsidRPr="00D22542">
        <w:rPr>
          <w:rFonts w:ascii="Arial" w:hAnsi="Arial" w:cs="Arial"/>
          <w:sz w:val="24"/>
          <w:szCs w:val="24"/>
          <w:lang w:val="en-US"/>
        </w:rPr>
        <w:t xml:space="preserve"> 000 </w:t>
      </w:r>
      <w:r w:rsidR="008616B4" w:rsidRPr="00D22542">
        <w:rPr>
          <w:rFonts w:ascii="Arial" w:hAnsi="Arial" w:cs="Arial"/>
          <w:sz w:val="24"/>
          <w:szCs w:val="24"/>
          <w:lang w:val="en-US"/>
        </w:rPr>
        <w:t>000</w:t>
      </w:r>
      <w:r w:rsidR="00187F53" w:rsidRPr="00D22542">
        <w:rPr>
          <w:rFonts w:ascii="Arial" w:hAnsi="Arial" w:cs="Arial"/>
          <w:sz w:val="24"/>
          <w:szCs w:val="24"/>
          <w:lang w:val="en-US"/>
        </w:rPr>
        <w:t xml:space="preserve"> </w:t>
      </w:r>
      <w:r w:rsidR="00E930F8" w:rsidRPr="00D22542">
        <w:rPr>
          <w:rFonts w:ascii="Arial" w:hAnsi="Arial" w:cs="Arial"/>
          <w:sz w:val="24"/>
          <w:szCs w:val="24"/>
          <w:lang w:val="en-US"/>
        </w:rPr>
        <w:t xml:space="preserve">in respect of </w:t>
      </w:r>
      <w:r w:rsidR="003F44E2">
        <w:rPr>
          <w:rFonts w:ascii="Arial" w:hAnsi="Arial" w:cs="Arial"/>
          <w:sz w:val="24"/>
          <w:szCs w:val="24"/>
          <w:lang w:val="en-US"/>
        </w:rPr>
        <w:t xml:space="preserve">alleged </w:t>
      </w:r>
      <w:r w:rsidR="00E930F8" w:rsidRPr="00D22542">
        <w:rPr>
          <w:rFonts w:ascii="Arial" w:hAnsi="Arial" w:cs="Arial"/>
          <w:sz w:val="24"/>
          <w:szCs w:val="24"/>
          <w:lang w:val="en-US"/>
        </w:rPr>
        <w:t>damage to the plaintiff’s printer</w:t>
      </w:r>
      <w:r w:rsidR="00D15F6B">
        <w:rPr>
          <w:rFonts w:ascii="Arial" w:hAnsi="Arial" w:cs="Arial"/>
          <w:sz w:val="24"/>
          <w:szCs w:val="24"/>
          <w:lang w:val="en-US"/>
        </w:rPr>
        <w:t xml:space="preserve"> for which plaintiff was i</w:t>
      </w:r>
      <w:r w:rsidR="00205D71">
        <w:rPr>
          <w:rFonts w:ascii="Arial" w:hAnsi="Arial" w:cs="Arial"/>
          <w:sz w:val="24"/>
          <w:szCs w:val="24"/>
          <w:lang w:val="en-US"/>
        </w:rPr>
        <w:t>nsured by the defendant</w:t>
      </w:r>
      <w:r w:rsidR="00187F53" w:rsidRPr="00D22542">
        <w:rPr>
          <w:rFonts w:ascii="Arial" w:hAnsi="Arial" w:cs="Arial"/>
          <w:sz w:val="24"/>
          <w:szCs w:val="24"/>
          <w:lang w:val="en-US"/>
        </w:rPr>
        <w:t xml:space="preserve"> </w:t>
      </w:r>
      <w:r w:rsidR="00187F53" w:rsidRPr="00D22542">
        <w:rPr>
          <w:rFonts w:ascii="Arial" w:hAnsi="Arial" w:cs="Arial"/>
          <w:sz w:val="24"/>
          <w:szCs w:val="24"/>
          <w:lang w:val="en-US"/>
        </w:rPr>
        <w:lastRenderedPageBreak/>
        <w:t>and N$ 9 000 0</w:t>
      </w:r>
      <w:r w:rsidR="00EB2BE0" w:rsidRPr="00D22542">
        <w:rPr>
          <w:rFonts w:ascii="Arial" w:hAnsi="Arial" w:cs="Arial"/>
          <w:sz w:val="24"/>
          <w:szCs w:val="24"/>
          <w:lang w:val="en-US"/>
        </w:rPr>
        <w:t>00</w:t>
      </w:r>
      <w:r w:rsidR="00E930F8" w:rsidRPr="00D22542">
        <w:rPr>
          <w:rFonts w:ascii="Arial" w:hAnsi="Arial" w:cs="Arial"/>
          <w:sz w:val="24"/>
          <w:szCs w:val="24"/>
          <w:lang w:val="en-US"/>
        </w:rPr>
        <w:t xml:space="preserve"> in respect of</w:t>
      </w:r>
      <w:r w:rsidR="00205BA9" w:rsidRPr="00D22542">
        <w:rPr>
          <w:rFonts w:ascii="Arial" w:hAnsi="Arial" w:cs="Arial"/>
          <w:sz w:val="24"/>
          <w:szCs w:val="24"/>
          <w:lang w:val="en-US"/>
        </w:rPr>
        <w:t xml:space="preserve"> </w:t>
      </w:r>
      <w:r w:rsidR="00E930F8" w:rsidRPr="00D22542">
        <w:rPr>
          <w:rFonts w:ascii="Arial" w:hAnsi="Arial" w:cs="Arial"/>
          <w:sz w:val="24"/>
          <w:szCs w:val="24"/>
          <w:lang w:val="en-US"/>
        </w:rPr>
        <w:t>loss of income as a result of the damaged printer</w:t>
      </w:r>
      <w:r w:rsidR="00205D71">
        <w:rPr>
          <w:rFonts w:ascii="Arial" w:hAnsi="Arial" w:cs="Arial"/>
          <w:sz w:val="24"/>
          <w:szCs w:val="24"/>
          <w:lang w:val="en-US"/>
        </w:rPr>
        <w:t>, for which the plaintiff was also</w:t>
      </w:r>
      <w:r w:rsidR="00D15F6B">
        <w:rPr>
          <w:rFonts w:ascii="Arial" w:hAnsi="Arial" w:cs="Arial"/>
          <w:sz w:val="24"/>
          <w:szCs w:val="24"/>
          <w:lang w:val="en-US"/>
        </w:rPr>
        <w:t xml:space="preserve"> i</w:t>
      </w:r>
      <w:r w:rsidR="00205D71">
        <w:rPr>
          <w:rFonts w:ascii="Arial" w:hAnsi="Arial" w:cs="Arial"/>
          <w:sz w:val="24"/>
          <w:szCs w:val="24"/>
          <w:lang w:val="en-US"/>
        </w:rPr>
        <w:t>nsured by the defendant</w:t>
      </w:r>
      <w:r w:rsidR="00E930F8" w:rsidRPr="00D22542">
        <w:rPr>
          <w:rFonts w:ascii="Arial" w:hAnsi="Arial" w:cs="Arial"/>
          <w:sz w:val="24"/>
          <w:szCs w:val="24"/>
          <w:lang w:val="en-US"/>
        </w:rPr>
        <w:t xml:space="preserve">. </w:t>
      </w:r>
      <w:r w:rsidR="00187F53" w:rsidRPr="00D22542">
        <w:rPr>
          <w:rFonts w:ascii="Arial" w:hAnsi="Arial" w:cs="Arial"/>
          <w:sz w:val="24"/>
          <w:szCs w:val="24"/>
          <w:lang w:val="en-US"/>
        </w:rPr>
        <w:t xml:space="preserve">The defendant entered notice to defend the plaintiffs </w:t>
      </w:r>
      <w:r w:rsidR="00205D71">
        <w:rPr>
          <w:rFonts w:ascii="Arial" w:hAnsi="Arial" w:cs="Arial"/>
          <w:sz w:val="24"/>
          <w:szCs w:val="24"/>
          <w:lang w:val="en-US"/>
        </w:rPr>
        <w:t>action</w:t>
      </w:r>
      <w:r w:rsidR="00187F53" w:rsidRPr="00D22542">
        <w:rPr>
          <w:rFonts w:ascii="Arial" w:hAnsi="Arial" w:cs="Arial"/>
          <w:sz w:val="24"/>
          <w:szCs w:val="24"/>
          <w:lang w:val="en-US"/>
        </w:rPr>
        <w:t>.</w:t>
      </w:r>
    </w:p>
    <w:p w:rsidR="0052743D" w:rsidRPr="00D22542" w:rsidRDefault="0052743D" w:rsidP="003C75E8">
      <w:pPr>
        <w:pStyle w:val="ListParagraph"/>
        <w:spacing w:before="240" w:after="0" w:line="360" w:lineRule="auto"/>
        <w:jc w:val="both"/>
        <w:rPr>
          <w:rFonts w:ascii="Arial" w:hAnsi="Arial" w:cs="Arial"/>
          <w:sz w:val="24"/>
          <w:szCs w:val="24"/>
          <w:lang w:val="en-US"/>
        </w:rPr>
      </w:pPr>
    </w:p>
    <w:p w:rsidR="007036DD" w:rsidRPr="00D22542" w:rsidRDefault="00187F53" w:rsidP="003C75E8">
      <w:pPr>
        <w:spacing w:before="240" w:after="0" w:line="360" w:lineRule="auto"/>
        <w:jc w:val="both"/>
        <w:rPr>
          <w:rFonts w:ascii="Arial" w:hAnsi="Arial" w:cs="Arial"/>
          <w:sz w:val="24"/>
          <w:szCs w:val="24"/>
          <w:u w:val="single"/>
          <w:lang w:val="en-US"/>
        </w:rPr>
      </w:pPr>
      <w:r w:rsidRPr="00D22542">
        <w:rPr>
          <w:rFonts w:ascii="Arial" w:hAnsi="Arial" w:cs="Arial"/>
          <w:sz w:val="24"/>
          <w:szCs w:val="24"/>
          <w:u w:val="single"/>
          <w:lang w:val="en-US"/>
        </w:rPr>
        <w:t xml:space="preserve">Factual </w:t>
      </w:r>
      <w:r w:rsidR="0058323B" w:rsidRPr="00D22542">
        <w:rPr>
          <w:rFonts w:ascii="Arial" w:hAnsi="Arial" w:cs="Arial"/>
          <w:sz w:val="24"/>
          <w:szCs w:val="24"/>
          <w:u w:val="single"/>
          <w:lang w:val="en-US"/>
        </w:rPr>
        <w:t>Background</w:t>
      </w:r>
    </w:p>
    <w:p w:rsidR="00E535F3" w:rsidRPr="00D22542" w:rsidRDefault="00187F53" w:rsidP="003C75E8">
      <w:pPr>
        <w:pStyle w:val="ListParagraph"/>
        <w:spacing w:before="240" w:after="0" w:line="360" w:lineRule="auto"/>
        <w:ind w:left="0"/>
        <w:jc w:val="both"/>
        <w:rPr>
          <w:rFonts w:ascii="Arial" w:hAnsi="Arial" w:cs="Arial"/>
          <w:sz w:val="24"/>
          <w:szCs w:val="24"/>
        </w:rPr>
      </w:pPr>
      <w:r w:rsidRPr="00D22542">
        <w:rPr>
          <w:rFonts w:ascii="Arial" w:hAnsi="Arial" w:cs="Arial"/>
          <w:sz w:val="24"/>
          <w:szCs w:val="24"/>
        </w:rPr>
        <w:t>[4]</w:t>
      </w:r>
      <w:r w:rsidRPr="00D22542">
        <w:rPr>
          <w:rFonts w:ascii="Arial" w:hAnsi="Arial" w:cs="Arial"/>
          <w:sz w:val="24"/>
          <w:szCs w:val="24"/>
        </w:rPr>
        <w:tab/>
        <w:t xml:space="preserve">On 18 May 2016 the plaintiff </w:t>
      </w:r>
      <w:r w:rsidR="000538D2" w:rsidRPr="00D22542">
        <w:rPr>
          <w:rFonts w:ascii="Arial" w:hAnsi="Arial" w:cs="Arial"/>
          <w:sz w:val="24"/>
          <w:szCs w:val="24"/>
        </w:rPr>
        <w:t>entered into a short-te</w:t>
      </w:r>
      <w:r w:rsidRPr="00D22542">
        <w:rPr>
          <w:rFonts w:ascii="Arial" w:hAnsi="Arial" w:cs="Arial"/>
          <w:sz w:val="24"/>
          <w:szCs w:val="24"/>
        </w:rPr>
        <w:t>rm contract of insurance with the defendant</w:t>
      </w:r>
      <w:r w:rsidR="000538D2" w:rsidRPr="00D22542">
        <w:rPr>
          <w:rFonts w:ascii="Arial" w:hAnsi="Arial" w:cs="Arial"/>
          <w:sz w:val="24"/>
          <w:szCs w:val="24"/>
        </w:rPr>
        <w:t xml:space="preserve">. In terms of that contract, the </w:t>
      </w:r>
      <w:r w:rsidRPr="00D22542">
        <w:rPr>
          <w:rFonts w:ascii="Arial" w:hAnsi="Arial" w:cs="Arial"/>
          <w:sz w:val="24"/>
          <w:szCs w:val="24"/>
        </w:rPr>
        <w:t>plaintiff</w:t>
      </w:r>
      <w:r w:rsidR="000538D2" w:rsidRPr="00D22542">
        <w:rPr>
          <w:rFonts w:ascii="Arial" w:hAnsi="Arial" w:cs="Arial"/>
          <w:sz w:val="24"/>
          <w:szCs w:val="24"/>
        </w:rPr>
        <w:t xml:space="preserve"> was insured against, among other risks, loss resulting from damage to </w:t>
      </w:r>
      <w:r w:rsidR="00071CEF" w:rsidRPr="00D22542">
        <w:rPr>
          <w:rFonts w:ascii="Arial" w:hAnsi="Arial" w:cs="Arial"/>
          <w:sz w:val="24"/>
          <w:szCs w:val="24"/>
        </w:rPr>
        <w:t xml:space="preserve">its Xerox Igen 3 Digital Press printer </w:t>
      </w:r>
      <w:r w:rsidR="00747C0F" w:rsidRPr="00D22542">
        <w:rPr>
          <w:rFonts w:ascii="Arial" w:hAnsi="Arial" w:cs="Arial"/>
          <w:sz w:val="24"/>
          <w:szCs w:val="24"/>
        </w:rPr>
        <w:t xml:space="preserve">(I will in this judgment and for ease of reference refer to the Xerox Igen 3 Digital Press printer as the ‘printer’) </w:t>
      </w:r>
      <w:r w:rsidR="00071CEF" w:rsidRPr="00D22542">
        <w:rPr>
          <w:rFonts w:ascii="Arial" w:hAnsi="Arial" w:cs="Arial"/>
          <w:sz w:val="24"/>
          <w:szCs w:val="24"/>
        </w:rPr>
        <w:t xml:space="preserve">as well as losses </w:t>
      </w:r>
      <w:r w:rsidR="00E535F3" w:rsidRPr="00D22542">
        <w:rPr>
          <w:rFonts w:ascii="Arial" w:hAnsi="Arial" w:cs="Arial"/>
          <w:sz w:val="24"/>
          <w:szCs w:val="24"/>
        </w:rPr>
        <w:t xml:space="preserve">to the plaintiff’s </w:t>
      </w:r>
      <w:r w:rsidR="00071CEF" w:rsidRPr="00D22542">
        <w:rPr>
          <w:rFonts w:ascii="Arial" w:hAnsi="Arial" w:cs="Arial"/>
          <w:sz w:val="24"/>
          <w:szCs w:val="24"/>
          <w:lang w:val="en-US"/>
        </w:rPr>
        <w:t xml:space="preserve">printing and graphic design </w:t>
      </w:r>
      <w:r w:rsidR="00E535F3" w:rsidRPr="00D22542">
        <w:rPr>
          <w:rFonts w:ascii="Arial" w:hAnsi="Arial" w:cs="Arial"/>
          <w:sz w:val="24"/>
          <w:szCs w:val="24"/>
          <w:lang w:val="en-US"/>
        </w:rPr>
        <w:t>business as a result of business interruptions</w:t>
      </w:r>
      <w:r w:rsidR="00E535F3" w:rsidRPr="00D22542">
        <w:rPr>
          <w:rFonts w:ascii="Arial" w:hAnsi="Arial" w:cs="Arial"/>
          <w:sz w:val="24"/>
          <w:szCs w:val="24"/>
        </w:rPr>
        <w:t xml:space="preserve">. </w:t>
      </w:r>
    </w:p>
    <w:p w:rsidR="00E535F3" w:rsidRPr="00D22542" w:rsidRDefault="00E535F3" w:rsidP="003C75E8">
      <w:pPr>
        <w:pStyle w:val="ListParagraph"/>
        <w:spacing w:before="240" w:after="0" w:line="360" w:lineRule="auto"/>
        <w:ind w:left="0"/>
        <w:jc w:val="both"/>
        <w:rPr>
          <w:rFonts w:ascii="Arial" w:hAnsi="Arial" w:cs="Arial"/>
          <w:sz w:val="24"/>
          <w:szCs w:val="24"/>
        </w:rPr>
      </w:pPr>
    </w:p>
    <w:p w:rsidR="00747C0F" w:rsidRDefault="00E535F3" w:rsidP="003C75E8">
      <w:pPr>
        <w:pStyle w:val="ListParagraph"/>
        <w:spacing w:before="240" w:after="0" w:line="360" w:lineRule="auto"/>
        <w:ind w:left="0"/>
        <w:jc w:val="both"/>
        <w:rPr>
          <w:rFonts w:ascii="Arial" w:hAnsi="Arial" w:cs="Arial"/>
          <w:sz w:val="24"/>
          <w:szCs w:val="24"/>
        </w:rPr>
      </w:pPr>
      <w:r w:rsidRPr="00D22542">
        <w:rPr>
          <w:rFonts w:ascii="Arial" w:hAnsi="Arial" w:cs="Arial"/>
          <w:sz w:val="24"/>
          <w:szCs w:val="24"/>
        </w:rPr>
        <w:t>[5]</w:t>
      </w:r>
      <w:r w:rsidRPr="00D22542">
        <w:rPr>
          <w:rFonts w:ascii="Arial" w:hAnsi="Arial" w:cs="Arial"/>
          <w:sz w:val="24"/>
          <w:szCs w:val="24"/>
        </w:rPr>
        <w:tab/>
        <w:t>On</w:t>
      </w:r>
      <w:r w:rsidR="00343E18">
        <w:rPr>
          <w:rFonts w:ascii="Arial" w:hAnsi="Arial" w:cs="Arial"/>
          <w:sz w:val="24"/>
          <w:szCs w:val="24"/>
        </w:rPr>
        <w:t xml:space="preserve"> the evening of </w:t>
      </w:r>
      <w:r w:rsidRPr="00D22542">
        <w:rPr>
          <w:rFonts w:ascii="Arial" w:hAnsi="Arial" w:cs="Arial"/>
          <w:sz w:val="24"/>
          <w:szCs w:val="24"/>
          <w:lang w:val="en-US"/>
        </w:rPr>
        <w:t>22 July 2016, a power</w:t>
      </w:r>
      <w:r w:rsidR="00747C0F" w:rsidRPr="00D22542">
        <w:rPr>
          <w:rFonts w:ascii="Arial" w:hAnsi="Arial" w:cs="Arial"/>
          <w:sz w:val="24"/>
          <w:szCs w:val="24"/>
          <w:lang w:val="en-US"/>
        </w:rPr>
        <w:t xml:space="preserve"> (electricity)</w:t>
      </w:r>
      <w:r w:rsidRPr="00D22542">
        <w:rPr>
          <w:rFonts w:ascii="Arial" w:hAnsi="Arial" w:cs="Arial"/>
          <w:sz w:val="24"/>
          <w:szCs w:val="24"/>
          <w:lang w:val="en-US"/>
        </w:rPr>
        <w:t xml:space="preserve"> failure occurred at the plaintiff’s business premises</w:t>
      </w:r>
      <w:r w:rsidR="00343E18">
        <w:rPr>
          <w:rFonts w:ascii="Arial" w:hAnsi="Arial" w:cs="Arial"/>
          <w:sz w:val="24"/>
          <w:szCs w:val="24"/>
          <w:lang w:val="en-US"/>
        </w:rPr>
        <w:t xml:space="preserve"> and the printer went off. The next morning on 23 July 2016, the plaintiff notified the defendant that the printer was failing to switch on and also called a technician. The technician’s findings were that the printer had been damaged </w:t>
      </w:r>
      <w:r w:rsidR="000538D2" w:rsidRPr="00D22542">
        <w:rPr>
          <w:rFonts w:ascii="Arial" w:hAnsi="Arial" w:cs="Arial"/>
          <w:sz w:val="24"/>
          <w:szCs w:val="24"/>
        </w:rPr>
        <w:t xml:space="preserve">beyond economic repair. </w:t>
      </w:r>
      <w:r w:rsidR="00343E18">
        <w:rPr>
          <w:rFonts w:ascii="Arial" w:hAnsi="Arial" w:cs="Arial"/>
          <w:sz w:val="24"/>
          <w:szCs w:val="24"/>
        </w:rPr>
        <w:t xml:space="preserve">The defendant disagreed that the printer was damaged beyond economic repair. </w:t>
      </w:r>
      <w:r w:rsidR="00747C0F" w:rsidRPr="00D22542">
        <w:rPr>
          <w:rFonts w:ascii="Arial" w:hAnsi="Arial" w:cs="Arial"/>
          <w:sz w:val="24"/>
          <w:szCs w:val="24"/>
        </w:rPr>
        <w:t>O</w:t>
      </w:r>
      <w:r w:rsidR="00343E18">
        <w:rPr>
          <w:rFonts w:ascii="Arial" w:hAnsi="Arial" w:cs="Arial"/>
          <w:sz w:val="24"/>
          <w:szCs w:val="24"/>
        </w:rPr>
        <w:t>n 29 August 2016 the plaintiff filed a written claim with the defendant by filling out the prescribed form.</w:t>
      </w:r>
    </w:p>
    <w:p w:rsidR="00343E18" w:rsidRDefault="00343E18" w:rsidP="003C75E8">
      <w:pPr>
        <w:pStyle w:val="ListParagraph"/>
        <w:spacing w:before="240" w:after="0" w:line="360" w:lineRule="auto"/>
        <w:ind w:left="0"/>
        <w:jc w:val="both"/>
        <w:rPr>
          <w:rFonts w:ascii="Arial" w:hAnsi="Arial" w:cs="Arial"/>
          <w:sz w:val="24"/>
          <w:szCs w:val="24"/>
        </w:rPr>
      </w:pPr>
    </w:p>
    <w:p w:rsidR="00343E18" w:rsidRPr="00D22542" w:rsidRDefault="00343E18" w:rsidP="003C75E8">
      <w:pPr>
        <w:pStyle w:val="ListParagraph"/>
        <w:spacing w:before="240" w:after="0"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The defendant, denying that the printer was damaged beyond repair, attempted to</w:t>
      </w:r>
      <w:r w:rsidR="00487634">
        <w:rPr>
          <w:rFonts w:ascii="Arial" w:hAnsi="Arial" w:cs="Arial"/>
          <w:sz w:val="24"/>
          <w:szCs w:val="24"/>
        </w:rPr>
        <w:t xml:space="preserve"> fix the printer by bringing in local as well as expert technicians</w:t>
      </w:r>
      <w:r>
        <w:rPr>
          <w:rFonts w:ascii="Arial" w:hAnsi="Arial" w:cs="Arial"/>
          <w:sz w:val="24"/>
          <w:szCs w:val="24"/>
        </w:rPr>
        <w:t xml:space="preserve"> </w:t>
      </w:r>
      <w:r w:rsidR="00487634">
        <w:rPr>
          <w:rFonts w:ascii="Arial" w:hAnsi="Arial" w:cs="Arial"/>
          <w:sz w:val="24"/>
          <w:szCs w:val="24"/>
        </w:rPr>
        <w:t xml:space="preserve">in an attempt to repair the printer. On 17 February 2017, while the expert technician was working on the printer, something blew inside of the printer, causing a burning smell. </w:t>
      </w:r>
    </w:p>
    <w:p w:rsidR="00747C0F" w:rsidRPr="00D22542" w:rsidRDefault="00747C0F" w:rsidP="003C75E8">
      <w:pPr>
        <w:pStyle w:val="ListParagraph"/>
        <w:spacing w:before="240" w:after="0" w:line="360" w:lineRule="auto"/>
        <w:ind w:left="0"/>
        <w:jc w:val="both"/>
        <w:rPr>
          <w:rFonts w:ascii="Arial" w:hAnsi="Arial" w:cs="Arial"/>
          <w:sz w:val="24"/>
          <w:szCs w:val="24"/>
        </w:rPr>
      </w:pPr>
    </w:p>
    <w:p w:rsidR="000E2A39" w:rsidRPr="00D22542" w:rsidRDefault="00747C0F" w:rsidP="003C75E8">
      <w:pPr>
        <w:pBdr>
          <w:top w:val="nil"/>
          <w:left w:val="nil"/>
          <w:bottom w:val="nil"/>
          <w:right w:val="nil"/>
          <w:between w:val="nil"/>
        </w:pBdr>
        <w:spacing w:after="0" w:line="360" w:lineRule="auto"/>
        <w:jc w:val="both"/>
        <w:rPr>
          <w:rFonts w:ascii="Arial" w:hAnsi="Arial" w:cs="Arial"/>
          <w:sz w:val="24"/>
          <w:szCs w:val="24"/>
        </w:rPr>
      </w:pPr>
      <w:r w:rsidRPr="00D22542">
        <w:rPr>
          <w:rFonts w:ascii="Arial" w:hAnsi="Arial" w:cs="Arial"/>
          <w:sz w:val="24"/>
          <w:szCs w:val="24"/>
        </w:rPr>
        <w:t>[</w:t>
      </w:r>
      <w:r w:rsidR="008353BE">
        <w:rPr>
          <w:rFonts w:ascii="Arial" w:hAnsi="Arial" w:cs="Arial"/>
          <w:sz w:val="24"/>
          <w:szCs w:val="24"/>
        </w:rPr>
        <w:t>7</w:t>
      </w:r>
      <w:r w:rsidRPr="00D22542">
        <w:rPr>
          <w:rFonts w:ascii="Arial" w:hAnsi="Arial" w:cs="Arial"/>
          <w:sz w:val="24"/>
          <w:szCs w:val="24"/>
        </w:rPr>
        <w:t>]</w:t>
      </w:r>
      <w:r w:rsidRPr="00D22542">
        <w:rPr>
          <w:rFonts w:ascii="Arial" w:hAnsi="Arial" w:cs="Arial"/>
          <w:sz w:val="24"/>
          <w:szCs w:val="24"/>
        </w:rPr>
        <w:tab/>
      </w:r>
      <w:r w:rsidR="00487634">
        <w:rPr>
          <w:rFonts w:ascii="Arial" w:hAnsi="Arial" w:cs="Arial"/>
          <w:sz w:val="24"/>
          <w:szCs w:val="24"/>
        </w:rPr>
        <w:t>Some eight months later, t</w:t>
      </w:r>
      <w:r w:rsidR="00D22542" w:rsidRPr="00D22542">
        <w:rPr>
          <w:rFonts w:ascii="Arial" w:hAnsi="Arial" w:cs="Arial"/>
          <w:sz w:val="24"/>
          <w:szCs w:val="24"/>
        </w:rPr>
        <w:t xml:space="preserve">he defendant, by letter dated </w:t>
      </w:r>
      <w:r w:rsidRPr="00D22542">
        <w:rPr>
          <w:rFonts w:ascii="Arial" w:hAnsi="Arial" w:cs="Arial"/>
          <w:sz w:val="24"/>
          <w:szCs w:val="24"/>
        </w:rPr>
        <w:t>14 March 2017</w:t>
      </w:r>
      <w:r w:rsidR="000538D2" w:rsidRPr="00D22542">
        <w:rPr>
          <w:rFonts w:ascii="Arial" w:hAnsi="Arial" w:cs="Arial"/>
          <w:sz w:val="24"/>
          <w:szCs w:val="24"/>
        </w:rPr>
        <w:t>, repudiated</w:t>
      </w:r>
      <w:r w:rsidR="00D22542" w:rsidRPr="00D22542">
        <w:rPr>
          <w:rFonts w:ascii="Arial" w:hAnsi="Arial" w:cs="Arial"/>
          <w:sz w:val="24"/>
          <w:szCs w:val="24"/>
        </w:rPr>
        <w:t xml:space="preserve"> </w:t>
      </w:r>
      <w:r w:rsidR="000538D2" w:rsidRPr="00D22542">
        <w:rPr>
          <w:rFonts w:ascii="Arial" w:hAnsi="Arial" w:cs="Arial"/>
          <w:sz w:val="24"/>
          <w:szCs w:val="24"/>
        </w:rPr>
        <w:t xml:space="preserve">the </w:t>
      </w:r>
      <w:r w:rsidRPr="00D22542">
        <w:rPr>
          <w:rFonts w:ascii="Arial" w:hAnsi="Arial" w:cs="Arial"/>
          <w:sz w:val="24"/>
          <w:szCs w:val="24"/>
        </w:rPr>
        <w:t xml:space="preserve">plaintiff’s </w:t>
      </w:r>
      <w:r w:rsidR="000538D2" w:rsidRPr="00D22542">
        <w:rPr>
          <w:rFonts w:ascii="Arial" w:hAnsi="Arial" w:cs="Arial"/>
          <w:sz w:val="24"/>
          <w:szCs w:val="24"/>
        </w:rPr>
        <w:t>claim</w:t>
      </w:r>
      <w:r w:rsidR="00487634">
        <w:rPr>
          <w:rFonts w:ascii="Arial" w:hAnsi="Arial" w:cs="Arial"/>
          <w:sz w:val="24"/>
          <w:szCs w:val="24"/>
        </w:rPr>
        <w:t xml:space="preserve"> by delivering to the plaintiff a letter of repudiation. The defendant </w:t>
      </w:r>
      <w:r w:rsidR="000538D2" w:rsidRPr="00D22542">
        <w:rPr>
          <w:rFonts w:ascii="Arial" w:hAnsi="Arial" w:cs="Arial"/>
          <w:sz w:val="24"/>
          <w:szCs w:val="24"/>
        </w:rPr>
        <w:t>alleg</w:t>
      </w:r>
      <w:r w:rsidR="00487634">
        <w:rPr>
          <w:rFonts w:ascii="Arial" w:hAnsi="Arial" w:cs="Arial"/>
          <w:sz w:val="24"/>
          <w:szCs w:val="24"/>
        </w:rPr>
        <w:t>ed</w:t>
      </w:r>
      <w:r w:rsidR="000538D2" w:rsidRPr="00D22542">
        <w:rPr>
          <w:rFonts w:ascii="Arial" w:hAnsi="Arial" w:cs="Arial"/>
          <w:sz w:val="24"/>
          <w:szCs w:val="24"/>
        </w:rPr>
        <w:t xml:space="preserve"> that the </w:t>
      </w:r>
      <w:r w:rsidRPr="00D22542">
        <w:rPr>
          <w:rFonts w:ascii="Arial" w:hAnsi="Arial" w:cs="Arial"/>
          <w:sz w:val="24"/>
          <w:szCs w:val="24"/>
        </w:rPr>
        <w:t>damage to the printer was not covered in terms of Quanta</w:t>
      </w:r>
      <w:r w:rsidR="00324619">
        <w:rPr>
          <w:rFonts w:ascii="Arial" w:hAnsi="Arial" w:cs="Arial"/>
          <w:sz w:val="24"/>
          <w:szCs w:val="24"/>
        </w:rPr>
        <w:t>’s</w:t>
      </w:r>
      <w:r w:rsidRPr="00D22542">
        <w:rPr>
          <w:rFonts w:ascii="Arial" w:hAnsi="Arial" w:cs="Arial"/>
          <w:sz w:val="24"/>
          <w:szCs w:val="24"/>
        </w:rPr>
        <w:t xml:space="preserve"> (the defendant) </w:t>
      </w:r>
      <w:r w:rsidR="000E2A39" w:rsidRPr="00D22542">
        <w:rPr>
          <w:rFonts w:ascii="Arial" w:hAnsi="Arial" w:cs="Arial"/>
          <w:sz w:val="24"/>
          <w:szCs w:val="24"/>
        </w:rPr>
        <w:t xml:space="preserve">Trade Policy Wording. After dealing with the reasons why the claim was </w:t>
      </w:r>
      <w:r w:rsidR="000E2A39" w:rsidRPr="00D22542">
        <w:rPr>
          <w:rFonts w:ascii="Arial" w:hAnsi="Arial" w:cs="Arial"/>
          <w:sz w:val="24"/>
          <w:szCs w:val="24"/>
        </w:rPr>
        <w:lastRenderedPageBreak/>
        <w:t>repudiated, which are not relevant for purposes of this judgement, the repudiation letter continues as follows:</w:t>
      </w:r>
    </w:p>
    <w:p w:rsidR="000E2A39" w:rsidRPr="007951A0" w:rsidRDefault="000E2A39" w:rsidP="003C75E8">
      <w:pPr>
        <w:pBdr>
          <w:top w:val="nil"/>
          <w:left w:val="nil"/>
          <w:bottom w:val="nil"/>
          <w:right w:val="nil"/>
          <w:between w:val="nil"/>
        </w:pBdr>
        <w:spacing w:after="0" w:line="360" w:lineRule="auto"/>
        <w:jc w:val="both"/>
        <w:rPr>
          <w:rFonts w:ascii="Arial" w:hAnsi="Arial" w:cs="Arial"/>
          <w:sz w:val="16"/>
          <w:szCs w:val="16"/>
        </w:rPr>
      </w:pPr>
    </w:p>
    <w:p w:rsidR="000E2A39" w:rsidRPr="008353BE" w:rsidRDefault="008353BE" w:rsidP="003C75E8">
      <w:pPr>
        <w:spacing w:line="360" w:lineRule="auto"/>
        <w:rPr>
          <w:rFonts w:ascii="Arial" w:hAnsi="Arial" w:cs="Arial"/>
        </w:rPr>
      </w:pPr>
      <w:r>
        <w:rPr>
          <w:rFonts w:ascii="Arial" w:hAnsi="Arial" w:cs="Arial"/>
        </w:rPr>
        <w:tab/>
        <w:t>‘</w:t>
      </w:r>
      <w:r w:rsidR="000E2A39" w:rsidRPr="008353BE">
        <w:rPr>
          <w:rFonts w:ascii="Arial" w:hAnsi="Arial" w:cs="Arial"/>
        </w:rPr>
        <w:t>We further advise that should you want to pursue this matt</w:t>
      </w:r>
      <w:r w:rsidRPr="008353BE">
        <w:rPr>
          <w:rFonts w:ascii="Arial" w:hAnsi="Arial" w:cs="Arial"/>
        </w:rPr>
        <w:t xml:space="preserve">er further the following policy </w:t>
      </w:r>
      <w:r>
        <w:rPr>
          <w:rFonts w:ascii="Arial" w:hAnsi="Arial" w:cs="Arial"/>
        </w:rPr>
        <w:tab/>
      </w:r>
      <w:r w:rsidR="000317EB">
        <w:rPr>
          <w:rFonts w:ascii="Arial" w:hAnsi="Arial" w:cs="Arial"/>
        </w:rPr>
        <w:t>z</w:t>
      </w:r>
      <w:r w:rsidR="000E2A39" w:rsidRPr="008353BE">
        <w:rPr>
          <w:rFonts w:ascii="Arial" w:hAnsi="Arial" w:cs="Arial"/>
        </w:rPr>
        <w:t>condition has to be noted.</w:t>
      </w:r>
    </w:p>
    <w:p w:rsidR="000E2A39" w:rsidRPr="00D22542" w:rsidRDefault="008353BE" w:rsidP="003C75E8">
      <w:pPr>
        <w:pBdr>
          <w:top w:val="nil"/>
          <w:left w:val="nil"/>
          <w:bottom w:val="nil"/>
          <w:right w:val="nil"/>
          <w:between w:val="nil"/>
        </w:pBdr>
        <w:tabs>
          <w:tab w:val="left" w:pos="2268"/>
        </w:tabs>
        <w:spacing w:after="0" w:line="360" w:lineRule="auto"/>
        <w:ind w:firstLine="720"/>
        <w:jc w:val="both"/>
        <w:rPr>
          <w:rFonts w:ascii="Arial" w:hAnsi="Arial" w:cs="Arial"/>
          <w:b/>
        </w:rPr>
      </w:pPr>
      <w:r>
        <w:rPr>
          <w:rFonts w:ascii="Arial" w:hAnsi="Arial" w:cs="Arial"/>
          <w:b/>
        </w:rPr>
        <w:t>“</w:t>
      </w:r>
      <w:r w:rsidR="000E2A39" w:rsidRPr="00D22542">
        <w:rPr>
          <w:rFonts w:ascii="Arial" w:hAnsi="Arial" w:cs="Arial"/>
          <w:b/>
        </w:rPr>
        <w:t>6. Claims</w:t>
      </w:r>
    </w:p>
    <w:p w:rsidR="008353BE" w:rsidRDefault="000E2A39" w:rsidP="003C75E8">
      <w:pPr>
        <w:pStyle w:val="ListParagraph"/>
        <w:numPr>
          <w:ilvl w:val="0"/>
          <w:numId w:val="6"/>
        </w:numPr>
        <w:pBdr>
          <w:top w:val="nil"/>
          <w:left w:val="nil"/>
          <w:bottom w:val="nil"/>
          <w:right w:val="nil"/>
          <w:between w:val="nil"/>
        </w:pBdr>
        <w:tabs>
          <w:tab w:val="left" w:pos="2268"/>
        </w:tabs>
        <w:spacing w:after="0" w:line="360" w:lineRule="auto"/>
        <w:ind w:left="1440" w:hanging="720"/>
        <w:jc w:val="both"/>
        <w:rPr>
          <w:rFonts w:ascii="Arial" w:hAnsi="Arial" w:cs="Arial"/>
        </w:rPr>
      </w:pPr>
      <w:r w:rsidRPr="00D22542">
        <w:rPr>
          <w:rFonts w:ascii="Arial" w:hAnsi="Arial" w:cs="Arial"/>
        </w:rPr>
        <w:t>No claim shall be payable unless the insured claims payment by serving legal process on the company within 12 months of the rejection of the claim in writing and pursue</w:t>
      </w:r>
      <w:r w:rsidR="008353BE">
        <w:rPr>
          <w:rFonts w:ascii="Arial" w:hAnsi="Arial" w:cs="Arial"/>
        </w:rPr>
        <w:t>s such proceedings to finality.”</w:t>
      </w:r>
    </w:p>
    <w:p w:rsidR="008353BE" w:rsidRDefault="008353BE" w:rsidP="003C75E8">
      <w:pPr>
        <w:spacing w:line="360" w:lineRule="auto"/>
        <w:rPr>
          <w:rFonts w:ascii="Arial" w:hAnsi="Arial" w:cs="Arial"/>
        </w:rPr>
      </w:pPr>
    </w:p>
    <w:p w:rsidR="000E2A39" w:rsidRPr="008353BE" w:rsidRDefault="008353BE" w:rsidP="003C75E8">
      <w:pPr>
        <w:spacing w:line="360" w:lineRule="auto"/>
        <w:rPr>
          <w:rFonts w:ascii="Arial" w:hAnsi="Arial" w:cs="Arial"/>
        </w:rPr>
      </w:pPr>
      <w:r>
        <w:rPr>
          <w:rFonts w:ascii="Arial" w:hAnsi="Arial" w:cs="Arial"/>
        </w:rPr>
        <w:tab/>
      </w:r>
      <w:r w:rsidR="000E2A39" w:rsidRPr="008353BE">
        <w:rPr>
          <w:rFonts w:ascii="Arial" w:hAnsi="Arial" w:cs="Arial"/>
        </w:rPr>
        <w:t>We trust you find the above in order and confirm having closed our file.’</w:t>
      </w:r>
    </w:p>
    <w:p w:rsidR="000E2A39" w:rsidRPr="00D22542" w:rsidRDefault="000E2A39" w:rsidP="003C75E8">
      <w:pPr>
        <w:pStyle w:val="ListParagraph"/>
        <w:spacing w:before="240" w:after="0" w:line="360" w:lineRule="auto"/>
        <w:ind w:left="0"/>
        <w:jc w:val="both"/>
        <w:rPr>
          <w:rFonts w:ascii="Arial" w:hAnsi="Arial" w:cs="Arial"/>
          <w:sz w:val="24"/>
          <w:szCs w:val="24"/>
        </w:rPr>
      </w:pPr>
    </w:p>
    <w:p w:rsidR="000E2A39" w:rsidRDefault="000E2A39" w:rsidP="003C75E8">
      <w:pPr>
        <w:pStyle w:val="ListParagraph"/>
        <w:spacing w:before="240" w:after="0" w:line="360" w:lineRule="auto"/>
        <w:ind w:left="0"/>
        <w:jc w:val="both"/>
        <w:rPr>
          <w:rFonts w:ascii="Arial" w:hAnsi="Arial" w:cs="Arial"/>
          <w:sz w:val="24"/>
          <w:szCs w:val="24"/>
        </w:rPr>
      </w:pPr>
      <w:r w:rsidRPr="00D22542">
        <w:rPr>
          <w:rFonts w:ascii="Arial" w:hAnsi="Arial" w:cs="Arial"/>
          <w:sz w:val="24"/>
          <w:szCs w:val="24"/>
        </w:rPr>
        <w:t>[</w:t>
      </w:r>
      <w:r w:rsidR="008353BE">
        <w:rPr>
          <w:rFonts w:ascii="Arial" w:hAnsi="Arial" w:cs="Arial"/>
          <w:sz w:val="24"/>
          <w:szCs w:val="24"/>
        </w:rPr>
        <w:t>8</w:t>
      </w:r>
      <w:r w:rsidRPr="00D22542">
        <w:rPr>
          <w:rFonts w:ascii="Arial" w:hAnsi="Arial" w:cs="Arial"/>
          <w:sz w:val="24"/>
          <w:szCs w:val="24"/>
        </w:rPr>
        <w:t>]</w:t>
      </w:r>
      <w:r w:rsidRPr="00D22542">
        <w:rPr>
          <w:rFonts w:ascii="Arial" w:hAnsi="Arial" w:cs="Arial"/>
          <w:sz w:val="24"/>
          <w:szCs w:val="24"/>
        </w:rPr>
        <w:tab/>
        <w:t xml:space="preserve">Three days </w:t>
      </w:r>
      <w:r w:rsidR="00D22542" w:rsidRPr="00D22542">
        <w:rPr>
          <w:rFonts w:ascii="Arial" w:hAnsi="Arial" w:cs="Arial"/>
          <w:sz w:val="24"/>
          <w:szCs w:val="24"/>
        </w:rPr>
        <w:t xml:space="preserve">(that is, on 17 March 2017) </w:t>
      </w:r>
      <w:r w:rsidRPr="00D22542">
        <w:rPr>
          <w:rFonts w:ascii="Arial" w:hAnsi="Arial" w:cs="Arial"/>
          <w:sz w:val="24"/>
          <w:szCs w:val="24"/>
        </w:rPr>
        <w:t xml:space="preserve">after </w:t>
      </w:r>
      <w:r w:rsidR="00D22542" w:rsidRPr="00D22542">
        <w:rPr>
          <w:rFonts w:ascii="Arial" w:hAnsi="Arial" w:cs="Arial"/>
          <w:sz w:val="24"/>
          <w:szCs w:val="24"/>
        </w:rPr>
        <w:t>receiving the letter of repudiation the plaintiff respond</w:t>
      </w:r>
      <w:r w:rsidR="008353BE">
        <w:rPr>
          <w:rFonts w:ascii="Arial" w:hAnsi="Arial" w:cs="Arial"/>
          <w:sz w:val="24"/>
          <w:szCs w:val="24"/>
        </w:rPr>
        <w:t>ed</w:t>
      </w:r>
      <w:r w:rsidR="00D22542" w:rsidRPr="00D22542">
        <w:rPr>
          <w:rFonts w:ascii="Arial" w:hAnsi="Arial" w:cs="Arial"/>
          <w:sz w:val="24"/>
          <w:szCs w:val="24"/>
        </w:rPr>
        <w:t xml:space="preserve"> to the defendant in the following terms</w:t>
      </w:r>
      <w:r w:rsidR="00D22542">
        <w:rPr>
          <w:rFonts w:ascii="Arial" w:hAnsi="Arial" w:cs="Arial"/>
          <w:sz w:val="24"/>
          <w:szCs w:val="24"/>
        </w:rPr>
        <w:t xml:space="preserve"> (I quote verbatim from the letter </w:t>
      </w:r>
      <w:r w:rsidR="008353BE">
        <w:rPr>
          <w:rFonts w:ascii="Arial" w:hAnsi="Arial" w:cs="Arial"/>
          <w:sz w:val="24"/>
          <w:szCs w:val="24"/>
        </w:rPr>
        <w:t>dated</w:t>
      </w:r>
      <w:r w:rsidR="00D22542">
        <w:rPr>
          <w:rFonts w:ascii="Arial" w:hAnsi="Arial" w:cs="Arial"/>
          <w:sz w:val="24"/>
          <w:szCs w:val="24"/>
        </w:rPr>
        <w:t xml:space="preserve"> 17 March 2017):</w:t>
      </w:r>
    </w:p>
    <w:p w:rsidR="00D22542" w:rsidRPr="00D22542" w:rsidRDefault="00D22542" w:rsidP="003C75E8">
      <w:pPr>
        <w:pStyle w:val="ListParagraph"/>
        <w:spacing w:before="240" w:after="0" w:line="360" w:lineRule="auto"/>
        <w:ind w:left="0"/>
        <w:jc w:val="both"/>
        <w:rPr>
          <w:rFonts w:ascii="Arial" w:hAnsi="Arial" w:cs="Arial"/>
          <w:sz w:val="24"/>
          <w:szCs w:val="24"/>
        </w:rPr>
      </w:pPr>
    </w:p>
    <w:p w:rsidR="00D22542" w:rsidRPr="00D22542" w:rsidRDefault="008353BE" w:rsidP="003C75E8">
      <w:pPr>
        <w:pBdr>
          <w:top w:val="nil"/>
          <w:left w:val="nil"/>
          <w:bottom w:val="nil"/>
          <w:right w:val="nil"/>
          <w:between w:val="nil"/>
        </w:pBdr>
        <w:spacing w:after="0" w:line="360" w:lineRule="auto"/>
        <w:ind w:firstLine="720"/>
        <w:jc w:val="both"/>
        <w:rPr>
          <w:rFonts w:ascii="Arial" w:hAnsi="Arial" w:cs="Arial"/>
        </w:rPr>
      </w:pPr>
      <w:r>
        <w:rPr>
          <w:rFonts w:ascii="Arial" w:hAnsi="Arial" w:cs="Arial"/>
        </w:rPr>
        <w:t xml:space="preserve">‘1. </w:t>
      </w:r>
      <w:r w:rsidR="00D22542" w:rsidRPr="00D22542">
        <w:rPr>
          <w:rFonts w:ascii="Arial" w:hAnsi="Arial" w:cs="Arial"/>
        </w:rPr>
        <w:t xml:space="preserve">I confirm receipt of your letter dated 14 March, instant. Eight (8) months after I lodge </w:t>
      </w:r>
      <w:r>
        <w:rPr>
          <w:rFonts w:ascii="Arial" w:hAnsi="Arial" w:cs="Arial"/>
        </w:rPr>
        <w:tab/>
      </w:r>
      <w:r w:rsidR="00D22542" w:rsidRPr="00D22542">
        <w:rPr>
          <w:rFonts w:ascii="Arial" w:hAnsi="Arial" w:cs="Arial"/>
        </w:rPr>
        <w:t>my claim you have finally reached the conclusion which is to repudiate my claim. …</w:t>
      </w:r>
    </w:p>
    <w:p w:rsidR="00D22542" w:rsidRPr="00D22542" w:rsidRDefault="00D22542" w:rsidP="003C75E8">
      <w:pPr>
        <w:pBdr>
          <w:top w:val="nil"/>
          <w:left w:val="nil"/>
          <w:bottom w:val="nil"/>
          <w:right w:val="nil"/>
          <w:between w:val="nil"/>
        </w:pBdr>
        <w:tabs>
          <w:tab w:val="left" w:pos="1701"/>
        </w:tabs>
        <w:spacing w:after="0" w:line="360" w:lineRule="auto"/>
        <w:ind w:left="1134"/>
        <w:jc w:val="both"/>
        <w:rPr>
          <w:rFonts w:ascii="Arial" w:hAnsi="Arial" w:cs="Arial"/>
        </w:rPr>
      </w:pPr>
      <w:r w:rsidRPr="00D22542">
        <w:rPr>
          <w:rFonts w:ascii="Arial" w:hAnsi="Arial" w:cs="Arial"/>
        </w:rPr>
        <w:t>…</w:t>
      </w:r>
    </w:p>
    <w:p w:rsidR="00D22542" w:rsidRPr="00D22542" w:rsidRDefault="008353BE" w:rsidP="003C75E8">
      <w:pPr>
        <w:pBdr>
          <w:top w:val="nil"/>
          <w:left w:val="nil"/>
          <w:bottom w:val="nil"/>
          <w:right w:val="nil"/>
          <w:between w:val="nil"/>
        </w:pBdr>
        <w:tabs>
          <w:tab w:val="left" w:pos="720"/>
        </w:tabs>
        <w:spacing w:after="0" w:line="360" w:lineRule="auto"/>
        <w:jc w:val="both"/>
        <w:rPr>
          <w:rFonts w:ascii="Arial" w:hAnsi="Arial" w:cs="Arial"/>
        </w:rPr>
      </w:pPr>
      <w:r>
        <w:rPr>
          <w:rFonts w:ascii="Arial" w:hAnsi="Arial" w:cs="Arial"/>
        </w:rPr>
        <w:tab/>
      </w:r>
      <w:r w:rsidR="00D22542">
        <w:rPr>
          <w:rFonts w:ascii="Arial" w:hAnsi="Arial" w:cs="Arial"/>
        </w:rPr>
        <w:t xml:space="preserve">3. </w:t>
      </w:r>
      <w:r w:rsidR="00D22542" w:rsidRPr="00D22542">
        <w:rPr>
          <w:rFonts w:ascii="Arial" w:hAnsi="Arial" w:cs="Arial"/>
        </w:rPr>
        <w:t xml:space="preserve">You may be pleased also to know, and as you would realize, should the matter go to </w:t>
      </w:r>
      <w:r>
        <w:rPr>
          <w:rFonts w:ascii="Arial" w:hAnsi="Arial" w:cs="Arial"/>
        </w:rPr>
        <w:tab/>
      </w:r>
      <w:r w:rsidR="00D22542" w:rsidRPr="00D22542">
        <w:rPr>
          <w:rFonts w:ascii="Arial" w:hAnsi="Arial" w:cs="Arial"/>
        </w:rPr>
        <w:t>court, which route I shall immediately consider …</w:t>
      </w:r>
    </w:p>
    <w:p w:rsidR="00D22542" w:rsidRPr="00D22542" w:rsidRDefault="00D22542" w:rsidP="003C75E8">
      <w:pPr>
        <w:pBdr>
          <w:top w:val="nil"/>
          <w:left w:val="nil"/>
          <w:bottom w:val="nil"/>
          <w:right w:val="nil"/>
          <w:between w:val="nil"/>
        </w:pBdr>
        <w:tabs>
          <w:tab w:val="left" w:pos="1701"/>
        </w:tabs>
        <w:spacing w:after="0" w:line="360" w:lineRule="auto"/>
        <w:ind w:left="1134"/>
        <w:jc w:val="both"/>
        <w:rPr>
          <w:rFonts w:ascii="Arial" w:hAnsi="Arial" w:cs="Arial"/>
        </w:rPr>
      </w:pPr>
      <w:r w:rsidRPr="00D22542">
        <w:rPr>
          <w:rFonts w:ascii="Arial" w:hAnsi="Arial" w:cs="Arial"/>
        </w:rPr>
        <w:t>…</w:t>
      </w:r>
    </w:p>
    <w:p w:rsidR="00D22542" w:rsidRPr="00D22542" w:rsidRDefault="008353BE" w:rsidP="003C75E8">
      <w:pPr>
        <w:pBdr>
          <w:top w:val="nil"/>
          <w:left w:val="nil"/>
          <w:bottom w:val="nil"/>
          <w:right w:val="nil"/>
          <w:between w:val="nil"/>
        </w:pBdr>
        <w:tabs>
          <w:tab w:val="left" w:pos="720"/>
        </w:tabs>
        <w:spacing w:after="0" w:line="360" w:lineRule="auto"/>
        <w:jc w:val="both"/>
        <w:rPr>
          <w:rFonts w:ascii="Arial" w:hAnsi="Arial" w:cs="Arial"/>
        </w:rPr>
      </w:pPr>
      <w:r>
        <w:rPr>
          <w:rFonts w:ascii="Arial" w:hAnsi="Arial" w:cs="Arial"/>
        </w:rPr>
        <w:tab/>
      </w:r>
      <w:r w:rsidR="00D22542" w:rsidRPr="00D22542">
        <w:rPr>
          <w:rFonts w:ascii="Arial" w:hAnsi="Arial" w:cs="Arial"/>
        </w:rPr>
        <w:t xml:space="preserve">7. I have indeed as per your advice consulted a Legal Practitioner to institute legal action </w:t>
      </w:r>
      <w:r>
        <w:rPr>
          <w:rFonts w:ascii="Arial" w:hAnsi="Arial" w:cs="Arial"/>
        </w:rPr>
        <w:tab/>
      </w:r>
      <w:r w:rsidR="00D22542" w:rsidRPr="00D22542">
        <w:rPr>
          <w:rFonts w:ascii="Arial" w:hAnsi="Arial" w:cs="Arial"/>
        </w:rPr>
        <w:t>against your company should we no</w:t>
      </w:r>
      <w:r w:rsidR="00D22542">
        <w:rPr>
          <w:rFonts w:ascii="Arial" w:hAnsi="Arial" w:cs="Arial"/>
        </w:rPr>
        <w:t>t reach an amicable solution. …’</w:t>
      </w:r>
    </w:p>
    <w:p w:rsidR="00D22542" w:rsidRPr="00D22542" w:rsidRDefault="00D22542" w:rsidP="003C75E8">
      <w:pPr>
        <w:pStyle w:val="ListParagraph"/>
        <w:spacing w:before="240" w:after="0" w:line="360" w:lineRule="auto"/>
        <w:ind w:left="0"/>
        <w:jc w:val="both"/>
        <w:rPr>
          <w:rFonts w:ascii="Arial" w:hAnsi="Arial" w:cs="Arial"/>
          <w:sz w:val="24"/>
          <w:szCs w:val="24"/>
        </w:rPr>
      </w:pPr>
    </w:p>
    <w:p w:rsidR="00C24C5C" w:rsidRPr="00C24C5C" w:rsidRDefault="008353BE" w:rsidP="003C75E8">
      <w:pPr>
        <w:pStyle w:val="ListParagraph"/>
        <w:spacing w:before="240" w:after="0" w:line="360" w:lineRule="auto"/>
        <w:ind w:left="0"/>
        <w:jc w:val="both"/>
        <w:rPr>
          <w:rFonts w:ascii="Arial" w:hAnsi="Arial" w:cs="Arial"/>
          <w:sz w:val="24"/>
          <w:szCs w:val="24"/>
        </w:rPr>
      </w:pPr>
      <w:r>
        <w:rPr>
          <w:rFonts w:ascii="Arial" w:hAnsi="Arial" w:cs="Arial"/>
          <w:sz w:val="24"/>
          <w:szCs w:val="24"/>
        </w:rPr>
        <w:t>[9</w:t>
      </w:r>
      <w:r w:rsidR="00D22542" w:rsidRPr="00C24C5C">
        <w:rPr>
          <w:rFonts w:ascii="Arial" w:hAnsi="Arial" w:cs="Arial"/>
          <w:sz w:val="24"/>
          <w:szCs w:val="24"/>
        </w:rPr>
        <w:t>]</w:t>
      </w:r>
      <w:r w:rsidR="00324619">
        <w:rPr>
          <w:rFonts w:ascii="Arial" w:hAnsi="Arial" w:cs="Arial"/>
          <w:sz w:val="24"/>
          <w:szCs w:val="24"/>
        </w:rPr>
        <w:tab/>
      </w:r>
      <w:r w:rsidR="00D22542" w:rsidRPr="00C24C5C">
        <w:rPr>
          <w:rFonts w:ascii="Arial" w:hAnsi="Arial" w:cs="Arial"/>
          <w:sz w:val="24"/>
          <w:szCs w:val="24"/>
        </w:rPr>
        <w:t xml:space="preserve">Despite the threat to institute legal action against the defendant, </w:t>
      </w:r>
      <w:r>
        <w:rPr>
          <w:rFonts w:ascii="Arial" w:hAnsi="Arial" w:cs="Arial"/>
          <w:sz w:val="24"/>
          <w:szCs w:val="24"/>
        </w:rPr>
        <w:t xml:space="preserve">the defendant only instituted action against the defendant </w:t>
      </w:r>
      <w:r w:rsidR="00D22542" w:rsidRPr="00C24C5C">
        <w:rPr>
          <w:rFonts w:ascii="Arial" w:hAnsi="Arial" w:cs="Arial"/>
          <w:sz w:val="24"/>
          <w:szCs w:val="24"/>
        </w:rPr>
        <w:t xml:space="preserve">fifteen months </w:t>
      </w:r>
      <w:r w:rsidR="000538D2" w:rsidRPr="00C24C5C">
        <w:rPr>
          <w:rFonts w:ascii="Arial" w:hAnsi="Arial" w:cs="Arial"/>
          <w:sz w:val="24"/>
          <w:szCs w:val="24"/>
        </w:rPr>
        <w:t xml:space="preserve">later, that is on </w:t>
      </w:r>
      <w:r w:rsidR="00D22542" w:rsidRPr="00C24C5C">
        <w:rPr>
          <w:rFonts w:ascii="Arial" w:hAnsi="Arial" w:cs="Arial"/>
          <w:sz w:val="24"/>
          <w:szCs w:val="24"/>
        </w:rPr>
        <w:t>2</w:t>
      </w:r>
      <w:r w:rsidR="000538D2" w:rsidRPr="00C24C5C">
        <w:rPr>
          <w:rFonts w:ascii="Arial" w:hAnsi="Arial" w:cs="Arial"/>
          <w:sz w:val="24"/>
          <w:szCs w:val="24"/>
        </w:rPr>
        <w:t>8 J</w:t>
      </w:r>
      <w:r w:rsidR="00D22542" w:rsidRPr="00C24C5C">
        <w:rPr>
          <w:rFonts w:ascii="Arial" w:hAnsi="Arial" w:cs="Arial"/>
          <w:sz w:val="24"/>
          <w:szCs w:val="24"/>
        </w:rPr>
        <w:t>une</w:t>
      </w:r>
      <w:r w:rsidR="000538D2" w:rsidRPr="00C24C5C">
        <w:rPr>
          <w:rFonts w:ascii="Arial" w:hAnsi="Arial" w:cs="Arial"/>
          <w:sz w:val="24"/>
          <w:szCs w:val="24"/>
        </w:rPr>
        <w:t xml:space="preserve"> 20</w:t>
      </w:r>
      <w:r w:rsidR="00324619">
        <w:rPr>
          <w:rFonts w:ascii="Arial" w:hAnsi="Arial" w:cs="Arial"/>
          <w:sz w:val="24"/>
          <w:szCs w:val="24"/>
        </w:rPr>
        <w:t>18</w:t>
      </w:r>
      <w:r w:rsidR="000538D2" w:rsidRPr="00C24C5C">
        <w:rPr>
          <w:rFonts w:ascii="Arial" w:hAnsi="Arial" w:cs="Arial"/>
          <w:sz w:val="24"/>
          <w:szCs w:val="24"/>
        </w:rPr>
        <w:t>,</w:t>
      </w:r>
      <w:r>
        <w:rPr>
          <w:rFonts w:ascii="Arial" w:hAnsi="Arial" w:cs="Arial"/>
          <w:sz w:val="24"/>
          <w:szCs w:val="24"/>
        </w:rPr>
        <w:t xml:space="preserve"> </w:t>
      </w:r>
      <w:r w:rsidR="000538D2" w:rsidRPr="00C24C5C">
        <w:rPr>
          <w:rFonts w:ascii="Arial" w:hAnsi="Arial" w:cs="Arial"/>
          <w:sz w:val="24"/>
          <w:szCs w:val="24"/>
        </w:rPr>
        <w:t xml:space="preserve">claiming the sum of </w:t>
      </w:r>
      <w:r w:rsidR="00C24C5C" w:rsidRPr="00C24C5C">
        <w:rPr>
          <w:rFonts w:ascii="Arial" w:hAnsi="Arial" w:cs="Arial"/>
          <w:sz w:val="24"/>
          <w:szCs w:val="24"/>
        </w:rPr>
        <w:t xml:space="preserve">N$ 9 000 000 in respect </w:t>
      </w:r>
      <w:r>
        <w:rPr>
          <w:rFonts w:ascii="Arial" w:hAnsi="Arial" w:cs="Arial"/>
          <w:sz w:val="24"/>
          <w:szCs w:val="24"/>
        </w:rPr>
        <w:t xml:space="preserve">of </w:t>
      </w:r>
      <w:r w:rsidR="00C24C5C" w:rsidRPr="00C24C5C">
        <w:rPr>
          <w:rFonts w:ascii="Arial" w:hAnsi="Arial" w:cs="Arial"/>
          <w:sz w:val="24"/>
          <w:szCs w:val="24"/>
        </w:rPr>
        <w:t>the damages to the printer as well as N$ 9 000 000 in respect of loss of business together</w:t>
      </w:r>
      <w:r w:rsidR="000538D2" w:rsidRPr="00C24C5C">
        <w:rPr>
          <w:rFonts w:ascii="Arial" w:hAnsi="Arial" w:cs="Arial"/>
          <w:sz w:val="24"/>
          <w:szCs w:val="24"/>
        </w:rPr>
        <w:t xml:space="preserve"> </w:t>
      </w:r>
      <w:r w:rsidR="002B650D">
        <w:rPr>
          <w:rFonts w:ascii="Arial" w:hAnsi="Arial" w:cs="Arial"/>
          <w:sz w:val="24"/>
          <w:szCs w:val="24"/>
        </w:rPr>
        <w:t xml:space="preserve">with </w:t>
      </w:r>
      <w:r w:rsidR="000538D2" w:rsidRPr="00C24C5C">
        <w:rPr>
          <w:rFonts w:ascii="Arial" w:hAnsi="Arial" w:cs="Arial"/>
          <w:sz w:val="24"/>
          <w:szCs w:val="24"/>
        </w:rPr>
        <w:t xml:space="preserve">interest </w:t>
      </w:r>
      <w:r>
        <w:rPr>
          <w:rFonts w:ascii="Arial" w:hAnsi="Arial" w:cs="Arial"/>
          <w:sz w:val="24"/>
          <w:szCs w:val="24"/>
        </w:rPr>
        <w:t>on the</w:t>
      </w:r>
      <w:r w:rsidR="002B650D">
        <w:rPr>
          <w:rFonts w:ascii="Arial" w:hAnsi="Arial" w:cs="Arial"/>
          <w:sz w:val="24"/>
          <w:szCs w:val="24"/>
        </w:rPr>
        <w:t>se amounts</w:t>
      </w:r>
      <w:r w:rsidR="000538D2" w:rsidRPr="00C24C5C">
        <w:rPr>
          <w:rFonts w:ascii="Arial" w:hAnsi="Arial" w:cs="Arial"/>
          <w:sz w:val="24"/>
          <w:szCs w:val="24"/>
        </w:rPr>
        <w:t xml:space="preserve">. </w:t>
      </w:r>
    </w:p>
    <w:p w:rsidR="00C24C5C" w:rsidRPr="00C24C5C" w:rsidRDefault="00C24C5C" w:rsidP="003C75E8">
      <w:pPr>
        <w:pStyle w:val="ListParagraph"/>
        <w:spacing w:before="240" w:after="0" w:line="360" w:lineRule="auto"/>
        <w:ind w:left="0"/>
        <w:jc w:val="both"/>
        <w:rPr>
          <w:rFonts w:ascii="Arial" w:hAnsi="Arial" w:cs="Arial"/>
          <w:sz w:val="24"/>
          <w:szCs w:val="24"/>
        </w:rPr>
      </w:pPr>
    </w:p>
    <w:p w:rsidR="00C24C5C" w:rsidRDefault="00C24C5C" w:rsidP="003C75E8">
      <w:pPr>
        <w:pStyle w:val="ListParagraph"/>
        <w:spacing w:before="240" w:after="0" w:line="360" w:lineRule="auto"/>
        <w:ind w:left="0"/>
        <w:jc w:val="both"/>
        <w:rPr>
          <w:rFonts w:ascii="Arial" w:hAnsi="Arial" w:cs="Arial"/>
          <w:sz w:val="24"/>
          <w:szCs w:val="24"/>
        </w:rPr>
      </w:pPr>
      <w:r w:rsidRPr="00C24C5C">
        <w:rPr>
          <w:rFonts w:ascii="Arial" w:hAnsi="Arial" w:cs="Arial"/>
          <w:sz w:val="24"/>
          <w:szCs w:val="24"/>
        </w:rPr>
        <w:t>[</w:t>
      </w:r>
      <w:r w:rsidR="008353BE">
        <w:rPr>
          <w:rFonts w:ascii="Arial" w:hAnsi="Arial" w:cs="Arial"/>
          <w:sz w:val="24"/>
          <w:szCs w:val="24"/>
        </w:rPr>
        <w:t>10</w:t>
      </w:r>
      <w:r w:rsidRPr="00C24C5C">
        <w:rPr>
          <w:rFonts w:ascii="Arial" w:hAnsi="Arial" w:cs="Arial"/>
          <w:sz w:val="24"/>
          <w:szCs w:val="24"/>
        </w:rPr>
        <w:t>]</w:t>
      </w:r>
      <w:r w:rsidRPr="00C24C5C">
        <w:rPr>
          <w:rFonts w:ascii="Arial" w:hAnsi="Arial" w:cs="Arial"/>
          <w:sz w:val="24"/>
          <w:szCs w:val="24"/>
        </w:rPr>
        <w:tab/>
      </w:r>
      <w:r w:rsidR="000538D2" w:rsidRPr="00C24C5C">
        <w:rPr>
          <w:rFonts w:ascii="Arial" w:hAnsi="Arial" w:cs="Arial"/>
          <w:sz w:val="24"/>
          <w:szCs w:val="24"/>
        </w:rPr>
        <w:t xml:space="preserve">The summons was met with a special plea, alleging that the </w:t>
      </w:r>
      <w:r w:rsidR="00194D63">
        <w:rPr>
          <w:rFonts w:ascii="Arial" w:hAnsi="Arial" w:cs="Arial"/>
          <w:sz w:val="24"/>
          <w:szCs w:val="24"/>
        </w:rPr>
        <w:t>defendant</w:t>
      </w:r>
      <w:r w:rsidR="000538D2" w:rsidRPr="00C24C5C">
        <w:rPr>
          <w:rFonts w:ascii="Arial" w:hAnsi="Arial" w:cs="Arial"/>
          <w:sz w:val="24"/>
          <w:szCs w:val="24"/>
        </w:rPr>
        <w:t xml:space="preserve"> had been released from liability because the </w:t>
      </w:r>
      <w:r>
        <w:rPr>
          <w:rFonts w:ascii="Arial" w:hAnsi="Arial" w:cs="Arial"/>
          <w:sz w:val="24"/>
          <w:szCs w:val="24"/>
        </w:rPr>
        <w:t xml:space="preserve">plaintiff had </w:t>
      </w:r>
      <w:r w:rsidR="000538D2" w:rsidRPr="00C24C5C">
        <w:rPr>
          <w:rFonts w:ascii="Arial" w:hAnsi="Arial" w:cs="Arial"/>
          <w:sz w:val="24"/>
          <w:szCs w:val="24"/>
        </w:rPr>
        <w:t xml:space="preserve">failed to serve summons within </w:t>
      </w:r>
      <w:r>
        <w:rPr>
          <w:rFonts w:ascii="Arial" w:hAnsi="Arial" w:cs="Arial"/>
          <w:sz w:val="24"/>
          <w:szCs w:val="24"/>
        </w:rPr>
        <w:t>12 months</w:t>
      </w:r>
      <w:r w:rsidR="00194D63">
        <w:rPr>
          <w:rFonts w:ascii="Arial" w:hAnsi="Arial" w:cs="Arial"/>
          <w:sz w:val="24"/>
          <w:szCs w:val="24"/>
        </w:rPr>
        <w:t xml:space="preserve"> </w:t>
      </w:r>
      <w:r w:rsidR="000538D2" w:rsidRPr="00C24C5C">
        <w:rPr>
          <w:rFonts w:ascii="Arial" w:hAnsi="Arial" w:cs="Arial"/>
          <w:sz w:val="24"/>
          <w:szCs w:val="24"/>
        </w:rPr>
        <w:t xml:space="preserve">of being notified of the repudiation of </w:t>
      </w:r>
      <w:r>
        <w:rPr>
          <w:rFonts w:ascii="Arial" w:hAnsi="Arial" w:cs="Arial"/>
          <w:sz w:val="24"/>
          <w:szCs w:val="24"/>
        </w:rPr>
        <w:t>its</w:t>
      </w:r>
      <w:r w:rsidR="000538D2" w:rsidRPr="00C24C5C">
        <w:rPr>
          <w:rFonts w:ascii="Arial" w:hAnsi="Arial" w:cs="Arial"/>
          <w:sz w:val="24"/>
          <w:szCs w:val="24"/>
        </w:rPr>
        <w:t xml:space="preserve"> claim. The special plea was based on clause </w:t>
      </w:r>
      <w:r>
        <w:rPr>
          <w:rFonts w:ascii="Arial" w:hAnsi="Arial" w:cs="Arial"/>
          <w:sz w:val="24"/>
          <w:szCs w:val="24"/>
        </w:rPr>
        <w:t>6</w:t>
      </w:r>
      <w:r w:rsidR="000538D2" w:rsidRPr="00C24C5C">
        <w:rPr>
          <w:rFonts w:ascii="Arial" w:hAnsi="Arial" w:cs="Arial"/>
          <w:sz w:val="24"/>
          <w:szCs w:val="24"/>
        </w:rPr>
        <w:t xml:space="preserve"> of the contract which </w:t>
      </w:r>
      <w:r>
        <w:rPr>
          <w:rFonts w:ascii="Arial" w:hAnsi="Arial" w:cs="Arial"/>
          <w:sz w:val="24"/>
          <w:szCs w:val="24"/>
        </w:rPr>
        <w:t>I quoted earlier</w:t>
      </w:r>
      <w:r w:rsidR="002B650D">
        <w:rPr>
          <w:rStyle w:val="FootnoteReference"/>
          <w:rFonts w:ascii="Arial" w:hAnsi="Arial" w:cs="Arial"/>
          <w:sz w:val="24"/>
          <w:szCs w:val="24"/>
        </w:rPr>
        <w:footnoteReference w:id="2"/>
      </w:r>
      <w:r>
        <w:rPr>
          <w:rFonts w:ascii="Arial" w:hAnsi="Arial" w:cs="Arial"/>
          <w:sz w:val="24"/>
          <w:szCs w:val="24"/>
        </w:rPr>
        <w:t>.</w:t>
      </w:r>
    </w:p>
    <w:p w:rsidR="00C24C5C" w:rsidRDefault="00C24C5C" w:rsidP="003C75E8">
      <w:pPr>
        <w:pStyle w:val="ListParagraph"/>
        <w:spacing w:before="240" w:after="0" w:line="360" w:lineRule="auto"/>
        <w:ind w:left="0"/>
        <w:jc w:val="both"/>
        <w:rPr>
          <w:rFonts w:ascii="Arial" w:hAnsi="Arial" w:cs="Arial"/>
          <w:sz w:val="24"/>
          <w:szCs w:val="24"/>
        </w:rPr>
      </w:pPr>
    </w:p>
    <w:p w:rsidR="00194D63" w:rsidRDefault="00C24C5C" w:rsidP="003C75E8">
      <w:pPr>
        <w:pStyle w:val="ListParagraph"/>
        <w:spacing w:before="240" w:line="360" w:lineRule="auto"/>
        <w:ind w:left="0"/>
        <w:jc w:val="both"/>
        <w:rPr>
          <w:rFonts w:ascii="Arial" w:hAnsi="Arial" w:cs="Arial"/>
          <w:sz w:val="24"/>
          <w:szCs w:val="24"/>
          <w:lang w:val="en-US"/>
        </w:rPr>
      </w:pPr>
      <w:r w:rsidRPr="00194D63">
        <w:rPr>
          <w:rFonts w:ascii="Arial" w:hAnsi="Arial" w:cs="Arial"/>
          <w:sz w:val="24"/>
          <w:szCs w:val="24"/>
        </w:rPr>
        <w:t>[1</w:t>
      </w:r>
      <w:r w:rsidR="008353BE">
        <w:rPr>
          <w:rFonts w:ascii="Arial" w:hAnsi="Arial" w:cs="Arial"/>
          <w:sz w:val="24"/>
          <w:szCs w:val="24"/>
        </w:rPr>
        <w:t>1</w:t>
      </w:r>
      <w:r w:rsidRPr="00194D63">
        <w:rPr>
          <w:rFonts w:ascii="Arial" w:hAnsi="Arial" w:cs="Arial"/>
          <w:sz w:val="24"/>
          <w:szCs w:val="24"/>
        </w:rPr>
        <w:t>]</w:t>
      </w:r>
      <w:r w:rsidRPr="00194D63">
        <w:rPr>
          <w:rFonts w:ascii="Arial" w:hAnsi="Arial" w:cs="Arial"/>
          <w:sz w:val="24"/>
          <w:szCs w:val="24"/>
        </w:rPr>
        <w:tab/>
      </w:r>
      <w:r w:rsidR="000538D2" w:rsidRPr="00194D63">
        <w:rPr>
          <w:rFonts w:ascii="Arial" w:hAnsi="Arial" w:cs="Arial"/>
          <w:sz w:val="24"/>
          <w:szCs w:val="24"/>
        </w:rPr>
        <w:t xml:space="preserve">In </w:t>
      </w:r>
      <w:r w:rsidR="00194D63" w:rsidRPr="00194D63">
        <w:rPr>
          <w:rFonts w:ascii="Arial" w:hAnsi="Arial" w:cs="Arial"/>
          <w:sz w:val="24"/>
          <w:szCs w:val="24"/>
        </w:rPr>
        <w:t>its</w:t>
      </w:r>
      <w:r w:rsidR="000538D2" w:rsidRPr="00194D63">
        <w:rPr>
          <w:rFonts w:ascii="Arial" w:hAnsi="Arial" w:cs="Arial"/>
          <w:sz w:val="24"/>
          <w:szCs w:val="24"/>
        </w:rPr>
        <w:t xml:space="preserve"> replication, the </w:t>
      </w:r>
      <w:r w:rsidR="00194D63" w:rsidRPr="00194D63">
        <w:rPr>
          <w:rFonts w:ascii="Arial" w:hAnsi="Arial" w:cs="Arial"/>
          <w:sz w:val="24"/>
          <w:szCs w:val="24"/>
        </w:rPr>
        <w:t>plaintiff</w:t>
      </w:r>
      <w:r w:rsidR="000538D2" w:rsidRPr="00194D63">
        <w:rPr>
          <w:rFonts w:ascii="Arial" w:hAnsi="Arial" w:cs="Arial"/>
          <w:sz w:val="24"/>
          <w:szCs w:val="24"/>
        </w:rPr>
        <w:t xml:space="preserve"> conceded </w:t>
      </w:r>
      <w:r w:rsidR="00194D63" w:rsidRPr="00194D63">
        <w:rPr>
          <w:rFonts w:ascii="Arial" w:hAnsi="Arial" w:cs="Arial"/>
          <w:sz w:val="24"/>
          <w:szCs w:val="24"/>
          <w:lang w:val="en-US"/>
        </w:rPr>
        <w:t>that it lodged its claim on the 29</w:t>
      </w:r>
      <w:r w:rsidR="00194D63" w:rsidRPr="00194D63">
        <w:rPr>
          <w:rFonts w:ascii="Arial" w:hAnsi="Arial" w:cs="Arial"/>
          <w:sz w:val="24"/>
          <w:szCs w:val="24"/>
          <w:vertAlign w:val="superscript"/>
          <w:lang w:val="en-US"/>
        </w:rPr>
        <w:t>th</w:t>
      </w:r>
      <w:r w:rsidR="00194D63" w:rsidRPr="00194D63">
        <w:rPr>
          <w:rFonts w:ascii="Arial" w:hAnsi="Arial" w:cs="Arial"/>
          <w:sz w:val="24"/>
          <w:szCs w:val="24"/>
          <w:lang w:val="en-US"/>
        </w:rPr>
        <w:t xml:space="preserve"> of August 2016 and </w:t>
      </w:r>
      <w:r w:rsidR="00194D63">
        <w:rPr>
          <w:rFonts w:ascii="Arial" w:hAnsi="Arial" w:cs="Arial"/>
          <w:sz w:val="24"/>
          <w:szCs w:val="24"/>
          <w:lang w:val="en-US"/>
        </w:rPr>
        <w:t xml:space="preserve">that its claim </w:t>
      </w:r>
      <w:r w:rsidR="00194D63" w:rsidRPr="00194D63">
        <w:rPr>
          <w:rFonts w:ascii="Arial" w:hAnsi="Arial" w:cs="Arial"/>
          <w:sz w:val="24"/>
          <w:szCs w:val="24"/>
          <w:lang w:val="en-US"/>
        </w:rPr>
        <w:t>was repudiated on the 14</w:t>
      </w:r>
      <w:r w:rsidR="00194D63" w:rsidRPr="00194D63">
        <w:rPr>
          <w:rFonts w:ascii="Arial" w:hAnsi="Arial" w:cs="Arial"/>
          <w:sz w:val="24"/>
          <w:szCs w:val="24"/>
          <w:vertAlign w:val="superscript"/>
          <w:lang w:val="en-US"/>
        </w:rPr>
        <w:t>th</w:t>
      </w:r>
      <w:r w:rsidR="00194D63" w:rsidRPr="00194D63">
        <w:rPr>
          <w:rFonts w:ascii="Arial" w:hAnsi="Arial" w:cs="Arial"/>
          <w:sz w:val="24"/>
          <w:szCs w:val="24"/>
          <w:lang w:val="en-US"/>
        </w:rPr>
        <w:t xml:space="preserve"> </w:t>
      </w:r>
      <w:r w:rsidR="00194D63">
        <w:rPr>
          <w:rFonts w:ascii="Arial" w:hAnsi="Arial" w:cs="Arial"/>
          <w:sz w:val="24"/>
          <w:szCs w:val="24"/>
          <w:lang w:val="en-US"/>
        </w:rPr>
        <w:t xml:space="preserve">day </w:t>
      </w:r>
      <w:r w:rsidR="00194D63" w:rsidRPr="00194D63">
        <w:rPr>
          <w:rFonts w:ascii="Arial" w:hAnsi="Arial" w:cs="Arial"/>
          <w:sz w:val="24"/>
          <w:szCs w:val="24"/>
          <w:lang w:val="en-US"/>
        </w:rPr>
        <w:t>of March 2017</w:t>
      </w:r>
      <w:r w:rsidR="002B650D">
        <w:rPr>
          <w:rFonts w:ascii="Arial" w:hAnsi="Arial" w:cs="Arial"/>
          <w:sz w:val="24"/>
          <w:szCs w:val="24"/>
          <w:lang w:val="en-US"/>
        </w:rPr>
        <w:t xml:space="preserve"> and </w:t>
      </w:r>
      <w:r w:rsidR="00C3628F">
        <w:rPr>
          <w:rFonts w:ascii="Arial" w:hAnsi="Arial" w:cs="Arial"/>
          <w:sz w:val="24"/>
          <w:szCs w:val="24"/>
          <w:lang w:val="en-US"/>
        </w:rPr>
        <w:t>that it</w:t>
      </w:r>
      <w:r w:rsidR="002B650D">
        <w:rPr>
          <w:rFonts w:ascii="Arial" w:hAnsi="Arial" w:cs="Arial"/>
          <w:sz w:val="24"/>
          <w:szCs w:val="24"/>
          <w:lang w:val="en-US"/>
        </w:rPr>
        <w:t xml:space="preserve"> </w:t>
      </w:r>
      <w:r w:rsidR="00C3628F">
        <w:rPr>
          <w:rFonts w:ascii="Arial" w:hAnsi="Arial" w:cs="Arial"/>
          <w:sz w:val="24"/>
          <w:szCs w:val="24"/>
          <w:lang w:val="en-US"/>
        </w:rPr>
        <w:t>only inst</w:t>
      </w:r>
      <w:r w:rsidR="008353BE">
        <w:rPr>
          <w:rFonts w:ascii="Arial" w:hAnsi="Arial" w:cs="Arial"/>
          <w:sz w:val="24"/>
          <w:szCs w:val="24"/>
          <w:lang w:val="en-US"/>
        </w:rPr>
        <w:t>i</w:t>
      </w:r>
      <w:r w:rsidR="00C3628F">
        <w:rPr>
          <w:rFonts w:ascii="Arial" w:hAnsi="Arial" w:cs="Arial"/>
          <w:sz w:val="24"/>
          <w:szCs w:val="24"/>
          <w:lang w:val="en-US"/>
        </w:rPr>
        <w:t>t</w:t>
      </w:r>
      <w:r w:rsidR="008353BE">
        <w:rPr>
          <w:rFonts w:ascii="Arial" w:hAnsi="Arial" w:cs="Arial"/>
          <w:sz w:val="24"/>
          <w:szCs w:val="24"/>
          <w:lang w:val="en-US"/>
        </w:rPr>
        <w:t>ut</w:t>
      </w:r>
      <w:r w:rsidR="00C3628F">
        <w:rPr>
          <w:rFonts w:ascii="Arial" w:hAnsi="Arial" w:cs="Arial"/>
          <w:sz w:val="24"/>
          <w:szCs w:val="24"/>
          <w:lang w:val="en-US"/>
        </w:rPr>
        <w:t>ed</w:t>
      </w:r>
      <w:r w:rsidR="002B650D">
        <w:rPr>
          <w:rFonts w:ascii="Arial" w:hAnsi="Arial" w:cs="Arial"/>
          <w:sz w:val="24"/>
          <w:szCs w:val="24"/>
          <w:lang w:val="en-US"/>
        </w:rPr>
        <w:t xml:space="preserve"> summons against the defendant </w:t>
      </w:r>
      <w:r w:rsidR="00132E74">
        <w:rPr>
          <w:rFonts w:ascii="Arial" w:hAnsi="Arial" w:cs="Arial"/>
          <w:sz w:val="24"/>
          <w:szCs w:val="24"/>
          <w:lang w:val="en-US"/>
        </w:rPr>
        <w:t>fif</w:t>
      </w:r>
      <w:r w:rsidR="002B650D">
        <w:rPr>
          <w:rFonts w:ascii="Arial" w:hAnsi="Arial" w:cs="Arial"/>
          <w:sz w:val="24"/>
          <w:szCs w:val="24"/>
          <w:lang w:val="en-US"/>
        </w:rPr>
        <w:t xml:space="preserve">teen months later, </w:t>
      </w:r>
      <w:r w:rsidR="00194D63">
        <w:rPr>
          <w:rFonts w:ascii="Arial" w:hAnsi="Arial" w:cs="Arial"/>
          <w:sz w:val="24"/>
          <w:szCs w:val="24"/>
          <w:lang w:val="en-US"/>
        </w:rPr>
        <w:t xml:space="preserve">but </w:t>
      </w:r>
      <w:r w:rsidR="00194D63" w:rsidRPr="00194D63">
        <w:rPr>
          <w:rFonts w:ascii="Arial" w:hAnsi="Arial" w:cs="Arial"/>
          <w:sz w:val="24"/>
          <w:szCs w:val="24"/>
          <w:lang w:val="en-US"/>
        </w:rPr>
        <w:t xml:space="preserve">denies the validity of clause 6 which prescribes a time bar with regards to the institution of legal proceedings against the </w:t>
      </w:r>
      <w:r w:rsidR="00194D63">
        <w:rPr>
          <w:rFonts w:ascii="Arial" w:hAnsi="Arial" w:cs="Arial"/>
          <w:sz w:val="24"/>
          <w:szCs w:val="24"/>
          <w:lang w:val="en-US"/>
        </w:rPr>
        <w:t>d</w:t>
      </w:r>
      <w:r w:rsidR="00194D63" w:rsidRPr="00194D63">
        <w:rPr>
          <w:rFonts w:ascii="Arial" w:hAnsi="Arial" w:cs="Arial"/>
          <w:sz w:val="24"/>
          <w:szCs w:val="24"/>
          <w:lang w:val="en-US"/>
        </w:rPr>
        <w:t xml:space="preserve">efendant. In amplification </w:t>
      </w:r>
      <w:r w:rsidR="00324619">
        <w:rPr>
          <w:rFonts w:ascii="Arial" w:hAnsi="Arial" w:cs="Arial"/>
          <w:sz w:val="24"/>
          <w:szCs w:val="24"/>
          <w:lang w:val="en-US"/>
        </w:rPr>
        <w:t xml:space="preserve">of </w:t>
      </w:r>
      <w:r w:rsidR="00194D63">
        <w:rPr>
          <w:rFonts w:ascii="Arial" w:hAnsi="Arial" w:cs="Arial"/>
          <w:sz w:val="24"/>
          <w:szCs w:val="24"/>
          <w:lang w:val="en-US"/>
        </w:rPr>
        <w:t>its</w:t>
      </w:r>
      <w:r w:rsidR="00194D63" w:rsidRPr="00194D63">
        <w:rPr>
          <w:rFonts w:ascii="Arial" w:hAnsi="Arial" w:cs="Arial"/>
          <w:sz w:val="24"/>
          <w:szCs w:val="24"/>
          <w:lang w:val="en-US"/>
        </w:rPr>
        <w:t xml:space="preserve"> denial, the </w:t>
      </w:r>
      <w:r w:rsidR="00194D63">
        <w:rPr>
          <w:rFonts w:ascii="Arial" w:hAnsi="Arial" w:cs="Arial"/>
          <w:sz w:val="24"/>
          <w:szCs w:val="24"/>
          <w:lang w:val="en-US"/>
        </w:rPr>
        <w:t xml:space="preserve">plaintiff pleaded that </w:t>
      </w:r>
      <w:r w:rsidR="00194D63" w:rsidRPr="00194D63">
        <w:rPr>
          <w:rFonts w:ascii="Arial" w:hAnsi="Arial" w:cs="Arial"/>
          <w:sz w:val="24"/>
          <w:szCs w:val="24"/>
          <w:lang w:val="en-US"/>
        </w:rPr>
        <w:t xml:space="preserve">clause 6 was not incorporated in the </w:t>
      </w:r>
      <w:r w:rsidR="00DC55BE">
        <w:rPr>
          <w:rFonts w:ascii="Arial" w:hAnsi="Arial" w:cs="Arial"/>
          <w:sz w:val="24"/>
          <w:szCs w:val="24"/>
          <w:lang w:val="en-US"/>
        </w:rPr>
        <w:t xml:space="preserve">contract </w:t>
      </w:r>
      <w:r w:rsidR="00194D63" w:rsidRPr="00194D63">
        <w:rPr>
          <w:rFonts w:ascii="Arial" w:hAnsi="Arial" w:cs="Arial"/>
          <w:sz w:val="24"/>
          <w:szCs w:val="24"/>
          <w:lang w:val="en-US"/>
        </w:rPr>
        <w:t xml:space="preserve">signed </w:t>
      </w:r>
      <w:r w:rsidR="00DC55BE">
        <w:rPr>
          <w:rFonts w:ascii="Arial" w:hAnsi="Arial" w:cs="Arial"/>
          <w:sz w:val="24"/>
          <w:szCs w:val="24"/>
          <w:lang w:val="en-US"/>
        </w:rPr>
        <w:t xml:space="preserve">on its behalf by </w:t>
      </w:r>
      <w:r w:rsidR="00194D63" w:rsidRPr="00194D63">
        <w:rPr>
          <w:rFonts w:ascii="Arial" w:hAnsi="Arial" w:cs="Arial"/>
          <w:sz w:val="24"/>
          <w:szCs w:val="24"/>
          <w:lang w:val="en-US"/>
        </w:rPr>
        <w:t xml:space="preserve">FNB insurance brokers who worked with the </w:t>
      </w:r>
      <w:r w:rsidR="00DC55BE">
        <w:rPr>
          <w:rFonts w:ascii="Arial" w:hAnsi="Arial" w:cs="Arial"/>
          <w:sz w:val="24"/>
          <w:szCs w:val="24"/>
          <w:lang w:val="en-US"/>
        </w:rPr>
        <w:t>p</w:t>
      </w:r>
      <w:r w:rsidR="00194D63" w:rsidRPr="00194D63">
        <w:rPr>
          <w:rFonts w:ascii="Arial" w:hAnsi="Arial" w:cs="Arial"/>
          <w:sz w:val="24"/>
          <w:szCs w:val="24"/>
          <w:lang w:val="en-US"/>
        </w:rPr>
        <w:t xml:space="preserve">laintiff </w:t>
      </w:r>
      <w:r w:rsidR="00DC55BE">
        <w:rPr>
          <w:rFonts w:ascii="Arial" w:hAnsi="Arial" w:cs="Arial"/>
          <w:sz w:val="24"/>
          <w:szCs w:val="24"/>
          <w:lang w:val="en-US"/>
        </w:rPr>
        <w:t xml:space="preserve">nor </w:t>
      </w:r>
      <w:r w:rsidR="00194D63" w:rsidRPr="00194D63">
        <w:rPr>
          <w:rFonts w:ascii="Arial" w:hAnsi="Arial" w:cs="Arial"/>
          <w:sz w:val="24"/>
          <w:szCs w:val="24"/>
          <w:lang w:val="en-US"/>
        </w:rPr>
        <w:t xml:space="preserve">was </w:t>
      </w:r>
      <w:r w:rsidR="00DC55BE">
        <w:rPr>
          <w:rFonts w:ascii="Arial" w:hAnsi="Arial" w:cs="Arial"/>
          <w:sz w:val="24"/>
          <w:szCs w:val="24"/>
          <w:lang w:val="en-US"/>
        </w:rPr>
        <w:t xml:space="preserve">clause 6 explained to the plaintiff’s representative </w:t>
      </w:r>
      <w:r w:rsidR="00194D63" w:rsidRPr="00194D63">
        <w:rPr>
          <w:rFonts w:ascii="Arial" w:hAnsi="Arial" w:cs="Arial"/>
          <w:sz w:val="24"/>
          <w:szCs w:val="24"/>
          <w:lang w:val="en-US"/>
        </w:rPr>
        <w:t>at the time of the conclusion of the contract.</w:t>
      </w:r>
    </w:p>
    <w:p w:rsidR="00324619" w:rsidRPr="00194D63" w:rsidRDefault="00324619" w:rsidP="003C75E8">
      <w:pPr>
        <w:pStyle w:val="ListParagraph"/>
        <w:spacing w:before="240" w:line="360" w:lineRule="auto"/>
        <w:ind w:left="0"/>
        <w:jc w:val="both"/>
        <w:rPr>
          <w:rFonts w:ascii="Arial" w:hAnsi="Arial" w:cs="Arial"/>
          <w:sz w:val="24"/>
          <w:szCs w:val="24"/>
          <w:lang w:val="en-US"/>
        </w:rPr>
      </w:pPr>
    </w:p>
    <w:p w:rsidR="0052743D" w:rsidRPr="00194D63" w:rsidRDefault="000538D2" w:rsidP="003C75E8">
      <w:pPr>
        <w:pStyle w:val="ListParagraph"/>
        <w:spacing w:after="0" w:line="360" w:lineRule="auto"/>
        <w:ind w:left="0"/>
        <w:jc w:val="both"/>
        <w:rPr>
          <w:rFonts w:ascii="Arial" w:hAnsi="Arial" w:cs="Arial"/>
          <w:sz w:val="24"/>
          <w:szCs w:val="24"/>
        </w:rPr>
      </w:pPr>
      <w:r w:rsidRPr="00194D63">
        <w:rPr>
          <w:rFonts w:ascii="Arial" w:hAnsi="Arial" w:cs="Arial"/>
          <w:sz w:val="24"/>
          <w:szCs w:val="24"/>
        </w:rPr>
        <w:t>[</w:t>
      </w:r>
      <w:r w:rsidR="00DC55BE">
        <w:rPr>
          <w:rFonts w:ascii="Arial" w:hAnsi="Arial" w:cs="Arial"/>
          <w:sz w:val="24"/>
          <w:szCs w:val="24"/>
        </w:rPr>
        <w:t>1</w:t>
      </w:r>
      <w:r w:rsidR="00132E74">
        <w:rPr>
          <w:rFonts w:ascii="Arial" w:hAnsi="Arial" w:cs="Arial"/>
          <w:sz w:val="24"/>
          <w:szCs w:val="24"/>
        </w:rPr>
        <w:t>2</w:t>
      </w:r>
      <w:r w:rsidRPr="00194D63">
        <w:rPr>
          <w:rFonts w:ascii="Arial" w:hAnsi="Arial" w:cs="Arial"/>
          <w:sz w:val="24"/>
          <w:szCs w:val="24"/>
        </w:rPr>
        <w:t>]</w:t>
      </w:r>
      <w:r w:rsidR="00DC55BE">
        <w:rPr>
          <w:rFonts w:ascii="Arial" w:hAnsi="Arial" w:cs="Arial"/>
          <w:sz w:val="24"/>
          <w:szCs w:val="24"/>
        </w:rPr>
        <w:tab/>
      </w:r>
      <w:r w:rsidRPr="00194D63">
        <w:rPr>
          <w:rFonts w:ascii="Arial" w:hAnsi="Arial" w:cs="Arial"/>
          <w:sz w:val="24"/>
          <w:szCs w:val="24"/>
        </w:rPr>
        <w:t xml:space="preserve">The replication did not evoke any further pleading from the </w:t>
      </w:r>
      <w:r w:rsidR="00DC55BE">
        <w:rPr>
          <w:rFonts w:ascii="Arial" w:hAnsi="Arial" w:cs="Arial"/>
          <w:sz w:val="24"/>
          <w:szCs w:val="24"/>
        </w:rPr>
        <w:t>defendant</w:t>
      </w:r>
      <w:r w:rsidRPr="00194D63">
        <w:rPr>
          <w:rFonts w:ascii="Arial" w:hAnsi="Arial" w:cs="Arial"/>
          <w:sz w:val="24"/>
          <w:szCs w:val="24"/>
        </w:rPr>
        <w:t>.</w:t>
      </w:r>
      <w:r w:rsidR="00DC55BE">
        <w:rPr>
          <w:rFonts w:ascii="Arial" w:hAnsi="Arial" w:cs="Arial"/>
          <w:sz w:val="24"/>
          <w:szCs w:val="24"/>
        </w:rPr>
        <w:t xml:space="preserve"> After some other interlocutory proceedings and delays the matter ultimately came before me to hear the special plea raised by the defendant. </w:t>
      </w:r>
    </w:p>
    <w:p w:rsidR="006833BA" w:rsidRPr="0052743D" w:rsidRDefault="006A12D4" w:rsidP="003C75E8">
      <w:pPr>
        <w:pStyle w:val="ListParagraph"/>
        <w:spacing w:after="0" w:line="360" w:lineRule="auto"/>
        <w:ind w:left="1080"/>
        <w:jc w:val="both"/>
        <w:rPr>
          <w:rFonts w:ascii="Arial" w:hAnsi="Arial" w:cs="Arial"/>
          <w:lang w:val="en-US"/>
        </w:rPr>
      </w:pPr>
      <w:r w:rsidRPr="0052743D">
        <w:rPr>
          <w:rFonts w:ascii="Arial" w:hAnsi="Arial" w:cs="Arial"/>
          <w:lang w:val="en-US"/>
        </w:rPr>
        <w:t>.</w:t>
      </w:r>
    </w:p>
    <w:p w:rsidR="006833BA" w:rsidRDefault="006833BA" w:rsidP="003C75E8">
      <w:pPr>
        <w:spacing w:after="0" w:line="360" w:lineRule="auto"/>
        <w:jc w:val="both"/>
        <w:rPr>
          <w:rFonts w:ascii="Arial" w:hAnsi="Arial" w:cs="Arial"/>
          <w:sz w:val="24"/>
          <w:szCs w:val="24"/>
          <w:u w:val="single"/>
          <w:lang w:val="en-US"/>
        </w:rPr>
      </w:pPr>
      <w:r w:rsidRPr="00C51A78">
        <w:rPr>
          <w:rFonts w:ascii="Arial" w:hAnsi="Arial" w:cs="Arial"/>
          <w:sz w:val="24"/>
          <w:szCs w:val="24"/>
          <w:u w:val="single"/>
          <w:lang w:val="en-US"/>
        </w:rPr>
        <w:t>Issue</w:t>
      </w:r>
    </w:p>
    <w:p w:rsidR="00DC6267" w:rsidRDefault="00DC6267" w:rsidP="003C75E8">
      <w:pPr>
        <w:spacing w:after="0" w:line="360" w:lineRule="auto"/>
        <w:jc w:val="both"/>
        <w:rPr>
          <w:rFonts w:ascii="Arial" w:hAnsi="Arial" w:cs="Arial"/>
          <w:sz w:val="24"/>
          <w:szCs w:val="24"/>
          <w:lang w:val="en-US"/>
        </w:rPr>
      </w:pPr>
    </w:p>
    <w:p w:rsidR="00954734" w:rsidRPr="00954734" w:rsidRDefault="00DC55BE" w:rsidP="003C75E8">
      <w:pPr>
        <w:spacing w:after="0" w:line="360" w:lineRule="auto"/>
        <w:jc w:val="both"/>
        <w:rPr>
          <w:rFonts w:ascii="Arial" w:hAnsi="Arial" w:cs="Arial"/>
          <w:sz w:val="24"/>
          <w:szCs w:val="24"/>
          <w:lang w:val="en-US"/>
        </w:rPr>
      </w:pPr>
      <w:r w:rsidRPr="00954734">
        <w:rPr>
          <w:rFonts w:ascii="Arial" w:hAnsi="Arial" w:cs="Arial"/>
          <w:sz w:val="24"/>
          <w:szCs w:val="24"/>
          <w:lang w:val="en-US"/>
        </w:rPr>
        <w:t>[1</w:t>
      </w:r>
      <w:r w:rsidR="00132E74">
        <w:rPr>
          <w:rFonts w:ascii="Arial" w:hAnsi="Arial" w:cs="Arial"/>
          <w:sz w:val="24"/>
          <w:szCs w:val="24"/>
          <w:lang w:val="en-US"/>
        </w:rPr>
        <w:t>3</w:t>
      </w:r>
      <w:r w:rsidRPr="00954734">
        <w:rPr>
          <w:rFonts w:ascii="Arial" w:hAnsi="Arial" w:cs="Arial"/>
          <w:sz w:val="24"/>
          <w:szCs w:val="24"/>
          <w:lang w:val="en-US"/>
        </w:rPr>
        <w:t>]</w:t>
      </w:r>
      <w:r w:rsidRPr="00954734">
        <w:rPr>
          <w:rFonts w:ascii="Arial" w:hAnsi="Arial" w:cs="Arial"/>
          <w:sz w:val="24"/>
          <w:szCs w:val="24"/>
          <w:lang w:val="en-US"/>
        </w:rPr>
        <w:tab/>
      </w:r>
      <w:r w:rsidR="006833BA" w:rsidRPr="00954734">
        <w:rPr>
          <w:rFonts w:ascii="Arial" w:hAnsi="Arial" w:cs="Arial"/>
          <w:sz w:val="24"/>
          <w:szCs w:val="24"/>
          <w:lang w:val="en-US"/>
        </w:rPr>
        <w:t xml:space="preserve">The issue to </w:t>
      </w:r>
      <w:r w:rsidR="00132E74">
        <w:rPr>
          <w:rFonts w:ascii="Arial" w:hAnsi="Arial" w:cs="Arial"/>
          <w:sz w:val="24"/>
          <w:szCs w:val="24"/>
          <w:lang w:val="en-US"/>
        </w:rPr>
        <w:t>determine</w:t>
      </w:r>
      <w:r w:rsidR="006833BA" w:rsidRPr="00954734">
        <w:rPr>
          <w:rFonts w:ascii="Arial" w:hAnsi="Arial" w:cs="Arial"/>
          <w:sz w:val="24"/>
          <w:szCs w:val="24"/>
          <w:lang w:val="en-US"/>
        </w:rPr>
        <w:t xml:space="preserve"> </w:t>
      </w:r>
      <w:r w:rsidR="00CD0B70" w:rsidRPr="00954734">
        <w:rPr>
          <w:rFonts w:ascii="Arial" w:hAnsi="Arial" w:cs="Arial"/>
          <w:sz w:val="24"/>
          <w:szCs w:val="24"/>
          <w:lang w:val="en-US"/>
        </w:rPr>
        <w:t>in this matter</w:t>
      </w:r>
      <w:r w:rsidR="006833BA" w:rsidRPr="00954734">
        <w:rPr>
          <w:rFonts w:ascii="Arial" w:hAnsi="Arial" w:cs="Arial"/>
          <w:sz w:val="24"/>
          <w:szCs w:val="24"/>
          <w:lang w:val="en-US"/>
        </w:rPr>
        <w:t xml:space="preserve"> is </w:t>
      </w:r>
      <w:r w:rsidR="00CD0B70" w:rsidRPr="00954734">
        <w:rPr>
          <w:rFonts w:ascii="Arial" w:hAnsi="Arial" w:cs="Arial"/>
          <w:sz w:val="24"/>
          <w:szCs w:val="24"/>
          <w:lang w:val="en-US"/>
        </w:rPr>
        <w:t>whether clause 6</w:t>
      </w:r>
      <w:r w:rsidR="00132E74">
        <w:rPr>
          <w:rFonts w:ascii="Arial" w:hAnsi="Arial" w:cs="Arial"/>
          <w:sz w:val="24"/>
          <w:szCs w:val="24"/>
          <w:lang w:val="en-US"/>
        </w:rPr>
        <w:t>,</w:t>
      </w:r>
      <w:r w:rsidR="00CD0B70" w:rsidRPr="00954734">
        <w:rPr>
          <w:rFonts w:ascii="Arial" w:hAnsi="Arial" w:cs="Arial"/>
          <w:sz w:val="24"/>
          <w:szCs w:val="24"/>
          <w:lang w:val="en-US"/>
        </w:rPr>
        <w:t xml:space="preserve"> that I quoted earlier in this judgment</w:t>
      </w:r>
      <w:r w:rsidR="00132E74">
        <w:rPr>
          <w:rFonts w:ascii="Arial" w:hAnsi="Arial" w:cs="Arial"/>
          <w:sz w:val="24"/>
          <w:szCs w:val="24"/>
          <w:lang w:val="en-US"/>
        </w:rPr>
        <w:t>,</w:t>
      </w:r>
      <w:r w:rsidR="00CD0B70" w:rsidRPr="00954734">
        <w:rPr>
          <w:rFonts w:ascii="Arial" w:hAnsi="Arial" w:cs="Arial"/>
          <w:sz w:val="24"/>
          <w:szCs w:val="24"/>
          <w:lang w:val="en-US"/>
        </w:rPr>
        <w:t xml:space="preserve"> </w:t>
      </w:r>
      <w:r w:rsidR="006833BA" w:rsidRPr="00954734">
        <w:rPr>
          <w:rFonts w:ascii="Arial" w:hAnsi="Arial" w:cs="Arial"/>
          <w:sz w:val="24"/>
          <w:szCs w:val="24"/>
          <w:lang w:val="en-US"/>
        </w:rPr>
        <w:t>forms part of the contract entered into between the parties</w:t>
      </w:r>
      <w:r w:rsidR="00132E74">
        <w:rPr>
          <w:rFonts w:ascii="Arial" w:hAnsi="Arial" w:cs="Arial"/>
          <w:sz w:val="24"/>
          <w:szCs w:val="24"/>
          <w:lang w:val="en-US"/>
        </w:rPr>
        <w:t>,</w:t>
      </w:r>
      <w:r w:rsidR="00CD0B70" w:rsidRPr="00954734">
        <w:rPr>
          <w:rFonts w:ascii="Arial" w:hAnsi="Arial" w:cs="Arial"/>
          <w:sz w:val="24"/>
          <w:szCs w:val="24"/>
          <w:lang w:val="en-US"/>
        </w:rPr>
        <w:t xml:space="preserve"> and if so, </w:t>
      </w:r>
      <w:r w:rsidR="006833BA" w:rsidRPr="00954734">
        <w:rPr>
          <w:rFonts w:ascii="Arial" w:hAnsi="Arial" w:cs="Arial"/>
          <w:sz w:val="24"/>
          <w:szCs w:val="24"/>
          <w:lang w:val="en-US"/>
        </w:rPr>
        <w:t xml:space="preserve">whether the </w:t>
      </w:r>
      <w:r w:rsidR="002B650D">
        <w:rPr>
          <w:rFonts w:ascii="Arial" w:hAnsi="Arial" w:cs="Arial"/>
          <w:sz w:val="24"/>
          <w:szCs w:val="24"/>
          <w:lang w:val="en-US"/>
        </w:rPr>
        <w:t>defendant</w:t>
      </w:r>
      <w:r w:rsidR="00CD0B70" w:rsidRPr="00954734">
        <w:rPr>
          <w:rFonts w:ascii="Arial" w:hAnsi="Arial" w:cs="Arial"/>
          <w:sz w:val="24"/>
          <w:szCs w:val="24"/>
          <w:lang w:val="en-US"/>
        </w:rPr>
        <w:t xml:space="preserve"> is </w:t>
      </w:r>
      <w:r w:rsidR="00132E74">
        <w:rPr>
          <w:rFonts w:ascii="Arial" w:hAnsi="Arial" w:cs="Arial"/>
          <w:sz w:val="24"/>
          <w:szCs w:val="24"/>
          <w:lang w:val="en-US"/>
        </w:rPr>
        <w:t xml:space="preserve">thereby </w:t>
      </w:r>
      <w:r w:rsidR="00CD0B70" w:rsidRPr="00954734">
        <w:rPr>
          <w:rFonts w:ascii="Arial" w:hAnsi="Arial" w:cs="Arial"/>
          <w:sz w:val="24"/>
          <w:szCs w:val="24"/>
          <w:lang w:val="en-US"/>
        </w:rPr>
        <w:t>release</w:t>
      </w:r>
      <w:r w:rsidR="00132E74">
        <w:rPr>
          <w:rFonts w:ascii="Arial" w:hAnsi="Arial" w:cs="Arial"/>
          <w:sz w:val="24"/>
          <w:szCs w:val="24"/>
          <w:lang w:val="en-US"/>
        </w:rPr>
        <w:t>d</w:t>
      </w:r>
      <w:r w:rsidR="00CD0B70" w:rsidRPr="00954734">
        <w:rPr>
          <w:rFonts w:ascii="Arial" w:hAnsi="Arial" w:cs="Arial"/>
          <w:sz w:val="24"/>
          <w:szCs w:val="24"/>
          <w:lang w:val="en-US"/>
        </w:rPr>
        <w:t xml:space="preserve"> from liability to compensate the plaintiff.</w:t>
      </w:r>
    </w:p>
    <w:p w:rsidR="00954734" w:rsidRPr="00954734" w:rsidRDefault="00954734" w:rsidP="003C75E8">
      <w:pPr>
        <w:spacing w:after="0" w:line="360" w:lineRule="auto"/>
        <w:jc w:val="both"/>
        <w:rPr>
          <w:rFonts w:ascii="Arial" w:hAnsi="Arial" w:cs="Arial"/>
          <w:sz w:val="24"/>
          <w:szCs w:val="24"/>
          <w:lang w:val="en-US"/>
        </w:rPr>
      </w:pPr>
    </w:p>
    <w:p w:rsidR="00AB5851" w:rsidRPr="00954734" w:rsidRDefault="00954734" w:rsidP="003C75E8">
      <w:pPr>
        <w:spacing w:after="0" w:line="360" w:lineRule="auto"/>
        <w:jc w:val="both"/>
        <w:rPr>
          <w:rFonts w:ascii="Arial" w:hAnsi="Arial" w:cs="Arial"/>
          <w:sz w:val="24"/>
          <w:szCs w:val="24"/>
          <w:lang w:val="en-US"/>
        </w:rPr>
      </w:pPr>
      <w:r w:rsidRPr="00954734">
        <w:rPr>
          <w:rFonts w:ascii="Arial" w:hAnsi="Arial" w:cs="Arial"/>
          <w:sz w:val="24"/>
          <w:szCs w:val="24"/>
          <w:lang w:val="en-US"/>
        </w:rPr>
        <w:t>[1</w:t>
      </w:r>
      <w:r w:rsidR="00132E74">
        <w:rPr>
          <w:rFonts w:ascii="Arial" w:hAnsi="Arial" w:cs="Arial"/>
          <w:sz w:val="24"/>
          <w:szCs w:val="24"/>
          <w:lang w:val="en-US"/>
        </w:rPr>
        <w:t>4</w:t>
      </w:r>
      <w:r w:rsidRPr="00954734">
        <w:rPr>
          <w:rFonts w:ascii="Arial" w:hAnsi="Arial" w:cs="Arial"/>
          <w:sz w:val="24"/>
          <w:szCs w:val="24"/>
          <w:lang w:val="en-US"/>
        </w:rPr>
        <w:t>]</w:t>
      </w:r>
      <w:r w:rsidRPr="00954734">
        <w:rPr>
          <w:rFonts w:ascii="Arial" w:hAnsi="Arial" w:cs="Arial"/>
          <w:sz w:val="24"/>
          <w:szCs w:val="24"/>
          <w:lang w:val="en-US"/>
        </w:rPr>
        <w:tab/>
      </w:r>
      <w:r w:rsidR="00132E74">
        <w:rPr>
          <w:rFonts w:ascii="Arial" w:hAnsi="Arial" w:cs="Arial"/>
          <w:sz w:val="24"/>
          <w:szCs w:val="24"/>
          <w:lang w:val="en-US"/>
        </w:rPr>
        <w:t xml:space="preserve">In dealing with the identified issues, </w:t>
      </w:r>
      <w:r w:rsidRPr="00954734">
        <w:rPr>
          <w:rFonts w:ascii="Arial" w:hAnsi="Arial" w:cs="Arial"/>
          <w:sz w:val="24"/>
          <w:szCs w:val="24"/>
          <w:lang w:val="en-US"/>
        </w:rPr>
        <w:t>I find it appropriate to commence with the evidence that was presented at the hearing of this matter.</w:t>
      </w:r>
      <w:r w:rsidR="00CD0B70" w:rsidRPr="00954734">
        <w:rPr>
          <w:rFonts w:ascii="Arial" w:hAnsi="Arial" w:cs="Arial"/>
          <w:sz w:val="24"/>
          <w:szCs w:val="24"/>
          <w:lang w:val="en-US"/>
        </w:rPr>
        <w:t xml:space="preserve"> </w:t>
      </w:r>
    </w:p>
    <w:p w:rsidR="00954734" w:rsidRDefault="00954734" w:rsidP="003C75E8">
      <w:pPr>
        <w:spacing w:after="0" w:line="360" w:lineRule="auto"/>
        <w:jc w:val="both"/>
        <w:rPr>
          <w:rFonts w:ascii="Arial" w:hAnsi="Arial" w:cs="Arial"/>
          <w:sz w:val="24"/>
          <w:szCs w:val="24"/>
          <w:lang w:val="en-US"/>
        </w:rPr>
      </w:pPr>
    </w:p>
    <w:p w:rsidR="00DC6267" w:rsidRDefault="00DC6267" w:rsidP="003C75E8">
      <w:pPr>
        <w:spacing w:after="0" w:line="360" w:lineRule="auto"/>
        <w:jc w:val="both"/>
        <w:rPr>
          <w:rFonts w:ascii="Arial" w:hAnsi="Arial" w:cs="Arial"/>
          <w:sz w:val="24"/>
          <w:szCs w:val="24"/>
          <w:u w:val="single"/>
          <w:lang w:val="en-US"/>
        </w:rPr>
      </w:pPr>
    </w:p>
    <w:p w:rsidR="00DC6267" w:rsidRDefault="00DC6267" w:rsidP="003C75E8">
      <w:pPr>
        <w:spacing w:after="0" w:line="360" w:lineRule="auto"/>
        <w:jc w:val="both"/>
        <w:rPr>
          <w:rFonts w:ascii="Arial" w:hAnsi="Arial" w:cs="Arial"/>
          <w:sz w:val="24"/>
          <w:szCs w:val="24"/>
          <w:u w:val="single"/>
          <w:lang w:val="en-US"/>
        </w:rPr>
      </w:pPr>
    </w:p>
    <w:p w:rsidR="00DC6267" w:rsidRDefault="00DC6267" w:rsidP="003C75E8">
      <w:pPr>
        <w:spacing w:after="0" w:line="360" w:lineRule="auto"/>
        <w:jc w:val="both"/>
        <w:rPr>
          <w:rFonts w:ascii="Arial" w:hAnsi="Arial" w:cs="Arial"/>
          <w:sz w:val="24"/>
          <w:szCs w:val="24"/>
          <w:u w:val="single"/>
          <w:lang w:val="en-US"/>
        </w:rPr>
      </w:pPr>
    </w:p>
    <w:p w:rsidR="00954734" w:rsidRDefault="00954734" w:rsidP="003C75E8">
      <w:pPr>
        <w:spacing w:after="0" w:line="360" w:lineRule="auto"/>
        <w:jc w:val="both"/>
        <w:rPr>
          <w:rFonts w:ascii="Arial" w:hAnsi="Arial" w:cs="Arial"/>
          <w:sz w:val="24"/>
          <w:szCs w:val="24"/>
          <w:u w:val="single"/>
          <w:lang w:val="en-US"/>
        </w:rPr>
      </w:pPr>
      <w:r w:rsidRPr="00954734">
        <w:rPr>
          <w:rFonts w:ascii="Arial" w:hAnsi="Arial" w:cs="Arial"/>
          <w:sz w:val="24"/>
          <w:szCs w:val="24"/>
          <w:u w:val="single"/>
          <w:lang w:val="en-US"/>
        </w:rPr>
        <w:t>The evidence</w:t>
      </w:r>
    </w:p>
    <w:p w:rsidR="00954734" w:rsidRPr="00D86560" w:rsidRDefault="00954734" w:rsidP="003C75E8">
      <w:pPr>
        <w:spacing w:after="0" w:line="360" w:lineRule="auto"/>
        <w:jc w:val="both"/>
        <w:rPr>
          <w:rFonts w:ascii="Arial" w:hAnsi="Arial" w:cs="Arial"/>
          <w:sz w:val="24"/>
          <w:szCs w:val="24"/>
          <w:u w:val="single"/>
          <w:lang w:val="en-US"/>
        </w:rPr>
      </w:pPr>
    </w:p>
    <w:p w:rsidR="00D86560" w:rsidRPr="00D86560" w:rsidRDefault="00954734" w:rsidP="003C75E8">
      <w:pPr>
        <w:pStyle w:val="ListParagraph"/>
        <w:spacing w:line="360" w:lineRule="auto"/>
        <w:ind w:left="0"/>
        <w:jc w:val="both"/>
        <w:rPr>
          <w:rFonts w:ascii="Arial" w:hAnsi="Arial" w:cs="Arial"/>
          <w:sz w:val="24"/>
          <w:szCs w:val="24"/>
          <w:lang w:val="en-US"/>
        </w:rPr>
      </w:pPr>
      <w:r w:rsidRPr="00D86560">
        <w:rPr>
          <w:rFonts w:ascii="Arial" w:hAnsi="Arial" w:cs="Arial"/>
          <w:sz w:val="24"/>
          <w:szCs w:val="24"/>
        </w:rPr>
        <w:t>[1</w:t>
      </w:r>
      <w:r w:rsidR="00132E74">
        <w:rPr>
          <w:rFonts w:ascii="Arial" w:hAnsi="Arial" w:cs="Arial"/>
          <w:sz w:val="24"/>
          <w:szCs w:val="24"/>
        </w:rPr>
        <w:t>5</w:t>
      </w:r>
      <w:r w:rsidRPr="00D86560">
        <w:rPr>
          <w:rFonts w:ascii="Arial" w:hAnsi="Arial" w:cs="Arial"/>
          <w:sz w:val="24"/>
          <w:szCs w:val="24"/>
        </w:rPr>
        <w:t>]</w:t>
      </w:r>
      <w:r w:rsidRPr="00D86560">
        <w:rPr>
          <w:rFonts w:ascii="Arial" w:hAnsi="Arial" w:cs="Arial"/>
          <w:sz w:val="24"/>
          <w:szCs w:val="24"/>
        </w:rPr>
        <w:tab/>
        <w:t>The d</w:t>
      </w:r>
      <w:r w:rsidR="00132E74">
        <w:rPr>
          <w:rFonts w:ascii="Arial" w:hAnsi="Arial" w:cs="Arial"/>
          <w:sz w:val="24"/>
          <w:szCs w:val="24"/>
        </w:rPr>
        <w:t>efendant called three witnesses.</w:t>
      </w:r>
      <w:r w:rsidRPr="00D86560">
        <w:rPr>
          <w:rFonts w:ascii="Arial" w:hAnsi="Arial" w:cs="Arial"/>
          <w:sz w:val="24"/>
          <w:szCs w:val="24"/>
        </w:rPr>
        <w:t xml:space="preserve"> Mr Johan Barnard</w:t>
      </w:r>
      <w:r w:rsidR="00132E74">
        <w:rPr>
          <w:rFonts w:ascii="Arial" w:hAnsi="Arial" w:cs="Arial"/>
          <w:sz w:val="24"/>
          <w:szCs w:val="24"/>
        </w:rPr>
        <w:t xml:space="preserve">, </w:t>
      </w:r>
      <w:r w:rsidRPr="00D86560">
        <w:rPr>
          <w:rFonts w:ascii="Arial" w:hAnsi="Arial" w:cs="Arial"/>
          <w:sz w:val="24"/>
          <w:szCs w:val="24"/>
        </w:rPr>
        <w:t>Mr Peter Kawanab and the plaintiff’s insurance broker, Mr Alex Gaugorob</w:t>
      </w:r>
      <w:r w:rsidR="00132E74">
        <w:rPr>
          <w:rFonts w:ascii="Arial" w:hAnsi="Arial" w:cs="Arial"/>
          <w:sz w:val="24"/>
          <w:szCs w:val="24"/>
        </w:rPr>
        <w:t xml:space="preserve">. Mr Gaugorob </w:t>
      </w:r>
      <w:r w:rsidRPr="00D86560">
        <w:rPr>
          <w:rFonts w:ascii="Arial" w:hAnsi="Arial" w:cs="Arial"/>
          <w:sz w:val="24"/>
          <w:szCs w:val="24"/>
        </w:rPr>
        <w:t>was subpoenaed to testify. The plaintiff did not call any witnesses.</w:t>
      </w:r>
      <w:r w:rsidR="00D86560" w:rsidRPr="00D86560">
        <w:rPr>
          <w:rFonts w:ascii="Arial" w:hAnsi="Arial" w:cs="Arial"/>
          <w:sz w:val="24"/>
          <w:szCs w:val="24"/>
          <w:lang w:val="en-US"/>
        </w:rPr>
        <w:t xml:space="preserve"> For the purposes of this judgment I will in summary only discuss the evidence of M</w:t>
      </w:r>
      <w:r w:rsidR="00132E74">
        <w:rPr>
          <w:rFonts w:ascii="Arial" w:hAnsi="Arial" w:cs="Arial"/>
          <w:sz w:val="24"/>
          <w:szCs w:val="24"/>
          <w:lang w:val="en-US"/>
        </w:rPr>
        <w:t>r</w:t>
      </w:r>
      <w:r w:rsidR="00D86560" w:rsidRPr="00D86560">
        <w:rPr>
          <w:rFonts w:ascii="Arial" w:hAnsi="Arial" w:cs="Arial"/>
          <w:sz w:val="24"/>
          <w:szCs w:val="24"/>
          <w:lang w:val="en-US"/>
        </w:rPr>
        <w:t xml:space="preserve"> Johan Barnard and Mr Alex Gaugorob </w:t>
      </w:r>
      <w:r w:rsidR="00132E74">
        <w:rPr>
          <w:rFonts w:ascii="Arial" w:hAnsi="Arial" w:cs="Arial"/>
          <w:sz w:val="24"/>
          <w:szCs w:val="24"/>
          <w:lang w:val="en-US"/>
        </w:rPr>
        <w:t xml:space="preserve">as their evidence </w:t>
      </w:r>
      <w:r w:rsidR="00D86560" w:rsidRPr="00D86560">
        <w:rPr>
          <w:rFonts w:ascii="Arial" w:hAnsi="Arial" w:cs="Arial"/>
          <w:sz w:val="24"/>
          <w:szCs w:val="24"/>
          <w:lang w:val="en-US"/>
        </w:rPr>
        <w:t xml:space="preserve">is relevant to the </w:t>
      </w:r>
      <w:r w:rsidR="00B026D4">
        <w:rPr>
          <w:rFonts w:ascii="Arial" w:hAnsi="Arial" w:cs="Arial"/>
          <w:sz w:val="24"/>
          <w:szCs w:val="24"/>
          <w:lang w:val="en-US"/>
        </w:rPr>
        <w:t>dispute between the parties</w:t>
      </w:r>
      <w:r w:rsidR="00D86560" w:rsidRPr="00D86560">
        <w:rPr>
          <w:rFonts w:ascii="Arial" w:hAnsi="Arial" w:cs="Arial"/>
          <w:sz w:val="24"/>
          <w:szCs w:val="24"/>
          <w:lang w:val="en-US"/>
        </w:rPr>
        <w:t>.</w:t>
      </w:r>
    </w:p>
    <w:p w:rsidR="00D86560" w:rsidRDefault="00D86560" w:rsidP="003C75E8">
      <w:pPr>
        <w:pStyle w:val="ListParagraph"/>
        <w:spacing w:line="360" w:lineRule="auto"/>
        <w:jc w:val="both"/>
        <w:rPr>
          <w:rFonts w:ascii="Arial" w:hAnsi="Arial" w:cs="Arial"/>
          <w:sz w:val="24"/>
          <w:szCs w:val="24"/>
          <w:lang w:val="en-US"/>
        </w:rPr>
      </w:pPr>
    </w:p>
    <w:p w:rsidR="00D86560" w:rsidRPr="00132E74" w:rsidRDefault="00D86560" w:rsidP="003C75E8">
      <w:pPr>
        <w:pStyle w:val="ListParagraph"/>
        <w:spacing w:line="360" w:lineRule="auto"/>
        <w:ind w:left="0"/>
        <w:jc w:val="both"/>
        <w:rPr>
          <w:rFonts w:ascii="Arial" w:hAnsi="Arial" w:cs="Arial"/>
          <w:i/>
          <w:sz w:val="24"/>
          <w:szCs w:val="24"/>
          <w:lang w:val="en-US"/>
        </w:rPr>
      </w:pPr>
      <w:r w:rsidRPr="00132E74">
        <w:rPr>
          <w:rFonts w:ascii="Arial" w:hAnsi="Arial" w:cs="Arial"/>
          <w:i/>
          <w:sz w:val="24"/>
          <w:szCs w:val="24"/>
        </w:rPr>
        <w:t>Mr Johan Barnard</w:t>
      </w:r>
      <w:r w:rsidR="00132E74" w:rsidRPr="00132E74">
        <w:rPr>
          <w:rFonts w:ascii="Arial" w:hAnsi="Arial" w:cs="Arial"/>
          <w:i/>
          <w:sz w:val="24"/>
          <w:szCs w:val="24"/>
        </w:rPr>
        <w:t>:</w:t>
      </w:r>
    </w:p>
    <w:p w:rsidR="00D86560" w:rsidRDefault="00D86560" w:rsidP="003C75E8">
      <w:pPr>
        <w:spacing w:line="360" w:lineRule="auto"/>
        <w:jc w:val="both"/>
        <w:rPr>
          <w:rFonts w:ascii="Arial" w:hAnsi="Arial" w:cs="Arial"/>
          <w:sz w:val="24"/>
          <w:szCs w:val="24"/>
          <w:lang w:val="en-US"/>
        </w:rPr>
      </w:pPr>
      <w:r>
        <w:rPr>
          <w:rFonts w:ascii="Arial" w:hAnsi="Arial" w:cs="Arial"/>
          <w:sz w:val="24"/>
          <w:szCs w:val="24"/>
          <w:lang w:val="en-US"/>
        </w:rPr>
        <w:t>[1</w:t>
      </w:r>
      <w:r w:rsidR="00132E74">
        <w:rPr>
          <w:rFonts w:ascii="Arial" w:hAnsi="Arial" w:cs="Arial"/>
          <w:sz w:val="24"/>
          <w:szCs w:val="24"/>
          <w:lang w:val="en-US"/>
        </w:rPr>
        <w:t>6]</w:t>
      </w:r>
      <w:r w:rsidR="00132E74">
        <w:rPr>
          <w:rFonts w:ascii="Arial" w:hAnsi="Arial" w:cs="Arial"/>
          <w:sz w:val="24"/>
          <w:szCs w:val="24"/>
          <w:lang w:val="en-US"/>
        </w:rPr>
        <w:tab/>
        <w:t>Mr</w:t>
      </w:r>
      <w:r>
        <w:rPr>
          <w:rFonts w:ascii="Arial" w:hAnsi="Arial" w:cs="Arial"/>
          <w:sz w:val="24"/>
          <w:szCs w:val="24"/>
          <w:lang w:val="en-US"/>
        </w:rPr>
        <w:t xml:space="preserve"> Barnard testified that he</w:t>
      </w:r>
      <w:r w:rsidRPr="00D86560">
        <w:rPr>
          <w:rFonts w:ascii="Arial" w:hAnsi="Arial" w:cs="Arial"/>
          <w:sz w:val="24"/>
          <w:szCs w:val="24"/>
          <w:lang w:val="en-US"/>
        </w:rPr>
        <w:t xml:space="preserve"> is the Chief Executive Officer of the </w:t>
      </w:r>
      <w:r w:rsidR="00B026D4" w:rsidRPr="00D86560">
        <w:rPr>
          <w:rFonts w:ascii="Arial" w:hAnsi="Arial" w:cs="Arial"/>
          <w:sz w:val="24"/>
          <w:szCs w:val="24"/>
          <w:lang w:val="en-US"/>
        </w:rPr>
        <w:t>d</w:t>
      </w:r>
      <w:r w:rsidRPr="00D86560">
        <w:rPr>
          <w:rFonts w:ascii="Arial" w:hAnsi="Arial" w:cs="Arial"/>
          <w:sz w:val="24"/>
          <w:szCs w:val="24"/>
          <w:lang w:val="en-US"/>
        </w:rPr>
        <w:t xml:space="preserve">efendant </w:t>
      </w:r>
      <w:r>
        <w:rPr>
          <w:rFonts w:ascii="Arial" w:hAnsi="Arial" w:cs="Arial"/>
          <w:sz w:val="24"/>
          <w:szCs w:val="24"/>
          <w:lang w:val="en-US"/>
        </w:rPr>
        <w:t xml:space="preserve">and </w:t>
      </w:r>
      <w:r w:rsidRPr="00D86560">
        <w:rPr>
          <w:rFonts w:ascii="Arial" w:hAnsi="Arial" w:cs="Arial"/>
          <w:sz w:val="24"/>
          <w:szCs w:val="24"/>
          <w:lang w:val="en-US"/>
        </w:rPr>
        <w:t xml:space="preserve">that at the time of the conclusion of the short-term insurance contract between the parties, the </w:t>
      </w:r>
      <w:r>
        <w:rPr>
          <w:rFonts w:ascii="Arial" w:hAnsi="Arial" w:cs="Arial"/>
          <w:sz w:val="24"/>
          <w:szCs w:val="24"/>
          <w:lang w:val="en-US"/>
        </w:rPr>
        <w:t>d</w:t>
      </w:r>
      <w:r w:rsidRPr="00D86560">
        <w:rPr>
          <w:rFonts w:ascii="Arial" w:hAnsi="Arial" w:cs="Arial"/>
          <w:sz w:val="24"/>
          <w:szCs w:val="24"/>
          <w:lang w:val="en-US"/>
        </w:rPr>
        <w:t xml:space="preserve">efendant was represented by </w:t>
      </w:r>
      <w:r>
        <w:rPr>
          <w:rFonts w:ascii="Arial" w:hAnsi="Arial" w:cs="Arial"/>
          <w:sz w:val="24"/>
          <w:szCs w:val="24"/>
          <w:lang w:val="en-US"/>
        </w:rPr>
        <w:t>a certain Mr De Waal</w:t>
      </w:r>
      <w:r w:rsidRPr="00D86560">
        <w:rPr>
          <w:rFonts w:ascii="Arial" w:hAnsi="Arial" w:cs="Arial"/>
          <w:sz w:val="24"/>
          <w:szCs w:val="24"/>
          <w:lang w:val="en-US"/>
        </w:rPr>
        <w:t xml:space="preserve"> who is no longer in the employment of the </w:t>
      </w:r>
      <w:r>
        <w:rPr>
          <w:rFonts w:ascii="Arial" w:hAnsi="Arial" w:cs="Arial"/>
          <w:sz w:val="24"/>
          <w:szCs w:val="24"/>
          <w:lang w:val="en-US"/>
        </w:rPr>
        <w:t>d</w:t>
      </w:r>
      <w:r w:rsidRPr="00D86560">
        <w:rPr>
          <w:rFonts w:ascii="Arial" w:hAnsi="Arial" w:cs="Arial"/>
          <w:sz w:val="24"/>
          <w:szCs w:val="24"/>
          <w:lang w:val="en-US"/>
        </w:rPr>
        <w:t>efendant</w:t>
      </w:r>
      <w:r w:rsidR="0034618D">
        <w:rPr>
          <w:rFonts w:ascii="Arial" w:hAnsi="Arial" w:cs="Arial"/>
          <w:sz w:val="24"/>
          <w:szCs w:val="24"/>
          <w:lang w:val="en-US"/>
        </w:rPr>
        <w:t xml:space="preserve"> and the plaintiff was represented by </w:t>
      </w:r>
      <w:r w:rsidR="00487AF9" w:rsidRPr="00D86560">
        <w:rPr>
          <w:rFonts w:ascii="Arial" w:hAnsi="Arial" w:cs="Arial"/>
          <w:sz w:val="24"/>
          <w:szCs w:val="24"/>
          <w:lang w:val="en-US"/>
        </w:rPr>
        <w:t>Mr. Alex Gaugorob</w:t>
      </w:r>
      <w:r w:rsidRPr="00D86560">
        <w:rPr>
          <w:rFonts w:ascii="Arial" w:hAnsi="Arial" w:cs="Arial"/>
          <w:sz w:val="24"/>
          <w:szCs w:val="24"/>
          <w:lang w:val="en-US"/>
        </w:rPr>
        <w:t xml:space="preserve">. </w:t>
      </w:r>
    </w:p>
    <w:p w:rsidR="00DC6267" w:rsidRDefault="00DC6267" w:rsidP="003C75E8">
      <w:pPr>
        <w:spacing w:after="0" w:line="360" w:lineRule="auto"/>
        <w:jc w:val="both"/>
        <w:rPr>
          <w:rFonts w:ascii="Arial" w:hAnsi="Arial" w:cs="Arial"/>
          <w:sz w:val="24"/>
          <w:szCs w:val="24"/>
          <w:lang w:val="en-US"/>
        </w:rPr>
      </w:pPr>
    </w:p>
    <w:p w:rsidR="00D86560" w:rsidRDefault="00D86560" w:rsidP="003C75E8">
      <w:pPr>
        <w:spacing w:after="0" w:line="360" w:lineRule="auto"/>
        <w:jc w:val="both"/>
        <w:rPr>
          <w:rFonts w:ascii="Arial" w:hAnsi="Arial" w:cs="Arial"/>
          <w:sz w:val="24"/>
          <w:szCs w:val="24"/>
          <w:lang w:val="en-US"/>
        </w:rPr>
      </w:pPr>
      <w:r>
        <w:rPr>
          <w:rFonts w:ascii="Arial" w:hAnsi="Arial" w:cs="Arial"/>
          <w:sz w:val="24"/>
          <w:szCs w:val="24"/>
          <w:lang w:val="en-US"/>
        </w:rPr>
        <w:t>[</w:t>
      </w:r>
      <w:r w:rsidR="00132E74">
        <w:rPr>
          <w:rFonts w:ascii="Arial" w:hAnsi="Arial" w:cs="Arial"/>
          <w:sz w:val="24"/>
          <w:szCs w:val="24"/>
          <w:lang w:val="en-US"/>
        </w:rPr>
        <w:t>17</w:t>
      </w:r>
      <w:r>
        <w:rPr>
          <w:rFonts w:ascii="Arial" w:hAnsi="Arial" w:cs="Arial"/>
          <w:sz w:val="24"/>
          <w:szCs w:val="24"/>
          <w:lang w:val="en-US"/>
        </w:rPr>
        <w:t>]</w:t>
      </w:r>
      <w:r>
        <w:rPr>
          <w:rFonts w:ascii="Arial" w:hAnsi="Arial" w:cs="Arial"/>
          <w:sz w:val="24"/>
          <w:szCs w:val="24"/>
          <w:lang w:val="en-US"/>
        </w:rPr>
        <w:tab/>
        <w:t>He further testified that on 16 May 2016 the broker FNBIB (represented by Mr</w:t>
      </w:r>
      <w:r w:rsidRPr="00D86560">
        <w:rPr>
          <w:rFonts w:ascii="Arial" w:hAnsi="Arial" w:cs="Arial"/>
          <w:sz w:val="24"/>
          <w:szCs w:val="24"/>
          <w:lang w:val="en-US"/>
        </w:rPr>
        <w:t xml:space="preserve"> Gaugorob</w:t>
      </w:r>
      <w:r>
        <w:rPr>
          <w:rFonts w:ascii="Arial" w:hAnsi="Arial" w:cs="Arial"/>
          <w:sz w:val="24"/>
          <w:szCs w:val="24"/>
          <w:lang w:val="en-US"/>
        </w:rPr>
        <w:t>) requested a quote from the defendant (Quanta Insurance Limited) for a new business called New Creations Printing and Design CC. His testimony was further that on 19 May 2016 the defendant received closing instructions from the broker to issue a policy effective from 18 May 201</w:t>
      </w:r>
      <w:r w:rsidR="008A504D">
        <w:rPr>
          <w:rFonts w:ascii="Arial" w:hAnsi="Arial" w:cs="Arial"/>
          <w:sz w:val="24"/>
          <w:szCs w:val="24"/>
          <w:lang w:val="en-US"/>
        </w:rPr>
        <w:t>6</w:t>
      </w:r>
      <w:r>
        <w:rPr>
          <w:rFonts w:ascii="Arial" w:hAnsi="Arial" w:cs="Arial"/>
          <w:sz w:val="24"/>
          <w:szCs w:val="24"/>
          <w:lang w:val="en-US"/>
        </w:rPr>
        <w:t xml:space="preserve">. On 26 May 2016 the policy was issued and the schedules with the witnesses’ (Mr Barnard’s) system generated signature and </w:t>
      </w:r>
      <w:r w:rsidR="00487AF9" w:rsidRPr="0052743D">
        <w:rPr>
          <w:rFonts w:ascii="Arial" w:hAnsi="Arial" w:cs="Arial"/>
          <w:sz w:val="24"/>
          <w:szCs w:val="24"/>
          <w:lang w:val="en-US"/>
        </w:rPr>
        <w:t>the General Exceptions, Conditions and Provisions</w:t>
      </w:r>
      <w:r w:rsidR="00487AF9">
        <w:rPr>
          <w:rFonts w:ascii="Arial" w:hAnsi="Arial" w:cs="Arial"/>
          <w:sz w:val="24"/>
          <w:szCs w:val="24"/>
          <w:lang w:val="en-US"/>
        </w:rPr>
        <w:t xml:space="preserve"> </w:t>
      </w:r>
      <w:r>
        <w:rPr>
          <w:rFonts w:ascii="Arial" w:hAnsi="Arial" w:cs="Arial"/>
          <w:sz w:val="24"/>
          <w:szCs w:val="24"/>
          <w:lang w:val="en-US"/>
        </w:rPr>
        <w:t>was submitted to the broker for onward forwarding to the plaintiff.</w:t>
      </w:r>
    </w:p>
    <w:p w:rsidR="00D86560" w:rsidRDefault="00D86560" w:rsidP="003C75E8">
      <w:pPr>
        <w:spacing w:after="0" w:line="360" w:lineRule="auto"/>
        <w:jc w:val="both"/>
        <w:rPr>
          <w:rFonts w:ascii="Arial" w:hAnsi="Arial" w:cs="Arial"/>
          <w:sz w:val="24"/>
          <w:szCs w:val="24"/>
          <w:lang w:val="en-US"/>
        </w:rPr>
      </w:pPr>
    </w:p>
    <w:p w:rsidR="00D86560" w:rsidRDefault="00D86560" w:rsidP="003C75E8">
      <w:pPr>
        <w:spacing w:after="0" w:line="360" w:lineRule="auto"/>
        <w:jc w:val="both"/>
        <w:rPr>
          <w:rFonts w:ascii="Arial" w:hAnsi="Arial" w:cs="Arial"/>
          <w:sz w:val="24"/>
          <w:szCs w:val="24"/>
          <w:lang w:val="en-US"/>
        </w:rPr>
      </w:pPr>
      <w:r>
        <w:rPr>
          <w:rFonts w:ascii="Arial" w:hAnsi="Arial" w:cs="Arial"/>
          <w:sz w:val="24"/>
          <w:szCs w:val="24"/>
          <w:lang w:val="en-US"/>
        </w:rPr>
        <w:t>[1</w:t>
      </w:r>
      <w:r w:rsidR="008A504D">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 xml:space="preserve">He testified that the schedule which was forwarded to the broker provides that: </w:t>
      </w:r>
      <w:r w:rsidR="008A504D">
        <w:rPr>
          <w:rFonts w:ascii="Arial" w:hAnsi="Arial" w:cs="Arial"/>
          <w:sz w:val="24"/>
          <w:szCs w:val="24"/>
          <w:lang w:val="en-US"/>
        </w:rPr>
        <w:t>“</w:t>
      </w:r>
      <w:r w:rsidRPr="008A504D">
        <w:rPr>
          <w:rFonts w:ascii="Arial" w:hAnsi="Arial" w:cs="Arial"/>
          <w:lang w:val="en-US"/>
        </w:rPr>
        <w:t>This schedule forms part of and should be read in conjunction with the Quanta Insurance limited Policy Contract</w:t>
      </w:r>
      <w:r w:rsidR="00487AF9" w:rsidRPr="008A504D">
        <w:rPr>
          <w:rFonts w:ascii="Arial" w:hAnsi="Arial" w:cs="Arial"/>
          <w:lang w:val="en-US"/>
        </w:rPr>
        <w:t xml:space="preserve"> signed on behalf of the Company on 27/05/2016</w:t>
      </w:r>
      <w:r w:rsidRPr="008A504D">
        <w:rPr>
          <w:rFonts w:ascii="Arial" w:hAnsi="Arial" w:cs="Arial"/>
          <w:lang w:val="en-US"/>
        </w:rPr>
        <w:t>.</w:t>
      </w:r>
      <w:r w:rsidR="008A504D">
        <w:rPr>
          <w:rFonts w:ascii="Arial" w:hAnsi="Arial" w:cs="Arial"/>
          <w:lang w:val="en-US"/>
        </w:rPr>
        <w:t>”</w:t>
      </w:r>
      <w:r>
        <w:rPr>
          <w:rFonts w:ascii="Arial" w:hAnsi="Arial" w:cs="Arial"/>
          <w:sz w:val="24"/>
          <w:szCs w:val="24"/>
          <w:lang w:val="en-US"/>
        </w:rPr>
        <w:t xml:space="preserve"> He further testified that the disputed clause 6</w:t>
      </w:r>
      <w:r w:rsidR="00B026D4">
        <w:rPr>
          <w:rFonts w:ascii="Arial" w:hAnsi="Arial" w:cs="Arial"/>
          <w:sz w:val="24"/>
          <w:szCs w:val="24"/>
          <w:lang w:val="en-US"/>
        </w:rPr>
        <w:t>(c)</w:t>
      </w:r>
      <w:r>
        <w:rPr>
          <w:rFonts w:ascii="Arial" w:hAnsi="Arial" w:cs="Arial"/>
          <w:sz w:val="24"/>
          <w:szCs w:val="24"/>
          <w:lang w:val="en-US"/>
        </w:rPr>
        <w:t xml:space="preserve"> forms part of the </w:t>
      </w:r>
      <w:r w:rsidR="00487AF9" w:rsidRPr="0052743D">
        <w:rPr>
          <w:rFonts w:ascii="Arial" w:hAnsi="Arial" w:cs="Arial"/>
          <w:sz w:val="24"/>
          <w:szCs w:val="24"/>
          <w:lang w:val="en-US"/>
        </w:rPr>
        <w:t>General Exceptions, Conditions and Provisions</w:t>
      </w:r>
      <w:r w:rsidR="00487AF9">
        <w:rPr>
          <w:rFonts w:ascii="Arial" w:hAnsi="Arial" w:cs="Arial"/>
          <w:sz w:val="24"/>
          <w:szCs w:val="24"/>
          <w:lang w:val="en-US"/>
        </w:rPr>
        <w:t xml:space="preserve"> of</w:t>
      </w:r>
      <w:r>
        <w:rPr>
          <w:rFonts w:ascii="Arial" w:hAnsi="Arial" w:cs="Arial"/>
          <w:sz w:val="24"/>
          <w:szCs w:val="24"/>
          <w:lang w:val="en-US"/>
        </w:rPr>
        <w:t xml:space="preserve"> the contract.</w:t>
      </w:r>
    </w:p>
    <w:p w:rsidR="00D86560" w:rsidRDefault="00D86560" w:rsidP="003C75E8">
      <w:pPr>
        <w:spacing w:after="0" w:line="360" w:lineRule="auto"/>
        <w:jc w:val="both"/>
        <w:rPr>
          <w:rFonts w:ascii="Arial" w:hAnsi="Arial" w:cs="Arial"/>
          <w:sz w:val="24"/>
          <w:szCs w:val="24"/>
          <w:lang w:val="en-US"/>
        </w:rPr>
      </w:pPr>
    </w:p>
    <w:p w:rsidR="00DC6267" w:rsidRDefault="00DC6267" w:rsidP="003C75E8">
      <w:pPr>
        <w:spacing w:after="0" w:line="360" w:lineRule="auto"/>
        <w:jc w:val="both"/>
        <w:rPr>
          <w:rFonts w:ascii="Arial" w:hAnsi="Arial" w:cs="Arial"/>
          <w:i/>
          <w:sz w:val="24"/>
          <w:szCs w:val="24"/>
        </w:rPr>
      </w:pPr>
    </w:p>
    <w:p w:rsidR="00DC6267" w:rsidRDefault="00DC6267" w:rsidP="003C75E8">
      <w:pPr>
        <w:spacing w:after="0" w:line="360" w:lineRule="auto"/>
        <w:jc w:val="both"/>
        <w:rPr>
          <w:rFonts w:ascii="Arial" w:hAnsi="Arial" w:cs="Arial"/>
          <w:i/>
          <w:sz w:val="24"/>
          <w:szCs w:val="24"/>
        </w:rPr>
      </w:pPr>
    </w:p>
    <w:p w:rsidR="00D86560" w:rsidRDefault="00D86560" w:rsidP="003C75E8">
      <w:pPr>
        <w:spacing w:after="0" w:line="360" w:lineRule="auto"/>
        <w:jc w:val="both"/>
        <w:rPr>
          <w:rFonts w:ascii="Arial" w:hAnsi="Arial" w:cs="Arial"/>
          <w:i/>
          <w:sz w:val="24"/>
          <w:szCs w:val="24"/>
        </w:rPr>
      </w:pPr>
      <w:r w:rsidRPr="00D86560">
        <w:rPr>
          <w:rFonts w:ascii="Arial" w:hAnsi="Arial" w:cs="Arial"/>
          <w:i/>
          <w:sz w:val="24"/>
          <w:szCs w:val="24"/>
        </w:rPr>
        <w:t>Mr Alex Gaugorob</w:t>
      </w:r>
      <w:r w:rsidR="008A504D">
        <w:rPr>
          <w:rFonts w:ascii="Arial" w:hAnsi="Arial" w:cs="Arial"/>
          <w:i/>
          <w:sz w:val="24"/>
          <w:szCs w:val="24"/>
        </w:rPr>
        <w:t>:</w:t>
      </w:r>
    </w:p>
    <w:p w:rsidR="00D86560" w:rsidRPr="00D86560" w:rsidRDefault="00D86560" w:rsidP="003C75E8">
      <w:pPr>
        <w:spacing w:after="0" w:line="360" w:lineRule="auto"/>
        <w:jc w:val="both"/>
        <w:rPr>
          <w:rFonts w:ascii="Arial" w:hAnsi="Arial" w:cs="Arial"/>
          <w:i/>
          <w:sz w:val="24"/>
          <w:szCs w:val="24"/>
          <w:lang w:val="en-US"/>
        </w:rPr>
      </w:pPr>
    </w:p>
    <w:p w:rsidR="00D86560" w:rsidRDefault="00D86560" w:rsidP="003C75E8">
      <w:pPr>
        <w:spacing w:after="0" w:line="360" w:lineRule="auto"/>
        <w:jc w:val="both"/>
        <w:rPr>
          <w:rFonts w:ascii="Arial" w:hAnsi="Arial" w:cs="Arial"/>
          <w:sz w:val="24"/>
          <w:szCs w:val="24"/>
        </w:rPr>
      </w:pPr>
      <w:r>
        <w:rPr>
          <w:rFonts w:ascii="Arial" w:hAnsi="Arial" w:cs="Arial"/>
          <w:sz w:val="24"/>
          <w:szCs w:val="24"/>
          <w:lang w:val="en-US"/>
        </w:rPr>
        <w:t>[1</w:t>
      </w:r>
      <w:r w:rsidR="008A504D">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 xml:space="preserve">Mr </w:t>
      </w:r>
      <w:r w:rsidRPr="00D86560">
        <w:rPr>
          <w:rFonts w:ascii="Arial" w:hAnsi="Arial" w:cs="Arial"/>
          <w:sz w:val="24"/>
          <w:szCs w:val="24"/>
        </w:rPr>
        <w:t xml:space="preserve">Gaugorob </w:t>
      </w:r>
      <w:r>
        <w:rPr>
          <w:rFonts w:ascii="Arial" w:hAnsi="Arial" w:cs="Arial"/>
          <w:sz w:val="24"/>
          <w:szCs w:val="24"/>
        </w:rPr>
        <w:t>testified that he is a</w:t>
      </w:r>
      <w:r w:rsidRPr="00526BE5">
        <w:rPr>
          <w:rFonts w:ascii="Arial" w:hAnsi="Arial" w:cs="Arial"/>
          <w:sz w:val="24"/>
          <w:szCs w:val="24"/>
        </w:rPr>
        <w:t xml:space="preserve"> sales broker employed by FNB Insurance Brok</w:t>
      </w:r>
      <w:r>
        <w:rPr>
          <w:rFonts w:ascii="Arial" w:hAnsi="Arial" w:cs="Arial"/>
          <w:sz w:val="24"/>
          <w:szCs w:val="24"/>
        </w:rPr>
        <w:t>ers (Namibia) (Pty) Ltd (FNBIB) and that s</w:t>
      </w:r>
      <w:r w:rsidRPr="00526BE5">
        <w:rPr>
          <w:rFonts w:ascii="Arial" w:hAnsi="Arial" w:cs="Arial"/>
          <w:sz w:val="24"/>
          <w:szCs w:val="24"/>
        </w:rPr>
        <w:t xml:space="preserve">hortly before 16 May 2016 Mr Hamukoto, requested that </w:t>
      </w:r>
      <w:r>
        <w:rPr>
          <w:rFonts w:ascii="Arial" w:hAnsi="Arial" w:cs="Arial"/>
          <w:sz w:val="24"/>
          <w:szCs w:val="24"/>
        </w:rPr>
        <w:t xml:space="preserve">he </w:t>
      </w:r>
      <w:r w:rsidRPr="00526BE5">
        <w:rPr>
          <w:rFonts w:ascii="Arial" w:hAnsi="Arial" w:cs="Arial"/>
          <w:sz w:val="24"/>
          <w:szCs w:val="24"/>
        </w:rPr>
        <w:t xml:space="preserve">broker </w:t>
      </w:r>
      <w:r w:rsidR="00487AF9">
        <w:rPr>
          <w:rFonts w:ascii="Arial" w:hAnsi="Arial" w:cs="Arial"/>
          <w:sz w:val="24"/>
          <w:szCs w:val="24"/>
        </w:rPr>
        <w:t xml:space="preserve">an </w:t>
      </w:r>
      <w:r w:rsidRPr="00526BE5">
        <w:rPr>
          <w:rFonts w:ascii="Arial" w:hAnsi="Arial" w:cs="Arial"/>
          <w:sz w:val="24"/>
          <w:szCs w:val="24"/>
        </w:rPr>
        <w:t>insurance on behalf of New Creations Printing and Design CC.</w:t>
      </w:r>
      <w:r>
        <w:rPr>
          <w:rFonts w:ascii="Arial" w:hAnsi="Arial" w:cs="Arial"/>
          <w:sz w:val="24"/>
          <w:szCs w:val="24"/>
        </w:rPr>
        <w:t xml:space="preserve"> He continued and testified that o</w:t>
      </w:r>
      <w:r w:rsidRPr="00526BE5">
        <w:rPr>
          <w:rFonts w:ascii="Arial" w:hAnsi="Arial" w:cs="Arial"/>
          <w:sz w:val="24"/>
          <w:szCs w:val="24"/>
        </w:rPr>
        <w:t xml:space="preserve">n 16 May 2016 </w:t>
      </w:r>
      <w:r>
        <w:rPr>
          <w:rFonts w:ascii="Arial" w:hAnsi="Arial" w:cs="Arial"/>
          <w:sz w:val="24"/>
          <w:szCs w:val="24"/>
        </w:rPr>
        <w:t>he</w:t>
      </w:r>
      <w:r w:rsidRPr="00526BE5">
        <w:rPr>
          <w:rFonts w:ascii="Arial" w:hAnsi="Arial" w:cs="Arial"/>
          <w:sz w:val="24"/>
          <w:szCs w:val="24"/>
        </w:rPr>
        <w:t xml:space="preserve"> requested a quote from Quanta on behalf of New Creations Printing and Design CC.</w:t>
      </w:r>
      <w:r>
        <w:rPr>
          <w:rFonts w:ascii="Arial" w:hAnsi="Arial" w:cs="Arial"/>
          <w:sz w:val="24"/>
          <w:szCs w:val="24"/>
        </w:rPr>
        <w:t xml:space="preserve"> He further stated that </w:t>
      </w:r>
      <w:r w:rsidR="00487AF9">
        <w:rPr>
          <w:rFonts w:ascii="Arial" w:hAnsi="Arial" w:cs="Arial"/>
          <w:sz w:val="24"/>
          <w:szCs w:val="24"/>
        </w:rPr>
        <w:t xml:space="preserve">after he received the quote from defendant </w:t>
      </w:r>
      <w:r>
        <w:rPr>
          <w:rFonts w:ascii="Arial" w:hAnsi="Arial" w:cs="Arial"/>
          <w:sz w:val="24"/>
          <w:szCs w:val="24"/>
        </w:rPr>
        <w:t xml:space="preserve">he </w:t>
      </w:r>
      <w:r w:rsidRPr="00526BE5">
        <w:rPr>
          <w:rFonts w:ascii="Arial" w:hAnsi="Arial" w:cs="Arial"/>
          <w:sz w:val="24"/>
          <w:szCs w:val="24"/>
        </w:rPr>
        <w:t>discusse</w:t>
      </w:r>
      <w:r>
        <w:rPr>
          <w:rFonts w:ascii="Arial" w:hAnsi="Arial" w:cs="Arial"/>
          <w:sz w:val="24"/>
          <w:szCs w:val="24"/>
        </w:rPr>
        <w:t>d the quote with Mr Hamukoto who</w:t>
      </w:r>
      <w:r w:rsidRPr="00526BE5">
        <w:rPr>
          <w:rFonts w:ascii="Arial" w:hAnsi="Arial" w:cs="Arial"/>
          <w:sz w:val="24"/>
          <w:szCs w:val="24"/>
        </w:rPr>
        <w:t xml:space="preserve"> instructed </w:t>
      </w:r>
      <w:r>
        <w:rPr>
          <w:rFonts w:ascii="Arial" w:hAnsi="Arial" w:cs="Arial"/>
          <w:sz w:val="24"/>
          <w:szCs w:val="24"/>
        </w:rPr>
        <w:t>him</w:t>
      </w:r>
      <w:r w:rsidRPr="00526BE5">
        <w:rPr>
          <w:rFonts w:ascii="Arial" w:hAnsi="Arial" w:cs="Arial"/>
          <w:sz w:val="24"/>
          <w:szCs w:val="24"/>
        </w:rPr>
        <w:t xml:space="preserve"> to arrange the insurance with Quanta.</w:t>
      </w:r>
      <w:r>
        <w:rPr>
          <w:rFonts w:ascii="Arial" w:hAnsi="Arial" w:cs="Arial"/>
          <w:sz w:val="24"/>
          <w:szCs w:val="24"/>
        </w:rPr>
        <w:t xml:space="preserve"> On 19 May 2016 he</w:t>
      </w:r>
      <w:r w:rsidRPr="00526BE5">
        <w:rPr>
          <w:rFonts w:ascii="Arial" w:hAnsi="Arial" w:cs="Arial"/>
          <w:sz w:val="24"/>
          <w:szCs w:val="24"/>
        </w:rPr>
        <w:t xml:space="preserve"> gave closing instructions to</w:t>
      </w:r>
      <w:r w:rsidR="00487AF9">
        <w:rPr>
          <w:rFonts w:ascii="Arial" w:hAnsi="Arial" w:cs="Arial"/>
          <w:sz w:val="24"/>
          <w:szCs w:val="24"/>
        </w:rPr>
        <w:t xml:space="preserve"> the defendant for the </w:t>
      </w:r>
      <w:r w:rsidR="00DE1CD1">
        <w:rPr>
          <w:rFonts w:ascii="Arial" w:hAnsi="Arial" w:cs="Arial"/>
          <w:sz w:val="24"/>
          <w:szCs w:val="24"/>
        </w:rPr>
        <w:t xml:space="preserve">defendant </w:t>
      </w:r>
      <w:r w:rsidR="00487AF9">
        <w:rPr>
          <w:rFonts w:ascii="Arial" w:hAnsi="Arial" w:cs="Arial"/>
          <w:sz w:val="24"/>
          <w:szCs w:val="24"/>
        </w:rPr>
        <w:t xml:space="preserve">to </w:t>
      </w:r>
      <w:r w:rsidRPr="00526BE5">
        <w:rPr>
          <w:rFonts w:ascii="Arial" w:hAnsi="Arial" w:cs="Arial"/>
          <w:sz w:val="24"/>
          <w:szCs w:val="24"/>
        </w:rPr>
        <w:t>issue the policy.</w:t>
      </w:r>
    </w:p>
    <w:p w:rsidR="00D86560" w:rsidRDefault="00D86560" w:rsidP="003C75E8">
      <w:pPr>
        <w:spacing w:after="0" w:line="360" w:lineRule="auto"/>
        <w:jc w:val="both"/>
        <w:rPr>
          <w:rFonts w:ascii="Arial" w:hAnsi="Arial" w:cs="Arial"/>
          <w:sz w:val="24"/>
          <w:szCs w:val="24"/>
        </w:rPr>
      </w:pPr>
    </w:p>
    <w:p w:rsidR="00D86560" w:rsidRDefault="00D86560" w:rsidP="003C75E8">
      <w:pPr>
        <w:spacing w:after="0" w:line="360" w:lineRule="auto"/>
        <w:jc w:val="both"/>
        <w:rPr>
          <w:rFonts w:ascii="Arial" w:hAnsi="Arial" w:cs="Arial"/>
          <w:sz w:val="24"/>
          <w:szCs w:val="24"/>
        </w:rPr>
      </w:pPr>
      <w:r>
        <w:rPr>
          <w:rFonts w:ascii="Arial" w:hAnsi="Arial" w:cs="Arial"/>
          <w:sz w:val="24"/>
          <w:szCs w:val="24"/>
        </w:rPr>
        <w:t>[</w:t>
      </w:r>
      <w:r w:rsidR="008A504D">
        <w:rPr>
          <w:rFonts w:ascii="Arial" w:hAnsi="Arial" w:cs="Arial"/>
          <w:sz w:val="24"/>
          <w:szCs w:val="24"/>
        </w:rPr>
        <w:t>20</w:t>
      </w:r>
      <w:r>
        <w:rPr>
          <w:rFonts w:ascii="Arial" w:hAnsi="Arial" w:cs="Arial"/>
          <w:sz w:val="24"/>
          <w:szCs w:val="24"/>
        </w:rPr>
        <w:t>]</w:t>
      </w:r>
      <w:r>
        <w:rPr>
          <w:rFonts w:ascii="Arial" w:hAnsi="Arial" w:cs="Arial"/>
          <w:sz w:val="24"/>
          <w:szCs w:val="24"/>
        </w:rPr>
        <w:tab/>
      </w:r>
      <w:r>
        <w:rPr>
          <w:rFonts w:ascii="Arial" w:hAnsi="Arial" w:cs="Arial"/>
          <w:sz w:val="24"/>
          <w:szCs w:val="24"/>
          <w:lang w:val="en-US"/>
        </w:rPr>
        <w:t xml:space="preserve">Mr </w:t>
      </w:r>
      <w:r w:rsidRPr="00D86560">
        <w:rPr>
          <w:rFonts w:ascii="Arial" w:hAnsi="Arial" w:cs="Arial"/>
          <w:sz w:val="24"/>
          <w:szCs w:val="24"/>
        </w:rPr>
        <w:t xml:space="preserve">Gaugorob </w:t>
      </w:r>
      <w:r>
        <w:rPr>
          <w:rFonts w:ascii="Arial" w:hAnsi="Arial" w:cs="Arial"/>
          <w:sz w:val="24"/>
          <w:szCs w:val="24"/>
        </w:rPr>
        <w:t xml:space="preserve">continued </w:t>
      </w:r>
      <w:r w:rsidR="008A504D">
        <w:rPr>
          <w:rFonts w:ascii="Arial" w:hAnsi="Arial" w:cs="Arial"/>
          <w:sz w:val="24"/>
          <w:szCs w:val="24"/>
        </w:rPr>
        <w:t xml:space="preserve">to </w:t>
      </w:r>
      <w:r>
        <w:rPr>
          <w:rFonts w:ascii="Arial" w:hAnsi="Arial" w:cs="Arial"/>
          <w:sz w:val="24"/>
          <w:szCs w:val="24"/>
        </w:rPr>
        <w:t>testif</w:t>
      </w:r>
      <w:r w:rsidR="008A504D">
        <w:rPr>
          <w:rFonts w:ascii="Arial" w:hAnsi="Arial" w:cs="Arial"/>
          <w:sz w:val="24"/>
          <w:szCs w:val="24"/>
        </w:rPr>
        <w:t>y</w:t>
      </w:r>
      <w:r>
        <w:rPr>
          <w:rFonts w:ascii="Arial" w:hAnsi="Arial" w:cs="Arial"/>
          <w:sz w:val="24"/>
          <w:szCs w:val="24"/>
        </w:rPr>
        <w:t xml:space="preserve"> that o</w:t>
      </w:r>
      <w:r w:rsidRPr="00526BE5">
        <w:rPr>
          <w:rFonts w:ascii="Arial" w:hAnsi="Arial" w:cs="Arial"/>
          <w:sz w:val="24"/>
          <w:szCs w:val="24"/>
        </w:rPr>
        <w:t xml:space="preserve">n 26 May 2016 </w:t>
      </w:r>
      <w:r>
        <w:rPr>
          <w:rFonts w:ascii="Arial" w:hAnsi="Arial" w:cs="Arial"/>
          <w:sz w:val="24"/>
          <w:szCs w:val="24"/>
        </w:rPr>
        <w:t>he</w:t>
      </w:r>
      <w:r w:rsidRPr="00526BE5">
        <w:rPr>
          <w:rFonts w:ascii="Arial" w:hAnsi="Arial" w:cs="Arial"/>
          <w:sz w:val="24"/>
          <w:szCs w:val="24"/>
        </w:rPr>
        <w:t xml:space="preserve"> received the policy schedule which was emailed to </w:t>
      </w:r>
      <w:r>
        <w:rPr>
          <w:rFonts w:ascii="Arial" w:hAnsi="Arial" w:cs="Arial"/>
          <w:sz w:val="24"/>
          <w:szCs w:val="24"/>
        </w:rPr>
        <w:t>him</w:t>
      </w:r>
      <w:r w:rsidRPr="00526BE5">
        <w:rPr>
          <w:rFonts w:ascii="Arial" w:hAnsi="Arial" w:cs="Arial"/>
          <w:sz w:val="24"/>
          <w:szCs w:val="24"/>
        </w:rPr>
        <w:t xml:space="preserve">. </w:t>
      </w:r>
      <w:r>
        <w:rPr>
          <w:rFonts w:ascii="Arial" w:hAnsi="Arial" w:cs="Arial"/>
          <w:sz w:val="24"/>
          <w:szCs w:val="24"/>
        </w:rPr>
        <w:t>He testified that he</w:t>
      </w:r>
      <w:r w:rsidRPr="00526BE5">
        <w:rPr>
          <w:rFonts w:ascii="Arial" w:hAnsi="Arial" w:cs="Arial"/>
          <w:sz w:val="24"/>
          <w:szCs w:val="24"/>
        </w:rPr>
        <w:t xml:space="preserve"> immediately instructed </w:t>
      </w:r>
      <w:r>
        <w:rPr>
          <w:rFonts w:ascii="Arial" w:hAnsi="Arial" w:cs="Arial"/>
          <w:sz w:val="24"/>
          <w:szCs w:val="24"/>
        </w:rPr>
        <w:t xml:space="preserve">his </w:t>
      </w:r>
      <w:r w:rsidRPr="00526BE5">
        <w:rPr>
          <w:rFonts w:ascii="Arial" w:hAnsi="Arial" w:cs="Arial"/>
          <w:sz w:val="24"/>
          <w:szCs w:val="24"/>
        </w:rPr>
        <w:t xml:space="preserve">secretary to forward it to the </w:t>
      </w:r>
      <w:r>
        <w:rPr>
          <w:rFonts w:ascii="Arial" w:hAnsi="Arial" w:cs="Arial"/>
          <w:sz w:val="24"/>
          <w:szCs w:val="24"/>
        </w:rPr>
        <w:t>plaintiff</w:t>
      </w:r>
      <w:r w:rsidRPr="00526BE5">
        <w:rPr>
          <w:rFonts w:ascii="Arial" w:hAnsi="Arial" w:cs="Arial"/>
          <w:sz w:val="24"/>
          <w:szCs w:val="24"/>
        </w:rPr>
        <w:t xml:space="preserve">. </w:t>
      </w:r>
      <w:r>
        <w:rPr>
          <w:rFonts w:ascii="Arial" w:hAnsi="Arial" w:cs="Arial"/>
          <w:sz w:val="24"/>
          <w:szCs w:val="24"/>
        </w:rPr>
        <w:t>It was Mr Gaugorob’s testimony that t</w:t>
      </w:r>
      <w:r w:rsidRPr="00526BE5">
        <w:rPr>
          <w:rFonts w:ascii="Arial" w:hAnsi="Arial" w:cs="Arial"/>
          <w:sz w:val="24"/>
          <w:szCs w:val="24"/>
        </w:rPr>
        <w:t xml:space="preserve">he schedule clearly provides that: </w:t>
      </w:r>
      <w:r w:rsidRPr="008A504D">
        <w:rPr>
          <w:rFonts w:ascii="Arial" w:hAnsi="Arial" w:cs="Arial"/>
        </w:rPr>
        <w:t>“This schedule forms part of and should be read in conjunction with the Quanta Insurance Limited Policy contract”</w:t>
      </w:r>
      <w:r w:rsidRPr="00526BE5">
        <w:rPr>
          <w:rFonts w:ascii="Arial" w:hAnsi="Arial" w:cs="Arial"/>
          <w:sz w:val="24"/>
          <w:szCs w:val="24"/>
        </w:rPr>
        <w:t>.</w:t>
      </w:r>
      <w:r>
        <w:rPr>
          <w:rFonts w:ascii="Arial" w:hAnsi="Arial" w:cs="Arial"/>
          <w:sz w:val="24"/>
          <w:szCs w:val="24"/>
        </w:rPr>
        <w:t xml:space="preserve"> On the s</w:t>
      </w:r>
      <w:r w:rsidRPr="00526BE5">
        <w:rPr>
          <w:rFonts w:ascii="Arial" w:hAnsi="Arial" w:cs="Arial"/>
          <w:sz w:val="24"/>
          <w:szCs w:val="24"/>
        </w:rPr>
        <w:t xml:space="preserve">ame day </w:t>
      </w:r>
      <w:r>
        <w:rPr>
          <w:rFonts w:ascii="Arial" w:hAnsi="Arial" w:cs="Arial"/>
          <w:sz w:val="24"/>
          <w:szCs w:val="24"/>
        </w:rPr>
        <w:t>(that is, on 26 May 2016) his</w:t>
      </w:r>
      <w:r w:rsidRPr="00526BE5">
        <w:rPr>
          <w:rFonts w:ascii="Arial" w:hAnsi="Arial" w:cs="Arial"/>
          <w:sz w:val="24"/>
          <w:szCs w:val="24"/>
        </w:rPr>
        <w:t xml:space="preserve"> secretary emailed </w:t>
      </w:r>
      <w:r>
        <w:rPr>
          <w:rFonts w:ascii="Arial" w:hAnsi="Arial" w:cs="Arial"/>
          <w:sz w:val="24"/>
          <w:szCs w:val="24"/>
        </w:rPr>
        <w:t xml:space="preserve">the policy schedule </w:t>
      </w:r>
      <w:r w:rsidRPr="00526BE5">
        <w:rPr>
          <w:rFonts w:ascii="Arial" w:hAnsi="Arial" w:cs="Arial"/>
          <w:sz w:val="24"/>
          <w:szCs w:val="24"/>
        </w:rPr>
        <w:t>to Mr Hamukoto.  In the email she stated:</w:t>
      </w:r>
    </w:p>
    <w:p w:rsidR="00D86560" w:rsidRDefault="00D86560" w:rsidP="003C75E8">
      <w:pPr>
        <w:spacing w:after="0" w:line="360" w:lineRule="auto"/>
        <w:jc w:val="both"/>
        <w:rPr>
          <w:rFonts w:ascii="Arial" w:hAnsi="Arial" w:cs="Arial"/>
          <w:sz w:val="24"/>
          <w:szCs w:val="24"/>
        </w:rPr>
      </w:pPr>
    </w:p>
    <w:p w:rsidR="00D86560" w:rsidRDefault="00D86560" w:rsidP="003C75E8">
      <w:pPr>
        <w:spacing w:after="0" w:line="360" w:lineRule="auto"/>
        <w:ind w:firstLine="720"/>
        <w:jc w:val="both"/>
        <w:rPr>
          <w:rFonts w:ascii="Arial" w:hAnsi="Arial" w:cs="Arial"/>
        </w:rPr>
      </w:pPr>
      <w:r w:rsidRPr="00D86560">
        <w:rPr>
          <w:rFonts w:ascii="Arial" w:hAnsi="Arial" w:cs="Arial"/>
        </w:rPr>
        <w:t xml:space="preserve">‘Good Day Sir, Kindly see the attached schedule reflecting the New Business of the policy.  </w:t>
      </w:r>
      <w:r w:rsidR="008A504D">
        <w:rPr>
          <w:rFonts w:ascii="Arial" w:hAnsi="Arial" w:cs="Arial"/>
        </w:rPr>
        <w:tab/>
      </w:r>
      <w:r w:rsidRPr="00D86560">
        <w:rPr>
          <w:rFonts w:ascii="Arial" w:hAnsi="Arial" w:cs="Arial"/>
        </w:rPr>
        <w:t xml:space="preserve">Kindly please peruse and ensure that you agree with information as set out. Please do not </w:t>
      </w:r>
      <w:r w:rsidR="008A504D">
        <w:rPr>
          <w:rFonts w:ascii="Arial" w:hAnsi="Arial" w:cs="Arial"/>
        </w:rPr>
        <w:tab/>
      </w:r>
      <w:r w:rsidRPr="00D86560">
        <w:rPr>
          <w:rFonts w:ascii="Arial" w:hAnsi="Arial" w:cs="Arial"/>
        </w:rPr>
        <w:t>hesitate to contact us should you require any additional information</w:t>
      </w:r>
      <w:r>
        <w:rPr>
          <w:rFonts w:ascii="Arial" w:hAnsi="Arial" w:cs="Arial"/>
        </w:rPr>
        <w:t>.’</w:t>
      </w:r>
    </w:p>
    <w:p w:rsidR="00DE1CD1" w:rsidRPr="00D86560" w:rsidRDefault="00DE1CD1" w:rsidP="003C75E8">
      <w:pPr>
        <w:spacing w:after="0" w:line="360" w:lineRule="auto"/>
        <w:ind w:firstLine="720"/>
        <w:jc w:val="both"/>
        <w:rPr>
          <w:rFonts w:ascii="Arial" w:hAnsi="Arial" w:cs="Arial"/>
        </w:rPr>
      </w:pPr>
    </w:p>
    <w:p w:rsidR="00B026D4" w:rsidRDefault="00D86560" w:rsidP="003C75E8">
      <w:pPr>
        <w:spacing w:after="0" w:line="360" w:lineRule="auto"/>
        <w:jc w:val="both"/>
        <w:rPr>
          <w:rFonts w:ascii="Arial" w:hAnsi="Arial" w:cs="Arial"/>
          <w:sz w:val="24"/>
          <w:szCs w:val="24"/>
        </w:rPr>
      </w:pPr>
      <w:r>
        <w:rPr>
          <w:rFonts w:ascii="Arial" w:hAnsi="Arial" w:cs="Arial"/>
          <w:sz w:val="24"/>
          <w:szCs w:val="24"/>
        </w:rPr>
        <w:t>[2</w:t>
      </w:r>
      <w:r w:rsidR="008A504D">
        <w:rPr>
          <w:rFonts w:ascii="Arial" w:hAnsi="Arial" w:cs="Arial"/>
          <w:sz w:val="24"/>
          <w:szCs w:val="24"/>
        </w:rPr>
        <w:t>1</w:t>
      </w:r>
      <w:r>
        <w:rPr>
          <w:rFonts w:ascii="Arial" w:hAnsi="Arial" w:cs="Arial"/>
          <w:sz w:val="24"/>
          <w:szCs w:val="24"/>
        </w:rPr>
        <w:t>]</w:t>
      </w:r>
      <w:r>
        <w:rPr>
          <w:rFonts w:ascii="Arial" w:hAnsi="Arial" w:cs="Arial"/>
          <w:sz w:val="24"/>
          <w:szCs w:val="24"/>
        </w:rPr>
        <w:tab/>
      </w:r>
      <w:r w:rsidRPr="00526BE5">
        <w:rPr>
          <w:rFonts w:ascii="Arial" w:hAnsi="Arial" w:cs="Arial"/>
          <w:sz w:val="24"/>
          <w:szCs w:val="24"/>
        </w:rPr>
        <w:t xml:space="preserve"> </w:t>
      </w:r>
      <w:r w:rsidR="00B026D4">
        <w:rPr>
          <w:rFonts w:ascii="Arial" w:hAnsi="Arial" w:cs="Arial"/>
          <w:sz w:val="24"/>
          <w:szCs w:val="24"/>
        </w:rPr>
        <w:t>Mr Gaugorob in response to a question as to whether ‘at the time when he acted as broker for the plaintiff he was aware of the terms and conditions that formed part of the contract’ answered in the affirmative. The record of proceedings reflects the following exchange between Mr Heathcote (counsel for the defendant</w:t>
      </w:r>
      <w:r w:rsidR="00620D1C">
        <w:rPr>
          <w:rFonts w:ascii="Arial" w:hAnsi="Arial" w:cs="Arial"/>
          <w:sz w:val="24"/>
          <w:szCs w:val="24"/>
        </w:rPr>
        <w:t>) and Mr Gaugorob the witness</w:t>
      </w:r>
      <w:r w:rsidR="00B026D4">
        <w:rPr>
          <w:rFonts w:ascii="Arial" w:hAnsi="Arial" w:cs="Arial"/>
          <w:sz w:val="24"/>
          <w:szCs w:val="24"/>
        </w:rPr>
        <w:t>:</w:t>
      </w:r>
    </w:p>
    <w:p w:rsidR="00B026D4" w:rsidRPr="00620D1C" w:rsidRDefault="00B026D4" w:rsidP="003C75E8">
      <w:pPr>
        <w:spacing w:after="0" w:line="360" w:lineRule="auto"/>
        <w:jc w:val="both"/>
        <w:rPr>
          <w:rFonts w:ascii="Arial" w:hAnsi="Arial" w:cs="Arial"/>
          <w:sz w:val="16"/>
          <w:szCs w:val="16"/>
        </w:rPr>
      </w:pPr>
    </w:p>
    <w:p w:rsidR="00B026D4" w:rsidRPr="00B026D4" w:rsidRDefault="00B026D4" w:rsidP="003C75E8">
      <w:pPr>
        <w:spacing w:after="0" w:line="360" w:lineRule="auto"/>
        <w:ind w:firstLine="720"/>
        <w:rPr>
          <w:rFonts w:ascii="Arial" w:hAnsi="Arial" w:cs="Arial"/>
        </w:rPr>
      </w:pPr>
      <w:r>
        <w:rPr>
          <w:rFonts w:ascii="Arial" w:hAnsi="Arial" w:cs="Arial"/>
        </w:rPr>
        <w:t>‘</w:t>
      </w:r>
      <w:r w:rsidRPr="00B026D4">
        <w:rPr>
          <w:rFonts w:ascii="Arial" w:hAnsi="Arial" w:cs="Arial"/>
        </w:rPr>
        <w:t xml:space="preserve">At the time when you were the broker of the Defendant, ag, of the Plaintiff, I apologise, </w:t>
      </w:r>
      <w:r w:rsidR="008A504D">
        <w:rPr>
          <w:rFonts w:ascii="Arial" w:hAnsi="Arial" w:cs="Arial"/>
        </w:rPr>
        <w:tab/>
      </w:r>
      <w:r w:rsidRPr="00B026D4">
        <w:rPr>
          <w:rFonts w:ascii="Arial" w:hAnsi="Arial" w:cs="Arial"/>
        </w:rPr>
        <w:t>were you aware of these terms and conditions? --- Yes, I was aware.</w:t>
      </w:r>
    </w:p>
    <w:p w:rsidR="00D04791" w:rsidRPr="00620D1C" w:rsidRDefault="00D04791" w:rsidP="003C75E8">
      <w:pPr>
        <w:spacing w:after="0" w:line="360" w:lineRule="auto"/>
        <w:rPr>
          <w:rFonts w:ascii="Arial" w:hAnsi="Arial" w:cs="Arial"/>
          <w:sz w:val="16"/>
          <w:szCs w:val="16"/>
        </w:rPr>
      </w:pPr>
    </w:p>
    <w:p w:rsidR="00B026D4" w:rsidRPr="00B026D4" w:rsidRDefault="008A504D" w:rsidP="003C75E8">
      <w:pPr>
        <w:spacing w:after="0" w:line="360" w:lineRule="auto"/>
        <w:rPr>
          <w:rFonts w:ascii="Arial" w:hAnsi="Arial" w:cs="Arial"/>
        </w:rPr>
      </w:pPr>
      <w:r>
        <w:rPr>
          <w:rFonts w:ascii="Arial" w:hAnsi="Arial" w:cs="Arial"/>
        </w:rPr>
        <w:tab/>
      </w:r>
      <w:r w:rsidR="00B026D4" w:rsidRPr="00B026D4">
        <w:rPr>
          <w:rFonts w:ascii="Arial" w:hAnsi="Arial" w:cs="Arial"/>
        </w:rPr>
        <w:t>Did you discuss it with him? --- Yes, it would have been discussed with the client, yes.</w:t>
      </w:r>
      <w:r w:rsidR="00D04791">
        <w:rPr>
          <w:rFonts w:ascii="Arial" w:hAnsi="Arial" w:cs="Arial"/>
        </w:rPr>
        <w:t>’</w:t>
      </w:r>
      <w:r w:rsidR="00B026D4" w:rsidRPr="00B026D4">
        <w:rPr>
          <w:rFonts w:ascii="Arial" w:hAnsi="Arial" w:cs="Arial"/>
        </w:rPr>
        <w:t xml:space="preserve"> </w:t>
      </w:r>
    </w:p>
    <w:p w:rsidR="00B026D4" w:rsidRDefault="00B026D4" w:rsidP="003C75E8">
      <w:pPr>
        <w:spacing w:line="360" w:lineRule="auto"/>
        <w:jc w:val="both"/>
        <w:rPr>
          <w:rFonts w:ascii="Arial" w:hAnsi="Arial" w:cs="Arial"/>
          <w:sz w:val="24"/>
          <w:szCs w:val="24"/>
        </w:rPr>
      </w:pPr>
      <w:r>
        <w:rPr>
          <w:rFonts w:ascii="Arial" w:hAnsi="Arial" w:cs="Arial"/>
          <w:sz w:val="24"/>
          <w:szCs w:val="24"/>
        </w:rPr>
        <w:t xml:space="preserve"> </w:t>
      </w:r>
    </w:p>
    <w:p w:rsidR="00D04791" w:rsidRDefault="00D04791" w:rsidP="003C75E8">
      <w:pPr>
        <w:spacing w:after="0" w:line="360" w:lineRule="auto"/>
        <w:jc w:val="both"/>
        <w:rPr>
          <w:rFonts w:ascii="Arial" w:hAnsi="Arial" w:cs="Arial"/>
          <w:sz w:val="24"/>
          <w:szCs w:val="24"/>
        </w:rPr>
      </w:pPr>
      <w:r>
        <w:rPr>
          <w:rFonts w:ascii="Arial" w:hAnsi="Arial" w:cs="Arial"/>
          <w:sz w:val="24"/>
          <w:szCs w:val="24"/>
          <w:lang w:val="en-US"/>
        </w:rPr>
        <w:t>[2</w:t>
      </w:r>
      <w:r w:rsidR="008A504D">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D86560">
        <w:rPr>
          <w:rFonts w:ascii="Arial" w:hAnsi="Arial" w:cs="Arial"/>
          <w:sz w:val="24"/>
          <w:szCs w:val="24"/>
          <w:lang w:val="en-US"/>
        </w:rPr>
        <w:t xml:space="preserve">Mr </w:t>
      </w:r>
      <w:r w:rsidR="00D86560" w:rsidRPr="00D86560">
        <w:rPr>
          <w:rFonts w:ascii="Arial" w:hAnsi="Arial" w:cs="Arial"/>
          <w:sz w:val="24"/>
          <w:szCs w:val="24"/>
        </w:rPr>
        <w:t xml:space="preserve">Gaugorob </w:t>
      </w:r>
      <w:r w:rsidR="00D86560">
        <w:rPr>
          <w:rFonts w:ascii="Arial" w:hAnsi="Arial" w:cs="Arial"/>
          <w:sz w:val="24"/>
          <w:szCs w:val="24"/>
        </w:rPr>
        <w:t xml:space="preserve">continued to testify that shortly after his secretary had emailed the Policy Schedule to </w:t>
      </w:r>
      <w:r w:rsidR="00D86560" w:rsidRPr="00526BE5">
        <w:rPr>
          <w:rFonts w:ascii="Arial" w:hAnsi="Arial" w:cs="Arial"/>
          <w:sz w:val="24"/>
          <w:szCs w:val="24"/>
        </w:rPr>
        <w:t>Mr Hamukoto</w:t>
      </w:r>
      <w:r w:rsidR="00D86560">
        <w:rPr>
          <w:rFonts w:ascii="Arial" w:hAnsi="Arial" w:cs="Arial"/>
          <w:sz w:val="24"/>
          <w:szCs w:val="24"/>
        </w:rPr>
        <w:t>, of the plaintiff</w:t>
      </w:r>
      <w:r w:rsidR="008A504D">
        <w:rPr>
          <w:rFonts w:ascii="Arial" w:hAnsi="Arial" w:cs="Arial"/>
          <w:sz w:val="24"/>
          <w:szCs w:val="24"/>
        </w:rPr>
        <w:t xml:space="preserve"> represented by</w:t>
      </w:r>
      <w:r w:rsidR="00D86560">
        <w:rPr>
          <w:rFonts w:ascii="Arial" w:hAnsi="Arial" w:cs="Arial"/>
          <w:sz w:val="24"/>
          <w:szCs w:val="24"/>
        </w:rPr>
        <w:t xml:space="preserve"> Mr Hamukoto </w:t>
      </w:r>
      <w:r w:rsidR="00D86560" w:rsidRPr="00526BE5">
        <w:rPr>
          <w:rFonts w:ascii="Arial" w:hAnsi="Arial" w:cs="Arial"/>
          <w:sz w:val="24"/>
          <w:szCs w:val="24"/>
        </w:rPr>
        <w:t xml:space="preserve">instructed </w:t>
      </w:r>
      <w:r w:rsidR="00D86560">
        <w:rPr>
          <w:rFonts w:ascii="Arial" w:hAnsi="Arial" w:cs="Arial"/>
          <w:sz w:val="24"/>
          <w:szCs w:val="24"/>
        </w:rPr>
        <w:t>him</w:t>
      </w:r>
      <w:r w:rsidR="00D86560" w:rsidRPr="00526BE5">
        <w:rPr>
          <w:rFonts w:ascii="Arial" w:hAnsi="Arial" w:cs="Arial"/>
          <w:sz w:val="24"/>
          <w:szCs w:val="24"/>
        </w:rPr>
        <w:t xml:space="preserve"> to submit a claim for damage to a motor vehicle, which </w:t>
      </w:r>
      <w:r w:rsidR="00D86560">
        <w:rPr>
          <w:rFonts w:ascii="Arial" w:hAnsi="Arial" w:cs="Arial"/>
          <w:sz w:val="24"/>
          <w:szCs w:val="24"/>
        </w:rPr>
        <w:t xml:space="preserve">he </w:t>
      </w:r>
      <w:r w:rsidR="00D86560" w:rsidRPr="00526BE5">
        <w:rPr>
          <w:rFonts w:ascii="Arial" w:hAnsi="Arial" w:cs="Arial"/>
          <w:sz w:val="24"/>
          <w:szCs w:val="24"/>
        </w:rPr>
        <w:t>did.</w:t>
      </w:r>
      <w:r>
        <w:rPr>
          <w:rFonts w:ascii="Arial" w:hAnsi="Arial" w:cs="Arial"/>
          <w:sz w:val="24"/>
          <w:szCs w:val="24"/>
        </w:rPr>
        <w:t xml:space="preserve"> Mr Gaugorob continued and stated that </w:t>
      </w:r>
      <w:r w:rsidRPr="00526BE5">
        <w:rPr>
          <w:rFonts w:ascii="Arial" w:hAnsi="Arial" w:cs="Arial"/>
          <w:sz w:val="24"/>
          <w:szCs w:val="24"/>
        </w:rPr>
        <w:t>on</w:t>
      </w:r>
      <w:r w:rsidR="00D86560" w:rsidRPr="00526BE5">
        <w:rPr>
          <w:rFonts w:ascii="Arial" w:hAnsi="Arial" w:cs="Arial"/>
          <w:sz w:val="24"/>
          <w:szCs w:val="24"/>
        </w:rPr>
        <w:t xml:space="preserve"> 14 July 2016 and via email </w:t>
      </w:r>
      <w:r>
        <w:rPr>
          <w:rFonts w:ascii="Arial" w:hAnsi="Arial" w:cs="Arial"/>
          <w:sz w:val="24"/>
          <w:szCs w:val="24"/>
        </w:rPr>
        <w:t xml:space="preserve">he </w:t>
      </w:r>
      <w:r w:rsidR="00D86560" w:rsidRPr="00526BE5">
        <w:rPr>
          <w:rFonts w:ascii="Arial" w:hAnsi="Arial" w:cs="Arial"/>
          <w:sz w:val="24"/>
          <w:szCs w:val="24"/>
        </w:rPr>
        <w:t>received a copy of a letter from Mr Peter Kawanab sent to New Creations Printing &amp; Design CC</w:t>
      </w:r>
      <w:r>
        <w:rPr>
          <w:rFonts w:ascii="Arial" w:hAnsi="Arial" w:cs="Arial"/>
          <w:sz w:val="24"/>
          <w:szCs w:val="24"/>
        </w:rPr>
        <w:t xml:space="preserve">. </w:t>
      </w:r>
      <w:r w:rsidR="00D86560" w:rsidRPr="00526BE5">
        <w:rPr>
          <w:rFonts w:ascii="Arial" w:hAnsi="Arial" w:cs="Arial"/>
          <w:sz w:val="24"/>
          <w:szCs w:val="24"/>
        </w:rPr>
        <w:t xml:space="preserve">In that letter the claim of New Creations Printing &amp; Design CC in respect </w:t>
      </w:r>
      <w:r w:rsidR="00D86560">
        <w:rPr>
          <w:rFonts w:ascii="Arial" w:hAnsi="Arial" w:cs="Arial"/>
          <w:sz w:val="24"/>
          <w:szCs w:val="24"/>
        </w:rPr>
        <w:t>the</w:t>
      </w:r>
      <w:r w:rsidR="00D86560" w:rsidRPr="00526BE5">
        <w:rPr>
          <w:rFonts w:ascii="Arial" w:hAnsi="Arial" w:cs="Arial"/>
          <w:sz w:val="24"/>
          <w:szCs w:val="24"/>
        </w:rPr>
        <w:t xml:space="preserve"> damage to its motor vehicle </w:t>
      </w:r>
      <w:r>
        <w:rPr>
          <w:rFonts w:ascii="Arial" w:hAnsi="Arial" w:cs="Arial"/>
          <w:sz w:val="24"/>
          <w:szCs w:val="24"/>
        </w:rPr>
        <w:t xml:space="preserve">was </w:t>
      </w:r>
      <w:r w:rsidR="00D86560" w:rsidRPr="00526BE5">
        <w:rPr>
          <w:rFonts w:ascii="Arial" w:hAnsi="Arial" w:cs="Arial"/>
          <w:sz w:val="24"/>
          <w:szCs w:val="24"/>
        </w:rPr>
        <w:t>rejected.</w:t>
      </w:r>
      <w:r w:rsidR="008A504D">
        <w:rPr>
          <w:rFonts w:ascii="Arial" w:hAnsi="Arial" w:cs="Arial"/>
          <w:sz w:val="24"/>
          <w:szCs w:val="24"/>
        </w:rPr>
        <w:t xml:space="preserve"> </w:t>
      </w:r>
      <w:r w:rsidR="00D86560" w:rsidRPr="00526BE5">
        <w:rPr>
          <w:rFonts w:ascii="Arial" w:hAnsi="Arial" w:cs="Arial"/>
          <w:sz w:val="24"/>
          <w:szCs w:val="24"/>
        </w:rPr>
        <w:t xml:space="preserve">The letter </w:t>
      </w:r>
      <w:r>
        <w:rPr>
          <w:rFonts w:ascii="Arial" w:hAnsi="Arial" w:cs="Arial"/>
          <w:sz w:val="24"/>
          <w:szCs w:val="24"/>
        </w:rPr>
        <w:t>relating to the rejection of the claim in respect of the motor vehicle stated the following:</w:t>
      </w:r>
    </w:p>
    <w:p w:rsidR="00D04791" w:rsidRPr="00620D1C" w:rsidRDefault="00D04791" w:rsidP="003C75E8">
      <w:pPr>
        <w:spacing w:after="0" w:line="360" w:lineRule="auto"/>
        <w:ind w:firstLine="720"/>
        <w:jc w:val="both"/>
        <w:rPr>
          <w:rFonts w:ascii="Arial" w:hAnsi="Arial" w:cs="Arial"/>
          <w:sz w:val="16"/>
          <w:szCs w:val="16"/>
        </w:rPr>
      </w:pPr>
    </w:p>
    <w:p w:rsidR="00D86560" w:rsidRDefault="00D04791" w:rsidP="003C75E8">
      <w:pPr>
        <w:spacing w:after="0" w:line="360" w:lineRule="auto"/>
        <w:ind w:firstLine="720"/>
        <w:jc w:val="both"/>
        <w:rPr>
          <w:rFonts w:ascii="Arial" w:hAnsi="Arial" w:cs="Arial"/>
        </w:rPr>
      </w:pPr>
      <w:r w:rsidRPr="00D04791">
        <w:rPr>
          <w:rFonts w:ascii="Arial" w:hAnsi="Arial" w:cs="Arial"/>
        </w:rPr>
        <w:t>‘</w:t>
      </w:r>
      <w:r w:rsidR="00D86560" w:rsidRPr="00D04791">
        <w:rPr>
          <w:rFonts w:ascii="Arial" w:hAnsi="Arial" w:cs="Arial"/>
        </w:rPr>
        <w:t>6 Claims (c):</w:t>
      </w:r>
      <w:r w:rsidR="008A504D">
        <w:rPr>
          <w:rFonts w:ascii="Arial" w:hAnsi="Arial" w:cs="Arial"/>
        </w:rPr>
        <w:t xml:space="preserve"> </w:t>
      </w:r>
      <w:r w:rsidR="00D86560" w:rsidRPr="00D04791">
        <w:rPr>
          <w:rFonts w:ascii="Arial" w:hAnsi="Arial" w:cs="Arial"/>
        </w:rPr>
        <w:t xml:space="preserve">No claim shall be payable unless the insured claims payment by serving </w:t>
      </w:r>
      <w:r w:rsidR="008A504D">
        <w:rPr>
          <w:rFonts w:ascii="Arial" w:hAnsi="Arial" w:cs="Arial"/>
        </w:rPr>
        <w:tab/>
      </w:r>
      <w:r w:rsidR="00D86560" w:rsidRPr="00D04791">
        <w:rPr>
          <w:rFonts w:ascii="Arial" w:hAnsi="Arial" w:cs="Arial"/>
        </w:rPr>
        <w:t xml:space="preserve">legal process on the company within 12 months of the rejection of the claim in writing and </w:t>
      </w:r>
      <w:r w:rsidR="008A504D">
        <w:rPr>
          <w:rFonts w:ascii="Arial" w:hAnsi="Arial" w:cs="Arial"/>
        </w:rPr>
        <w:tab/>
      </w:r>
      <w:r w:rsidR="00D86560" w:rsidRPr="00D04791">
        <w:rPr>
          <w:rFonts w:ascii="Arial" w:hAnsi="Arial" w:cs="Arial"/>
        </w:rPr>
        <w:t>pursues such proceedings to finality.</w:t>
      </w:r>
      <w:r w:rsidRPr="00D04791">
        <w:rPr>
          <w:rFonts w:ascii="Arial" w:hAnsi="Arial" w:cs="Arial"/>
        </w:rPr>
        <w:t>’</w:t>
      </w:r>
    </w:p>
    <w:p w:rsidR="00620D1C" w:rsidRPr="00620D1C" w:rsidRDefault="00620D1C" w:rsidP="003C75E8">
      <w:pPr>
        <w:spacing w:after="0" w:line="360" w:lineRule="auto"/>
        <w:jc w:val="both"/>
        <w:rPr>
          <w:rFonts w:ascii="Arial" w:hAnsi="Arial" w:cs="Arial"/>
          <w:sz w:val="24"/>
          <w:szCs w:val="24"/>
        </w:rPr>
      </w:pPr>
    </w:p>
    <w:p w:rsidR="00D04791" w:rsidRDefault="00620D1C" w:rsidP="003C75E8">
      <w:pPr>
        <w:spacing w:after="0" w:line="360" w:lineRule="auto"/>
        <w:jc w:val="both"/>
        <w:rPr>
          <w:rFonts w:ascii="Arial" w:hAnsi="Arial" w:cs="Arial"/>
          <w:sz w:val="24"/>
          <w:szCs w:val="24"/>
          <w:lang w:val="en-US"/>
        </w:rPr>
      </w:pPr>
      <w:r w:rsidRPr="00620D1C">
        <w:rPr>
          <w:rFonts w:ascii="Arial" w:hAnsi="Arial" w:cs="Arial"/>
          <w:sz w:val="24"/>
          <w:szCs w:val="24"/>
        </w:rPr>
        <w:t>[23]</w:t>
      </w:r>
      <w:r>
        <w:rPr>
          <w:rFonts w:ascii="Arial" w:hAnsi="Arial" w:cs="Arial"/>
          <w:sz w:val="24"/>
          <w:szCs w:val="24"/>
        </w:rPr>
        <w:tab/>
        <w:t xml:space="preserve">It is against the backdrop of the evidence that I have summarised in the preceding paragraphs that I proceed to consider whether </w:t>
      </w:r>
      <w:r>
        <w:rPr>
          <w:rFonts w:ascii="Arial" w:hAnsi="Arial" w:cs="Arial"/>
          <w:sz w:val="24"/>
          <w:szCs w:val="24"/>
          <w:lang w:val="en-US"/>
        </w:rPr>
        <w:t xml:space="preserve">clause 6(c) of the </w:t>
      </w:r>
      <w:r w:rsidRPr="0052743D">
        <w:rPr>
          <w:rFonts w:ascii="Arial" w:hAnsi="Arial" w:cs="Arial"/>
          <w:sz w:val="24"/>
          <w:szCs w:val="24"/>
          <w:lang w:val="en-US"/>
        </w:rPr>
        <w:t>General Exceptions, Conditions and Provisions</w:t>
      </w:r>
      <w:r w:rsidR="008A504D">
        <w:rPr>
          <w:rFonts w:ascii="Arial" w:hAnsi="Arial" w:cs="Arial"/>
          <w:sz w:val="24"/>
          <w:szCs w:val="24"/>
          <w:lang w:val="en-US"/>
        </w:rPr>
        <w:t>,</w:t>
      </w:r>
      <w:r>
        <w:rPr>
          <w:rFonts w:ascii="Arial" w:hAnsi="Arial" w:cs="Arial"/>
          <w:sz w:val="24"/>
          <w:szCs w:val="24"/>
          <w:lang w:val="en-US"/>
        </w:rPr>
        <w:t xml:space="preserve"> forms part of the contract concluded between the plaintiff and the defendant.</w:t>
      </w:r>
    </w:p>
    <w:p w:rsidR="00620D1C" w:rsidRPr="00620D1C" w:rsidRDefault="00620D1C" w:rsidP="003C75E8">
      <w:pPr>
        <w:spacing w:after="0" w:line="360" w:lineRule="auto"/>
        <w:jc w:val="both"/>
        <w:rPr>
          <w:rFonts w:ascii="Arial" w:hAnsi="Arial" w:cs="Arial"/>
          <w:sz w:val="24"/>
          <w:szCs w:val="24"/>
        </w:rPr>
      </w:pPr>
    </w:p>
    <w:p w:rsidR="004A29FB" w:rsidRDefault="00414914" w:rsidP="003C75E8">
      <w:pPr>
        <w:spacing w:after="0" w:line="360" w:lineRule="auto"/>
        <w:jc w:val="both"/>
        <w:rPr>
          <w:rFonts w:ascii="Arial" w:hAnsi="Arial" w:cs="Arial"/>
          <w:sz w:val="24"/>
          <w:szCs w:val="24"/>
          <w:u w:val="single"/>
          <w:lang w:val="en-US"/>
        </w:rPr>
      </w:pPr>
      <w:r w:rsidRPr="004A29FB">
        <w:rPr>
          <w:rFonts w:ascii="Arial" w:hAnsi="Arial" w:cs="Arial"/>
          <w:sz w:val="24"/>
          <w:szCs w:val="24"/>
          <w:u w:val="single"/>
          <w:lang w:val="en-US"/>
        </w:rPr>
        <w:t>Discussion</w:t>
      </w:r>
    </w:p>
    <w:p w:rsidR="004A29FB" w:rsidRDefault="004A29FB" w:rsidP="003C75E8">
      <w:pPr>
        <w:pStyle w:val="HCR-Numberingnormal"/>
        <w:numPr>
          <w:ilvl w:val="0"/>
          <w:numId w:val="0"/>
        </w:numPr>
        <w:spacing w:before="0" w:after="0" w:line="360" w:lineRule="auto"/>
        <w:rPr>
          <w:rFonts w:eastAsiaTheme="minorHAnsi" w:cs="Arial"/>
          <w:szCs w:val="24"/>
          <w:u w:val="single"/>
          <w:lang w:val="en-US"/>
        </w:rPr>
      </w:pPr>
    </w:p>
    <w:p w:rsidR="005A542A" w:rsidRDefault="005A542A" w:rsidP="003C75E8">
      <w:pPr>
        <w:pStyle w:val="HCR-Numberingnormal"/>
        <w:numPr>
          <w:ilvl w:val="0"/>
          <w:numId w:val="0"/>
        </w:numPr>
        <w:spacing w:before="0" w:after="0" w:line="360" w:lineRule="auto"/>
        <w:rPr>
          <w:rFonts w:eastAsiaTheme="minorHAnsi" w:cs="Arial"/>
          <w:i/>
          <w:szCs w:val="24"/>
          <w:lang w:val="en-US"/>
        </w:rPr>
      </w:pPr>
      <w:r w:rsidRPr="005A542A">
        <w:rPr>
          <w:rFonts w:eastAsiaTheme="minorHAnsi" w:cs="Arial"/>
          <w:i/>
          <w:szCs w:val="24"/>
          <w:lang w:val="en-US"/>
        </w:rPr>
        <w:t>Submissions on behalf of the parties</w:t>
      </w:r>
    </w:p>
    <w:p w:rsidR="005A542A" w:rsidRPr="005A542A" w:rsidRDefault="005A542A" w:rsidP="003C75E8">
      <w:pPr>
        <w:pStyle w:val="HCR-Numberingnormal"/>
        <w:numPr>
          <w:ilvl w:val="0"/>
          <w:numId w:val="0"/>
        </w:numPr>
        <w:spacing w:before="0" w:after="0" w:line="360" w:lineRule="auto"/>
        <w:rPr>
          <w:rFonts w:eastAsiaTheme="minorHAnsi" w:cs="Arial"/>
          <w:i/>
          <w:szCs w:val="24"/>
          <w:lang w:val="en-US"/>
        </w:rPr>
      </w:pPr>
    </w:p>
    <w:p w:rsidR="004A29FB" w:rsidRDefault="004A29FB" w:rsidP="003C75E8">
      <w:pPr>
        <w:pStyle w:val="HCR-Numberingnormal"/>
        <w:numPr>
          <w:ilvl w:val="0"/>
          <w:numId w:val="0"/>
        </w:numPr>
        <w:spacing w:before="0" w:after="0" w:line="360" w:lineRule="auto"/>
        <w:rPr>
          <w:szCs w:val="24"/>
        </w:rPr>
      </w:pPr>
      <w:r w:rsidRPr="004A29FB">
        <w:rPr>
          <w:rFonts w:cs="Arial"/>
          <w:szCs w:val="24"/>
          <w:lang w:val="en-US"/>
        </w:rPr>
        <w:t>[2</w:t>
      </w:r>
      <w:r w:rsidR="008A504D">
        <w:rPr>
          <w:rFonts w:cs="Arial"/>
          <w:szCs w:val="24"/>
          <w:lang w:val="en-US"/>
        </w:rPr>
        <w:t>4</w:t>
      </w:r>
      <w:r w:rsidRPr="004A29FB">
        <w:rPr>
          <w:rFonts w:cs="Arial"/>
          <w:szCs w:val="24"/>
          <w:lang w:val="en-US"/>
        </w:rPr>
        <w:t>]</w:t>
      </w:r>
      <w:r w:rsidRPr="004A29FB">
        <w:rPr>
          <w:rFonts w:cs="Arial"/>
          <w:szCs w:val="24"/>
          <w:lang w:val="en-US"/>
        </w:rPr>
        <w:tab/>
      </w:r>
      <w:r>
        <w:rPr>
          <w:rFonts w:cs="Arial"/>
          <w:szCs w:val="24"/>
          <w:lang w:val="en-US"/>
        </w:rPr>
        <w:t xml:space="preserve">Mr Heathcote who appeared for the defendant argued that </w:t>
      </w:r>
      <w:r w:rsidRPr="004A29FB">
        <w:rPr>
          <w:szCs w:val="24"/>
        </w:rPr>
        <w:t>Mr Gaugorob testified that he was the appointed broker for the plaintiff, and that he was instructed t</w:t>
      </w:r>
      <w:r>
        <w:rPr>
          <w:szCs w:val="24"/>
        </w:rPr>
        <w:t>o broker the insurance contract, of which clause 6(c) is being disputed by the plaintiff</w:t>
      </w:r>
      <w:r w:rsidRPr="004A29FB">
        <w:rPr>
          <w:szCs w:val="24"/>
        </w:rPr>
        <w:t xml:space="preserve">. </w:t>
      </w:r>
      <w:r>
        <w:rPr>
          <w:rFonts w:cs="Arial"/>
          <w:szCs w:val="24"/>
          <w:lang w:val="en-US"/>
        </w:rPr>
        <w:t xml:space="preserve">Mr Heathcote further argued that Mr Gaugorob </w:t>
      </w:r>
      <w:r w:rsidRPr="004A29FB">
        <w:rPr>
          <w:szCs w:val="24"/>
        </w:rPr>
        <w:t>testified that, from previous transactions, the standard terms and conditions of the defendant were known to him at the time of contracting. Those standard terms and conditions, which include the time-bar clause in issue in the special plea, are therefore binding on the plaintiff, as principal.</w:t>
      </w:r>
      <w:r>
        <w:rPr>
          <w:szCs w:val="24"/>
        </w:rPr>
        <w:t xml:space="preserve"> In support of this submission Mr Heathcote relied on</w:t>
      </w:r>
      <w:r w:rsidRPr="004A29FB">
        <w:rPr>
          <w:szCs w:val="24"/>
        </w:rPr>
        <w:t xml:space="preserve"> Professor AJ Kerr</w:t>
      </w:r>
      <w:r>
        <w:rPr>
          <w:rStyle w:val="FootnoteReference"/>
          <w:szCs w:val="24"/>
        </w:rPr>
        <w:footnoteReference w:id="3"/>
      </w:r>
      <w:r w:rsidRPr="004A29FB">
        <w:rPr>
          <w:szCs w:val="24"/>
        </w:rPr>
        <w:t xml:space="preserve">, </w:t>
      </w:r>
      <w:r>
        <w:rPr>
          <w:szCs w:val="24"/>
        </w:rPr>
        <w:t>who opine</w:t>
      </w:r>
      <w:r w:rsidR="008A504D">
        <w:rPr>
          <w:szCs w:val="24"/>
        </w:rPr>
        <w:t>d</w:t>
      </w:r>
      <w:r>
        <w:rPr>
          <w:szCs w:val="24"/>
        </w:rPr>
        <w:t xml:space="preserve"> that</w:t>
      </w:r>
      <w:r w:rsidRPr="004A29FB">
        <w:rPr>
          <w:szCs w:val="24"/>
        </w:rPr>
        <w:t>:</w:t>
      </w:r>
    </w:p>
    <w:p w:rsidR="004A29FB" w:rsidRDefault="003C5AFB" w:rsidP="003C75E8">
      <w:pPr>
        <w:tabs>
          <w:tab w:val="left" w:pos="720"/>
          <w:tab w:val="left" w:pos="1701"/>
        </w:tabs>
        <w:spacing w:after="0" w:line="360" w:lineRule="auto"/>
        <w:ind w:left="-90" w:firstLine="810"/>
        <w:jc w:val="both"/>
        <w:rPr>
          <w:rFonts w:ascii="Arial" w:eastAsia="Arial" w:hAnsi="Arial" w:cs="Times New Roman"/>
          <w:lang w:val="en-US"/>
        </w:rPr>
      </w:pPr>
      <w:r>
        <w:rPr>
          <w:rFonts w:ascii="Arial" w:eastAsia="Arial" w:hAnsi="Arial" w:cs="Times New Roman"/>
          <w:lang w:val="en-US"/>
        </w:rPr>
        <w:t>‘</w:t>
      </w:r>
      <w:r w:rsidR="004A29FB" w:rsidRPr="004A29FB">
        <w:rPr>
          <w:rFonts w:ascii="Arial" w:eastAsia="Arial" w:hAnsi="Arial" w:cs="Times New Roman"/>
          <w:lang w:val="en-US"/>
        </w:rPr>
        <w:t xml:space="preserve">The principal is bound by the transaction entered into by an empowered agent; and the agent’s knowledge at the time, his conscious knowledge, is relevant to the question: to what terms did he agree? Thus, if from previous transactions on behalf of himself, or of the same principal, or another principal, an agent has learnt of the third person’s standard form or special conditions, and if he has the relevant provisions in mind when he contracts, </w:t>
      </w:r>
      <w:r w:rsidR="008A504D">
        <w:rPr>
          <w:rFonts w:ascii="Arial" w:eastAsia="Arial" w:hAnsi="Arial" w:cs="Times New Roman"/>
          <w:lang w:val="en-US"/>
        </w:rPr>
        <w:tab/>
      </w:r>
      <w:r w:rsidR="004A29FB" w:rsidRPr="004A29FB">
        <w:rPr>
          <w:rFonts w:ascii="Arial" w:eastAsia="Arial" w:hAnsi="Arial" w:cs="Times New Roman"/>
          <w:lang w:val="en-US"/>
        </w:rPr>
        <w:t xml:space="preserve">the principal is bound by the provisions. In such circumstances the rule in </w:t>
      </w:r>
      <w:r w:rsidR="004A29FB" w:rsidRPr="004A29FB">
        <w:rPr>
          <w:rFonts w:ascii="Arial" w:eastAsia="Arial" w:hAnsi="Arial" w:cs="Arial"/>
          <w:lang w:val="en-US"/>
        </w:rPr>
        <w:t>§</w:t>
      </w:r>
      <w:r w:rsidR="004A29FB" w:rsidRPr="004A29FB">
        <w:rPr>
          <w:rFonts w:ascii="Arial" w:eastAsia="Arial" w:hAnsi="Arial" w:cs="Times New Roman"/>
          <w:lang w:val="en-US"/>
        </w:rPr>
        <w:t xml:space="preserve">276 of the second edition of the </w:t>
      </w:r>
      <w:r w:rsidR="004A29FB" w:rsidRPr="004A29FB">
        <w:rPr>
          <w:rFonts w:ascii="Arial" w:eastAsia="Arial" w:hAnsi="Arial" w:cs="Times New Roman"/>
          <w:i/>
          <w:lang w:val="en-US"/>
        </w:rPr>
        <w:t xml:space="preserve">Restatement on Agency </w:t>
      </w:r>
      <w:r w:rsidR="004A29FB" w:rsidRPr="004A29FB">
        <w:rPr>
          <w:rFonts w:ascii="Arial" w:eastAsia="Arial" w:hAnsi="Arial" w:cs="Times New Roman"/>
          <w:lang w:val="en-US"/>
        </w:rPr>
        <w:t>appears to be in accord with the principles of South African law. It reads:</w:t>
      </w:r>
    </w:p>
    <w:p w:rsidR="005E13A8" w:rsidRPr="004A29FB" w:rsidRDefault="005E13A8" w:rsidP="003C75E8">
      <w:pPr>
        <w:tabs>
          <w:tab w:val="left" w:pos="720"/>
          <w:tab w:val="left" w:pos="1701"/>
        </w:tabs>
        <w:spacing w:after="0" w:line="360" w:lineRule="auto"/>
        <w:ind w:left="-90" w:firstLine="810"/>
        <w:jc w:val="both"/>
        <w:rPr>
          <w:rFonts w:ascii="Arial" w:eastAsia="Arial" w:hAnsi="Arial" w:cs="Times New Roman"/>
          <w:lang w:val="en-US"/>
        </w:rPr>
      </w:pPr>
    </w:p>
    <w:p w:rsidR="005E13A8" w:rsidRDefault="003C5AFB" w:rsidP="003C5AFB">
      <w:pPr>
        <w:tabs>
          <w:tab w:val="left" w:pos="720"/>
          <w:tab w:val="left" w:pos="1701"/>
        </w:tabs>
        <w:spacing w:after="0" w:line="360" w:lineRule="auto"/>
        <w:jc w:val="both"/>
        <w:rPr>
          <w:rFonts w:ascii="Arial" w:eastAsia="Arial" w:hAnsi="Arial" w:cs="Times New Roman"/>
          <w:lang w:val="en-US"/>
        </w:rPr>
      </w:pPr>
      <w:r>
        <w:rPr>
          <w:rFonts w:ascii="Arial" w:eastAsia="Arial" w:hAnsi="Arial" w:cs="Times New Roman"/>
          <w:lang w:val="en-US"/>
        </w:rPr>
        <w:tab/>
      </w:r>
      <w:r w:rsidR="005E13A8">
        <w:rPr>
          <w:rFonts w:ascii="Arial" w:eastAsia="Arial" w:hAnsi="Arial" w:cs="Times New Roman"/>
          <w:lang w:val="en-US"/>
        </w:rPr>
        <w:t>“</w:t>
      </w:r>
      <w:r w:rsidR="004A29FB" w:rsidRPr="004A29FB">
        <w:rPr>
          <w:rFonts w:ascii="Arial" w:eastAsia="Arial" w:hAnsi="Arial" w:cs="Times New Roman"/>
          <w:lang w:val="en-US"/>
        </w:rPr>
        <w:t>Except for the knowledge acquired confidentially, the</w:t>
      </w:r>
      <w:r>
        <w:rPr>
          <w:rFonts w:ascii="Arial" w:eastAsia="Arial" w:hAnsi="Arial" w:cs="Times New Roman"/>
          <w:lang w:val="en-US"/>
        </w:rPr>
        <w:t xml:space="preserve"> time, place or manner in which </w:t>
      </w:r>
      <w:r w:rsidR="004A29FB" w:rsidRPr="004A29FB">
        <w:rPr>
          <w:rFonts w:ascii="Arial" w:eastAsia="Arial" w:hAnsi="Arial" w:cs="Times New Roman"/>
          <w:lang w:val="en-US"/>
        </w:rPr>
        <w:t>knowledge is acquired by a servant or other agent is immaterial in determining the liability of his principal because of it.</w:t>
      </w:r>
      <w:r w:rsidR="005E13A8">
        <w:rPr>
          <w:rFonts w:ascii="Arial" w:eastAsia="Arial" w:hAnsi="Arial" w:cs="Times New Roman"/>
          <w:lang w:val="en-US"/>
        </w:rPr>
        <w:t xml:space="preserve"> </w:t>
      </w:r>
      <w:r w:rsidR="004A29FB" w:rsidRPr="004A29FB">
        <w:rPr>
          <w:rFonts w:ascii="Arial" w:eastAsia="Arial" w:hAnsi="Arial" w:cs="Times New Roman"/>
          <w:lang w:val="en-US"/>
        </w:rPr>
        <w:t xml:space="preserve">In the above category of cases the agent’s knowledge is not imputed to the principal – it remains his own but the contract he enters into is the principal’s. There are, of course, cases in which the knowledge of both the principal and of </w:t>
      </w:r>
      <w:r>
        <w:rPr>
          <w:rFonts w:ascii="Arial" w:eastAsia="Arial" w:hAnsi="Arial" w:cs="Times New Roman"/>
          <w:lang w:val="en-US"/>
        </w:rPr>
        <w:t xml:space="preserve">the agent has to be considered.’ </w:t>
      </w:r>
    </w:p>
    <w:p w:rsidR="005E13A8" w:rsidRDefault="005E13A8" w:rsidP="003C75E8">
      <w:pPr>
        <w:tabs>
          <w:tab w:val="left" w:pos="720"/>
        </w:tabs>
        <w:spacing w:after="0" w:line="360" w:lineRule="auto"/>
        <w:jc w:val="both"/>
        <w:rPr>
          <w:rFonts w:ascii="Arial" w:eastAsia="Arial" w:hAnsi="Arial" w:cs="Times New Roman"/>
          <w:sz w:val="24"/>
          <w:szCs w:val="24"/>
          <w:lang w:val="en-GB"/>
        </w:rPr>
      </w:pPr>
    </w:p>
    <w:p w:rsidR="004A29FB" w:rsidRDefault="005E13A8" w:rsidP="003C75E8">
      <w:pPr>
        <w:tabs>
          <w:tab w:val="left" w:pos="720"/>
        </w:tabs>
        <w:spacing w:after="0" w:line="360" w:lineRule="auto"/>
        <w:jc w:val="both"/>
        <w:rPr>
          <w:rFonts w:ascii="Arial" w:eastAsia="Arial" w:hAnsi="Arial" w:cs="Times New Roman"/>
          <w:sz w:val="24"/>
          <w:szCs w:val="24"/>
          <w:lang w:val="en-GB"/>
        </w:rPr>
      </w:pPr>
      <w:r>
        <w:rPr>
          <w:rFonts w:ascii="Arial" w:eastAsia="Arial" w:hAnsi="Arial" w:cs="Times New Roman"/>
          <w:sz w:val="24"/>
          <w:szCs w:val="24"/>
          <w:lang w:val="en-GB"/>
        </w:rPr>
        <w:t>[2</w:t>
      </w:r>
      <w:r w:rsidR="008A504D">
        <w:rPr>
          <w:rFonts w:ascii="Arial" w:eastAsia="Arial" w:hAnsi="Arial" w:cs="Times New Roman"/>
          <w:sz w:val="24"/>
          <w:szCs w:val="24"/>
          <w:lang w:val="en-GB"/>
        </w:rPr>
        <w:t>5</w:t>
      </w:r>
      <w:r>
        <w:rPr>
          <w:rFonts w:ascii="Arial" w:eastAsia="Arial" w:hAnsi="Arial" w:cs="Times New Roman"/>
          <w:sz w:val="24"/>
          <w:szCs w:val="24"/>
          <w:lang w:val="en-GB"/>
        </w:rPr>
        <w:t>]</w:t>
      </w:r>
      <w:r>
        <w:rPr>
          <w:rFonts w:ascii="Arial" w:eastAsia="Arial" w:hAnsi="Arial" w:cs="Times New Roman"/>
          <w:sz w:val="24"/>
          <w:szCs w:val="24"/>
          <w:lang w:val="en-GB"/>
        </w:rPr>
        <w:tab/>
        <w:t>Mr Heathcote continued and argued that</w:t>
      </w:r>
      <w:r w:rsidR="004A29FB" w:rsidRPr="004A29FB">
        <w:rPr>
          <w:rFonts w:ascii="Arial" w:eastAsia="Arial" w:hAnsi="Arial" w:cs="Times New Roman"/>
          <w:sz w:val="24"/>
          <w:szCs w:val="24"/>
          <w:lang w:val="en-GB"/>
        </w:rPr>
        <w:t xml:space="preserve"> the evidence show</w:t>
      </w:r>
      <w:r w:rsidR="000455AF">
        <w:rPr>
          <w:rFonts w:ascii="Arial" w:eastAsia="Arial" w:hAnsi="Arial" w:cs="Times New Roman"/>
          <w:sz w:val="24"/>
          <w:szCs w:val="24"/>
          <w:lang w:val="en-GB"/>
        </w:rPr>
        <w:t xml:space="preserve"> </w:t>
      </w:r>
      <w:r w:rsidR="004A29FB" w:rsidRPr="004A29FB">
        <w:rPr>
          <w:rFonts w:ascii="Arial" w:eastAsia="Arial" w:hAnsi="Arial" w:cs="Times New Roman"/>
          <w:sz w:val="24"/>
          <w:szCs w:val="24"/>
          <w:lang w:val="en-GB"/>
        </w:rPr>
        <w:t xml:space="preserve">that the policy schedule was received by the plaintiff’s Mr Hamukoto and </w:t>
      </w:r>
      <w:r w:rsidRPr="004A29FB">
        <w:rPr>
          <w:rFonts w:ascii="Arial" w:eastAsia="Arial" w:hAnsi="Arial" w:cs="Times New Roman"/>
          <w:sz w:val="24"/>
          <w:szCs w:val="24"/>
          <w:lang w:val="en-GB"/>
        </w:rPr>
        <w:t>that notwithstanding</w:t>
      </w:r>
      <w:r w:rsidR="004A29FB" w:rsidRPr="004A29FB">
        <w:rPr>
          <w:rFonts w:ascii="Arial" w:eastAsia="Arial" w:hAnsi="Arial" w:cs="Times New Roman"/>
          <w:sz w:val="24"/>
          <w:szCs w:val="24"/>
          <w:lang w:val="en-GB"/>
        </w:rPr>
        <w:t xml:space="preserve"> that it refers to the policy contract, a copy of such policy contract was never requested. It was also not requested after it was referred to and quoted in the repudiation letter related to the motor vehicle claim. That was also the case with the repudiation letter related to the claim in issue. It was never challenged by the plaintiff until after the special plea was raised.</w:t>
      </w:r>
    </w:p>
    <w:p w:rsidR="005E13A8" w:rsidRPr="004A29FB" w:rsidRDefault="005E13A8" w:rsidP="003C75E8">
      <w:pPr>
        <w:tabs>
          <w:tab w:val="left" w:pos="720"/>
        </w:tabs>
        <w:spacing w:after="0" w:line="360" w:lineRule="auto"/>
        <w:jc w:val="both"/>
        <w:rPr>
          <w:rFonts w:ascii="Arial" w:eastAsia="Arial" w:hAnsi="Arial" w:cs="Times New Roman"/>
          <w:sz w:val="24"/>
          <w:szCs w:val="24"/>
          <w:lang w:val="en-GB"/>
        </w:rPr>
      </w:pPr>
    </w:p>
    <w:p w:rsidR="009A6F9A" w:rsidRDefault="00FF6071" w:rsidP="003C75E8">
      <w:pPr>
        <w:spacing w:after="0" w:line="360" w:lineRule="auto"/>
        <w:jc w:val="both"/>
        <w:rPr>
          <w:rFonts w:ascii="Arial" w:hAnsi="Arial" w:cs="Arial"/>
          <w:sz w:val="24"/>
          <w:szCs w:val="24"/>
        </w:rPr>
      </w:pPr>
      <w:r>
        <w:rPr>
          <w:rFonts w:ascii="Arial" w:hAnsi="Arial" w:cs="Arial"/>
          <w:sz w:val="24"/>
          <w:szCs w:val="24"/>
        </w:rPr>
        <w:t>[2</w:t>
      </w:r>
      <w:r w:rsidR="008A504D">
        <w:rPr>
          <w:rFonts w:ascii="Arial" w:hAnsi="Arial" w:cs="Arial"/>
          <w:sz w:val="24"/>
          <w:szCs w:val="24"/>
        </w:rPr>
        <w:t>6</w:t>
      </w:r>
      <w:r>
        <w:rPr>
          <w:rFonts w:ascii="Arial" w:hAnsi="Arial" w:cs="Arial"/>
          <w:sz w:val="24"/>
          <w:szCs w:val="24"/>
        </w:rPr>
        <w:t>]</w:t>
      </w:r>
      <w:r>
        <w:rPr>
          <w:rFonts w:ascii="Arial" w:hAnsi="Arial" w:cs="Arial"/>
          <w:sz w:val="24"/>
          <w:szCs w:val="24"/>
        </w:rPr>
        <w:tab/>
        <w:t xml:space="preserve">Mr Appolus who appeared on behalf of the plaintiff argued that </w:t>
      </w:r>
      <w:r w:rsidRPr="00FF6071">
        <w:rPr>
          <w:rFonts w:ascii="Arial" w:hAnsi="Arial" w:cs="Arial"/>
          <w:sz w:val="24"/>
          <w:szCs w:val="24"/>
        </w:rPr>
        <w:t xml:space="preserve">the written short-term insurance contract that was concluded between the parties, which contract was drafted by the </w:t>
      </w:r>
      <w:r>
        <w:rPr>
          <w:rFonts w:ascii="Arial" w:hAnsi="Arial" w:cs="Arial"/>
          <w:sz w:val="24"/>
          <w:szCs w:val="24"/>
        </w:rPr>
        <w:t>d</w:t>
      </w:r>
      <w:r w:rsidRPr="00FF6071">
        <w:rPr>
          <w:rFonts w:ascii="Arial" w:hAnsi="Arial" w:cs="Arial"/>
          <w:sz w:val="24"/>
          <w:szCs w:val="24"/>
        </w:rPr>
        <w:t>efendant</w:t>
      </w:r>
      <w:r w:rsidR="008A504D">
        <w:rPr>
          <w:rFonts w:ascii="Arial" w:hAnsi="Arial" w:cs="Arial"/>
          <w:sz w:val="24"/>
          <w:szCs w:val="24"/>
        </w:rPr>
        <w:t>,</w:t>
      </w:r>
      <w:r w:rsidRPr="00FF6071">
        <w:rPr>
          <w:rFonts w:ascii="Arial" w:hAnsi="Arial" w:cs="Arial"/>
          <w:sz w:val="24"/>
          <w:szCs w:val="24"/>
        </w:rPr>
        <w:t xml:space="preserve"> is clearly vague and ambiguous, in so far as it relates to the </w:t>
      </w:r>
      <w:r w:rsidRPr="009A6F9A">
        <w:rPr>
          <w:rFonts w:ascii="Arial" w:hAnsi="Arial" w:cs="Arial"/>
          <w:sz w:val="24"/>
          <w:szCs w:val="24"/>
        </w:rPr>
        <w:t>question whether or not the time-bar clause was an agreed term of the said insurance contract.</w:t>
      </w:r>
      <w:r w:rsidR="009A6F9A">
        <w:rPr>
          <w:rFonts w:ascii="Arial" w:hAnsi="Arial" w:cs="Arial"/>
          <w:sz w:val="24"/>
          <w:szCs w:val="24"/>
        </w:rPr>
        <w:t xml:space="preserve"> </w:t>
      </w:r>
      <w:r>
        <w:rPr>
          <w:rFonts w:ascii="Arial" w:hAnsi="Arial" w:cs="Arial"/>
          <w:sz w:val="24"/>
          <w:szCs w:val="24"/>
        </w:rPr>
        <w:t>He based that contention on the argument that Mr Barnard</w:t>
      </w:r>
      <w:r w:rsidR="008A504D">
        <w:rPr>
          <w:rFonts w:ascii="Arial" w:hAnsi="Arial" w:cs="Arial"/>
          <w:sz w:val="24"/>
          <w:szCs w:val="24"/>
        </w:rPr>
        <w:t>,</w:t>
      </w:r>
      <w:r>
        <w:rPr>
          <w:rFonts w:ascii="Arial" w:hAnsi="Arial" w:cs="Arial"/>
          <w:sz w:val="24"/>
          <w:szCs w:val="24"/>
        </w:rPr>
        <w:t xml:space="preserve"> the defendant’s CEO</w:t>
      </w:r>
      <w:r w:rsidR="008A504D">
        <w:rPr>
          <w:rFonts w:ascii="Arial" w:hAnsi="Arial" w:cs="Arial"/>
          <w:sz w:val="24"/>
          <w:szCs w:val="24"/>
        </w:rPr>
        <w:t>,</w:t>
      </w:r>
      <w:r>
        <w:rPr>
          <w:rFonts w:ascii="Arial" w:hAnsi="Arial" w:cs="Arial"/>
          <w:sz w:val="24"/>
          <w:szCs w:val="24"/>
        </w:rPr>
        <w:t xml:space="preserve"> allegedly conceded during his testimony that</w:t>
      </w:r>
      <w:r w:rsidR="009A6F9A" w:rsidRPr="009A6F9A">
        <w:rPr>
          <w:rFonts w:ascii="Arial" w:hAnsi="Arial" w:cs="Arial"/>
          <w:sz w:val="24"/>
          <w:szCs w:val="24"/>
        </w:rPr>
        <w:t xml:space="preserve"> </w:t>
      </w:r>
      <w:r w:rsidR="009A6F9A">
        <w:rPr>
          <w:rFonts w:ascii="Arial" w:hAnsi="Arial" w:cs="Arial"/>
          <w:sz w:val="24"/>
          <w:szCs w:val="24"/>
        </w:rPr>
        <w:t>there is n</w:t>
      </w:r>
      <w:r w:rsidR="00A81BBA">
        <w:rPr>
          <w:rFonts w:ascii="Arial" w:hAnsi="Arial" w:cs="Arial"/>
          <w:sz w:val="24"/>
          <w:szCs w:val="24"/>
        </w:rPr>
        <w:t>o specific document titled the ‘</w:t>
      </w:r>
      <w:r w:rsidR="009A6F9A" w:rsidRPr="00A81BBA">
        <w:rPr>
          <w:rFonts w:ascii="Arial" w:hAnsi="Arial" w:cs="Arial"/>
        </w:rPr>
        <w:t>Quanta Insurance Limited Policy Contract</w:t>
      </w:r>
      <w:r w:rsidR="00A81BBA">
        <w:rPr>
          <w:rFonts w:ascii="Arial" w:hAnsi="Arial" w:cs="Arial"/>
        </w:rPr>
        <w:t>’ and that</w:t>
      </w:r>
      <w:r w:rsidR="009A6F9A">
        <w:rPr>
          <w:rFonts w:ascii="Arial" w:hAnsi="Arial" w:cs="Arial"/>
          <w:sz w:val="24"/>
          <w:szCs w:val="24"/>
        </w:rPr>
        <w:t xml:space="preserve"> </w:t>
      </w:r>
      <w:r>
        <w:rPr>
          <w:rFonts w:ascii="Arial" w:hAnsi="Arial" w:cs="Arial"/>
          <w:sz w:val="24"/>
          <w:szCs w:val="24"/>
        </w:rPr>
        <w:t>it does not exist.</w:t>
      </w:r>
    </w:p>
    <w:p w:rsidR="009A6F9A" w:rsidRDefault="009A6F9A" w:rsidP="003C75E8">
      <w:pPr>
        <w:spacing w:after="0" w:line="360" w:lineRule="auto"/>
        <w:jc w:val="both"/>
        <w:rPr>
          <w:rFonts w:ascii="Arial" w:hAnsi="Arial" w:cs="Arial"/>
          <w:sz w:val="24"/>
          <w:szCs w:val="24"/>
        </w:rPr>
      </w:pPr>
    </w:p>
    <w:p w:rsidR="009A6F9A" w:rsidRDefault="009A6F9A" w:rsidP="003C75E8">
      <w:pPr>
        <w:spacing w:after="0" w:line="360" w:lineRule="auto"/>
        <w:jc w:val="both"/>
        <w:rPr>
          <w:rFonts w:ascii="Arial" w:hAnsi="Arial" w:cs="Arial"/>
          <w:sz w:val="24"/>
          <w:szCs w:val="24"/>
        </w:rPr>
      </w:pPr>
      <w:r w:rsidRPr="009A6F9A">
        <w:rPr>
          <w:rFonts w:ascii="Arial" w:hAnsi="Arial" w:cs="Arial"/>
          <w:sz w:val="24"/>
          <w:szCs w:val="24"/>
        </w:rPr>
        <w:t>[2</w:t>
      </w:r>
      <w:r w:rsidR="00A81BBA">
        <w:rPr>
          <w:rFonts w:ascii="Arial" w:hAnsi="Arial" w:cs="Arial"/>
          <w:sz w:val="24"/>
          <w:szCs w:val="24"/>
        </w:rPr>
        <w:t>7</w:t>
      </w:r>
      <w:r w:rsidRPr="009A6F9A">
        <w:rPr>
          <w:rFonts w:ascii="Arial" w:hAnsi="Arial" w:cs="Arial"/>
          <w:sz w:val="24"/>
          <w:szCs w:val="24"/>
        </w:rPr>
        <w:t>]</w:t>
      </w:r>
      <w:r w:rsidRPr="009A6F9A">
        <w:rPr>
          <w:rFonts w:ascii="Arial" w:hAnsi="Arial" w:cs="Arial"/>
          <w:sz w:val="24"/>
          <w:szCs w:val="24"/>
        </w:rPr>
        <w:tab/>
      </w:r>
      <w:r w:rsidR="001A3BC7" w:rsidRPr="009A6F9A">
        <w:rPr>
          <w:rFonts w:ascii="Arial" w:hAnsi="Arial" w:cs="Arial"/>
          <w:sz w:val="24"/>
          <w:szCs w:val="24"/>
        </w:rPr>
        <w:t>Mr Appolus</w:t>
      </w:r>
      <w:r w:rsidRPr="009A6F9A">
        <w:rPr>
          <w:rFonts w:ascii="Arial" w:hAnsi="Arial" w:cs="Arial"/>
          <w:sz w:val="24"/>
          <w:szCs w:val="24"/>
        </w:rPr>
        <w:t xml:space="preserve"> thus argued that </w:t>
      </w:r>
      <w:r>
        <w:rPr>
          <w:rFonts w:ascii="Arial" w:hAnsi="Arial" w:cs="Arial"/>
          <w:sz w:val="24"/>
          <w:szCs w:val="24"/>
        </w:rPr>
        <w:t xml:space="preserve">based on </w:t>
      </w:r>
      <w:r w:rsidR="001A3BC7">
        <w:rPr>
          <w:rFonts w:ascii="Arial" w:hAnsi="Arial" w:cs="Arial"/>
          <w:sz w:val="24"/>
          <w:szCs w:val="24"/>
        </w:rPr>
        <w:t xml:space="preserve">the </w:t>
      </w:r>
      <w:r>
        <w:rPr>
          <w:rFonts w:ascii="Arial" w:hAnsi="Arial" w:cs="Arial"/>
          <w:sz w:val="24"/>
          <w:szCs w:val="24"/>
        </w:rPr>
        <w:t>evidence presented to</w:t>
      </w:r>
      <w:r w:rsidRPr="009A6F9A">
        <w:rPr>
          <w:rFonts w:ascii="Arial" w:hAnsi="Arial" w:cs="Arial"/>
          <w:sz w:val="24"/>
          <w:szCs w:val="24"/>
        </w:rPr>
        <w:t xml:space="preserve"> Court, by the </w:t>
      </w:r>
      <w:r>
        <w:rPr>
          <w:rFonts w:ascii="Arial" w:hAnsi="Arial" w:cs="Arial"/>
          <w:sz w:val="24"/>
          <w:szCs w:val="24"/>
        </w:rPr>
        <w:t>d</w:t>
      </w:r>
      <w:r w:rsidRPr="009A6F9A">
        <w:rPr>
          <w:rFonts w:ascii="Arial" w:hAnsi="Arial" w:cs="Arial"/>
          <w:sz w:val="24"/>
          <w:szCs w:val="24"/>
        </w:rPr>
        <w:t xml:space="preserve">efendant’s own </w:t>
      </w:r>
      <w:r w:rsidR="00494A26">
        <w:rPr>
          <w:rFonts w:ascii="Arial" w:hAnsi="Arial" w:cs="Arial"/>
          <w:sz w:val="24"/>
          <w:szCs w:val="24"/>
        </w:rPr>
        <w:t>witnesses, the majority of whom</w:t>
      </w:r>
      <w:r w:rsidRPr="009A6F9A">
        <w:rPr>
          <w:rFonts w:ascii="Arial" w:hAnsi="Arial" w:cs="Arial"/>
          <w:sz w:val="24"/>
          <w:szCs w:val="24"/>
        </w:rPr>
        <w:t xml:space="preserve"> confirmed that the General Exceptions, Conditions and Provisions, which contains the time-bar clause</w:t>
      </w:r>
      <w:r w:rsidR="00A81BBA">
        <w:rPr>
          <w:rFonts w:ascii="Arial" w:hAnsi="Arial" w:cs="Arial"/>
          <w:sz w:val="24"/>
          <w:szCs w:val="24"/>
        </w:rPr>
        <w:t>,</w:t>
      </w:r>
      <w:r w:rsidRPr="009A6F9A">
        <w:rPr>
          <w:rFonts w:ascii="Arial" w:hAnsi="Arial" w:cs="Arial"/>
          <w:sz w:val="24"/>
          <w:szCs w:val="24"/>
        </w:rPr>
        <w:t xml:space="preserve"> were never discussed between the parties at the time of conclusion of the contract, neither was it sent to Mr Gaugorob by the </w:t>
      </w:r>
      <w:r>
        <w:rPr>
          <w:rFonts w:ascii="Arial" w:hAnsi="Arial" w:cs="Arial"/>
          <w:sz w:val="24"/>
          <w:szCs w:val="24"/>
        </w:rPr>
        <w:t>d</w:t>
      </w:r>
      <w:r w:rsidR="001A3BC7">
        <w:rPr>
          <w:rFonts w:ascii="Arial" w:hAnsi="Arial" w:cs="Arial"/>
          <w:sz w:val="24"/>
          <w:szCs w:val="24"/>
        </w:rPr>
        <w:t xml:space="preserve">efendant. He thus submitted that </w:t>
      </w:r>
      <w:r w:rsidR="001A3BC7" w:rsidRPr="009A6F9A">
        <w:rPr>
          <w:rFonts w:ascii="Arial" w:hAnsi="Arial" w:cs="Arial"/>
          <w:sz w:val="24"/>
          <w:szCs w:val="24"/>
        </w:rPr>
        <w:t>the</w:t>
      </w:r>
      <w:r w:rsidRPr="009A6F9A">
        <w:rPr>
          <w:rFonts w:ascii="Arial" w:hAnsi="Arial" w:cs="Arial"/>
          <w:sz w:val="24"/>
          <w:szCs w:val="24"/>
        </w:rPr>
        <w:t xml:space="preserve"> </w:t>
      </w:r>
      <w:r>
        <w:rPr>
          <w:rFonts w:ascii="Arial" w:hAnsi="Arial" w:cs="Arial"/>
          <w:sz w:val="24"/>
          <w:szCs w:val="24"/>
        </w:rPr>
        <w:t>d</w:t>
      </w:r>
      <w:r w:rsidRPr="009A6F9A">
        <w:rPr>
          <w:rFonts w:ascii="Arial" w:hAnsi="Arial" w:cs="Arial"/>
          <w:sz w:val="24"/>
          <w:szCs w:val="24"/>
        </w:rPr>
        <w:t>efendant has failed to prove on a balance of probabilities, that the time-bar clause was indeed an agreed term of the contract.</w:t>
      </w:r>
    </w:p>
    <w:p w:rsidR="00DC4899" w:rsidRDefault="00DC4899" w:rsidP="003C75E8">
      <w:pPr>
        <w:spacing w:after="0" w:line="360" w:lineRule="auto"/>
        <w:jc w:val="both"/>
        <w:rPr>
          <w:rFonts w:ascii="Arial" w:hAnsi="Arial" w:cs="Arial"/>
          <w:sz w:val="24"/>
          <w:szCs w:val="24"/>
        </w:rPr>
      </w:pPr>
    </w:p>
    <w:p w:rsidR="001A3BC7" w:rsidRDefault="00DC4899" w:rsidP="003C75E8">
      <w:pPr>
        <w:pStyle w:val="ListParagraph"/>
        <w:spacing w:after="0" w:line="360" w:lineRule="auto"/>
        <w:ind w:left="0"/>
        <w:jc w:val="both"/>
        <w:rPr>
          <w:rFonts w:ascii="Arial" w:hAnsi="Arial" w:cs="Arial"/>
          <w:sz w:val="24"/>
          <w:szCs w:val="24"/>
        </w:rPr>
      </w:pPr>
      <w:r>
        <w:rPr>
          <w:rFonts w:ascii="Arial" w:hAnsi="Arial" w:cs="Arial"/>
          <w:sz w:val="24"/>
          <w:szCs w:val="24"/>
        </w:rPr>
        <w:t>[2</w:t>
      </w:r>
      <w:r w:rsidR="00A81BBA">
        <w:rPr>
          <w:rFonts w:ascii="Arial" w:hAnsi="Arial" w:cs="Arial"/>
          <w:sz w:val="24"/>
          <w:szCs w:val="24"/>
        </w:rPr>
        <w:t>8</w:t>
      </w:r>
      <w:r>
        <w:rPr>
          <w:rFonts w:ascii="Arial" w:hAnsi="Arial" w:cs="Arial"/>
          <w:sz w:val="24"/>
          <w:szCs w:val="24"/>
        </w:rPr>
        <w:t>]</w:t>
      </w:r>
      <w:r>
        <w:rPr>
          <w:rFonts w:ascii="Arial" w:hAnsi="Arial" w:cs="Arial"/>
          <w:sz w:val="24"/>
          <w:szCs w:val="24"/>
        </w:rPr>
        <w:tab/>
        <w:t xml:space="preserve">As regards the imputation of the knowledge of the agent on his principle Mr Appolus concedes that </w:t>
      </w:r>
      <w:r w:rsidR="001A3BC7" w:rsidRPr="00077370">
        <w:rPr>
          <w:rFonts w:ascii="Arial" w:hAnsi="Arial" w:cs="Arial"/>
          <w:iCs/>
          <w:sz w:val="24"/>
          <w:szCs w:val="24"/>
        </w:rPr>
        <w:t>general knowledge acquired by an agent and not communicated to his</w:t>
      </w:r>
      <w:r w:rsidR="001A3BC7">
        <w:rPr>
          <w:rFonts w:ascii="Arial" w:hAnsi="Arial" w:cs="Arial"/>
          <w:iCs/>
          <w:sz w:val="24"/>
          <w:szCs w:val="24"/>
        </w:rPr>
        <w:t xml:space="preserve"> or her</w:t>
      </w:r>
      <w:r w:rsidR="001A3BC7" w:rsidRPr="00077370">
        <w:rPr>
          <w:rFonts w:ascii="Arial" w:hAnsi="Arial" w:cs="Arial"/>
          <w:iCs/>
          <w:sz w:val="24"/>
          <w:szCs w:val="24"/>
        </w:rPr>
        <w:t xml:space="preserve"> principal </w:t>
      </w:r>
      <w:r w:rsidR="001A3BC7">
        <w:rPr>
          <w:rFonts w:ascii="Arial" w:hAnsi="Arial" w:cs="Arial"/>
          <w:iCs/>
          <w:sz w:val="24"/>
          <w:szCs w:val="24"/>
        </w:rPr>
        <w:t>may be</w:t>
      </w:r>
      <w:r w:rsidR="001A3BC7" w:rsidRPr="00077370">
        <w:rPr>
          <w:rFonts w:ascii="Arial" w:hAnsi="Arial" w:cs="Arial"/>
          <w:iCs/>
          <w:sz w:val="24"/>
          <w:szCs w:val="24"/>
        </w:rPr>
        <w:t xml:space="preserve"> imputed to the p</w:t>
      </w:r>
      <w:r w:rsidR="001A3BC7">
        <w:rPr>
          <w:rFonts w:ascii="Arial" w:hAnsi="Arial" w:cs="Arial"/>
          <w:iCs/>
          <w:sz w:val="24"/>
          <w:szCs w:val="24"/>
        </w:rPr>
        <w:t>rincipal</w:t>
      </w:r>
      <w:r w:rsidR="001A3BC7" w:rsidRPr="00077370">
        <w:rPr>
          <w:rFonts w:ascii="Arial" w:hAnsi="Arial" w:cs="Arial"/>
          <w:iCs/>
          <w:sz w:val="24"/>
          <w:szCs w:val="24"/>
        </w:rPr>
        <w:t xml:space="preserve"> merely by reason of the fact that the a</w:t>
      </w:r>
      <w:r w:rsidR="00BF46CD">
        <w:rPr>
          <w:rFonts w:ascii="Arial" w:hAnsi="Arial" w:cs="Arial"/>
          <w:iCs/>
          <w:sz w:val="24"/>
          <w:szCs w:val="24"/>
        </w:rPr>
        <w:t>gent has acquired such knowledge. Mr Appolus</w:t>
      </w:r>
      <w:r w:rsidR="001A3BC7">
        <w:rPr>
          <w:rFonts w:ascii="Arial" w:hAnsi="Arial" w:cs="Arial"/>
          <w:iCs/>
          <w:sz w:val="24"/>
          <w:szCs w:val="24"/>
        </w:rPr>
        <w:t xml:space="preserve"> </w:t>
      </w:r>
      <w:r w:rsidR="001A3BC7" w:rsidRPr="00BF46CD">
        <w:rPr>
          <w:rFonts w:ascii="Arial" w:hAnsi="Arial" w:cs="Arial"/>
          <w:iCs/>
          <w:sz w:val="24"/>
          <w:szCs w:val="24"/>
        </w:rPr>
        <w:t>however,</w:t>
      </w:r>
      <w:r w:rsidR="00A81BBA">
        <w:rPr>
          <w:rFonts w:ascii="Arial" w:hAnsi="Arial" w:cs="Arial"/>
          <w:iCs/>
          <w:sz w:val="24"/>
          <w:szCs w:val="24"/>
        </w:rPr>
        <w:t xml:space="preserve"> contend</w:t>
      </w:r>
      <w:r w:rsidR="00BF46CD">
        <w:rPr>
          <w:rFonts w:ascii="Arial" w:hAnsi="Arial" w:cs="Arial"/>
          <w:iCs/>
          <w:sz w:val="24"/>
          <w:szCs w:val="24"/>
        </w:rPr>
        <w:t>s that there</w:t>
      </w:r>
      <w:r w:rsidR="001A3BC7">
        <w:rPr>
          <w:rFonts w:ascii="Arial" w:hAnsi="Arial" w:cs="Arial"/>
          <w:sz w:val="24"/>
          <w:szCs w:val="24"/>
        </w:rPr>
        <w:t xml:space="preserve"> are four legal requirements which </w:t>
      </w:r>
      <w:r w:rsidR="00BF46CD">
        <w:rPr>
          <w:rFonts w:ascii="Arial" w:hAnsi="Arial" w:cs="Arial"/>
          <w:sz w:val="24"/>
          <w:szCs w:val="24"/>
        </w:rPr>
        <w:t>must be</w:t>
      </w:r>
      <w:r w:rsidR="001A3BC7">
        <w:rPr>
          <w:rFonts w:ascii="Arial" w:hAnsi="Arial" w:cs="Arial"/>
          <w:sz w:val="24"/>
          <w:szCs w:val="24"/>
        </w:rPr>
        <w:t xml:space="preserve"> satisfied before such knowledge co</w:t>
      </w:r>
      <w:r w:rsidR="00BF46CD">
        <w:rPr>
          <w:rFonts w:ascii="Arial" w:hAnsi="Arial" w:cs="Arial"/>
          <w:sz w:val="24"/>
          <w:szCs w:val="24"/>
        </w:rPr>
        <w:t xml:space="preserve">uld be imputed to the principal namely </w:t>
      </w:r>
      <w:r w:rsidR="001A3BC7">
        <w:rPr>
          <w:rFonts w:ascii="Arial" w:hAnsi="Arial" w:cs="Arial"/>
          <w:sz w:val="24"/>
          <w:szCs w:val="24"/>
        </w:rPr>
        <w:t>that:</w:t>
      </w:r>
    </w:p>
    <w:p w:rsidR="00A81BBA" w:rsidRDefault="00A81BBA" w:rsidP="003C75E8">
      <w:pPr>
        <w:pStyle w:val="ListParagraph"/>
        <w:spacing w:after="0" w:line="360" w:lineRule="auto"/>
        <w:ind w:left="0"/>
        <w:jc w:val="both"/>
        <w:rPr>
          <w:rFonts w:ascii="Arial" w:hAnsi="Arial" w:cs="Arial"/>
          <w:sz w:val="24"/>
          <w:szCs w:val="24"/>
        </w:rPr>
      </w:pPr>
    </w:p>
    <w:p w:rsidR="001A3BC7" w:rsidRPr="00BF46CD" w:rsidRDefault="00A81BBA" w:rsidP="003C75E8">
      <w:pPr>
        <w:pStyle w:val="ListParagraph"/>
        <w:spacing w:after="0" w:line="360" w:lineRule="auto"/>
        <w:ind w:left="0"/>
        <w:jc w:val="both"/>
        <w:rPr>
          <w:rFonts w:ascii="Arial" w:hAnsi="Arial" w:cs="Arial"/>
          <w:iCs/>
          <w:sz w:val="24"/>
          <w:szCs w:val="24"/>
        </w:rPr>
      </w:pPr>
      <w:r>
        <w:rPr>
          <w:rFonts w:ascii="Arial" w:hAnsi="Arial" w:cs="Arial"/>
          <w:iCs/>
          <w:sz w:val="24"/>
          <w:szCs w:val="24"/>
        </w:rPr>
        <w:tab/>
        <w:t xml:space="preserve">(a) </w:t>
      </w:r>
      <w:r w:rsidR="001A3BC7" w:rsidRPr="00BF46CD">
        <w:rPr>
          <w:rFonts w:ascii="Arial" w:hAnsi="Arial" w:cs="Arial"/>
          <w:iCs/>
          <w:sz w:val="24"/>
          <w:szCs w:val="24"/>
        </w:rPr>
        <w:t>the agent must have actual knowledge;</w:t>
      </w:r>
    </w:p>
    <w:p w:rsidR="001A3BC7" w:rsidRDefault="00A81BBA" w:rsidP="003C75E8">
      <w:pPr>
        <w:pStyle w:val="ListParagraph"/>
        <w:spacing w:after="0" w:line="360" w:lineRule="auto"/>
        <w:ind w:left="0"/>
        <w:jc w:val="both"/>
        <w:rPr>
          <w:rFonts w:ascii="Arial" w:hAnsi="Arial" w:cs="Arial"/>
          <w:iCs/>
          <w:sz w:val="24"/>
          <w:szCs w:val="24"/>
        </w:rPr>
      </w:pPr>
      <w:r>
        <w:rPr>
          <w:rFonts w:ascii="Arial" w:hAnsi="Arial" w:cs="Arial"/>
          <w:iCs/>
          <w:sz w:val="24"/>
          <w:szCs w:val="24"/>
        </w:rPr>
        <w:tab/>
        <w:t xml:space="preserve">(b) </w:t>
      </w:r>
      <w:r w:rsidR="001A3BC7" w:rsidRPr="00077370">
        <w:rPr>
          <w:rFonts w:ascii="Arial" w:hAnsi="Arial" w:cs="Arial"/>
          <w:iCs/>
          <w:sz w:val="24"/>
          <w:szCs w:val="24"/>
        </w:rPr>
        <w:t>the agent must have a duty to communicate the knowledge to his principal;</w:t>
      </w:r>
    </w:p>
    <w:p w:rsidR="001A3BC7" w:rsidRPr="00BF46CD" w:rsidRDefault="00A81BBA" w:rsidP="003C75E8">
      <w:pPr>
        <w:pStyle w:val="ListParagraph"/>
        <w:spacing w:after="0" w:line="360" w:lineRule="auto"/>
        <w:ind w:left="0"/>
        <w:jc w:val="both"/>
        <w:rPr>
          <w:rFonts w:ascii="Arial" w:hAnsi="Arial" w:cs="Arial"/>
          <w:szCs w:val="24"/>
        </w:rPr>
      </w:pPr>
      <w:r>
        <w:rPr>
          <w:rFonts w:ascii="Arial" w:hAnsi="Arial" w:cs="Arial"/>
          <w:iCs/>
          <w:sz w:val="24"/>
          <w:szCs w:val="24"/>
        </w:rPr>
        <w:tab/>
        <w:t xml:space="preserve">(c) </w:t>
      </w:r>
      <w:r w:rsidR="001A3BC7" w:rsidRPr="00BF46CD">
        <w:rPr>
          <w:rFonts w:ascii="Arial" w:hAnsi="Arial" w:cs="Arial"/>
          <w:iCs/>
          <w:sz w:val="24"/>
          <w:szCs w:val="24"/>
        </w:rPr>
        <w:t xml:space="preserve">the agent must have had an opportunity to communicate the information to the </w:t>
      </w:r>
      <w:r>
        <w:rPr>
          <w:rFonts w:ascii="Arial" w:hAnsi="Arial" w:cs="Arial"/>
          <w:iCs/>
          <w:sz w:val="24"/>
          <w:szCs w:val="24"/>
        </w:rPr>
        <w:tab/>
      </w:r>
      <w:r w:rsidR="001A3BC7" w:rsidRPr="00BF46CD">
        <w:rPr>
          <w:rFonts w:ascii="Arial" w:hAnsi="Arial" w:cs="Arial"/>
          <w:iCs/>
          <w:sz w:val="24"/>
          <w:szCs w:val="24"/>
        </w:rPr>
        <w:t>principal</w:t>
      </w:r>
      <w:r w:rsidR="00BF46CD" w:rsidRPr="00BF46CD">
        <w:rPr>
          <w:rFonts w:ascii="Arial" w:hAnsi="Arial" w:cs="Arial"/>
          <w:iCs/>
          <w:sz w:val="24"/>
          <w:szCs w:val="24"/>
        </w:rPr>
        <w:t xml:space="preserve">, and </w:t>
      </w:r>
    </w:p>
    <w:p w:rsidR="001A3BC7" w:rsidRPr="00BF46CD" w:rsidRDefault="00A81BBA" w:rsidP="003C75E8">
      <w:pPr>
        <w:pStyle w:val="ListParagraph"/>
        <w:spacing w:after="0" w:line="360" w:lineRule="auto"/>
        <w:ind w:left="0"/>
        <w:jc w:val="both"/>
        <w:rPr>
          <w:rFonts w:ascii="Arial" w:hAnsi="Arial" w:cs="Arial"/>
          <w:sz w:val="24"/>
          <w:szCs w:val="24"/>
        </w:rPr>
      </w:pPr>
      <w:r>
        <w:rPr>
          <w:rFonts w:ascii="Arial" w:hAnsi="Arial" w:cs="Arial"/>
          <w:iCs/>
          <w:sz w:val="24"/>
          <w:szCs w:val="24"/>
        </w:rPr>
        <w:tab/>
        <w:t xml:space="preserve">(d) </w:t>
      </w:r>
      <w:r w:rsidR="001A3BC7" w:rsidRPr="00077370">
        <w:rPr>
          <w:rFonts w:ascii="Arial" w:hAnsi="Arial" w:cs="Arial"/>
          <w:iCs/>
          <w:sz w:val="24"/>
          <w:szCs w:val="24"/>
        </w:rPr>
        <w:t xml:space="preserve">the agent’s knowledge must be knowledge of a matter falling within the scope </w:t>
      </w:r>
      <w:r>
        <w:rPr>
          <w:rFonts w:ascii="Arial" w:hAnsi="Arial" w:cs="Arial"/>
          <w:iCs/>
          <w:sz w:val="24"/>
          <w:szCs w:val="24"/>
        </w:rPr>
        <w:tab/>
      </w:r>
      <w:r w:rsidR="001A3BC7" w:rsidRPr="00077370">
        <w:rPr>
          <w:rFonts w:ascii="Arial" w:hAnsi="Arial" w:cs="Arial"/>
          <w:iCs/>
          <w:sz w:val="24"/>
          <w:szCs w:val="24"/>
        </w:rPr>
        <w:t>of h</w:t>
      </w:r>
      <w:r w:rsidR="001A3BC7">
        <w:rPr>
          <w:rFonts w:ascii="Arial" w:hAnsi="Arial" w:cs="Arial"/>
          <w:iCs/>
          <w:sz w:val="24"/>
          <w:szCs w:val="24"/>
        </w:rPr>
        <w:t>is authority.</w:t>
      </w:r>
    </w:p>
    <w:p w:rsidR="00BF46CD" w:rsidRPr="00077370" w:rsidRDefault="00BF46CD" w:rsidP="003C75E8">
      <w:pPr>
        <w:pStyle w:val="ListParagraph"/>
        <w:spacing w:after="0" w:line="360" w:lineRule="auto"/>
        <w:ind w:left="0"/>
        <w:jc w:val="both"/>
        <w:rPr>
          <w:rFonts w:ascii="Arial" w:hAnsi="Arial" w:cs="Arial"/>
          <w:sz w:val="24"/>
          <w:szCs w:val="24"/>
        </w:rPr>
      </w:pPr>
    </w:p>
    <w:p w:rsidR="00250884" w:rsidRDefault="00BF46CD" w:rsidP="003C75E8">
      <w:pPr>
        <w:spacing w:after="0" w:line="360" w:lineRule="auto"/>
        <w:jc w:val="both"/>
        <w:rPr>
          <w:rFonts w:ascii="Arial" w:hAnsi="Arial" w:cs="Arial"/>
          <w:sz w:val="24"/>
          <w:szCs w:val="24"/>
        </w:rPr>
      </w:pPr>
      <w:r w:rsidRPr="00AA3BA9">
        <w:rPr>
          <w:rFonts w:ascii="Arial" w:hAnsi="Arial" w:cs="Arial"/>
          <w:sz w:val="24"/>
          <w:szCs w:val="24"/>
        </w:rPr>
        <w:t>[2</w:t>
      </w:r>
      <w:r w:rsidR="00A81BBA">
        <w:rPr>
          <w:rFonts w:ascii="Arial" w:hAnsi="Arial" w:cs="Arial"/>
          <w:sz w:val="24"/>
          <w:szCs w:val="24"/>
        </w:rPr>
        <w:t>9</w:t>
      </w:r>
      <w:r w:rsidRPr="00AA3BA9">
        <w:rPr>
          <w:rFonts w:ascii="Arial" w:hAnsi="Arial" w:cs="Arial"/>
          <w:sz w:val="24"/>
          <w:szCs w:val="24"/>
        </w:rPr>
        <w:t>]</w:t>
      </w:r>
      <w:r w:rsidRPr="00AA3BA9">
        <w:rPr>
          <w:rFonts w:ascii="Arial" w:hAnsi="Arial" w:cs="Arial"/>
          <w:sz w:val="24"/>
          <w:szCs w:val="24"/>
        </w:rPr>
        <w:tab/>
        <w:t xml:space="preserve">Mr Appolus </w:t>
      </w:r>
      <w:r w:rsidR="00494A26">
        <w:rPr>
          <w:rFonts w:ascii="Arial" w:hAnsi="Arial" w:cs="Arial"/>
          <w:sz w:val="24"/>
          <w:szCs w:val="24"/>
        </w:rPr>
        <w:t xml:space="preserve">further </w:t>
      </w:r>
      <w:r w:rsidRPr="00AA3BA9">
        <w:rPr>
          <w:rFonts w:ascii="Arial" w:hAnsi="Arial" w:cs="Arial"/>
          <w:sz w:val="24"/>
          <w:szCs w:val="24"/>
        </w:rPr>
        <w:t xml:space="preserve">argued that </w:t>
      </w:r>
      <w:r w:rsidR="00AA3BA9" w:rsidRPr="00AA3BA9">
        <w:rPr>
          <w:rFonts w:ascii="Arial" w:hAnsi="Arial" w:cs="Arial"/>
          <w:sz w:val="24"/>
          <w:szCs w:val="24"/>
        </w:rPr>
        <w:t xml:space="preserve">Mr Gaugorob </w:t>
      </w:r>
      <w:r w:rsidR="00AA3BA9">
        <w:rPr>
          <w:rFonts w:ascii="Arial" w:hAnsi="Arial" w:cs="Arial"/>
          <w:sz w:val="24"/>
          <w:szCs w:val="24"/>
        </w:rPr>
        <w:t xml:space="preserve">testified </w:t>
      </w:r>
      <w:r w:rsidR="00AA3BA9" w:rsidRPr="00AA3BA9">
        <w:rPr>
          <w:rFonts w:ascii="Arial" w:hAnsi="Arial" w:cs="Arial"/>
          <w:sz w:val="24"/>
          <w:szCs w:val="24"/>
        </w:rPr>
        <w:t>that the General Exceptions, Condition</w:t>
      </w:r>
      <w:r w:rsidR="00494A26">
        <w:rPr>
          <w:rFonts w:ascii="Arial" w:hAnsi="Arial" w:cs="Arial"/>
          <w:sz w:val="24"/>
          <w:szCs w:val="24"/>
        </w:rPr>
        <w:t>s and Provisions, which contain</w:t>
      </w:r>
      <w:r w:rsidR="00AA3BA9" w:rsidRPr="00AA3BA9">
        <w:rPr>
          <w:rFonts w:ascii="Arial" w:hAnsi="Arial" w:cs="Arial"/>
          <w:sz w:val="24"/>
          <w:szCs w:val="24"/>
        </w:rPr>
        <w:t xml:space="preserve"> the time-bar clause</w:t>
      </w:r>
      <w:r w:rsidR="00A81BBA">
        <w:rPr>
          <w:rFonts w:ascii="Arial" w:hAnsi="Arial" w:cs="Arial"/>
          <w:sz w:val="24"/>
          <w:szCs w:val="24"/>
        </w:rPr>
        <w:t>,</w:t>
      </w:r>
      <w:r w:rsidR="00AA3BA9" w:rsidRPr="00AA3BA9">
        <w:rPr>
          <w:rFonts w:ascii="Arial" w:hAnsi="Arial" w:cs="Arial"/>
          <w:sz w:val="24"/>
          <w:szCs w:val="24"/>
        </w:rPr>
        <w:t xml:space="preserve"> were not sent to him by the </w:t>
      </w:r>
      <w:r w:rsidR="00AA3BA9">
        <w:rPr>
          <w:rFonts w:ascii="Arial" w:hAnsi="Arial" w:cs="Arial"/>
          <w:sz w:val="24"/>
          <w:szCs w:val="24"/>
        </w:rPr>
        <w:t>d</w:t>
      </w:r>
      <w:r w:rsidR="00AA3BA9" w:rsidRPr="00AA3BA9">
        <w:rPr>
          <w:rFonts w:ascii="Arial" w:hAnsi="Arial" w:cs="Arial"/>
          <w:sz w:val="24"/>
          <w:szCs w:val="24"/>
        </w:rPr>
        <w:t>efendant together with the Trade Schedule on the 26</w:t>
      </w:r>
      <w:r w:rsidR="00AA3BA9" w:rsidRPr="00AA3BA9">
        <w:rPr>
          <w:rFonts w:ascii="Arial" w:hAnsi="Arial" w:cs="Arial"/>
          <w:sz w:val="24"/>
          <w:szCs w:val="24"/>
          <w:vertAlign w:val="superscript"/>
        </w:rPr>
        <w:t>th</w:t>
      </w:r>
      <w:r w:rsidR="00AA3BA9" w:rsidRPr="00AA3BA9">
        <w:rPr>
          <w:rFonts w:ascii="Arial" w:hAnsi="Arial" w:cs="Arial"/>
          <w:sz w:val="24"/>
          <w:szCs w:val="24"/>
        </w:rPr>
        <w:t xml:space="preserve"> </w:t>
      </w:r>
      <w:r w:rsidR="00A81BBA">
        <w:rPr>
          <w:rFonts w:ascii="Arial" w:hAnsi="Arial" w:cs="Arial"/>
          <w:sz w:val="24"/>
          <w:szCs w:val="24"/>
        </w:rPr>
        <w:t xml:space="preserve">of </w:t>
      </w:r>
      <w:r w:rsidR="00AA3BA9" w:rsidRPr="00AA3BA9">
        <w:rPr>
          <w:rFonts w:ascii="Arial" w:hAnsi="Arial" w:cs="Arial"/>
          <w:sz w:val="24"/>
          <w:szCs w:val="24"/>
        </w:rPr>
        <w:t>Ma</w:t>
      </w:r>
      <w:r w:rsidR="00AA3BA9">
        <w:rPr>
          <w:rFonts w:ascii="Arial" w:hAnsi="Arial" w:cs="Arial"/>
          <w:sz w:val="24"/>
          <w:szCs w:val="24"/>
        </w:rPr>
        <w:t>y 2016</w:t>
      </w:r>
      <w:r w:rsidR="00A81BBA">
        <w:rPr>
          <w:rFonts w:ascii="Arial" w:hAnsi="Arial" w:cs="Arial"/>
          <w:sz w:val="24"/>
          <w:szCs w:val="24"/>
        </w:rPr>
        <w:t>. He</w:t>
      </w:r>
      <w:r w:rsidR="00250884">
        <w:rPr>
          <w:rFonts w:ascii="Arial" w:hAnsi="Arial" w:cs="Arial"/>
          <w:sz w:val="24"/>
          <w:szCs w:val="24"/>
        </w:rPr>
        <w:t xml:space="preserve"> proceeded to argue that </w:t>
      </w:r>
      <w:r w:rsidR="00AA3BA9">
        <w:rPr>
          <w:rFonts w:ascii="Arial" w:hAnsi="Arial" w:cs="Arial"/>
          <w:sz w:val="24"/>
          <w:szCs w:val="24"/>
        </w:rPr>
        <w:t>Mr Gaugorob’s testimony on this point was corroborated by the emails which were attached as</w:t>
      </w:r>
      <w:r w:rsidR="00AA3BA9" w:rsidRPr="00AA3BA9">
        <w:rPr>
          <w:rFonts w:ascii="Arial" w:hAnsi="Arial" w:cs="Arial"/>
          <w:sz w:val="24"/>
          <w:szCs w:val="24"/>
        </w:rPr>
        <w:t xml:space="preserve"> </w:t>
      </w:r>
      <w:r w:rsidR="00AA3BA9" w:rsidRPr="00A81BBA">
        <w:rPr>
          <w:rFonts w:ascii="Arial" w:hAnsi="Arial" w:cs="Arial"/>
          <w:sz w:val="24"/>
          <w:szCs w:val="24"/>
        </w:rPr>
        <w:t xml:space="preserve">Annexures </w:t>
      </w:r>
      <w:r w:rsidR="00AA3BA9" w:rsidRPr="00A81BBA">
        <w:rPr>
          <w:rFonts w:ascii="Arial" w:hAnsi="Arial" w:cs="Arial"/>
          <w:b/>
          <w:sz w:val="24"/>
          <w:szCs w:val="24"/>
        </w:rPr>
        <w:t>“</w:t>
      </w:r>
      <w:r w:rsidR="00AA3BA9" w:rsidRPr="00A81BBA">
        <w:rPr>
          <w:rFonts w:ascii="Arial" w:hAnsi="Arial" w:cs="Arial"/>
          <w:sz w:val="24"/>
          <w:szCs w:val="24"/>
        </w:rPr>
        <w:t>A</w:t>
      </w:r>
      <w:r w:rsidR="00AA3BA9" w:rsidRPr="00A81BBA">
        <w:rPr>
          <w:rFonts w:ascii="Arial" w:hAnsi="Arial" w:cs="Arial"/>
          <w:b/>
          <w:sz w:val="24"/>
          <w:szCs w:val="24"/>
        </w:rPr>
        <w:t>”</w:t>
      </w:r>
      <w:r w:rsidR="00AA3BA9" w:rsidRPr="00A81BBA">
        <w:rPr>
          <w:rFonts w:ascii="Arial" w:hAnsi="Arial" w:cs="Arial"/>
          <w:sz w:val="24"/>
          <w:szCs w:val="24"/>
        </w:rPr>
        <w:t xml:space="preserve"> and </w:t>
      </w:r>
      <w:r w:rsidR="00AA3BA9" w:rsidRPr="00A81BBA">
        <w:rPr>
          <w:rFonts w:ascii="Arial" w:hAnsi="Arial" w:cs="Arial"/>
          <w:b/>
          <w:sz w:val="24"/>
          <w:szCs w:val="24"/>
        </w:rPr>
        <w:t>“</w:t>
      </w:r>
      <w:r w:rsidR="00AA3BA9" w:rsidRPr="00A81BBA">
        <w:rPr>
          <w:rFonts w:ascii="Arial" w:hAnsi="Arial" w:cs="Arial"/>
          <w:sz w:val="24"/>
          <w:szCs w:val="24"/>
        </w:rPr>
        <w:t>B</w:t>
      </w:r>
      <w:r w:rsidR="00AA3BA9" w:rsidRPr="00A81BBA">
        <w:rPr>
          <w:rFonts w:ascii="Arial" w:hAnsi="Arial" w:cs="Arial"/>
          <w:b/>
          <w:sz w:val="24"/>
          <w:szCs w:val="24"/>
        </w:rPr>
        <w:t>”</w:t>
      </w:r>
      <w:r w:rsidR="00AA3BA9" w:rsidRPr="00A81BBA">
        <w:rPr>
          <w:rFonts w:ascii="Arial" w:hAnsi="Arial" w:cs="Arial"/>
          <w:sz w:val="24"/>
          <w:szCs w:val="24"/>
        </w:rPr>
        <w:t>,</w:t>
      </w:r>
      <w:r w:rsidR="00AA3BA9">
        <w:rPr>
          <w:rFonts w:ascii="Arial" w:hAnsi="Arial" w:cs="Arial"/>
          <w:sz w:val="24"/>
          <w:szCs w:val="24"/>
        </w:rPr>
        <w:t xml:space="preserve"> to his witness statement and admitted into evidence as exhibits which annexures clearly shows that only the Trade Schedule was emailed to him by Ms Tuakondja Mberirua of the Defendant on the 26</w:t>
      </w:r>
      <w:r w:rsidR="00AA3BA9" w:rsidRPr="0005119B">
        <w:rPr>
          <w:rFonts w:ascii="Arial" w:hAnsi="Arial" w:cs="Arial"/>
          <w:sz w:val="24"/>
          <w:szCs w:val="24"/>
          <w:vertAlign w:val="superscript"/>
        </w:rPr>
        <w:t>th</w:t>
      </w:r>
      <w:r w:rsidR="00AA3BA9">
        <w:rPr>
          <w:rFonts w:ascii="Arial" w:hAnsi="Arial" w:cs="Arial"/>
          <w:sz w:val="24"/>
          <w:szCs w:val="24"/>
        </w:rPr>
        <w:t xml:space="preserve"> </w:t>
      </w:r>
      <w:r w:rsidR="00A81BBA">
        <w:rPr>
          <w:rFonts w:ascii="Arial" w:hAnsi="Arial" w:cs="Arial"/>
          <w:sz w:val="24"/>
          <w:szCs w:val="24"/>
        </w:rPr>
        <w:t xml:space="preserve">of </w:t>
      </w:r>
      <w:r w:rsidR="00AA3BA9">
        <w:rPr>
          <w:rFonts w:ascii="Arial" w:hAnsi="Arial" w:cs="Arial"/>
          <w:sz w:val="24"/>
          <w:szCs w:val="24"/>
        </w:rPr>
        <w:t>May 2016 at 1:14pm</w:t>
      </w:r>
      <w:r w:rsidR="00250884">
        <w:rPr>
          <w:rFonts w:ascii="Arial" w:hAnsi="Arial" w:cs="Arial"/>
          <w:sz w:val="24"/>
          <w:szCs w:val="24"/>
        </w:rPr>
        <w:t>.</w:t>
      </w:r>
    </w:p>
    <w:p w:rsidR="00250884" w:rsidRDefault="00250884" w:rsidP="003C75E8">
      <w:pPr>
        <w:spacing w:after="0" w:line="360" w:lineRule="auto"/>
        <w:jc w:val="both"/>
        <w:rPr>
          <w:rFonts w:ascii="Arial" w:hAnsi="Arial" w:cs="Arial"/>
          <w:sz w:val="24"/>
          <w:szCs w:val="24"/>
        </w:rPr>
      </w:pPr>
    </w:p>
    <w:p w:rsidR="00250884" w:rsidRDefault="00250884" w:rsidP="003C75E8">
      <w:pPr>
        <w:spacing w:after="0" w:line="360" w:lineRule="auto"/>
        <w:jc w:val="both"/>
        <w:rPr>
          <w:rFonts w:ascii="Arial" w:hAnsi="Arial" w:cs="Arial"/>
          <w:sz w:val="24"/>
          <w:szCs w:val="24"/>
        </w:rPr>
      </w:pPr>
      <w:r>
        <w:rPr>
          <w:rFonts w:ascii="Arial" w:hAnsi="Arial" w:cs="Arial"/>
          <w:sz w:val="24"/>
          <w:szCs w:val="24"/>
        </w:rPr>
        <w:t>[</w:t>
      </w:r>
      <w:r w:rsidR="00A81BBA">
        <w:rPr>
          <w:rFonts w:ascii="Arial" w:hAnsi="Arial" w:cs="Arial"/>
          <w:sz w:val="24"/>
          <w:szCs w:val="24"/>
        </w:rPr>
        <w:t>30</w:t>
      </w:r>
      <w:r>
        <w:rPr>
          <w:rFonts w:ascii="Arial" w:hAnsi="Arial" w:cs="Arial"/>
          <w:sz w:val="24"/>
          <w:szCs w:val="24"/>
        </w:rPr>
        <w:t>]</w:t>
      </w:r>
      <w:r>
        <w:rPr>
          <w:rFonts w:ascii="Arial" w:hAnsi="Arial" w:cs="Arial"/>
          <w:sz w:val="24"/>
          <w:szCs w:val="24"/>
        </w:rPr>
        <w:tab/>
        <w:t>Mr Appolus further</w:t>
      </w:r>
      <w:r w:rsidR="00494A26">
        <w:rPr>
          <w:rFonts w:ascii="Arial" w:hAnsi="Arial" w:cs="Arial"/>
          <w:sz w:val="24"/>
          <w:szCs w:val="24"/>
        </w:rPr>
        <w:t>more</w:t>
      </w:r>
      <w:r>
        <w:rPr>
          <w:rFonts w:ascii="Arial" w:hAnsi="Arial" w:cs="Arial"/>
          <w:sz w:val="24"/>
          <w:szCs w:val="24"/>
        </w:rPr>
        <w:t xml:space="preserve"> argued that it was Mr Gaugorob’s testimony that </w:t>
      </w:r>
      <w:r w:rsidR="00AA3BA9">
        <w:rPr>
          <w:rFonts w:ascii="Arial" w:hAnsi="Arial" w:cs="Arial"/>
          <w:sz w:val="24"/>
          <w:szCs w:val="24"/>
        </w:rPr>
        <w:t>he was aware of the time-bar clause, which in essence suggests that he had indeed acquired knowledge regarding the said time-bar clause, however</w:t>
      </w:r>
      <w:r>
        <w:rPr>
          <w:rFonts w:ascii="Arial" w:hAnsi="Arial" w:cs="Arial"/>
          <w:sz w:val="24"/>
          <w:szCs w:val="24"/>
        </w:rPr>
        <w:t>, t</w:t>
      </w:r>
      <w:r w:rsidR="00AA3BA9">
        <w:rPr>
          <w:rFonts w:ascii="Arial" w:hAnsi="Arial" w:cs="Arial"/>
          <w:sz w:val="24"/>
          <w:szCs w:val="24"/>
        </w:rPr>
        <w:t xml:space="preserve">he only logical inference which the Court </w:t>
      </w:r>
      <w:r>
        <w:rPr>
          <w:rFonts w:ascii="Arial" w:hAnsi="Arial" w:cs="Arial"/>
          <w:sz w:val="24"/>
          <w:szCs w:val="24"/>
        </w:rPr>
        <w:t xml:space="preserve">must </w:t>
      </w:r>
      <w:r w:rsidR="00AA3BA9">
        <w:rPr>
          <w:rFonts w:ascii="Arial" w:hAnsi="Arial" w:cs="Arial"/>
          <w:sz w:val="24"/>
          <w:szCs w:val="24"/>
        </w:rPr>
        <w:t xml:space="preserve">and ought to draw from </w:t>
      </w:r>
      <w:r w:rsidR="00A81BBA">
        <w:rPr>
          <w:rFonts w:ascii="Arial" w:hAnsi="Arial" w:cs="Arial"/>
          <w:sz w:val="24"/>
          <w:szCs w:val="24"/>
        </w:rPr>
        <w:t xml:space="preserve">Mr </w:t>
      </w:r>
      <w:r>
        <w:rPr>
          <w:rFonts w:ascii="Arial" w:hAnsi="Arial" w:cs="Arial"/>
          <w:sz w:val="24"/>
          <w:szCs w:val="24"/>
        </w:rPr>
        <w:t xml:space="preserve">Gaugorob’s </w:t>
      </w:r>
      <w:r w:rsidR="00AA3BA9">
        <w:rPr>
          <w:rFonts w:ascii="Arial" w:hAnsi="Arial" w:cs="Arial"/>
          <w:sz w:val="24"/>
          <w:szCs w:val="24"/>
        </w:rPr>
        <w:t xml:space="preserve">testimony to the effect that he was aware of the time-bar clause, is that he </w:t>
      </w:r>
      <w:r>
        <w:rPr>
          <w:rFonts w:ascii="Arial" w:hAnsi="Arial" w:cs="Arial"/>
          <w:sz w:val="24"/>
          <w:szCs w:val="24"/>
        </w:rPr>
        <w:t>must</w:t>
      </w:r>
      <w:r w:rsidR="00AA3BA9">
        <w:rPr>
          <w:rFonts w:ascii="Arial" w:hAnsi="Arial" w:cs="Arial"/>
          <w:sz w:val="24"/>
          <w:szCs w:val="24"/>
        </w:rPr>
        <w:t xml:space="preserve"> have acquired </w:t>
      </w:r>
      <w:r>
        <w:rPr>
          <w:rFonts w:ascii="Arial" w:hAnsi="Arial" w:cs="Arial"/>
          <w:sz w:val="24"/>
          <w:szCs w:val="24"/>
        </w:rPr>
        <w:t>the</w:t>
      </w:r>
      <w:r w:rsidR="00AA3BA9">
        <w:rPr>
          <w:rFonts w:ascii="Arial" w:hAnsi="Arial" w:cs="Arial"/>
          <w:sz w:val="24"/>
          <w:szCs w:val="24"/>
        </w:rPr>
        <w:t xml:space="preserve"> knowledge regarding the time-bar clause by virtue of his previous dealings</w:t>
      </w:r>
      <w:r w:rsidR="00494A26" w:rsidRPr="00494A26">
        <w:rPr>
          <w:rFonts w:ascii="Arial" w:hAnsi="Arial" w:cs="Arial"/>
          <w:sz w:val="24"/>
          <w:szCs w:val="24"/>
        </w:rPr>
        <w:t xml:space="preserve"> </w:t>
      </w:r>
      <w:r w:rsidR="00494A26">
        <w:rPr>
          <w:rFonts w:ascii="Arial" w:hAnsi="Arial" w:cs="Arial"/>
          <w:sz w:val="24"/>
          <w:szCs w:val="24"/>
        </w:rPr>
        <w:t>or engagements</w:t>
      </w:r>
      <w:r w:rsidR="00AA3BA9">
        <w:rPr>
          <w:rFonts w:ascii="Arial" w:hAnsi="Arial" w:cs="Arial"/>
          <w:sz w:val="24"/>
          <w:szCs w:val="24"/>
        </w:rPr>
        <w:t xml:space="preserve"> with the </w:t>
      </w:r>
      <w:r>
        <w:rPr>
          <w:rFonts w:ascii="Arial" w:hAnsi="Arial" w:cs="Arial"/>
          <w:sz w:val="24"/>
          <w:szCs w:val="24"/>
        </w:rPr>
        <w:t xml:space="preserve">defendant </w:t>
      </w:r>
      <w:r w:rsidR="00494A26">
        <w:rPr>
          <w:rFonts w:ascii="Arial" w:hAnsi="Arial" w:cs="Arial"/>
          <w:sz w:val="24"/>
          <w:szCs w:val="24"/>
        </w:rPr>
        <w:t xml:space="preserve">or </w:t>
      </w:r>
      <w:r>
        <w:rPr>
          <w:rFonts w:ascii="Arial" w:hAnsi="Arial" w:cs="Arial"/>
          <w:sz w:val="24"/>
          <w:szCs w:val="24"/>
        </w:rPr>
        <w:t xml:space="preserve">both </w:t>
      </w:r>
      <w:r w:rsidR="00494A26">
        <w:rPr>
          <w:rFonts w:ascii="Arial" w:hAnsi="Arial" w:cs="Arial"/>
          <w:sz w:val="24"/>
          <w:szCs w:val="24"/>
        </w:rPr>
        <w:t xml:space="preserve">previous </w:t>
      </w:r>
      <w:r>
        <w:rPr>
          <w:rFonts w:ascii="Arial" w:hAnsi="Arial" w:cs="Arial"/>
          <w:sz w:val="24"/>
          <w:szCs w:val="24"/>
        </w:rPr>
        <w:t xml:space="preserve">dealings and engagements with </w:t>
      </w:r>
      <w:r w:rsidR="00AA3BA9">
        <w:rPr>
          <w:rFonts w:ascii="Arial" w:hAnsi="Arial" w:cs="Arial"/>
          <w:sz w:val="24"/>
          <w:szCs w:val="24"/>
        </w:rPr>
        <w:t xml:space="preserve">other clients who may have also taken-out insurance policies with </w:t>
      </w:r>
      <w:r>
        <w:rPr>
          <w:rFonts w:ascii="Arial" w:hAnsi="Arial" w:cs="Arial"/>
          <w:sz w:val="24"/>
          <w:szCs w:val="24"/>
        </w:rPr>
        <w:t>d</w:t>
      </w:r>
      <w:r w:rsidR="00AA3BA9">
        <w:rPr>
          <w:rFonts w:ascii="Arial" w:hAnsi="Arial" w:cs="Arial"/>
          <w:sz w:val="24"/>
          <w:szCs w:val="24"/>
        </w:rPr>
        <w:t>efendant, whom he had also brokered for in the past</w:t>
      </w:r>
      <w:r>
        <w:rPr>
          <w:rFonts w:ascii="Arial" w:hAnsi="Arial" w:cs="Arial"/>
          <w:sz w:val="24"/>
          <w:szCs w:val="24"/>
        </w:rPr>
        <w:t>.</w:t>
      </w:r>
    </w:p>
    <w:p w:rsidR="00250884" w:rsidRDefault="00250884" w:rsidP="003C75E8">
      <w:pPr>
        <w:spacing w:after="0" w:line="360" w:lineRule="auto"/>
        <w:jc w:val="both"/>
        <w:rPr>
          <w:rFonts w:ascii="Arial" w:hAnsi="Arial" w:cs="Arial"/>
          <w:sz w:val="24"/>
          <w:szCs w:val="24"/>
        </w:rPr>
      </w:pPr>
    </w:p>
    <w:p w:rsidR="00F73385" w:rsidRDefault="00A81BBA" w:rsidP="003C75E8">
      <w:pPr>
        <w:spacing w:after="0" w:line="360" w:lineRule="auto"/>
        <w:jc w:val="both"/>
        <w:rPr>
          <w:rFonts w:ascii="Arial" w:hAnsi="Arial" w:cs="Arial"/>
          <w:sz w:val="24"/>
          <w:szCs w:val="24"/>
          <w:lang w:val="en-US"/>
        </w:rPr>
      </w:pPr>
      <w:r>
        <w:rPr>
          <w:rFonts w:ascii="Arial" w:hAnsi="Arial" w:cs="Arial"/>
          <w:sz w:val="24"/>
          <w:szCs w:val="24"/>
        </w:rPr>
        <w:t>[31</w:t>
      </w:r>
      <w:r w:rsidR="00250884" w:rsidRPr="00250884">
        <w:rPr>
          <w:rFonts w:ascii="Arial" w:hAnsi="Arial" w:cs="Arial"/>
          <w:sz w:val="24"/>
          <w:szCs w:val="24"/>
        </w:rPr>
        <w:t>]</w:t>
      </w:r>
      <w:r w:rsidR="00250884" w:rsidRPr="00250884">
        <w:rPr>
          <w:rFonts w:ascii="Arial" w:hAnsi="Arial" w:cs="Arial"/>
          <w:sz w:val="24"/>
          <w:szCs w:val="24"/>
        </w:rPr>
        <w:tab/>
      </w:r>
      <w:r w:rsidR="00AA3BA9" w:rsidRPr="00250884">
        <w:rPr>
          <w:rFonts w:ascii="Arial" w:hAnsi="Arial" w:cs="Arial"/>
          <w:sz w:val="24"/>
          <w:szCs w:val="24"/>
        </w:rPr>
        <w:t>It is therefore</w:t>
      </w:r>
      <w:r>
        <w:rPr>
          <w:rFonts w:ascii="Arial" w:hAnsi="Arial" w:cs="Arial"/>
          <w:sz w:val="24"/>
          <w:szCs w:val="24"/>
        </w:rPr>
        <w:t xml:space="preserve"> so</w:t>
      </w:r>
      <w:r w:rsidR="00250884" w:rsidRPr="00250884">
        <w:rPr>
          <w:rFonts w:ascii="Arial" w:hAnsi="Arial" w:cs="Arial"/>
          <w:sz w:val="24"/>
          <w:szCs w:val="24"/>
        </w:rPr>
        <w:t xml:space="preserve">, argued Mr Appolus, </w:t>
      </w:r>
      <w:r w:rsidR="00250884">
        <w:rPr>
          <w:rFonts w:ascii="Arial" w:hAnsi="Arial" w:cs="Arial"/>
          <w:sz w:val="24"/>
          <w:szCs w:val="24"/>
        </w:rPr>
        <w:t xml:space="preserve">that </w:t>
      </w:r>
      <w:r w:rsidR="00AA3BA9" w:rsidRPr="00250884">
        <w:rPr>
          <w:rFonts w:ascii="Arial" w:hAnsi="Arial" w:cs="Arial"/>
          <w:sz w:val="24"/>
          <w:szCs w:val="24"/>
        </w:rPr>
        <w:t xml:space="preserve">the knowledge acquired by Mr Gaugorob clearly falls outside the scope </w:t>
      </w:r>
      <w:r w:rsidR="00AA3BA9" w:rsidRPr="00250884">
        <w:rPr>
          <w:rFonts w:ascii="Arial" w:hAnsi="Arial" w:cs="Arial"/>
          <w:iCs/>
          <w:sz w:val="24"/>
          <w:szCs w:val="24"/>
        </w:rPr>
        <w:t>of his authority</w:t>
      </w:r>
      <w:r w:rsidR="00AA3BA9" w:rsidRPr="00250884">
        <w:rPr>
          <w:rFonts w:ascii="Arial" w:hAnsi="Arial" w:cs="Arial"/>
          <w:sz w:val="24"/>
          <w:szCs w:val="24"/>
        </w:rPr>
        <w:t xml:space="preserve"> as an agent of the </w:t>
      </w:r>
      <w:r w:rsidR="00250884">
        <w:rPr>
          <w:rFonts w:ascii="Arial" w:hAnsi="Arial" w:cs="Arial"/>
          <w:sz w:val="24"/>
          <w:szCs w:val="24"/>
        </w:rPr>
        <w:t>p</w:t>
      </w:r>
      <w:r w:rsidR="00AA3BA9" w:rsidRPr="00250884">
        <w:rPr>
          <w:rFonts w:ascii="Arial" w:hAnsi="Arial" w:cs="Arial"/>
          <w:sz w:val="24"/>
          <w:szCs w:val="24"/>
        </w:rPr>
        <w:t xml:space="preserve">laintiff, </w:t>
      </w:r>
      <w:r w:rsidR="00250884">
        <w:rPr>
          <w:rFonts w:ascii="Arial" w:hAnsi="Arial" w:cs="Arial"/>
          <w:sz w:val="24"/>
          <w:szCs w:val="24"/>
        </w:rPr>
        <w:t xml:space="preserve">and as such </w:t>
      </w:r>
      <w:r w:rsidR="001A3BC7" w:rsidRPr="000E1634">
        <w:rPr>
          <w:rFonts w:ascii="Arial" w:hAnsi="Arial" w:cs="Arial"/>
          <w:sz w:val="24"/>
          <w:szCs w:val="24"/>
        </w:rPr>
        <w:t xml:space="preserve">the fourth requirement </w:t>
      </w:r>
      <w:r w:rsidR="00BF46CD">
        <w:rPr>
          <w:rFonts w:ascii="Arial" w:hAnsi="Arial" w:cs="Arial"/>
          <w:sz w:val="24"/>
          <w:szCs w:val="24"/>
        </w:rPr>
        <w:t>was not, in the circumstances of this case</w:t>
      </w:r>
      <w:r w:rsidR="00494A26">
        <w:rPr>
          <w:rFonts w:ascii="Arial" w:hAnsi="Arial" w:cs="Arial"/>
          <w:sz w:val="24"/>
          <w:szCs w:val="24"/>
        </w:rPr>
        <w:t>,</w:t>
      </w:r>
      <w:r w:rsidR="00BF46CD">
        <w:rPr>
          <w:rFonts w:ascii="Arial" w:hAnsi="Arial" w:cs="Arial"/>
          <w:sz w:val="24"/>
          <w:szCs w:val="24"/>
        </w:rPr>
        <w:t xml:space="preserve"> </w:t>
      </w:r>
      <w:r w:rsidR="001A3BC7" w:rsidRPr="000E1634">
        <w:rPr>
          <w:rFonts w:ascii="Arial" w:hAnsi="Arial" w:cs="Arial"/>
          <w:sz w:val="24"/>
          <w:szCs w:val="24"/>
        </w:rPr>
        <w:t xml:space="preserve">satisfied </w:t>
      </w:r>
      <w:r w:rsidR="00BF46CD">
        <w:rPr>
          <w:rFonts w:ascii="Arial" w:hAnsi="Arial" w:cs="Arial"/>
          <w:sz w:val="24"/>
          <w:szCs w:val="24"/>
        </w:rPr>
        <w:t>and the knowledge that Mr Gaugorob had could therefore not be imputed to the plaintiff</w:t>
      </w:r>
      <w:r w:rsidR="00F73385">
        <w:rPr>
          <w:rFonts w:ascii="Arial" w:hAnsi="Arial" w:cs="Arial"/>
          <w:sz w:val="24"/>
          <w:szCs w:val="24"/>
        </w:rPr>
        <w:t>.</w:t>
      </w:r>
    </w:p>
    <w:p w:rsidR="00F73385" w:rsidRDefault="00F73385" w:rsidP="003C75E8">
      <w:pPr>
        <w:spacing w:after="0" w:line="360" w:lineRule="auto"/>
        <w:jc w:val="both"/>
        <w:rPr>
          <w:rFonts w:ascii="Arial" w:hAnsi="Arial" w:cs="Arial"/>
          <w:sz w:val="24"/>
          <w:szCs w:val="24"/>
          <w:lang w:val="en-US"/>
        </w:rPr>
      </w:pPr>
    </w:p>
    <w:p w:rsidR="005A542A" w:rsidRPr="00A81BBA" w:rsidRDefault="00A81BBA" w:rsidP="003C75E8">
      <w:pPr>
        <w:spacing w:after="0" w:line="360" w:lineRule="auto"/>
        <w:jc w:val="both"/>
        <w:rPr>
          <w:rFonts w:ascii="Arial" w:hAnsi="Arial" w:cs="Arial"/>
          <w:sz w:val="24"/>
          <w:szCs w:val="24"/>
          <w:u w:val="single"/>
          <w:lang w:val="en-US"/>
        </w:rPr>
      </w:pPr>
      <w:r>
        <w:rPr>
          <w:rFonts w:ascii="Arial" w:hAnsi="Arial" w:cs="Arial"/>
          <w:sz w:val="24"/>
          <w:szCs w:val="24"/>
          <w:u w:val="single"/>
          <w:lang w:val="en-US"/>
        </w:rPr>
        <w:t xml:space="preserve">Application of the </w:t>
      </w:r>
      <w:r w:rsidR="005A542A" w:rsidRPr="00A81BBA">
        <w:rPr>
          <w:rFonts w:ascii="Arial" w:hAnsi="Arial" w:cs="Arial"/>
          <w:sz w:val="24"/>
          <w:szCs w:val="24"/>
          <w:u w:val="single"/>
          <w:lang w:val="en-US"/>
        </w:rPr>
        <w:t>Legal Principles</w:t>
      </w:r>
    </w:p>
    <w:p w:rsidR="005A542A" w:rsidRPr="00031768" w:rsidRDefault="005A542A" w:rsidP="003C75E8">
      <w:pPr>
        <w:spacing w:after="0" w:line="360" w:lineRule="auto"/>
        <w:jc w:val="both"/>
        <w:rPr>
          <w:rFonts w:ascii="Arial" w:hAnsi="Arial" w:cs="Arial"/>
          <w:i/>
          <w:sz w:val="24"/>
          <w:szCs w:val="24"/>
          <w:lang w:val="en-US"/>
        </w:rPr>
      </w:pPr>
    </w:p>
    <w:p w:rsidR="00031768" w:rsidRDefault="00F230C5" w:rsidP="003C75E8">
      <w:pPr>
        <w:spacing w:after="0" w:line="360" w:lineRule="auto"/>
        <w:jc w:val="both"/>
        <w:rPr>
          <w:rFonts w:ascii="Arial" w:hAnsi="Arial" w:cs="Arial"/>
          <w:sz w:val="24"/>
          <w:szCs w:val="24"/>
        </w:rPr>
      </w:pPr>
      <w:r w:rsidRPr="00031768">
        <w:rPr>
          <w:rFonts w:ascii="Arial" w:hAnsi="Arial" w:cs="Arial"/>
          <w:sz w:val="24"/>
          <w:szCs w:val="24"/>
        </w:rPr>
        <w:t>[3</w:t>
      </w:r>
      <w:r w:rsidR="00A81BBA">
        <w:rPr>
          <w:rFonts w:ascii="Arial" w:hAnsi="Arial" w:cs="Arial"/>
          <w:sz w:val="24"/>
          <w:szCs w:val="24"/>
        </w:rPr>
        <w:t>2</w:t>
      </w:r>
      <w:r w:rsidRPr="00031768">
        <w:rPr>
          <w:rFonts w:ascii="Arial" w:hAnsi="Arial" w:cs="Arial"/>
          <w:sz w:val="24"/>
          <w:szCs w:val="24"/>
        </w:rPr>
        <w:t>]</w:t>
      </w:r>
      <w:r w:rsidRPr="00031768">
        <w:rPr>
          <w:rFonts w:ascii="Arial" w:hAnsi="Arial" w:cs="Arial"/>
          <w:sz w:val="24"/>
          <w:szCs w:val="24"/>
        </w:rPr>
        <w:tab/>
      </w:r>
      <w:r w:rsidR="00031768" w:rsidRPr="00031768">
        <w:rPr>
          <w:rFonts w:ascii="Arial" w:hAnsi="Arial" w:cs="Arial"/>
          <w:sz w:val="24"/>
          <w:szCs w:val="24"/>
        </w:rPr>
        <w:t xml:space="preserve">Like many other legal concepts, there is no definition to end all definitions of Agency. Nonetheless, there are several definitions of agency. For instance, the Blacks’ Law Dictionary defines Agency as </w:t>
      </w:r>
      <w:r w:rsidR="00031768" w:rsidRPr="00144CAB">
        <w:rPr>
          <w:rFonts w:ascii="Arial" w:hAnsi="Arial" w:cs="Arial"/>
          <w:i/>
          <w:sz w:val="24"/>
          <w:szCs w:val="24"/>
        </w:rPr>
        <w:t>‘</w:t>
      </w:r>
      <w:r w:rsidR="00031768" w:rsidRPr="00A81BBA">
        <w:rPr>
          <w:rFonts w:ascii="Arial" w:hAnsi="Arial" w:cs="Arial"/>
        </w:rPr>
        <w:t>a fiduciary relationship created by express or implied contract or by law, in which one party (the agent) may act on behalf of another party (the principal) and bind that other party by words or actions.</w:t>
      </w:r>
      <w:r w:rsidR="00031768" w:rsidRPr="00031768">
        <w:rPr>
          <w:rFonts w:ascii="Arial" w:hAnsi="Arial" w:cs="Arial"/>
          <w:sz w:val="24"/>
          <w:szCs w:val="24"/>
        </w:rPr>
        <w:t>’</w:t>
      </w:r>
      <w:r w:rsidR="00031768" w:rsidRPr="00031768">
        <w:rPr>
          <w:rStyle w:val="FootnoteReference"/>
          <w:rFonts w:ascii="Arial" w:hAnsi="Arial" w:cs="Arial"/>
          <w:sz w:val="24"/>
          <w:szCs w:val="24"/>
        </w:rPr>
        <w:footnoteReference w:id="4"/>
      </w:r>
      <w:r w:rsidR="00031768" w:rsidRPr="00031768">
        <w:rPr>
          <w:rFonts w:ascii="Arial" w:hAnsi="Arial" w:cs="Arial"/>
          <w:sz w:val="24"/>
          <w:szCs w:val="24"/>
        </w:rPr>
        <w:t xml:space="preserve"> By this definition, the agency relationship creates duties as between the parties, one of which is that the agent do something or say something on behalf of his principal and in so doing or saying, bind him. </w:t>
      </w:r>
    </w:p>
    <w:p w:rsidR="00031768" w:rsidRDefault="00031768" w:rsidP="003C75E8">
      <w:pPr>
        <w:spacing w:after="0" w:line="360" w:lineRule="auto"/>
        <w:jc w:val="both"/>
        <w:rPr>
          <w:rFonts w:ascii="Arial" w:hAnsi="Arial" w:cs="Arial"/>
          <w:sz w:val="24"/>
          <w:szCs w:val="24"/>
        </w:rPr>
      </w:pPr>
    </w:p>
    <w:p w:rsidR="00E0710F" w:rsidRDefault="00E0710F" w:rsidP="003C75E8">
      <w:pPr>
        <w:spacing w:after="0" w:line="360" w:lineRule="auto"/>
        <w:jc w:val="both"/>
        <w:rPr>
          <w:rFonts w:ascii="Arial" w:hAnsi="Arial" w:cs="Arial"/>
          <w:sz w:val="24"/>
          <w:szCs w:val="24"/>
          <w:lang w:val="en-US"/>
        </w:rPr>
      </w:pPr>
      <w:r>
        <w:rPr>
          <w:rFonts w:ascii="Arial" w:hAnsi="Arial" w:cs="Arial"/>
          <w:sz w:val="24"/>
          <w:szCs w:val="24"/>
          <w:lang w:val="en-US"/>
        </w:rPr>
        <w:t>[3</w:t>
      </w:r>
      <w:r w:rsidR="00A81BBA">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Pr="0052743D">
        <w:rPr>
          <w:rFonts w:ascii="Arial" w:hAnsi="Arial" w:cs="Arial"/>
          <w:sz w:val="24"/>
          <w:szCs w:val="24"/>
          <w:lang w:val="en-US"/>
        </w:rPr>
        <w:t>Kerr</w:t>
      </w:r>
      <w:r>
        <w:rPr>
          <w:rStyle w:val="FootnoteReference"/>
          <w:rFonts w:ascii="Arial" w:hAnsi="Arial" w:cs="Arial"/>
          <w:sz w:val="24"/>
          <w:szCs w:val="24"/>
          <w:lang w:val="en-US"/>
        </w:rPr>
        <w:footnoteReference w:id="5"/>
      </w:r>
      <w:r w:rsidRPr="0052743D">
        <w:rPr>
          <w:rFonts w:ascii="Arial" w:hAnsi="Arial" w:cs="Arial"/>
          <w:sz w:val="24"/>
          <w:szCs w:val="24"/>
          <w:lang w:val="en-US"/>
        </w:rPr>
        <w:t xml:space="preserve"> indicates that the purpose of appointing an agent is for the performance of a service for the principal. Thus an empowered agent is one who is entitled, on behalf of his principal, to enter into, vary, or terminate a specified contractual obligation, or specific contract as a whole. </w:t>
      </w:r>
    </w:p>
    <w:p w:rsidR="00E0710F" w:rsidRDefault="00E0710F" w:rsidP="003C75E8">
      <w:pPr>
        <w:spacing w:after="0" w:line="360" w:lineRule="auto"/>
        <w:jc w:val="both"/>
        <w:rPr>
          <w:rFonts w:ascii="Arial" w:hAnsi="Arial" w:cs="Arial"/>
          <w:sz w:val="24"/>
          <w:szCs w:val="24"/>
        </w:rPr>
      </w:pPr>
    </w:p>
    <w:p w:rsidR="005A542A" w:rsidRDefault="00031768" w:rsidP="003C75E8">
      <w:pPr>
        <w:spacing w:after="0" w:line="360" w:lineRule="auto"/>
        <w:jc w:val="both"/>
        <w:rPr>
          <w:rFonts w:ascii="Arial" w:hAnsi="Arial" w:cs="Arial"/>
          <w:sz w:val="24"/>
          <w:szCs w:val="24"/>
        </w:rPr>
      </w:pPr>
      <w:r>
        <w:rPr>
          <w:rFonts w:ascii="Arial" w:hAnsi="Arial" w:cs="Arial"/>
          <w:sz w:val="24"/>
          <w:szCs w:val="24"/>
        </w:rPr>
        <w:t>[3</w:t>
      </w:r>
      <w:r w:rsidR="00A81BBA">
        <w:rPr>
          <w:rFonts w:ascii="Arial" w:hAnsi="Arial" w:cs="Arial"/>
          <w:sz w:val="24"/>
          <w:szCs w:val="24"/>
        </w:rPr>
        <w:t>4</w:t>
      </w:r>
      <w:r>
        <w:rPr>
          <w:rFonts w:ascii="Arial" w:hAnsi="Arial" w:cs="Arial"/>
          <w:sz w:val="24"/>
          <w:szCs w:val="24"/>
        </w:rPr>
        <w:t>]</w:t>
      </w:r>
      <w:r>
        <w:rPr>
          <w:rFonts w:ascii="Arial" w:hAnsi="Arial" w:cs="Arial"/>
          <w:sz w:val="24"/>
          <w:szCs w:val="24"/>
        </w:rPr>
        <w:tab/>
      </w:r>
      <w:r w:rsidR="005A542A" w:rsidRPr="005A542A">
        <w:rPr>
          <w:rFonts w:ascii="Arial" w:hAnsi="Arial" w:cs="Arial"/>
          <w:sz w:val="24"/>
          <w:szCs w:val="24"/>
        </w:rPr>
        <w:t>Ivamy</w:t>
      </w:r>
      <w:r w:rsidR="005A542A" w:rsidRPr="005A542A">
        <w:rPr>
          <w:rStyle w:val="FootnoteReference"/>
          <w:rFonts w:ascii="Arial" w:hAnsi="Arial" w:cs="Arial"/>
          <w:sz w:val="24"/>
          <w:szCs w:val="24"/>
        </w:rPr>
        <w:footnoteReference w:id="6"/>
      </w:r>
      <w:r w:rsidR="005A542A" w:rsidRPr="005A542A">
        <w:rPr>
          <w:rFonts w:ascii="Arial" w:hAnsi="Arial" w:cs="Arial"/>
          <w:sz w:val="24"/>
          <w:szCs w:val="24"/>
        </w:rPr>
        <w:t xml:space="preserve"> sets out the legal position regarding express authority </w:t>
      </w:r>
      <w:r w:rsidR="00F230C5">
        <w:rPr>
          <w:rFonts w:ascii="Arial" w:hAnsi="Arial" w:cs="Arial"/>
          <w:sz w:val="24"/>
          <w:szCs w:val="24"/>
        </w:rPr>
        <w:t>an</w:t>
      </w:r>
      <w:r w:rsidR="005A542A" w:rsidRPr="005A542A">
        <w:rPr>
          <w:rFonts w:ascii="Arial" w:hAnsi="Arial" w:cs="Arial"/>
          <w:sz w:val="24"/>
          <w:szCs w:val="24"/>
        </w:rPr>
        <w:t xml:space="preserve"> agent is armed with </w:t>
      </w:r>
      <w:r w:rsidR="005A542A">
        <w:rPr>
          <w:rFonts w:ascii="Arial" w:hAnsi="Arial" w:cs="Arial"/>
          <w:sz w:val="24"/>
          <w:szCs w:val="24"/>
        </w:rPr>
        <w:t>as against a</w:t>
      </w:r>
      <w:r w:rsidR="005A542A" w:rsidRPr="005A542A">
        <w:rPr>
          <w:rFonts w:ascii="Arial" w:hAnsi="Arial" w:cs="Arial"/>
          <w:sz w:val="24"/>
          <w:szCs w:val="24"/>
        </w:rPr>
        <w:t xml:space="preserve"> principal</w:t>
      </w:r>
      <w:r w:rsidR="005A542A">
        <w:rPr>
          <w:rFonts w:ascii="Arial" w:hAnsi="Arial" w:cs="Arial"/>
          <w:sz w:val="24"/>
          <w:szCs w:val="24"/>
        </w:rPr>
        <w:t xml:space="preserve"> as follows:</w:t>
      </w:r>
    </w:p>
    <w:p w:rsidR="00F230C5" w:rsidRDefault="00F230C5" w:rsidP="003C75E8">
      <w:pPr>
        <w:spacing w:after="0" w:line="360" w:lineRule="auto"/>
        <w:jc w:val="both"/>
        <w:rPr>
          <w:rFonts w:ascii="Arial" w:hAnsi="Arial" w:cs="Arial"/>
          <w:sz w:val="24"/>
          <w:szCs w:val="24"/>
        </w:rPr>
      </w:pPr>
    </w:p>
    <w:p w:rsidR="00F230C5" w:rsidRDefault="005A542A" w:rsidP="003C75E8">
      <w:pPr>
        <w:spacing w:after="0" w:line="360" w:lineRule="auto"/>
        <w:ind w:firstLine="720"/>
        <w:jc w:val="both"/>
        <w:rPr>
          <w:rFonts w:ascii="Arial" w:hAnsi="Arial" w:cs="Arial"/>
        </w:rPr>
      </w:pPr>
      <w:r w:rsidRPr="00F230C5">
        <w:rPr>
          <w:rFonts w:ascii="Arial" w:hAnsi="Arial" w:cs="Arial"/>
        </w:rPr>
        <w:t xml:space="preserve">‘All acts falling within the express authority of the agent bind the principle. There is express </w:t>
      </w:r>
      <w:r w:rsidR="00A81BBA">
        <w:rPr>
          <w:rFonts w:ascii="Arial" w:hAnsi="Arial" w:cs="Arial"/>
        </w:rPr>
        <w:tab/>
      </w:r>
      <w:r w:rsidRPr="00F230C5">
        <w:rPr>
          <w:rFonts w:ascii="Arial" w:hAnsi="Arial" w:cs="Arial"/>
        </w:rPr>
        <w:t>authority wherever the agent’s authority in terms applies to the</w:t>
      </w:r>
      <w:r w:rsidR="00031768">
        <w:rPr>
          <w:rFonts w:ascii="Arial" w:hAnsi="Arial" w:cs="Arial"/>
        </w:rPr>
        <w:t xml:space="preserve"> act in question. Thus where </w:t>
      </w:r>
      <w:r w:rsidR="00A81BBA">
        <w:rPr>
          <w:rFonts w:ascii="Arial" w:hAnsi="Arial" w:cs="Arial"/>
        </w:rPr>
        <w:tab/>
      </w:r>
      <w:r w:rsidR="00031768">
        <w:rPr>
          <w:rFonts w:ascii="Arial" w:hAnsi="Arial" w:cs="Arial"/>
        </w:rPr>
        <w:t xml:space="preserve">a </w:t>
      </w:r>
      <w:r w:rsidRPr="00F230C5">
        <w:rPr>
          <w:rFonts w:ascii="Arial" w:hAnsi="Arial" w:cs="Arial"/>
        </w:rPr>
        <w:t xml:space="preserve">proposed assured, or an underwriter is authorized to sign policies on behalf of a </w:t>
      </w:r>
      <w:r w:rsidR="00A81BBA">
        <w:rPr>
          <w:rFonts w:ascii="Arial" w:hAnsi="Arial" w:cs="Arial"/>
        </w:rPr>
        <w:tab/>
      </w:r>
      <w:r w:rsidRPr="00F230C5">
        <w:rPr>
          <w:rFonts w:ascii="Arial" w:hAnsi="Arial" w:cs="Arial"/>
        </w:rPr>
        <w:t xml:space="preserve">syndicate, the principals are, in both cases bound by any policy which is in accordance </w:t>
      </w:r>
      <w:r w:rsidR="00A81BBA">
        <w:rPr>
          <w:rFonts w:ascii="Arial" w:hAnsi="Arial" w:cs="Arial"/>
        </w:rPr>
        <w:tab/>
      </w:r>
      <w:r w:rsidRPr="00F230C5">
        <w:rPr>
          <w:rFonts w:ascii="Arial" w:hAnsi="Arial" w:cs="Arial"/>
        </w:rPr>
        <w:t>with the agent’s instructions.</w:t>
      </w:r>
      <w:r w:rsidR="00F230C5">
        <w:rPr>
          <w:rFonts w:ascii="Arial" w:hAnsi="Arial" w:cs="Arial"/>
        </w:rPr>
        <w:t>’</w:t>
      </w:r>
    </w:p>
    <w:p w:rsidR="00255BAA" w:rsidRDefault="00255BAA" w:rsidP="003C75E8">
      <w:pPr>
        <w:spacing w:after="0" w:line="360" w:lineRule="auto"/>
        <w:jc w:val="both"/>
        <w:rPr>
          <w:rFonts w:ascii="Arial" w:hAnsi="Arial" w:cs="Arial"/>
          <w:sz w:val="24"/>
          <w:szCs w:val="24"/>
        </w:rPr>
      </w:pPr>
    </w:p>
    <w:p w:rsidR="00E0710F" w:rsidRDefault="00255BAA" w:rsidP="003C75E8">
      <w:pPr>
        <w:spacing w:after="0" w:line="360" w:lineRule="auto"/>
        <w:jc w:val="both"/>
        <w:rPr>
          <w:rFonts w:ascii="Arial" w:hAnsi="Arial" w:cs="Arial"/>
          <w:sz w:val="24"/>
          <w:szCs w:val="24"/>
        </w:rPr>
      </w:pPr>
      <w:r>
        <w:rPr>
          <w:rFonts w:ascii="Arial" w:hAnsi="Arial" w:cs="Arial"/>
          <w:sz w:val="24"/>
          <w:szCs w:val="24"/>
        </w:rPr>
        <w:t>[3</w:t>
      </w:r>
      <w:r w:rsidR="00A81BBA">
        <w:rPr>
          <w:rFonts w:ascii="Arial" w:hAnsi="Arial" w:cs="Arial"/>
          <w:sz w:val="24"/>
          <w:szCs w:val="24"/>
        </w:rPr>
        <w:t>5</w:t>
      </w:r>
      <w:r>
        <w:rPr>
          <w:rFonts w:ascii="Arial" w:hAnsi="Arial" w:cs="Arial"/>
          <w:sz w:val="24"/>
          <w:szCs w:val="24"/>
        </w:rPr>
        <w:t>]</w:t>
      </w:r>
      <w:r>
        <w:rPr>
          <w:rFonts w:ascii="Arial" w:hAnsi="Arial" w:cs="Arial"/>
          <w:sz w:val="24"/>
          <w:szCs w:val="24"/>
        </w:rPr>
        <w:tab/>
      </w:r>
      <w:r w:rsidR="005A542A" w:rsidRPr="005A542A">
        <w:rPr>
          <w:rFonts w:ascii="Arial" w:hAnsi="Arial" w:cs="Arial"/>
          <w:sz w:val="24"/>
          <w:szCs w:val="24"/>
        </w:rPr>
        <w:t xml:space="preserve">It is common cause </w:t>
      </w:r>
      <w:r w:rsidR="00E0710F">
        <w:rPr>
          <w:rFonts w:ascii="Arial" w:hAnsi="Arial" w:cs="Arial"/>
          <w:sz w:val="24"/>
          <w:szCs w:val="24"/>
        </w:rPr>
        <w:t xml:space="preserve">that </w:t>
      </w:r>
      <w:r w:rsidR="005A542A" w:rsidRPr="005A542A">
        <w:rPr>
          <w:rFonts w:ascii="Arial" w:hAnsi="Arial" w:cs="Arial"/>
          <w:sz w:val="24"/>
          <w:szCs w:val="24"/>
        </w:rPr>
        <w:t xml:space="preserve">in this matter </w:t>
      </w:r>
      <w:r w:rsidR="00E0710F" w:rsidRPr="0052743D">
        <w:rPr>
          <w:rFonts w:ascii="Arial" w:hAnsi="Arial" w:cs="Arial"/>
          <w:sz w:val="24"/>
          <w:szCs w:val="24"/>
          <w:lang w:val="en-US"/>
        </w:rPr>
        <w:t xml:space="preserve">Mr Gaugorob acted as the agent of the </w:t>
      </w:r>
      <w:r w:rsidR="00E0710F">
        <w:rPr>
          <w:rFonts w:ascii="Arial" w:hAnsi="Arial" w:cs="Arial"/>
          <w:sz w:val="24"/>
          <w:szCs w:val="24"/>
          <w:lang w:val="en-US"/>
        </w:rPr>
        <w:t>p</w:t>
      </w:r>
      <w:r w:rsidR="00E0710F" w:rsidRPr="0052743D">
        <w:rPr>
          <w:rFonts w:ascii="Arial" w:hAnsi="Arial" w:cs="Arial"/>
          <w:sz w:val="24"/>
          <w:szCs w:val="24"/>
          <w:lang w:val="en-US"/>
        </w:rPr>
        <w:t xml:space="preserve">laintiff and entered into the insurance contract with the </w:t>
      </w:r>
      <w:r w:rsidR="00E0710F">
        <w:rPr>
          <w:rFonts w:ascii="Arial" w:hAnsi="Arial" w:cs="Arial"/>
          <w:sz w:val="24"/>
          <w:szCs w:val="24"/>
          <w:lang w:val="en-US"/>
        </w:rPr>
        <w:t>d</w:t>
      </w:r>
      <w:r w:rsidR="00E0710F" w:rsidRPr="0052743D">
        <w:rPr>
          <w:rFonts w:ascii="Arial" w:hAnsi="Arial" w:cs="Arial"/>
          <w:sz w:val="24"/>
          <w:szCs w:val="24"/>
          <w:lang w:val="en-US"/>
        </w:rPr>
        <w:t xml:space="preserve">efendant on behalf of the </w:t>
      </w:r>
      <w:r w:rsidR="00E0710F">
        <w:rPr>
          <w:rFonts w:ascii="Arial" w:hAnsi="Arial" w:cs="Arial"/>
          <w:sz w:val="24"/>
          <w:szCs w:val="24"/>
          <w:lang w:val="en-US"/>
        </w:rPr>
        <w:t>p</w:t>
      </w:r>
      <w:r w:rsidR="00E0710F" w:rsidRPr="0052743D">
        <w:rPr>
          <w:rFonts w:ascii="Arial" w:hAnsi="Arial" w:cs="Arial"/>
          <w:sz w:val="24"/>
          <w:szCs w:val="24"/>
          <w:lang w:val="en-US"/>
        </w:rPr>
        <w:t>laintiff.</w:t>
      </w:r>
      <w:r w:rsidR="00E0710F">
        <w:rPr>
          <w:rFonts w:ascii="Arial" w:hAnsi="Arial" w:cs="Arial"/>
          <w:sz w:val="24"/>
          <w:szCs w:val="24"/>
          <w:lang w:val="en-US"/>
        </w:rPr>
        <w:t xml:space="preserve"> There is no dispute that </w:t>
      </w:r>
      <w:r>
        <w:rPr>
          <w:rFonts w:ascii="Arial" w:hAnsi="Arial" w:cs="Arial"/>
          <w:sz w:val="24"/>
          <w:szCs w:val="24"/>
        </w:rPr>
        <w:t>Gaugorob</w:t>
      </w:r>
      <w:r w:rsidR="005A542A" w:rsidRPr="005A542A">
        <w:rPr>
          <w:rFonts w:ascii="Arial" w:hAnsi="Arial" w:cs="Arial"/>
          <w:sz w:val="24"/>
          <w:szCs w:val="24"/>
        </w:rPr>
        <w:t xml:space="preserve"> had express authority from </w:t>
      </w:r>
      <w:r>
        <w:rPr>
          <w:rFonts w:ascii="Arial" w:hAnsi="Arial" w:cs="Arial"/>
          <w:sz w:val="24"/>
          <w:szCs w:val="24"/>
        </w:rPr>
        <w:t>the plaintiff</w:t>
      </w:r>
      <w:r w:rsidR="005A542A" w:rsidRPr="005A542A">
        <w:rPr>
          <w:rFonts w:ascii="Arial" w:hAnsi="Arial" w:cs="Arial"/>
          <w:sz w:val="24"/>
          <w:szCs w:val="24"/>
        </w:rPr>
        <w:t xml:space="preserve"> to conclude an agreement of insurance with t</w:t>
      </w:r>
      <w:r>
        <w:rPr>
          <w:rFonts w:ascii="Arial" w:hAnsi="Arial" w:cs="Arial"/>
          <w:sz w:val="24"/>
          <w:szCs w:val="24"/>
        </w:rPr>
        <w:t xml:space="preserve">he defendant. It is further common cause that </w:t>
      </w:r>
      <w:r w:rsidR="00031768">
        <w:rPr>
          <w:rFonts w:ascii="Arial" w:hAnsi="Arial" w:cs="Arial"/>
          <w:sz w:val="24"/>
          <w:szCs w:val="24"/>
        </w:rPr>
        <w:t>the contract which</w:t>
      </w:r>
      <w:r w:rsidR="003671B0">
        <w:rPr>
          <w:rFonts w:ascii="Arial" w:hAnsi="Arial" w:cs="Arial"/>
          <w:sz w:val="24"/>
          <w:szCs w:val="24"/>
        </w:rPr>
        <w:t xml:space="preserve"> Gaugorob </w:t>
      </w:r>
      <w:r w:rsidR="00E0710F">
        <w:rPr>
          <w:rFonts w:ascii="Arial" w:hAnsi="Arial" w:cs="Arial"/>
          <w:sz w:val="24"/>
          <w:szCs w:val="24"/>
        </w:rPr>
        <w:t xml:space="preserve">concluded on behalf of the plaintiff contained </w:t>
      </w:r>
      <w:r w:rsidR="00E0710F" w:rsidRPr="00AA3BA9">
        <w:rPr>
          <w:rFonts w:ascii="Arial" w:hAnsi="Arial" w:cs="Arial"/>
          <w:sz w:val="24"/>
          <w:szCs w:val="24"/>
        </w:rPr>
        <w:t>General Exceptions, Condition</w:t>
      </w:r>
      <w:r w:rsidR="00E0710F">
        <w:rPr>
          <w:rFonts w:ascii="Arial" w:hAnsi="Arial" w:cs="Arial"/>
          <w:sz w:val="24"/>
          <w:szCs w:val="24"/>
        </w:rPr>
        <w:t>s and Provisions, which in turn contained</w:t>
      </w:r>
      <w:r w:rsidR="00E0710F" w:rsidRPr="00AA3BA9">
        <w:rPr>
          <w:rFonts w:ascii="Arial" w:hAnsi="Arial" w:cs="Arial"/>
          <w:sz w:val="24"/>
          <w:szCs w:val="24"/>
        </w:rPr>
        <w:t xml:space="preserve"> the</w:t>
      </w:r>
      <w:r w:rsidR="00E0710F">
        <w:rPr>
          <w:rFonts w:ascii="Arial" w:hAnsi="Arial" w:cs="Arial"/>
          <w:sz w:val="24"/>
          <w:szCs w:val="24"/>
        </w:rPr>
        <w:t xml:space="preserve"> disputed </w:t>
      </w:r>
      <w:r w:rsidR="00E0710F" w:rsidRPr="00AA3BA9">
        <w:rPr>
          <w:rFonts w:ascii="Arial" w:hAnsi="Arial" w:cs="Arial"/>
          <w:sz w:val="24"/>
          <w:szCs w:val="24"/>
        </w:rPr>
        <w:t>time-bar clause</w:t>
      </w:r>
      <w:r w:rsidR="00E0710F">
        <w:rPr>
          <w:rFonts w:ascii="Arial" w:hAnsi="Arial" w:cs="Arial"/>
          <w:sz w:val="24"/>
          <w:szCs w:val="24"/>
        </w:rPr>
        <w:t xml:space="preserve">. </w:t>
      </w:r>
    </w:p>
    <w:p w:rsidR="00E0710F" w:rsidRDefault="00E0710F" w:rsidP="003C75E8">
      <w:pPr>
        <w:spacing w:after="0" w:line="360" w:lineRule="auto"/>
        <w:jc w:val="both"/>
        <w:rPr>
          <w:rFonts w:ascii="Arial" w:hAnsi="Arial" w:cs="Arial"/>
          <w:sz w:val="24"/>
          <w:szCs w:val="24"/>
        </w:rPr>
      </w:pPr>
    </w:p>
    <w:p w:rsidR="00516466" w:rsidRDefault="00E0710F" w:rsidP="003C75E8">
      <w:pPr>
        <w:spacing w:after="0" w:line="360" w:lineRule="auto"/>
        <w:jc w:val="both"/>
        <w:rPr>
          <w:rFonts w:ascii="Arial" w:hAnsi="Arial" w:cs="Arial"/>
          <w:sz w:val="24"/>
          <w:szCs w:val="24"/>
        </w:rPr>
      </w:pPr>
      <w:r>
        <w:rPr>
          <w:rFonts w:ascii="Arial" w:hAnsi="Arial" w:cs="Arial"/>
          <w:sz w:val="24"/>
          <w:szCs w:val="24"/>
        </w:rPr>
        <w:t>[3</w:t>
      </w:r>
      <w:r w:rsidR="00A81BBA">
        <w:rPr>
          <w:rFonts w:ascii="Arial" w:hAnsi="Arial" w:cs="Arial"/>
          <w:sz w:val="24"/>
          <w:szCs w:val="24"/>
        </w:rPr>
        <w:t>6</w:t>
      </w:r>
      <w:r>
        <w:rPr>
          <w:rFonts w:ascii="Arial" w:hAnsi="Arial" w:cs="Arial"/>
          <w:sz w:val="24"/>
          <w:szCs w:val="24"/>
        </w:rPr>
        <w:t>]</w:t>
      </w:r>
      <w:r>
        <w:rPr>
          <w:rFonts w:ascii="Arial" w:hAnsi="Arial" w:cs="Arial"/>
          <w:sz w:val="24"/>
          <w:szCs w:val="24"/>
        </w:rPr>
        <w:tab/>
        <w:t>The plaintiff</w:t>
      </w:r>
      <w:r w:rsidR="00387D43">
        <w:rPr>
          <w:rFonts w:ascii="Arial" w:hAnsi="Arial" w:cs="Arial"/>
          <w:sz w:val="24"/>
          <w:szCs w:val="24"/>
        </w:rPr>
        <w:t>’s</w:t>
      </w:r>
      <w:r>
        <w:rPr>
          <w:rFonts w:ascii="Arial" w:hAnsi="Arial" w:cs="Arial"/>
          <w:sz w:val="24"/>
          <w:szCs w:val="24"/>
        </w:rPr>
        <w:t xml:space="preserve"> bone of contention is that the </w:t>
      </w:r>
      <w:r w:rsidRPr="00AA3BA9">
        <w:rPr>
          <w:rFonts w:ascii="Arial" w:hAnsi="Arial" w:cs="Arial"/>
          <w:sz w:val="24"/>
          <w:szCs w:val="24"/>
        </w:rPr>
        <w:t>General Exceptions, Condition</w:t>
      </w:r>
      <w:r>
        <w:rPr>
          <w:rFonts w:ascii="Arial" w:hAnsi="Arial" w:cs="Arial"/>
          <w:sz w:val="24"/>
          <w:szCs w:val="24"/>
        </w:rPr>
        <w:t>s and Provisions, which in turn contained</w:t>
      </w:r>
      <w:r w:rsidRPr="00AA3BA9">
        <w:rPr>
          <w:rFonts w:ascii="Arial" w:hAnsi="Arial" w:cs="Arial"/>
          <w:sz w:val="24"/>
          <w:szCs w:val="24"/>
        </w:rPr>
        <w:t xml:space="preserve"> the</w:t>
      </w:r>
      <w:r>
        <w:rPr>
          <w:rFonts w:ascii="Arial" w:hAnsi="Arial" w:cs="Arial"/>
          <w:sz w:val="24"/>
          <w:szCs w:val="24"/>
        </w:rPr>
        <w:t xml:space="preserve"> disputed </w:t>
      </w:r>
      <w:r w:rsidRPr="00AA3BA9">
        <w:rPr>
          <w:rFonts w:ascii="Arial" w:hAnsi="Arial" w:cs="Arial"/>
          <w:sz w:val="24"/>
          <w:szCs w:val="24"/>
        </w:rPr>
        <w:t>time</w:t>
      </w:r>
      <w:r>
        <w:rPr>
          <w:rFonts w:ascii="Arial" w:hAnsi="Arial" w:cs="Arial"/>
          <w:sz w:val="24"/>
          <w:szCs w:val="24"/>
        </w:rPr>
        <w:t>-bar clause</w:t>
      </w:r>
      <w:r w:rsidR="00A81BBA">
        <w:rPr>
          <w:rFonts w:ascii="Arial" w:hAnsi="Arial" w:cs="Arial"/>
          <w:sz w:val="24"/>
          <w:szCs w:val="24"/>
        </w:rPr>
        <w:t>,</w:t>
      </w:r>
      <w:r>
        <w:rPr>
          <w:rFonts w:ascii="Arial" w:hAnsi="Arial" w:cs="Arial"/>
          <w:sz w:val="24"/>
          <w:szCs w:val="24"/>
        </w:rPr>
        <w:t xml:space="preserve"> were not sen</w:t>
      </w:r>
      <w:r w:rsidR="00A81BBA">
        <w:rPr>
          <w:rFonts w:ascii="Arial" w:hAnsi="Arial" w:cs="Arial"/>
          <w:sz w:val="24"/>
          <w:szCs w:val="24"/>
        </w:rPr>
        <w:t>t</w:t>
      </w:r>
      <w:r>
        <w:rPr>
          <w:rFonts w:ascii="Arial" w:hAnsi="Arial" w:cs="Arial"/>
          <w:sz w:val="24"/>
          <w:szCs w:val="24"/>
        </w:rPr>
        <w:t xml:space="preserve"> to Mr Gaugorob nor were they discussed with Mr Hamukoto of the plaintiff. </w:t>
      </w:r>
      <w:r w:rsidR="00516466">
        <w:rPr>
          <w:rFonts w:ascii="Arial" w:hAnsi="Arial" w:cs="Arial"/>
          <w:sz w:val="24"/>
          <w:szCs w:val="24"/>
        </w:rPr>
        <w:t xml:space="preserve"> </w:t>
      </w:r>
    </w:p>
    <w:p w:rsidR="00516466" w:rsidRDefault="00516466" w:rsidP="003C75E8">
      <w:pPr>
        <w:spacing w:after="0" w:line="360" w:lineRule="auto"/>
        <w:jc w:val="both"/>
        <w:rPr>
          <w:rFonts w:ascii="Arial" w:hAnsi="Arial" w:cs="Arial"/>
          <w:sz w:val="24"/>
          <w:szCs w:val="24"/>
        </w:rPr>
      </w:pPr>
    </w:p>
    <w:p w:rsidR="006775CC" w:rsidRDefault="00516466" w:rsidP="003C75E8">
      <w:pPr>
        <w:spacing w:after="0" w:line="360" w:lineRule="auto"/>
        <w:jc w:val="both"/>
        <w:rPr>
          <w:rFonts w:ascii="Arial" w:hAnsi="Arial" w:cs="Arial"/>
          <w:sz w:val="24"/>
          <w:szCs w:val="24"/>
          <w:lang w:val="en-US"/>
        </w:rPr>
      </w:pPr>
      <w:r>
        <w:rPr>
          <w:rFonts w:ascii="Arial" w:hAnsi="Arial" w:cs="Arial"/>
          <w:sz w:val="24"/>
          <w:szCs w:val="24"/>
        </w:rPr>
        <w:t>[3</w:t>
      </w:r>
      <w:r w:rsidR="00A81BBA">
        <w:rPr>
          <w:rFonts w:ascii="Arial" w:hAnsi="Arial" w:cs="Arial"/>
          <w:sz w:val="24"/>
          <w:szCs w:val="24"/>
        </w:rPr>
        <w:t>7</w:t>
      </w:r>
      <w:r>
        <w:rPr>
          <w:rFonts w:ascii="Arial" w:hAnsi="Arial" w:cs="Arial"/>
          <w:sz w:val="24"/>
          <w:szCs w:val="24"/>
        </w:rPr>
        <w:t>]</w:t>
      </w:r>
      <w:r>
        <w:rPr>
          <w:rFonts w:ascii="Arial" w:hAnsi="Arial" w:cs="Arial"/>
          <w:sz w:val="24"/>
          <w:szCs w:val="24"/>
        </w:rPr>
        <w:tab/>
      </w:r>
      <w:r w:rsidR="00571AB3">
        <w:rPr>
          <w:rFonts w:ascii="Arial" w:hAnsi="Arial" w:cs="Arial"/>
          <w:sz w:val="24"/>
          <w:szCs w:val="24"/>
        </w:rPr>
        <w:t>Bedrock principles of agency law provide that the knowledge of an agent acquired while acting within the scope of employment, is imputed to his principle</w:t>
      </w:r>
      <w:r w:rsidR="00571AB3">
        <w:rPr>
          <w:rStyle w:val="FootnoteReference"/>
          <w:rFonts w:ascii="Arial" w:hAnsi="Arial" w:cs="Arial"/>
          <w:sz w:val="24"/>
          <w:szCs w:val="24"/>
        </w:rPr>
        <w:footnoteReference w:id="7"/>
      </w:r>
      <w:r w:rsidR="00571AB3">
        <w:rPr>
          <w:rFonts w:ascii="Arial" w:hAnsi="Arial" w:cs="Arial"/>
          <w:sz w:val="24"/>
          <w:szCs w:val="24"/>
        </w:rPr>
        <w:t xml:space="preserve">. Notice of a fact that an agent knows or has reason to </w:t>
      </w:r>
      <w:r w:rsidR="00A81BBA">
        <w:rPr>
          <w:rFonts w:ascii="Arial" w:hAnsi="Arial" w:cs="Arial"/>
          <w:sz w:val="24"/>
          <w:szCs w:val="24"/>
        </w:rPr>
        <w:t xml:space="preserve">know </w:t>
      </w:r>
      <w:r w:rsidR="00571AB3">
        <w:rPr>
          <w:rFonts w:ascii="Arial" w:hAnsi="Arial" w:cs="Arial"/>
          <w:sz w:val="24"/>
          <w:szCs w:val="24"/>
        </w:rPr>
        <w:t>is imputed to the principal if knowledge of the fact is material to the agent’s duties to his principal</w:t>
      </w:r>
      <w:r w:rsidR="00571AB3">
        <w:rPr>
          <w:rStyle w:val="FootnoteReference"/>
          <w:rFonts w:ascii="Arial" w:hAnsi="Arial" w:cs="Arial"/>
          <w:sz w:val="24"/>
          <w:szCs w:val="24"/>
        </w:rPr>
        <w:footnoteReference w:id="8"/>
      </w:r>
      <w:r w:rsidR="00571AB3">
        <w:rPr>
          <w:rFonts w:ascii="Arial" w:hAnsi="Arial" w:cs="Arial"/>
          <w:sz w:val="24"/>
          <w:szCs w:val="24"/>
        </w:rPr>
        <w:t xml:space="preserve">. The liability of a principal is affected by the knowledge of an agent </w:t>
      </w:r>
      <w:r w:rsidR="00F81803">
        <w:rPr>
          <w:rFonts w:ascii="Arial" w:hAnsi="Arial" w:cs="Arial"/>
          <w:sz w:val="24"/>
          <w:szCs w:val="24"/>
        </w:rPr>
        <w:t>concerning a matter as to which the acts within his power to bind the principal or upon which it is the duty to give the principal information</w:t>
      </w:r>
      <w:r w:rsidR="00F81803">
        <w:rPr>
          <w:rStyle w:val="FootnoteReference"/>
          <w:rFonts w:ascii="Arial" w:hAnsi="Arial" w:cs="Arial"/>
          <w:sz w:val="24"/>
          <w:szCs w:val="24"/>
        </w:rPr>
        <w:footnoteReference w:id="9"/>
      </w:r>
      <w:r w:rsidR="00F81803">
        <w:rPr>
          <w:rFonts w:ascii="Arial" w:hAnsi="Arial" w:cs="Arial"/>
          <w:sz w:val="24"/>
          <w:szCs w:val="24"/>
        </w:rPr>
        <w:t>.</w:t>
      </w:r>
      <w:r w:rsidR="00571AB3">
        <w:rPr>
          <w:rFonts w:ascii="Arial" w:hAnsi="Arial" w:cs="Arial"/>
          <w:sz w:val="24"/>
          <w:szCs w:val="24"/>
        </w:rPr>
        <w:t xml:space="preserve"> </w:t>
      </w:r>
      <w:r w:rsidR="006775CC" w:rsidRPr="0052743D">
        <w:rPr>
          <w:rFonts w:ascii="Arial" w:hAnsi="Arial" w:cs="Arial"/>
          <w:sz w:val="24"/>
          <w:szCs w:val="24"/>
          <w:lang w:val="en-US"/>
        </w:rPr>
        <w:t xml:space="preserve">In </w:t>
      </w:r>
      <w:r w:rsidR="006775CC" w:rsidRPr="0099206E">
        <w:rPr>
          <w:rFonts w:ascii="Arial" w:hAnsi="Arial" w:cs="Arial"/>
          <w:i/>
          <w:sz w:val="24"/>
          <w:szCs w:val="24"/>
          <w:lang w:val="en-US"/>
        </w:rPr>
        <w:t xml:space="preserve">Wellman </w:t>
      </w:r>
      <w:r w:rsidR="00C16B14" w:rsidRPr="0099206E">
        <w:rPr>
          <w:rFonts w:ascii="Arial" w:hAnsi="Arial" w:cs="Arial"/>
          <w:i/>
          <w:sz w:val="24"/>
          <w:szCs w:val="24"/>
          <w:lang w:val="en-US"/>
        </w:rPr>
        <w:t>v Hollard Insurance Company of Namibia Limited</w:t>
      </w:r>
      <w:r w:rsidR="00C16B14">
        <w:rPr>
          <w:rStyle w:val="FootnoteReference"/>
          <w:rFonts w:ascii="Arial" w:hAnsi="Arial" w:cs="Arial"/>
          <w:sz w:val="24"/>
          <w:szCs w:val="24"/>
          <w:lang w:val="en-US"/>
        </w:rPr>
        <w:footnoteReference w:id="10"/>
      </w:r>
      <w:r w:rsidR="006775CC" w:rsidRPr="0052743D">
        <w:rPr>
          <w:rFonts w:ascii="Arial" w:hAnsi="Arial" w:cs="Arial"/>
          <w:sz w:val="24"/>
          <w:szCs w:val="24"/>
          <w:lang w:val="en-US"/>
        </w:rPr>
        <w:t xml:space="preserve"> </w:t>
      </w:r>
      <w:r w:rsidR="00C16B14" w:rsidRPr="0052743D">
        <w:rPr>
          <w:rFonts w:ascii="Arial" w:hAnsi="Arial" w:cs="Arial"/>
          <w:sz w:val="24"/>
          <w:szCs w:val="24"/>
          <w:lang w:val="en-US"/>
        </w:rPr>
        <w:t>th</w:t>
      </w:r>
      <w:r w:rsidR="00144CAB">
        <w:rPr>
          <w:rFonts w:ascii="Arial" w:hAnsi="Arial" w:cs="Arial"/>
          <w:sz w:val="24"/>
          <w:szCs w:val="24"/>
          <w:lang w:val="en-US"/>
        </w:rPr>
        <w:t>is</w:t>
      </w:r>
      <w:r w:rsidR="00C16B14" w:rsidRPr="0052743D">
        <w:rPr>
          <w:rFonts w:ascii="Arial" w:hAnsi="Arial" w:cs="Arial"/>
          <w:sz w:val="24"/>
          <w:szCs w:val="24"/>
          <w:lang w:val="en-US"/>
        </w:rPr>
        <w:t xml:space="preserve"> </w:t>
      </w:r>
      <w:r w:rsidR="00144CAB">
        <w:rPr>
          <w:rFonts w:ascii="Arial" w:hAnsi="Arial" w:cs="Arial"/>
          <w:sz w:val="24"/>
          <w:szCs w:val="24"/>
          <w:lang w:val="en-US"/>
        </w:rPr>
        <w:t xml:space="preserve">Court </w:t>
      </w:r>
      <w:r w:rsidR="00C16B14" w:rsidRPr="0052743D">
        <w:rPr>
          <w:rFonts w:ascii="Arial" w:hAnsi="Arial" w:cs="Arial"/>
          <w:sz w:val="24"/>
          <w:szCs w:val="24"/>
          <w:lang w:val="en-US"/>
        </w:rPr>
        <w:t xml:space="preserve">approved the </w:t>
      </w:r>
      <w:r w:rsidR="00C16B14" w:rsidRPr="00144CAB">
        <w:rPr>
          <w:rFonts w:ascii="Arial" w:hAnsi="Arial" w:cs="Arial"/>
          <w:i/>
          <w:sz w:val="24"/>
          <w:szCs w:val="24"/>
          <w:lang w:val="en-US"/>
        </w:rPr>
        <w:t>dictum</w:t>
      </w:r>
      <w:r w:rsidR="00C16B14" w:rsidRPr="0052743D">
        <w:rPr>
          <w:rFonts w:ascii="Arial" w:hAnsi="Arial" w:cs="Arial"/>
          <w:sz w:val="24"/>
          <w:szCs w:val="24"/>
          <w:lang w:val="en-US"/>
        </w:rPr>
        <w:t xml:space="preserve"> in </w:t>
      </w:r>
      <w:r w:rsidR="006775CC" w:rsidRPr="0052743D">
        <w:rPr>
          <w:rFonts w:ascii="Arial" w:hAnsi="Arial" w:cs="Arial"/>
          <w:i/>
          <w:sz w:val="24"/>
          <w:szCs w:val="24"/>
          <w:lang w:val="en-US"/>
        </w:rPr>
        <w:t>Standard Bank of South Africa Ltd v Prinsloo &amp; Another (Prinsloo &amp; Another Intervening)</w:t>
      </w:r>
      <w:r w:rsidR="008E742D">
        <w:rPr>
          <w:rStyle w:val="FootnoteReference"/>
          <w:rFonts w:ascii="Arial" w:hAnsi="Arial" w:cs="Arial"/>
          <w:i/>
          <w:sz w:val="24"/>
          <w:szCs w:val="24"/>
          <w:lang w:val="en-US"/>
        </w:rPr>
        <w:footnoteReference w:id="11"/>
      </w:r>
      <w:r w:rsidR="006775CC" w:rsidRPr="0052743D">
        <w:rPr>
          <w:rFonts w:ascii="Arial" w:hAnsi="Arial" w:cs="Arial"/>
          <w:i/>
          <w:sz w:val="24"/>
          <w:szCs w:val="24"/>
          <w:lang w:val="en-US"/>
        </w:rPr>
        <w:t xml:space="preserve"> </w:t>
      </w:r>
      <w:r w:rsidR="00C16B14" w:rsidRPr="0052743D">
        <w:rPr>
          <w:rFonts w:ascii="Arial" w:hAnsi="Arial" w:cs="Arial"/>
          <w:sz w:val="24"/>
          <w:szCs w:val="24"/>
          <w:lang w:val="en-US"/>
        </w:rPr>
        <w:t>where it was held that</w:t>
      </w:r>
      <w:r w:rsidR="006775CC" w:rsidRPr="0052743D">
        <w:rPr>
          <w:rFonts w:ascii="Arial" w:hAnsi="Arial" w:cs="Arial"/>
          <w:sz w:val="24"/>
          <w:szCs w:val="24"/>
          <w:lang w:val="en-US"/>
        </w:rPr>
        <w:t>:</w:t>
      </w:r>
    </w:p>
    <w:p w:rsidR="00C51A78" w:rsidRDefault="00C51A78" w:rsidP="003C75E8">
      <w:pPr>
        <w:pStyle w:val="ListParagraph"/>
        <w:spacing w:after="0" w:line="360" w:lineRule="auto"/>
        <w:ind w:left="0"/>
        <w:jc w:val="both"/>
        <w:rPr>
          <w:rFonts w:ascii="Arial" w:hAnsi="Arial" w:cs="Arial"/>
          <w:sz w:val="24"/>
          <w:szCs w:val="24"/>
          <w:lang w:val="en-US"/>
        </w:rPr>
      </w:pPr>
    </w:p>
    <w:p w:rsidR="006775CC" w:rsidRDefault="008E742D" w:rsidP="003C75E8">
      <w:pPr>
        <w:spacing w:after="0" w:line="360" w:lineRule="auto"/>
        <w:ind w:firstLine="720"/>
        <w:jc w:val="both"/>
        <w:rPr>
          <w:rFonts w:ascii="Arial" w:hAnsi="Arial" w:cs="Arial"/>
          <w:lang w:val="en-US"/>
        </w:rPr>
      </w:pPr>
      <w:r>
        <w:rPr>
          <w:rFonts w:ascii="Arial" w:hAnsi="Arial" w:cs="Arial"/>
          <w:lang w:val="en-US"/>
        </w:rPr>
        <w:t>‘</w:t>
      </w:r>
      <w:r w:rsidR="00C16B14" w:rsidRPr="008E742D">
        <w:rPr>
          <w:rFonts w:ascii="Arial" w:hAnsi="Arial" w:cs="Arial"/>
          <w:lang w:val="en-US"/>
        </w:rPr>
        <w:t xml:space="preserve">The general knowledge acquired by an agent and not communicated to his principal is imputed to the latter merely be reason of the fact that the agent has acquired such knowledge, proved that the knowledge is acquired in the course of the agent’s </w:t>
      </w:r>
      <w:r w:rsidR="000A1316">
        <w:rPr>
          <w:rFonts w:ascii="Arial" w:hAnsi="Arial" w:cs="Arial"/>
          <w:lang w:val="en-US"/>
        </w:rPr>
        <w:tab/>
      </w:r>
      <w:r w:rsidR="00C16B14" w:rsidRPr="008E742D">
        <w:rPr>
          <w:rFonts w:ascii="Arial" w:hAnsi="Arial" w:cs="Arial"/>
          <w:lang w:val="en-US"/>
        </w:rPr>
        <w:t xml:space="preserve">employment and further that there was a duty upon the agent to communicate the </w:t>
      </w:r>
      <w:r w:rsidR="000A1316">
        <w:rPr>
          <w:rFonts w:ascii="Arial" w:hAnsi="Arial" w:cs="Arial"/>
          <w:lang w:val="en-US"/>
        </w:rPr>
        <w:tab/>
      </w:r>
      <w:r w:rsidR="00C16B14" w:rsidRPr="008E742D">
        <w:rPr>
          <w:rFonts w:ascii="Arial" w:hAnsi="Arial" w:cs="Arial"/>
          <w:lang w:val="en-US"/>
        </w:rPr>
        <w:t xml:space="preserve">information obtained. Whether there is a duty depends upon the scope of the authority </w:t>
      </w:r>
      <w:r w:rsidR="000A1316">
        <w:rPr>
          <w:rFonts w:ascii="Arial" w:hAnsi="Arial" w:cs="Arial"/>
          <w:lang w:val="en-US"/>
        </w:rPr>
        <w:tab/>
      </w:r>
      <w:r w:rsidR="00C16B14" w:rsidRPr="008E742D">
        <w:rPr>
          <w:rFonts w:ascii="Arial" w:hAnsi="Arial" w:cs="Arial"/>
          <w:lang w:val="en-US"/>
        </w:rPr>
        <w:t xml:space="preserve">and the importance or materiality of such knowledge to the principal. The test of materiality </w:t>
      </w:r>
      <w:r w:rsidR="000A1316">
        <w:rPr>
          <w:rFonts w:ascii="Arial" w:hAnsi="Arial" w:cs="Arial"/>
          <w:lang w:val="en-US"/>
        </w:rPr>
        <w:tab/>
      </w:r>
      <w:r w:rsidR="00C16B14" w:rsidRPr="008E742D">
        <w:rPr>
          <w:rFonts w:ascii="Arial" w:hAnsi="Arial" w:cs="Arial"/>
          <w:lang w:val="en-US"/>
        </w:rPr>
        <w:t xml:space="preserve">is whether the knowledge of the agent is considered to be of such a kind that, in the </w:t>
      </w:r>
      <w:r w:rsidR="000A1316">
        <w:rPr>
          <w:rFonts w:ascii="Arial" w:hAnsi="Arial" w:cs="Arial"/>
          <w:lang w:val="en-US"/>
        </w:rPr>
        <w:tab/>
      </w:r>
      <w:r w:rsidR="00C16B14" w:rsidRPr="008E742D">
        <w:rPr>
          <w:rFonts w:ascii="Arial" w:hAnsi="Arial" w:cs="Arial"/>
          <w:lang w:val="en-US"/>
        </w:rPr>
        <w:t>ordinary course of business, a reasonable person would be expected to impart this knowledge to the person who has delegated to such agent the conduct and control of his or her affairs.</w:t>
      </w:r>
      <w:r>
        <w:rPr>
          <w:rFonts w:ascii="Arial" w:hAnsi="Arial" w:cs="Arial"/>
          <w:lang w:val="en-US"/>
        </w:rPr>
        <w:t>’</w:t>
      </w:r>
      <w:r w:rsidR="00C16B14" w:rsidRPr="008E742D">
        <w:rPr>
          <w:rFonts w:ascii="Arial" w:hAnsi="Arial" w:cs="Arial"/>
          <w:lang w:val="en-US"/>
        </w:rPr>
        <w:t xml:space="preserve"> </w:t>
      </w:r>
    </w:p>
    <w:p w:rsidR="000A1316" w:rsidRPr="008E742D" w:rsidRDefault="000A1316" w:rsidP="003C75E8">
      <w:pPr>
        <w:spacing w:after="0" w:line="360" w:lineRule="auto"/>
        <w:ind w:firstLine="720"/>
        <w:jc w:val="both"/>
        <w:rPr>
          <w:rFonts w:ascii="Arial" w:hAnsi="Arial" w:cs="Arial"/>
          <w:lang w:val="en-US"/>
        </w:rPr>
      </w:pPr>
    </w:p>
    <w:p w:rsidR="00DF3CB8" w:rsidRDefault="00926BB7" w:rsidP="003C75E8">
      <w:pPr>
        <w:spacing w:after="0" w:line="360" w:lineRule="auto"/>
        <w:jc w:val="both"/>
        <w:rPr>
          <w:rFonts w:ascii="Arial" w:hAnsi="Arial" w:cs="Arial"/>
          <w:sz w:val="24"/>
          <w:szCs w:val="24"/>
          <w:lang w:val="en-US"/>
        </w:rPr>
      </w:pPr>
      <w:r>
        <w:rPr>
          <w:rFonts w:ascii="Arial" w:hAnsi="Arial" w:cs="Arial"/>
          <w:sz w:val="24"/>
          <w:szCs w:val="24"/>
          <w:lang w:val="en-US"/>
        </w:rPr>
        <w:t>[3</w:t>
      </w:r>
      <w:r w:rsidR="000A1316">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 xml:space="preserve">In view of the legal principles that I have set out in the preceding paragraphs it becomes immaterial as to whether or not </w:t>
      </w:r>
      <w:r w:rsidR="004F220E" w:rsidRPr="0052743D">
        <w:rPr>
          <w:rFonts w:ascii="Arial" w:hAnsi="Arial" w:cs="Arial"/>
          <w:sz w:val="24"/>
          <w:szCs w:val="24"/>
          <w:lang w:val="en-US"/>
        </w:rPr>
        <w:t xml:space="preserve">the General Exceptions, Conditions and Provisions </w:t>
      </w:r>
      <w:r>
        <w:rPr>
          <w:rFonts w:ascii="Arial" w:hAnsi="Arial" w:cs="Arial"/>
          <w:sz w:val="24"/>
          <w:szCs w:val="24"/>
          <w:lang w:val="en-US"/>
        </w:rPr>
        <w:t xml:space="preserve">were </w:t>
      </w:r>
      <w:r w:rsidR="004F220E" w:rsidRPr="0052743D">
        <w:rPr>
          <w:rFonts w:ascii="Arial" w:hAnsi="Arial" w:cs="Arial"/>
          <w:sz w:val="24"/>
          <w:szCs w:val="24"/>
          <w:lang w:val="en-US"/>
        </w:rPr>
        <w:t xml:space="preserve">sent to </w:t>
      </w:r>
      <w:r w:rsidR="00DF3CB8">
        <w:rPr>
          <w:rFonts w:ascii="Arial" w:hAnsi="Arial" w:cs="Arial"/>
          <w:sz w:val="24"/>
          <w:szCs w:val="24"/>
          <w:lang w:val="en-US"/>
        </w:rPr>
        <w:t xml:space="preserve">or discussed with </w:t>
      </w:r>
      <w:r>
        <w:rPr>
          <w:rFonts w:ascii="Arial" w:hAnsi="Arial" w:cs="Arial"/>
          <w:sz w:val="24"/>
          <w:szCs w:val="24"/>
          <w:lang w:val="en-US"/>
        </w:rPr>
        <w:t xml:space="preserve">Hamukoto of the plaintiff, </w:t>
      </w:r>
      <w:r w:rsidR="00DF3CB8">
        <w:rPr>
          <w:rFonts w:ascii="Arial" w:hAnsi="Arial" w:cs="Arial"/>
          <w:sz w:val="24"/>
          <w:szCs w:val="24"/>
          <w:lang w:val="en-US"/>
        </w:rPr>
        <w:t>if it is established that Mr Gaugorob who acted as agent for the plaintiff had knowledge of the time</w:t>
      </w:r>
      <w:r w:rsidR="000A1316">
        <w:rPr>
          <w:rFonts w:ascii="Arial" w:hAnsi="Arial" w:cs="Arial"/>
          <w:sz w:val="24"/>
          <w:szCs w:val="24"/>
          <w:lang w:val="en-US"/>
        </w:rPr>
        <w:t>-</w:t>
      </w:r>
      <w:r w:rsidR="00DF3CB8">
        <w:rPr>
          <w:rFonts w:ascii="Arial" w:hAnsi="Arial" w:cs="Arial"/>
          <w:sz w:val="24"/>
          <w:szCs w:val="24"/>
          <w:lang w:val="en-US"/>
        </w:rPr>
        <w:t>bar clause.</w:t>
      </w:r>
    </w:p>
    <w:p w:rsidR="00DF3CB8" w:rsidRDefault="00DF3CB8" w:rsidP="003C75E8">
      <w:pPr>
        <w:spacing w:after="0" w:line="360" w:lineRule="auto"/>
        <w:jc w:val="both"/>
        <w:rPr>
          <w:rFonts w:ascii="Arial" w:hAnsi="Arial" w:cs="Arial"/>
          <w:sz w:val="24"/>
          <w:szCs w:val="24"/>
          <w:lang w:val="en-US"/>
        </w:rPr>
      </w:pPr>
    </w:p>
    <w:p w:rsidR="003B3771" w:rsidRDefault="00DF3CB8" w:rsidP="003C75E8">
      <w:pPr>
        <w:spacing w:after="0" w:line="360" w:lineRule="auto"/>
        <w:jc w:val="both"/>
        <w:rPr>
          <w:rFonts w:ascii="Arial" w:hAnsi="Arial" w:cs="Arial"/>
          <w:sz w:val="24"/>
          <w:szCs w:val="24"/>
          <w:lang w:val="en-US"/>
        </w:rPr>
      </w:pPr>
      <w:r>
        <w:rPr>
          <w:rFonts w:ascii="Arial" w:hAnsi="Arial" w:cs="Arial"/>
          <w:sz w:val="24"/>
          <w:szCs w:val="24"/>
          <w:lang w:val="en-US"/>
        </w:rPr>
        <w:t>[3</w:t>
      </w:r>
      <w:r w:rsidR="000A1316">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 xml:space="preserve"> Mr Barnard </w:t>
      </w:r>
      <w:r w:rsidR="00926BB7">
        <w:rPr>
          <w:rFonts w:ascii="Arial" w:hAnsi="Arial" w:cs="Arial"/>
          <w:sz w:val="24"/>
          <w:szCs w:val="24"/>
          <w:lang w:val="en-US"/>
        </w:rPr>
        <w:t xml:space="preserve">testified that the agents who transact with the defendant, </w:t>
      </w:r>
      <w:r>
        <w:rPr>
          <w:rFonts w:ascii="Arial" w:hAnsi="Arial" w:cs="Arial"/>
          <w:sz w:val="24"/>
          <w:szCs w:val="24"/>
          <w:lang w:val="en-US"/>
        </w:rPr>
        <w:t xml:space="preserve">were trained with respect to the Insurance contracts that are </w:t>
      </w:r>
      <w:r w:rsidR="00C3628F">
        <w:rPr>
          <w:rFonts w:ascii="Arial" w:hAnsi="Arial" w:cs="Arial"/>
          <w:sz w:val="24"/>
          <w:szCs w:val="24"/>
          <w:lang w:val="en-US"/>
        </w:rPr>
        <w:t>issued by the defendant. He continued and testified that the defendant as a general practice issues the Trade Schedule and the brokers/agents must then explain the</w:t>
      </w:r>
      <w:r w:rsidR="003B3771">
        <w:rPr>
          <w:rFonts w:ascii="Arial" w:hAnsi="Arial" w:cs="Arial"/>
          <w:sz w:val="24"/>
          <w:szCs w:val="24"/>
          <w:lang w:val="en-US"/>
        </w:rPr>
        <w:t xml:space="preserve"> policy wording or General</w:t>
      </w:r>
      <w:r w:rsidR="00C3628F" w:rsidRPr="0052743D">
        <w:rPr>
          <w:rFonts w:ascii="Arial" w:hAnsi="Arial" w:cs="Arial"/>
          <w:sz w:val="24"/>
          <w:szCs w:val="24"/>
          <w:lang w:val="en-US"/>
        </w:rPr>
        <w:t xml:space="preserve"> Exceptions, Conditions and Provisions</w:t>
      </w:r>
      <w:r w:rsidR="00C3628F">
        <w:rPr>
          <w:rFonts w:ascii="Arial" w:hAnsi="Arial" w:cs="Arial"/>
          <w:sz w:val="24"/>
          <w:szCs w:val="24"/>
          <w:lang w:val="en-US"/>
        </w:rPr>
        <w:t xml:space="preserve"> to the insure</w:t>
      </w:r>
      <w:r w:rsidR="003B3771">
        <w:rPr>
          <w:rFonts w:ascii="Arial" w:hAnsi="Arial" w:cs="Arial"/>
          <w:sz w:val="24"/>
          <w:szCs w:val="24"/>
          <w:lang w:val="en-US"/>
        </w:rPr>
        <w:t>d</w:t>
      </w:r>
      <w:r w:rsidR="00C3628F">
        <w:rPr>
          <w:rFonts w:ascii="Arial" w:hAnsi="Arial" w:cs="Arial"/>
          <w:sz w:val="24"/>
          <w:szCs w:val="24"/>
          <w:lang w:val="en-US"/>
        </w:rPr>
        <w:t xml:space="preserve">. </w:t>
      </w:r>
    </w:p>
    <w:p w:rsidR="003B3771" w:rsidRDefault="003B3771" w:rsidP="003C75E8">
      <w:pPr>
        <w:spacing w:after="0" w:line="360" w:lineRule="auto"/>
        <w:jc w:val="both"/>
        <w:rPr>
          <w:rFonts w:ascii="Arial" w:hAnsi="Arial" w:cs="Arial"/>
          <w:sz w:val="24"/>
          <w:szCs w:val="24"/>
          <w:lang w:val="en-US"/>
        </w:rPr>
      </w:pPr>
    </w:p>
    <w:p w:rsidR="003B3771" w:rsidRDefault="003B3771" w:rsidP="003C75E8">
      <w:pPr>
        <w:spacing w:after="0" w:line="360" w:lineRule="auto"/>
        <w:jc w:val="both"/>
        <w:rPr>
          <w:rFonts w:ascii="Arial" w:hAnsi="Arial" w:cs="Arial"/>
          <w:sz w:val="24"/>
          <w:szCs w:val="24"/>
        </w:rPr>
      </w:pPr>
      <w:r w:rsidRPr="003B3771">
        <w:rPr>
          <w:rFonts w:ascii="Arial" w:hAnsi="Arial" w:cs="Arial"/>
          <w:sz w:val="24"/>
          <w:szCs w:val="24"/>
          <w:lang w:val="en-US"/>
        </w:rPr>
        <w:t>[</w:t>
      </w:r>
      <w:r w:rsidR="000A1316">
        <w:rPr>
          <w:rFonts w:ascii="Arial" w:hAnsi="Arial" w:cs="Arial"/>
          <w:sz w:val="24"/>
          <w:szCs w:val="24"/>
          <w:lang w:val="en-US"/>
        </w:rPr>
        <w:t>40</w:t>
      </w:r>
      <w:r w:rsidRPr="003B3771">
        <w:rPr>
          <w:rFonts w:ascii="Arial" w:hAnsi="Arial" w:cs="Arial"/>
          <w:sz w:val="24"/>
          <w:szCs w:val="24"/>
          <w:lang w:val="en-US"/>
        </w:rPr>
        <w:t>]</w:t>
      </w:r>
      <w:r w:rsidRPr="003B3771">
        <w:rPr>
          <w:rFonts w:ascii="Arial" w:hAnsi="Arial" w:cs="Arial"/>
          <w:sz w:val="24"/>
          <w:szCs w:val="24"/>
          <w:lang w:val="en-US"/>
        </w:rPr>
        <w:tab/>
      </w:r>
      <w:r w:rsidR="00C3628F" w:rsidRPr="003B3771">
        <w:rPr>
          <w:rFonts w:ascii="Arial" w:hAnsi="Arial" w:cs="Arial"/>
          <w:sz w:val="24"/>
          <w:szCs w:val="24"/>
          <w:lang w:val="en-US"/>
        </w:rPr>
        <w:t>Mr Gaugorob</w:t>
      </w:r>
      <w:r w:rsidRPr="003B3771">
        <w:rPr>
          <w:rFonts w:ascii="Arial" w:hAnsi="Arial" w:cs="Arial"/>
          <w:sz w:val="24"/>
          <w:szCs w:val="24"/>
          <w:lang w:val="en-US"/>
        </w:rPr>
        <w:t xml:space="preserve">, upon </w:t>
      </w:r>
      <w:r w:rsidR="00553E63">
        <w:rPr>
          <w:rFonts w:ascii="Arial" w:hAnsi="Arial" w:cs="Arial"/>
          <w:sz w:val="24"/>
          <w:szCs w:val="24"/>
          <w:lang w:val="en-US"/>
        </w:rPr>
        <w:t xml:space="preserve">a </w:t>
      </w:r>
      <w:r w:rsidRPr="003B3771">
        <w:rPr>
          <w:rFonts w:ascii="Arial" w:hAnsi="Arial" w:cs="Arial"/>
          <w:sz w:val="24"/>
          <w:szCs w:val="24"/>
          <w:lang w:val="en-US"/>
        </w:rPr>
        <w:t xml:space="preserve">question from the Court, confirmed that </w:t>
      </w:r>
      <w:r>
        <w:rPr>
          <w:rFonts w:ascii="Arial" w:hAnsi="Arial" w:cs="Arial"/>
          <w:sz w:val="24"/>
          <w:szCs w:val="24"/>
          <w:lang w:val="en-US"/>
        </w:rPr>
        <w:t xml:space="preserve">the </w:t>
      </w:r>
      <w:r w:rsidRPr="003B3771">
        <w:rPr>
          <w:rFonts w:ascii="Arial" w:hAnsi="Arial" w:cs="Arial"/>
          <w:sz w:val="24"/>
          <w:szCs w:val="24"/>
        </w:rPr>
        <w:t xml:space="preserve">normal practice is that once </w:t>
      </w:r>
      <w:r>
        <w:rPr>
          <w:rFonts w:ascii="Arial" w:hAnsi="Arial" w:cs="Arial"/>
          <w:sz w:val="24"/>
          <w:szCs w:val="24"/>
        </w:rPr>
        <w:t>an insurer</w:t>
      </w:r>
      <w:r w:rsidRPr="003B3771">
        <w:rPr>
          <w:rFonts w:ascii="Arial" w:hAnsi="Arial" w:cs="Arial"/>
          <w:sz w:val="24"/>
          <w:szCs w:val="24"/>
        </w:rPr>
        <w:t xml:space="preserve"> send</w:t>
      </w:r>
      <w:r>
        <w:rPr>
          <w:rFonts w:ascii="Arial" w:hAnsi="Arial" w:cs="Arial"/>
          <w:sz w:val="24"/>
          <w:szCs w:val="24"/>
        </w:rPr>
        <w:t>s</w:t>
      </w:r>
      <w:r w:rsidRPr="003B3771">
        <w:rPr>
          <w:rFonts w:ascii="Arial" w:hAnsi="Arial" w:cs="Arial"/>
          <w:sz w:val="24"/>
          <w:szCs w:val="24"/>
        </w:rPr>
        <w:t xml:space="preserve"> out a policy schedule, a policy wording </w:t>
      </w:r>
      <w:r>
        <w:rPr>
          <w:rFonts w:ascii="Arial" w:hAnsi="Arial" w:cs="Arial"/>
          <w:sz w:val="24"/>
          <w:szCs w:val="24"/>
        </w:rPr>
        <w:t>will be provided to the broker/agent and uploaded on the system and the policy is active, and the insured is insured on the terms and conditions of the insurer</w:t>
      </w:r>
      <w:r w:rsidR="008A6841">
        <w:rPr>
          <w:rFonts w:ascii="Arial" w:hAnsi="Arial" w:cs="Arial"/>
          <w:sz w:val="24"/>
          <w:szCs w:val="24"/>
        </w:rPr>
        <w:t xml:space="preserve">. </w:t>
      </w:r>
      <w:r w:rsidR="005B6857">
        <w:rPr>
          <w:rFonts w:ascii="Arial" w:hAnsi="Arial" w:cs="Arial"/>
          <w:sz w:val="24"/>
          <w:szCs w:val="24"/>
        </w:rPr>
        <w:t xml:space="preserve">Part of the </w:t>
      </w:r>
      <w:r w:rsidR="008A6841">
        <w:rPr>
          <w:rFonts w:ascii="Arial" w:hAnsi="Arial" w:cs="Arial"/>
          <w:sz w:val="24"/>
          <w:szCs w:val="24"/>
        </w:rPr>
        <w:t>exchange between Mr Gaugorob and the Court went as follows:</w:t>
      </w:r>
    </w:p>
    <w:p w:rsidR="008A6841" w:rsidRPr="003B3771" w:rsidRDefault="008A6841" w:rsidP="003C75E8">
      <w:pPr>
        <w:spacing w:after="0" w:line="360" w:lineRule="auto"/>
        <w:jc w:val="both"/>
        <w:rPr>
          <w:rFonts w:ascii="Arial" w:hAnsi="Arial" w:cs="Arial"/>
          <w:sz w:val="24"/>
          <w:szCs w:val="24"/>
        </w:rPr>
      </w:pPr>
    </w:p>
    <w:p w:rsidR="008A6841" w:rsidRPr="00553E63" w:rsidRDefault="000A1316" w:rsidP="003C75E8">
      <w:pPr>
        <w:spacing w:after="0" w:line="360" w:lineRule="auto"/>
        <w:jc w:val="both"/>
        <w:rPr>
          <w:rFonts w:ascii="Arial" w:hAnsi="Arial" w:cs="Arial"/>
        </w:rPr>
      </w:pPr>
      <w:r>
        <w:rPr>
          <w:rFonts w:ascii="Arial" w:hAnsi="Arial" w:cs="Arial"/>
          <w:b/>
        </w:rPr>
        <w:tab/>
      </w:r>
      <w:r w:rsidR="000317EB">
        <w:rPr>
          <w:rFonts w:ascii="Arial" w:hAnsi="Arial" w:cs="Arial"/>
          <w:b/>
        </w:rPr>
        <w:t>‘</w:t>
      </w:r>
      <w:r w:rsidR="008A6841" w:rsidRPr="000A1316">
        <w:rPr>
          <w:rFonts w:ascii="Arial" w:hAnsi="Arial" w:cs="Arial"/>
        </w:rPr>
        <w:t>Mr Gaugorob</w:t>
      </w:r>
      <w:r w:rsidRPr="000A1316">
        <w:rPr>
          <w:rFonts w:ascii="Arial" w:hAnsi="Arial" w:cs="Arial"/>
        </w:rPr>
        <w:t xml:space="preserve"> --</w:t>
      </w:r>
      <w:r>
        <w:rPr>
          <w:rFonts w:ascii="Arial" w:hAnsi="Arial" w:cs="Arial"/>
          <w:b/>
        </w:rPr>
        <w:t xml:space="preserve"> </w:t>
      </w:r>
      <w:r w:rsidR="00553E63" w:rsidRPr="00553E63">
        <w:rPr>
          <w:rFonts w:ascii="Arial" w:hAnsi="Arial" w:cs="Arial"/>
        </w:rPr>
        <w:t xml:space="preserve">The company did not provide the policy wording to me... Normal practice is that once you send out a policy schedule, a policy wording on the inception state of the policy would have been attached …. it means that the, once it is sent out saying, if the </w:t>
      </w:r>
      <w:r>
        <w:rPr>
          <w:rFonts w:ascii="Arial" w:hAnsi="Arial" w:cs="Arial"/>
        </w:rPr>
        <w:tab/>
      </w:r>
      <w:r w:rsidR="00553E63" w:rsidRPr="00553E63">
        <w:rPr>
          <w:rFonts w:ascii="Arial" w:hAnsi="Arial" w:cs="Arial"/>
        </w:rPr>
        <w:t xml:space="preserve">closing is sent to the insurance </w:t>
      </w:r>
      <w:r w:rsidR="00553E63">
        <w:rPr>
          <w:rFonts w:ascii="Arial" w:hAnsi="Arial" w:cs="Arial"/>
        </w:rPr>
        <w:t>…</w:t>
      </w:r>
      <w:r w:rsidR="00553E63" w:rsidRPr="00553E63">
        <w:rPr>
          <w:rFonts w:ascii="Arial" w:hAnsi="Arial" w:cs="Arial"/>
        </w:rPr>
        <w:t xml:space="preserve"> Once you go into agreement with the client and the client agrees to the terms </w:t>
      </w:r>
      <w:r w:rsidR="00553E63">
        <w:rPr>
          <w:rFonts w:ascii="Arial" w:hAnsi="Arial" w:cs="Arial"/>
        </w:rPr>
        <w:t>and conditions of the insurance..</w:t>
      </w:r>
      <w:r w:rsidR="00553E63" w:rsidRPr="00553E63">
        <w:rPr>
          <w:rFonts w:ascii="Arial" w:hAnsi="Arial" w:cs="Arial"/>
        </w:rPr>
        <w:t>. The insurance company then provides the policy schedule</w:t>
      </w:r>
      <w:r w:rsidR="00553E63">
        <w:rPr>
          <w:rFonts w:ascii="Arial" w:hAnsi="Arial" w:cs="Arial"/>
        </w:rPr>
        <w:t xml:space="preserve"> and the policy wording…</w:t>
      </w:r>
      <w:r w:rsidR="00553E63" w:rsidRPr="00553E63">
        <w:rPr>
          <w:rFonts w:ascii="Arial" w:hAnsi="Arial" w:cs="Arial"/>
        </w:rPr>
        <w:t xml:space="preserve"> </w:t>
      </w:r>
      <w:r w:rsidR="00553E63">
        <w:rPr>
          <w:rFonts w:ascii="Arial" w:hAnsi="Arial" w:cs="Arial"/>
        </w:rPr>
        <w:t>t</w:t>
      </w:r>
      <w:r w:rsidR="00553E63" w:rsidRPr="00553E63">
        <w:rPr>
          <w:rFonts w:ascii="Arial" w:hAnsi="Arial" w:cs="Arial"/>
        </w:rPr>
        <w:t>o us as the broker</w:t>
      </w:r>
      <w:r w:rsidR="00553E63">
        <w:rPr>
          <w:rFonts w:ascii="Arial" w:hAnsi="Arial" w:cs="Arial"/>
        </w:rPr>
        <w:t xml:space="preserve">. </w:t>
      </w:r>
      <w:r w:rsidR="003B3771" w:rsidRPr="00553E63">
        <w:rPr>
          <w:rFonts w:ascii="Arial" w:hAnsi="Arial" w:cs="Arial"/>
        </w:rPr>
        <w:t>That means that the policy is now kept on record on their system. So that means that it is loaded onto their system.</w:t>
      </w:r>
      <w:r>
        <w:rPr>
          <w:rFonts w:ascii="Arial" w:hAnsi="Arial" w:cs="Arial"/>
        </w:rPr>
        <w:t xml:space="preserve"> </w:t>
      </w:r>
      <w:r w:rsidR="003B3771" w:rsidRPr="00553E63">
        <w:rPr>
          <w:rFonts w:ascii="Arial" w:hAnsi="Arial" w:cs="Arial"/>
        </w:rPr>
        <w:t xml:space="preserve">The, whatever information of the client is now onto their system and that confirms that there is a policy wording now sent, ag, policy schedule sent out to the broker house. So which means that the policy is now active. You are now an insured person </w:t>
      </w:r>
      <w:r w:rsidR="008A6841" w:rsidRPr="00553E63">
        <w:rPr>
          <w:rFonts w:ascii="Arial" w:hAnsi="Arial" w:cs="Arial"/>
        </w:rPr>
        <w:t>…</w:t>
      </w:r>
    </w:p>
    <w:p w:rsidR="000A1316" w:rsidRDefault="000A1316" w:rsidP="003C75E8">
      <w:pPr>
        <w:spacing w:after="0" w:line="360" w:lineRule="auto"/>
        <w:ind w:firstLine="720"/>
        <w:jc w:val="both"/>
        <w:rPr>
          <w:rFonts w:ascii="Arial" w:hAnsi="Arial" w:cs="Arial"/>
        </w:rPr>
      </w:pPr>
    </w:p>
    <w:p w:rsidR="003B3771" w:rsidRPr="008A6841" w:rsidRDefault="008A6841" w:rsidP="000317EB">
      <w:pPr>
        <w:spacing w:after="0" w:line="360" w:lineRule="auto"/>
        <w:jc w:val="both"/>
        <w:rPr>
          <w:rFonts w:ascii="Arial" w:hAnsi="Arial" w:cs="Arial"/>
        </w:rPr>
      </w:pPr>
      <w:r w:rsidRPr="000A1316">
        <w:rPr>
          <w:rFonts w:ascii="Arial" w:hAnsi="Arial" w:cs="Arial"/>
        </w:rPr>
        <w:t>Court</w:t>
      </w:r>
      <w:r w:rsidR="000A1316" w:rsidRPr="000A1316">
        <w:rPr>
          <w:rFonts w:ascii="Arial" w:hAnsi="Arial" w:cs="Arial"/>
        </w:rPr>
        <w:t xml:space="preserve"> -</w:t>
      </w:r>
      <w:r w:rsidRPr="008A6841">
        <w:rPr>
          <w:rFonts w:ascii="Arial" w:hAnsi="Arial" w:cs="Arial"/>
        </w:rPr>
        <w:t xml:space="preserve"> </w:t>
      </w:r>
      <w:r w:rsidR="003B3771" w:rsidRPr="008A6841">
        <w:rPr>
          <w:rFonts w:ascii="Arial" w:hAnsi="Arial" w:cs="Arial"/>
        </w:rPr>
        <w:t xml:space="preserve">On the terms, on their terms and conditions? </w:t>
      </w:r>
    </w:p>
    <w:p w:rsidR="008A6841" w:rsidRPr="008A6841" w:rsidRDefault="008A6841" w:rsidP="003C75E8">
      <w:pPr>
        <w:tabs>
          <w:tab w:val="left" w:pos="900"/>
        </w:tabs>
        <w:spacing w:after="0" w:line="360" w:lineRule="auto"/>
        <w:jc w:val="both"/>
        <w:rPr>
          <w:rFonts w:ascii="Arial" w:hAnsi="Arial" w:cs="Arial"/>
        </w:rPr>
      </w:pPr>
    </w:p>
    <w:p w:rsidR="000A1316" w:rsidRDefault="008A6841" w:rsidP="003C75E8">
      <w:pPr>
        <w:spacing w:after="0" w:line="360" w:lineRule="auto"/>
        <w:jc w:val="both"/>
        <w:rPr>
          <w:rFonts w:ascii="Arial" w:hAnsi="Arial" w:cs="Arial"/>
        </w:rPr>
      </w:pPr>
      <w:r w:rsidRPr="000A1316">
        <w:rPr>
          <w:rFonts w:ascii="Arial" w:hAnsi="Arial" w:cs="Arial"/>
        </w:rPr>
        <w:t>Mr Gaugorob</w:t>
      </w:r>
      <w:r w:rsidRPr="008A6841">
        <w:rPr>
          <w:rFonts w:ascii="Arial" w:hAnsi="Arial" w:cs="Arial"/>
        </w:rPr>
        <w:t xml:space="preserve"> </w:t>
      </w:r>
      <w:r w:rsidR="000A1316">
        <w:rPr>
          <w:rFonts w:ascii="Arial" w:hAnsi="Arial" w:cs="Arial"/>
        </w:rPr>
        <w:t xml:space="preserve">-- </w:t>
      </w:r>
      <w:r w:rsidR="003B3771" w:rsidRPr="008A6841">
        <w:rPr>
          <w:rFonts w:ascii="Arial" w:hAnsi="Arial" w:cs="Arial"/>
        </w:rPr>
        <w:t>On their terms and conditions, yes.</w:t>
      </w:r>
    </w:p>
    <w:p w:rsidR="000A1316" w:rsidRDefault="000A1316" w:rsidP="003C75E8">
      <w:pPr>
        <w:spacing w:after="0" w:line="360" w:lineRule="auto"/>
        <w:jc w:val="both"/>
        <w:rPr>
          <w:rFonts w:ascii="Arial" w:hAnsi="Arial" w:cs="Arial"/>
        </w:rPr>
      </w:pPr>
    </w:p>
    <w:p w:rsidR="000A1316" w:rsidRDefault="008A6841" w:rsidP="003C75E8">
      <w:pPr>
        <w:spacing w:after="0" w:line="360" w:lineRule="auto"/>
        <w:jc w:val="both"/>
        <w:rPr>
          <w:rFonts w:ascii="Arial" w:hAnsi="Arial" w:cs="Arial"/>
        </w:rPr>
      </w:pPr>
      <w:r w:rsidRPr="000A1316">
        <w:rPr>
          <w:rFonts w:ascii="Arial" w:hAnsi="Arial" w:cs="Arial"/>
        </w:rPr>
        <w:t>Court</w:t>
      </w:r>
      <w:r w:rsidR="000A1316" w:rsidRPr="000A1316">
        <w:rPr>
          <w:rFonts w:ascii="Arial" w:hAnsi="Arial" w:cs="Arial"/>
        </w:rPr>
        <w:t xml:space="preserve"> -</w:t>
      </w:r>
      <w:r w:rsidR="000A1316">
        <w:rPr>
          <w:rFonts w:ascii="Arial" w:hAnsi="Arial" w:cs="Arial"/>
          <w:b/>
        </w:rPr>
        <w:t xml:space="preserve"> </w:t>
      </w:r>
      <w:r w:rsidR="003B3771" w:rsidRPr="008A6841">
        <w:rPr>
          <w:rFonts w:ascii="Arial" w:hAnsi="Arial" w:cs="Arial"/>
        </w:rPr>
        <w:t>How, who has to convey those terms</w:t>
      </w:r>
      <w:r w:rsidR="000A1316">
        <w:rPr>
          <w:rFonts w:ascii="Arial" w:hAnsi="Arial" w:cs="Arial"/>
        </w:rPr>
        <w:t xml:space="preserve"> and conditions to the insured?</w:t>
      </w:r>
    </w:p>
    <w:p w:rsidR="000A1316" w:rsidRDefault="000A1316" w:rsidP="003C75E8">
      <w:pPr>
        <w:spacing w:after="0" w:line="360" w:lineRule="auto"/>
        <w:jc w:val="both"/>
        <w:rPr>
          <w:rFonts w:ascii="Arial" w:hAnsi="Arial" w:cs="Arial"/>
        </w:rPr>
      </w:pPr>
    </w:p>
    <w:p w:rsidR="003B3771" w:rsidRPr="008A6841" w:rsidRDefault="008A6841" w:rsidP="003C75E8">
      <w:pPr>
        <w:spacing w:after="0" w:line="360" w:lineRule="auto"/>
        <w:jc w:val="both"/>
        <w:rPr>
          <w:rFonts w:ascii="Arial" w:hAnsi="Arial" w:cs="Arial"/>
        </w:rPr>
      </w:pPr>
      <w:r w:rsidRPr="000A1316">
        <w:rPr>
          <w:rFonts w:ascii="Arial" w:hAnsi="Arial" w:cs="Arial"/>
        </w:rPr>
        <w:t>Mr Gaugorob</w:t>
      </w:r>
      <w:r w:rsidR="000A1316" w:rsidRPr="000A1316">
        <w:rPr>
          <w:rFonts w:ascii="Arial" w:hAnsi="Arial" w:cs="Arial"/>
        </w:rPr>
        <w:t xml:space="preserve"> --</w:t>
      </w:r>
      <w:r w:rsidR="000A1316">
        <w:rPr>
          <w:rFonts w:ascii="Arial" w:hAnsi="Arial" w:cs="Arial"/>
          <w:b/>
        </w:rPr>
        <w:t xml:space="preserve"> </w:t>
      </w:r>
      <w:r w:rsidR="003B3771" w:rsidRPr="008A6841">
        <w:rPr>
          <w:rFonts w:ascii="Arial" w:hAnsi="Arial" w:cs="Arial"/>
        </w:rPr>
        <w:t>The broker.</w:t>
      </w:r>
      <w:r>
        <w:rPr>
          <w:rFonts w:ascii="Arial" w:hAnsi="Arial" w:cs="Arial"/>
        </w:rPr>
        <w:t xml:space="preserve"> …</w:t>
      </w:r>
      <w:r w:rsidR="003B3771" w:rsidRPr="008A6841">
        <w:rPr>
          <w:rFonts w:ascii="Arial" w:hAnsi="Arial" w:cs="Arial"/>
        </w:rPr>
        <w:t>That is, and based on that, we as the broker would say ‘if anything is not clear to you please contact us directly as I am broker in order to explain whatever needs to be, which is not clear</w:t>
      </w:r>
      <w:r w:rsidR="000A1316">
        <w:rPr>
          <w:rFonts w:ascii="Arial" w:hAnsi="Arial" w:cs="Arial"/>
        </w:rPr>
        <w:t>…</w:t>
      </w:r>
      <w:r w:rsidR="005B6857">
        <w:rPr>
          <w:rFonts w:ascii="Arial" w:hAnsi="Arial" w:cs="Arial"/>
        </w:rPr>
        <w:t>’</w:t>
      </w:r>
    </w:p>
    <w:p w:rsidR="00C51A78" w:rsidRPr="0052743D" w:rsidRDefault="00C51A78" w:rsidP="003C75E8">
      <w:pPr>
        <w:pStyle w:val="ListParagraph"/>
        <w:spacing w:after="0" w:line="360" w:lineRule="auto"/>
        <w:ind w:left="0"/>
        <w:jc w:val="both"/>
        <w:rPr>
          <w:rFonts w:ascii="Arial" w:hAnsi="Arial" w:cs="Arial"/>
          <w:sz w:val="24"/>
          <w:szCs w:val="24"/>
          <w:lang w:val="en-US"/>
        </w:rPr>
      </w:pPr>
    </w:p>
    <w:p w:rsidR="005D5E38" w:rsidRPr="005D5E38" w:rsidRDefault="005B6857" w:rsidP="000317EB">
      <w:pPr>
        <w:spacing w:after="0" w:line="360" w:lineRule="auto"/>
        <w:jc w:val="both"/>
        <w:rPr>
          <w:rFonts w:ascii="Arial" w:hAnsi="Arial" w:cs="Arial"/>
          <w:sz w:val="24"/>
          <w:szCs w:val="24"/>
        </w:rPr>
      </w:pPr>
      <w:r>
        <w:rPr>
          <w:rFonts w:ascii="Arial" w:hAnsi="Arial" w:cs="Arial"/>
          <w:sz w:val="24"/>
          <w:szCs w:val="24"/>
          <w:lang w:val="en-US"/>
        </w:rPr>
        <w:t>[</w:t>
      </w:r>
      <w:r w:rsidR="000A1316">
        <w:rPr>
          <w:rFonts w:ascii="Arial" w:hAnsi="Arial" w:cs="Arial"/>
          <w:sz w:val="24"/>
          <w:szCs w:val="24"/>
          <w:lang w:val="en-US"/>
        </w:rPr>
        <w:t>41</w:t>
      </w:r>
      <w:r w:rsidRPr="005D5E38">
        <w:rPr>
          <w:rFonts w:ascii="Arial" w:hAnsi="Arial" w:cs="Arial"/>
          <w:sz w:val="24"/>
          <w:szCs w:val="24"/>
          <w:lang w:val="en-US"/>
        </w:rPr>
        <w:t>]</w:t>
      </w:r>
      <w:r w:rsidRPr="005D5E38">
        <w:rPr>
          <w:rFonts w:ascii="Arial" w:hAnsi="Arial" w:cs="Arial"/>
          <w:sz w:val="24"/>
          <w:szCs w:val="24"/>
          <w:lang w:val="en-US"/>
        </w:rPr>
        <w:tab/>
        <w:t>Mr Gaugorob admitted that he was aware and had knowledge of the terms and conditions (including the time</w:t>
      </w:r>
      <w:r w:rsidR="000A1316">
        <w:rPr>
          <w:rFonts w:ascii="Arial" w:hAnsi="Arial" w:cs="Arial"/>
          <w:sz w:val="24"/>
          <w:szCs w:val="24"/>
          <w:lang w:val="en-US"/>
        </w:rPr>
        <w:t>-</w:t>
      </w:r>
      <w:r w:rsidRPr="005D5E38">
        <w:rPr>
          <w:rFonts w:ascii="Arial" w:hAnsi="Arial" w:cs="Arial"/>
          <w:sz w:val="24"/>
          <w:szCs w:val="24"/>
          <w:lang w:val="en-US"/>
        </w:rPr>
        <w:t xml:space="preserve">bar clause) of the insurance contract that was signed between the plaintiff and the defendant. </w:t>
      </w:r>
      <w:r w:rsidR="00A12F41" w:rsidRPr="005D5E38">
        <w:rPr>
          <w:rFonts w:ascii="Arial" w:hAnsi="Arial" w:cs="Arial"/>
          <w:sz w:val="24"/>
          <w:szCs w:val="24"/>
          <w:lang w:val="en-US"/>
        </w:rPr>
        <w:t>Mr Appolus in cross</w:t>
      </w:r>
      <w:r w:rsidR="000A1316">
        <w:rPr>
          <w:rFonts w:ascii="Arial" w:hAnsi="Arial" w:cs="Arial"/>
          <w:sz w:val="24"/>
          <w:szCs w:val="24"/>
          <w:lang w:val="en-US"/>
        </w:rPr>
        <w:t>-</w:t>
      </w:r>
      <w:r w:rsidR="00A12F41" w:rsidRPr="005D5E38">
        <w:rPr>
          <w:rFonts w:ascii="Arial" w:hAnsi="Arial" w:cs="Arial"/>
          <w:sz w:val="24"/>
          <w:szCs w:val="24"/>
          <w:lang w:val="en-US"/>
        </w:rPr>
        <w:t xml:space="preserve">examination suggested to Mr Gaugorob that it was not within </w:t>
      </w:r>
      <w:r w:rsidR="005D5E38" w:rsidRPr="005D5E38">
        <w:rPr>
          <w:rFonts w:ascii="Arial" w:hAnsi="Arial" w:cs="Arial"/>
          <w:sz w:val="24"/>
          <w:szCs w:val="24"/>
          <w:lang w:val="en-US"/>
        </w:rPr>
        <w:t xml:space="preserve">his </w:t>
      </w:r>
      <w:r w:rsidR="00A12F41" w:rsidRPr="005D5E38">
        <w:rPr>
          <w:rFonts w:ascii="Arial" w:hAnsi="Arial" w:cs="Arial"/>
          <w:sz w:val="24"/>
          <w:szCs w:val="24"/>
          <w:lang w:val="en-US"/>
        </w:rPr>
        <w:t>authority to accept the time</w:t>
      </w:r>
      <w:r w:rsidR="000A1316">
        <w:rPr>
          <w:rFonts w:ascii="Arial" w:hAnsi="Arial" w:cs="Arial"/>
          <w:sz w:val="24"/>
          <w:szCs w:val="24"/>
          <w:lang w:val="en-US"/>
        </w:rPr>
        <w:t>-</w:t>
      </w:r>
      <w:r w:rsidR="00A12F41" w:rsidRPr="005D5E38">
        <w:rPr>
          <w:rFonts w:ascii="Arial" w:hAnsi="Arial" w:cs="Arial"/>
          <w:sz w:val="24"/>
          <w:szCs w:val="24"/>
          <w:lang w:val="en-US"/>
        </w:rPr>
        <w:t>bar clause.</w:t>
      </w:r>
      <w:r w:rsidR="005D5E38" w:rsidRPr="005D5E38">
        <w:rPr>
          <w:rFonts w:ascii="Arial" w:hAnsi="Arial" w:cs="Arial"/>
          <w:sz w:val="24"/>
          <w:szCs w:val="24"/>
          <w:lang w:val="en-US"/>
        </w:rPr>
        <w:t xml:space="preserve"> Mr Gaugorob replied that </w:t>
      </w:r>
      <w:r w:rsidR="005D5E38" w:rsidRPr="005D5E38">
        <w:rPr>
          <w:rFonts w:ascii="Arial" w:hAnsi="Arial" w:cs="Arial"/>
          <w:sz w:val="24"/>
          <w:szCs w:val="24"/>
        </w:rPr>
        <w:t>whatever authority he had was mandated to him by Mr Hamukoto for the insured I was given was mandated by him as the insured. He said:</w:t>
      </w:r>
    </w:p>
    <w:p w:rsidR="000A1316" w:rsidRDefault="000A1316" w:rsidP="003C75E8">
      <w:pPr>
        <w:spacing w:after="0" w:line="360" w:lineRule="auto"/>
        <w:ind w:firstLine="720"/>
        <w:jc w:val="both"/>
        <w:rPr>
          <w:rFonts w:ascii="Arial" w:hAnsi="Arial" w:cs="Arial"/>
        </w:rPr>
      </w:pPr>
    </w:p>
    <w:p w:rsidR="005D5E38" w:rsidRPr="000A1316" w:rsidRDefault="000A1316" w:rsidP="003C75E8">
      <w:pPr>
        <w:spacing w:after="0" w:line="360" w:lineRule="auto"/>
        <w:ind w:firstLine="720"/>
        <w:jc w:val="both"/>
        <w:rPr>
          <w:rFonts w:ascii="Arial" w:hAnsi="Arial" w:cs="Arial"/>
        </w:rPr>
      </w:pPr>
      <w:r>
        <w:rPr>
          <w:rFonts w:ascii="Arial" w:hAnsi="Arial" w:cs="Arial"/>
        </w:rPr>
        <w:t>“</w:t>
      </w:r>
      <w:r w:rsidR="005D5E38" w:rsidRPr="000A1316">
        <w:rPr>
          <w:rFonts w:ascii="Arial" w:hAnsi="Arial" w:cs="Arial"/>
        </w:rPr>
        <w:t xml:space="preserve">I was given all mandate to negotiate the insurance terms and conditions on behalf of him </w:t>
      </w:r>
      <w:r>
        <w:rPr>
          <w:rFonts w:ascii="Arial" w:hAnsi="Arial" w:cs="Arial"/>
        </w:rPr>
        <w:tab/>
      </w:r>
      <w:r w:rsidR="005D5E38" w:rsidRPr="000A1316">
        <w:rPr>
          <w:rFonts w:ascii="Arial" w:hAnsi="Arial" w:cs="Arial"/>
        </w:rPr>
        <w:t>and the insurance company.</w:t>
      </w:r>
      <w:r>
        <w:rPr>
          <w:rFonts w:ascii="Arial" w:hAnsi="Arial" w:cs="Arial"/>
        </w:rPr>
        <w:t>”</w:t>
      </w:r>
    </w:p>
    <w:p w:rsidR="000A1316" w:rsidRPr="000A1316" w:rsidRDefault="000A1316" w:rsidP="003C75E8">
      <w:pPr>
        <w:pStyle w:val="ListParagraph"/>
        <w:spacing w:line="360" w:lineRule="auto"/>
        <w:ind w:left="0"/>
        <w:jc w:val="both"/>
        <w:rPr>
          <w:rFonts w:ascii="Arial" w:hAnsi="Arial" w:cs="Arial"/>
          <w:sz w:val="24"/>
          <w:szCs w:val="24"/>
          <w:u w:val="single"/>
          <w:lang w:val="en-US"/>
        </w:rPr>
      </w:pPr>
      <w:r w:rsidRPr="000A1316">
        <w:rPr>
          <w:rFonts w:ascii="Arial" w:hAnsi="Arial" w:cs="Arial"/>
          <w:sz w:val="24"/>
          <w:szCs w:val="24"/>
          <w:u w:val="single"/>
          <w:lang w:val="en-US"/>
        </w:rPr>
        <w:t>Findings</w:t>
      </w:r>
    </w:p>
    <w:p w:rsidR="000A1316" w:rsidRDefault="000A1316" w:rsidP="003C75E8">
      <w:pPr>
        <w:pStyle w:val="ListParagraph"/>
        <w:spacing w:line="360" w:lineRule="auto"/>
        <w:ind w:left="0"/>
        <w:jc w:val="both"/>
        <w:rPr>
          <w:rFonts w:ascii="Arial" w:hAnsi="Arial" w:cs="Arial"/>
          <w:sz w:val="24"/>
          <w:szCs w:val="24"/>
          <w:lang w:val="en-US"/>
        </w:rPr>
      </w:pPr>
    </w:p>
    <w:p w:rsidR="00F737A3" w:rsidRDefault="005D5E38" w:rsidP="003C75E8">
      <w:pPr>
        <w:pStyle w:val="ListParagraph"/>
        <w:spacing w:line="360" w:lineRule="auto"/>
        <w:ind w:left="0"/>
        <w:jc w:val="both"/>
        <w:rPr>
          <w:rFonts w:ascii="Arial" w:hAnsi="Arial" w:cs="Arial"/>
          <w:sz w:val="24"/>
          <w:szCs w:val="24"/>
        </w:rPr>
      </w:pPr>
      <w:r>
        <w:rPr>
          <w:rFonts w:ascii="Arial" w:hAnsi="Arial" w:cs="Arial"/>
          <w:sz w:val="24"/>
          <w:szCs w:val="24"/>
          <w:lang w:val="en-US"/>
        </w:rPr>
        <w:t>[</w:t>
      </w:r>
      <w:r w:rsidR="000A1316">
        <w:rPr>
          <w:rFonts w:ascii="Arial" w:hAnsi="Arial" w:cs="Arial"/>
          <w:sz w:val="24"/>
          <w:szCs w:val="24"/>
          <w:lang w:val="en-US"/>
        </w:rPr>
        <w:t>42</w:t>
      </w:r>
      <w:r>
        <w:rPr>
          <w:rFonts w:ascii="Arial" w:hAnsi="Arial" w:cs="Arial"/>
          <w:sz w:val="24"/>
          <w:szCs w:val="24"/>
          <w:lang w:val="en-US"/>
        </w:rPr>
        <w:t>]</w:t>
      </w:r>
      <w:r>
        <w:rPr>
          <w:rFonts w:ascii="Arial" w:hAnsi="Arial" w:cs="Arial"/>
          <w:sz w:val="24"/>
          <w:szCs w:val="24"/>
          <w:lang w:val="en-US"/>
        </w:rPr>
        <w:tab/>
        <w:t xml:space="preserve">I therefore have no doubt in my mind that </w:t>
      </w:r>
      <w:r>
        <w:rPr>
          <w:rFonts w:ascii="Arial" w:hAnsi="Arial" w:cs="Arial"/>
          <w:sz w:val="24"/>
          <w:szCs w:val="24"/>
        </w:rPr>
        <w:t>the knowledge</w:t>
      </w:r>
      <w:r w:rsidR="001B16E7">
        <w:rPr>
          <w:rFonts w:ascii="Arial" w:hAnsi="Arial" w:cs="Arial"/>
          <w:sz w:val="24"/>
          <w:szCs w:val="24"/>
        </w:rPr>
        <w:t>,</w:t>
      </w:r>
      <w:r>
        <w:rPr>
          <w:rFonts w:ascii="Arial" w:hAnsi="Arial" w:cs="Arial"/>
          <w:sz w:val="24"/>
          <w:szCs w:val="24"/>
        </w:rPr>
        <w:t xml:space="preserve"> with respect to the time</w:t>
      </w:r>
      <w:r w:rsidR="000A1316">
        <w:rPr>
          <w:rFonts w:ascii="Arial" w:hAnsi="Arial" w:cs="Arial"/>
          <w:sz w:val="24"/>
          <w:szCs w:val="24"/>
        </w:rPr>
        <w:t>-</w:t>
      </w:r>
      <w:r>
        <w:rPr>
          <w:rFonts w:ascii="Arial" w:hAnsi="Arial" w:cs="Arial"/>
          <w:sz w:val="24"/>
          <w:szCs w:val="24"/>
        </w:rPr>
        <w:t>bar clause</w:t>
      </w:r>
      <w:r w:rsidR="001B16E7">
        <w:rPr>
          <w:rFonts w:ascii="Arial" w:hAnsi="Arial" w:cs="Arial"/>
          <w:sz w:val="24"/>
          <w:szCs w:val="24"/>
        </w:rPr>
        <w:t>,</w:t>
      </w:r>
      <w:r>
        <w:rPr>
          <w:rFonts w:ascii="Arial" w:hAnsi="Arial" w:cs="Arial"/>
          <w:sz w:val="24"/>
          <w:szCs w:val="24"/>
        </w:rPr>
        <w:t xml:space="preserve"> which Mr Gaugorob had, he </w:t>
      </w:r>
      <w:r w:rsidR="00B70270">
        <w:rPr>
          <w:rFonts w:ascii="Arial" w:hAnsi="Arial" w:cs="Arial"/>
          <w:sz w:val="24"/>
          <w:szCs w:val="24"/>
        </w:rPr>
        <w:t>had acquired</w:t>
      </w:r>
      <w:r>
        <w:rPr>
          <w:rFonts w:ascii="Arial" w:hAnsi="Arial" w:cs="Arial"/>
          <w:sz w:val="24"/>
          <w:szCs w:val="24"/>
        </w:rPr>
        <w:t xml:space="preserve"> while acting within </w:t>
      </w:r>
      <w:r w:rsidR="00B70270">
        <w:rPr>
          <w:rFonts w:ascii="Arial" w:hAnsi="Arial" w:cs="Arial"/>
          <w:sz w:val="24"/>
          <w:szCs w:val="24"/>
        </w:rPr>
        <w:t>his</w:t>
      </w:r>
      <w:r>
        <w:rPr>
          <w:rFonts w:ascii="Arial" w:hAnsi="Arial" w:cs="Arial"/>
          <w:sz w:val="24"/>
          <w:szCs w:val="24"/>
        </w:rPr>
        <w:t xml:space="preserve"> scope of employment </w:t>
      </w:r>
      <w:r w:rsidR="00B70270">
        <w:rPr>
          <w:rFonts w:ascii="Arial" w:hAnsi="Arial" w:cs="Arial"/>
          <w:sz w:val="24"/>
          <w:szCs w:val="24"/>
        </w:rPr>
        <w:t xml:space="preserve">as </w:t>
      </w:r>
      <w:r w:rsidR="001B16E7">
        <w:rPr>
          <w:rFonts w:ascii="Arial" w:hAnsi="Arial" w:cs="Arial"/>
          <w:sz w:val="24"/>
          <w:szCs w:val="24"/>
        </w:rPr>
        <w:t xml:space="preserve">an agent </w:t>
      </w:r>
      <w:r w:rsidR="00B70270">
        <w:rPr>
          <w:rFonts w:ascii="Arial" w:hAnsi="Arial" w:cs="Arial"/>
          <w:sz w:val="24"/>
          <w:szCs w:val="24"/>
        </w:rPr>
        <w:t>for the plaintiff. I am of the further view that the knowledge relating to the time</w:t>
      </w:r>
      <w:r w:rsidR="000A1316">
        <w:rPr>
          <w:rFonts w:ascii="Arial" w:hAnsi="Arial" w:cs="Arial"/>
          <w:sz w:val="24"/>
          <w:szCs w:val="24"/>
        </w:rPr>
        <w:t>-</w:t>
      </w:r>
      <w:r w:rsidR="00B70270">
        <w:rPr>
          <w:rFonts w:ascii="Arial" w:hAnsi="Arial" w:cs="Arial"/>
          <w:sz w:val="24"/>
          <w:szCs w:val="24"/>
        </w:rPr>
        <w:t xml:space="preserve">bar clause which Mr Gaugorob had </w:t>
      </w:r>
      <w:r w:rsidR="001B16E7">
        <w:rPr>
          <w:rFonts w:ascii="Arial" w:hAnsi="Arial" w:cs="Arial"/>
          <w:sz w:val="24"/>
          <w:szCs w:val="24"/>
        </w:rPr>
        <w:t>was</w:t>
      </w:r>
      <w:r>
        <w:rPr>
          <w:rFonts w:ascii="Arial" w:hAnsi="Arial" w:cs="Arial"/>
          <w:sz w:val="24"/>
          <w:szCs w:val="24"/>
        </w:rPr>
        <w:t xml:space="preserve"> material to </w:t>
      </w:r>
      <w:r w:rsidR="00B70270">
        <w:rPr>
          <w:rFonts w:ascii="Arial" w:hAnsi="Arial" w:cs="Arial"/>
          <w:sz w:val="24"/>
          <w:szCs w:val="24"/>
        </w:rPr>
        <w:t>his</w:t>
      </w:r>
      <w:r>
        <w:rPr>
          <w:rFonts w:ascii="Arial" w:hAnsi="Arial" w:cs="Arial"/>
          <w:sz w:val="24"/>
          <w:szCs w:val="24"/>
        </w:rPr>
        <w:t xml:space="preserve"> duties </w:t>
      </w:r>
      <w:r w:rsidR="001B16E7">
        <w:rPr>
          <w:rFonts w:ascii="Arial" w:hAnsi="Arial" w:cs="Arial"/>
          <w:sz w:val="24"/>
          <w:szCs w:val="24"/>
        </w:rPr>
        <w:t xml:space="preserve">to the </w:t>
      </w:r>
      <w:r w:rsidR="00B70270">
        <w:rPr>
          <w:rFonts w:ascii="Arial" w:hAnsi="Arial" w:cs="Arial"/>
          <w:sz w:val="24"/>
          <w:szCs w:val="24"/>
        </w:rPr>
        <w:t>plaintiff</w:t>
      </w:r>
      <w:r>
        <w:rPr>
          <w:rFonts w:ascii="Arial" w:hAnsi="Arial" w:cs="Arial"/>
          <w:sz w:val="24"/>
          <w:szCs w:val="24"/>
        </w:rPr>
        <w:t xml:space="preserve">. </w:t>
      </w:r>
    </w:p>
    <w:p w:rsidR="00F737A3" w:rsidRDefault="00F737A3" w:rsidP="003C75E8">
      <w:pPr>
        <w:pStyle w:val="ListParagraph"/>
        <w:spacing w:line="360" w:lineRule="auto"/>
        <w:ind w:left="0"/>
        <w:jc w:val="both"/>
        <w:rPr>
          <w:rFonts w:ascii="Arial" w:hAnsi="Arial" w:cs="Arial"/>
          <w:sz w:val="24"/>
          <w:szCs w:val="24"/>
        </w:rPr>
      </w:pPr>
    </w:p>
    <w:p w:rsidR="0052743D" w:rsidRDefault="00F737A3" w:rsidP="003C75E8">
      <w:pPr>
        <w:pStyle w:val="ListParagraph"/>
        <w:spacing w:line="360" w:lineRule="auto"/>
        <w:ind w:left="0"/>
        <w:jc w:val="both"/>
        <w:rPr>
          <w:rFonts w:ascii="Arial" w:hAnsi="Arial" w:cs="Arial"/>
          <w:sz w:val="24"/>
          <w:szCs w:val="24"/>
          <w:lang w:val="en-US"/>
        </w:rPr>
      </w:pPr>
      <w:r>
        <w:rPr>
          <w:rFonts w:ascii="Arial" w:hAnsi="Arial" w:cs="Arial"/>
          <w:sz w:val="24"/>
          <w:szCs w:val="24"/>
        </w:rPr>
        <w:t>[43]</w:t>
      </w:r>
      <w:r>
        <w:rPr>
          <w:rFonts w:ascii="Arial" w:hAnsi="Arial" w:cs="Arial"/>
          <w:sz w:val="24"/>
          <w:szCs w:val="24"/>
        </w:rPr>
        <w:tab/>
      </w:r>
      <w:r w:rsidR="001B16E7">
        <w:rPr>
          <w:rFonts w:ascii="Arial" w:hAnsi="Arial" w:cs="Arial"/>
          <w:sz w:val="24"/>
          <w:szCs w:val="24"/>
        </w:rPr>
        <w:t>I am thus satisfied that that knowledge can be imputed to the plaintiff</w:t>
      </w:r>
      <w:r w:rsidR="000A1316">
        <w:rPr>
          <w:rFonts w:ascii="Arial" w:hAnsi="Arial" w:cs="Arial"/>
          <w:sz w:val="24"/>
          <w:szCs w:val="24"/>
        </w:rPr>
        <w:t xml:space="preserve"> and</w:t>
      </w:r>
      <w:r w:rsidR="006317B0">
        <w:rPr>
          <w:rFonts w:ascii="Arial" w:hAnsi="Arial" w:cs="Arial"/>
          <w:sz w:val="24"/>
          <w:szCs w:val="24"/>
        </w:rPr>
        <w:t xml:space="preserve"> I therefore find that </w:t>
      </w:r>
      <w:r w:rsidR="006317B0">
        <w:rPr>
          <w:rFonts w:ascii="Arial" w:hAnsi="Arial" w:cs="Arial"/>
          <w:sz w:val="24"/>
          <w:szCs w:val="24"/>
          <w:lang w:val="en-US"/>
        </w:rPr>
        <w:t xml:space="preserve">clause 6(c) of the </w:t>
      </w:r>
      <w:r w:rsidR="006317B0" w:rsidRPr="0052743D">
        <w:rPr>
          <w:rFonts w:ascii="Arial" w:hAnsi="Arial" w:cs="Arial"/>
          <w:sz w:val="24"/>
          <w:szCs w:val="24"/>
          <w:lang w:val="en-US"/>
        </w:rPr>
        <w:t>General Exceptions, Conditions and Provisions</w:t>
      </w:r>
      <w:r w:rsidR="006317B0">
        <w:rPr>
          <w:rFonts w:ascii="Arial" w:hAnsi="Arial" w:cs="Arial"/>
          <w:sz w:val="24"/>
          <w:szCs w:val="24"/>
          <w:lang w:val="en-US"/>
        </w:rPr>
        <w:t xml:space="preserve"> forms part of the contract concluded between </w:t>
      </w:r>
      <w:r w:rsidR="000A1316">
        <w:rPr>
          <w:rFonts w:ascii="Arial" w:hAnsi="Arial" w:cs="Arial"/>
          <w:sz w:val="24"/>
          <w:szCs w:val="24"/>
          <w:lang w:val="en-US"/>
        </w:rPr>
        <w:t>the plaintiff and the defendant</w:t>
      </w:r>
      <w:r>
        <w:rPr>
          <w:rFonts w:ascii="Arial" w:hAnsi="Arial" w:cs="Arial"/>
          <w:sz w:val="24"/>
          <w:szCs w:val="24"/>
          <w:lang w:val="en-US"/>
        </w:rPr>
        <w:t>. T</w:t>
      </w:r>
      <w:r w:rsidR="006317B0">
        <w:rPr>
          <w:rFonts w:ascii="Arial" w:hAnsi="Arial" w:cs="Arial"/>
          <w:sz w:val="24"/>
          <w:szCs w:val="24"/>
          <w:lang w:val="en-US"/>
        </w:rPr>
        <w:t>he plaintiff’s cla</w:t>
      </w:r>
      <w:r w:rsidR="003C11BC">
        <w:rPr>
          <w:rFonts w:ascii="Arial" w:hAnsi="Arial" w:cs="Arial"/>
          <w:sz w:val="24"/>
          <w:szCs w:val="24"/>
          <w:lang w:val="en-US"/>
        </w:rPr>
        <w:t>i</w:t>
      </w:r>
      <w:r w:rsidR="006317B0">
        <w:rPr>
          <w:rFonts w:ascii="Arial" w:hAnsi="Arial" w:cs="Arial"/>
          <w:sz w:val="24"/>
          <w:szCs w:val="24"/>
          <w:lang w:val="en-US"/>
        </w:rPr>
        <w:t>m has thus prescribed and I uphold the defendant’s special plea.</w:t>
      </w:r>
    </w:p>
    <w:p w:rsidR="007951A0" w:rsidRDefault="007951A0" w:rsidP="003C75E8">
      <w:pPr>
        <w:pStyle w:val="ListParagraph"/>
        <w:spacing w:line="360" w:lineRule="auto"/>
        <w:ind w:left="0"/>
        <w:jc w:val="both"/>
        <w:rPr>
          <w:rFonts w:ascii="Arial" w:hAnsi="Arial" w:cs="Arial"/>
          <w:sz w:val="24"/>
          <w:szCs w:val="24"/>
          <w:lang w:val="en-US"/>
        </w:rPr>
      </w:pPr>
    </w:p>
    <w:p w:rsidR="007951A0" w:rsidRDefault="007951A0" w:rsidP="003C75E8">
      <w:pPr>
        <w:pStyle w:val="ListParagraph"/>
        <w:spacing w:after="200" w:line="360" w:lineRule="auto"/>
        <w:ind w:left="0"/>
        <w:jc w:val="both"/>
        <w:rPr>
          <w:rFonts w:ascii="Arial" w:hAnsi="Arial" w:cs="Arial"/>
          <w:sz w:val="24"/>
          <w:szCs w:val="24"/>
        </w:rPr>
      </w:pPr>
      <w:r>
        <w:rPr>
          <w:rFonts w:ascii="Arial" w:hAnsi="Arial" w:cs="Arial"/>
          <w:sz w:val="24"/>
          <w:szCs w:val="24"/>
        </w:rPr>
        <w:t>[4</w:t>
      </w:r>
      <w:r w:rsidR="00F737A3">
        <w:rPr>
          <w:rFonts w:ascii="Arial" w:hAnsi="Arial" w:cs="Arial"/>
          <w:sz w:val="24"/>
          <w:szCs w:val="24"/>
        </w:rPr>
        <w:t>4</w:t>
      </w:r>
      <w:r>
        <w:rPr>
          <w:rFonts w:ascii="Arial" w:hAnsi="Arial" w:cs="Arial"/>
          <w:sz w:val="24"/>
          <w:szCs w:val="24"/>
        </w:rPr>
        <w:t>]</w:t>
      </w:r>
      <w:r>
        <w:rPr>
          <w:rFonts w:ascii="Arial" w:hAnsi="Arial" w:cs="Arial"/>
          <w:sz w:val="24"/>
          <w:szCs w:val="24"/>
        </w:rPr>
        <w:tab/>
        <w:t xml:space="preserve">The general rule is that costs follow the </w:t>
      </w:r>
      <w:r w:rsidR="00F737A3">
        <w:rPr>
          <w:rFonts w:ascii="Arial" w:hAnsi="Arial" w:cs="Arial"/>
          <w:sz w:val="24"/>
          <w:szCs w:val="24"/>
        </w:rPr>
        <w:t>event</w:t>
      </w:r>
      <w:r>
        <w:rPr>
          <w:rFonts w:ascii="Arial" w:hAnsi="Arial" w:cs="Arial"/>
          <w:sz w:val="24"/>
          <w:szCs w:val="24"/>
        </w:rPr>
        <w:t xml:space="preserve"> and that costs are in the discretion of the </w:t>
      </w:r>
      <w:r w:rsidR="00F737A3">
        <w:rPr>
          <w:rFonts w:ascii="Arial" w:hAnsi="Arial" w:cs="Arial"/>
          <w:sz w:val="24"/>
          <w:szCs w:val="24"/>
        </w:rPr>
        <w:t>C</w:t>
      </w:r>
      <w:r>
        <w:rPr>
          <w:rFonts w:ascii="Arial" w:hAnsi="Arial" w:cs="Arial"/>
          <w:sz w:val="24"/>
          <w:szCs w:val="24"/>
        </w:rPr>
        <w:t>ourt. No reasons have been advanced why the general rule must not apply.</w:t>
      </w:r>
    </w:p>
    <w:p w:rsidR="007951A0" w:rsidRPr="00C17181" w:rsidRDefault="007951A0" w:rsidP="003C75E8">
      <w:pPr>
        <w:pStyle w:val="ListParagraph"/>
        <w:spacing w:line="360" w:lineRule="auto"/>
        <w:ind w:left="0"/>
        <w:jc w:val="both"/>
        <w:rPr>
          <w:rFonts w:ascii="Arial" w:hAnsi="Arial" w:cs="Arial"/>
          <w:sz w:val="24"/>
          <w:szCs w:val="24"/>
        </w:rPr>
      </w:pPr>
    </w:p>
    <w:p w:rsidR="007951A0" w:rsidRDefault="007951A0" w:rsidP="003C75E8">
      <w:pPr>
        <w:pStyle w:val="ListParagraph"/>
        <w:spacing w:after="200" w:line="360" w:lineRule="auto"/>
        <w:ind w:left="0"/>
        <w:jc w:val="both"/>
        <w:rPr>
          <w:rFonts w:ascii="Arial" w:hAnsi="Arial" w:cs="Arial"/>
          <w:sz w:val="24"/>
          <w:szCs w:val="24"/>
        </w:rPr>
      </w:pPr>
      <w:r>
        <w:rPr>
          <w:rFonts w:ascii="Arial" w:hAnsi="Arial" w:cs="Arial"/>
          <w:sz w:val="24"/>
          <w:szCs w:val="24"/>
        </w:rPr>
        <w:t>[4</w:t>
      </w:r>
      <w:r w:rsidR="00F737A3">
        <w:rPr>
          <w:rFonts w:ascii="Arial" w:hAnsi="Arial" w:cs="Arial"/>
          <w:sz w:val="24"/>
          <w:szCs w:val="24"/>
        </w:rPr>
        <w:t>5</w:t>
      </w:r>
      <w:r>
        <w:rPr>
          <w:rFonts w:ascii="Arial" w:hAnsi="Arial" w:cs="Arial"/>
          <w:sz w:val="24"/>
          <w:szCs w:val="24"/>
        </w:rPr>
        <w:t>]</w:t>
      </w:r>
      <w:r>
        <w:rPr>
          <w:rFonts w:ascii="Arial" w:hAnsi="Arial" w:cs="Arial"/>
          <w:sz w:val="24"/>
          <w:szCs w:val="24"/>
        </w:rPr>
        <w:tab/>
      </w:r>
      <w:r w:rsidRPr="00D30873">
        <w:rPr>
          <w:rFonts w:ascii="Arial" w:hAnsi="Arial" w:cs="Arial"/>
          <w:sz w:val="24"/>
          <w:szCs w:val="24"/>
        </w:rPr>
        <w:t>I therefore make the following order</w:t>
      </w:r>
      <w:r w:rsidR="00F737A3">
        <w:rPr>
          <w:rFonts w:ascii="Arial" w:hAnsi="Arial" w:cs="Arial"/>
          <w:sz w:val="24"/>
          <w:szCs w:val="24"/>
        </w:rPr>
        <w:t>s</w:t>
      </w:r>
      <w:r>
        <w:rPr>
          <w:rFonts w:ascii="Arial" w:hAnsi="Arial" w:cs="Arial"/>
          <w:sz w:val="24"/>
          <w:szCs w:val="24"/>
        </w:rPr>
        <w:t>:</w:t>
      </w:r>
    </w:p>
    <w:p w:rsidR="007951A0" w:rsidRDefault="007951A0" w:rsidP="003C75E8">
      <w:pPr>
        <w:pStyle w:val="ListParagraph"/>
        <w:spacing w:line="360" w:lineRule="auto"/>
        <w:ind w:left="0"/>
        <w:jc w:val="both"/>
        <w:rPr>
          <w:rFonts w:ascii="Arial" w:hAnsi="Arial" w:cs="Arial"/>
          <w:sz w:val="24"/>
          <w:szCs w:val="24"/>
        </w:rPr>
      </w:pPr>
    </w:p>
    <w:p w:rsidR="007951A0" w:rsidRDefault="00F737A3" w:rsidP="003C75E8">
      <w:pPr>
        <w:pStyle w:val="ListParagraph"/>
        <w:spacing w:after="200" w:line="360" w:lineRule="auto"/>
        <w:jc w:val="both"/>
        <w:rPr>
          <w:rFonts w:ascii="Arial" w:hAnsi="Arial" w:cs="Arial"/>
          <w:sz w:val="24"/>
          <w:szCs w:val="24"/>
        </w:rPr>
      </w:pPr>
      <w:r>
        <w:rPr>
          <w:rFonts w:ascii="Arial" w:hAnsi="Arial" w:cs="Arial"/>
          <w:sz w:val="24"/>
          <w:szCs w:val="24"/>
        </w:rPr>
        <w:t>[45.1]</w:t>
      </w:r>
      <w:r>
        <w:rPr>
          <w:rFonts w:ascii="Arial" w:hAnsi="Arial" w:cs="Arial"/>
          <w:sz w:val="24"/>
          <w:szCs w:val="24"/>
        </w:rPr>
        <w:tab/>
      </w:r>
      <w:r w:rsidR="007951A0">
        <w:rPr>
          <w:rFonts w:ascii="Arial" w:hAnsi="Arial" w:cs="Arial"/>
          <w:sz w:val="24"/>
          <w:szCs w:val="24"/>
        </w:rPr>
        <w:t>The defendants’ special plea is upheld.</w:t>
      </w:r>
    </w:p>
    <w:p w:rsidR="00F737A3" w:rsidRDefault="00F737A3" w:rsidP="003C75E8">
      <w:pPr>
        <w:pStyle w:val="ListParagraph"/>
        <w:spacing w:after="200" w:line="360" w:lineRule="auto"/>
        <w:jc w:val="both"/>
        <w:rPr>
          <w:rFonts w:ascii="Arial" w:hAnsi="Arial" w:cs="Arial"/>
          <w:sz w:val="24"/>
          <w:szCs w:val="24"/>
        </w:rPr>
      </w:pPr>
    </w:p>
    <w:p w:rsidR="007951A0" w:rsidRDefault="00F737A3" w:rsidP="003C75E8">
      <w:pPr>
        <w:pStyle w:val="ListParagraph"/>
        <w:spacing w:after="200" w:line="360" w:lineRule="auto"/>
        <w:jc w:val="both"/>
        <w:rPr>
          <w:rFonts w:ascii="Arial" w:hAnsi="Arial" w:cs="Arial"/>
          <w:sz w:val="24"/>
          <w:szCs w:val="24"/>
        </w:rPr>
      </w:pPr>
      <w:r>
        <w:rPr>
          <w:rFonts w:ascii="Arial" w:hAnsi="Arial" w:cs="Arial"/>
          <w:sz w:val="24"/>
          <w:szCs w:val="24"/>
        </w:rPr>
        <w:t>[45.2]</w:t>
      </w:r>
      <w:r>
        <w:rPr>
          <w:rFonts w:ascii="Arial" w:hAnsi="Arial" w:cs="Arial"/>
          <w:sz w:val="24"/>
          <w:szCs w:val="24"/>
        </w:rPr>
        <w:tab/>
      </w:r>
      <w:r w:rsidR="007951A0">
        <w:rPr>
          <w:rFonts w:ascii="Arial" w:hAnsi="Arial" w:cs="Arial"/>
          <w:sz w:val="24"/>
          <w:szCs w:val="24"/>
        </w:rPr>
        <w:t>The plaintiff must pay the defendant’s costs of suit, such costs to include the costs of instructing and one instructed counsel.</w:t>
      </w:r>
    </w:p>
    <w:p w:rsidR="00F737A3" w:rsidRDefault="00F737A3" w:rsidP="003C75E8">
      <w:pPr>
        <w:pStyle w:val="ListParagraph"/>
        <w:spacing w:after="200" w:line="360" w:lineRule="auto"/>
        <w:jc w:val="both"/>
        <w:rPr>
          <w:rFonts w:ascii="Arial" w:hAnsi="Arial" w:cs="Arial"/>
          <w:sz w:val="24"/>
          <w:szCs w:val="24"/>
        </w:rPr>
      </w:pPr>
    </w:p>
    <w:p w:rsidR="007951A0" w:rsidRDefault="00F737A3" w:rsidP="003C75E8">
      <w:pPr>
        <w:pStyle w:val="ListParagraph"/>
        <w:spacing w:after="200" w:line="360" w:lineRule="auto"/>
        <w:jc w:val="both"/>
        <w:rPr>
          <w:rFonts w:ascii="Arial" w:hAnsi="Arial" w:cs="Arial"/>
          <w:sz w:val="24"/>
          <w:szCs w:val="24"/>
        </w:rPr>
      </w:pPr>
      <w:r>
        <w:rPr>
          <w:rFonts w:ascii="Arial" w:hAnsi="Arial" w:cs="Arial"/>
          <w:sz w:val="24"/>
          <w:szCs w:val="24"/>
        </w:rPr>
        <w:t>[45.3]</w:t>
      </w:r>
      <w:r>
        <w:rPr>
          <w:rFonts w:ascii="Arial" w:hAnsi="Arial" w:cs="Arial"/>
          <w:sz w:val="24"/>
          <w:szCs w:val="24"/>
        </w:rPr>
        <w:tab/>
      </w:r>
      <w:r w:rsidR="007951A0">
        <w:rPr>
          <w:rFonts w:ascii="Arial" w:hAnsi="Arial" w:cs="Arial"/>
          <w:sz w:val="24"/>
          <w:szCs w:val="24"/>
        </w:rPr>
        <w:t xml:space="preserve">The matter is removed from the roll and </w:t>
      </w:r>
      <w:r>
        <w:rPr>
          <w:rFonts w:ascii="Arial" w:hAnsi="Arial" w:cs="Arial"/>
          <w:sz w:val="24"/>
          <w:szCs w:val="24"/>
        </w:rPr>
        <w:t>regarded</w:t>
      </w:r>
      <w:r w:rsidR="007951A0">
        <w:rPr>
          <w:rFonts w:ascii="Arial" w:hAnsi="Arial" w:cs="Arial"/>
          <w:sz w:val="24"/>
          <w:szCs w:val="24"/>
        </w:rPr>
        <w:t xml:space="preserve"> as finali</w:t>
      </w:r>
      <w:r>
        <w:rPr>
          <w:rFonts w:ascii="Arial" w:hAnsi="Arial" w:cs="Arial"/>
          <w:sz w:val="24"/>
          <w:szCs w:val="24"/>
        </w:rPr>
        <w:t>s</w:t>
      </w:r>
      <w:r w:rsidR="007951A0">
        <w:rPr>
          <w:rFonts w:ascii="Arial" w:hAnsi="Arial" w:cs="Arial"/>
          <w:sz w:val="24"/>
          <w:szCs w:val="24"/>
        </w:rPr>
        <w:t>ed.</w:t>
      </w:r>
    </w:p>
    <w:p w:rsidR="00F737A3" w:rsidRDefault="00F737A3" w:rsidP="003C75E8">
      <w:pPr>
        <w:pStyle w:val="ListParagraph"/>
        <w:spacing w:after="200" w:line="360" w:lineRule="auto"/>
        <w:jc w:val="both"/>
        <w:rPr>
          <w:rFonts w:ascii="Arial" w:hAnsi="Arial" w:cs="Arial"/>
          <w:sz w:val="24"/>
          <w:szCs w:val="24"/>
        </w:rPr>
      </w:pPr>
    </w:p>
    <w:p w:rsidR="00F737A3" w:rsidRDefault="00F737A3" w:rsidP="003C75E8">
      <w:pPr>
        <w:pStyle w:val="ListParagraph"/>
        <w:spacing w:after="200" w:line="360" w:lineRule="auto"/>
        <w:jc w:val="both"/>
        <w:rPr>
          <w:rFonts w:ascii="Arial" w:hAnsi="Arial" w:cs="Arial"/>
          <w:sz w:val="24"/>
          <w:szCs w:val="24"/>
        </w:rPr>
      </w:pPr>
    </w:p>
    <w:p w:rsidR="00D07095" w:rsidRPr="007951A0" w:rsidRDefault="00D07095" w:rsidP="003C75E8">
      <w:pPr>
        <w:spacing w:after="0" w:line="360" w:lineRule="auto"/>
        <w:jc w:val="right"/>
        <w:rPr>
          <w:rFonts w:ascii="Arial" w:hAnsi="Arial" w:cs="Arial"/>
          <w:b/>
          <w:sz w:val="24"/>
          <w:szCs w:val="24"/>
          <w:lang w:val="en-US"/>
        </w:rPr>
      </w:pPr>
      <w:r w:rsidRPr="007951A0">
        <w:rPr>
          <w:rFonts w:ascii="Arial" w:hAnsi="Arial" w:cs="Arial"/>
          <w:b/>
          <w:sz w:val="24"/>
          <w:szCs w:val="24"/>
          <w:lang w:val="en-US"/>
        </w:rPr>
        <w:t>________________________</w:t>
      </w:r>
    </w:p>
    <w:p w:rsidR="00D07095" w:rsidRPr="00197FEE" w:rsidRDefault="00197FEE" w:rsidP="003C75E8">
      <w:pPr>
        <w:spacing w:after="0" w:line="360" w:lineRule="auto"/>
        <w:jc w:val="right"/>
        <w:rPr>
          <w:rFonts w:ascii="Arial" w:hAnsi="Arial" w:cs="Arial"/>
          <w:sz w:val="24"/>
          <w:szCs w:val="24"/>
          <w:lang w:val="en-US"/>
        </w:rPr>
      </w:pPr>
      <w:r w:rsidRPr="00197FEE">
        <w:rPr>
          <w:rFonts w:ascii="Arial" w:hAnsi="Arial" w:cs="Arial"/>
          <w:sz w:val="24"/>
          <w:szCs w:val="24"/>
          <w:lang w:val="en-US"/>
        </w:rPr>
        <w:t>S UEITELE</w:t>
      </w:r>
    </w:p>
    <w:p w:rsidR="00D07095" w:rsidRPr="000317EB" w:rsidRDefault="00D07095" w:rsidP="003C75E8">
      <w:pPr>
        <w:spacing w:after="0" w:line="360" w:lineRule="auto"/>
        <w:jc w:val="right"/>
        <w:rPr>
          <w:rFonts w:ascii="Arial" w:hAnsi="Arial" w:cs="Arial"/>
          <w:sz w:val="24"/>
          <w:szCs w:val="24"/>
          <w:lang w:val="en-US"/>
        </w:rPr>
      </w:pPr>
      <w:r w:rsidRPr="000317EB">
        <w:rPr>
          <w:rFonts w:ascii="Arial" w:hAnsi="Arial" w:cs="Arial"/>
          <w:sz w:val="24"/>
          <w:szCs w:val="24"/>
          <w:lang w:val="en-US"/>
        </w:rPr>
        <w:t>Judge</w:t>
      </w:r>
    </w:p>
    <w:p w:rsidR="00D07095" w:rsidRPr="00D07095" w:rsidRDefault="00D07095" w:rsidP="003C75E8">
      <w:pPr>
        <w:spacing w:after="0" w:line="360" w:lineRule="auto"/>
        <w:jc w:val="both"/>
        <w:rPr>
          <w:rFonts w:ascii="Arial" w:hAnsi="Arial" w:cs="Arial"/>
          <w:sz w:val="24"/>
          <w:szCs w:val="24"/>
          <w:lang w:val="en-US"/>
        </w:rPr>
      </w:pPr>
    </w:p>
    <w:p w:rsidR="00D07095" w:rsidRPr="00D07095" w:rsidRDefault="00D07095" w:rsidP="003C75E8">
      <w:pPr>
        <w:spacing w:after="0" w:line="360" w:lineRule="auto"/>
        <w:jc w:val="both"/>
        <w:rPr>
          <w:rFonts w:ascii="Arial" w:hAnsi="Arial" w:cs="Arial"/>
          <w:sz w:val="24"/>
          <w:szCs w:val="24"/>
          <w:lang w:val="en-US"/>
        </w:rPr>
      </w:pPr>
    </w:p>
    <w:p w:rsidR="00197FEE" w:rsidRDefault="00197FEE">
      <w:pPr>
        <w:rPr>
          <w:rFonts w:ascii="Arial" w:hAnsi="Arial" w:cs="Arial"/>
          <w:sz w:val="24"/>
          <w:szCs w:val="24"/>
          <w:lang w:val="en-US"/>
        </w:rPr>
      </w:pPr>
      <w:r>
        <w:rPr>
          <w:rFonts w:ascii="Arial" w:hAnsi="Arial" w:cs="Arial"/>
          <w:sz w:val="24"/>
          <w:szCs w:val="24"/>
          <w:lang w:val="en-US"/>
        </w:rPr>
        <w:br w:type="page"/>
      </w:r>
    </w:p>
    <w:p w:rsidR="00D07095" w:rsidRPr="00D07095" w:rsidRDefault="00D07095" w:rsidP="003C75E8">
      <w:pPr>
        <w:spacing w:after="0" w:line="360" w:lineRule="auto"/>
        <w:jc w:val="both"/>
        <w:rPr>
          <w:rFonts w:ascii="Arial" w:hAnsi="Arial" w:cs="Arial"/>
          <w:sz w:val="24"/>
          <w:szCs w:val="24"/>
          <w:lang w:val="en-US"/>
        </w:rPr>
      </w:pPr>
      <w:r w:rsidRPr="00D07095">
        <w:rPr>
          <w:rFonts w:ascii="Arial" w:hAnsi="Arial" w:cs="Arial"/>
          <w:sz w:val="24"/>
          <w:szCs w:val="24"/>
          <w:lang w:val="en-US"/>
        </w:rPr>
        <w:t>APPEARANCES</w:t>
      </w:r>
    </w:p>
    <w:p w:rsidR="00D07095" w:rsidRPr="00D07095" w:rsidRDefault="00D07095" w:rsidP="003C75E8">
      <w:pPr>
        <w:spacing w:after="0" w:line="360" w:lineRule="auto"/>
        <w:jc w:val="both"/>
        <w:rPr>
          <w:rFonts w:ascii="Arial" w:hAnsi="Arial" w:cs="Arial"/>
          <w:sz w:val="24"/>
          <w:szCs w:val="24"/>
          <w:lang w:val="en-US"/>
        </w:rPr>
      </w:pPr>
    </w:p>
    <w:p w:rsidR="00D07095" w:rsidRPr="00D07095" w:rsidRDefault="00D07095" w:rsidP="003C75E8">
      <w:pPr>
        <w:spacing w:after="0" w:line="360" w:lineRule="auto"/>
        <w:jc w:val="both"/>
        <w:rPr>
          <w:rFonts w:ascii="Arial" w:hAnsi="Arial" w:cs="Arial"/>
          <w:sz w:val="24"/>
          <w:szCs w:val="24"/>
          <w:lang w:val="en-US"/>
        </w:rPr>
      </w:pPr>
      <w:r w:rsidRPr="00D07095">
        <w:rPr>
          <w:rFonts w:ascii="Arial" w:hAnsi="Arial" w:cs="Arial"/>
          <w:sz w:val="24"/>
          <w:szCs w:val="24"/>
          <w:lang w:val="en-US"/>
        </w:rPr>
        <w:t>PLAINTIFF:</w:t>
      </w:r>
      <w:r w:rsidRPr="00D07095">
        <w:rPr>
          <w:rFonts w:ascii="Arial" w:hAnsi="Arial" w:cs="Arial"/>
          <w:sz w:val="24"/>
          <w:szCs w:val="24"/>
          <w:lang w:val="en-US"/>
        </w:rPr>
        <w:tab/>
      </w:r>
      <w:r w:rsidRPr="00D07095">
        <w:rPr>
          <w:rFonts w:ascii="Arial" w:hAnsi="Arial" w:cs="Arial"/>
          <w:sz w:val="24"/>
          <w:szCs w:val="24"/>
          <w:lang w:val="en-US"/>
        </w:rPr>
        <w:tab/>
      </w:r>
      <w:r w:rsidRPr="00D07095">
        <w:rPr>
          <w:rFonts w:ascii="Arial" w:hAnsi="Arial" w:cs="Arial"/>
          <w:sz w:val="24"/>
          <w:szCs w:val="24"/>
          <w:lang w:val="en-US"/>
        </w:rPr>
        <w:tab/>
      </w:r>
      <w:r w:rsidRPr="00D07095">
        <w:rPr>
          <w:rFonts w:ascii="Arial" w:hAnsi="Arial" w:cs="Arial"/>
          <w:sz w:val="24"/>
          <w:szCs w:val="24"/>
          <w:lang w:val="en-US"/>
        </w:rPr>
        <w:tab/>
        <w:t xml:space="preserve">        </w:t>
      </w:r>
      <w:r w:rsidR="00916994">
        <w:rPr>
          <w:rFonts w:ascii="Arial" w:hAnsi="Arial" w:cs="Arial"/>
          <w:sz w:val="24"/>
          <w:szCs w:val="24"/>
          <w:lang w:val="en-US"/>
        </w:rPr>
        <w:t xml:space="preserve">            </w:t>
      </w:r>
      <w:r w:rsidR="00916994">
        <w:rPr>
          <w:rFonts w:ascii="Arial" w:hAnsi="Arial" w:cs="Arial"/>
          <w:sz w:val="24"/>
          <w:szCs w:val="24"/>
          <w:lang w:val="en-US"/>
        </w:rPr>
        <w:tab/>
      </w:r>
      <w:r w:rsidR="00916994">
        <w:rPr>
          <w:rFonts w:ascii="Arial" w:hAnsi="Arial" w:cs="Arial"/>
          <w:sz w:val="24"/>
          <w:szCs w:val="24"/>
          <w:lang w:val="en-US"/>
        </w:rPr>
        <w:tab/>
      </w:r>
      <w:r w:rsidR="00916994">
        <w:rPr>
          <w:rFonts w:ascii="Arial" w:hAnsi="Arial" w:cs="Arial"/>
          <w:sz w:val="24"/>
          <w:szCs w:val="24"/>
          <w:lang w:val="en-US"/>
        </w:rPr>
        <w:tab/>
      </w:r>
      <w:r w:rsidR="00916994">
        <w:rPr>
          <w:rFonts w:ascii="Arial" w:hAnsi="Arial" w:cs="Arial"/>
          <w:sz w:val="24"/>
          <w:szCs w:val="24"/>
          <w:lang w:val="en-US"/>
        </w:rPr>
        <w:tab/>
      </w:r>
      <w:r w:rsidR="00916994">
        <w:rPr>
          <w:rFonts w:ascii="Arial" w:hAnsi="Arial" w:cs="Arial"/>
          <w:sz w:val="24"/>
          <w:szCs w:val="24"/>
          <w:lang w:val="en-US"/>
        </w:rPr>
        <w:tab/>
        <w:t xml:space="preserve"> GT Appolus</w:t>
      </w:r>
    </w:p>
    <w:p w:rsidR="00D07095" w:rsidRPr="00D07095" w:rsidRDefault="00D07095" w:rsidP="003C75E8">
      <w:pPr>
        <w:spacing w:after="0" w:line="360" w:lineRule="auto"/>
        <w:ind w:left="2880" w:firstLine="720"/>
        <w:jc w:val="both"/>
        <w:rPr>
          <w:rFonts w:ascii="Arial" w:hAnsi="Arial" w:cs="Arial"/>
          <w:sz w:val="24"/>
          <w:szCs w:val="24"/>
          <w:lang w:val="en-US"/>
        </w:rPr>
      </w:pPr>
      <w:r w:rsidRPr="00D07095">
        <w:rPr>
          <w:rFonts w:ascii="Arial" w:hAnsi="Arial" w:cs="Arial"/>
          <w:sz w:val="24"/>
          <w:szCs w:val="24"/>
          <w:lang w:val="en-US"/>
        </w:rPr>
        <w:t xml:space="preserve">    </w:t>
      </w:r>
      <w:r w:rsidR="00916994">
        <w:rPr>
          <w:rFonts w:ascii="Arial" w:hAnsi="Arial" w:cs="Arial"/>
          <w:sz w:val="24"/>
          <w:szCs w:val="24"/>
          <w:lang w:val="en-US"/>
        </w:rPr>
        <w:t xml:space="preserve">                             </w:t>
      </w:r>
      <w:r w:rsidRPr="00D07095">
        <w:rPr>
          <w:rFonts w:ascii="Arial" w:hAnsi="Arial" w:cs="Arial"/>
          <w:sz w:val="24"/>
          <w:szCs w:val="24"/>
          <w:lang w:val="en-US"/>
        </w:rPr>
        <w:t xml:space="preserve">Of </w:t>
      </w:r>
      <w:r w:rsidR="00916994">
        <w:rPr>
          <w:rFonts w:ascii="Arial" w:hAnsi="Arial" w:cs="Arial"/>
          <w:sz w:val="24"/>
          <w:szCs w:val="24"/>
          <w:lang w:val="en-US"/>
        </w:rPr>
        <w:t>Thomas Appolus Incorporated</w:t>
      </w:r>
    </w:p>
    <w:p w:rsidR="00D07095" w:rsidRDefault="00D07095" w:rsidP="003C75E8">
      <w:pPr>
        <w:spacing w:after="0" w:line="360" w:lineRule="auto"/>
        <w:jc w:val="both"/>
        <w:rPr>
          <w:rFonts w:ascii="Arial" w:hAnsi="Arial" w:cs="Arial"/>
          <w:sz w:val="24"/>
          <w:szCs w:val="24"/>
          <w:lang w:val="en-US"/>
        </w:rPr>
      </w:pPr>
    </w:p>
    <w:p w:rsidR="000317EB" w:rsidRPr="00D07095" w:rsidRDefault="000317EB" w:rsidP="003C75E8">
      <w:pPr>
        <w:spacing w:after="0" w:line="360" w:lineRule="auto"/>
        <w:jc w:val="both"/>
        <w:rPr>
          <w:rFonts w:ascii="Arial" w:hAnsi="Arial" w:cs="Arial"/>
          <w:sz w:val="24"/>
          <w:szCs w:val="24"/>
          <w:lang w:val="en-US"/>
        </w:rPr>
      </w:pPr>
    </w:p>
    <w:p w:rsidR="00D07095" w:rsidRPr="00D07095" w:rsidRDefault="00D07095" w:rsidP="003C75E8">
      <w:pPr>
        <w:spacing w:after="0" w:line="360" w:lineRule="auto"/>
        <w:jc w:val="both"/>
        <w:rPr>
          <w:rFonts w:ascii="Arial" w:hAnsi="Arial" w:cs="Arial"/>
          <w:sz w:val="24"/>
          <w:szCs w:val="24"/>
          <w:lang w:val="en-US"/>
        </w:rPr>
      </w:pPr>
      <w:r w:rsidRPr="00D07095">
        <w:rPr>
          <w:rFonts w:ascii="Arial" w:hAnsi="Arial" w:cs="Arial"/>
          <w:sz w:val="24"/>
          <w:szCs w:val="24"/>
          <w:lang w:val="en-US"/>
        </w:rPr>
        <w:t>DEF</w:t>
      </w:r>
      <w:r w:rsidR="00916994">
        <w:rPr>
          <w:rFonts w:ascii="Arial" w:hAnsi="Arial" w:cs="Arial"/>
          <w:sz w:val="24"/>
          <w:szCs w:val="24"/>
          <w:lang w:val="en-US"/>
        </w:rPr>
        <w:t>ENDANTS:</w:t>
      </w:r>
      <w:r w:rsidR="00916994">
        <w:rPr>
          <w:rFonts w:ascii="Arial" w:hAnsi="Arial" w:cs="Arial"/>
          <w:sz w:val="24"/>
          <w:szCs w:val="24"/>
          <w:lang w:val="en-US"/>
        </w:rPr>
        <w:tab/>
      </w:r>
      <w:r w:rsidR="00916994">
        <w:rPr>
          <w:rFonts w:ascii="Arial" w:hAnsi="Arial" w:cs="Arial"/>
          <w:sz w:val="24"/>
          <w:szCs w:val="24"/>
          <w:lang w:val="en-US"/>
        </w:rPr>
        <w:tab/>
      </w:r>
      <w:r w:rsidR="00916994">
        <w:rPr>
          <w:rFonts w:ascii="Arial" w:hAnsi="Arial" w:cs="Arial"/>
          <w:sz w:val="24"/>
          <w:szCs w:val="24"/>
          <w:lang w:val="en-US"/>
        </w:rPr>
        <w:tab/>
      </w:r>
      <w:r w:rsidR="00916994">
        <w:rPr>
          <w:rFonts w:ascii="Arial" w:hAnsi="Arial" w:cs="Arial"/>
          <w:sz w:val="24"/>
          <w:szCs w:val="24"/>
          <w:lang w:val="en-US"/>
        </w:rPr>
        <w:tab/>
      </w:r>
      <w:r w:rsidR="00916994">
        <w:rPr>
          <w:rFonts w:ascii="Arial" w:hAnsi="Arial" w:cs="Arial"/>
          <w:sz w:val="24"/>
          <w:szCs w:val="24"/>
          <w:lang w:val="en-US"/>
        </w:rPr>
        <w:tab/>
      </w:r>
      <w:r w:rsidR="00916994">
        <w:rPr>
          <w:rFonts w:ascii="Arial" w:hAnsi="Arial" w:cs="Arial"/>
          <w:sz w:val="24"/>
          <w:szCs w:val="24"/>
          <w:lang w:val="en-US"/>
        </w:rPr>
        <w:tab/>
        <w:t xml:space="preserve">     R Heathcote </w:t>
      </w:r>
      <w:r w:rsidR="007647E8">
        <w:rPr>
          <w:rFonts w:ascii="Arial" w:hAnsi="Arial" w:cs="Arial"/>
          <w:sz w:val="24"/>
          <w:szCs w:val="24"/>
          <w:lang w:val="en-US"/>
        </w:rPr>
        <w:t>(</w:t>
      </w:r>
      <w:r w:rsidR="00916994">
        <w:rPr>
          <w:rFonts w:ascii="Arial" w:hAnsi="Arial" w:cs="Arial"/>
          <w:sz w:val="24"/>
          <w:szCs w:val="24"/>
          <w:lang w:val="en-US"/>
        </w:rPr>
        <w:t>SC</w:t>
      </w:r>
      <w:r w:rsidR="007647E8">
        <w:rPr>
          <w:rFonts w:ascii="Arial" w:hAnsi="Arial" w:cs="Arial"/>
          <w:sz w:val="24"/>
          <w:szCs w:val="24"/>
          <w:lang w:val="en-US"/>
        </w:rPr>
        <w:t>)</w:t>
      </w:r>
      <w:r w:rsidR="00916994">
        <w:rPr>
          <w:rFonts w:ascii="Arial" w:hAnsi="Arial" w:cs="Arial"/>
          <w:sz w:val="24"/>
          <w:szCs w:val="24"/>
          <w:lang w:val="en-US"/>
        </w:rPr>
        <w:t xml:space="preserve"> et SJ Jacobs</w:t>
      </w:r>
    </w:p>
    <w:p w:rsidR="00D07095" w:rsidRPr="00D07095" w:rsidRDefault="00916994" w:rsidP="003C75E8">
      <w:pPr>
        <w:spacing w:after="0"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w:t>
      </w:r>
      <w:r>
        <w:rPr>
          <w:rFonts w:ascii="Arial" w:hAnsi="Arial" w:cs="Arial"/>
          <w:sz w:val="24"/>
          <w:szCs w:val="24"/>
          <w:lang w:val="en-US"/>
        </w:rPr>
        <w:tab/>
        <w:t xml:space="preserve">     Of Van der Merwe-Greef Andima Inc.</w:t>
      </w:r>
    </w:p>
    <w:p w:rsidR="00D07095" w:rsidRPr="00D07095" w:rsidRDefault="00D07095" w:rsidP="003C75E8">
      <w:pPr>
        <w:spacing w:after="0" w:line="360" w:lineRule="auto"/>
        <w:jc w:val="both"/>
        <w:rPr>
          <w:rFonts w:ascii="Arial" w:hAnsi="Arial" w:cs="Arial"/>
          <w:sz w:val="24"/>
          <w:szCs w:val="24"/>
          <w:lang w:val="en-US"/>
        </w:rPr>
      </w:pPr>
    </w:p>
    <w:p w:rsidR="00D25BCA" w:rsidRDefault="00D25BCA" w:rsidP="003C75E8">
      <w:pPr>
        <w:spacing w:line="360" w:lineRule="auto"/>
        <w:jc w:val="both"/>
      </w:pPr>
    </w:p>
    <w:sectPr w:rsidR="00D25BCA" w:rsidSect="00620D1C">
      <w:headerReference w:type="default" r:id="rId12"/>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80" w:rsidRDefault="00184080" w:rsidP="00D07095">
      <w:pPr>
        <w:spacing w:after="0" w:line="240" w:lineRule="auto"/>
      </w:pPr>
      <w:r>
        <w:separator/>
      </w:r>
    </w:p>
  </w:endnote>
  <w:endnote w:type="continuationSeparator" w:id="0">
    <w:p w:rsidR="00184080" w:rsidRDefault="00184080" w:rsidP="00D0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80" w:rsidRDefault="00184080" w:rsidP="00D07095">
      <w:pPr>
        <w:spacing w:after="0" w:line="240" w:lineRule="auto"/>
      </w:pPr>
      <w:r>
        <w:separator/>
      </w:r>
    </w:p>
  </w:footnote>
  <w:footnote w:type="continuationSeparator" w:id="0">
    <w:p w:rsidR="00184080" w:rsidRDefault="00184080" w:rsidP="00D07095">
      <w:pPr>
        <w:spacing w:after="0" w:line="240" w:lineRule="auto"/>
      </w:pPr>
      <w:r>
        <w:continuationSeparator/>
      </w:r>
    </w:p>
  </w:footnote>
  <w:footnote w:id="1">
    <w:p w:rsidR="00D86560" w:rsidRPr="00A91A7A" w:rsidRDefault="00D86560" w:rsidP="007647E8">
      <w:pPr>
        <w:pStyle w:val="FootnoteText"/>
        <w:tabs>
          <w:tab w:val="left" w:pos="360"/>
        </w:tabs>
        <w:jc w:val="both"/>
        <w:rPr>
          <w:rFonts w:ascii="Arial" w:hAnsi="Arial" w:cs="Arial"/>
          <w:color w:val="000000" w:themeColor="text1"/>
        </w:rPr>
      </w:pPr>
      <w:r w:rsidRPr="00A91A7A">
        <w:rPr>
          <w:rStyle w:val="FootnoteReference"/>
          <w:rFonts w:ascii="Arial" w:hAnsi="Arial" w:cs="Arial"/>
          <w:color w:val="000000" w:themeColor="text1"/>
        </w:rPr>
        <w:footnoteRef/>
      </w:r>
      <w:r w:rsidRPr="00A91A7A">
        <w:rPr>
          <w:rFonts w:ascii="Arial" w:hAnsi="Arial" w:cs="Arial"/>
          <w:color w:val="000000" w:themeColor="text1"/>
        </w:rPr>
        <w:t xml:space="preserve"> </w:t>
      </w:r>
      <w:r w:rsidRPr="00A91A7A">
        <w:rPr>
          <w:rFonts w:ascii="Arial" w:hAnsi="Arial" w:cs="Arial"/>
          <w:color w:val="000000" w:themeColor="text1"/>
        </w:rPr>
        <w:tab/>
        <w:t>Short-term Insurance Act, 1998</w:t>
      </w:r>
      <w:r w:rsidR="007647E8" w:rsidRPr="00A91A7A">
        <w:rPr>
          <w:rFonts w:ascii="Arial" w:hAnsi="Arial" w:cs="Arial"/>
          <w:color w:val="000000" w:themeColor="text1"/>
        </w:rPr>
        <w:t xml:space="preserve"> (Act No. 4 of 1998)</w:t>
      </w:r>
    </w:p>
  </w:footnote>
  <w:footnote w:id="2">
    <w:p w:rsidR="002B650D" w:rsidRPr="00A91A7A" w:rsidRDefault="002B650D" w:rsidP="007647E8">
      <w:pPr>
        <w:pStyle w:val="FootnoteText"/>
        <w:tabs>
          <w:tab w:val="left" w:pos="360"/>
        </w:tabs>
        <w:jc w:val="both"/>
        <w:rPr>
          <w:rFonts w:ascii="Arial" w:hAnsi="Arial" w:cs="Arial"/>
          <w:color w:val="000000" w:themeColor="text1"/>
        </w:rPr>
      </w:pPr>
      <w:r w:rsidRPr="00A91A7A">
        <w:rPr>
          <w:rStyle w:val="FootnoteReference"/>
          <w:rFonts w:ascii="Arial" w:hAnsi="Arial" w:cs="Arial"/>
          <w:color w:val="000000" w:themeColor="text1"/>
        </w:rPr>
        <w:footnoteRef/>
      </w:r>
      <w:r w:rsidRPr="00A91A7A">
        <w:rPr>
          <w:rFonts w:ascii="Arial" w:hAnsi="Arial" w:cs="Arial"/>
          <w:color w:val="000000" w:themeColor="text1"/>
        </w:rPr>
        <w:t xml:space="preserve"> </w:t>
      </w:r>
      <w:r w:rsidRPr="00A91A7A">
        <w:rPr>
          <w:rFonts w:ascii="Arial" w:hAnsi="Arial" w:cs="Arial"/>
          <w:color w:val="000000" w:themeColor="text1"/>
        </w:rPr>
        <w:tab/>
      </w:r>
      <w:r w:rsidR="008353BE" w:rsidRPr="00A91A7A">
        <w:rPr>
          <w:rFonts w:ascii="Arial" w:hAnsi="Arial" w:cs="Arial"/>
          <w:color w:val="000000" w:themeColor="text1"/>
        </w:rPr>
        <w:t>P</w:t>
      </w:r>
      <w:r w:rsidRPr="00A91A7A">
        <w:rPr>
          <w:rFonts w:ascii="Arial" w:hAnsi="Arial" w:cs="Arial"/>
          <w:color w:val="000000" w:themeColor="text1"/>
        </w:rPr>
        <w:t xml:space="preserve">ara </w:t>
      </w:r>
      <w:r w:rsidR="008353BE" w:rsidRPr="00A91A7A">
        <w:rPr>
          <w:rFonts w:ascii="Arial" w:hAnsi="Arial" w:cs="Arial"/>
          <w:color w:val="000000" w:themeColor="text1"/>
        </w:rPr>
        <w:t>7</w:t>
      </w:r>
      <w:r w:rsidRPr="00A91A7A">
        <w:rPr>
          <w:rFonts w:ascii="Arial" w:hAnsi="Arial" w:cs="Arial"/>
          <w:color w:val="000000" w:themeColor="text1"/>
        </w:rPr>
        <w:t xml:space="preserve"> </w:t>
      </w:r>
      <w:r w:rsidR="008353BE" w:rsidRPr="00A91A7A">
        <w:rPr>
          <w:rFonts w:ascii="Arial" w:hAnsi="Arial" w:cs="Arial"/>
          <w:color w:val="000000" w:themeColor="text1"/>
        </w:rPr>
        <w:t>above</w:t>
      </w:r>
    </w:p>
  </w:footnote>
  <w:footnote w:id="3">
    <w:p w:rsidR="004A29FB" w:rsidRPr="00A91A7A" w:rsidRDefault="004A29FB" w:rsidP="007647E8">
      <w:pPr>
        <w:pStyle w:val="FootnoteText"/>
        <w:tabs>
          <w:tab w:val="left" w:pos="360"/>
        </w:tabs>
        <w:jc w:val="both"/>
        <w:rPr>
          <w:rFonts w:ascii="Arial" w:hAnsi="Arial" w:cs="Arial"/>
          <w:color w:val="000000" w:themeColor="text1"/>
        </w:rPr>
      </w:pPr>
      <w:r w:rsidRPr="00A91A7A">
        <w:rPr>
          <w:rStyle w:val="FootnoteReference"/>
          <w:rFonts w:ascii="Arial" w:hAnsi="Arial" w:cs="Arial"/>
          <w:color w:val="000000" w:themeColor="text1"/>
        </w:rPr>
        <w:footnoteRef/>
      </w:r>
      <w:r w:rsidRPr="00A91A7A">
        <w:rPr>
          <w:rFonts w:ascii="Arial" w:hAnsi="Arial" w:cs="Arial"/>
          <w:color w:val="000000" w:themeColor="text1"/>
        </w:rPr>
        <w:t xml:space="preserve"> </w:t>
      </w:r>
      <w:r w:rsidRPr="00A91A7A">
        <w:rPr>
          <w:rFonts w:ascii="Arial" w:hAnsi="Arial" w:cs="Arial"/>
          <w:color w:val="000000" w:themeColor="text1"/>
        </w:rPr>
        <w:tab/>
      </w:r>
      <w:r w:rsidRPr="00A91A7A">
        <w:rPr>
          <w:rFonts w:ascii="Arial" w:eastAsia="Arial" w:hAnsi="Arial" w:cs="Arial"/>
          <w:color w:val="000000" w:themeColor="text1"/>
          <w:lang w:val="en-GB"/>
        </w:rPr>
        <w:t xml:space="preserve">AJ Kerr, </w:t>
      </w:r>
      <w:r w:rsidRPr="00A91A7A">
        <w:rPr>
          <w:rFonts w:ascii="Arial" w:eastAsia="Arial" w:hAnsi="Arial" w:cs="Arial"/>
          <w:i/>
          <w:color w:val="000000" w:themeColor="text1"/>
          <w:lang w:val="en-GB"/>
        </w:rPr>
        <w:t>Law of Agency</w:t>
      </w:r>
      <w:r w:rsidR="00A91A7A" w:rsidRPr="00A91A7A">
        <w:rPr>
          <w:rFonts w:ascii="Arial" w:eastAsia="Arial" w:hAnsi="Arial" w:cs="Arial"/>
          <w:i/>
          <w:color w:val="000000" w:themeColor="text1"/>
          <w:lang w:val="en-GB"/>
        </w:rPr>
        <w:t xml:space="preserve"> </w:t>
      </w:r>
      <w:r w:rsidRPr="00A91A7A">
        <w:rPr>
          <w:rFonts w:ascii="Arial" w:eastAsia="Arial" w:hAnsi="Arial" w:cs="Arial"/>
          <w:i/>
          <w:color w:val="000000" w:themeColor="text1"/>
          <w:lang w:val="en-GB"/>
        </w:rPr>
        <w:t>4</w:t>
      </w:r>
      <w:r w:rsidRPr="00A91A7A">
        <w:rPr>
          <w:rFonts w:ascii="Arial" w:eastAsia="Arial" w:hAnsi="Arial" w:cs="Arial"/>
          <w:i/>
          <w:color w:val="000000" w:themeColor="text1"/>
          <w:vertAlign w:val="superscript"/>
          <w:lang w:val="en-GB"/>
        </w:rPr>
        <w:t>th</w:t>
      </w:r>
      <w:r w:rsidRPr="00A91A7A">
        <w:rPr>
          <w:rFonts w:ascii="Arial" w:eastAsia="Arial" w:hAnsi="Arial" w:cs="Arial"/>
          <w:i/>
          <w:color w:val="000000" w:themeColor="text1"/>
          <w:lang w:val="en-GB"/>
        </w:rPr>
        <w:t xml:space="preserve">  ed</w:t>
      </w:r>
      <w:r w:rsidR="00A91A7A">
        <w:rPr>
          <w:rFonts w:ascii="Arial" w:eastAsia="Arial" w:hAnsi="Arial" w:cs="Arial"/>
          <w:color w:val="000000" w:themeColor="text1"/>
          <w:lang w:val="en-GB"/>
        </w:rPr>
        <w:t xml:space="preserve"> (2006)</w:t>
      </w:r>
      <w:r w:rsidR="00A91A7A" w:rsidRPr="00A91A7A">
        <w:rPr>
          <w:rFonts w:ascii="Arial" w:eastAsia="Arial" w:hAnsi="Arial" w:cs="Arial"/>
          <w:color w:val="000000" w:themeColor="text1"/>
          <w:lang w:val="en-GB"/>
        </w:rPr>
        <w:t>,</w:t>
      </w:r>
      <w:r w:rsidRPr="00A91A7A">
        <w:rPr>
          <w:rFonts w:ascii="Arial" w:eastAsia="Arial" w:hAnsi="Arial" w:cs="Arial"/>
          <w:color w:val="000000" w:themeColor="text1"/>
          <w:lang w:val="en-GB"/>
        </w:rPr>
        <w:t xml:space="preserve"> </w:t>
      </w:r>
      <w:r w:rsidR="00A91A7A" w:rsidRPr="00A91A7A">
        <w:rPr>
          <w:rFonts w:ascii="Arial" w:eastAsia="Arial" w:hAnsi="Arial" w:cs="Arial"/>
          <w:color w:val="000000" w:themeColor="text1"/>
          <w:lang w:val="en-GB"/>
        </w:rPr>
        <w:t xml:space="preserve">LexisNexis: Butterworth </w:t>
      </w:r>
      <w:r w:rsidRPr="00A91A7A">
        <w:rPr>
          <w:rFonts w:ascii="Arial" w:eastAsia="Arial" w:hAnsi="Arial" w:cs="Arial"/>
          <w:color w:val="000000" w:themeColor="text1"/>
          <w:lang w:val="en-GB"/>
        </w:rPr>
        <w:t xml:space="preserve">at p </w:t>
      </w:r>
      <w:r w:rsidR="00A91A7A" w:rsidRPr="00A91A7A">
        <w:rPr>
          <w:rFonts w:ascii="Arial" w:eastAsia="Arial" w:hAnsi="Arial" w:cs="Arial"/>
          <w:color w:val="000000" w:themeColor="text1"/>
          <w:lang w:val="en-GB"/>
        </w:rPr>
        <w:t>228</w:t>
      </w:r>
    </w:p>
  </w:footnote>
  <w:footnote w:id="4">
    <w:p w:rsidR="00031768" w:rsidRPr="00A91A7A" w:rsidRDefault="00031768" w:rsidP="007647E8">
      <w:pPr>
        <w:pStyle w:val="FootnoteText"/>
        <w:tabs>
          <w:tab w:val="left" w:pos="360"/>
        </w:tabs>
        <w:jc w:val="both"/>
        <w:rPr>
          <w:rFonts w:ascii="Arial" w:hAnsi="Arial" w:cs="Arial"/>
          <w:color w:val="000000" w:themeColor="text1"/>
        </w:rPr>
      </w:pPr>
      <w:r w:rsidRPr="00A91A7A">
        <w:rPr>
          <w:rStyle w:val="FootnoteReference"/>
          <w:rFonts w:ascii="Arial" w:hAnsi="Arial" w:cs="Arial"/>
          <w:color w:val="000000" w:themeColor="text1"/>
        </w:rPr>
        <w:footnoteRef/>
      </w:r>
      <w:r w:rsidRPr="00A91A7A">
        <w:rPr>
          <w:rFonts w:ascii="Arial" w:hAnsi="Arial" w:cs="Arial"/>
          <w:color w:val="000000" w:themeColor="text1"/>
        </w:rPr>
        <w:t xml:space="preserve"> </w:t>
      </w:r>
      <w:r w:rsidRPr="00A91A7A">
        <w:rPr>
          <w:rFonts w:ascii="Arial" w:hAnsi="Arial" w:cs="Arial"/>
          <w:color w:val="000000" w:themeColor="text1"/>
        </w:rPr>
        <w:tab/>
        <w:t xml:space="preserve">B A Garner (ed), </w:t>
      </w:r>
      <w:r w:rsidRPr="00A91A7A">
        <w:rPr>
          <w:rFonts w:ascii="Arial" w:hAnsi="Arial" w:cs="Arial"/>
          <w:i/>
          <w:color w:val="000000" w:themeColor="text1"/>
        </w:rPr>
        <w:t>Blacks’ Law Dictionary</w:t>
      </w:r>
      <w:r w:rsidRPr="00A91A7A">
        <w:rPr>
          <w:rFonts w:ascii="Arial" w:hAnsi="Arial" w:cs="Arial"/>
          <w:color w:val="000000" w:themeColor="text1"/>
        </w:rPr>
        <w:t xml:space="preserve"> (7</w:t>
      </w:r>
      <w:r w:rsidRPr="00A91A7A">
        <w:rPr>
          <w:rFonts w:ascii="Arial" w:hAnsi="Arial" w:cs="Arial"/>
          <w:color w:val="000000" w:themeColor="text1"/>
          <w:vertAlign w:val="superscript"/>
        </w:rPr>
        <w:t>th</w:t>
      </w:r>
      <w:r w:rsidR="00A81BBA" w:rsidRPr="00A91A7A">
        <w:rPr>
          <w:rFonts w:ascii="Arial" w:hAnsi="Arial" w:cs="Arial"/>
          <w:color w:val="000000" w:themeColor="text1"/>
          <w:vertAlign w:val="superscript"/>
        </w:rPr>
        <w:t xml:space="preserve"> </w:t>
      </w:r>
      <w:r w:rsidRPr="00A91A7A">
        <w:rPr>
          <w:rFonts w:ascii="Arial" w:hAnsi="Arial" w:cs="Arial"/>
          <w:color w:val="000000" w:themeColor="text1"/>
        </w:rPr>
        <w:t>ed, West Group St. Paul, 1999) 62</w:t>
      </w:r>
    </w:p>
  </w:footnote>
  <w:footnote w:id="5">
    <w:p w:rsidR="00E0710F" w:rsidRPr="00A91A7A" w:rsidRDefault="00E0710F" w:rsidP="007647E8">
      <w:pPr>
        <w:pStyle w:val="FootnoteText"/>
        <w:tabs>
          <w:tab w:val="left" w:pos="360"/>
        </w:tabs>
        <w:jc w:val="both"/>
        <w:rPr>
          <w:rFonts w:ascii="Arial" w:hAnsi="Arial" w:cs="Arial"/>
          <w:color w:val="000000" w:themeColor="text1"/>
          <w:lang w:val="en-ZA"/>
        </w:rPr>
      </w:pPr>
      <w:r w:rsidRPr="00A91A7A">
        <w:rPr>
          <w:rStyle w:val="FootnoteReference"/>
          <w:rFonts w:ascii="Arial" w:hAnsi="Arial" w:cs="Arial"/>
          <w:color w:val="000000" w:themeColor="text1"/>
        </w:rPr>
        <w:footnoteRef/>
      </w:r>
      <w:r w:rsidRPr="00A91A7A">
        <w:rPr>
          <w:rFonts w:ascii="Arial" w:hAnsi="Arial" w:cs="Arial"/>
          <w:color w:val="000000" w:themeColor="text1"/>
        </w:rPr>
        <w:t xml:space="preserve"> </w:t>
      </w:r>
      <w:r w:rsidRPr="00A91A7A">
        <w:rPr>
          <w:rFonts w:ascii="Arial" w:hAnsi="Arial" w:cs="Arial"/>
          <w:color w:val="000000" w:themeColor="text1"/>
        </w:rPr>
        <w:tab/>
      </w:r>
      <w:r w:rsidR="00144CAB" w:rsidRPr="00A91A7A">
        <w:rPr>
          <w:rFonts w:ascii="Arial" w:hAnsi="Arial" w:cs="Arial"/>
          <w:color w:val="000000" w:themeColor="text1"/>
        </w:rPr>
        <w:t>A. R Kerr,</w:t>
      </w:r>
      <w:r w:rsidRPr="00A91A7A">
        <w:rPr>
          <w:rFonts w:ascii="Arial" w:hAnsi="Arial" w:cs="Arial"/>
          <w:i/>
          <w:color w:val="000000" w:themeColor="text1"/>
          <w:lang w:val="en-ZA"/>
        </w:rPr>
        <w:t>The Law of Agency</w:t>
      </w:r>
      <w:r w:rsidRPr="00A91A7A">
        <w:rPr>
          <w:rFonts w:ascii="Arial" w:hAnsi="Arial" w:cs="Arial"/>
          <w:color w:val="000000" w:themeColor="text1"/>
          <w:lang w:val="en-ZA"/>
        </w:rPr>
        <w:t xml:space="preserve"> 4</w:t>
      </w:r>
      <w:r w:rsidR="00144CAB" w:rsidRPr="00A91A7A">
        <w:rPr>
          <w:rFonts w:ascii="Arial" w:hAnsi="Arial" w:cs="Arial"/>
          <w:color w:val="000000" w:themeColor="text1"/>
          <w:vertAlign w:val="superscript"/>
          <w:lang w:val="en-ZA"/>
        </w:rPr>
        <w:t>th</w:t>
      </w:r>
      <w:r w:rsidR="00144CAB" w:rsidRPr="00A91A7A">
        <w:rPr>
          <w:rFonts w:ascii="Arial" w:hAnsi="Arial" w:cs="Arial"/>
          <w:color w:val="000000" w:themeColor="text1"/>
          <w:lang w:val="en-ZA"/>
        </w:rPr>
        <w:t xml:space="preserve"> </w:t>
      </w:r>
      <w:r w:rsidRPr="00A91A7A">
        <w:rPr>
          <w:rFonts w:ascii="Arial" w:hAnsi="Arial" w:cs="Arial"/>
          <w:color w:val="000000" w:themeColor="text1"/>
          <w:lang w:val="en-ZA"/>
        </w:rPr>
        <w:t>ed vol</w:t>
      </w:r>
      <w:r w:rsidR="00A81BBA" w:rsidRPr="00A91A7A">
        <w:rPr>
          <w:rFonts w:ascii="Arial" w:hAnsi="Arial" w:cs="Arial"/>
          <w:color w:val="000000" w:themeColor="text1"/>
          <w:lang w:val="en-ZA"/>
        </w:rPr>
        <w:t xml:space="preserve"> </w:t>
      </w:r>
      <w:r w:rsidRPr="00A91A7A">
        <w:rPr>
          <w:rFonts w:ascii="Arial" w:hAnsi="Arial" w:cs="Arial"/>
          <w:color w:val="000000" w:themeColor="text1"/>
          <w:lang w:val="en-ZA"/>
        </w:rPr>
        <w:t>4 at page 227</w:t>
      </w:r>
    </w:p>
  </w:footnote>
  <w:footnote w:id="6">
    <w:p w:rsidR="005A542A" w:rsidRPr="00A91A7A" w:rsidRDefault="005A542A" w:rsidP="007647E8">
      <w:pPr>
        <w:pStyle w:val="Heading1"/>
        <w:shd w:val="clear" w:color="auto" w:fill="FFFFFF"/>
        <w:tabs>
          <w:tab w:val="left" w:pos="360"/>
        </w:tabs>
        <w:spacing w:before="0" w:beforeAutospacing="0" w:after="0" w:afterAutospacing="0"/>
        <w:jc w:val="both"/>
        <w:rPr>
          <w:rFonts w:ascii="Arial" w:hAnsi="Arial" w:cs="Arial"/>
          <w:color w:val="000000" w:themeColor="text1"/>
          <w:sz w:val="20"/>
          <w:szCs w:val="20"/>
        </w:rPr>
      </w:pPr>
      <w:r w:rsidRPr="00A91A7A">
        <w:rPr>
          <w:rStyle w:val="FootnoteReference"/>
          <w:rFonts w:ascii="Arial" w:hAnsi="Arial" w:cs="Arial"/>
          <w:b w:val="0"/>
          <w:color w:val="000000" w:themeColor="text1"/>
          <w:sz w:val="20"/>
          <w:szCs w:val="20"/>
        </w:rPr>
        <w:footnoteRef/>
      </w:r>
      <w:r w:rsidRPr="00A91A7A">
        <w:rPr>
          <w:rFonts w:ascii="Arial" w:hAnsi="Arial" w:cs="Arial"/>
          <w:b w:val="0"/>
          <w:color w:val="000000" w:themeColor="text1"/>
          <w:sz w:val="20"/>
          <w:szCs w:val="20"/>
        </w:rPr>
        <w:t xml:space="preserve"> </w:t>
      </w:r>
      <w:r w:rsidRPr="00A91A7A">
        <w:rPr>
          <w:rFonts w:ascii="Arial" w:hAnsi="Arial" w:cs="Arial"/>
          <w:b w:val="0"/>
          <w:color w:val="000000" w:themeColor="text1"/>
          <w:sz w:val="20"/>
          <w:szCs w:val="20"/>
        </w:rPr>
        <w:tab/>
        <w:t>E R Hardy Ivamy, “</w:t>
      </w:r>
      <w:r w:rsidRPr="00A91A7A">
        <w:rPr>
          <w:rFonts w:ascii="Arial" w:hAnsi="Arial" w:cs="Arial"/>
          <w:b w:val="0"/>
          <w:i/>
          <w:color w:val="000000" w:themeColor="text1"/>
          <w:sz w:val="20"/>
          <w:szCs w:val="20"/>
        </w:rPr>
        <w:t>General principles of insurance law</w:t>
      </w:r>
      <w:r w:rsidRPr="00A91A7A">
        <w:rPr>
          <w:rFonts w:ascii="Arial" w:hAnsi="Arial" w:cs="Arial"/>
          <w:b w:val="0"/>
          <w:color w:val="000000" w:themeColor="text1"/>
          <w:sz w:val="20"/>
          <w:szCs w:val="20"/>
        </w:rPr>
        <w:t>” 6</w:t>
      </w:r>
      <w:r w:rsidRPr="00A91A7A">
        <w:rPr>
          <w:rFonts w:ascii="Arial" w:hAnsi="Arial" w:cs="Arial"/>
          <w:b w:val="0"/>
          <w:color w:val="000000" w:themeColor="text1"/>
          <w:sz w:val="20"/>
          <w:szCs w:val="20"/>
          <w:vertAlign w:val="superscript"/>
        </w:rPr>
        <w:t>th</w:t>
      </w:r>
      <w:r w:rsidRPr="00A91A7A">
        <w:rPr>
          <w:rFonts w:ascii="Arial" w:hAnsi="Arial" w:cs="Arial"/>
          <w:b w:val="0"/>
          <w:color w:val="000000" w:themeColor="text1"/>
          <w:sz w:val="20"/>
          <w:szCs w:val="20"/>
        </w:rPr>
        <w:t xml:space="preserve"> Ed page</w:t>
      </w:r>
      <w:r w:rsidR="00F230C5" w:rsidRPr="00A91A7A">
        <w:rPr>
          <w:rFonts w:ascii="Arial" w:hAnsi="Arial" w:cs="Arial"/>
          <w:b w:val="0"/>
          <w:color w:val="000000" w:themeColor="text1"/>
          <w:sz w:val="20"/>
          <w:szCs w:val="20"/>
        </w:rPr>
        <w:t>s</w:t>
      </w:r>
      <w:r w:rsidRPr="00A91A7A">
        <w:rPr>
          <w:rFonts w:ascii="Arial" w:hAnsi="Arial" w:cs="Arial"/>
          <w:b w:val="0"/>
          <w:color w:val="000000" w:themeColor="text1"/>
          <w:sz w:val="20"/>
          <w:szCs w:val="20"/>
        </w:rPr>
        <w:t xml:space="preserve"> 553-</w:t>
      </w:r>
      <w:r w:rsidR="007647E8" w:rsidRPr="00A91A7A">
        <w:rPr>
          <w:rFonts w:ascii="Arial" w:hAnsi="Arial" w:cs="Arial"/>
          <w:b w:val="0"/>
          <w:color w:val="000000" w:themeColor="text1"/>
          <w:sz w:val="20"/>
          <w:szCs w:val="20"/>
        </w:rPr>
        <w:t>4</w:t>
      </w:r>
    </w:p>
  </w:footnote>
  <w:footnote w:id="7">
    <w:p w:rsidR="00571AB3" w:rsidRPr="00A91A7A" w:rsidRDefault="00571AB3" w:rsidP="007647E8">
      <w:pPr>
        <w:pStyle w:val="FootnoteText"/>
        <w:tabs>
          <w:tab w:val="left" w:pos="360"/>
        </w:tabs>
        <w:jc w:val="both"/>
        <w:rPr>
          <w:rFonts w:ascii="Arial" w:hAnsi="Arial" w:cs="Arial"/>
          <w:color w:val="000000" w:themeColor="text1"/>
        </w:rPr>
      </w:pPr>
      <w:r w:rsidRPr="00A91A7A">
        <w:rPr>
          <w:rStyle w:val="FootnoteReference"/>
          <w:rFonts w:ascii="Arial" w:hAnsi="Arial" w:cs="Arial"/>
          <w:color w:val="000000" w:themeColor="text1"/>
        </w:rPr>
        <w:footnoteRef/>
      </w:r>
      <w:r w:rsidRPr="00A91A7A">
        <w:rPr>
          <w:rFonts w:ascii="Arial" w:hAnsi="Arial" w:cs="Arial"/>
          <w:color w:val="000000" w:themeColor="text1"/>
        </w:rPr>
        <w:t xml:space="preserve"> </w:t>
      </w:r>
      <w:r w:rsidR="00F81803" w:rsidRPr="00A91A7A">
        <w:rPr>
          <w:rFonts w:ascii="Arial" w:hAnsi="Arial" w:cs="Arial"/>
          <w:color w:val="000000" w:themeColor="text1"/>
        </w:rPr>
        <w:tab/>
        <w:t>Restatement of the Law’, American Law Institute, 2 ed, 1958</w:t>
      </w:r>
    </w:p>
  </w:footnote>
  <w:footnote w:id="8">
    <w:p w:rsidR="00571AB3" w:rsidRPr="00A91A7A" w:rsidRDefault="00571AB3" w:rsidP="007647E8">
      <w:pPr>
        <w:tabs>
          <w:tab w:val="left" w:pos="360"/>
        </w:tabs>
        <w:spacing w:after="0" w:line="240" w:lineRule="auto"/>
        <w:jc w:val="both"/>
        <w:rPr>
          <w:rFonts w:ascii="Arial" w:hAnsi="Arial" w:cs="Arial"/>
          <w:color w:val="000000" w:themeColor="text1"/>
          <w:sz w:val="20"/>
          <w:szCs w:val="20"/>
        </w:rPr>
      </w:pPr>
      <w:r w:rsidRPr="00A91A7A">
        <w:rPr>
          <w:rStyle w:val="FootnoteReference"/>
          <w:rFonts w:ascii="Arial" w:hAnsi="Arial" w:cs="Arial"/>
          <w:color w:val="000000" w:themeColor="text1"/>
          <w:sz w:val="20"/>
          <w:szCs w:val="20"/>
        </w:rPr>
        <w:footnoteRef/>
      </w:r>
      <w:r w:rsidRPr="00A91A7A">
        <w:rPr>
          <w:rFonts w:ascii="Arial" w:hAnsi="Arial" w:cs="Arial"/>
          <w:color w:val="000000" w:themeColor="text1"/>
          <w:sz w:val="20"/>
          <w:szCs w:val="20"/>
        </w:rPr>
        <w:t xml:space="preserve"> </w:t>
      </w:r>
      <w:r w:rsidR="00DF3CB8" w:rsidRPr="00A91A7A">
        <w:rPr>
          <w:rFonts w:ascii="Arial" w:hAnsi="Arial" w:cs="Arial"/>
          <w:color w:val="000000" w:themeColor="text1"/>
          <w:sz w:val="20"/>
          <w:szCs w:val="20"/>
        </w:rPr>
        <w:tab/>
      </w:r>
      <w:r w:rsidR="00DF3CB8" w:rsidRPr="00A91A7A">
        <w:rPr>
          <w:rFonts w:ascii="Arial" w:hAnsi="Arial" w:cs="Arial"/>
          <w:color w:val="000000" w:themeColor="text1"/>
          <w:sz w:val="20"/>
          <w:szCs w:val="20"/>
          <w:lang w:val="en-US"/>
        </w:rPr>
        <w:t>Restateme</w:t>
      </w:r>
      <w:r w:rsidR="007647E8" w:rsidRPr="00A91A7A">
        <w:rPr>
          <w:rFonts w:ascii="Arial" w:hAnsi="Arial" w:cs="Arial"/>
          <w:color w:val="000000" w:themeColor="text1"/>
          <w:sz w:val="20"/>
          <w:szCs w:val="20"/>
          <w:lang w:val="en-US"/>
        </w:rPr>
        <w:t>nt (Third ) of Agency para 5.03</w:t>
      </w:r>
    </w:p>
  </w:footnote>
  <w:footnote w:id="9">
    <w:p w:rsidR="00F81803" w:rsidRPr="00A91A7A" w:rsidRDefault="00F81803" w:rsidP="007647E8">
      <w:pPr>
        <w:pStyle w:val="FootnoteText"/>
        <w:tabs>
          <w:tab w:val="left" w:pos="360"/>
        </w:tabs>
        <w:jc w:val="both"/>
        <w:rPr>
          <w:rFonts w:ascii="Arial" w:hAnsi="Arial" w:cs="Arial"/>
          <w:color w:val="000000" w:themeColor="text1"/>
        </w:rPr>
      </w:pPr>
      <w:r w:rsidRPr="00A91A7A">
        <w:rPr>
          <w:rStyle w:val="FootnoteReference"/>
          <w:rFonts w:ascii="Arial" w:hAnsi="Arial" w:cs="Arial"/>
          <w:color w:val="000000" w:themeColor="text1"/>
        </w:rPr>
        <w:footnoteRef/>
      </w:r>
      <w:r w:rsidRPr="00A91A7A">
        <w:rPr>
          <w:rFonts w:ascii="Arial" w:hAnsi="Arial" w:cs="Arial"/>
          <w:color w:val="000000" w:themeColor="text1"/>
        </w:rPr>
        <w:t xml:space="preserve"> </w:t>
      </w:r>
      <w:r w:rsidR="00DF3CB8" w:rsidRPr="00A91A7A">
        <w:rPr>
          <w:rFonts w:ascii="Arial" w:hAnsi="Arial" w:cs="Arial"/>
          <w:color w:val="000000" w:themeColor="text1"/>
        </w:rPr>
        <w:tab/>
        <w:t xml:space="preserve">Restatement (Second ) of Agency </w:t>
      </w:r>
      <w:r w:rsidR="00DF3CB8" w:rsidRPr="00A91A7A">
        <w:rPr>
          <w:rFonts w:ascii="Arial" w:hAnsi="Arial" w:cs="Arial"/>
          <w:color w:val="000000" w:themeColor="text1"/>
          <w:shd w:val="clear" w:color="auto" w:fill="FAFAFA"/>
        </w:rPr>
        <w:t>§ 272</w:t>
      </w:r>
    </w:p>
  </w:footnote>
  <w:footnote w:id="10">
    <w:p w:rsidR="00D86560" w:rsidRPr="00A91A7A" w:rsidRDefault="00D86560" w:rsidP="007647E8">
      <w:pPr>
        <w:pStyle w:val="FootnoteText"/>
        <w:tabs>
          <w:tab w:val="left" w:pos="360"/>
        </w:tabs>
        <w:ind w:left="360" w:hanging="360"/>
        <w:jc w:val="both"/>
        <w:rPr>
          <w:rFonts w:ascii="Arial" w:hAnsi="Arial" w:cs="Arial"/>
          <w:color w:val="000000" w:themeColor="text1"/>
          <w:lang w:val="en-ZA"/>
        </w:rPr>
      </w:pPr>
      <w:r w:rsidRPr="00A91A7A">
        <w:rPr>
          <w:rStyle w:val="FootnoteReference"/>
          <w:rFonts w:ascii="Arial" w:hAnsi="Arial" w:cs="Arial"/>
          <w:color w:val="000000" w:themeColor="text1"/>
        </w:rPr>
        <w:footnoteRef/>
      </w:r>
      <w:r w:rsidRPr="00A91A7A">
        <w:rPr>
          <w:rFonts w:ascii="Arial" w:hAnsi="Arial" w:cs="Arial"/>
          <w:color w:val="000000" w:themeColor="text1"/>
        </w:rPr>
        <w:t xml:space="preserve"> </w:t>
      </w:r>
      <w:r w:rsidR="008E742D" w:rsidRPr="00A91A7A">
        <w:rPr>
          <w:rFonts w:ascii="Arial" w:hAnsi="Arial" w:cs="Arial"/>
          <w:color w:val="000000" w:themeColor="text1"/>
        </w:rPr>
        <w:tab/>
      </w:r>
      <w:r w:rsidR="008E742D" w:rsidRPr="00A91A7A">
        <w:rPr>
          <w:rFonts w:ascii="Arial" w:hAnsi="Arial" w:cs="Arial"/>
          <w:i/>
          <w:color w:val="000000" w:themeColor="text1"/>
        </w:rPr>
        <w:t>Wellman v Hollard Insurance Company of Namibia Limited</w:t>
      </w:r>
      <w:r w:rsidR="008E742D" w:rsidRPr="00A91A7A">
        <w:rPr>
          <w:rFonts w:ascii="Arial" w:hAnsi="Arial" w:cs="Arial"/>
          <w:color w:val="000000" w:themeColor="text1"/>
        </w:rPr>
        <w:t xml:space="preserve"> </w:t>
      </w:r>
      <w:r w:rsidRPr="00A91A7A">
        <w:rPr>
          <w:rFonts w:ascii="Arial" w:hAnsi="Arial" w:cs="Arial"/>
          <w:color w:val="000000" w:themeColor="text1"/>
        </w:rPr>
        <w:t>(I 858/2010) [2012] NAHC 232 (</w:t>
      </w:r>
      <w:r w:rsidR="007647E8" w:rsidRPr="00A91A7A">
        <w:rPr>
          <w:rFonts w:ascii="Arial" w:hAnsi="Arial" w:cs="Arial"/>
          <w:color w:val="000000" w:themeColor="text1"/>
        </w:rPr>
        <w:t>15 August 2012) at para 82 – 85</w:t>
      </w:r>
    </w:p>
  </w:footnote>
  <w:footnote w:id="11">
    <w:p w:rsidR="008E742D" w:rsidRPr="00A91A7A" w:rsidRDefault="008E742D" w:rsidP="007647E8">
      <w:pPr>
        <w:pStyle w:val="FootnoteText"/>
        <w:tabs>
          <w:tab w:val="left" w:pos="360"/>
        </w:tabs>
        <w:ind w:left="360" w:hanging="360"/>
        <w:jc w:val="both"/>
        <w:rPr>
          <w:rFonts w:ascii="Arial" w:hAnsi="Arial" w:cs="Arial"/>
          <w:color w:val="000000" w:themeColor="text1"/>
        </w:rPr>
      </w:pPr>
      <w:r w:rsidRPr="00A91A7A">
        <w:rPr>
          <w:rStyle w:val="FootnoteReference"/>
          <w:rFonts w:ascii="Arial" w:hAnsi="Arial" w:cs="Arial"/>
          <w:color w:val="000000" w:themeColor="text1"/>
        </w:rPr>
        <w:footnoteRef/>
      </w:r>
      <w:r w:rsidRPr="00A91A7A">
        <w:rPr>
          <w:rFonts w:ascii="Arial" w:hAnsi="Arial" w:cs="Arial"/>
          <w:color w:val="000000" w:themeColor="text1"/>
        </w:rPr>
        <w:t xml:space="preserve"> </w:t>
      </w:r>
      <w:r w:rsidRPr="00A91A7A">
        <w:rPr>
          <w:rFonts w:ascii="Arial" w:hAnsi="Arial" w:cs="Arial"/>
          <w:color w:val="000000" w:themeColor="text1"/>
        </w:rPr>
        <w:tab/>
      </w:r>
      <w:r w:rsidRPr="00A91A7A">
        <w:rPr>
          <w:rFonts w:ascii="Arial" w:hAnsi="Arial" w:cs="Arial"/>
          <w:i/>
          <w:color w:val="000000" w:themeColor="text1"/>
        </w:rPr>
        <w:t xml:space="preserve">Standard Bank of South Africa Ltd v Prinsloo &amp; Another (Prinsloo &amp; Another Intervening) </w:t>
      </w:r>
      <w:r w:rsidRPr="00A91A7A">
        <w:rPr>
          <w:rFonts w:ascii="Arial" w:hAnsi="Arial" w:cs="Arial"/>
          <w:color w:val="000000" w:themeColor="text1"/>
        </w:rPr>
        <w:t>200 (</w:t>
      </w:r>
      <w:r w:rsidR="007647E8" w:rsidRPr="00A91A7A">
        <w:rPr>
          <w:rFonts w:ascii="Arial" w:hAnsi="Arial" w:cs="Arial"/>
          <w:color w:val="000000" w:themeColor="text1"/>
        </w:rPr>
        <w:t>3) SA 576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489943"/>
      <w:docPartObj>
        <w:docPartGallery w:val="Page Numbers (Top of Page)"/>
        <w:docPartUnique/>
      </w:docPartObj>
    </w:sdtPr>
    <w:sdtEndPr>
      <w:rPr>
        <w:rFonts w:ascii="Arial" w:hAnsi="Arial" w:cs="Arial"/>
        <w:noProof/>
        <w:sz w:val="24"/>
        <w:szCs w:val="24"/>
      </w:rPr>
    </w:sdtEndPr>
    <w:sdtContent>
      <w:p w:rsidR="00D86560" w:rsidRPr="00B447CF" w:rsidRDefault="00D86560">
        <w:pPr>
          <w:pStyle w:val="Header"/>
          <w:jc w:val="right"/>
          <w:rPr>
            <w:rFonts w:ascii="Arial" w:hAnsi="Arial" w:cs="Arial"/>
            <w:sz w:val="24"/>
            <w:szCs w:val="24"/>
          </w:rPr>
        </w:pPr>
        <w:r w:rsidRPr="00B447CF">
          <w:rPr>
            <w:rFonts w:ascii="Arial" w:hAnsi="Arial" w:cs="Arial"/>
            <w:sz w:val="24"/>
            <w:szCs w:val="24"/>
          </w:rPr>
          <w:fldChar w:fldCharType="begin"/>
        </w:r>
        <w:r w:rsidRPr="00B447CF">
          <w:rPr>
            <w:rFonts w:ascii="Arial" w:hAnsi="Arial" w:cs="Arial"/>
            <w:sz w:val="24"/>
            <w:szCs w:val="24"/>
          </w:rPr>
          <w:instrText xml:space="preserve"> PAGE   \* MERGEFORMAT </w:instrText>
        </w:r>
        <w:r w:rsidRPr="00B447CF">
          <w:rPr>
            <w:rFonts w:ascii="Arial" w:hAnsi="Arial" w:cs="Arial"/>
            <w:sz w:val="24"/>
            <w:szCs w:val="24"/>
          </w:rPr>
          <w:fldChar w:fldCharType="separate"/>
        </w:r>
        <w:r w:rsidR="00ED3514">
          <w:rPr>
            <w:rFonts w:ascii="Arial" w:hAnsi="Arial" w:cs="Arial"/>
            <w:noProof/>
            <w:sz w:val="24"/>
            <w:szCs w:val="24"/>
          </w:rPr>
          <w:t>4</w:t>
        </w:r>
        <w:r w:rsidRPr="00B447CF">
          <w:rPr>
            <w:rFonts w:ascii="Arial" w:hAnsi="Arial" w:cs="Arial"/>
            <w:noProof/>
            <w:sz w:val="24"/>
            <w:szCs w:val="24"/>
          </w:rPr>
          <w:fldChar w:fldCharType="end"/>
        </w:r>
      </w:p>
    </w:sdtContent>
  </w:sdt>
  <w:p w:rsidR="00D86560" w:rsidRDefault="00D86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3DC1"/>
    <w:multiLevelType w:val="hybridMultilevel"/>
    <w:tmpl w:val="65F605A0"/>
    <w:lvl w:ilvl="0" w:tplc="E50A6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C949E5"/>
    <w:multiLevelType w:val="hybridMultilevel"/>
    <w:tmpl w:val="49362766"/>
    <w:lvl w:ilvl="0" w:tplc="BC2ECB9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E0905"/>
    <w:multiLevelType w:val="multilevel"/>
    <w:tmpl w:val="2AF0B064"/>
    <w:lvl w:ilvl="0">
      <w:start w:val="1"/>
      <w:numFmt w:val="decimal"/>
      <w:pStyle w:val="HCR-Numberingnormal"/>
      <w:lvlText w:val="[%1.]"/>
      <w:lvlJc w:val="left"/>
      <w:pPr>
        <w:tabs>
          <w:tab w:val="num" w:pos="680"/>
        </w:tabs>
        <w:ind w:left="0" w:firstLine="0"/>
      </w:pPr>
      <w:rPr>
        <w:rFonts w:hint="default"/>
        <w:b w:val="0"/>
        <w:i w:val="0"/>
        <w:strike w:val="0"/>
      </w:rPr>
    </w:lvl>
    <w:lvl w:ilvl="1">
      <w:start w:val="1"/>
      <w:numFmt w:val="decimal"/>
      <w:lvlText w:val="[%1.%2]"/>
      <w:lvlJc w:val="left"/>
      <w:pPr>
        <w:tabs>
          <w:tab w:val="num" w:pos="680"/>
        </w:tabs>
        <w:ind w:left="680" w:firstLine="0"/>
      </w:pPr>
      <w:rPr>
        <w:rFonts w:hint="default"/>
        <w:b w:val="0"/>
        <w:i w:val="0"/>
        <w:sz w:val="24"/>
      </w:rPr>
    </w:lvl>
    <w:lvl w:ilvl="2">
      <w:start w:val="1"/>
      <w:numFmt w:val="lowerLetter"/>
      <w:lvlText w:val="[%3.]"/>
      <w:lvlJc w:val="left"/>
      <w:pPr>
        <w:ind w:left="136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6B7CB1"/>
    <w:multiLevelType w:val="hybridMultilevel"/>
    <w:tmpl w:val="527E245E"/>
    <w:lvl w:ilvl="0" w:tplc="AA26E3F0">
      <w:start w:val="1"/>
      <w:numFmt w:val="decimal"/>
      <w:lvlText w:val="[%1]"/>
      <w:lvlJc w:val="left"/>
      <w:pPr>
        <w:ind w:left="360" w:hanging="360"/>
      </w:pPr>
      <w:rPr>
        <w:rFonts w:ascii="Arial" w:hAnsi="Arial" w:cs="Arial" w:hint="default"/>
        <w:b w:val="0"/>
        <w:i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7023C"/>
    <w:multiLevelType w:val="hybridMultilevel"/>
    <w:tmpl w:val="CB94921C"/>
    <w:lvl w:ilvl="0" w:tplc="6C44F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F19E6"/>
    <w:multiLevelType w:val="hybridMultilevel"/>
    <w:tmpl w:val="6D18CF7A"/>
    <w:lvl w:ilvl="0" w:tplc="6C44FC60">
      <w:start w:val="1"/>
      <w:numFmt w:val="decimal"/>
      <w:lvlText w:val="[%1]"/>
      <w:lvlJc w:val="left"/>
      <w:pPr>
        <w:ind w:left="54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DE5363"/>
    <w:multiLevelType w:val="hybridMultilevel"/>
    <w:tmpl w:val="DF7C1B3C"/>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37891"/>
    <w:multiLevelType w:val="hybridMultilevel"/>
    <w:tmpl w:val="C390EC08"/>
    <w:lvl w:ilvl="0" w:tplc="B3B0D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1308A7"/>
    <w:multiLevelType w:val="multilevel"/>
    <w:tmpl w:val="1A4C51C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val="0"/>
        <w:i w:val="0"/>
      </w:rPr>
    </w:lvl>
    <w:lvl w:ilvl="2">
      <w:start w:val="1"/>
      <w:numFmt w:val="lowerLetter"/>
      <w:lvlText w:val="(%3)"/>
      <w:lvlJc w:val="left"/>
      <w:pPr>
        <w:ind w:left="1440" w:hanging="720"/>
      </w:pPr>
      <w:rPr>
        <w:rFonts w:ascii="Arial" w:eastAsiaTheme="minorHAnsi" w:hAnsi="Arial" w:cs="Arial"/>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E681055"/>
    <w:multiLevelType w:val="multilevel"/>
    <w:tmpl w:val="A3625C98"/>
    <w:lvl w:ilvl="0">
      <w:start w:val="1"/>
      <w:numFmt w:val="decimal"/>
      <w:lvlText w:val="[%1.]"/>
      <w:lvlJc w:val="left"/>
      <w:pPr>
        <w:ind w:left="0" w:firstLine="0"/>
      </w:pPr>
      <w:rPr>
        <w:b w:val="0"/>
        <w:i w:val="0"/>
        <w:strike w:val="0"/>
      </w:rPr>
    </w:lvl>
    <w:lvl w:ilvl="1">
      <w:start w:val="1"/>
      <w:numFmt w:val="decimal"/>
      <w:lvlText w:val="[%1.%2]"/>
      <w:lvlJc w:val="left"/>
      <w:pPr>
        <w:ind w:left="680" w:firstLine="0"/>
      </w:pPr>
      <w:rPr>
        <w:b w:val="0"/>
        <w:i w:val="0"/>
        <w:sz w:val="24"/>
        <w:szCs w:val="24"/>
      </w:rPr>
    </w:lvl>
    <w:lvl w:ilvl="2">
      <w:start w:val="1"/>
      <w:numFmt w:val="lowerLetter"/>
      <w:lvlText w:val="[%3.]"/>
      <w:lvlJc w:val="left"/>
      <w:pPr>
        <w:ind w:left="1361"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4AC6A2C"/>
    <w:multiLevelType w:val="hybridMultilevel"/>
    <w:tmpl w:val="8074595A"/>
    <w:lvl w:ilvl="0" w:tplc="CB18EE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5CA418A"/>
    <w:multiLevelType w:val="hybridMultilevel"/>
    <w:tmpl w:val="51F6DFB8"/>
    <w:lvl w:ilvl="0" w:tplc="04090015">
      <w:start w:val="1"/>
      <w:numFmt w:val="upperLetter"/>
      <w:lvlText w:val="%1."/>
      <w:lvlJc w:val="left"/>
      <w:pPr>
        <w:ind w:left="720" w:hanging="360"/>
      </w:pPr>
      <w:rPr>
        <w:rFonts w:hint="default"/>
      </w:rPr>
    </w:lvl>
    <w:lvl w:ilvl="1" w:tplc="8E0E3B74">
      <w:start w:val="1"/>
      <w:numFmt w:val="lowerLetter"/>
      <w:lvlText w:val="%2."/>
      <w:lvlJc w:val="left"/>
      <w:pPr>
        <w:ind w:left="1440" w:hanging="360"/>
      </w:pPr>
      <w:rPr>
        <w:b w:val="0"/>
      </w:rPr>
    </w:lvl>
    <w:lvl w:ilvl="2" w:tplc="3956E6A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4"/>
  </w:num>
  <w:num w:numId="5">
    <w:abstractNumId w:val="5"/>
  </w:num>
  <w:num w:numId="6">
    <w:abstractNumId w:val="7"/>
  </w:num>
  <w:num w:numId="7">
    <w:abstractNumId w:val="9"/>
  </w:num>
  <w:num w:numId="8">
    <w:abstractNumId w:val="2"/>
  </w:num>
  <w:num w:numId="9">
    <w:abstractNumId w:val="8"/>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95"/>
    <w:rsid w:val="000050DC"/>
    <w:rsid w:val="000304AF"/>
    <w:rsid w:val="00031768"/>
    <w:rsid w:val="000317EB"/>
    <w:rsid w:val="000455AF"/>
    <w:rsid w:val="00050D7E"/>
    <w:rsid w:val="000538D2"/>
    <w:rsid w:val="00071CEF"/>
    <w:rsid w:val="000A1316"/>
    <w:rsid w:val="000A78FC"/>
    <w:rsid w:val="000B1CAE"/>
    <w:rsid w:val="000B7CCA"/>
    <w:rsid w:val="000D6FC4"/>
    <w:rsid w:val="000E21D7"/>
    <w:rsid w:val="000E2A39"/>
    <w:rsid w:val="000F5910"/>
    <w:rsid w:val="00103180"/>
    <w:rsid w:val="001310CD"/>
    <w:rsid w:val="00132E74"/>
    <w:rsid w:val="00144CAB"/>
    <w:rsid w:val="00163CFB"/>
    <w:rsid w:val="0017153D"/>
    <w:rsid w:val="00172DF5"/>
    <w:rsid w:val="001800FA"/>
    <w:rsid w:val="00184080"/>
    <w:rsid w:val="00186E66"/>
    <w:rsid w:val="00187F53"/>
    <w:rsid w:val="00194D63"/>
    <w:rsid w:val="00197FEE"/>
    <w:rsid w:val="001A3BC7"/>
    <w:rsid w:val="001B12CC"/>
    <w:rsid w:val="001B16E7"/>
    <w:rsid w:val="001B7CD0"/>
    <w:rsid w:val="001C6D28"/>
    <w:rsid w:val="00205BA9"/>
    <w:rsid w:val="00205D71"/>
    <w:rsid w:val="00216165"/>
    <w:rsid w:val="00250884"/>
    <w:rsid w:val="00255BAA"/>
    <w:rsid w:val="00256EFE"/>
    <w:rsid w:val="00280496"/>
    <w:rsid w:val="002A73C5"/>
    <w:rsid w:val="002B4B8F"/>
    <w:rsid w:val="002B650D"/>
    <w:rsid w:val="002C0BDB"/>
    <w:rsid w:val="002C4DAC"/>
    <w:rsid w:val="002E41E3"/>
    <w:rsid w:val="003043B2"/>
    <w:rsid w:val="00311F64"/>
    <w:rsid w:val="00324619"/>
    <w:rsid w:val="00340B1C"/>
    <w:rsid w:val="00343E18"/>
    <w:rsid w:val="0034618D"/>
    <w:rsid w:val="003554DC"/>
    <w:rsid w:val="00356A3D"/>
    <w:rsid w:val="003612AE"/>
    <w:rsid w:val="003634C8"/>
    <w:rsid w:val="003671B0"/>
    <w:rsid w:val="0036724A"/>
    <w:rsid w:val="00381182"/>
    <w:rsid w:val="00387D43"/>
    <w:rsid w:val="003B3771"/>
    <w:rsid w:val="003C11BC"/>
    <w:rsid w:val="003C5AFB"/>
    <w:rsid w:val="003C75E8"/>
    <w:rsid w:val="003E482A"/>
    <w:rsid w:val="003F44E2"/>
    <w:rsid w:val="00414914"/>
    <w:rsid w:val="00452D2A"/>
    <w:rsid w:val="00461371"/>
    <w:rsid w:val="00462FFD"/>
    <w:rsid w:val="00463BF6"/>
    <w:rsid w:val="00472088"/>
    <w:rsid w:val="00484C4F"/>
    <w:rsid w:val="00486223"/>
    <w:rsid w:val="00487634"/>
    <w:rsid w:val="00487AF9"/>
    <w:rsid w:val="00494A26"/>
    <w:rsid w:val="004951F5"/>
    <w:rsid w:val="004A29FB"/>
    <w:rsid w:val="004C4CA1"/>
    <w:rsid w:val="004F220E"/>
    <w:rsid w:val="00516466"/>
    <w:rsid w:val="0052743D"/>
    <w:rsid w:val="005418C0"/>
    <w:rsid w:val="00553E63"/>
    <w:rsid w:val="005646BA"/>
    <w:rsid w:val="00571AB3"/>
    <w:rsid w:val="0058323B"/>
    <w:rsid w:val="005957C8"/>
    <w:rsid w:val="005A542A"/>
    <w:rsid w:val="005A79F4"/>
    <w:rsid w:val="005B15F4"/>
    <w:rsid w:val="005B6857"/>
    <w:rsid w:val="005B778A"/>
    <w:rsid w:val="005C062B"/>
    <w:rsid w:val="005D5E38"/>
    <w:rsid w:val="005E13A8"/>
    <w:rsid w:val="005E60D8"/>
    <w:rsid w:val="005E68F1"/>
    <w:rsid w:val="006131C2"/>
    <w:rsid w:val="00620D1C"/>
    <w:rsid w:val="006317B0"/>
    <w:rsid w:val="00643E2B"/>
    <w:rsid w:val="00646C4D"/>
    <w:rsid w:val="00653EB6"/>
    <w:rsid w:val="006775CC"/>
    <w:rsid w:val="006833BA"/>
    <w:rsid w:val="0069620B"/>
    <w:rsid w:val="006A12D4"/>
    <w:rsid w:val="006B3C03"/>
    <w:rsid w:val="006C6768"/>
    <w:rsid w:val="007036DD"/>
    <w:rsid w:val="007046B8"/>
    <w:rsid w:val="00705BBB"/>
    <w:rsid w:val="007226F3"/>
    <w:rsid w:val="007355BA"/>
    <w:rsid w:val="007375E0"/>
    <w:rsid w:val="00747C0F"/>
    <w:rsid w:val="007647E8"/>
    <w:rsid w:val="00764830"/>
    <w:rsid w:val="007728B8"/>
    <w:rsid w:val="00773CE2"/>
    <w:rsid w:val="007775D3"/>
    <w:rsid w:val="00785866"/>
    <w:rsid w:val="00786BC1"/>
    <w:rsid w:val="007951A0"/>
    <w:rsid w:val="007964C6"/>
    <w:rsid w:val="007B42E5"/>
    <w:rsid w:val="007B7356"/>
    <w:rsid w:val="007C13F3"/>
    <w:rsid w:val="007C26AA"/>
    <w:rsid w:val="007E0710"/>
    <w:rsid w:val="00825D84"/>
    <w:rsid w:val="008353BE"/>
    <w:rsid w:val="0084798B"/>
    <w:rsid w:val="00851970"/>
    <w:rsid w:val="008616B4"/>
    <w:rsid w:val="008A3DA8"/>
    <w:rsid w:val="008A504D"/>
    <w:rsid w:val="008A6841"/>
    <w:rsid w:val="008C295D"/>
    <w:rsid w:val="008C3A93"/>
    <w:rsid w:val="008E6078"/>
    <w:rsid w:val="008E742D"/>
    <w:rsid w:val="008F058E"/>
    <w:rsid w:val="008F60FB"/>
    <w:rsid w:val="00912482"/>
    <w:rsid w:val="00916994"/>
    <w:rsid w:val="00926BB7"/>
    <w:rsid w:val="00943176"/>
    <w:rsid w:val="0094340E"/>
    <w:rsid w:val="00945059"/>
    <w:rsid w:val="00954734"/>
    <w:rsid w:val="00990DDB"/>
    <w:rsid w:val="0099206E"/>
    <w:rsid w:val="009A6F9A"/>
    <w:rsid w:val="009F7B7E"/>
    <w:rsid w:val="00A01EC9"/>
    <w:rsid w:val="00A02410"/>
    <w:rsid w:val="00A12F41"/>
    <w:rsid w:val="00A212B2"/>
    <w:rsid w:val="00A3003E"/>
    <w:rsid w:val="00A419DC"/>
    <w:rsid w:val="00A81BBA"/>
    <w:rsid w:val="00A81F8B"/>
    <w:rsid w:val="00A82C3E"/>
    <w:rsid w:val="00A91A7A"/>
    <w:rsid w:val="00AA3BA9"/>
    <w:rsid w:val="00AB40B7"/>
    <w:rsid w:val="00AB5851"/>
    <w:rsid w:val="00AF1D70"/>
    <w:rsid w:val="00B0163D"/>
    <w:rsid w:val="00B026D4"/>
    <w:rsid w:val="00B12CAB"/>
    <w:rsid w:val="00B22250"/>
    <w:rsid w:val="00B23DFF"/>
    <w:rsid w:val="00B242C1"/>
    <w:rsid w:val="00B3698D"/>
    <w:rsid w:val="00B50E0C"/>
    <w:rsid w:val="00B70270"/>
    <w:rsid w:val="00BA607C"/>
    <w:rsid w:val="00BB2AA6"/>
    <w:rsid w:val="00BC19CB"/>
    <w:rsid w:val="00BC5050"/>
    <w:rsid w:val="00BC5B22"/>
    <w:rsid w:val="00BD1D7D"/>
    <w:rsid w:val="00BE6BB8"/>
    <w:rsid w:val="00BF3784"/>
    <w:rsid w:val="00BF46CD"/>
    <w:rsid w:val="00C16B14"/>
    <w:rsid w:val="00C24C5C"/>
    <w:rsid w:val="00C35087"/>
    <w:rsid w:val="00C3628F"/>
    <w:rsid w:val="00C415B3"/>
    <w:rsid w:val="00C51A78"/>
    <w:rsid w:val="00C72FE5"/>
    <w:rsid w:val="00C7394B"/>
    <w:rsid w:val="00C76181"/>
    <w:rsid w:val="00C9370B"/>
    <w:rsid w:val="00CD0B70"/>
    <w:rsid w:val="00CD4683"/>
    <w:rsid w:val="00CE3F5C"/>
    <w:rsid w:val="00CE67D7"/>
    <w:rsid w:val="00CE772D"/>
    <w:rsid w:val="00CF714A"/>
    <w:rsid w:val="00D04791"/>
    <w:rsid w:val="00D07095"/>
    <w:rsid w:val="00D113B2"/>
    <w:rsid w:val="00D15F6B"/>
    <w:rsid w:val="00D22542"/>
    <w:rsid w:val="00D25BCA"/>
    <w:rsid w:val="00D33720"/>
    <w:rsid w:val="00D3430D"/>
    <w:rsid w:val="00D4009D"/>
    <w:rsid w:val="00D456D2"/>
    <w:rsid w:val="00D63F1C"/>
    <w:rsid w:val="00D834E1"/>
    <w:rsid w:val="00D85AFE"/>
    <w:rsid w:val="00D86560"/>
    <w:rsid w:val="00D96660"/>
    <w:rsid w:val="00DA37B6"/>
    <w:rsid w:val="00DB7B7A"/>
    <w:rsid w:val="00DC4899"/>
    <w:rsid w:val="00DC55BE"/>
    <w:rsid w:val="00DC6267"/>
    <w:rsid w:val="00DD47EC"/>
    <w:rsid w:val="00DE1CD1"/>
    <w:rsid w:val="00DF3CB8"/>
    <w:rsid w:val="00E02498"/>
    <w:rsid w:val="00E0710F"/>
    <w:rsid w:val="00E4112E"/>
    <w:rsid w:val="00E473FC"/>
    <w:rsid w:val="00E52AA8"/>
    <w:rsid w:val="00E535F3"/>
    <w:rsid w:val="00E930F8"/>
    <w:rsid w:val="00EB2BE0"/>
    <w:rsid w:val="00ED3514"/>
    <w:rsid w:val="00ED523E"/>
    <w:rsid w:val="00F022AC"/>
    <w:rsid w:val="00F112B9"/>
    <w:rsid w:val="00F13CB4"/>
    <w:rsid w:val="00F230C5"/>
    <w:rsid w:val="00F37AA3"/>
    <w:rsid w:val="00F730B4"/>
    <w:rsid w:val="00F73385"/>
    <w:rsid w:val="00F737A3"/>
    <w:rsid w:val="00F81803"/>
    <w:rsid w:val="00FA3BDB"/>
    <w:rsid w:val="00FC4487"/>
    <w:rsid w:val="00FF5B2E"/>
    <w:rsid w:val="00FF60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CB3B7-D816-42CE-818E-622124B2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542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70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7095"/>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D07095"/>
    <w:pPr>
      <w:spacing w:after="0" w:line="240" w:lineRule="auto"/>
    </w:pPr>
    <w:rPr>
      <w:sz w:val="20"/>
      <w:szCs w:val="20"/>
      <w:lang w:val="en-US"/>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D07095"/>
    <w:rPr>
      <w:sz w:val="20"/>
      <w:szCs w:val="20"/>
      <w:lang w:val="en-US"/>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D07095"/>
    <w:rPr>
      <w:vertAlign w:val="superscript"/>
    </w:rPr>
  </w:style>
  <w:style w:type="character" w:styleId="Strong">
    <w:name w:val="Strong"/>
    <w:basedOn w:val="DefaultParagraphFont"/>
    <w:qFormat/>
    <w:rsid w:val="00D07095"/>
    <w:rPr>
      <w:b/>
      <w:bCs/>
    </w:rPr>
  </w:style>
  <w:style w:type="paragraph" w:styleId="ListParagraph">
    <w:name w:val="List Paragraph"/>
    <w:basedOn w:val="Normal"/>
    <w:uiPriority w:val="34"/>
    <w:qFormat/>
    <w:rsid w:val="00280496"/>
    <w:pPr>
      <w:ind w:left="720"/>
      <w:contextualSpacing/>
    </w:pPr>
  </w:style>
  <w:style w:type="paragraph" w:styleId="NormalWeb">
    <w:name w:val="Normal (Web)"/>
    <w:basedOn w:val="Normal"/>
    <w:uiPriority w:val="99"/>
    <w:semiHidden/>
    <w:unhideWhenUsed/>
    <w:rsid w:val="003554DC"/>
    <w:rPr>
      <w:rFonts w:ascii="Times New Roman" w:hAnsi="Times New Roman" w:cs="Times New Roman"/>
      <w:sz w:val="24"/>
      <w:szCs w:val="24"/>
    </w:rPr>
  </w:style>
  <w:style w:type="paragraph" w:customStyle="1" w:styleId="HCR-Numberingnormal">
    <w:name w:val="HCR: - Numbering: normal"/>
    <w:basedOn w:val="Normal"/>
    <w:qFormat/>
    <w:rsid w:val="00954734"/>
    <w:pPr>
      <w:numPr>
        <w:numId w:val="8"/>
      </w:numPr>
      <w:spacing w:before="360" w:after="240" w:line="480" w:lineRule="auto"/>
      <w:jc w:val="both"/>
    </w:pPr>
    <w:rPr>
      <w:rFonts w:ascii="Arial" w:eastAsia="Arial" w:hAnsi="Arial" w:cs="Times New Roman"/>
      <w:sz w:val="24"/>
      <w:lang w:val="en-GB"/>
    </w:rPr>
  </w:style>
  <w:style w:type="paragraph" w:customStyle="1" w:styleId="HCR-Quote2">
    <w:name w:val="HCR: - Quote 2"/>
    <w:basedOn w:val="Normal"/>
    <w:qFormat/>
    <w:rsid w:val="00954734"/>
    <w:pPr>
      <w:tabs>
        <w:tab w:val="left" w:pos="567"/>
        <w:tab w:val="left" w:pos="1701"/>
      </w:tabs>
      <w:spacing w:before="120" w:after="120" w:line="480" w:lineRule="auto"/>
      <w:ind w:left="1134"/>
      <w:jc w:val="both"/>
    </w:pPr>
    <w:rPr>
      <w:rFonts w:ascii="Arial" w:eastAsia="Arial" w:hAnsi="Arial" w:cs="Times New Roman"/>
      <w:lang w:val="en-US"/>
    </w:rPr>
  </w:style>
  <w:style w:type="paragraph" w:customStyle="1" w:styleId="HCR-Quote21">
    <w:name w:val="HCR: - Quote 2.1"/>
    <w:basedOn w:val="HCR-Quote2"/>
    <w:qFormat/>
    <w:rsid w:val="00954734"/>
    <w:pPr>
      <w:ind w:left="1701"/>
    </w:pPr>
  </w:style>
  <w:style w:type="character" w:customStyle="1" w:styleId="Heading1Char">
    <w:name w:val="Heading 1 Char"/>
    <w:basedOn w:val="DefaultParagraphFont"/>
    <w:link w:val="Heading1"/>
    <w:uiPriority w:val="9"/>
    <w:rsid w:val="005A542A"/>
    <w:rPr>
      <w:rFonts w:ascii="Times New Roman" w:eastAsia="Times New Roman" w:hAnsi="Times New Roman" w:cs="Times New Roman"/>
      <w:b/>
      <w:bCs/>
      <w:kern w:val="36"/>
      <w:sz w:val="48"/>
      <w:szCs w:val="48"/>
      <w:lang w:val="en-US"/>
    </w:rPr>
  </w:style>
  <w:style w:type="character" w:customStyle="1" w:styleId="a-size-extra-large">
    <w:name w:val="a-size-extra-large"/>
    <w:basedOn w:val="DefaultParagraphFont"/>
    <w:rsid w:val="005A542A"/>
  </w:style>
  <w:style w:type="character" w:customStyle="1" w:styleId="a-size-large">
    <w:name w:val="a-size-large"/>
    <w:basedOn w:val="DefaultParagraphFont"/>
    <w:rsid w:val="005A542A"/>
  </w:style>
  <w:style w:type="character" w:customStyle="1" w:styleId="a-declarative">
    <w:name w:val="a-declarative"/>
    <w:basedOn w:val="DefaultParagraphFont"/>
    <w:rsid w:val="005A542A"/>
  </w:style>
  <w:style w:type="character" w:styleId="Hyperlink">
    <w:name w:val="Hyperlink"/>
    <w:basedOn w:val="DefaultParagraphFont"/>
    <w:uiPriority w:val="99"/>
    <w:semiHidden/>
    <w:unhideWhenUsed/>
    <w:rsid w:val="005A5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86775">
      <w:bodyDiv w:val="1"/>
      <w:marLeft w:val="0"/>
      <w:marRight w:val="0"/>
      <w:marTop w:val="0"/>
      <w:marBottom w:val="0"/>
      <w:divBdr>
        <w:top w:val="none" w:sz="0" w:space="0" w:color="auto"/>
        <w:left w:val="none" w:sz="0" w:space="0" w:color="auto"/>
        <w:bottom w:val="none" w:sz="0" w:space="0" w:color="auto"/>
        <w:right w:val="none" w:sz="0" w:space="0" w:color="auto"/>
      </w:divBdr>
      <w:divsChild>
        <w:div w:id="490634624">
          <w:marLeft w:val="0"/>
          <w:marRight w:val="0"/>
          <w:marTop w:val="0"/>
          <w:marBottom w:val="0"/>
          <w:divBdr>
            <w:top w:val="none" w:sz="0" w:space="0" w:color="auto"/>
            <w:left w:val="none" w:sz="0" w:space="0" w:color="auto"/>
            <w:bottom w:val="none" w:sz="0" w:space="0" w:color="auto"/>
            <w:right w:val="none" w:sz="0" w:space="0" w:color="auto"/>
          </w:divBdr>
          <w:divsChild>
            <w:div w:id="1428034796">
              <w:marLeft w:val="0"/>
              <w:marRight w:val="0"/>
              <w:marTop w:val="0"/>
              <w:marBottom w:val="0"/>
              <w:divBdr>
                <w:top w:val="none" w:sz="0" w:space="0" w:color="auto"/>
                <w:left w:val="none" w:sz="0" w:space="0" w:color="auto"/>
                <w:bottom w:val="none" w:sz="0" w:space="0" w:color="auto"/>
                <w:right w:val="none" w:sz="0" w:space="0" w:color="auto"/>
              </w:divBdr>
            </w:div>
          </w:divsChild>
        </w:div>
        <w:div w:id="1873615804">
          <w:marLeft w:val="0"/>
          <w:marRight w:val="0"/>
          <w:marTop w:val="0"/>
          <w:marBottom w:val="0"/>
          <w:divBdr>
            <w:top w:val="none" w:sz="0" w:space="0" w:color="auto"/>
            <w:left w:val="none" w:sz="0" w:space="0" w:color="auto"/>
            <w:bottom w:val="none" w:sz="0" w:space="0" w:color="auto"/>
            <w:right w:val="none" w:sz="0" w:space="0" w:color="auto"/>
          </w:divBdr>
          <w:divsChild>
            <w:div w:id="1155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2021-02-04T18:30:00+00:00</Judgment_x0020_Date>
    <Year xmlns="c1afb1bd-f2fb-40fd-9abb-aea55b4d7662">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9355-CC1D-4BB4-8699-2735AB6AD009}">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9436ED43-173B-4332-8630-8280F64E2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9DB83-8B28-43A3-838E-E257E0001A41}">
  <ds:schemaRefs>
    <ds:schemaRef ds:uri="http://schemas.microsoft.com/sharepoint/v3/contenttype/forms"/>
  </ds:schemaRefs>
</ds:datastoreItem>
</file>

<file path=customXml/itemProps4.xml><?xml version="1.0" encoding="utf-8"?>
<ds:datastoreItem xmlns:ds="http://schemas.openxmlformats.org/officeDocument/2006/customXml" ds:itemID="{1CEDA82F-7199-4EF9-A896-A5248CD7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New Creations Printing and Design CC v Quanta Insurance Limited (HC-MD-CIV-ACT-CON-2018/02486) [2020] NAHCMD 27 (05 February 2021)</vt:lpstr>
    </vt:vector>
  </TitlesOfParts>
  <Company/>
  <LinksUpToDate>false</LinksUpToDate>
  <CharactersWithSpaces>27822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Creations Printing and Design CC v Quanta Insurance Limited (HC-MD-CIV-ACT-CON-2018/02486) [2020] NAHCMD 27 (05 February 2021)</dc:title>
  <dc:subject/>
  <dc:creator>Ernestine N. Jansen</dc:creator>
  <cp:keywords/>
  <dc:description/>
  <cp:lastModifiedBy>HOME</cp:lastModifiedBy>
  <cp:revision>2</cp:revision>
  <dcterms:created xsi:type="dcterms:W3CDTF">2021-07-10T09:00:00Z</dcterms:created>
  <dcterms:modified xsi:type="dcterms:W3CDTF">2021-07-10T09:00:00Z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