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94" w:rsidRPr="009E60E7" w:rsidRDefault="009E60E7" w:rsidP="009E60E7">
      <w:pPr>
        <w:spacing w:after="0" w:line="36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en-GB"/>
        </w:rPr>
        <w:t>R</w:t>
      </w:r>
      <w:r w:rsidR="00AC1F94" w:rsidRPr="009E60E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en-GB"/>
        </w:rPr>
        <w:t>EPUBLIC OF NAMIBIA</w:t>
      </w:r>
    </w:p>
    <w:p w:rsidR="00AC1F94" w:rsidRPr="009E60E7" w:rsidRDefault="00AC1F94" w:rsidP="009E60E7">
      <w:pPr>
        <w:spacing w:after="0" w:line="360" w:lineRule="auto"/>
        <w:jc w:val="center"/>
        <w:rPr>
          <w:rFonts w:ascii="Arial" w:eastAsia="Times New Roman" w:hAnsi="Arial" w:cs="Arial"/>
          <w:color w:val="0D0D0D" w:themeColor="text1" w:themeTint="F2"/>
          <w:lang w:val="en-GB"/>
        </w:rPr>
      </w:pPr>
      <w:r w:rsidRPr="009E60E7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val="en-ZA" w:eastAsia="en-ZA"/>
        </w:rPr>
        <w:drawing>
          <wp:inline distT="0" distB="0" distL="0" distR="0" wp14:anchorId="2A69BA4A" wp14:editId="351C7D41">
            <wp:extent cx="809625" cy="819150"/>
            <wp:effectExtent l="0" t="0" r="9525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94" w:rsidRPr="009E60E7" w:rsidRDefault="00AC1F94" w:rsidP="009E60E7">
      <w:pPr>
        <w:spacing w:after="0" w:line="360" w:lineRule="auto"/>
        <w:jc w:val="center"/>
        <w:rPr>
          <w:rFonts w:ascii="Arial" w:eastAsia="Times New Roman" w:hAnsi="Arial" w:cs="Arial"/>
          <w:color w:val="0D0D0D" w:themeColor="text1" w:themeTint="F2"/>
          <w:lang w:val="en-GB"/>
        </w:rPr>
      </w:pPr>
    </w:p>
    <w:p w:rsidR="00AC1F94" w:rsidRPr="009E60E7" w:rsidRDefault="00AC1F94" w:rsidP="009E60E7">
      <w:pPr>
        <w:spacing w:after="0" w:line="360" w:lineRule="auto"/>
        <w:jc w:val="center"/>
        <w:rPr>
          <w:rFonts w:ascii="Arial" w:eastAsia="Times New Roman" w:hAnsi="Arial" w:cs="Arial"/>
          <w:b/>
          <w:color w:val="0D0D0D" w:themeColor="text1" w:themeTint="F2"/>
          <w:lang w:val="en-GB"/>
        </w:rPr>
      </w:pPr>
      <w:r w:rsidRPr="009E60E7">
        <w:rPr>
          <w:rFonts w:ascii="Arial" w:eastAsia="Times New Roman" w:hAnsi="Arial" w:cs="Arial"/>
          <w:b/>
          <w:color w:val="0D0D0D" w:themeColor="text1" w:themeTint="F2"/>
          <w:lang w:val="en-GB"/>
        </w:rPr>
        <w:t>IN THE HIGH COURT OF NAMIBIA, MAIN DIVISION, WINDHOEK</w:t>
      </w:r>
    </w:p>
    <w:p w:rsidR="00AC1F94" w:rsidRPr="009E60E7" w:rsidRDefault="00AC1F94" w:rsidP="009E60E7">
      <w:pPr>
        <w:spacing w:after="0" w:line="360" w:lineRule="auto"/>
        <w:jc w:val="center"/>
        <w:rPr>
          <w:rFonts w:ascii="Arial" w:eastAsia="Times New Roman" w:hAnsi="Arial" w:cs="Arial"/>
          <w:b/>
          <w:color w:val="0D0D0D" w:themeColor="text1" w:themeTint="F2"/>
          <w:lang w:val="en-GB"/>
        </w:rPr>
      </w:pPr>
      <w:r w:rsidRPr="009E60E7">
        <w:rPr>
          <w:rFonts w:ascii="Arial" w:eastAsia="Times New Roman" w:hAnsi="Arial" w:cs="Arial"/>
          <w:b/>
          <w:color w:val="0D0D0D" w:themeColor="text1" w:themeTint="F2"/>
          <w:lang w:val="en-GB"/>
        </w:rPr>
        <w:t>REVIEW JUDGMENT</w:t>
      </w:r>
    </w:p>
    <w:p w:rsidR="00AC1F94" w:rsidRPr="009E60E7" w:rsidRDefault="00AC1F94" w:rsidP="009E60E7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TableGrid"/>
        <w:tblW w:w="9909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512"/>
      </w:tblGrid>
      <w:tr w:rsidR="00AC1F94" w:rsidRPr="009E60E7" w:rsidTr="009E60E7">
        <w:trPr>
          <w:trHeight w:val="744"/>
        </w:trPr>
        <w:tc>
          <w:tcPr>
            <w:tcW w:w="5397" w:type="dxa"/>
            <w:gridSpan w:val="2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Case Title:</w:t>
            </w:r>
          </w:p>
          <w:p w:rsidR="00AC1F94" w:rsidRDefault="00AC1F94" w:rsidP="009E60E7">
            <w:pPr>
              <w:spacing w:line="360" w:lineRule="auto"/>
              <w:jc w:val="both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The State v </w:t>
            </w:r>
            <w:r w:rsidR="009675BE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Simon Learnmore Gonyoro</w:t>
            </w:r>
            <w:r w:rsidR="00F51674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and 3 Others</w:t>
            </w:r>
          </w:p>
          <w:p w:rsidR="009E60E7" w:rsidRPr="009E60E7" w:rsidRDefault="009E60E7" w:rsidP="009E60E7">
            <w:pPr>
              <w:spacing w:line="360" w:lineRule="auto"/>
              <w:jc w:val="both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12" w:type="dxa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Case No:</w:t>
            </w:r>
          </w:p>
          <w:p w:rsidR="00AC1F94" w:rsidRPr="009E60E7" w:rsidRDefault="009675BE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CR: </w:t>
            </w:r>
            <w:r w:rsidR="00DE24E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1/2021</w:t>
            </w:r>
          </w:p>
        </w:tc>
      </w:tr>
      <w:tr w:rsidR="00AC1F94" w:rsidRPr="009E60E7" w:rsidTr="009E60E7">
        <w:trPr>
          <w:trHeight w:val="844"/>
        </w:trPr>
        <w:tc>
          <w:tcPr>
            <w:tcW w:w="5397" w:type="dxa"/>
            <w:gridSpan w:val="2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High Court MD Review No:</w:t>
            </w:r>
          </w:p>
          <w:p w:rsidR="00AC1F94" w:rsidRDefault="009675BE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1469/2020</w:t>
            </w:r>
          </w:p>
          <w:p w:rsidR="009E60E7" w:rsidRPr="009E60E7" w:rsidRDefault="009E60E7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12" w:type="dxa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Division of Court:</w:t>
            </w:r>
          </w:p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Main Division</w:t>
            </w:r>
          </w:p>
        </w:tc>
      </w:tr>
      <w:tr w:rsidR="00AC1F94" w:rsidRPr="009E60E7" w:rsidTr="009E60E7">
        <w:trPr>
          <w:trHeight w:val="825"/>
        </w:trPr>
        <w:tc>
          <w:tcPr>
            <w:tcW w:w="5397" w:type="dxa"/>
            <w:gridSpan w:val="2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Heard before:</w:t>
            </w:r>
            <w:bookmarkStart w:id="0" w:name="_GoBack"/>
            <w:bookmarkEnd w:id="0"/>
          </w:p>
          <w:p w:rsidR="00AC1F94" w:rsidRDefault="00477A33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Judge Claasen et </w:t>
            </w:r>
            <w:r w:rsidR="006D04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Judge U</w:t>
            </w:r>
            <w:r w:rsidR="009254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siku</w:t>
            </w:r>
          </w:p>
          <w:p w:rsidR="009E60E7" w:rsidRPr="009E60E7" w:rsidRDefault="009E60E7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12" w:type="dxa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Delivered on:</w:t>
            </w:r>
          </w:p>
          <w:p w:rsidR="00AC1F94" w:rsidRPr="009E60E7" w:rsidRDefault="00DE24ED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</w:t>
            </w:r>
            <w:r w:rsidR="009254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January 2021</w:t>
            </w:r>
          </w:p>
        </w:tc>
      </w:tr>
      <w:tr w:rsidR="00AC1F94" w:rsidRPr="009E60E7" w:rsidTr="009E60E7">
        <w:tc>
          <w:tcPr>
            <w:tcW w:w="9909" w:type="dxa"/>
            <w:gridSpan w:val="3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Neutral citation:</w:t>
            </w: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9675BE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 xml:space="preserve">S v Gonyoro and 3 others </w:t>
            </w:r>
            <w:r w:rsidR="009675B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(CR</w:t>
            </w:r>
            <w:r w:rsidR="00DE24E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1/2021</w:t>
            </w:r>
            <w:r w:rsidR="00A92624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) </w:t>
            </w:r>
            <w:r w:rsidR="009675B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[202</w:t>
            </w:r>
            <w:r w:rsidR="009254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1</w:t>
            </w:r>
            <w:r w:rsidR="009675B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] NAHCMD </w:t>
            </w:r>
            <w:r w:rsidR="00B4109C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3</w:t>
            </w: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(</w:t>
            </w:r>
            <w:r w:rsidR="00DE24E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20 January 2021</w:t>
            </w: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)</w:t>
            </w:r>
          </w:p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C1F94" w:rsidRPr="009E60E7" w:rsidTr="009E60E7">
        <w:tc>
          <w:tcPr>
            <w:tcW w:w="9909" w:type="dxa"/>
            <w:gridSpan w:val="3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The order:</w:t>
            </w:r>
          </w:p>
          <w:p w:rsidR="009A655F" w:rsidRPr="009E60E7" w:rsidRDefault="009675BE" w:rsidP="009E60E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720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lang w:val="en-GB"/>
              </w:rPr>
              <w:t>In respect of all</w:t>
            </w:r>
            <w:r w:rsidR="006D0468" w:rsidRPr="009E60E7">
              <w:rPr>
                <w:rFonts w:ascii="Arial" w:hAnsi="Arial" w:cs="Arial"/>
                <w:color w:val="0D0D0D" w:themeColor="text1" w:themeTint="F2"/>
                <w:lang w:val="en-GB"/>
              </w:rPr>
              <w:t xml:space="preserve"> the </w:t>
            </w:r>
            <w:r w:rsidRPr="009E60E7">
              <w:rPr>
                <w:rFonts w:ascii="Arial" w:hAnsi="Arial" w:cs="Arial"/>
                <w:color w:val="0D0D0D" w:themeColor="text1" w:themeTint="F2"/>
                <w:lang w:val="en-GB"/>
              </w:rPr>
              <w:t xml:space="preserve">accused persons, the convictions and sentences are set aside. </w:t>
            </w:r>
          </w:p>
          <w:p w:rsidR="00AC1F94" w:rsidRPr="009E60E7" w:rsidRDefault="00AC1F94" w:rsidP="009E60E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AC1F94" w:rsidRPr="009E60E7" w:rsidTr="009E60E7">
        <w:tc>
          <w:tcPr>
            <w:tcW w:w="9909" w:type="dxa"/>
            <w:gridSpan w:val="3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Reasons for order:</w:t>
            </w:r>
          </w:p>
        </w:tc>
      </w:tr>
      <w:tr w:rsidR="00AC1F94" w:rsidRPr="009E60E7" w:rsidTr="009E60E7">
        <w:tc>
          <w:tcPr>
            <w:tcW w:w="9909" w:type="dxa"/>
            <w:gridSpan w:val="3"/>
          </w:tcPr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AC1F94" w:rsidRPr="009E60E7" w:rsidRDefault="00AC1F94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Claasen J (concurring </w:t>
            </w:r>
            <w:r w:rsidR="009254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Usiku </w:t>
            </w: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J )</w:t>
            </w:r>
          </w:p>
          <w:p w:rsidR="00671076" w:rsidRPr="009E60E7" w:rsidRDefault="00671076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AC1F94" w:rsidRPr="00DE2F65" w:rsidRDefault="00DE2F65" w:rsidP="00DE2F65">
            <w:pPr>
              <w:spacing w:before="240" w:line="360" w:lineRule="auto"/>
              <w:ind w:left="720" w:hanging="36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lastRenderedPageBreak/>
              <w:t>1.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ab/>
            </w:r>
            <w:r w:rsidR="00AC1F94" w:rsidRPr="00DE2F6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This </w:t>
            </w:r>
            <w:r w:rsidR="001F66D5" w:rsidRPr="00DE2F6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matter was submitted before me for r</w:t>
            </w:r>
            <w:r w:rsidR="00427F1D" w:rsidRPr="00DE2F6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eview in terms of s</w:t>
            </w:r>
            <w:r w:rsidR="005A6A7A" w:rsidRPr="00DE2F6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AC1F94" w:rsidRPr="00DE2F6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302(1) of the Criminal Procedure Act 51 of 1977 as amended, (the CPA).</w:t>
            </w:r>
          </w:p>
          <w:p w:rsidR="009E60E7" w:rsidRPr="009E60E7" w:rsidRDefault="009E60E7" w:rsidP="009E60E7">
            <w:pPr>
              <w:pStyle w:val="ListParagraph"/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5A1651" w:rsidRPr="009E60E7" w:rsidRDefault="00DE2F65" w:rsidP="00DE2F65">
            <w:pPr>
              <w:pStyle w:val="BodyText"/>
              <w:spacing w:after="0" w:line="360" w:lineRule="auto"/>
              <w:ind w:left="714" w:hanging="357"/>
              <w:jc w:val="both"/>
              <w:rPr>
                <w:rFonts w:ascii="Arial" w:hAnsi="Arial" w:cs="Arial"/>
                <w:strike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2.</w:t>
            </w: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ab/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Four </w:t>
            </w:r>
            <w:r w:rsidR="00AC1F9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accused</w:t>
            </w:r>
            <w:r w:rsidR="00F516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persons</w:t>
            </w:r>
            <w:r w:rsidR="00AC1F9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appeared before </w:t>
            </w:r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Rundu Magistrate Court on 16 December 2019</w:t>
            </w:r>
            <w:r w:rsidR="00F516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. All of them were charged </w:t>
            </w:r>
            <w:r w:rsidR="00427F1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in contravention of</w:t>
            </w:r>
            <w:r w:rsidR="00F516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427F1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</w:t>
            </w:r>
            <w:r w:rsidR="005A6A7A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F516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30</w:t>
            </w:r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(1</w:t>
            </w:r>
            <w:proofErr w:type="gramStart"/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)(</w:t>
            </w:r>
            <w:proofErr w:type="gramEnd"/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a) of </w:t>
            </w:r>
            <w:r w:rsidR="00F516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Immigration Control Act</w:t>
            </w:r>
            <w:r w:rsidR="00C06903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7 of 1993,</w:t>
            </w:r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502D88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i.e.</w:t>
            </w:r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F516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conducting business wi</w:t>
            </w:r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thout a proper work perm</w:t>
            </w:r>
            <w:r w:rsidR="005A165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it. </w:t>
            </w:r>
            <w:r w:rsidR="00C06903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record of </w:t>
            </w:r>
            <w:r w:rsidR="000641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14 January 2020 </w:t>
            </w:r>
            <w:r w:rsidR="00C06903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indicates </w:t>
            </w:r>
            <w:r w:rsidR="009E60E7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that all</w:t>
            </w:r>
            <w:r w:rsidR="00C06903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accus</w:t>
            </w:r>
            <w:r w:rsidR="00427F1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ed </w:t>
            </w:r>
            <w:r w:rsidR="009E60E7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persons pleaded</w:t>
            </w:r>
            <w:r w:rsidR="00427F1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not guilty</w:t>
            </w:r>
            <w:r w:rsidR="00C06903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and t</w:t>
            </w:r>
            <w:r w:rsidR="00502D8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he matter was postponed</w:t>
            </w:r>
            <w:r w:rsidR="006D04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.</w:t>
            </w:r>
            <w:r w:rsidR="00667C7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On</w:t>
            </w:r>
            <w:r w:rsidR="001F66D5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the </w:t>
            </w:r>
            <w:r w:rsidR="00667C7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subsequent </w:t>
            </w:r>
            <w:r w:rsidR="005225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appearance of 03 June 2020</w:t>
            </w:r>
            <w:r w:rsidR="00667C7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, the </w:t>
            </w:r>
            <w:r w:rsidR="001F66D5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prosecutor informed the court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of the accused person</w:t>
            </w:r>
            <w:r w:rsidR="005A165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’</w:t>
            </w:r>
            <w:r w:rsidR="005A165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intention to admit facts in terms of section 220 of the CPA. </w:t>
            </w:r>
          </w:p>
          <w:p w:rsidR="009E60E7" w:rsidRPr="009E60E7" w:rsidRDefault="009E60E7" w:rsidP="009E60E7">
            <w:pPr>
              <w:pStyle w:val="BodyText"/>
              <w:spacing w:after="0" w:line="360" w:lineRule="auto"/>
              <w:ind w:left="714"/>
              <w:jc w:val="both"/>
              <w:rPr>
                <w:rFonts w:ascii="Arial" w:hAnsi="Arial" w:cs="Arial"/>
                <w:strike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2F5AD2" w:rsidRDefault="00DE2F65" w:rsidP="00DE2F65">
            <w:pPr>
              <w:pStyle w:val="BodyText"/>
              <w:spacing w:after="0" w:line="360" w:lineRule="auto"/>
              <w:ind w:left="714" w:hanging="357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3.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ab/>
            </w:r>
            <w:r w:rsidR="002F5AD2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accused persons made admissions and the learned magistrate </w:t>
            </w:r>
            <w:r w:rsidR="0052257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recorded it </w:t>
            </w:r>
            <w:r w:rsidR="002F5AD2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as admissions in terms of </w:t>
            </w:r>
            <w:r w:rsidR="00AA4B10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</w:t>
            </w:r>
            <w:r w:rsidR="006D04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2F5AD2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220 of </w:t>
            </w:r>
            <w:r w:rsidR="004A47C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CPA. </w:t>
            </w:r>
            <w:r w:rsidR="007848C9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state closed </w:t>
            </w:r>
            <w:r w:rsidR="006D04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its</w:t>
            </w:r>
            <w:r w:rsidR="007848C9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case and all accused persons elected to remain silent when put on their defence. All accused persons were convicted based on the admissions</w:t>
            </w:r>
            <w:r w:rsidR="00BB6F90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that were</w:t>
            </w:r>
            <w:r w:rsidR="007848C9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recorded. </w:t>
            </w:r>
          </w:p>
          <w:p w:rsidR="009E60E7" w:rsidRDefault="009E60E7" w:rsidP="009E60E7">
            <w:pPr>
              <w:pStyle w:val="ListParagrap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5A1651" w:rsidRDefault="00DE2F65" w:rsidP="00DE2F65">
            <w:pPr>
              <w:pStyle w:val="BodyText"/>
              <w:spacing w:after="0" w:line="360" w:lineRule="auto"/>
              <w:ind w:left="720" w:hanging="36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4.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ab/>
            </w:r>
            <w:r w:rsidR="00703C13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Upon receipt of the record on review, t</w:t>
            </w:r>
            <w:r w:rsidR="00B93B9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he</w:t>
            </w:r>
            <w:r w:rsidR="0004280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reviewing court noted some deficiencies and addressed a query to the magistrate. The most pertinent issue was whether the court complied with the legal requirements when it noted formal admissions </w:t>
            </w:r>
            <w:r w:rsidR="006D04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as advanced by the accused persons. The qualm that the reviewing court noted was that the learn</w:t>
            </w:r>
            <w:r w:rsidR="005A165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ed </w:t>
            </w:r>
            <w:r w:rsidR="00170D0F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magistrate</w:t>
            </w:r>
            <w:r w:rsidR="005A165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failed to apply the precautionary measures as to the proper recording of formal admissio</w:t>
            </w:r>
            <w:r w:rsidR="003B2946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ns by an unrepresented accused.</w:t>
            </w:r>
          </w:p>
          <w:p w:rsidR="009E60E7" w:rsidRDefault="009E60E7" w:rsidP="009E60E7">
            <w:pPr>
              <w:pStyle w:val="ListParagrap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042801" w:rsidRPr="009E60E7" w:rsidRDefault="00DE2F65" w:rsidP="00DE2F65">
            <w:pPr>
              <w:pStyle w:val="BodyText"/>
              <w:spacing w:after="0" w:line="360" w:lineRule="auto"/>
              <w:ind w:left="714" w:hanging="357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5.</w:t>
            </w: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ab/>
            </w:r>
            <w:r w:rsidR="0004280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magistrate in her reply indicated that she was under the impression that</w:t>
            </w:r>
            <w:r w:rsidR="003B2946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s</w:t>
            </w:r>
            <w:r w:rsidR="006D04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04280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220 of the </w:t>
            </w:r>
            <w:r w:rsidR="003B2946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CPA</w:t>
            </w:r>
            <w:r w:rsidR="0004280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does not requ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ire a person who is offering an</w:t>
            </w:r>
            <w:r w:rsidR="0004280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admission to consent to 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 w:rsidR="0004280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recording 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of  </w:t>
            </w:r>
            <w:r w:rsidR="0004280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same admission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and</w:t>
            </w:r>
            <w:r w:rsidR="00EB09F2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6D046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c</w:t>
            </w:r>
            <w:r w:rsidR="00852DA2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onceded that </w:t>
            </w:r>
            <w:r w:rsidR="00000F7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she did not comply with the principles discussed in </w:t>
            </w:r>
            <w:r w:rsidR="00000F71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S v Daniels</w:t>
            </w:r>
            <w:r w:rsidR="00000F71" w:rsidRPr="009E60E7">
              <w:rPr>
                <w:rStyle w:val="FootnoteReference"/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footnoteReference w:id="1"/>
            </w:r>
            <w:r w:rsidR="00000F71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and in </w:t>
            </w:r>
            <w:r w:rsidR="005A6A7A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S v Ma</w:t>
            </w:r>
            <w:r w:rsidR="00000F71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v</w:t>
            </w:r>
            <w:r w:rsidR="005A6A7A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u</w:t>
            </w:r>
            <w:r w:rsidR="00000F71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ndla</w:t>
            </w:r>
            <w:r w:rsidR="00000F71" w:rsidRPr="009E60E7">
              <w:rPr>
                <w:rStyle w:val="FootnoteReference"/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footnoteReference w:id="2"/>
            </w:r>
            <w:r w:rsid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.</w:t>
            </w:r>
          </w:p>
          <w:p w:rsidR="009E60E7" w:rsidRDefault="009E60E7" w:rsidP="009E60E7">
            <w:pPr>
              <w:pStyle w:val="ListParagrap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4A47CE" w:rsidRPr="009E60E7" w:rsidRDefault="00DE2F65" w:rsidP="00DE2F65">
            <w:pPr>
              <w:pStyle w:val="BodyText"/>
              <w:spacing w:after="0" w:line="360" w:lineRule="auto"/>
              <w:ind w:left="714" w:hanging="357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lastRenderedPageBreak/>
              <w:t>6.</w:t>
            </w: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ab/>
            </w:r>
            <w:r w:rsidR="008602A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 w:rsidR="00C750B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formalities of recording formal admission was outlined </w:t>
            </w:r>
            <w:r w:rsidR="008602A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in</w:t>
            </w:r>
            <w:r w:rsidR="00061AB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061AB4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S v Daniels</w:t>
            </w:r>
            <w:r w:rsidR="008602AD" w:rsidRPr="009E60E7">
              <w:rPr>
                <w:rStyle w:val="FootnoteReference"/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footnoteReference w:id="3"/>
            </w:r>
            <w:r w:rsidR="00C750B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. In the said matter it was explained that an accused should be informed that the consequence</w:t>
            </w:r>
            <w:r w:rsidR="00D425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of making formal admissions in terms of s 220 of the CPA is to</w:t>
            </w:r>
            <w:r w:rsidR="00C750B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relieve the State of the burden of proof and</w:t>
            </w:r>
            <w:r w:rsidR="00E430E0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D425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that </w:t>
            </w:r>
            <w:r w:rsidR="00E430E0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there is no</w:t>
            </w:r>
            <w:r w:rsidR="00C750B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obligation on him/her to assist the prosecution in proving its case.</w:t>
            </w:r>
            <w:r w:rsidR="000357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8602A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From the court proceedings it is evident </w:t>
            </w:r>
            <w:r w:rsidR="004A47C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that the </w:t>
            </w:r>
            <w:r w:rsidR="008602AD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learned magistrate did not</w:t>
            </w:r>
            <w:r w:rsidR="000357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advance an </w:t>
            </w:r>
            <w:r w:rsidR="00E430E0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explanation</w:t>
            </w:r>
            <w:r w:rsidR="00D425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in this regard to </w:t>
            </w:r>
            <w:r w:rsidR="000357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accuse</w:t>
            </w:r>
            <w:r w:rsidR="00E430E0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d</w:t>
            </w:r>
            <w:r w:rsidR="000357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persons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, prior to them advancing facts to her, it was not read back to them, nor did she elicit consent from each of the accused persons. Furthermore, the admission by accused 1 reads as follows:  </w:t>
            </w:r>
            <w:r w:rsidR="009E60E7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‘I</w:t>
            </w:r>
            <w:r w:rsidR="00250F2B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 xml:space="preserve"> am admitting all the elements of the offence.’ 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Such a generalised admission is not proper</w:t>
            </w:r>
            <w:r w:rsidR="00250F2B" w:rsidRPr="009E60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250F2B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as it does not show that the accused understand and admits to each of the elements contained in the offense.  Th</w:t>
            </w:r>
            <w:r w:rsidR="005C1C4F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erefore</w:t>
            </w:r>
            <w:r w:rsidR="00D425A8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the convictions and sentences are</w:t>
            </w:r>
            <w:r w:rsidR="00EB09F2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not in accordance with</w:t>
            </w:r>
            <w:r w:rsidR="00DB24FE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justice. </w:t>
            </w:r>
          </w:p>
          <w:p w:rsidR="00D425A8" w:rsidRPr="009E60E7" w:rsidRDefault="00D425A8" w:rsidP="009E60E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720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</w:p>
          <w:p w:rsidR="00DB24FE" w:rsidRPr="009E60E7" w:rsidRDefault="00DE2F65" w:rsidP="00DE2F6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720" w:hanging="360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lang w:val="en-GB"/>
              </w:rPr>
              <w:t>7.</w:t>
            </w:r>
            <w:r w:rsidRPr="009E60E7">
              <w:rPr>
                <w:rFonts w:ascii="Arial" w:hAnsi="Arial" w:cs="Arial"/>
                <w:color w:val="0D0D0D" w:themeColor="text1" w:themeTint="F2"/>
                <w:lang w:val="en-GB"/>
              </w:rPr>
              <w:tab/>
            </w:r>
            <w:r w:rsidR="00205FDA" w:rsidRPr="009E60E7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In the result, I make the following order:</w:t>
            </w:r>
            <w:r w:rsidR="00AC1F94" w:rsidRPr="009E60E7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 </w:t>
            </w:r>
          </w:p>
          <w:p w:rsidR="00DB24FE" w:rsidRPr="009E60E7" w:rsidRDefault="00DB24FE" w:rsidP="009E60E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720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lang w:val="en-GB"/>
              </w:rPr>
              <w:t xml:space="preserve">In respect of all accused persons, the conviction and sentences are set aside. </w:t>
            </w:r>
          </w:p>
          <w:p w:rsidR="00AC1F94" w:rsidRDefault="00AC1F94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9E60E7" w:rsidRPr="009E60E7" w:rsidRDefault="009E60E7" w:rsidP="009E60E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1F94" w:rsidRPr="009E60E7" w:rsidTr="009E60E7">
        <w:tc>
          <w:tcPr>
            <w:tcW w:w="4770" w:type="dxa"/>
          </w:tcPr>
          <w:p w:rsidR="00AC1F94" w:rsidRPr="009E60E7" w:rsidRDefault="00AC1F94" w:rsidP="009E60E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AC1F94" w:rsidRPr="009E60E7" w:rsidRDefault="00AC1F94" w:rsidP="009E60E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39" w:type="dxa"/>
            <w:gridSpan w:val="2"/>
          </w:tcPr>
          <w:p w:rsidR="00AC1F94" w:rsidRPr="009E60E7" w:rsidRDefault="00AC1F94" w:rsidP="009E60E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AC1F94" w:rsidRPr="009E60E7" w:rsidRDefault="00AC1F94" w:rsidP="009E60E7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1F94" w:rsidRPr="009E60E7" w:rsidTr="009E60E7">
        <w:trPr>
          <w:trHeight w:val="827"/>
        </w:trPr>
        <w:tc>
          <w:tcPr>
            <w:tcW w:w="4770" w:type="dxa"/>
          </w:tcPr>
          <w:p w:rsidR="00AC1F94" w:rsidRPr="009E60E7" w:rsidRDefault="00AC1F94" w:rsidP="009E60E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 CLAASEN</w:t>
            </w:r>
          </w:p>
          <w:p w:rsidR="00AC1F94" w:rsidRPr="009E60E7" w:rsidRDefault="00AC1F94" w:rsidP="009E60E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JUDGE</w:t>
            </w:r>
          </w:p>
        </w:tc>
        <w:tc>
          <w:tcPr>
            <w:tcW w:w="5139" w:type="dxa"/>
            <w:gridSpan w:val="2"/>
          </w:tcPr>
          <w:p w:rsidR="00AC1F94" w:rsidRPr="009E60E7" w:rsidRDefault="009254A8" w:rsidP="009E60E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 N USIKU</w:t>
            </w:r>
          </w:p>
          <w:p w:rsidR="00AC1F94" w:rsidRPr="009E60E7" w:rsidRDefault="00477A33" w:rsidP="009E60E7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                                </w:t>
            </w:r>
            <w:r w:rsidR="00AC17C9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AC1F94" w:rsidRPr="009E60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JUDGE</w:t>
            </w:r>
          </w:p>
        </w:tc>
      </w:tr>
    </w:tbl>
    <w:p w:rsidR="00AC1F94" w:rsidRPr="009E60E7" w:rsidRDefault="00AC1F94" w:rsidP="009E60E7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A02A6" w:rsidRPr="009E60E7" w:rsidRDefault="00DE2F65" w:rsidP="009E60E7">
      <w:pPr>
        <w:spacing w:after="0" w:line="360" w:lineRule="auto"/>
        <w:rPr>
          <w:rFonts w:ascii="Arial" w:hAnsi="Arial" w:cs="Arial"/>
        </w:rPr>
      </w:pPr>
    </w:p>
    <w:sectPr w:rsidR="009A02A6" w:rsidRPr="009E60E7" w:rsidSect="00B9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83" w:rsidRDefault="00442D83" w:rsidP="00AC1F94">
      <w:pPr>
        <w:spacing w:after="0" w:line="240" w:lineRule="auto"/>
      </w:pPr>
      <w:r>
        <w:separator/>
      </w:r>
    </w:p>
  </w:endnote>
  <w:endnote w:type="continuationSeparator" w:id="0">
    <w:p w:rsidR="00442D83" w:rsidRDefault="00442D83" w:rsidP="00AC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83" w:rsidRDefault="00442D83" w:rsidP="00AC1F94">
      <w:pPr>
        <w:spacing w:after="0" w:line="240" w:lineRule="auto"/>
      </w:pPr>
      <w:r>
        <w:separator/>
      </w:r>
    </w:p>
  </w:footnote>
  <w:footnote w:type="continuationSeparator" w:id="0">
    <w:p w:rsidR="00442D83" w:rsidRDefault="00442D83" w:rsidP="00AC1F94">
      <w:pPr>
        <w:spacing w:after="0" w:line="240" w:lineRule="auto"/>
      </w:pPr>
      <w:r>
        <w:continuationSeparator/>
      </w:r>
    </w:p>
  </w:footnote>
  <w:footnote w:id="1">
    <w:p w:rsidR="00000F71" w:rsidRPr="009E60E7" w:rsidRDefault="00000F71">
      <w:pPr>
        <w:pStyle w:val="FootnoteText"/>
        <w:rPr>
          <w:rFonts w:ascii="Arial" w:hAnsi="Arial" w:cs="Arial"/>
          <w:lang w:val="en-ZA"/>
        </w:rPr>
      </w:pPr>
      <w:r w:rsidRPr="009E60E7">
        <w:rPr>
          <w:rStyle w:val="FootnoteReference"/>
          <w:rFonts w:ascii="Arial" w:hAnsi="Arial" w:cs="Arial"/>
        </w:rPr>
        <w:footnoteRef/>
      </w:r>
      <w:r w:rsidRPr="009E60E7">
        <w:rPr>
          <w:rFonts w:ascii="Arial" w:hAnsi="Arial" w:cs="Arial"/>
        </w:rPr>
        <w:t xml:space="preserve"> </w:t>
      </w:r>
      <w:r w:rsidRPr="009E60E7">
        <w:rPr>
          <w:rFonts w:ascii="Arial" w:hAnsi="Arial" w:cs="Arial"/>
          <w:i/>
          <w:lang w:val="en-ZA"/>
        </w:rPr>
        <w:t>S v Daniels</w:t>
      </w:r>
      <w:r w:rsidRPr="009E60E7">
        <w:rPr>
          <w:rFonts w:ascii="Arial" w:hAnsi="Arial" w:cs="Arial"/>
          <w:lang w:val="en-ZA"/>
        </w:rPr>
        <w:t xml:space="preserve"> 1983 (3) 275 (A) page 299 at H. </w:t>
      </w:r>
    </w:p>
  </w:footnote>
  <w:footnote w:id="2">
    <w:p w:rsidR="00000F71" w:rsidRPr="009E60E7" w:rsidRDefault="00000F71">
      <w:pPr>
        <w:pStyle w:val="FootnoteText"/>
        <w:rPr>
          <w:rFonts w:ascii="Arial" w:hAnsi="Arial" w:cs="Arial"/>
          <w:lang w:val="en-ZA"/>
        </w:rPr>
      </w:pPr>
      <w:r w:rsidRPr="009E60E7">
        <w:rPr>
          <w:rStyle w:val="FootnoteReference"/>
          <w:rFonts w:ascii="Arial" w:hAnsi="Arial" w:cs="Arial"/>
        </w:rPr>
        <w:footnoteRef/>
      </w:r>
      <w:r w:rsidRPr="009E60E7">
        <w:rPr>
          <w:rFonts w:ascii="Arial" w:hAnsi="Arial" w:cs="Arial"/>
        </w:rPr>
        <w:t xml:space="preserve"> </w:t>
      </w:r>
      <w:r w:rsidR="003451A3" w:rsidRPr="009E60E7">
        <w:rPr>
          <w:rFonts w:ascii="Arial" w:hAnsi="Arial" w:cs="Arial"/>
          <w:i/>
          <w:lang w:val="en-ZA"/>
        </w:rPr>
        <w:t xml:space="preserve">S v </w:t>
      </w:r>
      <w:r w:rsidR="005A6A7A" w:rsidRPr="009E60E7">
        <w:rPr>
          <w:rFonts w:ascii="Arial" w:hAnsi="Arial" w:cs="Arial"/>
          <w:i/>
          <w:lang w:val="en-ZA"/>
        </w:rPr>
        <w:t>Ma</w:t>
      </w:r>
      <w:r w:rsidR="003451A3" w:rsidRPr="009E60E7">
        <w:rPr>
          <w:rFonts w:ascii="Arial" w:hAnsi="Arial" w:cs="Arial"/>
          <w:i/>
          <w:lang w:val="en-ZA"/>
        </w:rPr>
        <w:t>v</w:t>
      </w:r>
      <w:r w:rsidR="005A6A7A" w:rsidRPr="009E60E7">
        <w:rPr>
          <w:rFonts w:ascii="Arial" w:hAnsi="Arial" w:cs="Arial"/>
          <w:i/>
          <w:lang w:val="en-ZA"/>
        </w:rPr>
        <w:t>u</w:t>
      </w:r>
      <w:r w:rsidR="003451A3" w:rsidRPr="009E60E7">
        <w:rPr>
          <w:rFonts w:ascii="Arial" w:hAnsi="Arial" w:cs="Arial"/>
          <w:i/>
          <w:lang w:val="en-ZA"/>
        </w:rPr>
        <w:t>ndla</w:t>
      </w:r>
      <w:r w:rsidR="003451A3" w:rsidRPr="009E60E7">
        <w:rPr>
          <w:rFonts w:ascii="Arial" w:hAnsi="Arial" w:cs="Arial"/>
          <w:lang w:val="en-ZA"/>
        </w:rPr>
        <w:t xml:space="preserve"> 1976 (4 SA 731 </w:t>
      </w:r>
    </w:p>
  </w:footnote>
  <w:footnote w:id="3">
    <w:p w:rsidR="008602AD" w:rsidRPr="009E60E7" w:rsidRDefault="008602AD">
      <w:pPr>
        <w:pStyle w:val="FootnoteText"/>
        <w:rPr>
          <w:rFonts w:ascii="Arial" w:hAnsi="Arial" w:cs="Arial"/>
          <w:lang w:val="en-ZA"/>
        </w:rPr>
      </w:pPr>
      <w:r w:rsidRPr="009E60E7">
        <w:rPr>
          <w:rStyle w:val="FootnoteReference"/>
          <w:rFonts w:ascii="Arial" w:hAnsi="Arial" w:cs="Arial"/>
        </w:rPr>
        <w:footnoteRef/>
      </w:r>
      <w:r w:rsidRPr="009E60E7">
        <w:rPr>
          <w:rFonts w:ascii="Arial" w:hAnsi="Arial" w:cs="Arial"/>
        </w:rPr>
        <w:t xml:space="preserve"> </w:t>
      </w:r>
      <w:r w:rsidRPr="009E60E7">
        <w:rPr>
          <w:rFonts w:ascii="Arial" w:hAnsi="Arial" w:cs="Arial"/>
          <w:i/>
          <w:lang w:val="en-ZA"/>
        </w:rPr>
        <w:t>S v Daniels</w:t>
      </w:r>
      <w:r w:rsidRPr="009E60E7">
        <w:rPr>
          <w:rFonts w:ascii="Arial" w:hAnsi="Arial" w:cs="Arial"/>
          <w:lang w:val="en-ZA"/>
        </w:rPr>
        <w:t xml:space="preserve"> 1983 (3) 275 (A) page 299 at 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62E"/>
    <w:multiLevelType w:val="hybridMultilevel"/>
    <w:tmpl w:val="1C8EBABA"/>
    <w:lvl w:ilvl="0" w:tplc="37D437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81977"/>
    <w:multiLevelType w:val="hybridMultilevel"/>
    <w:tmpl w:val="52028590"/>
    <w:lvl w:ilvl="0" w:tplc="6FB602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229E"/>
    <w:multiLevelType w:val="hybridMultilevel"/>
    <w:tmpl w:val="B47EE412"/>
    <w:lvl w:ilvl="0" w:tplc="85720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92E73"/>
    <w:multiLevelType w:val="hybridMultilevel"/>
    <w:tmpl w:val="FD288916"/>
    <w:lvl w:ilvl="0" w:tplc="E16CA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94"/>
    <w:rsid w:val="00000F71"/>
    <w:rsid w:val="000357A8"/>
    <w:rsid w:val="00042801"/>
    <w:rsid w:val="00061AB4"/>
    <w:rsid w:val="00064168"/>
    <w:rsid w:val="000E000D"/>
    <w:rsid w:val="000E1B90"/>
    <w:rsid w:val="00170D0F"/>
    <w:rsid w:val="00186EA3"/>
    <w:rsid w:val="001933FD"/>
    <w:rsid w:val="001A1150"/>
    <w:rsid w:val="001E7EED"/>
    <w:rsid w:val="001F66D5"/>
    <w:rsid w:val="00205FDA"/>
    <w:rsid w:val="00250F2B"/>
    <w:rsid w:val="00267A34"/>
    <w:rsid w:val="002A4212"/>
    <w:rsid w:val="002C23E4"/>
    <w:rsid w:val="002F5AD2"/>
    <w:rsid w:val="00313D70"/>
    <w:rsid w:val="00320581"/>
    <w:rsid w:val="003451A3"/>
    <w:rsid w:val="00385AAB"/>
    <w:rsid w:val="003B0F46"/>
    <w:rsid w:val="003B2946"/>
    <w:rsid w:val="003B4F2E"/>
    <w:rsid w:val="00407CB5"/>
    <w:rsid w:val="00427F1D"/>
    <w:rsid w:val="00442D83"/>
    <w:rsid w:val="00443D7B"/>
    <w:rsid w:val="00477A33"/>
    <w:rsid w:val="004A47CE"/>
    <w:rsid w:val="00502D88"/>
    <w:rsid w:val="00522574"/>
    <w:rsid w:val="00547D34"/>
    <w:rsid w:val="0058346A"/>
    <w:rsid w:val="005A1651"/>
    <w:rsid w:val="005A6A7A"/>
    <w:rsid w:val="005C1C4F"/>
    <w:rsid w:val="0062237D"/>
    <w:rsid w:val="00667C71"/>
    <w:rsid w:val="00671076"/>
    <w:rsid w:val="006D0468"/>
    <w:rsid w:val="00703C13"/>
    <w:rsid w:val="00705EEF"/>
    <w:rsid w:val="00746E47"/>
    <w:rsid w:val="007546C6"/>
    <w:rsid w:val="007848C9"/>
    <w:rsid w:val="007911BA"/>
    <w:rsid w:val="00805A4A"/>
    <w:rsid w:val="00852DA2"/>
    <w:rsid w:val="008602AD"/>
    <w:rsid w:val="008A183F"/>
    <w:rsid w:val="008D6EA2"/>
    <w:rsid w:val="00907C68"/>
    <w:rsid w:val="009254A8"/>
    <w:rsid w:val="009675BE"/>
    <w:rsid w:val="009A655F"/>
    <w:rsid w:val="009E60E7"/>
    <w:rsid w:val="00A92624"/>
    <w:rsid w:val="00AA4B10"/>
    <w:rsid w:val="00AC17C9"/>
    <w:rsid w:val="00AC1F94"/>
    <w:rsid w:val="00B0279F"/>
    <w:rsid w:val="00B4109C"/>
    <w:rsid w:val="00B522FD"/>
    <w:rsid w:val="00B93B9E"/>
    <w:rsid w:val="00BB6F90"/>
    <w:rsid w:val="00BD64C4"/>
    <w:rsid w:val="00C06903"/>
    <w:rsid w:val="00C10996"/>
    <w:rsid w:val="00C10A3B"/>
    <w:rsid w:val="00C341F0"/>
    <w:rsid w:val="00C6377D"/>
    <w:rsid w:val="00C750BE"/>
    <w:rsid w:val="00CA5074"/>
    <w:rsid w:val="00D23655"/>
    <w:rsid w:val="00D31615"/>
    <w:rsid w:val="00D425A8"/>
    <w:rsid w:val="00D84753"/>
    <w:rsid w:val="00D92967"/>
    <w:rsid w:val="00DA59A8"/>
    <w:rsid w:val="00DB24FE"/>
    <w:rsid w:val="00DE24ED"/>
    <w:rsid w:val="00DE2F65"/>
    <w:rsid w:val="00DE37AF"/>
    <w:rsid w:val="00E1493A"/>
    <w:rsid w:val="00E37FDA"/>
    <w:rsid w:val="00E430E0"/>
    <w:rsid w:val="00E45618"/>
    <w:rsid w:val="00E637C3"/>
    <w:rsid w:val="00E95E80"/>
    <w:rsid w:val="00EA360A"/>
    <w:rsid w:val="00EA776C"/>
    <w:rsid w:val="00EB09F2"/>
    <w:rsid w:val="00ED1A9A"/>
    <w:rsid w:val="00EE55A5"/>
    <w:rsid w:val="00F51674"/>
    <w:rsid w:val="00FA5097"/>
    <w:rsid w:val="00FB2448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2CDFE-5330-4C32-BDEB-1349A7D0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1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F9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1F94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AC1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1F94"/>
    <w:rPr>
      <w:lang w:val="en-US"/>
    </w:rPr>
  </w:style>
  <w:style w:type="paragraph" w:customStyle="1" w:styleId="western">
    <w:name w:val="western"/>
    <w:basedOn w:val="Normal"/>
    <w:rsid w:val="00AC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2021</Year>
    <Judgment_x0020_Date xmlns="17a0f4bd-1162-49ac-b85f-dfe96a90bc01">2021-01-19T18:30:00+00:00</Judgment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897C-0919-4C54-8E7D-26630DB21568}">
  <ds:schemaRefs>
    <ds:schemaRef ds:uri="http://schemas.microsoft.com/office/2006/metadata/properties"/>
    <ds:schemaRef ds:uri="http://schemas.microsoft.com/office/infopath/2007/PartnerControls"/>
    <ds:schemaRef ds:uri="a036617c-f1b0-4353-ab0a-456b3885ee3b"/>
    <ds:schemaRef ds:uri="17a0f4bd-1162-49ac-b85f-dfe96a90bc01"/>
  </ds:schemaRefs>
</ds:datastoreItem>
</file>

<file path=customXml/itemProps2.xml><?xml version="1.0" encoding="utf-8"?>
<ds:datastoreItem xmlns:ds="http://schemas.openxmlformats.org/officeDocument/2006/customXml" ds:itemID="{3E480862-6E10-45D8-A75F-B791CF8CF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2DC91-BD10-4ECE-893D-3FAA9F31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FD597-5F02-4673-A7F2-9A73E7B2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mershall jansen</dc:creator>
  <cp:keywords/>
  <dc:description/>
  <cp:lastModifiedBy>Microsoft account</cp:lastModifiedBy>
  <cp:revision>3</cp:revision>
  <cp:lastPrinted>2021-01-20T07:01:00Z</cp:lastPrinted>
  <dcterms:created xsi:type="dcterms:W3CDTF">2021-12-09T06:35:00Z</dcterms:created>
  <dcterms:modified xsi:type="dcterms:W3CDTF">2021-12-09T06:54:00Z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