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23CE" w:rsidRPr="00050022" w:rsidRDefault="004223CE" w:rsidP="004223CE">
      <w:pPr>
        <w:spacing w:after="0" w:line="360" w:lineRule="auto"/>
        <w:jc w:val="center"/>
        <w:rPr>
          <w:rFonts w:eastAsia="Times New Roman"/>
          <w:b/>
        </w:rPr>
      </w:pPr>
      <w:r w:rsidRPr="00050022">
        <w:rPr>
          <w:rFonts w:eastAsia="Times New Roman"/>
          <w:noProof/>
          <w:lang w:val="en-ZA" w:eastAsia="en-ZA"/>
        </w:rPr>
        <mc:AlternateContent>
          <mc:Choice Requires="wps">
            <w:drawing>
              <wp:anchor distT="0" distB="0" distL="114300" distR="114300" simplePos="0" relativeHeight="251659264" behindDoc="0" locked="0" layoutInCell="1" allowOverlap="1" wp14:anchorId="395334CA" wp14:editId="481CF4D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223CE" w:rsidRPr="000A0FD8" w:rsidRDefault="004223CE" w:rsidP="004223CE">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34C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223CE" w:rsidRPr="000A0FD8" w:rsidRDefault="004223CE" w:rsidP="004223CE">
                      <w:pPr>
                        <w:jc w:val="right"/>
                        <w:rPr>
                          <w:b/>
                        </w:rPr>
                      </w:pPr>
                    </w:p>
                  </w:txbxContent>
                </v:textbox>
                <w10:wrap anchorx="margin"/>
              </v:shape>
            </w:pict>
          </mc:Fallback>
        </mc:AlternateContent>
      </w:r>
      <w:r w:rsidR="009C6190">
        <w:rPr>
          <w:rFonts w:eastAsia="Times New Roman"/>
          <w:b/>
        </w:rPr>
        <w:t xml:space="preserve"> </w:t>
      </w:r>
      <w:r w:rsidRPr="00050022">
        <w:rPr>
          <w:rFonts w:eastAsia="Times New Roman"/>
          <w:b/>
        </w:rPr>
        <w:t>REPUBLIC OF NAMIBIA</w:t>
      </w:r>
    </w:p>
    <w:p w:rsidR="004223CE" w:rsidRPr="00050022" w:rsidRDefault="004223CE" w:rsidP="004223CE">
      <w:pPr>
        <w:spacing w:after="0" w:line="360" w:lineRule="auto"/>
        <w:rPr>
          <w:rFonts w:eastAsia="Times New Roman"/>
          <w:b/>
        </w:rPr>
      </w:pPr>
      <w:r w:rsidRPr="00050022">
        <w:rPr>
          <w:rFonts w:eastAsia="Times New Roman"/>
          <w:noProof/>
          <w:lang w:val="en-ZA" w:eastAsia="en-ZA"/>
        </w:rPr>
        <w:drawing>
          <wp:anchor distT="0" distB="0" distL="114300" distR="114300" simplePos="0" relativeHeight="251660288" behindDoc="0" locked="0" layoutInCell="1" allowOverlap="1" wp14:anchorId="19E98C36" wp14:editId="2FB4BE9F">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jc w:val="center"/>
        <w:rPr>
          <w:rFonts w:eastAsia="Times New Roman"/>
          <w:b/>
        </w:rPr>
      </w:pPr>
    </w:p>
    <w:p w:rsidR="004223CE" w:rsidRPr="00050022" w:rsidRDefault="004223CE" w:rsidP="004223CE">
      <w:pPr>
        <w:spacing w:after="0" w:line="360" w:lineRule="auto"/>
        <w:rPr>
          <w:rFonts w:eastAsia="Times New Roman"/>
          <w:b/>
        </w:rPr>
      </w:pPr>
      <w:r>
        <w:rPr>
          <w:rFonts w:eastAsia="Times New Roman"/>
          <w:b/>
        </w:rPr>
        <w:t xml:space="preserve">                   IN THE </w:t>
      </w:r>
      <w:r w:rsidRPr="00050022">
        <w:rPr>
          <w:rFonts w:eastAsia="Times New Roman"/>
          <w:b/>
        </w:rPr>
        <w:t>HIGH COURT OF NAMIBIA, MAIN DIVISION, WINDHOEK</w:t>
      </w:r>
    </w:p>
    <w:p w:rsidR="004223CE" w:rsidRPr="00050022" w:rsidRDefault="004223CE" w:rsidP="00D41E7D">
      <w:pPr>
        <w:spacing w:before="240" w:after="0" w:line="360" w:lineRule="auto"/>
        <w:jc w:val="center"/>
        <w:rPr>
          <w:rFonts w:eastAsia="Times New Roman"/>
          <w:b/>
        </w:rPr>
      </w:pPr>
      <w:r w:rsidRPr="00050022">
        <w:rPr>
          <w:rFonts w:eastAsia="Times New Roman"/>
          <w:b/>
        </w:rPr>
        <w:t>JUDGMENT</w:t>
      </w:r>
    </w:p>
    <w:tbl>
      <w:tblPr>
        <w:tblStyle w:val="TableGrid"/>
        <w:tblW w:w="9720" w:type="dxa"/>
        <w:tblInd w:w="-275" w:type="dxa"/>
        <w:tblLook w:val="04A0" w:firstRow="1" w:lastRow="0" w:firstColumn="1" w:lastColumn="0" w:noHBand="0" w:noVBand="1"/>
      </w:tblPr>
      <w:tblGrid>
        <w:gridCol w:w="4770"/>
        <w:gridCol w:w="627"/>
        <w:gridCol w:w="4323"/>
      </w:tblGrid>
      <w:tr w:rsidR="009C2E53" w:rsidRPr="007C332D" w:rsidTr="006F0D59">
        <w:trPr>
          <w:trHeight w:val="744"/>
        </w:trPr>
        <w:tc>
          <w:tcPr>
            <w:tcW w:w="5397" w:type="dxa"/>
            <w:gridSpan w:val="2"/>
            <w:vMerge w:val="restart"/>
          </w:tcPr>
          <w:p w:rsidR="009C2E53" w:rsidRPr="007C332D" w:rsidRDefault="009C2E53" w:rsidP="00D41E7D">
            <w:pPr>
              <w:spacing w:before="240" w:line="360" w:lineRule="auto"/>
              <w:jc w:val="both"/>
              <w:rPr>
                <w:rFonts w:ascii="Arial Narrow" w:hAnsi="Arial Narrow" w:cs="Arial"/>
                <w:sz w:val="24"/>
                <w:szCs w:val="24"/>
              </w:rPr>
            </w:pPr>
            <w:r w:rsidRPr="007C332D">
              <w:rPr>
                <w:rFonts w:ascii="Arial Narrow" w:hAnsi="Arial Narrow" w:cs="Arial"/>
                <w:b/>
                <w:sz w:val="24"/>
                <w:szCs w:val="24"/>
              </w:rPr>
              <w:t>Case Title:</w:t>
            </w:r>
          </w:p>
          <w:p w:rsidR="009C2E53" w:rsidRDefault="0021096F" w:rsidP="00C219DD">
            <w:pPr>
              <w:spacing w:line="360" w:lineRule="auto"/>
              <w:jc w:val="both"/>
              <w:rPr>
                <w:rFonts w:ascii="Arial Narrow" w:hAnsi="Arial Narrow"/>
                <w:sz w:val="24"/>
                <w:szCs w:val="24"/>
              </w:rPr>
            </w:pPr>
            <w:r>
              <w:rPr>
                <w:rFonts w:ascii="Arial Narrow" w:hAnsi="Arial Narrow"/>
                <w:sz w:val="24"/>
                <w:szCs w:val="24"/>
              </w:rPr>
              <w:t xml:space="preserve">Roads Authority </w:t>
            </w:r>
          </w:p>
          <w:p w:rsidR="0021096F" w:rsidRDefault="0021096F" w:rsidP="00C219DD">
            <w:pPr>
              <w:spacing w:line="360" w:lineRule="auto"/>
              <w:jc w:val="both"/>
              <w:rPr>
                <w:rFonts w:ascii="Arial Narrow" w:hAnsi="Arial Narrow"/>
                <w:sz w:val="24"/>
                <w:szCs w:val="24"/>
              </w:rPr>
            </w:pPr>
            <w:r>
              <w:rPr>
                <w:rFonts w:ascii="Arial Narrow" w:hAnsi="Arial Narrow"/>
                <w:sz w:val="24"/>
                <w:szCs w:val="24"/>
              </w:rPr>
              <w:t>v</w:t>
            </w:r>
          </w:p>
          <w:p w:rsidR="0021096F" w:rsidRPr="007C332D" w:rsidRDefault="0021096F" w:rsidP="00C219DD">
            <w:pPr>
              <w:spacing w:line="360" w:lineRule="auto"/>
              <w:jc w:val="both"/>
              <w:rPr>
                <w:rFonts w:ascii="Arial Narrow" w:hAnsi="Arial Narrow" w:cs="Arial"/>
                <w:sz w:val="24"/>
                <w:szCs w:val="24"/>
              </w:rPr>
            </w:pPr>
            <w:r>
              <w:rPr>
                <w:rFonts w:ascii="Arial Narrow" w:hAnsi="Arial Narrow"/>
                <w:sz w:val="24"/>
                <w:szCs w:val="24"/>
              </w:rPr>
              <w:t>Chico/Octagon Joint Venture</w:t>
            </w:r>
          </w:p>
        </w:tc>
        <w:tc>
          <w:tcPr>
            <w:tcW w:w="4323" w:type="dxa"/>
          </w:tcPr>
          <w:p w:rsidR="009C2E53" w:rsidRPr="007C332D" w:rsidRDefault="009C2E53" w:rsidP="00D41E7D">
            <w:pPr>
              <w:spacing w:before="240" w:line="360" w:lineRule="auto"/>
              <w:jc w:val="both"/>
              <w:rPr>
                <w:rFonts w:ascii="Arial Narrow" w:hAnsi="Arial Narrow" w:cs="Arial"/>
                <w:sz w:val="24"/>
                <w:szCs w:val="24"/>
              </w:rPr>
            </w:pPr>
            <w:r w:rsidRPr="007C332D">
              <w:rPr>
                <w:rFonts w:ascii="Arial Narrow" w:hAnsi="Arial Narrow" w:cs="Arial"/>
                <w:b/>
                <w:sz w:val="24"/>
                <w:szCs w:val="24"/>
              </w:rPr>
              <w:t>Case No:</w:t>
            </w:r>
          </w:p>
          <w:p w:rsidR="009C2E53" w:rsidRPr="00C219DD" w:rsidRDefault="00C219DD" w:rsidP="0021096F">
            <w:pPr>
              <w:spacing w:line="360" w:lineRule="auto"/>
              <w:jc w:val="both"/>
              <w:rPr>
                <w:rFonts w:ascii="Arial Narrow" w:hAnsi="Arial Narrow" w:cs="Arial"/>
                <w:b/>
                <w:sz w:val="24"/>
                <w:szCs w:val="24"/>
              </w:rPr>
            </w:pPr>
            <w:r w:rsidRPr="00C219DD">
              <w:rPr>
                <w:rFonts w:ascii="Arial Narrow" w:hAnsi="Arial Narrow"/>
                <w:sz w:val="24"/>
                <w:szCs w:val="24"/>
              </w:rPr>
              <w:t>HC-MD-CIV-ACT-DEL-</w:t>
            </w:r>
            <w:r w:rsidR="0021096F">
              <w:rPr>
                <w:rFonts w:ascii="Arial Narrow" w:hAnsi="Arial Narrow"/>
                <w:sz w:val="24"/>
                <w:szCs w:val="24"/>
              </w:rPr>
              <w:t>2018/03647</w:t>
            </w:r>
          </w:p>
        </w:tc>
      </w:tr>
      <w:tr w:rsidR="009C2E53" w:rsidRPr="007C332D" w:rsidTr="006F0D59">
        <w:trPr>
          <w:trHeight w:val="844"/>
        </w:trPr>
        <w:tc>
          <w:tcPr>
            <w:tcW w:w="5397" w:type="dxa"/>
            <w:gridSpan w:val="2"/>
            <w:vMerge/>
          </w:tcPr>
          <w:p w:rsidR="009C2E53" w:rsidRPr="007C332D" w:rsidRDefault="009C2E53" w:rsidP="006F0D59">
            <w:pPr>
              <w:spacing w:line="360" w:lineRule="auto"/>
              <w:jc w:val="both"/>
              <w:rPr>
                <w:rFonts w:ascii="Arial Narrow" w:hAnsi="Arial Narrow" w:cs="Arial"/>
                <w:sz w:val="24"/>
                <w:szCs w:val="24"/>
              </w:rPr>
            </w:pPr>
          </w:p>
        </w:tc>
        <w:tc>
          <w:tcPr>
            <w:tcW w:w="4323" w:type="dxa"/>
          </w:tcPr>
          <w:p w:rsidR="009C2E53" w:rsidRPr="007C332D" w:rsidRDefault="009C2E53" w:rsidP="00D41E7D">
            <w:pPr>
              <w:spacing w:before="240" w:line="360" w:lineRule="auto"/>
              <w:jc w:val="both"/>
              <w:rPr>
                <w:rFonts w:ascii="Arial Narrow" w:hAnsi="Arial Narrow" w:cs="Arial"/>
                <w:sz w:val="24"/>
                <w:szCs w:val="24"/>
              </w:rPr>
            </w:pPr>
            <w:r w:rsidRPr="007C332D">
              <w:rPr>
                <w:rFonts w:ascii="Arial Narrow" w:hAnsi="Arial Narrow" w:cs="Arial"/>
                <w:b/>
                <w:sz w:val="24"/>
                <w:szCs w:val="24"/>
              </w:rPr>
              <w:t>Division of Court:</w:t>
            </w:r>
          </w:p>
          <w:p w:rsidR="009C2E53" w:rsidRPr="007C332D" w:rsidRDefault="009C2E53" w:rsidP="006F0D59">
            <w:pPr>
              <w:spacing w:line="360" w:lineRule="auto"/>
              <w:jc w:val="both"/>
              <w:rPr>
                <w:rFonts w:ascii="Arial Narrow" w:hAnsi="Arial Narrow" w:cs="Arial"/>
                <w:sz w:val="24"/>
                <w:szCs w:val="24"/>
              </w:rPr>
            </w:pPr>
            <w:r w:rsidRPr="007C332D">
              <w:rPr>
                <w:rFonts w:ascii="Arial Narrow" w:hAnsi="Arial Narrow" w:cs="Arial"/>
                <w:sz w:val="24"/>
                <w:szCs w:val="24"/>
              </w:rPr>
              <w:t>HIGH COURT(MAIN DIVISION)</w:t>
            </w:r>
          </w:p>
        </w:tc>
      </w:tr>
      <w:tr w:rsidR="009C2E53" w:rsidRPr="007C332D" w:rsidTr="006F0D59">
        <w:trPr>
          <w:trHeight w:val="645"/>
        </w:trPr>
        <w:tc>
          <w:tcPr>
            <w:tcW w:w="5397" w:type="dxa"/>
            <w:gridSpan w:val="2"/>
            <w:vMerge w:val="restart"/>
          </w:tcPr>
          <w:p w:rsidR="009C2E53" w:rsidRPr="007C332D" w:rsidRDefault="009C2E53" w:rsidP="00D41E7D">
            <w:pPr>
              <w:spacing w:before="240" w:line="360" w:lineRule="auto"/>
              <w:jc w:val="both"/>
              <w:rPr>
                <w:rFonts w:ascii="Arial Narrow" w:hAnsi="Arial Narrow" w:cs="Arial"/>
                <w:b/>
                <w:sz w:val="24"/>
                <w:szCs w:val="24"/>
              </w:rPr>
            </w:pPr>
            <w:r w:rsidRPr="007C332D">
              <w:rPr>
                <w:rFonts w:ascii="Arial Narrow" w:hAnsi="Arial Narrow" w:cs="Arial"/>
                <w:b/>
                <w:sz w:val="24"/>
                <w:szCs w:val="24"/>
              </w:rPr>
              <w:t>Heard before:</w:t>
            </w:r>
          </w:p>
          <w:p w:rsidR="009C2E53" w:rsidRPr="007C332D" w:rsidRDefault="009C2E53" w:rsidP="006F0D59">
            <w:pPr>
              <w:spacing w:line="360" w:lineRule="auto"/>
              <w:jc w:val="both"/>
              <w:rPr>
                <w:rFonts w:ascii="Arial Narrow" w:hAnsi="Arial Narrow" w:cs="Arial"/>
                <w:sz w:val="24"/>
                <w:szCs w:val="24"/>
              </w:rPr>
            </w:pPr>
            <w:r w:rsidRPr="007C332D">
              <w:rPr>
                <w:rFonts w:ascii="Arial Narrow" w:hAnsi="Arial Narrow" w:cs="Arial"/>
                <w:sz w:val="24"/>
                <w:szCs w:val="24"/>
              </w:rPr>
              <w:t>HONOURABLE LADY JUSTICE PRINSLOO, JUDGE</w:t>
            </w:r>
          </w:p>
        </w:tc>
        <w:tc>
          <w:tcPr>
            <w:tcW w:w="4323" w:type="dxa"/>
          </w:tcPr>
          <w:p w:rsidR="009C2E53" w:rsidRPr="007C332D" w:rsidRDefault="009C2E53" w:rsidP="00D41E7D">
            <w:pPr>
              <w:spacing w:before="240" w:line="360" w:lineRule="auto"/>
              <w:jc w:val="both"/>
              <w:rPr>
                <w:rFonts w:ascii="Arial Narrow" w:hAnsi="Arial Narrow" w:cs="Arial"/>
                <w:b/>
                <w:sz w:val="24"/>
                <w:szCs w:val="24"/>
              </w:rPr>
            </w:pPr>
            <w:r w:rsidRPr="007C332D">
              <w:rPr>
                <w:rFonts w:ascii="Arial Narrow" w:hAnsi="Arial Narrow" w:cs="Arial"/>
                <w:b/>
                <w:sz w:val="24"/>
                <w:szCs w:val="24"/>
              </w:rPr>
              <w:t>Date of hearing:</w:t>
            </w:r>
          </w:p>
          <w:p w:rsidR="009C2E53" w:rsidRPr="007C332D" w:rsidRDefault="0021096F" w:rsidP="00C219DD">
            <w:pPr>
              <w:spacing w:line="360" w:lineRule="auto"/>
              <w:rPr>
                <w:rFonts w:ascii="Arial Narrow" w:hAnsi="Arial Narrow" w:cs="Arial"/>
                <w:sz w:val="24"/>
                <w:szCs w:val="24"/>
              </w:rPr>
            </w:pPr>
            <w:r>
              <w:rPr>
                <w:rFonts w:ascii="Arial Narrow" w:hAnsi="Arial Narrow" w:cs="Arial"/>
                <w:sz w:val="24"/>
                <w:szCs w:val="24"/>
              </w:rPr>
              <w:t>08 February 2021</w:t>
            </w:r>
          </w:p>
        </w:tc>
      </w:tr>
      <w:tr w:rsidR="009C2E53" w:rsidRPr="007C332D" w:rsidTr="006F0D59">
        <w:trPr>
          <w:trHeight w:val="588"/>
        </w:trPr>
        <w:tc>
          <w:tcPr>
            <w:tcW w:w="5397" w:type="dxa"/>
            <w:gridSpan w:val="2"/>
            <w:vMerge/>
          </w:tcPr>
          <w:p w:rsidR="009C2E53" w:rsidRPr="007C332D" w:rsidRDefault="009C2E53" w:rsidP="006F0D59">
            <w:pPr>
              <w:spacing w:line="360" w:lineRule="auto"/>
              <w:jc w:val="both"/>
              <w:rPr>
                <w:rFonts w:ascii="Arial Narrow" w:hAnsi="Arial Narrow" w:cs="Arial"/>
                <w:b/>
                <w:sz w:val="24"/>
                <w:szCs w:val="24"/>
              </w:rPr>
            </w:pPr>
          </w:p>
        </w:tc>
        <w:tc>
          <w:tcPr>
            <w:tcW w:w="4323" w:type="dxa"/>
          </w:tcPr>
          <w:p w:rsidR="00EF5666" w:rsidRPr="007C332D" w:rsidRDefault="009C2E53" w:rsidP="00D41E7D">
            <w:pPr>
              <w:spacing w:before="240" w:line="360" w:lineRule="auto"/>
              <w:jc w:val="both"/>
              <w:rPr>
                <w:rFonts w:ascii="Arial Narrow" w:hAnsi="Arial Narrow" w:cs="Arial"/>
                <w:b/>
                <w:sz w:val="24"/>
                <w:szCs w:val="24"/>
              </w:rPr>
            </w:pPr>
            <w:r w:rsidRPr="007C332D">
              <w:rPr>
                <w:rFonts w:ascii="Arial Narrow" w:hAnsi="Arial Narrow" w:cs="Arial"/>
                <w:b/>
                <w:sz w:val="24"/>
                <w:szCs w:val="24"/>
              </w:rPr>
              <w:t xml:space="preserve">Date of order: </w:t>
            </w:r>
          </w:p>
          <w:p w:rsidR="009C2E53" w:rsidRPr="007C332D" w:rsidRDefault="0021096F" w:rsidP="0021096F">
            <w:pPr>
              <w:spacing w:line="360" w:lineRule="auto"/>
              <w:jc w:val="both"/>
              <w:rPr>
                <w:rFonts w:ascii="Arial Narrow" w:hAnsi="Arial Narrow" w:cs="Arial"/>
                <w:b/>
                <w:sz w:val="24"/>
                <w:szCs w:val="24"/>
              </w:rPr>
            </w:pPr>
            <w:r>
              <w:rPr>
                <w:rFonts w:ascii="Arial Narrow" w:hAnsi="Arial Narrow" w:cs="Arial"/>
                <w:sz w:val="24"/>
                <w:szCs w:val="24"/>
              </w:rPr>
              <w:t>11 February 2021</w:t>
            </w:r>
          </w:p>
        </w:tc>
      </w:tr>
      <w:tr w:rsidR="009C2E53" w:rsidRPr="007C332D" w:rsidTr="00EF5666">
        <w:trPr>
          <w:trHeight w:val="710"/>
        </w:trPr>
        <w:tc>
          <w:tcPr>
            <w:tcW w:w="9720" w:type="dxa"/>
            <w:gridSpan w:val="3"/>
          </w:tcPr>
          <w:p w:rsidR="009C2E53" w:rsidRPr="007C332D" w:rsidRDefault="009C2E53" w:rsidP="00D41E7D">
            <w:pPr>
              <w:pStyle w:val="form-control-static"/>
              <w:shd w:val="clear" w:color="auto" w:fill="FFFFFF"/>
              <w:spacing w:before="240" w:beforeAutospacing="0" w:after="0" w:afterAutospacing="0"/>
              <w:jc w:val="both"/>
              <w:rPr>
                <w:rFonts w:ascii="Arial Narrow" w:hAnsi="Arial Narrow" w:cs="Arial"/>
                <w:color w:val="333333"/>
                <w:sz w:val="24"/>
                <w:szCs w:val="24"/>
              </w:rPr>
            </w:pPr>
            <w:r w:rsidRPr="0010178E">
              <w:rPr>
                <w:rFonts w:ascii="Arial Narrow" w:hAnsi="Arial Narrow" w:cs="Arial"/>
                <w:b/>
                <w:sz w:val="24"/>
                <w:szCs w:val="24"/>
              </w:rPr>
              <w:t>Neutral citation:</w:t>
            </w:r>
            <w:r w:rsidR="00EF5666" w:rsidRPr="0010178E">
              <w:rPr>
                <w:rFonts w:ascii="Arial Narrow" w:hAnsi="Arial Narrow" w:cs="Arial"/>
                <w:sz w:val="24"/>
                <w:szCs w:val="24"/>
              </w:rPr>
              <w:t xml:space="preserve"> </w:t>
            </w:r>
            <w:r w:rsidR="0021096F">
              <w:rPr>
                <w:rFonts w:ascii="Arial Narrow" w:hAnsi="Arial Narrow"/>
                <w:i/>
                <w:sz w:val="24"/>
                <w:szCs w:val="24"/>
              </w:rPr>
              <w:t>Roads Authority</w:t>
            </w:r>
            <w:r w:rsidR="008967AD" w:rsidRPr="004223CE">
              <w:rPr>
                <w:rFonts w:ascii="Arial Narrow" w:hAnsi="Arial Narrow" w:cs="Arial"/>
                <w:i/>
                <w:sz w:val="24"/>
                <w:szCs w:val="24"/>
                <w:shd w:val="clear" w:color="auto" w:fill="FFFFFF"/>
              </w:rPr>
              <w:t xml:space="preserve"> </w:t>
            </w:r>
            <w:r w:rsidR="0083558F" w:rsidRPr="004223CE">
              <w:rPr>
                <w:rFonts w:ascii="Arial Narrow" w:hAnsi="Arial Narrow" w:cs="Arial"/>
                <w:i/>
                <w:sz w:val="24"/>
                <w:szCs w:val="24"/>
                <w:shd w:val="clear" w:color="auto" w:fill="FFFFFF"/>
              </w:rPr>
              <w:t xml:space="preserve">vs </w:t>
            </w:r>
            <w:r w:rsidR="0021096F">
              <w:rPr>
                <w:rFonts w:ascii="Arial Narrow" w:hAnsi="Arial Narrow"/>
                <w:i/>
                <w:sz w:val="24"/>
                <w:szCs w:val="24"/>
              </w:rPr>
              <w:t>Chico/Octagon Joint Venture</w:t>
            </w:r>
            <w:r w:rsidR="00C219DD" w:rsidRPr="004223CE">
              <w:rPr>
                <w:rFonts w:ascii="Arial Narrow" w:hAnsi="Arial Narrow" w:cs="Arial"/>
                <w:i/>
                <w:sz w:val="24"/>
                <w:szCs w:val="24"/>
              </w:rPr>
              <w:t xml:space="preserve"> </w:t>
            </w:r>
            <w:r w:rsidR="00EF5666" w:rsidRPr="004223CE">
              <w:rPr>
                <w:rFonts w:ascii="Arial Narrow" w:hAnsi="Arial Narrow" w:cs="Arial"/>
                <w:i/>
                <w:sz w:val="24"/>
                <w:szCs w:val="24"/>
              </w:rPr>
              <w:t>(</w:t>
            </w:r>
            <w:r w:rsidR="0021096F" w:rsidRPr="00C219DD">
              <w:rPr>
                <w:rFonts w:ascii="Arial Narrow" w:hAnsi="Arial Narrow"/>
                <w:sz w:val="24"/>
                <w:szCs w:val="24"/>
              </w:rPr>
              <w:t>HC-MD-CIV-ACT-DEL-</w:t>
            </w:r>
            <w:r w:rsidR="0021096F">
              <w:rPr>
                <w:rFonts w:ascii="Arial Narrow" w:hAnsi="Arial Narrow"/>
                <w:sz w:val="24"/>
                <w:szCs w:val="24"/>
              </w:rPr>
              <w:t>2018/03647</w:t>
            </w:r>
            <w:r w:rsidR="0021096F" w:rsidRPr="004223CE">
              <w:rPr>
                <w:rFonts w:ascii="Arial Narrow" w:hAnsi="Arial Narrow" w:cs="Arial"/>
                <w:i/>
                <w:sz w:val="24"/>
                <w:szCs w:val="24"/>
              </w:rPr>
              <w:t xml:space="preserve"> </w:t>
            </w:r>
            <w:r w:rsidR="00EF5666" w:rsidRPr="004223CE">
              <w:rPr>
                <w:rFonts w:ascii="Arial Narrow" w:hAnsi="Arial Narrow" w:cs="Arial"/>
                <w:i/>
                <w:sz w:val="24"/>
                <w:szCs w:val="24"/>
              </w:rPr>
              <w:t>[20</w:t>
            </w:r>
            <w:r w:rsidR="00C219DD" w:rsidRPr="004223CE">
              <w:rPr>
                <w:rFonts w:ascii="Arial Narrow" w:hAnsi="Arial Narrow" w:cs="Arial"/>
                <w:i/>
                <w:sz w:val="24"/>
                <w:szCs w:val="24"/>
              </w:rPr>
              <w:t>2</w:t>
            </w:r>
            <w:r w:rsidR="0021096F">
              <w:rPr>
                <w:rFonts w:ascii="Arial Narrow" w:hAnsi="Arial Narrow" w:cs="Arial"/>
                <w:i/>
                <w:sz w:val="24"/>
                <w:szCs w:val="24"/>
              </w:rPr>
              <w:t>1</w:t>
            </w:r>
            <w:r w:rsidR="00EF5666" w:rsidRPr="004223CE">
              <w:rPr>
                <w:rFonts w:ascii="Arial Narrow" w:hAnsi="Arial Narrow" w:cs="Arial"/>
                <w:i/>
                <w:sz w:val="24"/>
                <w:szCs w:val="24"/>
              </w:rPr>
              <w:t xml:space="preserve">] </w:t>
            </w:r>
            <w:r w:rsidR="00EF5666" w:rsidRPr="0021096F">
              <w:rPr>
                <w:rFonts w:ascii="Arial Narrow" w:hAnsi="Arial Narrow" w:cs="Arial"/>
                <w:sz w:val="24"/>
                <w:szCs w:val="24"/>
              </w:rPr>
              <w:t xml:space="preserve">NAHCMD </w:t>
            </w:r>
            <w:r w:rsidR="00F00E9B">
              <w:rPr>
                <w:rFonts w:ascii="Arial Narrow" w:hAnsi="Arial Narrow" w:cs="Arial"/>
                <w:sz w:val="24"/>
                <w:szCs w:val="24"/>
              </w:rPr>
              <w:t>35</w:t>
            </w:r>
            <w:r w:rsidR="001C016D" w:rsidRPr="0021096F">
              <w:rPr>
                <w:rFonts w:ascii="Arial Narrow" w:hAnsi="Arial Narrow" w:cs="Arial"/>
                <w:sz w:val="24"/>
                <w:szCs w:val="24"/>
              </w:rPr>
              <w:t xml:space="preserve"> </w:t>
            </w:r>
            <w:r w:rsidR="00EF5666" w:rsidRPr="0021096F">
              <w:rPr>
                <w:rFonts w:ascii="Arial Narrow" w:hAnsi="Arial Narrow" w:cs="Arial"/>
                <w:sz w:val="24"/>
                <w:szCs w:val="24"/>
              </w:rPr>
              <w:t>(</w:t>
            </w:r>
            <w:r w:rsidR="0021096F" w:rsidRPr="0021096F">
              <w:rPr>
                <w:rFonts w:ascii="Arial Narrow" w:hAnsi="Arial Narrow" w:cs="Arial"/>
                <w:sz w:val="24"/>
                <w:szCs w:val="24"/>
              </w:rPr>
              <w:t>11 February 2021</w:t>
            </w:r>
            <w:r w:rsidR="00EF5666" w:rsidRPr="0021096F">
              <w:rPr>
                <w:rFonts w:ascii="Arial Narrow" w:hAnsi="Arial Narrow" w:cs="Arial"/>
                <w:sz w:val="24"/>
                <w:szCs w:val="24"/>
              </w:rPr>
              <w:t>)</w:t>
            </w:r>
          </w:p>
        </w:tc>
      </w:tr>
      <w:tr w:rsidR="009C2E53" w:rsidRPr="007C332D" w:rsidTr="006F0D59">
        <w:tc>
          <w:tcPr>
            <w:tcW w:w="9720" w:type="dxa"/>
            <w:gridSpan w:val="3"/>
          </w:tcPr>
          <w:p w:rsidR="009C2E53" w:rsidRPr="007C332D" w:rsidRDefault="009C2E53" w:rsidP="00D41E7D">
            <w:pPr>
              <w:pStyle w:val="form-control-static"/>
              <w:shd w:val="clear" w:color="auto" w:fill="FFFFFF"/>
              <w:spacing w:before="240" w:beforeAutospacing="0" w:after="0" w:afterAutospacing="0"/>
              <w:rPr>
                <w:rFonts w:ascii="Arial Narrow" w:hAnsi="Arial Narrow" w:cs="Arial"/>
                <w:b/>
                <w:sz w:val="24"/>
                <w:szCs w:val="24"/>
              </w:rPr>
            </w:pPr>
            <w:r w:rsidRPr="007C332D">
              <w:rPr>
                <w:rFonts w:ascii="Arial Narrow" w:hAnsi="Arial Narrow" w:cs="Arial"/>
                <w:b/>
                <w:sz w:val="24"/>
                <w:szCs w:val="24"/>
              </w:rPr>
              <w:t>Results on merits:</w:t>
            </w:r>
          </w:p>
          <w:p w:rsidR="009C2E53" w:rsidRPr="007C332D" w:rsidRDefault="009C2E53" w:rsidP="006F0D59">
            <w:pPr>
              <w:pStyle w:val="form-control-static"/>
              <w:shd w:val="clear" w:color="auto" w:fill="FFFFFF"/>
              <w:spacing w:before="0" w:beforeAutospacing="0" w:after="0" w:afterAutospacing="0"/>
              <w:rPr>
                <w:rFonts w:ascii="Arial Narrow" w:hAnsi="Arial Narrow" w:cs="Arial"/>
                <w:sz w:val="24"/>
                <w:szCs w:val="24"/>
              </w:rPr>
            </w:pPr>
            <w:r w:rsidRPr="007C332D">
              <w:rPr>
                <w:rFonts w:ascii="Arial Narrow" w:hAnsi="Arial Narrow" w:cs="Arial"/>
                <w:sz w:val="24"/>
                <w:szCs w:val="24"/>
              </w:rPr>
              <w:t>Merits not considered.</w:t>
            </w:r>
          </w:p>
        </w:tc>
      </w:tr>
      <w:tr w:rsidR="009C2E53" w:rsidRPr="007C332D" w:rsidTr="006F0D59">
        <w:tc>
          <w:tcPr>
            <w:tcW w:w="9720" w:type="dxa"/>
            <w:gridSpan w:val="3"/>
          </w:tcPr>
          <w:p w:rsidR="009C2E53" w:rsidRPr="007C332D" w:rsidRDefault="009C2E53" w:rsidP="00D41E7D">
            <w:pPr>
              <w:tabs>
                <w:tab w:val="left" w:pos="2100"/>
              </w:tabs>
              <w:spacing w:before="240" w:line="360" w:lineRule="auto"/>
              <w:jc w:val="both"/>
              <w:rPr>
                <w:rFonts w:ascii="Arial Narrow" w:hAnsi="Arial Narrow" w:cs="Arial"/>
                <w:b/>
                <w:sz w:val="24"/>
                <w:szCs w:val="24"/>
              </w:rPr>
            </w:pPr>
            <w:r w:rsidRPr="007C332D">
              <w:rPr>
                <w:rFonts w:ascii="Arial Narrow" w:hAnsi="Arial Narrow" w:cs="Arial"/>
                <w:b/>
                <w:sz w:val="24"/>
                <w:szCs w:val="24"/>
              </w:rPr>
              <w:t>The order:</w:t>
            </w:r>
            <w:r w:rsidR="0083558F" w:rsidRPr="007C332D">
              <w:rPr>
                <w:rFonts w:ascii="Arial Narrow" w:hAnsi="Arial Narrow" w:cs="Arial"/>
                <w:b/>
                <w:sz w:val="24"/>
                <w:szCs w:val="24"/>
              </w:rPr>
              <w:tab/>
            </w:r>
          </w:p>
          <w:p w:rsidR="00EF5666" w:rsidRDefault="009C2E53" w:rsidP="006F0D59">
            <w:pPr>
              <w:spacing w:line="360" w:lineRule="auto"/>
              <w:jc w:val="both"/>
              <w:rPr>
                <w:rFonts w:ascii="Arial Narrow" w:hAnsi="Arial Narrow" w:cs="Arial"/>
                <w:sz w:val="24"/>
                <w:szCs w:val="24"/>
              </w:rPr>
            </w:pPr>
            <w:r w:rsidRPr="007C332D">
              <w:rPr>
                <w:rFonts w:ascii="Arial Narrow" w:hAnsi="Arial Narrow" w:cs="Arial"/>
                <w:sz w:val="24"/>
                <w:szCs w:val="24"/>
              </w:rPr>
              <w:t xml:space="preserve">Having heard </w:t>
            </w:r>
            <w:r w:rsidR="00325DF2">
              <w:rPr>
                <w:rFonts w:ascii="Arial Narrow" w:hAnsi="Arial Narrow" w:cs="Arial"/>
                <w:b/>
                <w:sz w:val="24"/>
                <w:szCs w:val="24"/>
              </w:rPr>
              <w:t xml:space="preserve">Mr </w:t>
            </w:r>
            <w:r w:rsidR="005D2D20">
              <w:rPr>
                <w:rFonts w:ascii="Arial Narrow" w:hAnsi="Arial Narrow" w:cs="Arial"/>
                <w:b/>
                <w:sz w:val="24"/>
                <w:szCs w:val="24"/>
              </w:rPr>
              <w:t>Nangolo</w:t>
            </w:r>
            <w:r w:rsidR="00325DF2">
              <w:rPr>
                <w:rFonts w:ascii="Arial Narrow" w:hAnsi="Arial Narrow" w:cs="Arial"/>
                <w:sz w:val="24"/>
                <w:szCs w:val="24"/>
              </w:rPr>
              <w:t xml:space="preserve"> for</w:t>
            </w:r>
            <w:r w:rsidR="00325DF2" w:rsidRPr="00325DF2">
              <w:rPr>
                <w:rFonts w:ascii="Arial Narrow" w:hAnsi="Arial Narrow" w:cs="Arial"/>
                <w:sz w:val="24"/>
                <w:szCs w:val="24"/>
              </w:rPr>
              <w:t xml:space="preserve"> the</w:t>
            </w:r>
            <w:r w:rsidR="00325DF2">
              <w:rPr>
                <w:rFonts w:ascii="Arial Narrow" w:hAnsi="Arial Narrow" w:cs="Arial"/>
                <w:b/>
                <w:sz w:val="24"/>
                <w:szCs w:val="24"/>
              </w:rPr>
              <w:t xml:space="preserve"> </w:t>
            </w:r>
            <w:r w:rsidR="00325DF2">
              <w:rPr>
                <w:rFonts w:ascii="Arial Narrow" w:hAnsi="Arial Narrow" w:cs="Arial"/>
                <w:sz w:val="24"/>
                <w:szCs w:val="24"/>
              </w:rPr>
              <w:t>p</w:t>
            </w:r>
            <w:r w:rsidR="00C219DD" w:rsidRPr="00C219DD">
              <w:rPr>
                <w:rFonts w:ascii="Arial Narrow" w:hAnsi="Arial Narrow" w:cs="Arial"/>
                <w:sz w:val="24"/>
                <w:szCs w:val="24"/>
              </w:rPr>
              <w:t>laintiff</w:t>
            </w:r>
            <w:r w:rsidR="00C219DD">
              <w:rPr>
                <w:rFonts w:ascii="Arial Narrow" w:hAnsi="Arial Narrow" w:cs="Arial"/>
                <w:b/>
                <w:sz w:val="24"/>
                <w:szCs w:val="24"/>
              </w:rPr>
              <w:t>/</w:t>
            </w:r>
            <w:r w:rsidR="00325DF2">
              <w:rPr>
                <w:rFonts w:ascii="Arial Narrow" w:hAnsi="Arial Narrow" w:cs="Arial"/>
                <w:sz w:val="24"/>
                <w:szCs w:val="24"/>
              </w:rPr>
              <w:t>r</w:t>
            </w:r>
            <w:r w:rsidR="009C6190">
              <w:rPr>
                <w:rFonts w:ascii="Arial Narrow" w:hAnsi="Arial Narrow" w:cs="Arial"/>
                <w:sz w:val="24"/>
                <w:szCs w:val="24"/>
              </w:rPr>
              <w:t xml:space="preserve">espondent and </w:t>
            </w:r>
            <w:r w:rsidR="00325DF2">
              <w:rPr>
                <w:rFonts w:ascii="Arial Narrow" w:hAnsi="Arial Narrow" w:cs="Arial"/>
                <w:b/>
                <w:sz w:val="24"/>
                <w:szCs w:val="24"/>
              </w:rPr>
              <w:t>Ms Du Plooy</w:t>
            </w:r>
            <w:r w:rsidR="009C6190">
              <w:rPr>
                <w:rFonts w:ascii="Arial Narrow" w:hAnsi="Arial Narrow" w:cs="Arial"/>
                <w:b/>
                <w:sz w:val="24"/>
                <w:szCs w:val="24"/>
              </w:rPr>
              <w:t xml:space="preserve"> </w:t>
            </w:r>
            <w:r w:rsidRPr="009C6190">
              <w:rPr>
                <w:rFonts w:ascii="Arial Narrow" w:hAnsi="Arial Narrow" w:cs="Arial"/>
                <w:sz w:val="24"/>
                <w:szCs w:val="24"/>
              </w:rPr>
              <w:t>fo</w:t>
            </w:r>
            <w:r w:rsidRPr="007C332D">
              <w:rPr>
                <w:rFonts w:ascii="Arial Narrow" w:hAnsi="Arial Narrow" w:cs="Arial"/>
                <w:sz w:val="24"/>
                <w:szCs w:val="24"/>
              </w:rPr>
              <w:t xml:space="preserve">r the </w:t>
            </w:r>
            <w:r w:rsidR="00325DF2">
              <w:rPr>
                <w:rFonts w:ascii="Arial Narrow" w:hAnsi="Arial Narrow" w:cs="Arial"/>
                <w:sz w:val="24"/>
                <w:szCs w:val="24"/>
              </w:rPr>
              <w:t>f</w:t>
            </w:r>
            <w:r w:rsidR="00C219DD">
              <w:rPr>
                <w:rFonts w:ascii="Arial Narrow" w:hAnsi="Arial Narrow" w:cs="Arial"/>
                <w:sz w:val="24"/>
                <w:szCs w:val="24"/>
              </w:rPr>
              <w:t xml:space="preserve">irst </w:t>
            </w:r>
            <w:r w:rsidR="00325DF2">
              <w:rPr>
                <w:rFonts w:ascii="Arial Narrow" w:hAnsi="Arial Narrow" w:cs="Arial"/>
                <w:sz w:val="24"/>
                <w:szCs w:val="24"/>
              </w:rPr>
              <w:t>d</w:t>
            </w:r>
            <w:r w:rsidR="00C219DD">
              <w:rPr>
                <w:rFonts w:ascii="Arial Narrow" w:hAnsi="Arial Narrow" w:cs="Arial"/>
                <w:sz w:val="24"/>
                <w:szCs w:val="24"/>
              </w:rPr>
              <w:t>efendant/</w:t>
            </w:r>
            <w:r w:rsidR="00325DF2">
              <w:rPr>
                <w:rFonts w:ascii="Arial Narrow" w:hAnsi="Arial Narrow" w:cs="Arial"/>
                <w:sz w:val="24"/>
                <w:szCs w:val="24"/>
              </w:rPr>
              <w:t>a</w:t>
            </w:r>
            <w:r w:rsidRPr="007C332D">
              <w:rPr>
                <w:rFonts w:ascii="Arial Narrow" w:hAnsi="Arial Narrow" w:cs="Arial"/>
                <w:sz w:val="24"/>
                <w:szCs w:val="24"/>
              </w:rPr>
              <w:t xml:space="preserve">pplicant, and having read the </w:t>
            </w:r>
            <w:r w:rsidRPr="00B150A5">
              <w:rPr>
                <w:rFonts w:ascii="Arial Narrow" w:hAnsi="Arial Narrow" w:cs="Arial"/>
                <w:sz w:val="24"/>
                <w:szCs w:val="24"/>
              </w:rPr>
              <w:t>document</w:t>
            </w:r>
            <w:r w:rsidR="00903018" w:rsidRPr="00B150A5">
              <w:rPr>
                <w:rFonts w:ascii="Arial Narrow" w:hAnsi="Arial Narrow" w:cs="Arial"/>
                <w:sz w:val="24"/>
                <w:szCs w:val="24"/>
              </w:rPr>
              <w:t>s</w:t>
            </w:r>
            <w:r w:rsidRPr="007C332D">
              <w:rPr>
                <w:rFonts w:ascii="Arial Narrow" w:hAnsi="Arial Narrow" w:cs="Arial"/>
                <w:sz w:val="24"/>
                <w:szCs w:val="24"/>
              </w:rPr>
              <w:t xml:space="preserve"> filed of record:</w:t>
            </w:r>
          </w:p>
          <w:p w:rsidR="00D41E7D" w:rsidRPr="007C332D" w:rsidRDefault="00D41E7D" w:rsidP="006F0D59">
            <w:pPr>
              <w:spacing w:line="360" w:lineRule="auto"/>
              <w:jc w:val="both"/>
              <w:rPr>
                <w:rFonts w:ascii="Arial Narrow" w:hAnsi="Arial Narrow" w:cs="Arial"/>
                <w:sz w:val="24"/>
                <w:szCs w:val="24"/>
              </w:rPr>
            </w:pPr>
          </w:p>
          <w:p w:rsidR="009C2E53" w:rsidRDefault="009C2E53" w:rsidP="006F0D59">
            <w:pPr>
              <w:spacing w:line="360" w:lineRule="auto"/>
              <w:jc w:val="both"/>
              <w:rPr>
                <w:rFonts w:ascii="Arial Narrow" w:hAnsi="Arial Narrow" w:cs="Arial"/>
                <w:b/>
                <w:sz w:val="24"/>
                <w:szCs w:val="24"/>
              </w:rPr>
            </w:pPr>
            <w:r w:rsidRPr="007C332D">
              <w:rPr>
                <w:rFonts w:ascii="Arial Narrow" w:hAnsi="Arial Narrow" w:cs="Arial"/>
                <w:b/>
                <w:sz w:val="24"/>
                <w:szCs w:val="24"/>
              </w:rPr>
              <w:t>IT IS HEREBY ORDERED THAT:</w:t>
            </w:r>
          </w:p>
          <w:p w:rsidR="00C219DD" w:rsidRDefault="0021096F" w:rsidP="00C219DD">
            <w:pPr>
              <w:pStyle w:val="ListParagraph"/>
              <w:numPr>
                <w:ilvl w:val="0"/>
                <w:numId w:val="9"/>
              </w:numPr>
              <w:spacing w:line="360" w:lineRule="auto"/>
              <w:jc w:val="both"/>
              <w:rPr>
                <w:rFonts w:ascii="Arial Narrow" w:hAnsi="Arial Narrow" w:cs="Arial"/>
                <w:sz w:val="24"/>
                <w:szCs w:val="24"/>
              </w:rPr>
            </w:pPr>
            <w:r>
              <w:rPr>
                <w:rFonts w:ascii="Arial Narrow" w:hAnsi="Arial Narrow" w:cs="Arial"/>
                <w:sz w:val="24"/>
                <w:szCs w:val="24"/>
              </w:rPr>
              <w:t>The court order dated 23 May 2019 is varied in terms of rule 103(1)(b) of the Rules of Court as follows:</w:t>
            </w:r>
          </w:p>
          <w:p w:rsidR="0021096F" w:rsidRPr="00A51238" w:rsidRDefault="0021096F" w:rsidP="00D41E7D">
            <w:pPr>
              <w:spacing w:before="240" w:line="360" w:lineRule="auto"/>
              <w:ind w:left="720"/>
              <w:jc w:val="both"/>
              <w:rPr>
                <w:rFonts w:ascii="Arial Narrow" w:hAnsi="Arial Narrow" w:cs="Arial"/>
              </w:rPr>
            </w:pPr>
            <w:r>
              <w:rPr>
                <w:rFonts w:ascii="Arial Narrow" w:hAnsi="Arial Narrow" w:cs="Arial"/>
              </w:rPr>
              <w:lastRenderedPageBreak/>
              <w:t>‘(b) T</w:t>
            </w:r>
            <w:r w:rsidRPr="00A51238">
              <w:rPr>
                <w:rFonts w:ascii="Arial Narrow" w:hAnsi="Arial Narrow" w:cs="Arial"/>
              </w:rPr>
              <w:t>he second to eighth exceptions are upheld</w:t>
            </w:r>
            <w:r>
              <w:rPr>
                <w:rFonts w:ascii="Arial Narrow" w:hAnsi="Arial Narrow" w:cs="Arial"/>
              </w:rPr>
              <w:t>. Cost to stand over for argument</w:t>
            </w:r>
            <w:r w:rsidRPr="00A51238">
              <w:rPr>
                <w:rFonts w:ascii="Arial Narrow" w:hAnsi="Arial Narrow" w:cs="Arial"/>
              </w:rPr>
              <w:t>.</w:t>
            </w:r>
            <w:r>
              <w:rPr>
                <w:rFonts w:ascii="Arial Narrow" w:hAnsi="Arial Narrow" w:cs="Arial"/>
              </w:rPr>
              <w:t>’</w:t>
            </w:r>
            <w:r w:rsidRPr="00A51238">
              <w:rPr>
                <w:rFonts w:ascii="Arial Narrow" w:hAnsi="Arial Narrow" w:cs="Arial"/>
              </w:rPr>
              <w:t xml:space="preserve"> </w:t>
            </w:r>
          </w:p>
          <w:p w:rsidR="0021096F" w:rsidRPr="00311F65" w:rsidRDefault="0069233D" w:rsidP="00C219DD">
            <w:pPr>
              <w:pStyle w:val="ListParagraph"/>
              <w:numPr>
                <w:ilvl w:val="0"/>
                <w:numId w:val="9"/>
              </w:numPr>
              <w:spacing w:line="360" w:lineRule="auto"/>
              <w:jc w:val="both"/>
              <w:rPr>
                <w:rFonts w:ascii="Arial Narrow" w:hAnsi="Arial Narrow" w:cs="Arial"/>
                <w:sz w:val="24"/>
                <w:szCs w:val="24"/>
              </w:rPr>
            </w:pPr>
            <w:r>
              <w:rPr>
                <w:rFonts w:ascii="Arial Narrow" w:hAnsi="Arial Narrow" w:cs="Arial"/>
                <w:sz w:val="24"/>
              </w:rPr>
              <w:t>The parties are granted leave</w:t>
            </w:r>
            <w:r w:rsidRPr="00486AE3">
              <w:rPr>
                <w:rFonts w:ascii="Arial Narrow" w:hAnsi="Arial Narrow" w:cs="Arial"/>
                <w:sz w:val="24"/>
              </w:rPr>
              <w:t xml:space="preserve"> to argue the issue of cost</w:t>
            </w:r>
            <w:r>
              <w:rPr>
                <w:rFonts w:ascii="Arial Narrow" w:hAnsi="Arial Narrow" w:cs="Arial"/>
                <w:sz w:val="24"/>
              </w:rPr>
              <w:t xml:space="preserve"> in respect of the court orders dated </w:t>
            </w:r>
            <w:r w:rsidRPr="00486AE3">
              <w:rPr>
                <w:rFonts w:ascii="Arial Narrow" w:hAnsi="Arial Narrow" w:cs="Arial"/>
              </w:rPr>
              <w:t>23</w:t>
            </w:r>
            <w:r w:rsidRPr="00486AE3">
              <w:rPr>
                <w:rFonts w:ascii="Arial Narrow" w:hAnsi="Arial Narrow" w:cs="Arial"/>
                <w:vertAlign w:val="superscript"/>
              </w:rPr>
              <w:t>rd</w:t>
            </w:r>
            <w:r w:rsidRPr="00486AE3">
              <w:rPr>
                <w:rFonts w:ascii="Arial Narrow" w:hAnsi="Arial Narrow" w:cs="Arial"/>
              </w:rPr>
              <w:t xml:space="preserve"> May 2019</w:t>
            </w:r>
            <w:r>
              <w:rPr>
                <w:rFonts w:ascii="Arial Narrow" w:hAnsi="Arial Narrow" w:cs="Arial"/>
              </w:rPr>
              <w:t xml:space="preserve">; </w:t>
            </w:r>
            <w:r w:rsidRPr="00486AE3">
              <w:rPr>
                <w:rFonts w:ascii="Arial Narrow" w:hAnsi="Arial Narrow" w:cs="Arial"/>
                <w:sz w:val="24"/>
                <w:szCs w:val="24"/>
              </w:rPr>
              <w:t>4 November 2019</w:t>
            </w:r>
            <w:r>
              <w:rPr>
                <w:rFonts w:ascii="Arial Narrow" w:hAnsi="Arial Narrow" w:cs="Arial"/>
                <w:sz w:val="24"/>
                <w:szCs w:val="24"/>
              </w:rPr>
              <w:t xml:space="preserve"> and 11 February 2021.</w:t>
            </w:r>
          </w:p>
          <w:p w:rsidR="00C219DD" w:rsidRPr="00470188" w:rsidRDefault="00C219DD" w:rsidP="00C219DD">
            <w:pPr>
              <w:pStyle w:val="ListParagraph"/>
              <w:spacing w:before="100" w:beforeAutospacing="1" w:after="100" w:afterAutospacing="1"/>
              <w:jc w:val="both"/>
              <w:rPr>
                <w:rFonts w:ascii="Arial Narrow" w:eastAsia="Times New Roman" w:hAnsi="Arial Narrow" w:cs="Times New Roman"/>
                <w:color w:val="000000"/>
                <w:sz w:val="24"/>
                <w:szCs w:val="24"/>
                <w:lang w:eastAsia="en-ZA"/>
              </w:rPr>
            </w:pPr>
          </w:p>
          <w:p w:rsidR="00C219DD" w:rsidRPr="00470188" w:rsidRDefault="00C219DD" w:rsidP="00C219DD">
            <w:pPr>
              <w:pStyle w:val="ListParagraph"/>
              <w:numPr>
                <w:ilvl w:val="0"/>
                <w:numId w:val="9"/>
              </w:numPr>
              <w:spacing w:before="100" w:beforeAutospacing="1" w:after="100" w:afterAutospacing="1"/>
              <w:jc w:val="both"/>
              <w:rPr>
                <w:rFonts w:ascii="Arial Narrow" w:eastAsia="Times New Roman" w:hAnsi="Arial Narrow" w:cs="Times New Roman"/>
                <w:color w:val="000000"/>
                <w:sz w:val="24"/>
                <w:szCs w:val="24"/>
                <w:lang w:eastAsia="en-ZA"/>
              </w:rPr>
            </w:pPr>
            <w:r w:rsidRPr="00470188">
              <w:rPr>
                <w:rFonts w:ascii="Arial Narrow" w:eastAsia="Times New Roman" w:hAnsi="Arial Narrow" w:cs="Times New Roman"/>
                <w:color w:val="000000"/>
                <w:sz w:val="24"/>
                <w:szCs w:val="24"/>
                <w:lang w:eastAsia="en-ZA"/>
              </w:rPr>
              <w:t xml:space="preserve">The case is postponed to </w:t>
            </w:r>
            <w:r w:rsidR="00325DF2">
              <w:rPr>
                <w:rFonts w:ascii="Arial Narrow" w:eastAsia="Times New Roman" w:hAnsi="Arial Narrow" w:cs="Times New Roman"/>
                <w:b/>
                <w:color w:val="000000"/>
                <w:sz w:val="24"/>
                <w:szCs w:val="24"/>
                <w:lang w:eastAsia="en-ZA"/>
              </w:rPr>
              <w:t>17 February 2021</w:t>
            </w:r>
            <w:r w:rsidRPr="00470188">
              <w:rPr>
                <w:rFonts w:ascii="Arial Narrow" w:eastAsia="Times New Roman" w:hAnsi="Arial Narrow" w:cs="Times New Roman"/>
                <w:color w:val="000000"/>
                <w:sz w:val="24"/>
                <w:szCs w:val="24"/>
                <w:lang w:eastAsia="en-ZA"/>
              </w:rPr>
              <w:t xml:space="preserve"> at </w:t>
            </w:r>
            <w:r w:rsidR="00325DF2">
              <w:rPr>
                <w:rFonts w:ascii="Arial Narrow" w:eastAsia="Times New Roman" w:hAnsi="Arial Narrow" w:cs="Times New Roman"/>
                <w:b/>
                <w:color w:val="000000"/>
                <w:sz w:val="24"/>
                <w:szCs w:val="24"/>
                <w:lang w:eastAsia="en-ZA"/>
              </w:rPr>
              <w:t xml:space="preserve">08h30 </w:t>
            </w:r>
            <w:r w:rsidRPr="00470188">
              <w:rPr>
                <w:rFonts w:ascii="Arial Narrow" w:eastAsia="Times New Roman" w:hAnsi="Arial Narrow" w:cs="Times New Roman"/>
                <w:color w:val="000000"/>
                <w:sz w:val="24"/>
                <w:szCs w:val="24"/>
                <w:lang w:eastAsia="en-ZA"/>
              </w:rPr>
              <w:t xml:space="preserve">for Status hearing (Reason: </w:t>
            </w:r>
            <w:r w:rsidR="00325DF2">
              <w:rPr>
                <w:rFonts w:ascii="Arial Narrow" w:eastAsia="Times New Roman" w:hAnsi="Arial Narrow" w:cs="Times New Roman"/>
                <w:color w:val="000000"/>
                <w:sz w:val="24"/>
                <w:szCs w:val="24"/>
                <w:lang w:eastAsia="en-ZA"/>
              </w:rPr>
              <w:t>Allocation of hearing date</w:t>
            </w:r>
            <w:r w:rsidR="009D71F2">
              <w:rPr>
                <w:rFonts w:ascii="Arial Narrow" w:eastAsia="Times New Roman" w:hAnsi="Arial Narrow" w:cs="Times New Roman"/>
                <w:color w:val="000000"/>
                <w:sz w:val="24"/>
                <w:szCs w:val="24"/>
                <w:lang w:eastAsia="en-ZA"/>
              </w:rPr>
              <w:t>)</w:t>
            </w:r>
            <w:r w:rsidRPr="00470188">
              <w:rPr>
                <w:rFonts w:ascii="Arial Narrow" w:eastAsia="Times New Roman" w:hAnsi="Arial Narrow" w:cs="Times New Roman"/>
                <w:color w:val="000000"/>
                <w:sz w:val="24"/>
                <w:szCs w:val="24"/>
                <w:lang w:eastAsia="en-ZA"/>
              </w:rPr>
              <w:t>.</w:t>
            </w:r>
          </w:p>
          <w:p w:rsidR="00732ACD" w:rsidRPr="007C332D" w:rsidRDefault="00732ACD" w:rsidP="00AD7322">
            <w:pPr>
              <w:spacing w:line="360" w:lineRule="auto"/>
              <w:ind w:left="360"/>
              <w:jc w:val="both"/>
              <w:rPr>
                <w:rFonts w:ascii="Arial Narrow" w:hAnsi="Arial Narrow" w:cs="Helvetica"/>
                <w:color w:val="333333"/>
                <w:sz w:val="24"/>
                <w:szCs w:val="24"/>
              </w:rPr>
            </w:pPr>
          </w:p>
        </w:tc>
      </w:tr>
      <w:tr w:rsidR="009C2E53" w:rsidRPr="007C332D" w:rsidTr="006F0D59">
        <w:tc>
          <w:tcPr>
            <w:tcW w:w="9720" w:type="dxa"/>
            <w:gridSpan w:val="3"/>
          </w:tcPr>
          <w:p w:rsidR="009C2E53" w:rsidRPr="007C332D" w:rsidRDefault="009C2E53" w:rsidP="006F0D59">
            <w:pPr>
              <w:spacing w:line="360" w:lineRule="auto"/>
              <w:jc w:val="both"/>
              <w:rPr>
                <w:rFonts w:ascii="Arial Narrow" w:hAnsi="Arial Narrow" w:cs="Arial"/>
                <w:b/>
                <w:sz w:val="24"/>
                <w:szCs w:val="24"/>
              </w:rPr>
            </w:pPr>
            <w:r w:rsidRPr="007C332D">
              <w:rPr>
                <w:rFonts w:ascii="Arial Narrow" w:hAnsi="Arial Narrow" w:cs="Arial"/>
                <w:b/>
                <w:sz w:val="24"/>
                <w:szCs w:val="24"/>
              </w:rPr>
              <w:lastRenderedPageBreak/>
              <w:t>Reasons for orders:</w:t>
            </w:r>
          </w:p>
        </w:tc>
      </w:tr>
      <w:tr w:rsidR="009C2E53" w:rsidRPr="007C332D" w:rsidTr="006F0D59">
        <w:tc>
          <w:tcPr>
            <w:tcW w:w="9720" w:type="dxa"/>
            <w:gridSpan w:val="3"/>
          </w:tcPr>
          <w:p w:rsidR="0021096F" w:rsidRPr="009D71F2" w:rsidRDefault="0021096F"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[1]</w:t>
            </w:r>
            <w:r w:rsidRPr="009D71F2">
              <w:rPr>
                <w:rFonts w:ascii="Arial Narrow" w:hAnsi="Arial Narrow" w:cs="Arial"/>
                <w:sz w:val="24"/>
                <w:szCs w:val="24"/>
              </w:rPr>
              <w:tab/>
              <w:t xml:space="preserve">This is a matter that has been disposed of in November 2019 when the respondent withdrew the action against the applicant. The respondent </w:t>
            </w:r>
            <w:r w:rsidR="009F5E8C" w:rsidRPr="009D71F2">
              <w:rPr>
                <w:rFonts w:ascii="Arial Narrow" w:hAnsi="Arial Narrow" w:cs="Arial"/>
                <w:sz w:val="24"/>
                <w:szCs w:val="24"/>
              </w:rPr>
              <w:t xml:space="preserve">instituted </w:t>
            </w:r>
            <w:r w:rsidRPr="009D71F2">
              <w:rPr>
                <w:rFonts w:ascii="Arial Narrow" w:hAnsi="Arial Narrow" w:cs="Arial"/>
                <w:sz w:val="24"/>
                <w:szCs w:val="24"/>
              </w:rPr>
              <w:t xml:space="preserve">an action alleging constitutional damages (Article 25 of the Constitution) due to infringement of its Article 16 right of the Constitution or delictual damages of almost </w:t>
            </w:r>
            <w:r w:rsidR="009D71F2" w:rsidRPr="009D71F2">
              <w:rPr>
                <w:rFonts w:ascii="Arial Narrow" w:hAnsi="Arial Narrow" w:cs="Arial"/>
                <w:sz w:val="24"/>
                <w:szCs w:val="24"/>
              </w:rPr>
              <w:t xml:space="preserve">                     </w:t>
            </w:r>
            <w:r w:rsidRPr="009D71F2">
              <w:rPr>
                <w:rFonts w:ascii="Arial Narrow" w:hAnsi="Arial Narrow" w:cs="Arial"/>
                <w:sz w:val="24"/>
                <w:szCs w:val="24"/>
              </w:rPr>
              <w:t xml:space="preserve">N$ 100 million. The applicant raised a number of exceptions to the respondent’s particulars of claim. After having heard the exceptions the court made the following order: </w:t>
            </w:r>
          </w:p>
          <w:p w:rsidR="0021096F" w:rsidRPr="009D71F2" w:rsidRDefault="0021096F" w:rsidP="0021096F">
            <w:pPr>
              <w:pStyle w:val="ListParagraph"/>
              <w:numPr>
                <w:ilvl w:val="0"/>
                <w:numId w:val="12"/>
              </w:numPr>
              <w:spacing w:line="360" w:lineRule="auto"/>
              <w:jc w:val="both"/>
              <w:rPr>
                <w:rFonts w:ascii="Arial Narrow" w:hAnsi="Arial Narrow" w:cs="Arial"/>
              </w:rPr>
            </w:pPr>
            <w:r w:rsidRPr="009D71F2">
              <w:rPr>
                <w:rFonts w:ascii="Arial Narrow" w:hAnsi="Arial Narrow" w:cs="Arial"/>
              </w:rPr>
              <w:t>The first exception is dismissed;</w:t>
            </w:r>
          </w:p>
          <w:p w:rsidR="0021096F" w:rsidRPr="009D71F2" w:rsidRDefault="0021096F" w:rsidP="0021096F">
            <w:pPr>
              <w:pStyle w:val="ListParagraph"/>
              <w:numPr>
                <w:ilvl w:val="0"/>
                <w:numId w:val="12"/>
              </w:numPr>
              <w:spacing w:line="360" w:lineRule="auto"/>
              <w:jc w:val="both"/>
              <w:rPr>
                <w:rFonts w:ascii="Arial Narrow" w:hAnsi="Arial Narrow" w:cs="Arial"/>
              </w:rPr>
            </w:pPr>
            <w:r w:rsidRPr="009D71F2">
              <w:rPr>
                <w:rFonts w:ascii="Arial Narrow" w:hAnsi="Arial Narrow" w:cs="Arial"/>
              </w:rPr>
              <w:t>The second to eighth exceptions are upheld with costs and the plaintiff is granted leave to file its amended particulars of claim, should it be so advised, within 21 days from date of release of reasons;</w:t>
            </w:r>
          </w:p>
          <w:p w:rsidR="0021096F" w:rsidRPr="009D71F2" w:rsidRDefault="0021096F" w:rsidP="0021096F">
            <w:pPr>
              <w:pStyle w:val="ListParagraph"/>
              <w:numPr>
                <w:ilvl w:val="0"/>
                <w:numId w:val="12"/>
              </w:numPr>
              <w:spacing w:line="360" w:lineRule="auto"/>
              <w:jc w:val="both"/>
              <w:rPr>
                <w:rFonts w:ascii="Arial Narrow" w:hAnsi="Arial Narrow" w:cs="Arial"/>
              </w:rPr>
            </w:pPr>
            <w:r w:rsidRPr="009D71F2">
              <w:rPr>
                <w:rFonts w:ascii="Arial Narrow" w:hAnsi="Arial Narrow" w:cs="Arial"/>
              </w:rPr>
              <w:t xml:space="preserve"> The matter is postponed to 27 June 2019 at 15:00 for a status hearing.’ </w:t>
            </w:r>
          </w:p>
          <w:p w:rsidR="009C6190" w:rsidRPr="009D71F2" w:rsidRDefault="009C6190" w:rsidP="009C6190">
            <w:pPr>
              <w:pStyle w:val="ListParagraph"/>
              <w:spacing w:line="360" w:lineRule="auto"/>
              <w:ind w:left="1080"/>
              <w:jc w:val="both"/>
              <w:rPr>
                <w:rFonts w:ascii="Arial Narrow" w:hAnsi="Arial Narrow" w:cs="Arial"/>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[2]</w:t>
            </w:r>
            <w:r w:rsidRPr="009D71F2">
              <w:rPr>
                <w:rFonts w:ascii="Arial Narrow" w:hAnsi="Arial Narrow" w:cs="Arial"/>
                <w:sz w:val="24"/>
                <w:szCs w:val="24"/>
              </w:rPr>
              <w:tab/>
              <w:t xml:space="preserve"> In the ruling dated 23</w:t>
            </w:r>
            <w:r w:rsidRPr="009D71F2">
              <w:rPr>
                <w:rFonts w:ascii="Arial Narrow" w:hAnsi="Arial Narrow" w:cs="Arial"/>
                <w:sz w:val="24"/>
                <w:szCs w:val="24"/>
                <w:vertAlign w:val="superscript"/>
              </w:rPr>
              <w:t>rd</w:t>
            </w:r>
            <w:r w:rsidRPr="009D71F2">
              <w:rPr>
                <w:rFonts w:ascii="Arial Narrow" w:hAnsi="Arial Narrow" w:cs="Arial"/>
                <w:sz w:val="24"/>
                <w:szCs w:val="24"/>
              </w:rPr>
              <w:t xml:space="preserve"> May 2019 this court ruled as follows on the issue of costs:</w:t>
            </w:r>
          </w:p>
          <w:p w:rsidR="0021096F" w:rsidRPr="009D71F2" w:rsidRDefault="0021096F" w:rsidP="0021096F">
            <w:pPr>
              <w:spacing w:line="360" w:lineRule="auto"/>
              <w:jc w:val="both"/>
              <w:rPr>
                <w:rFonts w:ascii="Arial Narrow" w:hAnsi="Arial Narrow" w:cs="Arial"/>
              </w:rPr>
            </w:pPr>
            <w:r w:rsidRPr="009D71F2">
              <w:rPr>
                <w:rFonts w:ascii="Arial Narrow" w:hAnsi="Arial Narrow" w:cs="Arial"/>
                <w:sz w:val="24"/>
                <w:szCs w:val="24"/>
              </w:rPr>
              <w:tab/>
            </w:r>
            <w:r w:rsidRPr="009D71F2">
              <w:rPr>
                <w:rFonts w:ascii="Arial Narrow" w:hAnsi="Arial Narrow" w:cs="Arial"/>
              </w:rPr>
              <w:t>‘The only remaining issue to consider is the issue of costs. The general rule is that costs of suit shall be allowed to the prevailing party as a matter of course. In the present matter, there are no good reasons why the costs should not follow the result. It will accordingly be so ordered.’</w:t>
            </w:r>
          </w:p>
          <w:p w:rsidR="009C6190" w:rsidRPr="009D71F2" w:rsidRDefault="009C6190" w:rsidP="0021096F">
            <w:pPr>
              <w:spacing w:line="360" w:lineRule="auto"/>
              <w:jc w:val="both"/>
              <w:rPr>
                <w:rFonts w:ascii="Arial Narrow" w:hAnsi="Arial Narrow" w:cs="Arial"/>
              </w:rPr>
            </w:pPr>
          </w:p>
          <w:p w:rsidR="0021096F" w:rsidRPr="009D71F2" w:rsidRDefault="0021096F" w:rsidP="0021096F">
            <w:pPr>
              <w:spacing w:line="360" w:lineRule="auto"/>
              <w:jc w:val="both"/>
              <w:rPr>
                <w:rFonts w:ascii="Arial Narrow" w:hAnsi="Arial Narrow" w:cs="Arial"/>
              </w:rPr>
            </w:pPr>
            <w:r w:rsidRPr="009D71F2">
              <w:rPr>
                <w:rFonts w:ascii="Arial Narrow" w:hAnsi="Arial Narrow" w:cs="Arial"/>
              </w:rPr>
              <w:t>[3]</w:t>
            </w:r>
            <w:r w:rsidRPr="009D71F2">
              <w:rPr>
                <w:rFonts w:ascii="Arial Narrow" w:hAnsi="Arial Narrow" w:cs="Arial"/>
              </w:rPr>
              <w:tab/>
              <w:t xml:space="preserve">The respondent subsequently withdrew the action against the </w:t>
            </w:r>
            <w:r w:rsidR="009C6190" w:rsidRPr="009D71F2">
              <w:rPr>
                <w:rFonts w:ascii="Arial Narrow" w:hAnsi="Arial Narrow" w:cs="Arial"/>
              </w:rPr>
              <w:t xml:space="preserve">applicant </w:t>
            </w:r>
            <w:r w:rsidRPr="009D71F2">
              <w:rPr>
                <w:rFonts w:ascii="Arial Narrow" w:hAnsi="Arial Narrow" w:cs="Arial"/>
              </w:rPr>
              <w:t>tendering the taxed costs of the applicant.</w:t>
            </w:r>
          </w:p>
          <w:p w:rsidR="009C6190" w:rsidRPr="009D71F2" w:rsidRDefault="009C6190" w:rsidP="0021096F">
            <w:pPr>
              <w:spacing w:line="360" w:lineRule="auto"/>
              <w:jc w:val="both"/>
              <w:rPr>
                <w:rFonts w:ascii="Arial Narrow" w:hAnsi="Arial Narrow" w:cs="Arial"/>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[4]</w:t>
            </w:r>
            <w:r w:rsidRPr="009D71F2">
              <w:rPr>
                <w:rFonts w:ascii="Arial Narrow" w:hAnsi="Arial Narrow" w:cs="Arial"/>
                <w:sz w:val="24"/>
                <w:szCs w:val="24"/>
              </w:rPr>
              <w:tab/>
              <w:t xml:space="preserve"> An issue arose between the parties as the order does not reflect whether the limit imposed by rule 32(11) was in fact relaxed as requested by </w:t>
            </w:r>
            <w:r w:rsidR="009D71F2" w:rsidRPr="009D71F2">
              <w:rPr>
                <w:rFonts w:ascii="Arial Narrow" w:hAnsi="Arial Narrow" w:cs="Arial"/>
                <w:sz w:val="24"/>
                <w:szCs w:val="24"/>
              </w:rPr>
              <w:t xml:space="preserve">the </w:t>
            </w:r>
            <w:r w:rsidRPr="009D71F2">
              <w:rPr>
                <w:rFonts w:ascii="Arial Narrow" w:hAnsi="Arial Narrow" w:cs="Arial"/>
                <w:sz w:val="24"/>
                <w:szCs w:val="24"/>
              </w:rPr>
              <w:t xml:space="preserve">applicant. </w:t>
            </w:r>
          </w:p>
          <w:p w:rsidR="009C6190" w:rsidRPr="009D71F2" w:rsidRDefault="009C6190"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lastRenderedPageBreak/>
              <w:t>[5]</w:t>
            </w:r>
            <w:r w:rsidRPr="009D71F2">
              <w:rPr>
                <w:rFonts w:ascii="Arial Narrow" w:hAnsi="Arial Narrow" w:cs="Arial"/>
                <w:sz w:val="24"/>
                <w:szCs w:val="24"/>
              </w:rPr>
              <w:tab/>
              <w:t xml:space="preserve">Pursuant to the court orders dated 23 May 2019 and 4 November 2019 the applicant drafted its bill of cost on the scale of attorney own client for all costs occasioned by the plaintiff’s/respondent’s action. The respondent took issue with the bill drafted and was of the opinion that the bill should be capped in terms of rule 32(11). The applicant contended that the </w:t>
            </w:r>
            <w:r w:rsidR="009D71F2" w:rsidRPr="009D71F2">
              <w:rPr>
                <w:rFonts w:ascii="Arial Narrow" w:hAnsi="Arial Narrow" w:cs="Arial"/>
                <w:sz w:val="24"/>
                <w:szCs w:val="24"/>
              </w:rPr>
              <w:t>costs are</w:t>
            </w:r>
            <w:r w:rsidRPr="009D71F2">
              <w:rPr>
                <w:rFonts w:ascii="Arial Narrow" w:hAnsi="Arial Narrow" w:cs="Arial"/>
                <w:sz w:val="24"/>
                <w:szCs w:val="24"/>
              </w:rPr>
              <w:t xml:space="preserve"> governed by rule 97(1) as the matter was withdrawn.</w:t>
            </w:r>
          </w:p>
          <w:p w:rsidR="009D71F2" w:rsidRPr="009D71F2" w:rsidRDefault="009D71F2"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[6]</w:t>
            </w:r>
            <w:r w:rsidRPr="009D71F2">
              <w:rPr>
                <w:rFonts w:ascii="Arial Narrow" w:hAnsi="Arial Narrow" w:cs="Arial"/>
                <w:sz w:val="24"/>
                <w:szCs w:val="24"/>
              </w:rPr>
              <w:tab/>
              <w:t xml:space="preserve"> The parties could not reach an amicable resolution to the disagreement regarding the issue of the order as to costs resulting in the current application. </w:t>
            </w:r>
          </w:p>
          <w:p w:rsidR="009C6190" w:rsidRPr="009D71F2" w:rsidRDefault="009C6190"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[7]</w:t>
            </w:r>
            <w:r w:rsidRPr="009D71F2">
              <w:rPr>
                <w:rFonts w:ascii="Arial Narrow" w:hAnsi="Arial Narrow" w:cs="Arial"/>
                <w:sz w:val="24"/>
                <w:szCs w:val="24"/>
              </w:rPr>
              <w:tab/>
              <w:t>The applicant filed an application seeking variation</w:t>
            </w:r>
            <w:r w:rsidR="00AE6F26" w:rsidRPr="009D71F2">
              <w:rPr>
                <w:rFonts w:ascii="Arial Narrow" w:hAnsi="Arial Narrow" w:cs="Arial"/>
                <w:sz w:val="24"/>
                <w:szCs w:val="24"/>
              </w:rPr>
              <w:t>s</w:t>
            </w:r>
            <w:r w:rsidRPr="009D71F2">
              <w:rPr>
                <w:rFonts w:ascii="Arial Narrow" w:hAnsi="Arial Narrow" w:cs="Arial"/>
                <w:sz w:val="24"/>
                <w:szCs w:val="24"/>
              </w:rPr>
              <w:t xml:space="preserve"> of the court orders dated 23 May 2019 and</w:t>
            </w:r>
            <w:r w:rsidR="009D71F2" w:rsidRPr="009D71F2">
              <w:rPr>
                <w:rFonts w:ascii="Arial Narrow" w:hAnsi="Arial Narrow" w:cs="Arial"/>
                <w:sz w:val="24"/>
                <w:szCs w:val="24"/>
              </w:rPr>
              <w:t xml:space="preserve">                      </w:t>
            </w:r>
            <w:r w:rsidRPr="009D71F2">
              <w:rPr>
                <w:rFonts w:ascii="Arial Narrow" w:hAnsi="Arial Narrow" w:cs="Arial"/>
                <w:sz w:val="24"/>
                <w:szCs w:val="24"/>
              </w:rPr>
              <w:t xml:space="preserve"> 4 November 2019, in terms of rule 103, as follows:</w:t>
            </w:r>
          </w:p>
          <w:p w:rsidR="0021096F" w:rsidRPr="009D71F2" w:rsidRDefault="0021096F" w:rsidP="0021096F">
            <w:pPr>
              <w:spacing w:line="360" w:lineRule="auto"/>
              <w:jc w:val="both"/>
              <w:rPr>
                <w:rFonts w:ascii="Arial Narrow" w:hAnsi="Arial Narrow" w:cs="Arial"/>
              </w:rPr>
            </w:pPr>
            <w:r w:rsidRPr="009D71F2">
              <w:rPr>
                <w:rFonts w:ascii="Arial Narrow" w:hAnsi="Arial Narrow" w:cs="Arial"/>
                <w:sz w:val="24"/>
                <w:szCs w:val="24"/>
              </w:rPr>
              <w:tab/>
            </w:r>
            <w:r w:rsidRPr="009D71F2">
              <w:rPr>
                <w:rFonts w:ascii="Arial Narrow" w:hAnsi="Arial Narrow" w:cs="Arial"/>
              </w:rPr>
              <w:t>‘1. The court order dated 23</w:t>
            </w:r>
            <w:r w:rsidRPr="009D71F2">
              <w:rPr>
                <w:rFonts w:ascii="Arial Narrow" w:hAnsi="Arial Narrow" w:cs="Arial"/>
                <w:vertAlign w:val="superscript"/>
              </w:rPr>
              <w:t>rd</w:t>
            </w:r>
            <w:r w:rsidRPr="009D71F2">
              <w:rPr>
                <w:rFonts w:ascii="Arial Narrow" w:hAnsi="Arial Narrow" w:cs="Arial"/>
              </w:rPr>
              <w:t xml:space="preserve"> May 2019 is varied to read as follows: “the second to eighth exceptions are upheld with costs, such costs to include cost of one instructing and two instructed counsel and which costs are not limited in terms of Rule 32(11). </w:t>
            </w:r>
          </w:p>
          <w:p w:rsidR="0021096F" w:rsidRPr="009D71F2" w:rsidRDefault="0021096F" w:rsidP="0021096F">
            <w:pPr>
              <w:spacing w:line="360" w:lineRule="auto"/>
              <w:jc w:val="both"/>
              <w:rPr>
                <w:rFonts w:ascii="Arial Narrow" w:hAnsi="Arial Narrow" w:cs="Arial"/>
              </w:rPr>
            </w:pPr>
            <w:r w:rsidRPr="009D71F2">
              <w:rPr>
                <w:rFonts w:ascii="Arial Narrow" w:hAnsi="Arial Narrow" w:cs="Arial"/>
              </w:rPr>
              <w:tab/>
              <w:t>2. The court order dated 4 November 2016 is varied to read as follows: “the matter is removed from the roll; case withdrawn with taxed costs, such costs to include cost of one instructing and two instructed counsels and to include costs occasioned by the interlocutory application and the main action”.</w:t>
            </w:r>
          </w:p>
          <w:p w:rsidR="0021096F" w:rsidRPr="009D71F2" w:rsidRDefault="0021096F" w:rsidP="0021096F">
            <w:pPr>
              <w:spacing w:line="360" w:lineRule="auto"/>
              <w:jc w:val="both"/>
              <w:rPr>
                <w:rFonts w:ascii="Arial Narrow" w:hAnsi="Arial Narrow" w:cs="Arial"/>
              </w:rPr>
            </w:pPr>
            <w:r w:rsidRPr="009D71F2">
              <w:rPr>
                <w:rFonts w:ascii="Arial Narrow" w:hAnsi="Arial Narrow" w:cs="Arial"/>
              </w:rPr>
              <w:tab/>
              <w:t xml:space="preserve">3.  Cost of suit only in the event that this application is opposed. </w:t>
            </w:r>
          </w:p>
          <w:p w:rsidR="0021096F" w:rsidRPr="009D71F2" w:rsidRDefault="0021096F" w:rsidP="0021096F">
            <w:pPr>
              <w:spacing w:line="360" w:lineRule="auto"/>
              <w:jc w:val="both"/>
              <w:rPr>
                <w:rFonts w:ascii="Arial Narrow" w:hAnsi="Arial Narrow" w:cs="Arial"/>
              </w:rPr>
            </w:pPr>
            <w:r w:rsidRPr="009D71F2">
              <w:rPr>
                <w:rFonts w:ascii="Arial Narrow" w:hAnsi="Arial Narrow" w:cs="Arial"/>
              </w:rPr>
              <w:tab/>
              <w:t>4. Further and/or alternative relief.’</w:t>
            </w:r>
          </w:p>
          <w:p w:rsidR="009C6190" w:rsidRPr="009D71F2" w:rsidRDefault="009C6190" w:rsidP="0021096F">
            <w:pPr>
              <w:spacing w:line="360" w:lineRule="auto"/>
              <w:jc w:val="both"/>
              <w:rPr>
                <w:rFonts w:ascii="Arial Narrow" w:hAnsi="Arial Narrow" w:cs="Arial"/>
              </w:rPr>
            </w:pPr>
          </w:p>
          <w:p w:rsidR="0021096F" w:rsidRPr="009D71F2" w:rsidRDefault="0021096F" w:rsidP="0021096F">
            <w:pPr>
              <w:spacing w:line="360" w:lineRule="auto"/>
              <w:rPr>
                <w:rFonts w:ascii="Arial Narrow" w:hAnsi="Arial Narrow" w:cs="Arial"/>
                <w:sz w:val="24"/>
                <w:szCs w:val="24"/>
                <w:u w:val="single"/>
              </w:rPr>
            </w:pPr>
            <w:r w:rsidRPr="009D71F2">
              <w:rPr>
                <w:rFonts w:ascii="Arial Narrow" w:hAnsi="Arial Narrow" w:cs="Arial"/>
                <w:sz w:val="24"/>
                <w:szCs w:val="24"/>
                <w:u w:val="single"/>
              </w:rPr>
              <w:t>Arguments on behalf of the applicant</w:t>
            </w:r>
          </w:p>
          <w:p w:rsidR="009C6190" w:rsidRPr="009D71F2" w:rsidRDefault="009C6190" w:rsidP="0021096F">
            <w:pPr>
              <w:spacing w:line="360" w:lineRule="auto"/>
              <w:rPr>
                <w:rFonts w:ascii="Arial Narrow" w:hAnsi="Arial Narrow" w:cs="Arial"/>
                <w:sz w:val="24"/>
                <w:szCs w:val="24"/>
                <w:u w:val="single"/>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[8]</w:t>
            </w:r>
            <w:r w:rsidRPr="009D71F2">
              <w:rPr>
                <w:rFonts w:ascii="Arial Narrow" w:hAnsi="Arial Narrow" w:cs="Arial"/>
                <w:sz w:val="24"/>
                <w:szCs w:val="24"/>
              </w:rPr>
              <w:tab/>
              <w:t xml:space="preserve">Ms Kuzeeko submitted that there are </w:t>
            </w:r>
            <w:r w:rsidR="009C6190" w:rsidRPr="009D71F2">
              <w:rPr>
                <w:rFonts w:ascii="Arial Narrow" w:hAnsi="Arial Narrow" w:cs="Arial"/>
                <w:sz w:val="24"/>
                <w:szCs w:val="24"/>
              </w:rPr>
              <w:t xml:space="preserve">two </w:t>
            </w:r>
            <w:r w:rsidRPr="009D71F2">
              <w:rPr>
                <w:rFonts w:ascii="Arial Narrow" w:hAnsi="Arial Narrow" w:cs="Arial"/>
                <w:sz w:val="24"/>
                <w:szCs w:val="24"/>
              </w:rPr>
              <w:t xml:space="preserve">orders forming the basis of the application before court. The less contentious order is the one dealing with the final withdrawal of the action and the respondent’s obligation as to costs and submitted that this must be regulated by rule 97 and same should include the cost from the initiation of the action to the date of withdrawal thereof. </w:t>
            </w:r>
          </w:p>
          <w:p w:rsidR="00A052B4" w:rsidRPr="009D71F2" w:rsidRDefault="00A052B4"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[9]</w:t>
            </w:r>
            <w:r w:rsidRPr="009D71F2">
              <w:rPr>
                <w:rFonts w:ascii="Arial Narrow" w:hAnsi="Arial Narrow" w:cs="Arial"/>
                <w:sz w:val="24"/>
                <w:szCs w:val="24"/>
              </w:rPr>
              <w:tab/>
              <w:t xml:space="preserve"> In respect of the cost order relating to the exception Ms Kuzeeko argue</w:t>
            </w:r>
            <w:r w:rsidR="00A052B4" w:rsidRPr="009D71F2">
              <w:rPr>
                <w:rFonts w:ascii="Arial Narrow" w:hAnsi="Arial Narrow" w:cs="Arial"/>
                <w:sz w:val="24"/>
                <w:szCs w:val="24"/>
              </w:rPr>
              <w:t>d</w:t>
            </w:r>
            <w:r w:rsidRPr="009D71F2">
              <w:rPr>
                <w:rFonts w:ascii="Arial Narrow" w:hAnsi="Arial Narrow" w:cs="Arial"/>
                <w:sz w:val="24"/>
                <w:szCs w:val="24"/>
              </w:rPr>
              <w:t xml:space="preserve"> that the applicant in its heads of argument in respect of the exception prayed for an order ‘that the plaintiff is directed to pay the costs of the defendant’s exception, on a scale of two instructed and one instructing counsel and that the costs shall not be subject to the limit imposed by rule 32(11)</w:t>
            </w:r>
            <w:r w:rsidR="00423EFB" w:rsidRPr="009D71F2">
              <w:rPr>
                <w:rFonts w:ascii="Arial Narrow" w:hAnsi="Arial Narrow" w:cs="Arial"/>
                <w:sz w:val="24"/>
                <w:szCs w:val="24"/>
              </w:rPr>
              <w:t>’. Ms Kuzeeko</w:t>
            </w:r>
            <w:r w:rsidRPr="009D71F2">
              <w:rPr>
                <w:rFonts w:ascii="Arial Narrow" w:hAnsi="Arial Narrow" w:cs="Arial"/>
                <w:sz w:val="24"/>
                <w:szCs w:val="24"/>
              </w:rPr>
              <w:t xml:space="preserve"> contended that the costs </w:t>
            </w:r>
            <w:r w:rsidR="00A052B4" w:rsidRPr="009D71F2">
              <w:rPr>
                <w:rFonts w:ascii="Arial Narrow" w:hAnsi="Arial Narrow" w:cs="Arial"/>
                <w:sz w:val="24"/>
                <w:szCs w:val="24"/>
              </w:rPr>
              <w:t>ordered by</w:t>
            </w:r>
            <w:r w:rsidRPr="009D71F2">
              <w:rPr>
                <w:rFonts w:ascii="Arial Narrow" w:hAnsi="Arial Narrow" w:cs="Arial"/>
                <w:sz w:val="24"/>
                <w:szCs w:val="24"/>
              </w:rPr>
              <w:t xml:space="preserve"> court was the cost the applicant prayed for. Ms Kuzeeko argue</w:t>
            </w:r>
            <w:r w:rsidR="00A052B4" w:rsidRPr="009D71F2">
              <w:rPr>
                <w:rFonts w:ascii="Arial Narrow" w:hAnsi="Arial Narrow" w:cs="Arial"/>
                <w:sz w:val="24"/>
                <w:szCs w:val="24"/>
              </w:rPr>
              <w:t>d</w:t>
            </w:r>
            <w:r w:rsidRPr="009D71F2">
              <w:rPr>
                <w:rFonts w:ascii="Arial Narrow" w:hAnsi="Arial Narrow" w:cs="Arial"/>
                <w:sz w:val="24"/>
                <w:szCs w:val="24"/>
              </w:rPr>
              <w:t xml:space="preserve"> that the omission of the order that the cost shall not be subject to the limitation by rule 32(11) creates an ambiguity. </w:t>
            </w:r>
          </w:p>
          <w:p w:rsidR="00A052B4" w:rsidRPr="009D71F2" w:rsidRDefault="00A052B4" w:rsidP="0021096F">
            <w:pPr>
              <w:spacing w:line="360" w:lineRule="auto"/>
              <w:jc w:val="both"/>
              <w:rPr>
                <w:rFonts w:ascii="Arial Narrow" w:hAnsi="Arial Narrow" w:cs="Arial"/>
                <w:sz w:val="24"/>
                <w:szCs w:val="24"/>
              </w:rPr>
            </w:pPr>
          </w:p>
          <w:p w:rsidR="0021096F" w:rsidRPr="009D71F2" w:rsidRDefault="0021096F" w:rsidP="00242135">
            <w:pPr>
              <w:spacing w:line="360" w:lineRule="auto"/>
              <w:jc w:val="both"/>
              <w:rPr>
                <w:rFonts w:ascii="Arial Narrow" w:hAnsi="Arial Narrow" w:cs="Arial"/>
                <w:sz w:val="24"/>
                <w:szCs w:val="24"/>
              </w:rPr>
            </w:pPr>
            <w:r w:rsidRPr="009D71F2">
              <w:rPr>
                <w:rFonts w:ascii="Arial Narrow" w:hAnsi="Arial Narrow" w:cs="Arial"/>
                <w:sz w:val="24"/>
                <w:szCs w:val="24"/>
              </w:rPr>
              <w:t>[10]</w:t>
            </w:r>
            <w:r w:rsidRPr="009D71F2">
              <w:rPr>
                <w:rFonts w:ascii="Arial Narrow" w:hAnsi="Arial Narrow" w:cs="Arial"/>
                <w:sz w:val="24"/>
                <w:szCs w:val="24"/>
              </w:rPr>
              <w:tab/>
              <w:t xml:space="preserve">With reference to rule 103(1) of the Rules of Court Ms Kuzeeko argued that the clear reading of the rule allows the applicant to approach the court to vary the court order </w:t>
            </w:r>
            <w:r w:rsidR="00A052B4" w:rsidRPr="009D71F2">
              <w:rPr>
                <w:rFonts w:ascii="Arial Narrow" w:hAnsi="Arial Narrow" w:cs="Arial"/>
                <w:sz w:val="24"/>
                <w:szCs w:val="24"/>
              </w:rPr>
              <w:t>to</w:t>
            </w:r>
            <w:r w:rsidRPr="009D71F2">
              <w:rPr>
                <w:rFonts w:ascii="Arial Narrow" w:hAnsi="Arial Narrow" w:cs="Arial"/>
                <w:sz w:val="24"/>
                <w:szCs w:val="24"/>
              </w:rPr>
              <w:t xml:space="preserve"> remove any ambiguity or permit deliberation of a proper award of costs. </w:t>
            </w:r>
          </w:p>
          <w:p w:rsidR="009D71F2" w:rsidRPr="009D71F2" w:rsidRDefault="009D71F2" w:rsidP="00242135">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[11]</w:t>
            </w:r>
            <w:r w:rsidRPr="009D71F2">
              <w:rPr>
                <w:rFonts w:ascii="Arial Narrow" w:hAnsi="Arial Narrow" w:cs="Arial"/>
                <w:sz w:val="24"/>
                <w:szCs w:val="24"/>
              </w:rPr>
              <w:tab/>
              <w:t xml:space="preserve"> Ms Kuzeeko contended that the respondent’s argument that the issue of cost was never argued is incorrect </w:t>
            </w:r>
            <w:r w:rsidR="00A052B4" w:rsidRPr="009D71F2">
              <w:rPr>
                <w:rFonts w:ascii="Arial Narrow" w:hAnsi="Arial Narrow" w:cs="Arial"/>
                <w:sz w:val="24"/>
                <w:szCs w:val="24"/>
              </w:rPr>
              <w:t>as</w:t>
            </w:r>
            <w:r w:rsidRPr="009D71F2">
              <w:rPr>
                <w:rFonts w:ascii="Arial Narrow" w:hAnsi="Arial Narrow" w:cs="Arial"/>
                <w:sz w:val="24"/>
                <w:szCs w:val="24"/>
              </w:rPr>
              <w:t xml:space="preserve"> the applicant prayed for </w:t>
            </w:r>
            <w:r w:rsidR="00423EFB" w:rsidRPr="009D71F2">
              <w:rPr>
                <w:rFonts w:ascii="Arial Narrow" w:hAnsi="Arial Narrow" w:cs="Arial"/>
                <w:sz w:val="24"/>
                <w:szCs w:val="24"/>
              </w:rPr>
              <w:t xml:space="preserve">an </w:t>
            </w:r>
            <w:r w:rsidRPr="009D71F2">
              <w:rPr>
                <w:rFonts w:ascii="Arial Narrow" w:hAnsi="Arial Narrow" w:cs="Arial"/>
                <w:sz w:val="24"/>
                <w:szCs w:val="24"/>
              </w:rPr>
              <w:t>order of cost not limited to rule 32(11) in its heads of argument and although this issue was not pertinently argued during the oral arguments by the respective counsel it does not detract from the fact that the heads of argument forms part of the litigant’s argument and the issue of cost should be regarded as argued. Ms Kuzeeko however submitted that in the event that the court find</w:t>
            </w:r>
            <w:r w:rsidR="00900676" w:rsidRPr="009D71F2">
              <w:rPr>
                <w:rFonts w:ascii="Arial Narrow" w:hAnsi="Arial Narrow" w:cs="Arial"/>
                <w:sz w:val="24"/>
                <w:szCs w:val="24"/>
              </w:rPr>
              <w:t>s</w:t>
            </w:r>
            <w:r w:rsidRPr="009D71F2">
              <w:rPr>
                <w:rFonts w:ascii="Arial Narrow" w:hAnsi="Arial Narrow" w:cs="Arial"/>
                <w:sz w:val="24"/>
                <w:szCs w:val="24"/>
              </w:rPr>
              <w:t xml:space="preserve"> that the issue of costs was not argued that the applicant be allowed to argue the issue of costs in this regard.</w:t>
            </w:r>
          </w:p>
          <w:p w:rsidR="00A052B4" w:rsidRPr="009D71F2" w:rsidRDefault="00A052B4" w:rsidP="0021096F">
            <w:pPr>
              <w:spacing w:line="360" w:lineRule="auto"/>
              <w:jc w:val="both"/>
              <w:rPr>
                <w:rFonts w:ascii="Arial Narrow" w:hAnsi="Arial Narrow" w:cs="Arial"/>
                <w:sz w:val="24"/>
                <w:szCs w:val="24"/>
              </w:rPr>
            </w:pPr>
          </w:p>
          <w:p w:rsidR="0021096F" w:rsidRPr="009D71F2" w:rsidRDefault="0021096F" w:rsidP="00242135">
            <w:pPr>
              <w:spacing w:line="360" w:lineRule="auto"/>
              <w:jc w:val="both"/>
              <w:rPr>
                <w:rFonts w:ascii="Arial Narrow" w:hAnsi="Arial Narrow" w:cs="Arial"/>
                <w:sz w:val="24"/>
                <w:szCs w:val="24"/>
              </w:rPr>
            </w:pPr>
            <w:r w:rsidRPr="009D71F2">
              <w:rPr>
                <w:rFonts w:ascii="Arial Narrow" w:hAnsi="Arial Narrow" w:cs="Arial"/>
                <w:sz w:val="24"/>
                <w:szCs w:val="24"/>
              </w:rPr>
              <w:t xml:space="preserve"> [12</w:t>
            </w:r>
            <w:r w:rsidR="00900676" w:rsidRPr="009D71F2">
              <w:rPr>
                <w:rFonts w:ascii="Arial Narrow" w:hAnsi="Arial Narrow" w:cs="Arial"/>
                <w:sz w:val="24"/>
                <w:szCs w:val="24"/>
              </w:rPr>
              <w:t>]</w:t>
            </w:r>
            <w:r w:rsidR="00900676" w:rsidRPr="009D71F2">
              <w:rPr>
                <w:rFonts w:ascii="Arial Narrow" w:hAnsi="Arial Narrow" w:cs="Arial"/>
                <w:sz w:val="24"/>
                <w:szCs w:val="24"/>
              </w:rPr>
              <w:tab/>
              <w:t xml:space="preserve"> Ms Kuzeeko argued</w:t>
            </w:r>
            <w:r w:rsidRPr="009D71F2">
              <w:rPr>
                <w:rFonts w:ascii="Arial Narrow" w:hAnsi="Arial Narrow" w:cs="Arial"/>
                <w:sz w:val="24"/>
                <w:szCs w:val="24"/>
              </w:rPr>
              <w:t xml:space="preserve"> that the respondent’s defence proffered in respect of the application, </w:t>
            </w:r>
            <w:r w:rsidR="00423EFB" w:rsidRPr="009D71F2">
              <w:rPr>
                <w:rFonts w:ascii="Arial Narrow" w:hAnsi="Arial Narrow" w:cs="Arial"/>
                <w:sz w:val="24"/>
                <w:szCs w:val="24"/>
              </w:rPr>
              <w:t>i.e.</w:t>
            </w:r>
            <w:r w:rsidRPr="009D71F2">
              <w:rPr>
                <w:rFonts w:ascii="Arial Narrow" w:hAnsi="Arial Narrow" w:cs="Arial"/>
                <w:sz w:val="24"/>
                <w:szCs w:val="24"/>
              </w:rPr>
              <w:t xml:space="preserve"> that this court is </w:t>
            </w:r>
            <w:r w:rsidRPr="009D71F2">
              <w:rPr>
                <w:rFonts w:ascii="Arial Narrow" w:hAnsi="Arial Narrow" w:cs="Arial"/>
                <w:i/>
                <w:sz w:val="24"/>
                <w:szCs w:val="24"/>
              </w:rPr>
              <w:t>functus officio</w:t>
            </w:r>
            <w:r w:rsidRPr="009D71F2">
              <w:rPr>
                <w:rFonts w:ascii="Arial Narrow" w:hAnsi="Arial Narrow" w:cs="Arial"/>
                <w:sz w:val="24"/>
                <w:szCs w:val="24"/>
              </w:rPr>
              <w:t xml:space="preserve"> is misconceived as rule 103 allows a court to vary any of its orders </w:t>
            </w:r>
            <w:r w:rsidRPr="009D71F2">
              <w:rPr>
                <w:rFonts w:ascii="Arial Narrow" w:hAnsi="Arial Narrow" w:cs="Arial"/>
                <w:i/>
                <w:sz w:val="24"/>
                <w:szCs w:val="24"/>
              </w:rPr>
              <w:t>mero motu</w:t>
            </w:r>
            <w:r w:rsidRPr="009D71F2">
              <w:rPr>
                <w:rFonts w:ascii="Arial Narrow" w:hAnsi="Arial Narrow" w:cs="Arial"/>
                <w:sz w:val="24"/>
                <w:szCs w:val="24"/>
              </w:rPr>
              <w:t xml:space="preserve"> or on application. Counsel argued that this </w:t>
            </w:r>
            <w:r w:rsidR="009D71F2" w:rsidRPr="009D71F2">
              <w:rPr>
                <w:rFonts w:ascii="Arial Narrow" w:hAnsi="Arial Narrow" w:cs="Arial"/>
                <w:sz w:val="24"/>
                <w:szCs w:val="24"/>
              </w:rPr>
              <w:t xml:space="preserve">is </w:t>
            </w:r>
            <w:r w:rsidRPr="009D71F2">
              <w:rPr>
                <w:rFonts w:ascii="Arial Narrow" w:hAnsi="Arial Narrow" w:cs="Arial"/>
                <w:sz w:val="24"/>
                <w:szCs w:val="24"/>
              </w:rPr>
              <w:t xml:space="preserve">a permissive rule vesting the court with judicial discretion and where a court renders judgment, especially relating to costs, it is not appealable or reviewable, without leave, therefore such an order can be varied and requests the court to grant the application accordingly. </w:t>
            </w:r>
          </w:p>
          <w:p w:rsidR="00900676" w:rsidRPr="009D71F2" w:rsidRDefault="00900676" w:rsidP="0021096F">
            <w:pPr>
              <w:spacing w:line="360" w:lineRule="auto"/>
              <w:rPr>
                <w:rFonts w:ascii="Arial Narrow" w:hAnsi="Arial Narrow" w:cs="Arial"/>
                <w:sz w:val="24"/>
                <w:szCs w:val="24"/>
              </w:rPr>
            </w:pPr>
          </w:p>
          <w:p w:rsidR="0021096F" w:rsidRPr="009D71F2" w:rsidRDefault="0021096F" w:rsidP="0021096F">
            <w:pPr>
              <w:spacing w:line="360" w:lineRule="auto"/>
              <w:rPr>
                <w:rFonts w:ascii="Arial Narrow" w:hAnsi="Arial Narrow" w:cs="Arial"/>
                <w:sz w:val="24"/>
                <w:szCs w:val="24"/>
              </w:rPr>
            </w:pPr>
            <w:r w:rsidRPr="009D71F2">
              <w:rPr>
                <w:rFonts w:ascii="Arial Narrow" w:hAnsi="Arial Narrow" w:cs="Arial"/>
                <w:sz w:val="24"/>
                <w:szCs w:val="24"/>
              </w:rPr>
              <w:t>[13]</w:t>
            </w:r>
            <w:r w:rsidRPr="009D71F2">
              <w:rPr>
                <w:rFonts w:ascii="Arial Narrow" w:hAnsi="Arial Narrow" w:cs="Arial"/>
                <w:sz w:val="24"/>
                <w:szCs w:val="24"/>
              </w:rPr>
              <w:tab/>
              <w:t xml:space="preserve">Ms Kuzeeko referred the court to </w:t>
            </w:r>
            <w:r w:rsidRPr="009D71F2">
              <w:rPr>
                <w:rFonts w:ascii="Arial Narrow" w:hAnsi="Arial Narrow" w:cs="Arial"/>
                <w:i/>
                <w:sz w:val="24"/>
                <w:szCs w:val="24"/>
              </w:rPr>
              <w:t>South African Poultry Association and Others v Ministry of Trade and Industry and Others</w:t>
            </w:r>
            <w:r w:rsidRPr="009D71F2">
              <w:rPr>
                <w:rStyle w:val="FootnoteReference"/>
                <w:rFonts w:ascii="Arial Narrow" w:hAnsi="Arial Narrow" w:cs="Arial"/>
                <w:sz w:val="24"/>
                <w:szCs w:val="24"/>
              </w:rPr>
              <w:footnoteReference w:id="1"/>
            </w:r>
            <w:r w:rsidRPr="009D71F2">
              <w:rPr>
                <w:rFonts w:ascii="Arial Narrow" w:hAnsi="Arial Narrow" w:cs="Arial"/>
                <w:sz w:val="24"/>
                <w:szCs w:val="24"/>
              </w:rPr>
              <w:t xml:space="preserve">  as authority for the proposition that the court retains a discretion to grant costs on a higher scale. </w:t>
            </w:r>
          </w:p>
          <w:p w:rsidR="00900676" w:rsidRPr="009D71F2" w:rsidRDefault="00900676" w:rsidP="0021096F">
            <w:pPr>
              <w:spacing w:line="360" w:lineRule="auto"/>
              <w:rPr>
                <w:rFonts w:ascii="Arial Narrow" w:hAnsi="Arial Narrow" w:cs="Arial"/>
                <w:sz w:val="24"/>
                <w:szCs w:val="24"/>
              </w:rPr>
            </w:pPr>
          </w:p>
          <w:p w:rsidR="0021096F" w:rsidRPr="009D71F2" w:rsidRDefault="0021096F" w:rsidP="0021096F">
            <w:pPr>
              <w:spacing w:line="360" w:lineRule="auto"/>
              <w:rPr>
                <w:rFonts w:ascii="Arial Narrow" w:hAnsi="Arial Narrow" w:cs="Arial"/>
                <w:sz w:val="24"/>
                <w:szCs w:val="24"/>
                <w:u w:val="single"/>
              </w:rPr>
            </w:pPr>
            <w:r w:rsidRPr="009D71F2">
              <w:rPr>
                <w:rFonts w:ascii="Arial Narrow" w:hAnsi="Arial Narrow" w:cs="Arial"/>
                <w:sz w:val="24"/>
                <w:szCs w:val="24"/>
                <w:u w:val="single"/>
              </w:rPr>
              <w:t>Argument on behalf of the respondent</w:t>
            </w:r>
          </w:p>
          <w:p w:rsidR="00900676" w:rsidRPr="009D71F2" w:rsidRDefault="00900676" w:rsidP="0021096F">
            <w:pPr>
              <w:spacing w:line="360" w:lineRule="auto"/>
              <w:rPr>
                <w:rFonts w:ascii="Arial Narrow" w:hAnsi="Arial Narrow" w:cs="Arial"/>
                <w:sz w:val="24"/>
                <w:szCs w:val="24"/>
                <w:u w:val="single"/>
              </w:rPr>
            </w:pPr>
          </w:p>
          <w:p w:rsidR="0021096F" w:rsidRPr="009D71F2" w:rsidRDefault="0021096F" w:rsidP="00D41E7D">
            <w:pPr>
              <w:spacing w:line="360" w:lineRule="auto"/>
              <w:jc w:val="both"/>
              <w:rPr>
                <w:rFonts w:ascii="Arial Narrow" w:hAnsi="Arial Narrow" w:cs="Arial"/>
                <w:sz w:val="24"/>
                <w:szCs w:val="24"/>
              </w:rPr>
            </w:pPr>
            <w:r w:rsidRPr="009D71F2">
              <w:rPr>
                <w:rFonts w:ascii="Arial Narrow" w:hAnsi="Arial Narrow" w:cs="Arial"/>
                <w:sz w:val="24"/>
                <w:szCs w:val="24"/>
              </w:rPr>
              <w:t>[14]</w:t>
            </w:r>
            <w:r w:rsidRPr="009D71F2">
              <w:rPr>
                <w:rFonts w:ascii="Arial Narrow" w:hAnsi="Arial Narrow" w:cs="Arial"/>
                <w:sz w:val="24"/>
                <w:szCs w:val="24"/>
              </w:rPr>
              <w:tab/>
              <w:t xml:space="preserve"> Ms Simson contended that the applicant did not make it clear in terms of which sub-rule of rule 103 the applicant is launching the application as the deponent to the founding affidavit stated that the court in granting the judgment in favour of the applicant omitted to indicate that the cost</w:t>
            </w:r>
            <w:r w:rsidR="009D71F2" w:rsidRPr="009D71F2">
              <w:rPr>
                <w:rFonts w:ascii="Arial Narrow" w:hAnsi="Arial Narrow" w:cs="Arial"/>
                <w:sz w:val="24"/>
                <w:szCs w:val="24"/>
              </w:rPr>
              <w:t>s</w:t>
            </w:r>
            <w:r w:rsidRPr="009D71F2">
              <w:rPr>
                <w:rFonts w:ascii="Arial Narrow" w:hAnsi="Arial Narrow" w:cs="Arial"/>
                <w:sz w:val="24"/>
                <w:szCs w:val="24"/>
              </w:rPr>
              <w:t xml:space="preserve"> are not subject to the cap</w:t>
            </w:r>
            <w:r w:rsidR="00AC1D31" w:rsidRPr="009D71F2">
              <w:rPr>
                <w:rFonts w:ascii="Arial Narrow" w:hAnsi="Arial Narrow" w:cs="Arial"/>
                <w:sz w:val="24"/>
                <w:szCs w:val="24"/>
              </w:rPr>
              <w:t>ping</w:t>
            </w:r>
            <w:r w:rsidRPr="009D71F2">
              <w:rPr>
                <w:rFonts w:ascii="Arial Narrow" w:hAnsi="Arial Narrow" w:cs="Arial"/>
                <w:sz w:val="24"/>
                <w:szCs w:val="24"/>
              </w:rPr>
              <w:t xml:space="preserve"> in terms of rule 32(11) or indicate the contrary</w:t>
            </w:r>
            <w:r w:rsidRPr="009D71F2">
              <w:rPr>
                <w:rStyle w:val="FootnoteReference"/>
                <w:rFonts w:ascii="Arial Narrow" w:hAnsi="Arial Narrow" w:cs="Arial"/>
                <w:sz w:val="24"/>
                <w:szCs w:val="24"/>
              </w:rPr>
              <w:footnoteReference w:id="2"/>
            </w:r>
            <w:r w:rsidRPr="009D71F2">
              <w:rPr>
                <w:rFonts w:ascii="Arial Narrow" w:hAnsi="Arial Narrow" w:cs="Arial"/>
                <w:sz w:val="24"/>
                <w:szCs w:val="24"/>
              </w:rPr>
              <w:t xml:space="preserve">. Ms Simson submitted however that the question before court </w:t>
            </w:r>
            <w:r w:rsidRPr="009D71F2">
              <w:rPr>
                <w:rFonts w:ascii="Arial Narrow" w:hAnsi="Arial Narrow" w:cs="Arial"/>
                <w:sz w:val="24"/>
                <w:szCs w:val="24"/>
              </w:rPr>
              <w:lastRenderedPageBreak/>
              <w:t>is whether or not the issue of costs was argued at the exception hearing and whether or not the court acceded to the parties’ respective prayers for costs.</w:t>
            </w:r>
          </w:p>
          <w:p w:rsidR="00900676" w:rsidRPr="009D71F2" w:rsidRDefault="00900676"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[15]</w:t>
            </w:r>
            <w:r w:rsidRPr="009D71F2">
              <w:rPr>
                <w:rFonts w:ascii="Arial Narrow" w:hAnsi="Arial Narrow" w:cs="Arial"/>
                <w:sz w:val="24"/>
                <w:szCs w:val="24"/>
              </w:rPr>
              <w:tab/>
              <w:t>Ms Si</w:t>
            </w:r>
            <w:r w:rsidR="009D71F2" w:rsidRPr="009D71F2">
              <w:rPr>
                <w:rFonts w:ascii="Arial Narrow" w:hAnsi="Arial Narrow" w:cs="Arial"/>
                <w:sz w:val="24"/>
                <w:szCs w:val="24"/>
              </w:rPr>
              <w:t>mson argued that the applicant</w:t>
            </w:r>
            <w:r w:rsidRPr="009D71F2">
              <w:rPr>
                <w:rFonts w:ascii="Arial Narrow" w:hAnsi="Arial Narrow" w:cs="Arial"/>
                <w:sz w:val="24"/>
                <w:szCs w:val="24"/>
              </w:rPr>
              <w:t xml:space="preserve"> failed to bring its intended relief within the ambit of rule 103(1)(c) as the court order cannot be varied to the extent prayed for in the applicant’s notice of motion. </w:t>
            </w:r>
          </w:p>
          <w:p w:rsidR="00AC1D31" w:rsidRPr="009D71F2" w:rsidRDefault="00AC1D31"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[16]</w:t>
            </w:r>
            <w:r w:rsidRPr="009D71F2">
              <w:rPr>
                <w:rFonts w:ascii="Arial Narrow" w:hAnsi="Arial Narrow" w:cs="Arial"/>
                <w:sz w:val="24"/>
                <w:szCs w:val="24"/>
              </w:rPr>
              <w:tab/>
              <w:t xml:space="preserve"> Ms Simson strongly argued that if the matter is argued in terms of rule 103(1</w:t>
            </w:r>
            <w:r w:rsidR="00AC1D31" w:rsidRPr="009D71F2">
              <w:rPr>
                <w:rFonts w:ascii="Arial Narrow" w:hAnsi="Arial Narrow" w:cs="Arial"/>
                <w:sz w:val="24"/>
                <w:szCs w:val="24"/>
              </w:rPr>
              <w:t>) (</w:t>
            </w:r>
            <w:r w:rsidRPr="009D71F2">
              <w:rPr>
                <w:rFonts w:ascii="Arial Narrow" w:hAnsi="Arial Narrow" w:cs="Arial"/>
                <w:sz w:val="24"/>
                <w:szCs w:val="24"/>
              </w:rPr>
              <w:t xml:space="preserve">c) the court order cannot be varied </w:t>
            </w:r>
            <w:r w:rsidR="00900676" w:rsidRPr="009D71F2">
              <w:rPr>
                <w:rFonts w:ascii="Arial Narrow" w:hAnsi="Arial Narrow" w:cs="Arial"/>
                <w:sz w:val="24"/>
                <w:szCs w:val="24"/>
              </w:rPr>
              <w:t xml:space="preserve">as </w:t>
            </w:r>
            <w:r w:rsidRPr="009D71F2">
              <w:rPr>
                <w:rFonts w:ascii="Arial Narrow" w:hAnsi="Arial Narrow" w:cs="Arial"/>
                <w:sz w:val="24"/>
                <w:szCs w:val="24"/>
              </w:rPr>
              <w:t xml:space="preserve">the court is </w:t>
            </w:r>
            <w:r w:rsidRPr="009D71F2">
              <w:rPr>
                <w:rFonts w:ascii="Arial Narrow" w:hAnsi="Arial Narrow" w:cs="Arial"/>
                <w:i/>
                <w:sz w:val="24"/>
                <w:szCs w:val="24"/>
              </w:rPr>
              <w:t>functus officio</w:t>
            </w:r>
            <w:r w:rsidRPr="009D71F2">
              <w:rPr>
                <w:rFonts w:ascii="Arial Narrow" w:hAnsi="Arial Narrow" w:cs="Arial"/>
                <w:sz w:val="24"/>
                <w:szCs w:val="24"/>
              </w:rPr>
              <w:t xml:space="preserve">. In support of this argument Ms Simson referred the court to the matter of </w:t>
            </w:r>
            <w:r w:rsidRPr="009D71F2">
              <w:rPr>
                <w:rFonts w:ascii="Arial Narrow" w:hAnsi="Arial Narrow" w:cs="Arial"/>
                <w:i/>
                <w:sz w:val="24"/>
                <w:szCs w:val="24"/>
              </w:rPr>
              <w:t>Karlsruh Number One Farming Closes Corporation v De Wet Esterhuizen</w:t>
            </w:r>
            <w:r w:rsidRPr="009D71F2">
              <w:rPr>
                <w:rStyle w:val="FootnoteReference"/>
                <w:rFonts w:ascii="Arial Narrow" w:hAnsi="Arial Narrow" w:cs="Arial"/>
                <w:sz w:val="24"/>
                <w:szCs w:val="24"/>
              </w:rPr>
              <w:footnoteReference w:id="3"/>
            </w:r>
            <w:r w:rsidRPr="009D71F2">
              <w:rPr>
                <w:rFonts w:ascii="Arial Narrow" w:hAnsi="Arial Narrow" w:cs="Arial"/>
                <w:sz w:val="24"/>
                <w:szCs w:val="24"/>
              </w:rPr>
              <w:t xml:space="preserve">, wherein this court found that once a court pronounces itself in a judgment it is </w:t>
            </w:r>
            <w:r w:rsidRPr="009D71F2">
              <w:rPr>
                <w:rFonts w:ascii="Arial Narrow" w:hAnsi="Arial Narrow" w:cs="Arial"/>
                <w:i/>
                <w:sz w:val="24"/>
                <w:szCs w:val="24"/>
              </w:rPr>
              <w:t>functus officio</w:t>
            </w:r>
            <w:r w:rsidRPr="009D71F2">
              <w:rPr>
                <w:rFonts w:ascii="Arial Narrow" w:hAnsi="Arial Narrow" w:cs="Arial"/>
                <w:sz w:val="24"/>
                <w:szCs w:val="24"/>
              </w:rPr>
              <w:t xml:space="preserve"> and the court may not ordinarily vary or rescind its own judgment. </w:t>
            </w:r>
          </w:p>
          <w:p w:rsidR="00900676" w:rsidRPr="009D71F2" w:rsidRDefault="00900676"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 xml:space="preserve">[17] </w:t>
            </w:r>
            <w:r w:rsidRPr="009D71F2">
              <w:rPr>
                <w:rFonts w:ascii="Arial Narrow" w:hAnsi="Arial Narrow" w:cs="Arial"/>
                <w:sz w:val="24"/>
                <w:szCs w:val="24"/>
              </w:rPr>
              <w:tab/>
              <w:t xml:space="preserve">The court was also referred to </w:t>
            </w:r>
            <w:r w:rsidRPr="009D71F2">
              <w:rPr>
                <w:rFonts w:ascii="Arial Narrow" w:hAnsi="Arial Narrow" w:cs="Arial"/>
                <w:i/>
                <w:sz w:val="24"/>
                <w:szCs w:val="24"/>
              </w:rPr>
              <w:t>Ngede v Davey’s Micro Construction CC</w:t>
            </w:r>
            <w:r w:rsidRPr="009D71F2">
              <w:rPr>
                <w:rStyle w:val="FootnoteReference"/>
                <w:rFonts w:ascii="Arial Narrow" w:hAnsi="Arial Narrow" w:cs="Arial"/>
                <w:i/>
                <w:sz w:val="24"/>
                <w:szCs w:val="24"/>
              </w:rPr>
              <w:footnoteReference w:id="4"/>
            </w:r>
            <w:r w:rsidRPr="009D71F2">
              <w:rPr>
                <w:rFonts w:ascii="Arial Narrow" w:hAnsi="Arial Narrow" w:cs="Arial"/>
                <w:i/>
                <w:sz w:val="24"/>
                <w:szCs w:val="24"/>
              </w:rPr>
              <w:t xml:space="preserve"> </w:t>
            </w:r>
            <w:r w:rsidRPr="009D71F2">
              <w:rPr>
                <w:rFonts w:ascii="Arial Narrow" w:hAnsi="Arial Narrow" w:cs="Arial"/>
                <w:sz w:val="24"/>
                <w:szCs w:val="24"/>
              </w:rPr>
              <w:t xml:space="preserve">wherein the court discussed the exceptions to the general rule that a court may not vary its own judgments or orders </w:t>
            </w:r>
            <w:r w:rsidR="00C82DAB" w:rsidRPr="009D71F2">
              <w:rPr>
                <w:rFonts w:ascii="Arial Narrow" w:hAnsi="Arial Narrow" w:cs="Arial"/>
                <w:sz w:val="24"/>
                <w:szCs w:val="24"/>
              </w:rPr>
              <w:t xml:space="preserve">if </w:t>
            </w:r>
            <w:r w:rsidR="00900676" w:rsidRPr="009D71F2">
              <w:rPr>
                <w:rFonts w:ascii="Arial Narrow" w:hAnsi="Arial Narrow" w:cs="Arial"/>
                <w:sz w:val="24"/>
                <w:szCs w:val="24"/>
              </w:rPr>
              <w:t>the</w:t>
            </w:r>
            <w:r w:rsidRPr="009D71F2">
              <w:rPr>
                <w:rFonts w:ascii="Arial Narrow" w:hAnsi="Arial Narrow" w:cs="Arial"/>
                <w:sz w:val="24"/>
                <w:szCs w:val="24"/>
              </w:rPr>
              <w:t xml:space="preserve"> said variation would alter the sense and substance of the judgment or order. Ms Simson submitted that should the court vary the court order </w:t>
            </w:r>
            <w:r w:rsidR="00C82DAB" w:rsidRPr="009D71F2">
              <w:rPr>
                <w:rFonts w:ascii="Arial Narrow" w:hAnsi="Arial Narrow" w:cs="Arial"/>
                <w:sz w:val="24"/>
                <w:szCs w:val="24"/>
              </w:rPr>
              <w:t xml:space="preserve">it </w:t>
            </w:r>
            <w:r w:rsidRPr="009D71F2">
              <w:rPr>
                <w:rFonts w:ascii="Arial Narrow" w:hAnsi="Arial Narrow" w:cs="Arial"/>
                <w:sz w:val="24"/>
                <w:szCs w:val="24"/>
              </w:rPr>
              <w:t xml:space="preserve">would indeed alter the sense and substance of the judgment or order. </w:t>
            </w:r>
          </w:p>
          <w:p w:rsidR="00900676" w:rsidRPr="009D71F2" w:rsidRDefault="00900676" w:rsidP="0021096F">
            <w:pPr>
              <w:spacing w:line="360" w:lineRule="auto"/>
              <w:jc w:val="both"/>
              <w:rPr>
                <w:rFonts w:ascii="Arial Narrow" w:hAnsi="Arial Narrow" w:cs="Arial"/>
                <w:sz w:val="24"/>
                <w:szCs w:val="24"/>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 xml:space="preserve">[18] </w:t>
            </w:r>
            <w:r w:rsidRPr="009D71F2">
              <w:rPr>
                <w:rFonts w:ascii="Arial Narrow" w:hAnsi="Arial Narrow" w:cs="Arial"/>
                <w:sz w:val="24"/>
                <w:szCs w:val="24"/>
              </w:rPr>
              <w:tab/>
              <w:t xml:space="preserve"> Ms Simson maintained that the applicant, though relying on rule 103(1</w:t>
            </w:r>
            <w:r w:rsidR="00F86AD6" w:rsidRPr="009D71F2">
              <w:rPr>
                <w:rFonts w:ascii="Arial Narrow" w:hAnsi="Arial Narrow" w:cs="Arial"/>
                <w:sz w:val="24"/>
                <w:szCs w:val="24"/>
              </w:rPr>
              <w:t>) (</w:t>
            </w:r>
            <w:r w:rsidRPr="009D71F2">
              <w:rPr>
                <w:rFonts w:ascii="Arial Narrow" w:hAnsi="Arial Narrow" w:cs="Arial"/>
                <w:sz w:val="24"/>
                <w:szCs w:val="24"/>
              </w:rPr>
              <w:t>c)</w:t>
            </w:r>
            <w:r w:rsidR="009D71F2" w:rsidRPr="009D71F2">
              <w:rPr>
                <w:rFonts w:ascii="Arial Narrow" w:hAnsi="Arial Narrow" w:cs="Arial"/>
                <w:sz w:val="24"/>
                <w:szCs w:val="24"/>
              </w:rPr>
              <w:t>,</w:t>
            </w:r>
            <w:r w:rsidRPr="009D71F2">
              <w:rPr>
                <w:rFonts w:ascii="Arial Narrow" w:hAnsi="Arial Narrow" w:cs="Arial"/>
                <w:sz w:val="24"/>
                <w:szCs w:val="24"/>
              </w:rPr>
              <w:t xml:space="preserve"> does not set out in its papers the extent of the ambiguity, patent error or omission in the judgment but on </w:t>
            </w:r>
            <w:r w:rsidR="009D71F2" w:rsidRPr="009D71F2">
              <w:rPr>
                <w:rFonts w:ascii="Arial Narrow" w:hAnsi="Arial Narrow" w:cs="Arial"/>
                <w:sz w:val="24"/>
                <w:szCs w:val="24"/>
              </w:rPr>
              <w:t xml:space="preserve">the </w:t>
            </w:r>
            <w:r w:rsidRPr="009D71F2">
              <w:rPr>
                <w:rFonts w:ascii="Arial Narrow" w:hAnsi="Arial Narrow" w:cs="Arial"/>
                <w:sz w:val="24"/>
                <w:szCs w:val="24"/>
              </w:rPr>
              <w:t>contrary it appears that the applicant misunderstood the order to mean that no limitations shall apply in terms of rule 32(11) and that no ambiguity was contained in the order and therefor</w:t>
            </w:r>
            <w:r w:rsidR="00F86AD6" w:rsidRPr="009D71F2">
              <w:rPr>
                <w:rFonts w:ascii="Arial Narrow" w:hAnsi="Arial Narrow" w:cs="Arial"/>
                <w:sz w:val="24"/>
                <w:szCs w:val="24"/>
              </w:rPr>
              <w:t>e</w:t>
            </w:r>
            <w:r w:rsidRPr="009D71F2">
              <w:rPr>
                <w:rFonts w:ascii="Arial Narrow" w:hAnsi="Arial Narrow" w:cs="Arial"/>
                <w:sz w:val="24"/>
                <w:szCs w:val="24"/>
              </w:rPr>
              <w:t xml:space="preserve"> the said sub-rule does not find application. </w:t>
            </w:r>
          </w:p>
          <w:p w:rsidR="00900676" w:rsidRPr="009D71F2" w:rsidRDefault="00900676" w:rsidP="0021096F">
            <w:pPr>
              <w:spacing w:line="360" w:lineRule="auto"/>
              <w:jc w:val="both"/>
              <w:rPr>
                <w:rFonts w:ascii="Arial Narrow" w:hAnsi="Arial Narrow" w:cs="Arial"/>
                <w:sz w:val="24"/>
                <w:szCs w:val="24"/>
              </w:rPr>
            </w:pPr>
          </w:p>
          <w:p w:rsidR="0021096F" w:rsidRPr="009D71F2" w:rsidRDefault="0021096F" w:rsidP="0021096F">
            <w:pPr>
              <w:spacing w:line="360" w:lineRule="auto"/>
              <w:rPr>
                <w:rFonts w:ascii="Arial Narrow" w:hAnsi="Arial Narrow" w:cs="Arial"/>
                <w:sz w:val="24"/>
                <w:szCs w:val="24"/>
                <w:u w:val="single"/>
              </w:rPr>
            </w:pPr>
            <w:r w:rsidRPr="009D71F2">
              <w:rPr>
                <w:rFonts w:ascii="Arial Narrow" w:hAnsi="Arial Narrow" w:cs="Arial"/>
                <w:sz w:val="24"/>
                <w:szCs w:val="24"/>
                <w:u w:val="single"/>
              </w:rPr>
              <w:t>Applicable legal principles and discussion</w:t>
            </w:r>
          </w:p>
          <w:p w:rsidR="00900676" w:rsidRPr="009D71F2" w:rsidRDefault="00900676" w:rsidP="0021096F">
            <w:pPr>
              <w:spacing w:line="360" w:lineRule="auto"/>
              <w:rPr>
                <w:rFonts w:ascii="Arial Narrow" w:hAnsi="Arial Narrow" w:cs="Arial"/>
                <w:sz w:val="24"/>
                <w:szCs w:val="24"/>
                <w:u w:val="single"/>
              </w:rPr>
            </w:pPr>
          </w:p>
          <w:p w:rsidR="0021096F" w:rsidRPr="009D71F2" w:rsidRDefault="0021096F" w:rsidP="0021096F">
            <w:pPr>
              <w:spacing w:line="360" w:lineRule="auto"/>
              <w:jc w:val="both"/>
              <w:rPr>
                <w:rFonts w:ascii="Arial Narrow" w:hAnsi="Arial Narrow" w:cs="Arial"/>
                <w:sz w:val="24"/>
                <w:szCs w:val="24"/>
              </w:rPr>
            </w:pPr>
            <w:r w:rsidRPr="009D71F2">
              <w:rPr>
                <w:rFonts w:ascii="Arial Narrow" w:hAnsi="Arial Narrow" w:cs="Arial"/>
                <w:sz w:val="24"/>
                <w:szCs w:val="24"/>
              </w:rPr>
              <w:t>[19]</w:t>
            </w:r>
            <w:r w:rsidRPr="009D71F2">
              <w:rPr>
                <w:rFonts w:ascii="Arial Narrow" w:hAnsi="Arial Narrow" w:cs="Arial"/>
                <w:sz w:val="24"/>
                <w:szCs w:val="24"/>
              </w:rPr>
              <w:tab/>
              <w:t>The general principle which is well established in our law is that once a court ha</w:t>
            </w:r>
            <w:r w:rsidR="00945BB8" w:rsidRPr="009D71F2">
              <w:rPr>
                <w:rFonts w:ascii="Arial Narrow" w:hAnsi="Arial Narrow" w:cs="Arial"/>
                <w:sz w:val="24"/>
                <w:szCs w:val="24"/>
              </w:rPr>
              <w:t>s</w:t>
            </w:r>
            <w:r w:rsidRPr="009D71F2">
              <w:rPr>
                <w:rFonts w:ascii="Arial Narrow" w:hAnsi="Arial Narrow" w:cs="Arial"/>
                <w:sz w:val="24"/>
                <w:szCs w:val="24"/>
              </w:rPr>
              <w:t xml:space="preserve"> duly pronounced a final judgment or order, it has itself no authority to </w:t>
            </w:r>
            <w:r w:rsidR="00F86AD6" w:rsidRPr="009D71F2">
              <w:rPr>
                <w:rFonts w:ascii="Arial Narrow" w:hAnsi="Arial Narrow" w:cs="Arial"/>
                <w:sz w:val="24"/>
                <w:szCs w:val="24"/>
              </w:rPr>
              <w:t>correct, alter or supplement it</w:t>
            </w:r>
            <w:r w:rsidRPr="009D71F2">
              <w:rPr>
                <w:rFonts w:ascii="Arial Narrow" w:hAnsi="Arial Narrow" w:cs="Arial"/>
                <w:sz w:val="24"/>
                <w:szCs w:val="24"/>
              </w:rPr>
              <w:t xml:space="preserve"> and the reason is that the </w:t>
            </w:r>
            <w:r w:rsidRPr="009D71F2">
              <w:rPr>
                <w:rFonts w:ascii="Arial Narrow" w:hAnsi="Arial Narrow" w:cs="Arial"/>
                <w:sz w:val="24"/>
                <w:szCs w:val="24"/>
              </w:rPr>
              <w:lastRenderedPageBreak/>
              <w:t xml:space="preserve">court become </w:t>
            </w:r>
            <w:r w:rsidRPr="009D71F2">
              <w:rPr>
                <w:rFonts w:ascii="Arial Narrow" w:hAnsi="Arial Narrow" w:cs="Arial"/>
                <w:i/>
                <w:sz w:val="24"/>
                <w:szCs w:val="24"/>
              </w:rPr>
              <w:t>functus officio</w:t>
            </w:r>
            <w:r w:rsidRPr="009D71F2">
              <w:rPr>
                <w:rFonts w:ascii="Arial Narrow" w:hAnsi="Arial Narrow" w:cs="Arial"/>
                <w:sz w:val="24"/>
                <w:szCs w:val="24"/>
              </w:rPr>
              <w:t xml:space="preserve"> but there are a few exceptions to this rule. </w:t>
            </w:r>
            <w:r w:rsidR="00945BB8" w:rsidRPr="009D71F2">
              <w:rPr>
                <w:rFonts w:ascii="Arial Narrow" w:hAnsi="Arial Narrow" w:cs="Arial"/>
                <w:sz w:val="24"/>
                <w:szCs w:val="24"/>
              </w:rPr>
              <w:t>O</w:t>
            </w:r>
            <w:r w:rsidRPr="009D71F2">
              <w:rPr>
                <w:rFonts w:ascii="Arial Narrow" w:hAnsi="Arial Narrow" w:cs="Arial"/>
                <w:sz w:val="24"/>
                <w:szCs w:val="24"/>
              </w:rPr>
              <w:t>ne of these exceptions to the rule is where accessory or consequential matters l</w:t>
            </w:r>
            <w:r w:rsidR="009D71F2" w:rsidRPr="009D71F2">
              <w:rPr>
                <w:rFonts w:ascii="Arial Narrow" w:hAnsi="Arial Narrow" w:cs="Arial"/>
                <w:sz w:val="24"/>
                <w:szCs w:val="24"/>
              </w:rPr>
              <w:t>ike costs or interest were</w:t>
            </w:r>
            <w:r w:rsidRPr="009D71F2">
              <w:rPr>
                <w:rFonts w:ascii="Arial Narrow" w:hAnsi="Arial Narrow" w:cs="Arial"/>
                <w:sz w:val="24"/>
                <w:szCs w:val="24"/>
              </w:rPr>
              <w:t xml:space="preserve"> overlooked or omitted to grant</w:t>
            </w:r>
            <w:r w:rsidRPr="009D71F2">
              <w:rPr>
                <w:rStyle w:val="FootnoteReference"/>
                <w:rFonts w:ascii="Arial Narrow" w:hAnsi="Arial Narrow" w:cs="Arial"/>
                <w:sz w:val="24"/>
                <w:szCs w:val="24"/>
              </w:rPr>
              <w:footnoteReference w:id="5"/>
            </w:r>
            <w:r w:rsidRPr="009D71F2">
              <w:rPr>
                <w:rFonts w:ascii="Arial Narrow" w:hAnsi="Arial Narrow" w:cs="Arial"/>
                <w:sz w:val="24"/>
                <w:szCs w:val="24"/>
              </w:rPr>
              <w:t xml:space="preserve">. </w:t>
            </w:r>
          </w:p>
          <w:p w:rsidR="00F86AD6" w:rsidRPr="009D71F2" w:rsidRDefault="00F86AD6" w:rsidP="0021096F">
            <w:pPr>
              <w:spacing w:line="360" w:lineRule="auto"/>
              <w:jc w:val="both"/>
              <w:rPr>
                <w:rFonts w:ascii="Arial Narrow" w:hAnsi="Arial Narrow" w:cs="Arial"/>
                <w:sz w:val="24"/>
                <w:szCs w:val="24"/>
              </w:rPr>
            </w:pPr>
          </w:p>
          <w:p w:rsidR="0021096F" w:rsidRPr="009D71F2" w:rsidRDefault="0021096F" w:rsidP="0021096F">
            <w:pPr>
              <w:spacing w:line="360" w:lineRule="auto"/>
              <w:rPr>
                <w:rFonts w:ascii="Arial Narrow" w:hAnsi="Arial Narrow" w:cs="Arial"/>
                <w:sz w:val="24"/>
                <w:szCs w:val="24"/>
              </w:rPr>
            </w:pPr>
            <w:r w:rsidRPr="009D71F2">
              <w:rPr>
                <w:rFonts w:ascii="Arial Narrow" w:hAnsi="Arial Narrow" w:cs="Arial"/>
                <w:sz w:val="24"/>
                <w:szCs w:val="24"/>
              </w:rPr>
              <w:t>[20]</w:t>
            </w:r>
            <w:r w:rsidRPr="009D71F2">
              <w:rPr>
                <w:rFonts w:ascii="Arial Narrow" w:hAnsi="Arial Narrow" w:cs="Arial"/>
                <w:sz w:val="24"/>
                <w:szCs w:val="24"/>
              </w:rPr>
              <w:tab/>
              <w:t xml:space="preserve">In </w:t>
            </w:r>
            <w:r w:rsidRPr="009D71F2">
              <w:rPr>
                <w:rFonts w:ascii="Arial Narrow" w:hAnsi="Arial Narrow"/>
                <w:i/>
                <w:iCs/>
                <w:sz w:val="24"/>
                <w:szCs w:val="24"/>
                <w:shd w:val="clear" w:color="auto" w:fill="FFFFFF"/>
              </w:rPr>
              <w:t>Firestone South Africa (Pty) Ltd v Gentiruco AG</w:t>
            </w:r>
            <w:r w:rsidRPr="009D71F2">
              <w:rPr>
                <w:rStyle w:val="FootnoteReference"/>
                <w:rFonts w:ascii="Arial Narrow" w:hAnsi="Arial Narrow"/>
                <w:i/>
                <w:iCs/>
                <w:sz w:val="24"/>
                <w:szCs w:val="24"/>
                <w:shd w:val="clear" w:color="auto" w:fill="FFFFFF"/>
              </w:rPr>
              <w:footnoteReference w:id="6"/>
            </w:r>
            <w:r w:rsidRPr="009D71F2">
              <w:rPr>
                <w:rFonts w:ascii="Arial Narrow" w:hAnsi="Arial Narrow"/>
                <w:sz w:val="24"/>
                <w:szCs w:val="24"/>
                <w:shd w:val="clear" w:color="auto" w:fill="FFFFFF"/>
              </w:rPr>
              <w:t> </w:t>
            </w:r>
            <w:r w:rsidRPr="009D71F2">
              <w:rPr>
                <w:rStyle w:val="Hyperlink"/>
                <w:rFonts w:ascii="Arial Narrow" w:hAnsi="Arial Narrow"/>
                <w:bCs/>
                <w:color w:val="auto"/>
                <w:sz w:val="24"/>
                <w:szCs w:val="24"/>
                <w:u w:val="none"/>
                <w:shd w:val="clear" w:color="auto" w:fill="FFFFFF"/>
              </w:rPr>
              <w:t xml:space="preserve">Trollip JA stated as follows on the issue of cost not argued: </w:t>
            </w:r>
          </w:p>
          <w:p w:rsidR="0021096F" w:rsidRPr="009D71F2" w:rsidRDefault="0021096F" w:rsidP="006A0A00">
            <w:pPr>
              <w:spacing w:line="360" w:lineRule="auto"/>
              <w:jc w:val="both"/>
              <w:rPr>
                <w:rFonts w:ascii="Arial Narrow" w:hAnsi="Arial Narrow"/>
                <w:shd w:val="clear" w:color="auto" w:fill="FFFFFF"/>
              </w:rPr>
            </w:pPr>
            <w:r w:rsidRPr="009D71F2">
              <w:rPr>
                <w:rFonts w:ascii="Arial Narrow" w:hAnsi="Arial Narrow"/>
                <w:sz w:val="24"/>
                <w:szCs w:val="24"/>
                <w:shd w:val="clear" w:color="auto" w:fill="FFFFFF"/>
              </w:rPr>
              <w:t xml:space="preserve"> </w:t>
            </w:r>
            <w:r w:rsidRPr="009D71F2">
              <w:rPr>
                <w:rFonts w:ascii="Arial Narrow" w:hAnsi="Arial Narrow"/>
                <w:sz w:val="24"/>
                <w:szCs w:val="24"/>
                <w:shd w:val="clear" w:color="auto" w:fill="FFFFFF"/>
              </w:rPr>
              <w:tab/>
            </w:r>
            <w:r w:rsidRPr="009D71F2">
              <w:rPr>
                <w:rFonts w:ascii="Arial Narrow" w:hAnsi="Arial Narrow"/>
                <w:shd w:val="clear" w:color="auto" w:fill="FFFFFF"/>
              </w:rPr>
              <w:t>‘(iv) Where counsel has argued the merits and not the costs of a case (which nowadays often happens </w:t>
            </w:r>
            <w:r w:rsidRPr="009D71F2">
              <w:rPr>
                <w:rFonts w:ascii="Arial Narrow" w:hAnsi="Arial Narrow"/>
                <w:i/>
                <w:iCs/>
                <w:shd w:val="clear" w:color="auto" w:fill="FFFFFF"/>
              </w:rPr>
              <w:t>since the question of costs may depend upon the ultimate decision on the merits</w:t>
            </w:r>
            <w:r w:rsidRPr="009D71F2">
              <w:rPr>
                <w:rFonts w:ascii="Arial Narrow" w:hAnsi="Arial Narrow"/>
                <w:shd w:val="clear" w:color="auto" w:fill="FFFFFF"/>
              </w:rPr>
              <w:t>), but the Court, in granting judgment, also makes an order concerning the costs, it may thereafter correct, alter or supplement that order (see</w:t>
            </w:r>
            <w:r w:rsidRPr="009D71F2">
              <w:rPr>
                <w:rFonts w:ascii="Arial Narrow" w:hAnsi="Arial Narrow"/>
                <w:i/>
                <w:iCs/>
                <w:shd w:val="clear" w:color="auto" w:fill="FFFFFF"/>
              </w:rPr>
              <w:t> Estate Garlick's</w:t>
            </w:r>
            <w:r w:rsidRPr="009D71F2">
              <w:rPr>
                <w:rFonts w:ascii="Arial Narrow" w:hAnsi="Arial Narrow"/>
                <w:shd w:val="clear" w:color="auto" w:fill="FFFFFF"/>
              </w:rPr>
              <w:t> case, </w:t>
            </w:r>
            <w:r w:rsidRPr="009D71F2">
              <w:rPr>
                <w:rFonts w:ascii="Arial Narrow" w:hAnsi="Arial Narrow"/>
                <w:i/>
                <w:iCs/>
                <w:shd w:val="clear" w:color="auto" w:fill="FFFFFF"/>
              </w:rPr>
              <w:t>supra</w:t>
            </w:r>
            <w:r w:rsidRPr="009D71F2">
              <w:rPr>
                <w:rFonts w:ascii="Arial Narrow" w:hAnsi="Arial Narrow"/>
                <w:shd w:val="clear" w:color="auto" w:fill="FFFFFF"/>
              </w:rPr>
              <w:t>, </w:t>
            </w:r>
            <w:hyperlink r:id="rId12" w:tooltip="View LawCiteRecord" w:history="1">
              <w:r w:rsidRPr="009D71F2">
                <w:rPr>
                  <w:rStyle w:val="Hyperlink"/>
                  <w:rFonts w:ascii="Arial Narrow" w:hAnsi="Arial Narrow"/>
                  <w:bCs/>
                  <w:color w:val="auto"/>
                  <w:u w:val="none"/>
                  <w:shd w:val="clear" w:color="auto" w:fill="FFFFFF"/>
                </w:rPr>
                <w:t>1934 AD 499).</w:t>
              </w:r>
            </w:hyperlink>
            <w:r w:rsidRPr="009D71F2">
              <w:rPr>
                <w:rFonts w:ascii="Arial Narrow" w:hAnsi="Arial Narrow"/>
                <w:shd w:val="clear" w:color="auto" w:fill="FFFFFF"/>
              </w:rPr>
              <w:t> The reason is (see pp. 503 - 5) that in such a case the Court is always regarded as having made its original order 'with the implied understanding' that it is open to the mulcted party (or perhaps any party 'aggrieved' by the order - see p. 505) to be subsequently heard on the appropriate order as to costs.</w:t>
            </w:r>
            <w:r w:rsidR="00FB52AB" w:rsidRPr="009D71F2">
              <w:rPr>
                <w:rFonts w:ascii="Arial Narrow" w:hAnsi="Arial Narrow"/>
                <w:shd w:val="clear" w:color="auto" w:fill="FFFFFF"/>
              </w:rPr>
              <w:t xml:space="preserve"> </w:t>
            </w:r>
            <w:r w:rsidRPr="009D71F2">
              <w:rPr>
                <w:rFonts w:ascii="Arial Narrow" w:hAnsi="Arial Narrow"/>
                <w:shd w:val="clear" w:color="auto" w:fill="FFFFFF"/>
              </w:rPr>
              <w:t xml:space="preserve">But, of course, if after having heard the parties on the question of costs, either at the original hearing or at a subsequent hearing (as happened in the present case), the Court makes a final order for the costs, there can then be no such “implied understanding”; and such an order is as immutable (subject preceding exceptions) as any other final judgment or order. This exception has thus no application to the present case either.’ </w:t>
            </w:r>
          </w:p>
          <w:p w:rsidR="00301D63" w:rsidRPr="009D71F2" w:rsidRDefault="00301D63" w:rsidP="0021096F">
            <w:pPr>
              <w:spacing w:line="360" w:lineRule="auto"/>
              <w:jc w:val="both"/>
              <w:rPr>
                <w:rFonts w:ascii="Arial Narrow" w:hAnsi="Arial Narrow"/>
                <w:shd w:val="clear" w:color="auto" w:fill="FFFFFF"/>
              </w:rPr>
            </w:pPr>
          </w:p>
          <w:p w:rsidR="0021096F" w:rsidRPr="009D71F2" w:rsidRDefault="0021096F" w:rsidP="0021096F">
            <w:pPr>
              <w:spacing w:line="360" w:lineRule="auto"/>
              <w:jc w:val="both"/>
              <w:rPr>
                <w:rFonts w:ascii="Arial Narrow" w:hAnsi="Arial Narrow"/>
                <w:sz w:val="24"/>
                <w:szCs w:val="24"/>
                <w:shd w:val="clear" w:color="auto" w:fill="FFFFFF"/>
              </w:rPr>
            </w:pPr>
            <w:r w:rsidRPr="009D71F2">
              <w:rPr>
                <w:rFonts w:ascii="Arial Narrow" w:hAnsi="Arial Narrow"/>
                <w:sz w:val="24"/>
                <w:szCs w:val="24"/>
                <w:shd w:val="clear" w:color="auto" w:fill="FFFFFF"/>
              </w:rPr>
              <w:t>[21]</w:t>
            </w:r>
            <w:r w:rsidRPr="009D71F2">
              <w:rPr>
                <w:rFonts w:ascii="Arial Narrow" w:hAnsi="Arial Narrow"/>
                <w:sz w:val="24"/>
                <w:szCs w:val="24"/>
                <w:shd w:val="clear" w:color="auto" w:fill="FFFFFF"/>
              </w:rPr>
              <w:tab/>
              <w:t>The question that should be determined in the current matter is not whether the limitation of the rule 32(11) was argued at the hearing of the matter but whether the issue of cost was argued at all during the hearing.  Having had the opportunity to consider the papers and the transcription of the proceedings</w:t>
            </w:r>
            <w:r w:rsidR="006A0A00" w:rsidRPr="009D71F2">
              <w:rPr>
                <w:rFonts w:ascii="Arial Narrow" w:hAnsi="Arial Narrow"/>
                <w:sz w:val="24"/>
                <w:szCs w:val="24"/>
                <w:shd w:val="clear" w:color="auto" w:fill="FFFFFF"/>
              </w:rPr>
              <w:t>,</w:t>
            </w:r>
            <w:r w:rsidRPr="009D71F2">
              <w:rPr>
                <w:rFonts w:ascii="Arial Narrow" w:hAnsi="Arial Narrow"/>
                <w:sz w:val="24"/>
                <w:szCs w:val="24"/>
                <w:shd w:val="clear" w:color="auto" w:fill="FFFFFF"/>
              </w:rPr>
              <w:t xml:space="preserve"> the issue of cost was never argued. What Ms Kuzeeko refers </w:t>
            </w:r>
            <w:r w:rsidR="006A0A00" w:rsidRPr="009D71F2">
              <w:rPr>
                <w:rFonts w:ascii="Arial Narrow" w:hAnsi="Arial Narrow"/>
                <w:sz w:val="24"/>
                <w:szCs w:val="24"/>
                <w:shd w:val="clear" w:color="auto" w:fill="FFFFFF"/>
              </w:rPr>
              <w:t xml:space="preserve">to as </w:t>
            </w:r>
            <w:r w:rsidRPr="009D71F2">
              <w:rPr>
                <w:rFonts w:ascii="Arial Narrow" w:hAnsi="Arial Narrow"/>
                <w:sz w:val="24"/>
                <w:szCs w:val="24"/>
                <w:shd w:val="clear" w:color="auto" w:fill="FFFFFF"/>
              </w:rPr>
              <w:t xml:space="preserve">an argument on the issue of costs can hardly be regarded as such. It </w:t>
            </w:r>
            <w:r w:rsidR="006A0A00" w:rsidRPr="009D71F2">
              <w:rPr>
                <w:rFonts w:ascii="Arial Narrow" w:hAnsi="Arial Narrow"/>
                <w:sz w:val="24"/>
                <w:szCs w:val="24"/>
                <w:shd w:val="clear" w:color="auto" w:fill="FFFFFF"/>
              </w:rPr>
              <w:t xml:space="preserve">only </w:t>
            </w:r>
            <w:r w:rsidRPr="009D71F2">
              <w:rPr>
                <w:rFonts w:ascii="Arial Narrow" w:hAnsi="Arial Narrow"/>
                <w:sz w:val="24"/>
                <w:szCs w:val="24"/>
                <w:shd w:val="clear" w:color="auto" w:fill="FFFFFF"/>
              </w:rPr>
              <w:t>amount</w:t>
            </w:r>
            <w:r w:rsidR="006A0A00" w:rsidRPr="009D71F2">
              <w:rPr>
                <w:rFonts w:ascii="Arial Narrow" w:hAnsi="Arial Narrow"/>
                <w:sz w:val="24"/>
                <w:szCs w:val="24"/>
                <w:shd w:val="clear" w:color="auto" w:fill="FFFFFF"/>
              </w:rPr>
              <w:t>s</w:t>
            </w:r>
            <w:r w:rsidRPr="009D71F2">
              <w:rPr>
                <w:rFonts w:ascii="Arial Narrow" w:hAnsi="Arial Narrow"/>
                <w:sz w:val="24"/>
                <w:szCs w:val="24"/>
                <w:shd w:val="clear" w:color="auto" w:fill="FFFFFF"/>
              </w:rPr>
              <w:t xml:space="preserve"> to prayer for relief sought. </w:t>
            </w:r>
          </w:p>
          <w:p w:rsidR="00301D63" w:rsidRPr="009D71F2" w:rsidRDefault="00301D63" w:rsidP="0021096F">
            <w:pPr>
              <w:spacing w:line="360" w:lineRule="auto"/>
              <w:jc w:val="both"/>
              <w:rPr>
                <w:rFonts w:ascii="Arial Narrow" w:hAnsi="Arial Narrow"/>
                <w:sz w:val="24"/>
                <w:szCs w:val="24"/>
                <w:shd w:val="clear" w:color="auto" w:fill="FFFFFF"/>
              </w:rPr>
            </w:pPr>
          </w:p>
          <w:p w:rsidR="0021096F" w:rsidRPr="009D71F2" w:rsidRDefault="0021096F" w:rsidP="0021096F">
            <w:pPr>
              <w:widowControl w:val="0"/>
              <w:autoSpaceDE w:val="0"/>
              <w:autoSpaceDN w:val="0"/>
              <w:adjustRightInd w:val="0"/>
              <w:spacing w:after="240" w:line="360" w:lineRule="auto"/>
              <w:jc w:val="both"/>
              <w:rPr>
                <w:rFonts w:ascii="Arial Narrow" w:hAnsi="Arial Narrow" w:cs="Arial"/>
                <w:sz w:val="24"/>
              </w:rPr>
            </w:pPr>
            <w:r w:rsidRPr="009D71F2">
              <w:rPr>
                <w:rFonts w:ascii="Arial Narrow" w:hAnsi="Arial Narrow"/>
                <w:sz w:val="24"/>
                <w:szCs w:val="24"/>
                <w:shd w:val="clear" w:color="auto" w:fill="FFFFFF"/>
              </w:rPr>
              <w:t>[22]</w:t>
            </w:r>
            <w:r w:rsidRPr="009D71F2">
              <w:rPr>
                <w:rFonts w:ascii="Arial Narrow" w:hAnsi="Arial Narrow"/>
                <w:sz w:val="24"/>
                <w:szCs w:val="24"/>
                <w:shd w:val="clear" w:color="auto" w:fill="FFFFFF"/>
              </w:rPr>
              <w:tab/>
              <w:t xml:space="preserve"> Ms Kuzeeko referred the court to </w:t>
            </w:r>
            <w:r w:rsidRPr="009D71F2">
              <w:rPr>
                <w:rFonts w:ascii="Arial Narrow" w:hAnsi="Arial Narrow" w:cs="Arial"/>
                <w:i/>
                <w:sz w:val="24"/>
                <w:szCs w:val="24"/>
              </w:rPr>
              <w:t>South African Poultry Association v The Ministry of Trade and Industry</w:t>
            </w:r>
            <w:r w:rsidRPr="009D71F2">
              <w:rPr>
                <w:rStyle w:val="FootnoteReference"/>
                <w:rFonts w:ascii="Arial" w:hAnsi="Arial" w:cs="Arial"/>
                <w:sz w:val="24"/>
                <w:szCs w:val="24"/>
              </w:rPr>
              <w:footnoteReference w:id="7"/>
            </w:r>
            <w:r w:rsidRPr="009D71F2">
              <w:rPr>
                <w:rFonts w:ascii="Arial" w:hAnsi="Arial" w:cs="Arial"/>
                <w:i/>
                <w:sz w:val="24"/>
                <w:szCs w:val="24"/>
              </w:rPr>
              <w:t>,</w:t>
            </w:r>
            <w:r w:rsidRPr="009D71F2">
              <w:rPr>
                <w:rFonts w:ascii="Arial" w:hAnsi="Arial" w:cs="Arial"/>
                <w:sz w:val="24"/>
                <w:szCs w:val="24"/>
              </w:rPr>
              <w:t xml:space="preserve"> </w:t>
            </w:r>
            <w:r w:rsidRPr="009D71F2">
              <w:rPr>
                <w:rFonts w:ascii="Arial Narrow" w:hAnsi="Arial Narrow" w:cs="Arial"/>
                <w:sz w:val="24"/>
                <w:szCs w:val="24"/>
              </w:rPr>
              <w:t>in motivation</w:t>
            </w:r>
            <w:r w:rsidR="00B4548B">
              <w:rPr>
                <w:rFonts w:ascii="Arial Narrow" w:hAnsi="Arial Narrow" w:cs="Arial"/>
                <w:sz w:val="24"/>
                <w:szCs w:val="24"/>
              </w:rPr>
              <w:t xml:space="preserve"> of</w:t>
            </w:r>
            <w:r w:rsidRPr="009D71F2">
              <w:rPr>
                <w:rFonts w:ascii="Arial Narrow" w:hAnsi="Arial Narrow" w:cs="Arial"/>
                <w:sz w:val="24"/>
                <w:szCs w:val="24"/>
              </w:rPr>
              <w:t xml:space="preserve"> why the applicant would be entitled to cost at a scale not limited to rule 32(11) but one should not lose sight that the SAPA matter also made it very clear that a clear case must be made out if the court is to allow a scale of cost above the upper limits allowed by the rule </w:t>
            </w:r>
            <w:r w:rsidRPr="009D71F2">
              <w:rPr>
                <w:rFonts w:ascii="Arial Narrow" w:hAnsi="Arial Narrow" w:cs="Arial"/>
                <w:sz w:val="24"/>
                <w:szCs w:val="24"/>
                <w:u w:val="single"/>
              </w:rPr>
              <w:t>and</w:t>
            </w:r>
            <w:r w:rsidRPr="009D71F2">
              <w:rPr>
                <w:rFonts w:ascii="Arial Narrow" w:hAnsi="Arial Narrow" w:cs="Arial"/>
                <w:sz w:val="24"/>
                <w:szCs w:val="24"/>
              </w:rPr>
              <w:t xml:space="preserve"> that t</w:t>
            </w:r>
            <w:r w:rsidRPr="009D71F2">
              <w:rPr>
                <w:rFonts w:ascii="Arial Narrow" w:hAnsi="Arial Narrow" w:cs="Arial"/>
              </w:rPr>
              <w:t xml:space="preserve">he onus rests on the party </w:t>
            </w:r>
            <w:r w:rsidRPr="009D71F2">
              <w:rPr>
                <w:rFonts w:ascii="Arial Narrow" w:hAnsi="Arial Narrow" w:cs="Arial"/>
              </w:rPr>
              <w:lastRenderedPageBreak/>
              <w:t>who seeks a higher scale.</w:t>
            </w:r>
            <w:r w:rsidRPr="009D71F2">
              <w:rPr>
                <w:rStyle w:val="FootnoteReference"/>
                <w:rFonts w:ascii="Arial Narrow" w:hAnsi="Arial Narrow" w:cs="Arial"/>
                <w:sz w:val="24"/>
              </w:rPr>
              <w:footnoteReference w:id="8"/>
            </w:r>
          </w:p>
          <w:p w:rsidR="0021096F" w:rsidRPr="009D71F2" w:rsidRDefault="0021096F" w:rsidP="0021096F">
            <w:pPr>
              <w:spacing w:line="360" w:lineRule="auto"/>
              <w:jc w:val="both"/>
              <w:rPr>
                <w:rFonts w:ascii="Arial Narrow" w:hAnsi="Arial Narrow" w:cs="Arial"/>
                <w:sz w:val="24"/>
              </w:rPr>
            </w:pPr>
            <w:r w:rsidRPr="009D71F2">
              <w:rPr>
                <w:rFonts w:ascii="Arial Narrow" w:hAnsi="Arial Narrow" w:cs="Arial"/>
                <w:sz w:val="24"/>
                <w:szCs w:val="24"/>
              </w:rPr>
              <w:t>[23]</w:t>
            </w:r>
            <w:r w:rsidRPr="009D71F2">
              <w:rPr>
                <w:rFonts w:ascii="Arial Narrow" w:hAnsi="Arial Narrow" w:cs="Arial"/>
                <w:sz w:val="24"/>
                <w:szCs w:val="24"/>
              </w:rPr>
              <w:tab/>
              <w:t>I am of the considered view that there was no ambiguity in this court’s order. The fact that the cost order does not include the said limitation does not cause the order to be vague or ambiguous nor does it constitute an omission. The meaning of the order is not obscure or otherwise</w:t>
            </w:r>
            <w:r w:rsidRPr="009D71F2">
              <w:rPr>
                <w:rFonts w:ascii="Arial" w:hAnsi="Arial" w:cs="Arial"/>
                <w:sz w:val="24"/>
              </w:rPr>
              <w:t xml:space="preserve">. </w:t>
            </w:r>
            <w:r w:rsidRPr="009D71F2">
              <w:rPr>
                <w:rFonts w:ascii="Arial Narrow" w:hAnsi="Arial Narrow" w:cs="Arial"/>
                <w:sz w:val="24"/>
              </w:rPr>
              <w:t>I am of the opinion that the provisions of rule 103(1</w:t>
            </w:r>
            <w:r w:rsidR="00486AE3" w:rsidRPr="009D71F2">
              <w:rPr>
                <w:rFonts w:ascii="Arial Narrow" w:hAnsi="Arial Narrow" w:cs="Arial"/>
                <w:sz w:val="24"/>
              </w:rPr>
              <w:t>) (</w:t>
            </w:r>
            <w:r w:rsidRPr="009D71F2">
              <w:rPr>
                <w:rFonts w:ascii="Arial Narrow" w:hAnsi="Arial Narrow" w:cs="Arial"/>
                <w:sz w:val="24"/>
              </w:rPr>
              <w:t>c) does not find application in this matter before me.  I am however of the view that rule 103(1</w:t>
            </w:r>
            <w:r w:rsidR="00486AE3" w:rsidRPr="009D71F2">
              <w:rPr>
                <w:rFonts w:ascii="Arial Narrow" w:hAnsi="Arial Narrow" w:cs="Arial"/>
                <w:sz w:val="24"/>
              </w:rPr>
              <w:t>) (</w:t>
            </w:r>
            <w:r w:rsidRPr="009D71F2">
              <w:rPr>
                <w:rFonts w:ascii="Arial Narrow" w:hAnsi="Arial Narrow" w:cs="Arial"/>
                <w:sz w:val="24"/>
              </w:rPr>
              <w:t>b) would be applicable and because the issue of costs was not argued</w:t>
            </w:r>
            <w:r w:rsidR="00486AE3" w:rsidRPr="009D71F2">
              <w:rPr>
                <w:rFonts w:ascii="Arial Narrow" w:hAnsi="Arial Narrow" w:cs="Arial"/>
                <w:sz w:val="24"/>
              </w:rPr>
              <w:t>,</w:t>
            </w:r>
            <w:r w:rsidRPr="009D71F2">
              <w:rPr>
                <w:rFonts w:ascii="Arial Narrow" w:hAnsi="Arial Narrow" w:cs="Arial"/>
                <w:sz w:val="24"/>
              </w:rPr>
              <w:t xml:space="preserve"> this court would not be </w:t>
            </w:r>
            <w:r w:rsidRPr="009D71F2">
              <w:rPr>
                <w:rFonts w:ascii="Arial Narrow" w:hAnsi="Arial Narrow" w:cs="Arial"/>
                <w:i/>
                <w:sz w:val="24"/>
              </w:rPr>
              <w:t>functus officio.</w:t>
            </w:r>
            <w:r w:rsidRPr="009D71F2">
              <w:rPr>
                <w:rFonts w:ascii="Arial Narrow" w:hAnsi="Arial Narrow" w:cs="Arial"/>
                <w:sz w:val="24"/>
              </w:rPr>
              <w:t xml:space="preserve"> I am of the view that this court should exercise her discretion in favour of both parties and allow them to argue the issue on costs. </w:t>
            </w:r>
          </w:p>
          <w:p w:rsidR="00486AE3" w:rsidRPr="009D71F2" w:rsidRDefault="00486AE3" w:rsidP="0021096F">
            <w:pPr>
              <w:spacing w:line="360" w:lineRule="auto"/>
              <w:jc w:val="both"/>
              <w:rPr>
                <w:rFonts w:ascii="Arial Narrow" w:hAnsi="Arial Narrow" w:cs="Arial"/>
                <w:sz w:val="24"/>
              </w:rPr>
            </w:pPr>
          </w:p>
          <w:p w:rsidR="0021096F" w:rsidRPr="009D71F2" w:rsidRDefault="0021096F" w:rsidP="00FB52AB">
            <w:pPr>
              <w:spacing w:line="360" w:lineRule="auto"/>
              <w:jc w:val="both"/>
              <w:rPr>
                <w:rFonts w:ascii="Arial Narrow" w:hAnsi="Arial Narrow" w:cs="Arial"/>
                <w:sz w:val="24"/>
              </w:rPr>
            </w:pPr>
            <w:r w:rsidRPr="009D71F2">
              <w:rPr>
                <w:rFonts w:ascii="Arial Narrow" w:hAnsi="Arial Narrow" w:cs="Arial"/>
                <w:sz w:val="24"/>
              </w:rPr>
              <w:t>[24]</w:t>
            </w:r>
            <w:r w:rsidRPr="009D71F2">
              <w:rPr>
                <w:rFonts w:ascii="Arial Narrow" w:hAnsi="Arial Narrow" w:cs="Arial"/>
                <w:sz w:val="24"/>
              </w:rPr>
              <w:tab/>
              <w:t>An application in terms of rule 103(1</w:t>
            </w:r>
            <w:r w:rsidR="00301D63" w:rsidRPr="009D71F2">
              <w:rPr>
                <w:rFonts w:ascii="Arial Narrow" w:hAnsi="Arial Narrow" w:cs="Arial"/>
                <w:sz w:val="24"/>
              </w:rPr>
              <w:t>) (</w:t>
            </w:r>
            <w:r w:rsidRPr="009D71F2">
              <w:rPr>
                <w:rFonts w:ascii="Arial Narrow" w:hAnsi="Arial Narrow" w:cs="Arial"/>
                <w:sz w:val="24"/>
              </w:rPr>
              <w:t>b) is expected to be made within a reasonable time</w:t>
            </w:r>
            <w:r w:rsidRPr="009D71F2">
              <w:rPr>
                <w:rStyle w:val="FootnoteReference"/>
                <w:rFonts w:ascii="Arial Narrow" w:hAnsi="Arial Narrow" w:cs="Arial"/>
                <w:sz w:val="24"/>
              </w:rPr>
              <w:footnoteReference w:id="9"/>
            </w:r>
            <w:r w:rsidRPr="009D71F2">
              <w:rPr>
                <w:rFonts w:ascii="Arial Narrow" w:hAnsi="Arial Narrow" w:cs="Arial"/>
                <w:sz w:val="24"/>
              </w:rPr>
              <w:t xml:space="preserve"> and I note that a substantial period has passed from the date of the order to date</w:t>
            </w:r>
            <w:r w:rsidR="00301D63" w:rsidRPr="009D71F2">
              <w:rPr>
                <w:rFonts w:ascii="Arial Narrow" w:hAnsi="Arial Narrow" w:cs="Arial"/>
                <w:sz w:val="24"/>
              </w:rPr>
              <w:t xml:space="preserve"> of the application</w:t>
            </w:r>
            <w:r w:rsidRPr="009D71F2">
              <w:rPr>
                <w:rFonts w:ascii="Arial Narrow" w:hAnsi="Arial Narrow" w:cs="Arial"/>
                <w:sz w:val="24"/>
              </w:rPr>
              <w:t xml:space="preserve">.  However, from the e-file it is clear that the parties for the better part of 2020 attempted to resolve the issue </w:t>
            </w:r>
            <w:r w:rsidR="00B4548B">
              <w:rPr>
                <w:rFonts w:ascii="Arial Narrow" w:hAnsi="Arial Narrow" w:cs="Arial"/>
                <w:sz w:val="24"/>
              </w:rPr>
              <w:t>of costs during taxation but were</w:t>
            </w:r>
            <w:r w:rsidRPr="009D71F2">
              <w:rPr>
                <w:rFonts w:ascii="Arial Narrow" w:hAnsi="Arial Narrow" w:cs="Arial"/>
                <w:sz w:val="24"/>
              </w:rPr>
              <w:t xml:space="preserve"> unable to do so and due to the restrictions caused by the COVID Pandemic it caused a further delay. I am of the view that it would be interest of justice to allow the parties to argue the issue of cost regardless the period of time that lapsed. </w:t>
            </w:r>
          </w:p>
          <w:p w:rsidR="0069233D" w:rsidRPr="009D71F2" w:rsidRDefault="0069233D" w:rsidP="00FB52AB">
            <w:pPr>
              <w:spacing w:line="360" w:lineRule="auto"/>
              <w:jc w:val="both"/>
              <w:rPr>
                <w:rFonts w:ascii="Arial Narrow" w:hAnsi="Arial Narrow" w:cs="Arial"/>
                <w:sz w:val="24"/>
              </w:rPr>
            </w:pPr>
          </w:p>
          <w:p w:rsidR="00FB52AB" w:rsidRPr="009D71F2" w:rsidRDefault="00FB52AB" w:rsidP="00FB52AB">
            <w:pPr>
              <w:spacing w:line="360" w:lineRule="auto"/>
              <w:jc w:val="both"/>
              <w:rPr>
                <w:rFonts w:ascii="Arial Narrow" w:hAnsi="Arial Narrow"/>
                <w:sz w:val="24"/>
                <w:szCs w:val="24"/>
                <w:shd w:val="clear" w:color="auto" w:fill="FFFFFF"/>
              </w:rPr>
            </w:pPr>
            <w:r w:rsidRPr="009D71F2">
              <w:rPr>
                <w:rFonts w:ascii="Arial Narrow" w:hAnsi="Arial Narrow" w:cs="Arial"/>
                <w:sz w:val="24"/>
                <w:szCs w:val="24"/>
              </w:rPr>
              <w:t>[2</w:t>
            </w:r>
            <w:r w:rsidR="0069233D" w:rsidRPr="009D71F2">
              <w:rPr>
                <w:rFonts w:ascii="Arial Narrow" w:hAnsi="Arial Narrow" w:cs="Arial"/>
                <w:sz w:val="24"/>
                <w:szCs w:val="24"/>
              </w:rPr>
              <w:t>5</w:t>
            </w:r>
            <w:r w:rsidRPr="009D71F2">
              <w:rPr>
                <w:rFonts w:ascii="Arial Narrow" w:hAnsi="Arial Narrow" w:cs="Arial"/>
                <w:sz w:val="24"/>
                <w:szCs w:val="24"/>
              </w:rPr>
              <w:t xml:space="preserve">]          </w:t>
            </w:r>
            <w:r w:rsidRPr="009D71F2">
              <w:rPr>
                <w:rFonts w:ascii="Arial Narrow" w:hAnsi="Arial Narrow" w:cs="Arial"/>
                <w:sz w:val="24"/>
                <w:szCs w:val="24"/>
                <w:lang w:val="en-US"/>
              </w:rPr>
              <w:t>My order is therefor set out as above</w:t>
            </w:r>
            <w:r w:rsidR="0069233D" w:rsidRPr="009D71F2">
              <w:rPr>
                <w:rFonts w:ascii="Arial Narrow" w:hAnsi="Arial Narrow" w:cs="Arial"/>
                <w:sz w:val="24"/>
                <w:szCs w:val="24"/>
                <w:lang w:val="en-US"/>
              </w:rPr>
              <w:t>.</w:t>
            </w:r>
          </w:p>
          <w:p w:rsidR="009C2E53" w:rsidRPr="009D71F2" w:rsidRDefault="009C2E53" w:rsidP="0091718C">
            <w:pPr>
              <w:spacing w:line="360" w:lineRule="auto"/>
              <w:jc w:val="both"/>
              <w:rPr>
                <w:rFonts w:ascii="Arial Narrow" w:hAnsi="Arial Narrow" w:cs="Arial"/>
                <w:sz w:val="24"/>
                <w:szCs w:val="24"/>
              </w:rPr>
            </w:pPr>
          </w:p>
        </w:tc>
      </w:tr>
      <w:tr w:rsidR="009C2E53" w:rsidRPr="007C332D" w:rsidTr="006F0D59">
        <w:tc>
          <w:tcPr>
            <w:tcW w:w="4770" w:type="dxa"/>
          </w:tcPr>
          <w:p w:rsidR="009C2E53" w:rsidRPr="007C332D" w:rsidRDefault="005A2AAF" w:rsidP="006F0D59">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p>
        </w:tc>
        <w:tc>
          <w:tcPr>
            <w:tcW w:w="4950" w:type="dxa"/>
            <w:gridSpan w:val="2"/>
          </w:tcPr>
          <w:p w:rsidR="009C2E53" w:rsidRPr="007C332D" w:rsidRDefault="009C2E53" w:rsidP="006F0D59">
            <w:pPr>
              <w:spacing w:line="360" w:lineRule="auto"/>
              <w:jc w:val="center"/>
              <w:rPr>
                <w:rFonts w:ascii="Arial Narrow" w:hAnsi="Arial Narrow" w:cs="Arial"/>
                <w:b/>
                <w:sz w:val="24"/>
                <w:szCs w:val="24"/>
              </w:rPr>
            </w:pPr>
            <w:r w:rsidRPr="007C332D">
              <w:rPr>
                <w:rFonts w:ascii="Arial Narrow" w:hAnsi="Arial Narrow" w:cs="Arial"/>
                <w:b/>
                <w:sz w:val="24"/>
                <w:szCs w:val="24"/>
              </w:rPr>
              <w:t>Note to the parties:</w:t>
            </w:r>
          </w:p>
        </w:tc>
      </w:tr>
      <w:tr w:rsidR="009C2E53" w:rsidRPr="007C332D" w:rsidTr="006F0D59">
        <w:trPr>
          <w:trHeight w:val="1114"/>
        </w:trPr>
        <w:tc>
          <w:tcPr>
            <w:tcW w:w="4770" w:type="dxa"/>
          </w:tcPr>
          <w:p w:rsidR="00BC1704" w:rsidRDefault="00BC1704" w:rsidP="006F0D59">
            <w:pPr>
              <w:spacing w:line="360" w:lineRule="auto"/>
              <w:jc w:val="both"/>
              <w:rPr>
                <w:rFonts w:ascii="Arial Narrow" w:hAnsi="Arial Narrow" w:cs="Arial"/>
                <w:sz w:val="24"/>
                <w:szCs w:val="24"/>
                <w:lang w:val="en-US"/>
              </w:rPr>
            </w:pPr>
          </w:p>
          <w:p w:rsidR="00BC1704" w:rsidRPr="00BC1704" w:rsidRDefault="00BC1704" w:rsidP="00BC1704">
            <w:pPr>
              <w:spacing w:line="360" w:lineRule="auto"/>
              <w:jc w:val="center"/>
              <w:rPr>
                <w:rFonts w:ascii="Arial Narrow" w:hAnsi="Arial Narrow" w:cs="Arial"/>
                <w:b/>
                <w:sz w:val="24"/>
                <w:szCs w:val="24"/>
                <w:lang w:val="en-US"/>
              </w:rPr>
            </w:pPr>
            <w:r w:rsidRPr="00BC1704">
              <w:rPr>
                <w:rFonts w:ascii="Arial Narrow" w:hAnsi="Arial Narrow" w:cs="Arial"/>
                <w:b/>
                <w:sz w:val="24"/>
                <w:szCs w:val="24"/>
                <w:lang w:val="en-US"/>
              </w:rPr>
              <w:t>PRINSLOO</w:t>
            </w:r>
          </w:p>
          <w:p w:rsidR="009C2E53" w:rsidRPr="007C332D" w:rsidRDefault="00BC1704" w:rsidP="00BC1704">
            <w:pPr>
              <w:spacing w:line="360" w:lineRule="auto"/>
              <w:jc w:val="center"/>
              <w:rPr>
                <w:rFonts w:ascii="Arial Narrow" w:hAnsi="Arial Narrow" w:cs="Arial"/>
                <w:sz w:val="24"/>
                <w:szCs w:val="24"/>
              </w:rPr>
            </w:pPr>
            <w:r w:rsidRPr="00BC1704">
              <w:rPr>
                <w:rFonts w:ascii="Arial Narrow" w:hAnsi="Arial Narrow" w:cs="Arial"/>
                <w:sz w:val="24"/>
                <w:szCs w:val="24"/>
                <w:lang w:val="en-US"/>
              </w:rPr>
              <w:t xml:space="preserve"> Judge</w:t>
            </w:r>
          </w:p>
        </w:tc>
        <w:tc>
          <w:tcPr>
            <w:tcW w:w="4950" w:type="dxa"/>
            <w:gridSpan w:val="2"/>
          </w:tcPr>
          <w:p w:rsidR="009C2E53" w:rsidRPr="007C332D" w:rsidRDefault="009C2E53" w:rsidP="006F0D59">
            <w:pPr>
              <w:spacing w:line="360" w:lineRule="auto"/>
              <w:jc w:val="both"/>
              <w:rPr>
                <w:rFonts w:ascii="Arial Narrow" w:hAnsi="Arial Narrow" w:cs="Arial"/>
                <w:sz w:val="24"/>
                <w:szCs w:val="24"/>
              </w:rPr>
            </w:pPr>
            <w:r w:rsidRPr="007C332D">
              <w:rPr>
                <w:rFonts w:ascii="Arial Narrow" w:hAnsi="Arial Narrow" w:cs="Arial"/>
                <w:sz w:val="24"/>
                <w:szCs w:val="24"/>
              </w:rPr>
              <w:t>Not applicable.</w:t>
            </w:r>
          </w:p>
        </w:tc>
      </w:tr>
      <w:tr w:rsidR="009C2E53" w:rsidRPr="007C332D" w:rsidTr="006F0D59">
        <w:tc>
          <w:tcPr>
            <w:tcW w:w="9720" w:type="dxa"/>
            <w:gridSpan w:val="3"/>
          </w:tcPr>
          <w:p w:rsidR="009C2E53" w:rsidRPr="007C332D" w:rsidRDefault="009C2E53" w:rsidP="006F0D59">
            <w:pPr>
              <w:spacing w:line="360" w:lineRule="auto"/>
              <w:jc w:val="center"/>
              <w:rPr>
                <w:rFonts w:ascii="Arial Narrow" w:hAnsi="Arial Narrow" w:cs="Arial"/>
                <w:b/>
                <w:sz w:val="24"/>
                <w:szCs w:val="24"/>
              </w:rPr>
            </w:pPr>
            <w:r w:rsidRPr="007C332D">
              <w:rPr>
                <w:rFonts w:ascii="Arial Narrow" w:hAnsi="Arial Narrow" w:cs="Arial"/>
                <w:b/>
                <w:sz w:val="24"/>
                <w:szCs w:val="24"/>
              </w:rPr>
              <w:t>Counsel:</w:t>
            </w:r>
          </w:p>
        </w:tc>
      </w:tr>
      <w:tr w:rsidR="009C2E53" w:rsidRPr="007C332D" w:rsidTr="006F0D59">
        <w:tc>
          <w:tcPr>
            <w:tcW w:w="4770" w:type="dxa"/>
          </w:tcPr>
          <w:p w:rsidR="009C2E53" w:rsidRPr="007C332D" w:rsidRDefault="009C2E53" w:rsidP="006F0D59">
            <w:pPr>
              <w:spacing w:line="360" w:lineRule="auto"/>
              <w:jc w:val="center"/>
              <w:rPr>
                <w:rFonts w:ascii="Arial Narrow" w:hAnsi="Arial Narrow" w:cs="Arial"/>
                <w:b/>
                <w:sz w:val="24"/>
                <w:szCs w:val="24"/>
              </w:rPr>
            </w:pPr>
            <w:r w:rsidRPr="007C332D">
              <w:rPr>
                <w:rFonts w:ascii="Arial Narrow" w:hAnsi="Arial Narrow" w:cs="Arial"/>
                <w:b/>
                <w:sz w:val="24"/>
                <w:szCs w:val="24"/>
              </w:rPr>
              <w:t>Applicant</w:t>
            </w:r>
          </w:p>
        </w:tc>
        <w:tc>
          <w:tcPr>
            <w:tcW w:w="4950" w:type="dxa"/>
            <w:gridSpan w:val="2"/>
          </w:tcPr>
          <w:p w:rsidR="009C2E53" w:rsidRPr="007C332D" w:rsidRDefault="009C2E53" w:rsidP="006F0D59">
            <w:pPr>
              <w:spacing w:line="360" w:lineRule="auto"/>
              <w:jc w:val="center"/>
              <w:rPr>
                <w:rFonts w:ascii="Arial Narrow" w:hAnsi="Arial Narrow" w:cs="Arial"/>
                <w:b/>
                <w:sz w:val="24"/>
                <w:szCs w:val="24"/>
              </w:rPr>
            </w:pPr>
            <w:r w:rsidRPr="007C332D">
              <w:rPr>
                <w:rFonts w:ascii="Arial Narrow" w:hAnsi="Arial Narrow" w:cs="Arial"/>
                <w:b/>
                <w:sz w:val="24"/>
                <w:szCs w:val="24"/>
              </w:rPr>
              <w:t xml:space="preserve"> Respondent</w:t>
            </w:r>
          </w:p>
        </w:tc>
      </w:tr>
      <w:tr w:rsidR="009C2E53" w:rsidRPr="007C332D" w:rsidTr="006F0D59">
        <w:tc>
          <w:tcPr>
            <w:tcW w:w="4770" w:type="dxa"/>
          </w:tcPr>
          <w:p w:rsidR="00616F75" w:rsidRPr="007C332D" w:rsidRDefault="0021096F" w:rsidP="00616F75">
            <w:pPr>
              <w:spacing w:line="360" w:lineRule="auto"/>
              <w:jc w:val="center"/>
              <w:rPr>
                <w:rFonts w:ascii="Arial Narrow" w:hAnsi="Arial Narrow" w:cs="Arial"/>
                <w:sz w:val="24"/>
                <w:szCs w:val="24"/>
              </w:rPr>
            </w:pPr>
            <w:r>
              <w:rPr>
                <w:rFonts w:ascii="Arial Narrow" w:hAnsi="Arial Narrow" w:cs="Arial"/>
                <w:sz w:val="24"/>
                <w:szCs w:val="24"/>
              </w:rPr>
              <w:t>Ms. M Kuzeeko</w:t>
            </w:r>
          </w:p>
          <w:p w:rsidR="00AD7322" w:rsidRPr="007C332D" w:rsidRDefault="0021096F" w:rsidP="00AD7322">
            <w:pPr>
              <w:spacing w:line="360" w:lineRule="auto"/>
              <w:jc w:val="center"/>
              <w:rPr>
                <w:rFonts w:ascii="Arial Narrow" w:hAnsi="Arial Narrow" w:cs="Arial"/>
                <w:sz w:val="24"/>
                <w:szCs w:val="24"/>
              </w:rPr>
            </w:pPr>
            <w:r>
              <w:rPr>
                <w:rFonts w:ascii="Arial Narrow" w:hAnsi="Arial Narrow" w:cs="Arial"/>
                <w:sz w:val="24"/>
                <w:szCs w:val="24"/>
              </w:rPr>
              <w:t>of</w:t>
            </w:r>
          </w:p>
          <w:p w:rsidR="009C2E53" w:rsidRPr="007C332D" w:rsidRDefault="00B4548B" w:rsidP="00616F75">
            <w:pPr>
              <w:spacing w:line="360" w:lineRule="auto"/>
              <w:jc w:val="center"/>
              <w:rPr>
                <w:rFonts w:ascii="Arial Narrow" w:hAnsi="Arial Narrow" w:cs="Arial"/>
                <w:sz w:val="24"/>
                <w:szCs w:val="24"/>
              </w:rPr>
            </w:pPr>
            <w:r>
              <w:rPr>
                <w:rFonts w:ascii="Arial Narrow" w:hAnsi="Arial Narrow" w:cs="Arial"/>
                <w:sz w:val="24"/>
                <w:szCs w:val="24"/>
              </w:rPr>
              <w:t>Dr Weder, Kauta &amp;</w:t>
            </w:r>
            <w:r w:rsidR="0021096F">
              <w:rPr>
                <w:rFonts w:ascii="Arial Narrow" w:hAnsi="Arial Narrow" w:cs="Arial"/>
                <w:sz w:val="24"/>
                <w:szCs w:val="24"/>
              </w:rPr>
              <w:t xml:space="preserve"> Hoveka</w:t>
            </w:r>
          </w:p>
        </w:tc>
        <w:tc>
          <w:tcPr>
            <w:tcW w:w="4950" w:type="dxa"/>
            <w:gridSpan w:val="2"/>
          </w:tcPr>
          <w:p w:rsidR="00616F75" w:rsidRPr="002E66C4" w:rsidRDefault="0021096F" w:rsidP="00616F75">
            <w:pPr>
              <w:spacing w:line="360" w:lineRule="auto"/>
              <w:jc w:val="center"/>
              <w:rPr>
                <w:rFonts w:ascii="Arial Narrow" w:hAnsi="Arial Narrow" w:cs="Arial"/>
                <w:sz w:val="24"/>
                <w:szCs w:val="24"/>
              </w:rPr>
            </w:pPr>
            <w:r>
              <w:rPr>
                <w:rFonts w:ascii="Arial Narrow" w:hAnsi="Arial Narrow" w:cs="Arial"/>
                <w:sz w:val="24"/>
                <w:szCs w:val="24"/>
              </w:rPr>
              <w:t>Ms</w:t>
            </w:r>
            <w:r w:rsidR="00301D63">
              <w:rPr>
                <w:rFonts w:ascii="Arial Narrow" w:hAnsi="Arial Narrow" w:cs="Arial"/>
                <w:sz w:val="24"/>
                <w:szCs w:val="24"/>
              </w:rPr>
              <w:t>.</w:t>
            </w:r>
            <w:r>
              <w:rPr>
                <w:rFonts w:ascii="Arial Narrow" w:hAnsi="Arial Narrow" w:cs="Arial"/>
                <w:sz w:val="24"/>
                <w:szCs w:val="24"/>
              </w:rPr>
              <w:t xml:space="preserve"> K Simson</w:t>
            </w:r>
          </w:p>
          <w:p w:rsidR="00616F75" w:rsidRPr="002E66C4" w:rsidRDefault="00B477A7" w:rsidP="00616F75">
            <w:pPr>
              <w:spacing w:line="360" w:lineRule="auto"/>
              <w:jc w:val="center"/>
              <w:rPr>
                <w:rFonts w:ascii="Arial Narrow" w:hAnsi="Arial Narrow" w:cs="Arial"/>
                <w:sz w:val="24"/>
                <w:szCs w:val="24"/>
              </w:rPr>
            </w:pPr>
            <w:r>
              <w:rPr>
                <w:rFonts w:ascii="Arial Narrow" w:hAnsi="Arial Narrow" w:cs="Arial"/>
                <w:sz w:val="24"/>
                <w:szCs w:val="24"/>
              </w:rPr>
              <w:t>of</w:t>
            </w:r>
          </w:p>
          <w:p w:rsidR="009C2E53" w:rsidRPr="007C332D" w:rsidRDefault="0021096F" w:rsidP="00616F75">
            <w:pPr>
              <w:spacing w:line="360" w:lineRule="auto"/>
              <w:jc w:val="center"/>
              <w:rPr>
                <w:rFonts w:ascii="Arial Narrow" w:hAnsi="Arial Narrow" w:cs="Arial"/>
                <w:sz w:val="24"/>
                <w:szCs w:val="24"/>
              </w:rPr>
            </w:pPr>
            <w:r>
              <w:rPr>
                <w:rFonts w:ascii="Arial Narrow" w:hAnsi="Arial Narrow" w:cs="Arial"/>
                <w:sz w:val="24"/>
                <w:szCs w:val="24"/>
                <w:shd w:val="clear" w:color="auto" w:fill="FFFFFF"/>
              </w:rPr>
              <w:t>Sisa Namandje &amp; Co Inc.</w:t>
            </w:r>
          </w:p>
        </w:tc>
      </w:tr>
    </w:tbl>
    <w:p w:rsidR="006F0D59" w:rsidRPr="007C332D" w:rsidRDefault="006F0D59" w:rsidP="00BC1704">
      <w:pPr>
        <w:rPr>
          <w:rFonts w:ascii="Arial Narrow" w:hAnsi="Arial Narrow"/>
        </w:rPr>
      </w:pPr>
    </w:p>
    <w:sectPr w:rsidR="006F0D59" w:rsidRPr="007C332D" w:rsidSect="0092145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9A" w:rsidRDefault="00981B9A" w:rsidP="009C2E53">
      <w:pPr>
        <w:spacing w:after="0" w:line="240" w:lineRule="auto"/>
      </w:pPr>
      <w:r>
        <w:separator/>
      </w:r>
    </w:p>
  </w:endnote>
  <w:endnote w:type="continuationSeparator" w:id="0">
    <w:p w:rsidR="00981B9A" w:rsidRDefault="00981B9A"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9A" w:rsidRDefault="00981B9A" w:rsidP="009C2E53">
      <w:pPr>
        <w:spacing w:after="0" w:line="240" w:lineRule="auto"/>
      </w:pPr>
      <w:r>
        <w:separator/>
      </w:r>
    </w:p>
  </w:footnote>
  <w:footnote w:type="continuationSeparator" w:id="0">
    <w:p w:rsidR="00981B9A" w:rsidRDefault="00981B9A" w:rsidP="009C2E53">
      <w:pPr>
        <w:spacing w:after="0" w:line="240" w:lineRule="auto"/>
      </w:pPr>
      <w:r>
        <w:continuationSeparator/>
      </w:r>
    </w:p>
  </w:footnote>
  <w:footnote w:id="1">
    <w:p w:rsidR="0021096F" w:rsidRPr="00D41E7D" w:rsidRDefault="0021096F" w:rsidP="00D41E7D">
      <w:pPr>
        <w:pStyle w:val="FootnoteText"/>
        <w:spacing w:line="360" w:lineRule="auto"/>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w:t>
      </w:r>
      <w:r w:rsidR="00D41E7D" w:rsidRPr="00D41E7D">
        <w:rPr>
          <w:rFonts w:ascii="Arial Narrow" w:hAnsi="Arial Narrow"/>
          <w:i/>
          <w:lang w:val="en-US"/>
        </w:rPr>
        <w:t>South African Poultry Association and Others v Ministry of Trade and Industry and Others</w:t>
      </w:r>
      <w:r w:rsidR="00D41E7D" w:rsidRPr="00D41E7D">
        <w:rPr>
          <w:rFonts w:ascii="Arial Narrow" w:hAnsi="Arial Narrow"/>
          <w:lang w:val="en-US"/>
        </w:rPr>
        <w:t xml:space="preserve"> </w:t>
      </w:r>
      <w:r w:rsidR="00AE6F26" w:rsidRPr="00D41E7D">
        <w:rPr>
          <w:rFonts w:ascii="Arial Narrow" w:hAnsi="Arial Narrow" w:cs="Arial"/>
        </w:rPr>
        <w:t>(A 94/2014) [2014] NAHCMD 331 (07 November 2014) at para 67</w:t>
      </w:r>
      <w:r w:rsidR="008936E2" w:rsidRPr="00D41E7D">
        <w:rPr>
          <w:rFonts w:ascii="Arial Narrow" w:hAnsi="Arial Narrow" w:cs="Arial"/>
        </w:rPr>
        <w:t>.</w:t>
      </w:r>
    </w:p>
  </w:footnote>
  <w:footnote w:id="2">
    <w:p w:rsidR="0021096F" w:rsidRPr="00D41E7D" w:rsidRDefault="0021096F" w:rsidP="00D41E7D">
      <w:pPr>
        <w:pStyle w:val="FootnoteText"/>
        <w:spacing w:line="360" w:lineRule="auto"/>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Para 9 of the Founding Affidavit.</w:t>
      </w:r>
    </w:p>
  </w:footnote>
  <w:footnote w:id="3">
    <w:p w:rsidR="0021096F" w:rsidRPr="00D41E7D" w:rsidRDefault="0021096F" w:rsidP="00D41E7D">
      <w:pPr>
        <w:pStyle w:val="FootnoteText"/>
        <w:spacing w:line="360" w:lineRule="auto"/>
        <w:rPr>
          <w:rFonts w:ascii="Arial Narrow" w:hAnsi="Arial Narrow"/>
          <w:color w:val="FF0000"/>
        </w:rPr>
      </w:pPr>
      <w:r w:rsidRPr="00D41E7D">
        <w:rPr>
          <w:rStyle w:val="FootnoteReference"/>
          <w:rFonts w:ascii="Arial Narrow" w:hAnsi="Arial Narrow"/>
        </w:rPr>
        <w:footnoteRef/>
      </w:r>
      <w:r w:rsidRPr="00D41E7D">
        <w:rPr>
          <w:rFonts w:ascii="Arial Narrow" w:hAnsi="Arial Narrow"/>
        </w:rPr>
        <w:t xml:space="preserve"> </w:t>
      </w:r>
      <w:r w:rsidR="00D41E7D" w:rsidRPr="00D41E7D">
        <w:rPr>
          <w:rFonts w:ascii="Arial Narrow" w:hAnsi="Arial Narrow"/>
          <w:i/>
          <w:lang w:val="en-US"/>
        </w:rPr>
        <w:t>Karlsruh Number One Farming Closes Corporation v De Wet Esterhuizen</w:t>
      </w:r>
      <w:r w:rsidR="00D41E7D" w:rsidRPr="00D41E7D">
        <w:rPr>
          <w:rFonts w:ascii="Arial Narrow" w:hAnsi="Arial Narrow"/>
          <w:lang w:val="en-US"/>
        </w:rPr>
        <w:t xml:space="preserve"> </w:t>
      </w:r>
      <w:r w:rsidRPr="00D41E7D">
        <w:rPr>
          <w:rFonts w:ascii="Arial Narrow" w:hAnsi="Arial Narrow"/>
        </w:rPr>
        <w:t>(HC-MD-CIV-ACT-DEL-2016/02394) NAHCMD 225</w:t>
      </w:r>
      <w:r w:rsidR="00FB52AB" w:rsidRPr="00D41E7D">
        <w:rPr>
          <w:rFonts w:ascii="Arial Narrow" w:hAnsi="Arial Narrow"/>
        </w:rPr>
        <w:t xml:space="preserve"> (16 June 2020)</w:t>
      </w:r>
      <w:r w:rsidRPr="00D41E7D">
        <w:rPr>
          <w:rFonts w:ascii="Arial Narrow" w:hAnsi="Arial Narrow"/>
        </w:rPr>
        <w:t xml:space="preserve"> at para 18.</w:t>
      </w:r>
    </w:p>
  </w:footnote>
  <w:footnote w:id="4">
    <w:p w:rsidR="0021096F" w:rsidRPr="00D41E7D" w:rsidRDefault="0021096F" w:rsidP="00D41E7D">
      <w:pPr>
        <w:pStyle w:val="FootnoteText"/>
        <w:spacing w:line="360" w:lineRule="auto"/>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w:t>
      </w:r>
      <w:r w:rsidR="00D41E7D" w:rsidRPr="00D41E7D">
        <w:rPr>
          <w:rFonts w:ascii="Arial Narrow" w:hAnsi="Arial Narrow"/>
          <w:i/>
          <w:lang w:val="en-US"/>
        </w:rPr>
        <w:t>Ngede v Davey’s Micro Construction CC</w:t>
      </w:r>
      <w:r w:rsidR="00D41E7D" w:rsidRPr="00D41E7D">
        <w:rPr>
          <w:rFonts w:ascii="Arial Narrow" w:hAnsi="Arial Narrow"/>
          <w:lang w:val="en-US"/>
        </w:rPr>
        <w:t xml:space="preserve"> </w:t>
      </w:r>
      <w:r w:rsidRPr="00D41E7D">
        <w:rPr>
          <w:rFonts w:ascii="Arial Narrow" w:hAnsi="Arial Narrow"/>
        </w:rPr>
        <w:t>(SA 5/2014)[2016] NASC 4 (27 October 2016).</w:t>
      </w:r>
    </w:p>
  </w:footnote>
  <w:footnote w:id="5">
    <w:p w:rsidR="0021096F" w:rsidRPr="00D41E7D" w:rsidRDefault="0021096F" w:rsidP="00D41E7D">
      <w:pPr>
        <w:pStyle w:val="FootnoteText"/>
        <w:spacing w:line="360" w:lineRule="auto"/>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w:t>
      </w:r>
      <w:r w:rsidRPr="00D41E7D">
        <w:rPr>
          <w:rFonts w:ascii="Arial Narrow" w:hAnsi="Arial Narrow"/>
          <w:i/>
          <w:iCs/>
          <w:shd w:val="clear" w:color="auto" w:fill="FFFFFF"/>
        </w:rPr>
        <w:t>Firestone South Africa (Pty) Ltd v Gentiruco AG</w:t>
      </w:r>
      <w:r w:rsidRPr="00D41E7D">
        <w:rPr>
          <w:rFonts w:ascii="Arial Narrow" w:hAnsi="Arial Narrow"/>
          <w:sz w:val="24"/>
          <w:szCs w:val="24"/>
          <w:shd w:val="clear" w:color="auto" w:fill="FFFFFF"/>
        </w:rPr>
        <w:t> </w:t>
      </w:r>
      <w:hyperlink r:id="rId1" w:tooltip="View LawCiteRecord" w:history="1">
        <w:r w:rsidRPr="00D41E7D">
          <w:rPr>
            <w:rStyle w:val="Hyperlink"/>
            <w:rFonts w:ascii="Arial Narrow" w:hAnsi="Arial Narrow"/>
            <w:bCs/>
            <w:color w:val="auto"/>
            <w:u w:val="none"/>
            <w:shd w:val="clear" w:color="auto" w:fill="FFFFFF"/>
          </w:rPr>
          <w:t>1977 (4) SA 298</w:t>
        </w:r>
      </w:hyperlink>
      <w:r w:rsidRPr="00D41E7D">
        <w:rPr>
          <w:rFonts w:ascii="Arial Narrow" w:hAnsi="Arial Narrow"/>
          <w:shd w:val="clear" w:color="auto" w:fill="FFFFFF"/>
        </w:rPr>
        <w:t> (A) 306 F-G.</w:t>
      </w:r>
    </w:p>
  </w:footnote>
  <w:footnote w:id="6">
    <w:p w:rsidR="0021096F" w:rsidRPr="00D41E7D" w:rsidRDefault="0021096F" w:rsidP="00D41E7D">
      <w:pPr>
        <w:pStyle w:val="FootnoteText"/>
        <w:spacing w:line="360" w:lineRule="auto"/>
        <w:jc w:val="both"/>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Supra at 307-308 G-A. Also see </w:t>
      </w:r>
      <w:r w:rsidRPr="00D41E7D">
        <w:rPr>
          <w:rFonts w:ascii="Arial Narrow" w:hAnsi="Arial Narrow"/>
          <w:shd w:val="clear" w:color="auto" w:fill="FFFFFF"/>
        </w:rPr>
        <w:t>the approach in </w:t>
      </w:r>
      <w:r w:rsidRPr="00D41E7D">
        <w:rPr>
          <w:rFonts w:ascii="Arial Narrow" w:hAnsi="Arial Narrow"/>
          <w:i/>
          <w:iCs/>
          <w:shd w:val="clear" w:color="auto" w:fill="FFFFFF"/>
        </w:rPr>
        <w:t>Pogrund v Yutar</w:t>
      </w:r>
      <w:r w:rsidRPr="00D41E7D">
        <w:rPr>
          <w:rFonts w:ascii="Arial Narrow" w:hAnsi="Arial Narrow"/>
          <w:shd w:val="clear" w:color="auto" w:fill="FFFFFF"/>
        </w:rPr>
        <w:t> </w:t>
      </w:r>
      <w:hyperlink r:id="rId2" w:tooltip="View LawCiteRecord" w:history="1">
        <w:r w:rsidRPr="00D41E7D">
          <w:rPr>
            <w:rStyle w:val="Hyperlink"/>
            <w:rFonts w:ascii="Arial Narrow" w:hAnsi="Arial Narrow"/>
            <w:bCs/>
            <w:color w:val="auto"/>
            <w:u w:val="none"/>
            <w:shd w:val="clear" w:color="auto" w:fill="FFFFFF"/>
          </w:rPr>
          <w:t>1968 (1) SA 395</w:t>
        </w:r>
      </w:hyperlink>
      <w:r w:rsidRPr="00D41E7D">
        <w:rPr>
          <w:rFonts w:ascii="Arial Narrow" w:hAnsi="Arial Narrow"/>
          <w:shd w:val="clear" w:color="auto" w:fill="FFFFFF"/>
        </w:rPr>
        <w:t> (A) 397G - 398C and in</w:t>
      </w:r>
      <w:r w:rsidRPr="00D41E7D">
        <w:rPr>
          <w:rFonts w:ascii="Arial Narrow" w:hAnsi="Arial Narrow"/>
          <w:i/>
          <w:iCs/>
          <w:shd w:val="clear" w:color="auto" w:fill="FFFFFF"/>
        </w:rPr>
        <w:t> Ex parte Barclays Bank</w:t>
      </w:r>
      <w:r w:rsidRPr="00D41E7D">
        <w:rPr>
          <w:rFonts w:ascii="Arial Narrow" w:hAnsi="Arial Narrow"/>
          <w:shd w:val="clear" w:color="auto" w:fill="FFFFFF"/>
        </w:rPr>
        <w:t> </w:t>
      </w:r>
      <w:hyperlink r:id="rId3" w:tooltip="View LawCiteRecord" w:history="1">
        <w:r w:rsidRPr="00D41E7D">
          <w:rPr>
            <w:rStyle w:val="Hyperlink"/>
            <w:rFonts w:ascii="Arial Narrow" w:hAnsi="Arial Narrow"/>
            <w:bCs/>
            <w:color w:val="auto"/>
            <w:u w:val="none"/>
            <w:shd w:val="clear" w:color="auto" w:fill="FFFFFF"/>
          </w:rPr>
          <w:t>1936 AD 481).</w:t>
        </w:r>
      </w:hyperlink>
    </w:p>
  </w:footnote>
  <w:footnote w:id="7">
    <w:p w:rsidR="0021096F" w:rsidRPr="00D41E7D" w:rsidRDefault="0021096F" w:rsidP="00D41E7D">
      <w:pPr>
        <w:pStyle w:val="FootnoteText"/>
        <w:spacing w:line="360" w:lineRule="auto"/>
        <w:jc w:val="both"/>
        <w:rPr>
          <w:rFonts w:ascii="Arial Narrow" w:hAnsi="Arial Narrow"/>
        </w:rPr>
      </w:pPr>
      <w:r w:rsidRPr="00D41E7D">
        <w:rPr>
          <w:rStyle w:val="FootnoteReference"/>
          <w:rFonts w:ascii="Arial Narrow" w:hAnsi="Arial Narrow" w:cs="Arial"/>
        </w:rPr>
        <w:footnoteRef/>
      </w:r>
      <w:r w:rsidRPr="00D41E7D">
        <w:rPr>
          <w:rFonts w:ascii="Arial Narrow" w:hAnsi="Arial Narrow" w:cs="Arial"/>
        </w:rPr>
        <w:t xml:space="preserve"> </w:t>
      </w:r>
      <w:r w:rsidR="00D41E7D" w:rsidRPr="00D41E7D">
        <w:rPr>
          <w:rFonts w:ascii="Arial Narrow" w:hAnsi="Arial Narrow" w:cs="Arial"/>
          <w:i/>
          <w:lang w:val="en-US"/>
        </w:rPr>
        <w:t>South African Poultry Association v The Ministry of Trade and Industry</w:t>
      </w:r>
      <w:r w:rsidR="00D41E7D" w:rsidRPr="00D41E7D">
        <w:rPr>
          <w:rFonts w:ascii="Arial Narrow" w:hAnsi="Arial Narrow" w:cs="Arial"/>
          <w:lang w:val="en-US"/>
        </w:rPr>
        <w:t xml:space="preserve"> </w:t>
      </w:r>
      <w:r w:rsidRPr="00D41E7D">
        <w:rPr>
          <w:rFonts w:ascii="Arial Narrow" w:hAnsi="Arial Narrow" w:cs="Arial"/>
          <w:color w:val="000000"/>
        </w:rPr>
        <w:t>(A 94/2014) [2014] NAHCMD 331 (07 November 2014), paragraph 67.</w:t>
      </w:r>
      <w:r w:rsidR="00486AE3" w:rsidRPr="00D41E7D">
        <w:rPr>
          <w:rFonts w:ascii="Arial Narrow" w:hAnsi="Arial Narrow" w:cs="Arial"/>
          <w:color w:val="000000"/>
        </w:rPr>
        <w:t xml:space="preserve"> </w:t>
      </w:r>
    </w:p>
  </w:footnote>
  <w:footnote w:id="8">
    <w:p w:rsidR="0021096F" w:rsidRPr="00D41E7D" w:rsidRDefault="0021096F" w:rsidP="00D41E7D">
      <w:pPr>
        <w:pStyle w:val="FootnoteText"/>
        <w:spacing w:line="360" w:lineRule="auto"/>
        <w:jc w:val="both"/>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Supra at para 67.</w:t>
      </w:r>
    </w:p>
  </w:footnote>
  <w:footnote w:id="9">
    <w:p w:rsidR="0021096F" w:rsidRPr="00D41E7D" w:rsidRDefault="0021096F" w:rsidP="00D41E7D">
      <w:pPr>
        <w:pStyle w:val="FootnoteText"/>
        <w:spacing w:line="360" w:lineRule="auto"/>
        <w:jc w:val="both"/>
        <w:rPr>
          <w:rFonts w:ascii="Arial Narrow" w:hAnsi="Arial Narrow"/>
        </w:rPr>
      </w:pPr>
      <w:r w:rsidRPr="00D41E7D">
        <w:rPr>
          <w:rStyle w:val="FootnoteReference"/>
          <w:rFonts w:ascii="Arial Narrow" w:hAnsi="Arial Narrow"/>
        </w:rPr>
        <w:footnoteRef/>
      </w:r>
      <w:r w:rsidRPr="00D41E7D">
        <w:rPr>
          <w:rFonts w:ascii="Arial Narrow" w:hAnsi="Arial Narrow"/>
        </w:rPr>
        <w:t xml:space="preserve"> </w:t>
      </w:r>
      <w:r w:rsidRPr="00D41E7D">
        <w:rPr>
          <w:rFonts w:ascii="Arial Narrow" w:hAnsi="Arial Narrow"/>
          <w:i/>
          <w:iCs/>
          <w:shd w:val="clear" w:color="auto" w:fill="FFFFFF"/>
        </w:rPr>
        <w:t>Pogrund v Yutar</w:t>
      </w:r>
      <w:r w:rsidRPr="00D41E7D">
        <w:rPr>
          <w:rFonts w:ascii="Arial Narrow" w:hAnsi="Arial Narrow"/>
          <w:shd w:val="clear" w:color="auto" w:fill="FFFFFF"/>
        </w:rPr>
        <w:t> </w:t>
      </w:r>
      <w:hyperlink r:id="rId4" w:tooltip="View LawCiteRecord" w:history="1">
        <w:r w:rsidRPr="00D41E7D">
          <w:rPr>
            <w:rStyle w:val="Hyperlink"/>
            <w:rFonts w:ascii="Arial Narrow" w:hAnsi="Arial Narrow"/>
            <w:bCs/>
            <w:color w:val="auto"/>
            <w:u w:val="none"/>
            <w:shd w:val="clear" w:color="auto" w:fill="FFFFFF"/>
          </w:rPr>
          <w:t>1968 (1) SA 395</w:t>
        </w:r>
      </w:hyperlink>
      <w:r w:rsidRPr="00D41E7D">
        <w:rPr>
          <w:rFonts w:ascii="Arial Narrow" w:hAnsi="Arial Narrow"/>
          <w:shd w:val="clear" w:color="auto" w:fill="FFFFFF"/>
        </w:rPr>
        <w:t xml:space="preserve"> (A) 397D-E; </w:t>
      </w:r>
      <w:r w:rsidRPr="00D41E7D">
        <w:rPr>
          <w:rFonts w:ascii="Arial Narrow" w:hAnsi="Arial Narrow"/>
          <w:i/>
          <w:iCs/>
          <w:shd w:val="clear" w:color="auto" w:fill="FFFFFF"/>
        </w:rPr>
        <w:t>Estate Garlick's</w:t>
      </w:r>
      <w:r w:rsidRPr="00D41E7D">
        <w:rPr>
          <w:rFonts w:ascii="Arial Narrow" w:hAnsi="Arial Narrow"/>
          <w:shd w:val="clear" w:color="auto" w:fill="FFFFFF"/>
        </w:rPr>
        <w:t xml:space="preserve"> V Commissioner for Inland Revenue </w:t>
      </w:r>
      <w:hyperlink r:id="rId5" w:tooltip="View LawCiteRecord" w:history="1">
        <w:r w:rsidRPr="00D41E7D">
          <w:rPr>
            <w:rStyle w:val="Hyperlink"/>
            <w:rFonts w:ascii="Arial Narrow" w:hAnsi="Arial Narrow"/>
            <w:bCs/>
            <w:color w:val="auto"/>
            <w:u w:val="none"/>
            <w:shd w:val="clear" w:color="auto" w:fill="FFFFFF"/>
          </w:rPr>
          <w:t xml:space="preserve">1934 AD </w:t>
        </w:r>
        <w:r w:rsidRPr="00D41E7D">
          <w:rPr>
            <w:rStyle w:val="Hyperlink"/>
            <w:rFonts w:ascii="Arial Narrow" w:hAnsi="Arial Narrow"/>
            <w:bCs/>
            <w:color w:val="auto"/>
            <w:shd w:val="clear" w:color="auto" w:fill="FFFFFF"/>
          </w:rPr>
          <w:t>at 505.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726108">
          <w:rPr>
            <w:rFonts w:ascii="Arial Narrow" w:hAnsi="Arial Narrow"/>
            <w:noProof/>
          </w:rPr>
          <w:t>7</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E3524D"/>
    <w:multiLevelType w:val="hybridMultilevel"/>
    <w:tmpl w:val="E9A89838"/>
    <w:lvl w:ilvl="0" w:tplc="77C0793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C02EB"/>
    <w:multiLevelType w:val="hybridMultilevel"/>
    <w:tmpl w:val="80A0FD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D308D"/>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D846B1"/>
    <w:multiLevelType w:val="hybridMultilevel"/>
    <w:tmpl w:val="8EACFECE"/>
    <w:lvl w:ilvl="0" w:tplc="87C88C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1"/>
  </w:num>
  <w:num w:numId="3">
    <w:abstractNumId w:val="2"/>
  </w:num>
  <w:num w:numId="4">
    <w:abstractNumId w:val="9"/>
  </w:num>
  <w:num w:numId="5">
    <w:abstractNumId w:val="8"/>
  </w:num>
  <w:num w:numId="6">
    <w:abstractNumId w:val="5"/>
  </w:num>
  <w:num w:numId="7">
    <w:abstractNumId w:val="12"/>
  </w:num>
  <w:num w:numId="8">
    <w:abstractNumId w:val="7"/>
  </w:num>
  <w:num w:numId="9">
    <w:abstractNumId w:val="4"/>
  </w:num>
  <w:num w:numId="10">
    <w:abstractNumId w:val="3"/>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151DD"/>
    <w:rsid w:val="00025639"/>
    <w:rsid w:val="000424AD"/>
    <w:rsid w:val="00046770"/>
    <w:rsid w:val="000736B6"/>
    <w:rsid w:val="000A193C"/>
    <w:rsid w:val="000B2A0C"/>
    <w:rsid w:val="000B2FEC"/>
    <w:rsid w:val="000C61B9"/>
    <w:rsid w:val="000C665C"/>
    <w:rsid w:val="000D4D37"/>
    <w:rsid w:val="0010178E"/>
    <w:rsid w:val="00110D9A"/>
    <w:rsid w:val="0013278F"/>
    <w:rsid w:val="00137D18"/>
    <w:rsid w:val="00140C7F"/>
    <w:rsid w:val="0014516C"/>
    <w:rsid w:val="00154350"/>
    <w:rsid w:val="001704E1"/>
    <w:rsid w:val="001779B3"/>
    <w:rsid w:val="001844BF"/>
    <w:rsid w:val="001A5C0F"/>
    <w:rsid w:val="001B27F4"/>
    <w:rsid w:val="001C016D"/>
    <w:rsid w:val="001D2A5E"/>
    <w:rsid w:val="001D440C"/>
    <w:rsid w:val="001D51E3"/>
    <w:rsid w:val="001E3E1A"/>
    <w:rsid w:val="001E704F"/>
    <w:rsid w:val="00210099"/>
    <w:rsid w:val="0021096F"/>
    <w:rsid w:val="002120B7"/>
    <w:rsid w:val="0021222B"/>
    <w:rsid w:val="002158A2"/>
    <w:rsid w:val="00222BB5"/>
    <w:rsid w:val="00225D4A"/>
    <w:rsid w:val="00236038"/>
    <w:rsid w:val="00241358"/>
    <w:rsid w:val="00242135"/>
    <w:rsid w:val="0028201C"/>
    <w:rsid w:val="00287260"/>
    <w:rsid w:val="00297DDA"/>
    <w:rsid w:val="002D0858"/>
    <w:rsid w:val="002D269C"/>
    <w:rsid w:val="002D5299"/>
    <w:rsid w:val="002D6C03"/>
    <w:rsid w:val="002E66C4"/>
    <w:rsid w:val="002E779F"/>
    <w:rsid w:val="00301D63"/>
    <w:rsid w:val="00324AA6"/>
    <w:rsid w:val="00325DF2"/>
    <w:rsid w:val="00333FE2"/>
    <w:rsid w:val="0034027A"/>
    <w:rsid w:val="00341784"/>
    <w:rsid w:val="0037347C"/>
    <w:rsid w:val="00397C22"/>
    <w:rsid w:val="003A1812"/>
    <w:rsid w:val="003B0C0D"/>
    <w:rsid w:val="003D2C50"/>
    <w:rsid w:val="003D5992"/>
    <w:rsid w:val="003E72DC"/>
    <w:rsid w:val="004144C1"/>
    <w:rsid w:val="00415ECC"/>
    <w:rsid w:val="004223CE"/>
    <w:rsid w:val="00423EFB"/>
    <w:rsid w:val="00425504"/>
    <w:rsid w:val="00434726"/>
    <w:rsid w:val="00451B47"/>
    <w:rsid w:val="00454F5F"/>
    <w:rsid w:val="00477431"/>
    <w:rsid w:val="00485708"/>
    <w:rsid w:val="00486AE3"/>
    <w:rsid w:val="004871A9"/>
    <w:rsid w:val="00491EAE"/>
    <w:rsid w:val="004B2FE6"/>
    <w:rsid w:val="004C0859"/>
    <w:rsid w:val="00505F77"/>
    <w:rsid w:val="005216C7"/>
    <w:rsid w:val="00526AE0"/>
    <w:rsid w:val="00545657"/>
    <w:rsid w:val="005508CE"/>
    <w:rsid w:val="005A2AAF"/>
    <w:rsid w:val="005A6186"/>
    <w:rsid w:val="005B6AF5"/>
    <w:rsid w:val="005C7CE9"/>
    <w:rsid w:val="005D2D20"/>
    <w:rsid w:val="00610D63"/>
    <w:rsid w:val="00615C9E"/>
    <w:rsid w:val="00616F75"/>
    <w:rsid w:val="00623D17"/>
    <w:rsid w:val="00635F3C"/>
    <w:rsid w:val="006541D3"/>
    <w:rsid w:val="0068252C"/>
    <w:rsid w:val="0069233D"/>
    <w:rsid w:val="00696D63"/>
    <w:rsid w:val="006A0A00"/>
    <w:rsid w:val="006A70AE"/>
    <w:rsid w:val="006B1FAF"/>
    <w:rsid w:val="006E333C"/>
    <w:rsid w:val="006F0D59"/>
    <w:rsid w:val="006F4187"/>
    <w:rsid w:val="006F46F0"/>
    <w:rsid w:val="0070040A"/>
    <w:rsid w:val="0070198D"/>
    <w:rsid w:val="00702353"/>
    <w:rsid w:val="0071150C"/>
    <w:rsid w:val="00726108"/>
    <w:rsid w:val="00732ACD"/>
    <w:rsid w:val="00747D74"/>
    <w:rsid w:val="00766BCC"/>
    <w:rsid w:val="007769C4"/>
    <w:rsid w:val="0078556A"/>
    <w:rsid w:val="00786210"/>
    <w:rsid w:val="007869DA"/>
    <w:rsid w:val="007A1297"/>
    <w:rsid w:val="007C332D"/>
    <w:rsid w:val="007C3A10"/>
    <w:rsid w:val="007D16A2"/>
    <w:rsid w:val="007E02B3"/>
    <w:rsid w:val="007E07B7"/>
    <w:rsid w:val="0080430F"/>
    <w:rsid w:val="008305AC"/>
    <w:rsid w:val="0083558F"/>
    <w:rsid w:val="00844048"/>
    <w:rsid w:val="008606C6"/>
    <w:rsid w:val="00860CCB"/>
    <w:rsid w:val="00860DD8"/>
    <w:rsid w:val="00892829"/>
    <w:rsid w:val="008936E2"/>
    <w:rsid w:val="008967AD"/>
    <w:rsid w:val="008A0762"/>
    <w:rsid w:val="008A08AC"/>
    <w:rsid w:val="008A538A"/>
    <w:rsid w:val="008B3CED"/>
    <w:rsid w:val="008B5105"/>
    <w:rsid w:val="008D19DA"/>
    <w:rsid w:val="008E45D1"/>
    <w:rsid w:val="008F25A9"/>
    <w:rsid w:val="00900676"/>
    <w:rsid w:val="00903018"/>
    <w:rsid w:val="009100CD"/>
    <w:rsid w:val="0091718C"/>
    <w:rsid w:val="00921456"/>
    <w:rsid w:val="009263CF"/>
    <w:rsid w:val="00945BB8"/>
    <w:rsid w:val="00955D5B"/>
    <w:rsid w:val="00981B9A"/>
    <w:rsid w:val="00985AEF"/>
    <w:rsid w:val="009A0698"/>
    <w:rsid w:val="009A546A"/>
    <w:rsid w:val="009B4064"/>
    <w:rsid w:val="009C2E53"/>
    <w:rsid w:val="009C6190"/>
    <w:rsid w:val="009D71F2"/>
    <w:rsid w:val="009E2E4C"/>
    <w:rsid w:val="009E5A4E"/>
    <w:rsid w:val="009E5C3E"/>
    <w:rsid w:val="009F5841"/>
    <w:rsid w:val="009F5E08"/>
    <w:rsid w:val="009F5E8C"/>
    <w:rsid w:val="00A052B4"/>
    <w:rsid w:val="00A1092D"/>
    <w:rsid w:val="00A11253"/>
    <w:rsid w:val="00A21FEC"/>
    <w:rsid w:val="00A23D7A"/>
    <w:rsid w:val="00A3153D"/>
    <w:rsid w:val="00A323D3"/>
    <w:rsid w:val="00A4043F"/>
    <w:rsid w:val="00A425A3"/>
    <w:rsid w:val="00A6384C"/>
    <w:rsid w:val="00A64F72"/>
    <w:rsid w:val="00A87B0D"/>
    <w:rsid w:val="00A91A42"/>
    <w:rsid w:val="00AA03CE"/>
    <w:rsid w:val="00AA2426"/>
    <w:rsid w:val="00AA5692"/>
    <w:rsid w:val="00AA71CE"/>
    <w:rsid w:val="00AC1D31"/>
    <w:rsid w:val="00AD0B95"/>
    <w:rsid w:val="00AD7322"/>
    <w:rsid w:val="00AE6F26"/>
    <w:rsid w:val="00AE74DE"/>
    <w:rsid w:val="00AF5CB7"/>
    <w:rsid w:val="00B02BBA"/>
    <w:rsid w:val="00B054C7"/>
    <w:rsid w:val="00B150A5"/>
    <w:rsid w:val="00B152E3"/>
    <w:rsid w:val="00B15644"/>
    <w:rsid w:val="00B1705C"/>
    <w:rsid w:val="00B34271"/>
    <w:rsid w:val="00B4548B"/>
    <w:rsid w:val="00B477A7"/>
    <w:rsid w:val="00B51EC6"/>
    <w:rsid w:val="00B72EF0"/>
    <w:rsid w:val="00B83D2B"/>
    <w:rsid w:val="00B86B6C"/>
    <w:rsid w:val="00B9293D"/>
    <w:rsid w:val="00B977BB"/>
    <w:rsid w:val="00BA0064"/>
    <w:rsid w:val="00BA30AF"/>
    <w:rsid w:val="00BA589D"/>
    <w:rsid w:val="00BB389F"/>
    <w:rsid w:val="00BB4C55"/>
    <w:rsid w:val="00BC1704"/>
    <w:rsid w:val="00BD1D47"/>
    <w:rsid w:val="00BE2D9E"/>
    <w:rsid w:val="00BE4D00"/>
    <w:rsid w:val="00BE51C3"/>
    <w:rsid w:val="00BF01F9"/>
    <w:rsid w:val="00C04427"/>
    <w:rsid w:val="00C110A8"/>
    <w:rsid w:val="00C219DD"/>
    <w:rsid w:val="00C5296F"/>
    <w:rsid w:val="00C60E23"/>
    <w:rsid w:val="00C82668"/>
    <w:rsid w:val="00C82DAB"/>
    <w:rsid w:val="00C9626D"/>
    <w:rsid w:val="00CA718B"/>
    <w:rsid w:val="00CB18E2"/>
    <w:rsid w:val="00CC1C2A"/>
    <w:rsid w:val="00CE7562"/>
    <w:rsid w:val="00CF2C83"/>
    <w:rsid w:val="00D20765"/>
    <w:rsid w:val="00D27B89"/>
    <w:rsid w:val="00D40C34"/>
    <w:rsid w:val="00D41E7D"/>
    <w:rsid w:val="00D5466C"/>
    <w:rsid w:val="00D824EC"/>
    <w:rsid w:val="00D9033A"/>
    <w:rsid w:val="00D9575E"/>
    <w:rsid w:val="00DB74B4"/>
    <w:rsid w:val="00DD344A"/>
    <w:rsid w:val="00DF1513"/>
    <w:rsid w:val="00E51483"/>
    <w:rsid w:val="00E6536C"/>
    <w:rsid w:val="00E65ECF"/>
    <w:rsid w:val="00E81E4F"/>
    <w:rsid w:val="00E91AB0"/>
    <w:rsid w:val="00EA38E7"/>
    <w:rsid w:val="00EE6EEE"/>
    <w:rsid w:val="00EF5666"/>
    <w:rsid w:val="00EF706E"/>
    <w:rsid w:val="00F00E9B"/>
    <w:rsid w:val="00F275ED"/>
    <w:rsid w:val="00F359A1"/>
    <w:rsid w:val="00F5745F"/>
    <w:rsid w:val="00F7230F"/>
    <w:rsid w:val="00F771BA"/>
    <w:rsid w:val="00F86AD6"/>
    <w:rsid w:val="00FB52AB"/>
    <w:rsid w:val="00FC28F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1D741-A60D-4DB7-B593-19659ABC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paragraph" w:styleId="Heading1">
    <w:name w:val="heading 1"/>
    <w:basedOn w:val="Normal"/>
    <w:next w:val="Normal"/>
    <w:link w:val="Heading1Char"/>
    <w:qFormat/>
    <w:rsid w:val="005A2AAF"/>
    <w:pPr>
      <w:widowControl w:val="0"/>
      <w:numPr>
        <w:numId w:val="11"/>
      </w:numPr>
      <w:spacing w:after="0" w:line="360" w:lineRule="auto"/>
      <w:jc w:val="both"/>
      <w:outlineLvl w:val="0"/>
    </w:pPr>
    <w:rPr>
      <w:rFonts w:eastAsia="Times New Roman"/>
      <w:spacing w:val="-3"/>
      <w:lang w:val="en-GB"/>
    </w:rPr>
  </w:style>
  <w:style w:type="paragraph" w:styleId="Heading3">
    <w:name w:val="heading 3"/>
    <w:basedOn w:val="Normal"/>
    <w:next w:val="Normal"/>
    <w:link w:val="Heading3Char"/>
    <w:qFormat/>
    <w:rsid w:val="005A2AAF"/>
    <w:pPr>
      <w:widowControl w:val="0"/>
      <w:numPr>
        <w:ilvl w:val="2"/>
        <w:numId w:val="11"/>
      </w:numPr>
      <w:tabs>
        <w:tab w:val="left" w:pos="2552"/>
      </w:tabs>
      <w:spacing w:after="0" w:line="360" w:lineRule="auto"/>
      <w:jc w:val="both"/>
      <w:outlineLvl w:val="2"/>
    </w:pPr>
    <w:rPr>
      <w:rFonts w:eastAsia="Times New Roman"/>
      <w:spacing w:val="-3"/>
      <w:lang w:val="en-GB"/>
    </w:rPr>
  </w:style>
  <w:style w:type="paragraph" w:styleId="Heading4">
    <w:name w:val="heading 4"/>
    <w:basedOn w:val="Normal"/>
    <w:next w:val="Normal"/>
    <w:link w:val="Heading4Char"/>
    <w:qFormat/>
    <w:rsid w:val="005A2AAF"/>
    <w:pPr>
      <w:widowControl w:val="0"/>
      <w:numPr>
        <w:ilvl w:val="3"/>
        <w:numId w:val="11"/>
      </w:numPr>
      <w:tabs>
        <w:tab w:val="left" w:pos="3686"/>
      </w:tabs>
      <w:spacing w:after="0" w:line="360" w:lineRule="auto"/>
      <w:jc w:val="both"/>
      <w:outlineLvl w:val="3"/>
    </w:pPr>
    <w:rPr>
      <w:rFonts w:eastAsia="Times New Roman"/>
      <w:spacing w:val="-3"/>
      <w:lang w:val="en-GB"/>
    </w:rPr>
  </w:style>
  <w:style w:type="paragraph" w:styleId="Heading5">
    <w:name w:val="heading 5"/>
    <w:basedOn w:val="Normal"/>
    <w:next w:val="Normal"/>
    <w:link w:val="Heading5Char"/>
    <w:qFormat/>
    <w:rsid w:val="005A2AAF"/>
    <w:pPr>
      <w:widowControl w:val="0"/>
      <w:numPr>
        <w:ilvl w:val="4"/>
        <w:numId w:val="11"/>
      </w:numPr>
      <w:spacing w:after="0" w:line="360" w:lineRule="auto"/>
      <w:jc w:val="both"/>
      <w:outlineLvl w:val="4"/>
    </w:pPr>
    <w:rPr>
      <w:rFonts w:eastAsia="Times New Roman"/>
      <w:spacing w:val="-3"/>
      <w:lang w:val="en-GB"/>
    </w:rPr>
  </w:style>
  <w:style w:type="paragraph" w:styleId="Heading6">
    <w:name w:val="heading 6"/>
    <w:basedOn w:val="Normal"/>
    <w:next w:val="Normal"/>
    <w:link w:val="Heading6Char"/>
    <w:qFormat/>
    <w:rsid w:val="005A2AAF"/>
    <w:pPr>
      <w:widowControl w:val="0"/>
      <w:numPr>
        <w:ilvl w:val="5"/>
        <w:numId w:val="11"/>
      </w:numPr>
      <w:spacing w:after="0" w:line="360" w:lineRule="auto"/>
      <w:jc w:val="both"/>
      <w:outlineLvl w:val="5"/>
    </w:pPr>
    <w:rPr>
      <w:rFonts w:eastAsia="Times New Roman"/>
      <w:i/>
      <w:spacing w:val="-3"/>
      <w:sz w:val="22"/>
      <w:lang w:val="en-GB"/>
    </w:rPr>
  </w:style>
  <w:style w:type="paragraph" w:styleId="Heading7">
    <w:name w:val="heading 7"/>
    <w:basedOn w:val="Normal"/>
    <w:next w:val="Normal"/>
    <w:link w:val="Heading7Char"/>
    <w:qFormat/>
    <w:rsid w:val="005A2AAF"/>
    <w:pPr>
      <w:widowControl w:val="0"/>
      <w:numPr>
        <w:ilvl w:val="6"/>
        <w:numId w:val="11"/>
      </w:numPr>
      <w:spacing w:after="0" w:line="360" w:lineRule="auto"/>
      <w:jc w:val="both"/>
      <w:outlineLvl w:val="6"/>
    </w:pPr>
    <w:rPr>
      <w:rFonts w:eastAsia="Times New Roman"/>
      <w:spacing w:val="-3"/>
      <w:lang w:val="en-GB"/>
    </w:rPr>
  </w:style>
  <w:style w:type="paragraph" w:styleId="Heading8">
    <w:name w:val="heading 8"/>
    <w:basedOn w:val="Normal"/>
    <w:next w:val="Normal"/>
    <w:link w:val="Heading8Char"/>
    <w:qFormat/>
    <w:rsid w:val="005A2AAF"/>
    <w:pPr>
      <w:widowControl w:val="0"/>
      <w:numPr>
        <w:ilvl w:val="7"/>
        <w:numId w:val="11"/>
      </w:numPr>
      <w:spacing w:after="0" w:line="360" w:lineRule="auto"/>
      <w:jc w:val="both"/>
      <w:outlineLvl w:val="7"/>
    </w:pPr>
    <w:rPr>
      <w:rFonts w:eastAsia="Times New Roman"/>
      <w:i/>
      <w:spacing w:val="-3"/>
      <w:lang w:val="en-GB"/>
    </w:rPr>
  </w:style>
  <w:style w:type="paragraph" w:styleId="Heading9">
    <w:name w:val="heading 9"/>
    <w:basedOn w:val="Normal"/>
    <w:next w:val="Normal"/>
    <w:link w:val="Heading9Char"/>
    <w:qFormat/>
    <w:rsid w:val="005A2AAF"/>
    <w:pPr>
      <w:widowControl w:val="0"/>
      <w:numPr>
        <w:ilvl w:val="8"/>
        <w:numId w:val="11"/>
      </w:numPr>
      <w:spacing w:after="0" w:line="360" w:lineRule="auto"/>
      <w:jc w:val="both"/>
      <w:outlineLvl w:val="8"/>
    </w:pPr>
    <w:rPr>
      <w:rFonts w:eastAsia="Times New Roman"/>
      <w:i/>
      <w:spacing w:val="-3"/>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character" w:customStyle="1" w:styleId="Heading1Char">
    <w:name w:val="Heading 1 Char"/>
    <w:basedOn w:val="DefaultParagraphFont"/>
    <w:link w:val="Heading1"/>
    <w:rsid w:val="005A2AAF"/>
    <w:rPr>
      <w:rFonts w:eastAsia="Times New Roman"/>
      <w:spacing w:val="-3"/>
      <w:lang w:val="en-GB"/>
    </w:rPr>
  </w:style>
  <w:style w:type="character" w:customStyle="1" w:styleId="Heading3Char">
    <w:name w:val="Heading 3 Char"/>
    <w:basedOn w:val="DefaultParagraphFont"/>
    <w:link w:val="Heading3"/>
    <w:rsid w:val="005A2AAF"/>
    <w:rPr>
      <w:rFonts w:eastAsia="Times New Roman"/>
      <w:spacing w:val="-3"/>
      <w:lang w:val="en-GB"/>
    </w:rPr>
  </w:style>
  <w:style w:type="character" w:customStyle="1" w:styleId="Heading4Char">
    <w:name w:val="Heading 4 Char"/>
    <w:basedOn w:val="DefaultParagraphFont"/>
    <w:link w:val="Heading4"/>
    <w:rsid w:val="005A2AAF"/>
    <w:rPr>
      <w:rFonts w:eastAsia="Times New Roman"/>
      <w:spacing w:val="-3"/>
      <w:lang w:val="en-GB"/>
    </w:rPr>
  </w:style>
  <w:style w:type="character" w:customStyle="1" w:styleId="Heading5Char">
    <w:name w:val="Heading 5 Char"/>
    <w:basedOn w:val="DefaultParagraphFont"/>
    <w:link w:val="Heading5"/>
    <w:rsid w:val="005A2AAF"/>
    <w:rPr>
      <w:rFonts w:eastAsia="Times New Roman"/>
      <w:spacing w:val="-3"/>
      <w:lang w:val="en-GB"/>
    </w:rPr>
  </w:style>
  <w:style w:type="character" w:customStyle="1" w:styleId="Heading6Char">
    <w:name w:val="Heading 6 Char"/>
    <w:basedOn w:val="DefaultParagraphFont"/>
    <w:link w:val="Heading6"/>
    <w:rsid w:val="005A2AAF"/>
    <w:rPr>
      <w:rFonts w:eastAsia="Times New Roman"/>
      <w:i/>
      <w:spacing w:val="-3"/>
      <w:sz w:val="22"/>
      <w:lang w:val="en-GB"/>
    </w:rPr>
  </w:style>
  <w:style w:type="character" w:customStyle="1" w:styleId="Heading7Char">
    <w:name w:val="Heading 7 Char"/>
    <w:basedOn w:val="DefaultParagraphFont"/>
    <w:link w:val="Heading7"/>
    <w:rsid w:val="005A2AAF"/>
    <w:rPr>
      <w:rFonts w:eastAsia="Times New Roman"/>
      <w:spacing w:val="-3"/>
      <w:lang w:val="en-GB"/>
    </w:rPr>
  </w:style>
  <w:style w:type="character" w:customStyle="1" w:styleId="Heading8Char">
    <w:name w:val="Heading 8 Char"/>
    <w:basedOn w:val="DefaultParagraphFont"/>
    <w:link w:val="Heading8"/>
    <w:rsid w:val="005A2AAF"/>
    <w:rPr>
      <w:rFonts w:eastAsia="Times New Roman"/>
      <w:i/>
      <w:spacing w:val="-3"/>
      <w:lang w:val="en-GB"/>
    </w:rPr>
  </w:style>
  <w:style w:type="character" w:customStyle="1" w:styleId="Heading9Char">
    <w:name w:val="Heading 9 Char"/>
    <w:basedOn w:val="DefaultParagraphFont"/>
    <w:link w:val="Heading9"/>
    <w:rsid w:val="005A2AAF"/>
    <w:rPr>
      <w:rFonts w:eastAsia="Times New Roman"/>
      <w:i/>
      <w:spacing w:val="-3"/>
      <w:sz w:val="18"/>
      <w:lang w:val="en-GB"/>
    </w:rPr>
  </w:style>
  <w:style w:type="character" w:styleId="Hyperlink">
    <w:name w:val="Hyperlink"/>
    <w:basedOn w:val="DefaultParagraphFont"/>
    <w:uiPriority w:val="99"/>
    <w:semiHidden/>
    <w:unhideWhenUsed/>
    <w:rsid w:val="00210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lii.org/cgi-bin/LawCite?cit=1934%20AD%204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36%20AD%20481" TargetMode="External"/><Relationship Id="rId2" Type="http://schemas.openxmlformats.org/officeDocument/2006/relationships/hyperlink" Target="http://www.saflii.org/cgi-bin/LawCite?cit=1968%20%281%29%20SA%20395" TargetMode="External"/><Relationship Id="rId1" Type="http://schemas.openxmlformats.org/officeDocument/2006/relationships/hyperlink" Target="http://www.saflii.org/cgi-bin/LawCite?cit=1977%20%284%29%20SA%20298" TargetMode="External"/><Relationship Id="rId5" Type="http://schemas.openxmlformats.org/officeDocument/2006/relationships/hyperlink" Target="http://www.saflii.org/cgi-bin/LawCite?cit=1934%20AD%20499" TargetMode="External"/><Relationship Id="rId4" Type="http://schemas.openxmlformats.org/officeDocument/2006/relationships/hyperlink" Target="http://www.saflii.org/cgi-bin/LawCite?cit=1968%20%281%29%20SA%20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2021-02-10T18:30:00+00:00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4721-A101-47E2-BB90-621899F1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874E4-C2E8-419F-A33B-4991DE862AA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8AA420B2-1A5B-41E1-A0F4-F28053891929}">
  <ds:schemaRefs>
    <ds:schemaRef ds:uri="http://schemas.microsoft.com/sharepoint/v3/contenttype/forms"/>
  </ds:schemaRefs>
</ds:datastoreItem>
</file>

<file path=customXml/itemProps4.xml><?xml version="1.0" encoding="utf-8"?>
<ds:datastoreItem xmlns:ds="http://schemas.openxmlformats.org/officeDocument/2006/customXml" ds:itemID="{2C578FD9-895B-41BB-B03C-5A3E0089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HOME</cp:lastModifiedBy>
  <cp:revision>2</cp:revision>
  <cp:lastPrinted>2021-02-12T08:41:00Z</cp:lastPrinted>
  <dcterms:created xsi:type="dcterms:W3CDTF">2021-07-10T09:01:00Z</dcterms:created>
  <dcterms:modified xsi:type="dcterms:W3CDTF">2021-07-10T09:01:00Z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