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80" w:rsidRPr="00B95415" w:rsidRDefault="00AB0C80" w:rsidP="00AB0C80">
      <w:pPr>
        <w:spacing w:line="252" w:lineRule="auto"/>
        <w:jc w:val="center"/>
        <w:rPr>
          <w:rFonts w:ascii="Arial" w:hAnsi="Arial" w:cs="Arial"/>
          <w:b/>
          <w:sz w:val="24"/>
          <w:szCs w:val="24"/>
        </w:rPr>
      </w:pPr>
      <w:bookmarkStart w:id="0" w:name="_GoBack"/>
      <w:bookmarkEnd w:id="0"/>
      <w:r w:rsidRPr="00B95415">
        <w:rPr>
          <w:rFonts w:ascii="Arial" w:hAnsi="Arial" w:cs="Arial"/>
          <w:b/>
          <w:sz w:val="24"/>
          <w:szCs w:val="24"/>
        </w:rPr>
        <w:t>REPUBLIC OF NAMIBIA</w:t>
      </w:r>
    </w:p>
    <w:p w:rsidR="00AB0C80" w:rsidRPr="00B876E9" w:rsidRDefault="00AB0C80" w:rsidP="00AB0C80">
      <w:pPr>
        <w:spacing w:line="252" w:lineRule="auto"/>
        <w:jc w:val="center"/>
        <w:rPr>
          <w:rFonts w:ascii="Arial" w:hAnsi="Arial" w:cs="Arial"/>
          <w:b/>
          <w:sz w:val="24"/>
          <w:szCs w:val="24"/>
        </w:rPr>
      </w:pPr>
      <w:r w:rsidRPr="00B876E9">
        <w:rPr>
          <w:rFonts w:ascii="Arial" w:hAnsi="Arial" w:cs="Arial"/>
          <w:b/>
          <w:noProof/>
          <w:sz w:val="24"/>
          <w:szCs w:val="24"/>
          <w:lang w:val="en-ZA" w:eastAsia="en-ZA"/>
        </w:rPr>
        <w:drawing>
          <wp:inline distT="0" distB="0" distL="0" distR="0" wp14:anchorId="1FD0FFED" wp14:editId="2FF6DCF9">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AB0C80" w:rsidRPr="00B876E9" w:rsidRDefault="00AB0C80" w:rsidP="00AB0C80">
      <w:pPr>
        <w:spacing w:line="252" w:lineRule="auto"/>
        <w:jc w:val="center"/>
        <w:rPr>
          <w:rFonts w:ascii="Arial" w:hAnsi="Arial" w:cs="Arial"/>
          <w:b/>
          <w:sz w:val="24"/>
          <w:szCs w:val="24"/>
        </w:rPr>
      </w:pPr>
      <w:r w:rsidRPr="00B876E9">
        <w:rPr>
          <w:rFonts w:ascii="Arial" w:hAnsi="Arial" w:cs="Arial"/>
          <w:b/>
          <w:sz w:val="24"/>
          <w:szCs w:val="24"/>
        </w:rPr>
        <w:t xml:space="preserve">IN THE HIGH </w:t>
      </w:r>
      <w:r w:rsidR="007B5F2F">
        <w:rPr>
          <w:rFonts w:ascii="Arial" w:hAnsi="Arial" w:cs="Arial"/>
          <w:b/>
          <w:sz w:val="24"/>
          <w:szCs w:val="24"/>
        </w:rPr>
        <w:t>COURT OF NAMIBIA, MAIN</w:t>
      </w:r>
      <w:r w:rsidRPr="00B876E9">
        <w:rPr>
          <w:rFonts w:ascii="Arial" w:hAnsi="Arial" w:cs="Arial"/>
          <w:b/>
          <w:sz w:val="24"/>
          <w:szCs w:val="24"/>
        </w:rPr>
        <w:t xml:space="preserve"> DIVISION, </w:t>
      </w:r>
      <w:r w:rsidR="007B5F2F">
        <w:rPr>
          <w:rFonts w:ascii="Arial" w:hAnsi="Arial" w:cs="Arial"/>
          <w:b/>
          <w:sz w:val="24"/>
          <w:szCs w:val="24"/>
        </w:rPr>
        <w:t>WINDHOEK</w:t>
      </w:r>
    </w:p>
    <w:p w:rsidR="00AB0C80" w:rsidRPr="00B876E9" w:rsidRDefault="00AB0C80" w:rsidP="00AB0C80">
      <w:pPr>
        <w:spacing w:line="252" w:lineRule="auto"/>
        <w:jc w:val="center"/>
        <w:rPr>
          <w:rFonts w:ascii="Arial" w:hAnsi="Arial" w:cs="Arial"/>
          <w:b/>
          <w:sz w:val="24"/>
          <w:szCs w:val="24"/>
        </w:rPr>
      </w:pPr>
    </w:p>
    <w:p w:rsidR="00AB0C80" w:rsidRPr="00B876E9" w:rsidRDefault="007B5F2F" w:rsidP="00AB0C80">
      <w:pPr>
        <w:spacing w:line="252" w:lineRule="auto"/>
        <w:jc w:val="center"/>
        <w:rPr>
          <w:rFonts w:ascii="Arial" w:hAnsi="Arial" w:cs="Arial"/>
          <w:b/>
          <w:sz w:val="24"/>
          <w:szCs w:val="24"/>
        </w:rPr>
      </w:pPr>
      <w:r>
        <w:rPr>
          <w:rFonts w:ascii="Arial" w:hAnsi="Arial" w:cs="Arial"/>
          <w:b/>
          <w:sz w:val="24"/>
          <w:szCs w:val="24"/>
        </w:rPr>
        <w:t xml:space="preserve">SPECIAL </w:t>
      </w:r>
      <w:r w:rsidR="00AB0C80" w:rsidRPr="00B876E9">
        <w:rPr>
          <w:rFonts w:ascii="Arial" w:hAnsi="Arial" w:cs="Arial"/>
          <w:b/>
          <w:sz w:val="24"/>
          <w:szCs w:val="24"/>
        </w:rPr>
        <w:t xml:space="preserve">REVIEW JUDGMENT </w:t>
      </w:r>
    </w:p>
    <w:p w:rsidR="00EA634B" w:rsidRPr="00EA634B" w:rsidRDefault="00EA634B" w:rsidP="00EA634B">
      <w:pPr>
        <w:spacing w:line="254" w:lineRule="auto"/>
        <w:rPr>
          <w:lang w:val="en-ZA"/>
        </w:rPr>
      </w:pPr>
    </w:p>
    <w:tbl>
      <w:tblPr>
        <w:tblStyle w:val="TableGrid"/>
        <w:tblW w:w="10051" w:type="dxa"/>
        <w:tblInd w:w="-275" w:type="dxa"/>
        <w:tblLook w:val="04A0" w:firstRow="1" w:lastRow="0" w:firstColumn="1" w:lastColumn="0" w:noHBand="0" w:noVBand="1"/>
      </w:tblPr>
      <w:tblGrid>
        <w:gridCol w:w="4770"/>
        <w:gridCol w:w="627"/>
        <w:gridCol w:w="4654"/>
      </w:tblGrid>
      <w:tr w:rsidR="007B5F2F" w:rsidRPr="001B0FDD" w:rsidTr="007B5F2F">
        <w:trPr>
          <w:trHeight w:val="744"/>
        </w:trPr>
        <w:tc>
          <w:tcPr>
            <w:tcW w:w="5397" w:type="dxa"/>
            <w:gridSpan w:val="2"/>
          </w:tcPr>
          <w:p w:rsidR="007B5F2F" w:rsidRPr="00664D21" w:rsidRDefault="007B5F2F" w:rsidP="002C2649">
            <w:pPr>
              <w:spacing w:line="360" w:lineRule="auto"/>
              <w:jc w:val="both"/>
              <w:rPr>
                <w:rFonts w:ascii="Arial" w:hAnsi="Arial" w:cs="Arial"/>
                <w:sz w:val="24"/>
                <w:szCs w:val="24"/>
              </w:rPr>
            </w:pPr>
            <w:r w:rsidRPr="00664D21">
              <w:rPr>
                <w:rFonts w:ascii="Arial" w:hAnsi="Arial" w:cs="Arial"/>
                <w:b/>
                <w:sz w:val="24"/>
                <w:szCs w:val="24"/>
              </w:rPr>
              <w:t>Case Title:</w:t>
            </w:r>
          </w:p>
          <w:p w:rsidR="007B5F2F" w:rsidRPr="00664D21" w:rsidRDefault="007B5F2F" w:rsidP="002C2649">
            <w:pPr>
              <w:spacing w:line="360" w:lineRule="auto"/>
              <w:jc w:val="both"/>
              <w:rPr>
                <w:rFonts w:ascii="Arial" w:hAnsi="Arial" w:cs="Arial"/>
                <w:i/>
                <w:sz w:val="24"/>
                <w:szCs w:val="24"/>
              </w:rPr>
            </w:pPr>
            <w:r w:rsidRPr="00664D21">
              <w:rPr>
                <w:rFonts w:ascii="Arial" w:hAnsi="Arial" w:cs="Arial"/>
                <w:i/>
                <w:sz w:val="24"/>
                <w:szCs w:val="24"/>
              </w:rPr>
              <w:t xml:space="preserve">The State v </w:t>
            </w:r>
            <w:r>
              <w:rPr>
                <w:rFonts w:ascii="Arial" w:hAnsi="Arial" w:cs="Arial"/>
                <w:i/>
                <w:sz w:val="24"/>
                <w:szCs w:val="24"/>
              </w:rPr>
              <w:t xml:space="preserve">Gideon </w:t>
            </w:r>
            <w:proofErr w:type="spellStart"/>
            <w:r>
              <w:rPr>
                <w:rFonts w:ascii="Arial" w:hAnsi="Arial" w:cs="Arial"/>
                <w:i/>
                <w:sz w:val="24"/>
                <w:szCs w:val="24"/>
              </w:rPr>
              <w:t>Ibenere</w:t>
            </w:r>
            <w:proofErr w:type="spellEnd"/>
            <w:r>
              <w:rPr>
                <w:rFonts w:ascii="Arial" w:hAnsi="Arial" w:cs="Arial"/>
                <w:i/>
                <w:sz w:val="24"/>
                <w:szCs w:val="24"/>
              </w:rPr>
              <w:t xml:space="preserve"> </w:t>
            </w:r>
            <w:proofErr w:type="spellStart"/>
            <w:r>
              <w:rPr>
                <w:rFonts w:ascii="Arial" w:hAnsi="Arial" w:cs="Arial"/>
                <w:i/>
                <w:sz w:val="24"/>
                <w:szCs w:val="24"/>
              </w:rPr>
              <w:t>Chimoso</w:t>
            </w:r>
            <w:proofErr w:type="spellEnd"/>
          </w:p>
        </w:tc>
        <w:tc>
          <w:tcPr>
            <w:tcW w:w="4654" w:type="dxa"/>
          </w:tcPr>
          <w:p w:rsidR="007B5F2F" w:rsidRPr="00664D21" w:rsidRDefault="007B5F2F" w:rsidP="002C2649">
            <w:pPr>
              <w:spacing w:line="360" w:lineRule="auto"/>
              <w:jc w:val="both"/>
              <w:rPr>
                <w:rFonts w:ascii="Arial" w:hAnsi="Arial" w:cs="Arial"/>
                <w:b/>
                <w:sz w:val="24"/>
                <w:szCs w:val="24"/>
              </w:rPr>
            </w:pPr>
            <w:r w:rsidRPr="00664D21">
              <w:rPr>
                <w:rFonts w:ascii="Arial" w:hAnsi="Arial" w:cs="Arial"/>
                <w:b/>
                <w:sz w:val="24"/>
                <w:szCs w:val="24"/>
              </w:rPr>
              <w:t>Case No:</w:t>
            </w:r>
          </w:p>
          <w:p w:rsidR="007B5F2F" w:rsidRPr="00664D21" w:rsidRDefault="007B5F2F" w:rsidP="002C2649">
            <w:pPr>
              <w:spacing w:line="360" w:lineRule="auto"/>
              <w:jc w:val="both"/>
              <w:rPr>
                <w:rFonts w:ascii="Arial" w:hAnsi="Arial" w:cs="Arial"/>
                <w:sz w:val="24"/>
                <w:szCs w:val="24"/>
              </w:rPr>
            </w:pPr>
            <w:r w:rsidRPr="00664D21">
              <w:rPr>
                <w:rFonts w:ascii="Arial" w:hAnsi="Arial" w:cs="Arial"/>
                <w:sz w:val="24"/>
                <w:szCs w:val="24"/>
              </w:rPr>
              <w:t>CR</w:t>
            </w:r>
            <w:r>
              <w:rPr>
                <w:rFonts w:ascii="Arial" w:hAnsi="Arial" w:cs="Arial"/>
                <w:sz w:val="24"/>
                <w:szCs w:val="24"/>
              </w:rPr>
              <w:t>M</w:t>
            </w:r>
            <w:r w:rsidRPr="00664D21">
              <w:rPr>
                <w:rFonts w:ascii="Arial" w:hAnsi="Arial" w:cs="Arial"/>
                <w:sz w:val="24"/>
                <w:szCs w:val="24"/>
              </w:rPr>
              <w:t xml:space="preserve"> </w:t>
            </w:r>
            <w:r>
              <w:rPr>
                <w:rFonts w:ascii="Arial" w:hAnsi="Arial" w:cs="Arial"/>
                <w:sz w:val="24"/>
                <w:szCs w:val="24"/>
              </w:rPr>
              <w:t>1314/2020</w:t>
            </w:r>
          </w:p>
        </w:tc>
      </w:tr>
      <w:tr w:rsidR="007B5F2F" w:rsidRPr="001B0FDD" w:rsidTr="007B5F2F">
        <w:trPr>
          <w:trHeight w:val="844"/>
        </w:trPr>
        <w:tc>
          <w:tcPr>
            <w:tcW w:w="5397" w:type="dxa"/>
            <w:gridSpan w:val="2"/>
          </w:tcPr>
          <w:p w:rsidR="007B5F2F" w:rsidRPr="00664D21" w:rsidRDefault="007B5F2F" w:rsidP="002C2649">
            <w:pPr>
              <w:spacing w:line="360" w:lineRule="auto"/>
              <w:jc w:val="both"/>
              <w:rPr>
                <w:rFonts w:ascii="Arial" w:hAnsi="Arial" w:cs="Arial"/>
                <w:b/>
                <w:sz w:val="24"/>
                <w:szCs w:val="24"/>
              </w:rPr>
            </w:pPr>
            <w:r w:rsidRPr="00664D21">
              <w:rPr>
                <w:rFonts w:ascii="Arial" w:hAnsi="Arial" w:cs="Arial"/>
                <w:b/>
                <w:sz w:val="24"/>
                <w:szCs w:val="24"/>
              </w:rPr>
              <w:t>High Court MD Review No:</w:t>
            </w:r>
          </w:p>
          <w:p w:rsidR="007B5F2F" w:rsidRPr="00664D21" w:rsidRDefault="007B5F2F" w:rsidP="002C2649">
            <w:pPr>
              <w:spacing w:line="360" w:lineRule="auto"/>
              <w:jc w:val="both"/>
              <w:rPr>
                <w:rFonts w:ascii="Arial" w:hAnsi="Arial" w:cs="Arial"/>
                <w:sz w:val="24"/>
                <w:szCs w:val="24"/>
              </w:rPr>
            </w:pPr>
            <w:r>
              <w:rPr>
                <w:rFonts w:ascii="Arial" w:hAnsi="Arial" w:cs="Arial"/>
                <w:sz w:val="24"/>
                <w:szCs w:val="24"/>
              </w:rPr>
              <w:t>01/2021</w:t>
            </w:r>
          </w:p>
        </w:tc>
        <w:tc>
          <w:tcPr>
            <w:tcW w:w="4654" w:type="dxa"/>
          </w:tcPr>
          <w:p w:rsidR="007B5F2F" w:rsidRPr="00664D21" w:rsidRDefault="007B5F2F" w:rsidP="002C2649">
            <w:pPr>
              <w:spacing w:line="360" w:lineRule="auto"/>
              <w:jc w:val="both"/>
              <w:rPr>
                <w:rFonts w:ascii="Arial" w:hAnsi="Arial" w:cs="Arial"/>
                <w:sz w:val="24"/>
                <w:szCs w:val="24"/>
              </w:rPr>
            </w:pPr>
            <w:r w:rsidRPr="00664D21">
              <w:rPr>
                <w:rFonts w:ascii="Arial" w:hAnsi="Arial" w:cs="Arial"/>
                <w:b/>
                <w:sz w:val="24"/>
                <w:szCs w:val="24"/>
              </w:rPr>
              <w:t>Division of Court:</w:t>
            </w:r>
          </w:p>
          <w:p w:rsidR="007B5F2F" w:rsidRPr="00664D21" w:rsidRDefault="007B5F2F" w:rsidP="002C2649">
            <w:pPr>
              <w:spacing w:line="360" w:lineRule="auto"/>
              <w:jc w:val="both"/>
              <w:rPr>
                <w:rFonts w:ascii="Arial" w:hAnsi="Arial" w:cs="Arial"/>
                <w:sz w:val="24"/>
                <w:szCs w:val="24"/>
              </w:rPr>
            </w:pPr>
            <w:r w:rsidRPr="00664D21">
              <w:rPr>
                <w:rFonts w:ascii="Arial" w:hAnsi="Arial" w:cs="Arial"/>
                <w:sz w:val="24"/>
                <w:szCs w:val="24"/>
              </w:rPr>
              <w:t>Main Division</w:t>
            </w:r>
          </w:p>
        </w:tc>
      </w:tr>
      <w:tr w:rsidR="007B5F2F" w:rsidRPr="001B0FDD" w:rsidTr="007B5F2F">
        <w:trPr>
          <w:trHeight w:val="1662"/>
        </w:trPr>
        <w:tc>
          <w:tcPr>
            <w:tcW w:w="5397" w:type="dxa"/>
            <w:gridSpan w:val="2"/>
          </w:tcPr>
          <w:p w:rsidR="007B5F2F" w:rsidRPr="00664D21" w:rsidRDefault="007B5F2F" w:rsidP="002C2649">
            <w:pPr>
              <w:spacing w:line="360" w:lineRule="auto"/>
              <w:jc w:val="both"/>
              <w:rPr>
                <w:rFonts w:ascii="Arial" w:hAnsi="Arial" w:cs="Arial"/>
                <w:b/>
                <w:sz w:val="24"/>
                <w:szCs w:val="24"/>
              </w:rPr>
            </w:pPr>
            <w:r>
              <w:rPr>
                <w:rFonts w:ascii="Arial" w:hAnsi="Arial" w:cs="Arial"/>
                <w:b/>
                <w:sz w:val="24"/>
                <w:szCs w:val="24"/>
              </w:rPr>
              <w:t>Special review</w:t>
            </w:r>
            <w:r w:rsidRPr="00664D21">
              <w:rPr>
                <w:rFonts w:ascii="Arial" w:hAnsi="Arial" w:cs="Arial"/>
                <w:b/>
                <w:sz w:val="24"/>
                <w:szCs w:val="24"/>
              </w:rPr>
              <w:t>:</w:t>
            </w:r>
          </w:p>
          <w:p w:rsidR="007B5F2F" w:rsidRPr="00002CB2" w:rsidRDefault="007B5F2F" w:rsidP="002C2649">
            <w:pPr>
              <w:spacing w:line="360" w:lineRule="auto"/>
              <w:jc w:val="both"/>
              <w:rPr>
                <w:rFonts w:ascii="Arial" w:hAnsi="Arial" w:cs="Arial"/>
                <w:i/>
                <w:sz w:val="24"/>
                <w:szCs w:val="24"/>
              </w:rPr>
            </w:pPr>
            <w:r>
              <w:rPr>
                <w:rFonts w:ascii="Arial" w:hAnsi="Arial" w:cs="Arial"/>
                <w:sz w:val="24"/>
                <w:szCs w:val="24"/>
              </w:rPr>
              <w:t xml:space="preserve">Lady </w:t>
            </w:r>
            <w:r w:rsidRPr="00664D21">
              <w:rPr>
                <w:rFonts w:ascii="Arial" w:hAnsi="Arial" w:cs="Arial"/>
                <w:sz w:val="24"/>
                <w:szCs w:val="24"/>
              </w:rPr>
              <w:t xml:space="preserve">Justice </w:t>
            </w:r>
            <w:r>
              <w:rPr>
                <w:rFonts w:ascii="Arial" w:hAnsi="Arial" w:cs="Arial"/>
                <w:sz w:val="24"/>
                <w:szCs w:val="24"/>
              </w:rPr>
              <w:t xml:space="preserve">Dinah Usiku </w:t>
            </w:r>
          </w:p>
        </w:tc>
        <w:tc>
          <w:tcPr>
            <w:tcW w:w="4654" w:type="dxa"/>
          </w:tcPr>
          <w:p w:rsidR="007B5F2F" w:rsidRPr="00664D21" w:rsidRDefault="007B5F2F" w:rsidP="002C2649">
            <w:pPr>
              <w:spacing w:line="360" w:lineRule="auto"/>
              <w:jc w:val="both"/>
              <w:rPr>
                <w:rFonts w:ascii="Arial" w:hAnsi="Arial" w:cs="Arial"/>
                <w:b/>
                <w:sz w:val="24"/>
                <w:szCs w:val="24"/>
              </w:rPr>
            </w:pPr>
            <w:r w:rsidRPr="00664D21">
              <w:rPr>
                <w:rFonts w:ascii="Arial" w:hAnsi="Arial" w:cs="Arial"/>
                <w:b/>
                <w:sz w:val="24"/>
                <w:szCs w:val="24"/>
              </w:rPr>
              <w:t>Delivered on:</w:t>
            </w:r>
          </w:p>
          <w:p w:rsidR="007B5F2F" w:rsidRPr="00664D21" w:rsidRDefault="007B5F2F" w:rsidP="002C2649">
            <w:pPr>
              <w:spacing w:line="360" w:lineRule="auto"/>
              <w:jc w:val="both"/>
              <w:rPr>
                <w:rFonts w:ascii="Arial" w:hAnsi="Arial" w:cs="Arial"/>
                <w:sz w:val="24"/>
                <w:szCs w:val="24"/>
              </w:rPr>
            </w:pPr>
            <w:r w:rsidRPr="00664D21">
              <w:rPr>
                <w:rFonts w:ascii="Arial" w:hAnsi="Arial" w:cs="Arial"/>
                <w:sz w:val="24"/>
                <w:szCs w:val="24"/>
              </w:rPr>
              <w:t xml:space="preserve"> </w:t>
            </w:r>
            <w:r w:rsidR="0041103C">
              <w:rPr>
                <w:rFonts w:ascii="Arial" w:hAnsi="Arial" w:cs="Arial"/>
                <w:sz w:val="24"/>
                <w:szCs w:val="24"/>
              </w:rPr>
              <w:t>11</w:t>
            </w:r>
            <w:r>
              <w:rPr>
                <w:rFonts w:ascii="Arial" w:hAnsi="Arial" w:cs="Arial"/>
                <w:sz w:val="24"/>
                <w:szCs w:val="24"/>
              </w:rPr>
              <w:t xml:space="preserve"> February 2021</w:t>
            </w:r>
          </w:p>
        </w:tc>
      </w:tr>
      <w:tr w:rsidR="007B5F2F" w:rsidRPr="001B0FDD" w:rsidTr="007B5F2F">
        <w:tc>
          <w:tcPr>
            <w:tcW w:w="10051" w:type="dxa"/>
            <w:gridSpan w:val="3"/>
          </w:tcPr>
          <w:p w:rsidR="007B5F2F" w:rsidRPr="00664D21" w:rsidRDefault="007B5F2F" w:rsidP="002C2649">
            <w:pPr>
              <w:spacing w:line="360" w:lineRule="auto"/>
              <w:jc w:val="both"/>
              <w:rPr>
                <w:rFonts w:ascii="Arial" w:hAnsi="Arial" w:cs="Arial"/>
                <w:b/>
                <w:sz w:val="24"/>
                <w:szCs w:val="24"/>
              </w:rPr>
            </w:pPr>
          </w:p>
          <w:p w:rsidR="007B5F2F" w:rsidRPr="00664D21" w:rsidRDefault="007B5F2F" w:rsidP="002C2649">
            <w:pPr>
              <w:spacing w:line="360" w:lineRule="auto"/>
              <w:jc w:val="both"/>
              <w:rPr>
                <w:rFonts w:ascii="Arial" w:hAnsi="Arial" w:cs="Arial"/>
                <w:sz w:val="24"/>
                <w:szCs w:val="24"/>
              </w:rPr>
            </w:pPr>
            <w:r w:rsidRPr="00664D21">
              <w:rPr>
                <w:rFonts w:ascii="Arial" w:hAnsi="Arial" w:cs="Arial"/>
                <w:b/>
                <w:sz w:val="24"/>
                <w:szCs w:val="24"/>
              </w:rPr>
              <w:t xml:space="preserve">Neutral citation: </w:t>
            </w:r>
            <w:r w:rsidRPr="00664D21">
              <w:rPr>
                <w:rFonts w:ascii="Arial" w:hAnsi="Arial" w:cs="Arial"/>
                <w:i/>
                <w:sz w:val="24"/>
                <w:szCs w:val="24"/>
              </w:rPr>
              <w:t xml:space="preserve">S v </w:t>
            </w:r>
            <w:proofErr w:type="spellStart"/>
            <w:r>
              <w:rPr>
                <w:rFonts w:ascii="Arial" w:hAnsi="Arial" w:cs="Arial"/>
                <w:i/>
                <w:sz w:val="24"/>
                <w:szCs w:val="24"/>
              </w:rPr>
              <w:t>Chimoso</w:t>
            </w:r>
            <w:proofErr w:type="spellEnd"/>
            <w:r>
              <w:rPr>
                <w:rFonts w:ascii="Arial" w:hAnsi="Arial" w:cs="Arial"/>
                <w:i/>
                <w:sz w:val="24"/>
                <w:szCs w:val="24"/>
              </w:rPr>
              <w:t xml:space="preserve"> </w:t>
            </w:r>
            <w:r w:rsidRPr="00664D21">
              <w:rPr>
                <w:rFonts w:ascii="Arial" w:hAnsi="Arial" w:cs="Arial"/>
                <w:sz w:val="24"/>
                <w:szCs w:val="24"/>
              </w:rPr>
              <w:t>(CR</w:t>
            </w:r>
            <w:r>
              <w:rPr>
                <w:rFonts w:ascii="Arial" w:hAnsi="Arial" w:cs="Arial"/>
                <w:sz w:val="24"/>
                <w:szCs w:val="24"/>
              </w:rPr>
              <w:t>M</w:t>
            </w:r>
            <w:r w:rsidRPr="00664D21">
              <w:rPr>
                <w:rFonts w:ascii="Arial" w:hAnsi="Arial" w:cs="Arial"/>
                <w:sz w:val="24"/>
                <w:szCs w:val="24"/>
              </w:rPr>
              <w:t xml:space="preserve"> </w:t>
            </w:r>
            <w:r>
              <w:rPr>
                <w:rFonts w:ascii="Arial" w:hAnsi="Arial" w:cs="Arial"/>
                <w:sz w:val="24"/>
                <w:szCs w:val="24"/>
              </w:rPr>
              <w:t>1314/2020</w:t>
            </w:r>
            <w:r w:rsidR="0041103C">
              <w:rPr>
                <w:rFonts w:ascii="Arial" w:hAnsi="Arial" w:cs="Arial"/>
                <w:sz w:val="24"/>
                <w:szCs w:val="24"/>
              </w:rPr>
              <w:t>) [2021</w:t>
            </w:r>
            <w:r w:rsidRPr="00664D21">
              <w:rPr>
                <w:rFonts w:ascii="Arial" w:hAnsi="Arial" w:cs="Arial"/>
                <w:sz w:val="24"/>
                <w:szCs w:val="24"/>
              </w:rPr>
              <w:t xml:space="preserve">] NAHCMD </w:t>
            </w:r>
            <w:r w:rsidR="0041103C">
              <w:rPr>
                <w:rFonts w:ascii="Arial" w:hAnsi="Arial" w:cs="Arial"/>
                <w:sz w:val="24"/>
                <w:szCs w:val="24"/>
              </w:rPr>
              <w:t>37 (11</w:t>
            </w:r>
            <w:r>
              <w:rPr>
                <w:rFonts w:ascii="Arial" w:hAnsi="Arial" w:cs="Arial"/>
                <w:sz w:val="24"/>
                <w:szCs w:val="24"/>
              </w:rPr>
              <w:t xml:space="preserve"> February</w:t>
            </w:r>
            <w:r w:rsidRPr="00664D21">
              <w:rPr>
                <w:rFonts w:ascii="Arial" w:hAnsi="Arial" w:cs="Arial"/>
                <w:sz w:val="24"/>
                <w:szCs w:val="24"/>
              </w:rPr>
              <w:t xml:space="preserve"> 202</w:t>
            </w:r>
            <w:r>
              <w:rPr>
                <w:rFonts w:ascii="Arial" w:hAnsi="Arial" w:cs="Arial"/>
                <w:sz w:val="24"/>
                <w:szCs w:val="24"/>
              </w:rPr>
              <w:t>1</w:t>
            </w:r>
            <w:r w:rsidRPr="00664D21">
              <w:rPr>
                <w:rFonts w:ascii="Arial" w:hAnsi="Arial" w:cs="Arial"/>
                <w:sz w:val="24"/>
                <w:szCs w:val="24"/>
              </w:rPr>
              <w:t>)</w:t>
            </w:r>
          </w:p>
          <w:p w:rsidR="007B5F2F" w:rsidRPr="00664D21" w:rsidRDefault="007B5F2F" w:rsidP="002C2649">
            <w:pPr>
              <w:spacing w:line="360" w:lineRule="auto"/>
              <w:jc w:val="both"/>
              <w:rPr>
                <w:rFonts w:ascii="Arial" w:hAnsi="Arial" w:cs="Arial"/>
                <w:sz w:val="24"/>
                <w:szCs w:val="24"/>
              </w:rPr>
            </w:pPr>
          </w:p>
        </w:tc>
      </w:tr>
      <w:tr w:rsidR="007B5F2F" w:rsidRPr="00ED330E" w:rsidTr="007B5F2F">
        <w:tc>
          <w:tcPr>
            <w:tcW w:w="10051" w:type="dxa"/>
            <w:gridSpan w:val="3"/>
          </w:tcPr>
          <w:p w:rsidR="007B5F2F" w:rsidRPr="00664D21" w:rsidRDefault="007B5F2F" w:rsidP="002C2649">
            <w:pPr>
              <w:spacing w:line="360" w:lineRule="auto"/>
              <w:jc w:val="both"/>
              <w:rPr>
                <w:rFonts w:ascii="Arial" w:hAnsi="Arial" w:cs="Arial"/>
                <w:b/>
                <w:sz w:val="24"/>
                <w:szCs w:val="24"/>
              </w:rPr>
            </w:pPr>
          </w:p>
          <w:p w:rsidR="007B5F2F" w:rsidRDefault="007B5F2F" w:rsidP="002C2649">
            <w:pPr>
              <w:spacing w:line="360" w:lineRule="auto"/>
              <w:jc w:val="both"/>
              <w:rPr>
                <w:rFonts w:ascii="Arial" w:hAnsi="Arial" w:cs="Arial"/>
                <w:b/>
                <w:sz w:val="24"/>
                <w:szCs w:val="24"/>
              </w:rPr>
            </w:pPr>
            <w:r w:rsidRPr="00664D21">
              <w:rPr>
                <w:rFonts w:ascii="Arial" w:hAnsi="Arial" w:cs="Arial"/>
                <w:b/>
                <w:sz w:val="24"/>
                <w:szCs w:val="24"/>
              </w:rPr>
              <w:t>The order:</w:t>
            </w:r>
          </w:p>
          <w:p w:rsidR="007B5F2F" w:rsidRPr="00664D21" w:rsidRDefault="007B5F2F" w:rsidP="002C2649">
            <w:pPr>
              <w:spacing w:line="360" w:lineRule="auto"/>
              <w:jc w:val="both"/>
              <w:rPr>
                <w:rFonts w:ascii="Arial" w:hAnsi="Arial" w:cs="Arial"/>
                <w:b/>
                <w:sz w:val="24"/>
                <w:szCs w:val="24"/>
              </w:rPr>
            </w:pPr>
          </w:p>
          <w:p w:rsidR="007B5F2F" w:rsidRDefault="007B5F2F" w:rsidP="007B5F2F">
            <w:pPr>
              <w:pStyle w:val="ListParagraph"/>
              <w:numPr>
                <w:ilvl w:val="0"/>
                <w:numId w:val="5"/>
              </w:numPr>
              <w:spacing w:after="200" w:line="276" w:lineRule="auto"/>
              <w:rPr>
                <w:rFonts w:ascii="Arial" w:hAnsi="Arial" w:cs="Arial"/>
                <w:sz w:val="24"/>
                <w:szCs w:val="24"/>
              </w:rPr>
            </w:pPr>
            <w:r w:rsidRPr="00005446">
              <w:rPr>
                <w:rFonts w:ascii="Arial" w:hAnsi="Arial" w:cs="Arial"/>
                <w:sz w:val="24"/>
                <w:szCs w:val="24"/>
              </w:rPr>
              <w:t>The conviction and sentence are set aside.</w:t>
            </w:r>
          </w:p>
          <w:p w:rsidR="007B5F2F" w:rsidRPr="00005446" w:rsidRDefault="007B5F2F" w:rsidP="002C2649">
            <w:pPr>
              <w:pStyle w:val="ListParagraph"/>
              <w:spacing w:after="200" w:line="276" w:lineRule="auto"/>
              <w:rPr>
                <w:rFonts w:ascii="Arial" w:hAnsi="Arial" w:cs="Arial"/>
                <w:sz w:val="24"/>
                <w:szCs w:val="24"/>
              </w:rPr>
            </w:pPr>
          </w:p>
          <w:p w:rsidR="007B5F2F" w:rsidRPr="00005446" w:rsidRDefault="007B5F2F" w:rsidP="007B5F2F">
            <w:pPr>
              <w:pStyle w:val="ListParagraph"/>
              <w:numPr>
                <w:ilvl w:val="0"/>
                <w:numId w:val="5"/>
              </w:numPr>
              <w:spacing w:after="200" w:line="276" w:lineRule="auto"/>
              <w:rPr>
                <w:rFonts w:ascii="Arial" w:hAnsi="Arial" w:cs="Arial"/>
                <w:sz w:val="24"/>
                <w:szCs w:val="24"/>
              </w:rPr>
            </w:pPr>
            <w:r w:rsidRPr="00005446">
              <w:rPr>
                <w:rFonts w:ascii="Arial" w:hAnsi="Arial" w:cs="Arial"/>
                <w:sz w:val="24"/>
                <w:szCs w:val="24"/>
              </w:rPr>
              <w:t xml:space="preserve">The matter is referred back to the </w:t>
            </w:r>
            <w:r w:rsidR="00DB0262">
              <w:rPr>
                <w:rFonts w:ascii="Arial" w:hAnsi="Arial" w:cs="Arial"/>
                <w:sz w:val="24"/>
                <w:szCs w:val="24"/>
              </w:rPr>
              <w:t>O</w:t>
            </w:r>
            <w:r w:rsidRPr="00005446">
              <w:rPr>
                <w:rFonts w:ascii="Arial" w:hAnsi="Arial" w:cs="Arial"/>
                <w:sz w:val="24"/>
                <w:szCs w:val="24"/>
              </w:rPr>
              <w:t xml:space="preserve">ffice of the </w:t>
            </w:r>
            <w:r w:rsidR="00DB0262">
              <w:rPr>
                <w:rFonts w:ascii="Arial" w:hAnsi="Arial" w:cs="Arial"/>
                <w:sz w:val="24"/>
                <w:szCs w:val="24"/>
              </w:rPr>
              <w:t>Prosecutor G</w:t>
            </w:r>
            <w:r w:rsidRPr="00005446">
              <w:rPr>
                <w:rFonts w:ascii="Arial" w:hAnsi="Arial" w:cs="Arial"/>
                <w:sz w:val="24"/>
                <w:szCs w:val="24"/>
              </w:rPr>
              <w:t xml:space="preserve">eneral to institute </w:t>
            </w:r>
            <w:r w:rsidR="00DB0262">
              <w:rPr>
                <w:rFonts w:ascii="Arial" w:hAnsi="Arial" w:cs="Arial"/>
                <w:sz w:val="24"/>
                <w:szCs w:val="24"/>
              </w:rPr>
              <w:t xml:space="preserve">a charge </w:t>
            </w:r>
            <w:r w:rsidRPr="00005446">
              <w:rPr>
                <w:rFonts w:ascii="Arial" w:hAnsi="Arial" w:cs="Arial"/>
                <w:sz w:val="24"/>
                <w:szCs w:val="24"/>
              </w:rPr>
              <w:t>afresh if so inclined.</w:t>
            </w:r>
          </w:p>
          <w:p w:rsidR="007B5F2F" w:rsidRPr="00664D21" w:rsidRDefault="007B5F2F" w:rsidP="002C2649">
            <w:pPr>
              <w:pStyle w:val="ListParagraph"/>
              <w:spacing w:line="360" w:lineRule="auto"/>
              <w:ind w:left="1800"/>
              <w:jc w:val="both"/>
              <w:rPr>
                <w:rFonts w:ascii="Arial" w:hAnsi="Arial" w:cs="Arial"/>
                <w:sz w:val="24"/>
                <w:szCs w:val="24"/>
              </w:rPr>
            </w:pPr>
          </w:p>
        </w:tc>
      </w:tr>
      <w:tr w:rsidR="007B5F2F" w:rsidRPr="001B0FDD" w:rsidTr="007B5F2F">
        <w:tc>
          <w:tcPr>
            <w:tcW w:w="10051" w:type="dxa"/>
            <w:gridSpan w:val="3"/>
          </w:tcPr>
          <w:p w:rsidR="007B5F2F" w:rsidRPr="00664D21" w:rsidRDefault="007B5F2F" w:rsidP="002C2649">
            <w:pPr>
              <w:jc w:val="both"/>
              <w:rPr>
                <w:rFonts w:ascii="Arial" w:hAnsi="Arial" w:cs="Arial"/>
                <w:b/>
                <w:sz w:val="24"/>
                <w:szCs w:val="24"/>
              </w:rPr>
            </w:pPr>
          </w:p>
          <w:p w:rsidR="007B5F2F" w:rsidRPr="00664D21" w:rsidRDefault="007B5F2F" w:rsidP="002C2649">
            <w:pPr>
              <w:jc w:val="both"/>
              <w:rPr>
                <w:rFonts w:ascii="Arial" w:hAnsi="Arial" w:cs="Arial"/>
                <w:b/>
                <w:sz w:val="24"/>
                <w:szCs w:val="24"/>
              </w:rPr>
            </w:pPr>
            <w:r w:rsidRPr="00664D21">
              <w:rPr>
                <w:rFonts w:ascii="Arial" w:hAnsi="Arial" w:cs="Arial"/>
                <w:b/>
                <w:sz w:val="24"/>
                <w:szCs w:val="24"/>
              </w:rPr>
              <w:t>Reasons for order:</w:t>
            </w:r>
          </w:p>
          <w:p w:rsidR="007B5F2F" w:rsidRPr="00664D21" w:rsidRDefault="007B5F2F" w:rsidP="002C2649">
            <w:pPr>
              <w:jc w:val="both"/>
              <w:rPr>
                <w:rFonts w:ascii="Arial" w:hAnsi="Arial" w:cs="Arial"/>
                <w:b/>
                <w:sz w:val="24"/>
                <w:szCs w:val="24"/>
              </w:rPr>
            </w:pPr>
          </w:p>
        </w:tc>
      </w:tr>
      <w:tr w:rsidR="007B5F2F" w:rsidRPr="00005446" w:rsidTr="007B5F2F">
        <w:tc>
          <w:tcPr>
            <w:tcW w:w="10051" w:type="dxa"/>
            <w:gridSpan w:val="3"/>
          </w:tcPr>
          <w:p w:rsidR="007B5F2F" w:rsidRPr="00005446" w:rsidRDefault="007B5F2F" w:rsidP="002C2649">
            <w:pPr>
              <w:spacing w:line="360" w:lineRule="auto"/>
              <w:jc w:val="both"/>
              <w:rPr>
                <w:rFonts w:ascii="Arial" w:hAnsi="Arial" w:cs="Arial"/>
                <w:sz w:val="24"/>
                <w:szCs w:val="24"/>
              </w:rPr>
            </w:pPr>
          </w:p>
          <w:p w:rsidR="007B5F2F" w:rsidRPr="00005446" w:rsidRDefault="007B5F2F" w:rsidP="002C2649">
            <w:pPr>
              <w:spacing w:line="360" w:lineRule="auto"/>
              <w:jc w:val="both"/>
              <w:rPr>
                <w:rFonts w:ascii="Arial" w:hAnsi="Arial" w:cs="Arial"/>
                <w:sz w:val="24"/>
                <w:szCs w:val="24"/>
              </w:rPr>
            </w:pPr>
            <w:r>
              <w:rPr>
                <w:rFonts w:ascii="Arial" w:hAnsi="Arial" w:cs="Arial"/>
                <w:sz w:val="24"/>
                <w:szCs w:val="24"/>
              </w:rPr>
              <w:lastRenderedPageBreak/>
              <w:t>USIKU</w:t>
            </w:r>
            <w:r w:rsidRPr="00005446">
              <w:rPr>
                <w:rFonts w:ascii="Arial" w:hAnsi="Arial" w:cs="Arial"/>
                <w:sz w:val="24"/>
                <w:szCs w:val="24"/>
              </w:rPr>
              <w:t xml:space="preserve"> J (concurring Claasen J)</w:t>
            </w:r>
          </w:p>
          <w:p w:rsidR="007B5F2F" w:rsidRPr="00005446" w:rsidRDefault="007B5F2F" w:rsidP="002C2649">
            <w:pPr>
              <w:spacing w:line="360" w:lineRule="auto"/>
              <w:jc w:val="both"/>
              <w:rPr>
                <w:rFonts w:ascii="Arial" w:hAnsi="Arial" w:cs="Arial"/>
                <w:sz w:val="24"/>
                <w:szCs w:val="24"/>
              </w:rPr>
            </w:pPr>
          </w:p>
          <w:p w:rsidR="007B5F2F" w:rsidRPr="00005446" w:rsidRDefault="007B5F2F" w:rsidP="007B5F2F">
            <w:pPr>
              <w:pStyle w:val="ListParagraph"/>
              <w:numPr>
                <w:ilvl w:val="0"/>
                <w:numId w:val="6"/>
              </w:numPr>
              <w:spacing w:after="160" w:line="360" w:lineRule="auto"/>
              <w:ind w:left="342" w:right="459" w:hanging="90"/>
              <w:jc w:val="both"/>
              <w:rPr>
                <w:rFonts w:ascii="Arial" w:eastAsia="Times New Roman" w:hAnsi="Arial" w:cs="Arial"/>
                <w:sz w:val="24"/>
                <w:szCs w:val="24"/>
                <w:lang w:val="en-GB" w:eastAsia="en-GB"/>
              </w:rPr>
            </w:pPr>
            <w:r>
              <w:rPr>
                <w:rFonts w:ascii="Arial" w:hAnsi="Arial" w:cs="Arial"/>
                <w:sz w:val="24"/>
                <w:szCs w:val="24"/>
              </w:rPr>
              <w:t xml:space="preserve">   </w:t>
            </w:r>
            <w:r w:rsidRPr="00005446">
              <w:rPr>
                <w:rFonts w:ascii="Arial" w:hAnsi="Arial" w:cs="Arial"/>
                <w:sz w:val="24"/>
                <w:szCs w:val="24"/>
              </w:rPr>
              <w:t>This matter h</w:t>
            </w:r>
            <w:r w:rsidR="00461D24">
              <w:rPr>
                <w:rFonts w:ascii="Arial" w:hAnsi="Arial" w:cs="Arial"/>
                <w:sz w:val="24"/>
                <w:szCs w:val="24"/>
              </w:rPr>
              <w:t xml:space="preserve">as been sent on review in terms of </w:t>
            </w:r>
            <w:r w:rsidRPr="00005446">
              <w:rPr>
                <w:rFonts w:ascii="Arial" w:hAnsi="Arial" w:cs="Arial"/>
                <w:sz w:val="24"/>
                <w:szCs w:val="24"/>
              </w:rPr>
              <w:t>the provisions of s 304(4) of the Criminal Procedure Act</w:t>
            </w:r>
            <w:r w:rsidRPr="00005446">
              <w:rPr>
                <w:rStyle w:val="FootnoteReference"/>
                <w:rFonts w:ascii="Arial" w:hAnsi="Arial" w:cs="Arial"/>
                <w:sz w:val="24"/>
                <w:szCs w:val="24"/>
              </w:rPr>
              <w:footnoteReference w:id="1"/>
            </w:r>
            <w:r w:rsidRPr="00005446">
              <w:rPr>
                <w:rFonts w:ascii="Arial" w:hAnsi="Arial" w:cs="Arial"/>
                <w:sz w:val="24"/>
                <w:szCs w:val="24"/>
              </w:rPr>
              <w:t>, herein referred to as the C</w:t>
            </w:r>
            <w:r>
              <w:rPr>
                <w:rFonts w:ascii="Arial" w:hAnsi="Arial" w:cs="Arial"/>
                <w:sz w:val="24"/>
                <w:szCs w:val="24"/>
              </w:rPr>
              <w:t>PA</w:t>
            </w:r>
            <w:r w:rsidRPr="00005446">
              <w:rPr>
                <w:rFonts w:ascii="Arial" w:hAnsi="Arial" w:cs="Arial"/>
                <w:sz w:val="24"/>
                <w:szCs w:val="24"/>
              </w:rPr>
              <w:t>.</w:t>
            </w:r>
          </w:p>
          <w:p w:rsidR="007B5F2F" w:rsidRPr="00EA44F4" w:rsidRDefault="007B5F2F" w:rsidP="002C2649">
            <w:pPr>
              <w:pStyle w:val="AS-H1a"/>
              <w:spacing w:line="360" w:lineRule="auto"/>
              <w:ind w:left="304" w:right="459"/>
              <w:jc w:val="both"/>
              <w:rPr>
                <w:b w:val="0"/>
                <w:sz w:val="24"/>
                <w:szCs w:val="24"/>
                <w:lang w:val="en-ZA"/>
              </w:rPr>
            </w:pPr>
          </w:p>
          <w:p w:rsidR="007B5F2F" w:rsidRPr="00005446" w:rsidRDefault="007B5F2F" w:rsidP="007B5F2F">
            <w:pPr>
              <w:pStyle w:val="AS-H1a"/>
              <w:numPr>
                <w:ilvl w:val="0"/>
                <w:numId w:val="6"/>
              </w:numPr>
              <w:spacing w:line="360" w:lineRule="auto"/>
              <w:ind w:left="304" w:right="459" w:firstLine="0"/>
              <w:jc w:val="both"/>
              <w:rPr>
                <w:b w:val="0"/>
                <w:sz w:val="24"/>
                <w:szCs w:val="24"/>
                <w:lang w:val="en-ZA"/>
              </w:rPr>
            </w:pPr>
            <w:r>
              <w:rPr>
                <w:b w:val="0"/>
                <w:sz w:val="24"/>
                <w:szCs w:val="24"/>
              </w:rPr>
              <w:t xml:space="preserve">    </w:t>
            </w:r>
            <w:r w:rsidRPr="00005446">
              <w:rPr>
                <w:b w:val="0"/>
                <w:sz w:val="24"/>
                <w:szCs w:val="24"/>
              </w:rPr>
              <w:t>The accused</w:t>
            </w:r>
            <w:r w:rsidR="00461D24">
              <w:rPr>
                <w:b w:val="0"/>
                <w:sz w:val="24"/>
                <w:szCs w:val="24"/>
              </w:rPr>
              <w:t xml:space="preserve">  was charged with c</w:t>
            </w:r>
            <w:r w:rsidRPr="00005446">
              <w:rPr>
                <w:b w:val="0"/>
                <w:sz w:val="24"/>
                <w:szCs w:val="24"/>
              </w:rPr>
              <w:t xml:space="preserve">ontravening </w:t>
            </w:r>
            <w:r w:rsidR="00461D24" w:rsidRPr="00005446">
              <w:rPr>
                <w:b w:val="0"/>
                <w:sz w:val="24"/>
                <w:szCs w:val="24"/>
              </w:rPr>
              <w:t>section 56(e)</w:t>
            </w:r>
            <w:r w:rsidR="00461D24">
              <w:rPr>
                <w:b w:val="0"/>
                <w:sz w:val="24"/>
                <w:szCs w:val="24"/>
              </w:rPr>
              <w:t xml:space="preserve"> of </w:t>
            </w:r>
            <w:r w:rsidRPr="00005446">
              <w:rPr>
                <w:b w:val="0"/>
                <w:sz w:val="24"/>
                <w:szCs w:val="24"/>
              </w:rPr>
              <w:t xml:space="preserve">the Immigration </w:t>
            </w:r>
            <w:r w:rsidR="00461D24">
              <w:rPr>
                <w:b w:val="0"/>
                <w:sz w:val="24"/>
                <w:szCs w:val="24"/>
              </w:rPr>
              <w:t>C</w:t>
            </w:r>
            <w:r w:rsidRPr="00005446">
              <w:rPr>
                <w:b w:val="0"/>
                <w:sz w:val="24"/>
                <w:szCs w:val="24"/>
              </w:rPr>
              <w:t>ontrol Act 7 of 1993, possession and or use of fabricated, forged or falsi</w:t>
            </w:r>
            <w:r>
              <w:rPr>
                <w:b w:val="0"/>
                <w:sz w:val="24"/>
                <w:szCs w:val="24"/>
              </w:rPr>
              <w:t>fied documents. The accused pleaded</w:t>
            </w:r>
            <w:r w:rsidRPr="00005446">
              <w:rPr>
                <w:b w:val="0"/>
                <w:sz w:val="24"/>
                <w:szCs w:val="24"/>
              </w:rPr>
              <w:t xml:space="preserve"> guilty </w:t>
            </w:r>
            <w:r w:rsidR="00461D24">
              <w:rPr>
                <w:b w:val="0"/>
                <w:sz w:val="24"/>
                <w:szCs w:val="24"/>
              </w:rPr>
              <w:t xml:space="preserve">and after being questioned in terms of section 112(1)(a) of the CPA he was convicted and </w:t>
            </w:r>
            <w:r w:rsidRPr="00005446">
              <w:rPr>
                <w:b w:val="0"/>
                <w:sz w:val="24"/>
                <w:szCs w:val="24"/>
              </w:rPr>
              <w:t>sentenced to a fine of N$ 5 000.00 or 15 months imprisonment.</w:t>
            </w:r>
          </w:p>
          <w:p w:rsidR="007B5F2F" w:rsidRPr="00005446" w:rsidRDefault="007B5F2F" w:rsidP="002C2649">
            <w:pPr>
              <w:pStyle w:val="AS-H1a"/>
              <w:spacing w:line="360" w:lineRule="auto"/>
              <w:ind w:right="459"/>
              <w:jc w:val="both"/>
              <w:rPr>
                <w:b w:val="0"/>
                <w:sz w:val="24"/>
                <w:szCs w:val="24"/>
                <w:lang w:val="en-ZA"/>
              </w:rPr>
            </w:pPr>
          </w:p>
          <w:p w:rsidR="007B5F2F" w:rsidRPr="00005446" w:rsidRDefault="007B5F2F" w:rsidP="007B5F2F">
            <w:pPr>
              <w:pStyle w:val="AS-H1a"/>
              <w:numPr>
                <w:ilvl w:val="0"/>
                <w:numId w:val="6"/>
              </w:numPr>
              <w:spacing w:line="360" w:lineRule="auto"/>
              <w:ind w:left="304" w:right="459" w:firstLine="0"/>
              <w:jc w:val="both"/>
              <w:rPr>
                <w:b w:val="0"/>
                <w:sz w:val="24"/>
                <w:szCs w:val="24"/>
                <w:lang w:val="en-ZA"/>
              </w:rPr>
            </w:pPr>
            <w:r>
              <w:rPr>
                <w:b w:val="0"/>
                <w:sz w:val="24"/>
                <w:szCs w:val="24"/>
              </w:rPr>
              <w:t xml:space="preserve">    </w:t>
            </w:r>
            <w:r w:rsidR="00461D24">
              <w:rPr>
                <w:b w:val="0"/>
                <w:sz w:val="24"/>
                <w:szCs w:val="24"/>
              </w:rPr>
              <w:t>D</w:t>
            </w:r>
            <w:r w:rsidRPr="00005446">
              <w:rPr>
                <w:b w:val="0"/>
                <w:sz w:val="24"/>
                <w:szCs w:val="24"/>
              </w:rPr>
              <w:t xml:space="preserve">uring his first appearance at court </w:t>
            </w:r>
            <w:r w:rsidR="00461D24">
              <w:rPr>
                <w:b w:val="0"/>
                <w:sz w:val="24"/>
                <w:szCs w:val="24"/>
              </w:rPr>
              <w:t>the right to legal representation was explained and he elected to obtain the services of a legal representative</w:t>
            </w:r>
            <w:r w:rsidR="00A07F9C">
              <w:rPr>
                <w:b w:val="0"/>
                <w:sz w:val="24"/>
                <w:szCs w:val="24"/>
              </w:rPr>
              <w:t>. The accu</w:t>
            </w:r>
            <w:r w:rsidR="00021981">
              <w:rPr>
                <w:b w:val="0"/>
                <w:sz w:val="24"/>
                <w:szCs w:val="24"/>
              </w:rPr>
              <w:t>s</w:t>
            </w:r>
            <w:r w:rsidR="00A07F9C">
              <w:rPr>
                <w:b w:val="0"/>
                <w:sz w:val="24"/>
                <w:szCs w:val="24"/>
              </w:rPr>
              <w:t xml:space="preserve">ed even </w:t>
            </w:r>
            <w:r w:rsidR="00461D24">
              <w:rPr>
                <w:b w:val="0"/>
                <w:sz w:val="24"/>
                <w:szCs w:val="24"/>
              </w:rPr>
              <w:t>stated the name of the legal practitioner of</w:t>
            </w:r>
            <w:r w:rsidR="00461D24" w:rsidRPr="00461D24">
              <w:rPr>
                <w:b w:val="0"/>
                <w:sz w:val="24"/>
                <w:szCs w:val="24"/>
              </w:rPr>
              <w:t xml:space="preserve"> his choice. The matter was then remanded to a further date</w:t>
            </w:r>
            <w:r w:rsidR="00461D24">
              <w:rPr>
                <w:b w:val="0"/>
                <w:sz w:val="24"/>
                <w:szCs w:val="24"/>
              </w:rPr>
              <w:t xml:space="preserve"> for that purpose as well as for investigations to continue. </w:t>
            </w:r>
          </w:p>
          <w:p w:rsidR="007B5F2F" w:rsidRPr="00005446" w:rsidRDefault="007B5F2F" w:rsidP="002C2649">
            <w:pPr>
              <w:spacing w:line="360" w:lineRule="auto"/>
              <w:jc w:val="both"/>
              <w:rPr>
                <w:rFonts w:ascii="Arial" w:hAnsi="Arial" w:cs="Arial"/>
                <w:sz w:val="24"/>
                <w:szCs w:val="24"/>
              </w:rPr>
            </w:pPr>
            <w:r w:rsidRPr="00005446">
              <w:rPr>
                <w:rFonts w:ascii="Arial" w:hAnsi="Arial" w:cs="Arial"/>
                <w:sz w:val="24"/>
                <w:szCs w:val="24"/>
              </w:rPr>
              <w:t xml:space="preserve">   </w:t>
            </w:r>
          </w:p>
          <w:p w:rsidR="007B5F2F" w:rsidRDefault="007B5F2F" w:rsidP="007B5F2F">
            <w:pPr>
              <w:pStyle w:val="ListParagraph"/>
              <w:numPr>
                <w:ilvl w:val="0"/>
                <w:numId w:val="6"/>
              </w:numPr>
              <w:spacing w:line="360" w:lineRule="auto"/>
              <w:ind w:left="342" w:right="459" w:firstLine="0"/>
              <w:jc w:val="both"/>
              <w:rPr>
                <w:rFonts w:ascii="Arial" w:hAnsi="Arial" w:cs="Arial"/>
                <w:sz w:val="24"/>
                <w:szCs w:val="24"/>
              </w:rPr>
            </w:pPr>
            <w:r>
              <w:rPr>
                <w:rFonts w:ascii="Arial" w:hAnsi="Arial" w:cs="Arial"/>
                <w:sz w:val="24"/>
                <w:szCs w:val="24"/>
              </w:rPr>
              <w:t xml:space="preserve"> </w:t>
            </w:r>
            <w:r w:rsidR="00461D24">
              <w:rPr>
                <w:rFonts w:ascii="Arial" w:hAnsi="Arial" w:cs="Arial"/>
                <w:sz w:val="24"/>
                <w:szCs w:val="24"/>
              </w:rPr>
              <w:t xml:space="preserve">  On a subsequent court appearance on 9 December 2020 the court proceeded with plea proceedings.</w:t>
            </w:r>
            <w:r w:rsidR="00461D24" w:rsidRPr="00763A29">
              <w:rPr>
                <w:rFonts w:ascii="Arial" w:hAnsi="Arial" w:cs="Arial"/>
                <w:sz w:val="24"/>
                <w:szCs w:val="24"/>
              </w:rPr>
              <w:t xml:space="preserve"> </w:t>
            </w:r>
            <w:r w:rsidR="00461D24">
              <w:rPr>
                <w:rFonts w:ascii="Arial" w:hAnsi="Arial" w:cs="Arial"/>
                <w:sz w:val="24"/>
                <w:szCs w:val="24"/>
              </w:rPr>
              <w:t xml:space="preserve">That was done without </w:t>
            </w:r>
            <w:r w:rsidR="006F3121">
              <w:rPr>
                <w:rFonts w:ascii="Arial" w:hAnsi="Arial" w:cs="Arial"/>
                <w:sz w:val="24"/>
                <w:szCs w:val="24"/>
              </w:rPr>
              <w:t>canvassing the issue of legal representation. The court record does not indicate that the accused waived his right to legal representation</w:t>
            </w:r>
            <w:r w:rsidR="00A07F9C">
              <w:rPr>
                <w:rFonts w:ascii="Arial" w:hAnsi="Arial" w:cs="Arial"/>
                <w:sz w:val="24"/>
                <w:szCs w:val="24"/>
              </w:rPr>
              <w:t xml:space="preserve">. In the absence of it being expressly stated in the recordkeeping of the magistrate, it cannot be assumed that the accused changed his mind </w:t>
            </w:r>
            <w:r w:rsidR="006F3121">
              <w:rPr>
                <w:rFonts w:ascii="Arial" w:hAnsi="Arial" w:cs="Arial"/>
                <w:sz w:val="24"/>
                <w:szCs w:val="24"/>
              </w:rPr>
              <w:t xml:space="preserve">about his earlier </w:t>
            </w:r>
            <w:r w:rsidR="00A07F9C">
              <w:rPr>
                <w:rFonts w:ascii="Arial" w:hAnsi="Arial" w:cs="Arial"/>
                <w:sz w:val="24"/>
                <w:szCs w:val="24"/>
              </w:rPr>
              <w:t>preference</w:t>
            </w:r>
            <w:r w:rsidR="00942665">
              <w:rPr>
                <w:rFonts w:ascii="Arial" w:hAnsi="Arial" w:cs="Arial"/>
                <w:sz w:val="24"/>
                <w:szCs w:val="24"/>
              </w:rPr>
              <w:t xml:space="preserve"> to exercise his right to</w:t>
            </w:r>
            <w:r w:rsidR="00A07F9C">
              <w:rPr>
                <w:rFonts w:ascii="Arial" w:hAnsi="Arial" w:cs="Arial"/>
                <w:sz w:val="24"/>
                <w:szCs w:val="24"/>
              </w:rPr>
              <w:t xml:space="preserve"> </w:t>
            </w:r>
            <w:r w:rsidR="006F3121">
              <w:rPr>
                <w:rFonts w:ascii="Arial" w:hAnsi="Arial" w:cs="Arial"/>
                <w:sz w:val="24"/>
                <w:szCs w:val="24"/>
              </w:rPr>
              <w:t xml:space="preserve">legal representation.  </w:t>
            </w:r>
          </w:p>
          <w:p w:rsidR="007B5F2F" w:rsidRPr="00300DDF" w:rsidRDefault="007B5F2F" w:rsidP="002C2649">
            <w:pPr>
              <w:pStyle w:val="ListParagraph"/>
              <w:rPr>
                <w:rFonts w:ascii="Arial" w:hAnsi="Arial" w:cs="Arial"/>
                <w:sz w:val="24"/>
                <w:szCs w:val="24"/>
                <w:lang w:val="en-ZA"/>
              </w:rPr>
            </w:pPr>
          </w:p>
          <w:p w:rsidR="007B5F2F" w:rsidRPr="00005446" w:rsidRDefault="007B5F2F" w:rsidP="007B5F2F">
            <w:pPr>
              <w:pStyle w:val="ListParagraph"/>
              <w:numPr>
                <w:ilvl w:val="0"/>
                <w:numId w:val="6"/>
              </w:numPr>
              <w:spacing w:line="360" w:lineRule="auto"/>
              <w:ind w:left="304" w:right="459" w:firstLine="38"/>
              <w:jc w:val="both"/>
              <w:rPr>
                <w:rFonts w:ascii="Arial" w:eastAsia="Times New Roman" w:hAnsi="Arial" w:cs="Arial"/>
                <w:sz w:val="24"/>
                <w:szCs w:val="24"/>
                <w:lang w:val="en-GB" w:eastAsia="en-GB"/>
              </w:rPr>
            </w:pPr>
            <w:r>
              <w:rPr>
                <w:rFonts w:ascii="Arial" w:hAnsi="Arial" w:cs="Arial"/>
                <w:sz w:val="24"/>
                <w:szCs w:val="24"/>
              </w:rPr>
              <w:t xml:space="preserve">     </w:t>
            </w:r>
            <w:r w:rsidRPr="00005446">
              <w:rPr>
                <w:rFonts w:ascii="Arial" w:hAnsi="Arial" w:cs="Arial"/>
                <w:sz w:val="24"/>
                <w:szCs w:val="24"/>
              </w:rPr>
              <w:t>Article 12(1)(e) of the Constitution provides:</w:t>
            </w:r>
          </w:p>
          <w:p w:rsidR="007B5F2F" w:rsidRPr="00005446" w:rsidRDefault="007B5F2F" w:rsidP="002C2649">
            <w:pPr>
              <w:spacing w:line="360" w:lineRule="auto"/>
              <w:jc w:val="both"/>
              <w:rPr>
                <w:rFonts w:ascii="Arial" w:hAnsi="Arial" w:cs="Arial"/>
                <w:sz w:val="24"/>
                <w:szCs w:val="24"/>
              </w:rPr>
            </w:pPr>
          </w:p>
          <w:p w:rsidR="007B5F2F" w:rsidRPr="00005446" w:rsidRDefault="007B5F2F" w:rsidP="004856EB">
            <w:pPr>
              <w:pStyle w:val="ListParagraph"/>
              <w:spacing w:line="360" w:lineRule="auto"/>
              <w:ind w:left="342" w:right="459" w:firstLine="671"/>
              <w:jc w:val="both"/>
              <w:rPr>
                <w:rFonts w:ascii="Arial" w:hAnsi="Arial" w:cs="Arial"/>
              </w:rPr>
            </w:pPr>
            <w:r w:rsidRPr="00005446">
              <w:rPr>
                <w:rFonts w:ascii="Arial" w:hAnsi="Arial" w:cs="Arial"/>
              </w:rPr>
              <w:t>'All persons should be afforded adequate time and facilities for the preparation of their defence, before the commencement of and during their trial, and shall be entitled to be defended by a legal practitioner of their choice.'</w:t>
            </w:r>
          </w:p>
          <w:p w:rsidR="007B5F2F" w:rsidRPr="00005446" w:rsidRDefault="007B5F2F" w:rsidP="002C2649">
            <w:pPr>
              <w:spacing w:line="360" w:lineRule="auto"/>
              <w:ind w:left="1438" w:right="1309"/>
              <w:jc w:val="both"/>
              <w:rPr>
                <w:rFonts w:ascii="Arial" w:hAnsi="Arial" w:cs="Arial"/>
              </w:rPr>
            </w:pPr>
          </w:p>
          <w:p w:rsidR="00892714" w:rsidRDefault="007B5F2F" w:rsidP="002C2649">
            <w:pPr>
              <w:spacing w:line="360" w:lineRule="auto"/>
              <w:ind w:left="342" w:right="403" w:hanging="180"/>
              <w:jc w:val="both"/>
              <w:rPr>
                <w:rFonts w:ascii="Arial" w:eastAsia="Times New Roman" w:hAnsi="Arial" w:cs="Arial"/>
                <w:sz w:val="24"/>
                <w:szCs w:val="24"/>
                <w:lang w:val="en-GB" w:eastAsia="en-GB"/>
              </w:rPr>
            </w:pPr>
            <w:r w:rsidRPr="00005446">
              <w:rPr>
                <w:rFonts w:ascii="Arial" w:eastAsia="Times New Roman" w:hAnsi="Arial" w:cs="Arial"/>
                <w:sz w:val="24"/>
                <w:szCs w:val="24"/>
                <w:lang w:val="en-GB" w:eastAsia="en-GB"/>
              </w:rPr>
              <w:t xml:space="preserve">  </w:t>
            </w:r>
          </w:p>
          <w:p w:rsidR="007B5F2F" w:rsidRPr="00780891" w:rsidRDefault="007B5F2F" w:rsidP="002C2649">
            <w:pPr>
              <w:spacing w:line="360" w:lineRule="auto"/>
              <w:ind w:left="342" w:right="403" w:hanging="180"/>
              <w:jc w:val="both"/>
              <w:rPr>
                <w:rFonts w:ascii="Arial" w:hAnsi="Arial" w:cs="Arial"/>
                <w:i/>
                <w:sz w:val="24"/>
                <w:szCs w:val="24"/>
              </w:rPr>
            </w:pPr>
            <w:r w:rsidRPr="00005446">
              <w:rPr>
                <w:rFonts w:ascii="Arial" w:eastAsia="Times New Roman" w:hAnsi="Arial" w:cs="Arial"/>
                <w:sz w:val="24"/>
                <w:szCs w:val="24"/>
                <w:lang w:val="en-GB" w:eastAsia="en-GB"/>
              </w:rPr>
              <w:lastRenderedPageBreak/>
              <w:t xml:space="preserve"> </w:t>
            </w:r>
            <w:r>
              <w:rPr>
                <w:rFonts w:ascii="Arial" w:eastAsia="Times New Roman" w:hAnsi="Arial" w:cs="Arial"/>
                <w:sz w:val="24"/>
                <w:szCs w:val="24"/>
                <w:lang w:val="en-GB" w:eastAsia="en-GB"/>
              </w:rPr>
              <w:t>[6</w:t>
            </w:r>
            <w:r w:rsidRPr="00005446">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      </w:t>
            </w:r>
            <w:r w:rsidRPr="00005446">
              <w:rPr>
                <w:rFonts w:ascii="Arial" w:hAnsi="Arial" w:cs="Arial"/>
                <w:sz w:val="24"/>
                <w:szCs w:val="24"/>
              </w:rPr>
              <w:t xml:space="preserve">I agree with Shivute, J where she states in </w:t>
            </w:r>
            <w:r w:rsidRPr="00780891">
              <w:rPr>
                <w:rFonts w:ascii="Arial" w:hAnsi="Arial" w:cs="Arial"/>
                <w:i/>
                <w:sz w:val="24"/>
                <w:szCs w:val="24"/>
              </w:rPr>
              <w:t>S v Kambatuka 2014 (4) NR 1142 (HC) at 1145 E-F:</w:t>
            </w:r>
          </w:p>
          <w:p w:rsidR="007B5F2F" w:rsidRPr="00005446" w:rsidRDefault="007B5F2F" w:rsidP="002C2649">
            <w:pPr>
              <w:spacing w:line="360" w:lineRule="auto"/>
              <w:jc w:val="both"/>
              <w:rPr>
                <w:rFonts w:ascii="Arial" w:hAnsi="Arial" w:cs="Arial"/>
                <w:sz w:val="24"/>
                <w:szCs w:val="24"/>
              </w:rPr>
            </w:pPr>
          </w:p>
          <w:p w:rsidR="007B5F2F" w:rsidRPr="00AF45A5" w:rsidRDefault="007B5F2F" w:rsidP="004856EB">
            <w:pPr>
              <w:pStyle w:val="ListParagraph"/>
              <w:spacing w:line="360" w:lineRule="auto"/>
              <w:ind w:left="342" w:right="459" w:firstLine="671"/>
              <w:jc w:val="both"/>
              <w:rPr>
                <w:rFonts w:ascii="Arial" w:eastAsia="Times New Roman" w:hAnsi="Arial" w:cs="Arial"/>
                <w:sz w:val="24"/>
                <w:szCs w:val="24"/>
                <w:lang w:val="en-GB" w:eastAsia="en-GB"/>
              </w:rPr>
            </w:pPr>
            <w:r w:rsidRPr="00005446">
              <w:rPr>
                <w:rFonts w:ascii="Arial" w:hAnsi="Arial" w:cs="Arial"/>
              </w:rPr>
              <w:t xml:space="preserve">‘[12] The rights provided by the Constitution in the above article are there to ensure that all offenders charged with criminal charges and appearing before a criminal court are afforded a fair trial. The right to be represented is a fundamental right. </w:t>
            </w:r>
            <w:r w:rsidRPr="00005446">
              <w:rPr>
                <w:rFonts w:ascii="Arial" w:hAnsi="Arial" w:cs="Arial"/>
                <w:u w:val="single"/>
              </w:rPr>
              <w:t>Whether the failure of the accused to be afforded the opportunity to be represented results in a failure of justice is a question of fact which depends on the circumstances of each case.</w:t>
            </w:r>
            <w:r w:rsidRPr="00005446">
              <w:rPr>
                <w:rFonts w:ascii="Arial" w:hAnsi="Arial" w:cs="Arial"/>
              </w:rPr>
              <w:t>’</w:t>
            </w:r>
            <w:r w:rsidRPr="00AF45A5">
              <w:rPr>
                <w:rFonts w:ascii="Arial" w:hAnsi="Arial" w:cs="Arial"/>
                <w:sz w:val="24"/>
                <w:szCs w:val="24"/>
                <w:lang w:val="en-ZA"/>
              </w:rPr>
              <w:t xml:space="preserve">      </w:t>
            </w:r>
          </w:p>
          <w:p w:rsidR="007B5F2F" w:rsidRPr="00005446" w:rsidRDefault="007B5F2F" w:rsidP="002C2649">
            <w:pPr>
              <w:pStyle w:val="ListParagraph"/>
              <w:spacing w:line="360" w:lineRule="auto"/>
              <w:ind w:left="304" w:right="742"/>
              <w:jc w:val="both"/>
              <w:rPr>
                <w:rFonts w:ascii="Arial" w:hAnsi="Arial" w:cs="Arial"/>
                <w:sz w:val="24"/>
                <w:szCs w:val="24"/>
              </w:rPr>
            </w:pPr>
          </w:p>
          <w:p w:rsidR="006F3121" w:rsidRDefault="006F3121" w:rsidP="006F3121">
            <w:pPr>
              <w:spacing w:line="360" w:lineRule="auto"/>
              <w:ind w:left="378" w:right="459"/>
              <w:jc w:val="both"/>
              <w:rPr>
                <w:rFonts w:ascii="Arial" w:hAnsi="Arial" w:cs="Arial"/>
                <w:sz w:val="24"/>
                <w:szCs w:val="24"/>
              </w:rPr>
            </w:pPr>
            <w:r>
              <w:rPr>
                <w:rFonts w:ascii="Arial" w:hAnsi="Arial" w:cs="Arial"/>
                <w:sz w:val="24"/>
                <w:szCs w:val="24"/>
              </w:rPr>
              <w:t xml:space="preserve">[7]   </w:t>
            </w:r>
            <w:r w:rsidRPr="006F3121">
              <w:rPr>
                <w:rFonts w:ascii="Arial" w:hAnsi="Arial" w:cs="Arial"/>
                <w:sz w:val="24"/>
                <w:szCs w:val="24"/>
              </w:rPr>
              <w:t>The act of the m</w:t>
            </w:r>
            <w:r>
              <w:rPr>
                <w:rFonts w:ascii="Arial" w:hAnsi="Arial" w:cs="Arial"/>
                <w:sz w:val="24"/>
                <w:szCs w:val="24"/>
              </w:rPr>
              <w:t>agistrate of recording a plea in the absence of a legal representative, as per the accused</w:t>
            </w:r>
            <w:r w:rsidR="00942665">
              <w:rPr>
                <w:rFonts w:ascii="Arial" w:hAnsi="Arial" w:cs="Arial"/>
                <w:sz w:val="24"/>
                <w:szCs w:val="24"/>
              </w:rPr>
              <w:t>’s</w:t>
            </w:r>
            <w:r>
              <w:rPr>
                <w:rFonts w:ascii="Arial" w:hAnsi="Arial" w:cs="Arial"/>
                <w:sz w:val="24"/>
                <w:szCs w:val="24"/>
              </w:rPr>
              <w:t xml:space="preserve"> </w:t>
            </w:r>
            <w:r w:rsidR="00942665">
              <w:rPr>
                <w:rFonts w:ascii="Arial" w:hAnsi="Arial" w:cs="Arial"/>
                <w:sz w:val="24"/>
                <w:szCs w:val="24"/>
              </w:rPr>
              <w:t>election</w:t>
            </w:r>
            <w:r>
              <w:rPr>
                <w:rFonts w:ascii="Arial" w:hAnsi="Arial" w:cs="Arial"/>
                <w:sz w:val="24"/>
                <w:szCs w:val="24"/>
              </w:rPr>
              <w:t xml:space="preserve">, </w:t>
            </w:r>
            <w:r w:rsidRPr="006F3121">
              <w:rPr>
                <w:rFonts w:ascii="Arial" w:hAnsi="Arial" w:cs="Arial"/>
                <w:sz w:val="24"/>
                <w:szCs w:val="24"/>
              </w:rPr>
              <w:t>offends against the Const</w:t>
            </w:r>
            <w:r>
              <w:rPr>
                <w:rFonts w:ascii="Arial" w:hAnsi="Arial" w:cs="Arial"/>
                <w:sz w:val="24"/>
                <w:szCs w:val="24"/>
              </w:rPr>
              <w:t>itutional right to a fair trial</w:t>
            </w:r>
            <w:r w:rsidR="00942665">
              <w:rPr>
                <w:rFonts w:ascii="Arial" w:hAnsi="Arial" w:cs="Arial"/>
                <w:sz w:val="24"/>
                <w:szCs w:val="24"/>
              </w:rPr>
              <w:t>.</w:t>
            </w:r>
            <w:r>
              <w:rPr>
                <w:rFonts w:ascii="Arial" w:hAnsi="Arial" w:cs="Arial"/>
                <w:sz w:val="24"/>
                <w:szCs w:val="24"/>
              </w:rPr>
              <w:t xml:space="preserve"> It constitutes an un</w:t>
            </w:r>
            <w:r w:rsidRPr="006F3121">
              <w:rPr>
                <w:rFonts w:ascii="Arial" w:hAnsi="Arial" w:cs="Arial"/>
                <w:sz w:val="24"/>
                <w:szCs w:val="24"/>
              </w:rPr>
              <w:t>fortunate miscarriage of justice which should not have resulted.</w:t>
            </w:r>
            <w:r>
              <w:rPr>
                <w:rFonts w:ascii="Arial" w:hAnsi="Arial" w:cs="Arial"/>
                <w:sz w:val="24"/>
                <w:szCs w:val="24"/>
              </w:rPr>
              <w:t xml:space="preserve">  </w:t>
            </w:r>
          </w:p>
          <w:p w:rsidR="006F3121" w:rsidRPr="006F3121" w:rsidRDefault="006F3121" w:rsidP="006F3121">
            <w:pPr>
              <w:spacing w:line="360" w:lineRule="auto"/>
              <w:ind w:left="378" w:right="459"/>
              <w:jc w:val="both"/>
              <w:rPr>
                <w:rFonts w:ascii="Arial" w:hAnsi="Arial" w:cs="Arial"/>
                <w:sz w:val="24"/>
                <w:szCs w:val="24"/>
              </w:rPr>
            </w:pPr>
          </w:p>
          <w:p w:rsidR="007B5F2F" w:rsidRDefault="006F3121" w:rsidP="006F3121">
            <w:pPr>
              <w:pStyle w:val="ListParagraph"/>
              <w:tabs>
                <w:tab w:val="left" w:pos="9432"/>
              </w:tabs>
              <w:spacing w:line="360" w:lineRule="auto"/>
              <w:ind w:left="342" w:right="313"/>
              <w:jc w:val="both"/>
              <w:rPr>
                <w:rFonts w:ascii="Arial" w:hAnsi="Arial" w:cs="Arial"/>
                <w:sz w:val="24"/>
                <w:szCs w:val="24"/>
              </w:rPr>
            </w:pPr>
            <w:r>
              <w:rPr>
                <w:rFonts w:ascii="Arial" w:hAnsi="Arial" w:cs="Arial"/>
                <w:sz w:val="24"/>
                <w:szCs w:val="24"/>
              </w:rPr>
              <w:t>[8</w:t>
            </w:r>
            <w:r w:rsidR="004856EB">
              <w:rPr>
                <w:rFonts w:ascii="Arial" w:hAnsi="Arial" w:cs="Arial"/>
                <w:sz w:val="24"/>
                <w:szCs w:val="24"/>
              </w:rPr>
              <w:t>] The</w:t>
            </w:r>
            <w:r>
              <w:rPr>
                <w:rFonts w:ascii="Arial" w:hAnsi="Arial" w:cs="Arial"/>
                <w:sz w:val="24"/>
                <w:szCs w:val="24"/>
              </w:rPr>
              <w:t xml:space="preserve"> matter revealed other problematic issues as to the charge particulars and questioning by the magistrate in terms of section 112(1</w:t>
            </w:r>
            <w:r w:rsidR="004856EB">
              <w:rPr>
                <w:rFonts w:ascii="Arial" w:hAnsi="Arial" w:cs="Arial"/>
                <w:sz w:val="24"/>
                <w:szCs w:val="24"/>
              </w:rPr>
              <w:t>) (</w:t>
            </w:r>
            <w:r>
              <w:rPr>
                <w:rFonts w:ascii="Arial" w:hAnsi="Arial" w:cs="Arial"/>
                <w:sz w:val="24"/>
                <w:szCs w:val="24"/>
              </w:rPr>
              <w:t xml:space="preserve">b) of the Act.  </w:t>
            </w:r>
          </w:p>
          <w:p w:rsidR="006F3121" w:rsidRDefault="006F3121" w:rsidP="002C2649">
            <w:pPr>
              <w:spacing w:line="360" w:lineRule="auto"/>
              <w:ind w:left="378" w:right="459"/>
              <w:jc w:val="both"/>
              <w:rPr>
                <w:rFonts w:ascii="Arial" w:hAnsi="Arial" w:cs="Arial"/>
                <w:sz w:val="24"/>
                <w:szCs w:val="24"/>
              </w:rPr>
            </w:pPr>
          </w:p>
          <w:p w:rsidR="003D6615" w:rsidRDefault="007B5F2F" w:rsidP="003D6615">
            <w:pPr>
              <w:spacing w:line="360" w:lineRule="auto"/>
              <w:ind w:left="432" w:right="403" w:hanging="90"/>
              <w:jc w:val="both"/>
              <w:rPr>
                <w:rFonts w:ascii="Arial" w:hAnsi="Arial" w:cs="Arial"/>
                <w:sz w:val="24"/>
                <w:szCs w:val="24"/>
              </w:rPr>
            </w:pPr>
            <w:r>
              <w:rPr>
                <w:rFonts w:ascii="Arial" w:hAnsi="Arial" w:cs="Arial"/>
                <w:sz w:val="24"/>
                <w:szCs w:val="24"/>
              </w:rPr>
              <w:t>[9]</w:t>
            </w:r>
            <w:r w:rsidRPr="00763A29">
              <w:rPr>
                <w:rFonts w:ascii="Arial" w:hAnsi="Arial" w:cs="Arial"/>
                <w:sz w:val="24"/>
                <w:szCs w:val="24"/>
              </w:rPr>
              <w:t xml:space="preserve">    </w:t>
            </w:r>
            <w:r w:rsidR="006F3121">
              <w:rPr>
                <w:rFonts w:ascii="Arial" w:hAnsi="Arial" w:cs="Arial"/>
                <w:sz w:val="24"/>
                <w:szCs w:val="24"/>
              </w:rPr>
              <w:t xml:space="preserve">I venture into the </w:t>
            </w:r>
            <w:r w:rsidR="00892714">
              <w:rPr>
                <w:rFonts w:ascii="Arial" w:hAnsi="Arial" w:cs="Arial"/>
                <w:sz w:val="24"/>
                <w:szCs w:val="24"/>
              </w:rPr>
              <w:t xml:space="preserve">concerns as regards to the </w:t>
            </w:r>
            <w:r w:rsidR="006F3121">
              <w:rPr>
                <w:rFonts w:ascii="Arial" w:hAnsi="Arial" w:cs="Arial"/>
                <w:sz w:val="24"/>
                <w:szCs w:val="24"/>
              </w:rPr>
              <w:t>charge particulars.</w:t>
            </w:r>
            <w:r w:rsidR="003D6615">
              <w:rPr>
                <w:rFonts w:ascii="Arial" w:hAnsi="Arial" w:cs="Arial"/>
                <w:sz w:val="24"/>
                <w:szCs w:val="24"/>
              </w:rPr>
              <w:t xml:space="preserve">  The charge </w:t>
            </w:r>
            <w:r w:rsidR="006F3121">
              <w:rPr>
                <w:rFonts w:ascii="Arial" w:hAnsi="Arial" w:cs="Arial"/>
                <w:sz w:val="24"/>
                <w:szCs w:val="24"/>
              </w:rPr>
              <w:t xml:space="preserve"> </w:t>
            </w:r>
            <w:r w:rsidR="003D6615">
              <w:rPr>
                <w:rFonts w:ascii="Arial" w:hAnsi="Arial" w:cs="Arial"/>
                <w:sz w:val="24"/>
                <w:szCs w:val="24"/>
              </w:rPr>
              <w:t xml:space="preserve">annexure reads as follows: </w:t>
            </w:r>
          </w:p>
          <w:p w:rsidR="003D6615" w:rsidRDefault="003D6615" w:rsidP="003D6615">
            <w:pPr>
              <w:spacing w:line="360" w:lineRule="auto"/>
              <w:ind w:left="432" w:right="403" w:hanging="90"/>
              <w:jc w:val="both"/>
              <w:rPr>
                <w:rFonts w:ascii="Arial" w:hAnsi="Arial" w:cs="Arial"/>
                <w:sz w:val="24"/>
                <w:szCs w:val="24"/>
              </w:rPr>
            </w:pPr>
          </w:p>
          <w:p w:rsidR="002C4FA1" w:rsidRDefault="003D6615" w:rsidP="003D6615">
            <w:pPr>
              <w:spacing w:line="360" w:lineRule="auto"/>
              <w:ind w:left="432" w:right="403" w:hanging="90"/>
              <w:jc w:val="both"/>
              <w:rPr>
                <w:rFonts w:ascii="Arial" w:hAnsi="Arial" w:cs="Arial"/>
              </w:rPr>
            </w:pPr>
            <w:r>
              <w:rPr>
                <w:rFonts w:ascii="Arial" w:hAnsi="Arial" w:cs="Arial"/>
                <w:sz w:val="24"/>
                <w:szCs w:val="24"/>
              </w:rPr>
              <w:t xml:space="preserve">  </w:t>
            </w:r>
            <w:r w:rsidRPr="00005446">
              <w:rPr>
                <w:rFonts w:ascii="Arial" w:hAnsi="Arial" w:cs="Arial"/>
              </w:rPr>
              <w:t xml:space="preserve">‘Immigration Control Act – Possession and/or use of fabricated, forged or falsified documents </w:t>
            </w:r>
          </w:p>
          <w:p w:rsidR="002C4FA1" w:rsidRDefault="002C4FA1" w:rsidP="003D6615">
            <w:pPr>
              <w:spacing w:line="360" w:lineRule="auto"/>
              <w:ind w:left="432" w:right="403" w:hanging="90"/>
              <w:jc w:val="both"/>
              <w:rPr>
                <w:rFonts w:ascii="Arial" w:hAnsi="Arial" w:cs="Arial"/>
              </w:rPr>
            </w:pPr>
          </w:p>
          <w:p w:rsidR="002C4FA1" w:rsidRDefault="002C4FA1" w:rsidP="003D6615">
            <w:pPr>
              <w:spacing w:line="360" w:lineRule="auto"/>
              <w:ind w:left="432" w:right="403" w:hanging="90"/>
              <w:jc w:val="both"/>
              <w:rPr>
                <w:rFonts w:ascii="Arial" w:hAnsi="Arial" w:cs="Arial"/>
              </w:rPr>
            </w:pPr>
            <w:r>
              <w:rPr>
                <w:rFonts w:ascii="Arial" w:hAnsi="Arial" w:cs="Arial"/>
              </w:rPr>
              <w:t>Count 1  ( in respect of accused 1)</w:t>
            </w:r>
          </w:p>
          <w:p w:rsidR="002C4FA1" w:rsidRDefault="002C4FA1" w:rsidP="003D6615">
            <w:pPr>
              <w:spacing w:line="360" w:lineRule="auto"/>
              <w:ind w:left="432" w:right="403" w:hanging="90"/>
              <w:jc w:val="both"/>
              <w:rPr>
                <w:rFonts w:ascii="Arial" w:hAnsi="Arial" w:cs="Arial"/>
              </w:rPr>
            </w:pPr>
          </w:p>
          <w:p w:rsidR="003D6615" w:rsidRPr="00005446" w:rsidRDefault="002C4FA1" w:rsidP="003D6615">
            <w:pPr>
              <w:spacing w:line="360" w:lineRule="auto"/>
              <w:ind w:left="432" w:right="403" w:hanging="90"/>
              <w:jc w:val="both"/>
              <w:rPr>
                <w:rFonts w:ascii="Arial" w:hAnsi="Arial" w:cs="Arial"/>
                <w:sz w:val="24"/>
                <w:szCs w:val="24"/>
              </w:rPr>
            </w:pPr>
            <w:r>
              <w:rPr>
                <w:rFonts w:ascii="Arial" w:hAnsi="Arial" w:cs="Arial"/>
              </w:rPr>
              <w:t>T</w:t>
            </w:r>
            <w:r w:rsidR="003D6615" w:rsidRPr="00005446">
              <w:rPr>
                <w:rFonts w:ascii="Arial" w:hAnsi="Arial" w:cs="Arial"/>
              </w:rPr>
              <w:t>hat the accused is guilty of Contravening Section 56(e), read with sections 1 and 56(aa) of the Immigration Control Act 7 of 1993’</w:t>
            </w:r>
            <w:r w:rsidR="003D6615" w:rsidRPr="00005446">
              <w:rPr>
                <w:rFonts w:ascii="Arial" w:hAnsi="Arial" w:cs="Arial"/>
                <w:sz w:val="24"/>
                <w:szCs w:val="24"/>
              </w:rPr>
              <w:t xml:space="preserve"> </w:t>
            </w:r>
          </w:p>
          <w:p w:rsidR="003D6615" w:rsidRPr="00005446" w:rsidRDefault="003D6615" w:rsidP="003D6615">
            <w:pPr>
              <w:spacing w:line="360" w:lineRule="auto"/>
              <w:jc w:val="both"/>
              <w:rPr>
                <w:rFonts w:ascii="Arial" w:hAnsi="Arial" w:cs="Arial"/>
                <w:sz w:val="24"/>
                <w:szCs w:val="24"/>
              </w:rPr>
            </w:pPr>
          </w:p>
          <w:p w:rsidR="003D6615" w:rsidRPr="00005446" w:rsidRDefault="002C4FA1" w:rsidP="004856EB">
            <w:pPr>
              <w:pStyle w:val="ListParagraph"/>
              <w:spacing w:line="360" w:lineRule="auto"/>
              <w:ind w:left="342" w:right="459" w:firstLine="671"/>
              <w:jc w:val="both"/>
              <w:rPr>
                <w:rFonts w:ascii="Arial" w:hAnsi="Arial" w:cs="Arial"/>
              </w:rPr>
            </w:pPr>
            <w:r>
              <w:rPr>
                <w:rFonts w:ascii="Arial" w:hAnsi="Arial" w:cs="Arial"/>
              </w:rPr>
              <w:t>In that upon or about the 16</w:t>
            </w:r>
            <w:r w:rsidRPr="002C4FA1">
              <w:rPr>
                <w:rFonts w:ascii="Arial" w:hAnsi="Arial" w:cs="Arial"/>
                <w:vertAlign w:val="superscript"/>
              </w:rPr>
              <w:t>th</w:t>
            </w:r>
            <w:r>
              <w:rPr>
                <w:rFonts w:ascii="Arial" w:hAnsi="Arial" w:cs="Arial"/>
              </w:rPr>
              <w:t xml:space="preserve"> day of May 2019 and at or near Grootfontein in </w:t>
            </w:r>
            <w:proofErr w:type="gramStart"/>
            <w:r>
              <w:rPr>
                <w:rFonts w:ascii="Arial" w:hAnsi="Arial" w:cs="Arial"/>
              </w:rPr>
              <w:t xml:space="preserve">the </w:t>
            </w:r>
            <w:r w:rsidR="003D6615" w:rsidRPr="00005446">
              <w:rPr>
                <w:rFonts w:ascii="Arial" w:hAnsi="Arial" w:cs="Arial"/>
              </w:rPr>
              <w:t xml:space="preserve"> in</w:t>
            </w:r>
            <w:proofErr w:type="gramEnd"/>
            <w:r w:rsidR="003D6615" w:rsidRPr="00005446">
              <w:rPr>
                <w:rFonts w:ascii="Arial" w:hAnsi="Arial" w:cs="Arial"/>
              </w:rPr>
              <w:t xml:space="preserve"> the district of Grootfontein, the accused person did intentionally and unlawfully have in his possession a fabricated, forged or falsified document, to wit one marriage certificate which </w:t>
            </w:r>
            <w:r w:rsidR="004856EB">
              <w:rPr>
                <w:rFonts w:ascii="Arial" w:hAnsi="Arial" w:cs="Arial"/>
              </w:rPr>
              <w:t xml:space="preserve"> </w:t>
            </w:r>
            <w:r w:rsidR="003D6615" w:rsidRPr="00005446">
              <w:rPr>
                <w:rFonts w:ascii="Arial" w:hAnsi="Arial" w:cs="Arial"/>
              </w:rPr>
              <w:t>was issued by lawful authority and had been obtained in a fraudulent and malice manner and with mala</w:t>
            </w:r>
            <w:r w:rsidR="003D6615">
              <w:rPr>
                <w:rFonts w:ascii="Arial" w:hAnsi="Arial" w:cs="Arial"/>
              </w:rPr>
              <w:t xml:space="preserve"> </w:t>
            </w:r>
            <w:r w:rsidR="003D6615" w:rsidRPr="00005446">
              <w:rPr>
                <w:rFonts w:ascii="Arial" w:hAnsi="Arial" w:cs="Arial"/>
              </w:rPr>
              <w:t>fide intent</w:t>
            </w:r>
            <w:r>
              <w:rPr>
                <w:rFonts w:ascii="Arial" w:hAnsi="Arial" w:cs="Arial"/>
              </w:rPr>
              <w:t>.</w:t>
            </w:r>
            <w:r w:rsidR="003D6615" w:rsidRPr="00005446">
              <w:rPr>
                <w:rFonts w:ascii="Arial" w:hAnsi="Arial" w:cs="Arial"/>
              </w:rPr>
              <w:t>’</w:t>
            </w:r>
          </w:p>
          <w:p w:rsidR="007B5F2F" w:rsidRPr="00C96578" w:rsidRDefault="007B5F2F" w:rsidP="002C2649">
            <w:pPr>
              <w:pStyle w:val="ListParagraph"/>
              <w:rPr>
                <w:rFonts w:ascii="Arial" w:eastAsia="Times New Roman" w:hAnsi="Arial" w:cs="Arial"/>
                <w:sz w:val="24"/>
                <w:szCs w:val="24"/>
                <w:lang w:val="en-GB" w:eastAsia="en-GB"/>
              </w:rPr>
            </w:pPr>
          </w:p>
          <w:p w:rsidR="007D109D" w:rsidRDefault="007B5F2F" w:rsidP="004856EB">
            <w:pPr>
              <w:spacing w:before="240" w:line="360" w:lineRule="auto"/>
              <w:ind w:left="378"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[10]     </w:t>
            </w:r>
            <w:r w:rsidR="003D6615">
              <w:rPr>
                <w:rFonts w:ascii="Arial" w:eastAsia="Times New Roman" w:hAnsi="Arial" w:cs="Arial"/>
                <w:sz w:val="24"/>
                <w:szCs w:val="24"/>
                <w:lang w:val="en-GB" w:eastAsia="en-GB"/>
              </w:rPr>
              <w:t>Strangely the case had two</w:t>
            </w:r>
            <w:r w:rsidR="007D109D">
              <w:rPr>
                <w:rFonts w:ascii="Arial" w:eastAsia="Times New Roman" w:hAnsi="Arial" w:cs="Arial"/>
                <w:sz w:val="24"/>
                <w:szCs w:val="24"/>
                <w:lang w:val="en-GB" w:eastAsia="en-GB"/>
              </w:rPr>
              <w:t xml:space="preserve"> charge annexures. One of them is </w:t>
            </w:r>
            <w:r w:rsidR="00C44F53">
              <w:rPr>
                <w:rFonts w:ascii="Arial" w:eastAsia="Times New Roman" w:hAnsi="Arial" w:cs="Arial"/>
                <w:sz w:val="24"/>
                <w:szCs w:val="24"/>
                <w:lang w:val="en-GB" w:eastAsia="en-GB"/>
              </w:rPr>
              <w:t xml:space="preserve">duplicated in </w:t>
            </w:r>
            <w:proofErr w:type="gramStart"/>
            <w:r w:rsidR="00C44F53">
              <w:rPr>
                <w:rFonts w:ascii="Arial" w:eastAsia="Times New Roman" w:hAnsi="Arial" w:cs="Arial"/>
                <w:sz w:val="24"/>
                <w:szCs w:val="24"/>
                <w:lang w:val="en-GB" w:eastAsia="en-GB"/>
              </w:rPr>
              <w:t xml:space="preserve">the </w:t>
            </w:r>
            <w:r w:rsidR="003D6615">
              <w:rPr>
                <w:rFonts w:ascii="Arial" w:eastAsia="Times New Roman" w:hAnsi="Arial" w:cs="Arial"/>
                <w:sz w:val="24"/>
                <w:szCs w:val="24"/>
                <w:lang w:val="en-GB" w:eastAsia="en-GB"/>
              </w:rPr>
              <w:t xml:space="preserve"> preceding</w:t>
            </w:r>
            <w:proofErr w:type="gramEnd"/>
            <w:r w:rsidR="003D6615">
              <w:rPr>
                <w:rFonts w:ascii="Arial" w:eastAsia="Times New Roman" w:hAnsi="Arial" w:cs="Arial"/>
                <w:sz w:val="24"/>
                <w:szCs w:val="24"/>
                <w:lang w:val="en-GB" w:eastAsia="en-GB"/>
              </w:rPr>
              <w:t xml:space="preserve"> paragraph. The second annexure reads the same</w:t>
            </w:r>
            <w:r w:rsidR="00C44F53">
              <w:rPr>
                <w:rFonts w:ascii="Arial" w:eastAsia="Times New Roman" w:hAnsi="Arial" w:cs="Arial"/>
                <w:sz w:val="24"/>
                <w:szCs w:val="24"/>
                <w:lang w:val="en-GB" w:eastAsia="en-GB"/>
              </w:rPr>
              <w:t>,</w:t>
            </w:r>
            <w:r w:rsidR="003D6615">
              <w:rPr>
                <w:rFonts w:ascii="Arial" w:eastAsia="Times New Roman" w:hAnsi="Arial" w:cs="Arial"/>
                <w:sz w:val="24"/>
                <w:szCs w:val="24"/>
                <w:lang w:val="en-GB" w:eastAsia="en-GB"/>
              </w:rPr>
              <w:t xml:space="preserve"> but has</w:t>
            </w:r>
            <w:r w:rsidR="00892714">
              <w:rPr>
                <w:rFonts w:ascii="Arial" w:eastAsia="Times New Roman" w:hAnsi="Arial" w:cs="Arial"/>
                <w:sz w:val="24"/>
                <w:szCs w:val="24"/>
                <w:lang w:val="en-GB" w:eastAsia="en-GB"/>
              </w:rPr>
              <w:t xml:space="preserve"> additional words </w:t>
            </w:r>
            <w:proofErr w:type="gramStart"/>
            <w:r w:rsidR="00892714">
              <w:rPr>
                <w:rFonts w:ascii="Arial" w:eastAsia="Times New Roman" w:hAnsi="Arial" w:cs="Arial"/>
                <w:sz w:val="24"/>
                <w:szCs w:val="24"/>
                <w:lang w:val="en-GB" w:eastAsia="en-GB"/>
              </w:rPr>
              <w:t xml:space="preserve">of </w:t>
            </w:r>
            <w:r w:rsidR="003D6615">
              <w:rPr>
                <w:rFonts w:ascii="Arial" w:eastAsia="Times New Roman" w:hAnsi="Arial" w:cs="Arial"/>
                <w:sz w:val="24"/>
                <w:szCs w:val="24"/>
                <w:lang w:val="en-GB" w:eastAsia="en-GB"/>
              </w:rPr>
              <w:t xml:space="preserve"> ‘</w:t>
            </w:r>
            <w:r w:rsidR="003D6615" w:rsidRPr="00892714">
              <w:rPr>
                <w:rFonts w:ascii="Arial" w:eastAsia="Times New Roman" w:hAnsi="Arial" w:cs="Arial"/>
                <w:lang w:val="en-GB" w:eastAsia="en-GB"/>
              </w:rPr>
              <w:t>to</w:t>
            </w:r>
            <w:proofErr w:type="gramEnd"/>
            <w:r w:rsidR="003D6615" w:rsidRPr="00892714">
              <w:rPr>
                <w:rFonts w:ascii="Arial" w:eastAsia="Times New Roman" w:hAnsi="Arial" w:cs="Arial"/>
                <w:lang w:val="en-GB" w:eastAsia="en-GB"/>
              </w:rPr>
              <w:t xml:space="preserve"> remain in Namibia’</w:t>
            </w:r>
            <w:r w:rsidR="003D6615">
              <w:rPr>
                <w:rFonts w:ascii="Arial" w:eastAsia="Times New Roman" w:hAnsi="Arial" w:cs="Arial"/>
                <w:sz w:val="24"/>
                <w:szCs w:val="24"/>
                <w:lang w:val="en-GB" w:eastAsia="en-GB"/>
              </w:rPr>
              <w:t xml:space="preserve"> at the end of the charge particulars. It is not clear which of the charges was actually put to the accused.</w:t>
            </w:r>
          </w:p>
          <w:p w:rsidR="007D109D" w:rsidRDefault="007D109D" w:rsidP="002C2649">
            <w:pPr>
              <w:spacing w:line="360" w:lineRule="auto"/>
              <w:ind w:left="378" w:right="459"/>
              <w:jc w:val="both"/>
              <w:rPr>
                <w:rFonts w:ascii="Arial" w:eastAsia="Times New Roman" w:hAnsi="Arial" w:cs="Arial"/>
                <w:sz w:val="24"/>
                <w:szCs w:val="24"/>
                <w:lang w:val="en-GB" w:eastAsia="en-GB"/>
              </w:rPr>
            </w:pPr>
          </w:p>
          <w:p w:rsidR="007D109D" w:rsidRPr="00A87D0D" w:rsidRDefault="007D109D" w:rsidP="007D109D">
            <w:pPr>
              <w:spacing w:line="360" w:lineRule="auto"/>
              <w:ind w:left="378"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[11]</w:t>
            </w:r>
            <w:r w:rsidR="003D6615">
              <w:rPr>
                <w:rFonts w:ascii="Arial" w:eastAsia="Times New Roman" w:hAnsi="Arial" w:cs="Arial"/>
                <w:sz w:val="24"/>
                <w:szCs w:val="24"/>
                <w:lang w:val="en-GB" w:eastAsia="en-GB"/>
              </w:rPr>
              <w:t xml:space="preserve"> </w:t>
            </w:r>
            <w:r w:rsidR="00E45E5B">
              <w:rPr>
                <w:rFonts w:ascii="Arial" w:eastAsia="Times New Roman" w:hAnsi="Arial" w:cs="Arial"/>
                <w:sz w:val="24"/>
                <w:szCs w:val="24"/>
                <w:lang w:val="en-GB" w:eastAsia="en-GB"/>
              </w:rPr>
              <w:t xml:space="preserve">  </w:t>
            </w:r>
            <w:r w:rsidR="003D6615">
              <w:rPr>
                <w:rFonts w:ascii="Arial" w:eastAsia="Times New Roman" w:hAnsi="Arial" w:cs="Arial"/>
                <w:sz w:val="24"/>
                <w:szCs w:val="24"/>
                <w:lang w:val="en-GB" w:eastAsia="en-GB"/>
              </w:rPr>
              <w:t xml:space="preserve"> </w:t>
            </w:r>
            <w:r w:rsidR="002A72A5">
              <w:rPr>
                <w:rFonts w:ascii="Arial" w:eastAsia="Times New Roman" w:hAnsi="Arial" w:cs="Arial"/>
                <w:sz w:val="24"/>
                <w:szCs w:val="24"/>
                <w:lang w:val="en-GB" w:eastAsia="en-GB"/>
              </w:rPr>
              <w:t xml:space="preserve">Moreover, </w:t>
            </w:r>
            <w:r w:rsidR="003D6615">
              <w:rPr>
                <w:rFonts w:ascii="Arial" w:eastAsia="Times New Roman" w:hAnsi="Arial" w:cs="Arial"/>
                <w:sz w:val="24"/>
                <w:szCs w:val="24"/>
                <w:lang w:val="en-GB" w:eastAsia="en-GB"/>
              </w:rPr>
              <w:t xml:space="preserve">the formulation of the charge annexure leave much to be desired. The reason for saying that will </w:t>
            </w:r>
            <w:r w:rsidR="002A72A5">
              <w:rPr>
                <w:rFonts w:ascii="Arial" w:eastAsia="Times New Roman" w:hAnsi="Arial" w:cs="Arial"/>
                <w:sz w:val="24"/>
                <w:szCs w:val="24"/>
                <w:lang w:val="en-GB" w:eastAsia="en-GB"/>
              </w:rPr>
              <w:t xml:space="preserve">become clear in view of the </w:t>
            </w:r>
            <w:r>
              <w:rPr>
                <w:rFonts w:ascii="Arial" w:eastAsia="Times New Roman" w:hAnsi="Arial" w:cs="Arial"/>
                <w:sz w:val="24"/>
                <w:szCs w:val="24"/>
                <w:lang w:val="en-GB" w:eastAsia="en-GB"/>
              </w:rPr>
              <w:t xml:space="preserve">charge as stipulated in </w:t>
            </w:r>
            <w:r w:rsidR="003D6615">
              <w:rPr>
                <w:rFonts w:ascii="Arial" w:eastAsia="Times New Roman" w:hAnsi="Arial" w:cs="Arial"/>
                <w:sz w:val="24"/>
                <w:szCs w:val="24"/>
                <w:lang w:val="en-GB" w:eastAsia="en-GB"/>
              </w:rPr>
              <w:t xml:space="preserve">the relevant legislation. </w:t>
            </w:r>
            <w:r>
              <w:rPr>
                <w:rFonts w:ascii="Arial" w:eastAsia="Times New Roman" w:hAnsi="Arial" w:cs="Arial"/>
                <w:sz w:val="24"/>
                <w:szCs w:val="24"/>
                <w:lang w:val="en-GB" w:eastAsia="en-GB"/>
              </w:rPr>
              <w:t xml:space="preserve"> Section 56 (e)  of the Immigration C</w:t>
            </w:r>
            <w:r w:rsidRPr="00A87D0D">
              <w:rPr>
                <w:rFonts w:ascii="Arial" w:eastAsia="Times New Roman" w:hAnsi="Arial" w:cs="Arial"/>
                <w:sz w:val="24"/>
                <w:szCs w:val="24"/>
                <w:lang w:val="en-GB" w:eastAsia="en-GB"/>
              </w:rPr>
              <w:t>ontrol Act 7 of 1993 provides as follows:</w:t>
            </w:r>
          </w:p>
          <w:p w:rsidR="007D109D" w:rsidRPr="005B7F77" w:rsidRDefault="007D109D" w:rsidP="007D109D">
            <w:pPr>
              <w:pStyle w:val="ListParagraph"/>
              <w:spacing w:line="360" w:lineRule="auto"/>
              <w:rPr>
                <w:rFonts w:ascii="Arial" w:eastAsia="Times New Roman" w:hAnsi="Arial" w:cs="Arial"/>
                <w:sz w:val="24"/>
                <w:szCs w:val="24"/>
                <w:lang w:val="en-GB" w:eastAsia="en-GB"/>
              </w:rPr>
            </w:pPr>
          </w:p>
          <w:p w:rsidR="007D109D" w:rsidRDefault="007D109D" w:rsidP="004856EB">
            <w:pPr>
              <w:pStyle w:val="ListParagraph"/>
              <w:spacing w:line="360" w:lineRule="auto"/>
              <w:ind w:left="342" w:right="459" w:firstLine="671"/>
              <w:jc w:val="both"/>
              <w:rPr>
                <w:rFonts w:ascii="Arial" w:hAnsi="Arial" w:cs="Arial"/>
              </w:rPr>
            </w:pPr>
            <w:r w:rsidRPr="005B7F77">
              <w:rPr>
                <w:rFonts w:ascii="Arial" w:hAnsi="Arial" w:cs="Arial"/>
              </w:rPr>
              <w:t>‘for the purpose of entering Namibia, or of remaining therein in contravention of the provisions of this Act or any other law, or of assisting any other person so to enter or so to remain, fabricates, forges or falsifies any permit, certificate or other document, or utters, uses, or attempts to use any permit, certificate, or other document which has not been issued by lawful authority, or which though issued by lawful authority, such person is not entitled to use, or uses any fabricated, forged or falsified permit, certificate or other document, knowing it to have been fabricated, forged or falsified’</w:t>
            </w:r>
          </w:p>
          <w:p w:rsidR="007D109D" w:rsidRDefault="007D109D" w:rsidP="007D109D">
            <w:pPr>
              <w:pStyle w:val="ListParagraph"/>
              <w:spacing w:line="360" w:lineRule="auto"/>
              <w:ind w:left="342" w:right="459" w:firstLine="450"/>
              <w:jc w:val="both"/>
              <w:rPr>
                <w:rFonts w:ascii="Arial" w:hAnsi="Arial" w:cs="Arial"/>
              </w:rPr>
            </w:pPr>
          </w:p>
          <w:p w:rsidR="00E45E5B" w:rsidRPr="00763A29" w:rsidRDefault="002A72A5" w:rsidP="00E45E5B">
            <w:pPr>
              <w:spacing w:line="360" w:lineRule="auto"/>
              <w:ind w:left="378" w:right="459"/>
              <w:jc w:val="both"/>
              <w:rPr>
                <w:rFonts w:ascii="Arial" w:eastAsia="Times New Roman" w:hAnsi="Arial" w:cs="Arial"/>
                <w:sz w:val="24"/>
                <w:szCs w:val="24"/>
                <w:lang w:val="en-GB" w:eastAsia="en-GB"/>
              </w:rPr>
            </w:pPr>
            <w:r w:rsidRPr="00310601">
              <w:rPr>
                <w:rFonts w:ascii="Arial" w:hAnsi="Arial" w:cs="Arial"/>
                <w:sz w:val="24"/>
                <w:szCs w:val="24"/>
              </w:rPr>
              <w:t xml:space="preserve"> [12]</w:t>
            </w:r>
            <w:r w:rsidR="00E45E5B">
              <w:rPr>
                <w:rFonts w:ascii="Arial" w:hAnsi="Arial" w:cs="Arial"/>
              </w:rPr>
              <w:t xml:space="preserve">  </w:t>
            </w:r>
            <w:r>
              <w:rPr>
                <w:rFonts w:ascii="Arial" w:hAnsi="Arial" w:cs="Arial"/>
              </w:rPr>
              <w:t xml:space="preserve">  </w:t>
            </w:r>
            <w:r>
              <w:rPr>
                <w:rFonts w:ascii="Arial" w:hAnsi="Arial" w:cs="Arial"/>
                <w:sz w:val="24"/>
                <w:szCs w:val="24"/>
              </w:rPr>
              <w:t>The charge is phrased vague</w:t>
            </w:r>
            <w:r w:rsidR="00C44F53">
              <w:rPr>
                <w:rFonts w:ascii="Arial" w:hAnsi="Arial" w:cs="Arial"/>
                <w:sz w:val="24"/>
                <w:szCs w:val="24"/>
              </w:rPr>
              <w:t xml:space="preserve">ly </w:t>
            </w:r>
            <w:r>
              <w:rPr>
                <w:rFonts w:ascii="Arial" w:hAnsi="Arial" w:cs="Arial"/>
                <w:sz w:val="24"/>
                <w:szCs w:val="24"/>
              </w:rPr>
              <w:t>as to the element that the accused, whilst being in possession of this questionable document knew that it had been forged, fabricated or falsified.</w:t>
            </w:r>
            <w:r w:rsidR="00C44F53">
              <w:rPr>
                <w:rFonts w:ascii="Arial" w:hAnsi="Arial" w:cs="Arial"/>
                <w:sz w:val="24"/>
                <w:szCs w:val="24"/>
              </w:rPr>
              <w:t xml:space="preserve"> This element was omitted in the charge particulars. It is a material </w:t>
            </w:r>
            <w:r w:rsidR="004519D3">
              <w:rPr>
                <w:rFonts w:ascii="Arial" w:hAnsi="Arial" w:cs="Arial"/>
                <w:sz w:val="24"/>
                <w:szCs w:val="24"/>
              </w:rPr>
              <w:t>aspect, especially since the averment in the charge was that the document w</w:t>
            </w:r>
            <w:r w:rsidR="00E45E5B">
              <w:rPr>
                <w:rFonts w:ascii="Arial" w:hAnsi="Arial" w:cs="Arial"/>
                <w:sz w:val="24"/>
                <w:szCs w:val="24"/>
              </w:rPr>
              <w:t>as issued by a ‘lawful authority</w:t>
            </w:r>
            <w:r w:rsidR="00C44F53">
              <w:rPr>
                <w:rFonts w:ascii="Arial" w:hAnsi="Arial" w:cs="Arial"/>
                <w:sz w:val="24"/>
                <w:szCs w:val="24"/>
              </w:rPr>
              <w:t>.</w:t>
            </w:r>
            <w:r w:rsidR="00E45E5B">
              <w:rPr>
                <w:rFonts w:ascii="Arial" w:hAnsi="Arial" w:cs="Arial"/>
                <w:sz w:val="24"/>
                <w:szCs w:val="24"/>
              </w:rPr>
              <w:t>’</w:t>
            </w:r>
          </w:p>
          <w:p w:rsidR="007D109D" w:rsidRDefault="007D109D" w:rsidP="002A72A5">
            <w:pPr>
              <w:spacing w:line="360" w:lineRule="auto"/>
              <w:ind w:right="459"/>
              <w:jc w:val="both"/>
              <w:rPr>
                <w:rFonts w:ascii="Arial" w:hAnsi="Arial" w:cs="Arial"/>
                <w:sz w:val="24"/>
                <w:szCs w:val="24"/>
              </w:rPr>
            </w:pPr>
          </w:p>
          <w:p w:rsidR="00E45E5B" w:rsidRPr="00005446" w:rsidRDefault="00E45E5B" w:rsidP="00E45E5B">
            <w:pPr>
              <w:tabs>
                <w:tab w:val="left" w:pos="9432"/>
              </w:tabs>
              <w:spacing w:line="360" w:lineRule="auto"/>
              <w:ind w:left="342" w:right="403"/>
              <w:rPr>
                <w:rFonts w:ascii="Arial" w:hAnsi="Arial" w:cs="Arial"/>
                <w:sz w:val="24"/>
                <w:szCs w:val="24"/>
                <w:lang w:val="en-GB"/>
              </w:rPr>
            </w:pPr>
            <w:r>
              <w:rPr>
                <w:rFonts w:ascii="Arial" w:hAnsi="Arial" w:cs="Arial"/>
                <w:sz w:val="24"/>
                <w:szCs w:val="24"/>
                <w:lang w:val="en-GB"/>
              </w:rPr>
              <w:t>[1</w:t>
            </w:r>
            <w:r w:rsidR="00310601">
              <w:rPr>
                <w:rFonts w:ascii="Arial" w:hAnsi="Arial" w:cs="Arial"/>
                <w:sz w:val="24"/>
                <w:szCs w:val="24"/>
                <w:lang w:val="en-GB"/>
              </w:rPr>
              <w:t>3</w:t>
            </w:r>
            <w:r w:rsidR="007F58F9">
              <w:rPr>
                <w:rFonts w:ascii="Arial" w:hAnsi="Arial" w:cs="Arial"/>
                <w:sz w:val="24"/>
                <w:szCs w:val="24"/>
                <w:lang w:val="en-GB"/>
              </w:rPr>
              <w:t>]</w:t>
            </w:r>
            <w:r>
              <w:rPr>
                <w:rFonts w:ascii="Arial" w:hAnsi="Arial" w:cs="Arial"/>
                <w:sz w:val="24"/>
                <w:szCs w:val="24"/>
                <w:lang w:val="en-GB"/>
              </w:rPr>
              <w:t xml:space="preserve">    </w:t>
            </w:r>
            <w:r w:rsidRPr="00005446">
              <w:rPr>
                <w:rFonts w:ascii="Arial" w:hAnsi="Arial" w:cs="Arial"/>
                <w:sz w:val="24"/>
                <w:szCs w:val="24"/>
              </w:rPr>
              <w:t xml:space="preserve">In </w:t>
            </w:r>
            <w:r w:rsidRPr="00EA44F4">
              <w:rPr>
                <w:rFonts w:ascii="Arial" w:hAnsi="Arial" w:cs="Arial"/>
                <w:i/>
                <w:sz w:val="24"/>
                <w:szCs w:val="24"/>
              </w:rPr>
              <w:t>S v Omar</w:t>
            </w:r>
            <w:r>
              <w:rPr>
                <w:rStyle w:val="FootnoteReference"/>
                <w:rFonts w:ascii="Arial" w:hAnsi="Arial" w:cs="Arial"/>
                <w:i/>
                <w:sz w:val="24"/>
                <w:szCs w:val="24"/>
              </w:rPr>
              <w:footnoteReference w:id="2"/>
            </w:r>
            <w:r w:rsidRPr="00EA44F4">
              <w:rPr>
                <w:rFonts w:ascii="Arial" w:hAnsi="Arial" w:cs="Arial"/>
                <w:i/>
                <w:sz w:val="24"/>
                <w:szCs w:val="24"/>
              </w:rPr>
              <w:t xml:space="preserve"> </w:t>
            </w:r>
            <w:r w:rsidRPr="00005446">
              <w:rPr>
                <w:rFonts w:ascii="Arial" w:hAnsi="Arial" w:cs="Arial"/>
                <w:sz w:val="24"/>
                <w:szCs w:val="24"/>
              </w:rPr>
              <w:t xml:space="preserve">Liebenberg J </w:t>
            </w:r>
            <w:r>
              <w:rPr>
                <w:rFonts w:ascii="Arial" w:hAnsi="Arial" w:cs="Arial"/>
                <w:sz w:val="24"/>
                <w:szCs w:val="24"/>
              </w:rPr>
              <w:t xml:space="preserve">held that it is trite that a charge sheet </w:t>
            </w:r>
            <w:r w:rsidR="00310601">
              <w:rPr>
                <w:rFonts w:ascii="Arial" w:hAnsi="Arial" w:cs="Arial"/>
                <w:sz w:val="24"/>
                <w:szCs w:val="24"/>
              </w:rPr>
              <w:t xml:space="preserve">require </w:t>
            </w:r>
            <w:r>
              <w:rPr>
                <w:rFonts w:ascii="Arial" w:hAnsi="Arial" w:cs="Arial"/>
                <w:sz w:val="24"/>
                <w:szCs w:val="24"/>
              </w:rPr>
              <w:t>certain minimum requirements.  These requirements are stipulated in s</w:t>
            </w:r>
            <w:proofErr w:type="spellStart"/>
            <w:r w:rsidRPr="00005446">
              <w:rPr>
                <w:rFonts w:ascii="Arial" w:hAnsi="Arial" w:cs="Arial"/>
                <w:sz w:val="24"/>
                <w:szCs w:val="24"/>
                <w:lang w:val="en-GB"/>
              </w:rPr>
              <w:t>ection</w:t>
            </w:r>
            <w:proofErr w:type="spellEnd"/>
            <w:r w:rsidRPr="00005446">
              <w:rPr>
                <w:rFonts w:ascii="Arial" w:hAnsi="Arial" w:cs="Arial"/>
                <w:sz w:val="24"/>
                <w:szCs w:val="24"/>
                <w:lang w:val="en-GB"/>
              </w:rPr>
              <w:t xml:space="preserve"> 84 of the CPA </w:t>
            </w:r>
            <w:r>
              <w:rPr>
                <w:rFonts w:ascii="Arial" w:hAnsi="Arial" w:cs="Arial"/>
                <w:sz w:val="24"/>
                <w:szCs w:val="24"/>
                <w:lang w:val="en-GB"/>
              </w:rPr>
              <w:t xml:space="preserve">which reads as follows: </w:t>
            </w:r>
            <w:r w:rsidRPr="00005446">
              <w:rPr>
                <w:rFonts w:ascii="Arial" w:hAnsi="Arial" w:cs="Arial"/>
                <w:sz w:val="24"/>
                <w:szCs w:val="24"/>
                <w:lang w:val="en-GB"/>
              </w:rPr>
              <w:t xml:space="preserve"> </w:t>
            </w:r>
          </w:p>
          <w:p w:rsidR="00E45E5B" w:rsidRPr="00005446" w:rsidRDefault="00E45E5B" w:rsidP="00E45E5B">
            <w:pPr>
              <w:spacing w:line="360" w:lineRule="auto"/>
              <w:jc w:val="both"/>
              <w:rPr>
                <w:rFonts w:ascii="Arial" w:hAnsi="Arial" w:cs="Arial"/>
                <w:sz w:val="24"/>
                <w:szCs w:val="24"/>
                <w:lang w:val="en-GB"/>
              </w:rPr>
            </w:pPr>
          </w:p>
          <w:p w:rsidR="003C2D34" w:rsidRDefault="003C2D34" w:rsidP="00E45E5B">
            <w:pPr>
              <w:spacing w:line="360" w:lineRule="auto"/>
              <w:ind w:left="720"/>
              <w:jc w:val="both"/>
              <w:rPr>
                <w:rFonts w:ascii="Arial" w:hAnsi="Arial" w:cs="Arial"/>
              </w:rPr>
            </w:pPr>
          </w:p>
          <w:p w:rsidR="00E45E5B" w:rsidRPr="00005446" w:rsidRDefault="00E45E5B" w:rsidP="00E45E5B">
            <w:pPr>
              <w:spacing w:line="360" w:lineRule="auto"/>
              <w:ind w:left="720"/>
              <w:jc w:val="both"/>
              <w:rPr>
                <w:rFonts w:ascii="Arial" w:hAnsi="Arial" w:cs="Arial"/>
              </w:rPr>
            </w:pPr>
            <w:r w:rsidRPr="00005446">
              <w:rPr>
                <w:rFonts w:ascii="Arial" w:hAnsi="Arial" w:cs="Arial"/>
              </w:rPr>
              <w:t>‘84</w:t>
            </w:r>
            <w:r w:rsidRPr="00005446">
              <w:rPr>
                <w:rFonts w:ascii="Arial" w:hAnsi="Arial" w:cs="Arial"/>
              </w:rPr>
              <w:tab/>
              <w:t xml:space="preserve">Essentials of charge </w:t>
            </w:r>
          </w:p>
          <w:p w:rsidR="00E45E5B" w:rsidRPr="00005446" w:rsidRDefault="00E45E5B" w:rsidP="00E45E5B">
            <w:pPr>
              <w:spacing w:line="360" w:lineRule="auto"/>
              <w:ind w:left="720"/>
              <w:jc w:val="both"/>
              <w:rPr>
                <w:rFonts w:ascii="Arial" w:hAnsi="Arial" w:cs="Arial"/>
              </w:rPr>
            </w:pPr>
          </w:p>
          <w:p w:rsidR="00E45E5B" w:rsidRPr="00005446" w:rsidRDefault="00E45E5B" w:rsidP="00E45E5B">
            <w:pPr>
              <w:numPr>
                <w:ilvl w:val="0"/>
                <w:numId w:val="4"/>
              </w:numPr>
              <w:spacing w:line="360" w:lineRule="auto"/>
              <w:ind w:right="493"/>
              <w:jc w:val="both"/>
              <w:rPr>
                <w:rFonts w:ascii="Arial" w:hAnsi="Arial" w:cs="Arial"/>
              </w:rPr>
            </w:pPr>
            <w:r w:rsidRPr="00005446">
              <w:rPr>
                <w:rFonts w:ascii="Arial" w:hAnsi="Arial" w:cs="Arial"/>
              </w:rPr>
              <w:t xml:space="preserve">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t>
            </w:r>
          </w:p>
          <w:p w:rsidR="00E45E5B" w:rsidRPr="00005446" w:rsidRDefault="00E45E5B" w:rsidP="00E45E5B">
            <w:pPr>
              <w:spacing w:line="360" w:lineRule="auto"/>
              <w:ind w:left="1800" w:right="403"/>
              <w:jc w:val="both"/>
              <w:rPr>
                <w:rFonts w:ascii="Arial" w:hAnsi="Arial" w:cs="Arial"/>
              </w:rPr>
            </w:pPr>
            <w:r w:rsidRPr="00005446">
              <w:rPr>
                <w:rFonts w:ascii="Arial" w:hAnsi="Arial" w:cs="Arial"/>
              </w:rPr>
              <w:t xml:space="preserve">whom and the property, if any, in respect of which the offence is alleged to have been committed, as </w:t>
            </w:r>
            <w:r w:rsidRPr="00005446">
              <w:rPr>
                <w:rFonts w:ascii="Arial" w:hAnsi="Arial" w:cs="Arial"/>
                <w:u w:val="single"/>
              </w:rPr>
              <w:t>may be reasonably sufficient to inform the accused of the nature of the charge</w:t>
            </w:r>
            <w:r w:rsidRPr="00005446">
              <w:rPr>
                <w:rFonts w:ascii="Arial" w:hAnsi="Arial" w:cs="Arial"/>
              </w:rPr>
              <w:t>.</w:t>
            </w:r>
          </w:p>
          <w:p w:rsidR="00E45E5B" w:rsidRPr="00005446" w:rsidRDefault="00E45E5B" w:rsidP="00E45E5B">
            <w:pPr>
              <w:spacing w:line="360" w:lineRule="auto"/>
              <w:ind w:left="1800"/>
              <w:jc w:val="both"/>
              <w:rPr>
                <w:rFonts w:ascii="Arial" w:hAnsi="Arial" w:cs="Arial"/>
              </w:rPr>
            </w:pPr>
          </w:p>
          <w:p w:rsidR="00E45E5B" w:rsidRPr="00005446" w:rsidRDefault="00E45E5B" w:rsidP="00E45E5B">
            <w:pPr>
              <w:numPr>
                <w:ilvl w:val="0"/>
                <w:numId w:val="4"/>
              </w:numPr>
              <w:tabs>
                <w:tab w:val="left" w:pos="9432"/>
              </w:tabs>
              <w:spacing w:line="360" w:lineRule="auto"/>
              <w:ind w:right="403"/>
              <w:jc w:val="both"/>
              <w:rPr>
                <w:rFonts w:ascii="Arial" w:hAnsi="Arial" w:cs="Arial"/>
              </w:rPr>
            </w:pPr>
            <w:r w:rsidRPr="00005446">
              <w:rPr>
                <w:rFonts w:ascii="Arial" w:hAnsi="Arial" w:cs="Arial"/>
              </w:rPr>
              <w:t>Where any of the particulars referred to in subsection (1) are unknown to the prosecutor it shall be sufficient to state that fact in the charge.</w:t>
            </w:r>
          </w:p>
          <w:p w:rsidR="00E45E5B" w:rsidRPr="00005446" w:rsidRDefault="00E45E5B" w:rsidP="00E45E5B">
            <w:pPr>
              <w:spacing w:line="360" w:lineRule="auto"/>
              <w:ind w:left="1800"/>
              <w:jc w:val="both"/>
              <w:rPr>
                <w:rFonts w:ascii="Arial" w:hAnsi="Arial" w:cs="Arial"/>
              </w:rPr>
            </w:pPr>
          </w:p>
          <w:p w:rsidR="00E45E5B" w:rsidRPr="00310601" w:rsidRDefault="00E45E5B" w:rsidP="00310601">
            <w:pPr>
              <w:pStyle w:val="ListParagraph"/>
              <w:numPr>
                <w:ilvl w:val="0"/>
                <w:numId w:val="4"/>
              </w:numPr>
              <w:spacing w:line="360" w:lineRule="auto"/>
              <w:ind w:right="317"/>
              <w:jc w:val="both"/>
              <w:rPr>
                <w:rFonts w:ascii="Arial" w:hAnsi="Arial" w:cs="Arial"/>
                <w:sz w:val="24"/>
                <w:szCs w:val="24"/>
              </w:rPr>
            </w:pPr>
            <w:r w:rsidRPr="00310601">
              <w:rPr>
                <w:rFonts w:ascii="Arial" w:hAnsi="Arial" w:cs="Arial"/>
              </w:rPr>
              <w:t xml:space="preserve"> In criminal proceedings the description of any statutory offence in the words of the law creating the offence, or in similar words, shall be sufficient.</w:t>
            </w:r>
            <w:r w:rsidRPr="00310601">
              <w:rPr>
                <w:rFonts w:ascii="Arial" w:hAnsi="Arial" w:cs="Arial"/>
                <w:sz w:val="24"/>
                <w:szCs w:val="24"/>
              </w:rPr>
              <w:t xml:space="preserve">’ </w:t>
            </w:r>
          </w:p>
          <w:p w:rsidR="00E45E5B" w:rsidRPr="00005446" w:rsidRDefault="00E45E5B" w:rsidP="00E45E5B">
            <w:pPr>
              <w:spacing w:line="360" w:lineRule="auto"/>
              <w:ind w:right="317"/>
              <w:jc w:val="both"/>
              <w:rPr>
                <w:rFonts w:ascii="Arial" w:hAnsi="Arial" w:cs="Arial"/>
                <w:sz w:val="24"/>
                <w:szCs w:val="24"/>
              </w:rPr>
            </w:pPr>
          </w:p>
          <w:p w:rsidR="002A72A5" w:rsidRDefault="00310601" w:rsidP="00310601">
            <w:pPr>
              <w:spacing w:line="360" w:lineRule="auto"/>
              <w:ind w:left="432" w:right="459" w:hanging="270"/>
              <w:jc w:val="both"/>
              <w:rPr>
                <w:rFonts w:ascii="Arial" w:hAnsi="Arial" w:cs="Arial"/>
                <w:sz w:val="24"/>
                <w:szCs w:val="24"/>
              </w:rPr>
            </w:pPr>
            <w:r>
              <w:rPr>
                <w:rFonts w:ascii="Arial" w:hAnsi="Arial" w:cs="Arial"/>
                <w:sz w:val="24"/>
                <w:szCs w:val="24"/>
              </w:rPr>
              <w:t xml:space="preserve">    </w:t>
            </w:r>
            <w:r w:rsidR="00E45E5B">
              <w:rPr>
                <w:rFonts w:ascii="Arial" w:hAnsi="Arial" w:cs="Arial"/>
                <w:sz w:val="24"/>
                <w:szCs w:val="24"/>
              </w:rPr>
              <w:t>[1</w:t>
            </w:r>
            <w:r>
              <w:rPr>
                <w:rFonts w:ascii="Arial" w:hAnsi="Arial" w:cs="Arial"/>
                <w:sz w:val="24"/>
                <w:szCs w:val="24"/>
              </w:rPr>
              <w:t>4</w:t>
            </w:r>
            <w:r w:rsidR="00E45E5B">
              <w:rPr>
                <w:rFonts w:ascii="Arial" w:hAnsi="Arial" w:cs="Arial"/>
                <w:sz w:val="24"/>
                <w:szCs w:val="24"/>
              </w:rPr>
              <w:t>]</w:t>
            </w:r>
            <w:r w:rsidR="00E45E5B" w:rsidRPr="00763A29">
              <w:rPr>
                <w:rFonts w:ascii="Arial" w:hAnsi="Arial" w:cs="Arial"/>
                <w:sz w:val="24"/>
                <w:szCs w:val="24"/>
              </w:rPr>
              <w:t xml:space="preserve">    </w:t>
            </w:r>
            <w:r>
              <w:rPr>
                <w:rFonts w:ascii="Arial" w:hAnsi="Arial" w:cs="Arial"/>
                <w:sz w:val="24"/>
                <w:szCs w:val="24"/>
              </w:rPr>
              <w:t>This means that t</w:t>
            </w:r>
            <w:r w:rsidR="00E45E5B" w:rsidRPr="00763A29">
              <w:rPr>
                <w:rFonts w:ascii="Arial" w:hAnsi="Arial" w:cs="Arial"/>
                <w:sz w:val="24"/>
                <w:szCs w:val="24"/>
              </w:rPr>
              <w:t xml:space="preserve">he charge must contain such particulars </w:t>
            </w:r>
            <w:proofErr w:type="gramStart"/>
            <w:r w:rsidR="00E7674A">
              <w:rPr>
                <w:rFonts w:ascii="Arial" w:hAnsi="Arial" w:cs="Arial"/>
                <w:sz w:val="24"/>
                <w:szCs w:val="24"/>
              </w:rPr>
              <w:t>as  is</w:t>
            </w:r>
            <w:proofErr w:type="gramEnd"/>
            <w:r w:rsidR="00E7674A">
              <w:rPr>
                <w:rFonts w:ascii="Arial" w:hAnsi="Arial" w:cs="Arial"/>
                <w:sz w:val="24"/>
                <w:szCs w:val="24"/>
              </w:rPr>
              <w:t xml:space="preserve"> </w:t>
            </w:r>
            <w:r>
              <w:rPr>
                <w:rFonts w:ascii="Arial" w:hAnsi="Arial" w:cs="Arial"/>
                <w:sz w:val="24"/>
                <w:szCs w:val="24"/>
              </w:rPr>
              <w:t xml:space="preserve">  </w:t>
            </w:r>
            <w:r w:rsidR="00E45E5B" w:rsidRPr="00763A29">
              <w:rPr>
                <w:rFonts w:ascii="Arial" w:hAnsi="Arial" w:cs="Arial"/>
                <w:sz w:val="24"/>
                <w:szCs w:val="24"/>
              </w:rPr>
              <w:t>reasonable to inform an accus</w:t>
            </w:r>
            <w:r w:rsidR="007F58F9">
              <w:rPr>
                <w:rFonts w:ascii="Arial" w:hAnsi="Arial" w:cs="Arial"/>
                <w:sz w:val="24"/>
                <w:szCs w:val="24"/>
              </w:rPr>
              <w:t>ed of the nature of the charge.</w:t>
            </w:r>
            <w:r w:rsidR="00E45E5B" w:rsidRPr="00005446">
              <w:rPr>
                <w:vertAlign w:val="superscript"/>
              </w:rPr>
              <w:footnoteReference w:id="3"/>
            </w:r>
            <w:r>
              <w:rPr>
                <w:rFonts w:ascii="Arial" w:hAnsi="Arial" w:cs="Arial"/>
                <w:sz w:val="24"/>
                <w:szCs w:val="24"/>
              </w:rPr>
              <w:t xml:space="preserve">  </w:t>
            </w:r>
            <w:r w:rsidR="007F58F9">
              <w:rPr>
                <w:rFonts w:ascii="Arial" w:hAnsi="Arial" w:cs="Arial"/>
                <w:sz w:val="24"/>
                <w:szCs w:val="24"/>
              </w:rPr>
              <w:t>The charge</w:t>
            </w:r>
            <w:r w:rsidR="00E7674A">
              <w:rPr>
                <w:rFonts w:ascii="Arial" w:hAnsi="Arial" w:cs="Arial"/>
                <w:sz w:val="24"/>
                <w:szCs w:val="24"/>
              </w:rPr>
              <w:t xml:space="preserve"> annexure in this case</w:t>
            </w:r>
            <w:r w:rsidR="007F58F9">
              <w:rPr>
                <w:rFonts w:ascii="Arial" w:hAnsi="Arial" w:cs="Arial"/>
                <w:sz w:val="24"/>
                <w:szCs w:val="24"/>
              </w:rPr>
              <w:t xml:space="preserve">, does not comply with the standard as required by the law. </w:t>
            </w:r>
          </w:p>
          <w:p w:rsidR="002A72A5" w:rsidRPr="002A72A5" w:rsidRDefault="002A72A5" w:rsidP="002A72A5">
            <w:pPr>
              <w:spacing w:line="360" w:lineRule="auto"/>
              <w:ind w:right="459"/>
              <w:jc w:val="both"/>
              <w:rPr>
                <w:rFonts w:ascii="Arial" w:hAnsi="Arial" w:cs="Arial"/>
                <w:sz w:val="24"/>
                <w:szCs w:val="24"/>
              </w:rPr>
            </w:pPr>
          </w:p>
          <w:p w:rsidR="00E51FEE" w:rsidRDefault="007F58F9" w:rsidP="002C2649">
            <w:pPr>
              <w:spacing w:line="360" w:lineRule="auto"/>
              <w:ind w:left="378"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[15]    When charges are phrased in such defective manner, it may also mislead the magistrate along a flawed path when questioning an accused</w:t>
            </w:r>
            <w:r w:rsidR="00FF0C30">
              <w:rPr>
                <w:rFonts w:ascii="Arial" w:eastAsia="Times New Roman" w:hAnsi="Arial" w:cs="Arial"/>
                <w:sz w:val="24"/>
                <w:szCs w:val="24"/>
                <w:lang w:val="en-GB" w:eastAsia="en-GB"/>
              </w:rPr>
              <w:t xml:space="preserve">. All </w:t>
            </w:r>
            <w:r>
              <w:rPr>
                <w:rFonts w:ascii="Arial" w:eastAsia="Times New Roman" w:hAnsi="Arial" w:cs="Arial"/>
                <w:sz w:val="24"/>
                <w:szCs w:val="24"/>
                <w:lang w:val="en-GB" w:eastAsia="en-GB"/>
              </w:rPr>
              <w:t>e</w:t>
            </w:r>
            <w:r w:rsidR="00FF0C30">
              <w:rPr>
                <w:rFonts w:ascii="Arial" w:eastAsia="Times New Roman" w:hAnsi="Arial" w:cs="Arial"/>
                <w:sz w:val="24"/>
                <w:szCs w:val="24"/>
                <w:lang w:val="en-GB" w:eastAsia="en-GB"/>
              </w:rPr>
              <w:t xml:space="preserve">lements might not be canvassed or the elements may construed incorrectly.  This problem manifested in the case </w:t>
            </w:r>
            <w:proofErr w:type="gramStart"/>
            <w:r w:rsidR="00FF0C30">
              <w:rPr>
                <w:rFonts w:ascii="Arial" w:eastAsia="Times New Roman" w:hAnsi="Arial" w:cs="Arial"/>
                <w:sz w:val="24"/>
                <w:szCs w:val="24"/>
                <w:lang w:val="en-GB" w:eastAsia="en-GB"/>
              </w:rPr>
              <w:t>at  hand</w:t>
            </w:r>
            <w:proofErr w:type="gramEnd"/>
            <w:r w:rsidR="00FF0C30">
              <w:rPr>
                <w:rFonts w:ascii="Arial" w:eastAsia="Times New Roman" w:hAnsi="Arial" w:cs="Arial"/>
                <w:sz w:val="24"/>
                <w:szCs w:val="24"/>
                <w:lang w:val="en-GB" w:eastAsia="en-GB"/>
              </w:rPr>
              <w:t xml:space="preserve">, in the magistrate’s questioning. </w:t>
            </w:r>
            <w:r>
              <w:rPr>
                <w:rFonts w:ascii="Arial" w:eastAsia="Times New Roman" w:hAnsi="Arial" w:cs="Arial"/>
                <w:sz w:val="24"/>
                <w:szCs w:val="24"/>
                <w:lang w:val="en-GB" w:eastAsia="en-GB"/>
              </w:rPr>
              <w:t>According to the charge particular</w:t>
            </w:r>
            <w:r w:rsidR="00E51FEE">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the accused was </w:t>
            </w:r>
            <w:r w:rsidR="00E51FEE">
              <w:rPr>
                <w:rFonts w:ascii="Arial" w:eastAsia="Times New Roman" w:hAnsi="Arial" w:cs="Arial"/>
                <w:sz w:val="24"/>
                <w:szCs w:val="24"/>
                <w:lang w:val="en-GB" w:eastAsia="en-GB"/>
              </w:rPr>
              <w:t xml:space="preserve">found in possession of a forged document. Notwithstanding that, the magistrate construed the situation as that the accused was the person who forged the document. That much was clear from the following question as posed by magistrate: </w:t>
            </w:r>
          </w:p>
          <w:p w:rsidR="00FF0C30" w:rsidRDefault="00FF0C30" w:rsidP="002C2649">
            <w:pPr>
              <w:spacing w:line="360" w:lineRule="auto"/>
              <w:ind w:left="378" w:right="459"/>
              <w:jc w:val="both"/>
              <w:rPr>
                <w:rFonts w:ascii="Arial" w:eastAsia="Times New Roman" w:hAnsi="Arial" w:cs="Arial"/>
                <w:sz w:val="24"/>
                <w:szCs w:val="24"/>
                <w:lang w:val="en-GB" w:eastAsia="en-GB"/>
              </w:rPr>
            </w:pPr>
          </w:p>
          <w:p w:rsidR="00FF0C30" w:rsidRDefault="00FF0C30" w:rsidP="002C2649">
            <w:pPr>
              <w:spacing w:line="360" w:lineRule="auto"/>
              <w:ind w:left="378" w:right="459"/>
              <w:jc w:val="both"/>
              <w:rPr>
                <w:rFonts w:ascii="Arial" w:eastAsia="Times New Roman" w:hAnsi="Arial" w:cs="Arial"/>
                <w:sz w:val="24"/>
                <w:szCs w:val="24"/>
                <w:lang w:val="en-GB" w:eastAsia="en-GB"/>
              </w:rPr>
            </w:pPr>
          </w:p>
          <w:p w:rsidR="00F808AF" w:rsidRDefault="00E51FEE" w:rsidP="002C2649">
            <w:pPr>
              <w:spacing w:line="360" w:lineRule="auto"/>
              <w:ind w:left="378" w:right="459"/>
              <w:jc w:val="both"/>
              <w:rPr>
                <w:rFonts w:ascii="Arial" w:eastAsia="Times New Roman" w:hAnsi="Arial" w:cs="Arial"/>
                <w:sz w:val="24"/>
                <w:szCs w:val="24"/>
                <w:lang w:val="en-GB" w:eastAsia="en-GB"/>
              </w:rPr>
            </w:pPr>
            <w:proofErr w:type="gramStart"/>
            <w:r>
              <w:rPr>
                <w:rFonts w:ascii="Arial" w:eastAsia="Times New Roman" w:hAnsi="Arial" w:cs="Arial"/>
                <w:sz w:val="24"/>
                <w:szCs w:val="24"/>
                <w:lang w:val="en-GB" w:eastAsia="en-GB"/>
              </w:rPr>
              <w:t xml:space="preserve">‘ </w:t>
            </w:r>
            <w:r w:rsidRPr="00E51FEE">
              <w:rPr>
                <w:rFonts w:ascii="Arial" w:eastAsia="Times New Roman" w:hAnsi="Arial" w:cs="Arial"/>
                <w:lang w:val="en-GB" w:eastAsia="en-GB"/>
              </w:rPr>
              <w:t>Why</w:t>
            </w:r>
            <w:proofErr w:type="gramEnd"/>
            <w:r w:rsidRPr="00E51FEE">
              <w:rPr>
                <w:rFonts w:ascii="Arial" w:eastAsia="Times New Roman" w:hAnsi="Arial" w:cs="Arial"/>
                <w:lang w:val="en-GB" w:eastAsia="en-GB"/>
              </w:rPr>
              <w:t xml:space="preserve"> did you forge a Marriage Certificate?.</w:t>
            </w:r>
            <w:r>
              <w:rPr>
                <w:rFonts w:ascii="Arial" w:eastAsia="Times New Roman" w:hAnsi="Arial" w:cs="Arial"/>
                <w:sz w:val="24"/>
                <w:szCs w:val="24"/>
                <w:lang w:val="en-GB" w:eastAsia="en-GB"/>
              </w:rPr>
              <w:t xml:space="preserve">’  </w:t>
            </w:r>
          </w:p>
          <w:p w:rsidR="00F808AF" w:rsidRDefault="00F808AF" w:rsidP="002C2649">
            <w:pPr>
              <w:spacing w:line="360" w:lineRule="auto"/>
              <w:ind w:left="378" w:right="459"/>
              <w:jc w:val="both"/>
              <w:rPr>
                <w:rFonts w:ascii="Arial" w:eastAsia="Times New Roman" w:hAnsi="Arial" w:cs="Arial"/>
                <w:sz w:val="24"/>
                <w:szCs w:val="24"/>
                <w:lang w:val="en-GB" w:eastAsia="en-GB"/>
              </w:rPr>
            </w:pPr>
          </w:p>
          <w:p w:rsidR="00DB0262" w:rsidRDefault="00FF0C30" w:rsidP="00FF0C30">
            <w:pPr>
              <w:spacing w:line="360" w:lineRule="auto"/>
              <w:ind w:left="342"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 xml:space="preserve">   [16]    </w:t>
            </w:r>
            <w:r w:rsidR="00E51FEE">
              <w:rPr>
                <w:rFonts w:ascii="Arial" w:eastAsia="Times New Roman" w:hAnsi="Arial" w:cs="Arial"/>
                <w:sz w:val="24"/>
                <w:szCs w:val="24"/>
                <w:lang w:val="en-GB" w:eastAsia="en-GB"/>
              </w:rPr>
              <w:t>This imputation</w:t>
            </w:r>
            <w:r w:rsidR="00F808AF">
              <w:rPr>
                <w:rFonts w:ascii="Arial" w:eastAsia="Times New Roman" w:hAnsi="Arial" w:cs="Arial"/>
                <w:sz w:val="24"/>
                <w:szCs w:val="24"/>
                <w:lang w:val="en-GB" w:eastAsia="en-GB"/>
              </w:rPr>
              <w:t xml:space="preserve"> by the </w:t>
            </w:r>
            <w:proofErr w:type="gramStart"/>
            <w:r w:rsidR="00F808AF">
              <w:rPr>
                <w:rFonts w:ascii="Arial" w:eastAsia="Times New Roman" w:hAnsi="Arial" w:cs="Arial"/>
                <w:sz w:val="24"/>
                <w:szCs w:val="24"/>
                <w:lang w:val="en-GB" w:eastAsia="en-GB"/>
              </w:rPr>
              <w:t xml:space="preserve">magistrate </w:t>
            </w:r>
            <w:r w:rsidR="00E51FEE">
              <w:rPr>
                <w:rFonts w:ascii="Arial" w:eastAsia="Times New Roman" w:hAnsi="Arial" w:cs="Arial"/>
                <w:sz w:val="24"/>
                <w:szCs w:val="24"/>
                <w:lang w:val="en-GB" w:eastAsia="en-GB"/>
              </w:rPr>
              <w:t xml:space="preserve"> </w:t>
            </w:r>
            <w:r w:rsidR="00F808AF">
              <w:rPr>
                <w:rFonts w:ascii="Arial" w:eastAsia="Times New Roman" w:hAnsi="Arial" w:cs="Arial"/>
                <w:sz w:val="24"/>
                <w:szCs w:val="24"/>
                <w:lang w:val="en-GB" w:eastAsia="en-GB"/>
              </w:rPr>
              <w:t>that</w:t>
            </w:r>
            <w:proofErr w:type="gramEnd"/>
            <w:r w:rsidR="00F808AF">
              <w:rPr>
                <w:rFonts w:ascii="Arial" w:eastAsia="Times New Roman" w:hAnsi="Arial" w:cs="Arial"/>
                <w:sz w:val="24"/>
                <w:szCs w:val="24"/>
                <w:lang w:val="en-GB" w:eastAsia="en-GB"/>
              </w:rPr>
              <w:t xml:space="preserve"> the accused was the person who forged the document</w:t>
            </w:r>
            <w:r w:rsidR="00E51FEE">
              <w:rPr>
                <w:rFonts w:ascii="Arial" w:eastAsia="Times New Roman" w:hAnsi="Arial" w:cs="Arial"/>
                <w:sz w:val="24"/>
                <w:szCs w:val="24"/>
                <w:lang w:val="en-GB" w:eastAsia="en-GB"/>
              </w:rPr>
              <w:t xml:space="preserve">, does not </w:t>
            </w:r>
            <w:r w:rsidR="006B64EE">
              <w:rPr>
                <w:rFonts w:ascii="Arial" w:eastAsia="Times New Roman" w:hAnsi="Arial" w:cs="Arial"/>
                <w:sz w:val="24"/>
                <w:szCs w:val="24"/>
                <w:lang w:val="en-GB" w:eastAsia="en-GB"/>
              </w:rPr>
              <w:t xml:space="preserve">correlate with the </w:t>
            </w:r>
            <w:r w:rsidR="00E51FEE">
              <w:rPr>
                <w:rFonts w:ascii="Arial" w:eastAsia="Times New Roman" w:hAnsi="Arial" w:cs="Arial"/>
                <w:sz w:val="24"/>
                <w:szCs w:val="24"/>
                <w:lang w:val="en-GB" w:eastAsia="en-GB"/>
              </w:rPr>
              <w:t>charge particulars</w:t>
            </w:r>
            <w:r w:rsidR="006B64EE">
              <w:rPr>
                <w:rFonts w:ascii="Arial" w:eastAsia="Times New Roman" w:hAnsi="Arial" w:cs="Arial"/>
                <w:sz w:val="24"/>
                <w:szCs w:val="24"/>
                <w:lang w:val="en-GB" w:eastAsia="en-GB"/>
              </w:rPr>
              <w:t xml:space="preserve"> that </w:t>
            </w:r>
            <w:r w:rsidR="00E51FEE">
              <w:rPr>
                <w:rFonts w:ascii="Arial" w:eastAsia="Times New Roman" w:hAnsi="Arial" w:cs="Arial"/>
                <w:sz w:val="24"/>
                <w:szCs w:val="24"/>
                <w:lang w:val="en-GB" w:eastAsia="en-GB"/>
              </w:rPr>
              <w:t>the document was issued by a ‘lawful authority.’</w:t>
            </w:r>
            <w:r w:rsidR="00F808AF">
              <w:rPr>
                <w:rFonts w:ascii="Arial" w:eastAsia="Times New Roman" w:hAnsi="Arial" w:cs="Arial"/>
                <w:sz w:val="24"/>
                <w:szCs w:val="24"/>
                <w:lang w:val="en-GB" w:eastAsia="en-GB"/>
              </w:rPr>
              <w:t xml:space="preserve">    </w:t>
            </w:r>
          </w:p>
          <w:p w:rsidR="00DB0262" w:rsidRDefault="00DB0262" w:rsidP="00FF0C30">
            <w:pPr>
              <w:spacing w:line="360" w:lineRule="auto"/>
              <w:ind w:left="342" w:right="459"/>
              <w:jc w:val="both"/>
              <w:rPr>
                <w:rFonts w:ascii="Arial" w:eastAsia="Times New Roman" w:hAnsi="Arial" w:cs="Arial"/>
                <w:sz w:val="24"/>
                <w:szCs w:val="24"/>
                <w:lang w:val="en-GB" w:eastAsia="en-GB"/>
              </w:rPr>
            </w:pPr>
          </w:p>
          <w:p w:rsidR="007B5F2F" w:rsidRPr="00763A29" w:rsidRDefault="00DB0262" w:rsidP="00FF0C30">
            <w:pPr>
              <w:spacing w:line="360" w:lineRule="auto"/>
              <w:ind w:left="342" w:right="459"/>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[17]   </w:t>
            </w:r>
            <w:r w:rsidR="00F808AF">
              <w:rPr>
                <w:rFonts w:ascii="Arial" w:eastAsia="Times New Roman" w:hAnsi="Arial" w:cs="Arial"/>
                <w:sz w:val="24"/>
                <w:szCs w:val="24"/>
                <w:lang w:val="en-GB" w:eastAsia="en-GB"/>
              </w:rPr>
              <w:t xml:space="preserve">Again, it comes back to the principle that charges must be phrased properly and with sufficient particularity. Magistrates should also apply their minds when conducting questioning in terms of section 112(1)(b) of the Act to ensure that the questions they posed are coherent with the essential averments </w:t>
            </w:r>
            <w:r w:rsidR="00FF0C30">
              <w:rPr>
                <w:rFonts w:ascii="Arial" w:eastAsia="Times New Roman" w:hAnsi="Arial" w:cs="Arial"/>
                <w:sz w:val="24"/>
                <w:szCs w:val="24"/>
                <w:lang w:val="en-GB" w:eastAsia="en-GB"/>
              </w:rPr>
              <w:t xml:space="preserve"> of the charge particulars and that the charge particulars are sensible and in accordance with the statute if applicable. </w:t>
            </w:r>
          </w:p>
          <w:p w:rsidR="007B5F2F" w:rsidRDefault="007B5F2F" w:rsidP="002C2649">
            <w:pPr>
              <w:spacing w:line="360" w:lineRule="auto"/>
              <w:ind w:left="342" w:right="313"/>
              <w:rPr>
                <w:rFonts w:ascii="Arial" w:hAnsi="Arial" w:cs="Arial"/>
                <w:sz w:val="24"/>
                <w:szCs w:val="24"/>
              </w:rPr>
            </w:pPr>
          </w:p>
          <w:p w:rsidR="007B5F2F" w:rsidRPr="00763A29" w:rsidRDefault="00DB0262" w:rsidP="002C2649">
            <w:pPr>
              <w:spacing w:line="360" w:lineRule="auto"/>
              <w:ind w:left="360" w:right="317"/>
              <w:jc w:val="both"/>
              <w:rPr>
                <w:rFonts w:ascii="Arial" w:hAnsi="Arial" w:cs="Arial"/>
                <w:sz w:val="24"/>
                <w:szCs w:val="24"/>
              </w:rPr>
            </w:pPr>
            <w:r>
              <w:rPr>
                <w:rFonts w:ascii="Arial" w:hAnsi="Arial" w:cs="Arial"/>
                <w:sz w:val="24"/>
                <w:szCs w:val="24"/>
              </w:rPr>
              <w:t>[18</w:t>
            </w:r>
            <w:r w:rsidR="007B5F2F">
              <w:rPr>
                <w:rFonts w:ascii="Arial" w:hAnsi="Arial" w:cs="Arial"/>
                <w:sz w:val="24"/>
                <w:szCs w:val="24"/>
              </w:rPr>
              <w:t>]</w:t>
            </w:r>
            <w:r w:rsidR="007B5F2F" w:rsidRPr="00763A29">
              <w:rPr>
                <w:rFonts w:ascii="Arial" w:hAnsi="Arial" w:cs="Arial"/>
                <w:sz w:val="24"/>
                <w:szCs w:val="24"/>
              </w:rPr>
              <w:t xml:space="preserve">   </w:t>
            </w:r>
            <w:r w:rsidR="00FF0C30">
              <w:rPr>
                <w:rFonts w:ascii="Arial" w:hAnsi="Arial" w:cs="Arial"/>
                <w:sz w:val="24"/>
                <w:szCs w:val="24"/>
              </w:rPr>
              <w:t xml:space="preserve"> In the result, </w:t>
            </w:r>
            <w:r w:rsidR="007B5F2F" w:rsidRPr="00763A29">
              <w:rPr>
                <w:rFonts w:ascii="Arial" w:hAnsi="Arial" w:cs="Arial"/>
                <w:sz w:val="24"/>
                <w:szCs w:val="24"/>
              </w:rPr>
              <w:t xml:space="preserve"> the following order is made:</w:t>
            </w:r>
          </w:p>
          <w:p w:rsidR="007B5F2F" w:rsidRPr="00005446" w:rsidRDefault="007B5F2F" w:rsidP="002C2649">
            <w:pPr>
              <w:spacing w:line="360" w:lineRule="auto"/>
              <w:jc w:val="both"/>
              <w:rPr>
                <w:rFonts w:ascii="Arial" w:hAnsi="Arial" w:cs="Arial"/>
              </w:rPr>
            </w:pPr>
          </w:p>
          <w:p w:rsidR="007B5F2F" w:rsidRPr="00005446" w:rsidRDefault="007B5F2F" w:rsidP="00FF0C30">
            <w:pPr>
              <w:pStyle w:val="ListParagraph"/>
              <w:numPr>
                <w:ilvl w:val="0"/>
                <w:numId w:val="7"/>
              </w:numPr>
              <w:spacing w:after="200" w:line="360" w:lineRule="auto"/>
              <w:rPr>
                <w:rFonts w:ascii="Arial" w:hAnsi="Arial" w:cs="Arial"/>
                <w:sz w:val="24"/>
                <w:szCs w:val="24"/>
              </w:rPr>
            </w:pPr>
            <w:r w:rsidRPr="00005446">
              <w:rPr>
                <w:rFonts w:ascii="Arial" w:hAnsi="Arial" w:cs="Arial"/>
                <w:sz w:val="24"/>
                <w:szCs w:val="24"/>
              </w:rPr>
              <w:t>The conviction and sentence are set aside.</w:t>
            </w:r>
          </w:p>
          <w:p w:rsidR="007B5F2F" w:rsidRPr="00005446" w:rsidRDefault="007B5F2F" w:rsidP="00FF0C30">
            <w:pPr>
              <w:pStyle w:val="ListParagraph"/>
              <w:numPr>
                <w:ilvl w:val="0"/>
                <w:numId w:val="7"/>
              </w:numPr>
              <w:spacing w:after="200" w:line="360" w:lineRule="auto"/>
              <w:rPr>
                <w:rFonts w:ascii="Arial" w:hAnsi="Arial" w:cs="Arial"/>
                <w:sz w:val="24"/>
                <w:szCs w:val="24"/>
              </w:rPr>
            </w:pPr>
            <w:r w:rsidRPr="00005446">
              <w:rPr>
                <w:rFonts w:ascii="Arial" w:hAnsi="Arial" w:cs="Arial"/>
                <w:sz w:val="24"/>
                <w:szCs w:val="24"/>
              </w:rPr>
              <w:t xml:space="preserve">The </w:t>
            </w:r>
            <w:r w:rsidR="00DB0262">
              <w:rPr>
                <w:rFonts w:ascii="Arial" w:hAnsi="Arial" w:cs="Arial"/>
                <w:sz w:val="24"/>
                <w:szCs w:val="24"/>
              </w:rPr>
              <w:t>matter is referred back to the Office of the Prosecutor G</w:t>
            </w:r>
            <w:r w:rsidRPr="00005446">
              <w:rPr>
                <w:rFonts w:ascii="Arial" w:hAnsi="Arial" w:cs="Arial"/>
                <w:sz w:val="24"/>
                <w:szCs w:val="24"/>
              </w:rPr>
              <w:t xml:space="preserve">eneral to institute </w:t>
            </w:r>
            <w:r w:rsidR="00DB0262">
              <w:rPr>
                <w:rFonts w:ascii="Arial" w:hAnsi="Arial" w:cs="Arial"/>
                <w:sz w:val="24"/>
                <w:szCs w:val="24"/>
              </w:rPr>
              <w:t>a charge</w:t>
            </w:r>
            <w:r w:rsidRPr="00005446">
              <w:rPr>
                <w:rFonts w:ascii="Arial" w:hAnsi="Arial" w:cs="Arial"/>
                <w:sz w:val="24"/>
                <w:szCs w:val="24"/>
              </w:rPr>
              <w:t xml:space="preserve"> afresh</w:t>
            </w:r>
            <w:r w:rsidR="00DB0262">
              <w:rPr>
                <w:rFonts w:ascii="Arial" w:hAnsi="Arial" w:cs="Arial"/>
                <w:sz w:val="24"/>
                <w:szCs w:val="24"/>
              </w:rPr>
              <w:t>,</w:t>
            </w:r>
            <w:r w:rsidRPr="00005446">
              <w:rPr>
                <w:rFonts w:ascii="Arial" w:hAnsi="Arial" w:cs="Arial"/>
                <w:sz w:val="24"/>
                <w:szCs w:val="24"/>
              </w:rPr>
              <w:t xml:space="preserve"> if so inclined.</w:t>
            </w:r>
          </w:p>
          <w:p w:rsidR="007B5F2F" w:rsidRPr="00005446" w:rsidRDefault="007B5F2F" w:rsidP="002C2649">
            <w:pPr>
              <w:pStyle w:val="ListParagraph"/>
              <w:spacing w:line="360" w:lineRule="auto"/>
              <w:ind w:left="1080" w:right="317"/>
              <w:jc w:val="both"/>
              <w:rPr>
                <w:rFonts w:ascii="Arial" w:hAnsi="Arial" w:cs="Arial"/>
                <w:sz w:val="24"/>
                <w:szCs w:val="24"/>
              </w:rPr>
            </w:pPr>
          </w:p>
          <w:p w:rsidR="007B5F2F" w:rsidRPr="00005446" w:rsidRDefault="007B5F2F" w:rsidP="002C2649">
            <w:pPr>
              <w:pStyle w:val="ListParagraph"/>
              <w:spacing w:line="360" w:lineRule="auto"/>
              <w:ind w:left="1080" w:right="317"/>
              <w:jc w:val="both"/>
              <w:rPr>
                <w:rFonts w:ascii="Arial" w:hAnsi="Arial" w:cs="Arial"/>
                <w:sz w:val="24"/>
                <w:szCs w:val="24"/>
              </w:rPr>
            </w:pPr>
          </w:p>
          <w:p w:rsidR="007B5F2F" w:rsidRPr="00005446" w:rsidRDefault="007B5F2F" w:rsidP="002C2649">
            <w:pPr>
              <w:pStyle w:val="ListParagraph"/>
              <w:spacing w:line="360" w:lineRule="auto"/>
              <w:ind w:left="1080" w:right="317"/>
              <w:jc w:val="both"/>
              <w:rPr>
                <w:rFonts w:ascii="Arial" w:hAnsi="Arial" w:cs="Arial"/>
                <w:sz w:val="24"/>
                <w:szCs w:val="24"/>
              </w:rPr>
            </w:pPr>
          </w:p>
          <w:p w:rsidR="007B5F2F" w:rsidRPr="00005446" w:rsidRDefault="007B5F2F" w:rsidP="002C2649">
            <w:pPr>
              <w:pStyle w:val="ListParagraph"/>
              <w:spacing w:line="360" w:lineRule="auto"/>
              <w:ind w:left="1080"/>
              <w:jc w:val="both"/>
              <w:rPr>
                <w:rFonts w:ascii="Arial" w:hAnsi="Arial" w:cs="Arial"/>
              </w:rPr>
            </w:pPr>
          </w:p>
        </w:tc>
      </w:tr>
      <w:tr w:rsidR="007B5F2F" w:rsidRPr="001B0FDD" w:rsidTr="004856EB">
        <w:trPr>
          <w:trHeight w:val="834"/>
        </w:trPr>
        <w:tc>
          <w:tcPr>
            <w:tcW w:w="4770" w:type="dxa"/>
          </w:tcPr>
          <w:p w:rsidR="007B5F2F" w:rsidRPr="00664D21" w:rsidRDefault="007B5F2F" w:rsidP="002C2649">
            <w:pPr>
              <w:spacing w:line="360" w:lineRule="auto"/>
              <w:rPr>
                <w:rFonts w:ascii="Arial" w:hAnsi="Arial" w:cs="Arial"/>
                <w:b/>
                <w:sz w:val="24"/>
                <w:szCs w:val="24"/>
              </w:rPr>
            </w:pPr>
          </w:p>
        </w:tc>
        <w:tc>
          <w:tcPr>
            <w:tcW w:w="5281" w:type="dxa"/>
            <w:gridSpan w:val="2"/>
          </w:tcPr>
          <w:p w:rsidR="007B5F2F" w:rsidRPr="00664D21" w:rsidRDefault="007B5F2F" w:rsidP="002C2649">
            <w:pPr>
              <w:spacing w:line="360" w:lineRule="auto"/>
              <w:jc w:val="center"/>
              <w:rPr>
                <w:rFonts w:ascii="Arial" w:hAnsi="Arial" w:cs="Arial"/>
                <w:b/>
                <w:sz w:val="24"/>
                <w:szCs w:val="24"/>
              </w:rPr>
            </w:pPr>
          </w:p>
          <w:p w:rsidR="007B5F2F" w:rsidRPr="00664D21" w:rsidRDefault="007B5F2F" w:rsidP="002C2649">
            <w:pPr>
              <w:spacing w:line="360" w:lineRule="auto"/>
              <w:rPr>
                <w:rFonts w:ascii="Arial" w:hAnsi="Arial" w:cs="Arial"/>
                <w:b/>
                <w:sz w:val="24"/>
                <w:szCs w:val="24"/>
              </w:rPr>
            </w:pPr>
          </w:p>
        </w:tc>
      </w:tr>
      <w:tr w:rsidR="007B5F2F" w:rsidRPr="001B0FDD" w:rsidTr="007B5F2F">
        <w:trPr>
          <w:trHeight w:val="827"/>
        </w:trPr>
        <w:tc>
          <w:tcPr>
            <w:tcW w:w="4770" w:type="dxa"/>
          </w:tcPr>
          <w:p w:rsidR="007B5F2F" w:rsidRPr="00664D21" w:rsidRDefault="007B5F2F" w:rsidP="002C2649">
            <w:pPr>
              <w:spacing w:line="360" w:lineRule="auto"/>
              <w:jc w:val="center"/>
              <w:rPr>
                <w:rFonts w:ascii="Arial" w:hAnsi="Arial" w:cs="Arial"/>
                <w:b/>
                <w:sz w:val="24"/>
                <w:szCs w:val="24"/>
              </w:rPr>
            </w:pPr>
            <w:r>
              <w:rPr>
                <w:rFonts w:ascii="Arial" w:hAnsi="Arial" w:cs="Arial"/>
                <w:b/>
                <w:sz w:val="24"/>
                <w:szCs w:val="24"/>
              </w:rPr>
              <w:t>D USIKU</w:t>
            </w:r>
          </w:p>
          <w:p w:rsidR="007B5F2F" w:rsidRPr="00664D21" w:rsidRDefault="007B5F2F" w:rsidP="002C2649">
            <w:pPr>
              <w:spacing w:line="360" w:lineRule="auto"/>
              <w:jc w:val="center"/>
              <w:rPr>
                <w:rFonts w:ascii="Arial" w:hAnsi="Arial" w:cs="Arial"/>
                <w:b/>
                <w:sz w:val="24"/>
                <w:szCs w:val="24"/>
              </w:rPr>
            </w:pPr>
            <w:r w:rsidRPr="00664D21">
              <w:rPr>
                <w:rFonts w:ascii="Arial" w:hAnsi="Arial" w:cs="Arial"/>
                <w:b/>
                <w:sz w:val="24"/>
                <w:szCs w:val="24"/>
              </w:rPr>
              <w:t>JUDGE</w:t>
            </w:r>
          </w:p>
        </w:tc>
        <w:tc>
          <w:tcPr>
            <w:tcW w:w="5281" w:type="dxa"/>
            <w:gridSpan w:val="2"/>
          </w:tcPr>
          <w:p w:rsidR="007B5F2F" w:rsidRPr="00664D21" w:rsidRDefault="007B5F2F" w:rsidP="002C2649">
            <w:pPr>
              <w:spacing w:line="360" w:lineRule="auto"/>
              <w:jc w:val="center"/>
              <w:rPr>
                <w:rFonts w:ascii="Arial" w:hAnsi="Arial" w:cs="Arial"/>
                <w:b/>
                <w:sz w:val="24"/>
                <w:szCs w:val="24"/>
              </w:rPr>
            </w:pPr>
            <w:r>
              <w:rPr>
                <w:rFonts w:ascii="Arial" w:hAnsi="Arial" w:cs="Arial"/>
                <w:b/>
                <w:sz w:val="24"/>
                <w:szCs w:val="24"/>
              </w:rPr>
              <w:t>C CLAASEN</w:t>
            </w:r>
          </w:p>
          <w:p w:rsidR="007B5F2F" w:rsidRPr="00664D21" w:rsidRDefault="007B5F2F" w:rsidP="002C2649">
            <w:pPr>
              <w:spacing w:line="360" w:lineRule="auto"/>
              <w:jc w:val="center"/>
              <w:rPr>
                <w:rFonts w:ascii="Arial" w:hAnsi="Arial" w:cs="Arial"/>
                <w:sz w:val="24"/>
                <w:szCs w:val="24"/>
              </w:rPr>
            </w:pPr>
            <w:r w:rsidRPr="00664D21">
              <w:rPr>
                <w:rFonts w:ascii="Arial" w:hAnsi="Arial" w:cs="Arial"/>
                <w:b/>
                <w:sz w:val="24"/>
                <w:szCs w:val="24"/>
              </w:rPr>
              <w:t>JUDGE</w:t>
            </w:r>
          </w:p>
        </w:tc>
      </w:tr>
    </w:tbl>
    <w:p w:rsidR="0004220B" w:rsidRPr="00EA634B" w:rsidRDefault="0004220B">
      <w:pPr>
        <w:rPr>
          <w:rFonts w:ascii="Arial" w:hAnsi="Arial" w:cs="Arial"/>
          <w:sz w:val="24"/>
          <w:szCs w:val="24"/>
        </w:rPr>
      </w:pPr>
    </w:p>
    <w:sectPr w:rsidR="0004220B" w:rsidRPr="00EA634B" w:rsidSect="004856EB">
      <w:headerReference w:type="default" r:id="rId12"/>
      <w:pgSz w:w="12240" w:h="15840"/>
      <w:pgMar w:top="127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D2" w:rsidRDefault="000877D2" w:rsidP="00EA634B">
      <w:pPr>
        <w:spacing w:after="0" w:line="240" w:lineRule="auto"/>
      </w:pPr>
      <w:r>
        <w:separator/>
      </w:r>
    </w:p>
  </w:endnote>
  <w:endnote w:type="continuationSeparator" w:id="0">
    <w:p w:rsidR="000877D2" w:rsidRDefault="000877D2" w:rsidP="00EA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D2" w:rsidRDefault="000877D2" w:rsidP="00EA634B">
      <w:pPr>
        <w:spacing w:after="0" w:line="240" w:lineRule="auto"/>
      </w:pPr>
      <w:r>
        <w:separator/>
      </w:r>
    </w:p>
  </w:footnote>
  <w:footnote w:type="continuationSeparator" w:id="0">
    <w:p w:rsidR="000877D2" w:rsidRDefault="000877D2" w:rsidP="00EA634B">
      <w:pPr>
        <w:spacing w:after="0" w:line="240" w:lineRule="auto"/>
      </w:pPr>
      <w:r>
        <w:continuationSeparator/>
      </w:r>
    </w:p>
  </w:footnote>
  <w:footnote w:id="1">
    <w:p w:rsidR="007B5F2F" w:rsidRPr="0048443A" w:rsidRDefault="007B5F2F" w:rsidP="007B5F2F">
      <w:pPr>
        <w:pStyle w:val="FootnoteText"/>
        <w:rPr>
          <w:rFonts w:ascii="Arial" w:hAnsi="Arial" w:cs="Arial"/>
          <w:sz w:val="24"/>
          <w:szCs w:val="24"/>
        </w:rPr>
      </w:pPr>
      <w:r w:rsidRPr="0048443A">
        <w:rPr>
          <w:rStyle w:val="FootnoteReference"/>
          <w:rFonts w:ascii="Arial" w:hAnsi="Arial" w:cs="Arial"/>
          <w:sz w:val="24"/>
          <w:szCs w:val="24"/>
        </w:rPr>
        <w:footnoteRef/>
      </w:r>
      <w:r w:rsidRPr="0048443A">
        <w:rPr>
          <w:rFonts w:ascii="Arial" w:hAnsi="Arial" w:cs="Arial"/>
          <w:sz w:val="24"/>
          <w:szCs w:val="24"/>
        </w:rPr>
        <w:t xml:space="preserve"> Act 51 of 1977.</w:t>
      </w:r>
    </w:p>
  </w:footnote>
  <w:footnote w:id="2">
    <w:p w:rsidR="00E45E5B" w:rsidRPr="00E45E5B" w:rsidRDefault="00E45E5B">
      <w:pPr>
        <w:pStyle w:val="FootnoteText"/>
        <w:rPr>
          <w:lang w:val="en-US"/>
        </w:rPr>
      </w:pPr>
      <w:r>
        <w:rPr>
          <w:rStyle w:val="FootnoteReference"/>
        </w:rPr>
        <w:footnoteRef/>
      </w:r>
      <w:r>
        <w:t xml:space="preserve"> </w:t>
      </w:r>
      <w:r w:rsidRPr="0048443A">
        <w:rPr>
          <w:sz w:val="24"/>
          <w:szCs w:val="24"/>
        </w:rPr>
        <w:t>S v Omar (CR 50/2020) [2020] NAHCMD 297 (17 July 2020)</w:t>
      </w:r>
      <w:r>
        <w:rPr>
          <w:sz w:val="24"/>
          <w:szCs w:val="24"/>
        </w:rPr>
        <w:t>.</w:t>
      </w:r>
    </w:p>
  </w:footnote>
  <w:footnote w:id="3">
    <w:p w:rsidR="00E45E5B" w:rsidRPr="0048443A" w:rsidRDefault="00E45E5B" w:rsidP="00E45E5B">
      <w:pPr>
        <w:spacing w:line="360" w:lineRule="auto"/>
        <w:jc w:val="both"/>
        <w:rPr>
          <w:rFonts w:ascii="Arial" w:eastAsia="Times New Roman" w:hAnsi="Arial" w:cs="Arial"/>
          <w:sz w:val="24"/>
          <w:szCs w:val="24"/>
          <w:lang w:val="en-GB" w:eastAsia="en-GB"/>
        </w:rPr>
      </w:pPr>
      <w:r w:rsidRPr="0048443A">
        <w:rPr>
          <w:rStyle w:val="FootnoteReference"/>
          <w:rFonts w:ascii="Arial" w:hAnsi="Arial" w:cs="Arial"/>
          <w:sz w:val="24"/>
          <w:szCs w:val="24"/>
        </w:rPr>
        <w:footnoteRef/>
      </w:r>
      <w:r w:rsidRPr="0048443A">
        <w:rPr>
          <w:rFonts w:ascii="Arial" w:hAnsi="Arial" w:cs="Arial"/>
          <w:sz w:val="24"/>
          <w:szCs w:val="24"/>
        </w:rPr>
        <w:t xml:space="preserve"> </w:t>
      </w:r>
      <w:r w:rsidRPr="0048443A">
        <w:rPr>
          <w:rFonts w:ascii="Arial" w:hAnsi="Arial" w:cs="Arial"/>
          <w:i/>
          <w:sz w:val="24"/>
          <w:szCs w:val="24"/>
        </w:rPr>
        <w:t xml:space="preserve">S v </w:t>
      </w:r>
      <w:proofErr w:type="spellStart"/>
      <w:r w:rsidRPr="0048443A">
        <w:rPr>
          <w:rFonts w:ascii="Arial" w:hAnsi="Arial" w:cs="Arial"/>
          <w:i/>
          <w:sz w:val="24"/>
          <w:szCs w:val="24"/>
        </w:rPr>
        <w:t>Katari</w:t>
      </w:r>
      <w:proofErr w:type="spellEnd"/>
      <w:r w:rsidRPr="0048443A">
        <w:rPr>
          <w:rFonts w:ascii="Arial" w:hAnsi="Arial" w:cs="Arial"/>
          <w:sz w:val="24"/>
          <w:szCs w:val="24"/>
        </w:rPr>
        <w:t xml:space="preserve"> 2006 (1) NR 205 (HC) 206</w:t>
      </w:r>
      <w:r w:rsidRPr="0048443A">
        <w:rPr>
          <w:rFonts w:ascii="Arial" w:hAnsi="Arial" w:cs="Arial"/>
          <w:color w:val="000000"/>
          <w:sz w:val="24"/>
          <w:szCs w:val="24"/>
        </w:rPr>
        <w:t>J – 207A.</w:t>
      </w:r>
    </w:p>
    <w:p w:rsidR="00E45E5B" w:rsidRPr="007E74F6" w:rsidRDefault="00E45E5B" w:rsidP="00E45E5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01050"/>
      <w:docPartObj>
        <w:docPartGallery w:val="Page Numbers (Top of Page)"/>
        <w:docPartUnique/>
      </w:docPartObj>
    </w:sdtPr>
    <w:sdtEndPr>
      <w:rPr>
        <w:noProof/>
      </w:rPr>
    </w:sdtEndPr>
    <w:sdtContent>
      <w:p w:rsidR="00CD6968" w:rsidRDefault="00CD6968">
        <w:pPr>
          <w:pStyle w:val="Header"/>
          <w:jc w:val="right"/>
        </w:pPr>
        <w:r>
          <w:fldChar w:fldCharType="begin"/>
        </w:r>
        <w:r>
          <w:instrText xml:space="preserve"> PAGE   \* MERGEFORMAT </w:instrText>
        </w:r>
        <w:r>
          <w:fldChar w:fldCharType="separate"/>
        </w:r>
        <w:r w:rsidR="008E1FF4">
          <w:rPr>
            <w:noProof/>
          </w:rPr>
          <w:t>6</w:t>
        </w:r>
        <w:r>
          <w:rPr>
            <w:noProof/>
          </w:rPr>
          <w:fldChar w:fldCharType="end"/>
        </w:r>
      </w:p>
    </w:sdtContent>
  </w:sdt>
  <w:p w:rsidR="00CD6968" w:rsidRDefault="00CD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303E6"/>
    <w:multiLevelType w:val="hybridMultilevel"/>
    <w:tmpl w:val="8132EA54"/>
    <w:lvl w:ilvl="0" w:tplc="5E787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D6FDC"/>
    <w:multiLevelType w:val="hybridMultilevel"/>
    <w:tmpl w:val="516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31346"/>
    <w:multiLevelType w:val="hybridMultilevel"/>
    <w:tmpl w:val="A44A19D0"/>
    <w:lvl w:ilvl="0" w:tplc="044E8FA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54E234BE"/>
    <w:multiLevelType w:val="hybridMultilevel"/>
    <w:tmpl w:val="25047D46"/>
    <w:lvl w:ilvl="0" w:tplc="2500F266">
      <w:start w:val="1"/>
      <w:numFmt w:val="decimal"/>
      <w:lvlText w:val="[%1]"/>
      <w:lvlJc w:val="left"/>
      <w:pPr>
        <w:ind w:left="738"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15:restartNumberingAfterBreak="0">
    <w:nsid w:val="769327F2"/>
    <w:multiLevelType w:val="hybridMultilevel"/>
    <w:tmpl w:val="F59A96B2"/>
    <w:lvl w:ilvl="0" w:tplc="1D303B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F286DB4"/>
    <w:multiLevelType w:val="hybridMultilevel"/>
    <w:tmpl w:val="4058CE30"/>
    <w:lvl w:ilvl="0" w:tplc="B658F02E">
      <w:start w:val="1"/>
      <w:numFmt w:val="decimal"/>
      <w:lvlText w:val="%1."/>
      <w:lvlJc w:val="left"/>
      <w:pPr>
        <w:ind w:left="720" w:hanging="720"/>
      </w:pPr>
      <w:rPr>
        <w:rFonts w:ascii="Arial" w:eastAsiaTheme="minorHAns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4B"/>
    <w:rsid w:val="00021981"/>
    <w:rsid w:val="0004220B"/>
    <w:rsid w:val="000877D2"/>
    <w:rsid w:val="000A6B48"/>
    <w:rsid w:val="0014207A"/>
    <w:rsid w:val="001C5660"/>
    <w:rsid w:val="001F76E7"/>
    <w:rsid w:val="00284DAD"/>
    <w:rsid w:val="00287C90"/>
    <w:rsid w:val="00291EA7"/>
    <w:rsid w:val="002A72A5"/>
    <w:rsid w:val="002C4FA1"/>
    <w:rsid w:val="00310601"/>
    <w:rsid w:val="003148D2"/>
    <w:rsid w:val="00326161"/>
    <w:rsid w:val="003C2D34"/>
    <w:rsid w:val="003D6615"/>
    <w:rsid w:val="003E791A"/>
    <w:rsid w:val="0041103C"/>
    <w:rsid w:val="004519D3"/>
    <w:rsid w:val="00461D24"/>
    <w:rsid w:val="00474B0D"/>
    <w:rsid w:val="004856EB"/>
    <w:rsid w:val="00512F81"/>
    <w:rsid w:val="00544E16"/>
    <w:rsid w:val="00657FEC"/>
    <w:rsid w:val="0066755B"/>
    <w:rsid w:val="00685319"/>
    <w:rsid w:val="006B64EE"/>
    <w:rsid w:val="006F3121"/>
    <w:rsid w:val="007B5F2F"/>
    <w:rsid w:val="007B721D"/>
    <w:rsid w:val="007C2D18"/>
    <w:rsid w:val="007D109D"/>
    <w:rsid w:val="007D3EC6"/>
    <w:rsid w:val="007F58F9"/>
    <w:rsid w:val="00804038"/>
    <w:rsid w:val="00845E12"/>
    <w:rsid w:val="00874E43"/>
    <w:rsid w:val="008913CC"/>
    <w:rsid w:val="00892714"/>
    <w:rsid w:val="008960FC"/>
    <w:rsid w:val="008A7584"/>
    <w:rsid w:val="008E17E6"/>
    <w:rsid w:val="008E1FF4"/>
    <w:rsid w:val="00937388"/>
    <w:rsid w:val="00942665"/>
    <w:rsid w:val="00A07F9C"/>
    <w:rsid w:val="00A77D11"/>
    <w:rsid w:val="00AA73BA"/>
    <w:rsid w:val="00AB0C80"/>
    <w:rsid w:val="00AF1F1B"/>
    <w:rsid w:val="00B913F5"/>
    <w:rsid w:val="00BC7788"/>
    <w:rsid w:val="00C37167"/>
    <w:rsid w:val="00C44F53"/>
    <w:rsid w:val="00C45BD4"/>
    <w:rsid w:val="00C70E3D"/>
    <w:rsid w:val="00C84239"/>
    <w:rsid w:val="00CD6968"/>
    <w:rsid w:val="00D3416B"/>
    <w:rsid w:val="00D4136E"/>
    <w:rsid w:val="00D42085"/>
    <w:rsid w:val="00DB0262"/>
    <w:rsid w:val="00DC7E76"/>
    <w:rsid w:val="00DD50FF"/>
    <w:rsid w:val="00DE3070"/>
    <w:rsid w:val="00E45E5B"/>
    <w:rsid w:val="00E50745"/>
    <w:rsid w:val="00E51FEE"/>
    <w:rsid w:val="00E7674A"/>
    <w:rsid w:val="00E92F70"/>
    <w:rsid w:val="00EA634B"/>
    <w:rsid w:val="00F60FCD"/>
    <w:rsid w:val="00F808AF"/>
    <w:rsid w:val="00FF0C30"/>
    <w:rsid w:val="00FF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485F-8E2D-42AE-92CC-D6674F00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3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34B"/>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EA634B"/>
    <w:rPr>
      <w:sz w:val="20"/>
      <w:szCs w:val="20"/>
      <w:lang w:val="en-ZA"/>
    </w:rPr>
  </w:style>
  <w:style w:type="character" w:styleId="FootnoteReference">
    <w:name w:val="footnote reference"/>
    <w:basedOn w:val="DefaultParagraphFont"/>
    <w:uiPriority w:val="99"/>
    <w:semiHidden/>
    <w:unhideWhenUsed/>
    <w:rsid w:val="00EA634B"/>
    <w:rPr>
      <w:vertAlign w:val="superscript"/>
    </w:rPr>
  </w:style>
  <w:style w:type="paragraph" w:styleId="ListParagraph">
    <w:name w:val="List Paragraph"/>
    <w:basedOn w:val="Normal"/>
    <w:uiPriority w:val="34"/>
    <w:qFormat/>
    <w:rsid w:val="008960FC"/>
    <w:pPr>
      <w:ind w:left="720"/>
      <w:contextualSpacing/>
    </w:pPr>
  </w:style>
  <w:style w:type="paragraph" w:styleId="BalloonText">
    <w:name w:val="Balloon Text"/>
    <w:basedOn w:val="Normal"/>
    <w:link w:val="BalloonTextChar"/>
    <w:uiPriority w:val="99"/>
    <w:semiHidden/>
    <w:unhideWhenUsed/>
    <w:rsid w:val="00E9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F70"/>
    <w:rPr>
      <w:rFonts w:ascii="Segoe UI" w:hAnsi="Segoe UI" w:cs="Segoe UI"/>
      <w:sz w:val="18"/>
      <w:szCs w:val="18"/>
    </w:rPr>
  </w:style>
  <w:style w:type="paragraph" w:styleId="Header">
    <w:name w:val="header"/>
    <w:basedOn w:val="Normal"/>
    <w:link w:val="HeaderChar"/>
    <w:uiPriority w:val="99"/>
    <w:unhideWhenUsed/>
    <w:rsid w:val="00CD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68"/>
  </w:style>
  <w:style w:type="paragraph" w:styleId="Footer">
    <w:name w:val="footer"/>
    <w:basedOn w:val="Normal"/>
    <w:link w:val="FooterChar"/>
    <w:uiPriority w:val="99"/>
    <w:unhideWhenUsed/>
    <w:rsid w:val="00CD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68"/>
  </w:style>
  <w:style w:type="paragraph" w:customStyle="1" w:styleId="AS-H1a">
    <w:name w:val="AS-H1a"/>
    <w:basedOn w:val="Normal"/>
    <w:link w:val="AS-H1aChar"/>
    <w:qFormat/>
    <w:rsid w:val="007B5F2F"/>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AS-H1aChar">
    <w:name w:val="AS-H1a Char"/>
    <w:basedOn w:val="DefaultParagraphFont"/>
    <w:link w:val="AS-H1a"/>
    <w:rsid w:val="007B5F2F"/>
    <w:rPr>
      <w:rFonts w:ascii="Arial" w:hAnsi="Arial" w:cs="Arial"/>
      <w:b/>
      <w:noProof/>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2021-02-10T18:30:00+00:00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744A-E20E-4645-A559-F6787210584D}">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54C05046-72CB-4E5D-96FA-B8F54169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DC80F-DA80-4C8F-8730-8FC7D788E9CA}">
  <ds:schemaRefs>
    <ds:schemaRef ds:uri="http://schemas.microsoft.com/sharepoint/v3/contenttype/forms"/>
  </ds:schemaRefs>
</ds:datastoreItem>
</file>

<file path=customXml/itemProps4.xml><?xml version="1.0" encoding="utf-8"?>
<ds:datastoreItem xmlns:ds="http://schemas.openxmlformats.org/officeDocument/2006/customXml" ds:itemID="{1BBFAFF2-51F2-4C29-988B-4B854805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Hawala</dc:creator>
  <cp:keywords/>
  <dc:description/>
  <cp:lastModifiedBy>HOME</cp:lastModifiedBy>
  <cp:revision>2</cp:revision>
  <cp:lastPrinted>2021-02-10T14:30:00Z</cp:lastPrinted>
  <dcterms:created xsi:type="dcterms:W3CDTF">2021-07-14T12:28:00Z</dcterms:created>
  <dcterms:modified xsi:type="dcterms:W3CDTF">2021-07-14T12:28:00Z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