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3E72" w:rsidRPr="00AF73CE" w:rsidRDefault="002C3E72" w:rsidP="002C3E72">
      <w:pPr>
        <w:spacing w:after="200" w:line="360" w:lineRule="auto"/>
        <w:jc w:val="center"/>
        <w:rPr>
          <w:rFonts w:ascii="Arial" w:eastAsia="Calibri" w:hAnsi="Arial" w:cs="Arial"/>
          <w:b/>
          <w:sz w:val="24"/>
          <w:szCs w:val="24"/>
        </w:rPr>
      </w:pPr>
      <w:bookmarkStart w:id="0" w:name="_GoBack"/>
      <w:bookmarkEnd w:id="0"/>
      <w:r w:rsidRPr="00AF73CE">
        <w:rPr>
          <w:rFonts w:ascii="Arial" w:eastAsia="Calibri" w:hAnsi="Arial" w:cs="Arial"/>
          <w:b/>
          <w:sz w:val="24"/>
          <w:szCs w:val="24"/>
        </w:rPr>
        <w:t>REPUBLIC OF NAMIBIA</w:t>
      </w:r>
    </w:p>
    <w:p w:rsidR="002C3E72" w:rsidRPr="00AF73CE" w:rsidRDefault="002C3E72" w:rsidP="002C3E72">
      <w:pPr>
        <w:spacing w:after="200" w:line="360" w:lineRule="auto"/>
        <w:jc w:val="center"/>
        <w:rPr>
          <w:rFonts w:ascii="Arial" w:eastAsia="Calibri" w:hAnsi="Arial" w:cs="Arial"/>
          <w:b/>
          <w:sz w:val="24"/>
          <w:szCs w:val="24"/>
        </w:rPr>
      </w:pPr>
      <w:r w:rsidRPr="00AF73CE">
        <w:rPr>
          <w:rFonts w:ascii="Arial" w:eastAsia="Calibri" w:hAnsi="Arial" w:cs="Arial"/>
          <w:b/>
          <w:noProof/>
          <w:sz w:val="24"/>
          <w:szCs w:val="24"/>
          <w:lang w:val="en-ZA" w:eastAsia="en-ZA"/>
        </w:rPr>
        <mc:AlternateContent>
          <mc:Choice Requires="wps">
            <w:drawing>
              <wp:anchor distT="0" distB="0" distL="114300" distR="114300" simplePos="0" relativeHeight="251659264" behindDoc="0" locked="0" layoutInCell="1" allowOverlap="1" wp14:anchorId="0F0DA73D" wp14:editId="19D58B8E">
                <wp:simplePos x="0" y="0"/>
                <wp:positionH relativeFrom="column">
                  <wp:posOffset>4143375</wp:posOffset>
                </wp:positionH>
                <wp:positionV relativeFrom="paragraph">
                  <wp:posOffset>337185</wp:posOffset>
                </wp:positionV>
                <wp:extent cx="1762125" cy="333375"/>
                <wp:effectExtent l="952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333375"/>
                        </a:xfrm>
                        <a:prstGeom prst="rect">
                          <a:avLst/>
                        </a:prstGeom>
                        <a:solidFill>
                          <a:srgbClr val="FFFFFF"/>
                        </a:solidFill>
                        <a:ln w="9525">
                          <a:solidFill>
                            <a:srgbClr val="FFFFFF"/>
                          </a:solidFill>
                          <a:miter lim="800000"/>
                          <a:headEnd/>
                          <a:tailEnd/>
                        </a:ln>
                      </wps:spPr>
                      <wps:txbx>
                        <w:txbxContent>
                          <w:p w:rsidR="00C53E62" w:rsidRPr="00BB5FC3" w:rsidRDefault="00C53E62" w:rsidP="002C3E72">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DA73D" id="_x0000_t202" coordsize="21600,21600" o:spt="202" path="m,l,21600r21600,l21600,xe">
                <v:stroke joinstyle="miter"/>
                <v:path gradientshapeok="t" o:connecttype="rect"/>
              </v:shapetype>
              <v:shape id="Text Box 2" o:spid="_x0000_s1026" type="#_x0000_t202" style="position:absolute;left:0;text-align:left;margin-left:326.25pt;margin-top:26.55pt;width:138.7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" strokecolor="white">
                <v:textbox>
                  <w:txbxContent>
                    <w:p w:rsidR="00C53E62" w:rsidRPr="00BB5FC3" w:rsidRDefault="00C53E62" w:rsidP="002C3E72">
                      <w:pPr>
                        <w:rPr>
                          <w:rFonts w:cs="Arial"/>
                        </w:rPr>
                      </w:pPr>
                    </w:p>
                  </w:txbxContent>
                </v:textbox>
              </v:shape>
            </w:pict>
          </mc:Fallback>
        </mc:AlternateContent>
      </w:r>
      <w:r w:rsidRPr="00AF73CE">
        <w:rPr>
          <w:rFonts w:ascii="Arial" w:eastAsia="Calibri" w:hAnsi="Arial" w:cs="Arial"/>
          <w:b/>
          <w:noProof/>
          <w:sz w:val="24"/>
          <w:szCs w:val="24"/>
          <w:lang w:val="en-ZA" w:eastAsia="en-ZA"/>
        </w:rPr>
        <w:drawing>
          <wp:inline distT="0" distB="0" distL="0" distR="0" wp14:anchorId="30578980" wp14:editId="2942AED8">
            <wp:extent cx="1276350" cy="1323975"/>
            <wp:effectExtent l="0" t="0" r="0" b="9525"/>
            <wp:docPr id="1" name="Picture 1" descr="Coat of Arm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at of Arms.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76350" cy="1323975"/>
                    </a:xfrm>
                    <a:prstGeom prst="rect">
                      <a:avLst/>
                    </a:prstGeom>
                    <a:noFill/>
                    <a:ln>
                      <a:noFill/>
                    </a:ln>
                  </pic:spPr>
                </pic:pic>
              </a:graphicData>
            </a:graphic>
          </wp:inline>
        </w:drawing>
      </w:r>
    </w:p>
    <w:p w:rsidR="002C3E72" w:rsidRPr="00AF73CE" w:rsidRDefault="002C3E72" w:rsidP="002C3E72">
      <w:pPr>
        <w:tabs>
          <w:tab w:val="center" w:pos="4153"/>
          <w:tab w:val="right" w:pos="8306"/>
        </w:tabs>
        <w:spacing w:after="200" w:line="360" w:lineRule="auto"/>
        <w:jc w:val="both"/>
        <w:rPr>
          <w:rFonts w:ascii="Arial" w:eastAsia="Calibri" w:hAnsi="Arial" w:cs="Arial"/>
          <w:bCs/>
          <w:sz w:val="24"/>
          <w:szCs w:val="24"/>
        </w:rPr>
      </w:pPr>
      <w:r w:rsidRPr="00AF73CE">
        <w:rPr>
          <w:rFonts w:ascii="Arial" w:eastAsia="Calibri" w:hAnsi="Arial" w:cs="Arial"/>
          <w:b/>
          <w:sz w:val="24"/>
          <w:szCs w:val="24"/>
        </w:rPr>
        <w:tab/>
      </w:r>
      <w:r w:rsidR="00AE685C" w:rsidRPr="00AF73CE">
        <w:rPr>
          <w:rFonts w:ascii="Arial" w:eastAsia="Calibri" w:hAnsi="Arial" w:cs="Arial"/>
          <w:b/>
          <w:sz w:val="24"/>
          <w:szCs w:val="24"/>
        </w:rPr>
        <w:t xml:space="preserve">IN THE </w:t>
      </w:r>
      <w:r w:rsidRPr="00AF73CE">
        <w:rPr>
          <w:rFonts w:ascii="Arial" w:eastAsia="Calibri" w:hAnsi="Arial" w:cs="Arial"/>
          <w:b/>
          <w:sz w:val="24"/>
          <w:szCs w:val="24"/>
        </w:rPr>
        <w:t>HIGH COURT OF NAMIBIA MAIN DIVISION, WINDHOEK</w:t>
      </w:r>
      <w:r w:rsidRPr="00AF73CE">
        <w:rPr>
          <w:rFonts w:ascii="Arial" w:eastAsia="Calibri" w:hAnsi="Arial" w:cs="Arial"/>
          <w:b/>
          <w:sz w:val="24"/>
          <w:szCs w:val="24"/>
        </w:rPr>
        <w:tab/>
      </w:r>
    </w:p>
    <w:p w:rsidR="002C3E72" w:rsidRPr="00AF73CE" w:rsidRDefault="002C3E72" w:rsidP="002C3E72">
      <w:pPr>
        <w:spacing w:after="200" w:line="360" w:lineRule="auto"/>
        <w:jc w:val="center"/>
        <w:rPr>
          <w:rFonts w:ascii="Arial" w:eastAsia="Calibri" w:hAnsi="Arial" w:cs="Arial"/>
          <w:b/>
          <w:sz w:val="24"/>
          <w:szCs w:val="24"/>
        </w:rPr>
      </w:pPr>
      <w:r w:rsidRPr="00AF73CE">
        <w:rPr>
          <w:rFonts w:ascii="Arial" w:eastAsia="Calibri" w:hAnsi="Arial" w:cs="Arial"/>
          <w:b/>
          <w:sz w:val="24"/>
          <w:szCs w:val="24"/>
        </w:rPr>
        <w:t>REVIEW JUDGMENT</w:t>
      </w:r>
    </w:p>
    <w:tbl>
      <w:tblPr>
        <w:tblStyle w:val="TableGrid1"/>
        <w:tblpPr w:leftFromText="180" w:rightFromText="180" w:vertAnchor="page" w:horzAnchor="margin" w:tblpY="5956"/>
        <w:tblW w:w="9720" w:type="dxa"/>
        <w:tblLook w:val="04A0" w:firstRow="1" w:lastRow="0" w:firstColumn="1" w:lastColumn="0" w:noHBand="0" w:noVBand="1"/>
      </w:tblPr>
      <w:tblGrid>
        <w:gridCol w:w="4770"/>
        <w:gridCol w:w="627"/>
        <w:gridCol w:w="4323"/>
      </w:tblGrid>
      <w:tr w:rsidR="00537FA1" w:rsidRPr="00AF73CE" w:rsidTr="00B668A6">
        <w:trPr>
          <w:trHeight w:val="744"/>
        </w:trPr>
        <w:tc>
          <w:tcPr>
            <w:tcW w:w="5397" w:type="dxa"/>
            <w:gridSpan w:val="2"/>
          </w:tcPr>
          <w:p w:rsidR="00537FA1" w:rsidRPr="00AF73CE" w:rsidRDefault="00537FA1" w:rsidP="00537FA1">
            <w:pPr>
              <w:spacing w:line="360" w:lineRule="auto"/>
              <w:jc w:val="both"/>
              <w:rPr>
                <w:rFonts w:ascii="Arial" w:hAnsi="Arial" w:cs="Arial"/>
                <w:sz w:val="24"/>
                <w:szCs w:val="24"/>
              </w:rPr>
            </w:pPr>
            <w:r w:rsidRPr="00AF73CE">
              <w:rPr>
                <w:rFonts w:ascii="Arial" w:hAnsi="Arial" w:cs="Arial"/>
                <w:b/>
                <w:sz w:val="24"/>
                <w:szCs w:val="24"/>
              </w:rPr>
              <w:t>Case Title:</w:t>
            </w:r>
          </w:p>
          <w:p w:rsidR="00537FA1" w:rsidRPr="00AF73CE" w:rsidRDefault="004F2B08" w:rsidP="00537FA1">
            <w:pPr>
              <w:spacing w:line="360" w:lineRule="auto"/>
              <w:jc w:val="both"/>
              <w:rPr>
                <w:rFonts w:ascii="Arial" w:hAnsi="Arial" w:cs="Arial"/>
                <w:i/>
                <w:sz w:val="24"/>
                <w:szCs w:val="24"/>
              </w:rPr>
            </w:pPr>
            <w:r w:rsidRPr="00AF73CE">
              <w:rPr>
                <w:rFonts w:ascii="Arial" w:hAnsi="Arial" w:cs="Arial"/>
                <w:i/>
                <w:sz w:val="24"/>
                <w:szCs w:val="24"/>
              </w:rPr>
              <w:t xml:space="preserve">The State </w:t>
            </w:r>
            <w:r w:rsidR="00AE685C" w:rsidRPr="00AF73CE">
              <w:rPr>
                <w:rFonts w:ascii="Arial" w:hAnsi="Arial" w:cs="Arial"/>
                <w:i/>
                <w:sz w:val="24"/>
                <w:szCs w:val="24"/>
              </w:rPr>
              <w:t xml:space="preserve"> v Kaluwe Mubiana</w:t>
            </w:r>
          </w:p>
          <w:p w:rsidR="00537FA1" w:rsidRPr="00AF73CE" w:rsidRDefault="00537FA1" w:rsidP="00537FA1">
            <w:pPr>
              <w:spacing w:line="360" w:lineRule="auto"/>
              <w:jc w:val="both"/>
              <w:rPr>
                <w:rFonts w:ascii="Arial" w:hAnsi="Arial" w:cs="Arial"/>
                <w:i/>
                <w:sz w:val="24"/>
                <w:szCs w:val="24"/>
              </w:rPr>
            </w:pPr>
          </w:p>
        </w:tc>
        <w:tc>
          <w:tcPr>
            <w:tcW w:w="4323" w:type="dxa"/>
          </w:tcPr>
          <w:p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Case No:</w:t>
            </w:r>
          </w:p>
          <w:p w:rsidR="00537FA1" w:rsidRPr="00AF73CE" w:rsidRDefault="000D0A84" w:rsidP="00537FA1">
            <w:pPr>
              <w:spacing w:line="360" w:lineRule="auto"/>
              <w:jc w:val="both"/>
              <w:rPr>
                <w:rFonts w:ascii="Arial" w:hAnsi="Arial" w:cs="Arial"/>
                <w:sz w:val="24"/>
                <w:szCs w:val="24"/>
              </w:rPr>
            </w:pPr>
            <w:r w:rsidRPr="00AF73CE">
              <w:rPr>
                <w:rFonts w:ascii="Arial" w:hAnsi="Arial" w:cs="Arial"/>
                <w:sz w:val="24"/>
                <w:szCs w:val="24"/>
              </w:rPr>
              <w:t>CR 2 /2021</w:t>
            </w:r>
          </w:p>
        </w:tc>
      </w:tr>
      <w:tr w:rsidR="00537FA1" w:rsidRPr="00AF73CE" w:rsidTr="00B668A6">
        <w:trPr>
          <w:trHeight w:val="844"/>
        </w:trPr>
        <w:tc>
          <w:tcPr>
            <w:tcW w:w="5397" w:type="dxa"/>
            <w:gridSpan w:val="2"/>
          </w:tcPr>
          <w:p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High Court MD Review No:</w:t>
            </w:r>
          </w:p>
          <w:p w:rsidR="00537FA1" w:rsidRPr="00AF73CE" w:rsidRDefault="00AE685C" w:rsidP="004F2B08">
            <w:pPr>
              <w:spacing w:line="360" w:lineRule="auto"/>
              <w:jc w:val="both"/>
              <w:rPr>
                <w:rFonts w:ascii="Arial" w:hAnsi="Arial" w:cs="Arial"/>
                <w:sz w:val="24"/>
                <w:szCs w:val="24"/>
              </w:rPr>
            </w:pPr>
            <w:r w:rsidRPr="00AF73CE">
              <w:rPr>
                <w:rFonts w:ascii="Arial" w:hAnsi="Arial" w:cs="Arial"/>
                <w:sz w:val="24"/>
                <w:szCs w:val="24"/>
              </w:rPr>
              <w:t>HC 132 /</w:t>
            </w:r>
            <w:r w:rsidR="004F2B08" w:rsidRPr="00AF73CE">
              <w:rPr>
                <w:rFonts w:ascii="Arial" w:hAnsi="Arial" w:cs="Arial"/>
                <w:sz w:val="24"/>
                <w:szCs w:val="24"/>
              </w:rPr>
              <w:t>2020</w:t>
            </w:r>
          </w:p>
          <w:p w:rsidR="00CC3204" w:rsidRPr="00AF73CE" w:rsidRDefault="00CC3204" w:rsidP="004F2B08">
            <w:pPr>
              <w:spacing w:line="360" w:lineRule="auto"/>
              <w:jc w:val="both"/>
              <w:rPr>
                <w:rFonts w:ascii="Arial" w:hAnsi="Arial" w:cs="Arial"/>
                <w:sz w:val="24"/>
                <w:szCs w:val="24"/>
              </w:rPr>
            </w:pPr>
          </w:p>
        </w:tc>
        <w:tc>
          <w:tcPr>
            <w:tcW w:w="4323" w:type="dxa"/>
          </w:tcPr>
          <w:p w:rsidR="00537FA1" w:rsidRPr="00AF73CE" w:rsidRDefault="00537FA1" w:rsidP="00537FA1">
            <w:pPr>
              <w:spacing w:line="360" w:lineRule="auto"/>
              <w:jc w:val="both"/>
              <w:rPr>
                <w:rFonts w:ascii="Arial" w:hAnsi="Arial" w:cs="Arial"/>
                <w:sz w:val="24"/>
                <w:szCs w:val="24"/>
              </w:rPr>
            </w:pPr>
            <w:r w:rsidRPr="00AF73CE">
              <w:rPr>
                <w:rFonts w:ascii="Arial" w:hAnsi="Arial" w:cs="Arial"/>
                <w:b/>
                <w:sz w:val="24"/>
                <w:szCs w:val="24"/>
              </w:rPr>
              <w:t>Division of Court:</w:t>
            </w:r>
          </w:p>
          <w:p w:rsidR="00537FA1" w:rsidRPr="00AF73CE" w:rsidRDefault="00537FA1" w:rsidP="00537FA1">
            <w:pPr>
              <w:spacing w:line="360" w:lineRule="auto"/>
              <w:jc w:val="both"/>
              <w:rPr>
                <w:rFonts w:ascii="Arial" w:hAnsi="Arial" w:cs="Arial"/>
                <w:sz w:val="24"/>
                <w:szCs w:val="24"/>
              </w:rPr>
            </w:pPr>
            <w:r w:rsidRPr="00AF73CE">
              <w:rPr>
                <w:rFonts w:ascii="Arial" w:hAnsi="Arial" w:cs="Arial"/>
                <w:sz w:val="24"/>
                <w:szCs w:val="24"/>
              </w:rPr>
              <w:t>Main Division</w:t>
            </w:r>
          </w:p>
        </w:tc>
      </w:tr>
      <w:tr w:rsidR="00537FA1" w:rsidRPr="00AF73CE" w:rsidTr="00B668A6">
        <w:trPr>
          <w:trHeight w:val="1662"/>
        </w:trPr>
        <w:tc>
          <w:tcPr>
            <w:tcW w:w="5397" w:type="dxa"/>
            <w:gridSpan w:val="2"/>
          </w:tcPr>
          <w:p w:rsidR="00CC3204" w:rsidRPr="00AF73CE" w:rsidRDefault="00CC3204" w:rsidP="00537FA1">
            <w:pPr>
              <w:spacing w:line="360" w:lineRule="auto"/>
              <w:jc w:val="both"/>
              <w:rPr>
                <w:rFonts w:ascii="Arial" w:hAnsi="Arial" w:cs="Arial"/>
                <w:b/>
                <w:sz w:val="24"/>
                <w:szCs w:val="24"/>
              </w:rPr>
            </w:pPr>
          </w:p>
          <w:p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Heard before:</w:t>
            </w:r>
          </w:p>
          <w:p w:rsidR="00537FA1" w:rsidRPr="00AF73CE" w:rsidRDefault="00537FA1" w:rsidP="00537FA1">
            <w:pPr>
              <w:spacing w:line="360" w:lineRule="auto"/>
              <w:jc w:val="both"/>
              <w:rPr>
                <w:rFonts w:ascii="Arial" w:hAnsi="Arial" w:cs="Arial"/>
                <w:i/>
                <w:sz w:val="24"/>
                <w:szCs w:val="24"/>
              </w:rPr>
            </w:pPr>
            <w:r w:rsidRPr="00AF73CE">
              <w:rPr>
                <w:rFonts w:ascii="Arial" w:hAnsi="Arial" w:cs="Arial"/>
                <w:sz w:val="24"/>
                <w:szCs w:val="24"/>
              </w:rPr>
              <w:t xml:space="preserve">Mr Justice Liebenberg </w:t>
            </w:r>
            <w:r w:rsidRPr="00AF73CE">
              <w:rPr>
                <w:rFonts w:ascii="Arial" w:hAnsi="Arial" w:cs="Arial"/>
                <w:i/>
                <w:sz w:val="24"/>
                <w:szCs w:val="24"/>
              </w:rPr>
              <w:t>et</w:t>
            </w:r>
          </w:p>
          <w:p w:rsidR="00537FA1" w:rsidRPr="00AF73CE" w:rsidRDefault="00460129" w:rsidP="00D87749">
            <w:pPr>
              <w:spacing w:line="360" w:lineRule="auto"/>
              <w:jc w:val="both"/>
              <w:rPr>
                <w:rFonts w:ascii="Arial" w:hAnsi="Arial" w:cs="Arial"/>
                <w:sz w:val="24"/>
                <w:szCs w:val="24"/>
              </w:rPr>
            </w:pPr>
            <w:r w:rsidRPr="00AF73CE">
              <w:rPr>
                <w:rFonts w:ascii="Arial" w:hAnsi="Arial" w:cs="Arial"/>
                <w:sz w:val="24"/>
                <w:szCs w:val="24"/>
              </w:rPr>
              <w:t>Mr</w:t>
            </w:r>
            <w:r w:rsidR="00537FA1" w:rsidRPr="00AF73CE">
              <w:rPr>
                <w:rFonts w:ascii="Arial" w:hAnsi="Arial" w:cs="Arial"/>
                <w:sz w:val="24"/>
                <w:szCs w:val="24"/>
              </w:rPr>
              <w:t xml:space="preserve"> Justice </w:t>
            </w:r>
            <w:r w:rsidR="00D87749" w:rsidRPr="00AF73CE">
              <w:rPr>
                <w:rFonts w:ascii="Arial" w:hAnsi="Arial" w:cs="Arial"/>
                <w:sz w:val="24"/>
                <w:szCs w:val="24"/>
              </w:rPr>
              <w:t>Miller</w:t>
            </w:r>
            <w:r w:rsidRPr="00AF73CE">
              <w:rPr>
                <w:rFonts w:ascii="Arial" w:hAnsi="Arial" w:cs="Arial"/>
                <w:sz w:val="24"/>
                <w:szCs w:val="24"/>
              </w:rPr>
              <w:t xml:space="preserve"> (Acting)</w:t>
            </w:r>
          </w:p>
        </w:tc>
        <w:tc>
          <w:tcPr>
            <w:tcW w:w="4323" w:type="dxa"/>
          </w:tcPr>
          <w:p w:rsidR="00CC3204" w:rsidRPr="00AF73CE" w:rsidRDefault="00CC3204" w:rsidP="00537FA1">
            <w:pPr>
              <w:spacing w:line="360" w:lineRule="auto"/>
              <w:jc w:val="both"/>
              <w:rPr>
                <w:rFonts w:ascii="Arial" w:hAnsi="Arial" w:cs="Arial"/>
                <w:b/>
                <w:sz w:val="24"/>
                <w:szCs w:val="24"/>
              </w:rPr>
            </w:pPr>
          </w:p>
          <w:p w:rsidR="002601F6"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Delivered on:</w:t>
            </w:r>
          </w:p>
          <w:p w:rsidR="00537FA1" w:rsidRPr="00AF73CE" w:rsidRDefault="002601F6" w:rsidP="00537FA1">
            <w:pPr>
              <w:spacing w:line="360" w:lineRule="auto"/>
              <w:jc w:val="both"/>
              <w:rPr>
                <w:rFonts w:ascii="Arial" w:hAnsi="Arial" w:cs="Arial"/>
                <w:b/>
                <w:sz w:val="24"/>
                <w:szCs w:val="24"/>
              </w:rPr>
            </w:pPr>
            <w:r w:rsidRPr="00AF73CE">
              <w:rPr>
                <w:rFonts w:ascii="Arial" w:hAnsi="Arial" w:cs="Arial"/>
                <w:sz w:val="24"/>
                <w:szCs w:val="24"/>
              </w:rPr>
              <w:t xml:space="preserve">21 </w:t>
            </w:r>
            <w:r w:rsidR="00AE685C" w:rsidRPr="00AF73CE">
              <w:rPr>
                <w:rFonts w:ascii="Arial" w:hAnsi="Arial" w:cs="Arial"/>
                <w:sz w:val="24"/>
                <w:szCs w:val="24"/>
              </w:rPr>
              <w:t>January  2021</w:t>
            </w:r>
          </w:p>
        </w:tc>
      </w:tr>
      <w:tr w:rsidR="00537FA1" w:rsidRPr="00AF73CE" w:rsidTr="00B668A6">
        <w:tc>
          <w:tcPr>
            <w:tcW w:w="9720" w:type="dxa"/>
            <w:gridSpan w:val="3"/>
          </w:tcPr>
          <w:p w:rsidR="00537FA1" w:rsidRPr="00AF73CE" w:rsidRDefault="00537FA1" w:rsidP="00537FA1">
            <w:pPr>
              <w:spacing w:line="360" w:lineRule="auto"/>
              <w:jc w:val="both"/>
              <w:rPr>
                <w:rFonts w:ascii="Arial" w:hAnsi="Arial" w:cs="Arial"/>
                <w:b/>
                <w:sz w:val="24"/>
                <w:szCs w:val="24"/>
              </w:rPr>
            </w:pPr>
          </w:p>
          <w:p w:rsidR="00537FA1" w:rsidRPr="00AF73CE" w:rsidRDefault="00537FA1" w:rsidP="00537FA1">
            <w:pPr>
              <w:spacing w:line="360" w:lineRule="auto"/>
              <w:jc w:val="both"/>
              <w:rPr>
                <w:rFonts w:ascii="Arial" w:hAnsi="Arial" w:cs="Arial"/>
                <w:sz w:val="24"/>
                <w:szCs w:val="24"/>
              </w:rPr>
            </w:pPr>
            <w:r w:rsidRPr="00AF73CE">
              <w:rPr>
                <w:rFonts w:ascii="Arial" w:hAnsi="Arial" w:cs="Arial"/>
                <w:b/>
                <w:sz w:val="24"/>
                <w:szCs w:val="24"/>
              </w:rPr>
              <w:t xml:space="preserve">Neutral citation: </w:t>
            </w:r>
            <w:r w:rsidRPr="00AF73CE">
              <w:rPr>
                <w:rFonts w:ascii="Arial" w:hAnsi="Arial" w:cs="Arial"/>
                <w:i/>
                <w:sz w:val="24"/>
                <w:szCs w:val="24"/>
              </w:rPr>
              <w:t xml:space="preserve">S v </w:t>
            </w:r>
            <w:r w:rsidR="00AE685C" w:rsidRPr="00AF73CE">
              <w:rPr>
                <w:rFonts w:ascii="Arial" w:hAnsi="Arial" w:cs="Arial"/>
                <w:i/>
                <w:sz w:val="24"/>
                <w:szCs w:val="24"/>
              </w:rPr>
              <w:t>Mubiana</w:t>
            </w:r>
            <w:r w:rsidRPr="00AF73CE">
              <w:rPr>
                <w:rFonts w:ascii="Arial" w:hAnsi="Arial" w:cs="Arial"/>
                <w:i/>
                <w:sz w:val="24"/>
                <w:szCs w:val="24"/>
              </w:rPr>
              <w:t xml:space="preserve"> </w:t>
            </w:r>
            <w:r w:rsidR="000D0A84" w:rsidRPr="00AF73CE">
              <w:rPr>
                <w:rFonts w:ascii="Arial" w:hAnsi="Arial" w:cs="Arial"/>
                <w:sz w:val="24"/>
                <w:szCs w:val="24"/>
              </w:rPr>
              <w:t xml:space="preserve"> (CR  2 </w:t>
            </w:r>
            <w:r w:rsidR="00AE685C" w:rsidRPr="00AF73CE">
              <w:rPr>
                <w:rFonts w:ascii="Arial" w:hAnsi="Arial" w:cs="Arial"/>
                <w:sz w:val="24"/>
                <w:szCs w:val="24"/>
              </w:rPr>
              <w:t>/2021) [2021</w:t>
            </w:r>
            <w:r w:rsidR="000D0A84" w:rsidRPr="00AF73CE">
              <w:rPr>
                <w:rFonts w:ascii="Arial" w:hAnsi="Arial" w:cs="Arial"/>
                <w:sz w:val="24"/>
                <w:szCs w:val="24"/>
              </w:rPr>
              <w:t>] NAHCMD 4 (21</w:t>
            </w:r>
            <w:r w:rsidR="00AE685C" w:rsidRPr="00AF73CE">
              <w:rPr>
                <w:rFonts w:ascii="Arial" w:hAnsi="Arial" w:cs="Arial"/>
                <w:sz w:val="24"/>
                <w:szCs w:val="24"/>
              </w:rPr>
              <w:t>January 2021</w:t>
            </w:r>
            <w:r w:rsidRPr="00AF73CE">
              <w:rPr>
                <w:rFonts w:ascii="Arial" w:hAnsi="Arial" w:cs="Arial"/>
                <w:sz w:val="24"/>
                <w:szCs w:val="24"/>
              </w:rPr>
              <w:t>)</w:t>
            </w:r>
          </w:p>
          <w:p w:rsidR="00CC3204" w:rsidRPr="00AF73CE" w:rsidRDefault="00CC3204" w:rsidP="00537FA1">
            <w:pPr>
              <w:spacing w:line="360" w:lineRule="auto"/>
              <w:jc w:val="both"/>
              <w:rPr>
                <w:rFonts w:ascii="Arial" w:hAnsi="Arial" w:cs="Arial"/>
                <w:sz w:val="24"/>
                <w:szCs w:val="24"/>
              </w:rPr>
            </w:pPr>
          </w:p>
        </w:tc>
      </w:tr>
      <w:tr w:rsidR="00537FA1" w:rsidRPr="00AF73CE" w:rsidTr="00B668A6">
        <w:tc>
          <w:tcPr>
            <w:tcW w:w="9720" w:type="dxa"/>
            <w:gridSpan w:val="3"/>
          </w:tcPr>
          <w:p w:rsidR="00E45499" w:rsidRPr="00AF73CE" w:rsidRDefault="00E45499" w:rsidP="00537FA1">
            <w:pPr>
              <w:spacing w:line="360" w:lineRule="auto"/>
              <w:jc w:val="both"/>
              <w:rPr>
                <w:rFonts w:ascii="Arial" w:hAnsi="Arial" w:cs="Arial"/>
                <w:b/>
                <w:sz w:val="24"/>
                <w:szCs w:val="24"/>
              </w:rPr>
            </w:pPr>
          </w:p>
          <w:p w:rsidR="00537FA1"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The order:</w:t>
            </w:r>
          </w:p>
          <w:p w:rsidR="00993F53" w:rsidRPr="00AF73CE" w:rsidRDefault="002666B0" w:rsidP="00DF535E">
            <w:pPr>
              <w:pStyle w:val="AS-P1"/>
              <w:spacing w:line="360" w:lineRule="auto"/>
              <w:ind w:firstLine="0"/>
              <w:rPr>
                <w:rFonts w:ascii="Arial" w:hAnsi="Arial" w:cs="Arial"/>
                <w:noProof w:val="0"/>
                <w:sz w:val="24"/>
                <w:szCs w:val="24"/>
                <w:lang w:val="en-ZA"/>
              </w:rPr>
            </w:pPr>
            <w:r w:rsidRPr="00AF73CE">
              <w:rPr>
                <w:rFonts w:ascii="Arial" w:hAnsi="Arial" w:cs="Arial"/>
                <w:noProof w:val="0"/>
                <w:sz w:val="24"/>
                <w:szCs w:val="24"/>
                <w:lang w:val="en-ZA"/>
              </w:rPr>
              <w:t>The conv</w:t>
            </w:r>
            <w:r w:rsidR="00AE685C" w:rsidRPr="00AF73CE">
              <w:rPr>
                <w:rFonts w:ascii="Arial" w:hAnsi="Arial" w:cs="Arial"/>
                <w:noProof w:val="0"/>
                <w:sz w:val="24"/>
                <w:szCs w:val="24"/>
                <w:lang w:val="en-ZA"/>
              </w:rPr>
              <w:t xml:space="preserve">iction </w:t>
            </w:r>
            <w:r w:rsidR="003F0A77" w:rsidRPr="00AF73CE">
              <w:rPr>
                <w:rFonts w:ascii="Arial" w:hAnsi="Arial" w:cs="Arial"/>
                <w:noProof w:val="0"/>
                <w:sz w:val="24"/>
                <w:szCs w:val="24"/>
                <w:lang w:val="en-ZA"/>
              </w:rPr>
              <w:t>and</w:t>
            </w:r>
            <w:r w:rsidR="00AE685C" w:rsidRPr="00AF73CE">
              <w:rPr>
                <w:rFonts w:ascii="Arial" w:hAnsi="Arial" w:cs="Arial"/>
                <w:noProof w:val="0"/>
                <w:sz w:val="24"/>
                <w:szCs w:val="24"/>
                <w:lang w:val="en-ZA"/>
              </w:rPr>
              <w:t xml:space="preserve"> sentence </w:t>
            </w:r>
            <w:r w:rsidR="003F0A77" w:rsidRPr="00AF73CE">
              <w:rPr>
                <w:rFonts w:ascii="Arial" w:hAnsi="Arial" w:cs="Arial"/>
                <w:noProof w:val="0"/>
                <w:sz w:val="24"/>
                <w:szCs w:val="24"/>
                <w:lang w:val="en-ZA"/>
              </w:rPr>
              <w:t>are</w:t>
            </w:r>
            <w:r w:rsidR="00AE685C" w:rsidRPr="00AF73CE">
              <w:rPr>
                <w:rFonts w:ascii="Arial" w:hAnsi="Arial" w:cs="Arial"/>
                <w:noProof w:val="0"/>
                <w:sz w:val="24"/>
                <w:szCs w:val="24"/>
                <w:lang w:val="en-ZA"/>
              </w:rPr>
              <w:t xml:space="preserve"> set aside.</w:t>
            </w:r>
          </w:p>
          <w:p w:rsidR="003F0A77" w:rsidRPr="00AF73CE" w:rsidRDefault="003F0A77" w:rsidP="003F0A77">
            <w:pPr>
              <w:pStyle w:val="AS-P1"/>
              <w:spacing w:line="360" w:lineRule="auto"/>
              <w:rPr>
                <w:rFonts w:ascii="Arial" w:hAnsi="Arial" w:cs="Arial"/>
                <w:noProof w:val="0"/>
                <w:sz w:val="24"/>
                <w:szCs w:val="24"/>
                <w:lang w:val="en-ZA"/>
              </w:rPr>
            </w:pPr>
          </w:p>
          <w:p w:rsidR="003F0A77" w:rsidRPr="00AF73CE" w:rsidRDefault="003F0A77" w:rsidP="003F0A77">
            <w:pPr>
              <w:pStyle w:val="AS-P1"/>
              <w:spacing w:line="360" w:lineRule="auto"/>
              <w:rPr>
                <w:rFonts w:ascii="Arial" w:hAnsi="Arial" w:cs="Arial"/>
                <w:noProof w:val="0"/>
                <w:sz w:val="24"/>
                <w:szCs w:val="24"/>
                <w:lang w:val="en-ZA"/>
              </w:rPr>
            </w:pPr>
          </w:p>
          <w:p w:rsidR="003F0A77" w:rsidRPr="00AF73CE" w:rsidRDefault="003F0A77" w:rsidP="003F0A77">
            <w:pPr>
              <w:pStyle w:val="AS-P1"/>
              <w:spacing w:line="360" w:lineRule="auto"/>
              <w:rPr>
                <w:rFonts w:ascii="Arial" w:hAnsi="Arial" w:cs="Arial"/>
                <w:noProof w:val="0"/>
                <w:sz w:val="24"/>
                <w:szCs w:val="24"/>
                <w:lang w:val="en-ZA"/>
              </w:rPr>
            </w:pPr>
          </w:p>
          <w:p w:rsidR="003F0A77" w:rsidRPr="00AF73CE" w:rsidRDefault="003F0A77" w:rsidP="003F0A77">
            <w:pPr>
              <w:pStyle w:val="AS-P1"/>
              <w:spacing w:line="360" w:lineRule="auto"/>
              <w:rPr>
                <w:rFonts w:ascii="Arial" w:hAnsi="Arial" w:cs="Arial"/>
                <w:noProof w:val="0"/>
                <w:sz w:val="24"/>
                <w:szCs w:val="24"/>
                <w:lang w:val="en-ZA"/>
              </w:rPr>
            </w:pPr>
          </w:p>
        </w:tc>
      </w:tr>
      <w:tr w:rsidR="00537FA1" w:rsidRPr="00AF73CE" w:rsidTr="00B668A6">
        <w:tc>
          <w:tcPr>
            <w:tcW w:w="9720" w:type="dxa"/>
            <w:gridSpan w:val="3"/>
          </w:tcPr>
          <w:p w:rsidR="006B24D9" w:rsidRPr="00AF73CE" w:rsidRDefault="006B24D9" w:rsidP="00537FA1">
            <w:pPr>
              <w:spacing w:line="360" w:lineRule="auto"/>
              <w:jc w:val="both"/>
              <w:rPr>
                <w:rFonts w:ascii="Arial" w:hAnsi="Arial" w:cs="Arial"/>
                <w:b/>
                <w:sz w:val="24"/>
                <w:szCs w:val="24"/>
              </w:rPr>
            </w:pPr>
          </w:p>
          <w:p w:rsidR="006B24D9" w:rsidRPr="00AF73CE" w:rsidRDefault="00537FA1" w:rsidP="00537FA1">
            <w:pPr>
              <w:spacing w:line="360" w:lineRule="auto"/>
              <w:jc w:val="both"/>
              <w:rPr>
                <w:rFonts w:ascii="Arial" w:hAnsi="Arial" w:cs="Arial"/>
                <w:b/>
                <w:sz w:val="24"/>
                <w:szCs w:val="24"/>
              </w:rPr>
            </w:pPr>
            <w:r w:rsidRPr="00AF73CE">
              <w:rPr>
                <w:rFonts w:ascii="Arial" w:hAnsi="Arial" w:cs="Arial"/>
                <w:b/>
                <w:sz w:val="24"/>
                <w:szCs w:val="24"/>
              </w:rPr>
              <w:t>Reasons for order:</w:t>
            </w:r>
          </w:p>
        </w:tc>
      </w:tr>
      <w:tr w:rsidR="00537FA1" w:rsidRPr="00AF73CE" w:rsidTr="00B668A6">
        <w:tc>
          <w:tcPr>
            <w:tcW w:w="9720" w:type="dxa"/>
            <w:gridSpan w:val="3"/>
          </w:tcPr>
          <w:p w:rsidR="00537FA1" w:rsidRPr="00AF73CE" w:rsidRDefault="00537FA1" w:rsidP="00537FA1">
            <w:pPr>
              <w:spacing w:line="360" w:lineRule="auto"/>
              <w:jc w:val="both"/>
              <w:rPr>
                <w:rFonts w:ascii="Arial" w:hAnsi="Arial" w:cs="Arial"/>
                <w:sz w:val="24"/>
                <w:szCs w:val="24"/>
              </w:rPr>
            </w:pPr>
          </w:p>
          <w:p w:rsidR="00537FA1" w:rsidRPr="00AF73CE" w:rsidRDefault="00537FA1" w:rsidP="00537FA1">
            <w:pPr>
              <w:spacing w:line="360" w:lineRule="auto"/>
              <w:jc w:val="both"/>
              <w:rPr>
                <w:rFonts w:ascii="Arial" w:hAnsi="Arial" w:cs="Arial"/>
                <w:sz w:val="24"/>
                <w:szCs w:val="24"/>
              </w:rPr>
            </w:pPr>
            <w:r w:rsidRPr="00AF73CE">
              <w:rPr>
                <w:rFonts w:ascii="Arial" w:hAnsi="Arial" w:cs="Arial"/>
                <w:sz w:val="24"/>
                <w:szCs w:val="24"/>
              </w:rPr>
              <w:t xml:space="preserve">LIEBENBERG J (concurring </w:t>
            </w:r>
            <w:r w:rsidR="006B24D9" w:rsidRPr="00AF73CE">
              <w:rPr>
                <w:rFonts w:ascii="Arial" w:hAnsi="Arial" w:cs="Arial"/>
                <w:sz w:val="24"/>
                <w:szCs w:val="24"/>
              </w:rPr>
              <w:t>MILLER</w:t>
            </w:r>
            <w:r w:rsidRPr="00AF73CE">
              <w:rPr>
                <w:rFonts w:ascii="Arial" w:hAnsi="Arial" w:cs="Arial"/>
                <w:sz w:val="24"/>
                <w:szCs w:val="24"/>
              </w:rPr>
              <w:t xml:space="preserve"> </w:t>
            </w:r>
            <w:r w:rsidR="00460129" w:rsidRPr="00AF73CE">
              <w:rPr>
                <w:rFonts w:ascii="Arial" w:hAnsi="Arial" w:cs="Arial"/>
                <w:sz w:val="24"/>
                <w:szCs w:val="24"/>
              </w:rPr>
              <w:t>A</w:t>
            </w:r>
            <w:r w:rsidRPr="00AF73CE">
              <w:rPr>
                <w:rFonts w:ascii="Arial" w:hAnsi="Arial" w:cs="Arial"/>
                <w:sz w:val="24"/>
                <w:szCs w:val="24"/>
              </w:rPr>
              <w:t>J)</w:t>
            </w:r>
          </w:p>
          <w:p w:rsidR="00537FA1" w:rsidRPr="00AF73CE" w:rsidRDefault="00537FA1" w:rsidP="00901858">
            <w:pPr>
              <w:spacing w:line="360" w:lineRule="auto"/>
              <w:ind w:right="411"/>
              <w:contextualSpacing/>
              <w:jc w:val="both"/>
              <w:rPr>
                <w:rFonts w:ascii="Arial" w:hAnsi="Arial" w:cs="Arial"/>
                <w:sz w:val="24"/>
                <w:szCs w:val="24"/>
              </w:rPr>
            </w:pPr>
          </w:p>
          <w:p w:rsidR="00DF4302" w:rsidRPr="00AF73CE" w:rsidRDefault="00D963C3" w:rsidP="00DF4302">
            <w:pPr>
              <w:pStyle w:val="ListParagraph"/>
              <w:numPr>
                <w:ilvl w:val="0"/>
                <w:numId w:val="7"/>
              </w:numPr>
              <w:spacing w:line="360" w:lineRule="auto"/>
              <w:ind w:right="411"/>
              <w:jc w:val="both"/>
              <w:rPr>
                <w:rFonts w:ascii="Arial" w:hAnsi="Arial" w:cs="Arial"/>
                <w:sz w:val="24"/>
                <w:szCs w:val="24"/>
              </w:rPr>
            </w:pPr>
            <w:r w:rsidRPr="00AF73CE">
              <w:rPr>
                <w:rFonts w:ascii="Arial" w:hAnsi="Arial" w:cs="Arial"/>
                <w:sz w:val="24"/>
                <w:szCs w:val="24"/>
                <w:lang w:val="en-GB"/>
              </w:rPr>
              <w:t xml:space="preserve">This is a review matter in terms of section 302(1) of the Criminal Procedure Act 51 of 1977 (CPA). </w:t>
            </w:r>
          </w:p>
          <w:p w:rsidR="00DF4302" w:rsidRPr="00AF73CE" w:rsidRDefault="00DF4302" w:rsidP="00DF4302">
            <w:pPr>
              <w:pStyle w:val="ListParagraph"/>
              <w:spacing w:line="360" w:lineRule="auto"/>
              <w:ind w:right="411"/>
              <w:jc w:val="both"/>
              <w:rPr>
                <w:rFonts w:ascii="Arial" w:hAnsi="Arial" w:cs="Arial"/>
                <w:sz w:val="24"/>
                <w:szCs w:val="24"/>
              </w:rPr>
            </w:pPr>
          </w:p>
          <w:p w:rsidR="00DF4302" w:rsidRPr="00AF73CE" w:rsidRDefault="00E62BD7" w:rsidP="00E3659D">
            <w:pPr>
              <w:pStyle w:val="ListParagraph"/>
              <w:numPr>
                <w:ilvl w:val="0"/>
                <w:numId w:val="7"/>
              </w:numPr>
              <w:spacing w:line="360" w:lineRule="auto"/>
              <w:ind w:right="411"/>
              <w:jc w:val="both"/>
              <w:rPr>
                <w:rFonts w:ascii="Arial" w:hAnsi="Arial" w:cs="Arial"/>
                <w:sz w:val="24"/>
                <w:szCs w:val="24"/>
              </w:rPr>
            </w:pPr>
            <w:r w:rsidRPr="00AF73CE">
              <w:rPr>
                <w:rFonts w:ascii="Arial" w:hAnsi="Arial" w:cs="Arial"/>
                <w:sz w:val="24"/>
                <w:szCs w:val="24"/>
              </w:rPr>
              <w:t>The accused person appea</w:t>
            </w:r>
            <w:r w:rsidR="003F0A77" w:rsidRPr="00AF73CE">
              <w:rPr>
                <w:rFonts w:ascii="Arial" w:hAnsi="Arial" w:cs="Arial"/>
                <w:sz w:val="24"/>
                <w:szCs w:val="24"/>
              </w:rPr>
              <w:t>red in the Magistrate’s Court for</w:t>
            </w:r>
            <w:r w:rsidRPr="00AF73CE">
              <w:rPr>
                <w:rFonts w:ascii="Arial" w:hAnsi="Arial" w:cs="Arial"/>
                <w:sz w:val="24"/>
                <w:szCs w:val="24"/>
              </w:rPr>
              <w:t xml:space="preserve"> the district of Katima Mulilo</w:t>
            </w:r>
            <w:r w:rsidR="003F0A77" w:rsidRPr="00AF73CE">
              <w:rPr>
                <w:rFonts w:ascii="Arial" w:hAnsi="Arial" w:cs="Arial"/>
                <w:sz w:val="24"/>
                <w:szCs w:val="24"/>
              </w:rPr>
              <w:t xml:space="preserve"> on a charge of house</w:t>
            </w:r>
            <w:r w:rsidRPr="00AF73CE">
              <w:rPr>
                <w:rFonts w:ascii="Arial" w:hAnsi="Arial" w:cs="Arial"/>
                <w:sz w:val="24"/>
                <w:szCs w:val="24"/>
              </w:rPr>
              <w:t xml:space="preserve">breaking with intent to steal and theft. </w:t>
            </w:r>
          </w:p>
          <w:p w:rsidR="00DF4302" w:rsidRPr="00AF73CE" w:rsidRDefault="00DF4302" w:rsidP="00DF4302">
            <w:pPr>
              <w:pStyle w:val="ListParagraph"/>
              <w:spacing w:line="360" w:lineRule="auto"/>
              <w:ind w:right="411"/>
              <w:jc w:val="both"/>
              <w:rPr>
                <w:rFonts w:ascii="Arial" w:hAnsi="Arial" w:cs="Arial"/>
                <w:sz w:val="24"/>
                <w:szCs w:val="24"/>
              </w:rPr>
            </w:pPr>
          </w:p>
          <w:p w:rsidR="00E62BD7" w:rsidRPr="00AF73CE" w:rsidRDefault="00E62BD7" w:rsidP="00D963C3">
            <w:pPr>
              <w:pStyle w:val="ListParagraph"/>
              <w:numPr>
                <w:ilvl w:val="0"/>
                <w:numId w:val="7"/>
              </w:numPr>
              <w:spacing w:line="360" w:lineRule="auto"/>
              <w:ind w:right="411"/>
              <w:jc w:val="both"/>
              <w:rPr>
                <w:rFonts w:ascii="Arial" w:hAnsi="Arial" w:cs="Arial"/>
                <w:sz w:val="24"/>
                <w:szCs w:val="24"/>
              </w:rPr>
            </w:pPr>
            <w:r w:rsidRPr="00AF73CE">
              <w:rPr>
                <w:rFonts w:ascii="Arial" w:hAnsi="Arial" w:cs="Arial"/>
                <w:sz w:val="24"/>
                <w:szCs w:val="24"/>
              </w:rPr>
              <w:t xml:space="preserve">The charge sheet alleges that on or about 29 September 2017, at or near Mumbone village in the district of Katima Mulilo, the accused did unlawfully and intentionally </w:t>
            </w:r>
            <w:r w:rsidR="00991E7E" w:rsidRPr="00AF73CE">
              <w:rPr>
                <w:rFonts w:ascii="Arial" w:hAnsi="Arial" w:cs="Arial"/>
                <w:sz w:val="24"/>
                <w:szCs w:val="24"/>
              </w:rPr>
              <w:t>break and enter the shop of Sihela Tawana Cavin with intent to steal and did unlawfully steal the l</w:t>
            </w:r>
            <w:r w:rsidR="003F0A77" w:rsidRPr="00AF73CE">
              <w:rPr>
                <w:rFonts w:ascii="Arial" w:hAnsi="Arial" w:cs="Arial"/>
                <w:sz w:val="24"/>
                <w:szCs w:val="24"/>
              </w:rPr>
              <w:t>isted items and cash, with a</w:t>
            </w:r>
            <w:r w:rsidR="00991E7E" w:rsidRPr="00AF73CE">
              <w:rPr>
                <w:rFonts w:ascii="Arial" w:hAnsi="Arial" w:cs="Arial"/>
                <w:sz w:val="24"/>
                <w:szCs w:val="24"/>
              </w:rPr>
              <w:t xml:space="preserve"> total value of N$ 4449.00</w:t>
            </w:r>
            <w:r w:rsidR="003F0A77" w:rsidRPr="00AF73CE">
              <w:rPr>
                <w:rFonts w:ascii="Arial" w:hAnsi="Arial" w:cs="Arial"/>
                <w:sz w:val="24"/>
                <w:szCs w:val="24"/>
              </w:rPr>
              <w:t>, the property</w:t>
            </w:r>
            <w:r w:rsidR="00F90551" w:rsidRPr="00AF73CE">
              <w:rPr>
                <w:rFonts w:ascii="Arial" w:hAnsi="Arial" w:cs="Arial"/>
                <w:sz w:val="24"/>
                <w:szCs w:val="24"/>
              </w:rPr>
              <w:t xml:space="preserve"> of or in the lawful pos</w:t>
            </w:r>
            <w:r w:rsidR="00DF4302" w:rsidRPr="00AF73CE">
              <w:rPr>
                <w:rFonts w:ascii="Arial" w:hAnsi="Arial" w:cs="Arial"/>
                <w:sz w:val="24"/>
                <w:szCs w:val="24"/>
              </w:rPr>
              <w:t>session of Sihela Tawana Cavin.</w:t>
            </w:r>
          </w:p>
          <w:p w:rsidR="00DF4302" w:rsidRPr="00AF73CE" w:rsidRDefault="00DF4302" w:rsidP="00DF4302">
            <w:pPr>
              <w:pStyle w:val="ListParagraph"/>
              <w:spacing w:line="360" w:lineRule="auto"/>
              <w:ind w:right="411"/>
              <w:jc w:val="both"/>
              <w:rPr>
                <w:rFonts w:ascii="Arial" w:hAnsi="Arial" w:cs="Arial"/>
                <w:sz w:val="24"/>
                <w:szCs w:val="24"/>
              </w:rPr>
            </w:pPr>
          </w:p>
          <w:p w:rsidR="00E62BD7" w:rsidRPr="00AF73CE" w:rsidRDefault="000F0278" w:rsidP="00D963C3">
            <w:pPr>
              <w:pStyle w:val="ListParagraph"/>
              <w:numPr>
                <w:ilvl w:val="0"/>
                <w:numId w:val="7"/>
              </w:numPr>
              <w:spacing w:line="360" w:lineRule="auto"/>
              <w:ind w:right="411"/>
              <w:jc w:val="both"/>
              <w:rPr>
                <w:rFonts w:ascii="Arial" w:hAnsi="Arial" w:cs="Arial"/>
                <w:sz w:val="24"/>
                <w:szCs w:val="24"/>
              </w:rPr>
            </w:pPr>
            <w:r w:rsidRPr="00AF73CE">
              <w:rPr>
                <w:rFonts w:ascii="Arial" w:hAnsi="Arial" w:cs="Arial"/>
                <w:sz w:val="24"/>
                <w:szCs w:val="24"/>
              </w:rPr>
              <w:t>Amongst the alleged stolen items, it is only th</w:t>
            </w:r>
            <w:r w:rsidR="003F0A77" w:rsidRPr="00AF73CE">
              <w:rPr>
                <w:rFonts w:ascii="Arial" w:hAnsi="Arial" w:cs="Arial"/>
                <w:sz w:val="24"/>
                <w:szCs w:val="24"/>
              </w:rPr>
              <w:t xml:space="preserve">e generator that was recovered </w:t>
            </w:r>
            <w:r w:rsidRPr="00AF73CE">
              <w:rPr>
                <w:rFonts w:ascii="Arial" w:hAnsi="Arial" w:cs="Arial"/>
                <w:sz w:val="24"/>
                <w:szCs w:val="24"/>
              </w:rPr>
              <w:t xml:space="preserve">and </w:t>
            </w:r>
            <w:r w:rsidR="0049328E" w:rsidRPr="00AF73CE">
              <w:rPr>
                <w:rFonts w:ascii="Arial" w:hAnsi="Arial" w:cs="Arial"/>
                <w:sz w:val="24"/>
                <w:szCs w:val="24"/>
              </w:rPr>
              <w:t xml:space="preserve">allegedly </w:t>
            </w:r>
            <w:r w:rsidRPr="00AF73CE">
              <w:rPr>
                <w:rFonts w:ascii="Arial" w:hAnsi="Arial" w:cs="Arial"/>
                <w:sz w:val="24"/>
                <w:szCs w:val="24"/>
              </w:rPr>
              <w:t>found in possession of the accused.</w:t>
            </w:r>
          </w:p>
          <w:p w:rsidR="00DF4302" w:rsidRPr="00AF73CE" w:rsidRDefault="00DF4302" w:rsidP="00DF4302">
            <w:pPr>
              <w:spacing w:line="360" w:lineRule="auto"/>
              <w:ind w:right="411"/>
              <w:jc w:val="both"/>
              <w:rPr>
                <w:rFonts w:ascii="Arial" w:hAnsi="Arial" w:cs="Arial"/>
                <w:sz w:val="24"/>
                <w:szCs w:val="24"/>
              </w:rPr>
            </w:pPr>
          </w:p>
          <w:p w:rsidR="0049328E" w:rsidRPr="00AF73CE" w:rsidRDefault="0049328E" w:rsidP="00D963C3">
            <w:pPr>
              <w:pStyle w:val="ListParagraph"/>
              <w:numPr>
                <w:ilvl w:val="0"/>
                <w:numId w:val="7"/>
              </w:numPr>
              <w:spacing w:line="360" w:lineRule="auto"/>
              <w:ind w:right="411"/>
              <w:jc w:val="both"/>
              <w:rPr>
                <w:rFonts w:ascii="Arial" w:hAnsi="Arial" w:cs="Arial"/>
                <w:sz w:val="24"/>
                <w:szCs w:val="24"/>
              </w:rPr>
            </w:pPr>
            <w:r w:rsidRPr="00AF73CE">
              <w:rPr>
                <w:rFonts w:ascii="Arial" w:hAnsi="Arial" w:cs="Arial"/>
                <w:sz w:val="24"/>
                <w:szCs w:val="24"/>
              </w:rPr>
              <w:t xml:space="preserve">The accused person pleaded not guilty to the charge and </w:t>
            </w:r>
            <w:r w:rsidR="00B668A6" w:rsidRPr="00AF73CE">
              <w:rPr>
                <w:rFonts w:ascii="Arial" w:hAnsi="Arial" w:cs="Arial"/>
                <w:sz w:val="24"/>
                <w:szCs w:val="24"/>
              </w:rPr>
              <w:t>the court proceeded in terms of section 115 of the Criminal Procedure Act 51 of 1977.</w:t>
            </w:r>
          </w:p>
          <w:p w:rsidR="00DF4302" w:rsidRPr="00AF73CE" w:rsidRDefault="00DF4302" w:rsidP="00DF4302">
            <w:pPr>
              <w:spacing w:line="360" w:lineRule="auto"/>
              <w:ind w:right="411"/>
              <w:jc w:val="both"/>
              <w:rPr>
                <w:rFonts w:ascii="Arial" w:hAnsi="Arial" w:cs="Arial"/>
                <w:sz w:val="24"/>
                <w:szCs w:val="24"/>
              </w:rPr>
            </w:pPr>
          </w:p>
          <w:p w:rsidR="004401F4" w:rsidRPr="00AF73CE" w:rsidRDefault="003545D5" w:rsidP="00E3659D">
            <w:pPr>
              <w:pStyle w:val="ListParagraph"/>
              <w:numPr>
                <w:ilvl w:val="0"/>
                <w:numId w:val="7"/>
              </w:numPr>
              <w:spacing w:line="360" w:lineRule="auto"/>
              <w:ind w:right="411"/>
              <w:jc w:val="both"/>
              <w:rPr>
                <w:rFonts w:ascii="Arial" w:hAnsi="Arial" w:cs="Arial"/>
                <w:sz w:val="24"/>
                <w:szCs w:val="24"/>
              </w:rPr>
            </w:pPr>
            <w:r w:rsidRPr="00AF73CE">
              <w:rPr>
                <w:rFonts w:ascii="Arial" w:hAnsi="Arial" w:cs="Arial"/>
                <w:sz w:val="24"/>
                <w:szCs w:val="24"/>
              </w:rPr>
              <w:t>In a</w:t>
            </w:r>
            <w:r w:rsidR="00B668A6" w:rsidRPr="00AF73CE">
              <w:rPr>
                <w:rFonts w:ascii="Arial" w:hAnsi="Arial" w:cs="Arial"/>
                <w:sz w:val="24"/>
                <w:szCs w:val="24"/>
              </w:rPr>
              <w:t xml:space="preserve"> statement indicating the basis of his defence, the accused indicated that he denies the charge because he bought the generator from someone</w:t>
            </w:r>
            <w:r w:rsidR="00E3659D" w:rsidRPr="00AF73CE">
              <w:rPr>
                <w:rFonts w:ascii="Arial" w:hAnsi="Arial" w:cs="Arial"/>
                <w:sz w:val="24"/>
                <w:szCs w:val="24"/>
              </w:rPr>
              <w:t xml:space="preserve"> whom he saw once in 2017, and that after his arrest, he does not know the whereabouts of that person. He </w:t>
            </w:r>
            <w:r w:rsidR="00B668A6" w:rsidRPr="00AF73CE">
              <w:rPr>
                <w:rFonts w:ascii="Arial" w:hAnsi="Arial" w:cs="Arial"/>
                <w:sz w:val="24"/>
                <w:szCs w:val="24"/>
              </w:rPr>
              <w:t xml:space="preserve">further stated that he acknowledges </w:t>
            </w:r>
            <w:r w:rsidRPr="00AF73CE">
              <w:rPr>
                <w:rFonts w:ascii="Arial" w:hAnsi="Arial" w:cs="Arial"/>
                <w:sz w:val="24"/>
                <w:szCs w:val="24"/>
              </w:rPr>
              <w:t xml:space="preserve">that </w:t>
            </w:r>
            <w:r w:rsidR="00B668A6" w:rsidRPr="00AF73CE">
              <w:rPr>
                <w:rFonts w:ascii="Arial" w:hAnsi="Arial" w:cs="Arial"/>
                <w:sz w:val="24"/>
                <w:szCs w:val="24"/>
              </w:rPr>
              <w:t>he is guilty of being in possession of suspected stolen property, for which he did not have a receipt</w:t>
            </w:r>
            <w:r w:rsidR="00E3659D" w:rsidRPr="00AF73CE">
              <w:rPr>
                <w:rFonts w:ascii="Arial" w:hAnsi="Arial" w:cs="Arial"/>
                <w:sz w:val="24"/>
                <w:szCs w:val="24"/>
              </w:rPr>
              <w:t>.</w:t>
            </w:r>
            <w:r w:rsidR="003F0A77" w:rsidRPr="00AF73CE">
              <w:rPr>
                <w:rFonts w:ascii="Arial" w:hAnsi="Arial" w:cs="Arial"/>
                <w:sz w:val="24"/>
                <w:szCs w:val="24"/>
              </w:rPr>
              <w:t xml:space="preserve"> I pause to observe that the latter was merely an opinion expressed by the accused. Neither was the accused asked to explain or </w:t>
            </w:r>
          </w:p>
          <w:p w:rsidR="004401F4" w:rsidRPr="00AF73CE" w:rsidRDefault="004401F4" w:rsidP="004401F4">
            <w:pPr>
              <w:pStyle w:val="ListParagraph"/>
              <w:rPr>
                <w:rFonts w:ascii="Arial" w:hAnsi="Arial" w:cs="Arial"/>
                <w:sz w:val="24"/>
                <w:szCs w:val="24"/>
              </w:rPr>
            </w:pPr>
          </w:p>
          <w:p w:rsidR="00E3659D" w:rsidRPr="00AF73CE" w:rsidRDefault="003F0A77" w:rsidP="004401F4">
            <w:pPr>
              <w:pStyle w:val="ListParagraph"/>
              <w:spacing w:line="360" w:lineRule="auto"/>
              <w:ind w:right="411"/>
              <w:jc w:val="both"/>
              <w:rPr>
                <w:rFonts w:ascii="Arial" w:hAnsi="Arial" w:cs="Arial"/>
                <w:sz w:val="24"/>
                <w:szCs w:val="24"/>
              </w:rPr>
            </w:pPr>
            <w:r w:rsidRPr="00AF73CE">
              <w:rPr>
                <w:rFonts w:ascii="Arial" w:hAnsi="Arial" w:cs="Arial"/>
                <w:sz w:val="24"/>
                <w:szCs w:val="24"/>
              </w:rPr>
              <w:lastRenderedPageBreak/>
              <w:t>elaborate on why he considered himself to be guilty of being in possession of suspected stolen property.</w:t>
            </w:r>
          </w:p>
          <w:p w:rsidR="00E3659D" w:rsidRPr="00AF73CE" w:rsidRDefault="00E3659D" w:rsidP="00E3659D">
            <w:pPr>
              <w:pStyle w:val="ListParagraph"/>
              <w:rPr>
                <w:rFonts w:ascii="Arial" w:hAnsi="Arial" w:cs="Arial"/>
                <w:sz w:val="24"/>
                <w:szCs w:val="24"/>
              </w:rPr>
            </w:pPr>
          </w:p>
          <w:p w:rsidR="00E3659D" w:rsidRPr="00AF73CE" w:rsidRDefault="00E3659D" w:rsidP="00D963C3">
            <w:pPr>
              <w:pStyle w:val="ListParagraph"/>
              <w:numPr>
                <w:ilvl w:val="0"/>
                <w:numId w:val="7"/>
              </w:numPr>
              <w:spacing w:line="360" w:lineRule="auto"/>
              <w:ind w:right="411"/>
              <w:jc w:val="both"/>
              <w:rPr>
                <w:rFonts w:ascii="Arial" w:hAnsi="Arial" w:cs="Arial"/>
                <w:sz w:val="24"/>
                <w:szCs w:val="24"/>
              </w:rPr>
            </w:pPr>
            <w:r w:rsidRPr="00AF73CE">
              <w:rPr>
                <w:rFonts w:ascii="Arial" w:hAnsi="Arial" w:cs="Arial"/>
                <w:sz w:val="24"/>
                <w:szCs w:val="24"/>
              </w:rPr>
              <w:t>The State called one witness, a certain Mr Comos M</w:t>
            </w:r>
            <w:r w:rsidR="00281994" w:rsidRPr="00AF73CE">
              <w:rPr>
                <w:rFonts w:ascii="Arial" w:hAnsi="Arial" w:cs="Arial"/>
                <w:sz w:val="24"/>
                <w:szCs w:val="24"/>
              </w:rPr>
              <w:t>ukutoi Lishebo, the arresting</w:t>
            </w:r>
            <w:r w:rsidRPr="00AF73CE">
              <w:rPr>
                <w:rFonts w:ascii="Arial" w:hAnsi="Arial" w:cs="Arial"/>
                <w:sz w:val="24"/>
                <w:szCs w:val="24"/>
              </w:rPr>
              <w:t xml:space="preserve"> officer. He testified that he received a call that the accused is selling a generator, which he foun</w:t>
            </w:r>
            <w:r w:rsidR="00DF535E" w:rsidRPr="00AF73CE">
              <w:rPr>
                <w:rFonts w:ascii="Arial" w:hAnsi="Arial" w:cs="Arial"/>
                <w:sz w:val="24"/>
                <w:szCs w:val="24"/>
              </w:rPr>
              <w:t>d in possession of the accused. According to him, it</w:t>
            </w:r>
            <w:r w:rsidRPr="00AF73CE">
              <w:rPr>
                <w:rFonts w:ascii="Arial" w:hAnsi="Arial" w:cs="Arial"/>
                <w:sz w:val="24"/>
                <w:szCs w:val="24"/>
              </w:rPr>
              <w:t xml:space="preserve"> match</w:t>
            </w:r>
            <w:r w:rsidR="00DF535E" w:rsidRPr="00AF73CE">
              <w:rPr>
                <w:rFonts w:ascii="Arial" w:hAnsi="Arial" w:cs="Arial"/>
                <w:sz w:val="24"/>
                <w:szCs w:val="24"/>
              </w:rPr>
              <w:t>ed</w:t>
            </w:r>
            <w:r w:rsidRPr="00AF73CE">
              <w:rPr>
                <w:rFonts w:ascii="Arial" w:hAnsi="Arial" w:cs="Arial"/>
                <w:sz w:val="24"/>
                <w:szCs w:val="24"/>
              </w:rPr>
              <w:t xml:space="preserve"> the description of a generator mentioned in a case that was opened</w:t>
            </w:r>
            <w:r w:rsidR="000D0A9F" w:rsidRPr="00AF73CE">
              <w:rPr>
                <w:rFonts w:ascii="Arial" w:hAnsi="Arial" w:cs="Arial"/>
                <w:sz w:val="24"/>
                <w:szCs w:val="24"/>
              </w:rPr>
              <w:t xml:space="preserve"> on 29 September 2017. He testified that the accused presented no document to show proof of ownership. Thereafter, he arrested the accused on a charge of housebreaking </w:t>
            </w:r>
            <w:r w:rsidR="00341227" w:rsidRPr="00AF73CE">
              <w:rPr>
                <w:rFonts w:ascii="Arial" w:hAnsi="Arial" w:cs="Arial"/>
                <w:sz w:val="24"/>
                <w:szCs w:val="24"/>
              </w:rPr>
              <w:t>with intent to steal and theft.</w:t>
            </w:r>
          </w:p>
          <w:p w:rsidR="000D0A9F" w:rsidRPr="00AF73CE" w:rsidRDefault="000D0A9F" w:rsidP="000D0A9F">
            <w:pPr>
              <w:pStyle w:val="ListParagraph"/>
              <w:spacing w:line="360" w:lineRule="auto"/>
              <w:ind w:right="411"/>
              <w:jc w:val="both"/>
              <w:rPr>
                <w:rFonts w:ascii="Arial" w:hAnsi="Arial" w:cs="Arial"/>
                <w:sz w:val="24"/>
                <w:szCs w:val="24"/>
              </w:rPr>
            </w:pPr>
          </w:p>
          <w:p w:rsidR="000D0A9F" w:rsidRPr="00AF73CE" w:rsidRDefault="000D0A9F" w:rsidP="00D963C3">
            <w:pPr>
              <w:pStyle w:val="ListParagraph"/>
              <w:numPr>
                <w:ilvl w:val="0"/>
                <w:numId w:val="7"/>
              </w:numPr>
              <w:spacing w:line="360" w:lineRule="auto"/>
              <w:ind w:right="411"/>
              <w:jc w:val="both"/>
              <w:rPr>
                <w:rFonts w:ascii="Arial" w:hAnsi="Arial" w:cs="Arial"/>
                <w:sz w:val="24"/>
                <w:szCs w:val="24"/>
              </w:rPr>
            </w:pPr>
            <w:r w:rsidRPr="00AF73CE">
              <w:rPr>
                <w:rFonts w:ascii="Arial" w:hAnsi="Arial" w:cs="Arial"/>
                <w:sz w:val="24"/>
                <w:szCs w:val="24"/>
              </w:rPr>
              <w:t>The accused chose to remain silent and did not call any witness.</w:t>
            </w:r>
          </w:p>
          <w:p w:rsidR="000D0A9F" w:rsidRPr="00AF73CE" w:rsidRDefault="000D0A9F" w:rsidP="000D0A9F">
            <w:pPr>
              <w:pStyle w:val="ListParagraph"/>
              <w:rPr>
                <w:rFonts w:ascii="Arial" w:hAnsi="Arial" w:cs="Arial"/>
                <w:sz w:val="24"/>
                <w:szCs w:val="24"/>
              </w:rPr>
            </w:pPr>
          </w:p>
          <w:p w:rsidR="000D0A9F" w:rsidRPr="00AF73CE" w:rsidRDefault="000D0A9F" w:rsidP="00D963C3">
            <w:pPr>
              <w:pStyle w:val="ListParagraph"/>
              <w:numPr>
                <w:ilvl w:val="0"/>
                <w:numId w:val="7"/>
              </w:numPr>
              <w:spacing w:line="360" w:lineRule="auto"/>
              <w:ind w:right="411"/>
              <w:jc w:val="both"/>
              <w:rPr>
                <w:rFonts w:ascii="Arial" w:hAnsi="Arial" w:cs="Arial"/>
                <w:sz w:val="24"/>
                <w:szCs w:val="24"/>
              </w:rPr>
            </w:pPr>
            <w:r w:rsidRPr="00AF73CE">
              <w:rPr>
                <w:rFonts w:ascii="Arial" w:hAnsi="Arial" w:cs="Arial"/>
                <w:sz w:val="24"/>
                <w:szCs w:val="24"/>
              </w:rPr>
              <w:t>Relying on the doctrine of recent possession, the learned magistrate convicted the accused and sentenced him to three years’ direct imprisonment</w:t>
            </w:r>
            <w:r w:rsidR="009A422D" w:rsidRPr="00AF73CE">
              <w:rPr>
                <w:rFonts w:ascii="Arial" w:hAnsi="Arial" w:cs="Arial"/>
                <w:sz w:val="24"/>
                <w:szCs w:val="24"/>
              </w:rPr>
              <w:t>,</w:t>
            </w:r>
            <w:r w:rsidRPr="00AF73CE">
              <w:rPr>
                <w:rFonts w:ascii="Arial" w:hAnsi="Arial" w:cs="Arial"/>
                <w:sz w:val="24"/>
                <w:szCs w:val="24"/>
              </w:rPr>
              <w:t xml:space="preserve"> of which two years are suspended for a period of five years on condition that the accused is not convicted of the offence of housebreaking with intent to steal and theft, committed during the period of suspension.</w:t>
            </w:r>
          </w:p>
          <w:p w:rsidR="00DF4302" w:rsidRPr="00AF73CE" w:rsidRDefault="00DF4302" w:rsidP="00DF4302">
            <w:pPr>
              <w:spacing w:line="360" w:lineRule="auto"/>
              <w:ind w:right="411"/>
              <w:jc w:val="both"/>
              <w:rPr>
                <w:rFonts w:ascii="Arial" w:hAnsi="Arial" w:cs="Arial"/>
                <w:sz w:val="24"/>
                <w:szCs w:val="24"/>
              </w:rPr>
            </w:pPr>
          </w:p>
          <w:p w:rsidR="00B668A6" w:rsidRPr="00AF73CE" w:rsidRDefault="00566FDD" w:rsidP="00AF73CE">
            <w:pPr>
              <w:pStyle w:val="ListParagraph"/>
              <w:numPr>
                <w:ilvl w:val="0"/>
                <w:numId w:val="7"/>
              </w:numPr>
              <w:tabs>
                <w:tab w:val="left" w:pos="879"/>
                <w:tab w:val="left" w:pos="1286"/>
              </w:tabs>
              <w:spacing w:line="360" w:lineRule="auto"/>
              <w:ind w:right="411"/>
              <w:jc w:val="both"/>
              <w:rPr>
                <w:rFonts w:ascii="Arial" w:hAnsi="Arial" w:cs="Arial"/>
                <w:sz w:val="24"/>
                <w:szCs w:val="24"/>
              </w:rPr>
            </w:pPr>
            <w:r w:rsidRPr="00AF73CE">
              <w:rPr>
                <w:rFonts w:ascii="Arial" w:hAnsi="Arial" w:cs="Arial"/>
                <w:sz w:val="24"/>
                <w:szCs w:val="24"/>
              </w:rPr>
              <w:t>I</w:t>
            </w:r>
            <w:r w:rsidR="00B668A6" w:rsidRPr="00AF73CE">
              <w:rPr>
                <w:rFonts w:ascii="Arial" w:hAnsi="Arial" w:cs="Arial"/>
                <w:sz w:val="24"/>
                <w:szCs w:val="24"/>
              </w:rPr>
              <w:t xml:space="preserve"> posed two questions in my query to the learned magistrate. The first question is in relation to the fact that the record of the proceedings reflects that on 4 July 2019, the proceedings adjourned to the following day for continuation of trial and one witness was warned. However, with the continuation of</w:t>
            </w:r>
            <w:r w:rsidRPr="00AF73CE">
              <w:rPr>
                <w:rFonts w:ascii="Arial" w:hAnsi="Arial" w:cs="Arial"/>
                <w:sz w:val="24"/>
                <w:szCs w:val="24"/>
              </w:rPr>
              <w:t xml:space="preserve"> trial on 5 July 2019, the Public</w:t>
            </w:r>
            <w:r w:rsidR="00B668A6" w:rsidRPr="00AF73CE">
              <w:rPr>
                <w:rFonts w:ascii="Arial" w:hAnsi="Arial" w:cs="Arial"/>
                <w:sz w:val="24"/>
                <w:szCs w:val="24"/>
              </w:rPr>
              <w:t xml:space="preserve"> </w:t>
            </w:r>
            <w:r w:rsidR="00DF4302" w:rsidRPr="00AF73CE">
              <w:rPr>
                <w:rFonts w:ascii="Arial" w:hAnsi="Arial" w:cs="Arial"/>
                <w:sz w:val="24"/>
                <w:szCs w:val="24"/>
              </w:rPr>
              <w:t>Prosecutor (being the same person from the previous day) informed the court that the trial is to continue with the defence case.  There is nothing on record showing that the State closed its case. I asked the learned magistrate if the State</w:t>
            </w:r>
            <w:r w:rsidR="003545D5" w:rsidRPr="00AF73CE">
              <w:rPr>
                <w:rFonts w:ascii="Arial" w:hAnsi="Arial" w:cs="Arial"/>
                <w:sz w:val="24"/>
                <w:szCs w:val="24"/>
              </w:rPr>
              <w:t xml:space="preserve"> abandoned calling the witness</w:t>
            </w:r>
            <w:r w:rsidR="00DF4302" w:rsidRPr="00AF73CE">
              <w:rPr>
                <w:rFonts w:ascii="Arial" w:hAnsi="Arial" w:cs="Arial"/>
                <w:sz w:val="24"/>
                <w:szCs w:val="24"/>
              </w:rPr>
              <w:t xml:space="preserve"> warned for court and the basis upon which the court proceeded with the defence case if the State case was still open. </w:t>
            </w:r>
          </w:p>
          <w:p w:rsidR="004401F4" w:rsidRPr="00AF73CE" w:rsidRDefault="004401F4" w:rsidP="004401F4">
            <w:pPr>
              <w:pStyle w:val="ListParagraph"/>
              <w:rPr>
                <w:rFonts w:ascii="Arial" w:hAnsi="Arial" w:cs="Arial"/>
                <w:sz w:val="24"/>
                <w:szCs w:val="24"/>
              </w:rPr>
            </w:pPr>
          </w:p>
          <w:p w:rsidR="004401F4" w:rsidRPr="00AF73CE" w:rsidRDefault="004401F4" w:rsidP="004401F4">
            <w:pPr>
              <w:spacing w:line="360" w:lineRule="auto"/>
              <w:ind w:right="411"/>
              <w:jc w:val="both"/>
              <w:rPr>
                <w:rFonts w:ascii="Arial" w:hAnsi="Arial" w:cs="Arial"/>
                <w:sz w:val="24"/>
                <w:szCs w:val="24"/>
              </w:rPr>
            </w:pPr>
          </w:p>
          <w:p w:rsidR="00DF4302" w:rsidRPr="00AF73CE" w:rsidRDefault="00DF4302" w:rsidP="00DF4302">
            <w:pPr>
              <w:spacing w:line="360" w:lineRule="auto"/>
              <w:ind w:right="411"/>
              <w:jc w:val="both"/>
              <w:rPr>
                <w:rFonts w:ascii="Arial" w:hAnsi="Arial" w:cs="Arial"/>
                <w:sz w:val="24"/>
                <w:szCs w:val="24"/>
              </w:rPr>
            </w:pPr>
          </w:p>
          <w:p w:rsidR="00DF4302" w:rsidRPr="00AF73CE" w:rsidRDefault="00566FDD" w:rsidP="00AF73CE">
            <w:pPr>
              <w:pStyle w:val="ListParagraph"/>
              <w:numPr>
                <w:ilvl w:val="0"/>
                <w:numId w:val="7"/>
              </w:numPr>
              <w:tabs>
                <w:tab w:val="left" w:pos="879"/>
                <w:tab w:val="left" w:pos="1286"/>
              </w:tabs>
              <w:spacing w:line="360" w:lineRule="auto"/>
              <w:ind w:right="411"/>
              <w:jc w:val="both"/>
              <w:rPr>
                <w:rFonts w:ascii="Arial" w:hAnsi="Arial" w:cs="Arial"/>
                <w:sz w:val="24"/>
                <w:szCs w:val="24"/>
              </w:rPr>
            </w:pPr>
            <w:r w:rsidRPr="00AF73CE">
              <w:rPr>
                <w:rFonts w:ascii="Arial" w:hAnsi="Arial" w:cs="Arial"/>
                <w:sz w:val="24"/>
                <w:szCs w:val="24"/>
              </w:rPr>
              <w:lastRenderedPageBreak/>
              <w:t>In his reply, the learned magistrate indicated that the Public Prosecutor closed the State’s case and the witness was excused from the proceedings on 5 July 2019</w:t>
            </w:r>
            <w:r w:rsidR="00144488" w:rsidRPr="00AF73CE">
              <w:rPr>
                <w:rFonts w:ascii="Arial" w:hAnsi="Arial" w:cs="Arial"/>
                <w:sz w:val="24"/>
                <w:szCs w:val="24"/>
              </w:rPr>
              <w:t>, and that the court proceeded to explain the right</w:t>
            </w:r>
            <w:r w:rsidR="003545D5" w:rsidRPr="00AF73CE">
              <w:rPr>
                <w:rFonts w:ascii="Arial" w:hAnsi="Arial" w:cs="Arial"/>
                <w:sz w:val="24"/>
                <w:szCs w:val="24"/>
              </w:rPr>
              <w:t>s of the accused</w:t>
            </w:r>
            <w:r w:rsidR="00144488" w:rsidRPr="00AF73CE">
              <w:rPr>
                <w:rFonts w:ascii="Arial" w:hAnsi="Arial" w:cs="Arial"/>
                <w:sz w:val="24"/>
                <w:szCs w:val="24"/>
              </w:rPr>
              <w:t xml:space="preserve"> at the end of the </w:t>
            </w:r>
            <w:r w:rsidR="00B76264" w:rsidRPr="00AF73CE">
              <w:rPr>
                <w:rFonts w:ascii="Arial" w:hAnsi="Arial" w:cs="Arial"/>
                <w:sz w:val="24"/>
                <w:szCs w:val="24"/>
              </w:rPr>
              <w:t>State’s case after the State had closed their c</w:t>
            </w:r>
            <w:r w:rsidR="00DF535E" w:rsidRPr="00AF73CE">
              <w:rPr>
                <w:rFonts w:ascii="Arial" w:hAnsi="Arial" w:cs="Arial"/>
                <w:sz w:val="24"/>
                <w:szCs w:val="24"/>
              </w:rPr>
              <w:t>ase. H</w:t>
            </w:r>
            <w:r w:rsidR="003545D5" w:rsidRPr="00AF73CE">
              <w:rPr>
                <w:rFonts w:ascii="Arial" w:hAnsi="Arial" w:cs="Arial"/>
                <w:sz w:val="24"/>
                <w:szCs w:val="24"/>
              </w:rPr>
              <w:t xml:space="preserve">e </w:t>
            </w:r>
            <w:r w:rsidR="00B76264" w:rsidRPr="00AF73CE">
              <w:rPr>
                <w:rFonts w:ascii="Arial" w:hAnsi="Arial" w:cs="Arial"/>
                <w:sz w:val="24"/>
                <w:szCs w:val="24"/>
              </w:rPr>
              <w:t xml:space="preserve">further added that there was an omission in the typing of the record. </w:t>
            </w:r>
          </w:p>
          <w:p w:rsidR="0041523B" w:rsidRPr="00AF73CE" w:rsidRDefault="0041523B" w:rsidP="0041523B">
            <w:pPr>
              <w:pStyle w:val="ListParagraph"/>
              <w:rPr>
                <w:rFonts w:ascii="Arial" w:hAnsi="Arial" w:cs="Arial"/>
                <w:sz w:val="24"/>
                <w:szCs w:val="24"/>
              </w:rPr>
            </w:pPr>
          </w:p>
          <w:p w:rsidR="0041523B" w:rsidRPr="00AF73CE" w:rsidRDefault="0041523B" w:rsidP="00AF73CE">
            <w:pPr>
              <w:pStyle w:val="ListParagraph"/>
              <w:numPr>
                <w:ilvl w:val="0"/>
                <w:numId w:val="7"/>
              </w:numPr>
              <w:tabs>
                <w:tab w:val="left" w:pos="879"/>
                <w:tab w:val="left" w:pos="1286"/>
              </w:tabs>
              <w:spacing w:line="360" w:lineRule="auto"/>
              <w:ind w:right="411"/>
              <w:jc w:val="both"/>
              <w:rPr>
                <w:rFonts w:ascii="Arial" w:hAnsi="Arial" w:cs="Arial"/>
                <w:sz w:val="24"/>
                <w:szCs w:val="24"/>
              </w:rPr>
            </w:pPr>
            <w:r w:rsidRPr="00AF73CE">
              <w:rPr>
                <w:rFonts w:ascii="Arial" w:hAnsi="Arial" w:cs="Arial"/>
                <w:sz w:val="24"/>
                <w:szCs w:val="24"/>
              </w:rPr>
              <w:t xml:space="preserve">In </w:t>
            </w:r>
            <w:r w:rsidRPr="00AF73CE">
              <w:rPr>
                <w:rFonts w:ascii="Arial" w:hAnsi="Arial" w:cs="Arial"/>
                <w:i/>
                <w:sz w:val="24"/>
                <w:szCs w:val="24"/>
              </w:rPr>
              <w:t xml:space="preserve"> S v Lukas</w:t>
            </w:r>
            <w:r w:rsidRPr="00AF73CE">
              <w:rPr>
                <w:rStyle w:val="FootnoteReference"/>
                <w:rFonts w:ascii="Arial" w:hAnsi="Arial" w:cs="Arial"/>
                <w:i/>
                <w:sz w:val="24"/>
                <w:szCs w:val="24"/>
              </w:rPr>
              <w:footnoteReference w:id="1"/>
            </w:r>
            <w:r w:rsidRPr="00AF73CE">
              <w:rPr>
                <w:rFonts w:ascii="Arial" w:hAnsi="Arial" w:cs="Arial"/>
                <w:i/>
                <w:sz w:val="24"/>
                <w:szCs w:val="24"/>
              </w:rPr>
              <w:t xml:space="preserve"> </w:t>
            </w:r>
            <w:r w:rsidRPr="00AF73CE">
              <w:rPr>
                <w:rFonts w:ascii="Arial" w:hAnsi="Arial" w:cs="Arial"/>
                <w:sz w:val="24"/>
                <w:szCs w:val="24"/>
              </w:rPr>
              <w:t>it was held as follows:</w:t>
            </w:r>
          </w:p>
          <w:p w:rsidR="0041523B" w:rsidRPr="00AF73CE" w:rsidRDefault="0041523B" w:rsidP="0041523B">
            <w:pPr>
              <w:pStyle w:val="ListParagraph"/>
              <w:rPr>
                <w:rFonts w:ascii="Arial" w:hAnsi="Arial" w:cs="Arial"/>
                <w:sz w:val="24"/>
                <w:szCs w:val="24"/>
              </w:rPr>
            </w:pPr>
          </w:p>
          <w:p w:rsidR="0041523B" w:rsidRPr="00AF73CE" w:rsidRDefault="0041523B" w:rsidP="008D384E">
            <w:pPr>
              <w:pStyle w:val="ListParagraph"/>
              <w:spacing w:line="360" w:lineRule="auto"/>
              <w:ind w:left="709" w:right="411" w:firstLine="709"/>
              <w:jc w:val="both"/>
              <w:rPr>
                <w:rFonts w:ascii="Arial" w:hAnsi="Arial" w:cs="Arial"/>
              </w:rPr>
            </w:pPr>
            <w:r w:rsidRPr="00AF73CE">
              <w:rPr>
                <w:rFonts w:ascii="Arial" w:hAnsi="Arial" w:cs="Arial"/>
              </w:rPr>
              <w:t>‘The effect of an incomplete record is that the reviewing court has no basis to determine whether the convictions were in accordance with justice.</w:t>
            </w:r>
            <w:r w:rsidRPr="00AF73CE">
              <w:rPr>
                <w:rStyle w:val="FootnoteReference"/>
                <w:rFonts w:ascii="Arial" w:hAnsi="Arial" w:cs="Arial"/>
              </w:rPr>
              <w:footnoteReference w:id="2"/>
            </w:r>
            <w:r w:rsidRPr="00AF73CE">
              <w:rPr>
                <w:rFonts w:ascii="Arial" w:hAnsi="Arial" w:cs="Arial"/>
              </w:rPr>
              <w:t xml:space="preserve"> However incomplete the record may be, a reviewing court may also determine whether, despite the incomplete record, all the evidence is before the Court for the Court to make a decision on review and whether the accused person was prejudiced because of the incomplete record of the proceedings.</w:t>
            </w:r>
            <w:r w:rsidRPr="00AF73CE">
              <w:rPr>
                <w:rStyle w:val="FootnoteReference"/>
                <w:rFonts w:ascii="Arial" w:hAnsi="Arial" w:cs="Arial"/>
              </w:rPr>
              <w:footnoteReference w:id="3"/>
            </w:r>
            <w:r w:rsidRPr="00AF73CE">
              <w:rPr>
                <w:rFonts w:ascii="Arial" w:hAnsi="Arial" w:cs="Arial"/>
              </w:rPr>
              <w:t>’</w:t>
            </w:r>
          </w:p>
          <w:p w:rsidR="0041523B" w:rsidRPr="00AF73CE" w:rsidRDefault="0041523B" w:rsidP="0041523B">
            <w:pPr>
              <w:pStyle w:val="ListParagraph"/>
              <w:spacing w:line="360" w:lineRule="auto"/>
              <w:ind w:right="411"/>
              <w:jc w:val="both"/>
              <w:rPr>
                <w:rFonts w:ascii="Arial" w:hAnsi="Arial" w:cs="Arial"/>
              </w:rPr>
            </w:pPr>
          </w:p>
          <w:p w:rsidR="0041523B" w:rsidRPr="00AF73CE" w:rsidRDefault="003545D5" w:rsidP="00AF73CE">
            <w:pPr>
              <w:pStyle w:val="ListParagraph"/>
              <w:numPr>
                <w:ilvl w:val="0"/>
                <w:numId w:val="7"/>
              </w:numPr>
              <w:tabs>
                <w:tab w:val="left" w:pos="879"/>
                <w:tab w:val="left" w:pos="1286"/>
              </w:tabs>
              <w:spacing w:line="360" w:lineRule="auto"/>
              <w:ind w:right="411"/>
              <w:jc w:val="both"/>
              <w:rPr>
                <w:rFonts w:ascii="Arial" w:hAnsi="Arial" w:cs="Arial"/>
                <w:sz w:val="24"/>
                <w:szCs w:val="24"/>
              </w:rPr>
            </w:pPr>
            <w:r w:rsidRPr="00AF73CE">
              <w:rPr>
                <w:rFonts w:ascii="Arial" w:hAnsi="Arial" w:cs="Arial"/>
                <w:sz w:val="24"/>
                <w:szCs w:val="24"/>
              </w:rPr>
              <w:t>T</w:t>
            </w:r>
            <w:r w:rsidR="0041523B" w:rsidRPr="00AF73CE">
              <w:rPr>
                <w:rFonts w:ascii="Arial" w:hAnsi="Arial" w:cs="Arial"/>
                <w:sz w:val="24"/>
                <w:szCs w:val="24"/>
              </w:rPr>
              <w:t>he record of the current proceedings is incomplete</w:t>
            </w:r>
            <w:r w:rsidR="007B71C7" w:rsidRPr="00AF73CE">
              <w:rPr>
                <w:rFonts w:ascii="Arial" w:hAnsi="Arial" w:cs="Arial"/>
                <w:sz w:val="24"/>
                <w:szCs w:val="24"/>
              </w:rPr>
              <w:t xml:space="preserve"> to the extent that </w:t>
            </w:r>
            <w:r w:rsidR="00281994" w:rsidRPr="00AF73CE">
              <w:rPr>
                <w:rFonts w:ascii="Arial" w:hAnsi="Arial" w:cs="Arial"/>
                <w:sz w:val="24"/>
                <w:szCs w:val="24"/>
              </w:rPr>
              <w:t>the record does not specifically reflect</w:t>
            </w:r>
            <w:r w:rsidR="007B71C7" w:rsidRPr="00AF73CE">
              <w:rPr>
                <w:rFonts w:ascii="Arial" w:hAnsi="Arial" w:cs="Arial"/>
                <w:sz w:val="24"/>
                <w:szCs w:val="24"/>
              </w:rPr>
              <w:t xml:space="preserve"> the stage at which the State closed its case</w:t>
            </w:r>
            <w:r w:rsidR="00281994" w:rsidRPr="00AF73CE">
              <w:rPr>
                <w:rFonts w:ascii="Arial" w:hAnsi="Arial" w:cs="Arial"/>
                <w:sz w:val="24"/>
                <w:szCs w:val="24"/>
              </w:rPr>
              <w:t xml:space="preserve"> and wha</w:t>
            </w:r>
            <w:r w:rsidR="00FC7F6A" w:rsidRPr="00AF73CE">
              <w:rPr>
                <w:rFonts w:ascii="Arial" w:hAnsi="Arial" w:cs="Arial"/>
                <w:sz w:val="24"/>
                <w:szCs w:val="24"/>
              </w:rPr>
              <w:t>t happened to the second State</w:t>
            </w:r>
            <w:r w:rsidR="00281994" w:rsidRPr="00AF73CE">
              <w:rPr>
                <w:rFonts w:ascii="Arial" w:hAnsi="Arial" w:cs="Arial"/>
                <w:sz w:val="24"/>
                <w:szCs w:val="24"/>
              </w:rPr>
              <w:t xml:space="preserve"> witness that was warned for court. Furthermore, the record</w:t>
            </w:r>
            <w:r w:rsidR="007B71C7" w:rsidRPr="00AF73CE">
              <w:rPr>
                <w:rFonts w:ascii="Arial" w:hAnsi="Arial" w:cs="Arial"/>
                <w:sz w:val="24"/>
                <w:szCs w:val="24"/>
              </w:rPr>
              <w:t xml:space="preserve"> </w:t>
            </w:r>
            <w:r w:rsidR="00281994" w:rsidRPr="00AF73CE">
              <w:rPr>
                <w:rFonts w:ascii="Arial" w:hAnsi="Arial" w:cs="Arial"/>
                <w:sz w:val="24"/>
                <w:szCs w:val="24"/>
              </w:rPr>
              <w:t>does not tell</w:t>
            </w:r>
            <w:r w:rsidR="007B71C7" w:rsidRPr="00AF73CE">
              <w:rPr>
                <w:rFonts w:ascii="Arial" w:hAnsi="Arial" w:cs="Arial"/>
                <w:sz w:val="24"/>
                <w:szCs w:val="24"/>
              </w:rPr>
              <w:t xml:space="preserve"> whether the rights of the unrepresented accused person at the close of the State’s case were explained to him. In light of the authority cited above, the incompleteness of the record leaves the reviewing court with no basis upon which it can determine whether the conviction of the accused is in accordance with justice. For that reason, the conviction an</w:t>
            </w:r>
            <w:r w:rsidR="00DF535E" w:rsidRPr="00AF73CE">
              <w:rPr>
                <w:rFonts w:ascii="Arial" w:hAnsi="Arial" w:cs="Arial"/>
                <w:sz w:val="24"/>
                <w:szCs w:val="24"/>
              </w:rPr>
              <w:t>d the sentence imposed fall to be set aside</w:t>
            </w:r>
            <w:r w:rsidR="007B71C7" w:rsidRPr="00AF73CE">
              <w:rPr>
                <w:rFonts w:ascii="Arial" w:hAnsi="Arial" w:cs="Arial"/>
                <w:sz w:val="24"/>
                <w:szCs w:val="24"/>
              </w:rPr>
              <w:t>.</w:t>
            </w:r>
          </w:p>
          <w:p w:rsidR="00CF2EF9" w:rsidRPr="00AF73CE" w:rsidRDefault="00CF2EF9" w:rsidP="00CF2EF9">
            <w:pPr>
              <w:pStyle w:val="ListParagraph"/>
              <w:spacing w:line="360" w:lineRule="auto"/>
              <w:ind w:right="411"/>
              <w:jc w:val="both"/>
              <w:rPr>
                <w:rFonts w:ascii="Arial" w:hAnsi="Arial" w:cs="Arial"/>
                <w:sz w:val="24"/>
                <w:szCs w:val="24"/>
              </w:rPr>
            </w:pPr>
          </w:p>
          <w:p w:rsidR="004401F4" w:rsidRPr="00AF73CE" w:rsidRDefault="004401F4" w:rsidP="00CF2EF9">
            <w:pPr>
              <w:pStyle w:val="ListParagraph"/>
              <w:spacing w:line="360" w:lineRule="auto"/>
              <w:ind w:right="411"/>
              <w:jc w:val="both"/>
              <w:rPr>
                <w:rFonts w:ascii="Arial" w:hAnsi="Arial" w:cs="Arial"/>
                <w:sz w:val="24"/>
                <w:szCs w:val="24"/>
              </w:rPr>
            </w:pPr>
          </w:p>
          <w:p w:rsidR="004401F4" w:rsidRPr="00AF73CE" w:rsidRDefault="004401F4" w:rsidP="00CF2EF9">
            <w:pPr>
              <w:pStyle w:val="ListParagraph"/>
              <w:spacing w:line="360" w:lineRule="auto"/>
              <w:ind w:right="411"/>
              <w:jc w:val="both"/>
              <w:rPr>
                <w:rFonts w:ascii="Arial" w:hAnsi="Arial" w:cs="Arial"/>
                <w:sz w:val="24"/>
                <w:szCs w:val="24"/>
              </w:rPr>
            </w:pPr>
          </w:p>
          <w:p w:rsidR="004401F4" w:rsidRPr="00AF73CE" w:rsidRDefault="004401F4" w:rsidP="00CF2EF9">
            <w:pPr>
              <w:pStyle w:val="ListParagraph"/>
              <w:spacing w:line="360" w:lineRule="auto"/>
              <w:ind w:right="411"/>
              <w:jc w:val="both"/>
              <w:rPr>
                <w:rFonts w:ascii="Arial" w:hAnsi="Arial" w:cs="Arial"/>
                <w:sz w:val="24"/>
                <w:szCs w:val="24"/>
              </w:rPr>
            </w:pPr>
          </w:p>
          <w:p w:rsidR="004401F4" w:rsidRPr="00AF73CE" w:rsidRDefault="004401F4" w:rsidP="00CF2EF9">
            <w:pPr>
              <w:pStyle w:val="ListParagraph"/>
              <w:spacing w:line="360" w:lineRule="auto"/>
              <w:ind w:right="411"/>
              <w:jc w:val="both"/>
              <w:rPr>
                <w:rFonts w:ascii="Arial" w:hAnsi="Arial" w:cs="Arial"/>
                <w:sz w:val="24"/>
                <w:szCs w:val="24"/>
              </w:rPr>
            </w:pPr>
          </w:p>
          <w:p w:rsidR="00CF2EF9" w:rsidRPr="00AF73CE" w:rsidRDefault="00CF2EF9" w:rsidP="00AF73CE">
            <w:pPr>
              <w:pStyle w:val="ListParagraph"/>
              <w:numPr>
                <w:ilvl w:val="0"/>
                <w:numId w:val="7"/>
              </w:numPr>
              <w:tabs>
                <w:tab w:val="left" w:pos="879"/>
                <w:tab w:val="left" w:pos="1286"/>
              </w:tabs>
              <w:spacing w:line="360" w:lineRule="auto"/>
              <w:ind w:right="411"/>
              <w:jc w:val="both"/>
              <w:rPr>
                <w:rFonts w:ascii="Arial" w:hAnsi="Arial" w:cs="Arial"/>
                <w:sz w:val="24"/>
                <w:szCs w:val="24"/>
              </w:rPr>
            </w:pPr>
            <w:r w:rsidRPr="00AF73CE">
              <w:rPr>
                <w:rFonts w:ascii="Arial" w:hAnsi="Arial" w:cs="Arial"/>
                <w:sz w:val="24"/>
                <w:szCs w:val="24"/>
              </w:rPr>
              <w:lastRenderedPageBreak/>
              <w:t xml:space="preserve">Apart from the incompleteness of the record, it appears that the learned magistrate did not proof-read the record, </w:t>
            </w:r>
            <w:r w:rsidR="00DF535E" w:rsidRPr="00AF73CE">
              <w:rPr>
                <w:rFonts w:ascii="Arial" w:hAnsi="Arial" w:cs="Arial"/>
                <w:sz w:val="24"/>
                <w:szCs w:val="24"/>
              </w:rPr>
              <w:t xml:space="preserve">in that </w:t>
            </w:r>
            <w:r w:rsidR="002D0F7A" w:rsidRPr="00AF73CE">
              <w:rPr>
                <w:rFonts w:ascii="Arial" w:hAnsi="Arial" w:cs="Arial"/>
                <w:sz w:val="24"/>
                <w:szCs w:val="24"/>
              </w:rPr>
              <w:t xml:space="preserve">the record has typos, </w:t>
            </w:r>
            <w:r w:rsidRPr="00AF73CE">
              <w:rPr>
                <w:rFonts w:ascii="Arial" w:hAnsi="Arial" w:cs="Arial"/>
                <w:sz w:val="24"/>
                <w:szCs w:val="24"/>
              </w:rPr>
              <w:t>some dates are incorrect</w:t>
            </w:r>
            <w:r w:rsidR="003545D5" w:rsidRPr="00AF73CE">
              <w:rPr>
                <w:rFonts w:ascii="Arial" w:hAnsi="Arial" w:cs="Arial"/>
                <w:sz w:val="24"/>
                <w:szCs w:val="24"/>
              </w:rPr>
              <w:t>/repetition</w:t>
            </w:r>
            <w:r w:rsidRPr="00AF73CE">
              <w:rPr>
                <w:rFonts w:ascii="Arial" w:hAnsi="Arial" w:cs="Arial"/>
                <w:sz w:val="24"/>
                <w:szCs w:val="24"/>
              </w:rPr>
              <w:t>, and some pages that have a signature space are not signed.</w:t>
            </w:r>
            <w:r w:rsidRPr="00AF73CE">
              <w:rPr>
                <w:rStyle w:val="FootnoteReference"/>
                <w:rFonts w:ascii="Arial" w:hAnsi="Arial" w:cs="Arial"/>
                <w:sz w:val="24"/>
                <w:szCs w:val="24"/>
              </w:rPr>
              <w:footnoteReference w:id="4"/>
            </w:r>
          </w:p>
          <w:p w:rsidR="0041523B" w:rsidRPr="00AF73CE" w:rsidRDefault="0041523B" w:rsidP="0041523B">
            <w:pPr>
              <w:pStyle w:val="ListParagraph"/>
              <w:spacing w:line="360" w:lineRule="auto"/>
              <w:ind w:right="411"/>
              <w:jc w:val="both"/>
              <w:rPr>
                <w:rFonts w:ascii="Arial" w:hAnsi="Arial" w:cs="Arial"/>
                <w:sz w:val="24"/>
                <w:szCs w:val="24"/>
              </w:rPr>
            </w:pPr>
          </w:p>
          <w:p w:rsidR="003D20CB" w:rsidRPr="00AF73CE" w:rsidRDefault="00B76264" w:rsidP="00AF73CE">
            <w:pPr>
              <w:pStyle w:val="ListParagraph"/>
              <w:numPr>
                <w:ilvl w:val="0"/>
                <w:numId w:val="7"/>
              </w:numPr>
              <w:tabs>
                <w:tab w:val="left" w:pos="879"/>
                <w:tab w:val="left" w:pos="1286"/>
              </w:tabs>
              <w:spacing w:line="360" w:lineRule="auto"/>
              <w:ind w:right="411"/>
              <w:jc w:val="both"/>
              <w:rPr>
                <w:rFonts w:ascii="Arial" w:hAnsi="Arial" w:cs="Arial"/>
                <w:sz w:val="24"/>
                <w:szCs w:val="24"/>
              </w:rPr>
            </w:pPr>
            <w:r w:rsidRPr="00AF73CE">
              <w:rPr>
                <w:rFonts w:ascii="Arial" w:hAnsi="Arial" w:cs="Arial"/>
                <w:sz w:val="24"/>
                <w:szCs w:val="24"/>
              </w:rPr>
              <w:t>The second question</w:t>
            </w:r>
            <w:r w:rsidR="007B71C7" w:rsidRPr="00AF73CE">
              <w:rPr>
                <w:rFonts w:ascii="Arial" w:hAnsi="Arial" w:cs="Arial"/>
                <w:sz w:val="24"/>
                <w:szCs w:val="24"/>
              </w:rPr>
              <w:t xml:space="preserve"> </w:t>
            </w:r>
            <w:r w:rsidR="00CF2EF9" w:rsidRPr="00AF73CE">
              <w:rPr>
                <w:rFonts w:ascii="Arial" w:hAnsi="Arial" w:cs="Arial"/>
                <w:sz w:val="24"/>
                <w:szCs w:val="24"/>
              </w:rPr>
              <w:t xml:space="preserve">I </w:t>
            </w:r>
            <w:r w:rsidR="007B71C7" w:rsidRPr="00AF73CE">
              <w:rPr>
                <w:rFonts w:ascii="Arial" w:hAnsi="Arial" w:cs="Arial"/>
                <w:sz w:val="24"/>
                <w:szCs w:val="24"/>
              </w:rPr>
              <w:t>posed to the learned magistrate</w:t>
            </w:r>
            <w:r w:rsidRPr="00AF73CE">
              <w:rPr>
                <w:rFonts w:ascii="Arial" w:hAnsi="Arial" w:cs="Arial"/>
                <w:sz w:val="24"/>
                <w:szCs w:val="24"/>
              </w:rPr>
              <w:t xml:space="preserve"> is in relation to the principle that in order to invoke the doctrine of recent possession</w:t>
            </w:r>
            <w:r w:rsidR="00342BB6" w:rsidRPr="00AF73CE">
              <w:rPr>
                <w:rFonts w:ascii="Arial" w:hAnsi="Arial" w:cs="Arial"/>
                <w:sz w:val="24"/>
                <w:szCs w:val="24"/>
              </w:rPr>
              <w:t xml:space="preserve"> for purposes of convicting </w:t>
            </w:r>
            <w:r w:rsidR="00DF535E" w:rsidRPr="00AF73CE">
              <w:rPr>
                <w:rFonts w:ascii="Arial" w:hAnsi="Arial" w:cs="Arial"/>
                <w:sz w:val="24"/>
                <w:szCs w:val="24"/>
              </w:rPr>
              <w:t>on the predicate offence (house</w:t>
            </w:r>
            <w:r w:rsidR="00342BB6" w:rsidRPr="00AF73CE">
              <w:rPr>
                <w:rFonts w:ascii="Arial" w:hAnsi="Arial" w:cs="Arial"/>
                <w:sz w:val="24"/>
                <w:szCs w:val="24"/>
              </w:rPr>
              <w:t>breaking with intent to steal and theft)</w:t>
            </w:r>
            <w:r w:rsidR="00C015A2" w:rsidRPr="00AF73CE">
              <w:rPr>
                <w:rFonts w:ascii="Arial" w:hAnsi="Arial" w:cs="Arial"/>
                <w:sz w:val="24"/>
                <w:szCs w:val="24"/>
              </w:rPr>
              <w:t>,</w:t>
            </w:r>
            <w:r w:rsidR="00342BB6" w:rsidRPr="00AF73CE">
              <w:rPr>
                <w:rFonts w:ascii="Arial" w:hAnsi="Arial" w:cs="Arial"/>
                <w:sz w:val="24"/>
                <w:szCs w:val="24"/>
              </w:rPr>
              <w:t xml:space="preserve"> the evidence must at least prove that the offence charged had been committed. </w:t>
            </w:r>
            <w:r w:rsidR="003D20CB" w:rsidRPr="00AF73CE">
              <w:rPr>
                <w:rFonts w:ascii="Arial" w:hAnsi="Arial" w:cs="Arial"/>
                <w:sz w:val="24"/>
                <w:szCs w:val="24"/>
              </w:rPr>
              <w:t>I asked the learned magistrate whether the offence of hou</w:t>
            </w:r>
            <w:r w:rsidR="003545D5" w:rsidRPr="00AF73CE">
              <w:rPr>
                <w:rFonts w:ascii="Arial" w:hAnsi="Arial" w:cs="Arial"/>
                <w:sz w:val="24"/>
                <w:szCs w:val="24"/>
              </w:rPr>
              <w:t xml:space="preserve">sebreaking and theft was proven </w:t>
            </w:r>
            <w:r w:rsidR="003D20CB" w:rsidRPr="00AF73CE">
              <w:rPr>
                <w:rFonts w:ascii="Arial" w:hAnsi="Arial" w:cs="Arial"/>
                <w:sz w:val="24"/>
                <w:szCs w:val="24"/>
              </w:rPr>
              <w:t>and whether the court was entitled to rely on the hearsay evidence of the arresting officer as far as it concerns a complaint made with the police by the complainant.</w:t>
            </w:r>
          </w:p>
          <w:p w:rsidR="003D20CB" w:rsidRPr="00AF73CE" w:rsidRDefault="003D20CB" w:rsidP="003D20CB">
            <w:pPr>
              <w:pStyle w:val="ListParagraph"/>
              <w:rPr>
                <w:rFonts w:ascii="Arial" w:hAnsi="Arial" w:cs="Arial"/>
                <w:sz w:val="24"/>
                <w:szCs w:val="24"/>
              </w:rPr>
            </w:pPr>
          </w:p>
          <w:p w:rsidR="00CC4EFA" w:rsidRPr="00AF73CE" w:rsidRDefault="003D20CB" w:rsidP="00AF73CE">
            <w:pPr>
              <w:pStyle w:val="ListParagraph"/>
              <w:numPr>
                <w:ilvl w:val="0"/>
                <w:numId w:val="7"/>
              </w:numPr>
              <w:tabs>
                <w:tab w:val="left" w:pos="879"/>
                <w:tab w:val="left" w:pos="1286"/>
              </w:tabs>
              <w:spacing w:line="360" w:lineRule="auto"/>
              <w:ind w:right="411"/>
              <w:jc w:val="both"/>
              <w:rPr>
                <w:rFonts w:ascii="Arial" w:hAnsi="Arial" w:cs="Arial"/>
                <w:sz w:val="24"/>
                <w:szCs w:val="24"/>
              </w:rPr>
            </w:pPr>
            <w:r w:rsidRPr="00AF73CE">
              <w:rPr>
                <w:rFonts w:ascii="Arial" w:hAnsi="Arial" w:cs="Arial"/>
                <w:sz w:val="24"/>
                <w:szCs w:val="24"/>
              </w:rPr>
              <w:t>The learned magistrate in reply conceded that</w:t>
            </w:r>
            <w:r w:rsidR="0068259B" w:rsidRPr="00AF73CE">
              <w:rPr>
                <w:rFonts w:ascii="Arial" w:hAnsi="Arial" w:cs="Arial"/>
                <w:sz w:val="24"/>
                <w:szCs w:val="24"/>
              </w:rPr>
              <w:t xml:space="preserve"> the predicate offence of house</w:t>
            </w:r>
            <w:r w:rsidRPr="00AF73CE">
              <w:rPr>
                <w:rFonts w:ascii="Arial" w:hAnsi="Arial" w:cs="Arial"/>
                <w:sz w:val="24"/>
                <w:szCs w:val="24"/>
              </w:rPr>
              <w:t>breaking with intent to steal and theft was not proven, and that the state witness only informed the court that he found the accused in possession of a generator which was matching the description of one of the items in another case opened.</w:t>
            </w:r>
          </w:p>
          <w:p w:rsidR="00C53E62" w:rsidRPr="00AF73CE" w:rsidRDefault="00C53E62" w:rsidP="00C53E62">
            <w:pPr>
              <w:pStyle w:val="ListParagraph"/>
              <w:rPr>
                <w:rFonts w:ascii="Arial" w:hAnsi="Arial" w:cs="Arial"/>
                <w:sz w:val="24"/>
                <w:szCs w:val="24"/>
              </w:rPr>
            </w:pPr>
          </w:p>
          <w:p w:rsidR="00C53E62" w:rsidRPr="00AF73CE" w:rsidRDefault="00C53E62" w:rsidP="00AF73CE">
            <w:pPr>
              <w:pStyle w:val="ListParagraph"/>
              <w:numPr>
                <w:ilvl w:val="0"/>
                <w:numId w:val="7"/>
              </w:numPr>
              <w:tabs>
                <w:tab w:val="left" w:pos="879"/>
                <w:tab w:val="left" w:pos="1286"/>
              </w:tabs>
              <w:spacing w:line="360" w:lineRule="auto"/>
              <w:ind w:right="411"/>
              <w:jc w:val="both"/>
              <w:rPr>
                <w:rFonts w:ascii="Arial" w:hAnsi="Arial" w:cs="Arial"/>
                <w:sz w:val="24"/>
                <w:szCs w:val="24"/>
              </w:rPr>
            </w:pPr>
            <w:r w:rsidRPr="00AF73CE">
              <w:rPr>
                <w:rFonts w:ascii="Arial" w:hAnsi="Arial" w:cs="Arial"/>
                <w:sz w:val="24"/>
                <w:szCs w:val="24"/>
              </w:rPr>
              <w:t>The state called on</w:t>
            </w:r>
            <w:r w:rsidR="003545D5" w:rsidRPr="00AF73CE">
              <w:rPr>
                <w:rFonts w:ascii="Arial" w:hAnsi="Arial" w:cs="Arial"/>
                <w:sz w:val="24"/>
                <w:szCs w:val="24"/>
              </w:rPr>
              <w:t>e</w:t>
            </w:r>
            <w:r w:rsidRPr="00AF73CE">
              <w:rPr>
                <w:rFonts w:ascii="Arial" w:hAnsi="Arial" w:cs="Arial"/>
                <w:sz w:val="24"/>
                <w:szCs w:val="24"/>
              </w:rPr>
              <w:t xml:space="preserve"> witness only, the arresting officer who could only testify about the events that led to the arrest of the accused person. The remaining portion of his test</w:t>
            </w:r>
            <w:r w:rsidR="00DF535E" w:rsidRPr="00AF73CE">
              <w:rPr>
                <w:rFonts w:ascii="Arial" w:hAnsi="Arial" w:cs="Arial"/>
                <w:sz w:val="24"/>
                <w:szCs w:val="24"/>
              </w:rPr>
              <w:t>imony concerning the house</w:t>
            </w:r>
            <w:r w:rsidRPr="00AF73CE">
              <w:rPr>
                <w:rFonts w:ascii="Arial" w:hAnsi="Arial" w:cs="Arial"/>
                <w:sz w:val="24"/>
                <w:szCs w:val="24"/>
              </w:rPr>
              <w:t xml:space="preserve">breaking and theft remains hearsay evidence. In his closing arguments, the accused correctly argued that he expected the complainant in the case to testify because no one saw him breaking into the house and that no evidence was put before court that a house was broken into. He further added that he does not know that an item bought in the street can have a receipt. </w:t>
            </w:r>
          </w:p>
          <w:p w:rsidR="004401F4" w:rsidRPr="00AF73CE" w:rsidRDefault="004401F4" w:rsidP="004401F4">
            <w:pPr>
              <w:pStyle w:val="ListParagraph"/>
              <w:rPr>
                <w:rFonts w:ascii="Arial" w:hAnsi="Arial" w:cs="Arial"/>
                <w:sz w:val="24"/>
                <w:szCs w:val="24"/>
              </w:rPr>
            </w:pPr>
          </w:p>
          <w:p w:rsidR="004401F4" w:rsidRPr="00AF73CE" w:rsidRDefault="004401F4" w:rsidP="004401F4">
            <w:pPr>
              <w:pStyle w:val="ListParagraph"/>
              <w:spacing w:after="160" w:line="360" w:lineRule="auto"/>
              <w:ind w:right="411"/>
              <w:jc w:val="both"/>
              <w:rPr>
                <w:rFonts w:ascii="Arial" w:hAnsi="Arial" w:cs="Arial"/>
                <w:sz w:val="24"/>
                <w:szCs w:val="24"/>
              </w:rPr>
            </w:pPr>
          </w:p>
          <w:p w:rsidR="00CC4EFA" w:rsidRPr="00AF73CE" w:rsidRDefault="00CC4EFA" w:rsidP="00CC4EFA">
            <w:pPr>
              <w:pStyle w:val="ListParagraph"/>
              <w:rPr>
                <w:rFonts w:ascii="Arial" w:hAnsi="Arial" w:cs="Arial"/>
                <w:sz w:val="24"/>
                <w:szCs w:val="24"/>
              </w:rPr>
            </w:pPr>
          </w:p>
          <w:p w:rsidR="00CC4EFA" w:rsidRPr="00AF73CE" w:rsidRDefault="00CC4EFA" w:rsidP="00AF73CE">
            <w:pPr>
              <w:pStyle w:val="ListParagraph"/>
              <w:numPr>
                <w:ilvl w:val="0"/>
                <w:numId w:val="7"/>
              </w:numPr>
              <w:tabs>
                <w:tab w:val="left" w:pos="879"/>
                <w:tab w:val="left" w:pos="1286"/>
              </w:tabs>
              <w:spacing w:line="360" w:lineRule="auto"/>
              <w:ind w:right="411"/>
              <w:jc w:val="both"/>
              <w:rPr>
                <w:rFonts w:ascii="Arial" w:hAnsi="Arial" w:cs="Arial"/>
                <w:sz w:val="24"/>
                <w:szCs w:val="24"/>
              </w:rPr>
            </w:pPr>
            <w:r w:rsidRPr="00AF73CE">
              <w:rPr>
                <w:rFonts w:ascii="Arial" w:hAnsi="Arial" w:cs="Arial"/>
                <w:sz w:val="24"/>
                <w:szCs w:val="24"/>
              </w:rPr>
              <w:lastRenderedPageBreak/>
              <w:t xml:space="preserve">In relation to the doctrine of recent possession, the court held in </w:t>
            </w:r>
            <w:r w:rsidRPr="00AF73CE">
              <w:rPr>
                <w:rFonts w:ascii="Arial" w:hAnsi="Arial" w:cs="Arial"/>
                <w:i/>
                <w:sz w:val="24"/>
                <w:szCs w:val="24"/>
                <w:lang w:val="en-US"/>
              </w:rPr>
              <w:t>Shekunangela v S</w:t>
            </w:r>
            <w:r w:rsidRPr="00AF73CE">
              <w:rPr>
                <w:rStyle w:val="FootnoteReference"/>
                <w:rFonts w:ascii="Arial" w:hAnsi="Arial" w:cs="Arial"/>
                <w:i/>
                <w:sz w:val="24"/>
                <w:szCs w:val="24"/>
                <w:lang w:val="en-US"/>
              </w:rPr>
              <w:footnoteReference w:id="5"/>
            </w:r>
            <w:r w:rsidRPr="00AF73CE">
              <w:rPr>
                <w:rFonts w:ascii="Arial" w:hAnsi="Arial" w:cs="Arial"/>
                <w:i/>
                <w:sz w:val="24"/>
                <w:szCs w:val="24"/>
                <w:lang w:val="en-US"/>
              </w:rPr>
              <w:t xml:space="preserve"> </w:t>
            </w:r>
            <w:r w:rsidRPr="00AF73CE">
              <w:rPr>
                <w:rFonts w:ascii="Arial" w:hAnsi="Arial" w:cs="Arial"/>
                <w:sz w:val="24"/>
                <w:szCs w:val="24"/>
                <w:lang w:val="en-US"/>
              </w:rPr>
              <w:t>that</w:t>
            </w:r>
            <w:r w:rsidRPr="00AF73CE">
              <w:rPr>
                <w:rFonts w:ascii="Arial" w:hAnsi="Arial" w:cs="Arial"/>
                <w:i/>
                <w:sz w:val="24"/>
                <w:szCs w:val="24"/>
                <w:lang w:val="en-US"/>
              </w:rPr>
              <w:t xml:space="preserve"> </w:t>
            </w:r>
            <w:r w:rsidR="00CF2EF9" w:rsidRPr="00AF73CE">
              <w:rPr>
                <w:rFonts w:ascii="Arial" w:hAnsi="Arial" w:cs="Arial"/>
                <w:i/>
                <w:sz w:val="24"/>
                <w:szCs w:val="24"/>
                <w:lang w:val="en-US"/>
              </w:rPr>
              <w:t>‘</w:t>
            </w:r>
            <w:r w:rsidRPr="00AF73CE">
              <w:rPr>
                <w:rFonts w:ascii="Arial" w:hAnsi="Arial" w:cs="Arial"/>
                <w:sz w:val="24"/>
                <w:szCs w:val="24"/>
              </w:rPr>
              <w:t>w</w:t>
            </w:r>
            <w:r w:rsidRPr="00AF73CE">
              <w:rPr>
                <w:rFonts w:ascii="Arial" w:hAnsi="Arial" w:cs="Arial"/>
                <w:sz w:val="24"/>
                <w:szCs w:val="24"/>
                <w:lang w:val="en-US"/>
              </w:rPr>
              <w:t>here a person is found in possession of recently stolen goods and has failed to give any explanation which could reasonably be true, a court is entitled to infer that such person is the person who committed the offence of housebreaking with the intent to steal and theft.</w:t>
            </w:r>
            <w:r w:rsidR="00CF2EF9" w:rsidRPr="00AF73CE">
              <w:rPr>
                <w:rFonts w:ascii="Arial" w:hAnsi="Arial" w:cs="Arial"/>
                <w:sz w:val="24"/>
                <w:szCs w:val="24"/>
                <w:lang w:val="en-US"/>
              </w:rPr>
              <w:t xml:space="preserve">’ In the present case, the </w:t>
            </w:r>
            <w:r w:rsidR="00930DE1" w:rsidRPr="00AF73CE">
              <w:rPr>
                <w:rFonts w:ascii="Arial" w:hAnsi="Arial" w:cs="Arial"/>
                <w:sz w:val="24"/>
                <w:szCs w:val="24"/>
                <w:lang w:val="en-US"/>
              </w:rPr>
              <w:t xml:space="preserve">accused explained that he bought the generator from someone else, but the </w:t>
            </w:r>
            <w:r w:rsidR="00CF2EF9" w:rsidRPr="00AF73CE">
              <w:rPr>
                <w:rFonts w:ascii="Arial" w:hAnsi="Arial" w:cs="Arial"/>
                <w:sz w:val="24"/>
                <w:szCs w:val="24"/>
                <w:lang w:val="en-US"/>
              </w:rPr>
              <w:t>learned magistrate</w:t>
            </w:r>
            <w:r w:rsidR="00930DE1" w:rsidRPr="00AF73CE">
              <w:rPr>
                <w:rFonts w:ascii="Arial" w:hAnsi="Arial" w:cs="Arial"/>
                <w:sz w:val="24"/>
                <w:szCs w:val="24"/>
                <w:lang w:val="en-US"/>
              </w:rPr>
              <w:t xml:space="preserve"> rejected his version and</w:t>
            </w:r>
            <w:r w:rsidR="00CF2EF9" w:rsidRPr="00AF73CE">
              <w:rPr>
                <w:rFonts w:ascii="Arial" w:hAnsi="Arial" w:cs="Arial"/>
                <w:sz w:val="24"/>
                <w:szCs w:val="24"/>
                <w:lang w:val="en-US"/>
              </w:rPr>
              <w:t xml:space="preserve"> </w:t>
            </w:r>
            <w:r w:rsidR="00930DE1" w:rsidRPr="00AF73CE">
              <w:rPr>
                <w:rFonts w:ascii="Arial" w:hAnsi="Arial" w:cs="Arial"/>
                <w:sz w:val="24"/>
                <w:szCs w:val="24"/>
                <w:lang w:val="en-US"/>
              </w:rPr>
              <w:t>found that the accused failed to give a satisfactory account of where he obtained such a generator, thereby convicting</w:t>
            </w:r>
            <w:r w:rsidR="00DF535E" w:rsidRPr="00AF73CE">
              <w:rPr>
                <w:rFonts w:ascii="Arial" w:hAnsi="Arial" w:cs="Arial"/>
                <w:sz w:val="24"/>
                <w:szCs w:val="24"/>
                <w:lang w:val="en-US"/>
              </w:rPr>
              <w:t xml:space="preserve"> him of house</w:t>
            </w:r>
            <w:r w:rsidR="00930DE1" w:rsidRPr="00AF73CE">
              <w:rPr>
                <w:rFonts w:ascii="Arial" w:hAnsi="Arial" w:cs="Arial"/>
                <w:sz w:val="24"/>
                <w:szCs w:val="24"/>
                <w:lang w:val="en-US"/>
              </w:rPr>
              <w:t>breaking with intent to steal and theft, relying upon the doctrine of recent possession.</w:t>
            </w:r>
          </w:p>
          <w:p w:rsidR="00C53E62" w:rsidRPr="00AF73CE" w:rsidRDefault="00C53E62" w:rsidP="00C53E62">
            <w:pPr>
              <w:pStyle w:val="ListParagraph"/>
              <w:rPr>
                <w:rFonts w:ascii="Arial" w:hAnsi="Arial" w:cs="Arial"/>
                <w:sz w:val="24"/>
                <w:szCs w:val="24"/>
              </w:rPr>
            </w:pPr>
          </w:p>
          <w:p w:rsidR="00447ED7" w:rsidRPr="00AF73CE" w:rsidRDefault="00447ED7" w:rsidP="00447ED7">
            <w:pPr>
              <w:pStyle w:val="ListParagraph"/>
              <w:rPr>
                <w:rFonts w:ascii="Arial" w:hAnsi="Arial" w:cs="Arial"/>
                <w:sz w:val="24"/>
                <w:szCs w:val="24"/>
              </w:rPr>
            </w:pPr>
          </w:p>
          <w:p w:rsidR="00C53E62" w:rsidRPr="00AF73CE" w:rsidRDefault="00930DE1" w:rsidP="00AF73CE">
            <w:pPr>
              <w:pStyle w:val="ListParagraph"/>
              <w:numPr>
                <w:ilvl w:val="0"/>
                <w:numId w:val="7"/>
              </w:numPr>
              <w:tabs>
                <w:tab w:val="left" w:pos="879"/>
                <w:tab w:val="left" w:pos="1286"/>
              </w:tabs>
              <w:spacing w:line="360" w:lineRule="auto"/>
              <w:ind w:right="411"/>
              <w:jc w:val="both"/>
              <w:rPr>
                <w:rFonts w:ascii="Arial" w:hAnsi="Arial" w:cs="Arial"/>
                <w:sz w:val="24"/>
                <w:szCs w:val="24"/>
              </w:rPr>
            </w:pPr>
            <w:r w:rsidRPr="00AF73CE">
              <w:rPr>
                <w:rFonts w:ascii="Arial" w:hAnsi="Arial" w:cs="Arial"/>
                <w:sz w:val="24"/>
                <w:szCs w:val="24"/>
              </w:rPr>
              <w:t>Before he invoked the doctrine of recent possession for purposes of convicting the accused on the predicate offence of housebreaking with intent to steal and theft, the learned magistrate should ha</w:t>
            </w:r>
            <w:r w:rsidR="00DF535E" w:rsidRPr="00AF73CE">
              <w:rPr>
                <w:rFonts w:ascii="Arial" w:hAnsi="Arial" w:cs="Arial"/>
                <w:sz w:val="24"/>
                <w:szCs w:val="24"/>
              </w:rPr>
              <w:t>ve heard evidence on the  house</w:t>
            </w:r>
            <w:r w:rsidRPr="00AF73CE">
              <w:rPr>
                <w:rFonts w:ascii="Arial" w:hAnsi="Arial" w:cs="Arial"/>
                <w:sz w:val="24"/>
                <w:szCs w:val="24"/>
              </w:rPr>
              <w:t xml:space="preserve">breaking </w:t>
            </w:r>
            <w:r w:rsidR="00DF535E" w:rsidRPr="00AF73CE">
              <w:rPr>
                <w:rFonts w:ascii="Arial" w:hAnsi="Arial" w:cs="Arial"/>
                <w:sz w:val="24"/>
                <w:szCs w:val="24"/>
              </w:rPr>
              <w:t>and theft charge</w:t>
            </w:r>
            <w:r w:rsidR="00C53E62" w:rsidRPr="00AF73CE">
              <w:rPr>
                <w:rFonts w:ascii="Arial" w:hAnsi="Arial" w:cs="Arial"/>
                <w:sz w:val="24"/>
                <w:szCs w:val="24"/>
              </w:rPr>
              <w:t xml:space="preserve"> and make a determination </w:t>
            </w:r>
            <w:r w:rsidR="00DF535E" w:rsidRPr="00AF73CE">
              <w:rPr>
                <w:rFonts w:ascii="Arial" w:hAnsi="Arial" w:cs="Arial"/>
                <w:sz w:val="24"/>
                <w:szCs w:val="24"/>
              </w:rPr>
              <w:t>on whether the offence of house</w:t>
            </w:r>
            <w:r w:rsidR="00C53E62" w:rsidRPr="00AF73CE">
              <w:rPr>
                <w:rFonts w:ascii="Arial" w:hAnsi="Arial" w:cs="Arial"/>
                <w:sz w:val="24"/>
                <w:szCs w:val="24"/>
              </w:rPr>
              <w:t>breaking with intent to</w:t>
            </w:r>
            <w:r w:rsidR="00651B3A" w:rsidRPr="00AF73CE">
              <w:rPr>
                <w:rFonts w:ascii="Arial" w:hAnsi="Arial" w:cs="Arial"/>
                <w:sz w:val="24"/>
                <w:szCs w:val="24"/>
              </w:rPr>
              <w:t xml:space="preserve"> steal and theft has been proven</w:t>
            </w:r>
            <w:r w:rsidR="00C53E62" w:rsidRPr="00AF73CE">
              <w:rPr>
                <w:rFonts w:ascii="Arial" w:hAnsi="Arial" w:cs="Arial"/>
                <w:sz w:val="24"/>
                <w:szCs w:val="24"/>
              </w:rPr>
              <w:t>. Failure to do so am</w:t>
            </w:r>
            <w:r w:rsidR="00DF535E" w:rsidRPr="00AF73CE">
              <w:rPr>
                <w:rFonts w:ascii="Arial" w:hAnsi="Arial" w:cs="Arial"/>
                <w:sz w:val="24"/>
                <w:szCs w:val="24"/>
              </w:rPr>
              <w:t>ounts to a misdirection</w:t>
            </w:r>
            <w:r w:rsidR="00C53E62" w:rsidRPr="00AF73CE">
              <w:rPr>
                <w:rFonts w:ascii="Arial" w:hAnsi="Arial" w:cs="Arial"/>
                <w:sz w:val="24"/>
                <w:szCs w:val="24"/>
              </w:rPr>
              <w:t>, which warrants the conviction and the se</w:t>
            </w:r>
            <w:r w:rsidR="00DF535E" w:rsidRPr="00AF73CE">
              <w:rPr>
                <w:rFonts w:ascii="Arial" w:hAnsi="Arial" w:cs="Arial"/>
                <w:sz w:val="24"/>
                <w:szCs w:val="24"/>
              </w:rPr>
              <w:t>ntence imposed to be set aside.</w:t>
            </w:r>
          </w:p>
          <w:p w:rsidR="00DF535E" w:rsidRPr="00AF73CE" w:rsidRDefault="00DF535E" w:rsidP="00DF535E">
            <w:pPr>
              <w:pStyle w:val="ListParagraph"/>
              <w:spacing w:line="360" w:lineRule="auto"/>
              <w:ind w:right="411"/>
              <w:jc w:val="both"/>
              <w:rPr>
                <w:rFonts w:ascii="Arial" w:hAnsi="Arial" w:cs="Arial"/>
                <w:sz w:val="24"/>
                <w:szCs w:val="24"/>
              </w:rPr>
            </w:pPr>
          </w:p>
          <w:p w:rsidR="00C53E62" w:rsidRPr="00AF73CE" w:rsidRDefault="00C53E62" w:rsidP="00AF73CE">
            <w:pPr>
              <w:pStyle w:val="ListParagraph"/>
              <w:numPr>
                <w:ilvl w:val="0"/>
                <w:numId w:val="7"/>
              </w:numPr>
              <w:tabs>
                <w:tab w:val="left" w:pos="879"/>
                <w:tab w:val="left" w:pos="1286"/>
              </w:tabs>
              <w:spacing w:line="360" w:lineRule="auto"/>
              <w:ind w:right="411"/>
              <w:jc w:val="both"/>
              <w:rPr>
                <w:rFonts w:ascii="Arial" w:hAnsi="Arial" w:cs="Arial"/>
                <w:sz w:val="24"/>
                <w:szCs w:val="24"/>
              </w:rPr>
            </w:pPr>
            <w:r w:rsidRPr="00AF73CE">
              <w:rPr>
                <w:rFonts w:ascii="Arial" w:hAnsi="Arial" w:cs="Arial"/>
                <w:sz w:val="24"/>
                <w:szCs w:val="24"/>
              </w:rPr>
              <w:t>In the result, I make the following order</w:t>
            </w:r>
            <w:r w:rsidR="00935DCC" w:rsidRPr="00AF73CE">
              <w:rPr>
                <w:rFonts w:ascii="Arial" w:hAnsi="Arial" w:cs="Arial"/>
                <w:sz w:val="24"/>
                <w:szCs w:val="24"/>
              </w:rPr>
              <w:t>:</w:t>
            </w:r>
          </w:p>
          <w:p w:rsidR="00935DCC" w:rsidRPr="00AF73CE" w:rsidRDefault="00935DCC" w:rsidP="00935DCC">
            <w:pPr>
              <w:pStyle w:val="ListParagraph"/>
              <w:rPr>
                <w:rFonts w:ascii="Arial" w:hAnsi="Arial" w:cs="Arial"/>
                <w:sz w:val="24"/>
                <w:szCs w:val="24"/>
              </w:rPr>
            </w:pPr>
          </w:p>
          <w:p w:rsidR="00C56F35" w:rsidRPr="00AF73CE" w:rsidRDefault="00DF535E" w:rsidP="004401F4">
            <w:pPr>
              <w:pStyle w:val="AS-P1"/>
              <w:spacing w:line="360" w:lineRule="auto"/>
              <w:ind w:firstLine="0"/>
              <w:rPr>
                <w:rFonts w:ascii="Arial" w:hAnsi="Arial" w:cs="Arial"/>
                <w:noProof w:val="0"/>
                <w:sz w:val="24"/>
                <w:szCs w:val="24"/>
                <w:lang w:val="en-ZA"/>
              </w:rPr>
            </w:pPr>
            <w:r w:rsidRPr="00AF73CE">
              <w:rPr>
                <w:rFonts w:ascii="Arial" w:hAnsi="Arial" w:cs="Arial"/>
                <w:noProof w:val="0"/>
                <w:sz w:val="24"/>
                <w:szCs w:val="24"/>
                <w:lang w:val="en-ZA"/>
              </w:rPr>
              <w:t xml:space="preserve">                      The conviction and sentence are set aside.</w:t>
            </w:r>
          </w:p>
        </w:tc>
      </w:tr>
      <w:tr w:rsidR="00537FA1" w:rsidRPr="00AF73CE" w:rsidTr="00B668A6">
        <w:tc>
          <w:tcPr>
            <w:tcW w:w="4770" w:type="dxa"/>
          </w:tcPr>
          <w:p w:rsidR="00537FA1" w:rsidRPr="00AF73CE" w:rsidRDefault="00537FA1" w:rsidP="00537FA1">
            <w:pPr>
              <w:spacing w:line="360" w:lineRule="auto"/>
              <w:jc w:val="center"/>
              <w:rPr>
                <w:rFonts w:ascii="Arial" w:hAnsi="Arial" w:cs="Arial"/>
                <w:b/>
                <w:sz w:val="24"/>
                <w:szCs w:val="24"/>
              </w:rPr>
            </w:pPr>
          </w:p>
          <w:p w:rsidR="00C56F35" w:rsidRPr="00AF73CE" w:rsidRDefault="00C56F35" w:rsidP="004401F4">
            <w:pPr>
              <w:spacing w:line="360" w:lineRule="auto"/>
              <w:rPr>
                <w:rFonts w:ascii="Arial" w:hAnsi="Arial" w:cs="Arial"/>
                <w:b/>
                <w:sz w:val="24"/>
                <w:szCs w:val="24"/>
              </w:rPr>
            </w:pPr>
          </w:p>
          <w:p w:rsidR="004401F4" w:rsidRPr="00AF73CE" w:rsidRDefault="004401F4" w:rsidP="004401F4">
            <w:pPr>
              <w:spacing w:line="360" w:lineRule="auto"/>
              <w:rPr>
                <w:rFonts w:ascii="Arial" w:hAnsi="Arial" w:cs="Arial"/>
                <w:b/>
                <w:sz w:val="24"/>
                <w:szCs w:val="24"/>
              </w:rPr>
            </w:pPr>
          </w:p>
        </w:tc>
        <w:tc>
          <w:tcPr>
            <w:tcW w:w="4950" w:type="dxa"/>
            <w:gridSpan w:val="2"/>
          </w:tcPr>
          <w:p w:rsidR="00537FA1" w:rsidRPr="00AF73CE" w:rsidRDefault="00537FA1" w:rsidP="00537FA1">
            <w:pPr>
              <w:spacing w:line="360" w:lineRule="auto"/>
              <w:jc w:val="center"/>
              <w:rPr>
                <w:rFonts w:ascii="Arial" w:hAnsi="Arial" w:cs="Arial"/>
                <w:b/>
                <w:sz w:val="24"/>
                <w:szCs w:val="24"/>
              </w:rPr>
            </w:pPr>
          </w:p>
          <w:p w:rsidR="00537FA1" w:rsidRPr="00AF73CE" w:rsidRDefault="00537FA1" w:rsidP="00537FA1">
            <w:pPr>
              <w:spacing w:line="360" w:lineRule="auto"/>
              <w:rPr>
                <w:rFonts w:ascii="Arial" w:hAnsi="Arial" w:cs="Arial"/>
                <w:b/>
                <w:sz w:val="24"/>
                <w:szCs w:val="24"/>
              </w:rPr>
            </w:pPr>
          </w:p>
        </w:tc>
      </w:tr>
      <w:tr w:rsidR="00537FA1" w:rsidRPr="00AF73CE" w:rsidTr="00B668A6">
        <w:trPr>
          <w:trHeight w:val="827"/>
        </w:trPr>
        <w:tc>
          <w:tcPr>
            <w:tcW w:w="4770" w:type="dxa"/>
          </w:tcPr>
          <w:p w:rsidR="00537FA1" w:rsidRPr="00AF73CE" w:rsidRDefault="00537FA1" w:rsidP="00537FA1">
            <w:pPr>
              <w:spacing w:line="360" w:lineRule="auto"/>
              <w:jc w:val="center"/>
              <w:rPr>
                <w:rFonts w:ascii="Arial" w:hAnsi="Arial" w:cs="Arial"/>
                <w:b/>
                <w:sz w:val="24"/>
                <w:szCs w:val="24"/>
              </w:rPr>
            </w:pPr>
            <w:r w:rsidRPr="00AF73CE">
              <w:rPr>
                <w:rFonts w:ascii="Arial" w:hAnsi="Arial" w:cs="Arial"/>
                <w:b/>
                <w:sz w:val="24"/>
                <w:szCs w:val="24"/>
              </w:rPr>
              <w:t>J C LIEBENBERG</w:t>
            </w:r>
          </w:p>
          <w:p w:rsidR="00537FA1" w:rsidRPr="00AF73CE" w:rsidRDefault="00537FA1" w:rsidP="00537FA1">
            <w:pPr>
              <w:spacing w:line="360" w:lineRule="auto"/>
              <w:jc w:val="center"/>
              <w:rPr>
                <w:rFonts w:ascii="Arial" w:hAnsi="Arial" w:cs="Arial"/>
                <w:b/>
                <w:sz w:val="24"/>
                <w:szCs w:val="24"/>
              </w:rPr>
            </w:pPr>
            <w:r w:rsidRPr="00AF73CE">
              <w:rPr>
                <w:rFonts w:ascii="Arial" w:hAnsi="Arial" w:cs="Arial"/>
                <w:b/>
                <w:sz w:val="24"/>
                <w:szCs w:val="24"/>
              </w:rPr>
              <w:t>JUDGE</w:t>
            </w:r>
          </w:p>
        </w:tc>
        <w:tc>
          <w:tcPr>
            <w:tcW w:w="4950" w:type="dxa"/>
            <w:gridSpan w:val="2"/>
          </w:tcPr>
          <w:p w:rsidR="00537FA1" w:rsidRPr="00AF73CE" w:rsidRDefault="00025388" w:rsidP="00537FA1">
            <w:pPr>
              <w:spacing w:line="360" w:lineRule="auto"/>
              <w:jc w:val="center"/>
              <w:rPr>
                <w:rFonts w:ascii="Arial" w:hAnsi="Arial" w:cs="Arial"/>
                <w:b/>
                <w:sz w:val="24"/>
                <w:szCs w:val="24"/>
              </w:rPr>
            </w:pPr>
            <w:r w:rsidRPr="00AF73CE">
              <w:rPr>
                <w:rFonts w:ascii="Arial" w:hAnsi="Arial" w:cs="Arial"/>
                <w:b/>
                <w:sz w:val="24"/>
                <w:szCs w:val="24"/>
              </w:rPr>
              <w:t xml:space="preserve">PJ </w:t>
            </w:r>
            <w:r w:rsidR="00AF7AD4" w:rsidRPr="00AF73CE">
              <w:rPr>
                <w:rFonts w:ascii="Arial" w:hAnsi="Arial" w:cs="Arial"/>
                <w:b/>
                <w:sz w:val="24"/>
                <w:szCs w:val="24"/>
              </w:rPr>
              <w:t>MILLER</w:t>
            </w:r>
          </w:p>
          <w:p w:rsidR="00537FA1" w:rsidRPr="00AF73CE" w:rsidRDefault="00537FA1" w:rsidP="00537FA1">
            <w:pPr>
              <w:spacing w:line="360" w:lineRule="auto"/>
              <w:jc w:val="center"/>
              <w:rPr>
                <w:rFonts w:ascii="Arial" w:hAnsi="Arial" w:cs="Arial"/>
                <w:sz w:val="24"/>
                <w:szCs w:val="24"/>
              </w:rPr>
            </w:pPr>
            <w:r w:rsidRPr="00AF73CE">
              <w:rPr>
                <w:rFonts w:ascii="Arial" w:hAnsi="Arial" w:cs="Arial"/>
                <w:b/>
                <w:sz w:val="24"/>
                <w:szCs w:val="24"/>
              </w:rPr>
              <w:t xml:space="preserve"> </w:t>
            </w:r>
            <w:r w:rsidR="00025388" w:rsidRPr="00AF73CE">
              <w:rPr>
                <w:rFonts w:ascii="Arial" w:hAnsi="Arial" w:cs="Arial"/>
                <w:b/>
                <w:sz w:val="24"/>
                <w:szCs w:val="24"/>
              </w:rPr>
              <w:t xml:space="preserve">ACTING </w:t>
            </w:r>
            <w:r w:rsidRPr="00AF73CE">
              <w:rPr>
                <w:rFonts w:ascii="Arial" w:hAnsi="Arial" w:cs="Arial"/>
                <w:b/>
                <w:sz w:val="24"/>
                <w:szCs w:val="24"/>
              </w:rPr>
              <w:t>JUDGE</w:t>
            </w:r>
          </w:p>
        </w:tc>
      </w:tr>
    </w:tbl>
    <w:p w:rsidR="00AE7087" w:rsidRPr="00AF73CE" w:rsidRDefault="00AE7087" w:rsidP="00F001FC">
      <w:pPr>
        <w:tabs>
          <w:tab w:val="left" w:pos="945"/>
        </w:tabs>
        <w:rPr>
          <w:rFonts w:ascii="Arial" w:hAnsi="Arial" w:cs="Arial"/>
        </w:rPr>
      </w:pPr>
    </w:p>
    <w:sectPr w:rsidR="00AE7087" w:rsidRPr="00AF73CE" w:rsidSect="00D35DE6">
      <w:headerReference w:type="defaul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E11" w:rsidRDefault="00D93E11" w:rsidP="002A7C5A">
      <w:pPr>
        <w:spacing w:after="0" w:line="240" w:lineRule="auto"/>
      </w:pPr>
      <w:r>
        <w:separator/>
      </w:r>
    </w:p>
  </w:endnote>
  <w:endnote w:type="continuationSeparator" w:id="0">
    <w:p w:rsidR="00D93E11" w:rsidRDefault="00D93E11" w:rsidP="002A7C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E11" w:rsidRDefault="00D93E11" w:rsidP="002A7C5A">
      <w:pPr>
        <w:spacing w:after="0" w:line="240" w:lineRule="auto"/>
      </w:pPr>
      <w:r>
        <w:separator/>
      </w:r>
    </w:p>
  </w:footnote>
  <w:footnote w:type="continuationSeparator" w:id="0">
    <w:p w:rsidR="00D93E11" w:rsidRDefault="00D93E11" w:rsidP="002A7C5A">
      <w:pPr>
        <w:spacing w:after="0" w:line="240" w:lineRule="auto"/>
      </w:pPr>
      <w:r>
        <w:continuationSeparator/>
      </w:r>
    </w:p>
  </w:footnote>
  <w:footnote w:id="1">
    <w:p w:rsidR="00C53E62" w:rsidRPr="00AF73CE" w:rsidRDefault="00C53E62" w:rsidP="00CF2EF9">
      <w:pPr>
        <w:pStyle w:val="FootnoteText"/>
        <w:spacing w:line="276" w:lineRule="auto"/>
        <w:rPr>
          <w:rFonts w:ascii="Arial" w:hAnsi="Arial" w:cs="Arial"/>
        </w:rPr>
      </w:pPr>
      <w:r w:rsidRPr="00AF73CE">
        <w:rPr>
          <w:rStyle w:val="FootnoteReference"/>
          <w:rFonts w:ascii="Arial" w:hAnsi="Arial" w:cs="Arial"/>
        </w:rPr>
        <w:footnoteRef/>
      </w:r>
      <w:r w:rsidRPr="00AF73CE">
        <w:rPr>
          <w:rFonts w:ascii="Arial" w:hAnsi="Arial" w:cs="Arial"/>
        </w:rPr>
        <w:t xml:space="preserve"> </w:t>
      </w:r>
      <w:r w:rsidRPr="00AF73CE">
        <w:rPr>
          <w:rFonts w:ascii="Arial" w:hAnsi="Arial" w:cs="Arial"/>
          <w:i/>
        </w:rPr>
        <w:t xml:space="preserve">S v Lukas </w:t>
      </w:r>
      <w:r w:rsidRPr="00AF73CE">
        <w:rPr>
          <w:rFonts w:ascii="Arial" w:hAnsi="Arial" w:cs="Arial"/>
        </w:rPr>
        <w:t>(CR 64/2019)</w:t>
      </w:r>
      <w:r w:rsidRPr="00AF73CE">
        <w:rPr>
          <w:rFonts w:ascii="Arial" w:hAnsi="Arial" w:cs="Arial"/>
          <w:b/>
        </w:rPr>
        <w:t xml:space="preserve"> </w:t>
      </w:r>
      <w:r w:rsidRPr="00AF73CE">
        <w:rPr>
          <w:rFonts w:ascii="Arial" w:hAnsi="Arial" w:cs="Arial"/>
        </w:rPr>
        <w:t>[2019] NAHCMD 322 (5 September 2019)</w:t>
      </w:r>
    </w:p>
  </w:footnote>
  <w:footnote w:id="2">
    <w:p w:rsidR="00C53E62" w:rsidRPr="00AF73CE" w:rsidRDefault="00C53E62" w:rsidP="00CF2EF9">
      <w:pPr>
        <w:pStyle w:val="FootnoteText"/>
        <w:spacing w:line="276" w:lineRule="auto"/>
        <w:jc w:val="both"/>
        <w:rPr>
          <w:rFonts w:ascii="Arial" w:hAnsi="Arial" w:cs="Arial"/>
        </w:rPr>
      </w:pPr>
      <w:r w:rsidRPr="00AF73CE">
        <w:rPr>
          <w:rStyle w:val="FootnoteReference"/>
          <w:rFonts w:ascii="Arial" w:hAnsi="Arial" w:cs="Arial"/>
        </w:rPr>
        <w:footnoteRef/>
      </w:r>
      <w:r w:rsidRPr="00AF73CE">
        <w:rPr>
          <w:rFonts w:ascii="Arial" w:hAnsi="Arial" w:cs="Arial"/>
        </w:rPr>
        <w:t xml:space="preserve"> S v Lukas (CR 58/2008) [2008] NAHC 48 (3 June 2008) , para 3.</w:t>
      </w:r>
    </w:p>
  </w:footnote>
  <w:footnote w:id="3">
    <w:p w:rsidR="00C53E62" w:rsidRPr="00AF73CE" w:rsidRDefault="00C53E62" w:rsidP="00CF2EF9">
      <w:pPr>
        <w:pStyle w:val="FootnoteText"/>
        <w:spacing w:line="276" w:lineRule="auto"/>
        <w:jc w:val="both"/>
        <w:rPr>
          <w:rFonts w:ascii="Arial" w:hAnsi="Arial" w:cs="Arial"/>
        </w:rPr>
      </w:pPr>
      <w:r w:rsidRPr="00AF73CE">
        <w:rPr>
          <w:rStyle w:val="FootnoteReference"/>
          <w:rFonts w:ascii="Arial" w:hAnsi="Arial" w:cs="Arial"/>
        </w:rPr>
        <w:footnoteRef/>
      </w:r>
      <w:r w:rsidRPr="00AF73CE">
        <w:rPr>
          <w:rFonts w:ascii="Arial" w:hAnsi="Arial" w:cs="Arial"/>
        </w:rPr>
        <w:t xml:space="preserve"> </w:t>
      </w:r>
      <w:r w:rsidRPr="00AF73CE">
        <w:rPr>
          <w:rFonts w:ascii="Arial" w:hAnsi="Arial" w:cs="Arial"/>
          <w:i/>
        </w:rPr>
        <w:t>S v Vries</w:t>
      </w:r>
      <w:r w:rsidRPr="00AF73CE">
        <w:rPr>
          <w:rFonts w:ascii="Arial" w:hAnsi="Arial" w:cs="Arial"/>
        </w:rPr>
        <w:t xml:space="preserve"> (CR 33/2019) [2019] NAHCMD 107 </w:t>
      </w:r>
      <w:r w:rsidRPr="00AF73CE">
        <w:rPr>
          <w:rFonts w:ascii="Arial" w:hAnsi="Arial" w:cs="Arial"/>
          <w:lang w:val="en-GB"/>
        </w:rPr>
        <w:t>(17 April 2019), para 4.</w:t>
      </w:r>
    </w:p>
  </w:footnote>
  <w:footnote w:id="4">
    <w:p w:rsidR="00C53E62" w:rsidRPr="00AF73CE" w:rsidRDefault="00C53E62" w:rsidP="00CF2EF9">
      <w:pPr>
        <w:pStyle w:val="FootnoteText"/>
        <w:spacing w:line="276" w:lineRule="auto"/>
        <w:rPr>
          <w:rFonts w:ascii="Arial" w:hAnsi="Arial" w:cs="Arial"/>
        </w:rPr>
      </w:pPr>
      <w:r w:rsidRPr="00AF73CE">
        <w:rPr>
          <w:rStyle w:val="FootnoteReference"/>
          <w:rFonts w:ascii="Arial" w:hAnsi="Arial" w:cs="Arial"/>
        </w:rPr>
        <w:footnoteRef/>
      </w:r>
      <w:r w:rsidRPr="00AF73CE">
        <w:rPr>
          <w:rFonts w:ascii="Arial" w:hAnsi="Arial" w:cs="Arial"/>
        </w:rPr>
        <w:t xml:space="preserve"> See </w:t>
      </w:r>
      <w:r w:rsidRPr="00AF73CE">
        <w:rPr>
          <w:rFonts w:ascii="Arial" w:hAnsi="Arial" w:cs="Arial"/>
          <w:i/>
        </w:rPr>
        <w:t xml:space="preserve">S v Kamenye </w:t>
      </w:r>
      <w:r w:rsidRPr="00AF73CE">
        <w:rPr>
          <w:rFonts w:ascii="Arial" w:hAnsi="Arial" w:cs="Arial"/>
        </w:rPr>
        <w:t>(CR 9/2019) [2019] NAHCNLD 31 (26 March 2019).</w:t>
      </w:r>
    </w:p>
  </w:footnote>
  <w:footnote w:id="5">
    <w:p w:rsidR="00C53E62" w:rsidRPr="00AF73CE" w:rsidRDefault="00C53E62" w:rsidP="00CF2EF9">
      <w:pPr>
        <w:pStyle w:val="FootnoteText"/>
        <w:spacing w:line="276" w:lineRule="auto"/>
        <w:rPr>
          <w:rFonts w:ascii="Arial" w:hAnsi="Arial" w:cs="Arial"/>
        </w:rPr>
      </w:pPr>
      <w:r w:rsidRPr="00AF73CE">
        <w:rPr>
          <w:rStyle w:val="FootnoteReference"/>
          <w:rFonts w:ascii="Arial" w:hAnsi="Arial" w:cs="Arial"/>
        </w:rPr>
        <w:footnoteRef/>
      </w:r>
      <w:r w:rsidRPr="00AF73CE">
        <w:rPr>
          <w:rFonts w:ascii="Arial" w:hAnsi="Arial" w:cs="Arial"/>
        </w:rPr>
        <w:t xml:space="preserve"> </w:t>
      </w:r>
      <w:r w:rsidRPr="00AF73CE">
        <w:rPr>
          <w:rFonts w:ascii="Arial" w:hAnsi="Arial" w:cs="Arial"/>
          <w:i/>
        </w:rPr>
        <w:t xml:space="preserve">Shekunangela v S </w:t>
      </w:r>
      <w:r w:rsidRPr="00AF73CE">
        <w:rPr>
          <w:rFonts w:ascii="Arial" w:hAnsi="Arial" w:cs="Arial"/>
        </w:rPr>
        <w:t>(HC-NLD-CRI-APP-CAL-2018/00004) [2019] NAHCNLD 5 (24 January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054577"/>
      <w:docPartObj>
        <w:docPartGallery w:val="Page Numbers (Top of Page)"/>
        <w:docPartUnique/>
      </w:docPartObj>
    </w:sdtPr>
    <w:sdtEndPr>
      <w:rPr>
        <w:noProof/>
      </w:rPr>
    </w:sdtEndPr>
    <w:sdtContent>
      <w:p w:rsidR="00C53E62" w:rsidRDefault="00C53E62">
        <w:pPr>
          <w:pStyle w:val="Header"/>
          <w:jc w:val="right"/>
        </w:pPr>
        <w:r>
          <w:fldChar w:fldCharType="begin"/>
        </w:r>
        <w:r>
          <w:instrText xml:space="preserve"> PAGE   \* MERGEFORMAT </w:instrText>
        </w:r>
        <w:r>
          <w:fldChar w:fldCharType="separate"/>
        </w:r>
        <w:r w:rsidR="007219C7">
          <w:rPr>
            <w:noProof/>
          </w:rPr>
          <w:t>6</w:t>
        </w:r>
        <w:r>
          <w:rPr>
            <w:noProof/>
          </w:rPr>
          <w:fldChar w:fldCharType="end"/>
        </w:r>
      </w:p>
    </w:sdtContent>
  </w:sdt>
  <w:p w:rsidR="00C53E62" w:rsidRDefault="00C53E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9D0BE7"/>
    <w:multiLevelType w:val="hybridMultilevel"/>
    <w:tmpl w:val="18865382"/>
    <w:lvl w:ilvl="0" w:tplc="DCFC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8B4B79"/>
    <w:multiLevelType w:val="hybridMultilevel"/>
    <w:tmpl w:val="43FC8724"/>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37E86DF5"/>
    <w:multiLevelType w:val="hybridMultilevel"/>
    <w:tmpl w:val="3C0052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2B072E"/>
    <w:multiLevelType w:val="hybridMultilevel"/>
    <w:tmpl w:val="78781AFA"/>
    <w:lvl w:ilvl="0" w:tplc="F782019E">
      <w:start w:val="1"/>
      <w:numFmt w:val="decimal"/>
      <w:lvlText w:val="%1."/>
      <w:lvlJc w:val="left"/>
      <w:pPr>
        <w:ind w:left="1381" w:hanging="360"/>
      </w:pPr>
      <w:rPr>
        <w:rFonts w:hint="default"/>
      </w:rPr>
    </w:lvl>
    <w:lvl w:ilvl="1" w:tplc="1C090019" w:tentative="1">
      <w:start w:val="1"/>
      <w:numFmt w:val="lowerLetter"/>
      <w:lvlText w:val="%2."/>
      <w:lvlJc w:val="left"/>
      <w:pPr>
        <w:ind w:left="2101" w:hanging="360"/>
      </w:pPr>
    </w:lvl>
    <w:lvl w:ilvl="2" w:tplc="1C09001B" w:tentative="1">
      <w:start w:val="1"/>
      <w:numFmt w:val="lowerRoman"/>
      <w:lvlText w:val="%3."/>
      <w:lvlJc w:val="right"/>
      <w:pPr>
        <w:ind w:left="2821" w:hanging="180"/>
      </w:pPr>
    </w:lvl>
    <w:lvl w:ilvl="3" w:tplc="1C09000F" w:tentative="1">
      <w:start w:val="1"/>
      <w:numFmt w:val="decimal"/>
      <w:lvlText w:val="%4."/>
      <w:lvlJc w:val="left"/>
      <w:pPr>
        <w:ind w:left="3541" w:hanging="360"/>
      </w:pPr>
    </w:lvl>
    <w:lvl w:ilvl="4" w:tplc="1C090019" w:tentative="1">
      <w:start w:val="1"/>
      <w:numFmt w:val="lowerLetter"/>
      <w:lvlText w:val="%5."/>
      <w:lvlJc w:val="left"/>
      <w:pPr>
        <w:ind w:left="4261" w:hanging="360"/>
      </w:pPr>
    </w:lvl>
    <w:lvl w:ilvl="5" w:tplc="1C09001B" w:tentative="1">
      <w:start w:val="1"/>
      <w:numFmt w:val="lowerRoman"/>
      <w:lvlText w:val="%6."/>
      <w:lvlJc w:val="right"/>
      <w:pPr>
        <w:ind w:left="4981" w:hanging="180"/>
      </w:pPr>
    </w:lvl>
    <w:lvl w:ilvl="6" w:tplc="1C09000F" w:tentative="1">
      <w:start w:val="1"/>
      <w:numFmt w:val="decimal"/>
      <w:lvlText w:val="%7."/>
      <w:lvlJc w:val="left"/>
      <w:pPr>
        <w:ind w:left="5701" w:hanging="360"/>
      </w:pPr>
    </w:lvl>
    <w:lvl w:ilvl="7" w:tplc="1C090019" w:tentative="1">
      <w:start w:val="1"/>
      <w:numFmt w:val="lowerLetter"/>
      <w:lvlText w:val="%8."/>
      <w:lvlJc w:val="left"/>
      <w:pPr>
        <w:ind w:left="6421" w:hanging="360"/>
      </w:pPr>
    </w:lvl>
    <w:lvl w:ilvl="8" w:tplc="1C09001B" w:tentative="1">
      <w:start w:val="1"/>
      <w:numFmt w:val="lowerRoman"/>
      <w:lvlText w:val="%9."/>
      <w:lvlJc w:val="right"/>
      <w:pPr>
        <w:ind w:left="7141" w:hanging="180"/>
      </w:pPr>
    </w:lvl>
  </w:abstractNum>
  <w:abstractNum w:abstractNumId="4" w15:restartNumberingAfterBreak="0">
    <w:nsid w:val="406D4F66"/>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0B3581D"/>
    <w:multiLevelType w:val="hybridMultilevel"/>
    <w:tmpl w:val="35E6189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C73612"/>
    <w:multiLevelType w:val="hybridMultilevel"/>
    <w:tmpl w:val="213C3E5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D3123F8"/>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51FF62F9"/>
    <w:multiLevelType w:val="hybridMultilevel"/>
    <w:tmpl w:val="95160610"/>
    <w:lvl w:ilvl="0" w:tplc="8EC6DEA8">
      <w:start w:val="1"/>
      <w:numFmt w:val="lowerLetter"/>
      <w:lvlText w:val="(%1)"/>
      <w:lvlJc w:val="left"/>
      <w:pPr>
        <w:ind w:left="189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5ADF54D0"/>
    <w:multiLevelType w:val="hybridMultilevel"/>
    <w:tmpl w:val="B71E9AD4"/>
    <w:lvl w:ilvl="0" w:tplc="DCFC4B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F5C09A1"/>
    <w:multiLevelType w:val="hybridMultilevel"/>
    <w:tmpl w:val="F93C1D8E"/>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620B08B7"/>
    <w:multiLevelType w:val="hybridMultilevel"/>
    <w:tmpl w:val="15222BB2"/>
    <w:lvl w:ilvl="0" w:tplc="F782019E">
      <w:start w:val="1"/>
      <w:numFmt w:val="decimal"/>
      <w:lvlText w:val="%1."/>
      <w:lvlJc w:val="left"/>
      <w:pPr>
        <w:ind w:left="2261" w:hanging="360"/>
      </w:pPr>
      <w:rPr>
        <w:rFonts w:hint="default"/>
      </w:rPr>
    </w:lvl>
    <w:lvl w:ilvl="1" w:tplc="1C090019" w:tentative="1">
      <w:start w:val="1"/>
      <w:numFmt w:val="lowerLetter"/>
      <w:lvlText w:val="%2."/>
      <w:lvlJc w:val="left"/>
      <w:pPr>
        <w:ind w:left="2320" w:hanging="360"/>
      </w:pPr>
    </w:lvl>
    <w:lvl w:ilvl="2" w:tplc="1C09001B" w:tentative="1">
      <w:start w:val="1"/>
      <w:numFmt w:val="lowerRoman"/>
      <w:lvlText w:val="%3."/>
      <w:lvlJc w:val="right"/>
      <w:pPr>
        <w:ind w:left="3040" w:hanging="180"/>
      </w:pPr>
    </w:lvl>
    <w:lvl w:ilvl="3" w:tplc="1C09000F" w:tentative="1">
      <w:start w:val="1"/>
      <w:numFmt w:val="decimal"/>
      <w:lvlText w:val="%4."/>
      <w:lvlJc w:val="left"/>
      <w:pPr>
        <w:ind w:left="3760" w:hanging="360"/>
      </w:pPr>
    </w:lvl>
    <w:lvl w:ilvl="4" w:tplc="1C090019" w:tentative="1">
      <w:start w:val="1"/>
      <w:numFmt w:val="lowerLetter"/>
      <w:lvlText w:val="%5."/>
      <w:lvlJc w:val="left"/>
      <w:pPr>
        <w:ind w:left="4480" w:hanging="360"/>
      </w:pPr>
    </w:lvl>
    <w:lvl w:ilvl="5" w:tplc="1C09001B" w:tentative="1">
      <w:start w:val="1"/>
      <w:numFmt w:val="lowerRoman"/>
      <w:lvlText w:val="%6."/>
      <w:lvlJc w:val="right"/>
      <w:pPr>
        <w:ind w:left="5200" w:hanging="180"/>
      </w:pPr>
    </w:lvl>
    <w:lvl w:ilvl="6" w:tplc="1C09000F" w:tentative="1">
      <w:start w:val="1"/>
      <w:numFmt w:val="decimal"/>
      <w:lvlText w:val="%7."/>
      <w:lvlJc w:val="left"/>
      <w:pPr>
        <w:ind w:left="5920" w:hanging="360"/>
      </w:pPr>
    </w:lvl>
    <w:lvl w:ilvl="7" w:tplc="1C090019" w:tentative="1">
      <w:start w:val="1"/>
      <w:numFmt w:val="lowerLetter"/>
      <w:lvlText w:val="%8."/>
      <w:lvlJc w:val="left"/>
      <w:pPr>
        <w:ind w:left="6640" w:hanging="360"/>
      </w:pPr>
    </w:lvl>
    <w:lvl w:ilvl="8" w:tplc="1C09001B" w:tentative="1">
      <w:start w:val="1"/>
      <w:numFmt w:val="lowerRoman"/>
      <w:lvlText w:val="%9."/>
      <w:lvlJc w:val="right"/>
      <w:pPr>
        <w:ind w:left="7360" w:hanging="180"/>
      </w:pPr>
    </w:lvl>
  </w:abstractNum>
  <w:abstractNum w:abstractNumId="12" w15:restartNumberingAfterBreak="0">
    <w:nsid w:val="633A6FFB"/>
    <w:multiLevelType w:val="hybridMultilevel"/>
    <w:tmpl w:val="3D36C3D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3618C0"/>
    <w:multiLevelType w:val="hybridMultilevel"/>
    <w:tmpl w:val="CBD676A6"/>
    <w:lvl w:ilvl="0" w:tplc="F5624F12">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15:restartNumberingAfterBreak="0">
    <w:nsid w:val="6DC622DB"/>
    <w:multiLevelType w:val="hybridMultilevel"/>
    <w:tmpl w:val="DF08B98E"/>
    <w:lvl w:ilvl="0" w:tplc="1B6C614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9A6A37"/>
    <w:multiLevelType w:val="hybridMultilevel"/>
    <w:tmpl w:val="0F4EA6C6"/>
    <w:lvl w:ilvl="0" w:tplc="BDC2348A">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15:restartNumberingAfterBreak="0">
    <w:nsid w:val="7E136EE6"/>
    <w:multiLevelType w:val="hybridMultilevel"/>
    <w:tmpl w:val="9202C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8"/>
  </w:num>
  <w:num w:numId="3">
    <w:abstractNumId w:val="7"/>
  </w:num>
  <w:num w:numId="4">
    <w:abstractNumId w:val="14"/>
  </w:num>
  <w:num w:numId="5">
    <w:abstractNumId w:val="6"/>
  </w:num>
  <w:num w:numId="6">
    <w:abstractNumId w:val="4"/>
  </w:num>
  <w:num w:numId="7">
    <w:abstractNumId w:val="0"/>
  </w:num>
  <w:num w:numId="8">
    <w:abstractNumId w:val="10"/>
  </w:num>
  <w:num w:numId="9">
    <w:abstractNumId w:val="13"/>
  </w:num>
  <w:num w:numId="10">
    <w:abstractNumId w:val="3"/>
  </w:num>
  <w:num w:numId="11">
    <w:abstractNumId w:val="11"/>
  </w:num>
  <w:num w:numId="12">
    <w:abstractNumId w:val="15"/>
  </w:num>
  <w:num w:numId="13">
    <w:abstractNumId w:val="1"/>
  </w:num>
  <w:num w:numId="14">
    <w:abstractNumId w:val="2"/>
  </w:num>
  <w:num w:numId="15">
    <w:abstractNumId w:val="5"/>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087"/>
    <w:rsid w:val="00002046"/>
    <w:rsid w:val="00017717"/>
    <w:rsid w:val="00025388"/>
    <w:rsid w:val="000A4D36"/>
    <w:rsid w:val="000D0A84"/>
    <w:rsid w:val="000D0A9F"/>
    <w:rsid w:val="000F0278"/>
    <w:rsid w:val="000F1C25"/>
    <w:rsid w:val="00110F0C"/>
    <w:rsid w:val="00126C1B"/>
    <w:rsid w:val="00143BB9"/>
    <w:rsid w:val="00144488"/>
    <w:rsid w:val="001556A8"/>
    <w:rsid w:val="001621D1"/>
    <w:rsid w:val="00185C7D"/>
    <w:rsid w:val="001905B0"/>
    <w:rsid w:val="001907C2"/>
    <w:rsid w:val="001C0CF0"/>
    <w:rsid w:val="001C10EF"/>
    <w:rsid w:val="001C4A27"/>
    <w:rsid w:val="001C709F"/>
    <w:rsid w:val="0022611C"/>
    <w:rsid w:val="00250D8F"/>
    <w:rsid w:val="002601F6"/>
    <w:rsid w:val="002666B0"/>
    <w:rsid w:val="00281994"/>
    <w:rsid w:val="002A7C5A"/>
    <w:rsid w:val="002C3E72"/>
    <w:rsid w:val="002C65F8"/>
    <w:rsid w:val="002D0F7A"/>
    <w:rsid w:val="002D2B73"/>
    <w:rsid w:val="00341227"/>
    <w:rsid w:val="00342BB6"/>
    <w:rsid w:val="00343BA4"/>
    <w:rsid w:val="003545D5"/>
    <w:rsid w:val="003A2F0C"/>
    <w:rsid w:val="003C2D51"/>
    <w:rsid w:val="003D20CB"/>
    <w:rsid w:val="003F0A77"/>
    <w:rsid w:val="00410D1E"/>
    <w:rsid w:val="0041523B"/>
    <w:rsid w:val="00425316"/>
    <w:rsid w:val="004401F4"/>
    <w:rsid w:val="00442D03"/>
    <w:rsid w:val="004431E5"/>
    <w:rsid w:val="00447655"/>
    <w:rsid w:val="00447ED7"/>
    <w:rsid w:val="00460129"/>
    <w:rsid w:val="00482025"/>
    <w:rsid w:val="0049328E"/>
    <w:rsid w:val="00497A0E"/>
    <w:rsid w:val="004B6121"/>
    <w:rsid w:val="004C2B6F"/>
    <w:rsid w:val="004E5ECB"/>
    <w:rsid w:val="004F2732"/>
    <w:rsid w:val="004F2B08"/>
    <w:rsid w:val="00517265"/>
    <w:rsid w:val="00527948"/>
    <w:rsid w:val="00530484"/>
    <w:rsid w:val="00537FA1"/>
    <w:rsid w:val="005624E1"/>
    <w:rsid w:val="00566FDD"/>
    <w:rsid w:val="00595265"/>
    <w:rsid w:val="005E3A51"/>
    <w:rsid w:val="00603EA8"/>
    <w:rsid w:val="00645241"/>
    <w:rsid w:val="00651B3A"/>
    <w:rsid w:val="006678CF"/>
    <w:rsid w:val="0068259B"/>
    <w:rsid w:val="006A128C"/>
    <w:rsid w:val="006B24D9"/>
    <w:rsid w:val="006C0E42"/>
    <w:rsid w:val="006D0DE9"/>
    <w:rsid w:val="00707EC2"/>
    <w:rsid w:val="007219C7"/>
    <w:rsid w:val="0074784E"/>
    <w:rsid w:val="0075048D"/>
    <w:rsid w:val="007A40D0"/>
    <w:rsid w:val="007B71C7"/>
    <w:rsid w:val="007C0E6B"/>
    <w:rsid w:val="007C3392"/>
    <w:rsid w:val="007D1A23"/>
    <w:rsid w:val="007F6543"/>
    <w:rsid w:val="008009B2"/>
    <w:rsid w:val="008208A6"/>
    <w:rsid w:val="008231D2"/>
    <w:rsid w:val="008238AC"/>
    <w:rsid w:val="008303FF"/>
    <w:rsid w:val="00863EFC"/>
    <w:rsid w:val="008812DE"/>
    <w:rsid w:val="00885E6B"/>
    <w:rsid w:val="0089367F"/>
    <w:rsid w:val="008D384E"/>
    <w:rsid w:val="00901858"/>
    <w:rsid w:val="00930DE1"/>
    <w:rsid w:val="0093570A"/>
    <w:rsid w:val="00935DCC"/>
    <w:rsid w:val="00972C2D"/>
    <w:rsid w:val="00991E7E"/>
    <w:rsid w:val="00993F53"/>
    <w:rsid w:val="009A422D"/>
    <w:rsid w:val="00A33B72"/>
    <w:rsid w:val="00A35B55"/>
    <w:rsid w:val="00A47C67"/>
    <w:rsid w:val="00A71C33"/>
    <w:rsid w:val="00A73ED9"/>
    <w:rsid w:val="00A93FB8"/>
    <w:rsid w:val="00A94AE6"/>
    <w:rsid w:val="00AE30EF"/>
    <w:rsid w:val="00AE685C"/>
    <w:rsid w:val="00AE7087"/>
    <w:rsid w:val="00AF2E2B"/>
    <w:rsid w:val="00AF4F85"/>
    <w:rsid w:val="00AF73CE"/>
    <w:rsid w:val="00AF7AD4"/>
    <w:rsid w:val="00B13EE6"/>
    <w:rsid w:val="00B15B15"/>
    <w:rsid w:val="00B668A6"/>
    <w:rsid w:val="00B76264"/>
    <w:rsid w:val="00BD7975"/>
    <w:rsid w:val="00BF19D6"/>
    <w:rsid w:val="00C015A2"/>
    <w:rsid w:val="00C25B5F"/>
    <w:rsid w:val="00C262CA"/>
    <w:rsid w:val="00C319E7"/>
    <w:rsid w:val="00C51C46"/>
    <w:rsid w:val="00C53E62"/>
    <w:rsid w:val="00C54907"/>
    <w:rsid w:val="00C55A45"/>
    <w:rsid w:val="00C56F35"/>
    <w:rsid w:val="00C57430"/>
    <w:rsid w:val="00C64AD5"/>
    <w:rsid w:val="00C70A22"/>
    <w:rsid w:val="00C91EA5"/>
    <w:rsid w:val="00CC3204"/>
    <w:rsid w:val="00CC44D3"/>
    <w:rsid w:val="00CC4EFA"/>
    <w:rsid w:val="00CC52B1"/>
    <w:rsid w:val="00CF2EF9"/>
    <w:rsid w:val="00CF5AC6"/>
    <w:rsid w:val="00D3321A"/>
    <w:rsid w:val="00D35DE6"/>
    <w:rsid w:val="00D464C6"/>
    <w:rsid w:val="00D4699D"/>
    <w:rsid w:val="00D66AF3"/>
    <w:rsid w:val="00D70C45"/>
    <w:rsid w:val="00D87749"/>
    <w:rsid w:val="00D93E11"/>
    <w:rsid w:val="00D963C3"/>
    <w:rsid w:val="00D9681D"/>
    <w:rsid w:val="00DA51C9"/>
    <w:rsid w:val="00DC72C1"/>
    <w:rsid w:val="00DF4302"/>
    <w:rsid w:val="00DF535E"/>
    <w:rsid w:val="00E17C65"/>
    <w:rsid w:val="00E32057"/>
    <w:rsid w:val="00E3659D"/>
    <w:rsid w:val="00E45499"/>
    <w:rsid w:val="00E62BD7"/>
    <w:rsid w:val="00E67FA7"/>
    <w:rsid w:val="00EB0B8E"/>
    <w:rsid w:val="00EB5945"/>
    <w:rsid w:val="00EC0B9B"/>
    <w:rsid w:val="00EE3C68"/>
    <w:rsid w:val="00F001FC"/>
    <w:rsid w:val="00F0570B"/>
    <w:rsid w:val="00F124A0"/>
    <w:rsid w:val="00F225A6"/>
    <w:rsid w:val="00F31028"/>
    <w:rsid w:val="00F458CB"/>
    <w:rsid w:val="00F5587C"/>
    <w:rsid w:val="00F90551"/>
    <w:rsid w:val="00FA020F"/>
    <w:rsid w:val="00FA2D8A"/>
    <w:rsid w:val="00FB0757"/>
    <w:rsid w:val="00FC6227"/>
    <w:rsid w:val="00FC7A68"/>
    <w:rsid w:val="00FC7F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F85730-16FA-4E9F-B91B-58B8E55FD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70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E7087"/>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E7087"/>
    <w:pPr>
      <w:ind w:left="720"/>
      <w:contextualSpacing/>
    </w:pPr>
  </w:style>
  <w:style w:type="paragraph" w:styleId="FootnoteText">
    <w:name w:val="footnote text"/>
    <w:basedOn w:val="Normal"/>
    <w:link w:val="FootnoteTextChar"/>
    <w:uiPriority w:val="99"/>
    <w:semiHidden/>
    <w:unhideWhenUsed/>
    <w:rsid w:val="002A7C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7C5A"/>
    <w:rPr>
      <w:sz w:val="20"/>
      <w:szCs w:val="20"/>
    </w:rPr>
  </w:style>
  <w:style w:type="character" w:styleId="FootnoteReference">
    <w:name w:val="footnote reference"/>
    <w:basedOn w:val="DefaultParagraphFont"/>
    <w:uiPriority w:val="99"/>
    <w:unhideWhenUsed/>
    <w:rsid w:val="002A7C5A"/>
    <w:rPr>
      <w:vertAlign w:val="superscript"/>
    </w:rPr>
  </w:style>
  <w:style w:type="paragraph" w:styleId="BalloonText">
    <w:name w:val="Balloon Text"/>
    <w:basedOn w:val="Normal"/>
    <w:link w:val="BalloonTextChar"/>
    <w:uiPriority w:val="99"/>
    <w:semiHidden/>
    <w:unhideWhenUsed/>
    <w:rsid w:val="007D1A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1A23"/>
    <w:rPr>
      <w:rFonts w:ascii="Segoe UI" w:hAnsi="Segoe UI" w:cs="Segoe UI"/>
      <w:sz w:val="18"/>
      <w:szCs w:val="18"/>
    </w:rPr>
  </w:style>
  <w:style w:type="table" w:customStyle="1" w:styleId="TableGrid1">
    <w:name w:val="Table Grid1"/>
    <w:basedOn w:val="TableNormal"/>
    <w:next w:val="TableGrid"/>
    <w:uiPriority w:val="39"/>
    <w:rsid w:val="00537FA1"/>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35D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5DE6"/>
  </w:style>
  <w:style w:type="paragraph" w:styleId="Footer">
    <w:name w:val="footer"/>
    <w:basedOn w:val="Normal"/>
    <w:link w:val="FooterChar"/>
    <w:uiPriority w:val="99"/>
    <w:unhideWhenUsed/>
    <w:rsid w:val="00D35D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5DE6"/>
  </w:style>
  <w:style w:type="paragraph" w:customStyle="1" w:styleId="AS-P1">
    <w:name w:val="AS-P(1)"/>
    <w:basedOn w:val="Normal"/>
    <w:link w:val="AS-P1Char"/>
    <w:qFormat/>
    <w:rsid w:val="00901858"/>
    <w:pPr>
      <w:suppressAutoHyphens/>
      <w:spacing w:after="0" w:line="240" w:lineRule="auto"/>
      <w:ind w:right="-7" w:firstLine="567"/>
      <w:jc w:val="both"/>
    </w:pPr>
    <w:rPr>
      <w:rFonts w:ascii="Times New Roman" w:eastAsia="Times New Roman" w:hAnsi="Times New Roman" w:cs="Times New Roman"/>
      <w:noProof/>
      <w:lang w:val="en-GB" w:eastAsia="en-GB"/>
    </w:rPr>
  </w:style>
  <w:style w:type="character" w:customStyle="1" w:styleId="AS-P1Char">
    <w:name w:val="AS-P(1) Char"/>
    <w:basedOn w:val="DefaultParagraphFont"/>
    <w:link w:val="AS-P1"/>
    <w:rsid w:val="00901858"/>
    <w:rPr>
      <w:rFonts w:ascii="Times New Roman" w:eastAsia="Times New Roman" w:hAnsi="Times New Roman" w:cs="Times New Roman"/>
      <w:noProof/>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Year xmlns="a036617c-f1b0-4353-ab0a-456b3885ee3b">2021</Year>
    <Judgment_x0020_Date xmlns="17a0f4bd-1162-49ac-b85f-dfe96a90bc01">2021-01-20T18:30:00+00:00</Judgment_x0020_Dat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C8365068CBC8478E31237FDDD61E2C" ma:contentTypeVersion="7" ma:contentTypeDescription="Create a new document." ma:contentTypeScope="" ma:versionID="6b5952d0e56394e49a45fc528ca8780e">
  <xsd:schema xmlns:xsd="http://www.w3.org/2001/XMLSchema" xmlns:xs="http://www.w3.org/2001/XMLSchema" xmlns:p="http://schemas.microsoft.com/office/2006/metadata/properties" xmlns:ns2="17a0f4bd-1162-49ac-b85f-dfe96a90bc01" xmlns:ns3="a036617c-f1b0-4353-ab0a-456b3885ee3b" targetNamespace="http://schemas.microsoft.com/office/2006/metadata/properties" ma:root="true" ma:fieldsID="07d50c5d4be4c69378d9d50399736094" ns2:_="" ns3:_="">
    <xsd:import namespace="17a0f4bd-1162-49ac-b85f-dfe96a90bc01"/>
    <xsd:import namespace="a036617c-f1b0-4353-ab0a-456b3885ee3b"/>
    <xsd:element name="properties">
      <xsd:complexType>
        <xsd:sequence>
          <xsd:element name="documentManagement">
            <xsd:complexType>
              <xsd:all>
                <xsd:element ref="ns2:Judgment_x0020_Date"/>
                <xsd:element ref="ns3:Year"/>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a0f4bd-1162-49ac-b85f-dfe96a90bc01" elementFormDefault="qualified">
    <xsd:import namespace="http://schemas.microsoft.com/office/2006/documentManagement/types"/>
    <xsd:import namespace="http://schemas.microsoft.com/office/infopath/2007/PartnerControls"/>
    <xsd:element name="Judgment_x0020_Date" ma:index="8" ma:displayName="Judgment Date" ma:format="DateOnly" ma:internalName="Judgment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36617c-f1b0-4353-ab0a-456b3885ee3b" elementFormDefault="qualified">
    <xsd:import namespace="http://schemas.microsoft.com/office/2006/documentManagement/types"/>
    <xsd:import namespace="http://schemas.microsoft.com/office/infopath/2007/PartnerControls"/>
    <xsd:element name="Year" ma:index="12" ma:displayName="Year" ma:internalName="Yea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0A8E0-26B2-43EA-900D-C0B16D70D864}">
  <ds:schemaRefs>
    <ds:schemaRef ds:uri="http://schemas.microsoft.com/sharepoint/v3/contenttype/forms"/>
  </ds:schemaRefs>
</ds:datastoreItem>
</file>

<file path=customXml/itemProps2.xml><?xml version="1.0" encoding="utf-8"?>
<ds:datastoreItem xmlns:ds="http://schemas.openxmlformats.org/officeDocument/2006/customXml" ds:itemID="{6E1DD569-CB5A-4588-9128-0B9AF03710B6}">
  <ds:schemaRefs>
    <ds:schemaRef ds:uri="http://schemas.microsoft.com/office/2006/metadata/properties"/>
    <ds:schemaRef ds:uri="http://schemas.microsoft.com/office/infopath/2007/PartnerControls"/>
    <ds:schemaRef ds:uri="a036617c-f1b0-4353-ab0a-456b3885ee3b"/>
    <ds:schemaRef ds:uri="17a0f4bd-1162-49ac-b85f-dfe96a90bc01"/>
  </ds:schemaRefs>
</ds:datastoreItem>
</file>

<file path=customXml/itemProps3.xml><?xml version="1.0" encoding="utf-8"?>
<ds:datastoreItem xmlns:ds="http://schemas.openxmlformats.org/officeDocument/2006/customXml" ds:itemID="{7DD624AB-24EC-499A-832A-3417372529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a0f4bd-1162-49ac-b85f-dfe96a90bc01"/>
    <ds:schemaRef ds:uri="a036617c-f1b0-4353-ab0a-456b3885ee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F1C261A-3BEB-43C4-9219-254BA1BBA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1248</Words>
  <Characters>7117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Christie Liebenberg</dc:creator>
  <cp:lastModifiedBy>HOME</cp:lastModifiedBy>
  <cp:revision>2</cp:revision>
  <cp:lastPrinted>2021-01-21T06:52:00Z</cp:lastPrinted>
  <dcterms:created xsi:type="dcterms:W3CDTF">2021-07-14T11:36:00Z</dcterms:created>
  <dcterms:modified xsi:type="dcterms:W3CDTF">2021-07-14T11:36:00Z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0x01010032C8365068CBC8478E31237FDDD61E2C</vt:lpwstr>
  </property>
</Properties>
</file>