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A1" w:rsidRPr="00940B62" w:rsidRDefault="004842A1" w:rsidP="004842A1">
      <w:pPr>
        <w:spacing w:after="0" w:line="360" w:lineRule="auto"/>
        <w:rPr>
          <w:rFonts w:ascii="Arial" w:eastAsia="Times New Roman" w:hAnsi="Arial" w:cs="Arial"/>
          <w:color w:val="0D0D0D" w:themeColor="text1" w:themeTint="F2"/>
          <w:sz w:val="24"/>
          <w:szCs w:val="24"/>
          <w:lang w:val="en-GB"/>
        </w:rPr>
      </w:pPr>
      <w:bookmarkStart w:id="0" w:name="_GoBack"/>
      <w:bookmarkEnd w:id="0"/>
    </w:p>
    <w:p w:rsidR="004842A1" w:rsidRDefault="004842A1" w:rsidP="004842A1">
      <w:pPr>
        <w:spacing w:after="0" w:line="360" w:lineRule="auto"/>
        <w:jc w:val="center"/>
        <w:rPr>
          <w:rFonts w:ascii="Arial" w:eastAsia="Times New Roman" w:hAnsi="Arial" w:cs="Arial"/>
          <w:b/>
          <w:color w:val="0D0D0D" w:themeColor="text1" w:themeTint="F2"/>
          <w:sz w:val="24"/>
          <w:szCs w:val="24"/>
          <w:lang w:val="en-GB"/>
        </w:rPr>
      </w:pPr>
      <w:r w:rsidRPr="00E75AC7">
        <w:rPr>
          <w:rFonts w:ascii="Arial" w:eastAsia="Times New Roman" w:hAnsi="Arial" w:cs="Arial"/>
          <w:b/>
          <w:color w:val="0D0D0D" w:themeColor="text1" w:themeTint="F2"/>
          <w:sz w:val="24"/>
          <w:szCs w:val="24"/>
          <w:lang w:val="en-GB"/>
        </w:rPr>
        <w:t>REPUBLIC OF NAMIBIA</w:t>
      </w:r>
    </w:p>
    <w:p w:rsidR="004842A1" w:rsidRDefault="004842A1" w:rsidP="004842A1">
      <w:pPr>
        <w:spacing w:after="0" w:line="360" w:lineRule="auto"/>
        <w:jc w:val="center"/>
        <w:rPr>
          <w:rFonts w:ascii="Arial" w:eastAsia="Times New Roman" w:hAnsi="Arial" w:cs="Arial"/>
          <w:b/>
          <w:color w:val="0D0D0D" w:themeColor="text1" w:themeTint="F2"/>
          <w:sz w:val="24"/>
          <w:szCs w:val="24"/>
          <w:lang w:val="en-GB"/>
        </w:rPr>
      </w:pPr>
    </w:p>
    <w:p w:rsidR="004842A1" w:rsidRPr="00E75AC7" w:rsidRDefault="004842A1" w:rsidP="004842A1">
      <w:pPr>
        <w:spacing w:after="0" w:line="360" w:lineRule="auto"/>
        <w:jc w:val="center"/>
        <w:rPr>
          <w:rFonts w:ascii="Arial" w:eastAsia="Times New Roman" w:hAnsi="Arial" w:cs="Arial"/>
          <w:color w:val="0D0D0D" w:themeColor="text1" w:themeTint="F2"/>
          <w:sz w:val="24"/>
          <w:szCs w:val="24"/>
          <w:lang w:val="en-GB"/>
        </w:rPr>
      </w:pPr>
      <w:r w:rsidRPr="00E75AC7">
        <w:rPr>
          <w:rFonts w:ascii="Arial" w:eastAsia="Times New Roman" w:hAnsi="Arial" w:cs="Arial"/>
          <w:noProof/>
          <w:color w:val="0D0D0D" w:themeColor="text1" w:themeTint="F2"/>
          <w:sz w:val="24"/>
          <w:szCs w:val="24"/>
          <w:lang w:val="en-ZA" w:eastAsia="en-ZA"/>
        </w:rPr>
        <w:drawing>
          <wp:inline distT="0" distB="0" distL="0" distR="0" wp14:anchorId="0E9AB0BD" wp14:editId="5F7AF383">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4842A1" w:rsidRPr="00E75AC7" w:rsidRDefault="004842A1" w:rsidP="004842A1">
      <w:pPr>
        <w:spacing w:after="0" w:line="360" w:lineRule="auto"/>
        <w:jc w:val="center"/>
        <w:rPr>
          <w:rFonts w:ascii="Arial" w:eastAsia="Times New Roman" w:hAnsi="Arial" w:cs="Arial"/>
          <w:color w:val="0D0D0D" w:themeColor="text1" w:themeTint="F2"/>
          <w:sz w:val="24"/>
          <w:szCs w:val="24"/>
          <w:lang w:val="en-GB"/>
        </w:rPr>
      </w:pPr>
    </w:p>
    <w:p w:rsidR="004842A1" w:rsidRDefault="004842A1" w:rsidP="004842A1">
      <w:pPr>
        <w:spacing w:after="0" w:line="360" w:lineRule="auto"/>
        <w:jc w:val="center"/>
        <w:rPr>
          <w:rFonts w:ascii="Arial" w:eastAsia="Times New Roman" w:hAnsi="Arial" w:cs="Arial"/>
          <w:b/>
          <w:color w:val="0D0D0D" w:themeColor="text1" w:themeTint="F2"/>
          <w:sz w:val="24"/>
          <w:szCs w:val="24"/>
          <w:lang w:val="en-GB"/>
        </w:rPr>
      </w:pPr>
      <w:r w:rsidRPr="00E75AC7">
        <w:rPr>
          <w:rFonts w:ascii="Arial" w:eastAsia="Times New Roman" w:hAnsi="Arial" w:cs="Arial"/>
          <w:b/>
          <w:color w:val="0D0D0D" w:themeColor="text1" w:themeTint="F2"/>
          <w:sz w:val="24"/>
          <w:szCs w:val="24"/>
          <w:lang w:val="en-GB"/>
        </w:rPr>
        <w:t>IN THE HIGH COURT OF NAMIBIA, MAIN DIVISION, WINDHOEK</w:t>
      </w:r>
    </w:p>
    <w:p w:rsidR="004842A1" w:rsidRPr="00E75AC7" w:rsidRDefault="004842A1" w:rsidP="004842A1">
      <w:pPr>
        <w:spacing w:after="0" w:line="360" w:lineRule="auto"/>
        <w:jc w:val="center"/>
        <w:rPr>
          <w:rFonts w:ascii="Arial" w:eastAsia="Times New Roman" w:hAnsi="Arial" w:cs="Arial"/>
          <w:b/>
          <w:color w:val="0D0D0D" w:themeColor="text1" w:themeTint="F2"/>
          <w:sz w:val="24"/>
          <w:szCs w:val="24"/>
          <w:lang w:val="en-GB"/>
        </w:rPr>
      </w:pPr>
    </w:p>
    <w:p w:rsidR="004842A1" w:rsidRPr="00E75AC7" w:rsidRDefault="004842A1" w:rsidP="004842A1">
      <w:pPr>
        <w:spacing w:after="0" w:line="360" w:lineRule="auto"/>
        <w:jc w:val="center"/>
        <w:rPr>
          <w:rFonts w:ascii="Arial" w:eastAsia="Times New Roman" w:hAnsi="Arial" w:cs="Arial"/>
          <w:b/>
          <w:color w:val="0D0D0D" w:themeColor="text1" w:themeTint="F2"/>
          <w:sz w:val="24"/>
          <w:szCs w:val="24"/>
          <w:lang w:val="en-GB"/>
        </w:rPr>
      </w:pPr>
      <w:r>
        <w:rPr>
          <w:rFonts w:ascii="Arial" w:eastAsia="Times New Roman" w:hAnsi="Arial" w:cs="Arial"/>
          <w:b/>
          <w:color w:val="0D0D0D" w:themeColor="text1" w:themeTint="F2"/>
          <w:sz w:val="24"/>
          <w:szCs w:val="24"/>
          <w:lang w:val="en-GB"/>
        </w:rPr>
        <w:t xml:space="preserve">APPEAL </w:t>
      </w:r>
      <w:r w:rsidRPr="00E75AC7">
        <w:rPr>
          <w:rFonts w:ascii="Arial" w:eastAsia="Times New Roman" w:hAnsi="Arial" w:cs="Arial"/>
          <w:b/>
          <w:color w:val="0D0D0D" w:themeColor="text1" w:themeTint="F2"/>
          <w:sz w:val="24"/>
          <w:szCs w:val="24"/>
          <w:lang w:val="en-GB"/>
        </w:rPr>
        <w:t>JUDGMENT</w:t>
      </w:r>
    </w:p>
    <w:p w:rsidR="004842A1" w:rsidRPr="00F47618" w:rsidRDefault="004842A1" w:rsidP="004842A1">
      <w:pPr>
        <w:spacing w:after="0" w:line="360" w:lineRule="auto"/>
        <w:rPr>
          <w:rFonts w:ascii="Arial Narrow" w:hAnsi="Arial Narrow" w:cs="Arial"/>
          <w:color w:val="0D0D0D" w:themeColor="text1" w:themeTint="F2"/>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4842A1" w:rsidRPr="00F47618" w:rsidTr="00025A4E">
        <w:trPr>
          <w:trHeight w:val="744"/>
        </w:trPr>
        <w:tc>
          <w:tcPr>
            <w:tcW w:w="5397" w:type="dxa"/>
            <w:gridSpan w:val="2"/>
          </w:tcPr>
          <w:p w:rsidR="004842A1" w:rsidRPr="00EB7844" w:rsidRDefault="004842A1" w:rsidP="00025A4E">
            <w:pPr>
              <w:spacing w:line="360" w:lineRule="auto"/>
              <w:jc w:val="both"/>
              <w:rPr>
                <w:rFonts w:ascii="Arial Narrow" w:hAnsi="Arial Narrow" w:cs="Arial"/>
                <w:b/>
                <w:color w:val="0D0D0D" w:themeColor="text1" w:themeTint="F2"/>
                <w:sz w:val="24"/>
                <w:szCs w:val="24"/>
                <w:lang w:val="en-GB"/>
              </w:rPr>
            </w:pPr>
            <w:r w:rsidRPr="00EB7844">
              <w:rPr>
                <w:rFonts w:ascii="Arial Narrow" w:hAnsi="Arial Narrow" w:cs="Arial"/>
                <w:b/>
                <w:color w:val="0D0D0D" w:themeColor="text1" w:themeTint="F2"/>
                <w:sz w:val="24"/>
                <w:szCs w:val="24"/>
                <w:lang w:val="en-GB"/>
              </w:rPr>
              <w:t>Case Title:</w:t>
            </w:r>
          </w:p>
          <w:p w:rsidR="004842A1" w:rsidRPr="00EB7844" w:rsidRDefault="004842A1" w:rsidP="00025A4E">
            <w:pPr>
              <w:spacing w:line="360" w:lineRule="auto"/>
              <w:jc w:val="both"/>
              <w:rPr>
                <w:rFonts w:ascii="Arial Narrow" w:hAnsi="Arial Narrow" w:cs="Arial"/>
                <w:i/>
                <w:color w:val="0D0D0D" w:themeColor="text1" w:themeTint="F2"/>
                <w:sz w:val="24"/>
                <w:szCs w:val="24"/>
              </w:rPr>
            </w:pPr>
            <w:r w:rsidRPr="00EB7844">
              <w:rPr>
                <w:rFonts w:ascii="Arial Narrow" w:hAnsi="Arial Narrow" w:cs="Arial"/>
                <w:i/>
                <w:color w:val="0D0D0D" w:themeColor="text1" w:themeTint="F2"/>
                <w:sz w:val="24"/>
                <w:szCs w:val="24"/>
              </w:rPr>
              <w:t xml:space="preserve">The </w:t>
            </w:r>
            <w:r w:rsidR="00F6573A">
              <w:rPr>
                <w:rFonts w:ascii="Arial Narrow" w:hAnsi="Arial Narrow" w:cs="Arial"/>
                <w:i/>
                <w:color w:val="0D0D0D" w:themeColor="text1" w:themeTint="F2"/>
                <w:sz w:val="24"/>
                <w:szCs w:val="24"/>
              </w:rPr>
              <w:t>Lewis Heyman</w:t>
            </w:r>
            <w:r w:rsidR="00F6573A" w:rsidRPr="00EB7844">
              <w:rPr>
                <w:rFonts w:ascii="Arial Narrow" w:hAnsi="Arial Narrow" w:cs="Arial"/>
                <w:i/>
                <w:color w:val="0D0D0D" w:themeColor="text1" w:themeTint="F2"/>
                <w:sz w:val="24"/>
                <w:szCs w:val="24"/>
              </w:rPr>
              <w:t xml:space="preserve"> v </w:t>
            </w:r>
            <w:r w:rsidRPr="00EB7844">
              <w:rPr>
                <w:rFonts w:ascii="Arial Narrow" w:hAnsi="Arial Narrow" w:cs="Arial"/>
                <w:i/>
                <w:color w:val="0D0D0D" w:themeColor="text1" w:themeTint="F2"/>
                <w:sz w:val="24"/>
                <w:szCs w:val="24"/>
              </w:rPr>
              <w:t xml:space="preserve">State </w:t>
            </w:r>
          </w:p>
          <w:p w:rsidR="004842A1" w:rsidRPr="00EB7844" w:rsidRDefault="004842A1" w:rsidP="00025A4E">
            <w:pPr>
              <w:spacing w:line="360" w:lineRule="auto"/>
              <w:jc w:val="both"/>
              <w:rPr>
                <w:rFonts w:ascii="Arial Narrow" w:hAnsi="Arial Narrow" w:cs="Arial"/>
                <w:i/>
                <w:color w:val="0D0D0D" w:themeColor="text1" w:themeTint="F2"/>
                <w:sz w:val="24"/>
                <w:szCs w:val="24"/>
              </w:rPr>
            </w:pPr>
          </w:p>
        </w:tc>
        <w:tc>
          <w:tcPr>
            <w:tcW w:w="4323" w:type="dxa"/>
          </w:tcPr>
          <w:p w:rsidR="004842A1" w:rsidRPr="00EB7844" w:rsidRDefault="004842A1" w:rsidP="00025A4E">
            <w:pPr>
              <w:spacing w:line="360" w:lineRule="auto"/>
              <w:jc w:val="both"/>
              <w:rPr>
                <w:rFonts w:ascii="Arial Narrow" w:hAnsi="Arial Narrow" w:cs="Arial"/>
                <w:b/>
                <w:color w:val="0D0D0D" w:themeColor="text1" w:themeTint="F2"/>
                <w:sz w:val="24"/>
                <w:szCs w:val="24"/>
                <w:lang w:val="en-GB"/>
              </w:rPr>
            </w:pPr>
            <w:r w:rsidRPr="00EB7844">
              <w:rPr>
                <w:rFonts w:ascii="Arial Narrow" w:hAnsi="Arial Narrow" w:cs="Arial"/>
                <w:b/>
                <w:color w:val="0D0D0D" w:themeColor="text1" w:themeTint="F2"/>
                <w:sz w:val="24"/>
                <w:szCs w:val="24"/>
                <w:lang w:val="en-GB"/>
              </w:rPr>
              <w:t>Case No:</w:t>
            </w:r>
          </w:p>
          <w:p w:rsidR="004842A1" w:rsidRPr="004842A1" w:rsidRDefault="004842A1" w:rsidP="004842A1">
            <w:pPr>
              <w:jc w:val="both"/>
              <w:rPr>
                <w:rFonts w:ascii="Arial Narrow" w:hAnsi="Arial Narrow" w:cs="Arial"/>
                <w:color w:val="000000"/>
                <w:sz w:val="24"/>
                <w:szCs w:val="24"/>
                <w:lang w:val="en-GB"/>
              </w:rPr>
            </w:pPr>
            <w:r w:rsidRPr="004842A1">
              <w:rPr>
                <w:rFonts w:ascii="Arial Narrow" w:hAnsi="Arial Narrow" w:cs="Arial"/>
                <w:color w:val="000000"/>
                <w:sz w:val="24"/>
                <w:szCs w:val="24"/>
              </w:rPr>
              <w:t>HC-MD-CRI-APP-CAL-2019/00054</w:t>
            </w:r>
          </w:p>
          <w:p w:rsidR="004842A1" w:rsidRPr="00EB7844" w:rsidRDefault="004842A1" w:rsidP="004842A1">
            <w:pPr>
              <w:spacing w:line="360" w:lineRule="auto"/>
              <w:jc w:val="both"/>
              <w:rPr>
                <w:rFonts w:ascii="Arial Narrow" w:hAnsi="Arial Narrow" w:cs="Arial"/>
                <w:color w:val="0D0D0D" w:themeColor="text1" w:themeTint="F2"/>
                <w:sz w:val="24"/>
                <w:szCs w:val="24"/>
              </w:rPr>
            </w:pPr>
          </w:p>
        </w:tc>
      </w:tr>
      <w:tr w:rsidR="004842A1" w:rsidRPr="00F47618" w:rsidTr="00025A4E">
        <w:trPr>
          <w:trHeight w:val="844"/>
        </w:trPr>
        <w:tc>
          <w:tcPr>
            <w:tcW w:w="5397" w:type="dxa"/>
            <w:gridSpan w:val="2"/>
          </w:tcPr>
          <w:p w:rsidR="00DF58F1" w:rsidRPr="00F47618" w:rsidRDefault="00DF58F1" w:rsidP="00DF58F1">
            <w:pPr>
              <w:spacing w:line="360" w:lineRule="auto"/>
              <w:jc w:val="both"/>
              <w:rPr>
                <w:rFonts w:ascii="Arial Narrow" w:hAnsi="Arial Narrow" w:cs="Arial"/>
                <w:b/>
                <w:color w:val="0D0D0D" w:themeColor="text1" w:themeTint="F2"/>
                <w:sz w:val="24"/>
                <w:szCs w:val="24"/>
                <w:lang w:val="en-GB"/>
              </w:rPr>
            </w:pPr>
            <w:r w:rsidRPr="00F47618">
              <w:rPr>
                <w:rFonts w:ascii="Arial Narrow" w:hAnsi="Arial Narrow" w:cs="Arial"/>
                <w:b/>
                <w:color w:val="0D0D0D" w:themeColor="text1" w:themeTint="F2"/>
                <w:sz w:val="24"/>
                <w:szCs w:val="24"/>
                <w:lang w:val="en-GB"/>
              </w:rPr>
              <w:t>Division of Court:</w:t>
            </w:r>
          </w:p>
          <w:p w:rsidR="004842A1" w:rsidRPr="00F47618" w:rsidRDefault="00DF58F1" w:rsidP="00DF58F1">
            <w:pPr>
              <w:spacing w:line="360" w:lineRule="auto"/>
              <w:jc w:val="both"/>
              <w:rPr>
                <w:rFonts w:ascii="Arial Narrow" w:hAnsi="Arial Narrow" w:cs="Arial"/>
                <w:b/>
                <w:color w:val="0D0D0D" w:themeColor="text1" w:themeTint="F2"/>
                <w:sz w:val="24"/>
                <w:szCs w:val="24"/>
                <w:lang w:val="en-GB"/>
              </w:rPr>
            </w:pPr>
            <w:r>
              <w:rPr>
                <w:rFonts w:ascii="Arial Narrow" w:hAnsi="Arial Narrow" w:cs="Arial"/>
                <w:color w:val="0D0D0D" w:themeColor="text1" w:themeTint="F2"/>
                <w:sz w:val="24"/>
                <w:szCs w:val="24"/>
              </w:rPr>
              <w:t>Main Division</w:t>
            </w:r>
          </w:p>
          <w:p w:rsidR="004842A1" w:rsidRPr="00F47618" w:rsidRDefault="004842A1" w:rsidP="004842A1">
            <w:pPr>
              <w:spacing w:line="360" w:lineRule="auto"/>
              <w:jc w:val="both"/>
              <w:rPr>
                <w:rFonts w:ascii="Arial Narrow" w:hAnsi="Arial Narrow" w:cs="Arial"/>
                <w:color w:val="0D0D0D" w:themeColor="text1" w:themeTint="F2"/>
                <w:sz w:val="24"/>
                <w:szCs w:val="24"/>
              </w:rPr>
            </w:pPr>
          </w:p>
        </w:tc>
        <w:tc>
          <w:tcPr>
            <w:tcW w:w="4323" w:type="dxa"/>
          </w:tcPr>
          <w:p w:rsidR="000731EA" w:rsidRPr="000731EA" w:rsidRDefault="000731EA" w:rsidP="00025A4E">
            <w:pPr>
              <w:spacing w:line="360" w:lineRule="auto"/>
              <w:jc w:val="both"/>
              <w:rPr>
                <w:rFonts w:ascii="Arial Narrow" w:hAnsi="Arial Narrow" w:cs="Arial"/>
                <w:b/>
                <w:color w:val="0D0D0D" w:themeColor="text1" w:themeTint="F2"/>
                <w:sz w:val="24"/>
                <w:szCs w:val="24"/>
              </w:rPr>
            </w:pPr>
            <w:r w:rsidRPr="000731EA">
              <w:rPr>
                <w:rFonts w:ascii="Arial Narrow" w:hAnsi="Arial Narrow" w:cs="Arial"/>
                <w:b/>
                <w:color w:val="0D0D0D" w:themeColor="text1" w:themeTint="F2"/>
                <w:sz w:val="24"/>
                <w:szCs w:val="24"/>
              </w:rPr>
              <w:t>Heard on:</w:t>
            </w:r>
          </w:p>
          <w:p w:rsidR="000731EA" w:rsidRPr="00F47618" w:rsidRDefault="000731EA" w:rsidP="00025A4E">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 12</w:t>
            </w:r>
            <w:r w:rsidRPr="000731EA">
              <w:rPr>
                <w:rFonts w:ascii="Arial Narrow" w:hAnsi="Arial Narrow" w:cs="Arial"/>
                <w:color w:val="0D0D0D" w:themeColor="text1" w:themeTint="F2"/>
                <w:sz w:val="24"/>
                <w:szCs w:val="24"/>
              </w:rPr>
              <w:t xml:space="preserve"> February 2021</w:t>
            </w:r>
          </w:p>
        </w:tc>
      </w:tr>
      <w:tr w:rsidR="004842A1" w:rsidRPr="00F47618" w:rsidTr="00025A4E">
        <w:trPr>
          <w:trHeight w:val="825"/>
        </w:trPr>
        <w:tc>
          <w:tcPr>
            <w:tcW w:w="5397" w:type="dxa"/>
            <w:gridSpan w:val="2"/>
          </w:tcPr>
          <w:p w:rsidR="004842A1" w:rsidRPr="00F47618" w:rsidRDefault="004842A1" w:rsidP="00025A4E">
            <w:pPr>
              <w:spacing w:line="360" w:lineRule="auto"/>
              <w:jc w:val="both"/>
              <w:rPr>
                <w:rFonts w:ascii="Arial Narrow" w:hAnsi="Arial Narrow" w:cs="Arial"/>
                <w:b/>
                <w:color w:val="0D0D0D" w:themeColor="text1" w:themeTint="F2"/>
                <w:sz w:val="24"/>
                <w:szCs w:val="24"/>
                <w:lang w:val="en-GB"/>
              </w:rPr>
            </w:pPr>
            <w:r w:rsidRPr="00F47618">
              <w:rPr>
                <w:rFonts w:ascii="Arial Narrow" w:hAnsi="Arial Narrow" w:cs="Arial"/>
                <w:b/>
                <w:color w:val="0D0D0D" w:themeColor="text1" w:themeTint="F2"/>
                <w:sz w:val="24"/>
                <w:szCs w:val="24"/>
                <w:lang w:val="en-GB"/>
              </w:rPr>
              <w:t>Heard before:</w:t>
            </w:r>
          </w:p>
          <w:p w:rsidR="004842A1" w:rsidRDefault="004842A1" w:rsidP="00025A4E">
            <w:pPr>
              <w:spacing w:line="360" w:lineRule="auto"/>
              <w:jc w:val="both"/>
              <w:rPr>
                <w:rFonts w:ascii="Arial Narrow" w:hAnsi="Arial Narrow" w:cs="Arial"/>
                <w:color w:val="0D0D0D" w:themeColor="text1" w:themeTint="F2"/>
                <w:sz w:val="24"/>
                <w:szCs w:val="24"/>
              </w:rPr>
            </w:pPr>
            <w:r w:rsidRPr="00F47618">
              <w:rPr>
                <w:rFonts w:ascii="Arial Narrow" w:hAnsi="Arial Narrow" w:cs="Arial"/>
                <w:color w:val="0D0D0D" w:themeColor="text1" w:themeTint="F2"/>
                <w:sz w:val="24"/>
                <w:szCs w:val="24"/>
              </w:rPr>
              <w:t>Judge Claasen</w:t>
            </w:r>
            <w:r>
              <w:rPr>
                <w:rFonts w:ascii="Arial Narrow" w:hAnsi="Arial Narrow" w:cs="Arial"/>
                <w:color w:val="0D0D0D" w:themeColor="text1" w:themeTint="F2"/>
                <w:sz w:val="24"/>
                <w:szCs w:val="24"/>
              </w:rPr>
              <w:t xml:space="preserve"> et Judge Usiku</w:t>
            </w:r>
          </w:p>
          <w:p w:rsidR="004842A1" w:rsidRPr="00F47618" w:rsidRDefault="004842A1" w:rsidP="00025A4E">
            <w:pPr>
              <w:spacing w:line="360" w:lineRule="auto"/>
              <w:jc w:val="both"/>
              <w:rPr>
                <w:rFonts w:ascii="Arial Narrow" w:hAnsi="Arial Narrow" w:cs="Arial"/>
                <w:color w:val="0D0D0D" w:themeColor="text1" w:themeTint="F2"/>
                <w:sz w:val="24"/>
                <w:szCs w:val="24"/>
              </w:rPr>
            </w:pPr>
          </w:p>
        </w:tc>
        <w:tc>
          <w:tcPr>
            <w:tcW w:w="4323" w:type="dxa"/>
          </w:tcPr>
          <w:p w:rsidR="004842A1" w:rsidRPr="00F47618" w:rsidRDefault="004842A1" w:rsidP="00025A4E">
            <w:pPr>
              <w:spacing w:line="360" w:lineRule="auto"/>
              <w:jc w:val="both"/>
              <w:rPr>
                <w:rFonts w:ascii="Arial Narrow" w:hAnsi="Arial Narrow" w:cs="Arial"/>
                <w:b/>
                <w:color w:val="0D0D0D" w:themeColor="text1" w:themeTint="F2"/>
                <w:sz w:val="24"/>
                <w:szCs w:val="24"/>
                <w:lang w:val="en-GB"/>
              </w:rPr>
            </w:pPr>
            <w:r w:rsidRPr="00F47618">
              <w:rPr>
                <w:rFonts w:ascii="Arial Narrow" w:hAnsi="Arial Narrow" w:cs="Arial"/>
                <w:b/>
                <w:color w:val="0D0D0D" w:themeColor="text1" w:themeTint="F2"/>
                <w:sz w:val="24"/>
                <w:szCs w:val="24"/>
                <w:lang w:val="en-GB"/>
              </w:rPr>
              <w:t>Delivered on:</w:t>
            </w:r>
          </w:p>
          <w:p w:rsidR="004842A1" w:rsidRPr="00F47618" w:rsidRDefault="004842A1" w:rsidP="00025A4E">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12 February 2021</w:t>
            </w:r>
          </w:p>
        </w:tc>
      </w:tr>
      <w:tr w:rsidR="004842A1" w:rsidRPr="00F47618" w:rsidTr="00025A4E">
        <w:tc>
          <w:tcPr>
            <w:tcW w:w="9720" w:type="dxa"/>
            <w:gridSpan w:val="3"/>
          </w:tcPr>
          <w:p w:rsidR="004842A1" w:rsidRPr="00F47618" w:rsidRDefault="004842A1" w:rsidP="00025A4E">
            <w:pPr>
              <w:spacing w:line="360" w:lineRule="auto"/>
              <w:jc w:val="both"/>
              <w:rPr>
                <w:rFonts w:ascii="Arial Narrow" w:hAnsi="Arial Narrow" w:cs="Arial"/>
                <w:b/>
                <w:color w:val="0D0D0D" w:themeColor="text1" w:themeTint="F2"/>
                <w:sz w:val="24"/>
                <w:szCs w:val="24"/>
                <w:lang w:val="en-GB"/>
              </w:rPr>
            </w:pPr>
          </w:p>
          <w:p w:rsidR="004842A1" w:rsidRPr="00F47618" w:rsidRDefault="004842A1" w:rsidP="00025A4E">
            <w:pPr>
              <w:spacing w:line="360" w:lineRule="auto"/>
              <w:jc w:val="both"/>
              <w:rPr>
                <w:rFonts w:ascii="Arial Narrow" w:hAnsi="Arial Narrow" w:cs="Arial"/>
                <w:color w:val="0D0D0D" w:themeColor="text1" w:themeTint="F2"/>
                <w:sz w:val="24"/>
                <w:szCs w:val="24"/>
                <w:lang w:val="en-GB"/>
              </w:rPr>
            </w:pPr>
            <w:r w:rsidRPr="00F47618">
              <w:rPr>
                <w:rFonts w:ascii="Arial Narrow" w:hAnsi="Arial Narrow" w:cs="Arial"/>
                <w:b/>
                <w:color w:val="0D0D0D" w:themeColor="text1" w:themeTint="F2"/>
                <w:sz w:val="24"/>
                <w:szCs w:val="24"/>
                <w:lang w:val="en-GB"/>
              </w:rPr>
              <w:t>Neutral citation:</w:t>
            </w:r>
            <w:r w:rsidRPr="00F47618">
              <w:rPr>
                <w:rFonts w:ascii="Arial Narrow" w:hAnsi="Arial Narrow" w:cs="Arial"/>
                <w:color w:val="0D0D0D" w:themeColor="text1" w:themeTint="F2"/>
                <w:sz w:val="24"/>
                <w:szCs w:val="24"/>
                <w:lang w:val="en-GB"/>
              </w:rPr>
              <w:t xml:space="preserve"> </w:t>
            </w:r>
            <w:proofErr w:type="spellStart"/>
            <w:r w:rsidR="00F6573A">
              <w:rPr>
                <w:rFonts w:ascii="Arial Narrow" w:hAnsi="Arial Narrow" w:cs="Arial"/>
                <w:i/>
                <w:color w:val="0D0D0D" w:themeColor="text1" w:themeTint="F2"/>
                <w:sz w:val="24"/>
                <w:szCs w:val="24"/>
                <w:lang w:val="en-GB"/>
              </w:rPr>
              <w:t>Heyman</w:t>
            </w:r>
            <w:proofErr w:type="spellEnd"/>
            <w:r w:rsidR="00F6573A">
              <w:rPr>
                <w:rFonts w:ascii="Arial Narrow" w:hAnsi="Arial Narrow" w:cs="Arial"/>
                <w:i/>
                <w:color w:val="0D0D0D" w:themeColor="text1" w:themeTint="F2"/>
                <w:sz w:val="24"/>
                <w:szCs w:val="24"/>
                <w:lang w:val="en-GB"/>
              </w:rPr>
              <w:t xml:space="preserve"> v </w:t>
            </w:r>
            <w:r>
              <w:rPr>
                <w:rFonts w:ascii="Arial Narrow" w:hAnsi="Arial Narrow" w:cs="Arial"/>
                <w:i/>
                <w:color w:val="0D0D0D" w:themeColor="text1" w:themeTint="F2"/>
                <w:sz w:val="24"/>
                <w:szCs w:val="24"/>
                <w:lang w:val="en-GB"/>
              </w:rPr>
              <w:t xml:space="preserve">S </w:t>
            </w:r>
            <w:r w:rsidR="009E15F7">
              <w:rPr>
                <w:rFonts w:ascii="Arial Narrow" w:hAnsi="Arial Narrow" w:cs="Arial"/>
                <w:color w:val="0D0D0D" w:themeColor="text1" w:themeTint="F2"/>
                <w:sz w:val="24"/>
                <w:szCs w:val="24"/>
                <w:lang w:val="en-GB"/>
              </w:rPr>
              <w:t>(HC-MD-CRI-APP-CAL-2019/00054)</w:t>
            </w:r>
            <w:r w:rsidRPr="00E8076A">
              <w:rPr>
                <w:rFonts w:ascii="Arial Narrow" w:hAnsi="Arial Narrow" w:cs="Arial"/>
                <w:i/>
                <w:color w:val="0D0D0D" w:themeColor="text1" w:themeTint="F2"/>
                <w:sz w:val="24"/>
                <w:szCs w:val="24"/>
                <w:lang w:val="en-GB"/>
              </w:rPr>
              <w:t xml:space="preserve"> </w:t>
            </w:r>
            <w:r>
              <w:rPr>
                <w:rFonts w:ascii="Arial Narrow" w:hAnsi="Arial Narrow" w:cs="Arial"/>
                <w:color w:val="0D0D0D" w:themeColor="text1" w:themeTint="F2"/>
                <w:sz w:val="24"/>
                <w:szCs w:val="24"/>
                <w:lang w:val="en-GB"/>
              </w:rPr>
              <w:t>[2021</w:t>
            </w:r>
            <w:r w:rsidRPr="00E8076A">
              <w:rPr>
                <w:rFonts w:ascii="Arial Narrow" w:hAnsi="Arial Narrow" w:cs="Arial"/>
                <w:color w:val="0D0D0D" w:themeColor="text1" w:themeTint="F2"/>
                <w:sz w:val="24"/>
                <w:szCs w:val="24"/>
                <w:lang w:val="en-GB"/>
              </w:rPr>
              <w:t xml:space="preserve">] NAHCMD </w:t>
            </w:r>
            <w:r w:rsidR="004D221A">
              <w:rPr>
                <w:rFonts w:ascii="Arial Narrow" w:hAnsi="Arial Narrow" w:cs="Arial"/>
                <w:color w:val="0D0D0D" w:themeColor="text1" w:themeTint="F2"/>
                <w:sz w:val="24"/>
                <w:szCs w:val="24"/>
                <w:lang w:val="en-GB"/>
              </w:rPr>
              <w:t xml:space="preserve">40 </w:t>
            </w:r>
            <w:r w:rsidRPr="00E8076A">
              <w:rPr>
                <w:rFonts w:ascii="Arial Narrow" w:hAnsi="Arial Narrow" w:cs="Arial"/>
                <w:color w:val="0D0D0D" w:themeColor="text1" w:themeTint="F2"/>
                <w:sz w:val="24"/>
                <w:szCs w:val="24"/>
                <w:lang w:val="en-GB"/>
              </w:rPr>
              <w:t>(</w:t>
            </w:r>
            <w:r w:rsidR="000731EA">
              <w:rPr>
                <w:rFonts w:ascii="Arial Narrow" w:hAnsi="Arial Narrow" w:cs="Arial"/>
                <w:color w:val="0D0D0D" w:themeColor="text1" w:themeTint="F2"/>
                <w:sz w:val="24"/>
                <w:szCs w:val="24"/>
                <w:lang w:val="en-GB"/>
              </w:rPr>
              <w:t>12 February 2021</w:t>
            </w:r>
            <w:r w:rsidRPr="00E8076A">
              <w:rPr>
                <w:rFonts w:ascii="Arial Narrow" w:hAnsi="Arial Narrow" w:cs="Arial"/>
                <w:color w:val="0D0D0D" w:themeColor="text1" w:themeTint="F2"/>
                <w:sz w:val="24"/>
                <w:szCs w:val="24"/>
                <w:lang w:val="en-GB"/>
              </w:rPr>
              <w:t>)</w:t>
            </w:r>
          </w:p>
          <w:p w:rsidR="004842A1" w:rsidRPr="00F47618" w:rsidRDefault="004842A1" w:rsidP="00025A4E">
            <w:pPr>
              <w:spacing w:line="360" w:lineRule="auto"/>
              <w:jc w:val="both"/>
              <w:rPr>
                <w:rFonts w:ascii="Arial Narrow" w:hAnsi="Arial Narrow" w:cs="Arial"/>
                <w:b/>
                <w:color w:val="0D0D0D" w:themeColor="text1" w:themeTint="F2"/>
                <w:sz w:val="24"/>
                <w:szCs w:val="24"/>
              </w:rPr>
            </w:pPr>
          </w:p>
        </w:tc>
      </w:tr>
      <w:tr w:rsidR="004842A1" w:rsidRPr="00F47618" w:rsidTr="00025A4E">
        <w:tc>
          <w:tcPr>
            <w:tcW w:w="9720" w:type="dxa"/>
            <w:gridSpan w:val="3"/>
          </w:tcPr>
          <w:p w:rsidR="004842A1" w:rsidRPr="00F47618" w:rsidRDefault="004842A1" w:rsidP="00025A4E">
            <w:pPr>
              <w:spacing w:line="360" w:lineRule="auto"/>
              <w:jc w:val="both"/>
              <w:rPr>
                <w:rFonts w:ascii="Arial Narrow" w:hAnsi="Arial Narrow" w:cs="Arial"/>
                <w:b/>
                <w:color w:val="0D0D0D" w:themeColor="text1" w:themeTint="F2"/>
                <w:sz w:val="24"/>
                <w:szCs w:val="24"/>
                <w:lang w:val="en-GB"/>
              </w:rPr>
            </w:pPr>
            <w:r w:rsidRPr="00F47618">
              <w:rPr>
                <w:rFonts w:ascii="Arial Narrow" w:hAnsi="Arial Narrow" w:cs="Arial"/>
                <w:b/>
                <w:color w:val="0D0D0D" w:themeColor="text1" w:themeTint="F2"/>
                <w:sz w:val="24"/>
                <w:szCs w:val="24"/>
                <w:lang w:val="en-GB"/>
              </w:rPr>
              <w:t>The order:</w:t>
            </w:r>
          </w:p>
          <w:p w:rsidR="004842A1" w:rsidRPr="004842A1" w:rsidRDefault="004842A1" w:rsidP="004842A1">
            <w:pPr>
              <w:spacing w:line="360" w:lineRule="auto"/>
              <w:jc w:val="both"/>
              <w:rPr>
                <w:rFonts w:ascii="Arial Narrow" w:hAnsi="Arial Narrow" w:cs="Arial"/>
                <w:color w:val="0D0D0D" w:themeColor="text1" w:themeTint="F2"/>
                <w:sz w:val="24"/>
                <w:szCs w:val="24"/>
              </w:rPr>
            </w:pPr>
            <w:r w:rsidRPr="004842A1">
              <w:rPr>
                <w:rFonts w:ascii="Arial Narrow" w:hAnsi="Arial Narrow" w:cs="Arial"/>
                <w:color w:val="0D0D0D" w:themeColor="text1" w:themeTint="F2"/>
                <w:sz w:val="24"/>
                <w:szCs w:val="24"/>
              </w:rPr>
              <w:t xml:space="preserve">Appeal struck from the roll. </w:t>
            </w:r>
          </w:p>
          <w:p w:rsidR="004842A1" w:rsidRPr="00F47618" w:rsidRDefault="004842A1" w:rsidP="004842A1">
            <w:pPr>
              <w:spacing w:line="360" w:lineRule="auto"/>
              <w:jc w:val="both"/>
              <w:rPr>
                <w:rFonts w:ascii="Arial Narrow" w:hAnsi="Arial Narrow" w:cs="Arial"/>
                <w:color w:val="0D0D0D" w:themeColor="text1" w:themeTint="F2"/>
                <w:sz w:val="24"/>
                <w:szCs w:val="24"/>
              </w:rPr>
            </w:pPr>
          </w:p>
        </w:tc>
      </w:tr>
      <w:tr w:rsidR="004842A1" w:rsidRPr="00F47618" w:rsidTr="00025A4E">
        <w:tc>
          <w:tcPr>
            <w:tcW w:w="9720" w:type="dxa"/>
            <w:gridSpan w:val="3"/>
          </w:tcPr>
          <w:p w:rsidR="004842A1" w:rsidRDefault="004842A1" w:rsidP="00025A4E">
            <w:pPr>
              <w:spacing w:line="360" w:lineRule="auto"/>
              <w:jc w:val="both"/>
              <w:rPr>
                <w:rFonts w:ascii="Arial Narrow" w:hAnsi="Arial Narrow" w:cs="Arial"/>
                <w:b/>
                <w:color w:val="0D0D0D" w:themeColor="text1" w:themeTint="F2"/>
                <w:sz w:val="24"/>
                <w:szCs w:val="24"/>
                <w:lang w:val="en-GB"/>
              </w:rPr>
            </w:pPr>
            <w:r w:rsidRPr="00F47618">
              <w:rPr>
                <w:rFonts w:ascii="Arial Narrow" w:hAnsi="Arial Narrow" w:cs="Arial"/>
                <w:b/>
                <w:color w:val="0D0D0D" w:themeColor="text1" w:themeTint="F2"/>
                <w:sz w:val="24"/>
                <w:szCs w:val="24"/>
                <w:lang w:val="en-GB"/>
              </w:rPr>
              <w:t>Reasons for order:</w:t>
            </w:r>
          </w:p>
          <w:p w:rsidR="004842A1" w:rsidRPr="00F47618" w:rsidRDefault="004842A1" w:rsidP="00025A4E">
            <w:pPr>
              <w:spacing w:line="360" w:lineRule="auto"/>
              <w:jc w:val="both"/>
              <w:rPr>
                <w:rFonts w:ascii="Arial Narrow" w:hAnsi="Arial Narrow" w:cs="Arial"/>
                <w:b/>
                <w:color w:val="0D0D0D" w:themeColor="text1" w:themeTint="F2"/>
                <w:sz w:val="24"/>
                <w:szCs w:val="24"/>
              </w:rPr>
            </w:pPr>
          </w:p>
        </w:tc>
      </w:tr>
      <w:tr w:rsidR="004842A1" w:rsidRPr="00F47618" w:rsidTr="00025A4E">
        <w:tc>
          <w:tcPr>
            <w:tcW w:w="9720" w:type="dxa"/>
            <w:gridSpan w:val="3"/>
          </w:tcPr>
          <w:p w:rsidR="004842A1" w:rsidRPr="00D55918" w:rsidRDefault="004842A1" w:rsidP="00025A4E">
            <w:pPr>
              <w:spacing w:line="360" w:lineRule="auto"/>
              <w:contextualSpacing/>
              <w:jc w:val="both"/>
              <w:rPr>
                <w:rFonts w:ascii="Arial Narrow" w:hAnsi="Arial Narrow" w:cs="Arial"/>
                <w:color w:val="0D0D0D" w:themeColor="text1" w:themeTint="F2"/>
                <w:sz w:val="24"/>
                <w:szCs w:val="24"/>
                <w:lang w:val="en-GB"/>
              </w:rPr>
            </w:pPr>
            <w:r w:rsidRPr="00D55918">
              <w:rPr>
                <w:rFonts w:ascii="Arial Narrow" w:hAnsi="Arial Narrow" w:cs="Arial"/>
                <w:color w:val="0D0D0D" w:themeColor="text1" w:themeTint="F2"/>
                <w:sz w:val="24"/>
                <w:szCs w:val="24"/>
                <w:lang w:val="en-GB"/>
              </w:rPr>
              <w:t xml:space="preserve">Claasen J (concurring </w:t>
            </w:r>
            <w:r>
              <w:rPr>
                <w:rFonts w:ascii="Arial Narrow" w:hAnsi="Arial Narrow" w:cs="Arial"/>
                <w:color w:val="0D0D0D" w:themeColor="text1" w:themeTint="F2"/>
                <w:sz w:val="24"/>
                <w:szCs w:val="24"/>
                <w:lang w:val="en-GB"/>
              </w:rPr>
              <w:t>Usiku</w:t>
            </w:r>
            <w:r w:rsidRPr="00D55918">
              <w:rPr>
                <w:rFonts w:ascii="Arial Narrow" w:hAnsi="Arial Narrow" w:cs="Arial"/>
                <w:color w:val="0D0D0D" w:themeColor="text1" w:themeTint="F2"/>
                <w:sz w:val="24"/>
                <w:szCs w:val="24"/>
                <w:lang w:val="en-GB"/>
              </w:rPr>
              <w:t xml:space="preserve"> J)</w:t>
            </w:r>
          </w:p>
          <w:p w:rsidR="004842A1" w:rsidRPr="00F47618" w:rsidRDefault="004842A1" w:rsidP="00025A4E">
            <w:pPr>
              <w:spacing w:line="360" w:lineRule="auto"/>
              <w:contextualSpacing/>
              <w:jc w:val="both"/>
              <w:rPr>
                <w:rFonts w:ascii="Arial Narrow" w:hAnsi="Arial Narrow" w:cs="Arial"/>
                <w:color w:val="0D0D0D" w:themeColor="text1" w:themeTint="F2"/>
                <w:sz w:val="24"/>
                <w:szCs w:val="24"/>
              </w:rPr>
            </w:pPr>
          </w:p>
          <w:p w:rsidR="004842A1" w:rsidRDefault="004842A1" w:rsidP="00025A4E">
            <w:pPr>
              <w:pStyle w:val="ListParagraph"/>
              <w:spacing w:line="360" w:lineRule="auto"/>
              <w:jc w:val="both"/>
              <w:rPr>
                <w:rFonts w:ascii="Arial Narrow" w:hAnsi="Arial Narrow" w:cs="Arial"/>
                <w:color w:val="0D0D0D" w:themeColor="text1" w:themeTint="F2"/>
                <w:sz w:val="24"/>
                <w:szCs w:val="24"/>
                <w:lang w:val="en-GB"/>
              </w:rPr>
            </w:pPr>
          </w:p>
          <w:p w:rsidR="004842A1" w:rsidRDefault="004842A1" w:rsidP="004842A1">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lang w:val="en-GB"/>
              </w:rPr>
              <w:t>[1]</w:t>
            </w:r>
            <w:r w:rsidRPr="00105CC2">
              <w:rPr>
                <w:rFonts w:ascii="Arial" w:eastAsia="Calibri" w:hAnsi="Arial" w:cs="Arial"/>
                <w:color w:val="0D0D0D"/>
                <w:sz w:val="24"/>
                <w:szCs w:val="24"/>
                <w:lang w:val="en-GB"/>
              </w:rPr>
              <w:tab/>
            </w:r>
            <w:r w:rsidRPr="004842A1">
              <w:rPr>
                <w:rFonts w:ascii="Arial Narrow" w:hAnsi="Arial Narrow" w:cs="Arial"/>
                <w:sz w:val="24"/>
                <w:szCs w:val="24"/>
              </w:rPr>
              <w:t>The accused was convicted of a traffic offense in that he wrongfully and unlawfully drove a Red Chevrolet vehicle with registration number N 1453 WB contrary to the condition or restriction on his driving license which pertains to his eyesight.  He was sentenced on 28 May 2018.</w:t>
            </w:r>
          </w:p>
          <w:p w:rsidR="004842A1" w:rsidRPr="004842A1" w:rsidRDefault="004842A1" w:rsidP="004842A1">
            <w:pPr>
              <w:spacing w:line="360" w:lineRule="auto"/>
              <w:jc w:val="both"/>
              <w:rPr>
                <w:rFonts w:ascii="Arial Narrow" w:hAnsi="Arial Narrow" w:cs="Arial"/>
                <w:sz w:val="24"/>
                <w:szCs w:val="24"/>
              </w:rPr>
            </w:pPr>
          </w:p>
          <w:p w:rsidR="004842A1" w:rsidRPr="004842A1" w:rsidRDefault="004842A1" w:rsidP="004842A1">
            <w:pPr>
              <w:spacing w:line="360" w:lineRule="auto"/>
              <w:jc w:val="both"/>
              <w:rPr>
                <w:rFonts w:ascii="Arial Narrow" w:hAnsi="Arial Narrow" w:cs="Arial"/>
                <w:sz w:val="24"/>
                <w:szCs w:val="24"/>
              </w:rPr>
            </w:pPr>
            <w:r w:rsidRPr="004842A1">
              <w:rPr>
                <w:rFonts w:ascii="Arial Narrow" w:hAnsi="Arial Narrow" w:cs="Arial"/>
                <w:color w:val="0D0D0D" w:themeColor="text1" w:themeTint="F2"/>
                <w:sz w:val="24"/>
                <w:szCs w:val="24"/>
                <w:lang w:val="en-GB"/>
              </w:rPr>
              <w:t>[2]</w:t>
            </w:r>
            <w:r w:rsidRPr="004842A1">
              <w:rPr>
                <w:rFonts w:ascii="Arial Narrow" w:hAnsi="Arial Narrow" w:cs="Arial"/>
                <w:color w:val="0D0D0D" w:themeColor="text1" w:themeTint="F2"/>
                <w:sz w:val="24"/>
                <w:szCs w:val="24"/>
                <w:lang w:val="en-GB"/>
              </w:rPr>
              <w:tab/>
            </w:r>
            <w:r w:rsidRPr="004842A1">
              <w:rPr>
                <w:rFonts w:ascii="Arial Narrow" w:hAnsi="Arial Narrow" w:cs="Arial"/>
                <w:sz w:val="24"/>
                <w:szCs w:val="24"/>
              </w:rPr>
              <w:t xml:space="preserve">Aggrieved by the conviction, the appellant filed a letter addressed ‘to whom it may concern’ which letter bears two different date stamps of the clerk of court of </w:t>
            </w:r>
            <w:proofErr w:type="spellStart"/>
            <w:r w:rsidRPr="004842A1">
              <w:rPr>
                <w:rFonts w:ascii="Arial Narrow" w:hAnsi="Arial Narrow" w:cs="Arial"/>
                <w:sz w:val="24"/>
                <w:szCs w:val="24"/>
              </w:rPr>
              <w:t>Karibib</w:t>
            </w:r>
            <w:proofErr w:type="spellEnd"/>
            <w:r w:rsidRPr="004842A1">
              <w:rPr>
                <w:rFonts w:ascii="Arial Narrow" w:hAnsi="Arial Narrow" w:cs="Arial"/>
                <w:sz w:val="24"/>
                <w:szCs w:val="24"/>
              </w:rPr>
              <w:t>, that of 10 June 2019 and the date of 21 June 2019. I take it that the appellant construes this let</w:t>
            </w:r>
            <w:r>
              <w:rPr>
                <w:rFonts w:ascii="Arial Narrow" w:hAnsi="Arial Narrow" w:cs="Arial"/>
                <w:sz w:val="24"/>
                <w:szCs w:val="24"/>
              </w:rPr>
              <w:t>ter as his appeal and he appeared</w:t>
            </w:r>
            <w:r w:rsidRPr="004842A1">
              <w:rPr>
                <w:rFonts w:ascii="Arial Narrow" w:hAnsi="Arial Narrow" w:cs="Arial"/>
                <w:sz w:val="24"/>
                <w:szCs w:val="24"/>
              </w:rPr>
              <w:t xml:space="preserve"> in person at the hearing.</w:t>
            </w:r>
          </w:p>
          <w:p w:rsidR="004842A1" w:rsidRPr="004842A1" w:rsidRDefault="004842A1" w:rsidP="004842A1">
            <w:pPr>
              <w:rPr>
                <w:rFonts w:ascii="Arial Narrow" w:hAnsi="Arial Narrow" w:cs="Arial"/>
                <w:color w:val="0D0D0D" w:themeColor="text1" w:themeTint="F2"/>
                <w:sz w:val="24"/>
                <w:szCs w:val="24"/>
                <w:lang w:val="en-GB"/>
              </w:rPr>
            </w:pPr>
          </w:p>
          <w:p w:rsidR="004842A1" w:rsidRPr="004842A1" w:rsidRDefault="004842A1" w:rsidP="004842A1">
            <w:pPr>
              <w:spacing w:line="360" w:lineRule="auto"/>
              <w:jc w:val="both"/>
              <w:rPr>
                <w:rFonts w:ascii="Arial Narrow" w:hAnsi="Arial Narrow" w:cs="Arial"/>
                <w:sz w:val="24"/>
                <w:szCs w:val="24"/>
              </w:rPr>
            </w:pPr>
            <w:r w:rsidRPr="004842A1">
              <w:rPr>
                <w:rFonts w:ascii="Arial Narrow" w:hAnsi="Arial Narrow" w:cs="Arial"/>
                <w:color w:val="0D0D0D" w:themeColor="text1" w:themeTint="F2"/>
                <w:sz w:val="24"/>
                <w:szCs w:val="24"/>
                <w:lang w:val="en-GB"/>
              </w:rPr>
              <w:t>[3]</w:t>
            </w:r>
            <w:r w:rsidRPr="004842A1">
              <w:rPr>
                <w:rFonts w:ascii="Arial Narrow" w:hAnsi="Arial Narrow" w:cs="Arial"/>
                <w:color w:val="0D0D0D" w:themeColor="text1" w:themeTint="F2"/>
                <w:sz w:val="24"/>
                <w:szCs w:val="24"/>
                <w:lang w:val="en-GB"/>
              </w:rPr>
              <w:tab/>
            </w:r>
            <w:r w:rsidRPr="004842A1">
              <w:rPr>
                <w:rFonts w:ascii="Arial Narrow" w:hAnsi="Arial Narrow" w:cs="Arial"/>
                <w:sz w:val="24"/>
                <w:szCs w:val="24"/>
              </w:rPr>
              <w:t xml:space="preserve">The document filed by the appellant contains no grounds of appeal at all, as prescribed by the </w:t>
            </w:r>
            <w:r w:rsidR="00E3258D" w:rsidRPr="004842A1">
              <w:rPr>
                <w:rFonts w:ascii="Arial Narrow" w:hAnsi="Arial Narrow" w:cs="Arial"/>
                <w:sz w:val="24"/>
                <w:szCs w:val="24"/>
              </w:rPr>
              <w:t>rules of</w:t>
            </w:r>
            <w:r w:rsidRPr="004842A1">
              <w:rPr>
                <w:rFonts w:ascii="Arial Narrow" w:hAnsi="Arial Narrow" w:cs="Arial"/>
                <w:sz w:val="24"/>
                <w:szCs w:val="24"/>
              </w:rPr>
              <w:t xml:space="preserve"> court. In particular Rule 67(1) of the Magistrates Court rules provides that a convicted person shall within 14 days of conviction, sentence or the order in question lodge </w:t>
            </w:r>
            <w:r w:rsidRPr="004842A1">
              <w:rPr>
                <w:rFonts w:ascii="Arial Narrow" w:hAnsi="Arial Narrow" w:cs="Arial"/>
                <w:sz w:val="24"/>
                <w:szCs w:val="24"/>
                <w:u w:val="single"/>
              </w:rPr>
              <w:t xml:space="preserve">a notice of appeal in writing in which he shall set out clearly and specifically the grounds, whether of fact or law or both fact or law on which the appeal is based. </w:t>
            </w:r>
            <w:r w:rsidRPr="004842A1">
              <w:rPr>
                <w:rFonts w:ascii="Arial Narrow" w:hAnsi="Arial Narrow" w:cs="Arial"/>
                <w:sz w:val="24"/>
                <w:szCs w:val="24"/>
              </w:rPr>
              <w:t xml:space="preserve"> My emphasis. These requirements were endorsed in the </w:t>
            </w:r>
            <w:r w:rsidRPr="004842A1">
              <w:rPr>
                <w:rFonts w:ascii="Arial Narrow" w:hAnsi="Arial Narrow" w:cs="Arial"/>
                <w:i/>
                <w:sz w:val="24"/>
                <w:szCs w:val="24"/>
              </w:rPr>
              <w:t xml:space="preserve">locus </w:t>
            </w:r>
            <w:proofErr w:type="spellStart"/>
            <w:proofErr w:type="gramStart"/>
            <w:r w:rsidRPr="004842A1">
              <w:rPr>
                <w:rFonts w:ascii="Arial Narrow" w:hAnsi="Arial Narrow" w:cs="Arial"/>
                <w:i/>
                <w:sz w:val="24"/>
                <w:szCs w:val="24"/>
              </w:rPr>
              <w:t>classicus</w:t>
            </w:r>
            <w:proofErr w:type="spellEnd"/>
            <w:r w:rsidRPr="004842A1">
              <w:rPr>
                <w:rFonts w:ascii="Arial Narrow" w:hAnsi="Arial Narrow" w:cs="Arial"/>
                <w:sz w:val="24"/>
                <w:szCs w:val="24"/>
              </w:rPr>
              <w:t xml:space="preserve">  </w:t>
            </w:r>
            <w:r w:rsidRPr="004842A1">
              <w:rPr>
                <w:rFonts w:ascii="Arial Narrow" w:hAnsi="Arial Narrow" w:cs="Arial"/>
                <w:i/>
                <w:sz w:val="24"/>
                <w:szCs w:val="24"/>
              </w:rPr>
              <w:t>S</w:t>
            </w:r>
            <w:proofErr w:type="gramEnd"/>
            <w:r w:rsidRPr="004842A1">
              <w:rPr>
                <w:rFonts w:ascii="Arial Narrow" w:hAnsi="Arial Narrow" w:cs="Arial"/>
                <w:i/>
                <w:sz w:val="24"/>
                <w:szCs w:val="24"/>
              </w:rPr>
              <w:t xml:space="preserve"> v </w:t>
            </w:r>
            <w:proofErr w:type="spellStart"/>
            <w:r w:rsidRPr="004842A1">
              <w:rPr>
                <w:rFonts w:ascii="Arial Narrow" w:hAnsi="Arial Narrow" w:cs="Arial"/>
                <w:i/>
                <w:sz w:val="24"/>
                <w:szCs w:val="24"/>
              </w:rPr>
              <w:t>Gey</w:t>
            </w:r>
            <w:proofErr w:type="spellEnd"/>
            <w:r w:rsidRPr="004842A1">
              <w:rPr>
                <w:rFonts w:ascii="Arial Narrow" w:hAnsi="Arial Narrow" w:cs="Arial"/>
                <w:i/>
                <w:sz w:val="24"/>
                <w:szCs w:val="24"/>
              </w:rPr>
              <w:t xml:space="preserve"> van </w:t>
            </w:r>
            <w:proofErr w:type="spellStart"/>
            <w:r w:rsidRPr="004842A1">
              <w:rPr>
                <w:rFonts w:ascii="Arial Narrow" w:hAnsi="Arial Narrow" w:cs="Arial"/>
                <w:i/>
                <w:sz w:val="24"/>
                <w:szCs w:val="24"/>
              </w:rPr>
              <w:t>Pittius</w:t>
            </w:r>
            <w:proofErr w:type="spellEnd"/>
            <w:r w:rsidRPr="004842A1">
              <w:rPr>
                <w:rFonts w:ascii="Arial Narrow" w:hAnsi="Arial Narrow" w:cs="Arial"/>
                <w:i/>
                <w:sz w:val="24"/>
                <w:szCs w:val="24"/>
              </w:rPr>
              <w:t xml:space="preserve"> </w:t>
            </w:r>
            <w:r w:rsidRPr="004842A1">
              <w:rPr>
                <w:rFonts w:ascii="Arial Narrow" w:hAnsi="Arial Narrow" w:cs="Arial"/>
                <w:sz w:val="24"/>
                <w:szCs w:val="24"/>
              </w:rPr>
              <w:t>and another</w:t>
            </w:r>
            <w:r w:rsidRPr="004842A1">
              <w:rPr>
                <w:rFonts w:ascii="Arial Narrow" w:hAnsi="Arial Narrow" w:cs="Arial"/>
                <w:sz w:val="24"/>
                <w:szCs w:val="24"/>
                <w:vertAlign w:val="superscript"/>
              </w:rPr>
              <w:footnoteReference w:id="1"/>
            </w:r>
            <w:r w:rsidRPr="004842A1">
              <w:rPr>
                <w:rFonts w:ascii="Arial Narrow" w:hAnsi="Arial Narrow" w:cs="Arial"/>
                <w:sz w:val="24"/>
                <w:szCs w:val="24"/>
              </w:rPr>
              <w:t xml:space="preserve"> and numerous other judgments of this court.</w:t>
            </w:r>
            <w:r w:rsidRPr="004842A1">
              <w:rPr>
                <w:rFonts w:ascii="Arial Narrow" w:hAnsi="Arial Narrow" w:cs="Arial"/>
                <w:sz w:val="24"/>
                <w:szCs w:val="24"/>
                <w:vertAlign w:val="superscript"/>
              </w:rPr>
              <w:footnoteReference w:id="2"/>
            </w:r>
            <w:r w:rsidRPr="004842A1">
              <w:rPr>
                <w:rFonts w:ascii="Arial Narrow" w:hAnsi="Arial Narrow" w:cs="Arial"/>
                <w:sz w:val="24"/>
                <w:szCs w:val="24"/>
              </w:rPr>
              <w:t xml:space="preserve"> </w:t>
            </w:r>
          </w:p>
          <w:p w:rsidR="004842A1" w:rsidRPr="004842A1" w:rsidRDefault="004842A1" w:rsidP="004842A1">
            <w:pPr>
              <w:rPr>
                <w:rFonts w:ascii="Arial Narrow" w:hAnsi="Arial Narrow" w:cs="Arial"/>
                <w:color w:val="0D0D0D" w:themeColor="text1" w:themeTint="F2"/>
                <w:sz w:val="24"/>
                <w:szCs w:val="24"/>
                <w:lang w:val="en-GB"/>
              </w:rPr>
            </w:pPr>
          </w:p>
          <w:p w:rsidR="004842A1" w:rsidRPr="004842A1" w:rsidRDefault="004842A1" w:rsidP="004842A1">
            <w:pPr>
              <w:spacing w:line="360" w:lineRule="auto"/>
              <w:jc w:val="both"/>
              <w:rPr>
                <w:rFonts w:ascii="Arial Narrow" w:hAnsi="Arial Narrow" w:cs="Arial"/>
                <w:sz w:val="24"/>
                <w:szCs w:val="24"/>
              </w:rPr>
            </w:pPr>
            <w:r w:rsidRPr="004842A1">
              <w:rPr>
                <w:rFonts w:ascii="Arial Narrow" w:hAnsi="Arial Narrow" w:cs="Arial"/>
                <w:color w:val="0D0D0D" w:themeColor="text1" w:themeTint="F2"/>
                <w:sz w:val="24"/>
                <w:szCs w:val="24"/>
                <w:lang w:val="en-GB"/>
              </w:rPr>
              <w:t>[4]</w:t>
            </w:r>
            <w:r w:rsidRPr="004842A1">
              <w:rPr>
                <w:rFonts w:ascii="Arial Narrow" w:hAnsi="Arial Narrow" w:cs="Arial"/>
                <w:color w:val="0D0D0D" w:themeColor="text1" w:themeTint="F2"/>
                <w:sz w:val="24"/>
                <w:szCs w:val="24"/>
                <w:lang w:val="en-GB"/>
              </w:rPr>
              <w:tab/>
              <w:t xml:space="preserve"> </w:t>
            </w:r>
            <w:r w:rsidRPr="004842A1">
              <w:rPr>
                <w:rFonts w:ascii="Arial Narrow" w:hAnsi="Arial Narrow" w:cs="Arial"/>
                <w:sz w:val="24"/>
                <w:szCs w:val="24"/>
              </w:rPr>
              <w:t xml:space="preserve">Grounds of appeal is the foundation on which the appeal is based. It ought to inform the </w:t>
            </w:r>
            <w:r w:rsidRPr="004842A1">
              <w:rPr>
                <w:rFonts w:ascii="Arial Narrow" w:hAnsi="Arial Narrow" w:cs="Arial"/>
                <w:i/>
                <w:sz w:val="24"/>
                <w:szCs w:val="24"/>
              </w:rPr>
              <w:t>court a quo</w:t>
            </w:r>
            <w:r w:rsidRPr="004842A1">
              <w:rPr>
                <w:rFonts w:ascii="Arial Narrow" w:hAnsi="Arial Narrow" w:cs="Arial"/>
                <w:sz w:val="24"/>
                <w:szCs w:val="24"/>
              </w:rPr>
              <w:t xml:space="preserve"> what parts of the judgment or conviction forms the subject of scrutiny and also serves to </w:t>
            </w:r>
            <w:r w:rsidR="00444865">
              <w:rPr>
                <w:rFonts w:ascii="Arial Narrow" w:hAnsi="Arial Narrow" w:cs="Arial"/>
                <w:sz w:val="24"/>
                <w:szCs w:val="24"/>
              </w:rPr>
              <w:t>inform</w:t>
            </w:r>
            <w:r w:rsidRPr="004842A1">
              <w:rPr>
                <w:rFonts w:ascii="Arial Narrow" w:hAnsi="Arial Narrow" w:cs="Arial"/>
                <w:sz w:val="24"/>
                <w:szCs w:val="24"/>
              </w:rPr>
              <w:t xml:space="preserve"> the respondent of the case it is expected to meet.  </w:t>
            </w:r>
          </w:p>
          <w:p w:rsidR="004842A1" w:rsidRPr="004842A1" w:rsidRDefault="004842A1" w:rsidP="004842A1">
            <w:pPr>
              <w:rPr>
                <w:rFonts w:ascii="Arial Narrow" w:hAnsi="Arial Narrow" w:cs="Arial"/>
                <w:color w:val="0D0D0D" w:themeColor="text1" w:themeTint="F2"/>
                <w:sz w:val="24"/>
                <w:szCs w:val="24"/>
                <w:lang w:val="en-GB"/>
              </w:rPr>
            </w:pPr>
          </w:p>
          <w:p w:rsidR="004842A1" w:rsidRPr="004842A1" w:rsidRDefault="004842A1" w:rsidP="004842A1">
            <w:pPr>
              <w:spacing w:line="360" w:lineRule="auto"/>
              <w:jc w:val="both"/>
              <w:rPr>
                <w:rFonts w:ascii="Arial Narrow" w:hAnsi="Arial Narrow" w:cs="Arial"/>
                <w:sz w:val="24"/>
                <w:szCs w:val="24"/>
              </w:rPr>
            </w:pPr>
            <w:r w:rsidRPr="004842A1">
              <w:rPr>
                <w:rFonts w:ascii="Arial Narrow" w:hAnsi="Arial Narrow" w:cs="Arial"/>
                <w:color w:val="0D0D0D" w:themeColor="text1" w:themeTint="F2"/>
                <w:sz w:val="24"/>
                <w:szCs w:val="24"/>
                <w:lang w:val="en-GB"/>
              </w:rPr>
              <w:t>[5]</w:t>
            </w:r>
            <w:r w:rsidRPr="004842A1">
              <w:rPr>
                <w:rFonts w:ascii="Arial Narrow" w:hAnsi="Arial Narrow" w:cs="Arial"/>
                <w:color w:val="0D0D0D" w:themeColor="text1" w:themeTint="F2"/>
                <w:sz w:val="24"/>
                <w:szCs w:val="24"/>
                <w:lang w:val="en-GB"/>
              </w:rPr>
              <w:tab/>
              <w:t xml:space="preserve"> </w:t>
            </w:r>
            <w:r w:rsidR="00444865">
              <w:rPr>
                <w:rFonts w:ascii="Arial Narrow" w:hAnsi="Arial Narrow" w:cs="Arial"/>
                <w:sz w:val="24"/>
                <w:szCs w:val="24"/>
              </w:rPr>
              <w:t>The letter by the appellan</w:t>
            </w:r>
            <w:r w:rsidR="000731EA">
              <w:rPr>
                <w:rFonts w:ascii="Arial Narrow" w:hAnsi="Arial Narrow" w:cs="Arial"/>
                <w:sz w:val="24"/>
                <w:szCs w:val="24"/>
              </w:rPr>
              <w:t>t</w:t>
            </w:r>
            <w:r w:rsidRPr="004842A1">
              <w:rPr>
                <w:rFonts w:ascii="Arial Narrow" w:hAnsi="Arial Narrow" w:cs="Arial"/>
                <w:sz w:val="24"/>
                <w:szCs w:val="24"/>
              </w:rPr>
              <w:t xml:space="preserve"> does not, even at minimum, conform to the legal requirements. There are simply no grounds of appeal for the court to consider.  The fact that the appellant is a lay litigant does not exempt him from the requirement to put a proper appeal before the court.  In view of that, this court finds itself unable to entertain the matter and properly adjudicate it.  </w:t>
            </w:r>
          </w:p>
          <w:p w:rsidR="004842A1" w:rsidRPr="004842A1" w:rsidRDefault="004842A1" w:rsidP="00A925B9">
            <w:pPr>
              <w:pStyle w:val="BodyText"/>
              <w:spacing w:after="0" w:line="360" w:lineRule="auto"/>
              <w:contextualSpacing/>
              <w:jc w:val="both"/>
              <w:rPr>
                <w:rFonts w:ascii="Arial Narrow" w:hAnsi="Arial Narrow" w:cs="Arial"/>
                <w:color w:val="0D0D0D" w:themeColor="text1" w:themeTint="F2"/>
                <w:sz w:val="24"/>
                <w:szCs w:val="24"/>
                <w:lang w:val="en-GB"/>
              </w:rPr>
            </w:pPr>
          </w:p>
          <w:p w:rsidR="004842A1" w:rsidRPr="004842A1" w:rsidRDefault="004842A1" w:rsidP="004842A1">
            <w:pPr>
              <w:spacing w:line="360" w:lineRule="auto"/>
              <w:jc w:val="both"/>
              <w:rPr>
                <w:rFonts w:ascii="Arial Narrow" w:hAnsi="Arial Narrow" w:cs="Arial"/>
                <w:sz w:val="24"/>
                <w:szCs w:val="24"/>
              </w:rPr>
            </w:pPr>
            <w:r w:rsidRPr="004842A1">
              <w:rPr>
                <w:rFonts w:ascii="Arial Narrow" w:hAnsi="Arial Narrow" w:cs="Arial"/>
                <w:color w:val="0D0D0D" w:themeColor="text1" w:themeTint="F2"/>
                <w:sz w:val="24"/>
                <w:szCs w:val="24"/>
                <w:lang w:val="en-GB"/>
              </w:rPr>
              <w:t>[6]</w:t>
            </w:r>
            <w:r w:rsidRPr="004842A1">
              <w:rPr>
                <w:rFonts w:ascii="Arial Narrow" w:hAnsi="Arial Narrow" w:cs="Arial"/>
                <w:color w:val="0D0D0D" w:themeColor="text1" w:themeTint="F2"/>
                <w:sz w:val="24"/>
                <w:szCs w:val="24"/>
                <w:lang w:val="en-GB"/>
              </w:rPr>
              <w:tab/>
            </w:r>
            <w:r w:rsidRPr="004842A1">
              <w:rPr>
                <w:rFonts w:ascii="Arial Narrow" w:hAnsi="Arial Narrow" w:cs="Arial"/>
                <w:sz w:val="24"/>
                <w:szCs w:val="24"/>
              </w:rPr>
              <w:t xml:space="preserve">In the result the matter is struck from the roll. </w:t>
            </w:r>
          </w:p>
          <w:p w:rsidR="004842A1" w:rsidRPr="004842A1" w:rsidRDefault="004842A1" w:rsidP="004842A1">
            <w:pPr>
              <w:pStyle w:val="BodyText"/>
              <w:spacing w:after="0" w:line="360" w:lineRule="auto"/>
              <w:ind w:left="162"/>
              <w:contextualSpacing/>
              <w:jc w:val="both"/>
              <w:rPr>
                <w:rFonts w:ascii="Arial Narrow" w:hAnsi="Arial Narrow" w:cs="Arial"/>
                <w:color w:val="0D0D0D" w:themeColor="text1" w:themeTint="F2"/>
                <w:sz w:val="24"/>
                <w:szCs w:val="24"/>
                <w:lang w:val="en-GB"/>
              </w:rPr>
            </w:pPr>
            <w:r>
              <w:rPr>
                <w:rFonts w:ascii="Arial Narrow" w:hAnsi="Arial Narrow" w:cs="Arial"/>
                <w:color w:val="0D0D0D" w:themeColor="text1" w:themeTint="F2"/>
                <w:sz w:val="24"/>
                <w:szCs w:val="24"/>
                <w:lang w:val="en-GB"/>
              </w:rPr>
              <w:t xml:space="preserve"> </w:t>
            </w:r>
          </w:p>
          <w:p w:rsidR="004842A1" w:rsidRPr="00F47618" w:rsidRDefault="004842A1" w:rsidP="00025A4E">
            <w:pPr>
              <w:pStyle w:val="ListParagraph"/>
              <w:spacing w:line="360" w:lineRule="auto"/>
              <w:ind w:left="1080"/>
              <w:jc w:val="both"/>
              <w:rPr>
                <w:rFonts w:ascii="Arial Narrow" w:hAnsi="Arial Narrow" w:cs="Arial"/>
                <w:color w:val="0D0D0D" w:themeColor="text1" w:themeTint="F2"/>
                <w:sz w:val="24"/>
                <w:szCs w:val="24"/>
              </w:rPr>
            </w:pPr>
          </w:p>
        </w:tc>
      </w:tr>
      <w:tr w:rsidR="004842A1" w:rsidRPr="00F47618" w:rsidTr="00025A4E">
        <w:tc>
          <w:tcPr>
            <w:tcW w:w="4770" w:type="dxa"/>
          </w:tcPr>
          <w:p w:rsidR="004842A1" w:rsidRDefault="004842A1" w:rsidP="00025A4E">
            <w:pPr>
              <w:spacing w:line="360" w:lineRule="auto"/>
              <w:jc w:val="center"/>
              <w:rPr>
                <w:rFonts w:ascii="Arial Narrow" w:hAnsi="Arial Narrow" w:cs="Arial"/>
                <w:color w:val="0D0D0D" w:themeColor="text1" w:themeTint="F2"/>
                <w:sz w:val="24"/>
                <w:szCs w:val="24"/>
              </w:rPr>
            </w:pPr>
          </w:p>
          <w:p w:rsidR="004842A1" w:rsidRPr="00DA74F1" w:rsidRDefault="00DA74F1" w:rsidP="00025A4E">
            <w:pPr>
              <w:spacing w:line="360" w:lineRule="auto"/>
              <w:jc w:val="center"/>
              <w:rPr>
                <w:rFonts w:ascii="Arial Narrow" w:hAnsi="Arial Narrow" w:cs="Arial"/>
                <w:b/>
                <w:color w:val="0D0D0D" w:themeColor="text1" w:themeTint="F2"/>
                <w:sz w:val="24"/>
                <w:szCs w:val="24"/>
              </w:rPr>
            </w:pPr>
            <w:r w:rsidRPr="00DA74F1">
              <w:rPr>
                <w:rFonts w:ascii="Arial Narrow" w:hAnsi="Arial Narrow" w:cs="Arial"/>
                <w:b/>
                <w:color w:val="0D0D0D" w:themeColor="text1" w:themeTint="F2"/>
                <w:sz w:val="24"/>
                <w:szCs w:val="24"/>
              </w:rPr>
              <w:t>Judge’s signature</w:t>
            </w:r>
          </w:p>
        </w:tc>
        <w:tc>
          <w:tcPr>
            <w:tcW w:w="4950" w:type="dxa"/>
            <w:gridSpan w:val="2"/>
          </w:tcPr>
          <w:p w:rsidR="004842A1" w:rsidRPr="00F47618" w:rsidRDefault="004842A1" w:rsidP="00025A4E">
            <w:pPr>
              <w:spacing w:line="360" w:lineRule="auto"/>
              <w:jc w:val="center"/>
              <w:rPr>
                <w:rFonts w:ascii="Arial Narrow" w:hAnsi="Arial Narrow" w:cs="Arial"/>
                <w:color w:val="0D0D0D" w:themeColor="text1" w:themeTint="F2"/>
                <w:sz w:val="24"/>
                <w:szCs w:val="24"/>
              </w:rPr>
            </w:pPr>
          </w:p>
          <w:p w:rsidR="004842A1" w:rsidRPr="00DA74F1" w:rsidRDefault="00DA74F1" w:rsidP="00025A4E">
            <w:pPr>
              <w:spacing w:line="360" w:lineRule="auto"/>
              <w:rPr>
                <w:rFonts w:ascii="Arial Narrow" w:hAnsi="Arial Narrow" w:cs="Arial"/>
                <w:b/>
                <w:color w:val="0D0D0D" w:themeColor="text1" w:themeTint="F2"/>
                <w:sz w:val="24"/>
                <w:szCs w:val="24"/>
              </w:rPr>
            </w:pPr>
            <w:r w:rsidRPr="00DA74F1">
              <w:rPr>
                <w:rFonts w:ascii="Arial Narrow" w:hAnsi="Arial Narrow" w:cs="Arial"/>
                <w:b/>
                <w:color w:val="0D0D0D" w:themeColor="text1" w:themeTint="F2"/>
                <w:sz w:val="24"/>
                <w:szCs w:val="24"/>
              </w:rPr>
              <w:t>Note to the parties:</w:t>
            </w:r>
          </w:p>
        </w:tc>
      </w:tr>
      <w:tr w:rsidR="00DA74F1" w:rsidRPr="00F47618" w:rsidTr="00025A4E">
        <w:tc>
          <w:tcPr>
            <w:tcW w:w="4770" w:type="dxa"/>
          </w:tcPr>
          <w:p w:rsidR="00DA74F1" w:rsidRDefault="009004D8" w:rsidP="00A925B9">
            <w:pPr>
              <w:spacing w:line="360" w:lineRule="auto"/>
              <w:jc w:val="center"/>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CM Claasen, </w:t>
            </w:r>
            <w:r w:rsidR="00DA74F1">
              <w:rPr>
                <w:rFonts w:ascii="Arial Narrow" w:hAnsi="Arial Narrow" w:cs="Arial"/>
                <w:color w:val="0D0D0D" w:themeColor="text1" w:themeTint="F2"/>
                <w:sz w:val="24"/>
                <w:szCs w:val="24"/>
              </w:rPr>
              <w:t>J</w:t>
            </w:r>
          </w:p>
          <w:p w:rsidR="009004D8" w:rsidRDefault="009004D8" w:rsidP="00A925B9">
            <w:pPr>
              <w:spacing w:line="360" w:lineRule="auto"/>
              <w:jc w:val="center"/>
              <w:rPr>
                <w:rFonts w:ascii="Arial Narrow" w:hAnsi="Arial Narrow" w:cs="Arial"/>
                <w:color w:val="0D0D0D" w:themeColor="text1" w:themeTint="F2"/>
                <w:sz w:val="24"/>
                <w:szCs w:val="24"/>
              </w:rPr>
            </w:pPr>
          </w:p>
        </w:tc>
        <w:tc>
          <w:tcPr>
            <w:tcW w:w="4950" w:type="dxa"/>
            <w:gridSpan w:val="2"/>
            <w:vMerge w:val="restart"/>
          </w:tcPr>
          <w:p w:rsidR="00DA74F1" w:rsidRPr="00F47618" w:rsidRDefault="00DA74F1" w:rsidP="00DA74F1">
            <w:pPr>
              <w:spacing w:line="360" w:lineRule="auto"/>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Not applicable </w:t>
            </w:r>
          </w:p>
        </w:tc>
      </w:tr>
      <w:tr w:rsidR="00DA74F1" w:rsidRPr="00F47618" w:rsidTr="00025A4E">
        <w:tc>
          <w:tcPr>
            <w:tcW w:w="4770" w:type="dxa"/>
          </w:tcPr>
          <w:p w:rsidR="00DA74F1" w:rsidRDefault="00DA74F1" w:rsidP="00A925B9">
            <w:pPr>
              <w:spacing w:line="360" w:lineRule="auto"/>
              <w:jc w:val="center"/>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DN Usiku, J</w:t>
            </w:r>
          </w:p>
          <w:p w:rsidR="009004D8" w:rsidRDefault="009004D8" w:rsidP="00A925B9">
            <w:pPr>
              <w:spacing w:line="360" w:lineRule="auto"/>
              <w:jc w:val="center"/>
              <w:rPr>
                <w:rFonts w:ascii="Arial Narrow" w:hAnsi="Arial Narrow" w:cs="Arial"/>
                <w:color w:val="0D0D0D" w:themeColor="text1" w:themeTint="F2"/>
                <w:sz w:val="24"/>
                <w:szCs w:val="24"/>
              </w:rPr>
            </w:pPr>
          </w:p>
        </w:tc>
        <w:tc>
          <w:tcPr>
            <w:tcW w:w="4950" w:type="dxa"/>
            <w:gridSpan w:val="2"/>
            <w:vMerge/>
          </w:tcPr>
          <w:p w:rsidR="00DA74F1" w:rsidRDefault="00DA74F1" w:rsidP="00DA74F1">
            <w:pPr>
              <w:spacing w:line="360" w:lineRule="auto"/>
              <w:rPr>
                <w:rFonts w:ascii="Arial Narrow" w:hAnsi="Arial Narrow" w:cs="Arial"/>
                <w:color w:val="0D0D0D" w:themeColor="text1" w:themeTint="F2"/>
                <w:sz w:val="24"/>
                <w:szCs w:val="24"/>
              </w:rPr>
            </w:pPr>
          </w:p>
        </w:tc>
      </w:tr>
      <w:tr w:rsidR="00DA74F1" w:rsidRPr="00F47618" w:rsidTr="009D48AC">
        <w:tc>
          <w:tcPr>
            <w:tcW w:w="9720" w:type="dxa"/>
            <w:gridSpan w:val="3"/>
          </w:tcPr>
          <w:p w:rsidR="00DA74F1" w:rsidRPr="00DA74F1" w:rsidRDefault="00DA74F1" w:rsidP="00025A4E">
            <w:pPr>
              <w:spacing w:line="360" w:lineRule="auto"/>
              <w:jc w:val="center"/>
              <w:rPr>
                <w:rFonts w:ascii="Arial Narrow" w:hAnsi="Arial Narrow" w:cs="Arial"/>
                <w:b/>
                <w:color w:val="0D0D0D" w:themeColor="text1" w:themeTint="F2"/>
                <w:sz w:val="24"/>
                <w:szCs w:val="24"/>
              </w:rPr>
            </w:pPr>
            <w:r w:rsidRPr="00DA74F1">
              <w:rPr>
                <w:rFonts w:ascii="Arial Narrow" w:hAnsi="Arial Narrow" w:cs="Arial"/>
                <w:b/>
                <w:color w:val="0D0D0D" w:themeColor="text1" w:themeTint="F2"/>
                <w:sz w:val="24"/>
                <w:szCs w:val="24"/>
              </w:rPr>
              <w:t xml:space="preserve">Counsel </w:t>
            </w:r>
          </w:p>
        </w:tc>
      </w:tr>
      <w:tr w:rsidR="004842A1" w:rsidRPr="00F47618" w:rsidTr="00025A4E">
        <w:trPr>
          <w:trHeight w:val="827"/>
        </w:trPr>
        <w:tc>
          <w:tcPr>
            <w:tcW w:w="4770" w:type="dxa"/>
          </w:tcPr>
          <w:p w:rsidR="004842A1" w:rsidRDefault="00DA74F1" w:rsidP="00025A4E">
            <w:pPr>
              <w:spacing w:line="360" w:lineRule="auto"/>
              <w:jc w:val="center"/>
              <w:rPr>
                <w:rFonts w:ascii="Arial Narrow" w:hAnsi="Arial Narrow" w:cs="Arial"/>
                <w:b/>
                <w:color w:val="0D0D0D" w:themeColor="text1" w:themeTint="F2"/>
                <w:sz w:val="24"/>
                <w:szCs w:val="24"/>
              </w:rPr>
            </w:pPr>
            <w:r>
              <w:rPr>
                <w:rFonts w:ascii="Arial Narrow" w:hAnsi="Arial Narrow" w:cs="Arial"/>
                <w:b/>
                <w:color w:val="0D0D0D" w:themeColor="text1" w:themeTint="F2"/>
                <w:sz w:val="24"/>
                <w:szCs w:val="24"/>
              </w:rPr>
              <w:t xml:space="preserve">Appellant </w:t>
            </w:r>
          </w:p>
          <w:p w:rsidR="00DA74F1" w:rsidRDefault="00DA74F1" w:rsidP="00025A4E">
            <w:pPr>
              <w:spacing w:line="360" w:lineRule="auto"/>
              <w:jc w:val="center"/>
              <w:rPr>
                <w:rFonts w:ascii="Arial Narrow" w:hAnsi="Arial Narrow" w:cs="Arial"/>
                <w:b/>
                <w:color w:val="0D0D0D" w:themeColor="text1" w:themeTint="F2"/>
                <w:sz w:val="24"/>
                <w:szCs w:val="24"/>
              </w:rPr>
            </w:pPr>
          </w:p>
          <w:p w:rsidR="00DA74F1" w:rsidRPr="00DA74F1" w:rsidRDefault="00DA74F1" w:rsidP="00025A4E">
            <w:pPr>
              <w:spacing w:line="360" w:lineRule="auto"/>
              <w:jc w:val="center"/>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 xml:space="preserve">In person </w:t>
            </w:r>
          </w:p>
        </w:tc>
        <w:tc>
          <w:tcPr>
            <w:tcW w:w="4950" w:type="dxa"/>
            <w:gridSpan w:val="2"/>
          </w:tcPr>
          <w:p w:rsidR="00A925B9" w:rsidRDefault="00A925B9" w:rsidP="00025A4E">
            <w:pPr>
              <w:spacing w:line="360" w:lineRule="auto"/>
              <w:jc w:val="center"/>
              <w:rPr>
                <w:rFonts w:ascii="Arial Narrow" w:hAnsi="Arial Narrow" w:cs="Arial"/>
                <w:b/>
                <w:color w:val="0D0D0D" w:themeColor="text1" w:themeTint="F2"/>
                <w:sz w:val="24"/>
                <w:szCs w:val="24"/>
              </w:rPr>
            </w:pPr>
            <w:r w:rsidRPr="00A925B9">
              <w:rPr>
                <w:rFonts w:ascii="Arial Narrow" w:hAnsi="Arial Narrow" w:cs="Arial"/>
                <w:b/>
                <w:color w:val="0D0D0D" w:themeColor="text1" w:themeTint="F2"/>
                <w:sz w:val="24"/>
                <w:szCs w:val="24"/>
              </w:rPr>
              <w:t>State</w:t>
            </w:r>
          </w:p>
          <w:p w:rsidR="00A925B9" w:rsidRPr="00A925B9" w:rsidRDefault="00A925B9" w:rsidP="00025A4E">
            <w:pPr>
              <w:spacing w:line="360" w:lineRule="auto"/>
              <w:jc w:val="center"/>
              <w:rPr>
                <w:rFonts w:ascii="Arial Narrow" w:hAnsi="Arial Narrow" w:cs="Arial"/>
                <w:b/>
                <w:color w:val="0D0D0D" w:themeColor="text1" w:themeTint="F2"/>
                <w:sz w:val="24"/>
                <w:szCs w:val="24"/>
              </w:rPr>
            </w:pPr>
          </w:p>
          <w:p w:rsidR="004842A1" w:rsidRPr="00DA74F1" w:rsidRDefault="00DA74F1" w:rsidP="00025A4E">
            <w:pPr>
              <w:spacing w:line="360" w:lineRule="auto"/>
              <w:jc w:val="center"/>
              <w:rPr>
                <w:rFonts w:ascii="Arial Narrow" w:hAnsi="Arial Narrow" w:cs="Arial"/>
                <w:color w:val="0D0D0D" w:themeColor="text1" w:themeTint="F2"/>
                <w:sz w:val="24"/>
                <w:szCs w:val="24"/>
              </w:rPr>
            </w:pPr>
            <w:r w:rsidRPr="00DA74F1">
              <w:rPr>
                <w:rFonts w:ascii="Arial Narrow" w:hAnsi="Arial Narrow" w:cs="Arial"/>
                <w:color w:val="0D0D0D" w:themeColor="text1" w:themeTint="F2"/>
                <w:sz w:val="24"/>
                <w:szCs w:val="24"/>
              </w:rPr>
              <w:t xml:space="preserve">S </w:t>
            </w:r>
            <w:proofErr w:type="spellStart"/>
            <w:r w:rsidRPr="00DA74F1">
              <w:rPr>
                <w:rFonts w:ascii="Arial Narrow" w:hAnsi="Arial Narrow" w:cs="Arial"/>
                <w:color w:val="0D0D0D" w:themeColor="text1" w:themeTint="F2"/>
                <w:sz w:val="24"/>
                <w:szCs w:val="24"/>
              </w:rPr>
              <w:t>Kanyemba</w:t>
            </w:r>
            <w:proofErr w:type="spellEnd"/>
            <w:r w:rsidRPr="00DA74F1">
              <w:rPr>
                <w:rFonts w:ascii="Arial Narrow" w:hAnsi="Arial Narrow" w:cs="Arial"/>
                <w:color w:val="0D0D0D" w:themeColor="text1" w:themeTint="F2"/>
                <w:sz w:val="24"/>
                <w:szCs w:val="24"/>
              </w:rPr>
              <w:t xml:space="preserve"> </w:t>
            </w:r>
          </w:p>
          <w:p w:rsidR="00DA74F1" w:rsidRPr="00DA74F1" w:rsidRDefault="00DA74F1" w:rsidP="00025A4E">
            <w:pPr>
              <w:spacing w:line="360" w:lineRule="auto"/>
              <w:jc w:val="center"/>
              <w:rPr>
                <w:rFonts w:ascii="Arial Narrow" w:hAnsi="Arial Narrow" w:cs="Arial"/>
                <w:color w:val="0D0D0D" w:themeColor="text1" w:themeTint="F2"/>
                <w:sz w:val="24"/>
                <w:szCs w:val="24"/>
              </w:rPr>
            </w:pPr>
            <w:r w:rsidRPr="00DA74F1">
              <w:rPr>
                <w:rFonts w:ascii="Arial Narrow" w:hAnsi="Arial Narrow" w:cs="Arial"/>
                <w:color w:val="0D0D0D" w:themeColor="text1" w:themeTint="F2"/>
                <w:sz w:val="24"/>
                <w:szCs w:val="24"/>
              </w:rPr>
              <w:t xml:space="preserve">Office of the Prosecutor General </w:t>
            </w:r>
          </w:p>
        </w:tc>
      </w:tr>
    </w:tbl>
    <w:p w:rsidR="004842A1" w:rsidRPr="00F47618" w:rsidRDefault="004842A1" w:rsidP="004842A1">
      <w:pPr>
        <w:spacing w:after="0" w:line="360" w:lineRule="auto"/>
        <w:rPr>
          <w:rFonts w:ascii="Arial Narrow" w:hAnsi="Arial Narrow" w:cs="Arial"/>
          <w:color w:val="0D0D0D" w:themeColor="text1" w:themeTint="F2"/>
          <w:sz w:val="24"/>
          <w:szCs w:val="24"/>
        </w:rPr>
      </w:pPr>
    </w:p>
    <w:p w:rsidR="00277179" w:rsidRDefault="00277179"/>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Default="00624CE2"/>
    <w:p w:rsidR="00624CE2" w:rsidRPr="00332561" w:rsidRDefault="00624CE2">
      <w:pPr>
        <w:rPr>
          <w:rFonts w:ascii="Arial Narrow" w:hAnsi="Arial Narrow"/>
        </w:rPr>
      </w:pPr>
      <w:r w:rsidRPr="00332561">
        <w:rPr>
          <w:rFonts w:ascii="Arial Narrow" w:hAnsi="Arial Narrow"/>
        </w:rPr>
        <w:t>APPEARANCE:</w:t>
      </w:r>
    </w:p>
    <w:p w:rsidR="00624CE2" w:rsidRPr="00332561" w:rsidRDefault="00624CE2">
      <w:pPr>
        <w:rPr>
          <w:rFonts w:ascii="Arial Narrow" w:hAnsi="Arial Narrow"/>
        </w:rPr>
      </w:pPr>
    </w:p>
    <w:p w:rsidR="00624CE2" w:rsidRPr="00332561" w:rsidRDefault="00624CE2">
      <w:pPr>
        <w:rPr>
          <w:rFonts w:ascii="Arial Narrow" w:hAnsi="Arial Narrow"/>
        </w:rPr>
      </w:pPr>
      <w:r w:rsidRPr="00332561">
        <w:rPr>
          <w:rFonts w:ascii="Arial Narrow" w:hAnsi="Arial Narrow"/>
        </w:rPr>
        <w:t>APPELLANT:</w:t>
      </w:r>
      <w:r w:rsidRPr="00332561">
        <w:rPr>
          <w:rFonts w:ascii="Arial Narrow" w:hAnsi="Arial Narrow"/>
        </w:rPr>
        <w:tab/>
      </w:r>
      <w:r w:rsidRPr="00332561">
        <w:rPr>
          <w:rFonts w:ascii="Arial Narrow" w:hAnsi="Arial Narrow"/>
        </w:rPr>
        <w:tab/>
      </w:r>
      <w:r w:rsidRPr="00332561">
        <w:rPr>
          <w:rFonts w:ascii="Arial Narrow" w:hAnsi="Arial Narrow"/>
        </w:rPr>
        <w:tab/>
        <w:t xml:space="preserve">In person </w:t>
      </w:r>
    </w:p>
    <w:p w:rsidR="00624CE2" w:rsidRPr="00332561" w:rsidRDefault="00624CE2">
      <w:pPr>
        <w:rPr>
          <w:rFonts w:ascii="Arial Narrow" w:hAnsi="Arial Narrow"/>
        </w:rPr>
      </w:pPr>
    </w:p>
    <w:p w:rsidR="00624CE2" w:rsidRPr="00332561" w:rsidRDefault="00624CE2">
      <w:pPr>
        <w:rPr>
          <w:rFonts w:ascii="Arial Narrow" w:hAnsi="Arial Narrow"/>
        </w:rPr>
      </w:pPr>
      <w:r w:rsidRPr="00332561">
        <w:rPr>
          <w:rFonts w:ascii="Arial Narrow" w:hAnsi="Arial Narrow"/>
        </w:rPr>
        <w:t>RESPONDENT:</w:t>
      </w:r>
      <w:r w:rsidRPr="00332561">
        <w:rPr>
          <w:rFonts w:ascii="Arial Narrow" w:hAnsi="Arial Narrow"/>
        </w:rPr>
        <w:tab/>
      </w:r>
      <w:r w:rsidRPr="00332561">
        <w:rPr>
          <w:rFonts w:ascii="Arial Narrow" w:hAnsi="Arial Narrow"/>
        </w:rPr>
        <w:tab/>
      </w:r>
      <w:r w:rsidRPr="00332561">
        <w:rPr>
          <w:rFonts w:ascii="Arial Narrow" w:hAnsi="Arial Narrow"/>
        </w:rPr>
        <w:tab/>
        <w:t xml:space="preserve">S KANYEMBA </w:t>
      </w:r>
    </w:p>
    <w:p w:rsidR="00624CE2" w:rsidRPr="00332561" w:rsidRDefault="00624CE2">
      <w:pPr>
        <w:rPr>
          <w:rFonts w:ascii="Arial Narrow" w:hAnsi="Arial Narrow"/>
        </w:rPr>
      </w:pPr>
      <w:r w:rsidRPr="00332561">
        <w:rPr>
          <w:rFonts w:ascii="Arial Narrow" w:hAnsi="Arial Narrow"/>
        </w:rPr>
        <w:tab/>
      </w:r>
      <w:r w:rsidRPr="00332561">
        <w:rPr>
          <w:rFonts w:ascii="Arial Narrow" w:hAnsi="Arial Narrow"/>
        </w:rPr>
        <w:tab/>
      </w:r>
      <w:r w:rsidRPr="00332561">
        <w:rPr>
          <w:rFonts w:ascii="Arial Narrow" w:hAnsi="Arial Narrow"/>
        </w:rPr>
        <w:tab/>
      </w:r>
      <w:r w:rsidRPr="00332561">
        <w:rPr>
          <w:rFonts w:ascii="Arial Narrow" w:hAnsi="Arial Narrow"/>
        </w:rPr>
        <w:tab/>
        <w:t>Of the O</w:t>
      </w:r>
      <w:r w:rsidR="00332561">
        <w:rPr>
          <w:rFonts w:ascii="Arial Narrow" w:hAnsi="Arial Narrow"/>
        </w:rPr>
        <w:t>ffice of the Prosecutor-General, Windhoek</w:t>
      </w:r>
    </w:p>
    <w:sectPr w:rsidR="00624CE2" w:rsidRPr="00332561" w:rsidSect="009004D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13" w:rsidRDefault="00027313" w:rsidP="004842A1">
      <w:pPr>
        <w:spacing w:after="0" w:line="240" w:lineRule="auto"/>
      </w:pPr>
      <w:r>
        <w:separator/>
      </w:r>
    </w:p>
  </w:endnote>
  <w:endnote w:type="continuationSeparator" w:id="0">
    <w:p w:rsidR="00027313" w:rsidRDefault="00027313" w:rsidP="0048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13" w:rsidRDefault="00027313" w:rsidP="004842A1">
      <w:pPr>
        <w:spacing w:after="0" w:line="240" w:lineRule="auto"/>
      </w:pPr>
      <w:r>
        <w:separator/>
      </w:r>
    </w:p>
  </w:footnote>
  <w:footnote w:type="continuationSeparator" w:id="0">
    <w:p w:rsidR="00027313" w:rsidRDefault="00027313" w:rsidP="004842A1">
      <w:pPr>
        <w:spacing w:after="0" w:line="240" w:lineRule="auto"/>
      </w:pPr>
      <w:r>
        <w:continuationSeparator/>
      </w:r>
    </w:p>
  </w:footnote>
  <w:footnote w:id="1">
    <w:p w:rsidR="004842A1" w:rsidRDefault="004842A1" w:rsidP="004842A1">
      <w:pPr>
        <w:pStyle w:val="FootnoteText"/>
      </w:pPr>
      <w:r>
        <w:rPr>
          <w:rStyle w:val="FootnoteReference"/>
        </w:rPr>
        <w:footnoteRef/>
      </w:r>
      <w:r>
        <w:t xml:space="preserve"> S v </w:t>
      </w:r>
      <w:proofErr w:type="spellStart"/>
      <w:r w:rsidRPr="00CA588D">
        <w:rPr>
          <w:i/>
        </w:rPr>
        <w:t>Gey</w:t>
      </w:r>
      <w:proofErr w:type="spellEnd"/>
      <w:r w:rsidRPr="00CA588D">
        <w:rPr>
          <w:i/>
        </w:rPr>
        <w:t xml:space="preserve"> van </w:t>
      </w:r>
      <w:proofErr w:type="spellStart"/>
      <w:r w:rsidRPr="00CA588D">
        <w:rPr>
          <w:i/>
        </w:rPr>
        <w:t>Pittius</w:t>
      </w:r>
      <w:proofErr w:type="spellEnd"/>
      <w:r w:rsidRPr="00CA588D">
        <w:rPr>
          <w:i/>
        </w:rPr>
        <w:t xml:space="preserve"> and another</w:t>
      </w:r>
      <w:r>
        <w:t xml:space="preserve"> 1990 NR 35 </w:t>
      </w:r>
    </w:p>
  </w:footnote>
  <w:footnote w:id="2">
    <w:p w:rsidR="004842A1" w:rsidRDefault="004842A1" w:rsidP="004842A1">
      <w:pPr>
        <w:pStyle w:val="FootnoteText"/>
      </w:pPr>
      <w:r>
        <w:rPr>
          <w:rStyle w:val="FootnoteReference"/>
        </w:rPr>
        <w:footnoteRef/>
      </w:r>
      <w:r>
        <w:t xml:space="preserve">  </w:t>
      </w:r>
      <w:r w:rsidRPr="00CA588D">
        <w:rPr>
          <w:i/>
        </w:rPr>
        <w:t xml:space="preserve">S v </w:t>
      </w:r>
      <w:proofErr w:type="spellStart"/>
      <w:r w:rsidRPr="00CA588D">
        <w:rPr>
          <w:i/>
        </w:rPr>
        <w:t>Kakololo</w:t>
      </w:r>
      <w:proofErr w:type="spellEnd"/>
      <w:r>
        <w:t xml:space="preserve"> 2004 NR 7</w:t>
      </w:r>
      <w:proofErr w:type="gramStart"/>
      <w:r>
        <w:t xml:space="preserve">,  </w:t>
      </w:r>
      <w:proofErr w:type="spellStart"/>
      <w:r w:rsidRPr="00CA588D">
        <w:rPr>
          <w:i/>
        </w:rPr>
        <w:t>Kanogwe</w:t>
      </w:r>
      <w:proofErr w:type="spellEnd"/>
      <w:proofErr w:type="gramEnd"/>
      <w:r w:rsidRPr="00CA588D">
        <w:rPr>
          <w:i/>
        </w:rPr>
        <w:t xml:space="preserve"> v S</w:t>
      </w:r>
      <w:r>
        <w:t xml:space="preserve"> (CA 39/2012)[ 2012] NAHCMD 45 (12 October 2012,  Beyer v S (CA         134/2013) [2014] NAHCMD 172 (03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6038"/>
      <w:docPartObj>
        <w:docPartGallery w:val="Page Numbers (Top of Page)"/>
        <w:docPartUnique/>
      </w:docPartObj>
    </w:sdtPr>
    <w:sdtEndPr>
      <w:rPr>
        <w:noProof/>
      </w:rPr>
    </w:sdtEndPr>
    <w:sdtContent>
      <w:p w:rsidR="009004D8" w:rsidRDefault="009004D8">
        <w:pPr>
          <w:pStyle w:val="Header"/>
          <w:jc w:val="right"/>
        </w:pPr>
        <w:r>
          <w:fldChar w:fldCharType="begin"/>
        </w:r>
        <w:r>
          <w:instrText xml:space="preserve"> PAGE   \* MERGEFORMAT </w:instrText>
        </w:r>
        <w:r>
          <w:fldChar w:fldCharType="separate"/>
        </w:r>
        <w:r w:rsidR="00E33406">
          <w:rPr>
            <w:noProof/>
          </w:rPr>
          <w:t>4</w:t>
        </w:r>
        <w:r>
          <w:rPr>
            <w:noProof/>
          </w:rPr>
          <w:fldChar w:fldCharType="end"/>
        </w:r>
      </w:p>
    </w:sdtContent>
  </w:sdt>
  <w:p w:rsidR="009004D8" w:rsidRDefault="00900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A1"/>
    <w:rsid w:val="00027313"/>
    <w:rsid w:val="000731EA"/>
    <w:rsid w:val="00131721"/>
    <w:rsid w:val="002120B4"/>
    <w:rsid w:val="00277179"/>
    <w:rsid w:val="00332561"/>
    <w:rsid w:val="0038689D"/>
    <w:rsid w:val="003A3175"/>
    <w:rsid w:val="00444865"/>
    <w:rsid w:val="004842A1"/>
    <w:rsid w:val="004A06A8"/>
    <w:rsid w:val="004D221A"/>
    <w:rsid w:val="00624CE2"/>
    <w:rsid w:val="009004D8"/>
    <w:rsid w:val="009028ED"/>
    <w:rsid w:val="0093782D"/>
    <w:rsid w:val="0099763D"/>
    <w:rsid w:val="009E15F7"/>
    <w:rsid w:val="00A925B9"/>
    <w:rsid w:val="00AA17BE"/>
    <w:rsid w:val="00D20153"/>
    <w:rsid w:val="00DA74F1"/>
    <w:rsid w:val="00DF58F1"/>
    <w:rsid w:val="00E3258D"/>
    <w:rsid w:val="00E33406"/>
    <w:rsid w:val="00EC4234"/>
    <w:rsid w:val="00F65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C932B-F5A5-4EB6-BA20-B81CCF2A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2A1"/>
    <w:pPr>
      <w:ind w:left="720"/>
      <w:contextualSpacing/>
    </w:pPr>
  </w:style>
  <w:style w:type="paragraph" w:styleId="FootnoteText">
    <w:name w:val="footnote text"/>
    <w:basedOn w:val="Normal"/>
    <w:link w:val="FootnoteTextChar"/>
    <w:uiPriority w:val="99"/>
    <w:semiHidden/>
    <w:unhideWhenUsed/>
    <w:rsid w:val="00484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A1"/>
    <w:rPr>
      <w:sz w:val="20"/>
      <w:szCs w:val="20"/>
      <w:lang w:val="en-US"/>
    </w:rPr>
  </w:style>
  <w:style w:type="character" w:styleId="FootnoteReference">
    <w:name w:val="footnote reference"/>
    <w:basedOn w:val="DefaultParagraphFont"/>
    <w:uiPriority w:val="99"/>
    <w:semiHidden/>
    <w:unhideWhenUsed/>
    <w:rsid w:val="004842A1"/>
    <w:rPr>
      <w:vertAlign w:val="superscript"/>
    </w:rPr>
  </w:style>
  <w:style w:type="paragraph" w:styleId="BodyText">
    <w:name w:val="Body Text"/>
    <w:basedOn w:val="Normal"/>
    <w:link w:val="BodyTextChar"/>
    <w:uiPriority w:val="99"/>
    <w:unhideWhenUsed/>
    <w:rsid w:val="004842A1"/>
    <w:pPr>
      <w:spacing w:after="120"/>
    </w:pPr>
  </w:style>
  <w:style w:type="character" w:customStyle="1" w:styleId="BodyTextChar">
    <w:name w:val="Body Text Char"/>
    <w:basedOn w:val="DefaultParagraphFont"/>
    <w:link w:val="BodyText"/>
    <w:uiPriority w:val="99"/>
    <w:rsid w:val="004842A1"/>
    <w:rPr>
      <w:lang w:val="en-US"/>
    </w:rPr>
  </w:style>
  <w:style w:type="paragraph" w:customStyle="1" w:styleId="western">
    <w:name w:val="western"/>
    <w:basedOn w:val="Normal"/>
    <w:rsid w:val="004842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F1"/>
    <w:rPr>
      <w:rFonts w:ascii="Segoe UI" w:hAnsi="Segoe UI" w:cs="Segoe UI"/>
      <w:sz w:val="18"/>
      <w:szCs w:val="18"/>
      <w:lang w:val="en-US"/>
    </w:rPr>
  </w:style>
  <w:style w:type="paragraph" w:styleId="Header">
    <w:name w:val="header"/>
    <w:basedOn w:val="Normal"/>
    <w:link w:val="HeaderChar"/>
    <w:uiPriority w:val="99"/>
    <w:unhideWhenUsed/>
    <w:rsid w:val="0090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D8"/>
    <w:rPr>
      <w:lang w:val="en-US"/>
    </w:rPr>
  </w:style>
  <w:style w:type="paragraph" w:styleId="Footer">
    <w:name w:val="footer"/>
    <w:basedOn w:val="Normal"/>
    <w:link w:val="FooterChar"/>
    <w:uiPriority w:val="99"/>
    <w:unhideWhenUsed/>
    <w:rsid w:val="0090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2021-02-11T18:30:00+00:00</Judgment_x0020_Date>
    <Year xmlns="a036617c-f1b0-4353-ab0a-456b3885ee3b">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E7E98-6C26-4BEC-A87E-2A67B05E7691}">
  <ds:schemaRefs>
    <ds:schemaRef ds:uri="http://schemas.microsoft.com/office/2006/metadata/properties"/>
    <ds:schemaRef ds:uri="http://schemas.microsoft.com/office/infopath/2007/PartnerControls"/>
    <ds:schemaRef ds:uri="17a0f4bd-1162-49ac-b85f-dfe96a90bc01"/>
    <ds:schemaRef ds:uri="a036617c-f1b0-4353-ab0a-456b3885ee3b"/>
  </ds:schemaRefs>
</ds:datastoreItem>
</file>

<file path=customXml/itemProps2.xml><?xml version="1.0" encoding="utf-8"?>
<ds:datastoreItem xmlns:ds="http://schemas.openxmlformats.org/officeDocument/2006/customXml" ds:itemID="{46E6F347-979D-485E-A573-027C7BB91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DBC1A-2F3F-4A89-AC2A-1384130AF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N. Jansen</dc:creator>
  <cp:keywords/>
  <dc:description/>
  <cp:lastModifiedBy>HOME</cp:lastModifiedBy>
  <cp:revision>2</cp:revision>
  <cp:lastPrinted>2021-02-16T06:22:00Z</cp:lastPrinted>
  <dcterms:created xsi:type="dcterms:W3CDTF">2021-07-14T12:24:00Z</dcterms:created>
  <dcterms:modified xsi:type="dcterms:W3CDTF">2021-07-14T12:24:00Z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