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5ED384" w14:textId="77777777" w:rsidR="008C1970" w:rsidRPr="006E026B" w:rsidRDefault="008C1970" w:rsidP="008C1970">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3CC39AC7" wp14:editId="371598E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C75F00F" w14:textId="77777777" w:rsidR="005C2C38" w:rsidRPr="00F36EA1" w:rsidRDefault="005C2C38" w:rsidP="008C1970">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73873D4C" w14:textId="77777777" w:rsidR="005C2C38" w:rsidRPr="005713BA" w:rsidRDefault="005C2C38" w:rsidP="008C19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C39AC7"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" strokecolor="white [3212]">
                <v:textbox>
                  <w:txbxContent>
                    <w:p w14:paraId="1C75F00F" w14:textId="77777777" w:rsidR="005C2C38" w:rsidRPr="00F36EA1" w:rsidRDefault="005C2C38" w:rsidP="008C1970">
                      <w:pPr>
                        <w:tabs>
                          <w:tab w:val="center" w:pos="4513"/>
                          <w:tab w:val="right" w:pos="9027"/>
                        </w:tabs>
                        <w:spacing w:after="0" w:line="360" w:lineRule="auto"/>
                        <w:jc w:val="right"/>
                        <w:rPr>
                          <w:rFonts w:ascii="Arial" w:hAnsi="Arial" w:cs="Arial"/>
                        </w:rPr>
                      </w:pPr>
                      <w:r w:rsidRPr="00F36EA1">
                        <w:rPr>
                          <w:rFonts w:ascii="Arial" w:hAnsi="Arial" w:cs="Arial"/>
                        </w:rPr>
                        <w:t>NOT REPORTABLE</w:t>
                      </w:r>
                    </w:p>
                    <w:p w14:paraId="73873D4C" w14:textId="77777777" w:rsidR="005C2C38" w:rsidRPr="005713BA" w:rsidRDefault="005C2C38" w:rsidP="008C1970">
                      <w:pPr>
                        <w:jc w:val="center"/>
                      </w:pPr>
                    </w:p>
                  </w:txbxContent>
                </v:textbox>
              </v:shape>
            </w:pict>
          </mc:Fallback>
        </mc:AlternateContent>
      </w:r>
      <w:r w:rsidRPr="006E026B">
        <w:rPr>
          <w:rFonts w:ascii="Arial" w:hAnsi="Arial" w:cs="Arial"/>
          <w:b/>
          <w:sz w:val="24"/>
          <w:szCs w:val="24"/>
        </w:rPr>
        <w:t>REPUBLIC OF NAMIBIA</w:t>
      </w:r>
    </w:p>
    <w:p w14:paraId="5CE565DD" w14:textId="77777777" w:rsidR="008C1970" w:rsidRDefault="008C1970" w:rsidP="008C1970">
      <w:pPr>
        <w:spacing w:after="0" w:line="360" w:lineRule="auto"/>
        <w:jc w:val="center"/>
        <w:rPr>
          <w:b/>
          <w:sz w:val="32"/>
          <w:szCs w:val="32"/>
        </w:rPr>
      </w:pPr>
      <w:r>
        <w:rPr>
          <w:b/>
          <w:noProof/>
          <w:sz w:val="32"/>
          <w:szCs w:val="32"/>
          <w:lang w:eastAsia="en-ZA"/>
        </w:rPr>
        <w:drawing>
          <wp:inline distT="0" distB="0" distL="0" distR="0" wp14:anchorId="52971913" wp14:editId="09A9DB3A">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781B350" w14:textId="77777777" w:rsidR="008C1970" w:rsidRPr="006E026B" w:rsidRDefault="008C1970" w:rsidP="008C1970">
      <w:pPr>
        <w:spacing w:after="0" w:line="360" w:lineRule="auto"/>
        <w:jc w:val="center"/>
        <w:rPr>
          <w:rFonts w:ascii="Arial" w:hAnsi="Arial" w:cs="Arial"/>
          <w:bCs/>
          <w:sz w:val="24"/>
          <w:szCs w:val="24"/>
        </w:rPr>
      </w:pPr>
      <w:r>
        <w:rPr>
          <w:rFonts w:ascii="Arial" w:hAnsi="Arial" w:cs="Arial"/>
          <w:b/>
          <w:sz w:val="24"/>
          <w:szCs w:val="24"/>
        </w:rPr>
        <w:t>HIG</w:t>
      </w:r>
      <w:r w:rsidR="0008734A">
        <w:rPr>
          <w:rFonts w:ascii="Arial" w:hAnsi="Arial" w:cs="Arial"/>
          <w:b/>
          <w:sz w:val="24"/>
          <w:szCs w:val="24"/>
        </w:rPr>
        <w:t>H</w:t>
      </w:r>
      <w:r>
        <w:rPr>
          <w:rFonts w:ascii="Arial" w:hAnsi="Arial" w:cs="Arial"/>
          <w:b/>
          <w:sz w:val="24"/>
          <w:szCs w:val="24"/>
        </w:rPr>
        <w:t xml:space="preserve"> COURT </w:t>
      </w:r>
      <w:r w:rsidRPr="006E026B">
        <w:rPr>
          <w:rFonts w:ascii="Arial" w:hAnsi="Arial" w:cs="Arial"/>
          <w:b/>
          <w:sz w:val="24"/>
          <w:szCs w:val="24"/>
        </w:rPr>
        <w:t>OF NAMIBIA MAIN DIVISION, WINDHOEK</w:t>
      </w:r>
    </w:p>
    <w:p w14:paraId="75C8F0B5" w14:textId="77777777" w:rsidR="008C1970" w:rsidRDefault="008C1970" w:rsidP="008C1970">
      <w:pPr>
        <w:spacing w:after="0" w:line="360" w:lineRule="auto"/>
        <w:jc w:val="center"/>
        <w:rPr>
          <w:rFonts w:ascii="Arial" w:hAnsi="Arial" w:cs="Arial"/>
          <w:b/>
          <w:sz w:val="24"/>
          <w:szCs w:val="24"/>
        </w:rPr>
      </w:pPr>
      <w:r>
        <w:rPr>
          <w:rFonts w:ascii="Arial" w:hAnsi="Arial" w:cs="Arial"/>
          <w:b/>
          <w:sz w:val="24"/>
          <w:szCs w:val="24"/>
        </w:rPr>
        <w:t>RULING</w:t>
      </w:r>
    </w:p>
    <w:p w14:paraId="38C73821" w14:textId="77777777" w:rsidR="008C1970" w:rsidRPr="009A76CF" w:rsidRDefault="008C1970" w:rsidP="008C1970">
      <w:pPr>
        <w:spacing w:after="0" w:line="360" w:lineRule="auto"/>
        <w:jc w:val="center"/>
        <w:rPr>
          <w:rFonts w:ascii="Arial" w:hAnsi="Arial" w:cs="Arial"/>
          <w:b/>
          <w:sz w:val="20"/>
          <w:szCs w:val="20"/>
        </w:rPr>
      </w:pPr>
    </w:p>
    <w:p w14:paraId="4DC124E0" w14:textId="77777777" w:rsidR="00772C6B" w:rsidRPr="00772C6B" w:rsidRDefault="008C1970" w:rsidP="00772C6B">
      <w:pPr>
        <w:jc w:val="right"/>
        <w:rPr>
          <w:rFonts w:ascii="Arial" w:hAnsi="Arial" w:cs="Arial"/>
          <w:sz w:val="24"/>
          <w:szCs w:val="24"/>
        </w:rPr>
      </w:pPr>
      <w:r w:rsidRPr="002D1C0C">
        <w:rPr>
          <w:rFonts w:ascii="Arial" w:hAnsi="Arial" w:cs="Arial"/>
          <w:sz w:val="24"/>
          <w:szCs w:val="24"/>
        </w:rPr>
        <w:t xml:space="preserve">Case no:  </w:t>
      </w:r>
      <w:r w:rsidR="00772C6B" w:rsidRPr="00772C6B">
        <w:rPr>
          <w:rFonts w:ascii="Arial" w:hAnsi="Arial" w:cs="Arial"/>
          <w:sz w:val="24"/>
          <w:szCs w:val="24"/>
        </w:rPr>
        <w:t>HC-MD-CIV-ACT-DEL-2020/00381</w:t>
      </w:r>
    </w:p>
    <w:p w14:paraId="05B08BE1" w14:textId="77777777" w:rsidR="008C1970" w:rsidRPr="006E026B" w:rsidRDefault="008C1970" w:rsidP="008C1970">
      <w:pPr>
        <w:spacing w:after="0" w:line="360" w:lineRule="auto"/>
        <w:rPr>
          <w:rFonts w:ascii="Arial" w:hAnsi="Arial" w:cs="Arial"/>
          <w:sz w:val="24"/>
          <w:szCs w:val="24"/>
        </w:rPr>
      </w:pPr>
    </w:p>
    <w:p w14:paraId="60F2FCCB" w14:textId="77777777" w:rsidR="008C1970" w:rsidRPr="006E026B" w:rsidRDefault="008C1970" w:rsidP="008C1970">
      <w:pPr>
        <w:spacing w:after="0" w:line="360" w:lineRule="auto"/>
        <w:rPr>
          <w:rFonts w:ascii="Arial" w:hAnsi="Arial" w:cs="Arial"/>
          <w:sz w:val="24"/>
          <w:szCs w:val="24"/>
        </w:rPr>
      </w:pPr>
      <w:r w:rsidRPr="006E026B">
        <w:rPr>
          <w:rFonts w:ascii="Arial" w:hAnsi="Arial" w:cs="Arial"/>
          <w:sz w:val="24"/>
          <w:szCs w:val="24"/>
        </w:rPr>
        <w:t>In the matter between:</w:t>
      </w:r>
    </w:p>
    <w:p w14:paraId="64D8F194" w14:textId="77777777" w:rsidR="008C1970" w:rsidRPr="006E026B" w:rsidRDefault="008C1970" w:rsidP="008C1970">
      <w:pPr>
        <w:spacing w:after="0" w:line="360" w:lineRule="auto"/>
        <w:rPr>
          <w:rFonts w:ascii="Arial" w:hAnsi="Arial" w:cs="Arial"/>
          <w:sz w:val="24"/>
          <w:szCs w:val="24"/>
        </w:rPr>
      </w:pPr>
    </w:p>
    <w:p w14:paraId="71B8A1F0" w14:textId="77777777" w:rsidR="008C1970" w:rsidRDefault="00772C6B" w:rsidP="008C1970">
      <w:pPr>
        <w:spacing w:after="0" w:line="360" w:lineRule="auto"/>
        <w:jc w:val="both"/>
        <w:rPr>
          <w:rFonts w:ascii="Arial" w:eastAsia="Times New Roman" w:hAnsi="Arial" w:cs="Times New Roman"/>
          <w:b/>
          <w:sz w:val="24"/>
          <w:szCs w:val="24"/>
        </w:rPr>
      </w:pPr>
      <w:r w:rsidRPr="00772C6B">
        <w:rPr>
          <w:rFonts w:ascii="Arial" w:eastAsia="Times New Roman" w:hAnsi="Arial" w:cs="Times New Roman"/>
          <w:b/>
          <w:sz w:val="24"/>
          <w:szCs w:val="24"/>
        </w:rPr>
        <w:t>SIMON PETRUS KASHUPULWA EKANDJO</w:t>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Pr>
          <w:rFonts w:ascii="Arial" w:eastAsia="Times New Roman" w:hAnsi="Arial" w:cs="Times New Roman"/>
          <w:b/>
          <w:sz w:val="24"/>
          <w:szCs w:val="24"/>
        </w:rPr>
        <w:tab/>
      </w:r>
      <w:r w:rsidRPr="00772C6B">
        <w:rPr>
          <w:rFonts w:ascii="Arial" w:eastAsia="Times New Roman" w:hAnsi="Arial" w:cs="Times New Roman"/>
          <w:b/>
          <w:sz w:val="24"/>
          <w:szCs w:val="24"/>
        </w:rPr>
        <w:t xml:space="preserve"> PLAINTIFF</w:t>
      </w:r>
    </w:p>
    <w:p w14:paraId="532978F6" w14:textId="77777777" w:rsidR="0008734A" w:rsidRDefault="0008734A" w:rsidP="008C1970">
      <w:pPr>
        <w:spacing w:after="0" w:line="360" w:lineRule="auto"/>
        <w:jc w:val="both"/>
        <w:rPr>
          <w:rFonts w:ascii="Arial" w:hAnsi="Arial" w:cs="Arial"/>
          <w:sz w:val="24"/>
          <w:szCs w:val="24"/>
        </w:rPr>
      </w:pPr>
    </w:p>
    <w:p w14:paraId="79124A1C" w14:textId="77777777" w:rsidR="008C1970" w:rsidRDefault="008C1970" w:rsidP="008C1970">
      <w:pPr>
        <w:spacing w:after="0" w:line="360" w:lineRule="auto"/>
        <w:jc w:val="both"/>
        <w:rPr>
          <w:rFonts w:ascii="Arial" w:hAnsi="Arial" w:cs="Arial"/>
          <w:sz w:val="24"/>
          <w:szCs w:val="24"/>
        </w:rPr>
      </w:pPr>
      <w:r w:rsidRPr="006E026B">
        <w:rPr>
          <w:rFonts w:ascii="Arial" w:hAnsi="Arial" w:cs="Arial"/>
          <w:sz w:val="24"/>
          <w:szCs w:val="24"/>
        </w:rPr>
        <w:t>And</w:t>
      </w:r>
    </w:p>
    <w:p w14:paraId="4DB1FEB8" w14:textId="77777777" w:rsidR="008C1970" w:rsidRPr="00FD5D2B" w:rsidRDefault="008C1970" w:rsidP="008C1970">
      <w:pPr>
        <w:spacing w:after="0" w:line="360" w:lineRule="auto"/>
        <w:jc w:val="both"/>
        <w:rPr>
          <w:rFonts w:ascii="Arial" w:hAnsi="Arial" w:cs="Arial"/>
          <w:sz w:val="24"/>
          <w:szCs w:val="24"/>
        </w:rPr>
      </w:pPr>
    </w:p>
    <w:p w14:paraId="4085BE12" w14:textId="77777777" w:rsidR="008C1970" w:rsidRDefault="00772C6B" w:rsidP="008C1970">
      <w:pPr>
        <w:tabs>
          <w:tab w:val="right" w:pos="9180"/>
        </w:tabs>
        <w:spacing w:after="0" w:line="360" w:lineRule="auto"/>
        <w:ind w:right="87"/>
        <w:jc w:val="both"/>
        <w:rPr>
          <w:rFonts w:ascii="Arial" w:hAnsi="Arial" w:cs="Arial"/>
          <w:b/>
          <w:sz w:val="24"/>
          <w:szCs w:val="24"/>
        </w:rPr>
      </w:pPr>
      <w:r w:rsidRPr="00772C6B">
        <w:rPr>
          <w:rFonts w:ascii="Arial" w:hAnsi="Arial" w:cs="Arial"/>
          <w:b/>
          <w:sz w:val="24"/>
          <w:szCs w:val="24"/>
        </w:rPr>
        <w:t xml:space="preserve">O'B DAVIDS PROPERTIES CC </w:t>
      </w:r>
      <w:r>
        <w:rPr>
          <w:rFonts w:ascii="Arial" w:hAnsi="Arial" w:cs="Arial"/>
          <w:b/>
          <w:sz w:val="24"/>
          <w:szCs w:val="24"/>
        </w:rPr>
        <w:tab/>
      </w:r>
      <w:r w:rsidR="008C1970">
        <w:rPr>
          <w:rFonts w:ascii="Arial" w:hAnsi="Arial" w:cs="Arial"/>
          <w:b/>
          <w:sz w:val="24"/>
          <w:szCs w:val="24"/>
        </w:rPr>
        <w:t>DEFENDANT</w:t>
      </w:r>
    </w:p>
    <w:p w14:paraId="65D9A196" w14:textId="77777777" w:rsidR="008C1970" w:rsidRDefault="008C1970" w:rsidP="008C1970">
      <w:pPr>
        <w:spacing w:after="0" w:line="360" w:lineRule="auto"/>
        <w:jc w:val="both"/>
        <w:rPr>
          <w:rFonts w:ascii="Arial" w:hAnsi="Arial" w:cs="Arial"/>
          <w:sz w:val="24"/>
          <w:szCs w:val="24"/>
        </w:rPr>
      </w:pPr>
    </w:p>
    <w:p w14:paraId="6918EAA8" w14:textId="139F4025" w:rsidR="008C1970" w:rsidRPr="002D1C0C" w:rsidRDefault="008C1970" w:rsidP="008C1970">
      <w:pPr>
        <w:spacing w:after="0" w:line="360" w:lineRule="auto"/>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08734A">
        <w:rPr>
          <w:rFonts w:ascii="Arial" w:hAnsi="Arial" w:cs="Arial"/>
          <w:i/>
          <w:sz w:val="24"/>
        </w:rPr>
        <w:t>Ekandjo v</w:t>
      </w:r>
      <w:r w:rsidR="00301E8B">
        <w:rPr>
          <w:rFonts w:ascii="Arial" w:hAnsi="Arial" w:cs="Arial"/>
          <w:i/>
          <w:sz w:val="24"/>
        </w:rPr>
        <w:t>s O'B</w:t>
      </w:r>
      <w:r w:rsidR="00301E8B" w:rsidRPr="00772C6B">
        <w:rPr>
          <w:rFonts w:ascii="Arial" w:hAnsi="Arial" w:cs="Arial"/>
          <w:i/>
          <w:sz w:val="24"/>
        </w:rPr>
        <w:t xml:space="preserve"> Davids Properties </w:t>
      </w:r>
      <w:r w:rsidR="00772C6B" w:rsidRPr="00772C6B">
        <w:rPr>
          <w:rFonts w:ascii="Arial" w:hAnsi="Arial" w:cs="Arial"/>
          <w:i/>
          <w:sz w:val="24"/>
        </w:rPr>
        <w:t xml:space="preserve">CC </w:t>
      </w:r>
      <w:r w:rsidRPr="008D1AE7">
        <w:rPr>
          <w:rFonts w:ascii="Arial" w:eastAsia="Times New Roman" w:hAnsi="Arial" w:cs="Arial"/>
          <w:sz w:val="24"/>
          <w:szCs w:val="24"/>
        </w:rPr>
        <w:t>(</w:t>
      </w:r>
      <w:r w:rsidR="00772C6B" w:rsidRPr="00772C6B">
        <w:rPr>
          <w:rFonts w:ascii="Arial" w:hAnsi="Arial" w:cs="Arial"/>
          <w:sz w:val="24"/>
          <w:szCs w:val="24"/>
        </w:rPr>
        <w:t>HC-MD-CIV-ACT-DEL-2020/00381</w:t>
      </w:r>
      <w:r w:rsidR="00A7183E">
        <w:rPr>
          <w:rFonts w:ascii="Arial" w:hAnsi="Arial" w:cs="Arial"/>
          <w:sz w:val="24"/>
          <w:szCs w:val="24"/>
        </w:rPr>
        <w:t>) [2021] NAHCMD 448</w:t>
      </w:r>
      <w:r w:rsidR="00772C6B">
        <w:rPr>
          <w:rFonts w:ascii="Arial" w:hAnsi="Arial" w:cs="Arial"/>
          <w:sz w:val="24"/>
          <w:szCs w:val="24"/>
        </w:rPr>
        <w:t xml:space="preserve"> (0</w:t>
      </w:r>
      <w:r w:rsidR="00DD5F72">
        <w:rPr>
          <w:rFonts w:ascii="Arial" w:hAnsi="Arial" w:cs="Arial"/>
          <w:sz w:val="24"/>
          <w:szCs w:val="24"/>
        </w:rPr>
        <w:t>1</w:t>
      </w:r>
      <w:r w:rsidR="00772C6B">
        <w:rPr>
          <w:rFonts w:ascii="Arial" w:hAnsi="Arial" w:cs="Arial"/>
          <w:sz w:val="24"/>
          <w:szCs w:val="24"/>
        </w:rPr>
        <w:t xml:space="preserve"> October 2021</w:t>
      </w:r>
      <w:r>
        <w:rPr>
          <w:rFonts w:ascii="Arial" w:hAnsi="Arial" w:cs="Arial"/>
          <w:sz w:val="24"/>
          <w:szCs w:val="24"/>
        </w:rPr>
        <w:t xml:space="preserve">) </w:t>
      </w:r>
    </w:p>
    <w:p w14:paraId="7BEF0FD6" w14:textId="77777777" w:rsidR="008C1970" w:rsidRPr="006E026B" w:rsidRDefault="008C1970" w:rsidP="008C1970">
      <w:pPr>
        <w:spacing w:after="0" w:line="360" w:lineRule="auto"/>
        <w:jc w:val="both"/>
        <w:rPr>
          <w:rFonts w:ascii="Arial" w:hAnsi="Arial" w:cs="Arial"/>
          <w:sz w:val="24"/>
          <w:szCs w:val="24"/>
        </w:rPr>
      </w:pPr>
    </w:p>
    <w:p w14:paraId="1D3F78A9" w14:textId="77777777" w:rsidR="008C1970" w:rsidRDefault="008C1970" w:rsidP="008C1970">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772C6B">
        <w:rPr>
          <w:rFonts w:ascii="Arial" w:hAnsi="Arial" w:cs="Arial"/>
          <w:sz w:val="24"/>
          <w:szCs w:val="24"/>
        </w:rPr>
        <w:t>SIBEYA</w:t>
      </w:r>
      <w:r>
        <w:rPr>
          <w:rFonts w:ascii="Arial" w:hAnsi="Arial" w:cs="Arial"/>
          <w:sz w:val="24"/>
          <w:szCs w:val="24"/>
        </w:rPr>
        <w:t xml:space="preserve"> J</w:t>
      </w:r>
    </w:p>
    <w:p w14:paraId="27049EDF" w14:textId="77777777" w:rsidR="008C1970" w:rsidRPr="00282757" w:rsidRDefault="008C1970" w:rsidP="008C1970">
      <w:pPr>
        <w:spacing w:after="0" w:line="360" w:lineRule="auto"/>
        <w:rPr>
          <w:rFonts w:ascii="Arial" w:hAnsi="Arial" w:cs="Arial"/>
          <w:b/>
          <w:sz w:val="24"/>
          <w:szCs w:val="24"/>
        </w:rPr>
      </w:pPr>
      <w:r w:rsidRPr="00282757">
        <w:rPr>
          <w:rFonts w:ascii="Arial" w:hAnsi="Arial" w:cs="Arial"/>
          <w:b/>
          <w:bCs/>
          <w:sz w:val="24"/>
          <w:szCs w:val="24"/>
        </w:rPr>
        <w:t>Heard</w:t>
      </w:r>
      <w:r w:rsidRPr="00282757">
        <w:rPr>
          <w:rFonts w:ascii="Arial" w:hAnsi="Arial" w:cs="Arial"/>
          <w:b/>
          <w:sz w:val="24"/>
          <w:szCs w:val="24"/>
        </w:rPr>
        <w:t>:</w:t>
      </w:r>
      <w:r w:rsidRPr="00282757">
        <w:rPr>
          <w:rFonts w:ascii="Arial" w:hAnsi="Arial" w:cs="Arial"/>
          <w:b/>
          <w:sz w:val="24"/>
          <w:szCs w:val="24"/>
        </w:rPr>
        <w:tab/>
      </w:r>
      <w:r w:rsidR="00E336C3" w:rsidRPr="00282757">
        <w:rPr>
          <w:rFonts w:ascii="Arial" w:hAnsi="Arial" w:cs="Arial"/>
          <w:b/>
          <w:sz w:val="24"/>
          <w:szCs w:val="24"/>
        </w:rPr>
        <w:t>13</w:t>
      </w:r>
      <w:r w:rsidR="00B0573A" w:rsidRPr="00282757">
        <w:rPr>
          <w:rFonts w:ascii="Arial" w:hAnsi="Arial" w:cs="Arial"/>
          <w:b/>
          <w:sz w:val="24"/>
          <w:szCs w:val="24"/>
        </w:rPr>
        <w:t xml:space="preserve"> SEPTEMBER 2021</w:t>
      </w:r>
    </w:p>
    <w:p w14:paraId="774FA2AE" w14:textId="169E9A9B" w:rsidR="008C1970" w:rsidRPr="00282757" w:rsidRDefault="008C1970" w:rsidP="008C1970">
      <w:pPr>
        <w:spacing w:after="0" w:line="360" w:lineRule="auto"/>
        <w:rPr>
          <w:rFonts w:ascii="Arial" w:hAnsi="Arial" w:cs="Arial"/>
          <w:b/>
          <w:sz w:val="24"/>
          <w:szCs w:val="24"/>
        </w:rPr>
      </w:pPr>
      <w:r w:rsidRPr="00282757">
        <w:rPr>
          <w:rFonts w:ascii="Arial" w:hAnsi="Arial" w:cs="Arial"/>
          <w:b/>
          <w:bCs/>
          <w:sz w:val="24"/>
          <w:szCs w:val="24"/>
        </w:rPr>
        <w:t>Delivered</w:t>
      </w:r>
      <w:r w:rsidRPr="00282757">
        <w:rPr>
          <w:rFonts w:ascii="Arial" w:hAnsi="Arial" w:cs="Arial"/>
          <w:b/>
          <w:sz w:val="24"/>
          <w:szCs w:val="24"/>
        </w:rPr>
        <w:t>:</w:t>
      </w:r>
      <w:r w:rsidRPr="00282757">
        <w:rPr>
          <w:rFonts w:ascii="Arial" w:hAnsi="Arial" w:cs="Arial"/>
          <w:b/>
          <w:sz w:val="24"/>
          <w:szCs w:val="24"/>
        </w:rPr>
        <w:tab/>
      </w:r>
      <w:r w:rsidR="0008734A" w:rsidRPr="00282757">
        <w:rPr>
          <w:rFonts w:ascii="Arial" w:hAnsi="Arial" w:cs="Arial"/>
          <w:b/>
          <w:sz w:val="24"/>
          <w:szCs w:val="24"/>
        </w:rPr>
        <w:t>0</w:t>
      </w:r>
      <w:r w:rsidR="00DD5F72" w:rsidRPr="00282757">
        <w:rPr>
          <w:rFonts w:ascii="Arial" w:hAnsi="Arial" w:cs="Arial"/>
          <w:b/>
          <w:sz w:val="24"/>
          <w:szCs w:val="24"/>
        </w:rPr>
        <w:t>1</w:t>
      </w:r>
      <w:r w:rsidR="00E336C3" w:rsidRPr="00282757">
        <w:rPr>
          <w:rFonts w:ascii="Arial" w:hAnsi="Arial" w:cs="Arial"/>
          <w:b/>
          <w:sz w:val="24"/>
          <w:szCs w:val="24"/>
        </w:rPr>
        <w:t xml:space="preserve"> OCTO</w:t>
      </w:r>
      <w:r w:rsidR="00B0573A" w:rsidRPr="00282757">
        <w:rPr>
          <w:rFonts w:ascii="Arial" w:hAnsi="Arial" w:cs="Arial"/>
          <w:b/>
          <w:sz w:val="24"/>
          <w:szCs w:val="24"/>
        </w:rPr>
        <w:t>BER 2021</w:t>
      </w:r>
    </w:p>
    <w:p w14:paraId="4520ECF7" w14:textId="77777777" w:rsidR="008C1970" w:rsidRDefault="008C1970" w:rsidP="008C1970">
      <w:pPr>
        <w:spacing w:after="0" w:line="360" w:lineRule="auto"/>
        <w:jc w:val="both"/>
        <w:rPr>
          <w:rFonts w:ascii="Arial" w:hAnsi="Arial" w:cs="Arial"/>
          <w:b/>
          <w:sz w:val="24"/>
          <w:szCs w:val="24"/>
        </w:rPr>
      </w:pPr>
    </w:p>
    <w:p w14:paraId="1B2F8E08" w14:textId="77777777" w:rsidR="008C1970" w:rsidRDefault="008C1970" w:rsidP="008C1970">
      <w:pPr>
        <w:spacing w:after="0" w:line="360" w:lineRule="auto"/>
        <w:jc w:val="both"/>
        <w:rPr>
          <w:rFonts w:ascii="Arial" w:hAnsi="Arial" w:cs="Arial"/>
          <w:sz w:val="24"/>
          <w:szCs w:val="24"/>
        </w:rPr>
      </w:pPr>
      <w:r w:rsidRPr="00BE357B">
        <w:rPr>
          <w:rFonts w:ascii="Arial" w:hAnsi="Arial" w:cs="Arial"/>
          <w:b/>
          <w:sz w:val="24"/>
          <w:szCs w:val="24"/>
        </w:rPr>
        <w:t>Flynote</w:t>
      </w:r>
      <w:r>
        <w:rPr>
          <w:rFonts w:ascii="Arial" w:hAnsi="Arial" w:cs="Arial"/>
          <w:sz w:val="24"/>
          <w:szCs w:val="24"/>
        </w:rPr>
        <w:t>:</w:t>
      </w:r>
      <w:r>
        <w:rPr>
          <w:rFonts w:ascii="Arial" w:hAnsi="Arial" w:cs="Arial"/>
          <w:sz w:val="24"/>
          <w:szCs w:val="24"/>
        </w:rPr>
        <w:tab/>
      </w:r>
      <w:r w:rsidRPr="00DC37C9">
        <w:rPr>
          <w:rFonts w:ascii="Arial" w:hAnsi="Arial" w:cs="Arial"/>
          <w:sz w:val="24"/>
          <w:szCs w:val="24"/>
        </w:rPr>
        <w:t xml:space="preserve">Arbitration - Reference of dispute to arbitration </w:t>
      </w:r>
      <w:r w:rsidR="00664123">
        <w:rPr>
          <w:rFonts w:ascii="Arial" w:hAnsi="Arial" w:cs="Arial"/>
          <w:sz w:val="24"/>
          <w:szCs w:val="24"/>
        </w:rPr>
        <w:t>–</w:t>
      </w:r>
      <w:r w:rsidRPr="00DC37C9">
        <w:rPr>
          <w:rFonts w:ascii="Arial" w:hAnsi="Arial" w:cs="Arial"/>
          <w:sz w:val="24"/>
          <w:szCs w:val="24"/>
        </w:rPr>
        <w:t xml:space="preserve"> </w:t>
      </w:r>
      <w:r w:rsidR="00664123">
        <w:rPr>
          <w:rFonts w:ascii="Arial" w:hAnsi="Arial" w:cs="Arial"/>
          <w:sz w:val="24"/>
          <w:szCs w:val="24"/>
        </w:rPr>
        <w:t>court not convinced that exceptional circumstances were raised to prevent the court from referring the matter to arbitration as per the agreement – special plea upheld.</w:t>
      </w:r>
    </w:p>
    <w:p w14:paraId="0A689BA1" w14:textId="77777777" w:rsidR="008C1970" w:rsidRDefault="008C1970" w:rsidP="008C1970">
      <w:pPr>
        <w:spacing w:after="0" w:line="360" w:lineRule="auto"/>
        <w:jc w:val="both"/>
        <w:rPr>
          <w:rFonts w:ascii="Arial" w:hAnsi="Arial" w:cs="Arial"/>
          <w:b/>
          <w:sz w:val="24"/>
          <w:szCs w:val="24"/>
        </w:rPr>
      </w:pPr>
    </w:p>
    <w:p w14:paraId="6A273758" w14:textId="0A729EBE" w:rsidR="008C1970" w:rsidRDefault="008C1970" w:rsidP="008931F3">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sidRPr="00BE357B">
        <w:rPr>
          <w:rFonts w:ascii="Arial" w:hAnsi="Arial" w:cs="Arial"/>
          <w:b/>
          <w:sz w:val="24"/>
          <w:szCs w:val="24"/>
        </w:rPr>
        <w:t>Summary</w:t>
      </w:r>
      <w:r>
        <w:rPr>
          <w:rFonts w:ascii="Arial" w:hAnsi="Arial" w:cs="Arial"/>
          <w:sz w:val="24"/>
          <w:szCs w:val="24"/>
        </w:rPr>
        <w:t>:</w:t>
      </w:r>
      <w:r>
        <w:rPr>
          <w:rFonts w:ascii="Arial" w:hAnsi="Arial" w:cs="Arial"/>
          <w:sz w:val="24"/>
          <w:szCs w:val="24"/>
        </w:rPr>
        <w:tab/>
      </w:r>
      <w:r w:rsidR="00DF76E2">
        <w:rPr>
          <w:rFonts w:ascii="Arial" w:hAnsi="Arial" w:cs="Arial"/>
          <w:sz w:val="24"/>
          <w:szCs w:val="24"/>
        </w:rPr>
        <w:t>This court was called upon to determine a narrow issued between the parties, whether to have the matter referred to arbitration as per clause 15 of the agreement entered into between the parties. After submissions by counsel for the parties, the court was however not convinced that exceptional circumstances existed for this court not to refer the matter to be arbitration. Subsequently, the special plea as raised by the defendant is upheld.</w:t>
      </w:r>
    </w:p>
    <w:p w14:paraId="7D830C39" w14:textId="77777777" w:rsidR="0008734A" w:rsidRPr="00394506" w:rsidRDefault="0008734A" w:rsidP="008931F3">
      <w:pPr>
        <w:pStyle w:val="ListParagraph"/>
        <w:widowControl w:val="0"/>
        <w:tabs>
          <w:tab w:val="left" w:pos="720"/>
        </w:tabs>
        <w:autoSpaceDE w:val="0"/>
        <w:autoSpaceDN w:val="0"/>
        <w:spacing w:after="0" w:line="357" w:lineRule="auto"/>
        <w:ind w:left="0" w:right="30"/>
        <w:contextualSpacing w:val="0"/>
        <w:jc w:val="both"/>
        <w:rPr>
          <w:rFonts w:ascii="Arial" w:hAnsi="Arial" w:cs="Arial"/>
          <w:color w:val="FF0000"/>
          <w:sz w:val="24"/>
        </w:rPr>
      </w:pPr>
    </w:p>
    <w:p w14:paraId="2778DE12" w14:textId="77777777" w:rsidR="008C1970" w:rsidRPr="006E026B" w:rsidRDefault="0073659D" w:rsidP="008C1970">
      <w:pPr>
        <w:spacing w:after="0" w:line="360" w:lineRule="auto"/>
        <w:jc w:val="both"/>
        <w:rPr>
          <w:rFonts w:ascii="Arial" w:hAnsi="Arial" w:cs="Arial"/>
          <w:bCs/>
          <w:sz w:val="24"/>
          <w:szCs w:val="24"/>
        </w:rPr>
      </w:pPr>
      <w:r>
        <w:rPr>
          <w:rFonts w:ascii="Arial" w:hAnsi="Arial" w:cs="Arial"/>
          <w:bCs/>
          <w:noProof/>
          <w:sz w:val="24"/>
          <w:szCs w:val="24"/>
        </w:rPr>
        <w:pict w14:anchorId="544BF412">
          <v:rect id="_x0000_i1025" alt="" style="width:451.3pt;height:.05pt;mso-width-percent:0;mso-height-percent:0;mso-width-percent:0;mso-height-percent:0" o:hralign="center" o:hrstd="t" o:hr="t" fillcolor="#a0a0a0" stroked="f"/>
        </w:pict>
      </w:r>
    </w:p>
    <w:p w14:paraId="62EC19A6" w14:textId="77777777" w:rsidR="008C1970" w:rsidRPr="006E026B" w:rsidRDefault="008C1970" w:rsidP="008C1970">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16A0EF97" w14:textId="77777777" w:rsidR="008C1970" w:rsidRPr="006E026B" w:rsidRDefault="0073659D" w:rsidP="008C1970">
      <w:pPr>
        <w:spacing w:after="0" w:line="360" w:lineRule="auto"/>
        <w:jc w:val="center"/>
        <w:rPr>
          <w:rFonts w:ascii="Arial" w:hAnsi="Arial" w:cs="Arial"/>
          <w:b/>
          <w:bCs/>
          <w:sz w:val="24"/>
          <w:szCs w:val="24"/>
        </w:rPr>
      </w:pPr>
      <w:r>
        <w:rPr>
          <w:rFonts w:ascii="Arial" w:hAnsi="Arial" w:cs="Arial"/>
          <w:bCs/>
          <w:noProof/>
          <w:sz w:val="24"/>
          <w:szCs w:val="24"/>
        </w:rPr>
        <w:pict w14:anchorId="00DF32A1">
          <v:rect id="_x0000_i1026" alt="" style="width:451.3pt;height:.05pt;mso-width-percent:0;mso-height-percent:0;mso-width-percent:0;mso-height-percent:0" o:hralign="center" o:hrstd="t" o:hr="t" fillcolor="#a0a0a0" stroked="f"/>
        </w:pict>
      </w:r>
    </w:p>
    <w:p w14:paraId="42045A05" w14:textId="77777777" w:rsidR="004062BF" w:rsidRPr="00CF26DB" w:rsidRDefault="004062BF" w:rsidP="004062BF">
      <w:pPr>
        <w:pStyle w:val="ListParagraph"/>
        <w:numPr>
          <w:ilvl w:val="0"/>
          <w:numId w:val="8"/>
        </w:numPr>
        <w:spacing w:after="0" w:line="360" w:lineRule="auto"/>
        <w:jc w:val="both"/>
        <w:rPr>
          <w:rFonts w:ascii="Arial" w:hAnsi="Arial" w:cs="Arial"/>
          <w:sz w:val="24"/>
          <w:szCs w:val="24"/>
          <w:lang w:val="en-US"/>
        </w:rPr>
      </w:pPr>
      <w:r w:rsidRPr="00CF26DB">
        <w:rPr>
          <w:rFonts w:ascii="Arial" w:hAnsi="Arial" w:cs="Arial"/>
          <w:sz w:val="24"/>
          <w:szCs w:val="24"/>
          <w:lang w:val="en-US"/>
        </w:rPr>
        <w:t>The special plea is upheld with costs, such costs to include the costs of one instructing and one instructed counsel.</w:t>
      </w:r>
    </w:p>
    <w:p w14:paraId="3BFE3780" w14:textId="77777777" w:rsidR="004062BF" w:rsidRPr="00731E02" w:rsidRDefault="004062BF" w:rsidP="004062BF">
      <w:pPr>
        <w:pStyle w:val="ListParagraph"/>
        <w:widowControl w:val="0"/>
        <w:numPr>
          <w:ilvl w:val="0"/>
          <w:numId w:val="8"/>
        </w:numPr>
        <w:shd w:val="clear" w:color="auto" w:fill="FFFFFF"/>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lang w:val="en-US"/>
        </w:rPr>
        <w:t>The action is stayed pending arbitration proceedings in terms of clause 15 of the Sale and Building Agreement.</w:t>
      </w:r>
    </w:p>
    <w:p w14:paraId="22A4007E" w14:textId="77777777" w:rsidR="004062BF" w:rsidRDefault="004062BF" w:rsidP="004062BF">
      <w:pPr>
        <w:pStyle w:val="ListParagraph"/>
        <w:widowControl w:val="0"/>
        <w:numPr>
          <w:ilvl w:val="0"/>
          <w:numId w:val="8"/>
        </w:numPr>
        <w:shd w:val="clear" w:color="auto" w:fill="FFFFFF"/>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rPr>
        <w:t xml:space="preserve">The matter is postponed to 07 December 2021 for status hearing to record the outcome of arbitration. </w:t>
      </w:r>
    </w:p>
    <w:p w14:paraId="08B3B732" w14:textId="77777777" w:rsidR="004062BF" w:rsidRPr="004062BF" w:rsidRDefault="004062BF" w:rsidP="004062BF">
      <w:pPr>
        <w:pStyle w:val="ListParagraph"/>
        <w:widowControl w:val="0"/>
        <w:numPr>
          <w:ilvl w:val="0"/>
          <w:numId w:val="8"/>
        </w:numPr>
        <w:shd w:val="clear" w:color="auto" w:fill="FFFFFF"/>
        <w:tabs>
          <w:tab w:val="left" w:pos="881"/>
        </w:tabs>
        <w:autoSpaceDE w:val="0"/>
        <w:autoSpaceDN w:val="0"/>
        <w:spacing w:after="0" w:line="360" w:lineRule="auto"/>
        <w:ind w:right="137"/>
        <w:jc w:val="both"/>
        <w:rPr>
          <w:rFonts w:ascii="Arial" w:hAnsi="Arial" w:cs="Arial"/>
          <w:sz w:val="24"/>
          <w:szCs w:val="24"/>
        </w:rPr>
      </w:pPr>
      <w:r w:rsidRPr="004062BF">
        <w:rPr>
          <w:rFonts w:ascii="Arial" w:hAnsi="Arial" w:cs="Arial"/>
          <w:sz w:val="24"/>
          <w:szCs w:val="24"/>
        </w:rPr>
        <w:t>Parties must file a joint status report on or before 02 December 2021.</w:t>
      </w:r>
    </w:p>
    <w:p w14:paraId="1DB99C96" w14:textId="77777777" w:rsidR="00664123" w:rsidRPr="00613A6A" w:rsidRDefault="00664123" w:rsidP="00664123">
      <w:pPr>
        <w:spacing w:after="0" w:line="360" w:lineRule="auto"/>
        <w:jc w:val="both"/>
        <w:rPr>
          <w:rFonts w:ascii="Arial" w:hAnsi="Arial" w:cs="Arial"/>
          <w:sz w:val="24"/>
          <w:szCs w:val="24"/>
        </w:rPr>
      </w:pPr>
    </w:p>
    <w:p w14:paraId="74B8D71E" w14:textId="77777777" w:rsidR="008C1970" w:rsidRPr="004F42A0" w:rsidRDefault="0073659D" w:rsidP="008931F3">
      <w:pPr>
        <w:pStyle w:val="ListParagraph"/>
        <w:spacing w:after="0" w:line="360" w:lineRule="auto"/>
        <w:ind w:left="0"/>
        <w:jc w:val="both"/>
        <w:rPr>
          <w:rFonts w:ascii="Arial" w:hAnsi="Arial" w:cs="Arial"/>
          <w:bCs/>
          <w:sz w:val="24"/>
          <w:szCs w:val="24"/>
        </w:rPr>
      </w:pPr>
      <w:r>
        <w:rPr>
          <w:rFonts w:ascii="Arial" w:hAnsi="Arial" w:cs="Arial"/>
          <w:bCs/>
          <w:noProof/>
          <w:sz w:val="24"/>
          <w:szCs w:val="24"/>
        </w:rPr>
        <w:pict w14:anchorId="0DA60709">
          <v:rect id="_x0000_i1027" alt="" style="width:451.3pt;height:.05pt;mso-width-percent:0;mso-height-percent:0;mso-width-percent:0;mso-height-percent:0" o:hralign="center" o:hrstd="t" o:hr="t" fillcolor="#a0a0a0" stroked="f"/>
        </w:pict>
      </w:r>
    </w:p>
    <w:p w14:paraId="722195AD" w14:textId="6C130F81" w:rsidR="008C1970" w:rsidRPr="006E026B" w:rsidRDefault="008C1970" w:rsidP="008C1970">
      <w:pPr>
        <w:spacing w:after="0" w:line="360" w:lineRule="auto"/>
        <w:jc w:val="center"/>
        <w:rPr>
          <w:rFonts w:ascii="Arial" w:hAnsi="Arial" w:cs="Arial"/>
          <w:b/>
          <w:sz w:val="24"/>
          <w:szCs w:val="24"/>
        </w:rPr>
      </w:pPr>
      <w:r>
        <w:rPr>
          <w:rFonts w:ascii="Arial" w:hAnsi="Arial" w:cs="Arial"/>
          <w:b/>
          <w:sz w:val="24"/>
          <w:szCs w:val="24"/>
        </w:rPr>
        <w:t>REASO</w:t>
      </w:r>
      <w:r w:rsidR="00DD5F72">
        <w:rPr>
          <w:rFonts w:ascii="Arial" w:hAnsi="Arial" w:cs="Arial"/>
          <w:b/>
          <w:sz w:val="24"/>
          <w:szCs w:val="24"/>
        </w:rPr>
        <w:t>NS</w:t>
      </w:r>
      <w:r>
        <w:rPr>
          <w:rFonts w:ascii="Arial" w:hAnsi="Arial" w:cs="Arial"/>
          <w:b/>
          <w:sz w:val="24"/>
          <w:szCs w:val="24"/>
        </w:rPr>
        <w:t xml:space="preserve"> FOR RULING</w:t>
      </w:r>
    </w:p>
    <w:p w14:paraId="0D7810C0" w14:textId="77777777" w:rsidR="008C1970" w:rsidRPr="006E026B" w:rsidRDefault="0073659D" w:rsidP="008C1970">
      <w:pPr>
        <w:spacing w:after="0" w:line="360" w:lineRule="auto"/>
        <w:jc w:val="center"/>
        <w:rPr>
          <w:rFonts w:ascii="Arial" w:hAnsi="Arial" w:cs="Arial"/>
          <w:b/>
          <w:sz w:val="24"/>
          <w:szCs w:val="24"/>
        </w:rPr>
      </w:pPr>
      <w:r>
        <w:rPr>
          <w:rFonts w:ascii="Arial" w:hAnsi="Arial" w:cs="Arial"/>
          <w:bCs/>
          <w:noProof/>
          <w:sz w:val="24"/>
          <w:szCs w:val="24"/>
        </w:rPr>
        <w:pict w14:anchorId="35688EC2">
          <v:rect id="_x0000_i1028" alt="" style="width:451.3pt;height:.05pt;mso-width-percent:0;mso-height-percent:0;mso-width-percent:0;mso-height-percent:0" o:hralign="center" o:hrstd="t" o:hr="t" fillcolor="#a0a0a0" stroked="f"/>
        </w:pict>
      </w:r>
    </w:p>
    <w:p w14:paraId="522755D0" w14:textId="77777777" w:rsidR="008C1970" w:rsidRPr="000320F0" w:rsidRDefault="005C2C38" w:rsidP="008C1970">
      <w:pPr>
        <w:spacing w:after="0" w:line="360" w:lineRule="auto"/>
        <w:ind w:left="1440" w:hanging="1440"/>
        <w:jc w:val="both"/>
        <w:rPr>
          <w:rFonts w:ascii="Arial" w:hAnsi="Arial" w:cs="Arial"/>
          <w:b/>
          <w:i/>
          <w:sz w:val="24"/>
          <w:szCs w:val="24"/>
        </w:rPr>
      </w:pPr>
      <w:r>
        <w:rPr>
          <w:rFonts w:ascii="Arial" w:hAnsi="Arial" w:cs="Arial"/>
          <w:b/>
          <w:sz w:val="24"/>
          <w:szCs w:val="24"/>
        </w:rPr>
        <w:t>SIBEYA</w:t>
      </w:r>
      <w:r w:rsidR="008C1970" w:rsidRPr="000320F0">
        <w:rPr>
          <w:rFonts w:ascii="Arial" w:hAnsi="Arial" w:cs="Arial"/>
          <w:b/>
          <w:sz w:val="24"/>
          <w:szCs w:val="24"/>
        </w:rPr>
        <w:t xml:space="preserve"> J:</w:t>
      </w:r>
    </w:p>
    <w:p w14:paraId="4A13F204" w14:textId="77777777" w:rsidR="008C1970" w:rsidRPr="006E026B" w:rsidRDefault="008C1970" w:rsidP="008C1970">
      <w:pPr>
        <w:spacing w:after="0" w:line="360" w:lineRule="auto"/>
        <w:jc w:val="both"/>
        <w:rPr>
          <w:rFonts w:ascii="Arial" w:hAnsi="Arial" w:cs="Arial"/>
          <w:sz w:val="24"/>
          <w:szCs w:val="24"/>
        </w:rPr>
      </w:pPr>
    </w:p>
    <w:p w14:paraId="7A385B0B" w14:textId="77777777" w:rsidR="008C1970" w:rsidRDefault="008C1970" w:rsidP="008C1970">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14:paraId="5F099BCC" w14:textId="77777777" w:rsidR="008C1970" w:rsidRPr="00182405" w:rsidRDefault="008C1970" w:rsidP="008C1970">
      <w:pPr>
        <w:spacing w:after="0" w:line="360" w:lineRule="auto"/>
        <w:ind w:left="1440" w:hanging="1440"/>
        <w:jc w:val="both"/>
        <w:rPr>
          <w:rFonts w:ascii="Arial" w:hAnsi="Arial" w:cs="Arial"/>
          <w:sz w:val="24"/>
          <w:szCs w:val="24"/>
        </w:rPr>
      </w:pPr>
    </w:p>
    <w:p w14:paraId="62F31E98" w14:textId="77777777" w:rsidR="004C586B" w:rsidRDefault="008C1970"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r w:rsidRPr="00EC54E6">
        <w:rPr>
          <w:rFonts w:ascii="Arial" w:hAnsi="Arial" w:cs="Arial"/>
          <w:sz w:val="24"/>
          <w:szCs w:val="24"/>
        </w:rPr>
        <w:t>[1]</w:t>
      </w:r>
      <w:r w:rsidRPr="00EC54E6">
        <w:rPr>
          <w:rFonts w:ascii="Arial" w:hAnsi="Arial" w:cs="Arial"/>
          <w:sz w:val="24"/>
          <w:szCs w:val="24"/>
        </w:rPr>
        <w:tab/>
      </w:r>
      <w:r w:rsidR="000625BA">
        <w:rPr>
          <w:rFonts w:ascii="Arial" w:hAnsi="Arial" w:cs="Arial"/>
          <w:sz w:val="24"/>
          <w:szCs w:val="24"/>
        </w:rPr>
        <w:t xml:space="preserve">Before me is an opposed application sought by the defendant to have the arbitration clause enforced in terms of the agreement entered into </w:t>
      </w:r>
      <w:r w:rsidR="004C586B">
        <w:rPr>
          <w:rFonts w:ascii="Arial" w:hAnsi="Arial" w:cs="Arial"/>
          <w:sz w:val="24"/>
          <w:szCs w:val="24"/>
        </w:rPr>
        <w:t xml:space="preserve">with the plaintiff. </w:t>
      </w:r>
    </w:p>
    <w:p w14:paraId="55A665CE" w14:textId="77777777" w:rsidR="004C586B" w:rsidRDefault="004C586B"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p>
    <w:p w14:paraId="69D12C0E" w14:textId="06C9A708" w:rsidR="004C586B" w:rsidRDefault="004C586B"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r>
        <w:rPr>
          <w:rFonts w:ascii="Arial" w:hAnsi="Arial" w:cs="Arial"/>
          <w:sz w:val="24"/>
          <w:szCs w:val="24"/>
        </w:rPr>
        <w:t>[</w:t>
      </w:r>
      <w:r w:rsidR="006B6997">
        <w:rPr>
          <w:rFonts w:ascii="Arial" w:hAnsi="Arial" w:cs="Arial"/>
          <w:sz w:val="24"/>
          <w:szCs w:val="24"/>
        </w:rPr>
        <w:t>2</w:t>
      </w:r>
      <w:r>
        <w:rPr>
          <w:rFonts w:ascii="Arial" w:hAnsi="Arial" w:cs="Arial"/>
          <w:sz w:val="24"/>
          <w:szCs w:val="24"/>
        </w:rPr>
        <w:t>]</w:t>
      </w:r>
      <w:r>
        <w:rPr>
          <w:rFonts w:ascii="Arial" w:hAnsi="Arial" w:cs="Arial"/>
          <w:sz w:val="24"/>
          <w:szCs w:val="24"/>
        </w:rPr>
        <w:tab/>
        <w:t>The plaintiff is Simon Petrus Kashupulwa Ekandjo, an adult male employee of Ohorongo Cement. The defendant is O’B Davids Properties CC, a close corporation duly incorporated in terms of the Close Corporations Act 26 of 1988 with its registered address situate at the corner of Hosea Kutako Road and John Meinert Street</w:t>
      </w:r>
      <w:r w:rsidR="009E3255">
        <w:rPr>
          <w:rFonts w:ascii="Arial" w:hAnsi="Arial" w:cs="Arial"/>
          <w:sz w:val="24"/>
          <w:szCs w:val="24"/>
        </w:rPr>
        <w:t xml:space="preserve">, Windhoek. The plaintiff and the defendant will be referred to herein as such, and jointly as the parties. </w:t>
      </w:r>
    </w:p>
    <w:p w14:paraId="7708E380" w14:textId="7B69B112" w:rsidR="004C586B" w:rsidRDefault="004C586B"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p>
    <w:p w14:paraId="20BAF5B4" w14:textId="60FA4E9F" w:rsidR="002D2287" w:rsidRPr="002D2287" w:rsidRDefault="002D2287"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u w:val="single"/>
        </w:rPr>
      </w:pPr>
      <w:r w:rsidRPr="002D2287">
        <w:rPr>
          <w:rFonts w:ascii="Arial" w:hAnsi="Arial" w:cs="Arial"/>
          <w:sz w:val="24"/>
          <w:szCs w:val="24"/>
          <w:u w:val="single"/>
        </w:rPr>
        <w:t xml:space="preserve">Background </w:t>
      </w:r>
    </w:p>
    <w:p w14:paraId="7DA71BB9" w14:textId="77777777" w:rsidR="002D2287" w:rsidRDefault="002D2287"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p>
    <w:p w14:paraId="09DCBFBA" w14:textId="011982A0" w:rsidR="006F0BDD" w:rsidRDefault="009E3255"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r>
        <w:rPr>
          <w:rFonts w:ascii="Arial" w:hAnsi="Arial" w:cs="Arial"/>
          <w:sz w:val="24"/>
          <w:szCs w:val="24"/>
        </w:rPr>
        <w:t>[</w:t>
      </w:r>
      <w:r w:rsidR="006B6997">
        <w:rPr>
          <w:rFonts w:ascii="Arial" w:hAnsi="Arial" w:cs="Arial"/>
          <w:sz w:val="24"/>
          <w:szCs w:val="24"/>
        </w:rPr>
        <w:t>3</w:t>
      </w:r>
      <w:r>
        <w:rPr>
          <w:rFonts w:ascii="Arial" w:hAnsi="Arial" w:cs="Arial"/>
          <w:sz w:val="24"/>
          <w:szCs w:val="24"/>
        </w:rPr>
        <w:t>]</w:t>
      </w:r>
      <w:r>
        <w:rPr>
          <w:rFonts w:ascii="Arial" w:hAnsi="Arial" w:cs="Arial"/>
          <w:sz w:val="24"/>
          <w:szCs w:val="24"/>
        </w:rPr>
        <w:tab/>
        <w:t xml:space="preserve">The plaintiff alleges that the parties entered into a partly oral and partly written agreement for the purchase of an erven the construction of a residential house on such erven. </w:t>
      </w:r>
      <w:r w:rsidR="006F0BDD">
        <w:rPr>
          <w:rFonts w:ascii="Arial" w:hAnsi="Arial" w:cs="Arial"/>
          <w:sz w:val="24"/>
          <w:szCs w:val="24"/>
        </w:rPr>
        <w:t xml:space="preserve">The parties agreed that the plaintiff will pay for the purchase of the erven and the construction of the property while the defendant will construct the property on the erven. </w:t>
      </w:r>
      <w:r w:rsidR="006F0BDD">
        <w:rPr>
          <w:rFonts w:ascii="Arial" w:hAnsi="Arial" w:cs="Arial"/>
          <w:sz w:val="24"/>
          <w:szCs w:val="24"/>
        </w:rPr>
        <w:lastRenderedPageBreak/>
        <w:t xml:space="preserve">The plaintiff alleges that he paid the defendant for the purchase of the erven and the construction of the property. The defendant constructed the property not in a workmanship manner and left the property with material defects which made occupation of the property unsuitable. Despite several promises to attend to the defects, the defendant did not remedy the defects notwithstanding being notified of same. </w:t>
      </w:r>
    </w:p>
    <w:p w14:paraId="371B3A39" w14:textId="77777777" w:rsidR="006F0BDD" w:rsidRDefault="006F0BDD"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p>
    <w:p w14:paraId="59D457FE" w14:textId="4AB4E7C0" w:rsidR="009E3255" w:rsidRDefault="006F0BDD"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r>
        <w:rPr>
          <w:rFonts w:ascii="Arial" w:hAnsi="Arial" w:cs="Arial"/>
          <w:sz w:val="24"/>
          <w:szCs w:val="24"/>
        </w:rPr>
        <w:t>[</w:t>
      </w:r>
      <w:r w:rsidR="006B6997">
        <w:rPr>
          <w:rFonts w:ascii="Arial" w:hAnsi="Arial" w:cs="Arial"/>
          <w:sz w:val="24"/>
          <w:szCs w:val="24"/>
        </w:rPr>
        <w:t>4</w:t>
      </w:r>
      <w:r>
        <w:rPr>
          <w:rFonts w:ascii="Arial" w:hAnsi="Arial" w:cs="Arial"/>
          <w:sz w:val="24"/>
          <w:szCs w:val="24"/>
        </w:rPr>
        <w:t>]</w:t>
      </w:r>
      <w:r>
        <w:rPr>
          <w:rFonts w:ascii="Arial" w:hAnsi="Arial" w:cs="Arial"/>
          <w:sz w:val="24"/>
          <w:szCs w:val="24"/>
        </w:rPr>
        <w:tab/>
      </w:r>
      <w:r w:rsidR="002D2287">
        <w:rPr>
          <w:rFonts w:ascii="Arial" w:hAnsi="Arial" w:cs="Arial"/>
          <w:sz w:val="24"/>
          <w:szCs w:val="24"/>
        </w:rPr>
        <w:t xml:space="preserve">The plaintiff claims that as a result of the poor workmanship and persistent failure to rectify the defects, the plaintiff instituted this action for damages suffered. </w:t>
      </w:r>
      <w:r>
        <w:rPr>
          <w:rFonts w:ascii="Arial" w:hAnsi="Arial" w:cs="Arial"/>
          <w:sz w:val="24"/>
          <w:szCs w:val="24"/>
        </w:rPr>
        <w:t xml:space="preserve"> </w:t>
      </w:r>
    </w:p>
    <w:p w14:paraId="5BF33275" w14:textId="77777777" w:rsidR="009E3255" w:rsidRDefault="009E3255"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sz w:val="24"/>
          <w:szCs w:val="24"/>
        </w:rPr>
      </w:pPr>
    </w:p>
    <w:p w14:paraId="0EAAC30B" w14:textId="32E71272" w:rsidR="008C1970" w:rsidRDefault="0079302B"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position w:val="1"/>
          <w:sz w:val="24"/>
          <w:szCs w:val="24"/>
        </w:rPr>
      </w:pPr>
      <w:r>
        <w:rPr>
          <w:rFonts w:ascii="Arial" w:hAnsi="Arial" w:cs="Arial"/>
          <w:sz w:val="24"/>
          <w:szCs w:val="24"/>
        </w:rPr>
        <w:t>[5]</w:t>
      </w:r>
      <w:r>
        <w:rPr>
          <w:rFonts w:ascii="Arial" w:hAnsi="Arial" w:cs="Arial"/>
          <w:sz w:val="24"/>
          <w:szCs w:val="24"/>
        </w:rPr>
        <w:tab/>
      </w:r>
      <w:r w:rsidR="000625BA">
        <w:rPr>
          <w:rFonts w:ascii="Arial" w:hAnsi="Arial" w:cs="Arial"/>
          <w:sz w:val="24"/>
          <w:szCs w:val="24"/>
        </w:rPr>
        <w:t xml:space="preserve">The defendant </w:t>
      </w:r>
      <w:r w:rsidR="002D2287">
        <w:rPr>
          <w:rFonts w:ascii="Arial" w:hAnsi="Arial" w:cs="Arial"/>
          <w:sz w:val="24"/>
          <w:szCs w:val="24"/>
        </w:rPr>
        <w:t xml:space="preserve">has arsenal in its string and </w:t>
      </w:r>
      <w:r w:rsidR="000625BA">
        <w:rPr>
          <w:rFonts w:ascii="Arial" w:hAnsi="Arial" w:cs="Arial"/>
          <w:sz w:val="24"/>
          <w:szCs w:val="24"/>
        </w:rPr>
        <w:t xml:space="preserve">seeks to invoke </w:t>
      </w:r>
      <w:r w:rsidR="00082130">
        <w:rPr>
          <w:rFonts w:ascii="Arial" w:hAnsi="Arial" w:cs="Arial"/>
          <w:sz w:val="24"/>
          <w:szCs w:val="24"/>
        </w:rPr>
        <w:t xml:space="preserve">the </w:t>
      </w:r>
      <w:r w:rsidR="000625BA">
        <w:rPr>
          <w:rFonts w:ascii="Arial" w:hAnsi="Arial" w:cs="Arial"/>
          <w:sz w:val="24"/>
          <w:szCs w:val="24"/>
        </w:rPr>
        <w:t xml:space="preserve">arbitration </w:t>
      </w:r>
      <w:r w:rsidR="00082130">
        <w:rPr>
          <w:rFonts w:ascii="Arial" w:hAnsi="Arial" w:cs="Arial"/>
          <w:sz w:val="24"/>
          <w:szCs w:val="24"/>
        </w:rPr>
        <w:t xml:space="preserve">clause </w:t>
      </w:r>
      <w:r w:rsidR="000625BA">
        <w:rPr>
          <w:rFonts w:ascii="Arial" w:hAnsi="Arial" w:cs="Arial"/>
          <w:sz w:val="24"/>
          <w:szCs w:val="24"/>
        </w:rPr>
        <w:t>by means of a special plea based on clause 15 of the agreement between the parties. The plaintiff</w:t>
      </w:r>
      <w:r w:rsidR="009E3255">
        <w:rPr>
          <w:rFonts w:ascii="Arial" w:hAnsi="Arial" w:cs="Arial"/>
          <w:sz w:val="24"/>
          <w:szCs w:val="24"/>
        </w:rPr>
        <w:t xml:space="preserve"> </w:t>
      </w:r>
      <w:r w:rsidR="000625BA">
        <w:rPr>
          <w:rFonts w:ascii="Arial" w:hAnsi="Arial" w:cs="Arial"/>
          <w:sz w:val="24"/>
          <w:szCs w:val="24"/>
        </w:rPr>
        <w:t xml:space="preserve">opposes the special plea on the basis that </w:t>
      </w:r>
      <w:r w:rsidR="00B93DCD">
        <w:rPr>
          <w:rFonts w:ascii="Arial" w:hAnsi="Arial" w:cs="Arial"/>
          <w:sz w:val="24"/>
          <w:szCs w:val="24"/>
        </w:rPr>
        <w:t xml:space="preserve">the dispute between the parties is based on damages </w:t>
      </w:r>
      <w:r w:rsidR="009E3255">
        <w:rPr>
          <w:rFonts w:ascii="Arial" w:hAnsi="Arial" w:cs="Arial"/>
          <w:sz w:val="24"/>
          <w:szCs w:val="24"/>
        </w:rPr>
        <w:t xml:space="preserve">which he sustained </w:t>
      </w:r>
      <w:r w:rsidR="00B93DCD">
        <w:rPr>
          <w:rFonts w:ascii="Arial" w:hAnsi="Arial" w:cs="Arial"/>
          <w:sz w:val="24"/>
          <w:szCs w:val="24"/>
        </w:rPr>
        <w:t>due to material breach of the agreement between the parties.</w:t>
      </w:r>
    </w:p>
    <w:p w14:paraId="48093FFB" w14:textId="77777777" w:rsidR="008C1970" w:rsidRDefault="008C1970" w:rsidP="008C1970">
      <w:pPr>
        <w:pStyle w:val="ListParagraph"/>
        <w:widowControl w:val="0"/>
        <w:tabs>
          <w:tab w:val="left" w:pos="720"/>
        </w:tabs>
        <w:autoSpaceDE w:val="0"/>
        <w:autoSpaceDN w:val="0"/>
        <w:spacing w:after="0" w:line="360" w:lineRule="auto"/>
        <w:ind w:left="0" w:right="86"/>
        <w:contextualSpacing w:val="0"/>
        <w:jc w:val="both"/>
        <w:rPr>
          <w:rFonts w:ascii="Arial" w:hAnsi="Arial" w:cs="Arial"/>
          <w:position w:val="1"/>
          <w:sz w:val="24"/>
          <w:szCs w:val="24"/>
        </w:rPr>
      </w:pPr>
    </w:p>
    <w:p w14:paraId="25E868DC" w14:textId="6189C26B" w:rsidR="008C1970" w:rsidRDefault="008C1970" w:rsidP="008931F3">
      <w:pPr>
        <w:pStyle w:val="ListParagraph"/>
        <w:widowControl w:val="0"/>
        <w:tabs>
          <w:tab w:val="left" w:pos="720"/>
        </w:tabs>
        <w:autoSpaceDE w:val="0"/>
        <w:autoSpaceDN w:val="0"/>
        <w:spacing w:after="0" w:line="360" w:lineRule="auto"/>
        <w:ind w:left="0" w:right="86"/>
        <w:contextualSpacing w:val="0"/>
        <w:jc w:val="both"/>
        <w:rPr>
          <w:rFonts w:ascii="Arial" w:hAnsi="Arial" w:cs="Arial"/>
        </w:rPr>
      </w:pPr>
      <w:r w:rsidRPr="00F40B76">
        <w:rPr>
          <w:rFonts w:ascii="Arial" w:hAnsi="Arial" w:cs="Arial"/>
          <w:position w:val="1"/>
          <w:sz w:val="24"/>
          <w:szCs w:val="24"/>
        </w:rPr>
        <w:t>[</w:t>
      </w:r>
      <w:r w:rsidR="0079302B">
        <w:rPr>
          <w:rFonts w:ascii="Arial" w:hAnsi="Arial" w:cs="Arial"/>
          <w:position w:val="1"/>
          <w:sz w:val="24"/>
          <w:szCs w:val="24"/>
        </w:rPr>
        <w:t>6</w:t>
      </w:r>
      <w:r w:rsidRPr="00F40B76">
        <w:rPr>
          <w:rFonts w:ascii="Arial" w:hAnsi="Arial" w:cs="Arial"/>
          <w:position w:val="1"/>
          <w:sz w:val="24"/>
          <w:szCs w:val="24"/>
        </w:rPr>
        <w:t>]</w:t>
      </w:r>
      <w:r w:rsidRPr="00F40B76">
        <w:rPr>
          <w:rFonts w:ascii="Arial" w:hAnsi="Arial" w:cs="Arial"/>
          <w:position w:val="1"/>
          <w:sz w:val="24"/>
          <w:szCs w:val="24"/>
        </w:rPr>
        <w:tab/>
      </w:r>
      <w:r w:rsidR="004B71DD">
        <w:rPr>
          <w:rFonts w:ascii="Arial" w:hAnsi="Arial" w:cs="Arial"/>
          <w:position w:val="1"/>
          <w:sz w:val="24"/>
          <w:szCs w:val="24"/>
        </w:rPr>
        <w:t xml:space="preserve">The plaintiff in essence does not dispute </w:t>
      </w:r>
      <w:r w:rsidR="00082130">
        <w:rPr>
          <w:rFonts w:ascii="Arial" w:hAnsi="Arial" w:cs="Arial"/>
          <w:position w:val="1"/>
          <w:sz w:val="24"/>
          <w:szCs w:val="24"/>
        </w:rPr>
        <w:t xml:space="preserve">that </w:t>
      </w:r>
      <w:r w:rsidR="004B71DD">
        <w:rPr>
          <w:rFonts w:ascii="Arial" w:hAnsi="Arial" w:cs="Arial"/>
          <w:position w:val="1"/>
          <w:sz w:val="24"/>
          <w:szCs w:val="24"/>
        </w:rPr>
        <w:t>the agreement contains an arbitration clause but rather pleads that same is not compulsory when regard</w:t>
      </w:r>
      <w:r w:rsidR="00082130">
        <w:rPr>
          <w:rFonts w:ascii="Arial" w:hAnsi="Arial" w:cs="Arial"/>
          <w:position w:val="1"/>
          <w:sz w:val="24"/>
          <w:szCs w:val="24"/>
        </w:rPr>
        <w:t xml:space="preserve"> is had to th</w:t>
      </w:r>
      <w:r w:rsidR="004B71DD">
        <w:rPr>
          <w:rFonts w:ascii="Arial" w:hAnsi="Arial" w:cs="Arial"/>
          <w:position w:val="1"/>
          <w:sz w:val="24"/>
          <w:szCs w:val="24"/>
        </w:rPr>
        <w:t xml:space="preserve">e basis of the plaintiff’s claim against the defendant and the interpretation of clause 15 of the agreement. </w:t>
      </w:r>
      <w:r w:rsidR="00082130">
        <w:rPr>
          <w:rFonts w:ascii="Arial" w:hAnsi="Arial" w:cs="Arial"/>
          <w:position w:val="1"/>
          <w:sz w:val="24"/>
          <w:szCs w:val="24"/>
        </w:rPr>
        <w:t xml:space="preserve">The plaintiff further takes the position that the damages claim </w:t>
      </w:r>
      <w:r w:rsidR="002D2287">
        <w:rPr>
          <w:rFonts w:ascii="Arial" w:hAnsi="Arial" w:cs="Arial"/>
          <w:position w:val="1"/>
          <w:sz w:val="24"/>
          <w:szCs w:val="24"/>
        </w:rPr>
        <w:t xml:space="preserve">is </w:t>
      </w:r>
      <w:r w:rsidR="00082130">
        <w:rPr>
          <w:rFonts w:ascii="Arial" w:hAnsi="Arial" w:cs="Arial"/>
          <w:position w:val="1"/>
          <w:sz w:val="24"/>
          <w:szCs w:val="24"/>
        </w:rPr>
        <w:t xml:space="preserve">far and beyond the circumference of clause 15. </w:t>
      </w:r>
    </w:p>
    <w:p w14:paraId="600B903E" w14:textId="3C028DA0" w:rsidR="008C1970" w:rsidRDefault="008C1970" w:rsidP="008C1970">
      <w:pPr>
        <w:spacing w:after="0" w:line="360" w:lineRule="auto"/>
        <w:jc w:val="both"/>
        <w:rPr>
          <w:rFonts w:ascii="Arial" w:hAnsi="Arial" w:cs="Arial"/>
          <w:sz w:val="24"/>
          <w:szCs w:val="24"/>
          <w:u w:val="single"/>
        </w:rPr>
      </w:pPr>
    </w:p>
    <w:p w14:paraId="49000881" w14:textId="2F44DAEA" w:rsidR="00082130" w:rsidRDefault="00082130" w:rsidP="008C1970">
      <w:pPr>
        <w:spacing w:after="0" w:line="360" w:lineRule="auto"/>
        <w:jc w:val="both"/>
        <w:rPr>
          <w:rFonts w:ascii="Arial" w:hAnsi="Arial" w:cs="Arial"/>
          <w:sz w:val="24"/>
          <w:szCs w:val="24"/>
          <w:u w:val="single"/>
        </w:rPr>
      </w:pPr>
      <w:r>
        <w:rPr>
          <w:rFonts w:ascii="Arial" w:hAnsi="Arial" w:cs="Arial"/>
          <w:sz w:val="24"/>
          <w:szCs w:val="24"/>
          <w:u w:val="single"/>
        </w:rPr>
        <w:t xml:space="preserve">Analysis </w:t>
      </w:r>
    </w:p>
    <w:p w14:paraId="7F8F0F0E" w14:textId="77777777" w:rsidR="00082130" w:rsidRPr="00134D70" w:rsidRDefault="00082130" w:rsidP="008C1970">
      <w:pPr>
        <w:spacing w:after="0" w:line="360" w:lineRule="auto"/>
        <w:jc w:val="both"/>
        <w:rPr>
          <w:rFonts w:ascii="Arial" w:hAnsi="Arial" w:cs="Arial"/>
          <w:sz w:val="24"/>
          <w:szCs w:val="24"/>
          <w:u w:val="single"/>
        </w:rPr>
      </w:pPr>
    </w:p>
    <w:p w14:paraId="36A98FF0" w14:textId="45AF62A0" w:rsidR="008C1970" w:rsidRDefault="008C1970" w:rsidP="008C1970">
      <w:pPr>
        <w:spacing w:after="0" w:line="360" w:lineRule="auto"/>
        <w:jc w:val="both"/>
        <w:rPr>
          <w:rFonts w:ascii="Arial" w:hAnsi="Arial" w:cs="Arial"/>
          <w:sz w:val="24"/>
          <w:szCs w:val="24"/>
        </w:rPr>
      </w:pPr>
      <w:r>
        <w:rPr>
          <w:rFonts w:ascii="Arial" w:hAnsi="Arial" w:cs="Arial"/>
          <w:sz w:val="24"/>
          <w:szCs w:val="24"/>
        </w:rPr>
        <w:t>[</w:t>
      </w:r>
      <w:r w:rsidR="0079302B">
        <w:rPr>
          <w:rFonts w:ascii="Arial" w:hAnsi="Arial" w:cs="Arial"/>
          <w:sz w:val="24"/>
          <w:szCs w:val="24"/>
        </w:rPr>
        <w:t>7</w:t>
      </w:r>
      <w:r w:rsidRPr="00763FD6">
        <w:rPr>
          <w:rFonts w:ascii="Arial" w:hAnsi="Arial" w:cs="Arial"/>
          <w:sz w:val="24"/>
          <w:szCs w:val="24"/>
        </w:rPr>
        <w:t>]</w:t>
      </w:r>
      <w:r w:rsidRPr="00763FD6">
        <w:rPr>
          <w:rFonts w:ascii="Arial" w:hAnsi="Arial" w:cs="Arial"/>
          <w:sz w:val="24"/>
          <w:szCs w:val="24"/>
        </w:rPr>
        <w:tab/>
      </w:r>
      <w:r w:rsidR="001D5286">
        <w:rPr>
          <w:rFonts w:ascii="Arial" w:hAnsi="Arial" w:cs="Arial"/>
          <w:sz w:val="24"/>
          <w:szCs w:val="24"/>
        </w:rPr>
        <w:t>Clause 15 of the agreement entered into between the parties</w:t>
      </w:r>
      <w:r w:rsidR="00082130">
        <w:rPr>
          <w:rFonts w:ascii="Arial" w:hAnsi="Arial" w:cs="Arial"/>
          <w:sz w:val="24"/>
          <w:szCs w:val="24"/>
        </w:rPr>
        <w:t>,</w:t>
      </w:r>
      <w:r w:rsidR="001D5286">
        <w:rPr>
          <w:rFonts w:ascii="Arial" w:hAnsi="Arial" w:cs="Arial"/>
          <w:sz w:val="24"/>
          <w:szCs w:val="24"/>
        </w:rPr>
        <w:t xml:space="preserve"> states as follows:</w:t>
      </w:r>
    </w:p>
    <w:p w14:paraId="2203B5DE" w14:textId="77777777" w:rsidR="001D5286" w:rsidRDefault="001D5286" w:rsidP="008C1970">
      <w:pPr>
        <w:spacing w:after="0" w:line="360" w:lineRule="auto"/>
        <w:jc w:val="both"/>
        <w:rPr>
          <w:rFonts w:ascii="Arial" w:hAnsi="Arial" w:cs="Arial"/>
          <w:sz w:val="24"/>
          <w:szCs w:val="24"/>
        </w:rPr>
      </w:pPr>
    </w:p>
    <w:p w14:paraId="0364CAA9" w14:textId="6DA29199" w:rsidR="001D5286" w:rsidRDefault="001D5286" w:rsidP="008C1970">
      <w:pPr>
        <w:spacing w:after="0" w:line="360" w:lineRule="auto"/>
        <w:jc w:val="both"/>
        <w:rPr>
          <w:rFonts w:ascii="Arial" w:hAnsi="Arial" w:cs="Arial"/>
        </w:rPr>
      </w:pPr>
      <w:r>
        <w:rPr>
          <w:rFonts w:ascii="Arial" w:hAnsi="Arial" w:cs="Arial"/>
          <w:sz w:val="24"/>
          <w:szCs w:val="24"/>
        </w:rPr>
        <w:tab/>
      </w:r>
      <w:r w:rsidRPr="001D5286">
        <w:rPr>
          <w:rFonts w:ascii="Arial" w:hAnsi="Arial" w:cs="Arial"/>
        </w:rPr>
        <w:t>“In the event of a difference of opinion arising between the parties in respect of the buildings, the amount due to the developer, the measurement thereof, in the event of it being necessary to measure and value the same, or in the event of an alteration or any other matter which relates to the building of the dwelling, then it is agree</w:t>
      </w:r>
      <w:r w:rsidR="002D2287">
        <w:rPr>
          <w:rFonts w:ascii="Arial" w:hAnsi="Arial" w:cs="Arial"/>
        </w:rPr>
        <w:t>d</w:t>
      </w:r>
      <w:r w:rsidRPr="001D5286">
        <w:rPr>
          <w:rFonts w:ascii="Arial" w:hAnsi="Arial" w:cs="Arial"/>
        </w:rPr>
        <w:t xml:space="preserve"> that the dispute shall be referred to the architect who shall be appointed in terms of the Arbitration Act Number 42 of 1965 or any  amendment thereof and his decision shall be final and binding on the developer and the Purchaser”.</w:t>
      </w:r>
    </w:p>
    <w:p w14:paraId="4CBF7409" w14:textId="77777777" w:rsidR="0008734A" w:rsidRPr="001D5286" w:rsidRDefault="0008734A" w:rsidP="008C1970">
      <w:pPr>
        <w:spacing w:after="0" w:line="360" w:lineRule="auto"/>
        <w:jc w:val="both"/>
        <w:rPr>
          <w:rFonts w:ascii="Arial" w:hAnsi="Arial" w:cs="Arial"/>
        </w:rPr>
      </w:pPr>
    </w:p>
    <w:p w14:paraId="67D35169" w14:textId="3F14ECDA" w:rsidR="008C1970" w:rsidRDefault="008C1970" w:rsidP="001C1B81">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Pr>
          <w:rFonts w:ascii="Arial" w:hAnsi="Arial" w:cs="Arial"/>
          <w:sz w:val="24"/>
          <w:szCs w:val="24"/>
        </w:rPr>
        <w:t>[</w:t>
      </w:r>
      <w:r w:rsidR="0079302B">
        <w:rPr>
          <w:rFonts w:ascii="Arial" w:hAnsi="Arial" w:cs="Arial"/>
          <w:sz w:val="24"/>
          <w:szCs w:val="24"/>
        </w:rPr>
        <w:t>8</w:t>
      </w:r>
      <w:r>
        <w:rPr>
          <w:rFonts w:ascii="Arial" w:hAnsi="Arial" w:cs="Arial"/>
          <w:sz w:val="24"/>
          <w:szCs w:val="24"/>
        </w:rPr>
        <w:t>]</w:t>
      </w:r>
      <w:r>
        <w:rPr>
          <w:rFonts w:ascii="Arial" w:hAnsi="Arial" w:cs="Arial"/>
          <w:sz w:val="24"/>
          <w:szCs w:val="24"/>
        </w:rPr>
        <w:tab/>
      </w:r>
      <w:r w:rsidR="00272E9F">
        <w:rPr>
          <w:rFonts w:ascii="Arial" w:hAnsi="Arial" w:cs="Arial"/>
          <w:sz w:val="24"/>
          <w:szCs w:val="24"/>
        </w:rPr>
        <w:t xml:space="preserve">The main reasons </w:t>
      </w:r>
      <w:r w:rsidR="002D2287">
        <w:rPr>
          <w:rFonts w:ascii="Arial" w:hAnsi="Arial" w:cs="Arial"/>
          <w:sz w:val="24"/>
          <w:szCs w:val="24"/>
        </w:rPr>
        <w:t xml:space="preserve">for </w:t>
      </w:r>
      <w:r w:rsidR="00272E9F">
        <w:rPr>
          <w:rFonts w:ascii="Arial" w:hAnsi="Arial" w:cs="Arial"/>
          <w:sz w:val="24"/>
          <w:szCs w:val="24"/>
        </w:rPr>
        <w:t xml:space="preserve">the plaintiff </w:t>
      </w:r>
      <w:r w:rsidR="002D2287">
        <w:rPr>
          <w:rFonts w:ascii="Arial" w:hAnsi="Arial" w:cs="Arial"/>
          <w:sz w:val="24"/>
          <w:szCs w:val="24"/>
        </w:rPr>
        <w:t xml:space="preserve">to </w:t>
      </w:r>
      <w:r w:rsidR="00272E9F">
        <w:rPr>
          <w:rFonts w:ascii="Arial" w:hAnsi="Arial" w:cs="Arial"/>
          <w:sz w:val="24"/>
          <w:szCs w:val="24"/>
        </w:rPr>
        <w:t xml:space="preserve">oppose the referral of the dispute between the parties to arbitration are </w:t>
      </w:r>
      <w:r w:rsidR="00D521BE">
        <w:rPr>
          <w:rFonts w:ascii="Arial" w:hAnsi="Arial" w:cs="Arial"/>
          <w:sz w:val="24"/>
          <w:szCs w:val="24"/>
        </w:rPr>
        <w:t xml:space="preserve">that: </w:t>
      </w:r>
    </w:p>
    <w:p w14:paraId="30E728AC" w14:textId="77777777" w:rsidR="001C1B81" w:rsidRDefault="001C1B81" w:rsidP="001C1B81">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p>
    <w:p w14:paraId="2F102E2B" w14:textId="2B1887ED" w:rsidR="00272E9F" w:rsidRDefault="00272E9F" w:rsidP="00272E9F">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The claim is based on damages sustained by the plaintiff due to a material breach of the agreement, </w:t>
      </w:r>
      <w:r w:rsidR="00D139E3">
        <w:rPr>
          <w:rFonts w:ascii="Arial" w:hAnsi="Arial" w:cs="Arial"/>
          <w:sz w:val="24"/>
          <w:szCs w:val="24"/>
        </w:rPr>
        <w:t xml:space="preserve">which is </w:t>
      </w:r>
      <w:r>
        <w:rPr>
          <w:rFonts w:ascii="Arial" w:hAnsi="Arial" w:cs="Arial"/>
          <w:sz w:val="24"/>
          <w:szCs w:val="24"/>
        </w:rPr>
        <w:t>breach of a contractual obligation.</w:t>
      </w:r>
    </w:p>
    <w:p w14:paraId="1AC7FFBD" w14:textId="77777777" w:rsidR="00272E9F" w:rsidRDefault="00272E9F" w:rsidP="00272E9F">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p>
    <w:p w14:paraId="05AAC084" w14:textId="3F0924BD" w:rsidR="00272E9F" w:rsidRDefault="00272E9F" w:rsidP="00272E9F">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t>The claim is based on pecuniary damages sustained by the plaintiff for monies paid to the defendant for work which was not done in a proper and workman</w:t>
      </w:r>
      <w:r w:rsidR="00D521BE">
        <w:rPr>
          <w:rFonts w:ascii="Arial" w:hAnsi="Arial" w:cs="Arial"/>
          <w:sz w:val="24"/>
          <w:szCs w:val="24"/>
        </w:rPr>
        <w:t xml:space="preserve">ship </w:t>
      </w:r>
      <w:r>
        <w:rPr>
          <w:rFonts w:ascii="Arial" w:hAnsi="Arial" w:cs="Arial"/>
          <w:sz w:val="24"/>
          <w:szCs w:val="24"/>
        </w:rPr>
        <w:t>manner.</w:t>
      </w:r>
    </w:p>
    <w:p w14:paraId="02A84D0B" w14:textId="77777777" w:rsidR="00272E9F" w:rsidRDefault="00272E9F" w:rsidP="00272E9F">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p>
    <w:p w14:paraId="0DA03E3F" w14:textId="77777777" w:rsidR="00272E9F" w:rsidRDefault="00272E9F" w:rsidP="00272E9F">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Pr>
          <w:rFonts w:ascii="Arial" w:hAnsi="Arial" w:cs="Arial"/>
          <w:sz w:val="24"/>
          <w:szCs w:val="24"/>
        </w:rPr>
        <w:t>c)</w:t>
      </w:r>
      <w:r>
        <w:rPr>
          <w:rFonts w:ascii="Arial" w:hAnsi="Arial" w:cs="Arial"/>
          <w:sz w:val="24"/>
          <w:szCs w:val="24"/>
        </w:rPr>
        <w:tab/>
        <w:t>The cause of action on which the claim is based falls outside the scope of the arbitration clause of the agreement.</w:t>
      </w:r>
    </w:p>
    <w:p w14:paraId="5780A08C" w14:textId="77777777" w:rsidR="008C1970" w:rsidRPr="001755C8" w:rsidRDefault="008C1970" w:rsidP="008C1970">
      <w:pPr>
        <w:pStyle w:val="ListParagraph"/>
        <w:widowControl w:val="0"/>
        <w:tabs>
          <w:tab w:val="left" w:pos="720"/>
          <w:tab w:val="left" w:pos="810"/>
        </w:tabs>
        <w:autoSpaceDE w:val="0"/>
        <w:autoSpaceDN w:val="0"/>
        <w:spacing w:after="0" w:line="360" w:lineRule="auto"/>
        <w:ind w:left="0" w:right="30"/>
        <w:contextualSpacing w:val="0"/>
        <w:jc w:val="both"/>
        <w:rPr>
          <w:rFonts w:ascii="Arial" w:hAnsi="Arial" w:cs="Arial"/>
          <w:sz w:val="24"/>
        </w:rPr>
      </w:pPr>
    </w:p>
    <w:p w14:paraId="7C9C0B66" w14:textId="67234E8F" w:rsidR="001C1B81" w:rsidRPr="008D017A" w:rsidRDefault="008C1970" w:rsidP="001C1B81">
      <w:pPr>
        <w:spacing w:after="0" w:line="360" w:lineRule="auto"/>
        <w:jc w:val="both"/>
        <w:rPr>
          <w:rFonts w:ascii="Arial" w:eastAsia="Arial" w:hAnsi="Arial" w:cs="Arial"/>
          <w:sz w:val="24"/>
          <w:lang w:val="en-US"/>
        </w:rPr>
      </w:pPr>
      <w:r w:rsidRPr="001755C8">
        <w:rPr>
          <w:rFonts w:ascii="Arial" w:hAnsi="Arial" w:cs="Arial"/>
          <w:sz w:val="24"/>
        </w:rPr>
        <w:t>[</w:t>
      </w:r>
      <w:r w:rsidR="0079302B">
        <w:rPr>
          <w:rFonts w:ascii="Arial" w:hAnsi="Arial" w:cs="Arial"/>
          <w:sz w:val="24"/>
        </w:rPr>
        <w:t>9</w:t>
      </w:r>
      <w:r w:rsidRPr="001755C8">
        <w:rPr>
          <w:rFonts w:ascii="Arial" w:hAnsi="Arial" w:cs="Arial"/>
          <w:sz w:val="24"/>
        </w:rPr>
        <w:t>]</w:t>
      </w:r>
      <w:r w:rsidRPr="001755C8">
        <w:rPr>
          <w:rFonts w:ascii="Arial" w:hAnsi="Arial" w:cs="Arial"/>
          <w:sz w:val="24"/>
        </w:rPr>
        <w:tab/>
      </w:r>
      <w:r w:rsidR="001C1B81">
        <w:rPr>
          <w:rFonts w:ascii="Arial" w:hAnsi="Arial" w:cs="Arial"/>
          <w:sz w:val="24"/>
        </w:rPr>
        <w:t>The law on arbi</w:t>
      </w:r>
      <w:r w:rsidR="00524B8A">
        <w:rPr>
          <w:rFonts w:ascii="Arial" w:hAnsi="Arial" w:cs="Arial"/>
          <w:sz w:val="24"/>
        </w:rPr>
        <w:t>tration clauses is trite and in</w:t>
      </w:r>
      <w:r w:rsidR="001C1B81" w:rsidRPr="008D017A">
        <w:rPr>
          <w:rFonts w:ascii="Arial" w:eastAsia="Arial" w:hAnsi="Arial" w:cs="Arial"/>
          <w:sz w:val="24"/>
          <w:lang w:val="en-US"/>
        </w:rPr>
        <w:t xml:space="preserve"> Amler’s precedents of pleadings (7</w:t>
      </w:r>
      <w:r w:rsidR="001C1B81" w:rsidRPr="008D017A">
        <w:rPr>
          <w:rFonts w:ascii="Arial" w:eastAsia="Arial" w:hAnsi="Arial" w:cs="Arial"/>
          <w:sz w:val="24"/>
          <w:vertAlign w:val="superscript"/>
          <w:lang w:val="en-US"/>
        </w:rPr>
        <w:t>th</w:t>
      </w:r>
      <w:r w:rsidR="001C1B81">
        <w:rPr>
          <w:rFonts w:ascii="Arial" w:eastAsia="Arial" w:hAnsi="Arial" w:cs="Arial"/>
          <w:sz w:val="24"/>
          <w:lang w:val="en-US"/>
        </w:rPr>
        <w:t xml:space="preserve"> Ed) at p</w:t>
      </w:r>
      <w:r w:rsidR="00D139E3">
        <w:rPr>
          <w:rFonts w:ascii="Arial" w:eastAsia="Arial" w:hAnsi="Arial" w:cs="Arial"/>
          <w:sz w:val="24"/>
          <w:lang w:val="en-US"/>
        </w:rPr>
        <w:t xml:space="preserve"> </w:t>
      </w:r>
      <w:r w:rsidR="001C1B81">
        <w:rPr>
          <w:rFonts w:ascii="Arial" w:eastAsia="Arial" w:hAnsi="Arial" w:cs="Arial"/>
          <w:sz w:val="24"/>
          <w:lang w:val="en-US"/>
        </w:rPr>
        <w:t xml:space="preserve">38 and as was held in the matter of </w:t>
      </w:r>
      <w:r w:rsidR="00524B8A" w:rsidRPr="00524B8A">
        <w:rPr>
          <w:rFonts w:ascii="Arial" w:eastAsia="Arial" w:hAnsi="Arial" w:cs="Arial"/>
          <w:i/>
          <w:sz w:val="24"/>
          <w:lang w:val="en-US"/>
        </w:rPr>
        <w:t>Trustco Group International (Pty) Ltd v The Namibia Rugby Union</w:t>
      </w:r>
      <w:r w:rsidR="00524B8A">
        <w:rPr>
          <w:rFonts w:ascii="Arial" w:eastAsia="Arial" w:hAnsi="Arial" w:cs="Arial"/>
          <w:i/>
          <w:sz w:val="24"/>
          <w:lang w:val="en-US"/>
        </w:rPr>
        <w:t>,</w:t>
      </w:r>
      <w:r w:rsidR="00524B8A" w:rsidRPr="00A7183E">
        <w:rPr>
          <w:rStyle w:val="FootnoteReference"/>
          <w:rFonts w:ascii="Arial" w:eastAsia="Arial" w:hAnsi="Arial" w:cs="Arial"/>
          <w:sz w:val="24"/>
          <w:lang w:val="en-US"/>
        </w:rPr>
        <w:footnoteReference w:id="1"/>
      </w:r>
      <w:r w:rsidR="00524B8A" w:rsidRPr="00524B8A">
        <w:rPr>
          <w:rFonts w:ascii="Arial" w:eastAsia="Arial" w:hAnsi="Arial" w:cs="Arial"/>
          <w:i/>
          <w:sz w:val="24"/>
          <w:lang w:val="en-US"/>
        </w:rPr>
        <w:t xml:space="preserve"> </w:t>
      </w:r>
      <w:r w:rsidR="001C1B81">
        <w:rPr>
          <w:rFonts w:ascii="Arial" w:eastAsia="Arial" w:hAnsi="Arial" w:cs="Arial"/>
          <w:sz w:val="24"/>
          <w:lang w:val="en-US"/>
        </w:rPr>
        <w:t xml:space="preserve"> </w:t>
      </w:r>
      <w:r w:rsidR="001C1B81" w:rsidRPr="008D017A">
        <w:rPr>
          <w:rFonts w:ascii="Arial" w:eastAsia="Arial" w:hAnsi="Arial" w:cs="Arial"/>
          <w:sz w:val="24"/>
          <w:lang w:val="en-US"/>
        </w:rPr>
        <w:t>the following are said to be the required jurisdictional facts</w:t>
      </w:r>
      <w:r w:rsidR="00524B8A">
        <w:rPr>
          <w:rFonts w:ascii="Arial" w:eastAsia="Arial" w:hAnsi="Arial" w:cs="Arial"/>
          <w:sz w:val="24"/>
          <w:lang w:val="en-US"/>
        </w:rPr>
        <w:t xml:space="preserve"> for the special plea of arbitration to be successfully raised</w:t>
      </w:r>
      <w:r w:rsidR="001C1B81" w:rsidRPr="008D017A">
        <w:rPr>
          <w:rFonts w:ascii="Arial" w:eastAsia="Arial" w:hAnsi="Arial" w:cs="Arial"/>
          <w:sz w:val="24"/>
          <w:lang w:val="en-US"/>
        </w:rPr>
        <w:t>:</w:t>
      </w:r>
    </w:p>
    <w:p w14:paraId="096E4184" w14:textId="77777777" w:rsidR="001C1B81" w:rsidRPr="008D017A" w:rsidRDefault="001C1B81" w:rsidP="001C1B81">
      <w:pPr>
        <w:spacing w:after="0" w:line="360" w:lineRule="auto"/>
        <w:jc w:val="both"/>
        <w:rPr>
          <w:rFonts w:ascii="Arial" w:eastAsia="Arial" w:hAnsi="Arial" w:cs="Arial"/>
          <w:sz w:val="24"/>
          <w:lang w:val="en-US"/>
        </w:rPr>
      </w:pPr>
    </w:p>
    <w:p w14:paraId="65D4295C" w14:textId="77777777" w:rsidR="001C1B81" w:rsidRDefault="001C1B81" w:rsidP="001C1B81">
      <w:pPr>
        <w:spacing w:after="0" w:line="360" w:lineRule="auto"/>
        <w:jc w:val="both"/>
        <w:rPr>
          <w:rFonts w:ascii="Arial" w:eastAsia="Arial" w:hAnsi="Arial" w:cs="Arial"/>
          <w:sz w:val="24"/>
          <w:lang w:val="en-US"/>
        </w:rPr>
      </w:pPr>
      <w:r w:rsidRPr="008D017A">
        <w:rPr>
          <w:rFonts w:ascii="Arial" w:eastAsia="Arial" w:hAnsi="Arial" w:cs="Arial"/>
          <w:sz w:val="24"/>
          <w:lang w:val="en-US"/>
        </w:rPr>
        <w:t>(a)</w:t>
      </w:r>
      <w:r w:rsidRPr="008D017A">
        <w:rPr>
          <w:rFonts w:ascii="Arial" w:eastAsia="Arial" w:hAnsi="Arial" w:cs="Arial"/>
          <w:sz w:val="24"/>
          <w:lang w:val="en-US"/>
        </w:rPr>
        <w:tab/>
      </w:r>
      <w:r w:rsidR="00524B8A">
        <w:rPr>
          <w:rFonts w:ascii="Arial" w:eastAsia="Arial" w:hAnsi="Arial" w:cs="Arial"/>
          <w:sz w:val="24"/>
          <w:lang w:val="en-US"/>
        </w:rPr>
        <w:t>That there must be in existence</w:t>
      </w:r>
      <w:r w:rsidRPr="008D017A">
        <w:rPr>
          <w:rFonts w:ascii="Arial" w:eastAsia="Arial" w:hAnsi="Arial" w:cs="Arial"/>
          <w:sz w:val="24"/>
          <w:lang w:val="en-US"/>
        </w:rPr>
        <w:t xml:space="preserve"> the arbitration clause or agreement, which must be in writing (but not necessarily signed);</w:t>
      </w:r>
      <w:r w:rsidR="00524B8A">
        <w:rPr>
          <w:rStyle w:val="FootnoteReference"/>
          <w:rFonts w:ascii="Arial" w:eastAsia="Arial" w:hAnsi="Arial" w:cs="Arial"/>
          <w:sz w:val="24"/>
          <w:lang w:val="en-US"/>
        </w:rPr>
        <w:footnoteReference w:id="2"/>
      </w:r>
      <w:r w:rsidRPr="008D017A">
        <w:rPr>
          <w:rFonts w:ascii="Arial" w:eastAsia="Arial" w:hAnsi="Arial" w:cs="Arial"/>
          <w:sz w:val="24"/>
          <w:lang w:val="en-US"/>
        </w:rPr>
        <w:t xml:space="preserve"> </w:t>
      </w:r>
    </w:p>
    <w:p w14:paraId="1743A868" w14:textId="77777777" w:rsidR="00524B8A" w:rsidRPr="008D017A" w:rsidRDefault="00524B8A" w:rsidP="001C1B81">
      <w:pPr>
        <w:spacing w:after="0" w:line="360" w:lineRule="auto"/>
        <w:jc w:val="both"/>
        <w:rPr>
          <w:rFonts w:ascii="Arial" w:eastAsia="Arial" w:hAnsi="Arial" w:cs="Arial"/>
          <w:sz w:val="24"/>
          <w:lang w:val="en-US"/>
        </w:rPr>
      </w:pPr>
    </w:p>
    <w:p w14:paraId="19A06C89" w14:textId="77777777" w:rsidR="001C1B81" w:rsidRPr="008D017A" w:rsidRDefault="001C1B81" w:rsidP="001C1B81">
      <w:pPr>
        <w:spacing w:after="0" w:line="360" w:lineRule="auto"/>
        <w:jc w:val="both"/>
        <w:rPr>
          <w:rFonts w:ascii="Arial" w:eastAsia="Arial" w:hAnsi="Arial" w:cs="Arial"/>
          <w:sz w:val="24"/>
          <w:lang w:val="en-US"/>
        </w:rPr>
      </w:pPr>
      <w:r w:rsidRPr="008D017A">
        <w:rPr>
          <w:rFonts w:ascii="Arial" w:eastAsia="Arial" w:hAnsi="Arial" w:cs="Arial"/>
          <w:sz w:val="24"/>
          <w:lang w:val="en-US"/>
        </w:rPr>
        <w:t>(b)</w:t>
      </w:r>
      <w:r w:rsidRPr="008D017A">
        <w:rPr>
          <w:rFonts w:ascii="Arial" w:eastAsia="Arial" w:hAnsi="Arial" w:cs="Arial"/>
          <w:sz w:val="24"/>
          <w:lang w:val="en-US"/>
        </w:rPr>
        <w:tab/>
        <w:t xml:space="preserve">That the arbitration clause or agreement </w:t>
      </w:r>
      <w:r w:rsidR="00524B8A">
        <w:rPr>
          <w:rFonts w:ascii="Arial" w:eastAsia="Arial" w:hAnsi="Arial" w:cs="Arial"/>
          <w:sz w:val="24"/>
          <w:lang w:val="en-US"/>
        </w:rPr>
        <w:t>must be</w:t>
      </w:r>
      <w:r w:rsidRPr="008D017A">
        <w:rPr>
          <w:rFonts w:ascii="Arial" w:eastAsia="Arial" w:hAnsi="Arial" w:cs="Arial"/>
          <w:sz w:val="24"/>
          <w:lang w:val="en-US"/>
        </w:rPr>
        <w:t xml:space="preserve"> applicable to the dispute between the parties; </w:t>
      </w:r>
      <w:r w:rsidR="00524B8A">
        <w:rPr>
          <w:rStyle w:val="FootnoteReference"/>
          <w:rFonts w:ascii="Arial" w:eastAsia="Arial" w:hAnsi="Arial" w:cs="Arial"/>
          <w:sz w:val="24"/>
          <w:lang w:val="en-US"/>
        </w:rPr>
        <w:footnoteReference w:id="3"/>
      </w:r>
    </w:p>
    <w:p w14:paraId="3A707393" w14:textId="77777777" w:rsidR="001C1B81" w:rsidRPr="008D017A" w:rsidRDefault="001C1B81" w:rsidP="001C1B81">
      <w:pPr>
        <w:spacing w:after="0" w:line="360" w:lineRule="auto"/>
        <w:jc w:val="both"/>
        <w:rPr>
          <w:rFonts w:ascii="Arial" w:eastAsia="Arial" w:hAnsi="Arial" w:cs="Arial"/>
          <w:sz w:val="24"/>
          <w:lang w:val="en-US"/>
        </w:rPr>
      </w:pPr>
    </w:p>
    <w:p w14:paraId="070EA3E6" w14:textId="77777777" w:rsidR="001C1B81" w:rsidRPr="008D017A" w:rsidRDefault="001C1B81" w:rsidP="001C1B81">
      <w:pPr>
        <w:spacing w:after="0" w:line="360" w:lineRule="auto"/>
        <w:jc w:val="both"/>
        <w:rPr>
          <w:rFonts w:ascii="Arial" w:eastAsia="Arial" w:hAnsi="Arial" w:cs="Arial"/>
          <w:sz w:val="24"/>
          <w:lang w:val="en-US"/>
        </w:rPr>
      </w:pPr>
      <w:r w:rsidRPr="008D017A">
        <w:rPr>
          <w:rFonts w:ascii="Arial" w:eastAsia="Arial" w:hAnsi="Arial" w:cs="Arial"/>
          <w:sz w:val="24"/>
          <w:lang w:val="en-US"/>
        </w:rPr>
        <w:t>(c)</w:t>
      </w:r>
      <w:r w:rsidRPr="008D017A">
        <w:rPr>
          <w:rFonts w:ascii="Arial" w:eastAsia="Arial" w:hAnsi="Arial" w:cs="Arial"/>
          <w:sz w:val="24"/>
          <w:lang w:val="en-US"/>
        </w:rPr>
        <w:tab/>
        <w:t>That there exists a dispute between the parties, which dispute must be demarcated in the special plea.</w:t>
      </w:r>
    </w:p>
    <w:p w14:paraId="57B26BB2" w14:textId="77777777" w:rsidR="001C1B81" w:rsidRPr="008D017A" w:rsidRDefault="001C1B81" w:rsidP="001C1B81">
      <w:pPr>
        <w:spacing w:after="0" w:line="360" w:lineRule="auto"/>
        <w:jc w:val="both"/>
        <w:rPr>
          <w:rFonts w:ascii="Arial" w:eastAsia="Arial" w:hAnsi="Arial" w:cs="Arial"/>
          <w:sz w:val="24"/>
          <w:lang w:val="en-US"/>
        </w:rPr>
      </w:pPr>
    </w:p>
    <w:p w14:paraId="72DA6DE4" w14:textId="77777777" w:rsidR="001C1B81" w:rsidRPr="008D017A" w:rsidRDefault="001C1B81" w:rsidP="001C1B81">
      <w:pPr>
        <w:spacing w:after="0" w:line="360" w:lineRule="auto"/>
        <w:jc w:val="both"/>
        <w:rPr>
          <w:rFonts w:ascii="Arial" w:eastAsia="Arial" w:hAnsi="Arial" w:cs="Arial"/>
          <w:sz w:val="24"/>
          <w:lang w:val="en-US"/>
        </w:rPr>
      </w:pPr>
      <w:r w:rsidRPr="008D017A">
        <w:rPr>
          <w:rFonts w:ascii="Arial" w:eastAsia="Arial" w:hAnsi="Arial" w:cs="Arial"/>
          <w:sz w:val="24"/>
          <w:lang w:val="en-US"/>
        </w:rPr>
        <w:t>(d)</w:t>
      </w:r>
      <w:r w:rsidRPr="008D017A">
        <w:rPr>
          <w:rFonts w:ascii="Arial" w:eastAsia="Arial" w:hAnsi="Arial" w:cs="Arial"/>
          <w:sz w:val="24"/>
          <w:lang w:val="en-US"/>
        </w:rPr>
        <w:tab/>
        <w:t xml:space="preserve">That all the preconditions contained in the agreement for commencing arbitration </w:t>
      </w:r>
      <w:r w:rsidR="00524B8A" w:rsidRPr="008D017A">
        <w:rPr>
          <w:rFonts w:ascii="Arial" w:eastAsia="Arial" w:hAnsi="Arial" w:cs="Arial"/>
          <w:sz w:val="24"/>
          <w:lang w:val="en-US"/>
        </w:rPr>
        <w:t>has</w:t>
      </w:r>
      <w:r w:rsidRPr="008D017A">
        <w:rPr>
          <w:rFonts w:ascii="Arial" w:eastAsia="Arial" w:hAnsi="Arial" w:cs="Arial"/>
          <w:sz w:val="24"/>
          <w:lang w:val="en-US"/>
        </w:rPr>
        <w:t xml:space="preserve"> been complied with.</w:t>
      </w:r>
    </w:p>
    <w:p w14:paraId="40B6C90D" w14:textId="77777777" w:rsidR="00272E9F" w:rsidRPr="001755C8" w:rsidRDefault="00272E9F" w:rsidP="008C1970">
      <w:pPr>
        <w:widowControl w:val="0"/>
        <w:tabs>
          <w:tab w:val="left" w:pos="720"/>
        </w:tabs>
        <w:autoSpaceDE w:val="0"/>
        <w:autoSpaceDN w:val="0"/>
        <w:spacing w:after="0" w:line="360" w:lineRule="auto"/>
        <w:ind w:right="30"/>
        <w:jc w:val="both"/>
        <w:rPr>
          <w:rFonts w:ascii="Arial" w:hAnsi="Arial" w:cs="Arial"/>
          <w:sz w:val="24"/>
        </w:rPr>
      </w:pPr>
    </w:p>
    <w:p w14:paraId="6044DDFB" w14:textId="0D995A16" w:rsidR="00732589" w:rsidRDefault="008C1970" w:rsidP="008C1970">
      <w:pPr>
        <w:pStyle w:val="BodyText"/>
        <w:tabs>
          <w:tab w:val="left" w:pos="720"/>
        </w:tabs>
        <w:spacing w:line="360" w:lineRule="auto"/>
        <w:ind w:right="30"/>
        <w:jc w:val="both"/>
        <w:rPr>
          <w:rFonts w:ascii="Arial" w:hAnsi="Arial" w:cs="Arial"/>
          <w:sz w:val="26"/>
        </w:rPr>
      </w:pPr>
      <w:r>
        <w:rPr>
          <w:rFonts w:ascii="Arial" w:hAnsi="Arial" w:cs="Arial"/>
          <w:sz w:val="26"/>
        </w:rPr>
        <w:t>[</w:t>
      </w:r>
      <w:r w:rsidR="0079302B">
        <w:rPr>
          <w:rFonts w:ascii="Arial" w:hAnsi="Arial" w:cs="Arial"/>
          <w:sz w:val="26"/>
        </w:rPr>
        <w:t>10</w:t>
      </w:r>
      <w:r>
        <w:rPr>
          <w:rFonts w:ascii="Arial" w:hAnsi="Arial" w:cs="Arial"/>
          <w:sz w:val="26"/>
        </w:rPr>
        <w:t>]</w:t>
      </w:r>
      <w:r>
        <w:rPr>
          <w:rFonts w:ascii="Arial" w:hAnsi="Arial" w:cs="Arial"/>
          <w:sz w:val="26"/>
        </w:rPr>
        <w:tab/>
      </w:r>
      <w:r w:rsidR="00732589">
        <w:rPr>
          <w:rFonts w:ascii="Arial" w:hAnsi="Arial" w:cs="Arial"/>
          <w:sz w:val="26"/>
        </w:rPr>
        <w:t>Mr Coetzee who appeared for the plaintiff submitted that the claim in question does not falls within the category of matters where clause 15 finds application.</w:t>
      </w:r>
      <w:r w:rsidR="00D139E3">
        <w:rPr>
          <w:rFonts w:ascii="Arial" w:hAnsi="Arial" w:cs="Arial"/>
          <w:sz w:val="26"/>
        </w:rPr>
        <w:t xml:space="preserve"> I further understood Mr Coetzee to submit that</w:t>
      </w:r>
      <w:r w:rsidR="00143468">
        <w:rPr>
          <w:rFonts w:ascii="Arial" w:hAnsi="Arial" w:cs="Arial"/>
          <w:sz w:val="26"/>
        </w:rPr>
        <w:t xml:space="preserve"> the jurisdictional facts referred to above for the arbitration clause to be present were not met in this matter.</w:t>
      </w:r>
      <w:r w:rsidR="00732589">
        <w:rPr>
          <w:rFonts w:ascii="Arial" w:hAnsi="Arial" w:cs="Arial"/>
          <w:sz w:val="26"/>
        </w:rPr>
        <w:t xml:space="preserve"> Mr Diedericks who appeared for the defendant submitted to the contrary. </w:t>
      </w:r>
      <w:r w:rsidR="00732589">
        <w:rPr>
          <w:rFonts w:ascii="Arial" w:hAnsi="Arial" w:cs="Arial"/>
          <w:sz w:val="26"/>
        </w:rPr>
        <w:lastRenderedPageBreak/>
        <w:t xml:space="preserve">The parties therefore locked horns on the applicability or not of clause 15 to the matter before. </w:t>
      </w:r>
    </w:p>
    <w:p w14:paraId="03AAA436" w14:textId="5089BE62" w:rsidR="00AC55FE" w:rsidRDefault="00AC55FE" w:rsidP="00ED62AF">
      <w:pPr>
        <w:pStyle w:val="BodyText"/>
        <w:tabs>
          <w:tab w:val="left" w:pos="720"/>
        </w:tabs>
        <w:spacing w:line="360" w:lineRule="auto"/>
        <w:ind w:left="1080" w:right="30"/>
        <w:jc w:val="both"/>
        <w:rPr>
          <w:rFonts w:ascii="Arial" w:hAnsi="Arial" w:cs="Arial"/>
          <w:sz w:val="26"/>
        </w:rPr>
      </w:pPr>
    </w:p>
    <w:p w14:paraId="0F032120" w14:textId="527A07DF" w:rsidR="00277418" w:rsidRPr="00277418" w:rsidRDefault="008C1970" w:rsidP="00277418">
      <w:pPr>
        <w:pStyle w:val="BodyText"/>
        <w:spacing w:line="360" w:lineRule="auto"/>
        <w:jc w:val="both"/>
        <w:rPr>
          <w:rFonts w:ascii="Arial" w:hAnsi="Arial" w:cs="Arial"/>
        </w:rPr>
      </w:pPr>
      <w:r>
        <w:rPr>
          <w:rFonts w:ascii="Arial" w:hAnsi="Arial" w:cs="Arial"/>
        </w:rPr>
        <w:t>[</w:t>
      </w:r>
      <w:r w:rsidR="0079302B">
        <w:rPr>
          <w:rFonts w:ascii="Arial" w:hAnsi="Arial" w:cs="Arial"/>
        </w:rPr>
        <w:t>11</w:t>
      </w:r>
      <w:r>
        <w:rPr>
          <w:rFonts w:ascii="Arial" w:hAnsi="Arial" w:cs="Arial"/>
        </w:rPr>
        <w:t>]</w:t>
      </w:r>
      <w:r>
        <w:rPr>
          <w:rFonts w:ascii="Arial" w:hAnsi="Arial" w:cs="Arial"/>
        </w:rPr>
        <w:tab/>
      </w:r>
      <w:r w:rsidR="00277418">
        <w:rPr>
          <w:rFonts w:ascii="Arial" w:hAnsi="Arial" w:cs="Arial"/>
        </w:rPr>
        <w:t>I am cognisant of the fact that the court, as is generally practice</w:t>
      </w:r>
      <w:r w:rsidR="00277418" w:rsidRPr="00277418">
        <w:rPr>
          <w:rFonts w:ascii="Arial" w:hAnsi="Arial" w:cs="Arial"/>
        </w:rPr>
        <w:t>, must refer matters which have arbitration clauses to arbitration</w:t>
      </w:r>
      <w:r w:rsidR="00277418">
        <w:rPr>
          <w:rFonts w:ascii="Arial" w:hAnsi="Arial" w:cs="Arial"/>
        </w:rPr>
        <w:t>,</w:t>
      </w:r>
      <w:r w:rsidR="00277418" w:rsidRPr="00277418">
        <w:rPr>
          <w:rFonts w:ascii="Arial" w:hAnsi="Arial" w:cs="Arial"/>
        </w:rPr>
        <w:t xml:space="preserve"> if agreements so provide. In </w:t>
      </w:r>
      <w:r w:rsidR="00277418" w:rsidRPr="00277418">
        <w:rPr>
          <w:rFonts w:ascii="Arial" w:hAnsi="Arial" w:cs="Arial"/>
          <w:i/>
        </w:rPr>
        <w:t>Umso Construction Pty Ltd v Bk Investments Holdings (Pty) Ltd</w:t>
      </w:r>
      <w:r w:rsidR="00277418" w:rsidRPr="00277418">
        <w:rPr>
          <w:rFonts w:ascii="Arial" w:hAnsi="Arial" w:cs="Arial"/>
        </w:rPr>
        <w:t>,</w:t>
      </w:r>
      <w:r w:rsidR="00277418">
        <w:rPr>
          <w:rStyle w:val="FootnoteReference"/>
          <w:rFonts w:ascii="Arial" w:hAnsi="Arial" w:cs="Arial"/>
        </w:rPr>
        <w:footnoteReference w:id="4"/>
      </w:r>
      <w:r w:rsidR="00277418" w:rsidRPr="00277418">
        <w:rPr>
          <w:rFonts w:ascii="Arial" w:hAnsi="Arial" w:cs="Arial"/>
        </w:rPr>
        <w:t xml:space="preserve"> the following was stated at para 7 of the judgment – </w:t>
      </w:r>
    </w:p>
    <w:p w14:paraId="061A8F5C" w14:textId="77777777" w:rsidR="00277418" w:rsidRPr="00277418" w:rsidRDefault="00277418" w:rsidP="00277418">
      <w:pPr>
        <w:pStyle w:val="BodyText"/>
        <w:spacing w:line="360" w:lineRule="auto"/>
        <w:jc w:val="both"/>
        <w:rPr>
          <w:rFonts w:ascii="Arial" w:hAnsi="Arial" w:cs="Arial"/>
        </w:rPr>
      </w:pPr>
    </w:p>
    <w:p w14:paraId="43FA81E1" w14:textId="1304B9A4" w:rsidR="008C1970" w:rsidRDefault="00277418" w:rsidP="00277418">
      <w:pPr>
        <w:pStyle w:val="BodyText"/>
        <w:spacing w:line="360" w:lineRule="auto"/>
        <w:ind w:firstLine="720"/>
        <w:jc w:val="both"/>
        <w:rPr>
          <w:rFonts w:ascii="Arial" w:hAnsi="Arial" w:cs="Arial"/>
          <w:sz w:val="22"/>
        </w:rPr>
      </w:pPr>
      <w:r w:rsidRPr="00277418">
        <w:rPr>
          <w:rFonts w:ascii="Arial" w:hAnsi="Arial" w:cs="Arial"/>
          <w:sz w:val="22"/>
        </w:rPr>
        <w:t>‘The onus is on the respondent to satisfy the court that it should not in its discretion refer the matter to arbitration - . . . A court will only refuse to refer the matter to arbitration where a very strong case has been made out - . . .’</w:t>
      </w:r>
    </w:p>
    <w:p w14:paraId="37528126" w14:textId="77777777" w:rsidR="00334D41" w:rsidRPr="00277418" w:rsidRDefault="00334D41" w:rsidP="00277418">
      <w:pPr>
        <w:pStyle w:val="BodyText"/>
        <w:spacing w:line="360" w:lineRule="auto"/>
        <w:ind w:firstLine="720"/>
        <w:jc w:val="both"/>
        <w:rPr>
          <w:rFonts w:ascii="Arial" w:hAnsi="Arial" w:cs="Arial"/>
          <w:sz w:val="22"/>
        </w:rPr>
      </w:pPr>
    </w:p>
    <w:p w14:paraId="6614E6DB" w14:textId="4A546A6E"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Supreme Court in </w:t>
      </w:r>
      <w:r w:rsidRPr="00B11297">
        <w:rPr>
          <w:rFonts w:ascii="Arial" w:hAnsi="Arial" w:cs="Arial"/>
          <w:i/>
          <w:iCs/>
          <w:sz w:val="24"/>
          <w:szCs w:val="24"/>
        </w:rPr>
        <w:t>Namibia Wildlife Resort (Pty) Ltd v Ingplan Consulting Engineers and Project Managers and Another</w:t>
      </w:r>
      <w:r>
        <w:rPr>
          <w:rFonts w:ascii="Arial" w:hAnsi="Arial" w:cs="Arial"/>
          <w:sz w:val="24"/>
          <w:szCs w:val="24"/>
        </w:rPr>
        <w:t>,</w:t>
      </w:r>
      <w:r>
        <w:rPr>
          <w:rStyle w:val="FootnoteReference"/>
          <w:rFonts w:ascii="Arial" w:hAnsi="Arial" w:cs="Arial"/>
          <w:sz w:val="24"/>
          <w:szCs w:val="24"/>
        </w:rPr>
        <w:footnoteReference w:id="5"/>
      </w:r>
      <w:r>
        <w:rPr>
          <w:rFonts w:ascii="Arial" w:hAnsi="Arial" w:cs="Arial"/>
          <w:sz w:val="24"/>
          <w:szCs w:val="24"/>
        </w:rPr>
        <w:t xml:space="preserve"> while discussing the binding effect of an arbitration clause in an agreement between the parties,</w:t>
      </w:r>
      <w:r w:rsidRPr="00C80EB1">
        <w:rPr>
          <w:rFonts w:ascii="Arial" w:hAnsi="Arial" w:cs="Arial"/>
          <w:sz w:val="24"/>
          <w:szCs w:val="24"/>
        </w:rPr>
        <w:t xml:space="preserve"> </w:t>
      </w:r>
      <w:r>
        <w:rPr>
          <w:rFonts w:ascii="Arial" w:hAnsi="Arial" w:cs="Arial"/>
          <w:sz w:val="24"/>
          <w:szCs w:val="24"/>
        </w:rPr>
        <w:t>said the following:</w:t>
      </w:r>
    </w:p>
    <w:p w14:paraId="4AE955F2"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p>
    <w:p w14:paraId="7492FE73"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sidRPr="00C80EB1">
        <w:rPr>
          <w:rFonts w:ascii="Arial" w:hAnsi="Arial" w:cs="Arial"/>
        </w:rPr>
        <w:t xml:space="preserve">          ‘</w:t>
      </w:r>
      <w:r>
        <w:rPr>
          <w:rFonts w:ascii="Arial" w:hAnsi="Arial" w:cs="Arial"/>
        </w:rPr>
        <w:t>[26] …</w:t>
      </w:r>
      <w:r w:rsidRPr="00C80EB1">
        <w:rPr>
          <w:rFonts w:ascii="Arial" w:hAnsi="Arial" w:cs="Arial"/>
        </w:rPr>
        <w:t>The parties agreed in unequivocal and peremptory terms that disputes between them which cannot be resolved amicably between them must be referred to arbitration. By including clause 9 and agreeing to arbitration, the parties not to litigate, save that the parties would not be precluded by clause 9 from seeking interim relief from the High Court as was expressly reserved to the parties in clause 9.7 (and by the Arbitration Act</w:t>
      </w:r>
      <w:r>
        <w:rPr>
          <w:rStyle w:val="FootnoteReference"/>
          <w:rFonts w:ascii="Arial" w:hAnsi="Arial" w:cs="Arial"/>
        </w:rPr>
        <w:footnoteReference w:id="6"/>
      </w:r>
      <w:r w:rsidRPr="00C80EB1">
        <w:rPr>
          <w:rFonts w:ascii="Arial" w:hAnsi="Arial" w:cs="Arial"/>
        </w:rPr>
        <w:t>).</w:t>
      </w:r>
    </w:p>
    <w:p w14:paraId="4638844D"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01386800"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Pr>
          <w:rFonts w:ascii="Arial" w:hAnsi="Arial" w:cs="Arial"/>
        </w:rPr>
        <w:t>[27]</w:t>
      </w:r>
      <w:r>
        <w:rPr>
          <w:rFonts w:ascii="Arial" w:hAnsi="Arial" w:cs="Arial"/>
        </w:rPr>
        <w:tab/>
        <w:t>By so agreeing to arbitration, the parties exercised their contractual freedom to define how disputes between them are to be resolved – by arbitration, and not to litigate their disputes. As was made clear by this court:</w:t>
      </w:r>
    </w:p>
    <w:p w14:paraId="6BFA7C4C"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037F6793"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Pr>
          <w:rFonts w:ascii="Arial" w:hAnsi="Arial" w:cs="Arial"/>
        </w:rPr>
        <w:t xml:space="preserve">‘… (F)reedom of contract is indispensable in weaving the web of rights, duties and obligations which connect members of society at all levels and in all inconceivable activities to one another and gives it structure. On an individual level, it is central to the competence of natural persons to regulate their own affairs, to pursue happiness and to realise their full potential as human beings. “Self-autonomy, or the ability to regulate one’s own affairs, even to one’s own detriment, is the very essence of freedom and a vital part of dignity.” For juristic persons, it is the very essence of their existence and the means through which they engage in transactions towards </w:t>
      </w:r>
      <w:r>
        <w:rPr>
          <w:rFonts w:ascii="Arial" w:hAnsi="Arial" w:cs="Arial"/>
        </w:rPr>
        <w:lastRenderedPageBreak/>
        <w:t>the realisation of their constituent objectives.</w:t>
      </w:r>
      <w:r>
        <w:rPr>
          <w:rStyle w:val="FootnoteReference"/>
          <w:rFonts w:ascii="Arial" w:hAnsi="Arial" w:cs="Arial"/>
        </w:rPr>
        <w:footnoteReference w:id="7"/>
      </w:r>
      <w:r>
        <w:rPr>
          <w:rFonts w:ascii="Arial" w:hAnsi="Arial" w:cs="Arial"/>
        </w:rPr>
        <w:t>’</w:t>
      </w:r>
    </w:p>
    <w:p w14:paraId="49B52A13"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461BF32B"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Pr>
          <w:rFonts w:ascii="Arial" w:hAnsi="Arial" w:cs="Arial"/>
        </w:rPr>
        <w:t>[28]</w:t>
      </w:r>
      <w:r>
        <w:rPr>
          <w:rFonts w:ascii="Arial" w:hAnsi="Arial" w:cs="Arial"/>
        </w:rPr>
        <w:tab/>
        <w:t xml:space="preserve">As was also said by Ngcobo J for the South African Constitutional Court in </w:t>
      </w:r>
      <w:r w:rsidRPr="00DD0AC6">
        <w:rPr>
          <w:rFonts w:ascii="Arial" w:hAnsi="Arial" w:cs="Arial"/>
          <w:i/>
          <w:iCs/>
        </w:rPr>
        <w:t>Barkhuizen v Naper</w:t>
      </w:r>
      <w:r>
        <w:rPr>
          <w:rStyle w:val="FootnoteReference"/>
          <w:rFonts w:ascii="Arial" w:hAnsi="Arial" w:cs="Arial"/>
          <w:i/>
          <w:iCs/>
        </w:rPr>
        <w:footnoteReference w:id="8"/>
      </w:r>
      <w:r>
        <w:rPr>
          <w:rFonts w:ascii="Arial" w:hAnsi="Arial" w:cs="Arial"/>
        </w:rPr>
        <w:t xml:space="preserve"> and approved by this court</w:t>
      </w:r>
      <w:r>
        <w:rPr>
          <w:rStyle w:val="FootnoteReference"/>
          <w:rFonts w:ascii="Arial" w:hAnsi="Arial" w:cs="Arial"/>
        </w:rPr>
        <w:footnoteReference w:id="9"/>
      </w:r>
      <w:r>
        <w:rPr>
          <w:rFonts w:ascii="Arial" w:hAnsi="Arial" w:cs="Arial"/>
        </w:rPr>
        <w:t>:</w:t>
      </w:r>
    </w:p>
    <w:p w14:paraId="394C9169"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49734C59"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Pr>
          <w:rFonts w:ascii="Arial" w:hAnsi="Arial" w:cs="Arial"/>
        </w:rPr>
        <w:t>‘</w:t>
      </w:r>
      <w:r w:rsidRPr="00DD0AC6">
        <w:rPr>
          <w:rFonts w:ascii="Arial" w:hAnsi="Arial" w:cs="Arial"/>
          <w:i/>
          <w:iCs/>
        </w:rPr>
        <w:t>Pacta sunt servanda (sic)</w:t>
      </w:r>
      <w:r>
        <w:rPr>
          <w:rFonts w:ascii="Arial" w:hAnsi="Arial" w:cs="Arial"/>
        </w:rPr>
        <w:t xml:space="preserve"> is a profoundly moral principle, on which the coherence of society relies’</w:t>
      </w:r>
    </w:p>
    <w:p w14:paraId="6744DF0D"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582DE511" w14:textId="77777777" w:rsidR="00334D41" w:rsidRDefault="00334D41" w:rsidP="00334D41">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r>
        <w:rPr>
          <w:rFonts w:ascii="Arial" w:hAnsi="Arial" w:cs="Arial"/>
        </w:rPr>
        <w:t>[29]</w:t>
      </w:r>
      <w:r>
        <w:rPr>
          <w:rFonts w:ascii="Arial" w:hAnsi="Arial" w:cs="Arial"/>
        </w:rPr>
        <w:tab/>
        <w:t>The general rule is that agreements must be honoured and parties will be held to them unless they offend against public policy which would not arise in an agreement to arbitrate of the kind in question.’</w:t>
      </w:r>
    </w:p>
    <w:p w14:paraId="7C557D2F" w14:textId="77777777" w:rsidR="008C1970" w:rsidRPr="00931357" w:rsidRDefault="008C1970" w:rsidP="008C1970">
      <w:pPr>
        <w:pStyle w:val="BodyText"/>
        <w:spacing w:line="360" w:lineRule="auto"/>
        <w:rPr>
          <w:rFonts w:ascii="Arial" w:hAnsi="Arial" w:cs="Arial"/>
        </w:rPr>
      </w:pPr>
    </w:p>
    <w:p w14:paraId="3503CE6A" w14:textId="16114D18" w:rsidR="00732589" w:rsidRDefault="00277418" w:rsidP="008931F3">
      <w:pPr>
        <w:widowControl w:val="0"/>
        <w:tabs>
          <w:tab w:val="left" w:pos="881"/>
        </w:tabs>
        <w:autoSpaceDE w:val="0"/>
        <w:autoSpaceDN w:val="0"/>
        <w:spacing w:after="0" w:line="360" w:lineRule="auto"/>
        <w:ind w:right="139"/>
        <w:jc w:val="both"/>
        <w:rPr>
          <w:rFonts w:ascii="Arial" w:hAnsi="Arial" w:cs="Arial"/>
          <w:sz w:val="24"/>
          <w:szCs w:val="24"/>
        </w:rPr>
      </w:pPr>
      <w:r>
        <w:rPr>
          <w:rFonts w:ascii="Arial" w:hAnsi="Arial" w:cs="Arial"/>
          <w:sz w:val="24"/>
          <w:szCs w:val="24"/>
        </w:rPr>
        <w:t>[</w:t>
      </w:r>
      <w:r w:rsidR="0079302B">
        <w:rPr>
          <w:rFonts w:ascii="Arial" w:hAnsi="Arial" w:cs="Arial"/>
          <w:sz w:val="24"/>
          <w:szCs w:val="24"/>
        </w:rPr>
        <w:t>1</w:t>
      </w:r>
      <w:r w:rsidR="00334D41">
        <w:rPr>
          <w:rFonts w:ascii="Arial" w:hAnsi="Arial" w:cs="Arial"/>
          <w:sz w:val="24"/>
          <w:szCs w:val="24"/>
        </w:rPr>
        <w:t>3</w:t>
      </w:r>
      <w:r>
        <w:rPr>
          <w:rFonts w:ascii="Arial" w:hAnsi="Arial" w:cs="Arial"/>
          <w:sz w:val="24"/>
          <w:szCs w:val="24"/>
        </w:rPr>
        <w:t>]</w:t>
      </w:r>
      <w:r>
        <w:rPr>
          <w:rFonts w:ascii="Arial" w:hAnsi="Arial" w:cs="Arial"/>
          <w:sz w:val="24"/>
          <w:szCs w:val="24"/>
        </w:rPr>
        <w:tab/>
        <w:t xml:space="preserve">It is interesting to note </w:t>
      </w:r>
      <w:r w:rsidR="00211C17">
        <w:rPr>
          <w:rFonts w:ascii="Arial" w:hAnsi="Arial" w:cs="Arial"/>
          <w:sz w:val="24"/>
          <w:szCs w:val="24"/>
        </w:rPr>
        <w:t xml:space="preserve">that </w:t>
      </w:r>
      <w:r>
        <w:rPr>
          <w:rFonts w:ascii="Arial" w:hAnsi="Arial" w:cs="Arial"/>
          <w:sz w:val="24"/>
          <w:szCs w:val="24"/>
        </w:rPr>
        <w:t xml:space="preserve">the submissions by the plaintiff </w:t>
      </w:r>
      <w:r w:rsidR="00732589">
        <w:rPr>
          <w:rFonts w:ascii="Arial" w:hAnsi="Arial" w:cs="Arial"/>
          <w:sz w:val="24"/>
          <w:szCs w:val="24"/>
        </w:rPr>
        <w:t xml:space="preserve">are mainly </w:t>
      </w:r>
      <w:r>
        <w:rPr>
          <w:rFonts w:ascii="Arial" w:hAnsi="Arial" w:cs="Arial"/>
          <w:sz w:val="24"/>
          <w:szCs w:val="24"/>
        </w:rPr>
        <w:t xml:space="preserve">that the relief sought does not fall within the ambit of the arbitration clause. </w:t>
      </w:r>
    </w:p>
    <w:p w14:paraId="5A068C2F" w14:textId="77777777" w:rsidR="00732589" w:rsidRDefault="00732589" w:rsidP="008931F3">
      <w:pPr>
        <w:widowControl w:val="0"/>
        <w:tabs>
          <w:tab w:val="left" w:pos="881"/>
        </w:tabs>
        <w:autoSpaceDE w:val="0"/>
        <w:autoSpaceDN w:val="0"/>
        <w:spacing w:after="0" w:line="360" w:lineRule="auto"/>
        <w:ind w:right="139"/>
        <w:jc w:val="both"/>
        <w:rPr>
          <w:rFonts w:ascii="Arial" w:hAnsi="Arial" w:cs="Arial"/>
          <w:sz w:val="24"/>
          <w:szCs w:val="24"/>
        </w:rPr>
      </w:pPr>
    </w:p>
    <w:p w14:paraId="76B07C37" w14:textId="67C1E051" w:rsidR="00277418" w:rsidRDefault="00732589" w:rsidP="008931F3">
      <w:pPr>
        <w:widowControl w:val="0"/>
        <w:tabs>
          <w:tab w:val="left" w:pos="881"/>
        </w:tabs>
        <w:autoSpaceDE w:val="0"/>
        <w:autoSpaceDN w:val="0"/>
        <w:spacing w:after="0" w:line="360" w:lineRule="auto"/>
        <w:ind w:right="139"/>
        <w:jc w:val="both"/>
        <w:rPr>
          <w:rFonts w:ascii="Arial" w:hAnsi="Arial" w:cs="Arial"/>
          <w:u w:val="single"/>
        </w:rPr>
      </w:pPr>
      <w:r>
        <w:rPr>
          <w:rFonts w:ascii="Arial" w:hAnsi="Arial" w:cs="Arial"/>
          <w:sz w:val="24"/>
          <w:szCs w:val="24"/>
        </w:rPr>
        <w:t>[</w:t>
      </w:r>
      <w:r w:rsidR="0079302B">
        <w:rPr>
          <w:rFonts w:ascii="Arial" w:hAnsi="Arial" w:cs="Arial"/>
          <w:sz w:val="24"/>
          <w:szCs w:val="24"/>
        </w:rPr>
        <w:t>1</w:t>
      </w:r>
      <w:r w:rsidR="00334D41">
        <w:rPr>
          <w:rFonts w:ascii="Arial" w:hAnsi="Arial" w:cs="Arial"/>
          <w:sz w:val="24"/>
          <w:szCs w:val="24"/>
        </w:rPr>
        <w:t>4</w:t>
      </w:r>
      <w:r>
        <w:rPr>
          <w:rFonts w:ascii="Arial" w:hAnsi="Arial" w:cs="Arial"/>
          <w:sz w:val="24"/>
          <w:szCs w:val="24"/>
        </w:rPr>
        <w:t>]</w:t>
      </w:r>
      <w:r>
        <w:rPr>
          <w:rFonts w:ascii="Arial" w:hAnsi="Arial" w:cs="Arial"/>
          <w:sz w:val="24"/>
          <w:szCs w:val="24"/>
        </w:rPr>
        <w:tab/>
      </w:r>
      <w:r w:rsidR="00277418">
        <w:rPr>
          <w:rFonts w:ascii="Arial" w:hAnsi="Arial" w:cs="Arial"/>
          <w:sz w:val="24"/>
          <w:szCs w:val="24"/>
        </w:rPr>
        <w:t xml:space="preserve">Clause 15, as cited above, clearly indicates that </w:t>
      </w:r>
      <w:r w:rsidR="00277418" w:rsidRPr="00277418">
        <w:rPr>
          <w:rFonts w:ascii="Arial" w:hAnsi="Arial" w:cs="Arial"/>
          <w:sz w:val="24"/>
          <w:szCs w:val="24"/>
        </w:rPr>
        <w:t>“</w:t>
      </w:r>
      <w:r w:rsidR="00E9040C">
        <w:rPr>
          <w:rFonts w:ascii="Arial" w:hAnsi="Arial" w:cs="Arial"/>
          <w:sz w:val="24"/>
          <w:szCs w:val="24"/>
        </w:rPr>
        <w:t xml:space="preserve">… </w:t>
      </w:r>
      <w:r w:rsidR="00277418" w:rsidRPr="00277418">
        <w:rPr>
          <w:rFonts w:ascii="Arial" w:hAnsi="Arial" w:cs="Arial"/>
          <w:sz w:val="24"/>
          <w:szCs w:val="24"/>
        </w:rPr>
        <w:t xml:space="preserve">In the event of a </w:t>
      </w:r>
      <w:r w:rsidR="00277418" w:rsidRPr="00277418">
        <w:rPr>
          <w:rFonts w:ascii="Arial" w:hAnsi="Arial" w:cs="Arial"/>
          <w:sz w:val="24"/>
          <w:szCs w:val="24"/>
          <w:u w:val="single"/>
        </w:rPr>
        <w:t>difference of opinion arising between the parties in respect of the buildings</w:t>
      </w:r>
      <w:r w:rsidR="00277418" w:rsidRPr="00277418">
        <w:rPr>
          <w:rFonts w:ascii="Arial" w:hAnsi="Arial" w:cs="Arial"/>
          <w:sz w:val="24"/>
          <w:szCs w:val="24"/>
        </w:rPr>
        <w:t xml:space="preserve">, </w:t>
      </w:r>
      <w:r w:rsidR="00277418" w:rsidRPr="00277418">
        <w:rPr>
          <w:rFonts w:ascii="Arial" w:hAnsi="Arial" w:cs="Arial"/>
          <w:sz w:val="24"/>
          <w:szCs w:val="24"/>
          <w:u w:val="single"/>
        </w:rPr>
        <w:t>the amount due to the developer</w:t>
      </w:r>
      <w:r w:rsidR="00277418" w:rsidRPr="00277418">
        <w:rPr>
          <w:rFonts w:ascii="Arial" w:hAnsi="Arial" w:cs="Arial"/>
          <w:sz w:val="24"/>
          <w:szCs w:val="24"/>
        </w:rPr>
        <w:t xml:space="preserve">, </w:t>
      </w:r>
      <w:r w:rsidR="00E9040C">
        <w:rPr>
          <w:rFonts w:ascii="Arial" w:hAnsi="Arial" w:cs="Arial"/>
          <w:sz w:val="24"/>
          <w:szCs w:val="24"/>
        </w:rPr>
        <w:t xml:space="preserve">… </w:t>
      </w:r>
      <w:r w:rsidR="00E8278E">
        <w:rPr>
          <w:rFonts w:ascii="Arial" w:hAnsi="Arial" w:cs="Arial"/>
          <w:sz w:val="24"/>
          <w:szCs w:val="24"/>
        </w:rPr>
        <w:t>or</w:t>
      </w:r>
      <w:r w:rsidR="00277418" w:rsidRPr="00277418">
        <w:rPr>
          <w:rFonts w:ascii="Arial" w:hAnsi="Arial" w:cs="Arial"/>
          <w:sz w:val="24"/>
          <w:szCs w:val="24"/>
          <w:u w:val="single"/>
        </w:rPr>
        <w:t xml:space="preserve"> any other matter which relates to the building of the dwelling</w:t>
      </w:r>
      <w:r w:rsidR="00277418" w:rsidRPr="00277418">
        <w:rPr>
          <w:rFonts w:ascii="Arial" w:hAnsi="Arial" w:cs="Arial"/>
          <w:sz w:val="24"/>
          <w:szCs w:val="24"/>
        </w:rPr>
        <w:t>,</w:t>
      </w:r>
      <w:r w:rsidR="00277418">
        <w:rPr>
          <w:rFonts w:ascii="Arial" w:hAnsi="Arial" w:cs="Arial"/>
          <w:sz w:val="24"/>
          <w:szCs w:val="24"/>
        </w:rPr>
        <w:t xml:space="preserve"> then the matter should be referred to an architect who will consider the dispute between the parties. </w:t>
      </w:r>
    </w:p>
    <w:p w14:paraId="6B9A4BD4" w14:textId="746342D9" w:rsidR="008C1970" w:rsidRDefault="008C1970" w:rsidP="008C1970">
      <w:pPr>
        <w:pStyle w:val="BodyText"/>
        <w:spacing w:line="360" w:lineRule="auto"/>
        <w:jc w:val="both"/>
        <w:rPr>
          <w:rFonts w:ascii="Arial" w:hAnsi="Arial" w:cs="Arial"/>
          <w:u w:val="single"/>
        </w:rPr>
      </w:pPr>
    </w:p>
    <w:p w14:paraId="322567F2" w14:textId="77122715" w:rsidR="00B41E54" w:rsidRDefault="00143468" w:rsidP="008C1970">
      <w:pPr>
        <w:pStyle w:val="BodyText"/>
        <w:spacing w:line="360" w:lineRule="auto"/>
        <w:jc w:val="both"/>
        <w:rPr>
          <w:rFonts w:ascii="Arial" w:hAnsi="Arial" w:cs="Arial"/>
        </w:rPr>
      </w:pPr>
      <w:r w:rsidRPr="00143468">
        <w:rPr>
          <w:rFonts w:ascii="Arial" w:hAnsi="Arial" w:cs="Arial"/>
        </w:rPr>
        <w:t>[15]</w:t>
      </w:r>
      <w:r>
        <w:rPr>
          <w:rFonts w:ascii="Arial" w:hAnsi="Arial" w:cs="Arial"/>
        </w:rPr>
        <w:tab/>
        <w:t>It is apparent that clause 15 is in writing</w:t>
      </w:r>
      <w:r w:rsidR="00B41E54">
        <w:rPr>
          <w:rFonts w:ascii="Arial" w:hAnsi="Arial" w:cs="Arial"/>
        </w:rPr>
        <w:t xml:space="preserve"> and</w:t>
      </w:r>
      <w:r>
        <w:rPr>
          <w:rFonts w:ascii="Arial" w:hAnsi="Arial" w:cs="Arial"/>
        </w:rPr>
        <w:t xml:space="preserve"> it is applicable to the </w:t>
      </w:r>
      <w:r w:rsidR="00B41E54">
        <w:rPr>
          <w:rFonts w:ascii="Arial" w:hAnsi="Arial" w:cs="Arial"/>
        </w:rPr>
        <w:t xml:space="preserve">existing </w:t>
      </w:r>
      <w:r>
        <w:rPr>
          <w:rFonts w:ascii="Arial" w:hAnsi="Arial" w:cs="Arial"/>
        </w:rPr>
        <w:t>dispute between the parties</w:t>
      </w:r>
      <w:r w:rsidR="00B41E54">
        <w:rPr>
          <w:rFonts w:ascii="Arial" w:hAnsi="Arial" w:cs="Arial"/>
        </w:rPr>
        <w:t xml:space="preserve">. </w:t>
      </w:r>
      <w:r w:rsidR="00A84462">
        <w:rPr>
          <w:rFonts w:ascii="Arial" w:hAnsi="Arial" w:cs="Arial"/>
        </w:rPr>
        <w:t>From the reading of clause 15 (the clause that refers to arbitration proceedings)</w:t>
      </w:r>
      <w:r w:rsidR="00731E02">
        <w:rPr>
          <w:rFonts w:ascii="Arial" w:hAnsi="Arial" w:cs="Arial"/>
        </w:rPr>
        <w:t xml:space="preserve">, no preconditions surface therein except for compliance with the Arbitration Act. </w:t>
      </w:r>
    </w:p>
    <w:p w14:paraId="1C2E007C" w14:textId="77777777" w:rsidR="00B41E54" w:rsidRDefault="00B41E54" w:rsidP="008C1970">
      <w:pPr>
        <w:pStyle w:val="BodyText"/>
        <w:spacing w:line="360" w:lineRule="auto"/>
        <w:jc w:val="both"/>
        <w:rPr>
          <w:rFonts w:ascii="Arial" w:hAnsi="Arial" w:cs="Arial"/>
        </w:rPr>
      </w:pPr>
    </w:p>
    <w:p w14:paraId="1F086A95" w14:textId="2198F79C" w:rsidR="00143468" w:rsidRDefault="00B41E54" w:rsidP="008C1970">
      <w:pPr>
        <w:pStyle w:val="BodyText"/>
        <w:spacing w:line="360" w:lineRule="auto"/>
        <w:jc w:val="both"/>
        <w:rPr>
          <w:rFonts w:ascii="Arial" w:hAnsi="Arial" w:cs="Arial"/>
        </w:rPr>
      </w:pPr>
      <w:r>
        <w:rPr>
          <w:rFonts w:ascii="Arial" w:hAnsi="Arial" w:cs="Arial"/>
        </w:rPr>
        <w:t>[16]</w:t>
      </w:r>
      <w:r>
        <w:rPr>
          <w:rFonts w:ascii="Arial" w:hAnsi="Arial" w:cs="Arial"/>
        </w:rPr>
        <w:tab/>
        <w:t xml:space="preserve">The onus rests with the party who claims the inapplicability of the arbitration clause to the matter to satisfy the court that, in the exercise of its discretion, it should not refer the matter for arbitration. In </w:t>
      </w:r>
      <w:r w:rsidRPr="00B41E54">
        <w:rPr>
          <w:rFonts w:ascii="Arial" w:hAnsi="Arial" w:cs="Arial"/>
          <w:i/>
          <w:iCs/>
        </w:rPr>
        <w:t>casu</w:t>
      </w:r>
      <w:r>
        <w:rPr>
          <w:rFonts w:ascii="Arial" w:hAnsi="Arial" w:cs="Arial"/>
        </w:rPr>
        <w:t>, it is the plaintiff who bears such onus.</w:t>
      </w:r>
    </w:p>
    <w:p w14:paraId="045FEA5A" w14:textId="77777777" w:rsidR="00A84462" w:rsidRPr="00143468" w:rsidRDefault="00A84462" w:rsidP="008C1970">
      <w:pPr>
        <w:pStyle w:val="BodyText"/>
        <w:spacing w:line="360" w:lineRule="auto"/>
        <w:jc w:val="both"/>
        <w:rPr>
          <w:rFonts w:ascii="Arial" w:hAnsi="Arial" w:cs="Arial"/>
        </w:rPr>
      </w:pPr>
    </w:p>
    <w:p w14:paraId="6849566A" w14:textId="29616E93" w:rsidR="00E8278E" w:rsidRDefault="008C1970" w:rsidP="00277418">
      <w:pPr>
        <w:pStyle w:val="ListParagraph"/>
        <w:widowControl w:val="0"/>
        <w:tabs>
          <w:tab w:val="left" w:pos="720"/>
        </w:tabs>
        <w:autoSpaceDE w:val="0"/>
        <w:autoSpaceDN w:val="0"/>
        <w:spacing w:after="0" w:line="357" w:lineRule="auto"/>
        <w:ind w:left="0" w:right="30"/>
        <w:contextualSpacing w:val="0"/>
        <w:jc w:val="both"/>
        <w:rPr>
          <w:rFonts w:ascii="Arial" w:hAnsi="Arial" w:cs="Arial"/>
          <w:sz w:val="24"/>
          <w:szCs w:val="24"/>
        </w:rPr>
      </w:pPr>
      <w:r w:rsidRPr="00C26AF9">
        <w:rPr>
          <w:rFonts w:ascii="Arial" w:hAnsi="Arial" w:cs="Arial"/>
          <w:sz w:val="24"/>
          <w:szCs w:val="24"/>
        </w:rPr>
        <w:t>[1</w:t>
      </w:r>
      <w:r w:rsidR="00A84462">
        <w:rPr>
          <w:rFonts w:ascii="Arial" w:hAnsi="Arial" w:cs="Arial"/>
          <w:sz w:val="24"/>
          <w:szCs w:val="24"/>
        </w:rPr>
        <w:t>7</w:t>
      </w:r>
      <w:r w:rsidRPr="00C26AF9">
        <w:rPr>
          <w:rFonts w:ascii="Arial" w:hAnsi="Arial" w:cs="Arial"/>
          <w:sz w:val="24"/>
          <w:szCs w:val="24"/>
        </w:rPr>
        <w:t>]</w:t>
      </w:r>
      <w:r w:rsidRPr="00C26AF9">
        <w:rPr>
          <w:rFonts w:ascii="Arial" w:hAnsi="Arial" w:cs="Arial"/>
          <w:sz w:val="24"/>
          <w:szCs w:val="24"/>
        </w:rPr>
        <w:tab/>
      </w:r>
      <w:r w:rsidR="00A84462">
        <w:rPr>
          <w:rFonts w:ascii="Arial" w:hAnsi="Arial" w:cs="Arial"/>
          <w:sz w:val="24"/>
          <w:szCs w:val="24"/>
        </w:rPr>
        <w:t>I</w:t>
      </w:r>
      <w:r w:rsidR="00277418">
        <w:rPr>
          <w:rFonts w:ascii="Arial" w:hAnsi="Arial" w:cs="Arial"/>
          <w:sz w:val="24"/>
          <w:szCs w:val="24"/>
        </w:rPr>
        <w:t xml:space="preserve">t is clear </w:t>
      </w:r>
      <w:r w:rsidR="00143468">
        <w:rPr>
          <w:rFonts w:ascii="Arial" w:hAnsi="Arial" w:cs="Arial"/>
          <w:sz w:val="24"/>
          <w:szCs w:val="24"/>
        </w:rPr>
        <w:t xml:space="preserve">that </w:t>
      </w:r>
      <w:r w:rsidR="00277418">
        <w:rPr>
          <w:rFonts w:ascii="Arial" w:hAnsi="Arial" w:cs="Arial"/>
          <w:sz w:val="24"/>
          <w:szCs w:val="24"/>
        </w:rPr>
        <w:t xml:space="preserve">the plaintiff seeks relief </w:t>
      </w:r>
      <w:r w:rsidR="00143468">
        <w:rPr>
          <w:rFonts w:ascii="Arial" w:hAnsi="Arial" w:cs="Arial"/>
          <w:sz w:val="24"/>
          <w:szCs w:val="24"/>
        </w:rPr>
        <w:t>arising f</w:t>
      </w:r>
      <w:r w:rsidR="00277418">
        <w:rPr>
          <w:rFonts w:ascii="Arial" w:hAnsi="Arial" w:cs="Arial"/>
          <w:sz w:val="24"/>
          <w:szCs w:val="24"/>
        </w:rPr>
        <w:t>rom a breach of a contractual obligation, specifically being pecuniary damages sustained by the plaintiff for monies paid to the defendant for work which was not done in a proper and workmanlike manner.</w:t>
      </w:r>
      <w:r w:rsidR="00B94420">
        <w:rPr>
          <w:rFonts w:ascii="Arial" w:hAnsi="Arial" w:cs="Arial"/>
          <w:sz w:val="24"/>
          <w:szCs w:val="24"/>
        </w:rPr>
        <w:t xml:space="preserve"> </w:t>
      </w:r>
      <w:r w:rsidR="00E8278E">
        <w:rPr>
          <w:rFonts w:ascii="Arial" w:hAnsi="Arial" w:cs="Arial"/>
          <w:sz w:val="24"/>
          <w:szCs w:val="24"/>
        </w:rPr>
        <w:lastRenderedPageBreak/>
        <w:t>T</w:t>
      </w:r>
      <w:r w:rsidR="00B94420">
        <w:rPr>
          <w:rFonts w:ascii="Arial" w:hAnsi="Arial" w:cs="Arial"/>
          <w:sz w:val="24"/>
          <w:szCs w:val="24"/>
        </w:rPr>
        <w:t xml:space="preserve">he ordinary interpretation of the words used in the arbitration clause goes hand in hand with the facts that brings rise to the activation of the arbitration clause, being the </w:t>
      </w:r>
      <w:r w:rsidR="00B94420" w:rsidRPr="00B94420">
        <w:rPr>
          <w:rFonts w:ascii="Arial" w:hAnsi="Arial" w:cs="Arial"/>
          <w:sz w:val="24"/>
          <w:szCs w:val="24"/>
          <w:u w:val="single"/>
        </w:rPr>
        <w:t>difference in opinion of the amounts due and paid to the developer</w:t>
      </w:r>
      <w:r w:rsidR="00B94420">
        <w:rPr>
          <w:rFonts w:ascii="Arial" w:hAnsi="Arial" w:cs="Arial"/>
          <w:sz w:val="24"/>
          <w:szCs w:val="24"/>
          <w:u w:val="single"/>
        </w:rPr>
        <w:t>, and a difference in opinion in respect of the buildings, being the work not done in a proper</w:t>
      </w:r>
      <w:r w:rsidR="00E8278E">
        <w:rPr>
          <w:rFonts w:ascii="Arial" w:hAnsi="Arial" w:cs="Arial"/>
          <w:sz w:val="24"/>
          <w:szCs w:val="24"/>
          <w:u w:val="single"/>
        </w:rPr>
        <w:t>ty</w:t>
      </w:r>
      <w:r w:rsidR="00B94420">
        <w:rPr>
          <w:rFonts w:ascii="Arial" w:hAnsi="Arial" w:cs="Arial"/>
          <w:sz w:val="24"/>
          <w:szCs w:val="24"/>
          <w:u w:val="single"/>
        </w:rPr>
        <w:t xml:space="preserve"> and </w:t>
      </w:r>
      <w:r w:rsidR="00E8278E">
        <w:rPr>
          <w:rFonts w:ascii="Arial" w:hAnsi="Arial" w:cs="Arial"/>
          <w:sz w:val="24"/>
          <w:szCs w:val="24"/>
          <w:u w:val="single"/>
        </w:rPr>
        <w:t xml:space="preserve">in a </w:t>
      </w:r>
      <w:r w:rsidR="00B94420">
        <w:rPr>
          <w:rFonts w:ascii="Arial" w:hAnsi="Arial" w:cs="Arial"/>
          <w:sz w:val="24"/>
          <w:szCs w:val="24"/>
          <w:u w:val="single"/>
        </w:rPr>
        <w:t>workmanlike manner, which further falls within the reference to any other matter which relates to the building of the dwelling.</w:t>
      </w:r>
      <w:r w:rsidR="00E8278E">
        <w:rPr>
          <w:rFonts w:ascii="Arial" w:hAnsi="Arial" w:cs="Arial"/>
          <w:sz w:val="24"/>
          <w:szCs w:val="24"/>
          <w:u w:val="single"/>
        </w:rPr>
        <w:t xml:space="preserve"> </w:t>
      </w:r>
    </w:p>
    <w:p w14:paraId="398F6859" w14:textId="77777777" w:rsidR="005F5171" w:rsidRDefault="005F5171" w:rsidP="00277418">
      <w:pPr>
        <w:pStyle w:val="ListParagraph"/>
        <w:widowControl w:val="0"/>
        <w:tabs>
          <w:tab w:val="left" w:pos="720"/>
        </w:tabs>
        <w:autoSpaceDE w:val="0"/>
        <w:autoSpaceDN w:val="0"/>
        <w:spacing w:after="0" w:line="357" w:lineRule="auto"/>
        <w:ind w:left="0" w:right="30"/>
        <w:contextualSpacing w:val="0"/>
        <w:jc w:val="both"/>
        <w:rPr>
          <w:rFonts w:ascii="Arial" w:hAnsi="Arial" w:cs="Arial"/>
        </w:rPr>
      </w:pPr>
    </w:p>
    <w:p w14:paraId="2CFFC064" w14:textId="51437C55" w:rsidR="000458EC" w:rsidRDefault="00277418" w:rsidP="008931F3">
      <w:pPr>
        <w:pStyle w:val="BodyText"/>
        <w:spacing w:line="360" w:lineRule="auto"/>
        <w:ind w:right="137"/>
        <w:jc w:val="both"/>
        <w:rPr>
          <w:rFonts w:ascii="Arial" w:hAnsi="Arial" w:cs="Arial"/>
        </w:rPr>
      </w:pPr>
      <w:r>
        <w:rPr>
          <w:rFonts w:ascii="Arial" w:hAnsi="Arial" w:cs="Arial"/>
        </w:rPr>
        <w:t>[1</w:t>
      </w:r>
      <w:r w:rsidR="00731E02">
        <w:rPr>
          <w:rFonts w:ascii="Arial" w:hAnsi="Arial" w:cs="Arial"/>
        </w:rPr>
        <w:t>8</w:t>
      </w:r>
      <w:r>
        <w:rPr>
          <w:rFonts w:ascii="Arial" w:hAnsi="Arial" w:cs="Arial"/>
        </w:rPr>
        <w:t>]</w:t>
      </w:r>
      <w:r w:rsidR="00B94420">
        <w:rPr>
          <w:rFonts w:ascii="Arial" w:hAnsi="Arial" w:cs="Arial"/>
        </w:rPr>
        <w:tab/>
      </w:r>
      <w:r w:rsidR="000458EC">
        <w:rPr>
          <w:rFonts w:ascii="Arial" w:hAnsi="Arial" w:cs="Arial"/>
        </w:rPr>
        <w:t>It is not rocket science to realise that clause 15 refers to disputes in relation to the property, as it covers disputes in respect of the buildings and the money owed to the developer. Most importantly the clause further provides that it extends to any other matter which relates to the building.</w:t>
      </w:r>
    </w:p>
    <w:p w14:paraId="41D28B33" w14:textId="453309E1" w:rsidR="000458EC" w:rsidRDefault="000458EC" w:rsidP="008931F3">
      <w:pPr>
        <w:pStyle w:val="BodyText"/>
        <w:spacing w:line="360" w:lineRule="auto"/>
        <w:ind w:right="137"/>
        <w:jc w:val="both"/>
        <w:rPr>
          <w:rFonts w:ascii="Arial" w:hAnsi="Arial" w:cs="Arial"/>
        </w:rPr>
      </w:pPr>
    </w:p>
    <w:p w14:paraId="09BA94BE" w14:textId="63CA63D1" w:rsidR="008C1970" w:rsidRDefault="000458EC" w:rsidP="008931F3">
      <w:pPr>
        <w:pStyle w:val="BodyText"/>
        <w:spacing w:line="360" w:lineRule="auto"/>
        <w:ind w:right="137"/>
        <w:jc w:val="both"/>
        <w:rPr>
          <w:rFonts w:ascii="Arial" w:hAnsi="Arial" w:cs="Arial"/>
          <w:u w:val="single"/>
        </w:rPr>
      </w:pPr>
      <w:r>
        <w:rPr>
          <w:rFonts w:ascii="Arial" w:hAnsi="Arial" w:cs="Arial"/>
        </w:rPr>
        <w:t>[</w:t>
      </w:r>
      <w:r w:rsidR="0079302B">
        <w:rPr>
          <w:rFonts w:ascii="Arial" w:hAnsi="Arial" w:cs="Arial"/>
        </w:rPr>
        <w:t>1</w:t>
      </w:r>
      <w:r w:rsidR="00731E02">
        <w:rPr>
          <w:rFonts w:ascii="Arial" w:hAnsi="Arial" w:cs="Arial"/>
        </w:rPr>
        <w:t>9</w:t>
      </w:r>
      <w:r>
        <w:rPr>
          <w:rFonts w:ascii="Arial" w:hAnsi="Arial" w:cs="Arial"/>
        </w:rPr>
        <w:t>]</w:t>
      </w:r>
      <w:r>
        <w:rPr>
          <w:rFonts w:ascii="Arial" w:hAnsi="Arial" w:cs="Arial"/>
        </w:rPr>
        <w:tab/>
      </w:r>
      <w:r w:rsidR="00B94420">
        <w:rPr>
          <w:rFonts w:ascii="Arial" w:hAnsi="Arial" w:cs="Arial"/>
        </w:rPr>
        <w:t xml:space="preserve">Considering the above, this court finds it very </w:t>
      </w:r>
      <w:r w:rsidR="00415FB0">
        <w:rPr>
          <w:rFonts w:ascii="Arial" w:hAnsi="Arial" w:cs="Arial"/>
        </w:rPr>
        <w:t>difficult t</w:t>
      </w:r>
      <w:r w:rsidR="00B94420">
        <w:rPr>
          <w:rFonts w:ascii="Arial" w:hAnsi="Arial" w:cs="Arial"/>
        </w:rPr>
        <w:t xml:space="preserve">o </w:t>
      </w:r>
      <w:r w:rsidR="00664123">
        <w:rPr>
          <w:rFonts w:ascii="Arial" w:hAnsi="Arial" w:cs="Arial"/>
        </w:rPr>
        <w:t xml:space="preserve">determine how the relief sought falls outside the ambit and scope of the arbitration </w:t>
      </w:r>
      <w:r w:rsidR="00415FB0">
        <w:rPr>
          <w:rFonts w:ascii="Arial" w:hAnsi="Arial" w:cs="Arial"/>
        </w:rPr>
        <w:t xml:space="preserve">clause </w:t>
      </w:r>
      <w:r w:rsidR="00664123">
        <w:rPr>
          <w:rFonts w:ascii="Arial" w:hAnsi="Arial" w:cs="Arial"/>
        </w:rPr>
        <w:t>when in fact</w:t>
      </w:r>
      <w:r w:rsidR="00415FB0">
        <w:rPr>
          <w:rFonts w:ascii="Arial" w:hAnsi="Arial" w:cs="Arial"/>
        </w:rPr>
        <w:t xml:space="preserve"> it is a claim that bears the marks of the building written all over it. I harbour no doubt that the plaintiff’s claim in is respect of the building and </w:t>
      </w:r>
      <w:r w:rsidR="00334D41">
        <w:rPr>
          <w:rFonts w:ascii="Arial" w:hAnsi="Arial" w:cs="Arial"/>
        </w:rPr>
        <w:t xml:space="preserve">befits the terms of clause </w:t>
      </w:r>
      <w:r w:rsidR="00415FB0">
        <w:rPr>
          <w:rFonts w:ascii="Arial" w:hAnsi="Arial" w:cs="Arial"/>
        </w:rPr>
        <w:t xml:space="preserve">15. </w:t>
      </w:r>
      <w:r w:rsidR="00664123">
        <w:rPr>
          <w:rFonts w:ascii="Arial" w:hAnsi="Arial" w:cs="Arial"/>
        </w:rPr>
        <w:t xml:space="preserve"> </w:t>
      </w:r>
    </w:p>
    <w:p w14:paraId="55E90447" w14:textId="18CCB59C" w:rsidR="008C1970" w:rsidRDefault="008C1970" w:rsidP="008C1970">
      <w:pPr>
        <w:spacing w:after="0" w:line="360" w:lineRule="auto"/>
        <w:jc w:val="both"/>
        <w:rPr>
          <w:rFonts w:ascii="Arial" w:hAnsi="Arial" w:cs="Arial"/>
          <w:sz w:val="24"/>
          <w:szCs w:val="24"/>
          <w:u w:val="single"/>
        </w:rPr>
      </w:pPr>
    </w:p>
    <w:p w14:paraId="55463233" w14:textId="1948945F" w:rsidR="00415FB0" w:rsidRDefault="00415FB0" w:rsidP="008C1970">
      <w:pPr>
        <w:spacing w:after="0" w:line="360" w:lineRule="auto"/>
        <w:jc w:val="both"/>
        <w:rPr>
          <w:rFonts w:ascii="Arial" w:hAnsi="Arial" w:cs="Arial"/>
          <w:sz w:val="24"/>
          <w:szCs w:val="24"/>
          <w:u w:val="single"/>
        </w:rPr>
      </w:pPr>
      <w:r>
        <w:rPr>
          <w:rFonts w:ascii="Arial" w:hAnsi="Arial" w:cs="Arial"/>
          <w:sz w:val="24"/>
          <w:szCs w:val="24"/>
          <w:u w:val="single"/>
        </w:rPr>
        <w:t>Conclusion</w:t>
      </w:r>
    </w:p>
    <w:p w14:paraId="1070C73F" w14:textId="77777777" w:rsidR="00415FB0" w:rsidRDefault="00415FB0" w:rsidP="008C1970">
      <w:pPr>
        <w:spacing w:after="0" w:line="360" w:lineRule="auto"/>
        <w:jc w:val="both"/>
        <w:rPr>
          <w:rFonts w:ascii="Arial" w:hAnsi="Arial" w:cs="Arial"/>
          <w:sz w:val="24"/>
          <w:szCs w:val="24"/>
          <w:u w:val="single"/>
        </w:rPr>
      </w:pPr>
    </w:p>
    <w:p w14:paraId="67560E07" w14:textId="7FC2022E" w:rsidR="008C1970" w:rsidRDefault="008C1970" w:rsidP="008C1970">
      <w:pPr>
        <w:widowControl w:val="0"/>
        <w:tabs>
          <w:tab w:val="left" w:pos="881"/>
        </w:tabs>
        <w:autoSpaceDE w:val="0"/>
        <w:autoSpaceDN w:val="0"/>
        <w:spacing w:before="82" w:after="0" w:line="360" w:lineRule="auto"/>
        <w:ind w:right="137"/>
        <w:jc w:val="both"/>
        <w:rPr>
          <w:rFonts w:ascii="Arial" w:hAnsi="Arial" w:cs="Arial"/>
          <w:sz w:val="24"/>
          <w:szCs w:val="24"/>
        </w:rPr>
      </w:pPr>
      <w:r w:rsidRPr="00AB2419">
        <w:rPr>
          <w:rFonts w:ascii="Arial" w:hAnsi="Arial" w:cs="Arial"/>
          <w:sz w:val="24"/>
          <w:szCs w:val="24"/>
        </w:rPr>
        <w:t>[</w:t>
      </w:r>
      <w:r w:rsidR="00731E02">
        <w:rPr>
          <w:rFonts w:ascii="Arial" w:hAnsi="Arial" w:cs="Arial"/>
          <w:sz w:val="24"/>
          <w:szCs w:val="24"/>
        </w:rPr>
        <w:t>20</w:t>
      </w:r>
      <w:r w:rsidRPr="00AB2419">
        <w:rPr>
          <w:rFonts w:ascii="Arial" w:hAnsi="Arial" w:cs="Arial"/>
          <w:sz w:val="24"/>
          <w:szCs w:val="24"/>
        </w:rPr>
        <w:t>]</w:t>
      </w:r>
      <w:r w:rsidRPr="00AB2419">
        <w:rPr>
          <w:rFonts w:ascii="Arial" w:hAnsi="Arial" w:cs="Arial"/>
          <w:sz w:val="24"/>
          <w:szCs w:val="24"/>
        </w:rPr>
        <w:tab/>
      </w:r>
      <w:r w:rsidR="00664123">
        <w:rPr>
          <w:rFonts w:ascii="Arial" w:hAnsi="Arial" w:cs="Arial"/>
          <w:sz w:val="24"/>
          <w:szCs w:val="24"/>
        </w:rPr>
        <w:t xml:space="preserve">As a result, the plaintiff was unable to </w:t>
      </w:r>
      <w:r w:rsidR="00415FB0">
        <w:rPr>
          <w:rFonts w:ascii="Arial" w:hAnsi="Arial" w:cs="Arial"/>
          <w:sz w:val="24"/>
          <w:szCs w:val="24"/>
        </w:rPr>
        <w:t>establish that</w:t>
      </w:r>
      <w:r w:rsidR="00664123">
        <w:rPr>
          <w:rFonts w:ascii="Arial" w:hAnsi="Arial" w:cs="Arial"/>
          <w:sz w:val="24"/>
          <w:szCs w:val="24"/>
        </w:rPr>
        <w:t xml:space="preserve"> there are any exceptional circumstances or compelling reasons which would cause the court to refuse the stay </w:t>
      </w:r>
      <w:r w:rsidR="00415FB0">
        <w:rPr>
          <w:rFonts w:ascii="Arial" w:hAnsi="Arial" w:cs="Arial"/>
          <w:sz w:val="24"/>
          <w:szCs w:val="24"/>
        </w:rPr>
        <w:t xml:space="preserve">of the proceedings </w:t>
      </w:r>
      <w:r w:rsidR="00664123">
        <w:rPr>
          <w:rFonts w:ascii="Arial" w:hAnsi="Arial" w:cs="Arial"/>
          <w:sz w:val="24"/>
          <w:szCs w:val="24"/>
        </w:rPr>
        <w:t>pending the outcome of the arbitration.</w:t>
      </w:r>
    </w:p>
    <w:p w14:paraId="6B651482" w14:textId="77777777" w:rsidR="008931F3" w:rsidRDefault="008931F3" w:rsidP="008C1970">
      <w:pPr>
        <w:widowControl w:val="0"/>
        <w:tabs>
          <w:tab w:val="left" w:pos="881"/>
        </w:tabs>
        <w:autoSpaceDE w:val="0"/>
        <w:autoSpaceDN w:val="0"/>
        <w:spacing w:before="82" w:after="0" w:line="360" w:lineRule="auto"/>
        <w:ind w:right="137"/>
        <w:jc w:val="both"/>
        <w:rPr>
          <w:rFonts w:ascii="Arial" w:hAnsi="Arial" w:cs="Arial"/>
          <w:sz w:val="24"/>
          <w:szCs w:val="24"/>
        </w:rPr>
      </w:pPr>
    </w:p>
    <w:p w14:paraId="1FD0A3A2" w14:textId="328BFC31" w:rsidR="00664123" w:rsidRDefault="008C1970" w:rsidP="00664123">
      <w:pPr>
        <w:spacing w:after="0" w:line="360" w:lineRule="auto"/>
        <w:jc w:val="both"/>
        <w:rPr>
          <w:rFonts w:ascii="Arial" w:hAnsi="Arial" w:cs="Arial"/>
          <w:sz w:val="24"/>
          <w:szCs w:val="24"/>
          <w:lang w:val="en-US" w:eastAsia="zh-CN" w:bidi="hi-IN"/>
        </w:rPr>
      </w:pPr>
      <w:r>
        <w:rPr>
          <w:rFonts w:ascii="Arial" w:hAnsi="Arial" w:cs="Arial"/>
          <w:sz w:val="24"/>
          <w:szCs w:val="24"/>
        </w:rPr>
        <w:t>[</w:t>
      </w:r>
      <w:r w:rsidR="00731E02">
        <w:rPr>
          <w:rFonts w:ascii="Arial" w:hAnsi="Arial" w:cs="Arial"/>
          <w:sz w:val="24"/>
          <w:szCs w:val="24"/>
        </w:rPr>
        <w:t>21</w:t>
      </w:r>
      <w:r>
        <w:rPr>
          <w:rFonts w:ascii="Arial" w:hAnsi="Arial" w:cs="Arial"/>
          <w:sz w:val="24"/>
          <w:szCs w:val="24"/>
        </w:rPr>
        <w:t>]</w:t>
      </w:r>
      <w:r>
        <w:rPr>
          <w:rFonts w:ascii="Arial" w:hAnsi="Arial" w:cs="Arial"/>
          <w:sz w:val="24"/>
          <w:szCs w:val="24"/>
        </w:rPr>
        <w:tab/>
        <w:t xml:space="preserve"> </w:t>
      </w:r>
      <w:r w:rsidR="00664123">
        <w:rPr>
          <w:rFonts w:ascii="Arial" w:hAnsi="Arial" w:cs="Arial"/>
          <w:sz w:val="24"/>
          <w:szCs w:val="24"/>
          <w:lang w:val="en-US" w:eastAsia="zh-CN" w:bidi="hi-IN"/>
        </w:rPr>
        <w:t>For these reasons, I make the following order:</w:t>
      </w:r>
    </w:p>
    <w:p w14:paraId="2222409D" w14:textId="77777777" w:rsidR="00664123" w:rsidRDefault="00664123" w:rsidP="00664123">
      <w:pPr>
        <w:spacing w:after="0" w:line="360" w:lineRule="auto"/>
        <w:jc w:val="both"/>
        <w:rPr>
          <w:rFonts w:ascii="Arial" w:hAnsi="Arial" w:cs="Arial"/>
          <w:sz w:val="24"/>
          <w:szCs w:val="24"/>
          <w:lang w:val="en-US" w:eastAsia="zh-CN" w:bidi="hi-IN"/>
        </w:rPr>
      </w:pPr>
    </w:p>
    <w:p w14:paraId="2555C22D" w14:textId="1F072014" w:rsidR="00CF26DB" w:rsidRPr="00CF26DB" w:rsidRDefault="00CF26DB" w:rsidP="00CF26DB">
      <w:pPr>
        <w:pStyle w:val="ListParagraph"/>
        <w:numPr>
          <w:ilvl w:val="0"/>
          <w:numId w:val="10"/>
        </w:numPr>
        <w:spacing w:after="0" w:line="360" w:lineRule="auto"/>
        <w:jc w:val="both"/>
        <w:rPr>
          <w:rFonts w:ascii="Arial" w:hAnsi="Arial" w:cs="Arial"/>
          <w:sz w:val="24"/>
          <w:szCs w:val="24"/>
          <w:lang w:val="en-US"/>
        </w:rPr>
      </w:pPr>
      <w:r w:rsidRPr="00CF26DB">
        <w:rPr>
          <w:rFonts w:ascii="Arial" w:hAnsi="Arial" w:cs="Arial"/>
          <w:sz w:val="24"/>
          <w:szCs w:val="24"/>
          <w:lang w:val="en-US"/>
        </w:rPr>
        <w:t>The special plea is upheld with costs, such costs to include the costs of one instructing and one instructed counsel.</w:t>
      </w:r>
    </w:p>
    <w:p w14:paraId="3C0171A5" w14:textId="044AC61D" w:rsidR="00731E02" w:rsidRPr="00731E02" w:rsidRDefault="00731E02" w:rsidP="008C1970">
      <w:pPr>
        <w:pStyle w:val="ListParagraph"/>
        <w:widowControl w:val="0"/>
        <w:numPr>
          <w:ilvl w:val="0"/>
          <w:numId w:val="10"/>
        </w:numPr>
        <w:shd w:val="clear" w:color="auto" w:fill="FFFFFF"/>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lang w:val="en-US"/>
        </w:rPr>
        <w:t>The action is stayed pending arbitration proceedings in terms of clause 15 of the Sale and Building Agreement.</w:t>
      </w:r>
    </w:p>
    <w:p w14:paraId="22A49154" w14:textId="7F1DF8D7" w:rsidR="00731E02" w:rsidRDefault="00731E02" w:rsidP="008C1970">
      <w:pPr>
        <w:pStyle w:val="ListParagraph"/>
        <w:widowControl w:val="0"/>
        <w:numPr>
          <w:ilvl w:val="0"/>
          <w:numId w:val="10"/>
        </w:numPr>
        <w:shd w:val="clear" w:color="auto" w:fill="FFFFFF"/>
        <w:tabs>
          <w:tab w:val="left" w:pos="881"/>
        </w:tabs>
        <w:autoSpaceDE w:val="0"/>
        <w:autoSpaceDN w:val="0"/>
        <w:spacing w:after="0" w:line="360" w:lineRule="auto"/>
        <w:ind w:right="137"/>
        <w:jc w:val="both"/>
        <w:rPr>
          <w:rFonts w:ascii="Arial" w:hAnsi="Arial" w:cs="Arial"/>
          <w:sz w:val="24"/>
          <w:szCs w:val="24"/>
        </w:rPr>
      </w:pPr>
      <w:r>
        <w:rPr>
          <w:rFonts w:ascii="Arial" w:hAnsi="Arial" w:cs="Arial"/>
          <w:sz w:val="24"/>
          <w:szCs w:val="24"/>
        </w:rPr>
        <w:t xml:space="preserve">The matter is postponed to 07 December 2021 for status hearing to record the outcome of arbitration. </w:t>
      </w:r>
    </w:p>
    <w:p w14:paraId="1FD2A0C3" w14:textId="4C2A5856" w:rsidR="008C1970" w:rsidRPr="004062BF" w:rsidRDefault="00731E02" w:rsidP="008C1970">
      <w:pPr>
        <w:pStyle w:val="ListParagraph"/>
        <w:widowControl w:val="0"/>
        <w:numPr>
          <w:ilvl w:val="0"/>
          <w:numId w:val="10"/>
        </w:numPr>
        <w:shd w:val="clear" w:color="auto" w:fill="FFFFFF"/>
        <w:tabs>
          <w:tab w:val="left" w:pos="881"/>
        </w:tabs>
        <w:autoSpaceDE w:val="0"/>
        <w:autoSpaceDN w:val="0"/>
        <w:spacing w:after="0" w:line="360" w:lineRule="auto"/>
        <w:ind w:right="137"/>
        <w:jc w:val="both"/>
        <w:rPr>
          <w:rFonts w:ascii="Arial" w:hAnsi="Arial" w:cs="Arial"/>
          <w:sz w:val="24"/>
          <w:szCs w:val="24"/>
        </w:rPr>
      </w:pPr>
      <w:r w:rsidRPr="004062BF">
        <w:rPr>
          <w:rFonts w:ascii="Arial" w:hAnsi="Arial" w:cs="Arial"/>
          <w:sz w:val="24"/>
          <w:szCs w:val="24"/>
        </w:rPr>
        <w:t>Parties must file a joint status report on or before 02 December 2021.</w:t>
      </w:r>
    </w:p>
    <w:p w14:paraId="6E6E18D3" w14:textId="77777777" w:rsidR="008C1970" w:rsidRDefault="008C1970" w:rsidP="008C1970">
      <w:pPr>
        <w:spacing w:after="0" w:line="360" w:lineRule="auto"/>
        <w:jc w:val="both"/>
        <w:rPr>
          <w:rFonts w:ascii="Arial" w:hAnsi="Arial" w:cs="Arial"/>
          <w:sz w:val="24"/>
          <w:szCs w:val="24"/>
        </w:rPr>
      </w:pPr>
    </w:p>
    <w:p w14:paraId="10BB5B81" w14:textId="77777777" w:rsidR="008C1970" w:rsidRDefault="008C1970" w:rsidP="008C1970">
      <w:pPr>
        <w:spacing w:after="0" w:line="360" w:lineRule="auto"/>
        <w:jc w:val="both"/>
        <w:rPr>
          <w:rFonts w:ascii="Arial" w:hAnsi="Arial" w:cs="Arial"/>
          <w:sz w:val="24"/>
          <w:szCs w:val="24"/>
        </w:rPr>
      </w:pPr>
    </w:p>
    <w:p w14:paraId="7EB21949" w14:textId="77777777" w:rsidR="008C1970" w:rsidRPr="00D4786F" w:rsidRDefault="008C1970" w:rsidP="008C1970">
      <w:pPr>
        <w:spacing w:after="0" w:line="360" w:lineRule="auto"/>
        <w:jc w:val="both"/>
        <w:rPr>
          <w:rFonts w:ascii="Arial" w:hAnsi="Arial" w:cs="Arial"/>
          <w:sz w:val="24"/>
          <w:szCs w:val="24"/>
        </w:rPr>
      </w:pPr>
    </w:p>
    <w:p w14:paraId="1180F2EB" w14:textId="77777777" w:rsidR="008C1970" w:rsidRPr="0018030D" w:rsidRDefault="008C1970" w:rsidP="008C1970">
      <w:pPr>
        <w:spacing w:after="0" w:line="360" w:lineRule="auto"/>
        <w:rPr>
          <w:rFonts w:ascii="Arial" w:hAnsi="Arial" w:cs="Arial"/>
          <w:i/>
          <w:sz w:val="24"/>
          <w:szCs w:val="24"/>
        </w:rPr>
      </w:pPr>
    </w:p>
    <w:p w14:paraId="1AF3DC58" w14:textId="6D18927E" w:rsidR="008C1970" w:rsidRPr="006E026B" w:rsidRDefault="00082130" w:rsidP="008C1970">
      <w:pPr>
        <w:spacing w:after="0" w:line="360" w:lineRule="auto"/>
        <w:jc w:val="right"/>
        <w:rPr>
          <w:rFonts w:ascii="Arial" w:hAnsi="Arial" w:cs="Arial"/>
          <w:sz w:val="24"/>
          <w:szCs w:val="24"/>
        </w:rPr>
      </w:pPr>
      <w:r>
        <w:rPr>
          <w:rFonts w:ascii="Arial" w:hAnsi="Arial" w:cs="Arial"/>
          <w:sz w:val="24"/>
          <w:szCs w:val="24"/>
        </w:rPr>
        <w:t>___________</w:t>
      </w:r>
    </w:p>
    <w:p w14:paraId="1858CD93" w14:textId="13676808" w:rsidR="008C1970" w:rsidRDefault="008931F3" w:rsidP="008C1970">
      <w:pPr>
        <w:spacing w:after="0" w:line="360" w:lineRule="auto"/>
        <w:jc w:val="right"/>
        <w:rPr>
          <w:rFonts w:ascii="Arial" w:hAnsi="Arial" w:cs="Arial"/>
          <w:sz w:val="24"/>
          <w:szCs w:val="24"/>
        </w:rPr>
      </w:pPr>
      <w:r>
        <w:rPr>
          <w:rFonts w:ascii="Arial" w:hAnsi="Arial" w:cs="Arial"/>
          <w:sz w:val="24"/>
          <w:szCs w:val="24"/>
        </w:rPr>
        <w:t xml:space="preserve">O </w:t>
      </w:r>
      <w:r w:rsidR="00082130">
        <w:rPr>
          <w:rFonts w:ascii="Arial" w:hAnsi="Arial" w:cs="Arial"/>
          <w:sz w:val="24"/>
          <w:szCs w:val="24"/>
        </w:rPr>
        <w:t xml:space="preserve">S </w:t>
      </w:r>
      <w:r>
        <w:rPr>
          <w:rFonts w:ascii="Arial" w:hAnsi="Arial" w:cs="Arial"/>
          <w:sz w:val="24"/>
          <w:szCs w:val="24"/>
        </w:rPr>
        <w:t>SIBEYA</w:t>
      </w:r>
    </w:p>
    <w:p w14:paraId="21D33D52" w14:textId="77777777" w:rsidR="008C1970" w:rsidRPr="008D7641" w:rsidRDefault="008C1970" w:rsidP="008C1970">
      <w:pPr>
        <w:spacing w:after="0" w:line="360" w:lineRule="auto"/>
        <w:jc w:val="right"/>
        <w:rPr>
          <w:rFonts w:ascii="Arial" w:hAnsi="Arial" w:cs="Arial"/>
          <w:sz w:val="24"/>
          <w:szCs w:val="24"/>
        </w:rPr>
      </w:pPr>
      <w:r>
        <w:rPr>
          <w:rFonts w:ascii="Arial" w:hAnsi="Arial" w:cs="Arial"/>
          <w:sz w:val="24"/>
          <w:szCs w:val="24"/>
        </w:rPr>
        <w:t>Judge</w:t>
      </w:r>
    </w:p>
    <w:p w14:paraId="0012C774" w14:textId="77777777" w:rsidR="00282757" w:rsidRDefault="00282757">
      <w:pPr>
        <w:spacing w:after="160" w:line="259" w:lineRule="auto"/>
        <w:rPr>
          <w:rFonts w:ascii="Arial" w:eastAsia="Times New Roman" w:hAnsi="Arial" w:cs="Arial"/>
          <w:sz w:val="24"/>
          <w:szCs w:val="24"/>
          <w:lang w:val="en-GB"/>
        </w:rPr>
      </w:pPr>
      <w:r>
        <w:rPr>
          <w:rFonts w:ascii="Arial" w:hAnsi="Arial" w:cs="Arial"/>
        </w:rPr>
        <w:br w:type="page"/>
      </w:r>
    </w:p>
    <w:p w14:paraId="4AAF7297" w14:textId="28E54EF5" w:rsidR="008C1970" w:rsidRPr="00936A1C" w:rsidRDefault="008C1970" w:rsidP="008C1970">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47CBFA0D" w14:textId="77777777" w:rsidR="008C1970" w:rsidRPr="000E7777" w:rsidRDefault="008C1970" w:rsidP="008C1970">
      <w:pPr>
        <w:pStyle w:val="BodyText"/>
        <w:autoSpaceDE w:val="0"/>
        <w:autoSpaceDN w:val="0"/>
        <w:adjustRightInd w:val="0"/>
        <w:spacing w:line="360" w:lineRule="auto"/>
        <w:jc w:val="both"/>
        <w:rPr>
          <w:rFonts w:ascii="Arial" w:hAnsi="Arial" w:cs="Arial"/>
        </w:rPr>
      </w:pPr>
    </w:p>
    <w:p w14:paraId="77448D7A" w14:textId="5A477CE8" w:rsidR="008C1970" w:rsidRDefault="008931F3" w:rsidP="008C1970">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FOR THE PLAINTIFF</w:t>
      </w:r>
      <w:r w:rsidR="00DE668E">
        <w:rPr>
          <w:rFonts w:ascii="Arial" w:hAnsi="Arial" w:cs="Arial"/>
          <w:sz w:val="24"/>
          <w:szCs w:val="24"/>
        </w:rPr>
        <w:tab/>
      </w:r>
      <w:r w:rsidR="00DE668E">
        <w:rPr>
          <w:rFonts w:ascii="Arial" w:hAnsi="Arial" w:cs="Arial"/>
          <w:sz w:val="24"/>
          <w:szCs w:val="24"/>
        </w:rPr>
        <w:tab/>
      </w:r>
      <w:r w:rsidR="008C1970">
        <w:rPr>
          <w:rFonts w:ascii="Arial" w:hAnsi="Arial" w:cs="Arial"/>
          <w:sz w:val="24"/>
          <w:szCs w:val="24"/>
        </w:rPr>
        <w:t>:</w:t>
      </w:r>
      <w:r w:rsidR="008C1970">
        <w:rPr>
          <w:rFonts w:ascii="Arial" w:hAnsi="Arial" w:cs="Arial"/>
          <w:sz w:val="24"/>
          <w:szCs w:val="24"/>
        </w:rPr>
        <w:tab/>
      </w:r>
      <w:r>
        <w:rPr>
          <w:rFonts w:ascii="Arial" w:hAnsi="Arial" w:cs="Arial"/>
          <w:sz w:val="24"/>
          <w:szCs w:val="24"/>
        </w:rPr>
        <w:tab/>
        <w:t>P COETZEE</w:t>
      </w:r>
    </w:p>
    <w:p w14:paraId="1BF46979" w14:textId="77777777" w:rsidR="008C1970" w:rsidRDefault="008C1970" w:rsidP="008931F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931F3">
        <w:rPr>
          <w:rFonts w:ascii="Arial" w:hAnsi="Arial" w:cs="Arial"/>
          <w:sz w:val="24"/>
          <w:szCs w:val="24"/>
        </w:rPr>
        <w:tab/>
      </w:r>
      <w:r w:rsidR="008931F3">
        <w:rPr>
          <w:rFonts w:ascii="Arial" w:hAnsi="Arial" w:cs="Arial"/>
          <w:sz w:val="24"/>
          <w:szCs w:val="24"/>
        </w:rPr>
        <w:tab/>
        <w:t>P D THERON AND ASSOCIATES</w:t>
      </w:r>
    </w:p>
    <w:p w14:paraId="0A7F0D05" w14:textId="77777777" w:rsidR="008C1970" w:rsidRDefault="008C1970" w:rsidP="008C1970">
      <w:pPr>
        <w:autoSpaceDE w:val="0"/>
        <w:autoSpaceDN w:val="0"/>
        <w:adjustRightInd w:val="0"/>
        <w:spacing w:after="0" w:line="360" w:lineRule="auto"/>
        <w:jc w:val="both"/>
        <w:rPr>
          <w:rFonts w:ascii="Arial" w:hAnsi="Arial" w:cs="Arial"/>
          <w:sz w:val="24"/>
          <w:szCs w:val="24"/>
        </w:rPr>
      </w:pPr>
    </w:p>
    <w:p w14:paraId="472325EC" w14:textId="59496BCD" w:rsidR="008931F3" w:rsidRDefault="008931F3" w:rsidP="008C1970">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FOR THE DEFENDANT</w:t>
      </w:r>
      <w:r w:rsidR="00DE668E">
        <w:rPr>
          <w:rFonts w:ascii="Arial" w:hAnsi="Arial" w:cs="Arial"/>
          <w:sz w:val="24"/>
          <w:szCs w:val="24"/>
        </w:rPr>
        <w:tab/>
      </w:r>
      <w:r w:rsidR="005C2C38">
        <w:rPr>
          <w:rFonts w:ascii="Arial" w:hAnsi="Arial" w:cs="Arial"/>
          <w:sz w:val="24"/>
          <w:szCs w:val="24"/>
        </w:rPr>
        <w:t>:</w:t>
      </w:r>
      <w:r w:rsidR="005C2C38">
        <w:rPr>
          <w:rFonts w:ascii="Arial" w:hAnsi="Arial" w:cs="Arial"/>
          <w:sz w:val="24"/>
          <w:szCs w:val="24"/>
        </w:rPr>
        <w:tab/>
      </w:r>
      <w:r w:rsidR="005C2C38">
        <w:rPr>
          <w:rFonts w:ascii="Arial" w:hAnsi="Arial" w:cs="Arial"/>
          <w:sz w:val="24"/>
          <w:szCs w:val="24"/>
        </w:rPr>
        <w:tab/>
        <w:t xml:space="preserve">J </w:t>
      </w:r>
      <w:r w:rsidR="00A7183E">
        <w:rPr>
          <w:rFonts w:ascii="Arial" w:hAnsi="Arial" w:cs="Arial"/>
          <w:sz w:val="24"/>
          <w:szCs w:val="24"/>
        </w:rPr>
        <w:t>DIEDER</w:t>
      </w:r>
      <w:r>
        <w:rPr>
          <w:rFonts w:ascii="Arial" w:hAnsi="Arial" w:cs="Arial"/>
          <w:sz w:val="24"/>
          <w:szCs w:val="24"/>
        </w:rPr>
        <w:t xml:space="preserve">ICKS </w:t>
      </w:r>
    </w:p>
    <w:p w14:paraId="2A72B5EA" w14:textId="77777777" w:rsidR="008C1970" w:rsidRDefault="008C1970" w:rsidP="00DE668E">
      <w:pPr>
        <w:autoSpaceDE w:val="0"/>
        <w:autoSpaceDN w:val="0"/>
        <w:adjustRightInd w:val="0"/>
        <w:spacing w:after="0" w:line="360" w:lineRule="auto"/>
        <w:ind w:left="5040"/>
        <w:jc w:val="both"/>
        <w:rPr>
          <w:rFonts w:ascii="Arial" w:hAnsi="Arial" w:cs="Arial"/>
          <w:sz w:val="24"/>
          <w:szCs w:val="24"/>
        </w:rPr>
      </w:pPr>
      <w:r>
        <w:rPr>
          <w:rFonts w:ascii="Arial" w:hAnsi="Arial" w:cs="Arial"/>
          <w:sz w:val="24"/>
          <w:szCs w:val="24"/>
        </w:rPr>
        <w:t xml:space="preserve">Instructed by </w:t>
      </w:r>
      <w:r w:rsidR="008931F3">
        <w:rPr>
          <w:rFonts w:ascii="Arial" w:hAnsi="Arial" w:cs="Arial"/>
          <w:sz w:val="24"/>
          <w:szCs w:val="24"/>
        </w:rPr>
        <w:t>ENGLING STRITTER AND PARTNERS</w:t>
      </w:r>
    </w:p>
    <w:p w14:paraId="0DB98A0F" w14:textId="77777777" w:rsidR="008C1970" w:rsidRDefault="008C1970" w:rsidP="008C1970">
      <w:pPr>
        <w:autoSpaceDE w:val="0"/>
        <w:autoSpaceDN w:val="0"/>
        <w:adjustRightInd w:val="0"/>
        <w:spacing w:after="0" w:line="360" w:lineRule="auto"/>
        <w:ind w:left="3780" w:hanging="3780"/>
        <w:jc w:val="both"/>
        <w:rPr>
          <w:rFonts w:ascii="Arial" w:hAnsi="Arial" w:cs="Arial"/>
          <w:sz w:val="24"/>
          <w:szCs w:val="24"/>
        </w:rPr>
      </w:pPr>
    </w:p>
    <w:p w14:paraId="21F20FD5" w14:textId="77777777" w:rsidR="008C1970" w:rsidRDefault="008C1970" w:rsidP="008C1970">
      <w:pPr>
        <w:autoSpaceDE w:val="0"/>
        <w:autoSpaceDN w:val="0"/>
        <w:adjustRightInd w:val="0"/>
        <w:spacing w:after="0" w:line="360" w:lineRule="auto"/>
        <w:ind w:left="3780" w:hanging="3780"/>
        <w:jc w:val="both"/>
        <w:rPr>
          <w:rFonts w:ascii="Arial" w:hAnsi="Arial" w:cs="Arial"/>
          <w:sz w:val="24"/>
          <w:szCs w:val="24"/>
        </w:rPr>
      </w:pPr>
    </w:p>
    <w:p w14:paraId="5E562290" w14:textId="77777777" w:rsidR="008C1970" w:rsidRPr="000E7777" w:rsidRDefault="008C1970" w:rsidP="008C1970">
      <w:pPr>
        <w:autoSpaceDE w:val="0"/>
        <w:autoSpaceDN w:val="0"/>
        <w:adjustRightInd w:val="0"/>
        <w:spacing w:after="0" w:line="360" w:lineRule="auto"/>
        <w:ind w:left="3780" w:hanging="3780"/>
        <w:jc w:val="both"/>
        <w:rPr>
          <w:rFonts w:ascii="Arial" w:hAnsi="Arial" w:cs="Arial"/>
          <w:sz w:val="24"/>
          <w:szCs w:val="24"/>
        </w:rPr>
      </w:pPr>
    </w:p>
    <w:p w14:paraId="2978D364" w14:textId="77777777" w:rsidR="008C1970" w:rsidRDefault="008C1970" w:rsidP="008C1970">
      <w:pPr>
        <w:spacing w:after="0" w:line="360" w:lineRule="auto"/>
        <w:jc w:val="both"/>
        <w:rPr>
          <w:rFonts w:ascii="Arial" w:hAnsi="Arial" w:cs="Arial"/>
        </w:rPr>
      </w:pPr>
    </w:p>
    <w:p w14:paraId="1B527E72" w14:textId="77777777" w:rsidR="008C1970" w:rsidRPr="00B727D8" w:rsidRDefault="008C1970" w:rsidP="008C1970">
      <w:pPr>
        <w:spacing w:after="0" w:line="360" w:lineRule="auto"/>
        <w:jc w:val="both"/>
        <w:rPr>
          <w:rFonts w:ascii="Arial" w:hAnsi="Arial" w:cs="Arial"/>
        </w:rPr>
      </w:pPr>
    </w:p>
    <w:p w14:paraId="46C98A18" w14:textId="77777777" w:rsidR="008F06CD" w:rsidRDefault="008F06CD"/>
    <w:sectPr w:rsidR="008F06CD" w:rsidSect="008931F3">
      <w:headerReference w:type="default" r:id="rId12"/>
      <w:pgSz w:w="11907" w:h="16839" w:code="9"/>
      <w:pgMar w:top="810" w:right="120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5F72" w14:textId="77777777" w:rsidR="0073659D" w:rsidRDefault="0073659D" w:rsidP="008C1970">
      <w:pPr>
        <w:spacing w:after="0" w:line="240" w:lineRule="auto"/>
      </w:pPr>
      <w:r>
        <w:separator/>
      </w:r>
    </w:p>
  </w:endnote>
  <w:endnote w:type="continuationSeparator" w:id="0">
    <w:p w14:paraId="6F1B397C" w14:textId="77777777" w:rsidR="0073659D" w:rsidRDefault="0073659D" w:rsidP="008C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396A" w14:textId="77777777" w:rsidR="0073659D" w:rsidRDefault="0073659D" w:rsidP="008C1970">
      <w:pPr>
        <w:spacing w:after="0" w:line="240" w:lineRule="auto"/>
      </w:pPr>
      <w:r>
        <w:separator/>
      </w:r>
    </w:p>
  </w:footnote>
  <w:footnote w:type="continuationSeparator" w:id="0">
    <w:p w14:paraId="3FD42D98" w14:textId="77777777" w:rsidR="0073659D" w:rsidRDefault="0073659D" w:rsidP="008C1970">
      <w:pPr>
        <w:spacing w:after="0" w:line="240" w:lineRule="auto"/>
      </w:pPr>
      <w:r>
        <w:continuationSeparator/>
      </w:r>
    </w:p>
  </w:footnote>
  <w:footnote w:id="1">
    <w:p w14:paraId="1167FFBF" w14:textId="58C1D0A2" w:rsidR="00524B8A" w:rsidRPr="00282757" w:rsidRDefault="00524B8A" w:rsidP="00277418">
      <w:pPr>
        <w:pStyle w:val="FootnoteText"/>
        <w:jc w:val="both"/>
        <w:rPr>
          <w:rFonts w:ascii="Arial" w:hAnsi="Arial" w:cs="Arial"/>
          <w:lang w:val="en-US"/>
        </w:rPr>
      </w:pPr>
      <w:r w:rsidRPr="00282757">
        <w:rPr>
          <w:rStyle w:val="FootnoteReference"/>
          <w:rFonts w:ascii="Arial" w:hAnsi="Arial" w:cs="Arial"/>
        </w:rPr>
        <w:footnoteRef/>
      </w:r>
      <w:r w:rsidR="00282757" w:rsidRPr="00282757">
        <w:rPr>
          <w:rFonts w:ascii="Arial" w:hAnsi="Arial" w:cs="Arial"/>
          <w:i/>
          <w:lang w:val="en-US"/>
        </w:rPr>
        <w:t>Trustco Group International (Pty) Ltd v The Namibia Rugby Union</w:t>
      </w:r>
      <w:r w:rsidRPr="00282757">
        <w:rPr>
          <w:rFonts w:ascii="Arial" w:hAnsi="Arial" w:cs="Arial"/>
        </w:rPr>
        <w:t xml:space="preserve"> </w:t>
      </w:r>
      <w:r w:rsidRPr="00282757">
        <w:rPr>
          <w:rFonts w:ascii="Arial" w:eastAsia="Arial" w:hAnsi="Arial" w:cs="Arial"/>
          <w:i/>
          <w:lang w:val="en-US"/>
        </w:rPr>
        <w:t>(I 2781-2010) [2014] NAHCMD 169 (27 May 2014), para 10 read with para 14)</w:t>
      </w:r>
      <w:r w:rsidRPr="00282757">
        <w:rPr>
          <w:rFonts w:ascii="Arial" w:eastAsia="Arial" w:hAnsi="Arial" w:cs="Arial"/>
          <w:lang w:val="en-US"/>
        </w:rPr>
        <w:t>,</w:t>
      </w:r>
    </w:p>
  </w:footnote>
  <w:footnote w:id="2">
    <w:p w14:paraId="5DCAF231" w14:textId="77777777" w:rsidR="00524B8A" w:rsidRPr="00282757" w:rsidRDefault="00524B8A" w:rsidP="00277418">
      <w:pPr>
        <w:pStyle w:val="FootnoteText"/>
        <w:jc w:val="both"/>
        <w:rPr>
          <w:rFonts w:ascii="Arial" w:hAnsi="Arial" w:cs="Arial"/>
          <w:lang w:val="en-US"/>
        </w:rPr>
      </w:pPr>
      <w:r w:rsidRPr="00282757">
        <w:rPr>
          <w:rStyle w:val="FootnoteReference"/>
          <w:rFonts w:ascii="Arial" w:hAnsi="Arial" w:cs="Arial"/>
        </w:rPr>
        <w:footnoteRef/>
      </w:r>
      <w:r w:rsidRPr="00282757">
        <w:rPr>
          <w:rFonts w:ascii="Arial" w:hAnsi="Arial" w:cs="Arial"/>
        </w:rPr>
        <w:t xml:space="preserve"> </w:t>
      </w:r>
      <w:r w:rsidRPr="00282757">
        <w:rPr>
          <w:rFonts w:ascii="Arial" w:hAnsi="Arial" w:cs="Arial"/>
          <w:lang w:val="en-US"/>
        </w:rPr>
        <w:t xml:space="preserve">See also </w:t>
      </w:r>
      <w:r w:rsidRPr="00282757">
        <w:rPr>
          <w:rFonts w:ascii="Arial" w:hAnsi="Arial" w:cs="Arial"/>
          <w:i/>
          <w:lang w:val="en-US"/>
        </w:rPr>
        <w:t>Mervis Brothers v Interior Acoustic</w:t>
      </w:r>
      <w:r w:rsidRPr="00282757">
        <w:rPr>
          <w:rFonts w:ascii="Arial" w:hAnsi="Arial" w:cs="Arial"/>
          <w:lang w:val="en-US"/>
        </w:rPr>
        <w:t xml:space="preserve"> 1999 (3) SA 607 (W).</w:t>
      </w:r>
    </w:p>
  </w:footnote>
  <w:footnote w:id="3">
    <w:p w14:paraId="4DBA174B" w14:textId="77777777" w:rsidR="00524B8A" w:rsidRPr="00282757" w:rsidRDefault="00524B8A" w:rsidP="00277418">
      <w:pPr>
        <w:pStyle w:val="FootnoteText"/>
        <w:jc w:val="both"/>
        <w:rPr>
          <w:rFonts w:ascii="Arial" w:hAnsi="Arial" w:cs="Arial"/>
          <w:lang w:val="en-US"/>
        </w:rPr>
      </w:pPr>
      <w:r w:rsidRPr="00282757">
        <w:rPr>
          <w:rStyle w:val="FootnoteReference"/>
          <w:rFonts w:ascii="Arial" w:hAnsi="Arial" w:cs="Arial"/>
        </w:rPr>
        <w:footnoteRef/>
      </w:r>
      <w:r w:rsidRPr="00282757">
        <w:rPr>
          <w:rFonts w:ascii="Arial" w:hAnsi="Arial" w:cs="Arial"/>
        </w:rPr>
        <w:t xml:space="preserve"> See also </w:t>
      </w:r>
      <w:r w:rsidRPr="00282757">
        <w:rPr>
          <w:rFonts w:ascii="Arial" w:hAnsi="Arial" w:cs="Arial"/>
          <w:i/>
          <w:lang w:val="en-US"/>
        </w:rPr>
        <w:t>Kathmer Investments (Pty) Ltd v Woolworths</w:t>
      </w:r>
      <w:r w:rsidRPr="00282757">
        <w:rPr>
          <w:rFonts w:ascii="Arial" w:hAnsi="Arial" w:cs="Arial"/>
          <w:lang w:val="en-US"/>
        </w:rPr>
        <w:t xml:space="preserve"> [1970] 2 All SA 570 (A), 1970 (2) SA 498 (A).</w:t>
      </w:r>
    </w:p>
  </w:footnote>
  <w:footnote w:id="4">
    <w:p w14:paraId="1AC456FC" w14:textId="5F6E35A2" w:rsidR="00277418" w:rsidRPr="00282757" w:rsidRDefault="00277418" w:rsidP="00277418">
      <w:pPr>
        <w:pStyle w:val="FootnoteText"/>
        <w:jc w:val="both"/>
        <w:rPr>
          <w:rFonts w:ascii="Arial" w:hAnsi="Arial" w:cs="Arial"/>
          <w:lang w:val="en-US"/>
        </w:rPr>
      </w:pPr>
      <w:r w:rsidRPr="00282757">
        <w:rPr>
          <w:rStyle w:val="FootnoteReference"/>
          <w:rFonts w:ascii="Arial" w:hAnsi="Arial" w:cs="Arial"/>
        </w:rPr>
        <w:footnoteRef/>
      </w:r>
      <w:r w:rsidRPr="00282757">
        <w:rPr>
          <w:rFonts w:ascii="Arial" w:hAnsi="Arial" w:cs="Arial"/>
        </w:rPr>
        <w:t xml:space="preserve"> </w:t>
      </w:r>
      <w:r w:rsidR="00282757" w:rsidRPr="00282757">
        <w:rPr>
          <w:rFonts w:ascii="Arial" w:hAnsi="Arial" w:cs="Arial"/>
          <w:i/>
        </w:rPr>
        <w:t>Umso Construction Pty Ltd v Bk Investments Holdings (Pty) Ltd</w:t>
      </w:r>
      <w:r w:rsidR="00282757" w:rsidRPr="00282757">
        <w:rPr>
          <w:rFonts w:ascii="Arial" w:hAnsi="Arial" w:cs="Arial"/>
        </w:rPr>
        <w:t xml:space="preserve"> </w:t>
      </w:r>
      <w:r w:rsidRPr="00282757">
        <w:rPr>
          <w:rFonts w:ascii="Arial" w:hAnsi="Arial" w:cs="Arial"/>
        </w:rPr>
        <w:t>(5541/2011) [2012] ZAFSHC 141 (10 August 2012).</w:t>
      </w:r>
    </w:p>
  </w:footnote>
  <w:footnote w:id="5">
    <w:p w14:paraId="73B993DD" w14:textId="7751923B" w:rsidR="00334D41" w:rsidRPr="00282757" w:rsidRDefault="00334D41" w:rsidP="00334D41">
      <w:pPr>
        <w:pStyle w:val="FootnoteText"/>
        <w:rPr>
          <w:rFonts w:ascii="Arial" w:hAnsi="Arial" w:cs="Arial"/>
          <w:lang w:val="en-GB"/>
        </w:rPr>
      </w:pPr>
      <w:r w:rsidRPr="00282757">
        <w:rPr>
          <w:rStyle w:val="FootnoteReference"/>
          <w:rFonts w:ascii="Arial" w:hAnsi="Arial" w:cs="Arial"/>
        </w:rPr>
        <w:footnoteRef/>
      </w:r>
      <w:r w:rsidRPr="00282757">
        <w:rPr>
          <w:rFonts w:ascii="Arial" w:hAnsi="Arial" w:cs="Arial"/>
        </w:rPr>
        <w:t xml:space="preserve"> </w:t>
      </w:r>
      <w:r w:rsidR="00282757" w:rsidRPr="00282757">
        <w:rPr>
          <w:rFonts w:ascii="Arial" w:hAnsi="Arial" w:cs="Arial"/>
          <w:i/>
          <w:iCs/>
        </w:rPr>
        <w:t>Namibia Wildlife Resort (Pty) Ltd v Ingplan Consulting Engineers and Project Managers and Another</w:t>
      </w:r>
      <w:r w:rsidR="00282757" w:rsidRPr="00282757">
        <w:rPr>
          <w:rFonts w:ascii="Arial" w:hAnsi="Arial" w:cs="Arial"/>
        </w:rPr>
        <w:t xml:space="preserve"> </w:t>
      </w:r>
      <w:r w:rsidRPr="00282757">
        <w:rPr>
          <w:rFonts w:ascii="Arial" w:hAnsi="Arial" w:cs="Arial"/>
        </w:rPr>
        <w:t xml:space="preserve">(SA-2017/55) </w:t>
      </w:r>
      <w:r w:rsidRPr="00282757">
        <w:rPr>
          <w:rFonts w:ascii="Arial" w:hAnsi="Arial" w:cs="Arial"/>
          <w:lang w:val="en-GB"/>
        </w:rPr>
        <w:t>[2019] NASC 584 (12 July 20019).</w:t>
      </w:r>
    </w:p>
  </w:footnote>
  <w:footnote w:id="6">
    <w:p w14:paraId="316A8B8F" w14:textId="77777777" w:rsidR="00334D41" w:rsidRPr="00282757" w:rsidRDefault="00334D41" w:rsidP="00334D41">
      <w:pPr>
        <w:pStyle w:val="FootnoteText"/>
        <w:rPr>
          <w:rFonts w:ascii="Arial" w:hAnsi="Arial" w:cs="Arial"/>
          <w:lang w:val="en-GB"/>
        </w:rPr>
      </w:pPr>
      <w:r w:rsidRPr="00282757">
        <w:rPr>
          <w:rStyle w:val="FootnoteReference"/>
          <w:rFonts w:ascii="Arial" w:hAnsi="Arial" w:cs="Arial"/>
        </w:rPr>
        <w:footnoteRef/>
      </w:r>
      <w:r w:rsidRPr="00282757">
        <w:rPr>
          <w:rFonts w:ascii="Arial" w:hAnsi="Arial" w:cs="Arial"/>
        </w:rPr>
        <w:t xml:space="preserve"> Act 42 of 1965. </w:t>
      </w:r>
    </w:p>
  </w:footnote>
  <w:footnote w:id="7">
    <w:p w14:paraId="5F78B39B" w14:textId="77777777" w:rsidR="00334D41" w:rsidRPr="00282757" w:rsidRDefault="00334D41" w:rsidP="00334D41">
      <w:pPr>
        <w:pStyle w:val="FootnoteText"/>
        <w:rPr>
          <w:rFonts w:ascii="Arial" w:hAnsi="Arial" w:cs="Arial"/>
          <w:lang w:val="en-GB"/>
        </w:rPr>
      </w:pPr>
      <w:r w:rsidRPr="00282757">
        <w:rPr>
          <w:rStyle w:val="FootnoteReference"/>
          <w:rFonts w:ascii="Arial" w:hAnsi="Arial" w:cs="Arial"/>
        </w:rPr>
        <w:footnoteRef/>
      </w:r>
      <w:r w:rsidRPr="00282757">
        <w:rPr>
          <w:rFonts w:ascii="Arial" w:hAnsi="Arial" w:cs="Arial"/>
        </w:rPr>
        <w:t xml:space="preserve"> </w:t>
      </w:r>
      <w:r w:rsidRPr="00282757">
        <w:rPr>
          <w:rFonts w:ascii="Arial" w:hAnsi="Arial" w:cs="Arial"/>
          <w:i/>
          <w:lang w:val="en-GB"/>
        </w:rPr>
        <w:t>African Personnel Services (Pty) Ltd v Government of the Republic if Namibia and Others</w:t>
      </w:r>
      <w:r w:rsidRPr="00282757">
        <w:rPr>
          <w:rFonts w:ascii="Arial" w:hAnsi="Arial" w:cs="Arial"/>
          <w:lang w:val="en-GB"/>
        </w:rPr>
        <w:t xml:space="preserve"> 2009 (2) NR 596 (SC) at para 28.</w:t>
      </w:r>
    </w:p>
  </w:footnote>
  <w:footnote w:id="8">
    <w:p w14:paraId="348F262A" w14:textId="184F35FF" w:rsidR="00334D41" w:rsidRPr="00282757" w:rsidRDefault="00334D41" w:rsidP="00334D41">
      <w:pPr>
        <w:pStyle w:val="FootnoteText"/>
        <w:rPr>
          <w:rFonts w:ascii="Arial" w:hAnsi="Arial" w:cs="Arial"/>
          <w:lang w:val="en-GB"/>
        </w:rPr>
      </w:pPr>
      <w:r w:rsidRPr="00282757">
        <w:rPr>
          <w:rStyle w:val="FootnoteReference"/>
          <w:rFonts w:ascii="Arial" w:hAnsi="Arial" w:cs="Arial"/>
        </w:rPr>
        <w:footnoteRef/>
      </w:r>
      <w:r w:rsidRPr="00282757">
        <w:rPr>
          <w:rFonts w:ascii="Arial" w:hAnsi="Arial" w:cs="Arial"/>
        </w:rPr>
        <w:t xml:space="preserve"> </w:t>
      </w:r>
      <w:r w:rsidR="00282757" w:rsidRPr="00282757">
        <w:rPr>
          <w:rFonts w:ascii="Arial" w:hAnsi="Arial" w:cs="Arial"/>
          <w:i/>
          <w:iCs/>
        </w:rPr>
        <w:t>Barkhuizen v Naper</w:t>
      </w:r>
      <w:r w:rsidR="00282757" w:rsidRPr="00282757">
        <w:rPr>
          <w:rFonts w:ascii="Arial" w:hAnsi="Arial" w:cs="Arial"/>
          <w:lang w:val="en-GB"/>
        </w:rPr>
        <w:t xml:space="preserve"> </w:t>
      </w:r>
      <w:r w:rsidRPr="00282757">
        <w:rPr>
          <w:rFonts w:ascii="Arial" w:hAnsi="Arial" w:cs="Arial"/>
          <w:lang w:val="en-GB"/>
        </w:rPr>
        <w:t>2007 (5) SA 323 (CC) at para 87.</w:t>
      </w:r>
    </w:p>
  </w:footnote>
  <w:footnote w:id="9">
    <w:p w14:paraId="72B7DF76" w14:textId="77777777" w:rsidR="00334D41" w:rsidRPr="00282757" w:rsidRDefault="00334D41" w:rsidP="00334D41">
      <w:pPr>
        <w:pStyle w:val="FootnoteText"/>
        <w:rPr>
          <w:rFonts w:ascii="Arial" w:hAnsi="Arial" w:cs="Arial"/>
          <w:lang w:val="en-GB"/>
        </w:rPr>
      </w:pPr>
      <w:r w:rsidRPr="00282757">
        <w:rPr>
          <w:rStyle w:val="FootnoteReference"/>
          <w:rFonts w:ascii="Arial" w:hAnsi="Arial" w:cs="Arial"/>
        </w:rPr>
        <w:footnoteRef/>
      </w:r>
      <w:r w:rsidRPr="00282757">
        <w:rPr>
          <w:rFonts w:ascii="Arial" w:hAnsi="Arial" w:cs="Arial"/>
        </w:rPr>
        <w:t xml:space="preserve"> </w:t>
      </w:r>
      <w:r w:rsidRPr="00282757">
        <w:rPr>
          <w:rFonts w:ascii="Arial" w:hAnsi="Arial" w:cs="Arial"/>
          <w:i/>
          <w:lang w:val="en-GB"/>
        </w:rPr>
        <w:t>Old Mutual Life Assurance Company (Namibia) Ltd v Symington</w:t>
      </w:r>
      <w:r w:rsidRPr="00282757">
        <w:rPr>
          <w:rFonts w:ascii="Arial" w:hAnsi="Arial" w:cs="Arial"/>
          <w:lang w:val="en-GB"/>
        </w:rPr>
        <w:t xml:space="preserve"> 2010 (1) NR 239 (SC) at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74873"/>
      <w:docPartObj>
        <w:docPartGallery w:val="Page Numbers (Top of Page)"/>
        <w:docPartUnique/>
      </w:docPartObj>
    </w:sdtPr>
    <w:sdtEndPr/>
    <w:sdtContent>
      <w:p w14:paraId="222F3FAC" w14:textId="77777777" w:rsidR="005C2C38" w:rsidRDefault="005C2C38">
        <w:pPr>
          <w:pStyle w:val="Header"/>
          <w:jc w:val="right"/>
        </w:pPr>
        <w:r>
          <w:fldChar w:fldCharType="begin"/>
        </w:r>
        <w:r>
          <w:instrText xml:space="preserve"> PAGE   \* MERGEFORMAT </w:instrText>
        </w:r>
        <w:r>
          <w:fldChar w:fldCharType="separate"/>
        </w:r>
        <w:r w:rsidR="00113D58">
          <w:rPr>
            <w:noProof/>
          </w:rPr>
          <w:t>9</w:t>
        </w:r>
        <w:r>
          <w:rPr>
            <w:noProof/>
          </w:rPr>
          <w:fldChar w:fldCharType="end"/>
        </w:r>
      </w:p>
    </w:sdtContent>
  </w:sdt>
  <w:p w14:paraId="09AA7BC2" w14:textId="77777777" w:rsidR="005C2C38" w:rsidRDefault="005C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4F9E"/>
    <w:multiLevelType w:val="hybridMultilevel"/>
    <w:tmpl w:val="B6902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81ACC"/>
    <w:multiLevelType w:val="multilevel"/>
    <w:tmpl w:val="BF301394"/>
    <w:lvl w:ilvl="0">
      <w:start w:val="1"/>
      <w:numFmt w:val="upperLetter"/>
      <w:lvlText w:val="%1."/>
      <w:lvlJc w:val="left"/>
      <w:pPr>
        <w:ind w:left="645" w:hanging="645"/>
      </w:pPr>
      <w:rPr>
        <w:rFonts w:hint="default"/>
        <w:spacing w:val="-1"/>
        <w:w w:val="88"/>
        <w:lang w:val="en-US" w:eastAsia="en-US" w:bidi="ar-SA"/>
      </w:rPr>
    </w:lvl>
    <w:lvl w:ilvl="1">
      <w:start w:val="1"/>
      <w:numFmt w:val="decimal"/>
      <w:lvlText w:val="%2."/>
      <w:lvlJc w:val="left"/>
      <w:pPr>
        <w:ind w:left="648" w:hanging="669"/>
      </w:pPr>
      <w:rPr>
        <w:rFonts w:hint="default"/>
        <w:spacing w:val="-1"/>
        <w:w w:val="101"/>
        <w:lang w:val="en-US" w:eastAsia="en-US" w:bidi="ar-SA"/>
      </w:rPr>
    </w:lvl>
    <w:lvl w:ilvl="2">
      <w:start w:val="1"/>
      <w:numFmt w:val="decimal"/>
      <w:lvlText w:val="%2.%3"/>
      <w:lvlJc w:val="left"/>
      <w:pPr>
        <w:ind w:left="1310" w:hanging="689"/>
      </w:pPr>
      <w:rPr>
        <w:rFonts w:ascii="Arial" w:eastAsia="Arial" w:hAnsi="Arial" w:cs="Arial" w:hint="default"/>
        <w:spacing w:val="-1"/>
        <w:w w:val="96"/>
        <w:sz w:val="24"/>
        <w:szCs w:val="24"/>
        <w:lang w:val="en-US" w:eastAsia="en-US" w:bidi="ar-SA"/>
      </w:rPr>
    </w:lvl>
    <w:lvl w:ilvl="3">
      <w:numFmt w:val="bullet"/>
      <w:lvlText w:val="•"/>
      <w:lvlJc w:val="left"/>
      <w:pPr>
        <w:ind w:left="2939" w:hanging="689"/>
      </w:pPr>
      <w:rPr>
        <w:rFonts w:hint="default"/>
        <w:lang w:val="en-US" w:eastAsia="en-US" w:bidi="ar-SA"/>
      </w:rPr>
    </w:lvl>
    <w:lvl w:ilvl="4">
      <w:numFmt w:val="bullet"/>
      <w:lvlText w:val="•"/>
      <w:lvlJc w:val="left"/>
      <w:pPr>
        <w:ind w:left="3749" w:hanging="689"/>
      </w:pPr>
      <w:rPr>
        <w:rFonts w:hint="default"/>
        <w:lang w:val="en-US" w:eastAsia="en-US" w:bidi="ar-SA"/>
      </w:rPr>
    </w:lvl>
    <w:lvl w:ilvl="5">
      <w:numFmt w:val="bullet"/>
      <w:lvlText w:val="•"/>
      <w:lvlJc w:val="left"/>
      <w:pPr>
        <w:ind w:left="4559" w:hanging="689"/>
      </w:pPr>
      <w:rPr>
        <w:rFonts w:hint="default"/>
        <w:lang w:val="en-US" w:eastAsia="en-US" w:bidi="ar-SA"/>
      </w:rPr>
    </w:lvl>
    <w:lvl w:ilvl="6">
      <w:numFmt w:val="bullet"/>
      <w:lvlText w:val="•"/>
      <w:lvlJc w:val="left"/>
      <w:pPr>
        <w:ind w:left="5369" w:hanging="689"/>
      </w:pPr>
      <w:rPr>
        <w:rFonts w:hint="default"/>
        <w:lang w:val="en-US" w:eastAsia="en-US" w:bidi="ar-SA"/>
      </w:rPr>
    </w:lvl>
    <w:lvl w:ilvl="7">
      <w:numFmt w:val="bullet"/>
      <w:lvlText w:val="•"/>
      <w:lvlJc w:val="left"/>
      <w:pPr>
        <w:ind w:left="6179" w:hanging="689"/>
      </w:pPr>
      <w:rPr>
        <w:rFonts w:hint="default"/>
        <w:lang w:val="en-US" w:eastAsia="en-US" w:bidi="ar-SA"/>
      </w:rPr>
    </w:lvl>
    <w:lvl w:ilvl="8">
      <w:numFmt w:val="bullet"/>
      <w:lvlText w:val="•"/>
      <w:lvlJc w:val="left"/>
      <w:pPr>
        <w:ind w:left="6989" w:hanging="689"/>
      </w:pPr>
      <w:rPr>
        <w:rFonts w:hint="default"/>
        <w:lang w:val="en-US" w:eastAsia="en-US" w:bidi="ar-SA"/>
      </w:rPr>
    </w:lvl>
  </w:abstractNum>
  <w:abstractNum w:abstractNumId="2" w15:restartNumberingAfterBreak="0">
    <w:nsid w:val="377F4ADA"/>
    <w:multiLevelType w:val="hybridMultilevel"/>
    <w:tmpl w:val="282EC2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83C27B2"/>
    <w:multiLevelType w:val="hybridMultilevel"/>
    <w:tmpl w:val="76181586"/>
    <w:lvl w:ilvl="0" w:tplc="A1B88E9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D7F6429"/>
    <w:multiLevelType w:val="hybridMultilevel"/>
    <w:tmpl w:val="01FEE808"/>
    <w:lvl w:ilvl="0" w:tplc="A1B88E9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4EE31222"/>
    <w:multiLevelType w:val="multilevel"/>
    <w:tmpl w:val="C666EF40"/>
    <w:lvl w:ilvl="0">
      <w:start w:val="9"/>
      <w:numFmt w:val="decimal"/>
      <w:lvlText w:val="%1"/>
      <w:lvlJc w:val="left"/>
      <w:pPr>
        <w:ind w:left="2712" w:hanging="567"/>
      </w:pPr>
      <w:rPr>
        <w:rFonts w:hint="default"/>
        <w:lang w:val="en-US" w:eastAsia="en-US" w:bidi="ar-SA"/>
      </w:rPr>
    </w:lvl>
    <w:lvl w:ilvl="1">
      <w:start w:val="1"/>
      <w:numFmt w:val="decimal"/>
      <w:lvlText w:val="%1.%2"/>
      <w:lvlJc w:val="left"/>
      <w:pPr>
        <w:ind w:left="2712" w:hanging="567"/>
      </w:pPr>
      <w:rPr>
        <w:rFonts w:ascii="Arial" w:eastAsia="Arial" w:hAnsi="Arial" w:cs="Arial" w:hint="default"/>
        <w:w w:val="100"/>
        <w:sz w:val="22"/>
        <w:szCs w:val="22"/>
        <w:lang w:val="en-US" w:eastAsia="en-US" w:bidi="ar-SA"/>
      </w:rPr>
    </w:lvl>
    <w:lvl w:ilvl="2">
      <w:start w:val="1"/>
      <w:numFmt w:val="decimal"/>
      <w:lvlText w:val="%1.%2.%3"/>
      <w:lvlJc w:val="left"/>
      <w:pPr>
        <w:ind w:left="3422" w:hanging="711"/>
      </w:pPr>
      <w:rPr>
        <w:rFonts w:ascii="Arial" w:eastAsia="Arial" w:hAnsi="Arial" w:cs="Arial" w:hint="default"/>
        <w:w w:val="100"/>
        <w:sz w:val="20"/>
        <w:szCs w:val="20"/>
        <w:lang w:val="en-US" w:eastAsia="en-US" w:bidi="ar-SA"/>
      </w:rPr>
    </w:lvl>
    <w:lvl w:ilvl="3">
      <w:numFmt w:val="bullet"/>
      <w:lvlText w:val="•"/>
      <w:lvlJc w:val="left"/>
      <w:pPr>
        <w:ind w:left="4732" w:hanging="711"/>
      </w:pPr>
      <w:rPr>
        <w:rFonts w:hint="default"/>
        <w:lang w:val="en-US" w:eastAsia="en-US" w:bidi="ar-SA"/>
      </w:rPr>
    </w:lvl>
    <w:lvl w:ilvl="4">
      <w:numFmt w:val="bullet"/>
      <w:lvlText w:val="•"/>
      <w:lvlJc w:val="left"/>
      <w:pPr>
        <w:ind w:left="5388" w:hanging="711"/>
      </w:pPr>
      <w:rPr>
        <w:rFonts w:hint="default"/>
        <w:lang w:val="en-US" w:eastAsia="en-US" w:bidi="ar-SA"/>
      </w:rPr>
    </w:lvl>
    <w:lvl w:ilvl="5">
      <w:numFmt w:val="bullet"/>
      <w:lvlText w:val="•"/>
      <w:lvlJc w:val="left"/>
      <w:pPr>
        <w:ind w:left="6045" w:hanging="711"/>
      </w:pPr>
      <w:rPr>
        <w:rFonts w:hint="default"/>
        <w:lang w:val="en-US" w:eastAsia="en-US" w:bidi="ar-SA"/>
      </w:rPr>
    </w:lvl>
    <w:lvl w:ilvl="6">
      <w:numFmt w:val="bullet"/>
      <w:lvlText w:val="•"/>
      <w:lvlJc w:val="left"/>
      <w:pPr>
        <w:ind w:left="6701" w:hanging="711"/>
      </w:pPr>
      <w:rPr>
        <w:rFonts w:hint="default"/>
        <w:lang w:val="en-US" w:eastAsia="en-US" w:bidi="ar-SA"/>
      </w:rPr>
    </w:lvl>
    <w:lvl w:ilvl="7">
      <w:numFmt w:val="bullet"/>
      <w:lvlText w:val="•"/>
      <w:lvlJc w:val="left"/>
      <w:pPr>
        <w:ind w:left="7357" w:hanging="711"/>
      </w:pPr>
      <w:rPr>
        <w:rFonts w:hint="default"/>
        <w:lang w:val="en-US" w:eastAsia="en-US" w:bidi="ar-SA"/>
      </w:rPr>
    </w:lvl>
    <w:lvl w:ilvl="8">
      <w:numFmt w:val="bullet"/>
      <w:lvlText w:val="•"/>
      <w:lvlJc w:val="left"/>
      <w:pPr>
        <w:ind w:left="8013" w:hanging="711"/>
      </w:pPr>
      <w:rPr>
        <w:rFonts w:hint="default"/>
        <w:lang w:val="en-US" w:eastAsia="en-US" w:bidi="ar-SA"/>
      </w:rPr>
    </w:lvl>
  </w:abstractNum>
  <w:abstractNum w:abstractNumId="6" w15:restartNumberingAfterBreak="0">
    <w:nsid w:val="53B801D3"/>
    <w:multiLevelType w:val="hybridMultilevel"/>
    <w:tmpl w:val="B0F66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B2AC8"/>
    <w:multiLevelType w:val="hybridMultilevel"/>
    <w:tmpl w:val="A9F0E48E"/>
    <w:lvl w:ilvl="0" w:tplc="DB7816BC">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A6B09A8"/>
    <w:multiLevelType w:val="multilevel"/>
    <w:tmpl w:val="A4EA4DD6"/>
    <w:lvl w:ilvl="0">
      <w:start w:val="9"/>
      <w:numFmt w:val="decimal"/>
      <w:lvlText w:val="%1"/>
      <w:lvlJc w:val="left"/>
      <w:pPr>
        <w:ind w:left="3422" w:hanging="711"/>
      </w:pPr>
      <w:rPr>
        <w:rFonts w:hint="default"/>
        <w:lang w:val="en-US" w:eastAsia="en-US" w:bidi="ar-SA"/>
      </w:rPr>
    </w:lvl>
    <w:lvl w:ilvl="1">
      <w:start w:val="2"/>
      <w:numFmt w:val="decimal"/>
      <w:lvlText w:val="%1.%2"/>
      <w:lvlJc w:val="left"/>
      <w:pPr>
        <w:ind w:left="3422" w:hanging="711"/>
      </w:pPr>
      <w:rPr>
        <w:rFonts w:hint="default"/>
        <w:lang w:val="en-US" w:eastAsia="en-US" w:bidi="ar-SA"/>
      </w:rPr>
    </w:lvl>
    <w:lvl w:ilvl="2">
      <w:start w:val="3"/>
      <w:numFmt w:val="decimal"/>
      <w:lvlText w:val="%1.%2.%3"/>
      <w:lvlJc w:val="left"/>
      <w:pPr>
        <w:ind w:left="1701" w:hanging="711"/>
      </w:pPr>
      <w:rPr>
        <w:rFonts w:ascii="Arial" w:eastAsia="Arial" w:hAnsi="Arial" w:cs="Arial" w:hint="default"/>
        <w:w w:val="100"/>
        <w:sz w:val="20"/>
        <w:szCs w:val="20"/>
        <w:lang w:val="en-US" w:eastAsia="en-US" w:bidi="ar-SA"/>
      </w:rPr>
    </w:lvl>
    <w:lvl w:ilvl="3">
      <w:start w:val="1"/>
      <w:numFmt w:val="lowerLetter"/>
      <w:lvlText w:val="%4)"/>
      <w:lvlJc w:val="left"/>
      <w:pPr>
        <w:ind w:left="3705" w:hanging="711"/>
      </w:pPr>
      <w:rPr>
        <w:rFonts w:ascii="Arial" w:eastAsia="Arial" w:hAnsi="Arial" w:cs="Arial" w:hint="default"/>
        <w:spacing w:val="-1"/>
        <w:w w:val="100"/>
        <w:sz w:val="22"/>
        <w:szCs w:val="22"/>
        <w:lang w:val="en-US" w:eastAsia="en-US" w:bidi="ar-SA"/>
      </w:rPr>
    </w:lvl>
    <w:lvl w:ilvl="4">
      <w:numFmt w:val="bullet"/>
      <w:lvlText w:val="•"/>
      <w:lvlJc w:val="left"/>
      <w:pPr>
        <w:ind w:left="5361" w:hanging="711"/>
      </w:pPr>
      <w:rPr>
        <w:rFonts w:hint="default"/>
        <w:lang w:val="en-US" w:eastAsia="en-US" w:bidi="ar-SA"/>
      </w:rPr>
    </w:lvl>
    <w:lvl w:ilvl="5">
      <w:numFmt w:val="bullet"/>
      <w:lvlText w:val="•"/>
      <w:lvlJc w:val="left"/>
      <w:pPr>
        <w:ind w:left="6022" w:hanging="711"/>
      </w:pPr>
      <w:rPr>
        <w:rFonts w:hint="default"/>
        <w:lang w:val="en-US" w:eastAsia="en-US" w:bidi="ar-SA"/>
      </w:rPr>
    </w:lvl>
    <w:lvl w:ilvl="6">
      <w:numFmt w:val="bullet"/>
      <w:lvlText w:val="•"/>
      <w:lvlJc w:val="left"/>
      <w:pPr>
        <w:ind w:left="6683" w:hanging="711"/>
      </w:pPr>
      <w:rPr>
        <w:rFonts w:hint="default"/>
        <w:lang w:val="en-US" w:eastAsia="en-US" w:bidi="ar-SA"/>
      </w:rPr>
    </w:lvl>
    <w:lvl w:ilvl="7">
      <w:numFmt w:val="bullet"/>
      <w:lvlText w:val="•"/>
      <w:lvlJc w:val="left"/>
      <w:pPr>
        <w:ind w:left="7344" w:hanging="711"/>
      </w:pPr>
      <w:rPr>
        <w:rFonts w:hint="default"/>
        <w:lang w:val="en-US" w:eastAsia="en-US" w:bidi="ar-SA"/>
      </w:rPr>
    </w:lvl>
    <w:lvl w:ilvl="8">
      <w:numFmt w:val="bullet"/>
      <w:lvlText w:val="•"/>
      <w:lvlJc w:val="left"/>
      <w:pPr>
        <w:ind w:left="8004" w:hanging="711"/>
      </w:pPr>
      <w:rPr>
        <w:rFonts w:hint="default"/>
        <w:lang w:val="en-US" w:eastAsia="en-US" w:bidi="ar-SA"/>
      </w:rPr>
    </w:lvl>
  </w:abstractNum>
  <w:abstractNum w:abstractNumId="9" w15:restartNumberingAfterBreak="0">
    <w:nsid w:val="683329EC"/>
    <w:multiLevelType w:val="multilevel"/>
    <w:tmpl w:val="A4EA4DD6"/>
    <w:lvl w:ilvl="0">
      <w:start w:val="9"/>
      <w:numFmt w:val="decimal"/>
      <w:lvlText w:val="%1"/>
      <w:lvlJc w:val="left"/>
      <w:pPr>
        <w:ind w:left="3422" w:hanging="711"/>
      </w:pPr>
      <w:rPr>
        <w:rFonts w:hint="default"/>
        <w:lang w:val="en-US" w:eastAsia="en-US" w:bidi="ar-SA"/>
      </w:rPr>
    </w:lvl>
    <w:lvl w:ilvl="1">
      <w:start w:val="2"/>
      <w:numFmt w:val="decimal"/>
      <w:lvlText w:val="%1.%2"/>
      <w:lvlJc w:val="left"/>
      <w:pPr>
        <w:ind w:left="3422" w:hanging="711"/>
      </w:pPr>
      <w:rPr>
        <w:rFonts w:hint="default"/>
        <w:lang w:val="en-US" w:eastAsia="en-US" w:bidi="ar-SA"/>
      </w:rPr>
    </w:lvl>
    <w:lvl w:ilvl="2">
      <w:start w:val="3"/>
      <w:numFmt w:val="decimal"/>
      <w:lvlText w:val="%1.%2.%3"/>
      <w:lvlJc w:val="left"/>
      <w:pPr>
        <w:ind w:left="1701" w:hanging="711"/>
      </w:pPr>
      <w:rPr>
        <w:rFonts w:ascii="Arial" w:eastAsia="Arial" w:hAnsi="Arial" w:cs="Arial" w:hint="default"/>
        <w:w w:val="100"/>
        <w:sz w:val="20"/>
        <w:szCs w:val="20"/>
        <w:lang w:val="en-US" w:eastAsia="en-US" w:bidi="ar-SA"/>
      </w:rPr>
    </w:lvl>
    <w:lvl w:ilvl="3">
      <w:start w:val="1"/>
      <w:numFmt w:val="lowerLetter"/>
      <w:lvlText w:val="%4)"/>
      <w:lvlJc w:val="left"/>
      <w:pPr>
        <w:ind w:left="3705" w:hanging="711"/>
      </w:pPr>
      <w:rPr>
        <w:rFonts w:ascii="Arial" w:eastAsia="Arial" w:hAnsi="Arial" w:cs="Arial" w:hint="default"/>
        <w:spacing w:val="-1"/>
        <w:w w:val="100"/>
        <w:sz w:val="22"/>
        <w:szCs w:val="22"/>
        <w:lang w:val="en-US" w:eastAsia="en-US" w:bidi="ar-SA"/>
      </w:rPr>
    </w:lvl>
    <w:lvl w:ilvl="4">
      <w:numFmt w:val="bullet"/>
      <w:lvlText w:val="•"/>
      <w:lvlJc w:val="left"/>
      <w:pPr>
        <w:ind w:left="5361" w:hanging="711"/>
      </w:pPr>
      <w:rPr>
        <w:rFonts w:hint="default"/>
        <w:lang w:val="en-US" w:eastAsia="en-US" w:bidi="ar-SA"/>
      </w:rPr>
    </w:lvl>
    <w:lvl w:ilvl="5">
      <w:numFmt w:val="bullet"/>
      <w:lvlText w:val="•"/>
      <w:lvlJc w:val="left"/>
      <w:pPr>
        <w:ind w:left="6022" w:hanging="711"/>
      </w:pPr>
      <w:rPr>
        <w:rFonts w:hint="default"/>
        <w:lang w:val="en-US" w:eastAsia="en-US" w:bidi="ar-SA"/>
      </w:rPr>
    </w:lvl>
    <w:lvl w:ilvl="6">
      <w:numFmt w:val="bullet"/>
      <w:lvlText w:val="•"/>
      <w:lvlJc w:val="left"/>
      <w:pPr>
        <w:ind w:left="6683" w:hanging="711"/>
      </w:pPr>
      <w:rPr>
        <w:rFonts w:hint="default"/>
        <w:lang w:val="en-US" w:eastAsia="en-US" w:bidi="ar-SA"/>
      </w:rPr>
    </w:lvl>
    <w:lvl w:ilvl="7">
      <w:numFmt w:val="bullet"/>
      <w:lvlText w:val="•"/>
      <w:lvlJc w:val="left"/>
      <w:pPr>
        <w:ind w:left="7344" w:hanging="711"/>
      </w:pPr>
      <w:rPr>
        <w:rFonts w:hint="default"/>
        <w:lang w:val="en-US" w:eastAsia="en-US" w:bidi="ar-SA"/>
      </w:rPr>
    </w:lvl>
    <w:lvl w:ilvl="8">
      <w:numFmt w:val="bullet"/>
      <w:lvlText w:val="•"/>
      <w:lvlJc w:val="left"/>
      <w:pPr>
        <w:ind w:left="8004" w:hanging="711"/>
      </w:pPr>
      <w:rPr>
        <w:rFonts w:hint="default"/>
        <w:lang w:val="en-US" w:eastAsia="en-US" w:bidi="ar-SA"/>
      </w:rPr>
    </w:lvl>
  </w:abstractNum>
  <w:abstractNum w:abstractNumId="10" w15:restartNumberingAfterBreak="0">
    <w:nsid w:val="6F65446C"/>
    <w:multiLevelType w:val="hybridMultilevel"/>
    <w:tmpl w:val="C8D89F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2"/>
  </w:num>
  <w:num w:numId="8">
    <w:abstractNumId w:val="4"/>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70"/>
    <w:rsid w:val="000458EC"/>
    <w:rsid w:val="000625BA"/>
    <w:rsid w:val="00066D7B"/>
    <w:rsid w:val="00076553"/>
    <w:rsid w:val="00082130"/>
    <w:rsid w:val="0008734A"/>
    <w:rsid w:val="00102FCD"/>
    <w:rsid w:val="00113D58"/>
    <w:rsid w:val="00143468"/>
    <w:rsid w:val="00176CD8"/>
    <w:rsid w:val="001C1B81"/>
    <w:rsid w:val="001D5286"/>
    <w:rsid w:val="00211C17"/>
    <w:rsid w:val="00272E9F"/>
    <w:rsid w:val="00277418"/>
    <w:rsid w:val="00282757"/>
    <w:rsid w:val="002D2287"/>
    <w:rsid w:val="003009A0"/>
    <w:rsid w:val="00301E8B"/>
    <w:rsid w:val="00334D41"/>
    <w:rsid w:val="00362D4F"/>
    <w:rsid w:val="0037243E"/>
    <w:rsid w:val="003B78FC"/>
    <w:rsid w:val="004062BF"/>
    <w:rsid w:val="00415FB0"/>
    <w:rsid w:val="004A7F00"/>
    <w:rsid w:val="004B71DD"/>
    <w:rsid w:val="004C586B"/>
    <w:rsid w:val="00501DDB"/>
    <w:rsid w:val="00524B8A"/>
    <w:rsid w:val="00544346"/>
    <w:rsid w:val="00561DAF"/>
    <w:rsid w:val="005C2C38"/>
    <w:rsid w:val="005C4653"/>
    <w:rsid w:val="005F5171"/>
    <w:rsid w:val="00633CE8"/>
    <w:rsid w:val="00664123"/>
    <w:rsid w:val="00697385"/>
    <w:rsid w:val="006B6997"/>
    <w:rsid w:val="006F0BDD"/>
    <w:rsid w:val="00731E02"/>
    <w:rsid w:val="00732589"/>
    <w:rsid w:val="0073659D"/>
    <w:rsid w:val="00772C6B"/>
    <w:rsid w:val="0079302B"/>
    <w:rsid w:val="008931F3"/>
    <w:rsid w:val="008C1970"/>
    <w:rsid w:val="008F06CD"/>
    <w:rsid w:val="009002E6"/>
    <w:rsid w:val="009E3255"/>
    <w:rsid w:val="00A7183E"/>
    <w:rsid w:val="00A84462"/>
    <w:rsid w:val="00AC55FE"/>
    <w:rsid w:val="00B0573A"/>
    <w:rsid w:val="00B11297"/>
    <w:rsid w:val="00B41E54"/>
    <w:rsid w:val="00B93DCD"/>
    <w:rsid w:val="00B94420"/>
    <w:rsid w:val="00C006AF"/>
    <w:rsid w:val="00C80EB1"/>
    <w:rsid w:val="00CF26DB"/>
    <w:rsid w:val="00D139E3"/>
    <w:rsid w:val="00D521BE"/>
    <w:rsid w:val="00D7055B"/>
    <w:rsid w:val="00DD0AC6"/>
    <w:rsid w:val="00DD5F72"/>
    <w:rsid w:val="00DE668E"/>
    <w:rsid w:val="00DF76E2"/>
    <w:rsid w:val="00E336C3"/>
    <w:rsid w:val="00E540BD"/>
    <w:rsid w:val="00E8278E"/>
    <w:rsid w:val="00E9040C"/>
    <w:rsid w:val="00E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22DA"/>
  <w15:docId w15:val="{1A2AF583-DA02-41F0-9B09-5A313952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70"/>
    <w:pPr>
      <w:spacing w:after="200" w:line="276" w:lineRule="auto"/>
    </w:pPr>
    <w:rPr>
      <w:lang w:val="en-ZA"/>
    </w:rPr>
  </w:style>
  <w:style w:type="paragraph" w:styleId="Heading3">
    <w:name w:val="heading 3"/>
    <w:basedOn w:val="Normal"/>
    <w:next w:val="Normal"/>
    <w:link w:val="Heading3Char"/>
    <w:uiPriority w:val="9"/>
    <w:semiHidden/>
    <w:unhideWhenUsed/>
    <w:qFormat/>
    <w:rsid w:val="008C1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C1970"/>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C1970"/>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rsid w:val="008C1970"/>
    <w:rPr>
      <w:rFonts w:ascii="Arial" w:eastAsia="Times New Roman" w:hAnsi="Arial" w:cs="Times New Roman"/>
      <w:sz w:val="28"/>
      <w:szCs w:val="24"/>
      <w:lang w:val="en-GB"/>
    </w:rPr>
  </w:style>
  <w:style w:type="paragraph" w:styleId="BodyText">
    <w:name w:val="Body Text"/>
    <w:basedOn w:val="Normal"/>
    <w:link w:val="BodyTextChar"/>
    <w:rsid w:val="008C1970"/>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C197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C1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970"/>
    <w:rPr>
      <w:lang w:val="en-ZA"/>
    </w:rPr>
  </w:style>
  <w:style w:type="paragraph" w:styleId="FootnoteText">
    <w:name w:val="footnote text"/>
    <w:basedOn w:val="Normal"/>
    <w:link w:val="FootnoteTextChar"/>
    <w:uiPriority w:val="99"/>
    <w:unhideWhenUsed/>
    <w:rsid w:val="008C1970"/>
    <w:pPr>
      <w:spacing w:after="0" w:line="240" w:lineRule="auto"/>
    </w:pPr>
    <w:rPr>
      <w:sz w:val="20"/>
      <w:szCs w:val="20"/>
    </w:rPr>
  </w:style>
  <w:style w:type="character" w:customStyle="1" w:styleId="FootnoteTextChar">
    <w:name w:val="Footnote Text Char"/>
    <w:basedOn w:val="DefaultParagraphFont"/>
    <w:link w:val="FootnoteText"/>
    <w:uiPriority w:val="99"/>
    <w:rsid w:val="008C1970"/>
    <w:rPr>
      <w:sz w:val="20"/>
      <w:szCs w:val="20"/>
      <w:lang w:val="en-ZA"/>
    </w:rPr>
  </w:style>
  <w:style w:type="character" w:styleId="FootnoteReference">
    <w:name w:val="footnote reference"/>
    <w:basedOn w:val="DefaultParagraphFont"/>
    <w:uiPriority w:val="99"/>
    <w:unhideWhenUsed/>
    <w:rsid w:val="008C1970"/>
    <w:rPr>
      <w:vertAlign w:val="superscript"/>
    </w:rPr>
  </w:style>
  <w:style w:type="paragraph" w:styleId="ListParagraph">
    <w:name w:val="List Paragraph"/>
    <w:basedOn w:val="Normal"/>
    <w:uiPriority w:val="1"/>
    <w:qFormat/>
    <w:rsid w:val="008C1970"/>
    <w:pPr>
      <w:ind w:left="720"/>
      <w:contextualSpacing/>
    </w:pPr>
  </w:style>
  <w:style w:type="paragraph" w:styleId="NoSpacing">
    <w:name w:val="No Spacing"/>
    <w:uiPriority w:val="1"/>
    <w:qFormat/>
    <w:rsid w:val="008C1970"/>
    <w:pPr>
      <w:spacing w:after="0" w:line="240" w:lineRule="auto"/>
    </w:pPr>
    <w:rPr>
      <w:lang w:val="en-ZA"/>
    </w:rPr>
  </w:style>
  <w:style w:type="character" w:styleId="CommentReference">
    <w:name w:val="annotation reference"/>
    <w:basedOn w:val="DefaultParagraphFont"/>
    <w:uiPriority w:val="99"/>
    <w:semiHidden/>
    <w:unhideWhenUsed/>
    <w:rsid w:val="008C1970"/>
    <w:rPr>
      <w:sz w:val="16"/>
      <w:szCs w:val="16"/>
    </w:rPr>
  </w:style>
  <w:style w:type="paragraph" w:styleId="CommentText">
    <w:name w:val="annotation text"/>
    <w:basedOn w:val="Normal"/>
    <w:link w:val="CommentTextChar"/>
    <w:uiPriority w:val="99"/>
    <w:semiHidden/>
    <w:unhideWhenUsed/>
    <w:rsid w:val="008C1970"/>
    <w:pPr>
      <w:spacing w:line="240" w:lineRule="auto"/>
    </w:pPr>
    <w:rPr>
      <w:sz w:val="20"/>
      <w:szCs w:val="20"/>
    </w:rPr>
  </w:style>
  <w:style w:type="character" w:customStyle="1" w:styleId="CommentTextChar">
    <w:name w:val="Comment Text Char"/>
    <w:basedOn w:val="DefaultParagraphFont"/>
    <w:link w:val="CommentText"/>
    <w:uiPriority w:val="99"/>
    <w:semiHidden/>
    <w:rsid w:val="008C1970"/>
    <w:rPr>
      <w:sz w:val="20"/>
      <w:szCs w:val="20"/>
      <w:lang w:val="en-ZA"/>
    </w:rPr>
  </w:style>
  <w:style w:type="paragraph" w:customStyle="1" w:styleId="western">
    <w:name w:val="western"/>
    <w:basedOn w:val="Normal"/>
    <w:rsid w:val="008C19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1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70"/>
    <w:rPr>
      <w:rFonts w:ascii="Segoe UI" w:hAnsi="Segoe UI" w:cs="Segoe UI"/>
      <w:sz w:val="18"/>
      <w:szCs w:val="18"/>
      <w:lang w:val="en-ZA"/>
    </w:rPr>
  </w:style>
  <w:style w:type="paragraph" w:styleId="Footer">
    <w:name w:val="footer"/>
    <w:basedOn w:val="Normal"/>
    <w:link w:val="FooterChar"/>
    <w:uiPriority w:val="99"/>
    <w:unhideWhenUsed/>
    <w:rsid w:val="000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4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2021-09-30T18:30:00+00:00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2556-3C42-46A4-BEEB-4E687D0A5E8F}">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70279B76-17D3-4116-BFF5-DB3F7D685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9C430-0167-4C16-82EB-BB9841B82C35}">
  <ds:schemaRefs>
    <ds:schemaRef ds:uri="http://schemas.microsoft.com/sharepoint/v3/contenttype/forms"/>
  </ds:schemaRefs>
</ds:datastoreItem>
</file>

<file path=customXml/itemProps4.xml><?xml version="1.0" encoding="utf-8"?>
<ds:datastoreItem xmlns:ds="http://schemas.openxmlformats.org/officeDocument/2006/customXml" ds:itemID="{D306B442-3746-4733-ABB5-0EA6060A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Ekandjo vs O'B Davids Properties CC (HC-MD-CIV-ACT-DEL-2020-00381) [2021] NAHCMD 448 (01 October 2021)</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Ekandjo vs O'B Davids Properties CC (HC-MD-CIV-ACT-DEL-2020-00381) [2021] NAHCMD 448 (01 October 2021)</dc:title>
  <dc:creator>Erich Dandu</dc:creator>
  <cp:lastModifiedBy>HOME</cp:lastModifiedBy>
  <cp:revision>2</cp:revision>
  <dcterms:created xsi:type="dcterms:W3CDTF">2022-01-19T10:19:00Z</dcterms:created>
  <dcterms:modified xsi:type="dcterms:W3CDTF">2022-01-19T10:19:00Z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