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5C37" w:rsidRPr="00C64DA4" w:rsidRDefault="00765C37" w:rsidP="00765C37">
      <w:pPr>
        <w:spacing w:after="0" w:line="360" w:lineRule="auto"/>
        <w:jc w:val="both"/>
        <w:rPr>
          <w:b/>
        </w:rPr>
      </w:pPr>
      <w:bookmarkStart w:id="0" w:name="_GoBack"/>
      <w:bookmarkEnd w:id="0"/>
      <w:r w:rsidRPr="00C64DA4">
        <w:rPr>
          <w:b/>
          <w:noProof/>
          <w:lang w:val="en-ZA" w:eastAsia="en-ZA"/>
        </w:rPr>
        <w:drawing>
          <wp:anchor distT="0" distB="0" distL="114300" distR="114300" simplePos="0" relativeHeight="251659264" behindDoc="0" locked="0" layoutInCell="1" allowOverlap="1" wp14:anchorId="369DF638" wp14:editId="64FB9D61">
            <wp:simplePos x="0" y="0"/>
            <wp:positionH relativeFrom="margin">
              <wp:posOffset>2381250</wp:posOffset>
            </wp:positionH>
            <wp:positionV relativeFrom="paragraph">
              <wp:posOffset>0</wp:posOffset>
            </wp:positionV>
            <wp:extent cx="1276350" cy="1323975"/>
            <wp:effectExtent l="0" t="0" r="0" b="9525"/>
            <wp:wrapSquare wrapText="bothSides"/>
            <wp:docPr id="1"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76350" cy="1323975"/>
                    </a:xfrm>
                    <a:prstGeom prst="rect">
                      <a:avLst/>
                    </a:prstGeom>
                    <a:noFill/>
                    <a:ln w="9525">
                      <a:noFill/>
                      <a:miter lim="800000"/>
                      <a:headEnd/>
                      <a:tailEnd/>
                    </a:ln>
                  </pic:spPr>
                </pic:pic>
              </a:graphicData>
            </a:graphic>
          </wp:anchor>
        </w:drawing>
      </w:r>
    </w:p>
    <w:p w:rsidR="00765C37" w:rsidRPr="00C64DA4" w:rsidRDefault="00765C37" w:rsidP="00765C37">
      <w:pPr>
        <w:spacing w:after="0" w:line="360" w:lineRule="auto"/>
        <w:jc w:val="both"/>
        <w:rPr>
          <w:b/>
        </w:rPr>
      </w:pPr>
      <w:r>
        <w:rPr>
          <w:b/>
        </w:rPr>
        <w:tab/>
      </w:r>
      <w:r>
        <w:rPr>
          <w:b/>
        </w:rPr>
        <w:tab/>
      </w:r>
      <w:r>
        <w:rPr>
          <w:b/>
        </w:rPr>
        <w:tab/>
      </w:r>
      <w:r>
        <w:rPr>
          <w:b/>
        </w:rPr>
        <w:tab/>
      </w:r>
      <w:r>
        <w:rPr>
          <w:b/>
        </w:rPr>
        <w:tab/>
      </w:r>
    </w:p>
    <w:p w:rsidR="00765C37" w:rsidRPr="00C64DA4" w:rsidRDefault="00765C37" w:rsidP="00765C37">
      <w:pPr>
        <w:spacing w:after="0" w:line="360" w:lineRule="auto"/>
        <w:jc w:val="both"/>
        <w:rPr>
          <w:b/>
        </w:rPr>
      </w:pPr>
    </w:p>
    <w:p w:rsidR="00765C37" w:rsidRPr="00C64DA4" w:rsidRDefault="00765C37" w:rsidP="00765C37">
      <w:pPr>
        <w:spacing w:after="0" w:line="360" w:lineRule="auto"/>
        <w:jc w:val="both"/>
        <w:rPr>
          <w:b/>
        </w:rPr>
      </w:pPr>
    </w:p>
    <w:p w:rsidR="00765C37" w:rsidRPr="00C64DA4" w:rsidRDefault="00765C37" w:rsidP="00765C37">
      <w:pPr>
        <w:spacing w:after="0" w:line="360" w:lineRule="auto"/>
        <w:jc w:val="both"/>
        <w:rPr>
          <w:b/>
        </w:rPr>
      </w:pPr>
    </w:p>
    <w:p w:rsidR="00765C37" w:rsidRPr="00C64DA4" w:rsidRDefault="00765C37" w:rsidP="00765C37">
      <w:pPr>
        <w:spacing w:after="0" w:line="360" w:lineRule="auto"/>
        <w:jc w:val="both"/>
        <w:rPr>
          <w:b/>
        </w:rPr>
      </w:pPr>
    </w:p>
    <w:p w:rsidR="00765C37" w:rsidRPr="00C64DA4" w:rsidRDefault="00765C37" w:rsidP="00765C37">
      <w:pPr>
        <w:spacing w:after="0" w:line="360" w:lineRule="auto"/>
        <w:jc w:val="center"/>
        <w:rPr>
          <w:b/>
        </w:rPr>
      </w:pPr>
      <w:r w:rsidRPr="00C64DA4">
        <w:rPr>
          <w:b/>
        </w:rPr>
        <w:t>HIGH COURT OF NAMIBIA, MAIN DIVISION, WINDHOEK</w:t>
      </w:r>
    </w:p>
    <w:p w:rsidR="00765C37" w:rsidRPr="00C64DA4" w:rsidRDefault="00765C37" w:rsidP="00765C37">
      <w:pPr>
        <w:spacing w:after="0" w:line="360" w:lineRule="auto"/>
        <w:jc w:val="center"/>
        <w:rPr>
          <w:b/>
        </w:rPr>
      </w:pPr>
    </w:p>
    <w:p w:rsidR="00552602" w:rsidRPr="001334B7" w:rsidRDefault="00552602" w:rsidP="00765C37">
      <w:pPr>
        <w:spacing w:after="0" w:line="360" w:lineRule="auto"/>
        <w:jc w:val="center"/>
        <w:rPr>
          <w:rFonts w:ascii="Arial Narrow" w:hAnsi="Arial Narrow"/>
        </w:rPr>
      </w:pPr>
      <w:r w:rsidRPr="001334B7">
        <w:rPr>
          <w:rFonts w:ascii="Arial Narrow" w:hAnsi="Arial Narrow"/>
        </w:rPr>
        <w:t>Practice Directive 61</w:t>
      </w:r>
    </w:p>
    <w:p w:rsidR="00552602" w:rsidRPr="001334B7" w:rsidRDefault="00552602" w:rsidP="001334B7">
      <w:pPr>
        <w:spacing w:after="0" w:line="360" w:lineRule="auto"/>
        <w:jc w:val="center"/>
        <w:rPr>
          <w:rFonts w:ascii="Arial Narrow" w:hAnsi="Arial Narrow"/>
          <w:b/>
        </w:rPr>
      </w:pPr>
      <w:r w:rsidRPr="001334B7">
        <w:rPr>
          <w:rFonts w:ascii="Arial Narrow" w:hAnsi="Arial Narrow"/>
          <w:b/>
        </w:rPr>
        <w:t>IN THE HIGH COURT OF NAMIBIA</w:t>
      </w:r>
    </w:p>
    <w:p w:rsidR="00552602" w:rsidRPr="001334B7" w:rsidRDefault="00552602" w:rsidP="001334B7">
      <w:pPr>
        <w:spacing w:after="0" w:line="360" w:lineRule="auto"/>
        <w:jc w:val="both"/>
        <w:rPr>
          <w:rFonts w:ascii="Arial Narrow" w:hAnsi="Arial Narrow"/>
        </w:rPr>
      </w:pPr>
    </w:p>
    <w:tbl>
      <w:tblPr>
        <w:tblStyle w:val="TableGrid"/>
        <w:tblW w:w="10915" w:type="dxa"/>
        <w:tblInd w:w="-714" w:type="dxa"/>
        <w:tblLook w:val="04A0" w:firstRow="1" w:lastRow="0" w:firstColumn="1" w:lastColumn="0" w:noHBand="0" w:noVBand="1"/>
      </w:tblPr>
      <w:tblGrid>
        <w:gridCol w:w="5029"/>
        <w:gridCol w:w="2376"/>
        <w:gridCol w:w="3510"/>
      </w:tblGrid>
      <w:tr w:rsidR="00552602" w:rsidRPr="001334B7" w:rsidTr="00681336">
        <w:trPr>
          <w:trHeight w:val="744"/>
        </w:trPr>
        <w:tc>
          <w:tcPr>
            <w:tcW w:w="7405" w:type="dxa"/>
            <w:gridSpan w:val="2"/>
            <w:vMerge w:val="restart"/>
          </w:tcPr>
          <w:p w:rsidR="00552602" w:rsidRPr="00D57342" w:rsidRDefault="00552602" w:rsidP="001334B7">
            <w:pPr>
              <w:spacing w:line="360" w:lineRule="auto"/>
              <w:jc w:val="both"/>
              <w:rPr>
                <w:rFonts w:ascii="Arial Narrow" w:hAnsi="Arial Narrow" w:cs="Arial"/>
                <w:sz w:val="24"/>
                <w:szCs w:val="24"/>
              </w:rPr>
            </w:pPr>
            <w:r w:rsidRPr="00D57342">
              <w:rPr>
                <w:rFonts w:ascii="Arial Narrow" w:hAnsi="Arial Narrow" w:cs="Arial"/>
                <w:b/>
                <w:sz w:val="24"/>
                <w:szCs w:val="24"/>
              </w:rPr>
              <w:t>Case Title:</w:t>
            </w:r>
          </w:p>
          <w:p w:rsidR="0014645A" w:rsidRPr="0014645A" w:rsidRDefault="00FD29E2" w:rsidP="00765C37">
            <w:pPr>
              <w:tabs>
                <w:tab w:val="left" w:pos="6750"/>
              </w:tabs>
              <w:spacing w:line="360" w:lineRule="auto"/>
              <w:jc w:val="both"/>
              <w:rPr>
                <w:rFonts w:ascii="Arial Narrow" w:hAnsi="Arial Narrow" w:cs="Arial"/>
                <w:color w:val="000000" w:themeColor="text1"/>
                <w:sz w:val="24"/>
                <w:szCs w:val="24"/>
                <w:shd w:val="clear" w:color="auto" w:fill="FFFFFF"/>
              </w:rPr>
            </w:pPr>
            <w:r w:rsidRPr="0014645A">
              <w:rPr>
                <w:rFonts w:ascii="Arial Narrow" w:hAnsi="Arial Narrow" w:cs="Arial"/>
                <w:color w:val="000000" w:themeColor="text1"/>
                <w:sz w:val="24"/>
                <w:szCs w:val="24"/>
                <w:shd w:val="clear" w:color="auto" w:fill="FFFFFF"/>
              </w:rPr>
              <w:t xml:space="preserve">PAMO TRADING ENTERPRISES CC </w:t>
            </w:r>
          </w:p>
          <w:p w:rsidR="0044682C" w:rsidRPr="0014645A" w:rsidRDefault="0014645A" w:rsidP="00765C37">
            <w:pPr>
              <w:tabs>
                <w:tab w:val="left" w:pos="6750"/>
              </w:tabs>
              <w:spacing w:line="360" w:lineRule="auto"/>
              <w:jc w:val="both"/>
              <w:rPr>
                <w:rFonts w:ascii="Arial Narrow" w:eastAsia="Times New Roman" w:hAnsi="Arial Narrow" w:cs="Arial"/>
                <w:color w:val="000000" w:themeColor="text1"/>
                <w:sz w:val="24"/>
                <w:szCs w:val="24"/>
                <w:lang w:val="en-GB"/>
              </w:rPr>
            </w:pPr>
            <w:r w:rsidRPr="0014645A">
              <w:rPr>
                <w:rFonts w:ascii="Arial Narrow" w:eastAsia="Times New Roman" w:hAnsi="Arial Narrow" w:cs="Arial"/>
                <w:color w:val="000000" w:themeColor="text1"/>
                <w:sz w:val="24"/>
                <w:szCs w:val="24"/>
                <w:lang w:val="en-GB"/>
              </w:rPr>
              <w:t>v</w:t>
            </w:r>
          </w:p>
          <w:p w:rsidR="00765C37" w:rsidRPr="00D57342" w:rsidRDefault="00FD29E2" w:rsidP="00765C37">
            <w:pPr>
              <w:tabs>
                <w:tab w:val="left" w:pos="6750"/>
              </w:tabs>
              <w:spacing w:line="360" w:lineRule="auto"/>
              <w:jc w:val="both"/>
              <w:rPr>
                <w:rFonts w:ascii="Arial Narrow" w:hAnsi="Arial Narrow" w:cs="Arial"/>
                <w:sz w:val="24"/>
                <w:szCs w:val="24"/>
              </w:rPr>
            </w:pPr>
            <w:r w:rsidRPr="0014645A">
              <w:rPr>
                <w:rFonts w:ascii="Arial Narrow" w:hAnsi="Arial Narrow" w:cs="Arial"/>
                <w:color w:val="000000" w:themeColor="text1"/>
                <w:sz w:val="24"/>
                <w:szCs w:val="24"/>
              </w:rPr>
              <w:t>TENDER BOARD OF NAMIBIA</w:t>
            </w:r>
            <w:r w:rsidRPr="00D57342">
              <w:rPr>
                <w:rFonts w:ascii="Arial" w:hAnsi="Arial" w:cs="Arial"/>
                <w:b/>
                <w:sz w:val="24"/>
                <w:szCs w:val="24"/>
              </w:rPr>
              <w:tab/>
            </w:r>
            <w:r w:rsidR="00765C37" w:rsidRPr="00D57342">
              <w:rPr>
                <w:rFonts w:ascii="Arial Narrow" w:hAnsi="Arial Narrow" w:cs="Arial"/>
                <w:sz w:val="24"/>
                <w:szCs w:val="24"/>
              </w:rPr>
              <w:tab/>
            </w:r>
          </w:p>
        </w:tc>
        <w:tc>
          <w:tcPr>
            <w:tcW w:w="3510" w:type="dxa"/>
          </w:tcPr>
          <w:p w:rsidR="00552602" w:rsidRPr="0014645A" w:rsidRDefault="00552602" w:rsidP="001334B7">
            <w:pPr>
              <w:spacing w:line="360" w:lineRule="auto"/>
              <w:jc w:val="both"/>
              <w:rPr>
                <w:rFonts w:ascii="Arial Narrow" w:hAnsi="Arial Narrow" w:cs="Arial"/>
                <w:color w:val="000000" w:themeColor="text1"/>
                <w:sz w:val="24"/>
                <w:szCs w:val="24"/>
              </w:rPr>
            </w:pPr>
            <w:r w:rsidRPr="0014645A">
              <w:rPr>
                <w:rFonts w:ascii="Arial Narrow" w:hAnsi="Arial Narrow" w:cs="Arial"/>
                <w:b/>
                <w:color w:val="000000" w:themeColor="text1"/>
                <w:sz w:val="24"/>
                <w:szCs w:val="24"/>
              </w:rPr>
              <w:t>Case No:</w:t>
            </w:r>
          </w:p>
          <w:p w:rsidR="00552602" w:rsidRPr="0014645A" w:rsidRDefault="00FD29E2" w:rsidP="005606FA">
            <w:pPr>
              <w:spacing w:line="360" w:lineRule="auto"/>
              <w:jc w:val="both"/>
              <w:rPr>
                <w:rFonts w:ascii="Arial Narrow" w:hAnsi="Arial Narrow" w:cs="Arial"/>
                <w:color w:val="000000" w:themeColor="text1"/>
                <w:sz w:val="24"/>
                <w:szCs w:val="24"/>
              </w:rPr>
            </w:pPr>
            <w:r w:rsidRPr="0014645A">
              <w:rPr>
                <w:rFonts w:ascii="Arial Narrow" w:hAnsi="Arial Narrow" w:cs="Open Sans"/>
                <w:color w:val="000000" w:themeColor="text1"/>
                <w:sz w:val="24"/>
                <w:szCs w:val="24"/>
                <w:shd w:val="clear" w:color="auto" w:fill="FFFFFF"/>
              </w:rPr>
              <w:t>HC-MD-CIV-ACT-DEL-2020/02891</w:t>
            </w:r>
          </w:p>
        </w:tc>
      </w:tr>
      <w:tr w:rsidR="00552602" w:rsidRPr="001334B7" w:rsidTr="00681336">
        <w:trPr>
          <w:trHeight w:val="844"/>
        </w:trPr>
        <w:tc>
          <w:tcPr>
            <w:tcW w:w="7405" w:type="dxa"/>
            <w:gridSpan w:val="2"/>
            <w:vMerge/>
          </w:tcPr>
          <w:p w:rsidR="00552602" w:rsidRPr="00D57342" w:rsidRDefault="00552602" w:rsidP="001334B7">
            <w:pPr>
              <w:spacing w:line="360" w:lineRule="auto"/>
              <w:jc w:val="both"/>
              <w:rPr>
                <w:rFonts w:ascii="Arial Narrow" w:hAnsi="Arial Narrow" w:cs="Arial"/>
                <w:sz w:val="24"/>
                <w:szCs w:val="24"/>
              </w:rPr>
            </w:pPr>
          </w:p>
        </w:tc>
        <w:tc>
          <w:tcPr>
            <w:tcW w:w="3510" w:type="dxa"/>
          </w:tcPr>
          <w:p w:rsidR="00552602" w:rsidRPr="0014645A" w:rsidRDefault="00552602" w:rsidP="001334B7">
            <w:pPr>
              <w:spacing w:line="360" w:lineRule="auto"/>
              <w:jc w:val="both"/>
              <w:rPr>
                <w:rFonts w:ascii="Arial Narrow" w:hAnsi="Arial Narrow" w:cs="Arial"/>
                <w:color w:val="000000" w:themeColor="text1"/>
                <w:sz w:val="24"/>
                <w:szCs w:val="24"/>
              </w:rPr>
            </w:pPr>
            <w:r w:rsidRPr="0014645A">
              <w:rPr>
                <w:rFonts w:ascii="Arial Narrow" w:hAnsi="Arial Narrow" w:cs="Arial"/>
                <w:b/>
                <w:color w:val="000000" w:themeColor="text1"/>
                <w:sz w:val="24"/>
                <w:szCs w:val="24"/>
              </w:rPr>
              <w:t>Division of Court:</w:t>
            </w:r>
          </w:p>
          <w:p w:rsidR="00552602" w:rsidRPr="0014645A" w:rsidRDefault="00552602" w:rsidP="001334B7">
            <w:pPr>
              <w:spacing w:line="360" w:lineRule="auto"/>
              <w:jc w:val="both"/>
              <w:rPr>
                <w:rFonts w:ascii="Arial Narrow" w:hAnsi="Arial Narrow" w:cs="Arial"/>
                <w:color w:val="000000" w:themeColor="text1"/>
                <w:sz w:val="24"/>
                <w:szCs w:val="24"/>
              </w:rPr>
            </w:pPr>
            <w:r w:rsidRPr="0014645A">
              <w:rPr>
                <w:rFonts w:ascii="Arial Narrow" w:hAnsi="Arial Narrow" w:cs="Arial"/>
                <w:color w:val="000000" w:themeColor="text1"/>
                <w:sz w:val="24"/>
                <w:szCs w:val="24"/>
              </w:rPr>
              <w:t>HIGH COURT(MAIN DIVISION)</w:t>
            </w:r>
          </w:p>
        </w:tc>
      </w:tr>
      <w:tr w:rsidR="00552602" w:rsidRPr="001334B7" w:rsidTr="00681336">
        <w:trPr>
          <w:trHeight w:val="645"/>
        </w:trPr>
        <w:tc>
          <w:tcPr>
            <w:tcW w:w="7405" w:type="dxa"/>
            <w:gridSpan w:val="2"/>
            <w:vMerge w:val="restart"/>
          </w:tcPr>
          <w:p w:rsidR="00552602" w:rsidRPr="0014645A" w:rsidRDefault="00552602" w:rsidP="001334B7">
            <w:pPr>
              <w:spacing w:line="360" w:lineRule="auto"/>
              <w:jc w:val="both"/>
              <w:rPr>
                <w:rFonts w:ascii="Arial Narrow" w:hAnsi="Arial Narrow" w:cs="Arial"/>
                <w:b/>
                <w:color w:val="000000" w:themeColor="text1"/>
                <w:sz w:val="24"/>
                <w:szCs w:val="24"/>
              </w:rPr>
            </w:pPr>
            <w:r w:rsidRPr="0014645A">
              <w:rPr>
                <w:rFonts w:ascii="Arial Narrow" w:hAnsi="Arial Narrow" w:cs="Arial"/>
                <w:b/>
                <w:color w:val="000000" w:themeColor="text1"/>
                <w:sz w:val="24"/>
                <w:szCs w:val="24"/>
              </w:rPr>
              <w:t>Heard before:</w:t>
            </w:r>
          </w:p>
          <w:p w:rsidR="00552602" w:rsidRPr="0014645A" w:rsidRDefault="00552602" w:rsidP="001334B7">
            <w:pPr>
              <w:spacing w:line="360" w:lineRule="auto"/>
              <w:jc w:val="both"/>
              <w:rPr>
                <w:rFonts w:ascii="Arial Narrow" w:hAnsi="Arial Narrow" w:cs="Arial"/>
                <w:color w:val="000000" w:themeColor="text1"/>
                <w:sz w:val="24"/>
                <w:szCs w:val="24"/>
              </w:rPr>
            </w:pPr>
            <w:r w:rsidRPr="0014645A">
              <w:rPr>
                <w:rFonts w:ascii="Arial Narrow" w:hAnsi="Arial Narrow" w:cs="Arial"/>
                <w:color w:val="000000" w:themeColor="text1"/>
                <w:sz w:val="24"/>
                <w:szCs w:val="24"/>
              </w:rPr>
              <w:t>HONOURABLE LADY JUSTICE PRINSLOO, JUDGE</w:t>
            </w:r>
          </w:p>
        </w:tc>
        <w:tc>
          <w:tcPr>
            <w:tcW w:w="3510" w:type="dxa"/>
          </w:tcPr>
          <w:p w:rsidR="00552602" w:rsidRPr="0014645A" w:rsidRDefault="00552602" w:rsidP="001334B7">
            <w:pPr>
              <w:spacing w:line="360" w:lineRule="auto"/>
              <w:jc w:val="both"/>
              <w:rPr>
                <w:rFonts w:ascii="Arial Narrow" w:hAnsi="Arial Narrow" w:cs="Arial"/>
                <w:b/>
                <w:color w:val="000000" w:themeColor="text1"/>
                <w:sz w:val="24"/>
                <w:szCs w:val="24"/>
              </w:rPr>
            </w:pPr>
            <w:r w:rsidRPr="0014645A">
              <w:rPr>
                <w:rFonts w:ascii="Arial Narrow" w:hAnsi="Arial Narrow" w:cs="Arial"/>
                <w:b/>
                <w:color w:val="000000" w:themeColor="text1"/>
                <w:sz w:val="24"/>
                <w:szCs w:val="24"/>
              </w:rPr>
              <w:t>Date of hearing:</w:t>
            </w:r>
          </w:p>
          <w:p w:rsidR="00552602" w:rsidRPr="0014645A" w:rsidRDefault="00FD29E2" w:rsidP="001334B7">
            <w:pPr>
              <w:spacing w:line="360" w:lineRule="auto"/>
              <w:rPr>
                <w:rFonts w:ascii="Arial Narrow" w:hAnsi="Arial Narrow" w:cs="Arial"/>
                <w:color w:val="000000" w:themeColor="text1"/>
                <w:sz w:val="24"/>
                <w:szCs w:val="24"/>
              </w:rPr>
            </w:pPr>
            <w:r w:rsidRPr="0014645A">
              <w:rPr>
                <w:rFonts w:ascii="Arial Narrow" w:hAnsi="Arial Narrow" w:cs="Arial"/>
                <w:color w:val="000000" w:themeColor="text1"/>
                <w:sz w:val="24"/>
                <w:szCs w:val="24"/>
              </w:rPr>
              <w:t>19 NOVEMBER</w:t>
            </w:r>
            <w:r w:rsidR="00E04BC5" w:rsidRPr="0014645A">
              <w:rPr>
                <w:rFonts w:ascii="Arial Narrow" w:hAnsi="Arial Narrow" w:cs="Arial"/>
                <w:color w:val="000000" w:themeColor="text1"/>
                <w:sz w:val="24"/>
                <w:szCs w:val="24"/>
              </w:rPr>
              <w:t xml:space="preserve"> 2021</w:t>
            </w:r>
          </w:p>
        </w:tc>
      </w:tr>
      <w:tr w:rsidR="00552602" w:rsidRPr="001334B7" w:rsidTr="00681336">
        <w:trPr>
          <w:trHeight w:val="588"/>
        </w:trPr>
        <w:tc>
          <w:tcPr>
            <w:tcW w:w="7405" w:type="dxa"/>
            <w:gridSpan w:val="2"/>
            <w:vMerge/>
          </w:tcPr>
          <w:p w:rsidR="00552602" w:rsidRPr="0014645A" w:rsidRDefault="00552602" w:rsidP="001334B7">
            <w:pPr>
              <w:spacing w:line="360" w:lineRule="auto"/>
              <w:jc w:val="both"/>
              <w:rPr>
                <w:rFonts w:ascii="Arial Narrow" w:hAnsi="Arial Narrow" w:cs="Arial"/>
                <w:b/>
                <w:color w:val="000000" w:themeColor="text1"/>
                <w:sz w:val="24"/>
                <w:szCs w:val="24"/>
              </w:rPr>
            </w:pPr>
          </w:p>
        </w:tc>
        <w:tc>
          <w:tcPr>
            <w:tcW w:w="3510" w:type="dxa"/>
          </w:tcPr>
          <w:p w:rsidR="001334B7" w:rsidRPr="0014645A" w:rsidRDefault="00552602" w:rsidP="001334B7">
            <w:pPr>
              <w:spacing w:line="360" w:lineRule="auto"/>
              <w:jc w:val="both"/>
              <w:rPr>
                <w:rFonts w:ascii="Arial Narrow" w:hAnsi="Arial Narrow" w:cs="Arial"/>
                <w:b/>
                <w:color w:val="000000" w:themeColor="text1"/>
                <w:sz w:val="24"/>
                <w:szCs w:val="24"/>
              </w:rPr>
            </w:pPr>
            <w:r w:rsidRPr="0014645A">
              <w:rPr>
                <w:rFonts w:ascii="Arial Narrow" w:hAnsi="Arial Narrow" w:cs="Arial"/>
                <w:b/>
                <w:color w:val="000000" w:themeColor="text1"/>
                <w:sz w:val="24"/>
                <w:szCs w:val="24"/>
              </w:rPr>
              <w:t>Date of order:</w:t>
            </w:r>
            <w:r w:rsidR="00CA7442" w:rsidRPr="0014645A">
              <w:rPr>
                <w:rFonts w:ascii="Arial Narrow" w:hAnsi="Arial Narrow" w:cs="Arial"/>
                <w:b/>
                <w:color w:val="000000" w:themeColor="text1"/>
                <w:sz w:val="24"/>
                <w:szCs w:val="24"/>
              </w:rPr>
              <w:t xml:space="preserve"> </w:t>
            </w:r>
          </w:p>
          <w:p w:rsidR="00552602" w:rsidRPr="0014645A" w:rsidRDefault="00FD29E2" w:rsidP="0044682C">
            <w:pPr>
              <w:spacing w:line="360" w:lineRule="auto"/>
              <w:jc w:val="both"/>
              <w:rPr>
                <w:rFonts w:ascii="Arial Narrow" w:hAnsi="Arial Narrow" w:cs="Arial"/>
                <w:b/>
                <w:color w:val="000000" w:themeColor="text1"/>
                <w:sz w:val="24"/>
                <w:szCs w:val="24"/>
              </w:rPr>
            </w:pPr>
            <w:r w:rsidRPr="0014645A">
              <w:rPr>
                <w:rFonts w:ascii="Arial Narrow" w:hAnsi="Arial Narrow" w:cs="Arial"/>
                <w:color w:val="000000" w:themeColor="text1"/>
                <w:sz w:val="24"/>
                <w:szCs w:val="24"/>
              </w:rPr>
              <w:t>03 DECEMBER</w:t>
            </w:r>
            <w:r w:rsidR="00E04BC5" w:rsidRPr="0014645A">
              <w:rPr>
                <w:rFonts w:ascii="Arial Narrow" w:hAnsi="Arial Narrow" w:cs="Arial"/>
                <w:color w:val="000000" w:themeColor="text1"/>
                <w:sz w:val="24"/>
                <w:szCs w:val="24"/>
              </w:rPr>
              <w:t xml:space="preserve"> 2021 </w:t>
            </w:r>
          </w:p>
        </w:tc>
      </w:tr>
      <w:tr w:rsidR="00552602" w:rsidRPr="001334B7" w:rsidTr="00681336">
        <w:trPr>
          <w:trHeight w:val="395"/>
        </w:trPr>
        <w:tc>
          <w:tcPr>
            <w:tcW w:w="10915" w:type="dxa"/>
            <w:gridSpan w:val="3"/>
          </w:tcPr>
          <w:p w:rsidR="001334B7" w:rsidRPr="0014645A" w:rsidRDefault="00552602" w:rsidP="00FD29E2">
            <w:pPr>
              <w:spacing w:line="360" w:lineRule="auto"/>
              <w:jc w:val="both"/>
              <w:rPr>
                <w:rFonts w:ascii="Arial Narrow" w:hAnsi="Arial Narrow" w:cs="Arial"/>
                <w:color w:val="000000" w:themeColor="text1"/>
                <w:sz w:val="24"/>
                <w:szCs w:val="24"/>
              </w:rPr>
            </w:pPr>
            <w:r w:rsidRPr="0014645A">
              <w:rPr>
                <w:rFonts w:ascii="Arial Narrow" w:hAnsi="Arial Narrow" w:cs="Arial"/>
                <w:b/>
                <w:color w:val="000000" w:themeColor="text1"/>
                <w:sz w:val="24"/>
                <w:szCs w:val="24"/>
              </w:rPr>
              <w:t>Neutral citation:</w:t>
            </w:r>
            <w:r w:rsidR="001334B7" w:rsidRPr="0014645A">
              <w:rPr>
                <w:rFonts w:ascii="Arial Narrow" w:hAnsi="Arial Narrow" w:cs="Arial"/>
                <w:b/>
                <w:color w:val="000000" w:themeColor="text1"/>
                <w:sz w:val="24"/>
                <w:szCs w:val="24"/>
              </w:rPr>
              <w:t xml:space="preserve"> </w:t>
            </w:r>
            <w:r w:rsidR="00FD29E2" w:rsidRPr="0014645A">
              <w:rPr>
                <w:rFonts w:ascii="Arial Narrow" w:hAnsi="Arial Narrow" w:cs="Arial"/>
                <w:i/>
                <w:color w:val="000000" w:themeColor="text1"/>
                <w:sz w:val="24"/>
                <w:szCs w:val="24"/>
                <w:shd w:val="clear" w:color="auto" w:fill="FFFFFF"/>
              </w:rPr>
              <w:t>Pamo Trading Enterprises CC v</w:t>
            </w:r>
            <w:r w:rsidR="00FD29E2" w:rsidRPr="0014645A">
              <w:rPr>
                <w:rFonts w:ascii="Arial Narrow" w:hAnsi="Arial Narrow" w:cs="Arial"/>
                <w:i/>
                <w:color w:val="000000" w:themeColor="text1"/>
                <w:sz w:val="24"/>
                <w:szCs w:val="24"/>
              </w:rPr>
              <w:t xml:space="preserve"> Tender Board of Namibia </w:t>
            </w:r>
            <w:r w:rsidR="00FD29E2" w:rsidRPr="0014645A">
              <w:rPr>
                <w:rFonts w:ascii="Arial Narrow" w:hAnsi="Arial Narrow" w:cs="Arial"/>
                <w:color w:val="000000" w:themeColor="text1"/>
                <w:sz w:val="24"/>
                <w:szCs w:val="24"/>
              </w:rPr>
              <w:t xml:space="preserve">(HC-MD-CIV-ACT-DEL-2020/02891) [2021] NAHCMD </w:t>
            </w:r>
            <w:r w:rsidR="00474E38">
              <w:rPr>
                <w:rFonts w:ascii="Arial Narrow" w:hAnsi="Arial Narrow" w:cs="Arial"/>
                <w:color w:val="000000" w:themeColor="text1"/>
                <w:sz w:val="24"/>
                <w:szCs w:val="24"/>
              </w:rPr>
              <w:t>566</w:t>
            </w:r>
            <w:r w:rsidR="00FD29E2" w:rsidRPr="0014645A">
              <w:rPr>
                <w:rFonts w:ascii="Arial Narrow" w:hAnsi="Arial Narrow" w:cs="Arial"/>
                <w:color w:val="000000" w:themeColor="text1"/>
                <w:sz w:val="24"/>
                <w:szCs w:val="24"/>
              </w:rPr>
              <w:t xml:space="preserve"> (03 December 2021)</w:t>
            </w:r>
          </w:p>
        </w:tc>
      </w:tr>
      <w:tr w:rsidR="00552602" w:rsidRPr="001334B7" w:rsidTr="00681336">
        <w:tc>
          <w:tcPr>
            <w:tcW w:w="10915" w:type="dxa"/>
            <w:gridSpan w:val="3"/>
          </w:tcPr>
          <w:p w:rsidR="00552602" w:rsidRPr="00D57342" w:rsidRDefault="00552602" w:rsidP="001334B7">
            <w:pPr>
              <w:pStyle w:val="form-control-static"/>
              <w:shd w:val="clear" w:color="auto" w:fill="FFFFFF"/>
              <w:spacing w:before="0" w:beforeAutospacing="0" w:after="0" w:afterAutospacing="0" w:line="360" w:lineRule="auto"/>
              <w:rPr>
                <w:rFonts w:ascii="Arial Narrow" w:hAnsi="Arial Narrow" w:cs="Arial"/>
                <w:b/>
                <w:sz w:val="24"/>
                <w:szCs w:val="24"/>
              </w:rPr>
            </w:pPr>
            <w:r w:rsidRPr="00D57342">
              <w:rPr>
                <w:rFonts w:ascii="Arial Narrow" w:hAnsi="Arial Narrow" w:cs="Arial"/>
                <w:b/>
                <w:sz w:val="24"/>
                <w:szCs w:val="24"/>
              </w:rPr>
              <w:t>Results on merits:</w:t>
            </w:r>
          </w:p>
          <w:p w:rsidR="00552602" w:rsidRPr="00D57342" w:rsidRDefault="00552602" w:rsidP="005606FA">
            <w:pPr>
              <w:pStyle w:val="form-control-static"/>
              <w:shd w:val="clear" w:color="auto" w:fill="FFFFFF"/>
              <w:spacing w:before="0" w:beforeAutospacing="0" w:after="0" w:afterAutospacing="0" w:line="360" w:lineRule="auto"/>
              <w:rPr>
                <w:rFonts w:ascii="Arial Narrow" w:hAnsi="Arial Narrow" w:cs="Arial"/>
                <w:sz w:val="24"/>
                <w:szCs w:val="24"/>
              </w:rPr>
            </w:pPr>
            <w:r w:rsidRPr="00D57342">
              <w:rPr>
                <w:rFonts w:ascii="Arial Narrow" w:hAnsi="Arial Narrow" w:cs="Arial"/>
                <w:sz w:val="24"/>
                <w:szCs w:val="24"/>
              </w:rPr>
              <w:t>Merits not considered.</w:t>
            </w:r>
            <w:r w:rsidR="00765C37" w:rsidRPr="00D57342">
              <w:rPr>
                <w:rFonts w:ascii="Arial Narrow" w:hAnsi="Arial Narrow" w:cs="Arial"/>
                <w:sz w:val="24"/>
                <w:szCs w:val="24"/>
              </w:rPr>
              <w:t xml:space="preserve"> </w:t>
            </w:r>
          </w:p>
        </w:tc>
      </w:tr>
      <w:tr w:rsidR="00552602" w:rsidRPr="001334B7" w:rsidTr="00681336">
        <w:tc>
          <w:tcPr>
            <w:tcW w:w="10915" w:type="dxa"/>
            <w:gridSpan w:val="3"/>
          </w:tcPr>
          <w:p w:rsidR="00552602" w:rsidRPr="00D57342" w:rsidRDefault="00552602" w:rsidP="001334B7">
            <w:pPr>
              <w:spacing w:line="360" w:lineRule="auto"/>
              <w:jc w:val="both"/>
              <w:rPr>
                <w:rFonts w:ascii="Arial Narrow" w:hAnsi="Arial Narrow" w:cs="Arial"/>
                <w:b/>
                <w:sz w:val="24"/>
                <w:szCs w:val="24"/>
              </w:rPr>
            </w:pPr>
            <w:r w:rsidRPr="00D57342">
              <w:rPr>
                <w:rFonts w:ascii="Arial Narrow" w:hAnsi="Arial Narrow" w:cs="Arial"/>
                <w:b/>
                <w:sz w:val="24"/>
                <w:szCs w:val="24"/>
              </w:rPr>
              <w:t>The order:</w:t>
            </w:r>
          </w:p>
          <w:p w:rsidR="0044682C" w:rsidRPr="00D57342" w:rsidRDefault="0044682C" w:rsidP="001D42FA">
            <w:pPr>
              <w:spacing w:line="360" w:lineRule="auto"/>
              <w:jc w:val="both"/>
              <w:rPr>
                <w:rFonts w:ascii="Arial Narrow" w:hAnsi="Arial Narrow" w:cs="Arial"/>
                <w:sz w:val="24"/>
                <w:szCs w:val="24"/>
                <w:lang w:val="en-US"/>
              </w:rPr>
            </w:pPr>
            <w:r w:rsidRPr="00D57342">
              <w:rPr>
                <w:rFonts w:ascii="Arial Narrow" w:hAnsi="Arial Narrow" w:cs="Arial"/>
                <w:sz w:val="24"/>
                <w:szCs w:val="24"/>
                <w:lang w:val="en-US"/>
              </w:rPr>
              <w:t xml:space="preserve">Having heard </w:t>
            </w:r>
            <w:r w:rsidR="00FD29E2" w:rsidRPr="00D57342">
              <w:rPr>
                <w:rFonts w:ascii="Arial Narrow" w:hAnsi="Arial Narrow" w:cs="Arial"/>
                <w:b/>
                <w:sz w:val="24"/>
                <w:szCs w:val="24"/>
                <w:lang w:val="en-US"/>
              </w:rPr>
              <w:t>JACOBUS VISSER</w:t>
            </w:r>
            <w:r w:rsidRPr="00D57342">
              <w:rPr>
                <w:rFonts w:ascii="Arial Narrow" w:hAnsi="Arial Narrow" w:cs="Arial"/>
                <w:sz w:val="24"/>
                <w:szCs w:val="24"/>
                <w:lang w:val="en-US"/>
              </w:rPr>
              <w:t xml:space="preserve">, on behalf of the </w:t>
            </w:r>
            <w:r w:rsidR="00D22A07">
              <w:rPr>
                <w:rFonts w:ascii="Arial Narrow" w:hAnsi="Arial Narrow" w:cs="Arial"/>
                <w:sz w:val="24"/>
                <w:szCs w:val="24"/>
                <w:lang w:val="en-US"/>
              </w:rPr>
              <w:t>Applicant(s)/</w:t>
            </w:r>
            <w:r w:rsidRPr="00D57342">
              <w:rPr>
                <w:rFonts w:ascii="Arial Narrow" w:hAnsi="Arial Narrow" w:cs="Arial"/>
                <w:sz w:val="24"/>
                <w:szCs w:val="24"/>
                <w:lang w:val="en-US"/>
              </w:rPr>
              <w:t>Plaintiff(s)</w:t>
            </w:r>
            <w:r w:rsidR="00FD29E2" w:rsidRPr="00D57342">
              <w:rPr>
                <w:rFonts w:ascii="Arial Narrow" w:hAnsi="Arial Narrow" w:cs="Arial"/>
                <w:sz w:val="24"/>
                <w:szCs w:val="24"/>
                <w:lang w:val="en-US"/>
              </w:rPr>
              <w:t xml:space="preserve"> </w:t>
            </w:r>
            <w:r w:rsidRPr="00D57342">
              <w:rPr>
                <w:rFonts w:ascii="Arial Narrow" w:hAnsi="Arial Narrow" w:cs="Arial"/>
                <w:sz w:val="24"/>
                <w:szCs w:val="24"/>
                <w:lang w:val="en-US"/>
              </w:rPr>
              <w:t>and having read the p</w:t>
            </w:r>
            <w:r w:rsidR="00D57342">
              <w:rPr>
                <w:rFonts w:ascii="Arial Narrow" w:hAnsi="Arial Narrow" w:cs="Arial"/>
                <w:sz w:val="24"/>
                <w:szCs w:val="24"/>
                <w:lang w:val="en-US"/>
              </w:rPr>
              <w:t>apers</w:t>
            </w:r>
            <w:r w:rsidRPr="00D57342">
              <w:rPr>
                <w:rFonts w:ascii="Arial Narrow" w:hAnsi="Arial Narrow" w:cs="Arial"/>
                <w:sz w:val="24"/>
                <w:szCs w:val="24"/>
                <w:lang w:val="en-US"/>
              </w:rPr>
              <w:t xml:space="preserve"> for </w:t>
            </w:r>
            <w:r w:rsidR="00D57342" w:rsidRPr="00CF3B28">
              <w:rPr>
                <w:rFonts w:ascii="Arial Narrow" w:hAnsi="Arial Narrow" w:cs="Open Sans"/>
                <w:b/>
                <w:color w:val="000000" w:themeColor="text1"/>
                <w:sz w:val="24"/>
                <w:szCs w:val="24"/>
                <w:shd w:val="clear" w:color="auto" w:fill="FFFFFF"/>
              </w:rPr>
              <w:t>HC-MD-CIV-ACT-DEL-2020/02891</w:t>
            </w:r>
            <w:r w:rsidR="00D57342" w:rsidRPr="00CF3B28">
              <w:rPr>
                <w:rFonts w:ascii="Arial Narrow" w:hAnsi="Arial Narrow" w:cs="Open Sans"/>
                <w:color w:val="000000" w:themeColor="text1"/>
                <w:sz w:val="24"/>
                <w:szCs w:val="24"/>
                <w:shd w:val="clear" w:color="auto" w:fill="FFFFFF"/>
              </w:rPr>
              <w:t xml:space="preserve"> </w:t>
            </w:r>
            <w:r w:rsidRPr="00D57342">
              <w:rPr>
                <w:rFonts w:ascii="Arial Narrow" w:hAnsi="Arial Narrow" w:cs="Arial"/>
                <w:sz w:val="24"/>
                <w:szCs w:val="24"/>
                <w:lang w:val="en-US"/>
              </w:rPr>
              <w:t xml:space="preserve">and other documents filed of record: </w:t>
            </w:r>
          </w:p>
          <w:p w:rsidR="0044682C" w:rsidRPr="00D57342" w:rsidRDefault="0044682C" w:rsidP="001D42FA">
            <w:pPr>
              <w:spacing w:line="360" w:lineRule="auto"/>
              <w:jc w:val="both"/>
              <w:rPr>
                <w:rFonts w:ascii="Arial Narrow" w:hAnsi="Arial Narrow" w:cs="Arial"/>
                <w:sz w:val="24"/>
                <w:szCs w:val="24"/>
                <w:lang w:val="en-US"/>
              </w:rPr>
            </w:pPr>
          </w:p>
          <w:p w:rsidR="00D57342" w:rsidRPr="003E73C4" w:rsidRDefault="0044682C" w:rsidP="001568BC">
            <w:pPr>
              <w:spacing w:line="360" w:lineRule="auto"/>
              <w:jc w:val="both"/>
              <w:rPr>
                <w:rFonts w:ascii="Arial" w:hAnsi="Arial" w:cs="Arial"/>
                <w:sz w:val="20"/>
                <w:szCs w:val="20"/>
              </w:rPr>
            </w:pPr>
            <w:r w:rsidRPr="00D57342">
              <w:rPr>
                <w:rFonts w:ascii="Arial Narrow" w:hAnsi="Arial Narrow" w:cs="Arial"/>
                <w:b/>
                <w:sz w:val="24"/>
                <w:szCs w:val="24"/>
                <w:lang w:val="en-US"/>
              </w:rPr>
              <w:t>Ruling:</w:t>
            </w:r>
          </w:p>
          <w:p w:rsidR="00D57342" w:rsidRPr="00D57342" w:rsidRDefault="00D57342" w:rsidP="00D57342">
            <w:pPr>
              <w:pStyle w:val="ListParagraph"/>
              <w:numPr>
                <w:ilvl w:val="0"/>
                <w:numId w:val="11"/>
              </w:numPr>
              <w:spacing w:line="360" w:lineRule="auto"/>
              <w:jc w:val="both"/>
              <w:rPr>
                <w:rFonts w:ascii="Arial Narrow" w:hAnsi="Arial Narrow" w:cs="Arial"/>
                <w:sz w:val="24"/>
                <w:szCs w:val="24"/>
              </w:rPr>
            </w:pPr>
            <w:r w:rsidRPr="003E73C4">
              <w:rPr>
                <w:rFonts w:ascii="Arial" w:hAnsi="Arial" w:cs="Arial"/>
                <w:sz w:val="24"/>
                <w:szCs w:val="24"/>
              </w:rPr>
              <w:t xml:space="preserve">The </w:t>
            </w:r>
            <w:r w:rsidRPr="00D57342">
              <w:rPr>
                <w:rFonts w:ascii="Arial Narrow" w:hAnsi="Arial Narrow" w:cs="Arial"/>
                <w:sz w:val="24"/>
                <w:szCs w:val="24"/>
              </w:rPr>
              <w:t>application for leave to appeal is granted.</w:t>
            </w:r>
          </w:p>
          <w:p w:rsidR="0044682C" w:rsidRPr="00D57342" w:rsidRDefault="00D57342" w:rsidP="00D57342">
            <w:pPr>
              <w:pStyle w:val="ListParagraph"/>
              <w:numPr>
                <w:ilvl w:val="0"/>
                <w:numId w:val="11"/>
              </w:numPr>
              <w:spacing w:line="360" w:lineRule="auto"/>
              <w:jc w:val="both"/>
              <w:rPr>
                <w:rFonts w:ascii="Arial Narrow" w:hAnsi="Arial Narrow"/>
                <w:sz w:val="24"/>
                <w:szCs w:val="24"/>
                <w:lang w:val="en-US"/>
              </w:rPr>
            </w:pPr>
            <w:r>
              <w:rPr>
                <w:rFonts w:ascii="Arial Narrow" w:hAnsi="Arial Narrow"/>
                <w:sz w:val="24"/>
                <w:szCs w:val="24"/>
                <w:lang w:val="en-US"/>
              </w:rPr>
              <w:t>Cost to be cost in the appeal.</w:t>
            </w:r>
            <w:r w:rsidR="0044682C" w:rsidRPr="00D57342">
              <w:rPr>
                <w:rFonts w:ascii="Arial Narrow" w:hAnsi="Arial Narrow"/>
                <w:sz w:val="24"/>
                <w:szCs w:val="24"/>
                <w:lang w:val="en-US"/>
              </w:rPr>
              <w:t xml:space="preserve"> </w:t>
            </w:r>
          </w:p>
          <w:p w:rsidR="0044682C" w:rsidRPr="0014645A" w:rsidRDefault="00D57342" w:rsidP="001568BC">
            <w:pPr>
              <w:spacing w:line="360" w:lineRule="auto"/>
              <w:jc w:val="both"/>
              <w:rPr>
                <w:rFonts w:ascii="Arial Narrow" w:hAnsi="Arial Narrow"/>
                <w:b/>
                <w:sz w:val="24"/>
                <w:szCs w:val="24"/>
                <w:lang w:val="en-US"/>
              </w:rPr>
            </w:pPr>
            <w:r w:rsidRPr="0014645A">
              <w:rPr>
                <w:rFonts w:ascii="Arial Narrow" w:hAnsi="Arial Narrow"/>
                <w:b/>
                <w:sz w:val="24"/>
                <w:szCs w:val="24"/>
                <w:lang w:val="en-US"/>
              </w:rPr>
              <w:lastRenderedPageBreak/>
              <w:t>Cost in respect of</w:t>
            </w:r>
            <w:r w:rsidR="001568BC" w:rsidRPr="0014645A">
              <w:rPr>
                <w:rFonts w:ascii="Arial Narrow" w:hAnsi="Arial Narrow"/>
                <w:b/>
                <w:sz w:val="24"/>
                <w:szCs w:val="24"/>
                <w:lang w:val="en-US"/>
              </w:rPr>
              <w:t xml:space="preserve"> proceedings on 28 May 2021</w:t>
            </w:r>
            <w:r w:rsidRPr="0014645A">
              <w:rPr>
                <w:rFonts w:ascii="Arial Narrow" w:hAnsi="Arial Narrow"/>
                <w:b/>
                <w:sz w:val="24"/>
                <w:szCs w:val="24"/>
                <w:lang w:val="en-US"/>
              </w:rPr>
              <w:t xml:space="preserve"> </w:t>
            </w:r>
            <w:r w:rsidR="0044682C" w:rsidRPr="0014645A">
              <w:rPr>
                <w:rFonts w:ascii="Arial Narrow" w:hAnsi="Arial Narrow"/>
                <w:b/>
                <w:sz w:val="24"/>
                <w:szCs w:val="24"/>
                <w:lang w:val="en-US"/>
              </w:rPr>
              <w:t xml:space="preserve">: </w:t>
            </w:r>
          </w:p>
          <w:p w:rsidR="00502885" w:rsidRPr="001568BC" w:rsidRDefault="001568BC" w:rsidP="001568BC">
            <w:pPr>
              <w:pStyle w:val="ListParagraph"/>
              <w:numPr>
                <w:ilvl w:val="0"/>
                <w:numId w:val="11"/>
              </w:numPr>
              <w:spacing w:line="360" w:lineRule="auto"/>
              <w:jc w:val="both"/>
              <w:rPr>
                <w:rFonts w:ascii="Arial Narrow" w:hAnsi="Arial Narrow"/>
              </w:rPr>
            </w:pPr>
            <w:r w:rsidRPr="0014645A">
              <w:rPr>
                <w:rFonts w:ascii="Arial Narrow" w:hAnsi="Arial Narrow"/>
                <w:sz w:val="24"/>
                <w:szCs w:val="24"/>
              </w:rPr>
              <w:t>Cost is limited to Rule 32(11).</w:t>
            </w:r>
          </w:p>
        </w:tc>
      </w:tr>
      <w:tr w:rsidR="00552602" w:rsidRPr="001334B7" w:rsidTr="00681336">
        <w:tc>
          <w:tcPr>
            <w:tcW w:w="10915" w:type="dxa"/>
            <w:gridSpan w:val="3"/>
          </w:tcPr>
          <w:p w:rsidR="00552602" w:rsidRPr="001334B7" w:rsidRDefault="00552602" w:rsidP="001334B7">
            <w:pPr>
              <w:spacing w:line="360" w:lineRule="auto"/>
              <w:jc w:val="both"/>
              <w:rPr>
                <w:rFonts w:ascii="Arial Narrow" w:hAnsi="Arial Narrow" w:cs="Arial"/>
                <w:b/>
                <w:sz w:val="24"/>
                <w:szCs w:val="24"/>
              </w:rPr>
            </w:pPr>
            <w:r w:rsidRPr="001334B7">
              <w:rPr>
                <w:rFonts w:ascii="Arial Narrow" w:hAnsi="Arial Narrow" w:cs="Arial"/>
                <w:b/>
                <w:sz w:val="24"/>
                <w:szCs w:val="24"/>
              </w:rPr>
              <w:lastRenderedPageBreak/>
              <w:t>Reasons for orders:</w:t>
            </w:r>
          </w:p>
        </w:tc>
      </w:tr>
      <w:tr w:rsidR="00552602" w:rsidRPr="0089499D" w:rsidTr="00681336">
        <w:tc>
          <w:tcPr>
            <w:tcW w:w="10915" w:type="dxa"/>
            <w:gridSpan w:val="3"/>
          </w:tcPr>
          <w:p w:rsidR="00096643" w:rsidRPr="0089499D" w:rsidRDefault="00096643" w:rsidP="001334B7">
            <w:pPr>
              <w:spacing w:line="360" w:lineRule="auto"/>
              <w:rPr>
                <w:rFonts w:ascii="Arial Narrow" w:hAnsi="Arial Narrow"/>
                <w:sz w:val="24"/>
                <w:szCs w:val="24"/>
                <w:lang w:val="af-ZA"/>
              </w:rPr>
            </w:pPr>
          </w:p>
          <w:p w:rsidR="00552602" w:rsidRPr="0089499D" w:rsidRDefault="00552602" w:rsidP="001334B7">
            <w:pPr>
              <w:spacing w:line="360" w:lineRule="auto"/>
              <w:rPr>
                <w:rFonts w:ascii="Arial Narrow" w:hAnsi="Arial Narrow"/>
                <w:sz w:val="24"/>
                <w:szCs w:val="24"/>
                <w:u w:val="single"/>
                <w:lang w:val="af-ZA"/>
              </w:rPr>
            </w:pPr>
            <w:r w:rsidRPr="0089499D">
              <w:rPr>
                <w:rFonts w:ascii="Arial Narrow" w:hAnsi="Arial Narrow"/>
                <w:sz w:val="24"/>
                <w:szCs w:val="24"/>
                <w:u w:val="single"/>
                <w:lang w:val="af-ZA"/>
              </w:rPr>
              <w:t>Introduction</w:t>
            </w:r>
          </w:p>
          <w:p w:rsidR="00CD4288" w:rsidRPr="0089499D" w:rsidRDefault="00CD4288" w:rsidP="001334B7">
            <w:pPr>
              <w:spacing w:line="360" w:lineRule="auto"/>
              <w:rPr>
                <w:rFonts w:ascii="Arial Narrow" w:hAnsi="Arial Narrow"/>
                <w:sz w:val="24"/>
                <w:szCs w:val="24"/>
                <w:u w:val="single"/>
                <w:lang w:val="af-ZA"/>
              </w:rPr>
            </w:pPr>
          </w:p>
          <w:p w:rsidR="00D57342" w:rsidRDefault="00765C37" w:rsidP="00213E94">
            <w:pPr>
              <w:spacing w:line="360" w:lineRule="auto"/>
              <w:jc w:val="both"/>
              <w:rPr>
                <w:rFonts w:ascii="Arial Narrow" w:hAnsi="Arial Narrow" w:cs="Arial"/>
                <w:sz w:val="24"/>
                <w:szCs w:val="24"/>
              </w:rPr>
            </w:pPr>
            <w:r w:rsidRPr="0089499D">
              <w:rPr>
                <w:rFonts w:ascii="Arial Narrow" w:hAnsi="Arial Narrow" w:cs="Arial"/>
                <w:sz w:val="24"/>
                <w:szCs w:val="24"/>
              </w:rPr>
              <w:t xml:space="preserve">[1]        </w:t>
            </w:r>
            <w:r w:rsidR="00D57342" w:rsidRPr="0089499D">
              <w:rPr>
                <w:rFonts w:ascii="Arial Narrow" w:hAnsi="Arial Narrow" w:cs="Arial"/>
                <w:sz w:val="24"/>
                <w:szCs w:val="24"/>
              </w:rPr>
              <w:t>This is an application for leave to appeal against my judgment delivered on 9 December 2020. The application has been brought in terms of rule 115 of the rules of this court.</w:t>
            </w:r>
          </w:p>
          <w:p w:rsidR="00CF3B28" w:rsidRPr="0089499D" w:rsidRDefault="00CF3B28" w:rsidP="00213E94">
            <w:pPr>
              <w:spacing w:line="360" w:lineRule="auto"/>
              <w:jc w:val="both"/>
              <w:rPr>
                <w:rFonts w:ascii="Arial Narrow" w:hAnsi="Arial Narrow" w:cs="Arial"/>
                <w:sz w:val="24"/>
                <w:szCs w:val="24"/>
              </w:rPr>
            </w:pPr>
          </w:p>
          <w:p w:rsidR="002E2D59" w:rsidRPr="0089499D" w:rsidRDefault="002E2D59" w:rsidP="002E2D59">
            <w:pPr>
              <w:spacing w:line="360" w:lineRule="auto"/>
              <w:jc w:val="both"/>
              <w:rPr>
                <w:rFonts w:ascii="Arial Narrow" w:hAnsi="Arial Narrow" w:cs="Arial"/>
                <w:sz w:val="24"/>
                <w:szCs w:val="24"/>
              </w:rPr>
            </w:pPr>
            <w:r w:rsidRPr="0089499D">
              <w:rPr>
                <w:rFonts w:ascii="Arial Narrow" w:hAnsi="Arial Narrow" w:cs="Arial"/>
                <w:sz w:val="24"/>
                <w:szCs w:val="24"/>
              </w:rPr>
              <w:t>[2]</w:t>
            </w:r>
            <w:r w:rsidRPr="0089499D">
              <w:rPr>
                <w:rFonts w:ascii="Arial Narrow" w:hAnsi="Arial Narrow" w:cs="Arial"/>
                <w:sz w:val="24"/>
                <w:szCs w:val="24"/>
              </w:rPr>
              <w:tab/>
              <w:t xml:space="preserve">In addition to the application for leave to appeal this court was called upon to determine the </w:t>
            </w:r>
            <w:r w:rsidR="00965EA7" w:rsidRPr="0089499D">
              <w:rPr>
                <w:rFonts w:ascii="Arial Narrow" w:hAnsi="Arial Narrow" w:cs="Arial"/>
                <w:sz w:val="24"/>
                <w:szCs w:val="24"/>
              </w:rPr>
              <w:t>issue of the scale of the wasted cost payable by the respondents</w:t>
            </w:r>
            <w:r w:rsidR="001568BC">
              <w:rPr>
                <w:rFonts w:ascii="Arial Narrow" w:hAnsi="Arial Narrow" w:cs="Arial"/>
                <w:sz w:val="24"/>
                <w:szCs w:val="24"/>
              </w:rPr>
              <w:t xml:space="preserve"> in respect of the proceedings of 28 May 2021</w:t>
            </w:r>
            <w:r w:rsidR="00965EA7" w:rsidRPr="0089499D">
              <w:rPr>
                <w:rFonts w:ascii="Arial Narrow" w:hAnsi="Arial Narrow" w:cs="Arial"/>
                <w:sz w:val="24"/>
                <w:szCs w:val="24"/>
              </w:rPr>
              <w:t>.</w:t>
            </w:r>
          </w:p>
          <w:p w:rsidR="00CF3B28" w:rsidRDefault="00CF3B28" w:rsidP="002E2D59">
            <w:pPr>
              <w:spacing w:line="360" w:lineRule="auto"/>
              <w:jc w:val="both"/>
              <w:rPr>
                <w:rFonts w:ascii="Arial Narrow" w:hAnsi="Arial Narrow" w:cs="Arial"/>
                <w:b/>
                <w:sz w:val="24"/>
                <w:szCs w:val="24"/>
                <w:u w:val="single"/>
              </w:rPr>
            </w:pPr>
          </w:p>
          <w:p w:rsidR="001568BC" w:rsidRDefault="0089499D" w:rsidP="002E2D59">
            <w:pPr>
              <w:spacing w:line="360" w:lineRule="auto"/>
              <w:jc w:val="both"/>
              <w:rPr>
                <w:rFonts w:ascii="Arial Narrow" w:hAnsi="Arial Narrow" w:cs="Arial"/>
                <w:b/>
                <w:sz w:val="24"/>
                <w:szCs w:val="24"/>
                <w:u w:val="single"/>
              </w:rPr>
            </w:pPr>
            <w:r w:rsidRPr="001568BC">
              <w:rPr>
                <w:rFonts w:ascii="Arial Narrow" w:hAnsi="Arial Narrow" w:cs="Arial"/>
                <w:b/>
                <w:sz w:val="24"/>
                <w:szCs w:val="24"/>
                <w:u w:val="single"/>
              </w:rPr>
              <w:t>A</w:t>
            </w:r>
            <w:r w:rsidR="001568BC">
              <w:rPr>
                <w:rFonts w:ascii="Arial Narrow" w:hAnsi="Arial Narrow" w:cs="Arial"/>
                <w:b/>
                <w:sz w:val="24"/>
                <w:szCs w:val="24"/>
                <w:u w:val="single"/>
              </w:rPr>
              <w:t>D</w:t>
            </w:r>
            <w:r w:rsidRPr="001568BC">
              <w:rPr>
                <w:rFonts w:ascii="Arial Narrow" w:hAnsi="Arial Narrow" w:cs="Arial"/>
                <w:b/>
                <w:sz w:val="24"/>
                <w:szCs w:val="24"/>
                <w:u w:val="single"/>
              </w:rPr>
              <w:t xml:space="preserve"> </w:t>
            </w:r>
            <w:r w:rsidR="001568BC">
              <w:rPr>
                <w:rFonts w:ascii="Arial Narrow" w:hAnsi="Arial Narrow" w:cs="Arial"/>
                <w:b/>
                <w:sz w:val="24"/>
                <w:szCs w:val="24"/>
                <w:u w:val="single"/>
              </w:rPr>
              <w:t>COST SCALE</w:t>
            </w:r>
            <w:r w:rsidRPr="001568BC">
              <w:rPr>
                <w:rFonts w:ascii="Arial Narrow" w:hAnsi="Arial Narrow" w:cs="Arial"/>
                <w:b/>
                <w:sz w:val="24"/>
                <w:szCs w:val="24"/>
                <w:u w:val="single"/>
              </w:rPr>
              <w:t xml:space="preserve">: </w:t>
            </w:r>
          </w:p>
          <w:p w:rsidR="00965EA7" w:rsidRDefault="00965EA7" w:rsidP="002E2D59">
            <w:pPr>
              <w:spacing w:line="360" w:lineRule="auto"/>
              <w:jc w:val="both"/>
              <w:rPr>
                <w:rFonts w:ascii="Arial Narrow" w:hAnsi="Arial Narrow" w:cs="Arial"/>
                <w:sz w:val="24"/>
                <w:szCs w:val="24"/>
                <w:u w:val="single"/>
              </w:rPr>
            </w:pPr>
            <w:r w:rsidRPr="001568BC">
              <w:rPr>
                <w:rFonts w:ascii="Arial Narrow" w:hAnsi="Arial Narrow" w:cs="Arial"/>
                <w:sz w:val="24"/>
                <w:szCs w:val="24"/>
                <w:u w:val="single"/>
              </w:rPr>
              <w:t>Brief background</w:t>
            </w:r>
          </w:p>
          <w:p w:rsidR="00CF3B28" w:rsidRPr="001568BC" w:rsidRDefault="00CF3B28" w:rsidP="002E2D59">
            <w:pPr>
              <w:spacing w:line="360" w:lineRule="auto"/>
              <w:jc w:val="both"/>
              <w:rPr>
                <w:rFonts w:ascii="Arial Narrow" w:hAnsi="Arial Narrow" w:cs="Arial"/>
                <w:sz w:val="24"/>
                <w:szCs w:val="24"/>
                <w:u w:val="single"/>
              </w:rPr>
            </w:pPr>
          </w:p>
          <w:p w:rsidR="00A86321" w:rsidRDefault="002E2D59" w:rsidP="00737554">
            <w:pPr>
              <w:spacing w:line="360" w:lineRule="auto"/>
              <w:jc w:val="both"/>
              <w:rPr>
                <w:rFonts w:ascii="Arial Narrow" w:hAnsi="Arial Narrow"/>
                <w:sz w:val="24"/>
                <w:szCs w:val="24"/>
              </w:rPr>
            </w:pPr>
            <w:r w:rsidRPr="0089499D">
              <w:rPr>
                <w:rFonts w:ascii="Arial Narrow" w:hAnsi="Arial Narrow" w:cs="Arial"/>
                <w:sz w:val="24"/>
                <w:szCs w:val="24"/>
              </w:rPr>
              <w:t xml:space="preserve"> </w:t>
            </w:r>
            <w:r w:rsidR="009F0F06" w:rsidRPr="0089499D">
              <w:rPr>
                <w:rFonts w:ascii="Arial Narrow" w:hAnsi="Arial Narrow" w:cs="Arial"/>
                <w:sz w:val="24"/>
                <w:szCs w:val="24"/>
              </w:rPr>
              <w:t xml:space="preserve">[3]         </w:t>
            </w:r>
            <w:r w:rsidR="00965EA7" w:rsidRPr="0089499D">
              <w:rPr>
                <w:rFonts w:ascii="Arial Narrow" w:hAnsi="Arial Narrow" w:cs="Arial"/>
                <w:sz w:val="24"/>
                <w:szCs w:val="24"/>
              </w:rPr>
              <w:t xml:space="preserve">The application for leave to appeal was scheduled for hearing on 28 May 2021. In terms of this court’s order </w:t>
            </w:r>
            <w:r w:rsidR="001E1EFB" w:rsidRPr="0089499D">
              <w:rPr>
                <w:rFonts w:ascii="Arial Narrow" w:hAnsi="Arial Narrow" w:cs="Arial"/>
                <w:sz w:val="24"/>
                <w:szCs w:val="24"/>
              </w:rPr>
              <w:t xml:space="preserve">dated 22 February 2021 </w:t>
            </w:r>
            <w:r w:rsidR="00965EA7" w:rsidRPr="0089499D">
              <w:rPr>
                <w:rFonts w:ascii="Arial Narrow" w:hAnsi="Arial Narrow" w:cs="Arial"/>
                <w:sz w:val="24"/>
                <w:szCs w:val="24"/>
              </w:rPr>
              <w:t xml:space="preserve">the </w:t>
            </w:r>
            <w:r w:rsidR="001E1EFB">
              <w:rPr>
                <w:rFonts w:ascii="Arial Narrow" w:hAnsi="Arial Narrow" w:cs="Arial"/>
                <w:sz w:val="24"/>
                <w:szCs w:val="24"/>
              </w:rPr>
              <w:t xml:space="preserve">Government respondents </w:t>
            </w:r>
            <w:r w:rsidR="004F6465" w:rsidRPr="0089499D">
              <w:rPr>
                <w:rFonts w:ascii="Arial Narrow" w:hAnsi="Arial Narrow"/>
                <w:sz w:val="24"/>
                <w:szCs w:val="24"/>
              </w:rPr>
              <w:t xml:space="preserve">had to file </w:t>
            </w:r>
            <w:r w:rsidR="001E1EFB">
              <w:rPr>
                <w:rFonts w:ascii="Arial Narrow" w:hAnsi="Arial Narrow"/>
                <w:sz w:val="24"/>
                <w:szCs w:val="24"/>
              </w:rPr>
              <w:t>their</w:t>
            </w:r>
            <w:r w:rsidR="004F6465" w:rsidRPr="0089499D">
              <w:rPr>
                <w:rFonts w:ascii="Arial Narrow" w:hAnsi="Arial Narrow"/>
                <w:sz w:val="24"/>
                <w:szCs w:val="24"/>
              </w:rPr>
              <w:t xml:space="preserve"> answering papers on or before 8 March 2021 and their heads of argument on or before 14 May 2021. The respondents failed to comply with both these dates and as a result the applicants raised a </w:t>
            </w:r>
            <w:r w:rsidR="004F6465" w:rsidRPr="00CF3B28">
              <w:rPr>
                <w:rFonts w:ascii="Arial Narrow" w:hAnsi="Arial Narrow"/>
                <w:i/>
                <w:sz w:val="24"/>
                <w:szCs w:val="24"/>
              </w:rPr>
              <w:t>point in limine</w:t>
            </w:r>
            <w:r w:rsidR="004F6465" w:rsidRPr="0089499D">
              <w:rPr>
                <w:rFonts w:ascii="Arial Narrow" w:hAnsi="Arial Narrow"/>
                <w:sz w:val="24"/>
                <w:szCs w:val="24"/>
              </w:rPr>
              <w:t xml:space="preserve"> that the </w:t>
            </w:r>
            <w:r w:rsidR="00CF3B28" w:rsidRPr="0089499D">
              <w:rPr>
                <w:rFonts w:ascii="Arial Narrow" w:hAnsi="Arial Narrow"/>
                <w:sz w:val="24"/>
                <w:szCs w:val="24"/>
              </w:rPr>
              <w:t>respondents’</w:t>
            </w:r>
            <w:r w:rsidR="004F6465" w:rsidRPr="0089499D">
              <w:rPr>
                <w:rFonts w:ascii="Arial Narrow" w:hAnsi="Arial Narrow"/>
                <w:sz w:val="24"/>
                <w:szCs w:val="24"/>
              </w:rPr>
              <w:t xml:space="preserve"> </w:t>
            </w:r>
            <w:r w:rsidR="001E1EFB">
              <w:rPr>
                <w:rFonts w:ascii="Arial Narrow" w:hAnsi="Arial Narrow"/>
                <w:sz w:val="24"/>
                <w:szCs w:val="24"/>
              </w:rPr>
              <w:t>failure to comply</w:t>
            </w:r>
            <w:r w:rsidR="004F6465" w:rsidRPr="0089499D">
              <w:rPr>
                <w:rFonts w:ascii="Arial Narrow" w:hAnsi="Arial Narrow"/>
                <w:sz w:val="24"/>
                <w:szCs w:val="24"/>
              </w:rPr>
              <w:t xml:space="preserve"> with the court order s</w:t>
            </w:r>
            <w:r w:rsidR="001E1EFB">
              <w:rPr>
                <w:rFonts w:ascii="Arial Narrow" w:hAnsi="Arial Narrow"/>
                <w:sz w:val="24"/>
                <w:szCs w:val="24"/>
              </w:rPr>
              <w:t>t</w:t>
            </w:r>
            <w:r w:rsidR="004F6465" w:rsidRPr="0089499D">
              <w:rPr>
                <w:rFonts w:ascii="Arial Narrow" w:hAnsi="Arial Narrow"/>
                <w:sz w:val="24"/>
                <w:szCs w:val="24"/>
              </w:rPr>
              <w:t>and to be sanctioned in terms of rules 53 and 54 of the Rules of Court</w:t>
            </w:r>
            <w:r w:rsidR="001E1EFB">
              <w:rPr>
                <w:rFonts w:ascii="Arial Narrow" w:hAnsi="Arial Narrow"/>
                <w:sz w:val="24"/>
                <w:szCs w:val="24"/>
              </w:rPr>
              <w:t xml:space="preserve"> as th</w:t>
            </w:r>
            <w:r w:rsidR="00A86321" w:rsidRPr="0089499D">
              <w:rPr>
                <w:rFonts w:ascii="Arial Narrow" w:hAnsi="Arial Narrow"/>
                <w:sz w:val="24"/>
                <w:szCs w:val="24"/>
              </w:rPr>
              <w:t xml:space="preserve">e respondents failed to seek condonation for the non-compliances. </w:t>
            </w:r>
          </w:p>
          <w:p w:rsidR="00CF3B28" w:rsidRPr="0089499D" w:rsidRDefault="00CF3B28" w:rsidP="00737554">
            <w:pPr>
              <w:spacing w:line="360" w:lineRule="auto"/>
              <w:jc w:val="both"/>
              <w:rPr>
                <w:rFonts w:ascii="Arial Narrow" w:hAnsi="Arial Narrow"/>
                <w:sz w:val="24"/>
                <w:szCs w:val="24"/>
              </w:rPr>
            </w:pPr>
          </w:p>
          <w:p w:rsidR="00CF3B28" w:rsidRDefault="00A86321" w:rsidP="00A86321">
            <w:pPr>
              <w:spacing w:line="360" w:lineRule="auto"/>
              <w:jc w:val="both"/>
              <w:rPr>
                <w:rFonts w:ascii="Arial Narrow" w:hAnsi="Arial Narrow"/>
                <w:sz w:val="24"/>
                <w:szCs w:val="24"/>
              </w:rPr>
            </w:pPr>
            <w:r w:rsidRPr="0089499D">
              <w:rPr>
                <w:rFonts w:ascii="Arial Narrow" w:hAnsi="Arial Narrow"/>
                <w:sz w:val="24"/>
                <w:szCs w:val="24"/>
              </w:rPr>
              <w:t>[</w:t>
            </w:r>
            <w:r w:rsidR="0089499D">
              <w:rPr>
                <w:rFonts w:ascii="Arial Narrow" w:hAnsi="Arial Narrow"/>
                <w:sz w:val="24"/>
                <w:szCs w:val="24"/>
              </w:rPr>
              <w:t>4</w:t>
            </w:r>
            <w:r w:rsidRPr="0089499D">
              <w:rPr>
                <w:rFonts w:ascii="Arial Narrow" w:hAnsi="Arial Narrow"/>
                <w:sz w:val="24"/>
                <w:szCs w:val="24"/>
              </w:rPr>
              <w:t>]           In addition thereto the respondents failed to address or deny the majority of contentions advanced on behalf of the applicants in support of their application for leave to appeal.</w:t>
            </w:r>
          </w:p>
          <w:p w:rsidR="004F6465" w:rsidRPr="0089499D" w:rsidRDefault="004F6465" w:rsidP="00A86321">
            <w:pPr>
              <w:spacing w:line="360" w:lineRule="auto"/>
              <w:jc w:val="both"/>
              <w:rPr>
                <w:rFonts w:ascii="Arial Narrow" w:hAnsi="Arial Narrow"/>
                <w:sz w:val="24"/>
                <w:szCs w:val="24"/>
              </w:rPr>
            </w:pPr>
            <w:r w:rsidRPr="0089499D">
              <w:rPr>
                <w:rFonts w:ascii="Arial Narrow" w:hAnsi="Arial Narrow"/>
                <w:sz w:val="24"/>
                <w:szCs w:val="24"/>
              </w:rPr>
              <w:tab/>
            </w:r>
          </w:p>
          <w:p w:rsidR="00A86321" w:rsidRDefault="00A86321" w:rsidP="00A86321">
            <w:pPr>
              <w:spacing w:line="360" w:lineRule="auto"/>
              <w:jc w:val="both"/>
              <w:rPr>
                <w:rFonts w:ascii="Arial Narrow" w:hAnsi="Arial Narrow"/>
                <w:sz w:val="24"/>
                <w:szCs w:val="24"/>
              </w:rPr>
            </w:pPr>
            <w:r w:rsidRPr="0089499D">
              <w:rPr>
                <w:rFonts w:ascii="Arial Narrow" w:hAnsi="Arial Narrow"/>
                <w:sz w:val="24"/>
                <w:szCs w:val="24"/>
              </w:rPr>
              <w:t>[</w:t>
            </w:r>
            <w:r w:rsidR="0089499D">
              <w:rPr>
                <w:rFonts w:ascii="Arial Narrow" w:hAnsi="Arial Narrow"/>
                <w:sz w:val="24"/>
                <w:szCs w:val="24"/>
              </w:rPr>
              <w:t>5</w:t>
            </w:r>
            <w:r w:rsidRPr="0089499D">
              <w:rPr>
                <w:rFonts w:ascii="Arial Narrow" w:hAnsi="Arial Narrow"/>
                <w:sz w:val="24"/>
                <w:szCs w:val="24"/>
              </w:rPr>
              <w:t xml:space="preserve">]         In spite of the respondents having had knowledge of the </w:t>
            </w:r>
            <w:r w:rsidRPr="00CF3B28">
              <w:rPr>
                <w:rFonts w:ascii="Arial Narrow" w:hAnsi="Arial Narrow"/>
                <w:i/>
                <w:sz w:val="24"/>
                <w:szCs w:val="24"/>
              </w:rPr>
              <w:t>points in limine</w:t>
            </w:r>
            <w:r w:rsidRPr="0089499D">
              <w:rPr>
                <w:rFonts w:ascii="Arial Narrow" w:hAnsi="Arial Narrow"/>
                <w:sz w:val="24"/>
                <w:szCs w:val="24"/>
              </w:rPr>
              <w:t xml:space="preserve"> raised on 7 May 2021</w:t>
            </w:r>
            <w:r w:rsidR="001E1EFB">
              <w:rPr>
                <w:rFonts w:ascii="Arial Narrow" w:hAnsi="Arial Narrow"/>
                <w:sz w:val="24"/>
                <w:szCs w:val="24"/>
              </w:rPr>
              <w:t>,</w:t>
            </w:r>
            <w:r w:rsidRPr="0089499D">
              <w:rPr>
                <w:rFonts w:ascii="Arial Narrow" w:hAnsi="Arial Narrow"/>
                <w:sz w:val="24"/>
                <w:szCs w:val="24"/>
              </w:rPr>
              <w:t xml:space="preserve"> wherein the</w:t>
            </w:r>
            <w:r w:rsidR="001E1EFB">
              <w:rPr>
                <w:rFonts w:ascii="Arial Narrow" w:hAnsi="Arial Narrow"/>
                <w:sz w:val="24"/>
                <w:szCs w:val="24"/>
              </w:rPr>
              <w:t xml:space="preserve"> applicants were at pains to point out the defects in the papers of the respondents, the respondents only jumped action and file</w:t>
            </w:r>
            <w:r w:rsidR="00CF3B28" w:rsidRPr="00CF3B28">
              <w:rPr>
                <w:rFonts w:ascii="Arial Narrow" w:hAnsi="Arial Narrow"/>
                <w:color w:val="FF0000"/>
                <w:sz w:val="24"/>
                <w:szCs w:val="24"/>
              </w:rPr>
              <w:t>d</w:t>
            </w:r>
            <w:r w:rsidR="001E1EFB">
              <w:rPr>
                <w:rFonts w:ascii="Arial Narrow" w:hAnsi="Arial Narrow"/>
                <w:sz w:val="24"/>
                <w:szCs w:val="24"/>
              </w:rPr>
              <w:t xml:space="preserve"> </w:t>
            </w:r>
            <w:r w:rsidRPr="0089499D">
              <w:rPr>
                <w:rFonts w:ascii="Arial Narrow" w:hAnsi="Arial Narrow"/>
                <w:sz w:val="24"/>
                <w:szCs w:val="24"/>
              </w:rPr>
              <w:t>a</w:t>
            </w:r>
            <w:r w:rsidR="001F453A" w:rsidRPr="0089499D">
              <w:rPr>
                <w:rFonts w:ascii="Arial Narrow" w:hAnsi="Arial Narrow"/>
                <w:sz w:val="24"/>
                <w:szCs w:val="24"/>
              </w:rPr>
              <w:t>n</w:t>
            </w:r>
            <w:r w:rsidRPr="0089499D">
              <w:rPr>
                <w:rFonts w:ascii="Arial Narrow" w:hAnsi="Arial Narrow"/>
                <w:sz w:val="24"/>
                <w:szCs w:val="24"/>
              </w:rPr>
              <w:t xml:space="preserve"> application for condonation on 27 May 2021</w:t>
            </w:r>
            <w:r w:rsidR="001E1EFB">
              <w:rPr>
                <w:rFonts w:ascii="Arial Narrow" w:hAnsi="Arial Narrow"/>
                <w:sz w:val="24"/>
                <w:szCs w:val="24"/>
              </w:rPr>
              <w:t xml:space="preserve"> (approximately 24 hours prior to the hearing of the matter)</w:t>
            </w:r>
            <w:r w:rsidR="001F453A" w:rsidRPr="0089499D">
              <w:rPr>
                <w:rFonts w:ascii="Arial Narrow" w:hAnsi="Arial Narrow"/>
                <w:sz w:val="24"/>
                <w:szCs w:val="24"/>
              </w:rPr>
              <w:t xml:space="preserve">. </w:t>
            </w:r>
          </w:p>
          <w:p w:rsidR="00CF3B28" w:rsidRPr="0089499D" w:rsidRDefault="00CF3B28" w:rsidP="00A86321">
            <w:pPr>
              <w:spacing w:line="360" w:lineRule="auto"/>
              <w:jc w:val="both"/>
              <w:rPr>
                <w:rFonts w:ascii="Arial Narrow" w:hAnsi="Arial Narrow"/>
                <w:sz w:val="24"/>
                <w:szCs w:val="24"/>
              </w:rPr>
            </w:pPr>
          </w:p>
          <w:p w:rsidR="00AD6011" w:rsidRDefault="001F453A" w:rsidP="00AD6011">
            <w:pPr>
              <w:spacing w:line="360" w:lineRule="auto"/>
              <w:jc w:val="both"/>
              <w:rPr>
                <w:rFonts w:ascii="Arial Narrow" w:hAnsi="Arial Narrow"/>
                <w:sz w:val="24"/>
                <w:szCs w:val="24"/>
              </w:rPr>
            </w:pPr>
            <w:r w:rsidRPr="0089499D">
              <w:rPr>
                <w:rFonts w:ascii="Arial Narrow" w:hAnsi="Arial Narrow"/>
                <w:sz w:val="24"/>
                <w:szCs w:val="24"/>
              </w:rPr>
              <w:t>[</w:t>
            </w:r>
            <w:r w:rsidR="0089499D">
              <w:rPr>
                <w:rFonts w:ascii="Arial Narrow" w:hAnsi="Arial Narrow"/>
                <w:sz w:val="24"/>
                <w:szCs w:val="24"/>
              </w:rPr>
              <w:t>6</w:t>
            </w:r>
            <w:r w:rsidRPr="0089499D">
              <w:rPr>
                <w:rFonts w:ascii="Arial Narrow" w:hAnsi="Arial Narrow"/>
                <w:sz w:val="24"/>
                <w:szCs w:val="24"/>
              </w:rPr>
              <w:t>]        The application for condonation was considered on 28 May 2021 but was struck from the roll</w:t>
            </w:r>
            <w:r w:rsidR="001E1EFB">
              <w:rPr>
                <w:rFonts w:ascii="Arial Narrow" w:hAnsi="Arial Narrow"/>
                <w:sz w:val="24"/>
                <w:szCs w:val="24"/>
              </w:rPr>
              <w:t xml:space="preserve"> for a number of reasons. The </w:t>
            </w:r>
            <w:r w:rsidR="0024324E">
              <w:rPr>
                <w:rFonts w:ascii="Arial Narrow" w:hAnsi="Arial Narrow"/>
                <w:sz w:val="24"/>
                <w:szCs w:val="24"/>
              </w:rPr>
              <w:t xml:space="preserve">application was </w:t>
            </w:r>
            <w:r w:rsidR="00CF3B28">
              <w:rPr>
                <w:rFonts w:ascii="Arial Narrow" w:hAnsi="Arial Narrow"/>
                <w:sz w:val="24"/>
                <w:szCs w:val="24"/>
              </w:rPr>
              <w:t>doomed from the onset, not only</w:t>
            </w:r>
            <w:r w:rsidR="0024324E">
              <w:rPr>
                <w:rFonts w:ascii="Arial Narrow" w:hAnsi="Arial Narrow"/>
                <w:sz w:val="24"/>
                <w:szCs w:val="24"/>
              </w:rPr>
              <w:t xml:space="preserve"> due to </w:t>
            </w:r>
            <w:r w:rsidR="00CF3B28" w:rsidRPr="00B04AE9">
              <w:rPr>
                <w:rFonts w:ascii="Arial Narrow" w:hAnsi="Arial Narrow"/>
                <w:sz w:val="24"/>
                <w:szCs w:val="24"/>
              </w:rPr>
              <w:t>the</w:t>
            </w:r>
            <w:r w:rsidR="00CF3B28">
              <w:rPr>
                <w:rFonts w:ascii="Arial Narrow" w:hAnsi="Arial Narrow"/>
                <w:sz w:val="24"/>
                <w:szCs w:val="24"/>
              </w:rPr>
              <w:t xml:space="preserve"> </w:t>
            </w:r>
            <w:r w:rsidR="0024324E">
              <w:rPr>
                <w:rFonts w:ascii="Arial Narrow" w:hAnsi="Arial Narrow"/>
                <w:sz w:val="24"/>
                <w:szCs w:val="24"/>
              </w:rPr>
              <w:t xml:space="preserve">non-compliance with rule 32(9) and (10) but also due to </w:t>
            </w:r>
            <w:r w:rsidRPr="0089499D">
              <w:rPr>
                <w:rFonts w:ascii="Arial Narrow" w:hAnsi="Arial Narrow"/>
                <w:sz w:val="24"/>
                <w:szCs w:val="24"/>
              </w:rPr>
              <w:t>a poorly drafted founding affidavit</w:t>
            </w:r>
            <w:r w:rsidR="00AD6011" w:rsidRPr="0089499D">
              <w:rPr>
                <w:rFonts w:ascii="Arial Narrow" w:hAnsi="Arial Narrow"/>
                <w:sz w:val="24"/>
                <w:szCs w:val="24"/>
              </w:rPr>
              <w:t xml:space="preserve"> </w:t>
            </w:r>
            <w:r w:rsidR="001E1EFB">
              <w:rPr>
                <w:rFonts w:ascii="Arial Narrow" w:hAnsi="Arial Narrow"/>
                <w:sz w:val="24"/>
                <w:szCs w:val="24"/>
              </w:rPr>
              <w:t>that</w:t>
            </w:r>
            <w:r w:rsidR="00AD6011" w:rsidRPr="0089499D">
              <w:rPr>
                <w:rFonts w:ascii="Arial Narrow" w:hAnsi="Arial Narrow"/>
                <w:sz w:val="24"/>
                <w:szCs w:val="24"/>
              </w:rPr>
              <w:t xml:space="preserve"> fail</w:t>
            </w:r>
            <w:r w:rsidR="001E1EFB">
              <w:rPr>
                <w:rFonts w:ascii="Arial Narrow" w:hAnsi="Arial Narrow"/>
                <w:sz w:val="24"/>
                <w:szCs w:val="24"/>
              </w:rPr>
              <w:t>ed</w:t>
            </w:r>
            <w:r w:rsidR="00AD6011" w:rsidRPr="0089499D">
              <w:rPr>
                <w:rFonts w:ascii="Arial Narrow" w:hAnsi="Arial Narrow"/>
                <w:sz w:val="24"/>
                <w:szCs w:val="24"/>
              </w:rPr>
              <w:t xml:space="preserve"> to provide a detailed</w:t>
            </w:r>
            <w:r w:rsidR="0024324E">
              <w:rPr>
                <w:rFonts w:ascii="Arial Narrow" w:hAnsi="Arial Narrow"/>
                <w:sz w:val="24"/>
                <w:szCs w:val="24"/>
              </w:rPr>
              <w:t xml:space="preserve"> and</w:t>
            </w:r>
            <w:r w:rsidR="00AD6011" w:rsidRPr="0089499D">
              <w:rPr>
                <w:rFonts w:ascii="Arial Narrow" w:hAnsi="Arial Narrow"/>
                <w:sz w:val="24"/>
                <w:szCs w:val="24"/>
              </w:rPr>
              <w:t xml:space="preserve"> accurate explanation regarding the non-compliance with </w:t>
            </w:r>
            <w:r w:rsidR="00AD6011" w:rsidRPr="0089499D">
              <w:rPr>
                <w:rFonts w:ascii="Arial Narrow" w:hAnsi="Arial Narrow"/>
                <w:sz w:val="24"/>
                <w:szCs w:val="24"/>
              </w:rPr>
              <w:lastRenderedPageBreak/>
              <w:t xml:space="preserve">the court order </w:t>
            </w:r>
            <w:r w:rsidR="0024324E">
              <w:rPr>
                <w:rFonts w:ascii="Arial Narrow" w:hAnsi="Arial Narrow"/>
                <w:sz w:val="24"/>
                <w:szCs w:val="24"/>
              </w:rPr>
              <w:t>and further failed to deal wit</w:t>
            </w:r>
            <w:r w:rsidR="00AD6011" w:rsidRPr="0089499D">
              <w:rPr>
                <w:rFonts w:ascii="Arial Narrow" w:hAnsi="Arial Narrow"/>
                <w:sz w:val="24"/>
                <w:szCs w:val="24"/>
              </w:rPr>
              <w:t xml:space="preserve">h the prospect of success. </w:t>
            </w:r>
            <w:r w:rsidR="0024324E">
              <w:rPr>
                <w:rFonts w:ascii="Arial Narrow" w:hAnsi="Arial Narrow"/>
                <w:sz w:val="24"/>
                <w:szCs w:val="24"/>
              </w:rPr>
              <w:t>To add insult to injury</w:t>
            </w:r>
            <w:r w:rsidR="00CF3B28">
              <w:rPr>
                <w:rFonts w:ascii="Arial Narrow" w:hAnsi="Arial Narrow"/>
                <w:sz w:val="24"/>
                <w:szCs w:val="24"/>
              </w:rPr>
              <w:t>,</w:t>
            </w:r>
            <w:r w:rsidR="0024324E">
              <w:rPr>
                <w:rFonts w:ascii="Arial Narrow" w:hAnsi="Arial Narrow"/>
                <w:sz w:val="24"/>
                <w:szCs w:val="24"/>
              </w:rPr>
              <w:t xml:space="preserve"> it also became clear in the application that the </w:t>
            </w:r>
            <w:r w:rsidR="004011E1" w:rsidRPr="0089499D">
              <w:rPr>
                <w:rFonts w:ascii="Arial Narrow" w:hAnsi="Arial Narrow"/>
                <w:sz w:val="24"/>
                <w:szCs w:val="24"/>
              </w:rPr>
              <w:t xml:space="preserve">respondents failed to bring the application for condonation as soon as </w:t>
            </w:r>
            <w:r w:rsidR="0024324E">
              <w:rPr>
                <w:rFonts w:ascii="Arial Narrow" w:hAnsi="Arial Narrow"/>
                <w:sz w:val="24"/>
                <w:szCs w:val="24"/>
              </w:rPr>
              <w:t>they</w:t>
            </w:r>
            <w:r w:rsidR="004011E1" w:rsidRPr="0089499D">
              <w:rPr>
                <w:rFonts w:ascii="Arial Narrow" w:hAnsi="Arial Narrow"/>
                <w:sz w:val="24"/>
                <w:szCs w:val="24"/>
              </w:rPr>
              <w:t xml:space="preserve"> became aware of the non-compliance. </w:t>
            </w:r>
          </w:p>
          <w:p w:rsidR="00CF3B28" w:rsidRPr="0089499D" w:rsidRDefault="00CF3B28" w:rsidP="00AD6011">
            <w:pPr>
              <w:spacing w:line="360" w:lineRule="auto"/>
              <w:jc w:val="both"/>
              <w:rPr>
                <w:rFonts w:ascii="Arial Narrow" w:hAnsi="Arial Narrow"/>
                <w:sz w:val="24"/>
                <w:szCs w:val="24"/>
              </w:rPr>
            </w:pPr>
          </w:p>
          <w:p w:rsidR="00AD6011" w:rsidRPr="0089499D" w:rsidRDefault="00AD6011" w:rsidP="00AD6011">
            <w:pPr>
              <w:spacing w:line="360" w:lineRule="auto"/>
              <w:jc w:val="both"/>
              <w:rPr>
                <w:rFonts w:ascii="Arial Narrow" w:hAnsi="Arial Narrow"/>
                <w:sz w:val="24"/>
                <w:szCs w:val="24"/>
              </w:rPr>
            </w:pPr>
            <w:r w:rsidRPr="0089499D">
              <w:rPr>
                <w:rFonts w:ascii="Arial Narrow" w:hAnsi="Arial Narrow"/>
                <w:sz w:val="24"/>
                <w:szCs w:val="24"/>
              </w:rPr>
              <w:t>[</w:t>
            </w:r>
            <w:r w:rsidR="0089499D">
              <w:rPr>
                <w:rFonts w:ascii="Arial Narrow" w:hAnsi="Arial Narrow"/>
                <w:sz w:val="24"/>
                <w:szCs w:val="24"/>
              </w:rPr>
              <w:t>7</w:t>
            </w:r>
            <w:r w:rsidRPr="0089499D">
              <w:rPr>
                <w:rFonts w:ascii="Arial Narrow" w:hAnsi="Arial Narrow"/>
                <w:sz w:val="24"/>
                <w:szCs w:val="24"/>
              </w:rPr>
              <w:t xml:space="preserve">]          </w:t>
            </w:r>
            <w:r w:rsidR="0024324E">
              <w:rPr>
                <w:rFonts w:ascii="Arial Narrow" w:hAnsi="Arial Narrow"/>
                <w:sz w:val="24"/>
                <w:szCs w:val="24"/>
              </w:rPr>
              <w:t>As a result of the striking of the application t</w:t>
            </w:r>
            <w:r w:rsidRPr="0089499D">
              <w:rPr>
                <w:rFonts w:ascii="Arial Narrow" w:hAnsi="Arial Narrow"/>
                <w:sz w:val="24"/>
                <w:szCs w:val="24"/>
              </w:rPr>
              <w:t xml:space="preserve">he respondents were held liable for the </w:t>
            </w:r>
            <w:r w:rsidR="00D22A07" w:rsidRPr="0089499D">
              <w:rPr>
                <w:rFonts w:ascii="Arial Narrow" w:hAnsi="Arial Narrow"/>
                <w:sz w:val="24"/>
                <w:szCs w:val="24"/>
              </w:rPr>
              <w:t xml:space="preserve">applicants’ </w:t>
            </w:r>
            <w:r w:rsidRPr="0089499D">
              <w:rPr>
                <w:rFonts w:ascii="Arial Narrow" w:hAnsi="Arial Narrow"/>
                <w:sz w:val="24"/>
                <w:szCs w:val="24"/>
              </w:rPr>
              <w:t xml:space="preserve">wasted costs </w:t>
            </w:r>
            <w:r w:rsidR="00D22A07" w:rsidRPr="0089499D">
              <w:rPr>
                <w:rFonts w:ascii="Arial Narrow" w:hAnsi="Arial Narrow"/>
                <w:sz w:val="24"/>
                <w:szCs w:val="24"/>
              </w:rPr>
              <w:t xml:space="preserve">however the </w:t>
            </w:r>
            <w:r w:rsidR="00A527A8">
              <w:rPr>
                <w:rFonts w:ascii="Arial Narrow" w:hAnsi="Arial Narrow"/>
                <w:sz w:val="24"/>
                <w:szCs w:val="24"/>
              </w:rPr>
              <w:t>applicability of r</w:t>
            </w:r>
            <w:r w:rsidRPr="0089499D">
              <w:rPr>
                <w:rFonts w:ascii="Arial Narrow" w:hAnsi="Arial Narrow"/>
                <w:sz w:val="24"/>
                <w:szCs w:val="24"/>
              </w:rPr>
              <w:t>ule 32(11) on the wasted co</w:t>
            </w:r>
            <w:r w:rsidR="00D22A07" w:rsidRPr="0089499D">
              <w:rPr>
                <w:rFonts w:ascii="Arial Narrow" w:hAnsi="Arial Narrow"/>
                <w:sz w:val="24"/>
                <w:szCs w:val="24"/>
              </w:rPr>
              <w:t xml:space="preserve">sts awarded to the applicants, stood </w:t>
            </w:r>
            <w:r w:rsidRPr="0089499D">
              <w:rPr>
                <w:rFonts w:ascii="Arial Narrow" w:hAnsi="Arial Narrow"/>
                <w:sz w:val="24"/>
                <w:szCs w:val="24"/>
              </w:rPr>
              <w:t xml:space="preserve">over for determination </w:t>
            </w:r>
            <w:r w:rsidR="00D22A07" w:rsidRPr="0089499D">
              <w:rPr>
                <w:rFonts w:ascii="Arial Narrow" w:hAnsi="Arial Narrow"/>
                <w:sz w:val="24"/>
                <w:szCs w:val="24"/>
              </w:rPr>
              <w:t xml:space="preserve">together with the application for leave to appeal. </w:t>
            </w:r>
          </w:p>
          <w:p w:rsidR="00D22A07" w:rsidRPr="0089499D" w:rsidRDefault="00D22A07" w:rsidP="00A86321">
            <w:pPr>
              <w:spacing w:line="360" w:lineRule="auto"/>
              <w:jc w:val="both"/>
              <w:rPr>
                <w:rFonts w:ascii="Arial Narrow" w:hAnsi="Arial Narrow"/>
                <w:sz w:val="24"/>
                <w:szCs w:val="24"/>
              </w:rPr>
            </w:pPr>
          </w:p>
          <w:p w:rsidR="00D22A07" w:rsidRPr="0089499D" w:rsidRDefault="00D22A07" w:rsidP="00A86321">
            <w:pPr>
              <w:spacing w:line="360" w:lineRule="auto"/>
              <w:jc w:val="both"/>
              <w:rPr>
                <w:rFonts w:ascii="Arial Narrow" w:hAnsi="Arial Narrow" w:cs="Arial"/>
                <w:sz w:val="24"/>
                <w:szCs w:val="24"/>
                <w:u w:val="single"/>
              </w:rPr>
            </w:pPr>
            <w:r w:rsidRPr="0089499D">
              <w:rPr>
                <w:rFonts w:ascii="Arial Narrow" w:hAnsi="Arial Narrow"/>
                <w:sz w:val="24"/>
                <w:szCs w:val="24"/>
                <w:u w:val="single"/>
              </w:rPr>
              <w:t>The applicability of Rule 32(11)</w:t>
            </w:r>
          </w:p>
          <w:p w:rsidR="00725DDB" w:rsidRPr="0089499D" w:rsidRDefault="00725DDB" w:rsidP="00737554">
            <w:pPr>
              <w:spacing w:line="360" w:lineRule="auto"/>
              <w:jc w:val="both"/>
              <w:rPr>
                <w:rFonts w:ascii="Arial Narrow" w:hAnsi="Arial Narrow" w:cs="Arial"/>
                <w:sz w:val="24"/>
                <w:szCs w:val="24"/>
                <w:lang w:val="en-US"/>
              </w:rPr>
            </w:pPr>
          </w:p>
          <w:p w:rsidR="00D22A07" w:rsidRPr="0089499D" w:rsidRDefault="00D22A07" w:rsidP="00737554">
            <w:pPr>
              <w:spacing w:line="360" w:lineRule="auto"/>
              <w:jc w:val="both"/>
              <w:rPr>
                <w:rFonts w:ascii="Arial Narrow" w:hAnsi="Arial Narrow" w:cs="Arial"/>
                <w:sz w:val="24"/>
                <w:szCs w:val="24"/>
                <w:lang w:val="en-US"/>
              </w:rPr>
            </w:pPr>
            <w:r w:rsidRPr="0089499D">
              <w:rPr>
                <w:rFonts w:ascii="Arial Narrow" w:hAnsi="Arial Narrow" w:cs="Arial"/>
                <w:sz w:val="24"/>
                <w:szCs w:val="24"/>
                <w:lang w:val="en-US"/>
              </w:rPr>
              <w:t>[</w:t>
            </w:r>
            <w:r w:rsidR="0089499D">
              <w:rPr>
                <w:rFonts w:ascii="Arial Narrow" w:hAnsi="Arial Narrow" w:cs="Arial"/>
                <w:sz w:val="24"/>
                <w:szCs w:val="24"/>
                <w:lang w:val="en-US"/>
              </w:rPr>
              <w:t>8</w:t>
            </w:r>
            <w:r w:rsidRPr="0089499D">
              <w:rPr>
                <w:rFonts w:ascii="Arial Narrow" w:hAnsi="Arial Narrow" w:cs="Arial"/>
                <w:sz w:val="24"/>
                <w:szCs w:val="24"/>
                <w:lang w:val="en-US"/>
              </w:rPr>
              <w:t xml:space="preserve">]        Counsel for the applicants took a strong view that the costs should not be capped as there was a flagrant disregard with the court order and that the respondents should be liable for cost on a scale not limited to rule 32(11). Counsel </w:t>
            </w:r>
            <w:r w:rsidR="00CF3B28" w:rsidRPr="00B04AE9">
              <w:rPr>
                <w:rFonts w:ascii="Arial Narrow" w:hAnsi="Arial Narrow" w:cs="Arial"/>
                <w:sz w:val="24"/>
                <w:szCs w:val="24"/>
                <w:lang w:val="en-US"/>
              </w:rPr>
              <w:t>for</w:t>
            </w:r>
            <w:r w:rsidR="00CF3B28">
              <w:rPr>
                <w:rFonts w:ascii="Arial Narrow" w:hAnsi="Arial Narrow" w:cs="Arial"/>
                <w:sz w:val="24"/>
                <w:szCs w:val="24"/>
                <w:lang w:val="en-US"/>
              </w:rPr>
              <w:t xml:space="preserve"> </w:t>
            </w:r>
            <w:r w:rsidRPr="0089499D">
              <w:rPr>
                <w:rFonts w:ascii="Arial Narrow" w:hAnsi="Arial Narrow" w:cs="Arial"/>
                <w:sz w:val="24"/>
                <w:szCs w:val="24"/>
                <w:lang w:val="en-US"/>
              </w:rPr>
              <w:t>the respond</w:t>
            </w:r>
            <w:r w:rsidR="00BE283D" w:rsidRPr="0089499D">
              <w:rPr>
                <w:rFonts w:ascii="Arial Narrow" w:hAnsi="Arial Narrow" w:cs="Arial"/>
                <w:sz w:val="24"/>
                <w:szCs w:val="24"/>
                <w:lang w:val="en-US"/>
              </w:rPr>
              <w:t>ents requested the court</w:t>
            </w:r>
            <w:r w:rsidR="00CF3B28">
              <w:rPr>
                <w:rFonts w:ascii="Arial Narrow" w:hAnsi="Arial Narrow" w:cs="Arial"/>
                <w:sz w:val="24"/>
                <w:szCs w:val="24"/>
                <w:lang w:val="en-US"/>
              </w:rPr>
              <w:t xml:space="preserve"> </w:t>
            </w:r>
            <w:r w:rsidR="00CF3B28" w:rsidRPr="00B04AE9">
              <w:rPr>
                <w:rFonts w:ascii="Arial Narrow" w:hAnsi="Arial Narrow" w:cs="Arial"/>
                <w:sz w:val="24"/>
                <w:szCs w:val="24"/>
                <w:lang w:val="en-US"/>
              </w:rPr>
              <w:t>to</w:t>
            </w:r>
            <w:r w:rsidR="00BE283D" w:rsidRPr="00B04AE9">
              <w:rPr>
                <w:rFonts w:ascii="Arial Narrow" w:hAnsi="Arial Narrow" w:cs="Arial"/>
                <w:sz w:val="24"/>
                <w:szCs w:val="24"/>
                <w:lang w:val="en-US"/>
              </w:rPr>
              <w:t xml:space="preserve"> </w:t>
            </w:r>
            <w:r w:rsidR="00BE283D" w:rsidRPr="0089499D">
              <w:rPr>
                <w:rFonts w:ascii="Arial Narrow" w:hAnsi="Arial Narrow" w:cs="Arial"/>
                <w:sz w:val="24"/>
                <w:szCs w:val="24"/>
                <w:lang w:val="en-US"/>
              </w:rPr>
              <w:t>limit the costs but left it in the decision in the hands of the court.</w:t>
            </w:r>
          </w:p>
          <w:p w:rsidR="001F453A" w:rsidRPr="0089499D" w:rsidRDefault="001F453A" w:rsidP="00737554">
            <w:pPr>
              <w:spacing w:line="360" w:lineRule="auto"/>
              <w:jc w:val="both"/>
              <w:rPr>
                <w:rFonts w:ascii="Arial Narrow" w:hAnsi="Arial Narrow" w:cs="Arial"/>
                <w:b/>
                <w:sz w:val="24"/>
                <w:szCs w:val="24"/>
                <w:lang w:val="en-US"/>
              </w:rPr>
            </w:pPr>
          </w:p>
          <w:p w:rsidR="002E2D59" w:rsidRDefault="002E2D59" w:rsidP="002E2D59">
            <w:pPr>
              <w:spacing w:line="360" w:lineRule="auto"/>
              <w:jc w:val="both"/>
              <w:rPr>
                <w:rFonts w:ascii="Arial Narrow" w:hAnsi="Arial Narrow" w:cs="Arial"/>
                <w:sz w:val="24"/>
                <w:szCs w:val="24"/>
              </w:rPr>
            </w:pPr>
            <w:r w:rsidRPr="0089499D">
              <w:rPr>
                <w:rFonts w:ascii="Arial Narrow" w:hAnsi="Arial Narrow" w:cs="Arial"/>
                <w:sz w:val="24"/>
                <w:szCs w:val="24"/>
              </w:rPr>
              <w:t>[</w:t>
            </w:r>
            <w:r w:rsidR="0089499D">
              <w:rPr>
                <w:rFonts w:ascii="Arial Narrow" w:hAnsi="Arial Narrow" w:cs="Arial"/>
                <w:sz w:val="24"/>
                <w:szCs w:val="24"/>
              </w:rPr>
              <w:t>9</w:t>
            </w:r>
            <w:r w:rsidRPr="0089499D">
              <w:rPr>
                <w:rFonts w:ascii="Arial Narrow" w:hAnsi="Arial Narrow" w:cs="Arial"/>
                <w:sz w:val="24"/>
                <w:szCs w:val="24"/>
              </w:rPr>
              <w:t>]</w:t>
            </w:r>
            <w:r w:rsidRPr="0089499D">
              <w:rPr>
                <w:rFonts w:ascii="Arial Narrow" w:hAnsi="Arial Narrow" w:cs="Arial"/>
                <w:i/>
                <w:sz w:val="24"/>
                <w:szCs w:val="24"/>
              </w:rPr>
              <w:tab/>
            </w:r>
            <w:r w:rsidR="00A527A8" w:rsidRPr="00B04AE9">
              <w:rPr>
                <w:rFonts w:ascii="Arial Narrow" w:hAnsi="Arial Narrow" w:cs="Arial"/>
                <w:sz w:val="24"/>
                <w:szCs w:val="24"/>
              </w:rPr>
              <w:t xml:space="preserve">It </w:t>
            </w:r>
            <w:r w:rsidR="0024324E" w:rsidRPr="00B04AE9">
              <w:rPr>
                <w:rFonts w:ascii="Arial Narrow" w:hAnsi="Arial Narrow" w:cs="Arial"/>
                <w:sz w:val="24"/>
                <w:szCs w:val="24"/>
              </w:rPr>
              <w:t xml:space="preserve">is </w:t>
            </w:r>
            <w:r w:rsidR="0024324E">
              <w:rPr>
                <w:rFonts w:ascii="Arial Narrow" w:hAnsi="Arial Narrow" w:cs="Arial"/>
                <w:sz w:val="24"/>
                <w:szCs w:val="24"/>
              </w:rPr>
              <w:t>trite that the</w:t>
            </w:r>
            <w:r w:rsidRPr="0089499D">
              <w:rPr>
                <w:rFonts w:ascii="Arial Narrow" w:hAnsi="Arial Narrow" w:cs="Arial"/>
                <w:sz w:val="24"/>
                <w:szCs w:val="24"/>
              </w:rPr>
              <w:t xml:space="preserve"> court has a discretion in the apportioning of costs liability, which discretion is to be exercised judicially and not arbitrarily. </w:t>
            </w:r>
          </w:p>
          <w:p w:rsidR="0024324E" w:rsidRPr="0089499D" w:rsidRDefault="0024324E" w:rsidP="002E2D59">
            <w:pPr>
              <w:spacing w:line="360" w:lineRule="auto"/>
              <w:jc w:val="both"/>
              <w:rPr>
                <w:rFonts w:ascii="Arial Narrow" w:hAnsi="Arial Narrow" w:cs="Arial"/>
                <w:sz w:val="24"/>
                <w:szCs w:val="24"/>
              </w:rPr>
            </w:pPr>
          </w:p>
          <w:p w:rsidR="009E4888" w:rsidRDefault="002E2D59" w:rsidP="002E2D59">
            <w:pPr>
              <w:spacing w:line="360" w:lineRule="auto"/>
              <w:jc w:val="both"/>
              <w:rPr>
                <w:rFonts w:ascii="Arial Narrow" w:hAnsi="Arial Narrow"/>
                <w:sz w:val="24"/>
                <w:szCs w:val="24"/>
                <w:lang w:val="af-ZA"/>
              </w:rPr>
            </w:pPr>
            <w:r w:rsidRPr="0089499D">
              <w:rPr>
                <w:rFonts w:ascii="Arial Narrow" w:hAnsi="Arial Narrow" w:cs="Arial"/>
                <w:sz w:val="24"/>
                <w:szCs w:val="24"/>
              </w:rPr>
              <w:t>[</w:t>
            </w:r>
            <w:r w:rsidR="0089499D">
              <w:rPr>
                <w:rFonts w:ascii="Arial Narrow" w:hAnsi="Arial Narrow" w:cs="Arial"/>
                <w:sz w:val="24"/>
                <w:szCs w:val="24"/>
              </w:rPr>
              <w:t>1</w:t>
            </w:r>
            <w:r w:rsidR="0024324E">
              <w:rPr>
                <w:rFonts w:ascii="Arial Narrow" w:hAnsi="Arial Narrow" w:cs="Arial"/>
                <w:sz w:val="24"/>
                <w:szCs w:val="24"/>
              </w:rPr>
              <w:t>0</w:t>
            </w:r>
            <w:r w:rsidRPr="0089499D">
              <w:rPr>
                <w:rFonts w:ascii="Arial Narrow" w:hAnsi="Arial Narrow" w:cs="Arial"/>
                <w:sz w:val="24"/>
                <w:szCs w:val="24"/>
              </w:rPr>
              <w:t xml:space="preserve">]      In </w:t>
            </w:r>
            <w:r w:rsidRPr="0089499D">
              <w:rPr>
                <w:rFonts w:ascii="Arial Narrow" w:hAnsi="Arial Narrow" w:cs="Arial"/>
                <w:i/>
                <w:sz w:val="24"/>
                <w:szCs w:val="24"/>
              </w:rPr>
              <w:t>Spangenberg v Kloppers</w:t>
            </w:r>
            <w:r w:rsidRPr="0089499D">
              <w:rPr>
                <w:rStyle w:val="FootnoteReference"/>
                <w:rFonts w:ascii="Arial Narrow" w:hAnsi="Arial Narrow" w:cs="Arial"/>
                <w:i/>
                <w:sz w:val="24"/>
                <w:szCs w:val="24"/>
              </w:rPr>
              <w:footnoteReference w:id="1"/>
            </w:r>
            <w:r w:rsidRPr="0089499D">
              <w:rPr>
                <w:rFonts w:ascii="Arial Narrow" w:hAnsi="Arial Narrow" w:cs="Arial"/>
                <w:i/>
                <w:sz w:val="24"/>
                <w:szCs w:val="24"/>
              </w:rPr>
              <w:t xml:space="preserve"> </w:t>
            </w:r>
            <w:r w:rsidRPr="0089499D">
              <w:rPr>
                <w:rFonts w:ascii="Arial Narrow" w:hAnsi="Arial Narrow" w:cs="Arial"/>
                <w:sz w:val="24"/>
                <w:szCs w:val="24"/>
              </w:rPr>
              <w:t>th</w:t>
            </w:r>
            <w:r w:rsidR="00BE283D" w:rsidRPr="0089499D">
              <w:rPr>
                <w:rFonts w:ascii="Arial Narrow" w:hAnsi="Arial Narrow" w:cs="Arial"/>
                <w:sz w:val="24"/>
                <w:szCs w:val="24"/>
              </w:rPr>
              <w:t>is</w:t>
            </w:r>
            <w:r w:rsidRPr="0089499D">
              <w:rPr>
                <w:rFonts w:ascii="Arial Narrow" w:hAnsi="Arial Narrow" w:cs="Arial"/>
                <w:sz w:val="24"/>
                <w:szCs w:val="24"/>
              </w:rPr>
              <w:t xml:space="preserve"> court confirmed that the capping of fees to N$20,000 was the default position and a deviation therefrom was not merely to be had for the asking. A party seeking costs on a higher </w:t>
            </w:r>
            <w:r w:rsidRPr="00B04AE9">
              <w:rPr>
                <w:rFonts w:ascii="Arial Narrow" w:hAnsi="Arial Narrow" w:cs="Arial"/>
                <w:sz w:val="24"/>
                <w:szCs w:val="24"/>
              </w:rPr>
              <w:t xml:space="preserve">scale </w:t>
            </w:r>
            <w:r w:rsidR="00A527A8" w:rsidRPr="00B04AE9">
              <w:rPr>
                <w:rFonts w:ascii="Arial Narrow" w:hAnsi="Arial Narrow" w:cs="Arial"/>
                <w:sz w:val="24"/>
                <w:szCs w:val="24"/>
              </w:rPr>
              <w:t xml:space="preserve">bears </w:t>
            </w:r>
            <w:r w:rsidRPr="0089499D">
              <w:rPr>
                <w:rFonts w:ascii="Arial Narrow" w:hAnsi="Arial Narrow" w:cs="Arial"/>
                <w:sz w:val="24"/>
                <w:szCs w:val="24"/>
              </w:rPr>
              <w:t xml:space="preserve">the onus of convincing the court that rule 32(11) should not apply. </w:t>
            </w:r>
            <w:r w:rsidR="00CD4288" w:rsidRPr="0089499D">
              <w:rPr>
                <w:rFonts w:ascii="Arial Narrow" w:hAnsi="Arial Narrow"/>
                <w:sz w:val="24"/>
                <w:szCs w:val="24"/>
                <w:lang w:val="af-ZA"/>
              </w:rPr>
              <w:t xml:space="preserve"> </w:t>
            </w:r>
          </w:p>
          <w:p w:rsidR="0024324E" w:rsidRPr="0089499D" w:rsidRDefault="0024324E" w:rsidP="002E2D59">
            <w:pPr>
              <w:spacing w:line="360" w:lineRule="auto"/>
              <w:jc w:val="both"/>
              <w:rPr>
                <w:rFonts w:ascii="Arial Narrow" w:hAnsi="Arial Narrow"/>
                <w:sz w:val="24"/>
                <w:szCs w:val="24"/>
                <w:lang w:val="af-ZA"/>
              </w:rPr>
            </w:pPr>
          </w:p>
          <w:p w:rsidR="00BE283D" w:rsidRPr="0089499D" w:rsidRDefault="00BE283D" w:rsidP="00BE283D">
            <w:pPr>
              <w:widowControl w:val="0"/>
              <w:autoSpaceDE w:val="0"/>
              <w:autoSpaceDN w:val="0"/>
              <w:adjustRightInd w:val="0"/>
              <w:spacing w:line="360" w:lineRule="auto"/>
              <w:jc w:val="both"/>
              <w:rPr>
                <w:rFonts w:ascii="Arial Narrow" w:hAnsi="Arial Narrow" w:cs="Arial"/>
                <w:color w:val="000000"/>
                <w:sz w:val="24"/>
                <w:szCs w:val="24"/>
              </w:rPr>
            </w:pPr>
            <w:r w:rsidRPr="0089499D">
              <w:rPr>
                <w:rFonts w:ascii="Arial Narrow" w:hAnsi="Arial Narrow"/>
                <w:sz w:val="24"/>
                <w:szCs w:val="24"/>
                <w:lang w:val="af-ZA"/>
              </w:rPr>
              <w:t>[</w:t>
            </w:r>
            <w:r w:rsidR="0089499D">
              <w:rPr>
                <w:rFonts w:ascii="Arial Narrow" w:hAnsi="Arial Narrow"/>
                <w:sz w:val="24"/>
                <w:szCs w:val="24"/>
                <w:lang w:val="af-ZA"/>
              </w:rPr>
              <w:t>1</w:t>
            </w:r>
            <w:r w:rsidR="0024324E">
              <w:rPr>
                <w:rFonts w:ascii="Arial Narrow" w:hAnsi="Arial Narrow"/>
                <w:sz w:val="24"/>
                <w:szCs w:val="24"/>
                <w:lang w:val="af-ZA"/>
              </w:rPr>
              <w:t>1</w:t>
            </w:r>
            <w:r w:rsidRPr="0089499D">
              <w:rPr>
                <w:rFonts w:ascii="Arial Narrow" w:hAnsi="Arial Narrow"/>
                <w:sz w:val="24"/>
                <w:szCs w:val="24"/>
                <w:lang w:val="af-ZA"/>
              </w:rPr>
              <w:t xml:space="preserve">]     </w:t>
            </w:r>
            <w:r w:rsidRPr="0089499D">
              <w:rPr>
                <w:rFonts w:ascii="Arial Narrow" w:hAnsi="Arial Narrow" w:cs="Arial"/>
                <w:sz w:val="24"/>
                <w:szCs w:val="24"/>
              </w:rPr>
              <w:t xml:space="preserve">In </w:t>
            </w:r>
            <w:r w:rsidRPr="0089499D">
              <w:rPr>
                <w:rFonts w:ascii="Arial Narrow" w:hAnsi="Arial Narrow" w:cs="Arial"/>
                <w:i/>
                <w:color w:val="000000"/>
                <w:sz w:val="24"/>
                <w:szCs w:val="24"/>
              </w:rPr>
              <w:t>South African Poultry Association v The Ministry of Trade and Industry,</w:t>
            </w:r>
            <w:r w:rsidRPr="0089499D">
              <w:rPr>
                <w:rStyle w:val="FootnoteReference"/>
                <w:rFonts w:ascii="Arial Narrow" w:hAnsi="Arial Narrow" w:cs="Arial"/>
                <w:sz w:val="24"/>
                <w:szCs w:val="24"/>
              </w:rPr>
              <w:footnoteReference w:id="2"/>
            </w:r>
            <w:r w:rsidRPr="0089499D">
              <w:rPr>
                <w:rFonts w:ascii="Arial Narrow" w:hAnsi="Arial Narrow" w:cs="Arial"/>
                <w:color w:val="000000"/>
                <w:sz w:val="24"/>
                <w:szCs w:val="24"/>
              </w:rPr>
              <w:t xml:space="preserve"> Damaseb  JP </w:t>
            </w:r>
            <w:r w:rsidR="0024324E">
              <w:rPr>
                <w:rFonts w:ascii="Arial Narrow" w:hAnsi="Arial Narrow" w:cs="Arial"/>
                <w:color w:val="000000"/>
                <w:sz w:val="24"/>
                <w:szCs w:val="24"/>
              </w:rPr>
              <w:t xml:space="preserve">found </w:t>
            </w:r>
            <w:r w:rsidRPr="0089499D">
              <w:rPr>
                <w:rFonts w:ascii="Arial Narrow" w:hAnsi="Arial Narrow" w:cs="Arial"/>
                <w:color w:val="000000"/>
                <w:sz w:val="24"/>
                <w:szCs w:val="24"/>
              </w:rPr>
              <w:t xml:space="preserve">the following factors to be determinative in the exercise of the court’s discretion with respect </w:t>
            </w:r>
            <w:r w:rsidRPr="0089499D">
              <w:rPr>
                <w:rFonts w:ascii="Arial Narrow" w:hAnsi="Arial Narrow" w:cs="Arial"/>
                <w:sz w:val="24"/>
                <w:szCs w:val="24"/>
              </w:rPr>
              <w:t>to</w:t>
            </w:r>
            <w:r w:rsidRPr="0089499D">
              <w:rPr>
                <w:rFonts w:ascii="Arial Narrow" w:hAnsi="Arial Narrow" w:cs="Arial"/>
                <w:color w:val="FF0000"/>
                <w:sz w:val="24"/>
                <w:szCs w:val="24"/>
              </w:rPr>
              <w:t xml:space="preserve"> </w:t>
            </w:r>
            <w:r w:rsidRPr="0089499D">
              <w:rPr>
                <w:rFonts w:ascii="Arial Narrow" w:hAnsi="Arial Narrow" w:cs="Arial"/>
                <w:color w:val="000000"/>
                <w:sz w:val="24"/>
                <w:szCs w:val="24"/>
              </w:rPr>
              <w:t>rule 32(11):</w:t>
            </w:r>
          </w:p>
          <w:p w:rsidR="00BE283D" w:rsidRPr="0089499D" w:rsidRDefault="00BE283D" w:rsidP="00BE283D">
            <w:pPr>
              <w:widowControl w:val="0"/>
              <w:autoSpaceDE w:val="0"/>
              <w:autoSpaceDN w:val="0"/>
              <w:adjustRightInd w:val="0"/>
              <w:spacing w:line="360" w:lineRule="auto"/>
              <w:ind w:left="720"/>
              <w:jc w:val="both"/>
              <w:rPr>
                <w:rFonts w:ascii="Arial Narrow" w:hAnsi="Arial Narrow" w:cs="Arial"/>
                <w:color w:val="000000"/>
                <w:sz w:val="24"/>
                <w:szCs w:val="24"/>
              </w:rPr>
            </w:pPr>
          </w:p>
          <w:p w:rsidR="00BE283D" w:rsidRPr="00C57A7C" w:rsidRDefault="00BE283D" w:rsidP="00BE283D">
            <w:pPr>
              <w:pStyle w:val="PlainText"/>
              <w:spacing w:line="360" w:lineRule="auto"/>
              <w:ind w:left="720" w:firstLine="720"/>
              <w:jc w:val="both"/>
              <w:rPr>
                <w:rFonts w:ascii="Arial Narrow" w:hAnsi="Arial Narrow" w:cs="Arial"/>
                <w:szCs w:val="22"/>
              </w:rPr>
            </w:pPr>
            <w:r w:rsidRPr="00C57A7C">
              <w:rPr>
                <w:rFonts w:ascii="Arial Narrow" w:hAnsi="Arial Narrow" w:cs="Arial"/>
                <w:szCs w:val="22"/>
              </w:rPr>
              <w:t>‘[67]</w:t>
            </w:r>
            <w:r w:rsidRPr="00C57A7C">
              <w:rPr>
                <w:rFonts w:ascii="Arial Narrow" w:hAnsi="Arial Narrow" w:cs="Arial"/>
                <w:szCs w:val="22"/>
              </w:rPr>
              <w:tab/>
              <w:t xml:space="preserve">…. this court has discretion to grant costs on a higher scale and that given the importance and complexity of the matter and the fact that the parties are litigating at full stretch, the court should in exercise of its discretion grant costs on a higher scale.  … The rationale of the rule is clear: to discourage a multiplicity of interlocutory motions which often increase costs and hamper the court from speedily getting to the real disputes in the case. A clear case must be made out if the court is to allow a scale of costs above the upper limit allowed in the rules… The onus rests on the party who seeks a higher scale. </w:t>
            </w:r>
            <w:r w:rsidRPr="00C57A7C">
              <w:rPr>
                <w:rFonts w:ascii="Arial Narrow" w:hAnsi="Arial Narrow" w:cs="Arial"/>
                <w:szCs w:val="22"/>
              </w:rPr>
              <w:lastRenderedPageBreak/>
              <w:t>To add to the factors…: the parties must be litigating with equality of arms and it will be a weighty consideration whether both crave a scale above the upper limit allowed by the rules. Another critical consideration will be the reasonableness or otherwise of a party during the discussions contemplated in rule 32(9). Another important consideration is the dispositive nature of the interlocutory motion and the number of interlocutory applications moved in the life of the case; the more they become the less likely it is that the court will countenance exceeding the limit of the rules.’</w:t>
            </w:r>
          </w:p>
          <w:p w:rsidR="00BE283D" w:rsidRPr="00C57A7C" w:rsidRDefault="00BE283D" w:rsidP="002E2D59">
            <w:pPr>
              <w:spacing w:line="360" w:lineRule="auto"/>
              <w:jc w:val="both"/>
              <w:rPr>
                <w:rFonts w:ascii="Arial Narrow" w:hAnsi="Arial Narrow"/>
                <w:lang w:val="af-ZA"/>
              </w:rPr>
            </w:pPr>
          </w:p>
          <w:p w:rsidR="00AE5DBC" w:rsidRDefault="000A7390" w:rsidP="00AE5DBC">
            <w:pPr>
              <w:spacing w:line="360" w:lineRule="auto"/>
              <w:jc w:val="both"/>
              <w:rPr>
                <w:rFonts w:ascii="Arial Narrow" w:hAnsi="Arial Narrow" w:cs="Arial"/>
                <w:sz w:val="24"/>
                <w:szCs w:val="24"/>
              </w:rPr>
            </w:pPr>
            <w:r w:rsidRPr="00AE5DBC">
              <w:rPr>
                <w:rFonts w:ascii="Arial Narrow" w:hAnsi="Arial Narrow"/>
                <w:sz w:val="24"/>
                <w:szCs w:val="24"/>
              </w:rPr>
              <w:t>[</w:t>
            </w:r>
            <w:r w:rsidR="00D2433A" w:rsidRPr="00AE5DBC">
              <w:rPr>
                <w:rFonts w:ascii="Arial Narrow" w:hAnsi="Arial Narrow"/>
                <w:sz w:val="24"/>
                <w:szCs w:val="24"/>
              </w:rPr>
              <w:t>1</w:t>
            </w:r>
            <w:r w:rsidR="00C57A7C">
              <w:rPr>
                <w:rFonts w:ascii="Arial Narrow" w:hAnsi="Arial Narrow"/>
                <w:sz w:val="24"/>
                <w:szCs w:val="24"/>
              </w:rPr>
              <w:t>2</w:t>
            </w:r>
            <w:r w:rsidRPr="00AE5DBC">
              <w:rPr>
                <w:rFonts w:ascii="Arial Narrow" w:hAnsi="Arial Narrow"/>
                <w:sz w:val="24"/>
                <w:szCs w:val="24"/>
              </w:rPr>
              <w:t xml:space="preserve">]      </w:t>
            </w:r>
            <w:r w:rsidR="00BE283D" w:rsidRPr="00AE5DBC">
              <w:rPr>
                <w:rFonts w:ascii="Arial Narrow" w:hAnsi="Arial Narrow"/>
                <w:sz w:val="24"/>
                <w:szCs w:val="24"/>
              </w:rPr>
              <w:t xml:space="preserve"> </w:t>
            </w:r>
            <w:r w:rsidR="00AE5DBC">
              <w:rPr>
                <w:rFonts w:ascii="Arial Narrow" w:hAnsi="Arial Narrow" w:cs="Arial"/>
                <w:sz w:val="24"/>
                <w:szCs w:val="24"/>
              </w:rPr>
              <w:t>In the aforementioned</w:t>
            </w:r>
            <w:r w:rsidR="00AE5DBC" w:rsidRPr="00AE5DBC">
              <w:rPr>
                <w:rFonts w:ascii="Arial Narrow" w:hAnsi="Arial Narrow" w:cs="Arial"/>
                <w:sz w:val="24"/>
                <w:szCs w:val="24"/>
              </w:rPr>
              <w:t xml:space="preserve"> matter this court clearly states that: </w:t>
            </w:r>
          </w:p>
          <w:p w:rsidR="00C57A7C" w:rsidRPr="00AE5DBC" w:rsidRDefault="00C57A7C" w:rsidP="00AE5DBC">
            <w:pPr>
              <w:spacing w:line="360" w:lineRule="auto"/>
              <w:jc w:val="both"/>
              <w:rPr>
                <w:rFonts w:ascii="Arial Narrow" w:hAnsi="Arial Narrow" w:cs="Arial"/>
                <w:sz w:val="24"/>
                <w:szCs w:val="24"/>
              </w:rPr>
            </w:pPr>
          </w:p>
          <w:p w:rsidR="00AE5DBC" w:rsidRPr="00C57A7C" w:rsidRDefault="00C57A7C" w:rsidP="00A527A8">
            <w:pPr>
              <w:spacing w:line="360" w:lineRule="auto"/>
              <w:ind w:left="781"/>
              <w:jc w:val="both"/>
              <w:rPr>
                <w:rFonts w:ascii="Arial Narrow" w:hAnsi="Arial Narrow" w:cs="Arial"/>
              </w:rPr>
            </w:pPr>
            <w:r>
              <w:rPr>
                <w:rFonts w:ascii="Arial Narrow" w:hAnsi="Arial Narrow" w:cs="Arial"/>
                <w:sz w:val="24"/>
                <w:szCs w:val="24"/>
              </w:rPr>
              <w:t xml:space="preserve">             </w:t>
            </w:r>
            <w:r w:rsidR="00AE5DBC" w:rsidRPr="00AE5DBC">
              <w:rPr>
                <w:rFonts w:ascii="Arial Narrow" w:hAnsi="Arial Narrow" w:cs="Arial"/>
                <w:sz w:val="24"/>
                <w:szCs w:val="24"/>
              </w:rPr>
              <w:t>‘</w:t>
            </w:r>
            <w:r w:rsidR="00AE5DBC" w:rsidRPr="00C57A7C">
              <w:rPr>
                <w:rFonts w:ascii="Arial Narrow" w:hAnsi="Arial Narrow" w:cs="Arial"/>
              </w:rPr>
              <w:t>A clear case must be made out if the court is to allow a scale of cost above the upper limits</w:t>
            </w:r>
            <w:r w:rsidR="00A527A8">
              <w:rPr>
                <w:rFonts w:ascii="Arial Narrow" w:hAnsi="Arial Narrow" w:cs="Arial"/>
              </w:rPr>
              <w:t xml:space="preserve"> allowed by the rules. The onus </w:t>
            </w:r>
            <w:r w:rsidR="00AE5DBC" w:rsidRPr="00C57A7C">
              <w:rPr>
                <w:rFonts w:ascii="Arial Narrow" w:hAnsi="Arial Narrow" w:cs="Arial"/>
              </w:rPr>
              <w:t>rests on the party who seeks a higher scale.</w:t>
            </w:r>
            <w:r w:rsidR="00AE5DBC" w:rsidRPr="00C57A7C">
              <w:rPr>
                <w:rStyle w:val="FootnoteReference"/>
                <w:rFonts w:ascii="Arial Narrow" w:hAnsi="Arial Narrow" w:cs="Arial"/>
              </w:rPr>
              <w:footnoteReference w:id="3"/>
            </w:r>
            <w:r w:rsidR="00AE5DBC" w:rsidRPr="00C57A7C">
              <w:rPr>
                <w:rFonts w:ascii="Arial Narrow" w:hAnsi="Arial Narrow" w:cs="Arial"/>
              </w:rPr>
              <w:t>’</w:t>
            </w:r>
          </w:p>
          <w:p w:rsidR="00C57A7C" w:rsidRPr="00AE5DBC" w:rsidRDefault="00C57A7C" w:rsidP="00AE5DBC">
            <w:pPr>
              <w:spacing w:line="360" w:lineRule="auto"/>
              <w:jc w:val="both"/>
              <w:rPr>
                <w:rFonts w:ascii="Arial Narrow" w:hAnsi="Arial Narrow" w:cs="Arial"/>
                <w:sz w:val="24"/>
                <w:szCs w:val="24"/>
              </w:rPr>
            </w:pPr>
          </w:p>
          <w:p w:rsidR="00AE5DBC" w:rsidRDefault="00AE5DBC" w:rsidP="00AE5DBC">
            <w:pPr>
              <w:spacing w:line="360" w:lineRule="auto"/>
              <w:jc w:val="both"/>
              <w:rPr>
                <w:rFonts w:ascii="Arial Narrow" w:hAnsi="Arial Narrow" w:cs="Arial"/>
                <w:sz w:val="24"/>
                <w:szCs w:val="24"/>
              </w:rPr>
            </w:pPr>
            <w:r w:rsidRPr="00AE5DBC">
              <w:rPr>
                <w:rFonts w:ascii="Arial Narrow" w:hAnsi="Arial Narrow" w:cs="Arial"/>
                <w:sz w:val="24"/>
                <w:szCs w:val="24"/>
              </w:rPr>
              <w:t>[</w:t>
            </w:r>
            <w:r w:rsidR="001568BC">
              <w:rPr>
                <w:rFonts w:ascii="Arial Narrow" w:hAnsi="Arial Narrow" w:cs="Arial"/>
                <w:sz w:val="24"/>
                <w:szCs w:val="24"/>
              </w:rPr>
              <w:t>1</w:t>
            </w:r>
            <w:r w:rsidR="00C57A7C">
              <w:rPr>
                <w:rFonts w:ascii="Arial Narrow" w:hAnsi="Arial Narrow" w:cs="Arial"/>
                <w:sz w:val="24"/>
                <w:szCs w:val="24"/>
              </w:rPr>
              <w:t>3</w:t>
            </w:r>
            <w:r w:rsidRPr="00AE5DBC">
              <w:rPr>
                <w:rFonts w:ascii="Arial Narrow" w:hAnsi="Arial Narrow" w:cs="Arial"/>
                <w:sz w:val="24"/>
                <w:szCs w:val="24"/>
              </w:rPr>
              <w:t>]</w:t>
            </w:r>
            <w:r w:rsidRPr="00AE5DBC">
              <w:rPr>
                <w:rFonts w:ascii="Arial Narrow" w:hAnsi="Arial Narrow" w:cs="Arial"/>
                <w:sz w:val="24"/>
                <w:szCs w:val="24"/>
              </w:rPr>
              <w:tab/>
              <w:t xml:space="preserve"> It is </w:t>
            </w:r>
            <w:r w:rsidR="001568BC">
              <w:rPr>
                <w:rFonts w:ascii="Arial Narrow" w:hAnsi="Arial Narrow" w:cs="Arial"/>
                <w:sz w:val="24"/>
                <w:szCs w:val="24"/>
              </w:rPr>
              <w:t>thus</w:t>
            </w:r>
            <w:r w:rsidRPr="00AE5DBC">
              <w:rPr>
                <w:rFonts w:ascii="Arial Narrow" w:hAnsi="Arial Narrow" w:cs="Arial"/>
                <w:sz w:val="24"/>
                <w:szCs w:val="24"/>
              </w:rPr>
              <w:t xml:space="preserve"> clear in order for a party to be allowed </w:t>
            </w:r>
            <w:r w:rsidRPr="00B04AE9">
              <w:rPr>
                <w:rFonts w:ascii="Arial Narrow" w:hAnsi="Arial Narrow" w:cs="Arial"/>
                <w:sz w:val="24"/>
                <w:szCs w:val="24"/>
              </w:rPr>
              <w:t xml:space="preserve">cost </w:t>
            </w:r>
            <w:r w:rsidR="00C57A7C" w:rsidRPr="00B04AE9">
              <w:rPr>
                <w:rFonts w:ascii="Arial Narrow" w:hAnsi="Arial Narrow" w:cs="Arial"/>
                <w:sz w:val="24"/>
                <w:szCs w:val="24"/>
              </w:rPr>
              <w:t xml:space="preserve">on </w:t>
            </w:r>
            <w:r w:rsidRPr="00B04AE9">
              <w:rPr>
                <w:rFonts w:ascii="Arial Narrow" w:hAnsi="Arial Narrow" w:cs="Arial"/>
                <w:sz w:val="24"/>
                <w:szCs w:val="24"/>
              </w:rPr>
              <w:t>a higher scale</w:t>
            </w:r>
            <w:r w:rsidR="00C57A7C" w:rsidRPr="00B04AE9">
              <w:rPr>
                <w:rFonts w:ascii="Arial Narrow" w:hAnsi="Arial Narrow" w:cs="Arial"/>
                <w:sz w:val="24"/>
                <w:szCs w:val="24"/>
              </w:rPr>
              <w:t xml:space="preserve"> it</w:t>
            </w:r>
            <w:r w:rsidRPr="00B04AE9">
              <w:rPr>
                <w:rFonts w:ascii="Arial Narrow" w:hAnsi="Arial Narrow" w:cs="Arial"/>
                <w:sz w:val="24"/>
                <w:szCs w:val="24"/>
              </w:rPr>
              <w:t xml:space="preserve"> is </w:t>
            </w:r>
            <w:r w:rsidRPr="00AE5DBC">
              <w:rPr>
                <w:rFonts w:ascii="Arial Narrow" w:hAnsi="Arial Narrow" w:cs="Arial"/>
                <w:sz w:val="24"/>
                <w:szCs w:val="24"/>
              </w:rPr>
              <w:t xml:space="preserve">not just for the asking, which is the case in the current matter. The fact that counsel were engaged in the matter does not automatically mean that the limitation should not apply. </w:t>
            </w:r>
          </w:p>
          <w:p w:rsidR="00C57A7C" w:rsidRDefault="00C57A7C" w:rsidP="00AE5DBC">
            <w:pPr>
              <w:spacing w:line="360" w:lineRule="auto"/>
              <w:jc w:val="both"/>
              <w:rPr>
                <w:rFonts w:ascii="Arial Narrow" w:hAnsi="Arial Narrow" w:cs="Arial"/>
                <w:sz w:val="24"/>
                <w:szCs w:val="24"/>
              </w:rPr>
            </w:pPr>
          </w:p>
          <w:p w:rsidR="001568BC" w:rsidRDefault="00C57A7C" w:rsidP="00AE5DBC">
            <w:pPr>
              <w:spacing w:line="360" w:lineRule="auto"/>
              <w:jc w:val="both"/>
              <w:rPr>
                <w:rFonts w:ascii="Arial Narrow" w:hAnsi="Arial Narrow" w:cs="Arial"/>
                <w:sz w:val="24"/>
                <w:szCs w:val="24"/>
              </w:rPr>
            </w:pPr>
            <w:r>
              <w:rPr>
                <w:rFonts w:ascii="Arial Narrow" w:hAnsi="Arial Narrow" w:cs="Arial"/>
                <w:sz w:val="24"/>
                <w:szCs w:val="24"/>
              </w:rPr>
              <w:t>[14</w:t>
            </w:r>
            <w:r w:rsidR="001568BC">
              <w:rPr>
                <w:rFonts w:ascii="Arial Narrow" w:hAnsi="Arial Narrow" w:cs="Arial"/>
                <w:sz w:val="24"/>
                <w:szCs w:val="24"/>
              </w:rPr>
              <w:t>]        The parties had the opportunity to file additional heads of argument subsequent to their appearance in court on 28 May 2021 and neither parties de</w:t>
            </w:r>
            <w:r w:rsidR="001568BC" w:rsidRPr="00B04AE9">
              <w:rPr>
                <w:rFonts w:ascii="Arial Narrow" w:hAnsi="Arial Narrow" w:cs="Arial"/>
                <w:sz w:val="24"/>
                <w:szCs w:val="24"/>
              </w:rPr>
              <w:t>em</w:t>
            </w:r>
            <w:r w:rsidR="00A527A8" w:rsidRPr="00B04AE9">
              <w:rPr>
                <w:rFonts w:ascii="Arial Narrow" w:hAnsi="Arial Narrow" w:cs="Arial"/>
                <w:sz w:val="24"/>
                <w:szCs w:val="24"/>
              </w:rPr>
              <w:t>ed</w:t>
            </w:r>
            <w:r w:rsidR="001568BC" w:rsidRPr="00B04AE9">
              <w:rPr>
                <w:rFonts w:ascii="Arial Narrow" w:hAnsi="Arial Narrow" w:cs="Arial"/>
                <w:sz w:val="24"/>
                <w:szCs w:val="24"/>
              </w:rPr>
              <w:t xml:space="preserve"> </w:t>
            </w:r>
            <w:r w:rsidR="001568BC">
              <w:rPr>
                <w:rFonts w:ascii="Arial Narrow" w:hAnsi="Arial Narrow" w:cs="Arial"/>
                <w:sz w:val="24"/>
                <w:szCs w:val="24"/>
              </w:rPr>
              <w:t xml:space="preserve">it </w:t>
            </w:r>
            <w:r w:rsidR="0024324E">
              <w:rPr>
                <w:rFonts w:ascii="Arial Narrow" w:hAnsi="Arial Narrow" w:cs="Arial"/>
                <w:sz w:val="24"/>
                <w:szCs w:val="24"/>
              </w:rPr>
              <w:t xml:space="preserve">prudent or </w:t>
            </w:r>
            <w:r w:rsidR="001568BC">
              <w:rPr>
                <w:rFonts w:ascii="Arial Narrow" w:hAnsi="Arial Narrow" w:cs="Arial"/>
                <w:sz w:val="24"/>
                <w:szCs w:val="24"/>
              </w:rPr>
              <w:t xml:space="preserve">necessary to address the issue of higher cost scale in their papers. I am of the view that due to the nature of the application that served before court on 28 May 2021 and the lack of complexity thereof it does not justify cost at the upper limit of the cost scale. </w:t>
            </w:r>
          </w:p>
          <w:p w:rsidR="00C57A7C" w:rsidRDefault="00C57A7C" w:rsidP="00AE5DBC">
            <w:pPr>
              <w:spacing w:line="360" w:lineRule="auto"/>
              <w:jc w:val="both"/>
              <w:rPr>
                <w:rFonts w:ascii="Arial Narrow" w:hAnsi="Arial Narrow" w:cs="Arial"/>
                <w:sz w:val="24"/>
                <w:szCs w:val="24"/>
              </w:rPr>
            </w:pPr>
          </w:p>
          <w:p w:rsidR="001568BC" w:rsidRDefault="001568BC" w:rsidP="00AE5DBC">
            <w:pPr>
              <w:spacing w:line="360" w:lineRule="auto"/>
              <w:jc w:val="both"/>
              <w:rPr>
                <w:rFonts w:ascii="Arial Narrow" w:hAnsi="Arial Narrow" w:cs="Arial"/>
                <w:b/>
                <w:sz w:val="24"/>
                <w:szCs w:val="24"/>
              </w:rPr>
            </w:pPr>
            <w:r w:rsidRPr="001568BC">
              <w:rPr>
                <w:rFonts w:ascii="Arial Narrow" w:hAnsi="Arial Narrow" w:cs="Arial"/>
                <w:b/>
                <w:sz w:val="24"/>
                <w:szCs w:val="24"/>
              </w:rPr>
              <w:t>AD MERITS</w:t>
            </w:r>
          </w:p>
          <w:p w:rsidR="00C57A7C" w:rsidRPr="001568BC" w:rsidRDefault="00C57A7C" w:rsidP="00AE5DBC">
            <w:pPr>
              <w:spacing w:line="360" w:lineRule="auto"/>
              <w:jc w:val="both"/>
              <w:rPr>
                <w:rFonts w:ascii="Arial Narrow" w:hAnsi="Arial Narrow" w:cs="Arial"/>
                <w:b/>
                <w:sz w:val="24"/>
                <w:szCs w:val="24"/>
              </w:rPr>
            </w:pPr>
          </w:p>
          <w:p w:rsidR="001568BC" w:rsidRDefault="00C57A7C" w:rsidP="001568BC">
            <w:pPr>
              <w:spacing w:line="360" w:lineRule="auto"/>
              <w:jc w:val="both"/>
              <w:rPr>
                <w:rFonts w:ascii="Arial Narrow" w:hAnsi="Arial Narrow" w:cs="Arial"/>
                <w:sz w:val="24"/>
                <w:szCs w:val="24"/>
              </w:rPr>
            </w:pPr>
            <w:r>
              <w:rPr>
                <w:rFonts w:ascii="Arial Narrow" w:hAnsi="Arial Narrow" w:cs="Arial"/>
                <w:sz w:val="24"/>
                <w:szCs w:val="24"/>
              </w:rPr>
              <w:t>[15</w:t>
            </w:r>
            <w:r w:rsidR="001568BC" w:rsidRPr="001568BC">
              <w:rPr>
                <w:rFonts w:ascii="Arial Narrow" w:hAnsi="Arial Narrow" w:cs="Arial"/>
                <w:sz w:val="24"/>
                <w:szCs w:val="24"/>
              </w:rPr>
              <w:t>]          Having considered the papers filed of record as well as counsel’s oral submissions the court is of the view that there is reasonable prospect that another court may come to a different conclusion. Accordingly, the court is persuaded that leave to appeal should be granted.</w:t>
            </w:r>
          </w:p>
          <w:p w:rsidR="00C57A7C" w:rsidRDefault="00C57A7C" w:rsidP="001568BC">
            <w:pPr>
              <w:spacing w:line="360" w:lineRule="auto"/>
              <w:jc w:val="both"/>
              <w:rPr>
                <w:rFonts w:ascii="Arial Narrow" w:hAnsi="Arial Narrow" w:cs="Arial"/>
                <w:sz w:val="24"/>
                <w:szCs w:val="24"/>
              </w:rPr>
            </w:pPr>
          </w:p>
          <w:p w:rsidR="000A7390" w:rsidRPr="0089499D" w:rsidRDefault="00C57A7C" w:rsidP="00AE5DBC">
            <w:pPr>
              <w:spacing w:line="360" w:lineRule="auto"/>
              <w:jc w:val="both"/>
              <w:rPr>
                <w:rFonts w:ascii="Arial Narrow" w:hAnsi="Arial Narrow"/>
                <w:sz w:val="24"/>
                <w:szCs w:val="24"/>
              </w:rPr>
            </w:pPr>
            <w:r>
              <w:rPr>
                <w:rFonts w:ascii="Arial Narrow" w:hAnsi="Arial Narrow" w:cs="Arial"/>
                <w:sz w:val="24"/>
                <w:szCs w:val="24"/>
              </w:rPr>
              <w:t>[16</w:t>
            </w:r>
            <w:r w:rsidR="001568BC">
              <w:rPr>
                <w:rFonts w:ascii="Arial Narrow" w:hAnsi="Arial Narrow" w:cs="Arial"/>
                <w:sz w:val="24"/>
                <w:szCs w:val="24"/>
              </w:rPr>
              <w:t xml:space="preserve">]        </w:t>
            </w:r>
            <w:r w:rsidR="000A7390" w:rsidRPr="0089499D">
              <w:rPr>
                <w:rFonts w:ascii="Arial Narrow" w:hAnsi="Arial Narrow"/>
                <w:sz w:val="24"/>
                <w:szCs w:val="24"/>
              </w:rPr>
              <w:t xml:space="preserve"> My order is therefore as set out above.</w:t>
            </w:r>
          </w:p>
          <w:p w:rsidR="00552602" w:rsidRPr="0089499D" w:rsidRDefault="00552602" w:rsidP="001334B7">
            <w:pPr>
              <w:pStyle w:val="NormalWeb"/>
              <w:shd w:val="clear" w:color="auto" w:fill="FFFFFF"/>
              <w:spacing w:before="0" w:beforeAutospacing="0" w:after="0" w:afterAutospacing="0" w:line="360" w:lineRule="auto"/>
              <w:jc w:val="both"/>
              <w:rPr>
                <w:rFonts w:ascii="Arial Narrow" w:hAnsi="Arial Narrow" w:cs="Arial"/>
                <w:sz w:val="24"/>
                <w:szCs w:val="24"/>
              </w:rPr>
            </w:pPr>
          </w:p>
        </w:tc>
      </w:tr>
      <w:tr w:rsidR="00552602" w:rsidRPr="001334B7" w:rsidTr="00A527A8">
        <w:tc>
          <w:tcPr>
            <w:tcW w:w="5029" w:type="dxa"/>
          </w:tcPr>
          <w:p w:rsidR="00552602" w:rsidRPr="001334B7" w:rsidRDefault="00D22A07" w:rsidP="001334B7">
            <w:pPr>
              <w:spacing w:line="360" w:lineRule="auto"/>
              <w:jc w:val="center"/>
              <w:rPr>
                <w:rFonts w:ascii="Arial Narrow" w:hAnsi="Arial Narrow" w:cs="Arial"/>
                <w:b/>
                <w:sz w:val="24"/>
                <w:szCs w:val="24"/>
              </w:rPr>
            </w:pPr>
            <w:r>
              <w:rPr>
                <w:rFonts w:ascii="Arial Narrow" w:hAnsi="Arial Narrow" w:cs="Arial"/>
                <w:b/>
                <w:sz w:val="24"/>
                <w:szCs w:val="24"/>
              </w:rPr>
              <w:lastRenderedPageBreak/>
              <w:t xml:space="preserve"> </w:t>
            </w:r>
          </w:p>
        </w:tc>
        <w:tc>
          <w:tcPr>
            <w:tcW w:w="5886" w:type="dxa"/>
            <w:gridSpan w:val="2"/>
          </w:tcPr>
          <w:p w:rsidR="00552602" w:rsidRPr="001334B7" w:rsidRDefault="00552602" w:rsidP="001334B7">
            <w:pPr>
              <w:spacing w:line="360" w:lineRule="auto"/>
              <w:jc w:val="center"/>
              <w:rPr>
                <w:rFonts w:ascii="Arial Narrow" w:hAnsi="Arial Narrow" w:cs="Arial"/>
                <w:b/>
                <w:sz w:val="24"/>
                <w:szCs w:val="24"/>
              </w:rPr>
            </w:pPr>
            <w:r w:rsidRPr="001334B7">
              <w:rPr>
                <w:rFonts w:ascii="Arial Narrow" w:hAnsi="Arial Narrow" w:cs="Arial"/>
                <w:b/>
                <w:sz w:val="24"/>
                <w:szCs w:val="24"/>
              </w:rPr>
              <w:t>Note to the parties:</w:t>
            </w:r>
          </w:p>
        </w:tc>
      </w:tr>
      <w:tr w:rsidR="00552602" w:rsidRPr="001334B7" w:rsidTr="00A527A8">
        <w:trPr>
          <w:trHeight w:val="1114"/>
        </w:trPr>
        <w:tc>
          <w:tcPr>
            <w:tcW w:w="5029" w:type="dxa"/>
          </w:tcPr>
          <w:p w:rsidR="00552602" w:rsidRPr="001334B7" w:rsidRDefault="00552602" w:rsidP="001334B7">
            <w:pPr>
              <w:spacing w:line="360" w:lineRule="auto"/>
              <w:jc w:val="both"/>
              <w:rPr>
                <w:rFonts w:ascii="Arial Narrow" w:hAnsi="Arial Narrow" w:cs="Arial"/>
                <w:sz w:val="24"/>
                <w:szCs w:val="24"/>
              </w:rPr>
            </w:pPr>
          </w:p>
          <w:p w:rsidR="00552602" w:rsidRDefault="00552602" w:rsidP="001334B7">
            <w:pPr>
              <w:spacing w:line="360" w:lineRule="auto"/>
              <w:jc w:val="both"/>
              <w:rPr>
                <w:rFonts w:ascii="Arial Narrow" w:hAnsi="Arial Narrow" w:cs="Arial"/>
                <w:sz w:val="24"/>
                <w:szCs w:val="24"/>
              </w:rPr>
            </w:pPr>
          </w:p>
          <w:p w:rsidR="0033779C" w:rsidRPr="001334B7" w:rsidRDefault="0033779C" w:rsidP="001334B7">
            <w:pPr>
              <w:spacing w:line="360" w:lineRule="auto"/>
              <w:jc w:val="both"/>
              <w:rPr>
                <w:rFonts w:ascii="Arial Narrow" w:hAnsi="Arial Narrow" w:cs="Arial"/>
                <w:sz w:val="24"/>
                <w:szCs w:val="24"/>
              </w:rPr>
            </w:pPr>
          </w:p>
          <w:p w:rsidR="00552602" w:rsidRPr="001334B7" w:rsidRDefault="00552602" w:rsidP="001334B7">
            <w:pPr>
              <w:spacing w:line="360" w:lineRule="auto"/>
              <w:jc w:val="both"/>
              <w:rPr>
                <w:rFonts w:ascii="Arial Narrow" w:hAnsi="Arial Narrow" w:cs="Arial"/>
                <w:sz w:val="24"/>
                <w:szCs w:val="24"/>
              </w:rPr>
            </w:pPr>
          </w:p>
        </w:tc>
        <w:tc>
          <w:tcPr>
            <w:tcW w:w="5886" w:type="dxa"/>
            <w:gridSpan w:val="2"/>
          </w:tcPr>
          <w:p w:rsidR="00552602" w:rsidRPr="001334B7" w:rsidRDefault="00552602" w:rsidP="001334B7">
            <w:pPr>
              <w:spacing w:line="360" w:lineRule="auto"/>
              <w:jc w:val="both"/>
              <w:rPr>
                <w:rFonts w:ascii="Arial Narrow" w:hAnsi="Arial Narrow" w:cs="Arial"/>
                <w:sz w:val="24"/>
                <w:szCs w:val="24"/>
              </w:rPr>
            </w:pPr>
            <w:r w:rsidRPr="001334B7">
              <w:rPr>
                <w:rFonts w:ascii="Arial Narrow" w:hAnsi="Arial Narrow" w:cs="Arial"/>
                <w:sz w:val="24"/>
                <w:szCs w:val="24"/>
              </w:rPr>
              <w:t>Not applicable.</w:t>
            </w:r>
          </w:p>
        </w:tc>
      </w:tr>
      <w:tr w:rsidR="00552602" w:rsidRPr="001334B7" w:rsidTr="00681336">
        <w:tc>
          <w:tcPr>
            <w:tcW w:w="10915" w:type="dxa"/>
            <w:gridSpan w:val="3"/>
          </w:tcPr>
          <w:p w:rsidR="00552602" w:rsidRPr="001334B7" w:rsidRDefault="00A527A8" w:rsidP="00A527A8">
            <w:pPr>
              <w:spacing w:line="360" w:lineRule="auto"/>
              <w:rPr>
                <w:rFonts w:ascii="Arial Narrow" w:hAnsi="Arial Narrow" w:cs="Arial"/>
                <w:b/>
                <w:sz w:val="24"/>
                <w:szCs w:val="24"/>
              </w:rPr>
            </w:pPr>
            <w:r>
              <w:rPr>
                <w:rFonts w:ascii="Arial Narrow" w:hAnsi="Arial Narrow" w:cs="Arial"/>
                <w:b/>
                <w:sz w:val="24"/>
                <w:szCs w:val="24"/>
              </w:rPr>
              <w:t xml:space="preserve">                                                                           </w:t>
            </w:r>
            <w:r w:rsidR="00552602" w:rsidRPr="001334B7">
              <w:rPr>
                <w:rFonts w:ascii="Arial Narrow" w:hAnsi="Arial Narrow" w:cs="Arial"/>
                <w:b/>
                <w:sz w:val="24"/>
                <w:szCs w:val="24"/>
              </w:rPr>
              <w:t>Counsel:</w:t>
            </w:r>
          </w:p>
        </w:tc>
      </w:tr>
      <w:tr w:rsidR="00552602" w:rsidRPr="001334B7" w:rsidTr="00A527A8">
        <w:tc>
          <w:tcPr>
            <w:tcW w:w="5029" w:type="dxa"/>
          </w:tcPr>
          <w:p w:rsidR="00552602" w:rsidRPr="001334B7" w:rsidRDefault="00891D87" w:rsidP="001334B7">
            <w:pPr>
              <w:spacing w:line="360" w:lineRule="auto"/>
              <w:jc w:val="center"/>
              <w:rPr>
                <w:rFonts w:ascii="Arial Narrow" w:hAnsi="Arial Narrow" w:cs="Arial"/>
                <w:b/>
                <w:sz w:val="24"/>
                <w:szCs w:val="24"/>
              </w:rPr>
            </w:pPr>
            <w:r>
              <w:rPr>
                <w:rFonts w:ascii="Arial Narrow" w:hAnsi="Arial Narrow" w:cs="Arial"/>
                <w:b/>
                <w:sz w:val="24"/>
                <w:szCs w:val="24"/>
              </w:rPr>
              <w:t>Plaintiffs</w:t>
            </w:r>
          </w:p>
        </w:tc>
        <w:tc>
          <w:tcPr>
            <w:tcW w:w="5886" w:type="dxa"/>
            <w:gridSpan w:val="2"/>
          </w:tcPr>
          <w:p w:rsidR="00552602" w:rsidRPr="001334B7" w:rsidRDefault="000015F4" w:rsidP="001334B7">
            <w:pPr>
              <w:spacing w:line="360" w:lineRule="auto"/>
              <w:jc w:val="center"/>
              <w:rPr>
                <w:rFonts w:ascii="Arial Narrow" w:hAnsi="Arial Narrow" w:cs="Arial"/>
                <w:b/>
                <w:sz w:val="24"/>
                <w:szCs w:val="24"/>
              </w:rPr>
            </w:pPr>
            <w:r>
              <w:rPr>
                <w:rFonts w:ascii="Arial Narrow" w:hAnsi="Arial Narrow" w:cs="Arial"/>
                <w:b/>
                <w:sz w:val="24"/>
                <w:szCs w:val="24"/>
              </w:rPr>
              <w:t xml:space="preserve"> Defendants</w:t>
            </w:r>
          </w:p>
        </w:tc>
      </w:tr>
      <w:tr w:rsidR="00552602" w:rsidRPr="001334B7" w:rsidTr="00A527A8">
        <w:tc>
          <w:tcPr>
            <w:tcW w:w="5029" w:type="dxa"/>
          </w:tcPr>
          <w:p w:rsidR="003D2F1F" w:rsidRDefault="001568BC" w:rsidP="00F64B20">
            <w:pPr>
              <w:spacing w:line="360" w:lineRule="auto"/>
              <w:jc w:val="center"/>
              <w:rPr>
                <w:rFonts w:ascii="Arial Narrow" w:hAnsi="Arial Narrow" w:cs="Arial"/>
                <w:sz w:val="24"/>
                <w:szCs w:val="24"/>
                <w:lang w:val="en-US"/>
              </w:rPr>
            </w:pPr>
            <w:r>
              <w:rPr>
                <w:rFonts w:ascii="Arial Narrow" w:hAnsi="Arial Narrow" w:cs="Arial"/>
                <w:sz w:val="24"/>
                <w:szCs w:val="24"/>
                <w:lang w:val="en-US"/>
              </w:rPr>
              <w:t>Paul Eia</w:t>
            </w:r>
          </w:p>
          <w:p w:rsidR="001568BC" w:rsidRDefault="00B04AE9" w:rsidP="00F64B20">
            <w:pPr>
              <w:spacing w:line="360" w:lineRule="auto"/>
              <w:jc w:val="center"/>
              <w:rPr>
                <w:rFonts w:ascii="Arial Narrow" w:hAnsi="Arial Narrow" w:cs="Arial"/>
                <w:sz w:val="24"/>
                <w:szCs w:val="24"/>
              </w:rPr>
            </w:pPr>
            <w:r>
              <w:rPr>
                <w:rFonts w:ascii="Arial Narrow" w:hAnsi="Arial Narrow" w:cs="Arial"/>
                <w:sz w:val="24"/>
                <w:szCs w:val="24"/>
              </w:rPr>
              <w:t>Instructed by</w:t>
            </w:r>
          </w:p>
          <w:p w:rsidR="00552602" w:rsidRPr="001334B7" w:rsidRDefault="001568BC" w:rsidP="001568BC">
            <w:pPr>
              <w:spacing w:line="360" w:lineRule="auto"/>
              <w:jc w:val="center"/>
              <w:rPr>
                <w:rFonts w:ascii="Arial Narrow" w:hAnsi="Arial Narrow" w:cs="Arial"/>
                <w:sz w:val="24"/>
                <w:szCs w:val="24"/>
              </w:rPr>
            </w:pPr>
            <w:r>
              <w:rPr>
                <w:rFonts w:ascii="Arial Narrow" w:hAnsi="Arial Narrow" w:cs="Arial"/>
                <w:sz w:val="24"/>
                <w:szCs w:val="24"/>
              </w:rPr>
              <w:t>Koep and Partners</w:t>
            </w:r>
          </w:p>
        </w:tc>
        <w:tc>
          <w:tcPr>
            <w:tcW w:w="5886" w:type="dxa"/>
            <w:gridSpan w:val="2"/>
          </w:tcPr>
          <w:p w:rsidR="00552602" w:rsidRDefault="001568BC" w:rsidP="000015F4">
            <w:pPr>
              <w:spacing w:line="360" w:lineRule="auto"/>
              <w:jc w:val="center"/>
              <w:rPr>
                <w:rFonts w:ascii="Arial Narrow" w:hAnsi="Arial Narrow" w:cs="Arial"/>
                <w:sz w:val="24"/>
                <w:szCs w:val="24"/>
                <w:lang w:val="en-US"/>
              </w:rPr>
            </w:pPr>
            <w:r>
              <w:rPr>
                <w:rFonts w:ascii="Arial Narrow" w:hAnsi="Arial Narrow" w:cs="Arial"/>
                <w:sz w:val="24"/>
                <w:szCs w:val="24"/>
                <w:lang w:val="en-US"/>
              </w:rPr>
              <w:t>Sisa Namandje</w:t>
            </w:r>
          </w:p>
          <w:p w:rsidR="001568BC" w:rsidRDefault="00B04AE9" w:rsidP="003D2F1F">
            <w:pPr>
              <w:spacing w:line="360" w:lineRule="auto"/>
              <w:jc w:val="center"/>
              <w:rPr>
                <w:rFonts w:ascii="Arial Narrow" w:hAnsi="Arial Narrow" w:cs="Arial"/>
                <w:sz w:val="24"/>
                <w:szCs w:val="24"/>
                <w:lang w:val="en-US"/>
              </w:rPr>
            </w:pPr>
            <w:r>
              <w:rPr>
                <w:rFonts w:ascii="Arial Narrow" w:hAnsi="Arial Narrow" w:cs="Arial"/>
                <w:sz w:val="24"/>
                <w:szCs w:val="24"/>
                <w:lang w:val="en-US"/>
              </w:rPr>
              <w:t>Instructed by</w:t>
            </w:r>
          </w:p>
          <w:p w:rsidR="003D2F1F" w:rsidRPr="003D2F1F" w:rsidRDefault="001568BC" w:rsidP="003D2F1F">
            <w:pPr>
              <w:spacing w:line="360" w:lineRule="auto"/>
              <w:jc w:val="center"/>
              <w:rPr>
                <w:rFonts w:ascii="Arial Narrow" w:hAnsi="Arial Narrow" w:cs="Arial"/>
                <w:sz w:val="24"/>
                <w:szCs w:val="24"/>
                <w:lang w:val="en-US"/>
              </w:rPr>
            </w:pPr>
            <w:r>
              <w:rPr>
                <w:rFonts w:ascii="Arial Narrow" w:hAnsi="Arial Narrow" w:cs="Arial"/>
                <w:sz w:val="24"/>
                <w:szCs w:val="24"/>
                <w:lang w:val="en-US"/>
              </w:rPr>
              <w:t>Government Attorneys</w:t>
            </w:r>
            <w:r w:rsidR="003D2F1F">
              <w:rPr>
                <w:rFonts w:ascii="Arial Narrow" w:hAnsi="Arial Narrow" w:cs="Arial"/>
                <w:sz w:val="24"/>
                <w:szCs w:val="24"/>
                <w:lang w:val="en-US"/>
              </w:rPr>
              <w:t xml:space="preserve"> </w:t>
            </w:r>
          </w:p>
        </w:tc>
      </w:tr>
    </w:tbl>
    <w:p w:rsidR="00552602" w:rsidRPr="001334B7" w:rsidRDefault="00552602" w:rsidP="001334B7">
      <w:pPr>
        <w:spacing w:after="0" w:line="360" w:lineRule="auto"/>
        <w:jc w:val="both"/>
        <w:rPr>
          <w:rFonts w:ascii="Arial Narrow" w:hAnsi="Arial Narrow"/>
        </w:rPr>
      </w:pPr>
    </w:p>
    <w:p w:rsidR="00552602" w:rsidRPr="001334B7" w:rsidRDefault="00552602" w:rsidP="001334B7">
      <w:pPr>
        <w:spacing w:after="0" w:line="360" w:lineRule="auto"/>
        <w:rPr>
          <w:rFonts w:ascii="Arial Narrow" w:hAnsi="Arial Narrow"/>
        </w:rPr>
      </w:pPr>
    </w:p>
    <w:p w:rsidR="00552602" w:rsidRPr="001334B7" w:rsidRDefault="00552602" w:rsidP="001334B7">
      <w:pPr>
        <w:spacing w:after="0" w:line="360" w:lineRule="auto"/>
        <w:rPr>
          <w:rFonts w:ascii="Arial Narrow" w:hAnsi="Arial Narrow"/>
        </w:rPr>
      </w:pPr>
    </w:p>
    <w:p w:rsidR="000B2DC6" w:rsidRPr="001334B7" w:rsidRDefault="00FB527B" w:rsidP="001334B7">
      <w:pPr>
        <w:spacing w:after="0" w:line="360" w:lineRule="auto"/>
        <w:jc w:val="both"/>
        <w:rPr>
          <w:rFonts w:ascii="Arial Narrow" w:hAnsi="Arial Narrow"/>
          <w:lang w:val="af-ZA"/>
        </w:rPr>
      </w:pPr>
      <w:r w:rsidRPr="001334B7">
        <w:rPr>
          <w:rFonts w:ascii="Arial Narrow" w:hAnsi="Arial Narrow"/>
          <w:lang w:val="af-ZA"/>
        </w:rPr>
        <w:t xml:space="preserve"> </w:t>
      </w:r>
    </w:p>
    <w:sectPr w:rsidR="000B2DC6" w:rsidRPr="001334B7" w:rsidSect="00213E94">
      <w:head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32CD" w:rsidRDefault="00B532CD" w:rsidP="00516674">
      <w:pPr>
        <w:spacing w:after="0" w:line="240" w:lineRule="auto"/>
      </w:pPr>
      <w:r>
        <w:separator/>
      </w:r>
    </w:p>
  </w:endnote>
  <w:endnote w:type="continuationSeparator" w:id="0">
    <w:p w:rsidR="00B532CD" w:rsidRDefault="00B532CD" w:rsidP="005166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Open Sans">
    <w:altName w:val="Tahoma"/>
    <w:charset w:val="00"/>
    <w:family w:val="swiss"/>
    <w:pitch w:val="variable"/>
    <w:sig w:usb0="00000001"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32CD" w:rsidRDefault="00B532CD" w:rsidP="00516674">
      <w:pPr>
        <w:spacing w:after="0" w:line="240" w:lineRule="auto"/>
      </w:pPr>
      <w:r>
        <w:separator/>
      </w:r>
    </w:p>
  </w:footnote>
  <w:footnote w:type="continuationSeparator" w:id="0">
    <w:p w:rsidR="00B532CD" w:rsidRDefault="00B532CD" w:rsidP="00516674">
      <w:pPr>
        <w:spacing w:after="0" w:line="240" w:lineRule="auto"/>
      </w:pPr>
      <w:r>
        <w:continuationSeparator/>
      </w:r>
    </w:p>
  </w:footnote>
  <w:footnote w:id="1">
    <w:p w:rsidR="002E2D59" w:rsidRPr="00C57A7C" w:rsidRDefault="002E2D59" w:rsidP="002E2D59">
      <w:pPr>
        <w:pStyle w:val="FootnoteText"/>
        <w:spacing w:line="360" w:lineRule="auto"/>
        <w:jc w:val="both"/>
        <w:rPr>
          <w:rFonts w:ascii="Arial Narrow" w:hAnsi="Arial Narrow" w:cs="Arial"/>
        </w:rPr>
      </w:pPr>
      <w:r w:rsidRPr="00C57A7C">
        <w:rPr>
          <w:rStyle w:val="FootnoteReference"/>
          <w:rFonts w:ascii="Arial Narrow" w:hAnsi="Arial Narrow" w:cs="Arial"/>
        </w:rPr>
        <w:footnoteRef/>
      </w:r>
      <w:r w:rsidRPr="00C57A7C">
        <w:rPr>
          <w:rFonts w:ascii="Arial Narrow" w:hAnsi="Arial Narrow" w:cs="Arial"/>
        </w:rPr>
        <w:t xml:space="preserve"> </w:t>
      </w:r>
      <w:r w:rsidRPr="00C57A7C">
        <w:rPr>
          <w:rFonts w:ascii="Arial Narrow" w:hAnsi="Arial Narrow" w:cs="Arial"/>
          <w:i/>
        </w:rPr>
        <w:t>Spangenberg v Klo</w:t>
      </w:r>
      <w:r w:rsidR="00C22492" w:rsidRPr="00C57A7C">
        <w:rPr>
          <w:rFonts w:ascii="Arial Narrow" w:hAnsi="Arial Narrow" w:cs="Arial"/>
          <w:i/>
        </w:rPr>
        <w:t>p</w:t>
      </w:r>
      <w:r w:rsidRPr="00C57A7C">
        <w:rPr>
          <w:rFonts w:ascii="Arial Narrow" w:hAnsi="Arial Narrow" w:cs="Arial"/>
          <w:i/>
        </w:rPr>
        <w:t xml:space="preserve">pers </w:t>
      </w:r>
      <w:r w:rsidRPr="00C57A7C">
        <w:rPr>
          <w:rFonts w:ascii="Arial Narrow" w:hAnsi="Arial Narrow" w:cs="Arial"/>
        </w:rPr>
        <w:t>2018 (2) NR 494 (HC).</w:t>
      </w:r>
    </w:p>
  </w:footnote>
  <w:footnote w:id="2">
    <w:p w:rsidR="00BE283D" w:rsidRPr="00C57A7C" w:rsidRDefault="00BE283D" w:rsidP="00BE283D">
      <w:pPr>
        <w:pStyle w:val="FootnoteText"/>
        <w:jc w:val="both"/>
        <w:rPr>
          <w:rFonts w:ascii="Arial Narrow" w:hAnsi="Arial Narrow" w:cs="Arial"/>
        </w:rPr>
      </w:pPr>
      <w:r w:rsidRPr="00C57A7C">
        <w:rPr>
          <w:rStyle w:val="FootnoteReference"/>
          <w:rFonts w:ascii="Arial Narrow" w:hAnsi="Arial Narrow" w:cs="Arial"/>
        </w:rPr>
        <w:footnoteRef/>
      </w:r>
      <w:r w:rsidRPr="00C57A7C">
        <w:rPr>
          <w:rFonts w:ascii="Arial Narrow" w:hAnsi="Arial Narrow" w:cs="Arial"/>
        </w:rPr>
        <w:t xml:space="preserve"> </w:t>
      </w:r>
      <w:r w:rsidRPr="00C57A7C">
        <w:rPr>
          <w:rFonts w:ascii="Arial Narrow" w:hAnsi="Arial Narrow" w:cs="Arial"/>
          <w:color w:val="000000"/>
        </w:rPr>
        <w:t>(A 94/2014) [2014] NAHCMD 331 (07 November 2014), para 67.</w:t>
      </w:r>
    </w:p>
  </w:footnote>
  <w:footnote w:id="3">
    <w:p w:rsidR="00AE5DBC" w:rsidRPr="00C57A7C" w:rsidRDefault="00AE5DBC" w:rsidP="00AE5DBC">
      <w:pPr>
        <w:pStyle w:val="FootnoteText"/>
        <w:jc w:val="both"/>
        <w:rPr>
          <w:rFonts w:ascii="Arial Narrow" w:hAnsi="Arial Narrow" w:cs="Arial"/>
        </w:rPr>
      </w:pPr>
      <w:r w:rsidRPr="00C57A7C">
        <w:rPr>
          <w:rStyle w:val="FootnoteReference"/>
          <w:rFonts w:ascii="Arial Narrow" w:hAnsi="Arial Narrow" w:cs="Arial"/>
        </w:rPr>
        <w:footnoteRef/>
      </w:r>
      <w:r w:rsidRPr="00C57A7C">
        <w:rPr>
          <w:rFonts w:ascii="Arial Narrow" w:hAnsi="Arial Narrow" w:cs="Arial"/>
        </w:rPr>
        <w:t xml:space="preserve"> </w:t>
      </w:r>
      <w:r w:rsidRPr="00C57A7C">
        <w:rPr>
          <w:rFonts w:ascii="Arial Narrow" w:hAnsi="Arial Narrow" w:cs="Arial"/>
          <w:i/>
        </w:rPr>
        <w:t>South African Poultry Association and Others v Ministry of Trade and Industry and Others</w:t>
      </w:r>
      <w:r w:rsidRPr="00C57A7C">
        <w:rPr>
          <w:rFonts w:ascii="Arial Narrow" w:hAnsi="Arial Narrow" w:cs="Arial"/>
        </w:rPr>
        <w:t xml:space="preserve"> (supra) at paragraph [67]</w:t>
      </w:r>
      <w:r w:rsidR="00C57A7C">
        <w:rPr>
          <w:rFonts w:ascii="Arial Narrow" w:hAnsi="Arial Narrow" w:cs="Aria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7443122"/>
      <w:docPartObj>
        <w:docPartGallery w:val="Page Numbers (Top of Page)"/>
        <w:docPartUnique/>
      </w:docPartObj>
    </w:sdtPr>
    <w:sdtEndPr>
      <w:rPr>
        <w:rFonts w:ascii="Arial Narrow" w:hAnsi="Arial Narrow"/>
        <w:noProof/>
      </w:rPr>
    </w:sdtEndPr>
    <w:sdtContent>
      <w:p w:rsidR="00737554" w:rsidRPr="0033779C" w:rsidRDefault="00737554">
        <w:pPr>
          <w:pStyle w:val="Header"/>
          <w:jc w:val="right"/>
          <w:rPr>
            <w:rFonts w:ascii="Arial Narrow" w:hAnsi="Arial Narrow"/>
          </w:rPr>
        </w:pPr>
        <w:r w:rsidRPr="0033779C">
          <w:rPr>
            <w:rFonts w:ascii="Arial Narrow" w:hAnsi="Arial Narrow"/>
          </w:rPr>
          <w:fldChar w:fldCharType="begin"/>
        </w:r>
        <w:r w:rsidRPr="0033779C">
          <w:rPr>
            <w:rFonts w:ascii="Arial Narrow" w:hAnsi="Arial Narrow"/>
          </w:rPr>
          <w:instrText xml:space="preserve"> PAGE   \* MERGEFORMAT </w:instrText>
        </w:r>
        <w:r w:rsidRPr="0033779C">
          <w:rPr>
            <w:rFonts w:ascii="Arial Narrow" w:hAnsi="Arial Narrow"/>
          </w:rPr>
          <w:fldChar w:fldCharType="separate"/>
        </w:r>
        <w:r w:rsidR="00985F9F">
          <w:rPr>
            <w:rFonts w:ascii="Arial Narrow" w:hAnsi="Arial Narrow"/>
            <w:noProof/>
          </w:rPr>
          <w:t>2</w:t>
        </w:r>
        <w:r w:rsidRPr="0033779C">
          <w:rPr>
            <w:rFonts w:ascii="Arial Narrow" w:hAnsi="Arial Narrow"/>
            <w:noProof/>
          </w:rPr>
          <w:fldChar w:fldCharType="end"/>
        </w:r>
      </w:p>
    </w:sdtContent>
  </w:sdt>
  <w:p w:rsidR="00737554" w:rsidRDefault="007375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3288F"/>
    <w:multiLevelType w:val="hybridMultilevel"/>
    <w:tmpl w:val="F846438A"/>
    <w:lvl w:ilvl="0" w:tplc="59125E76">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CF2302"/>
    <w:multiLevelType w:val="hybridMultilevel"/>
    <w:tmpl w:val="FD8475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47424C"/>
    <w:multiLevelType w:val="hybridMultilevel"/>
    <w:tmpl w:val="7AEE9BCA"/>
    <w:lvl w:ilvl="0" w:tplc="400EC1F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A54BFD"/>
    <w:multiLevelType w:val="hybridMultilevel"/>
    <w:tmpl w:val="323EECC6"/>
    <w:lvl w:ilvl="0" w:tplc="FB26AB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CC54419"/>
    <w:multiLevelType w:val="hybridMultilevel"/>
    <w:tmpl w:val="FC9EC5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3A4036"/>
    <w:multiLevelType w:val="hybridMultilevel"/>
    <w:tmpl w:val="4E2C810A"/>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38525253"/>
    <w:multiLevelType w:val="hybridMultilevel"/>
    <w:tmpl w:val="1BD4DDE4"/>
    <w:lvl w:ilvl="0" w:tplc="A9CEAF78">
      <w:start w:val="1"/>
      <w:numFmt w:val="lowerLetter"/>
      <w:lvlText w:val="%1)"/>
      <w:lvlJc w:val="left"/>
      <w:pPr>
        <w:ind w:left="1080" w:hanging="360"/>
      </w:pPr>
      <w:rPr>
        <w:rFonts w:cstheme="minorBidi" w:hint="default"/>
        <w:i w:val="0"/>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15:restartNumberingAfterBreak="0">
    <w:nsid w:val="5200003A"/>
    <w:multiLevelType w:val="hybridMultilevel"/>
    <w:tmpl w:val="BD8E9B9A"/>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8" w15:restartNumberingAfterBreak="0">
    <w:nsid w:val="57F509B6"/>
    <w:multiLevelType w:val="hybridMultilevel"/>
    <w:tmpl w:val="1D7C9748"/>
    <w:lvl w:ilvl="0" w:tplc="DBACEA8E">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D02630A"/>
    <w:multiLevelType w:val="hybridMultilevel"/>
    <w:tmpl w:val="0F382758"/>
    <w:lvl w:ilvl="0" w:tplc="52805C30">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15:restartNumberingAfterBreak="0">
    <w:nsid w:val="5DDA2B8A"/>
    <w:multiLevelType w:val="hybridMultilevel"/>
    <w:tmpl w:val="74185B90"/>
    <w:lvl w:ilvl="0" w:tplc="DEE21F92">
      <w:start w:val="1"/>
      <w:numFmt w:val="decimal"/>
      <w:lvlText w:val="%1."/>
      <w:lvlJc w:val="left"/>
      <w:pPr>
        <w:ind w:left="720" w:hanging="360"/>
      </w:pPr>
      <w:rPr>
        <w:rFonts w:eastAsia="Times New Roman"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F33512E"/>
    <w:multiLevelType w:val="hybridMultilevel"/>
    <w:tmpl w:val="F8740784"/>
    <w:lvl w:ilvl="0" w:tplc="AF90C65C">
      <w:start w:val="1"/>
      <w:numFmt w:val="decimal"/>
      <w:lvlText w:val="%1."/>
      <w:lvlJc w:val="left"/>
      <w:pPr>
        <w:ind w:left="720" w:hanging="360"/>
      </w:pPr>
      <w:rPr>
        <w:rFonts w:ascii="Arial" w:hAnsi="Arial" w:cs="Aria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8"/>
  </w:num>
  <w:num w:numId="2">
    <w:abstractNumId w:val="0"/>
  </w:num>
  <w:num w:numId="3">
    <w:abstractNumId w:val="10"/>
  </w:num>
  <w:num w:numId="4">
    <w:abstractNumId w:val="1"/>
  </w:num>
  <w:num w:numId="5">
    <w:abstractNumId w:val="4"/>
  </w:num>
  <w:num w:numId="6">
    <w:abstractNumId w:val="3"/>
  </w:num>
  <w:num w:numId="7">
    <w:abstractNumId w:val="7"/>
  </w:num>
  <w:num w:numId="8">
    <w:abstractNumId w:val="9"/>
  </w:num>
  <w:num w:numId="9">
    <w:abstractNumId w:val="6"/>
  </w:num>
  <w:num w:numId="10">
    <w:abstractNumId w:val="5"/>
  </w:num>
  <w:num w:numId="11">
    <w:abstractNumId w:val="2"/>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7SwsDA1MzQyMjExNjFX0lEKTi0uzszPAykwqgUANf8QkywAAAA="/>
  </w:docVars>
  <w:rsids>
    <w:rsidRoot w:val="005C1AFE"/>
    <w:rsid w:val="000015F4"/>
    <w:rsid w:val="000070F8"/>
    <w:rsid w:val="00012A99"/>
    <w:rsid w:val="0002091A"/>
    <w:rsid w:val="000462F8"/>
    <w:rsid w:val="000639A4"/>
    <w:rsid w:val="00074F01"/>
    <w:rsid w:val="000802A4"/>
    <w:rsid w:val="00096643"/>
    <w:rsid w:val="000A7390"/>
    <w:rsid w:val="000B2DC6"/>
    <w:rsid w:val="000D58FC"/>
    <w:rsid w:val="000E0FDF"/>
    <w:rsid w:val="00110586"/>
    <w:rsid w:val="001334B7"/>
    <w:rsid w:val="0014645A"/>
    <w:rsid w:val="001568BC"/>
    <w:rsid w:val="00162B85"/>
    <w:rsid w:val="001919E7"/>
    <w:rsid w:val="001D42FA"/>
    <w:rsid w:val="001E1EFB"/>
    <w:rsid w:val="001F23B7"/>
    <w:rsid w:val="001F31FC"/>
    <w:rsid w:val="001F453A"/>
    <w:rsid w:val="001F6D3D"/>
    <w:rsid w:val="00213E94"/>
    <w:rsid w:val="00227106"/>
    <w:rsid w:val="0024324E"/>
    <w:rsid w:val="002862BC"/>
    <w:rsid w:val="002976B5"/>
    <w:rsid w:val="002A05D6"/>
    <w:rsid w:val="002A4C6E"/>
    <w:rsid w:val="002B4F1F"/>
    <w:rsid w:val="002B6FF0"/>
    <w:rsid w:val="002C6201"/>
    <w:rsid w:val="002D1711"/>
    <w:rsid w:val="002E2D59"/>
    <w:rsid w:val="002E343A"/>
    <w:rsid w:val="003027A8"/>
    <w:rsid w:val="003060D5"/>
    <w:rsid w:val="0033255F"/>
    <w:rsid w:val="0033779C"/>
    <w:rsid w:val="00344AE0"/>
    <w:rsid w:val="00375560"/>
    <w:rsid w:val="003D1C27"/>
    <w:rsid w:val="003D2F1F"/>
    <w:rsid w:val="003D7B6A"/>
    <w:rsid w:val="004011E1"/>
    <w:rsid w:val="00417EA7"/>
    <w:rsid w:val="0042424A"/>
    <w:rsid w:val="0044682C"/>
    <w:rsid w:val="00474E38"/>
    <w:rsid w:val="004B7EBB"/>
    <w:rsid w:val="004C6483"/>
    <w:rsid w:val="004F6465"/>
    <w:rsid w:val="00502885"/>
    <w:rsid w:val="00516674"/>
    <w:rsid w:val="00543D99"/>
    <w:rsid w:val="00552602"/>
    <w:rsid w:val="00553C23"/>
    <w:rsid w:val="005606FA"/>
    <w:rsid w:val="005923B6"/>
    <w:rsid w:val="005926AE"/>
    <w:rsid w:val="005A05E7"/>
    <w:rsid w:val="005C1AFE"/>
    <w:rsid w:val="00615FB5"/>
    <w:rsid w:val="00627FBF"/>
    <w:rsid w:val="00650042"/>
    <w:rsid w:val="0065433D"/>
    <w:rsid w:val="00660896"/>
    <w:rsid w:val="0067340F"/>
    <w:rsid w:val="00674ACF"/>
    <w:rsid w:val="00681336"/>
    <w:rsid w:val="00692548"/>
    <w:rsid w:val="006B1412"/>
    <w:rsid w:val="00725DDB"/>
    <w:rsid w:val="00734560"/>
    <w:rsid w:val="00737412"/>
    <w:rsid w:val="00737554"/>
    <w:rsid w:val="00755BD6"/>
    <w:rsid w:val="00765C37"/>
    <w:rsid w:val="007769C4"/>
    <w:rsid w:val="007E6727"/>
    <w:rsid w:val="007F4827"/>
    <w:rsid w:val="0080372F"/>
    <w:rsid w:val="0083094F"/>
    <w:rsid w:val="00866328"/>
    <w:rsid w:val="00874D25"/>
    <w:rsid w:val="00891D87"/>
    <w:rsid w:val="0089499D"/>
    <w:rsid w:val="008B74D6"/>
    <w:rsid w:val="008F5832"/>
    <w:rsid w:val="008F661A"/>
    <w:rsid w:val="009114F9"/>
    <w:rsid w:val="00965EA7"/>
    <w:rsid w:val="00983DF8"/>
    <w:rsid w:val="00985F9F"/>
    <w:rsid w:val="009E4888"/>
    <w:rsid w:val="009F0F06"/>
    <w:rsid w:val="00A01CDC"/>
    <w:rsid w:val="00A030F6"/>
    <w:rsid w:val="00A050E8"/>
    <w:rsid w:val="00A260E6"/>
    <w:rsid w:val="00A527A8"/>
    <w:rsid w:val="00A623BA"/>
    <w:rsid w:val="00A7364F"/>
    <w:rsid w:val="00A86321"/>
    <w:rsid w:val="00AB2EF9"/>
    <w:rsid w:val="00AD5A88"/>
    <w:rsid w:val="00AD6011"/>
    <w:rsid w:val="00AE5DBC"/>
    <w:rsid w:val="00B04AE9"/>
    <w:rsid w:val="00B34C49"/>
    <w:rsid w:val="00B532CD"/>
    <w:rsid w:val="00B540FF"/>
    <w:rsid w:val="00B60490"/>
    <w:rsid w:val="00B67186"/>
    <w:rsid w:val="00B721D1"/>
    <w:rsid w:val="00BA2FB6"/>
    <w:rsid w:val="00BA7D9A"/>
    <w:rsid w:val="00BE283D"/>
    <w:rsid w:val="00BE6002"/>
    <w:rsid w:val="00C15884"/>
    <w:rsid w:val="00C22492"/>
    <w:rsid w:val="00C237AD"/>
    <w:rsid w:val="00C24443"/>
    <w:rsid w:val="00C30823"/>
    <w:rsid w:val="00C37AD5"/>
    <w:rsid w:val="00C57A7C"/>
    <w:rsid w:val="00C7616B"/>
    <w:rsid w:val="00CA7442"/>
    <w:rsid w:val="00CB55D8"/>
    <w:rsid w:val="00CD4288"/>
    <w:rsid w:val="00CE35A1"/>
    <w:rsid w:val="00CE580D"/>
    <w:rsid w:val="00CF3B28"/>
    <w:rsid w:val="00CF3F64"/>
    <w:rsid w:val="00D165E8"/>
    <w:rsid w:val="00D22A07"/>
    <w:rsid w:val="00D2433A"/>
    <w:rsid w:val="00D4130B"/>
    <w:rsid w:val="00D516F7"/>
    <w:rsid w:val="00D57342"/>
    <w:rsid w:val="00D97350"/>
    <w:rsid w:val="00DB1BAD"/>
    <w:rsid w:val="00DC7EBA"/>
    <w:rsid w:val="00DF7800"/>
    <w:rsid w:val="00E04BC5"/>
    <w:rsid w:val="00E10FF8"/>
    <w:rsid w:val="00E419BE"/>
    <w:rsid w:val="00E44913"/>
    <w:rsid w:val="00EA3BF1"/>
    <w:rsid w:val="00ED2F98"/>
    <w:rsid w:val="00EF356D"/>
    <w:rsid w:val="00EF706E"/>
    <w:rsid w:val="00F00EAC"/>
    <w:rsid w:val="00F056DE"/>
    <w:rsid w:val="00F24D34"/>
    <w:rsid w:val="00F35C44"/>
    <w:rsid w:val="00F64B20"/>
    <w:rsid w:val="00F77A34"/>
    <w:rsid w:val="00FA0DC8"/>
    <w:rsid w:val="00FB527B"/>
    <w:rsid w:val="00FB7589"/>
    <w:rsid w:val="00FC17F0"/>
    <w:rsid w:val="00FD29E2"/>
    <w:rsid w:val="00FF14E0"/>
    <w:rsid w:val="00FF32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2D9D4C-7488-4D6E-9C43-1DD87FE48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1AFE"/>
    <w:pPr>
      <w:ind w:left="720"/>
      <w:contextualSpacing/>
    </w:pPr>
  </w:style>
  <w:style w:type="paragraph" w:styleId="FootnoteText">
    <w:name w:val="footnote text"/>
    <w:basedOn w:val="Normal"/>
    <w:link w:val="FootnoteTextChar"/>
    <w:uiPriority w:val="99"/>
    <w:unhideWhenUsed/>
    <w:rsid w:val="00516674"/>
    <w:pPr>
      <w:spacing w:after="0" w:line="240" w:lineRule="auto"/>
    </w:pPr>
    <w:rPr>
      <w:rFonts w:asciiTheme="minorHAnsi" w:hAnsiTheme="minorHAnsi" w:cstheme="minorBidi"/>
      <w:sz w:val="20"/>
      <w:szCs w:val="20"/>
      <w:lang w:val="en-GB"/>
    </w:rPr>
  </w:style>
  <w:style w:type="character" w:customStyle="1" w:styleId="FootnoteTextChar">
    <w:name w:val="Footnote Text Char"/>
    <w:basedOn w:val="DefaultParagraphFont"/>
    <w:link w:val="FootnoteText"/>
    <w:uiPriority w:val="99"/>
    <w:rsid w:val="00516674"/>
    <w:rPr>
      <w:rFonts w:asciiTheme="minorHAnsi" w:hAnsiTheme="minorHAnsi" w:cstheme="minorBidi"/>
      <w:sz w:val="20"/>
      <w:szCs w:val="20"/>
      <w:lang w:val="en-GB"/>
    </w:rPr>
  </w:style>
  <w:style w:type="character" w:styleId="FootnoteReference">
    <w:name w:val="footnote reference"/>
    <w:basedOn w:val="DefaultParagraphFont"/>
    <w:uiPriority w:val="99"/>
    <w:unhideWhenUsed/>
    <w:rsid w:val="00516674"/>
    <w:rPr>
      <w:vertAlign w:val="superscript"/>
    </w:rPr>
  </w:style>
  <w:style w:type="table" w:styleId="TableGrid">
    <w:name w:val="Table Grid"/>
    <w:basedOn w:val="TableNormal"/>
    <w:uiPriority w:val="39"/>
    <w:rsid w:val="00552602"/>
    <w:pPr>
      <w:spacing w:after="0" w:line="240" w:lineRule="auto"/>
    </w:pPr>
    <w:rPr>
      <w:rFonts w:asciiTheme="minorHAnsi" w:hAnsiTheme="minorHAnsi" w:cstheme="minorBidi"/>
      <w:sz w:val="22"/>
      <w:szCs w:val="22"/>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control-static">
    <w:name w:val="form-control-static"/>
    <w:basedOn w:val="Normal"/>
    <w:rsid w:val="00552602"/>
    <w:pPr>
      <w:spacing w:before="100" w:beforeAutospacing="1" w:after="100" w:afterAutospacing="1" w:line="240" w:lineRule="auto"/>
    </w:pPr>
    <w:rPr>
      <w:rFonts w:ascii="Times New Roman" w:eastAsia="Times New Roman" w:hAnsi="Times New Roman" w:cs="Times New Roman"/>
    </w:rPr>
  </w:style>
  <w:style w:type="paragraph" w:styleId="NormalWeb">
    <w:name w:val="Normal (Web)"/>
    <w:basedOn w:val="Normal"/>
    <w:uiPriority w:val="99"/>
    <w:unhideWhenUsed/>
    <w:rsid w:val="00552602"/>
    <w:pPr>
      <w:spacing w:before="100" w:beforeAutospacing="1" w:after="100" w:afterAutospacing="1" w:line="240" w:lineRule="auto"/>
    </w:pPr>
    <w:rPr>
      <w:rFonts w:ascii="Times New Roman" w:eastAsia="Times New Roman" w:hAnsi="Times New Roman" w:cs="Times New Roman"/>
    </w:rPr>
  </w:style>
  <w:style w:type="paragraph" w:styleId="BodyText">
    <w:name w:val="Body Text"/>
    <w:basedOn w:val="Normal"/>
    <w:link w:val="BodyTextChar"/>
    <w:rsid w:val="00552602"/>
    <w:pPr>
      <w:spacing w:after="0" w:line="240" w:lineRule="auto"/>
      <w:jc w:val="center"/>
    </w:pPr>
    <w:rPr>
      <w:rFonts w:ascii="Times New Roman" w:eastAsia="Times New Roman" w:hAnsi="Times New Roman" w:cs="Times New Roman"/>
      <w:lang w:val="en-GB"/>
    </w:rPr>
  </w:style>
  <w:style w:type="character" w:customStyle="1" w:styleId="BodyTextChar">
    <w:name w:val="Body Text Char"/>
    <w:basedOn w:val="DefaultParagraphFont"/>
    <w:link w:val="BodyText"/>
    <w:rsid w:val="00552602"/>
    <w:rPr>
      <w:rFonts w:ascii="Times New Roman" w:eastAsia="Times New Roman" w:hAnsi="Times New Roman" w:cs="Times New Roman"/>
      <w:lang w:val="en-GB"/>
    </w:rPr>
  </w:style>
  <w:style w:type="paragraph" w:styleId="BalloonText">
    <w:name w:val="Balloon Text"/>
    <w:basedOn w:val="Normal"/>
    <w:link w:val="BalloonTextChar"/>
    <w:uiPriority w:val="99"/>
    <w:semiHidden/>
    <w:unhideWhenUsed/>
    <w:rsid w:val="00FC17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17F0"/>
    <w:rPr>
      <w:rFonts w:ascii="Segoe UI" w:hAnsi="Segoe UI" w:cs="Segoe UI"/>
      <w:sz w:val="18"/>
      <w:szCs w:val="18"/>
    </w:rPr>
  </w:style>
  <w:style w:type="paragraph" w:styleId="Header">
    <w:name w:val="header"/>
    <w:basedOn w:val="Normal"/>
    <w:link w:val="HeaderChar"/>
    <w:uiPriority w:val="99"/>
    <w:unhideWhenUsed/>
    <w:rsid w:val="003377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779C"/>
  </w:style>
  <w:style w:type="paragraph" w:styleId="Footer">
    <w:name w:val="footer"/>
    <w:basedOn w:val="Normal"/>
    <w:link w:val="FooterChar"/>
    <w:uiPriority w:val="99"/>
    <w:unhideWhenUsed/>
    <w:rsid w:val="003377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779C"/>
  </w:style>
  <w:style w:type="character" w:styleId="Hyperlink">
    <w:name w:val="Hyperlink"/>
    <w:basedOn w:val="DefaultParagraphFont"/>
    <w:uiPriority w:val="99"/>
    <w:semiHidden/>
    <w:unhideWhenUsed/>
    <w:rsid w:val="00012A99"/>
    <w:rPr>
      <w:color w:val="0000FF"/>
      <w:u w:val="single"/>
    </w:rPr>
  </w:style>
  <w:style w:type="paragraph" w:styleId="PlainText">
    <w:name w:val="Plain Text"/>
    <w:basedOn w:val="Normal"/>
    <w:link w:val="PlainTextChar"/>
    <w:uiPriority w:val="99"/>
    <w:semiHidden/>
    <w:unhideWhenUsed/>
    <w:rsid w:val="00BE283D"/>
    <w:pPr>
      <w:spacing w:after="0" w:line="240" w:lineRule="auto"/>
    </w:pPr>
    <w:rPr>
      <w:rFonts w:ascii="Calibri" w:eastAsia="MS Mincho" w:hAnsi="Calibri" w:cs="Times New Roman"/>
      <w:sz w:val="22"/>
      <w:szCs w:val="21"/>
    </w:rPr>
  </w:style>
  <w:style w:type="character" w:customStyle="1" w:styleId="PlainTextChar">
    <w:name w:val="Plain Text Char"/>
    <w:basedOn w:val="DefaultParagraphFont"/>
    <w:link w:val="PlainText"/>
    <w:uiPriority w:val="99"/>
    <w:semiHidden/>
    <w:rsid w:val="00BE283D"/>
    <w:rPr>
      <w:rFonts w:ascii="Calibri" w:eastAsia="MS Mincho" w:hAnsi="Calibri" w:cs="Times New Roman"/>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8007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2021-12-02T18:30:00+00:00</Judgment_x0020_Date>
    <Year xmlns="c1afb1bd-f2fb-40fd-9abb-aea55b4d7662">2021</Year>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3EDDE7-5CDF-499C-A28E-942CD9A7BA56}">
  <ds:schemaRefs>
    <ds:schemaRef ds:uri="http://schemas.microsoft.com/sharepoint/v3/contenttype/forms"/>
  </ds:schemaRefs>
</ds:datastoreItem>
</file>

<file path=customXml/itemProps2.xml><?xml version="1.0" encoding="utf-8"?>
<ds:datastoreItem xmlns:ds="http://schemas.openxmlformats.org/officeDocument/2006/customXml" ds:itemID="{BD0AF18F-124D-441D-A7DD-B4C0CBD76D0E}">
  <ds:schemaRefs>
    <ds:schemaRef ds:uri="http://schemas.microsoft.com/office/2006/metadata/properties"/>
    <ds:schemaRef ds:uri="http://schemas.microsoft.com/office/infopath/2007/PartnerControls"/>
    <ds:schemaRef ds:uri="17a0f4bd-1162-49ac-b85f-dfe96a90bc01"/>
    <ds:schemaRef ds:uri="c1afb1bd-f2fb-40fd-9abb-aea55b4d7662"/>
  </ds:schemaRefs>
</ds:datastoreItem>
</file>

<file path=customXml/itemProps3.xml><?xml version="1.0" encoding="utf-8"?>
<ds:datastoreItem xmlns:ds="http://schemas.openxmlformats.org/officeDocument/2006/customXml" ds:itemID="{84AF6E0C-C8C1-4E45-9A7A-E3D2196BE6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a0f4bd-1162-49ac-b85f-dfe96a90bc01"/>
    <ds:schemaRef ds:uri="c1afb1bd-f2fb-40fd-9abb-aea55b4d76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719B6EE-3810-4B7F-9141-747D153FB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1099</Words>
  <Characters>6270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Pamo Trading Enterprises CC v Tender Board of Namibia (HC-MD-CIV-ACT-DEL-2020-02891) [2021] NAHCMD 566 (03 December 2021)</vt:lpstr>
    </vt:vector>
  </TitlesOfParts>
  <Company/>
  <LinksUpToDate>false</LinksUpToDate>
  <CharactersWithSpaces>7355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Pamo Trading Enterprises CC v Tender Board of Namibia (HC-MD-CIV-ACT-DEL-2020-02891) [2021] NAHCMD 566 (03 December 2021)</dc:title>
  <dc:subject/>
  <dc:creator>Prinsloo Hannelie</dc:creator>
  <cp:keywords/>
  <dc:description/>
  <cp:lastModifiedBy>HOME</cp:lastModifiedBy>
  <cp:revision>2</cp:revision>
  <cp:lastPrinted>2021-10-22T13:06:00Z</cp:lastPrinted>
  <dcterms:created xsi:type="dcterms:W3CDTF">2021-12-19T09:32:00Z</dcterms:created>
  <dcterms:modified xsi:type="dcterms:W3CDTF">2021-12-19T09:32:00Z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