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C37" w:rsidRPr="00B55BB2" w:rsidRDefault="00765C37" w:rsidP="00765C37">
      <w:pPr>
        <w:spacing w:after="0" w:line="360" w:lineRule="auto"/>
        <w:jc w:val="both"/>
        <w:rPr>
          <w:b/>
          <w:color w:val="000000" w:themeColor="text1"/>
        </w:rPr>
      </w:pPr>
      <w:bookmarkStart w:id="0" w:name="_GoBack"/>
      <w:bookmarkEnd w:id="0"/>
      <w:r w:rsidRPr="00B55BB2">
        <w:rPr>
          <w:b/>
          <w:noProof/>
          <w:color w:val="000000" w:themeColor="text1"/>
          <w:lang w:val="en-ZA" w:eastAsia="en-ZA"/>
        </w:rPr>
        <w:drawing>
          <wp:anchor distT="0" distB="0" distL="114300" distR="114300" simplePos="0" relativeHeight="251659264" behindDoc="0" locked="0" layoutInCell="1" allowOverlap="1" wp14:anchorId="369DF638" wp14:editId="64FB9D61">
            <wp:simplePos x="0" y="0"/>
            <wp:positionH relativeFrom="margin">
              <wp:posOffset>2381250</wp:posOffset>
            </wp:positionH>
            <wp:positionV relativeFrom="paragraph">
              <wp:posOffset>0</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765C37" w:rsidRPr="00B55BB2" w:rsidRDefault="00765C37" w:rsidP="00765C37">
      <w:pPr>
        <w:spacing w:after="0" w:line="360" w:lineRule="auto"/>
        <w:jc w:val="both"/>
        <w:rPr>
          <w:b/>
          <w:color w:val="000000" w:themeColor="text1"/>
        </w:rPr>
      </w:pPr>
      <w:r w:rsidRPr="00B55BB2">
        <w:rPr>
          <w:b/>
          <w:color w:val="000000" w:themeColor="text1"/>
        </w:rPr>
        <w:tab/>
      </w:r>
      <w:r w:rsidRPr="00B55BB2">
        <w:rPr>
          <w:b/>
          <w:color w:val="000000" w:themeColor="text1"/>
        </w:rPr>
        <w:tab/>
      </w:r>
      <w:r w:rsidRPr="00B55BB2">
        <w:rPr>
          <w:b/>
          <w:color w:val="000000" w:themeColor="text1"/>
        </w:rPr>
        <w:tab/>
      </w:r>
      <w:r w:rsidRPr="00B55BB2">
        <w:rPr>
          <w:b/>
          <w:color w:val="000000" w:themeColor="text1"/>
        </w:rPr>
        <w:tab/>
      </w:r>
      <w:r w:rsidRPr="00B55BB2">
        <w:rPr>
          <w:b/>
          <w:color w:val="000000" w:themeColor="text1"/>
        </w:rPr>
        <w:tab/>
      </w:r>
    </w:p>
    <w:p w:rsidR="00765C37" w:rsidRPr="00B55BB2" w:rsidRDefault="00765C37" w:rsidP="00765C37">
      <w:pPr>
        <w:spacing w:after="0" w:line="360" w:lineRule="auto"/>
        <w:jc w:val="both"/>
        <w:rPr>
          <w:b/>
          <w:color w:val="000000" w:themeColor="text1"/>
        </w:rPr>
      </w:pPr>
    </w:p>
    <w:p w:rsidR="00765C37" w:rsidRPr="00B55BB2" w:rsidRDefault="00765C37" w:rsidP="00765C37">
      <w:pPr>
        <w:spacing w:after="0" w:line="360" w:lineRule="auto"/>
        <w:jc w:val="both"/>
        <w:rPr>
          <w:b/>
          <w:color w:val="000000" w:themeColor="text1"/>
        </w:rPr>
      </w:pPr>
    </w:p>
    <w:p w:rsidR="00765C37" w:rsidRPr="00B55BB2" w:rsidRDefault="00765C37" w:rsidP="00765C37">
      <w:pPr>
        <w:spacing w:after="0" w:line="360" w:lineRule="auto"/>
        <w:jc w:val="both"/>
        <w:rPr>
          <w:b/>
          <w:color w:val="000000" w:themeColor="text1"/>
        </w:rPr>
      </w:pPr>
    </w:p>
    <w:p w:rsidR="00765C37" w:rsidRPr="00B55BB2" w:rsidRDefault="00765C37" w:rsidP="00765C37">
      <w:pPr>
        <w:spacing w:after="0" w:line="360" w:lineRule="auto"/>
        <w:jc w:val="both"/>
        <w:rPr>
          <w:b/>
          <w:color w:val="000000" w:themeColor="text1"/>
        </w:rPr>
      </w:pPr>
    </w:p>
    <w:p w:rsidR="00765C37" w:rsidRPr="00B55BB2" w:rsidRDefault="00765C37" w:rsidP="00765C37">
      <w:pPr>
        <w:spacing w:after="0" w:line="360" w:lineRule="auto"/>
        <w:jc w:val="center"/>
        <w:rPr>
          <w:b/>
          <w:color w:val="000000" w:themeColor="text1"/>
        </w:rPr>
      </w:pPr>
      <w:r w:rsidRPr="00B55BB2">
        <w:rPr>
          <w:b/>
          <w:color w:val="000000" w:themeColor="text1"/>
        </w:rPr>
        <w:t>HIGH COURT OF NAMIBIA, MAIN DIVISION, WINDHOEK</w:t>
      </w:r>
    </w:p>
    <w:p w:rsidR="00765C37" w:rsidRPr="00B55BB2" w:rsidRDefault="00765C37" w:rsidP="00765C37">
      <w:pPr>
        <w:spacing w:after="0" w:line="360" w:lineRule="auto"/>
        <w:jc w:val="center"/>
        <w:rPr>
          <w:b/>
          <w:color w:val="000000" w:themeColor="text1"/>
        </w:rPr>
      </w:pPr>
    </w:p>
    <w:p w:rsidR="00552602" w:rsidRPr="00B55BB2" w:rsidRDefault="00552602" w:rsidP="00765C37">
      <w:pPr>
        <w:spacing w:after="0" w:line="360" w:lineRule="auto"/>
        <w:jc w:val="center"/>
        <w:rPr>
          <w:rFonts w:ascii="Arial Narrow" w:hAnsi="Arial Narrow"/>
          <w:color w:val="000000" w:themeColor="text1"/>
        </w:rPr>
      </w:pPr>
      <w:r w:rsidRPr="00B55BB2">
        <w:rPr>
          <w:rFonts w:ascii="Arial Narrow" w:hAnsi="Arial Narrow"/>
          <w:color w:val="000000" w:themeColor="text1"/>
        </w:rPr>
        <w:t>Practice Directive 61</w:t>
      </w:r>
    </w:p>
    <w:p w:rsidR="00552602" w:rsidRPr="00B55BB2" w:rsidRDefault="00552602" w:rsidP="001334B7">
      <w:pPr>
        <w:spacing w:after="0" w:line="360" w:lineRule="auto"/>
        <w:jc w:val="center"/>
        <w:rPr>
          <w:rFonts w:ascii="Arial Narrow" w:hAnsi="Arial Narrow"/>
          <w:b/>
          <w:color w:val="000000" w:themeColor="text1"/>
        </w:rPr>
      </w:pPr>
      <w:r w:rsidRPr="00B55BB2">
        <w:rPr>
          <w:rFonts w:ascii="Arial Narrow" w:hAnsi="Arial Narrow"/>
          <w:b/>
          <w:color w:val="000000" w:themeColor="text1"/>
        </w:rPr>
        <w:t>IN THE HIGH COURT OF NAMIBIA</w:t>
      </w:r>
    </w:p>
    <w:p w:rsidR="00552602" w:rsidRPr="00B55BB2" w:rsidRDefault="00552602" w:rsidP="001334B7">
      <w:pPr>
        <w:spacing w:after="0" w:line="360" w:lineRule="auto"/>
        <w:jc w:val="both"/>
        <w:rPr>
          <w:rFonts w:ascii="Arial Narrow" w:hAnsi="Arial Narrow"/>
          <w:color w:val="000000" w:themeColor="text1"/>
        </w:rPr>
      </w:pPr>
    </w:p>
    <w:tbl>
      <w:tblPr>
        <w:tblStyle w:val="TableGrid"/>
        <w:tblW w:w="10915" w:type="dxa"/>
        <w:tblInd w:w="-714" w:type="dxa"/>
        <w:tblLook w:val="04A0" w:firstRow="1" w:lastRow="0" w:firstColumn="1" w:lastColumn="0" w:noHBand="0" w:noVBand="1"/>
      </w:tblPr>
      <w:tblGrid>
        <w:gridCol w:w="5029"/>
        <w:gridCol w:w="2376"/>
        <w:gridCol w:w="3510"/>
      </w:tblGrid>
      <w:tr w:rsidR="00B55BB2" w:rsidRPr="00B55BB2" w:rsidTr="00681336">
        <w:trPr>
          <w:trHeight w:val="744"/>
        </w:trPr>
        <w:tc>
          <w:tcPr>
            <w:tcW w:w="7405" w:type="dxa"/>
            <w:gridSpan w:val="2"/>
            <w:vMerge w:val="restart"/>
          </w:tcPr>
          <w:p w:rsidR="000962A5" w:rsidRPr="00B55BB2" w:rsidRDefault="00552602" w:rsidP="000962A5">
            <w:pPr>
              <w:spacing w:line="360" w:lineRule="auto"/>
              <w:jc w:val="both"/>
              <w:rPr>
                <w:rFonts w:ascii="Arial Narrow" w:hAnsi="Arial Narrow" w:cs="Arial"/>
                <w:color w:val="000000" w:themeColor="text1"/>
                <w:sz w:val="24"/>
                <w:szCs w:val="24"/>
              </w:rPr>
            </w:pPr>
            <w:r w:rsidRPr="00B55BB2">
              <w:rPr>
                <w:rFonts w:ascii="Arial Narrow" w:hAnsi="Arial Narrow" w:cs="Arial"/>
                <w:b/>
                <w:color w:val="000000" w:themeColor="text1"/>
                <w:sz w:val="24"/>
                <w:szCs w:val="24"/>
              </w:rPr>
              <w:t>Case Title:</w:t>
            </w:r>
          </w:p>
          <w:p w:rsidR="000962A5" w:rsidRPr="00B55BB2" w:rsidRDefault="000962A5" w:rsidP="000962A5">
            <w:pPr>
              <w:spacing w:line="360" w:lineRule="auto"/>
              <w:jc w:val="both"/>
              <w:rPr>
                <w:rFonts w:ascii="Arial Narrow" w:hAnsi="Arial Narrow" w:cs="Arial"/>
                <w:color w:val="000000" w:themeColor="text1"/>
                <w:sz w:val="24"/>
                <w:szCs w:val="24"/>
              </w:rPr>
            </w:pPr>
            <w:r w:rsidRPr="00B55BB2">
              <w:rPr>
                <w:rFonts w:ascii="Arial Narrow" w:hAnsi="Arial Narrow" w:cs="Arial"/>
                <w:color w:val="000000" w:themeColor="text1"/>
                <w:sz w:val="24"/>
                <w:szCs w:val="24"/>
              </w:rPr>
              <w:t xml:space="preserve">JOHANNA KAHATJIPARA </w:t>
            </w:r>
          </w:p>
          <w:p w:rsidR="0044682C" w:rsidRPr="00B55BB2" w:rsidRDefault="0014645A" w:rsidP="000962A5">
            <w:pPr>
              <w:spacing w:line="360" w:lineRule="auto"/>
              <w:jc w:val="both"/>
              <w:rPr>
                <w:rFonts w:ascii="Arial Narrow" w:hAnsi="Arial Narrow" w:cs="Arial"/>
                <w:color w:val="000000" w:themeColor="text1"/>
                <w:sz w:val="24"/>
                <w:szCs w:val="24"/>
              </w:rPr>
            </w:pPr>
            <w:r w:rsidRPr="00B55BB2">
              <w:rPr>
                <w:rFonts w:ascii="Arial Narrow" w:eastAsia="Times New Roman" w:hAnsi="Arial Narrow" w:cs="Arial"/>
                <w:color w:val="000000" w:themeColor="text1"/>
                <w:sz w:val="24"/>
                <w:szCs w:val="24"/>
                <w:lang w:val="en-GB"/>
              </w:rPr>
              <w:t>v</w:t>
            </w:r>
          </w:p>
          <w:p w:rsidR="00765C37" w:rsidRPr="00B55BB2" w:rsidRDefault="000962A5" w:rsidP="00765C37">
            <w:pPr>
              <w:tabs>
                <w:tab w:val="left" w:pos="6750"/>
              </w:tabs>
              <w:spacing w:line="360" w:lineRule="auto"/>
              <w:jc w:val="both"/>
              <w:rPr>
                <w:rFonts w:ascii="Arial Narrow" w:hAnsi="Arial Narrow" w:cs="Arial"/>
                <w:color w:val="000000" w:themeColor="text1"/>
                <w:sz w:val="24"/>
                <w:szCs w:val="24"/>
              </w:rPr>
            </w:pPr>
            <w:r w:rsidRPr="00B55BB2">
              <w:rPr>
                <w:rFonts w:ascii="Arial Narrow" w:hAnsi="Arial Narrow" w:cs="Arial"/>
                <w:color w:val="000000" w:themeColor="text1"/>
                <w:sz w:val="24"/>
                <w:szCs w:val="24"/>
              </w:rPr>
              <w:t>FIRST</w:t>
            </w:r>
            <w:r w:rsidR="00A4236D" w:rsidRPr="00B55BB2">
              <w:rPr>
                <w:rFonts w:ascii="Arial Narrow" w:hAnsi="Arial Narrow" w:cs="Arial"/>
                <w:color w:val="000000" w:themeColor="text1"/>
                <w:sz w:val="24"/>
                <w:szCs w:val="24"/>
              </w:rPr>
              <w:t xml:space="preserve"> </w:t>
            </w:r>
            <w:r w:rsidRPr="00B55BB2">
              <w:rPr>
                <w:rFonts w:ascii="Arial Narrow" w:hAnsi="Arial Narrow" w:cs="Arial"/>
                <w:color w:val="000000" w:themeColor="text1"/>
                <w:sz w:val="24"/>
                <w:szCs w:val="24"/>
              </w:rPr>
              <w:t>NATIONAL BANK</w:t>
            </w:r>
            <w:r w:rsidR="00FD29E2" w:rsidRPr="00B55BB2">
              <w:rPr>
                <w:rFonts w:ascii="Arial Narrow" w:hAnsi="Arial Narrow" w:cs="Arial"/>
                <w:color w:val="000000" w:themeColor="text1"/>
                <w:sz w:val="24"/>
                <w:szCs w:val="24"/>
              </w:rPr>
              <w:t xml:space="preserve"> OF NAMIBIA</w:t>
            </w:r>
            <w:r w:rsidRPr="00B55BB2">
              <w:rPr>
                <w:rFonts w:ascii="Arial Narrow" w:hAnsi="Arial Narrow" w:cs="Arial"/>
                <w:color w:val="000000" w:themeColor="text1"/>
                <w:sz w:val="24"/>
                <w:szCs w:val="24"/>
              </w:rPr>
              <w:t xml:space="preserve"> LIMITED</w:t>
            </w:r>
            <w:r w:rsidR="00FD29E2" w:rsidRPr="00B55BB2">
              <w:rPr>
                <w:rFonts w:ascii="Arial" w:hAnsi="Arial" w:cs="Arial"/>
                <w:b/>
                <w:color w:val="000000" w:themeColor="text1"/>
                <w:sz w:val="24"/>
                <w:szCs w:val="24"/>
              </w:rPr>
              <w:tab/>
            </w:r>
            <w:r w:rsidR="00765C37" w:rsidRPr="00B55BB2">
              <w:rPr>
                <w:rFonts w:ascii="Arial Narrow" w:hAnsi="Arial Narrow" w:cs="Arial"/>
                <w:color w:val="000000" w:themeColor="text1"/>
                <w:sz w:val="24"/>
                <w:szCs w:val="24"/>
              </w:rPr>
              <w:tab/>
            </w:r>
          </w:p>
        </w:tc>
        <w:tc>
          <w:tcPr>
            <w:tcW w:w="3510" w:type="dxa"/>
          </w:tcPr>
          <w:p w:rsidR="00552602" w:rsidRPr="00B55BB2" w:rsidRDefault="00552602" w:rsidP="001334B7">
            <w:pPr>
              <w:spacing w:line="360" w:lineRule="auto"/>
              <w:jc w:val="both"/>
              <w:rPr>
                <w:rFonts w:ascii="Arial Narrow" w:hAnsi="Arial Narrow" w:cs="Arial"/>
                <w:color w:val="000000" w:themeColor="text1"/>
                <w:sz w:val="24"/>
                <w:szCs w:val="24"/>
              </w:rPr>
            </w:pPr>
            <w:r w:rsidRPr="00B55BB2">
              <w:rPr>
                <w:rFonts w:ascii="Arial Narrow" w:hAnsi="Arial Narrow" w:cs="Arial"/>
                <w:b/>
                <w:color w:val="000000" w:themeColor="text1"/>
                <w:sz w:val="24"/>
                <w:szCs w:val="24"/>
              </w:rPr>
              <w:t>Case No:</w:t>
            </w:r>
          </w:p>
          <w:p w:rsidR="00552602" w:rsidRPr="00B55BB2" w:rsidRDefault="000962A5" w:rsidP="005606FA">
            <w:pPr>
              <w:spacing w:line="360" w:lineRule="auto"/>
              <w:jc w:val="both"/>
              <w:rPr>
                <w:rFonts w:ascii="Arial Narrow" w:hAnsi="Arial Narrow" w:cs="Arial"/>
                <w:color w:val="000000" w:themeColor="text1"/>
                <w:sz w:val="24"/>
                <w:szCs w:val="24"/>
              </w:rPr>
            </w:pPr>
            <w:r w:rsidRPr="00B55BB2">
              <w:rPr>
                <w:rFonts w:ascii="Arial Narrow" w:hAnsi="Arial Narrow" w:cs="Open Sans"/>
                <w:color w:val="000000" w:themeColor="text1"/>
                <w:sz w:val="24"/>
                <w:szCs w:val="24"/>
                <w:shd w:val="clear" w:color="auto" w:fill="FFFFFF"/>
              </w:rPr>
              <w:t>HC-MD-CIV-ACT-CON-2019/05422</w:t>
            </w:r>
          </w:p>
        </w:tc>
      </w:tr>
      <w:tr w:rsidR="00B55BB2" w:rsidRPr="00B55BB2" w:rsidTr="00681336">
        <w:trPr>
          <w:trHeight w:val="844"/>
        </w:trPr>
        <w:tc>
          <w:tcPr>
            <w:tcW w:w="7405" w:type="dxa"/>
            <w:gridSpan w:val="2"/>
            <w:vMerge/>
          </w:tcPr>
          <w:p w:rsidR="00552602" w:rsidRPr="00B55BB2" w:rsidRDefault="00552602" w:rsidP="001334B7">
            <w:pPr>
              <w:spacing w:line="360" w:lineRule="auto"/>
              <w:jc w:val="both"/>
              <w:rPr>
                <w:rFonts w:ascii="Arial Narrow" w:hAnsi="Arial Narrow" w:cs="Arial"/>
                <w:color w:val="000000" w:themeColor="text1"/>
                <w:sz w:val="24"/>
                <w:szCs w:val="24"/>
              </w:rPr>
            </w:pPr>
          </w:p>
        </w:tc>
        <w:tc>
          <w:tcPr>
            <w:tcW w:w="3510" w:type="dxa"/>
          </w:tcPr>
          <w:p w:rsidR="00552602" w:rsidRPr="00B55BB2" w:rsidRDefault="00552602" w:rsidP="001334B7">
            <w:pPr>
              <w:spacing w:line="360" w:lineRule="auto"/>
              <w:jc w:val="both"/>
              <w:rPr>
                <w:rFonts w:ascii="Arial Narrow" w:hAnsi="Arial Narrow" w:cs="Arial"/>
                <w:color w:val="000000" w:themeColor="text1"/>
                <w:sz w:val="24"/>
                <w:szCs w:val="24"/>
              </w:rPr>
            </w:pPr>
            <w:r w:rsidRPr="00B55BB2">
              <w:rPr>
                <w:rFonts w:ascii="Arial Narrow" w:hAnsi="Arial Narrow" w:cs="Arial"/>
                <w:b/>
                <w:color w:val="000000" w:themeColor="text1"/>
                <w:sz w:val="24"/>
                <w:szCs w:val="24"/>
              </w:rPr>
              <w:t>Division of Court:</w:t>
            </w:r>
          </w:p>
          <w:p w:rsidR="00552602" w:rsidRPr="00B55BB2" w:rsidRDefault="00552602" w:rsidP="001334B7">
            <w:pPr>
              <w:spacing w:line="360" w:lineRule="auto"/>
              <w:jc w:val="both"/>
              <w:rPr>
                <w:rFonts w:ascii="Arial Narrow" w:hAnsi="Arial Narrow" w:cs="Arial"/>
                <w:color w:val="000000" w:themeColor="text1"/>
                <w:sz w:val="24"/>
                <w:szCs w:val="24"/>
              </w:rPr>
            </w:pPr>
            <w:r w:rsidRPr="00B55BB2">
              <w:rPr>
                <w:rFonts w:ascii="Arial Narrow" w:hAnsi="Arial Narrow" w:cs="Arial"/>
                <w:color w:val="000000" w:themeColor="text1"/>
                <w:sz w:val="24"/>
                <w:szCs w:val="24"/>
              </w:rPr>
              <w:t>HIGH COURT(MAIN DIVISION)</w:t>
            </w:r>
          </w:p>
        </w:tc>
      </w:tr>
      <w:tr w:rsidR="00B55BB2" w:rsidRPr="00B55BB2" w:rsidTr="00681336">
        <w:trPr>
          <w:trHeight w:val="645"/>
        </w:trPr>
        <w:tc>
          <w:tcPr>
            <w:tcW w:w="7405" w:type="dxa"/>
            <w:gridSpan w:val="2"/>
            <w:vMerge w:val="restart"/>
          </w:tcPr>
          <w:p w:rsidR="00552602" w:rsidRPr="00B55BB2" w:rsidRDefault="00552602" w:rsidP="001334B7">
            <w:pPr>
              <w:spacing w:line="360" w:lineRule="auto"/>
              <w:jc w:val="both"/>
              <w:rPr>
                <w:rFonts w:ascii="Arial Narrow" w:hAnsi="Arial Narrow" w:cs="Arial"/>
                <w:b/>
                <w:color w:val="000000" w:themeColor="text1"/>
                <w:sz w:val="24"/>
                <w:szCs w:val="24"/>
              </w:rPr>
            </w:pPr>
            <w:r w:rsidRPr="00B55BB2">
              <w:rPr>
                <w:rFonts w:ascii="Arial Narrow" w:hAnsi="Arial Narrow" w:cs="Arial"/>
                <w:b/>
                <w:color w:val="000000" w:themeColor="text1"/>
                <w:sz w:val="24"/>
                <w:szCs w:val="24"/>
              </w:rPr>
              <w:t>Heard before:</w:t>
            </w:r>
          </w:p>
          <w:p w:rsidR="00552602" w:rsidRPr="00B55BB2" w:rsidRDefault="00552602" w:rsidP="001334B7">
            <w:pPr>
              <w:spacing w:line="360" w:lineRule="auto"/>
              <w:jc w:val="both"/>
              <w:rPr>
                <w:rFonts w:ascii="Arial Narrow" w:hAnsi="Arial Narrow" w:cs="Arial"/>
                <w:color w:val="000000" w:themeColor="text1"/>
                <w:sz w:val="24"/>
                <w:szCs w:val="24"/>
              </w:rPr>
            </w:pPr>
            <w:r w:rsidRPr="00B55BB2">
              <w:rPr>
                <w:rFonts w:ascii="Arial Narrow" w:hAnsi="Arial Narrow" w:cs="Arial"/>
                <w:color w:val="000000" w:themeColor="text1"/>
                <w:sz w:val="24"/>
                <w:szCs w:val="24"/>
              </w:rPr>
              <w:t>HONOURABLE LADY JUSTICE PRINSLOO, JUDGE</w:t>
            </w:r>
          </w:p>
        </w:tc>
        <w:tc>
          <w:tcPr>
            <w:tcW w:w="3510" w:type="dxa"/>
          </w:tcPr>
          <w:p w:rsidR="00552602" w:rsidRPr="00B55BB2" w:rsidRDefault="00552602" w:rsidP="001334B7">
            <w:pPr>
              <w:spacing w:line="360" w:lineRule="auto"/>
              <w:jc w:val="both"/>
              <w:rPr>
                <w:rFonts w:ascii="Arial Narrow" w:hAnsi="Arial Narrow" w:cs="Arial"/>
                <w:b/>
                <w:color w:val="000000" w:themeColor="text1"/>
                <w:sz w:val="24"/>
                <w:szCs w:val="24"/>
              </w:rPr>
            </w:pPr>
            <w:r w:rsidRPr="00B55BB2">
              <w:rPr>
                <w:rFonts w:ascii="Arial Narrow" w:hAnsi="Arial Narrow" w:cs="Arial"/>
                <w:b/>
                <w:color w:val="000000" w:themeColor="text1"/>
                <w:sz w:val="24"/>
                <w:szCs w:val="24"/>
              </w:rPr>
              <w:t>Date of hearing:</w:t>
            </w:r>
          </w:p>
          <w:p w:rsidR="00552602" w:rsidRPr="00B55BB2" w:rsidRDefault="000962A5" w:rsidP="001334B7">
            <w:pPr>
              <w:spacing w:line="360" w:lineRule="auto"/>
              <w:rPr>
                <w:rFonts w:ascii="Arial Narrow" w:hAnsi="Arial Narrow" w:cs="Arial"/>
                <w:color w:val="000000" w:themeColor="text1"/>
                <w:sz w:val="24"/>
                <w:szCs w:val="24"/>
              </w:rPr>
            </w:pPr>
            <w:r w:rsidRPr="00B55BB2">
              <w:rPr>
                <w:rFonts w:ascii="Arial Narrow" w:hAnsi="Arial Narrow" w:cs="Arial"/>
                <w:color w:val="000000" w:themeColor="text1"/>
                <w:sz w:val="24"/>
                <w:szCs w:val="24"/>
              </w:rPr>
              <w:t>22 November</w:t>
            </w:r>
            <w:r w:rsidR="00E04BC5" w:rsidRPr="00B55BB2">
              <w:rPr>
                <w:rFonts w:ascii="Arial Narrow" w:hAnsi="Arial Narrow" w:cs="Arial"/>
                <w:color w:val="000000" w:themeColor="text1"/>
                <w:sz w:val="24"/>
                <w:szCs w:val="24"/>
              </w:rPr>
              <w:t xml:space="preserve"> 2021</w:t>
            </w:r>
          </w:p>
        </w:tc>
      </w:tr>
      <w:tr w:rsidR="00B55BB2" w:rsidRPr="00B55BB2" w:rsidTr="00681336">
        <w:trPr>
          <w:trHeight w:val="588"/>
        </w:trPr>
        <w:tc>
          <w:tcPr>
            <w:tcW w:w="7405" w:type="dxa"/>
            <w:gridSpan w:val="2"/>
            <w:vMerge/>
          </w:tcPr>
          <w:p w:rsidR="00552602" w:rsidRPr="00B55BB2" w:rsidRDefault="00552602" w:rsidP="001334B7">
            <w:pPr>
              <w:spacing w:line="360" w:lineRule="auto"/>
              <w:jc w:val="both"/>
              <w:rPr>
                <w:rFonts w:ascii="Arial Narrow" w:hAnsi="Arial Narrow" w:cs="Arial"/>
                <w:b/>
                <w:color w:val="000000" w:themeColor="text1"/>
                <w:sz w:val="24"/>
                <w:szCs w:val="24"/>
              </w:rPr>
            </w:pPr>
          </w:p>
        </w:tc>
        <w:tc>
          <w:tcPr>
            <w:tcW w:w="3510" w:type="dxa"/>
          </w:tcPr>
          <w:p w:rsidR="001334B7" w:rsidRPr="00B55BB2" w:rsidRDefault="00552602" w:rsidP="001334B7">
            <w:pPr>
              <w:spacing w:line="360" w:lineRule="auto"/>
              <w:jc w:val="both"/>
              <w:rPr>
                <w:rFonts w:ascii="Arial Narrow" w:hAnsi="Arial Narrow" w:cs="Arial"/>
                <w:b/>
                <w:color w:val="000000" w:themeColor="text1"/>
                <w:sz w:val="24"/>
                <w:szCs w:val="24"/>
              </w:rPr>
            </w:pPr>
            <w:r w:rsidRPr="00B55BB2">
              <w:rPr>
                <w:rFonts w:ascii="Arial Narrow" w:hAnsi="Arial Narrow" w:cs="Arial"/>
                <w:b/>
                <w:color w:val="000000" w:themeColor="text1"/>
                <w:sz w:val="24"/>
                <w:szCs w:val="24"/>
              </w:rPr>
              <w:t>Date of order:</w:t>
            </w:r>
            <w:r w:rsidR="00CA7442" w:rsidRPr="00B55BB2">
              <w:rPr>
                <w:rFonts w:ascii="Arial Narrow" w:hAnsi="Arial Narrow" w:cs="Arial"/>
                <w:b/>
                <w:color w:val="000000" w:themeColor="text1"/>
                <w:sz w:val="24"/>
                <w:szCs w:val="24"/>
              </w:rPr>
              <w:t xml:space="preserve"> </w:t>
            </w:r>
          </w:p>
          <w:p w:rsidR="00552602" w:rsidRPr="00B55BB2" w:rsidRDefault="000962A5" w:rsidP="0044682C">
            <w:pPr>
              <w:spacing w:line="360" w:lineRule="auto"/>
              <w:jc w:val="both"/>
              <w:rPr>
                <w:rFonts w:ascii="Arial Narrow" w:hAnsi="Arial Narrow" w:cs="Arial"/>
                <w:b/>
                <w:color w:val="000000" w:themeColor="text1"/>
                <w:sz w:val="24"/>
                <w:szCs w:val="24"/>
              </w:rPr>
            </w:pPr>
            <w:r w:rsidRPr="00B55BB2">
              <w:rPr>
                <w:rFonts w:ascii="Arial Narrow" w:hAnsi="Arial Narrow" w:cs="Arial"/>
                <w:color w:val="000000" w:themeColor="text1"/>
                <w:sz w:val="24"/>
                <w:szCs w:val="24"/>
              </w:rPr>
              <w:t>08 December</w:t>
            </w:r>
            <w:r w:rsidR="00E04BC5" w:rsidRPr="00B55BB2">
              <w:rPr>
                <w:rFonts w:ascii="Arial Narrow" w:hAnsi="Arial Narrow" w:cs="Arial"/>
                <w:color w:val="000000" w:themeColor="text1"/>
                <w:sz w:val="24"/>
                <w:szCs w:val="24"/>
              </w:rPr>
              <w:t xml:space="preserve"> 2021 </w:t>
            </w:r>
          </w:p>
        </w:tc>
      </w:tr>
      <w:tr w:rsidR="00B55BB2" w:rsidRPr="00B55BB2" w:rsidTr="00681336">
        <w:trPr>
          <w:trHeight w:val="395"/>
        </w:trPr>
        <w:tc>
          <w:tcPr>
            <w:tcW w:w="10915" w:type="dxa"/>
            <w:gridSpan w:val="3"/>
          </w:tcPr>
          <w:p w:rsidR="001334B7" w:rsidRPr="00B55BB2" w:rsidRDefault="00552602" w:rsidP="000962A5">
            <w:pPr>
              <w:spacing w:line="360" w:lineRule="auto"/>
              <w:jc w:val="both"/>
              <w:rPr>
                <w:rFonts w:ascii="Arial Narrow" w:hAnsi="Arial Narrow" w:cs="Arial"/>
                <w:color w:val="000000" w:themeColor="text1"/>
                <w:sz w:val="24"/>
                <w:szCs w:val="24"/>
              </w:rPr>
            </w:pPr>
            <w:r w:rsidRPr="00B55BB2">
              <w:rPr>
                <w:rFonts w:ascii="Arial Narrow" w:hAnsi="Arial Narrow" w:cs="Arial"/>
                <w:b/>
                <w:color w:val="000000" w:themeColor="text1"/>
                <w:sz w:val="24"/>
                <w:szCs w:val="24"/>
              </w:rPr>
              <w:t>Neutral citation:</w:t>
            </w:r>
            <w:r w:rsidR="001334B7" w:rsidRPr="00B55BB2">
              <w:rPr>
                <w:rFonts w:ascii="Arial Narrow" w:hAnsi="Arial Narrow" w:cs="Arial"/>
                <w:b/>
                <w:color w:val="000000" w:themeColor="text1"/>
                <w:sz w:val="24"/>
                <w:szCs w:val="24"/>
              </w:rPr>
              <w:t xml:space="preserve"> </w:t>
            </w:r>
            <w:r w:rsidR="000962A5" w:rsidRPr="00B55BB2">
              <w:rPr>
                <w:rFonts w:ascii="Arial Narrow" w:hAnsi="Arial Narrow" w:cs="Arial"/>
                <w:i/>
                <w:color w:val="000000" w:themeColor="text1"/>
                <w:sz w:val="24"/>
                <w:szCs w:val="24"/>
                <w:shd w:val="clear" w:color="auto" w:fill="FFFFFF"/>
              </w:rPr>
              <w:t>Kahatjipara</w:t>
            </w:r>
            <w:r w:rsidR="00FD29E2" w:rsidRPr="00B55BB2">
              <w:rPr>
                <w:rFonts w:ascii="Arial Narrow" w:hAnsi="Arial Narrow" w:cs="Arial"/>
                <w:i/>
                <w:color w:val="000000" w:themeColor="text1"/>
                <w:sz w:val="24"/>
                <w:szCs w:val="24"/>
                <w:shd w:val="clear" w:color="auto" w:fill="FFFFFF"/>
              </w:rPr>
              <w:t xml:space="preserve"> v</w:t>
            </w:r>
            <w:r w:rsidR="000962A5" w:rsidRPr="00B55BB2">
              <w:rPr>
                <w:rFonts w:ascii="Arial Narrow" w:hAnsi="Arial Narrow" w:cs="Arial"/>
                <w:i/>
                <w:color w:val="000000" w:themeColor="text1"/>
                <w:sz w:val="24"/>
                <w:szCs w:val="24"/>
              </w:rPr>
              <w:t xml:space="preserve"> First National Bank</w:t>
            </w:r>
            <w:r w:rsidR="00FD29E2" w:rsidRPr="00B55BB2">
              <w:rPr>
                <w:rFonts w:ascii="Arial Narrow" w:hAnsi="Arial Narrow" w:cs="Arial"/>
                <w:i/>
                <w:color w:val="000000" w:themeColor="text1"/>
                <w:sz w:val="24"/>
                <w:szCs w:val="24"/>
              </w:rPr>
              <w:t xml:space="preserve"> of Namibia </w:t>
            </w:r>
            <w:r w:rsidR="000962A5" w:rsidRPr="00B55BB2">
              <w:rPr>
                <w:rFonts w:ascii="Arial Narrow" w:hAnsi="Arial Narrow" w:cs="Arial"/>
                <w:color w:val="000000" w:themeColor="text1"/>
                <w:sz w:val="24"/>
                <w:szCs w:val="24"/>
              </w:rPr>
              <w:t>(HC-MD-CIV-ACT-CON-2019/05422</w:t>
            </w:r>
            <w:r w:rsidR="00FD29E2" w:rsidRPr="00B55BB2">
              <w:rPr>
                <w:rFonts w:ascii="Arial Narrow" w:hAnsi="Arial Narrow" w:cs="Arial"/>
                <w:color w:val="000000" w:themeColor="text1"/>
                <w:sz w:val="24"/>
                <w:szCs w:val="24"/>
              </w:rPr>
              <w:t xml:space="preserve">) [2021] NAHCMD </w:t>
            </w:r>
            <w:r w:rsidR="00373AFE" w:rsidRPr="00B55BB2">
              <w:rPr>
                <w:rFonts w:ascii="Arial Narrow" w:hAnsi="Arial Narrow" w:cs="Arial"/>
                <w:color w:val="000000" w:themeColor="text1"/>
                <w:sz w:val="24"/>
                <w:szCs w:val="24"/>
              </w:rPr>
              <w:t>578</w:t>
            </w:r>
            <w:r w:rsidR="000962A5" w:rsidRPr="00B55BB2">
              <w:rPr>
                <w:rFonts w:ascii="Arial Narrow" w:hAnsi="Arial Narrow" w:cs="Arial"/>
                <w:color w:val="000000" w:themeColor="text1"/>
                <w:sz w:val="24"/>
                <w:szCs w:val="24"/>
              </w:rPr>
              <w:t xml:space="preserve"> (08</w:t>
            </w:r>
            <w:r w:rsidR="00FD29E2" w:rsidRPr="00B55BB2">
              <w:rPr>
                <w:rFonts w:ascii="Arial Narrow" w:hAnsi="Arial Narrow" w:cs="Arial"/>
                <w:color w:val="000000" w:themeColor="text1"/>
                <w:sz w:val="24"/>
                <w:szCs w:val="24"/>
              </w:rPr>
              <w:t xml:space="preserve"> December 2021)</w:t>
            </w:r>
          </w:p>
        </w:tc>
      </w:tr>
      <w:tr w:rsidR="00B55BB2" w:rsidRPr="00B55BB2" w:rsidTr="00681336">
        <w:tc>
          <w:tcPr>
            <w:tcW w:w="10915" w:type="dxa"/>
            <w:gridSpan w:val="3"/>
          </w:tcPr>
          <w:p w:rsidR="00552602" w:rsidRPr="00B55BB2" w:rsidRDefault="00552602" w:rsidP="001334B7">
            <w:pPr>
              <w:pStyle w:val="form-control-static"/>
              <w:shd w:val="clear" w:color="auto" w:fill="FFFFFF"/>
              <w:spacing w:before="0" w:beforeAutospacing="0" w:after="0" w:afterAutospacing="0" w:line="360" w:lineRule="auto"/>
              <w:rPr>
                <w:rFonts w:ascii="Arial Narrow" w:hAnsi="Arial Narrow" w:cs="Arial"/>
                <w:b/>
                <w:color w:val="000000" w:themeColor="text1"/>
                <w:sz w:val="24"/>
                <w:szCs w:val="24"/>
              </w:rPr>
            </w:pPr>
            <w:r w:rsidRPr="00B55BB2">
              <w:rPr>
                <w:rFonts w:ascii="Arial Narrow" w:hAnsi="Arial Narrow" w:cs="Arial"/>
                <w:b/>
                <w:color w:val="000000" w:themeColor="text1"/>
                <w:sz w:val="24"/>
                <w:szCs w:val="24"/>
              </w:rPr>
              <w:t>Results on merits:</w:t>
            </w:r>
          </w:p>
          <w:p w:rsidR="00552602" w:rsidRPr="00B55BB2" w:rsidRDefault="00552602" w:rsidP="005606FA">
            <w:pPr>
              <w:pStyle w:val="form-control-static"/>
              <w:shd w:val="clear" w:color="auto" w:fill="FFFFFF"/>
              <w:spacing w:before="0" w:beforeAutospacing="0" w:after="0" w:afterAutospacing="0" w:line="360" w:lineRule="auto"/>
              <w:rPr>
                <w:rFonts w:ascii="Arial Narrow" w:hAnsi="Arial Narrow" w:cs="Arial"/>
                <w:color w:val="000000" w:themeColor="text1"/>
                <w:sz w:val="24"/>
                <w:szCs w:val="24"/>
              </w:rPr>
            </w:pPr>
            <w:r w:rsidRPr="00B55BB2">
              <w:rPr>
                <w:rFonts w:ascii="Arial Narrow" w:hAnsi="Arial Narrow" w:cs="Arial"/>
                <w:color w:val="000000" w:themeColor="text1"/>
                <w:sz w:val="24"/>
                <w:szCs w:val="24"/>
              </w:rPr>
              <w:t>Merits not considered.</w:t>
            </w:r>
            <w:r w:rsidR="00765C37" w:rsidRPr="00B55BB2">
              <w:rPr>
                <w:rFonts w:ascii="Arial Narrow" w:hAnsi="Arial Narrow" w:cs="Arial"/>
                <w:color w:val="000000" w:themeColor="text1"/>
                <w:sz w:val="24"/>
                <w:szCs w:val="24"/>
              </w:rPr>
              <w:t xml:space="preserve"> </w:t>
            </w:r>
          </w:p>
        </w:tc>
      </w:tr>
      <w:tr w:rsidR="00B55BB2" w:rsidRPr="00B55BB2" w:rsidTr="00681336">
        <w:tc>
          <w:tcPr>
            <w:tcW w:w="10915" w:type="dxa"/>
            <w:gridSpan w:val="3"/>
          </w:tcPr>
          <w:p w:rsidR="00552602" w:rsidRPr="00B55BB2" w:rsidRDefault="00552602" w:rsidP="001334B7">
            <w:pPr>
              <w:spacing w:line="360" w:lineRule="auto"/>
              <w:jc w:val="both"/>
              <w:rPr>
                <w:rFonts w:ascii="Arial Narrow" w:hAnsi="Arial Narrow" w:cs="Arial"/>
                <w:b/>
                <w:color w:val="000000" w:themeColor="text1"/>
                <w:sz w:val="24"/>
                <w:szCs w:val="24"/>
              </w:rPr>
            </w:pPr>
            <w:r w:rsidRPr="00B55BB2">
              <w:rPr>
                <w:rFonts w:ascii="Arial Narrow" w:hAnsi="Arial Narrow" w:cs="Arial"/>
                <w:b/>
                <w:color w:val="000000" w:themeColor="text1"/>
                <w:sz w:val="24"/>
                <w:szCs w:val="24"/>
              </w:rPr>
              <w:t>The order:</w:t>
            </w:r>
          </w:p>
          <w:p w:rsidR="0044682C" w:rsidRPr="00B55BB2" w:rsidRDefault="0044682C" w:rsidP="001D42FA">
            <w:pPr>
              <w:spacing w:line="360" w:lineRule="auto"/>
              <w:jc w:val="both"/>
              <w:rPr>
                <w:rFonts w:ascii="Arial Narrow" w:hAnsi="Arial Narrow" w:cs="Arial"/>
                <w:color w:val="000000" w:themeColor="text1"/>
                <w:sz w:val="24"/>
                <w:szCs w:val="24"/>
                <w:lang w:val="en-US"/>
              </w:rPr>
            </w:pPr>
            <w:r w:rsidRPr="00B55BB2">
              <w:rPr>
                <w:rFonts w:ascii="Arial Narrow" w:hAnsi="Arial Narrow" w:cs="Arial"/>
                <w:color w:val="000000" w:themeColor="text1"/>
                <w:sz w:val="24"/>
                <w:szCs w:val="24"/>
                <w:lang w:val="en-US"/>
              </w:rPr>
              <w:t xml:space="preserve">Having heard </w:t>
            </w:r>
            <w:r w:rsidR="00A4236D" w:rsidRPr="00B55BB2">
              <w:rPr>
                <w:rFonts w:ascii="Arial Narrow" w:hAnsi="Arial Narrow" w:cs="Arial"/>
                <w:b/>
                <w:color w:val="000000" w:themeColor="text1"/>
                <w:sz w:val="24"/>
                <w:szCs w:val="24"/>
                <w:lang w:val="en-US"/>
              </w:rPr>
              <w:t>WANA CHIMSEM</w:t>
            </w:r>
            <w:r w:rsidR="00373AFE" w:rsidRPr="00B55BB2">
              <w:rPr>
                <w:rFonts w:ascii="Arial Narrow" w:hAnsi="Arial Narrow" w:cs="Arial"/>
                <w:b/>
                <w:color w:val="000000" w:themeColor="text1"/>
                <w:sz w:val="24"/>
                <w:szCs w:val="24"/>
                <w:lang w:val="en-US"/>
              </w:rPr>
              <w:t>BU</w:t>
            </w:r>
            <w:r w:rsidRPr="00B55BB2">
              <w:rPr>
                <w:rFonts w:ascii="Arial Narrow" w:hAnsi="Arial Narrow" w:cs="Arial"/>
                <w:color w:val="000000" w:themeColor="text1"/>
                <w:sz w:val="24"/>
                <w:szCs w:val="24"/>
                <w:lang w:val="en-US"/>
              </w:rPr>
              <w:t xml:space="preserve">, on behalf of the </w:t>
            </w:r>
            <w:r w:rsidR="00D22A07" w:rsidRPr="00B55BB2">
              <w:rPr>
                <w:rFonts w:ascii="Arial Narrow" w:hAnsi="Arial Narrow" w:cs="Arial"/>
                <w:color w:val="000000" w:themeColor="text1"/>
                <w:sz w:val="24"/>
                <w:szCs w:val="24"/>
                <w:lang w:val="en-US"/>
              </w:rPr>
              <w:t>Applicant(s)/</w:t>
            </w:r>
            <w:r w:rsidR="000962A5" w:rsidRPr="00B55BB2">
              <w:rPr>
                <w:rFonts w:ascii="Arial Narrow" w:hAnsi="Arial Narrow" w:cs="Arial"/>
                <w:color w:val="000000" w:themeColor="text1"/>
                <w:sz w:val="24"/>
                <w:szCs w:val="24"/>
                <w:lang w:val="en-US"/>
              </w:rPr>
              <w:t>Plaintiff</w:t>
            </w:r>
            <w:r w:rsidRPr="00B55BB2">
              <w:rPr>
                <w:rFonts w:ascii="Arial Narrow" w:hAnsi="Arial Narrow" w:cs="Arial"/>
                <w:color w:val="000000" w:themeColor="text1"/>
                <w:sz w:val="24"/>
                <w:szCs w:val="24"/>
                <w:lang w:val="en-US"/>
              </w:rPr>
              <w:t>(s)</w:t>
            </w:r>
            <w:r w:rsidR="00FD29E2" w:rsidRPr="00B55BB2">
              <w:rPr>
                <w:rFonts w:ascii="Arial Narrow" w:hAnsi="Arial Narrow" w:cs="Arial"/>
                <w:color w:val="000000" w:themeColor="text1"/>
                <w:sz w:val="24"/>
                <w:szCs w:val="24"/>
                <w:lang w:val="en-US"/>
              </w:rPr>
              <w:t xml:space="preserve"> </w:t>
            </w:r>
            <w:r w:rsidRPr="00B55BB2">
              <w:rPr>
                <w:rFonts w:ascii="Arial Narrow" w:hAnsi="Arial Narrow" w:cs="Arial"/>
                <w:color w:val="000000" w:themeColor="text1"/>
                <w:sz w:val="24"/>
                <w:szCs w:val="24"/>
                <w:lang w:val="en-US"/>
              </w:rPr>
              <w:t xml:space="preserve">and </w:t>
            </w:r>
            <w:r w:rsidR="000962A5" w:rsidRPr="00B55BB2">
              <w:rPr>
                <w:rFonts w:ascii="Arial Narrow" w:hAnsi="Arial Narrow" w:cs="Arial"/>
                <w:b/>
                <w:color w:val="000000" w:themeColor="text1"/>
                <w:sz w:val="24"/>
                <w:szCs w:val="24"/>
                <w:lang w:val="en-US"/>
              </w:rPr>
              <w:t>JENNY VERMELEUN</w:t>
            </w:r>
            <w:r w:rsidR="000962A5" w:rsidRPr="00B55BB2">
              <w:rPr>
                <w:rFonts w:ascii="Arial Narrow" w:hAnsi="Arial Narrow" w:cs="Arial"/>
                <w:color w:val="000000" w:themeColor="text1"/>
                <w:sz w:val="24"/>
                <w:szCs w:val="24"/>
                <w:lang w:val="en-US"/>
              </w:rPr>
              <w:t xml:space="preserve">, on behalf of the Respondent (s)/ Defendant (s) and </w:t>
            </w:r>
            <w:r w:rsidRPr="00B55BB2">
              <w:rPr>
                <w:rFonts w:ascii="Arial Narrow" w:hAnsi="Arial Narrow" w:cs="Arial"/>
                <w:color w:val="000000" w:themeColor="text1"/>
                <w:sz w:val="24"/>
                <w:szCs w:val="24"/>
                <w:lang w:val="en-US"/>
              </w:rPr>
              <w:t>having read the p</w:t>
            </w:r>
            <w:r w:rsidR="00D57342" w:rsidRPr="00B55BB2">
              <w:rPr>
                <w:rFonts w:ascii="Arial Narrow" w:hAnsi="Arial Narrow" w:cs="Arial"/>
                <w:color w:val="000000" w:themeColor="text1"/>
                <w:sz w:val="24"/>
                <w:szCs w:val="24"/>
                <w:lang w:val="en-US"/>
              </w:rPr>
              <w:t>apers</w:t>
            </w:r>
            <w:r w:rsidRPr="00B55BB2">
              <w:rPr>
                <w:rFonts w:ascii="Arial Narrow" w:hAnsi="Arial Narrow" w:cs="Arial"/>
                <w:color w:val="000000" w:themeColor="text1"/>
                <w:sz w:val="24"/>
                <w:szCs w:val="24"/>
                <w:lang w:val="en-US"/>
              </w:rPr>
              <w:t xml:space="preserve"> for </w:t>
            </w:r>
            <w:r w:rsidR="00A0455A" w:rsidRPr="00B55BB2">
              <w:rPr>
                <w:rFonts w:ascii="Arial Narrow" w:hAnsi="Arial Narrow" w:cs="Open Sans"/>
                <w:b/>
                <w:color w:val="000000" w:themeColor="text1"/>
                <w:sz w:val="24"/>
                <w:szCs w:val="24"/>
                <w:shd w:val="clear" w:color="auto" w:fill="FFFFFF"/>
                <w:lang w:val="en-US"/>
              </w:rPr>
              <w:t xml:space="preserve">HC-MD-CIV-ACT-CON-2019/05422 </w:t>
            </w:r>
            <w:r w:rsidRPr="00B55BB2">
              <w:rPr>
                <w:rFonts w:ascii="Arial Narrow" w:hAnsi="Arial Narrow" w:cs="Arial"/>
                <w:color w:val="000000" w:themeColor="text1"/>
                <w:sz w:val="24"/>
                <w:szCs w:val="24"/>
                <w:lang w:val="en-US"/>
              </w:rPr>
              <w:t xml:space="preserve">and other documents filed of record: </w:t>
            </w:r>
          </w:p>
          <w:p w:rsidR="0044682C" w:rsidRPr="00B55BB2" w:rsidRDefault="0044682C" w:rsidP="001D42FA">
            <w:pPr>
              <w:spacing w:line="360" w:lineRule="auto"/>
              <w:jc w:val="both"/>
              <w:rPr>
                <w:rFonts w:ascii="Arial Narrow" w:hAnsi="Arial Narrow" w:cs="Arial"/>
                <w:color w:val="000000" w:themeColor="text1"/>
                <w:sz w:val="24"/>
                <w:szCs w:val="24"/>
                <w:lang w:val="en-US"/>
              </w:rPr>
            </w:pPr>
          </w:p>
          <w:p w:rsidR="00D57342" w:rsidRPr="00B55BB2" w:rsidRDefault="0044682C" w:rsidP="001568BC">
            <w:pPr>
              <w:spacing w:line="360" w:lineRule="auto"/>
              <w:jc w:val="both"/>
              <w:rPr>
                <w:rFonts w:ascii="Arial" w:hAnsi="Arial" w:cs="Arial"/>
                <w:color w:val="000000" w:themeColor="text1"/>
                <w:sz w:val="20"/>
                <w:szCs w:val="20"/>
              </w:rPr>
            </w:pPr>
            <w:r w:rsidRPr="00B55BB2">
              <w:rPr>
                <w:rFonts w:ascii="Arial Narrow" w:hAnsi="Arial Narrow" w:cs="Arial"/>
                <w:b/>
                <w:color w:val="000000" w:themeColor="text1"/>
                <w:sz w:val="24"/>
                <w:szCs w:val="24"/>
                <w:lang w:val="en-US"/>
              </w:rPr>
              <w:t>Ruling:</w:t>
            </w:r>
          </w:p>
          <w:p w:rsidR="00B86B84" w:rsidRPr="00B55BB2" w:rsidRDefault="00B86B84" w:rsidP="00B86B84">
            <w:pPr>
              <w:pStyle w:val="ListParagraph"/>
              <w:numPr>
                <w:ilvl w:val="0"/>
                <w:numId w:val="18"/>
              </w:numPr>
              <w:spacing w:line="360" w:lineRule="auto"/>
              <w:jc w:val="both"/>
              <w:rPr>
                <w:rFonts w:ascii="Arial" w:eastAsia="Times New Roman" w:hAnsi="Arial" w:cs="Arial"/>
                <w:color w:val="000000" w:themeColor="text1"/>
                <w:sz w:val="24"/>
                <w:szCs w:val="24"/>
              </w:rPr>
            </w:pPr>
            <w:r w:rsidRPr="00B55BB2">
              <w:rPr>
                <w:rFonts w:ascii="Arial Narrow" w:hAnsi="Arial Narrow" w:cs="Arial"/>
                <w:color w:val="000000" w:themeColor="text1"/>
                <w:sz w:val="24"/>
                <w:szCs w:val="24"/>
              </w:rPr>
              <w:t>Para 2</w:t>
            </w:r>
            <w:r w:rsidR="00A4236D" w:rsidRPr="00B55BB2">
              <w:rPr>
                <w:rFonts w:ascii="Arial Narrow" w:hAnsi="Arial Narrow" w:cs="Arial"/>
                <w:color w:val="000000" w:themeColor="text1"/>
                <w:sz w:val="24"/>
                <w:szCs w:val="24"/>
              </w:rPr>
              <w:t>0</w:t>
            </w:r>
            <w:r w:rsidRPr="00B55BB2">
              <w:rPr>
                <w:rFonts w:ascii="Arial Narrow" w:hAnsi="Arial Narrow" w:cs="Arial"/>
                <w:color w:val="000000" w:themeColor="text1"/>
                <w:sz w:val="24"/>
                <w:szCs w:val="24"/>
              </w:rPr>
              <w:t xml:space="preserve"> of proposed particulars of claim is struck out.</w:t>
            </w:r>
          </w:p>
          <w:p w:rsidR="00B86B84" w:rsidRPr="00B55BB2" w:rsidRDefault="00B86B84" w:rsidP="00B86B84">
            <w:pPr>
              <w:pStyle w:val="ListParagraph"/>
              <w:numPr>
                <w:ilvl w:val="0"/>
                <w:numId w:val="18"/>
              </w:numPr>
              <w:spacing w:line="360" w:lineRule="auto"/>
              <w:jc w:val="both"/>
              <w:rPr>
                <w:rFonts w:ascii="Arial Narrow" w:eastAsia="Times New Roman" w:hAnsi="Arial Narrow" w:cs="Arial"/>
                <w:color w:val="000000" w:themeColor="text1"/>
                <w:sz w:val="24"/>
                <w:szCs w:val="24"/>
              </w:rPr>
            </w:pPr>
            <w:r w:rsidRPr="00B55BB2">
              <w:rPr>
                <w:rFonts w:ascii="Arial Narrow" w:hAnsi="Arial Narrow" w:cs="Arial"/>
                <w:color w:val="000000" w:themeColor="text1"/>
                <w:sz w:val="24"/>
                <w:szCs w:val="24"/>
              </w:rPr>
              <w:lastRenderedPageBreak/>
              <w:t>The plaintiff is granted leave to amend her particulars of claim.</w:t>
            </w:r>
          </w:p>
          <w:p w:rsidR="00D70A7F" w:rsidRPr="00B55BB2" w:rsidRDefault="00D70A7F" w:rsidP="00B86B84">
            <w:pPr>
              <w:pStyle w:val="ListParagraph"/>
              <w:numPr>
                <w:ilvl w:val="0"/>
                <w:numId w:val="18"/>
              </w:numPr>
              <w:spacing w:line="360" w:lineRule="auto"/>
              <w:jc w:val="both"/>
              <w:rPr>
                <w:rFonts w:ascii="Arial Narrow" w:eastAsia="Times New Roman" w:hAnsi="Arial Narrow" w:cs="Arial"/>
                <w:color w:val="000000" w:themeColor="text1"/>
                <w:sz w:val="24"/>
                <w:szCs w:val="24"/>
              </w:rPr>
            </w:pPr>
            <w:r w:rsidRPr="00B55BB2">
              <w:rPr>
                <w:rFonts w:ascii="Arial Narrow" w:hAnsi="Arial Narrow" w:cs="Arial"/>
                <w:color w:val="000000" w:themeColor="text1"/>
                <w:sz w:val="24"/>
                <w:szCs w:val="24"/>
              </w:rPr>
              <w:t xml:space="preserve">No order as to costs. </w:t>
            </w:r>
          </w:p>
          <w:p w:rsidR="00D70A7F" w:rsidRPr="00B55BB2" w:rsidRDefault="00D70A7F" w:rsidP="00D70A7F">
            <w:pPr>
              <w:pStyle w:val="ListParagraph"/>
              <w:spacing w:line="360" w:lineRule="auto"/>
              <w:ind w:left="0"/>
              <w:jc w:val="both"/>
              <w:rPr>
                <w:rFonts w:ascii="Arial Narrow" w:eastAsia="Times New Roman" w:hAnsi="Arial Narrow" w:cs="Arial"/>
                <w:color w:val="000000" w:themeColor="text1"/>
                <w:sz w:val="24"/>
                <w:szCs w:val="24"/>
              </w:rPr>
            </w:pPr>
            <w:r w:rsidRPr="00B55BB2">
              <w:rPr>
                <w:rFonts w:ascii="Arial Narrow" w:hAnsi="Arial Narrow" w:cs="Arial"/>
                <w:b/>
                <w:color w:val="000000" w:themeColor="text1"/>
                <w:sz w:val="24"/>
                <w:szCs w:val="24"/>
              </w:rPr>
              <w:t>Further conduct of the matter</w:t>
            </w:r>
            <w:r w:rsidRPr="00B55BB2">
              <w:rPr>
                <w:rFonts w:ascii="Arial Narrow" w:hAnsi="Arial Narrow" w:cs="Arial"/>
                <w:color w:val="000000" w:themeColor="text1"/>
                <w:sz w:val="24"/>
                <w:szCs w:val="24"/>
              </w:rPr>
              <w:t>:</w:t>
            </w:r>
          </w:p>
          <w:p w:rsidR="00B86B84" w:rsidRPr="00B55BB2" w:rsidRDefault="00B86B84" w:rsidP="00B86B84">
            <w:pPr>
              <w:pStyle w:val="ListParagraph"/>
              <w:numPr>
                <w:ilvl w:val="0"/>
                <w:numId w:val="18"/>
              </w:numPr>
              <w:spacing w:line="360" w:lineRule="auto"/>
              <w:jc w:val="both"/>
              <w:rPr>
                <w:rFonts w:ascii="Arial Narrow" w:eastAsia="Times New Roman" w:hAnsi="Arial Narrow" w:cs="Arial"/>
                <w:color w:val="000000" w:themeColor="text1"/>
                <w:sz w:val="24"/>
                <w:szCs w:val="24"/>
              </w:rPr>
            </w:pPr>
            <w:r w:rsidRPr="00B55BB2">
              <w:rPr>
                <w:rFonts w:ascii="Arial Narrow" w:eastAsia="Times New Roman" w:hAnsi="Arial Narrow" w:cs="Arial"/>
                <w:color w:val="000000" w:themeColor="text1"/>
                <w:sz w:val="24"/>
                <w:szCs w:val="24"/>
              </w:rPr>
              <w:t>Plaintiff must file amended particulars of claim on or before</w:t>
            </w:r>
            <w:r w:rsidR="00D70A7F" w:rsidRPr="00B55BB2">
              <w:rPr>
                <w:rFonts w:ascii="Arial Narrow" w:eastAsia="Times New Roman" w:hAnsi="Arial Narrow" w:cs="Arial"/>
                <w:color w:val="000000" w:themeColor="text1"/>
                <w:sz w:val="24"/>
                <w:szCs w:val="24"/>
              </w:rPr>
              <w:t xml:space="preserve"> 17 December 2021</w:t>
            </w:r>
            <w:r w:rsidR="00A4236D" w:rsidRPr="00B55BB2">
              <w:rPr>
                <w:rFonts w:ascii="Arial Narrow" w:eastAsia="Times New Roman" w:hAnsi="Arial Narrow" w:cs="Arial"/>
                <w:color w:val="000000" w:themeColor="text1"/>
                <w:sz w:val="24"/>
                <w:szCs w:val="24"/>
              </w:rPr>
              <w:t>.</w:t>
            </w:r>
          </w:p>
          <w:p w:rsidR="00B86B84" w:rsidRPr="00B55BB2" w:rsidRDefault="00B86B84" w:rsidP="00B86B84">
            <w:pPr>
              <w:pStyle w:val="ListParagraph"/>
              <w:numPr>
                <w:ilvl w:val="0"/>
                <w:numId w:val="18"/>
              </w:numPr>
              <w:spacing w:line="360" w:lineRule="auto"/>
              <w:jc w:val="both"/>
              <w:rPr>
                <w:rFonts w:ascii="Arial Narrow" w:hAnsi="Arial Narrow"/>
                <w:color w:val="000000" w:themeColor="text1"/>
              </w:rPr>
            </w:pPr>
            <w:r w:rsidRPr="00B55BB2">
              <w:rPr>
                <w:rFonts w:ascii="Arial Narrow" w:eastAsia="Times New Roman" w:hAnsi="Arial Narrow"/>
                <w:color w:val="000000" w:themeColor="text1"/>
              </w:rPr>
              <w:t xml:space="preserve"> Defendant must plead to the amended particulars of claim on or before </w:t>
            </w:r>
            <w:r w:rsidR="00D70A7F" w:rsidRPr="00B55BB2">
              <w:rPr>
                <w:rFonts w:ascii="Arial Narrow" w:eastAsia="Times New Roman" w:hAnsi="Arial Narrow"/>
                <w:color w:val="000000" w:themeColor="text1"/>
              </w:rPr>
              <w:t>19 January 2022</w:t>
            </w:r>
            <w:r w:rsidR="00A4236D" w:rsidRPr="00B55BB2">
              <w:rPr>
                <w:rFonts w:ascii="Arial Narrow" w:eastAsia="Times New Roman" w:hAnsi="Arial Narrow"/>
                <w:color w:val="000000" w:themeColor="text1"/>
              </w:rPr>
              <w:t>.</w:t>
            </w:r>
          </w:p>
          <w:p w:rsidR="00B86B84" w:rsidRPr="00B55BB2" w:rsidRDefault="00B86B84" w:rsidP="00B86B84">
            <w:pPr>
              <w:pStyle w:val="ListParagraph"/>
              <w:numPr>
                <w:ilvl w:val="0"/>
                <w:numId w:val="18"/>
              </w:numPr>
              <w:spacing w:line="360" w:lineRule="auto"/>
              <w:jc w:val="both"/>
              <w:rPr>
                <w:rFonts w:ascii="Arial Narrow" w:hAnsi="Arial Narrow"/>
                <w:color w:val="000000" w:themeColor="text1"/>
              </w:rPr>
            </w:pPr>
            <w:r w:rsidRPr="00B55BB2">
              <w:rPr>
                <w:rFonts w:ascii="Arial Narrow" w:eastAsia="Times New Roman" w:hAnsi="Arial Narrow"/>
                <w:color w:val="000000" w:themeColor="text1"/>
              </w:rPr>
              <w:t xml:space="preserve">Plaintiff must file replication, if any, to the Defendant's plea on or before </w:t>
            </w:r>
            <w:r w:rsidR="00D70A7F" w:rsidRPr="00B55BB2">
              <w:rPr>
                <w:rFonts w:ascii="Arial Narrow" w:eastAsia="Times New Roman" w:hAnsi="Arial Narrow"/>
                <w:color w:val="000000" w:themeColor="text1"/>
              </w:rPr>
              <w:t>26 January 2022</w:t>
            </w:r>
            <w:r w:rsidR="00A4236D" w:rsidRPr="00B55BB2">
              <w:rPr>
                <w:rFonts w:ascii="Arial Narrow" w:eastAsia="Times New Roman" w:hAnsi="Arial Narrow"/>
                <w:color w:val="000000" w:themeColor="text1"/>
              </w:rPr>
              <w:t>.</w:t>
            </w:r>
          </w:p>
          <w:p w:rsidR="00D70A7F" w:rsidRPr="00B55BB2" w:rsidRDefault="00D70A7F" w:rsidP="00B86B84">
            <w:pPr>
              <w:pStyle w:val="ListParagraph"/>
              <w:numPr>
                <w:ilvl w:val="0"/>
                <w:numId w:val="18"/>
              </w:numPr>
              <w:spacing w:line="360" w:lineRule="auto"/>
              <w:jc w:val="both"/>
              <w:rPr>
                <w:rFonts w:ascii="Arial Narrow" w:hAnsi="Arial Narrow"/>
                <w:color w:val="000000" w:themeColor="text1"/>
              </w:rPr>
            </w:pPr>
            <w:r w:rsidRPr="00B55BB2">
              <w:rPr>
                <w:rFonts w:ascii="Arial Narrow" w:eastAsia="Times New Roman" w:hAnsi="Arial Narrow"/>
                <w:color w:val="000000" w:themeColor="text1"/>
              </w:rPr>
              <w:t xml:space="preserve">The matter is postponed to </w:t>
            </w:r>
            <w:r w:rsidRPr="00B55BB2">
              <w:rPr>
                <w:rFonts w:ascii="Arial Narrow" w:eastAsia="Times New Roman" w:hAnsi="Arial Narrow"/>
                <w:b/>
                <w:color w:val="000000" w:themeColor="text1"/>
              </w:rPr>
              <w:t>3 February 202</w:t>
            </w:r>
            <w:r w:rsidR="00A4236D" w:rsidRPr="00B55BB2">
              <w:rPr>
                <w:rFonts w:ascii="Arial Narrow" w:eastAsia="Times New Roman" w:hAnsi="Arial Narrow"/>
                <w:b/>
                <w:color w:val="000000" w:themeColor="text1"/>
              </w:rPr>
              <w:t>2</w:t>
            </w:r>
            <w:r w:rsidRPr="00B55BB2">
              <w:rPr>
                <w:rFonts w:ascii="Arial Narrow" w:eastAsia="Times New Roman" w:hAnsi="Arial Narrow"/>
                <w:b/>
                <w:color w:val="000000" w:themeColor="text1"/>
              </w:rPr>
              <w:t xml:space="preserve"> at 15h00</w:t>
            </w:r>
            <w:r w:rsidRPr="00B55BB2">
              <w:rPr>
                <w:rFonts w:ascii="Arial Narrow" w:eastAsia="Times New Roman" w:hAnsi="Arial Narrow"/>
                <w:color w:val="000000" w:themeColor="text1"/>
              </w:rPr>
              <w:t xml:space="preserve"> for a </w:t>
            </w:r>
            <w:r w:rsidR="00A4236D" w:rsidRPr="00B55BB2">
              <w:rPr>
                <w:rFonts w:ascii="Arial Narrow" w:eastAsia="Times New Roman" w:hAnsi="Arial Narrow"/>
                <w:color w:val="000000" w:themeColor="text1"/>
              </w:rPr>
              <w:t>Case Management Conference</w:t>
            </w:r>
            <w:r w:rsidRPr="00B55BB2">
              <w:rPr>
                <w:rFonts w:ascii="Arial Narrow" w:eastAsia="Times New Roman" w:hAnsi="Arial Narrow"/>
                <w:color w:val="000000" w:themeColor="text1"/>
              </w:rPr>
              <w:t xml:space="preserve">. </w:t>
            </w:r>
          </w:p>
          <w:p w:rsidR="00B86B84" w:rsidRPr="00B55BB2" w:rsidRDefault="00D70A7F" w:rsidP="00EA039B">
            <w:pPr>
              <w:pStyle w:val="ListParagraph"/>
              <w:numPr>
                <w:ilvl w:val="0"/>
                <w:numId w:val="18"/>
              </w:numPr>
              <w:spacing w:line="360" w:lineRule="auto"/>
              <w:jc w:val="both"/>
              <w:rPr>
                <w:rFonts w:ascii="Arial Narrow" w:hAnsi="Arial Narrow" w:cs="Arial"/>
                <w:color w:val="000000" w:themeColor="text1"/>
                <w:sz w:val="24"/>
                <w:szCs w:val="24"/>
              </w:rPr>
            </w:pPr>
            <w:r w:rsidRPr="00B55BB2">
              <w:rPr>
                <w:rFonts w:ascii="Arial Narrow" w:eastAsia="Times New Roman" w:hAnsi="Arial Narrow"/>
                <w:color w:val="000000" w:themeColor="text1"/>
              </w:rPr>
              <w:t xml:space="preserve">Joint </w:t>
            </w:r>
            <w:r w:rsidR="00A4236D" w:rsidRPr="00B55BB2">
              <w:rPr>
                <w:rFonts w:ascii="Arial Narrow" w:eastAsia="Times New Roman" w:hAnsi="Arial Narrow"/>
                <w:color w:val="000000" w:themeColor="text1"/>
              </w:rPr>
              <w:t>case management conference</w:t>
            </w:r>
            <w:r w:rsidRPr="00B55BB2">
              <w:rPr>
                <w:rFonts w:ascii="Arial Narrow" w:eastAsia="Times New Roman" w:hAnsi="Arial Narrow"/>
                <w:color w:val="000000" w:themeColor="text1"/>
              </w:rPr>
              <w:t xml:space="preserve"> report must be filed on or before </w:t>
            </w:r>
            <w:r w:rsidRPr="00B55BB2">
              <w:rPr>
                <w:rFonts w:ascii="Arial Narrow" w:eastAsia="Times New Roman" w:hAnsi="Arial Narrow"/>
                <w:color w:val="000000" w:themeColor="text1"/>
                <w:u w:val="single"/>
              </w:rPr>
              <w:t>31 January 2022</w:t>
            </w:r>
            <w:r w:rsidRPr="00B55BB2">
              <w:rPr>
                <w:rFonts w:ascii="Arial Narrow" w:eastAsia="Times New Roman" w:hAnsi="Arial Narrow"/>
                <w:color w:val="000000" w:themeColor="text1"/>
              </w:rPr>
              <w:t>.</w:t>
            </w:r>
          </w:p>
          <w:p w:rsidR="00502885" w:rsidRPr="00B55BB2" w:rsidRDefault="00502885" w:rsidP="00A0455A">
            <w:pPr>
              <w:spacing w:line="360" w:lineRule="auto"/>
              <w:ind w:left="360"/>
              <w:jc w:val="both"/>
              <w:rPr>
                <w:rFonts w:ascii="Arial Narrow" w:hAnsi="Arial Narrow"/>
                <w:color w:val="000000" w:themeColor="text1"/>
              </w:rPr>
            </w:pPr>
          </w:p>
        </w:tc>
      </w:tr>
      <w:tr w:rsidR="00B55BB2" w:rsidRPr="00B55BB2" w:rsidTr="00681336">
        <w:tc>
          <w:tcPr>
            <w:tcW w:w="10915" w:type="dxa"/>
            <w:gridSpan w:val="3"/>
          </w:tcPr>
          <w:p w:rsidR="00552602" w:rsidRPr="00B55BB2" w:rsidRDefault="00552602" w:rsidP="001334B7">
            <w:pPr>
              <w:spacing w:line="360" w:lineRule="auto"/>
              <w:jc w:val="both"/>
              <w:rPr>
                <w:rFonts w:ascii="Arial Narrow" w:hAnsi="Arial Narrow" w:cs="Arial"/>
                <w:b/>
                <w:color w:val="000000" w:themeColor="text1"/>
                <w:sz w:val="24"/>
                <w:szCs w:val="24"/>
              </w:rPr>
            </w:pPr>
            <w:r w:rsidRPr="00B55BB2">
              <w:rPr>
                <w:rFonts w:ascii="Arial Narrow" w:hAnsi="Arial Narrow" w:cs="Arial"/>
                <w:b/>
                <w:color w:val="000000" w:themeColor="text1"/>
                <w:sz w:val="24"/>
                <w:szCs w:val="24"/>
              </w:rPr>
              <w:lastRenderedPageBreak/>
              <w:t>Reasons for orders:</w:t>
            </w:r>
          </w:p>
        </w:tc>
      </w:tr>
      <w:tr w:rsidR="00B55BB2" w:rsidRPr="00B55BB2" w:rsidTr="00F206A3">
        <w:tc>
          <w:tcPr>
            <w:tcW w:w="10915" w:type="dxa"/>
            <w:gridSpan w:val="3"/>
            <w:shd w:val="clear" w:color="auto" w:fill="auto"/>
          </w:tcPr>
          <w:p w:rsidR="00096643" w:rsidRPr="00B55BB2" w:rsidRDefault="00096643" w:rsidP="001334B7">
            <w:pPr>
              <w:spacing w:line="360" w:lineRule="auto"/>
              <w:rPr>
                <w:rFonts w:ascii="Arial Narrow" w:hAnsi="Arial Narrow"/>
                <w:color w:val="000000" w:themeColor="text1"/>
                <w:sz w:val="24"/>
                <w:szCs w:val="24"/>
                <w:lang w:val="af-ZA"/>
              </w:rPr>
            </w:pPr>
          </w:p>
          <w:p w:rsidR="00552602" w:rsidRPr="00B55BB2" w:rsidRDefault="00552602" w:rsidP="001334B7">
            <w:pPr>
              <w:spacing w:line="360" w:lineRule="auto"/>
              <w:rPr>
                <w:rFonts w:ascii="Arial Narrow" w:hAnsi="Arial Narrow"/>
                <w:color w:val="000000" w:themeColor="text1"/>
                <w:sz w:val="24"/>
                <w:szCs w:val="24"/>
                <w:u w:val="single"/>
                <w:lang w:val="af-ZA"/>
              </w:rPr>
            </w:pPr>
            <w:r w:rsidRPr="00B55BB2">
              <w:rPr>
                <w:rFonts w:ascii="Arial Narrow" w:hAnsi="Arial Narrow"/>
                <w:color w:val="000000" w:themeColor="text1"/>
                <w:sz w:val="24"/>
                <w:szCs w:val="24"/>
                <w:u w:val="single"/>
                <w:lang w:val="af-ZA"/>
              </w:rPr>
              <w:t>Introduction</w:t>
            </w:r>
          </w:p>
          <w:p w:rsidR="0085685E" w:rsidRPr="00B55BB2" w:rsidRDefault="0085685E" w:rsidP="0085685E">
            <w:pPr>
              <w:spacing w:line="360" w:lineRule="auto"/>
              <w:jc w:val="both"/>
              <w:rPr>
                <w:rFonts w:ascii="Arial Narrow" w:hAnsi="Arial Narrow"/>
                <w:color w:val="000000" w:themeColor="text1"/>
                <w:sz w:val="24"/>
                <w:szCs w:val="24"/>
              </w:rPr>
            </w:pPr>
          </w:p>
          <w:p w:rsidR="0085685E" w:rsidRPr="00B55BB2" w:rsidRDefault="0085685E" w:rsidP="0085685E">
            <w:pPr>
              <w:spacing w:line="360" w:lineRule="auto"/>
              <w:jc w:val="both"/>
              <w:rPr>
                <w:rFonts w:ascii="Arial Narrow" w:hAnsi="Arial Narrow"/>
                <w:color w:val="000000" w:themeColor="text1"/>
                <w:sz w:val="24"/>
                <w:szCs w:val="24"/>
              </w:rPr>
            </w:pPr>
            <w:r w:rsidRPr="00B55BB2">
              <w:rPr>
                <w:rFonts w:ascii="Arial Narrow" w:hAnsi="Arial Narrow"/>
                <w:color w:val="000000" w:themeColor="text1"/>
                <w:sz w:val="24"/>
                <w:szCs w:val="24"/>
              </w:rPr>
              <w:t>[1]</w:t>
            </w:r>
            <w:r w:rsidRPr="00B55BB2">
              <w:rPr>
                <w:rFonts w:ascii="Arial Narrow" w:hAnsi="Arial Narrow"/>
                <w:color w:val="000000" w:themeColor="text1"/>
                <w:sz w:val="24"/>
                <w:szCs w:val="24"/>
              </w:rPr>
              <w:tab/>
              <w:t>This is an application by the plaintiff for leave to amend its particulars of claim in terms of the provisions of rule 52, which is opposed by the defendant.</w:t>
            </w:r>
          </w:p>
          <w:p w:rsidR="00CF3B28" w:rsidRPr="00B55BB2" w:rsidRDefault="00CF3B28" w:rsidP="00213E94">
            <w:pPr>
              <w:spacing w:line="360" w:lineRule="auto"/>
              <w:jc w:val="both"/>
              <w:rPr>
                <w:rFonts w:ascii="Arial Narrow" w:hAnsi="Arial Narrow" w:cs="Arial"/>
                <w:color w:val="000000" w:themeColor="text1"/>
                <w:sz w:val="24"/>
                <w:szCs w:val="24"/>
              </w:rPr>
            </w:pPr>
          </w:p>
          <w:p w:rsidR="0085685E" w:rsidRPr="00B55BB2" w:rsidRDefault="0085685E" w:rsidP="0085685E">
            <w:pPr>
              <w:spacing w:line="360" w:lineRule="auto"/>
              <w:jc w:val="both"/>
              <w:rPr>
                <w:rFonts w:ascii="Arial Narrow" w:hAnsi="Arial Narrow"/>
                <w:color w:val="000000" w:themeColor="text1"/>
                <w:sz w:val="24"/>
                <w:szCs w:val="24"/>
                <w:u w:val="single"/>
              </w:rPr>
            </w:pPr>
            <w:r w:rsidRPr="00B55BB2">
              <w:rPr>
                <w:rFonts w:ascii="Arial Narrow" w:hAnsi="Arial Narrow"/>
                <w:color w:val="000000" w:themeColor="text1"/>
                <w:sz w:val="24"/>
                <w:szCs w:val="24"/>
                <w:u w:val="single"/>
              </w:rPr>
              <w:t>The parties</w:t>
            </w:r>
          </w:p>
          <w:p w:rsidR="0085685E" w:rsidRPr="00B55BB2" w:rsidRDefault="0085685E" w:rsidP="0085685E">
            <w:pPr>
              <w:spacing w:line="360" w:lineRule="auto"/>
              <w:jc w:val="both"/>
              <w:rPr>
                <w:rFonts w:ascii="Arial Narrow" w:hAnsi="Arial Narrow"/>
                <w:color w:val="000000" w:themeColor="text1"/>
                <w:sz w:val="24"/>
                <w:szCs w:val="24"/>
                <w:u w:val="single"/>
              </w:rPr>
            </w:pPr>
          </w:p>
          <w:p w:rsidR="0085685E" w:rsidRPr="00B55BB2" w:rsidRDefault="0085685E" w:rsidP="0085685E">
            <w:pPr>
              <w:spacing w:line="360" w:lineRule="auto"/>
              <w:jc w:val="both"/>
              <w:rPr>
                <w:rFonts w:ascii="Arial Narrow" w:hAnsi="Arial Narrow"/>
                <w:color w:val="000000" w:themeColor="text1"/>
                <w:sz w:val="24"/>
                <w:szCs w:val="24"/>
              </w:rPr>
            </w:pPr>
            <w:r w:rsidRPr="00B55BB2">
              <w:rPr>
                <w:rFonts w:ascii="Arial Narrow" w:hAnsi="Arial Narrow"/>
                <w:color w:val="000000" w:themeColor="text1"/>
                <w:sz w:val="24"/>
                <w:szCs w:val="24"/>
              </w:rPr>
              <w:t>[2]</w:t>
            </w:r>
            <w:r w:rsidRPr="00B55BB2">
              <w:rPr>
                <w:rFonts w:ascii="Arial Narrow" w:hAnsi="Arial Narrow"/>
                <w:color w:val="000000" w:themeColor="text1"/>
                <w:sz w:val="24"/>
                <w:szCs w:val="24"/>
              </w:rPr>
              <w:tab/>
              <w:t xml:space="preserve"> The plaintiff is Johanna Kahatjipara, an adult female residing in Windhoek and </w:t>
            </w:r>
            <w:r w:rsidR="00705F2C" w:rsidRPr="00B55BB2">
              <w:rPr>
                <w:rFonts w:ascii="Arial Narrow" w:hAnsi="Arial Narrow"/>
                <w:color w:val="000000" w:themeColor="text1"/>
                <w:sz w:val="24"/>
                <w:szCs w:val="24"/>
              </w:rPr>
              <w:t xml:space="preserve">the defendant is </w:t>
            </w:r>
            <w:r w:rsidRPr="00B55BB2">
              <w:rPr>
                <w:rFonts w:ascii="Arial Narrow" w:hAnsi="Arial Narrow"/>
                <w:color w:val="000000" w:themeColor="text1"/>
                <w:sz w:val="24"/>
                <w:szCs w:val="24"/>
              </w:rPr>
              <w:t>First National Bank Limited, a public company with limited liability, incorporated in terms of the laws of Namibia.</w:t>
            </w:r>
          </w:p>
          <w:p w:rsidR="00CF3B28" w:rsidRPr="00B55BB2" w:rsidRDefault="00CF3B28" w:rsidP="002E2D59">
            <w:pPr>
              <w:spacing w:line="360" w:lineRule="auto"/>
              <w:jc w:val="both"/>
              <w:rPr>
                <w:rFonts w:ascii="Arial Narrow" w:hAnsi="Arial Narrow" w:cs="Arial"/>
                <w:b/>
                <w:color w:val="000000" w:themeColor="text1"/>
                <w:sz w:val="24"/>
                <w:szCs w:val="24"/>
                <w:u w:val="single"/>
              </w:rPr>
            </w:pPr>
          </w:p>
          <w:p w:rsidR="00965EA7" w:rsidRPr="00B55BB2" w:rsidRDefault="00965EA7" w:rsidP="002E2D59">
            <w:pPr>
              <w:spacing w:line="360" w:lineRule="auto"/>
              <w:jc w:val="both"/>
              <w:rPr>
                <w:rFonts w:ascii="Arial Narrow" w:hAnsi="Arial Narrow" w:cs="Arial"/>
                <w:color w:val="000000" w:themeColor="text1"/>
                <w:sz w:val="24"/>
                <w:szCs w:val="24"/>
                <w:u w:val="single"/>
              </w:rPr>
            </w:pPr>
            <w:r w:rsidRPr="00B55BB2">
              <w:rPr>
                <w:rFonts w:ascii="Arial Narrow" w:hAnsi="Arial Narrow" w:cs="Arial"/>
                <w:color w:val="000000" w:themeColor="text1"/>
                <w:sz w:val="24"/>
                <w:szCs w:val="24"/>
                <w:u w:val="single"/>
              </w:rPr>
              <w:t>Brief background</w:t>
            </w:r>
          </w:p>
          <w:p w:rsidR="00CF3B28" w:rsidRPr="00B55BB2" w:rsidRDefault="00CF3B28" w:rsidP="002E2D59">
            <w:pPr>
              <w:spacing w:line="360" w:lineRule="auto"/>
              <w:jc w:val="both"/>
              <w:rPr>
                <w:rFonts w:ascii="Arial Narrow" w:hAnsi="Arial Narrow" w:cs="Arial"/>
                <w:color w:val="000000" w:themeColor="text1"/>
                <w:sz w:val="24"/>
                <w:szCs w:val="24"/>
                <w:u w:val="single"/>
              </w:rPr>
            </w:pPr>
          </w:p>
          <w:p w:rsidR="0085685E" w:rsidRPr="00B55BB2" w:rsidRDefault="002E2D59" w:rsidP="0085685E">
            <w:pPr>
              <w:spacing w:line="360" w:lineRule="auto"/>
              <w:jc w:val="both"/>
              <w:rPr>
                <w:rFonts w:ascii="Arial Narrow" w:hAnsi="Arial Narrow"/>
                <w:color w:val="000000" w:themeColor="text1"/>
                <w:sz w:val="24"/>
                <w:szCs w:val="24"/>
              </w:rPr>
            </w:pPr>
            <w:r w:rsidRPr="00B55BB2">
              <w:rPr>
                <w:rFonts w:ascii="Arial Narrow" w:hAnsi="Arial Narrow" w:cs="Arial"/>
                <w:color w:val="000000" w:themeColor="text1"/>
                <w:sz w:val="24"/>
                <w:szCs w:val="24"/>
              </w:rPr>
              <w:t xml:space="preserve"> </w:t>
            </w:r>
            <w:r w:rsidR="009F0F06" w:rsidRPr="00B55BB2">
              <w:rPr>
                <w:rFonts w:ascii="Arial Narrow" w:hAnsi="Arial Narrow" w:cs="Arial"/>
                <w:color w:val="000000" w:themeColor="text1"/>
                <w:sz w:val="24"/>
                <w:szCs w:val="24"/>
              </w:rPr>
              <w:t>[3</w:t>
            </w:r>
            <w:r w:rsidR="0085685E" w:rsidRPr="00B55BB2">
              <w:rPr>
                <w:rFonts w:ascii="Arial Narrow" w:hAnsi="Arial Narrow" w:cs="Arial"/>
                <w:color w:val="000000" w:themeColor="text1"/>
                <w:sz w:val="24"/>
                <w:szCs w:val="24"/>
              </w:rPr>
              <w:t xml:space="preserve">]  </w:t>
            </w:r>
            <w:r w:rsidR="0085685E" w:rsidRPr="00B55BB2">
              <w:rPr>
                <w:rFonts w:ascii="Arial Narrow" w:hAnsi="Arial Narrow"/>
                <w:color w:val="000000" w:themeColor="text1"/>
                <w:sz w:val="24"/>
                <w:szCs w:val="24"/>
              </w:rPr>
              <w:t xml:space="preserve">   The chronological context of the application is as follows:</w:t>
            </w:r>
          </w:p>
          <w:p w:rsidR="0085685E" w:rsidRPr="00B55BB2" w:rsidRDefault="00705F2C" w:rsidP="0085685E">
            <w:pPr>
              <w:spacing w:line="360" w:lineRule="auto"/>
              <w:ind w:left="34"/>
              <w:jc w:val="both"/>
              <w:rPr>
                <w:rFonts w:ascii="Arial Narrow" w:hAnsi="Arial Narrow"/>
                <w:color w:val="000000" w:themeColor="text1"/>
                <w:sz w:val="24"/>
                <w:szCs w:val="24"/>
              </w:rPr>
            </w:pPr>
            <w:r w:rsidRPr="00B55BB2">
              <w:rPr>
                <w:rFonts w:ascii="Arial Narrow" w:hAnsi="Arial Narrow"/>
                <w:color w:val="000000" w:themeColor="text1"/>
                <w:sz w:val="24"/>
                <w:szCs w:val="24"/>
              </w:rPr>
              <w:t xml:space="preserve">             </w:t>
            </w:r>
            <w:r w:rsidR="0085685E" w:rsidRPr="00B55BB2">
              <w:rPr>
                <w:rFonts w:ascii="Arial Narrow" w:hAnsi="Arial Narrow"/>
                <w:color w:val="000000" w:themeColor="text1"/>
                <w:sz w:val="24"/>
                <w:szCs w:val="24"/>
              </w:rPr>
              <w:t>3.1 The plaintiff instituted action on 13 December 2019.</w:t>
            </w:r>
          </w:p>
          <w:p w:rsidR="0085685E" w:rsidRPr="00B55BB2" w:rsidRDefault="0085685E" w:rsidP="0085685E">
            <w:pPr>
              <w:spacing w:line="360" w:lineRule="auto"/>
              <w:ind w:left="743"/>
              <w:jc w:val="both"/>
              <w:rPr>
                <w:rFonts w:ascii="Arial Narrow" w:hAnsi="Arial Narrow"/>
                <w:color w:val="000000" w:themeColor="text1"/>
                <w:sz w:val="24"/>
                <w:szCs w:val="24"/>
              </w:rPr>
            </w:pPr>
            <w:r w:rsidRPr="00B55BB2">
              <w:rPr>
                <w:rFonts w:ascii="Arial Narrow" w:hAnsi="Arial Narrow"/>
                <w:color w:val="000000" w:themeColor="text1"/>
                <w:sz w:val="24"/>
                <w:szCs w:val="24"/>
              </w:rPr>
              <w:t>3.2 The first notice to amend was filed on 11 June 2020 and the objection thereto was filed on 24 June 2020.</w:t>
            </w:r>
          </w:p>
          <w:p w:rsidR="0085685E" w:rsidRPr="00B55BB2" w:rsidRDefault="00705F2C" w:rsidP="0085685E">
            <w:pPr>
              <w:spacing w:line="360" w:lineRule="auto"/>
              <w:ind w:left="1452" w:hanging="743"/>
              <w:jc w:val="both"/>
              <w:rPr>
                <w:rFonts w:ascii="Arial Narrow" w:hAnsi="Arial Narrow"/>
                <w:color w:val="000000" w:themeColor="text1"/>
                <w:sz w:val="24"/>
                <w:szCs w:val="24"/>
              </w:rPr>
            </w:pPr>
            <w:r w:rsidRPr="00B55BB2">
              <w:rPr>
                <w:rFonts w:ascii="Arial Narrow" w:hAnsi="Arial Narrow"/>
                <w:color w:val="000000" w:themeColor="text1"/>
                <w:sz w:val="24"/>
                <w:szCs w:val="24"/>
              </w:rPr>
              <w:t xml:space="preserve"> </w:t>
            </w:r>
            <w:r w:rsidR="0085685E" w:rsidRPr="00B55BB2">
              <w:rPr>
                <w:rFonts w:ascii="Arial Narrow" w:hAnsi="Arial Narrow"/>
                <w:color w:val="000000" w:themeColor="text1"/>
                <w:sz w:val="24"/>
                <w:szCs w:val="24"/>
              </w:rPr>
              <w:t>3.3 On 14 September 2020 the plaintiff filed a notice of withdrawal of the intended amendment.</w:t>
            </w:r>
          </w:p>
          <w:p w:rsidR="0085685E" w:rsidRPr="00B55BB2" w:rsidRDefault="0085685E" w:rsidP="0085685E">
            <w:pPr>
              <w:spacing w:line="360" w:lineRule="auto"/>
              <w:ind w:left="743" w:hanging="743"/>
              <w:jc w:val="both"/>
              <w:rPr>
                <w:rFonts w:ascii="Arial Narrow" w:hAnsi="Arial Narrow"/>
                <w:color w:val="000000" w:themeColor="text1"/>
                <w:sz w:val="24"/>
                <w:szCs w:val="24"/>
              </w:rPr>
            </w:pPr>
            <w:r w:rsidRPr="00B55BB2">
              <w:rPr>
                <w:rFonts w:ascii="Arial Narrow" w:hAnsi="Arial Narrow"/>
                <w:color w:val="000000" w:themeColor="text1"/>
                <w:sz w:val="24"/>
                <w:szCs w:val="24"/>
              </w:rPr>
              <w:t xml:space="preserve">              3.4 The plaintiff </w:t>
            </w:r>
            <w:r w:rsidR="00705F2C" w:rsidRPr="00B55BB2">
              <w:rPr>
                <w:rFonts w:ascii="Arial Narrow" w:hAnsi="Arial Narrow"/>
                <w:color w:val="000000" w:themeColor="text1"/>
                <w:sz w:val="24"/>
                <w:szCs w:val="24"/>
              </w:rPr>
              <w:t>filed</w:t>
            </w:r>
            <w:r w:rsidRPr="00B55BB2">
              <w:rPr>
                <w:rFonts w:ascii="Arial Narrow" w:hAnsi="Arial Narrow"/>
                <w:color w:val="000000" w:themeColor="text1"/>
                <w:sz w:val="24"/>
                <w:szCs w:val="24"/>
              </w:rPr>
              <w:t xml:space="preserve"> a second notice to amend on 18 September 2020 and the objection thereto was filed on 29 September 2020.</w:t>
            </w:r>
          </w:p>
          <w:p w:rsidR="0085685E" w:rsidRPr="00B55BB2" w:rsidRDefault="00705F2C" w:rsidP="0085685E">
            <w:pPr>
              <w:spacing w:line="360" w:lineRule="auto"/>
              <w:ind w:left="1452" w:hanging="743"/>
              <w:jc w:val="both"/>
              <w:rPr>
                <w:rFonts w:ascii="Arial Narrow" w:hAnsi="Arial Narrow"/>
                <w:color w:val="000000" w:themeColor="text1"/>
                <w:sz w:val="24"/>
                <w:szCs w:val="24"/>
              </w:rPr>
            </w:pPr>
            <w:r w:rsidRPr="00B55BB2">
              <w:rPr>
                <w:rFonts w:ascii="Arial Narrow" w:hAnsi="Arial Narrow"/>
                <w:color w:val="000000" w:themeColor="text1"/>
                <w:sz w:val="24"/>
                <w:szCs w:val="24"/>
              </w:rPr>
              <w:t xml:space="preserve"> </w:t>
            </w:r>
            <w:r w:rsidR="0085685E" w:rsidRPr="00B55BB2">
              <w:rPr>
                <w:rFonts w:ascii="Arial Narrow" w:hAnsi="Arial Narrow"/>
                <w:color w:val="000000" w:themeColor="text1"/>
                <w:sz w:val="24"/>
                <w:szCs w:val="24"/>
              </w:rPr>
              <w:t>3.5 On 5 November 2020 the plaintiff filed a notice of withdrawal of the intended amendment.</w:t>
            </w:r>
          </w:p>
          <w:p w:rsidR="0085685E" w:rsidRPr="00B55BB2" w:rsidRDefault="0085685E" w:rsidP="0085685E">
            <w:pPr>
              <w:spacing w:line="360" w:lineRule="auto"/>
              <w:ind w:left="743" w:hanging="743"/>
              <w:jc w:val="both"/>
              <w:rPr>
                <w:rFonts w:ascii="Arial Narrow" w:hAnsi="Arial Narrow"/>
                <w:color w:val="000000" w:themeColor="text1"/>
                <w:sz w:val="24"/>
                <w:szCs w:val="24"/>
              </w:rPr>
            </w:pPr>
            <w:r w:rsidRPr="00B55BB2">
              <w:rPr>
                <w:rFonts w:ascii="Arial Narrow" w:hAnsi="Arial Narrow"/>
                <w:color w:val="000000" w:themeColor="text1"/>
                <w:sz w:val="24"/>
                <w:szCs w:val="24"/>
              </w:rPr>
              <w:lastRenderedPageBreak/>
              <w:t xml:space="preserve">              3.6 A third notice to amend was filed on 6 November 2020. This intended amendment was not opposed and the plaintiff filed her amended particulars of claim on 27 November 2020.</w:t>
            </w:r>
          </w:p>
          <w:p w:rsidR="0085685E" w:rsidRPr="00B55BB2" w:rsidRDefault="00705F2C" w:rsidP="0085685E">
            <w:pPr>
              <w:spacing w:line="360" w:lineRule="auto"/>
              <w:ind w:left="1452" w:hanging="743"/>
              <w:jc w:val="both"/>
              <w:rPr>
                <w:rFonts w:ascii="Arial Narrow" w:hAnsi="Arial Narrow"/>
                <w:color w:val="000000" w:themeColor="text1"/>
                <w:sz w:val="24"/>
                <w:szCs w:val="24"/>
              </w:rPr>
            </w:pPr>
            <w:r w:rsidRPr="00B55BB2">
              <w:rPr>
                <w:rFonts w:ascii="Arial Narrow" w:hAnsi="Arial Narrow"/>
                <w:color w:val="000000" w:themeColor="text1"/>
                <w:sz w:val="24"/>
                <w:szCs w:val="24"/>
              </w:rPr>
              <w:t xml:space="preserve"> </w:t>
            </w:r>
            <w:r w:rsidR="0085685E" w:rsidRPr="00B55BB2">
              <w:rPr>
                <w:rFonts w:ascii="Arial Narrow" w:hAnsi="Arial Narrow"/>
                <w:color w:val="000000" w:themeColor="text1"/>
                <w:sz w:val="24"/>
                <w:szCs w:val="24"/>
              </w:rPr>
              <w:t>3.7 The defendant filed its plea to the amended particulars of claim on 22 February 2021.</w:t>
            </w:r>
          </w:p>
          <w:p w:rsidR="0085685E" w:rsidRPr="00B55BB2" w:rsidRDefault="0085685E" w:rsidP="0085685E">
            <w:pPr>
              <w:spacing w:line="360" w:lineRule="auto"/>
              <w:ind w:left="743" w:hanging="601"/>
              <w:jc w:val="both"/>
              <w:rPr>
                <w:rFonts w:ascii="Arial Narrow" w:hAnsi="Arial Narrow"/>
                <w:color w:val="000000" w:themeColor="text1"/>
                <w:sz w:val="24"/>
                <w:szCs w:val="24"/>
              </w:rPr>
            </w:pPr>
            <w:r w:rsidRPr="00B55BB2">
              <w:rPr>
                <w:rFonts w:ascii="Arial Narrow" w:hAnsi="Arial Narrow"/>
                <w:color w:val="000000" w:themeColor="text1"/>
                <w:sz w:val="24"/>
                <w:szCs w:val="24"/>
              </w:rPr>
              <w:t xml:space="preserve">           3.8 In terms of the court order dated 24 February 2021 the matter was postponed for a case management conference on 15 April 2021. The parties were directed to file their discovery affidavits and exchange their respective bundles on or before 8 April 2021.</w:t>
            </w:r>
          </w:p>
          <w:p w:rsidR="0085685E" w:rsidRPr="00B55BB2" w:rsidRDefault="00705F2C" w:rsidP="00705F2C">
            <w:pPr>
              <w:spacing w:line="360" w:lineRule="auto"/>
              <w:ind w:left="781" w:hanging="743"/>
              <w:jc w:val="both"/>
              <w:rPr>
                <w:rFonts w:ascii="Arial Narrow" w:hAnsi="Arial Narrow"/>
                <w:color w:val="000000" w:themeColor="text1"/>
                <w:sz w:val="24"/>
                <w:szCs w:val="24"/>
              </w:rPr>
            </w:pPr>
            <w:r w:rsidRPr="00B55BB2">
              <w:rPr>
                <w:rFonts w:ascii="Arial Narrow" w:hAnsi="Arial Narrow"/>
                <w:color w:val="000000" w:themeColor="text1"/>
                <w:sz w:val="24"/>
                <w:szCs w:val="24"/>
              </w:rPr>
              <w:t xml:space="preserve">             </w:t>
            </w:r>
            <w:r w:rsidR="0085685E" w:rsidRPr="00B55BB2">
              <w:rPr>
                <w:rFonts w:ascii="Arial Narrow" w:hAnsi="Arial Narrow"/>
                <w:color w:val="000000" w:themeColor="text1"/>
                <w:sz w:val="24"/>
                <w:szCs w:val="24"/>
              </w:rPr>
              <w:t>3.9 The defendant complied with the court order dated 24 February 2021 and filed its discovery affidavit on 8 April 2021.</w:t>
            </w:r>
          </w:p>
          <w:p w:rsidR="0085685E" w:rsidRPr="00B55BB2" w:rsidRDefault="0085685E" w:rsidP="0085685E">
            <w:pPr>
              <w:spacing w:line="360" w:lineRule="auto"/>
              <w:ind w:left="743" w:hanging="743"/>
              <w:jc w:val="both"/>
              <w:rPr>
                <w:rFonts w:ascii="Arial Narrow" w:hAnsi="Arial Narrow"/>
                <w:color w:val="000000" w:themeColor="text1"/>
                <w:sz w:val="24"/>
                <w:szCs w:val="24"/>
              </w:rPr>
            </w:pPr>
            <w:r w:rsidRPr="00B55BB2">
              <w:rPr>
                <w:rFonts w:ascii="Arial Narrow" w:hAnsi="Arial Narrow"/>
                <w:color w:val="000000" w:themeColor="text1"/>
                <w:sz w:val="24"/>
                <w:szCs w:val="24"/>
              </w:rPr>
              <w:t xml:space="preserve">              3.10 The plaintiff failed to file her discovery affidavit and instead gave notice of a fourth amendment to her particulars of claim on 3 May 2021.</w:t>
            </w:r>
          </w:p>
          <w:p w:rsidR="0085685E" w:rsidRPr="00B55BB2" w:rsidRDefault="0085685E" w:rsidP="0085685E">
            <w:pPr>
              <w:spacing w:line="360" w:lineRule="auto"/>
              <w:ind w:left="743"/>
              <w:jc w:val="both"/>
              <w:rPr>
                <w:rFonts w:ascii="Arial Narrow" w:hAnsi="Arial Narrow"/>
                <w:color w:val="000000" w:themeColor="text1"/>
                <w:sz w:val="24"/>
                <w:szCs w:val="24"/>
              </w:rPr>
            </w:pPr>
            <w:r w:rsidRPr="00B55BB2">
              <w:rPr>
                <w:rFonts w:ascii="Arial Narrow" w:hAnsi="Arial Narrow"/>
                <w:color w:val="000000" w:themeColor="text1"/>
                <w:sz w:val="24"/>
                <w:szCs w:val="24"/>
              </w:rPr>
              <w:t>3.11 The defendant objected to the proposed amendment on 11 May 2021.</w:t>
            </w:r>
          </w:p>
          <w:p w:rsidR="0085685E" w:rsidRPr="00B55BB2" w:rsidRDefault="0085685E" w:rsidP="0085685E">
            <w:pPr>
              <w:spacing w:line="360" w:lineRule="auto"/>
              <w:ind w:left="743"/>
              <w:jc w:val="both"/>
              <w:rPr>
                <w:rFonts w:ascii="Arial Narrow" w:hAnsi="Arial Narrow"/>
                <w:color w:val="000000" w:themeColor="text1"/>
                <w:sz w:val="24"/>
                <w:szCs w:val="24"/>
              </w:rPr>
            </w:pPr>
            <w:r w:rsidRPr="00B55BB2">
              <w:rPr>
                <w:rFonts w:ascii="Arial Narrow" w:hAnsi="Arial Narrow"/>
                <w:color w:val="000000" w:themeColor="text1"/>
                <w:sz w:val="24"/>
                <w:szCs w:val="24"/>
              </w:rPr>
              <w:t>3.12 The plaintiff then proceeded to file an application for leave to amend in terms of rule 52 on 20 May 2021 but withdrew the application on 18 June 2021.</w:t>
            </w:r>
          </w:p>
          <w:p w:rsidR="0085685E" w:rsidRPr="00B55BB2" w:rsidRDefault="0085685E" w:rsidP="0085685E">
            <w:pPr>
              <w:spacing w:line="360" w:lineRule="auto"/>
              <w:ind w:left="743"/>
              <w:jc w:val="both"/>
              <w:rPr>
                <w:rFonts w:ascii="Arial Narrow" w:hAnsi="Arial Narrow"/>
                <w:color w:val="000000" w:themeColor="text1"/>
                <w:sz w:val="24"/>
                <w:szCs w:val="24"/>
              </w:rPr>
            </w:pPr>
            <w:r w:rsidRPr="00B55BB2">
              <w:rPr>
                <w:rFonts w:ascii="Arial Narrow" w:hAnsi="Arial Narrow"/>
                <w:color w:val="000000" w:themeColor="text1"/>
                <w:sz w:val="24"/>
                <w:szCs w:val="24"/>
              </w:rPr>
              <w:t>3.13 The plaintiff launched the current application on 13 August 2021 wherein the applicant seeks to amend her particulars of claim in terms of a notice of amendment dated 3 May 2021.</w:t>
            </w:r>
          </w:p>
          <w:p w:rsidR="0085685E" w:rsidRPr="00B55BB2" w:rsidRDefault="0085685E" w:rsidP="0085685E">
            <w:pPr>
              <w:spacing w:line="360" w:lineRule="auto"/>
              <w:ind w:left="743" w:hanging="743"/>
              <w:jc w:val="both"/>
              <w:rPr>
                <w:rFonts w:ascii="Arial Narrow" w:hAnsi="Arial Narrow"/>
                <w:color w:val="000000" w:themeColor="text1"/>
              </w:rPr>
            </w:pPr>
          </w:p>
          <w:p w:rsidR="00CF3B28" w:rsidRPr="00B55BB2" w:rsidRDefault="0085685E" w:rsidP="00737554">
            <w:pPr>
              <w:spacing w:line="360" w:lineRule="auto"/>
              <w:jc w:val="both"/>
              <w:rPr>
                <w:rFonts w:ascii="Arial Narrow" w:hAnsi="Arial Narrow" w:cs="Arial"/>
                <w:color w:val="000000" w:themeColor="text1"/>
                <w:sz w:val="24"/>
                <w:szCs w:val="24"/>
                <w:u w:val="single"/>
              </w:rPr>
            </w:pPr>
            <w:r w:rsidRPr="00B55BB2">
              <w:rPr>
                <w:rFonts w:ascii="Arial Narrow" w:hAnsi="Arial Narrow" w:cs="Arial"/>
                <w:color w:val="000000" w:themeColor="text1"/>
                <w:sz w:val="24"/>
                <w:szCs w:val="24"/>
                <w:u w:val="single"/>
              </w:rPr>
              <w:t>The application for amendment</w:t>
            </w:r>
          </w:p>
          <w:p w:rsidR="0085685E" w:rsidRPr="00B55BB2" w:rsidRDefault="0085685E" w:rsidP="00737554">
            <w:pPr>
              <w:spacing w:line="360" w:lineRule="auto"/>
              <w:jc w:val="both"/>
              <w:rPr>
                <w:rFonts w:ascii="Arial Narrow" w:hAnsi="Arial Narrow" w:cs="Arial"/>
                <w:color w:val="000000" w:themeColor="text1"/>
                <w:sz w:val="24"/>
                <w:szCs w:val="24"/>
                <w:u w:val="single"/>
              </w:rPr>
            </w:pPr>
          </w:p>
          <w:p w:rsidR="0085685E" w:rsidRPr="00B55BB2" w:rsidRDefault="00A86321" w:rsidP="0085685E">
            <w:pPr>
              <w:spacing w:line="360" w:lineRule="auto"/>
              <w:jc w:val="both"/>
              <w:rPr>
                <w:rFonts w:ascii="Arial Narrow" w:hAnsi="Arial Narrow"/>
                <w:color w:val="000000" w:themeColor="text1"/>
                <w:sz w:val="24"/>
                <w:szCs w:val="24"/>
              </w:rPr>
            </w:pPr>
            <w:r w:rsidRPr="00B55BB2">
              <w:rPr>
                <w:rFonts w:ascii="Arial Narrow" w:hAnsi="Arial Narrow"/>
                <w:color w:val="000000" w:themeColor="text1"/>
                <w:sz w:val="24"/>
                <w:szCs w:val="24"/>
              </w:rPr>
              <w:t>[</w:t>
            </w:r>
            <w:r w:rsidR="0089499D" w:rsidRPr="00B55BB2">
              <w:rPr>
                <w:rFonts w:ascii="Arial Narrow" w:hAnsi="Arial Narrow"/>
                <w:color w:val="000000" w:themeColor="text1"/>
                <w:sz w:val="24"/>
                <w:szCs w:val="24"/>
              </w:rPr>
              <w:t>4</w:t>
            </w:r>
            <w:r w:rsidRPr="00B55BB2">
              <w:rPr>
                <w:rFonts w:ascii="Arial Narrow" w:hAnsi="Arial Narrow"/>
                <w:color w:val="000000" w:themeColor="text1"/>
                <w:sz w:val="24"/>
                <w:szCs w:val="24"/>
              </w:rPr>
              <w:t xml:space="preserve">]           </w:t>
            </w:r>
            <w:r w:rsidR="0085685E" w:rsidRPr="00B55BB2">
              <w:rPr>
                <w:rFonts w:ascii="Arial Narrow" w:hAnsi="Arial Narrow"/>
                <w:color w:val="000000" w:themeColor="text1"/>
                <w:sz w:val="24"/>
                <w:szCs w:val="24"/>
              </w:rPr>
              <w:t xml:space="preserve">The current application is the fourth attempt by the plaintiff at amending her particulars of claim. The explanation advanced by the plaintiff in her founding affidavit is </w:t>
            </w:r>
            <w:r w:rsidR="00705F2C" w:rsidRPr="00B55BB2">
              <w:rPr>
                <w:rFonts w:ascii="Arial Narrow" w:hAnsi="Arial Narrow"/>
                <w:color w:val="000000" w:themeColor="text1"/>
                <w:sz w:val="24"/>
                <w:szCs w:val="24"/>
              </w:rPr>
              <w:t>that</w:t>
            </w:r>
            <w:r w:rsidR="0085685E" w:rsidRPr="00B55BB2">
              <w:rPr>
                <w:rFonts w:ascii="Arial Narrow" w:hAnsi="Arial Narrow"/>
                <w:color w:val="000000" w:themeColor="text1"/>
                <w:sz w:val="24"/>
                <w:szCs w:val="24"/>
              </w:rPr>
              <w:t xml:space="preserve"> she was dissatisfied with the particulars of claim that her erstwhile legal practitioners filed as it did not include her claims related to</w:t>
            </w:r>
            <w:r w:rsidR="00705F2C" w:rsidRPr="00B55BB2">
              <w:rPr>
                <w:rFonts w:ascii="Arial Narrow" w:hAnsi="Arial Narrow"/>
                <w:color w:val="000000" w:themeColor="text1"/>
                <w:sz w:val="24"/>
                <w:szCs w:val="24"/>
              </w:rPr>
              <w:t xml:space="preserve"> the</w:t>
            </w:r>
            <w:r w:rsidR="0085685E" w:rsidRPr="00B55BB2">
              <w:rPr>
                <w:rFonts w:ascii="Arial Narrow" w:hAnsi="Arial Narrow"/>
                <w:color w:val="000000" w:themeColor="text1"/>
                <w:sz w:val="24"/>
                <w:szCs w:val="24"/>
              </w:rPr>
              <w:t xml:space="preserve"> unauthorised actions by the employees of the defendant in respect of the opening and duplicating of a cheque and credit card account and increasing credit limits</w:t>
            </w:r>
            <w:r w:rsidR="0085685E" w:rsidRPr="00B55BB2">
              <w:rPr>
                <w:rFonts w:ascii="Arial Narrow" w:hAnsi="Arial Narrow"/>
                <w:color w:val="000000" w:themeColor="text1"/>
                <w:sz w:val="24"/>
                <w:szCs w:val="24"/>
                <w:vertAlign w:val="superscript"/>
              </w:rPr>
              <w:footnoteReference w:id="1"/>
            </w:r>
            <w:r w:rsidR="0085685E" w:rsidRPr="00B55BB2">
              <w:rPr>
                <w:rFonts w:ascii="Arial Narrow" w:hAnsi="Arial Narrow"/>
                <w:color w:val="000000" w:themeColor="text1"/>
                <w:sz w:val="24"/>
                <w:szCs w:val="24"/>
              </w:rPr>
              <w:t xml:space="preserve">. </w:t>
            </w:r>
          </w:p>
          <w:p w:rsidR="004F6465" w:rsidRPr="00B55BB2" w:rsidRDefault="004F6465" w:rsidP="00A86321">
            <w:pPr>
              <w:spacing w:line="360" w:lineRule="auto"/>
              <w:jc w:val="both"/>
              <w:rPr>
                <w:rFonts w:ascii="Arial Narrow" w:hAnsi="Arial Narrow"/>
                <w:color w:val="000000" w:themeColor="text1"/>
                <w:sz w:val="24"/>
                <w:szCs w:val="24"/>
              </w:rPr>
            </w:pPr>
            <w:r w:rsidRPr="00B55BB2">
              <w:rPr>
                <w:rFonts w:ascii="Arial Narrow" w:hAnsi="Arial Narrow"/>
                <w:color w:val="000000" w:themeColor="text1"/>
                <w:sz w:val="24"/>
                <w:szCs w:val="24"/>
              </w:rPr>
              <w:tab/>
            </w:r>
          </w:p>
          <w:p w:rsidR="0085685E" w:rsidRPr="00B55BB2" w:rsidRDefault="00A86321" w:rsidP="0085685E">
            <w:pPr>
              <w:spacing w:line="360" w:lineRule="auto"/>
              <w:jc w:val="both"/>
              <w:rPr>
                <w:rFonts w:ascii="Arial Narrow" w:hAnsi="Arial Narrow"/>
                <w:color w:val="000000" w:themeColor="text1"/>
              </w:rPr>
            </w:pPr>
            <w:r w:rsidRPr="00B55BB2">
              <w:rPr>
                <w:rFonts w:ascii="Arial Narrow" w:hAnsi="Arial Narrow"/>
                <w:color w:val="000000" w:themeColor="text1"/>
                <w:sz w:val="24"/>
                <w:szCs w:val="24"/>
              </w:rPr>
              <w:t>[</w:t>
            </w:r>
            <w:r w:rsidR="0089499D" w:rsidRPr="00B55BB2">
              <w:rPr>
                <w:rFonts w:ascii="Arial Narrow" w:hAnsi="Arial Narrow"/>
                <w:color w:val="000000" w:themeColor="text1"/>
                <w:sz w:val="24"/>
                <w:szCs w:val="24"/>
              </w:rPr>
              <w:t>5</w:t>
            </w:r>
            <w:r w:rsidRPr="00B55BB2">
              <w:rPr>
                <w:rFonts w:ascii="Arial Narrow" w:hAnsi="Arial Narrow"/>
                <w:color w:val="000000" w:themeColor="text1"/>
                <w:sz w:val="24"/>
                <w:szCs w:val="24"/>
              </w:rPr>
              <w:t xml:space="preserve">]         </w:t>
            </w:r>
            <w:r w:rsidR="0085685E" w:rsidRPr="00B55BB2">
              <w:rPr>
                <w:rFonts w:ascii="Arial Narrow" w:hAnsi="Arial Narrow"/>
                <w:color w:val="000000" w:themeColor="text1"/>
              </w:rPr>
              <w:t>According to the plaintiff she instructed her erstwhile legal practitioner</w:t>
            </w:r>
            <w:r w:rsidR="00925C70" w:rsidRPr="00B55BB2">
              <w:rPr>
                <w:rFonts w:ascii="Arial Narrow" w:hAnsi="Arial Narrow"/>
                <w:color w:val="000000" w:themeColor="text1"/>
              </w:rPr>
              <w:t>s</w:t>
            </w:r>
            <w:r w:rsidR="0085685E" w:rsidRPr="00B55BB2">
              <w:rPr>
                <w:rFonts w:ascii="Arial Narrow" w:hAnsi="Arial Narrow"/>
                <w:color w:val="000000" w:themeColor="text1"/>
              </w:rPr>
              <w:t xml:space="preserve"> to include an alternative delictual claim and a claim for her pain to be added and this was not done</w:t>
            </w:r>
            <w:r w:rsidR="0085685E" w:rsidRPr="00B55BB2">
              <w:rPr>
                <w:rFonts w:ascii="Arial Narrow" w:hAnsi="Arial Narrow"/>
                <w:color w:val="000000" w:themeColor="text1"/>
                <w:vertAlign w:val="superscript"/>
              </w:rPr>
              <w:footnoteReference w:id="2"/>
            </w:r>
            <w:r w:rsidR="0085685E" w:rsidRPr="00B55BB2">
              <w:rPr>
                <w:rFonts w:ascii="Arial Narrow" w:hAnsi="Arial Narrow"/>
                <w:color w:val="000000" w:themeColor="text1"/>
              </w:rPr>
              <w:t>.</w:t>
            </w:r>
          </w:p>
          <w:p w:rsidR="00CF3B28" w:rsidRPr="00B55BB2" w:rsidRDefault="00CF3B28" w:rsidP="00A86321">
            <w:pPr>
              <w:spacing w:line="360" w:lineRule="auto"/>
              <w:jc w:val="both"/>
              <w:rPr>
                <w:rFonts w:ascii="Arial Narrow" w:hAnsi="Arial Narrow"/>
                <w:color w:val="000000" w:themeColor="text1"/>
                <w:sz w:val="24"/>
                <w:szCs w:val="24"/>
              </w:rPr>
            </w:pPr>
          </w:p>
          <w:p w:rsidR="00AD6011" w:rsidRPr="00B55BB2" w:rsidRDefault="001F453A" w:rsidP="00AD6011">
            <w:pPr>
              <w:spacing w:line="360" w:lineRule="auto"/>
              <w:jc w:val="both"/>
              <w:rPr>
                <w:rFonts w:ascii="Arial Narrow" w:hAnsi="Arial Narrow"/>
                <w:color w:val="000000" w:themeColor="text1"/>
                <w:sz w:val="24"/>
                <w:szCs w:val="24"/>
              </w:rPr>
            </w:pPr>
            <w:r w:rsidRPr="00B55BB2">
              <w:rPr>
                <w:rFonts w:ascii="Arial Narrow" w:hAnsi="Arial Narrow"/>
                <w:color w:val="000000" w:themeColor="text1"/>
                <w:sz w:val="24"/>
                <w:szCs w:val="24"/>
              </w:rPr>
              <w:t>[</w:t>
            </w:r>
            <w:r w:rsidR="0089499D" w:rsidRPr="00B55BB2">
              <w:rPr>
                <w:rFonts w:ascii="Arial Narrow" w:hAnsi="Arial Narrow"/>
                <w:color w:val="000000" w:themeColor="text1"/>
                <w:sz w:val="24"/>
                <w:szCs w:val="24"/>
              </w:rPr>
              <w:t>6</w:t>
            </w:r>
            <w:r w:rsidRPr="00B55BB2">
              <w:rPr>
                <w:rFonts w:ascii="Arial Narrow" w:hAnsi="Arial Narrow"/>
                <w:color w:val="000000" w:themeColor="text1"/>
                <w:sz w:val="24"/>
                <w:szCs w:val="24"/>
              </w:rPr>
              <w:t xml:space="preserve">]        </w:t>
            </w:r>
            <w:r w:rsidR="0085685E" w:rsidRPr="00B55BB2">
              <w:rPr>
                <w:rFonts w:ascii="Arial Narrow" w:hAnsi="Arial Narrow"/>
                <w:color w:val="000000" w:themeColor="text1"/>
                <w:sz w:val="24"/>
                <w:szCs w:val="24"/>
                <w:lang w:val="en-US"/>
              </w:rPr>
              <w:t>The plaintiff further complains that although she furnished her erstwhile legal practitioners with various supporting documents to substantiate the additional claim, the erstwhile legal practitioners</w:t>
            </w:r>
            <w:r w:rsidR="001E0067" w:rsidRPr="00B55BB2">
              <w:rPr>
                <w:rFonts w:ascii="Arial Narrow" w:hAnsi="Arial Narrow"/>
                <w:color w:val="000000" w:themeColor="text1"/>
                <w:sz w:val="24"/>
                <w:szCs w:val="24"/>
                <w:lang w:val="en-US"/>
              </w:rPr>
              <w:t xml:space="preserve"> however</w:t>
            </w:r>
            <w:r w:rsidR="0085685E" w:rsidRPr="00B55BB2">
              <w:rPr>
                <w:rFonts w:ascii="Arial Narrow" w:hAnsi="Arial Narrow"/>
                <w:color w:val="000000" w:themeColor="text1"/>
                <w:sz w:val="24"/>
                <w:szCs w:val="24"/>
                <w:lang w:val="en-US"/>
              </w:rPr>
              <w:t xml:space="preserve"> fail</w:t>
            </w:r>
            <w:r w:rsidR="001E0067" w:rsidRPr="00B55BB2">
              <w:rPr>
                <w:rFonts w:ascii="Arial Narrow" w:hAnsi="Arial Narrow"/>
                <w:color w:val="000000" w:themeColor="text1"/>
                <w:sz w:val="24"/>
                <w:szCs w:val="24"/>
                <w:lang w:val="en-US"/>
              </w:rPr>
              <w:t>ed</w:t>
            </w:r>
            <w:r w:rsidR="0085685E" w:rsidRPr="00B55BB2">
              <w:rPr>
                <w:rFonts w:ascii="Arial Narrow" w:hAnsi="Arial Narrow"/>
                <w:color w:val="000000" w:themeColor="text1"/>
                <w:sz w:val="24"/>
                <w:szCs w:val="24"/>
                <w:lang w:val="en-US"/>
              </w:rPr>
              <w:t xml:space="preserve"> to add the said claims</w:t>
            </w:r>
            <w:r w:rsidR="0085685E" w:rsidRPr="00B55BB2">
              <w:rPr>
                <w:rFonts w:ascii="Arial Narrow" w:hAnsi="Arial Narrow"/>
                <w:color w:val="000000" w:themeColor="text1"/>
                <w:sz w:val="24"/>
                <w:szCs w:val="24"/>
                <w:vertAlign w:val="superscript"/>
                <w:lang w:val="en-US"/>
              </w:rPr>
              <w:footnoteReference w:id="3"/>
            </w:r>
            <w:r w:rsidR="0085685E" w:rsidRPr="00B55BB2">
              <w:rPr>
                <w:rFonts w:ascii="Arial Narrow" w:hAnsi="Arial Narrow"/>
                <w:color w:val="000000" w:themeColor="text1"/>
                <w:sz w:val="24"/>
                <w:szCs w:val="24"/>
                <w:lang w:val="en-US"/>
              </w:rPr>
              <w:t>.</w:t>
            </w:r>
          </w:p>
          <w:p w:rsidR="00CF3B28" w:rsidRPr="00B55BB2" w:rsidRDefault="00CF3B28" w:rsidP="00AD6011">
            <w:pPr>
              <w:spacing w:line="360" w:lineRule="auto"/>
              <w:jc w:val="both"/>
              <w:rPr>
                <w:rFonts w:ascii="Arial Narrow" w:hAnsi="Arial Narrow"/>
                <w:color w:val="000000" w:themeColor="text1"/>
                <w:sz w:val="24"/>
                <w:szCs w:val="24"/>
              </w:rPr>
            </w:pPr>
          </w:p>
          <w:p w:rsidR="00725DDB" w:rsidRPr="00B55BB2" w:rsidRDefault="00AD6011" w:rsidP="00737554">
            <w:pPr>
              <w:spacing w:line="360" w:lineRule="auto"/>
              <w:jc w:val="both"/>
              <w:rPr>
                <w:rFonts w:ascii="Arial Narrow" w:hAnsi="Arial Narrow"/>
                <w:color w:val="000000" w:themeColor="text1"/>
                <w:sz w:val="24"/>
                <w:szCs w:val="24"/>
              </w:rPr>
            </w:pPr>
            <w:r w:rsidRPr="00B55BB2">
              <w:rPr>
                <w:rFonts w:ascii="Arial Narrow" w:hAnsi="Arial Narrow"/>
                <w:color w:val="000000" w:themeColor="text1"/>
                <w:sz w:val="24"/>
                <w:szCs w:val="24"/>
              </w:rPr>
              <w:lastRenderedPageBreak/>
              <w:t>[</w:t>
            </w:r>
            <w:r w:rsidR="0089499D" w:rsidRPr="00B55BB2">
              <w:rPr>
                <w:rFonts w:ascii="Arial Narrow" w:hAnsi="Arial Narrow"/>
                <w:color w:val="000000" w:themeColor="text1"/>
                <w:sz w:val="24"/>
                <w:szCs w:val="24"/>
              </w:rPr>
              <w:t>7</w:t>
            </w:r>
            <w:r w:rsidRPr="00B55BB2">
              <w:rPr>
                <w:rFonts w:ascii="Arial Narrow" w:hAnsi="Arial Narrow"/>
                <w:color w:val="000000" w:themeColor="text1"/>
                <w:sz w:val="24"/>
                <w:szCs w:val="24"/>
              </w:rPr>
              <w:t xml:space="preserve">]          </w:t>
            </w:r>
            <w:r w:rsidR="0085685E" w:rsidRPr="00B55BB2">
              <w:rPr>
                <w:rFonts w:ascii="Arial Narrow" w:hAnsi="Arial Narrow"/>
                <w:color w:val="000000" w:themeColor="text1"/>
                <w:sz w:val="24"/>
                <w:szCs w:val="24"/>
                <w:lang w:val="en-US"/>
              </w:rPr>
              <w:t>During the lifetime of this matter the attempts by the plaintiff to amend her particulars of claim can be summarised as follows:</w:t>
            </w:r>
          </w:p>
          <w:p w:rsidR="000B2E4A" w:rsidRPr="00B55BB2" w:rsidRDefault="000B2E4A" w:rsidP="000B2E4A">
            <w:pPr>
              <w:numPr>
                <w:ilvl w:val="0"/>
                <w:numId w:val="13"/>
              </w:numPr>
              <w:spacing w:line="360" w:lineRule="auto"/>
              <w:jc w:val="both"/>
              <w:rPr>
                <w:rFonts w:ascii="Arial Narrow" w:hAnsi="Arial Narrow"/>
                <w:color w:val="000000" w:themeColor="text1"/>
              </w:rPr>
            </w:pPr>
            <w:r w:rsidRPr="00B55BB2">
              <w:rPr>
                <w:rFonts w:ascii="Arial Narrow" w:hAnsi="Arial Narrow"/>
                <w:color w:val="000000" w:themeColor="text1"/>
              </w:rPr>
              <w:t>the first attempt to amend her particulars of claim on 11 June 2020</w:t>
            </w:r>
            <w:r w:rsidR="00925C70" w:rsidRPr="00B55BB2">
              <w:rPr>
                <w:rFonts w:ascii="Arial Narrow" w:hAnsi="Arial Narrow"/>
                <w:color w:val="000000" w:themeColor="text1"/>
              </w:rPr>
              <w:t>,</w:t>
            </w:r>
            <w:r w:rsidRPr="00B55BB2">
              <w:rPr>
                <w:rFonts w:ascii="Arial Narrow" w:hAnsi="Arial Narrow"/>
                <w:color w:val="000000" w:themeColor="text1"/>
              </w:rPr>
              <w:t xml:space="preserve"> the plaintiff sought to introduce claims for unauthorised actions by the defendant’s employees including the duplicating of </w:t>
            </w:r>
            <w:r w:rsidR="00925C70" w:rsidRPr="00B55BB2">
              <w:rPr>
                <w:rFonts w:ascii="Arial Narrow" w:hAnsi="Arial Narrow"/>
                <w:color w:val="000000" w:themeColor="text1"/>
              </w:rPr>
              <w:t xml:space="preserve">the </w:t>
            </w:r>
            <w:r w:rsidRPr="00B55BB2">
              <w:rPr>
                <w:rFonts w:ascii="Arial Narrow" w:hAnsi="Arial Narrow"/>
                <w:color w:val="000000" w:themeColor="text1"/>
              </w:rPr>
              <w:t>cheque and credit card accounts and the increasing of plaintiff’s credit limits as well as the delictual claim for pain and suffer</w:t>
            </w:r>
            <w:r w:rsidR="001E0067" w:rsidRPr="00B55BB2">
              <w:rPr>
                <w:rFonts w:ascii="Arial Narrow" w:hAnsi="Arial Narrow"/>
                <w:color w:val="000000" w:themeColor="text1"/>
              </w:rPr>
              <w:t>ing</w:t>
            </w:r>
            <w:r w:rsidRPr="00B55BB2">
              <w:rPr>
                <w:rFonts w:ascii="Arial Narrow" w:hAnsi="Arial Narrow"/>
                <w:color w:val="000000" w:themeColor="text1"/>
              </w:rPr>
              <w:t xml:space="preserve"> and the fraudulent opening of credit card facilities. In addition thereto the plaintiff introduced elements of embezzlement and fraud on the part of the defendant.</w:t>
            </w:r>
          </w:p>
          <w:p w:rsidR="000B2E4A" w:rsidRPr="00B55BB2" w:rsidRDefault="000B2E4A" w:rsidP="000B2E4A">
            <w:pPr>
              <w:pStyle w:val="ListParagraph"/>
              <w:numPr>
                <w:ilvl w:val="0"/>
                <w:numId w:val="13"/>
              </w:numPr>
              <w:spacing w:line="360" w:lineRule="auto"/>
              <w:jc w:val="both"/>
              <w:rPr>
                <w:rFonts w:ascii="Arial Narrow" w:hAnsi="Arial Narrow"/>
                <w:color w:val="000000" w:themeColor="text1"/>
                <w:sz w:val="24"/>
                <w:szCs w:val="24"/>
              </w:rPr>
            </w:pPr>
            <w:r w:rsidRPr="00B55BB2">
              <w:rPr>
                <w:rFonts w:ascii="Arial Narrow" w:hAnsi="Arial Narrow"/>
                <w:color w:val="000000" w:themeColor="text1"/>
                <w:sz w:val="24"/>
                <w:szCs w:val="24"/>
              </w:rPr>
              <w:t>In the second attempt to an amendment on 18 September 2020 the plaintiff relied on a delictual claim for damages brought about by her having to sell her vehicle below market value</w:t>
            </w:r>
            <w:r w:rsidRPr="00B55BB2">
              <w:rPr>
                <w:rFonts w:ascii="Arial Narrow" w:hAnsi="Arial Narrow"/>
                <w:strike/>
                <w:color w:val="000000" w:themeColor="text1"/>
                <w:sz w:val="24"/>
                <w:szCs w:val="24"/>
              </w:rPr>
              <w:t>d</w:t>
            </w:r>
            <w:r w:rsidRPr="00B55BB2">
              <w:rPr>
                <w:rFonts w:ascii="Arial Narrow" w:hAnsi="Arial Narrow"/>
                <w:color w:val="000000" w:themeColor="text1"/>
                <w:sz w:val="24"/>
                <w:szCs w:val="24"/>
              </w:rPr>
              <w:t xml:space="preserve"> and a delictual claim for general damages and medical expenses. The objection in this regard was also premised on issues of prescription and excipiability.</w:t>
            </w:r>
          </w:p>
          <w:p w:rsidR="000B2E4A" w:rsidRPr="00B55BB2" w:rsidRDefault="000B2E4A" w:rsidP="000B2E4A">
            <w:pPr>
              <w:pStyle w:val="ListParagraph"/>
              <w:numPr>
                <w:ilvl w:val="0"/>
                <w:numId w:val="13"/>
              </w:numPr>
              <w:spacing w:line="360" w:lineRule="auto"/>
              <w:jc w:val="both"/>
              <w:rPr>
                <w:rFonts w:ascii="Arial Narrow" w:hAnsi="Arial Narrow"/>
                <w:color w:val="000000" w:themeColor="text1"/>
                <w:sz w:val="24"/>
                <w:szCs w:val="24"/>
              </w:rPr>
            </w:pPr>
            <w:r w:rsidRPr="00B55BB2">
              <w:rPr>
                <w:rFonts w:ascii="Arial Narrow" w:hAnsi="Arial Narrow"/>
                <w:color w:val="000000" w:themeColor="text1"/>
                <w:sz w:val="24"/>
                <w:szCs w:val="24"/>
              </w:rPr>
              <w:t>The third attempt to amend</w:t>
            </w:r>
            <w:r w:rsidR="001E0067" w:rsidRPr="00B55BB2">
              <w:rPr>
                <w:rFonts w:ascii="Arial Narrow" w:hAnsi="Arial Narrow"/>
                <w:color w:val="000000" w:themeColor="text1"/>
                <w:sz w:val="24"/>
                <w:szCs w:val="24"/>
              </w:rPr>
              <w:t>,</w:t>
            </w:r>
            <w:r w:rsidRPr="00B55BB2">
              <w:rPr>
                <w:rFonts w:ascii="Arial Narrow" w:hAnsi="Arial Narrow"/>
                <w:color w:val="000000" w:themeColor="text1"/>
                <w:sz w:val="24"/>
                <w:szCs w:val="24"/>
              </w:rPr>
              <w:t xml:space="preserve"> the plaintiff sought to introduce a component of special damages in the pre-existing (and originally pleaded) contractual claim. There was no opposition to the proposed amendment and the plaintiff amended her particulars of claim accordingly.</w:t>
            </w:r>
          </w:p>
          <w:p w:rsidR="000B2E4A" w:rsidRPr="00B55BB2" w:rsidRDefault="000B2E4A" w:rsidP="00737554">
            <w:pPr>
              <w:pStyle w:val="ListParagraph"/>
              <w:numPr>
                <w:ilvl w:val="0"/>
                <w:numId w:val="13"/>
              </w:numPr>
              <w:spacing w:line="360" w:lineRule="auto"/>
              <w:jc w:val="both"/>
              <w:rPr>
                <w:rFonts w:ascii="Arial Narrow" w:hAnsi="Arial Narrow"/>
                <w:color w:val="000000" w:themeColor="text1"/>
              </w:rPr>
            </w:pPr>
            <w:r w:rsidRPr="00B55BB2">
              <w:rPr>
                <w:rFonts w:ascii="Arial Narrow" w:hAnsi="Arial Narrow"/>
                <w:color w:val="000000" w:themeColor="text1"/>
              </w:rPr>
              <w:t>In respect of the current application, which is in essence a fourth attempt to amend, the plaintiff seeks to reintroduce the delictual claim based on fraud and theft. In this instance the plaintiff plead that the fraud and theft was perpetrated by unknown employee(s) of the defendant by acting within course and scope of his/her duties. In addition thereto the plaintiff wishes to introduce in the alternative a claim of enrichment.</w:t>
            </w:r>
          </w:p>
          <w:p w:rsidR="000B2E4A" w:rsidRPr="00B55BB2" w:rsidRDefault="000B2E4A" w:rsidP="00737554">
            <w:pPr>
              <w:spacing w:line="360" w:lineRule="auto"/>
              <w:jc w:val="both"/>
              <w:rPr>
                <w:rFonts w:ascii="Arial Narrow" w:hAnsi="Arial Narrow" w:cs="Arial"/>
                <w:color w:val="000000" w:themeColor="text1"/>
                <w:sz w:val="24"/>
                <w:szCs w:val="24"/>
                <w:lang w:val="en-US"/>
              </w:rPr>
            </w:pPr>
          </w:p>
          <w:p w:rsidR="001F453A" w:rsidRPr="00B55BB2" w:rsidRDefault="00D22A07" w:rsidP="00737554">
            <w:pPr>
              <w:spacing w:line="360" w:lineRule="auto"/>
              <w:jc w:val="both"/>
              <w:rPr>
                <w:rFonts w:ascii="Arial Narrow" w:hAnsi="Arial Narrow" w:cs="Arial"/>
                <w:color w:val="000000" w:themeColor="text1"/>
                <w:sz w:val="24"/>
                <w:szCs w:val="24"/>
              </w:rPr>
            </w:pPr>
            <w:r w:rsidRPr="00B55BB2">
              <w:rPr>
                <w:rFonts w:ascii="Arial Narrow" w:hAnsi="Arial Narrow" w:cs="Arial"/>
                <w:color w:val="000000" w:themeColor="text1"/>
                <w:sz w:val="24"/>
                <w:szCs w:val="24"/>
                <w:lang w:val="en-US"/>
              </w:rPr>
              <w:t>[</w:t>
            </w:r>
            <w:r w:rsidR="0089499D" w:rsidRPr="00B55BB2">
              <w:rPr>
                <w:rFonts w:ascii="Arial Narrow" w:hAnsi="Arial Narrow" w:cs="Arial"/>
                <w:color w:val="000000" w:themeColor="text1"/>
                <w:sz w:val="24"/>
                <w:szCs w:val="24"/>
                <w:lang w:val="en-US"/>
              </w:rPr>
              <w:t>8</w:t>
            </w:r>
            <w:r w:rsidRPr="00B55BB2">
              <w:rPr>
                <w:rFonts w:ascii="Arial Narrow" w:hAnsi="Arial Narrow" w:cs="Arial"/>
                <w:color w:val="000000" w:themeColor="text1"/>
                <w:sz w:val="24"/>
                <w:szCs w:val="24"/>
                <w:lang w:val="en-US"/>
              </w:rPr>
              <w:t xml:space="preserve">]        </w:t>
            </w:r>
            <w:r w:rsidR="000B2E4A" w:rsidRPr="00B55BB2">
              <w:rPr>
                <w:rFonts w:ascii="Arial Narrow" w:hAnsi="Arial Narrow" w:cs="Arial"/>
                <w:color w:val="000000" w:themeColor="text1"/>
                <w:sz w:val="24"/>
                <w:szCs w:val="24"/>
              </w:rPr>
              <w:t xml:space="preserve">It is noticeable that </w:t>
            </w:r>
            <w:r w:rsidR="00DE0B5A" w:rsidRPr="00B55BB2">
              <w:rPr>
                <w:rFonts w:ascii="Arial Narrow" w:hAnsi="Arial Narrow" w:cs="Arial"/>
                <w:color w:val="000000" w:themeColor="text1"/>
                <w:sz w:val="24"/>
                <w:szCs w:val="24"/>
              </w:rPr>
              <w:t xml:space="preserve">it is </w:t>
            </w:r>
            <w:r w:rsidR="000B2E4A" w:rsidRPr="00B55BB2">
              <w:rPr>
                <w:rFonts w:ascii="Arial Narrow" w:hAnsi="Arial Narrow" w:cs="Arial"/>
                <w:color w:val="000000" w:themeColor="text1"/>
                <w:sz w:val="24"/>
                <w:szCs w:val="24"/>
              </w:rPr>
              <w:t xml:space="preserve">only in respect of the current application </w:t>
            </w:r>
            <w:r w:rsidR="00DE0B5A" w:rsidRPr="00B55BB2">
              <w:rPr>
                <w:rFonts w:ascii="Arial Narrow" w:hAnsi="Arial Narrow" w:cs="Arial"/>
                <w:color w:val="000000" w:themeColor="text1"/>
                <w:sz w:val="24"/>
                <w:szCs w:val="24"/>
              </w:rPr>
              <w:t xml:space="preserve">that </w:t>
            </w:r>
            <w:r w:rsidR="000B2E4A" w:rsidRPr="00B55BB2">
              <w:rPr>
                <w:rFonts w:ascii="Arial Narrow" w:hAnsi="Arial Narrow" w:cs="Arial"/>
                <w:color w:val="000000" w:themeColor="text1"/>
                <w:sz w:val="24"/>
                <w:szCs w:val="24"/>
              </w:rPr>
              <w:t xml:space="preserve">the plaintiff seeks to introduce an alternative claim for enrichment. The original particulars of claim was founded in contract and subsequently with the amendment during February 2021 also on delict which was introduced by the said amendment. </w:t>
            </w:r>
          </w:p>
          <w:p w:rsidR="000B2E4A" w:rsidRPr="00B55BB2" w:rsidRDefault="000B2E4A" w:rsidP="00737554">
            <w:pPr>
              <w:spacing w:line="360" w:lineRule="auto"/>
              <w:jc w:val="both"/>
              <w:rPr>
                <w:rFonts w:ascii="Arial Narrow" w:hAnsi="Arial Narrow" w:cs="Arial"/>
                <w:b/>
                <w:color w:val="000000" w:themeColor="text1"/>
                <w:sz w:val="24"/>
                <w:szCs w:val="24"/>
                <w:lang w:val="en-US"/>
              </w:rPr>
            </w:pPr>
          </w:p>
          <w:p w:rsidR="000B2E4A" w:rsidRPr="00B55BB2" w:rsidRDefault="000B2E4A" w:rsidP="00737554">
            <w:pPr>
              <w:spacing w:line="360" w:lineRule="auto"/>
              <w:jc w:val="both"/>
              <w:rPr>
                <w:rFonts w:ascii="Arial Narrow" w:hAnsi="Arial Narrow" w:cs="Arial"/>
                <w:color w:val="000000" w:themeColor="text1"/>
                <w:sz w:val="24"/>
                <w:szCs w:val="24"/>
                <w:u w:val="single"/>
              </w:rPr>
            </w:pPr>
            <w:r w:rsidRPr="00B55BB2">
              <w:rPr>
                <w:rFonts w:ascii="Arial Narrow" w:hAnsi="Arial Narrow" w:cs="Arial"/>
                <w:color w:val="000000" w:themeColor="text1"/>
                <w:sz w:val="24"/>
                <w:szCs w:val="24"/>
                <w:u w:val="single"/>
              </w:rPr>
              <w:t>The defendant’s objection to the amendment</w:t>
            </w:r>
          </w:p>
          <w:p w:rsidR="00DE0B5A" w:rsidRPr="00B55BB2" w:rsidRDefault="00DE0B5A" w:rsidP="00737554">
            <w:pPr>
              <w:spacing w:line="360" w:lineRule="auto"/>
              <w:jc w:val="both"/>
              <w:rPr>
                <w:rFonts w:ascii="Arial Narrow" w:hAnsi="Arial Narrow" w:cs="Arial"/>
                <w:color w:val="000000" w:themeColor="text1"/>
                <w:sz w:val="24"/>
                <w:szCs w:val="24"/>
                <w:u w:val="single"/>
              </w:rPr>
            </w:pPr>
          </w:p>
          <w:p w:rsidR="000B2E4A" w:rsidRPr="00B55BB2" w:rsidRDefault="002E2D59" w:rsidP="000B2E4A">
            <w:pPr>
              <w:spacing w:line="360" w:lineRule="auto"/>
              <w:jc w:val="both"/>
              <w:rPr>
                <w:rFonts w:ascii="Arial Narrow" w:hAnsi="Arial Narrow" w:cs="Arial"/>
                <w:color w:val="000000" w:themeColor="text1"/>
                <w:sz w:val="24"/>
                <w:szCs w:val="24"/>
              </w:rPr>
            </w:pPr>
            <w:r w:rsidRPr="00B55BB2">
              <w:rPr>
                <w:rFonts w:ascii="Arial Narrow" w:hAnsi="Arial Narrow" w:cs="Arial"/>
                <w:color w:val="000000" w:themeColor="text1"/>
                <w:sz w:val="24"/>
                <w:szCs w:val="24"/>
              </w:rPr>
              <w:t>[</w:t>
            </w:r>
            <w:r w:rsidR="0089499D" w:rsidRPr="00B55BB2">
              <w:rPr>
                <w:rFonts w:ascii="Arial Narrow" w:hAnsi="Arial Narrow" w:cs="Arial"/>
                <w:color w:val="000000" w:themeColor="text1"/>
                <w:sz w:val="24"/>
                <w:szCs w:val="24"/>
              </w:rPr>
              <w:t>9</w:t>
            </w:r>
            <w:r w:rsidRPr="00B55BB2">
              <w:rPr>
                <w:rFonts w:ascii="Arial Narrow" w:hAnsi="Arial Narrow" w:cs="Arial"/>
                <w:color w:val="000000" w:themeColor="text1"/>
                <w:sz w:val="24"/>
                <w:szCs w:val="24"/>
              </w:rPr>
              <w:t>]</w:t>
            </w:r>
            <w:r w:rsidRPr="00B55BB2">
              <w:rPr>
                <w:rFonts w:ascii="Arial Narrow" w:hAnsi="Arial Narrow" w:cs="Arial"/>
                <w:i/>
                <w:color w:val="000000" w:themeColor="text1"/>
                <w:sz w:val="24"/>
                <w:szCs w:val="24"/>
              </w:rPr>
              <w:tab/>
            </w:r>
            <w:r w:rsidR="000B2E4A" w:rsidRPr="00B55BB2">
              <w:rPr>
                <w:rFonts w:ascii="Arial Narrow" w:hAnsi="Arial Narrow" w:cs="Arial"/>
                <w:color w:val="000000" w:themeColor="text1"/>
                <w:sz w:val="24"/>
                <w:szCs w:val="24"/>
              </w:rPr>
              <w:t>The defendant</w:t>
            </w:r>
            <w:r w:rsidR="00FF432F" w:rsidRPr="00B55BB2">
              <w:rPr>
                <w:rFonts w:ascii="Arial Narrow" w:hAnsi="Arial Narrow" w:cs="Arial"/>
                <w:color w:val="000000" w:themeColor="text1"/>
                <w:sz w:val="24"/>
                <w:szCs w:val="24"/>
              </w:rPr>
              <w:t xml:space="preserve"> filed</w:t>
            </w:r>
            <w:r w:rsidR="000B2E4A" w:rsidRPr="00B55BB2">
              <w:rPr>
                <w:rFonts w:ascii="Arial Narrow" w:hAnsi="Arial Narrow" w:cs="Arial"/>
                <w:color w:val="000000" w:themeColor="text1"/>
                <w:sz w:val="24"/>
                <w:szCs w:val="24"/>
              </w:rPr>
              <w:t xml:space="preserve"> comprehensive not</w:t>
            </w:r>
            <w:r w:rsidR="00DE0B5A" w:rsidRPr="00B55BB2">
              <w:rPr>
                <w:rFonts w:ascii="Arial Narrow" w:hAnsi="Arial Narrow" w:cs="Arial"/>
                <w:color w:val="000000" w:themeColor="text1"/>
                <w:sz w:val="24"/>
                <w:szCs w:val="24"/>
              </w:rPr>
              <w:t>e</w:t>
            </w:r>
            <w:r w:rsidR="00FF432F" w:rsidRPr="00B55BB2">
              <w:rPr>
                <w:rFonts w:ascii="Arial Narrow" w:hAnsi="Arial Narrow" w:cs="Arial"/>
                <w:color w:val="000000" w:themeColor="text1"/>
                <w:sz w:val="24"/>
                <w:szCs w:val="24"/>
              </w:rPr>
              <w:t>s</w:t>
            </w:r>
            <w:r w:rsidR="000B2E4A" w:rsidRPr="00B55BB2">
              <w:rPr>
                <w:rFonts w:ascii="Arial Narrow" w:hAnsi="Arial Narrow" w:cs="Arial"/>
                <w:color w:val="000000" w:themeColor="text1"/>
                <w:sz w:val="24"/>
                <w:szCs w:val="24"/>
              </w:rPr>
              <w:t xml:space="preserve"> on law in terms of rule 66(1</w:t>
            </w:r>
            <w:r w:rsidR="00DE0B5A" w:rsidRPr="00B55BB2">
              <w:rPr>
                <w:rFonts w:ascii="Arial Narrow" w:hAnsi="Arial Narrow" w:cs="Arial"/>
                <w:color w:val="000000" w:themeColor="text1"/>
                <w:sz w:val="24"/>
                <w:szCs w:val="24"/>
              </w:rPr>
              <w:t>) (</w:t>
            </w:r>
            <w:r w:rsidR="000B2E4A" w:rsidRPr="00B55BB2">
              <w:rPr>
                <w:rFonts w:ascii="Arial Narrow" w:hAnsi="Arial Narrow" w:cs="Arial"/>
                <w:color w:val="000000" w:themeColor="text1"/>
                <w:sz w:val="24"/>
                <w:szCs w:val="24"/>
              </w:rPr>
              <w:t xml:space="preserve">c), in support of its objection to the proposed amendment. These objections can essentially be said to come down to two grounds of objection, </w:t>
            </w:r>
            <w:r w:rsidR="00FF432F" w:rsidRPr="00B55BB2">
              <w:rPr>
                <w:rFonts w:ascii="Arial Narrow" w:hAnsi="Arial Narrow" w:cs="Arial"/>
                <w:color w:val="000000" w:themeColor="text1"/>
                <w:sz w:val="24"/>
                <w:szCs w:val="24"/>
              </w:rPr>
              <w:t>i.e.</w:t>
            </w:r>
            <w:r w:rsidR="000B2E4A" w:rsidRPr="00B55BB2">
              <w:rPr>
                <w:rFonts w:ascii="Arial Narrow" w:hAnsi="Arial Narrow" w:cs="Arial"/>
                <w:color w:val="000000" w:themeColor="text1"/>
                <w:sz w:val="24"/>
                <w:szCs w:val="24"/>
              </w:rPr>
              <w:t>:</w:t>
            </w:r>
          </w:p>
          <w:p w:rsidR="000B2E4A" w:rsidRPr="00B55BB2" w:rsidRDefault="000B2E4A" w:rsidP="000B2E4A">
            <w:pPr>
              <w:spacing w:line="360" w:lineRule="auto"/>
              <w:jc w:val="both"/>
              <w:rPr>
                <w:rFonts w:ascii="Arial Narrow" w:hAnsi="Arial Narrow"/>
                <w:color w:val="000000" w:themeColor="text1"/>
                <w:sz w:val="24"/>
                <w:szCs w:val="24"/>
              </w:rPr>
            </w:pPr>
          </w:p>
          <w:p w:rsidR="000B2E4A" w:rsidRPr="00B55BB2" w:rsidRDefault="000B2E4A" w:rsidP="000B2E4A">
            <w:pPr>
              <w:pStyle w:val="ListParagraph"/>
              <w:numPr>
                <w:ilvl w:val="0"/>
                <w:numId w:val="14"/>
              </w:numPr>
              <w:spacing w:line="360" w:lineRule="auto"/>
              <w:jc w:val="both"/>
              <w:rPr>
                <w:rFonts w:ascii="Arial Narrow" w:hAnsi="Arial Narrow"/>
                <w:color w:val="000000" w:themeColor="text1"/>
              </w:rPr>
            </w:pPr>
            <w:r w:rsidRPr="00B55BB2">
              <w:rPr>
                <w:rFonts w:ascii="Arial Narrow" w:hAnsi="Arial Narrow"/>
                <w:color w:val="000000" w:themeColor="text1"/>
              </w:rPr>
              <w:t xml:space="preserve">  In the proposed </w:t>
            </w:r>
            <w:r w:rsidR="00FF432F" w:rsidRPr="00B55BB2">
              <w:rPr>
                <w:rFonts w:ascii="Arial Narrow" w:hAnsi="Arial Narrow"/>
                <w:color w:val="000000" w:themeColor="text1"/>
              </w:rPr>
              <w:t xml:space="preserve">amendment </w:t>
            </w:r>
            <w:r w:rsidR="00DE0B5A" w:rsidRPr="00B55BB2">
              <w:rPr>
                <w:rFonts w:ascii="Arial Narrow" w:hAnsi="Arial Narrow"/>
                <w:color w:val="000000" w:themeColor="text1"/>
              </w:rPr>
              <w:t xml:space="preserve">at </w:t>
            </w:r>
            <w:r w:rsidRPr="00B55BB2">
              <w:rPr>
                <w:rFonts w:ascii="Arial Narrow" w:hAnsi="Arial Narrow"/>
                <w:color w:val="000000" w:themeColor="text1"/>
              </w:rPr>
              <w:t>para</w:t>
            </w:r>
            <w:r w:rsidR="00FF432F" w:rsidRPr="00B55BB2">
              <w:rPr>
                <w:rFonts w:ascii="Arial Narrow" w:hAnsi="Arial Narrow"/>
                <w:color w:val="000000" w:themeColor="text1"/>
              </w:rPr>
              <w:t>graph</w:t>
            </w:r>
            <w:r w:rsidRPr="00B55BB2">
              <w:rPr>
                <w:rFonts w:ascii="Arial Narrow" w:hAnsi="Arial Narrow"/>
                <w:color w:val="000000" w:themeColor="text1"/>
              </w:rPr>
              <w:t xml:space="preserve"> 7 of the notice to amend the plaintiff refers to a “written agreement” and pleads the terms, however a copy of this written agreement is not attached, and</w:t>
            </w:r>
          </w:p>
          <w:p w:rsidR="000B2E4A" w:rsidRPr="00B55BB2" w:rsidRDefault="000B2E4A" w:rsidP="000B2E4A">
            <w:pPr>
              <w:pStyle w:val="ListParagraph"/>
              <w:numPr>
                <w:ilvl w:val="0"/>
                <w:numId w:val="14"/>
              </w:numPr>
              <w:spacing w:line="360" w:lineRule="auto"/>
              <w:jc w:val="both"/>
              <w:rPr>
                <w:rFonts w:ascii="Arial Narrow" w:hAnsi="Arial Narrow"/>
                <w:color w:val="000000" w:themeColor="text1"/>
              </w:rPr>
            </w:pPr>
            <w:r w:rsidRPr="00B55BB2">
              <w:rPr>
                <w:rFonts w:ascii="Arial Narrow" w:hAnsi="Arial Narrow"/>
                <w:color w:val="000000" w:themeColor="text1"/>
              </w:rPr>
              <w:t xml:space="preserve">That it is </w:t>
            </w:r>
            <w:r w:rsidR="00DE0B5A" w:rsidRPr="00B55BB2">
              <w:rPr>
                <w:rFonts w:ascii="Arial Narrow" w:hAnsi="Arial Narrow"/>
                <w:color w:val="000000" w:themeColor="text1"/>
              </w:rPr>
              <w:t>unclear</w:t>
            </w:r>
            <w:r w:rsidRPr="00B55BB2">
              <w:rPr>
                <w:rFonts w:ascii="Arial Narrow" w:hAnsi="Arial Narrow"/>
                <w:color w:val="000000" w:themeColor="text1"/>
              </w:rPr>
              <w:t xml:space="preserve">, due to a lack of specific allegations, as to what </w:t>
            </w:r>
            <w:r w:rsidRPr="00B55BB2">
              <w:rPr>
                <w:rFonts w:ascii="Arial Narrow" w:hAnsi="Arial Narrow"/>
                <w:i/>
                <w:color w:val="000000" w:themeColor="text1"/>
              </w:rPr>
              <w:t>condictio</w:t>
            </w:r>
            <w:r w:rsidRPr="00B55BB2">
              <w:rPr>
                <w:rFonts w:ascii="Arial Narrow" w:hAnsi="Arial Narrow"/>
                <w:color w:val="000000" w:themeColor="text1"/>
              </w:rPr>
              <w:t xml:space="preserve"> the plaintiff relies on for her cause of action in claim 1A notwithstanding a failure to allege who was purportedly enriched.</w:t>
            </w:r>
          </w:p>
          <w:p w:rsidR="0024324E" w:rsidRPr="00B55BB2" w:rsidRDefault="0024324E" w:rsidP="002E2D59">
            <w:pPr>
              <w:spacing w:line="360" w:lineRule="auto"/>
              <w:jc w:val="both"/>
              <w:rPr>
                <w:rFonts w:ascii="Arial Narrow" w:hAnsi="Arial Narrow" w:cs="Arial"/>
                <w:color w:val="000000" w:themeColor="text1"/>
                <w:sz w:val="24"/>
                <w:szCs w:val="24"/>
              </w:rPr>
            </w:pPr>
          </w:p>
          <w:p w:rsidR="009E4888" w:rsidRPr="00B55BB2" w:rsidRDefault="002E2D59" w:rsidP="002E2D59">
            <w:pPr>
              <w:spacing w:line="360" w:lineRule="auto"/>
              <w:jc w:val="both"/>
              <w:rPr>
                <w:rFonts w:ascii="Arial Narrow" w:hAnsi="Arial Narrow" w:cs="Arial"/>
                <w:color w:val="000000" w:themeColor="text1"/>
                <w:sz w:val="24"/>
                <w:szCs w:val="24"/>
              </w:rPr>
            </w:pPr>
            <w:r w:rsidRPr="00B55BB2">
              <w:rPr>
                <w:rFonts w:ascii="Arial Narrow" w:hAnsi="Arial Narrow" w:cs="Arial"/>
                <w:color w:val="000000" w:themeColor="text1"/>
                <w:sz w:val="24"/>
                <w:szCs w:val="24"/>
              </w:rPr>
              <w:t>[</w:t>
            </w:r>
            <w:r w:rsidR="0089499D" w:rsidRPr="00B55BB2">
              <w:rPr>
                <w:rFonts w:ascii="Arial Narrow" w:hAnsi="Arial Narrow" w:cs="Arial"/>
                <w:color w:val="000000" w:themeColor="text1"/>
                <w:sz w:val="24"/>
                <w:szCs w:val="24"/>
              </w:rPr>
              <w:t>1</w:t>
            </w:r>
            <w:r w:rsidR="0024324E" w:rsidRPr="00B55BB2">
              <w:rPr>
                <w:rFonts w:ascii="Arial Narrow" w:hAnsi="Arial Narrow" w:cs="Arial"/>
                <w:color w:val="000000" w:themeColor="text1"/>
                <w:sz w:val="24"/>
                <w:szCs w:val="24"/>
              </w:rPr>
              <w:t>0</w:t>
            </w:r>
            <w:r w:rsidRPr="00B55BB2">
              <w:rPr>
                <w:rFonts w:ascii="Arial Narrow" w:hAnsi="Arial Narrow" w:cs="Arial"/>
                <w:color w:val="000000" w:themeColor="text1"/>
                <w:sz w:val="24"/>
                <w:szCs w:val="24"/>
              </w:rPr>
              <w:t xml:space="preserve">]      </w:t>
            </w:r>
            <w:r w:rsidR="000B2E4A" w:rsidRPr="00B55BB2">
              <w:rPr>
                <w:rFonts w:ascii="Arial Narrow" w:hAnsi="Arial Narrow" w:cs="Arial"/>
                <w:color w:val="000000" w:themeColor="text1"/>
                <w:sz w:val="24"/>
                <w:szCs w:val="24"/>
              </w:rPr>
              <w:t>The defendant maintains that the proposed amendments will render the particulars of claim vague and embarrassing and fail</w:t>
            </w:r>
            <w:r w:rsidR="007B3F64" w:rsidRPr="00B55BB2">
              <w:rPr>
                <w:rFonts w:ascii="Arial Narrow" w:hAnsi="Arial Narrow" w:cs="Arial"/>
                <w:color w:val="000000" w:themeColor="text1"/>
                <w:sz w:val="24"/>
                <w:szCs w:val="24"/>
              </w:rPr>
              <w:t xml:space="preserve"> </w:t>
            </w:r>
            <w:r w:rsidR="000B2E4A" w:rsidRPr="00B55BB2">
              <w:rPr>
                <w:rFonts w:ascii="Arial Narrow" w:hAnsi="Arial Narrow" w:cs="Arial"/>
                <w:color w:val="000000" w:themeColor="text1"/>
                <w:sz w:val="24"/>
                <w:szCs w:val="24"/>
              </w:rPr>
              <w:t>to properly and sufficiently set out and allege the plaintiff</w:t>
            </w:r>
            <w:r w:rsidR="00681ADB" w:rsidRPr="00B55BB2">
              <w:rPr>
                <w:rFonts w:ascii="Arial Narrow" w:hAnsi="Arial Narrow" w:cs="Arial"/>
                <w:color w:val="000000" w:themeColor="text1"/>
                <w:sz w:val="24"/>
                <w:szCs w:val="24"/>
              </w:rPr>
              <w:t xml:space="preserve">’s cause of action in claim 1A </w:t>
            </w:r>
            <w:r w:rsidR="000B2E4A" w:rsidRPr="00B55BB2">
              <w:rPr>
                <w:rFonts w:ascii="Arial Narrow" w:hAnsi="Arial Narrow" w:cs="Arial"/>
                <w:color w:val="000000" w:themeColor="text1"/>
                <w:sz w:val="24"/>
                <w:szCs w:val="24"/>
              </w:rPr>
              <w:t>and as a result will cause the proposed claim to be excipiable.</w:t>
            </w:r>
          </w:p>
          <w:p w:rsidR="0024324E" w:rsidRPr="00B55BB2" w:rsidRDefault="0024324E" w:rsidP="002E2D59">
            <w:pPr>
              <w:spacing w:line="360" w:lineRule="auto"/>
              <w:jc w:val="both"/>
              <w:rPr>
                <w:rFonts w:ascii="Arial Narrow" w:hAnsi="Arial Narrow"/>
                <w:color w:val="000000" w:themeColor="text1"/>
                <w:sz w:val="24"/>
                <w:szCs w:val="24"/>
                <w:lang w:val="af-ZA"/>
              </w:rPr>
            </w:pPr>
          </w:p>
          <w:p w:rsidR="000B2E4A" w:rsidRPr="00B55BB2" w:rsidRDefault="000B2E4A" w:rsidP="000B2E4A">
            <w:pPr>
              <w:spacing w:line="360" w:lineRule="auto"/>
              <w:jc w:val="both"/>
              <w:rPr>
                <w:rFonts w:ascii="Arial Narrow" w:hAnsi="Arial Narrow"/>
                <w:color w:val="000000" w:themeColor="text1"/>
                <w:u w:val="single"/>
              </w:rPr>
            </w:pPr>
            <w:r w:rsidRPr="00B55BB2">
              <w:rPr>
                <w:rFonts w:ascii="Arial Narrow" w:hAnsi="Arial Narrow"/>
                <w:color w:val="000000" w:themeColor="text1"/>
                <w:u w:val="single"/>
              </w:rPr>
              <w:t>Submissions</w:t>
            </w:r>
          </w:p>
          <w:p w:rsidR="000B2E4A" w:rsidRPr="00B55BB2" w:rsidRDefault="000B2E4A" w:rsidP="002E2D59">
            <w:pPr>
              <w:spacing w:line="360" w:lineRule="auto"/>
              <w:jc w:val="both"/>
              <w:rPr>
                <w:rFonts w:ascii="Arial Narrow" w:hAnsi="Arial Narrow"/>
                <w:color w:val="000000" w:themeColor="text1"/>
                <w:sz w:val="24"/>
                <w:szCs w:val="24"/>
                <w:lang w:val="af-ZA"/>
              </w:rPr>
            </w:pPr>
          </w:p>
          <w:p w:rsidR="000B2E4A" w:rsidRPr="00B55BB2" w:rsidRDefault="000B2E4A" w:rsidP="000B2E4A">
            <w:pPr>
              <w:spacing w:line="360" w:lineRule="auto"/>
              <w:jc w:val="both"/>
              <w:rPr>
                <w:rFonts w:ascii="Arial Narrow" w:hAnsi="Arial Narrow"/>
                <w:i/>
                <w:color w:val="000000" w:themeColor="text1"/>
              </w:rPr>
            </w:pPr>
            <w:r w:rsidRPr="00B55BB2">
              <w:rPr>
                <w:rFonts w:ascii="Arial Narrow" w:hAnsi="Arial Narrow"/>
                <w:i/>
                <w:color w:val="000000" w:themeColor="text1"/>
              </w:rPr>
              <w:t>On behalf of the plaintiff</w:t>
            </w:r>
          </w:p>
          <w:p w:rsidR="000B2E4A" w:rsidRPr="00B55BB2" w:rsidRDefault="000B2E4A" w:rsidP="002E2D59">
            <w:pPr>
              <w:spacing w:line="360" w:lineRule="auto"/>
              <w:jc w:val="both"/>
              <w:rPr>
                <w:rFonts w:ascii="Arial Narrow" w:hAnsi="Arial Narrow"/>
                <w:color w:val="000000" w:themeColor="text1"/>
                <w:sz w:val="24"/>
                <w:szCs w:val="24"/>
                <w:lang w:val="af-ZA"/>
              </w:rPr>
            </w:pPr>
          </w:p>
          <w:p w:rsidR="000B2E4A" w:rsidRPr="00B55BB2" w:rsidRDefault="00BE283D" w:rsidP="000B2E4A">
            <w:pPr>
              <w:spacing w:line="360" w:lineRule="auto"/>
              <w:rPr>
                <w:rFonts w:ascii="Arial Narrow" w:hAnsi="Arial Narrow" w:cs="Arial"/>
                <w:color w:val="000000" w:themeColor="text1"/>
                <w:sz w:val="24"/>
                <w:szCs w:val="24"/>
              </w:rPr>
            </w:pPr>
            <w:r w:rsidRPr="00B55BB2">
              <w:rPr>
                <w:rFonts w:ascii="Arial Narrow" w:hAnsi="Arial Narrow"/>
                <w:color w:val="000000" w:themeColor="text1"/>
                <w:sz w:val="24"/>
                <w:szCs w:val="24"/>
                <w:lang w:val="af-ZA"/>
              </w:rPr>
              <w:t>[</w:t>
            </w:r>
            <w:r w:rsidR="0089499D" w:rsidRPr="00B55BB2">
              <w:rPr>
                <w:rFonts w:ascii="Arial Narrow" w:hAnsi="Arial Narrow"/>
                <w:color w:val="000000" w:themeColor="text1"/>
                <w:sz w:val="24"/>
                <w:szCs w:val="24"/>
                <w:lang w:val="af-ZA"/>
              </w:rPr>
              <w:t>1</w:t>
            </w:r>
            <w:r w:rsidR="0024324E" w:rsidRPr="00B55BB2">
              <w:rPr>
                <w:rFonts w:ascii="Arial Narrow" w:hAnsi="Arial Narrow"/>
                <w:color w:val="000000" w:themeColor="text1"/>
                <w:sz w:val="24"/>
                <w:szCs w:val="24"/>
                <w:lang w:val="af-ZA"/>
              </w:rPr>
              <w:t>1</w:t>
            </w:r>
            <w:r w:rsidRPr="00B55BB2">
              <w:rPr>
                <w:rFonts w:ascii="Arial Narrow" w:hAnsi="Arial Narrow"/>
                <w:color w:val="000000" w:themeColor="text1"/>
                <w:sz w:val="24"/>
                <w:szCs w:val="24"/>
                <w:lang w:val="af-ZA"/>
              </w:rPr>
              <w:t xml:space="preserve">]     </w:t>
            </w:r>
            <w:r w:rsidR="000B2E4A" w:rsidRPr="00B55BB2">
              <w:rPr>
                <w:rFonts w:ascii="Arial Narrow" w:hAnsi="Arial Narrow" w:cs="Arial"/>
                <w:color w:val="000000" w:themeColor="text1"/>
                <w:sz w:val="24"/>
                <w:szCs w:val="24"/>
              </w:rPr>
              <w:t>Counsel for the plaintiff argued that the plaintiff was represented by a number of other legal practitioners, who did not follow the plaintiff’s instructions in respect of the intended amendments. Counsel contend that the plaintiff has provided the court with a comprehen</w:t>
            </w:r>
            <w:r w:rsidR="00FF432F" w:rsidRPr="00B55BB2">
              <w:rPr>
                <w:rFonts w:ascii="Arial Narrow" w:hAnsi="Arial Narrow" w:cs="Arial"/>
                <w:color w:val="000000" w:themeColor="text1"/>
                <w:sz w:val="24"/>
                <w:szCs w:val="24"/>
              </w:rPr>
              <w:t>sive explanation for the delay.</w:t>
            </w:r>
          </w:p>
          <w:p w:rsidR="00BE283D" w:rsidRPr="00B55BB2" w:rsidRDefault="00BE283D" w:rsidP="00B44CA5">
            <w:pPr>
              <w:jc w:val="both"/>
              <w:rPr>
                <w:rFonts w:ascii="Arial Narrow" w:hAnsi="Arial Narrow"/>
                <w:color w:val="000000" w:themeColor="text1"/>
                <w:lang w:val="af-ZA"/>
              </w:rPr>
            </w:pPr>
          </w:p>
          <w:p w:rsidR="000B2E4A" w:rsidRPr="00B55BB2" w:rsidRDefault="000A7390" w:rsidP="000B2E4A">
            <w:pPr>
              <w:spacing w:line="360" w:lineRule="auto"/>
              <w:rPr>
                <w:rFonts w:ascii="Arial Narrow" w:hAnsi="Arial Narrow" w:cs="Arial"/>
                <w:color w:val="000000" w:themeColor="text1"/>
                <w:sz w:val="24"/>
                <w:szCs w:val="24"/>
              </w:rPr>
            </w:pPr>
            <w:r w:rsidRPr="00B55BB2">
              <w:rPr>
                <w:rFonts w:ascii="Arial Narrow" w:hAnsi="Arial Narrow"/>
                <w:color w:val="000000" w:themeColor="text1"/>
                <w:sz w:val="24"/>
                <w:szCs w:val="24"/>
              </w:rPr>
              <w:t>[</w:t>
            </w:r>
            <w:r w:rsidR="00D2433A" w:rsidRPr="00B55BB2">
              <w:rPr>
                <w:rFonts w:ascii="Arial Narrow" w:hAnsi="Arial Narrow"/>
                <w:color w:val="000000" w:themeColor="text1"/>
                <w:sz w:val="24"/>
                <w:szCs w:val="24"/>
              </w:rPr>
              <w:t>1</w:t>
            </w:r>
            <w:r w:rsidR="00C57A7C" w:rsidRPr="00B55BB2">
              <w:rPr>
                <w:rFonts w:ascii="Arial Narrow" w:hAnsi="Arial Narrow"/>
                <w:color w:val="000000" w:themeColor="text1"/>
                <w:sz w:val="24"/>
                <w:szCs w:val="24"/>
              </w:rPr>
              <w:t>2</w:t>
            </w:r>
            <w:r w:rsidRPr="00B55BB2">
              <w:rPr>
                <w:rFonts w:ascii="Arial Narrow" w:hAnsi="Arial Narrow"/>
                <w:color w:val="000000" w:themeColor="text1"/>
                <w:sz w:val="24"/>
                <w:szCs w:val="24"/>
              </w:rPr>
              <w:t xml:space="preserve">]      </w:t>
            </w:r>
            <w:r w:rsidR="00BE283D" w:rsidRPr="00B55BB2">
              <w:rPr>
                <w:rFonts w:ascii="Arial Narrow" w:hAnsi="Arial Narrow"/>
                <w:color w:val="000000" w:themeColor="text1"/>
                <w:sz w:val="24"/>
                <w:szCs w:val="24"/>
              </w:rPr>
              <w:t xml:space="preserve"> </w:t>
            </w:r>
            <w:r w:rsidR="00FF432F" w:rsidRPr="00B55BB2">
              <w:rPr>
                <w:rFonts w:ascii="Arial Narrow" w:hAnsi="Arial Narrow" w:cs="Arial"/>
                <w:color w:val="000000" w:themeColor="text1"/>
                <w:sz w:val="24"/>
                <w:szCs w:val="24"/>
              </w:rPr>
              <w:t xml:space="preserve">Counsel argued that if claim </w:t>
            </w:r>
            <w:r w:rsidR="000B2E4A" w:rsidRPr="00B55BB2">
              <w:rPr>
                <w:rFonts w:ascii="Arial Narrow" w:hAnsi="Arial Narrow" w:cs="Arial"/>
                <w:color w:val="000000" w:themeColor="text1"/>
                <w:sz w:val="24"/>
                <w:szCs w:val="24"/>
              </w:rPr>
              <w:t>1</w:t>
            </w:r>
            <w:r w:rsidR="00FF432F" w:rsidRPr="00B55BB2">
              <w:rPr>
                <w:rFonts w:ascii="Arial Narrow" w:hAnsi="Arial Narrow" w:cs="Arial"/>
                <w:color w:val="000000" w:themeColor="text1"/>
                <w:sz w:val="24"/>
                <w:szCs w:val="24"/>
              </w:rPr>
              <w:t>A</w:t>
            </w:r>
            <w:r w:rsidR="000B2E4A" w:rsidRPr="00B55BB2">
              <w:rPr>
                <w:rFonts w:ascii="Arial Narrow" w:hAnsi="Arial Narrow" w:cs="Arial"/>
                <w:color w:val="000000" w:themeColor="text1"/>
                <w:sz w:val="24"/>
                <w:szCs w:val="24"/>
              </w:rPr>
              <w:t xml:space="preserve"> is left out of the plaintiff’s particulars of claim she would be unable to prosecute the said claim because of the issue of prescription. </w:t>
            </w:r>
          </w:p>
          <w:p w:rsidR="00C57A7C" w:rsidRPr="00B55BB2" w:rsidRDefault="00C57A7C" w:rsidP="00B44CA5">
            <w:pPr>
              <w:jc w:val="both"/>
              <w:rPr>
                <w:rFonts w:ascii="Arial Narrow" w:hAnsi="Arial Narrow" w:cs="Arial"/>
                <w:color w:val="000000" w:themeColor="text1"/>
                <w:sz w:val="24"/>
                <w:szCs w:val="24"/>
              </w:rPr>
            </w:pPr>
          </w:p>
          <w:p w:rsidR="00AE5DBC" w:rsidRPr="00B55BB2" w:rsidRDefault="00AE5DBC" w:rsidP="000B2E4A">
            <w:pPr>
              <w:spacing w:line="360" w:lineRule="auto"/>
              <w:rPr>
                <w:rFonts w:ascii="Arial Narrow" w:hAnsi="Arial Narrow" w:cs="Arial"/>
                <w:color w:val="000000" w:themeColor="text1"/>
                <w:sz w:val="24"/>
                <w:szCs w:val="24"/>
              </w:rPr>
            </w:pPr>
            <w:r w:rsidRPr="00B55BB2">
              <w:rPr>
                <w:rFonts w:ascii="Arial Narrow" w:hAnsi="Arial Narrow" w:cs="Arial"/>
                <w:color w:val="000000" w:themeColor="text1"/>
                <w:sz w:val="24"/>
                <w:szCs w:val="24"/>
              </w:rPr>
              <w:t>[</w:t>
            </w:r>
            <w:r w:rsidR="001568BC" w:rsidRPr="00B55BB2">
              <w:rPr>
                <w:rFonts w:ascii="Arial Narrow" w:hAnsi="Arial Narrow" w:cs="Arial"/>
                <w:color w:val="000000" w:themeColor="text1"/>
                <w:sz w:val="24"/>
                <w:szCs w:val="24"/>
              </w:rPr>
              <w:t>1</w:t>
            </w:r>
            <w:r w:rsidR="00C57A7C" w:rsidRPr="00B55BB2">
              <w:rPr>
                <w:rFonts w:ascii="Arial Narrow" w:hAnsi="Arial Narrow" w:cs="Arial"/>
                <w:color w:val="000000" w:themeColor="text1"/>
                <w:sz w:val="24"/>
                <w:szCs w:val="24"/>
              </w:rPr>
              <w:t>3</w:t>
            </w:r>
            <w:r w:rsidRPr="00B55BB2">
              <w:rPr>
                <w:rFonts w:ascii="Arial Narrow" w:hAnsi="Arial Narrow" w:cs="Arial"/>
                <w:color w:val="000000" w:themeColor="text1"/>
                <w:sz w:val="24"/>
                <w:szCs w:val="24"/>
              </w:rPr>
              <w:t>]</w:t>
            </w:r>
            <w:r w:rsidRPr="00B55BB2">
              <w:rPr>
                <w:rFonts w:ascii="Arial Narrow" w:hAnsi="Arial Narrow" w:cs="Arial"/>
                <w:color w:val="000000" w:themeColor="text1"/>
                <w:sz w:val="24"/>
                <w:szCs w:val="24"/>
              </w:rPr>
              <w:tab/>
              <w:t xml:space="preserve"> </w:t>
            </w:r>
            <w:r w:rsidR="000B2E4A" w:rsidRPr="00B55BB2">
              <w:rPr>
                <w:rFonts w:ascii="Arial Narrow" w:hAnsi="Arial Narrow" w:cs="Arial"/>
                <w:color w:val="000000" w:themeColor="text1"/>
                <w:sz w:val="24"/>
                <w:szCs w:val="24"/>
              </w:rPr>
              <w:t>Counsel points out that the compliant raised by the defendants regarding the written agreement which was not previously filed (in the May 2021 application) has be rectified and the agreement was accordingly</w:t>
            </w:r>
            <w:r w:rsidR="00FF432F" w:rsidRPr="00B55BB2">
              <w:rPr>
                <w:rFonts w:ascii="Arial Narrow" w:hAnsi="Arial Narrow" w:cs="Arial"/>
                <w:color w:val="000000" w:themeColor="text1"/>
                <w:sz w:val="24"/>
                <w:szCs w:val="24"/>
              </w:rPr>
              <w:t xml:space="preserve"> filed</w:t>
            </w:r>
            <w:r w:rsidR="000B2E4A" w:rsidRPr="00B55BB2">
              <w:rPr>
                <w:rFonts w:ascii="Arial Narrow" w:hAnsi="Arial Narrow" w:cs="Arial"/>
                <w:color w:val="000000" w:themeColor="text1"/>
                <w:sz w:val="24"/>
                <w:szCs w:val="24"/>
              </w:rPr>
              <w:t xml:space="preserve">, thereby removing the complaint of the defendant. </w:t>
            </w:r>
          </w:p>
          <w:p w:rsidR="00C57A7C" w:rsidRPr="00B55BB2" w:rsidRDefault="00C57A7C" w:rsidP="00B44CA5">
            <w:pPr>
              <w:jc w:val="both"/>
              <w:rPr>
                <w:rFonts w:ascii="Arial Narrow" w:hAnsi="Arial Narrow" w:cs="Arial"/>
                <w:color w:val="000000" w:themeColor="text1"/>
                <w:sz w:val="24"/>
                <w:szCs w:val="24"/>
              </w:rPr>
            </w:pPr>
          </w:p>
          <w:p w:rsidR="000B2E4A" w:rsidRPr="00B55BB2" w:rsidRDefault="00C57A7C" w:rsidP="000B2E4A">
            <w:pPr>
              <w:spacing w:line="360" w:lineRule="auto"/>
              <w:rPr>
                <w:rFonts w:ascii="Arial Narrow" w:hAnsi="Arial Narrow" w:cs="Arial"/>
                <w:color w:val="000000" w:themeColor="text1"/>
                <w:sz w:val="24"/>
                <w:szCs w:val="24"/>
              </w:rPr>
            </w:pPr>
            <w:r w:rsidRPr="00B55BB2">
              <w:rPr>
                <w:rFonts w:ascii="Arial Narrow" w:hAnsi="Arial Narrow" w:cs="Arial"/>
                <w:color w:val="000000" w:themeColor="text1"/>
                <w:sz w:val="24"/>
                <w:szCs w:val="24"/>
              </w:rPr>
              <w:t>[14</w:t>
            </w:r>
            <w:r w:rsidR="001568BC" w:rsidRPr="00B55BB2">
              <w:rPr>
                <w:rFonts w:ascii="Arial Narrow" w:hAnsi="Arial Narrow" w:cs="Arial"/>
                <w:color w:val="000000" w:themeColor="text1"/>
                <w:sz w:val="24"/>
                <w:szCs w:val="24"/>
              </w:rPr>
              <w:t xml:space="preserve">]        </w:t>
            </w:r>
            <w:r w:rsidR="000B2E4A" w:rsidRPr="00B55BB2">
              <w:rPr>
                <w:rFonts w:ascii="Arial Narrow" w:hAnsi="Arial Narrow" w:cs="Arial"/>
                <w:color w:val="000000" w:themeColor="text1"/>
                <w:sz w:val="24"/>
                <w:szCs w:val="24"/>
              </w:rPr>
              <w:t xml:space="preserve">Counsel conceded that </w:t>
            </w:r>
            <w:r w:rsidR="00FF432F" w:rsidRPr="00B55BB2">
              <w:rPr>
                <w:rFonts w:ascii="Arial Narrow" w:hAnsi="Arial Narrow" w:cs="Arial"/>
                <w:color w:val="000000" w:themeColor="text1"/>
                <w:sz w:val="24"/>
                <w:szCs w:val="24"/>
              </w:rPr>
              <w:t xml:space="preserve">the </w:t>
            </w:r>
            <w:r w:rsidR="000B2E4A" w:rsidRPr="00B55BB2">
              <w:rPr>
                <w:rFonts w:ascii="Arial Narrow" w:hAnsi="Arial Narrow" w:cs="Arial"/>
                <w:color w:val="000000" w:themeColor="text1"/>
                <w:sz w:val="24"/>
                <w:szCs w:val="24"/>
              </w:rPr>
              <w:t xml:space="preserve">alternative claim of enrichment is bad in law and sought paragraph 20 of the proposed amendment to be struck. </w:t>
            </w:r>
          </w:p>
          <w:p w:rsidR="00C57A7C" w:rsidRPr="00B55BB2" w:rsidRDefault="00C57A7C" w:rsidP="00B44CA5">
            <w:pPr>
              <w:jc w:val="both"/>
              <w:rPr>
                <w:rFonts w:ascii="Arial Narrow" w:hAnsi="Arial Narrow" w:cs="Arial"/>
                <w:color w:val="000000" w:themeColor="text1"/>
                <w:sz w:val="24"/>
                <w:szCs w:val="24"/>
              </w:rPr>
            </w:pPr>
          </w:p>
          <w:p w:rsidR="000B2E4A" w:rsidRPr="00B55BB2" w:rsidRDefault="000B2E4A" w:rsidP="000B2E4A">
            <w:pPr>
              <w:spacing w:line="360" w:lineRule="auto"/>
              <w:rPr>
                <w:rFonts w:ascii="Arial Narrow" w:hAnsi="Arial Narrow" w:cs="Arial"/>
                <w:i/>
                <w:color w:val="000000" w:themeColor="text1"/>
                <w:sz w:val="24"/>
                <w:szCs w:val="24"/>
              </w:rPr>
            </w:pPr>
            <w:r w:rsidRPr="00B55BB2">
              <w:rPr>
                <w:rFonts w:ascii="Arial Narrow" w:hAnsi="Arial Narrow" w:cs="Arial"/>
                <w:i/>
                <w:color w:val="000000" w:themeColor="text1"/>
                <w:sz w:val="24"/>
                <w:szCs w:val="24"/>
              </w:rPr>
              <w:t>On the behalf of the defendant</w:t>
            </w:r>
          </w:p>
          <w:p w:rsidR="00C57A7C" w:rsidRPr="00B55BB2" w:rsidRDefault="00C57A7C" w:rsidP="00B44CA5">
            <w:pPr>
              <w:jc w:val="both"/>
              <w:rPr>
                <w:rFonts w:ascii="Arial Narrow" w:hAnsi="Arial Narrow" w:cs="Arial"/>
                <w:color w:val="000000" w:themeColor="text1"/>
                <w:sz w:val="24"/>
                <w:szCs w:val="24"/>
              </w:rPr>
            </w:pPr>
          </w:p>
          <w:p w:rsidR="000B2E4A" w:rsidRPr="00B55BB2" w:rsidRDefault="00C57A7C" w:rsidP="000B2E4A">
            <w:pPr>
              <w:spacing w:line="360" w:lineRule="auto"/>
              <w:jc w:val="both"/>
              <w:rPr>
                <w:rFonts w:ascii="Arial Narrow" w:hAnsi="Arial Narrow"/>
                <w:color w:val="000000" w:themeColor="text1"/>
              </w:rPr>
            </w:pPr>
            <w:r w:rsidRPr="00B55BB2">
              <w:rPr>
                <w:rFonts w:ascii="Arial Narrow" w:hAnsi="Arial Narrow" w:cs="Arial"/>
                <w:color w:val="000000" w:themeColor="text1"/>
                <w:sz w:val="24"/>
                <w:szCs w:val="24"/>
              </w:rPr>
              <w:t>[15</w:t>
            </w:r>
            <w:r w:rsidR="001568BC" w:rsidRPr="00B55BB2">
              <w:rPr>
                <w:rFonts w:ascii="Arial Narrow" w:hAnsi="Arial Narrow" w:cs="Arial"/>
                <w:color w:val="000000" w:themeColor="text1"/>
                <w:sz w:val="24"/>
                <w:szCs w:val="24"/>
              </w:rPr>
              <w:t xml:space="preserve">]          </w:t>
            </w:r>
            <w:r w:rsidR="000B2E4A" w:rsidRPr="00B55BB2">
              <w:rPr>
                <w:rFonts w:ascii="Arial Narrow" w:hAnsi="Arial Narrow"/>
                <w:color w:val="000000" w:themeColor="text1"/>
                <w:sz w:val="24"/>
                <w:szCs w:val="24"/>
              </w:rPr>
              <w:t xml:space="preserve">Counsel for the </w:t>
            </w:r>
            <w:r w:rsidR="00FF432F" w:rsidRPr="00B55BB2">
              <w:rPr>
                <w:rFonts w:ascii="Arial Narrow" w:hAnsi="Arial Narrow"/>
                <w:color w:val="000000" w:themeColor="text1"/>
                <w:sz w:val="24"/>
                <w:szCs w:val="24"/>
              </w:rPr>
              <w:t xml:space="preserve">defendant </w:t>
            </w:r>
            <w:r w:rsidR="000B2E4A" w:rsidRPr="00B55BB2">
              <w:rPr>
                <w:rFonts w:ascii="Arial Narrow" w:hAnsi="Arial Narrow"/>
                <w:color w:val="000000" w:themeColor="text1"/>
                <w:sz w:val="24"/>
                <w:szCs w:val="24"/>
              </w:rPr>
              <w:t>argued that in the event that the court allow</w:t>
            </w:r>
            <w:r w:rsidR="00FF432F" w:rsidRPr="00B55BB2">
              <w:rPr>
                <w:rFonts w:ascii="Arial Narrow" w:hAnsi="Arial Narrow"/>
                <w:color w:val="000000" w:themeColor="text1"/>
                <w:sz w:val="24"/>
                <w:szCs w:val="24"/>
              </w:rPr>
              <w:t>s</w:t>
            </w:r>
            <w:r w:rsidR="000B2E4A" w:rsidRPr="00B55BB2">
              <w:rPr>
                <w:rFonts w:ascii="Arial Narrow" w:hAnsi="Arial Narrow"/>
                <w:color w:val="000000" w:themeColor="text1"/>
                <w:sz w:val="24"/>
                <w:szCs w:val="24"/>
              </w:rPr>
              <w:t xml:space="preserve"> the proposed amendment it would render the plaintiff’s particulars of claim excipiable for the following reasons</w:t>
            </w:r>
            <w:r w:rsidR="000B2E4A" w:rsidRPr="00B55BB2">
              <w:rPr>
                <w:rFonts w:ascii="Arial Narrow" w:hAnsi="Arial Narrow"/>
                <w:color w:val="000000" w:themeColor="text1"/>
              </w:rPr>
              <w:t>:</w:t>
            </w:r>
          </w:p>
          <w:p w:rsidR="000B2E4A" w:rsidRPr="00B55BB2" w:rsidRDefault="000B2E4A" w:rsidP="000B2E4A">
            <w:pPr>
              <w:spacing w:line="360" w:lineRule="auto"/>
              <w:jc w:val="both"/>
              <w:rPr>
                <w:rFonts w:ascii="Arial Narrow" w:hAnsi="Arial Narrow"/>
                <w:color w:val="000000" w:themeColor="text1"/>
              </w:rPr>
            </w:pPr>
          </w:p>
          <w:p w:rsidR="000B2E4A" w:rsidRPr="00B55BB2" w:rsidRDefault="000B2E4A" w:rsidP="000B2E4A">
            <w:pPr>
              <w:pStyle w:val="ListParagraph"/>
              <w:numPr>
                <w:ilvl w:val="0"/>
                <w:numId w:val="16"/>
              </w:numPr>
              <w:spacing w:line="360" w:lineRule="auto"/>
              <w:jc w:val="both"/>
              <w:rPr>
                <w:rFonts w:ascii="Arial Narrow" w:hAnsi="Arial Narrow"/>
                <w:color w:val="000000" w:themeColor="text1"/>
              </w:rPr>
            </w:pPr>
            <w:r w:rsidRPr="00B55BB2">
              <w:rPr>
                <w:rFonts w:ascii="Arial Narrow" w:hAnsi="Arial Narrow"/>
                <w:color w:val="000000" w:themeColor="text1"/>
              </w:rPr>
              <w:t>In para</w:t>
            </w:r>
            <w:r w:rsidR="00FF432F" w:rsidRPr="00B55BB2">
              <w:rPr>
                <w:rFonts w:ascii="Arial Narrow" w:hAnsi="Arial Narrow"/>
                <w:color w:val="000000" w:themeColor="text1"/>
              </w:rPr>
              <w:t>graph</w:t>
            </w:r>
            <w:r w:rsidRPr="00B55BB2">
              <w:rPr>
                <w:rFonts w:ascii="Arial Narrow" w:hAnsi="Arial Narrow"/>
                <w:color w:val="000000" w:themeColor="text1"/>
              </w:rPr>
              <w:t xml:space="preserve"> 19 of the proposed amendment the plaintiff relies on a breach of the credit card agreement and alleged that she suffered damages and in the very next paragraph alleges that the ‘defendant or its employees or both were enriched at the expense of the plaintiff in the amounts of N$ 18</w:t>
            </w:r>
            <w:r w:rsidR="00A4236D" w:rsidRPr="00B55BB2">
              <w:rPr>
                <w:rFonts w:ascii="Arial Narrow" w:hAnsi="Arial Narrow"/>
                <w:color w:val="000000" w:themeColor="text1"/>
              </w:rPr>
              <w:t xml:space="preserve"> </w:t>
            </w:r>
            <w:r w:rsidR="00FF432F" w:rsidRPr="00B55BB2">
              <w:rPr>
                <w:rFonts w:ascii="Arial Narrow" w:hAnsi="Arial Narrow"/>
                <w:color w:val="000000" w:themeColor="text1"/>
              </w:rPr>
              <w:t>61</w:t>
            </w:r>
            <w:r w:rsidR="00A4236D" w:rsidRPr="00B55BB2">
              <w:rPr>
                <w:rFonts w:ascii="Arial Narrow" w:hAnsi="Arial Narrow"/>
                <w:color w:val="000000" w:themeColor="text1"/>
              </w:rPr>
              <w:t>3</w:t>
            </w:r>
            <w:r w:rsidR="00FF432F" w:rsidRPr="00B55BB2">
              <w:rPr>
                <w:rFonts w:ascii="Arial Narrow" w:hAnsi="Arial Narrow"/>
                <w:color w:val="000000" w:themeColor="text1"/>
              </w:rPr>
              <w:t>.50</w:t>
            </w:r>
            <w:r w:rsidRPr="00B55BB2">
              <w:rPr>
                <w:rFonts w:ascii="Arial Narrow" w:hAnsi="Arial Narrow"/>
                <w:color w:val="000000" w:themeColor="text1"/>
              </w:rPr>
              <w:t xml:space="preserve"> and the aforementioned enrichment was without just cause.</w:t>
            </w:r>
          </w:p>
          <w:p w:rsidR="000B2E4A" w:rsidRPr="00B55BB2" w:rsidRDefault="000B2E4A" w:rsidP="00FF432F">
            <w:pPr>
              <w:pStyle w:val="ListParagraph"/>
              <w:numPr>
                <w:ilvl w:val="0"/>
                <w:numId w:val="16"/>
              </w:numPr>
              <w:spacing w:line="360" w:lineRule="auto"/>
              <w:jc w:val="both"/>
              <w:rPr>
                <w:rFonts w:ascii="Arial Narrow" w:hAnsi="Arial Narrow"/>
                <w:color w:val="000000" w:themeColor="text1"/>
              </w:rPr>
            </w:pPr>
            <w:r w:rsidRPr="00B55BB2">
              <w:rPr>
                <w:rFonts w:ascii="Arial Narrow" w:hAnsi="Arial Narrow"/>
                <w:color w:val="000000" w:themeColor="text1"/>
              </w:rPr>
              <w:t>The plaintiff’s allegation that the defendant’s employees were enriched, there is no sustainable cause of action alleged against the defendant.</w:t>
            </w:r>
          </w:p>
          <w:p w:rsidR="006A34BF" w:rsidRPr="00B55BB2" w:rsidRDefault="000B2E4A" w:rsidP="000B2E4A">
            <w:pPr>
              <w:pStyle w:val="ListParagraph"/>
              <w:numPr>
                <w:ilvl w:val="0"/>
                <w:numId w:val="16"/>
              </w:numPr>
              <w:spacing w:line="360" w:lineRule="auto"/>
              <w:jc w:val="both"/>
              <w:rPr>
                <w:rFonts w:ascii="Arial Narrow" w:hAnsi="Arial Narrow"/>
                <w:color w:val="000000" w:themeColor="text1"/>
              </w:rPr>
            </w:pPr>
            <w:r w:rsidRPr="00B55BB2">
              <w:rPr>
                <w:rFonts w:ascii="Arial Narrow" w:hAnsi="Arial Narrow" w:cs="Arial"/>
                <w:color w:val="000000" w:themeColor="text1"/>
              </w:rPr>
              <w:lastRenderedPageBreak/>
              <w:t>To successfully rely on enrichment is that the unjust enrichment must have been without cause. (Bearing in mind the cause of action is a breach of an alleged agreement and/or a delict.</w:t>
            </w:r>
          </w:p>
          <w:p w:rsidR="006A34BF" w:rsidRPr="00B55BB2" w:rsidRDefault="006A34BF" w:rsidP="006A34BF">
            <w:pPr>
              <w:pStyle w:val="ListParagraph"/>
              <w:numPr>
                <w:ilvl w:val="0"/>
                <w:numId w:val="16"/>
              </w:numPr>
              <w:spacing w:line="360" w:lineRule="auto"/>
              <w:jc w:val="both"/>
              <w:rPr>
                <w:rFonts w:ascii="Arial Narrow" w:hAnsi="Arial Narrow"/>
                <w:color w:val="000000" w:themeColor="text1"/>
              </w:rPr>
            </w:pPr>
            <w:r w:rsidRPr="00B55BB2">
              <w:rPr>
                <w:rFonts w:ascii="Arial Narrow" w:hAnsi="Arial Narrow"/>
                <w:color w:val="000000" w:themeColor="text1"/>
              </w:rPr>
              <w:t xml:space="preserve">Therefore to successfully rely on an enrichment claim, which in turn would not be excipiable, no contract in respect of the credit card should be in existence or enforceable, </w:t>
            </w:r>
            <w:r w:rsidR="00FF432F" w:rsidRPr="00B55BB2">
              <w:rPr>
                <w:rFonts w:ascii="Arial Narrow" w:hAnsi="Arial Narrow"/>
                <w:color w:val="000000" w:themeColor="text1"/>
              </w:rPr>
              <w:t>i.e.</w:t>
            </w:r>
            <w:r w:rsidRPr="00B55BB2">
              <w:rPr>
                <w:rFonts w:ascii="Arial Narrow" w:hAnsi="Arial Narrow"/>
                <w:color w:val="000000" w:themeColor="text1"/>
              </w:rPr>
              <w:t xml:space="preserve"> a claim based on contract and unjustified enrichment in respect of the same claim cannot exist. </w:t>
            </w:r>
          </w:p>
          <w:p w:rsidR="00C57A7C" w:rsidRPr="00B55BB2" w:rsidRDefault="00C57A7C" w:rsidP="001568BC">
            <w:pPr>
              <w:spacing w:line="360" w:lineRule="auto"/>
              <w:jc w:val="both"/>
              <w:rPr>
                <w:rFonts w:ascii="Arial Narrow" w:hAnsi="Arial Narrow" w:cs="Arial"/>
                <w:color w:val="000000" w:themeColor="text1"/>
                <w:sz w:val="24"/>
                <w:szCs w:val="24"/>
              </w:rPr>
            </w:pPr>
          </w:p>
          <w:p w:rsidR="00B44CA5" w:rsidRPr="00B55BB2" w:rsidRDefault="00C57A7C" w:rsidP="006A34BF">
            <w:pPr>
              <w:spacing w:line="360" w:lineRule="auto"/>
              <w:jc w:val="both"/>
              <w:rPr>
                <w:rFonts w:ascii="Arial Narrow" w:hAnsi="Arial Narrow" w:cs="Arial"/>
                <w:color w:val="000000" w:themeColor="text1"/>
                <w:sz w:val="24"/>
                <w:szCs w:val="24"/>
              </w:rPr>
            </w:pPr>
            <w:r w:rsidRPr="00B55BB2">
              <w:rPr>
                <w:rFonts w:ascii="Arial Narrow" w:hAnsi="Arial Narrow" w:cs="Arial"/>
                <w:color w:val="000000" w:themeColor="text1"/>
                <w:sz w:val="24"/>
                <w:szCs w:val="24"/>
              </w:rPr>
              <w:t>[16</w:t>
            </w:r>
            <w:r w:rsidR="001568BC" w:rsidRPr="00B55BB2">
              <w:rPr>
                <w:rFonts w:ascii="Arial Narrow" w:hAnsi="Arial Narrow" w:cs="Arial"/>
                <w:color w:val="000000" w:themeColor="text1"/>
                <w:sz w:val="24"/>
                <w:szCs w:val="24"/>
              </w:rPr>
              <w:t xml:space="preserve">]        </w:t>
            </w:r>
            <w:r w:rsidR="006A34BF" w:rsidRPr="00B55BB2">
              <w:rPr>
                <w:rFonts w:ascii="Arial Narrow" w:hAnsi="Arial Narrow" w:cs="Arial"/>
                <w:color w:val="000000" w:themeColor="text1"/>
                <w:sz w:val="24"/>
                <w:szCs w:val="24"/>
              </w:rPr>
              <w:t xml:space="preserve">Counsel argued that an amendment should not be allowed where its introduction in the pleading would render such pleadings excipiable.  </w:t>
            </w:r>
          </w:p>
          <w:p w:rsidR="00B44CA5" w:rsidRPr="00B55BB2" w:rsidRDefault="00B44CA5" w:rsidP="00B44CA5">
            <w:pPr>
              <w:jc w:val="both"/>
              <w:rPr>
                <w:rFonts w:ascii="Arial Narrow" w:hAnsi="Arial Narrow" w:cs="Arial"/>
                <w:color w:val="000000" w:themeColor="text1"/>
                <w:sz w:val="24"/>
                <w:szCs w:val="24"/>
              </w:rPr>
            </w:pPr>
          </w:p>
          <w:p w:rsidR="00B44CA5" w:rsidRPr="00B55BB2" w:rsidRDefault="00B44CA5" w:rsidP="006A34BF">
            <w:pPr>
              <w:spacing w:line="360" w:lineRule="auto"/>
              <w:jc w:val="both"/>
              <w:rPr>
                <w:rFonts w:ascii="Arial Narrow" w:hAnsi="Arial Narrow"/>
                <w:color w:val="000000" w:themeColor="text1"/>
                <w:sz w:val="24"/>
                <w:szCs w:val="24"/>
              </w:rPr>
            </w:pPr>
            <w:r w:rsidRPr="00B55BB2">
              <w:rPr>
                <w:rFonts w:ascii="Arial Narrow" w:hAnsi="Arial Narrow" w:cs="Arial"/>
                <w:color w:val="000000" w:themeColor="text1"/>
                <w:sz w:val="24"/>
                <w:szCs w:val="24"/>
              </w:rPr>
              <w:t>[17]</w:t>
            </w:r>
            <w:r w:rsidRPr="00B55BB2">
              <w:rPr>
                <w:rFonts w:ascii="Arial Narrow" w:hAnsi="Arial Narrow"/>
                <w:color w:val="000000" w:themeColor="text1"/>
              </w:rPr>
              <w:t xml:space="preserve">        </w:t>
            </w:r>
            <w:r w:rsidRPr="00B55BB2">
              <w:rPr>
                <w:rFonts w:ascii="Arial Narrow" w:hAnsi="Arial Narrow"/>
                <w:color w:val="000000" w:themeColor="text1"/>
                <w:sz w:val="24"/>
                <w:szCs w:val="24"/>
              </w:rPr>
              <w:t>Counsel further maintained that the plaintiff’s overall claim is incompetent and bad in law to rely on an ‘enrichment claim in the alternative to a contractual or delictual claim.</w:t>
            </w:r>
          </w:p>
          <w:p w:rsidR="00B44CA5" w:rsidRPr="00B55BB2" w:rsidRDefault="00B44CA5" w:rsidP="006A34BF">
            <w:pPr>
              <w:spacing w:line="360" w:lineRule="auto"/>
              <w:jc w:val="both"/>
              <w:rPr>
                <w:rFonts w:ascii="Arial Narrow" w:hAnsi="Arial Narrow"/>
                <w:color w:val="000000" w:themeColor="text1"/>
                <w:sz w:val="24"/>
                <w:szCs w:val="24"/>
              </w:rPr>
            </w:pPr>
          </w:p>
          <w:p w:rsidR="00B44CA5" w:rsidRPr="00B55BB2" w:rsidRDefault="00B44CA5" w:rsidP="00B44CA5">
            <w:pPr>
              <w:spacing w:line="360" w:lineRule="auto"/>
              <w:rPr>
                <w:rFonts w:ascii="Arial Narrow" w:hAnsi="Arial Narrow" w:cs="Arial"/>
                <w:color w:val="000000" w:themeColor="text1"/>
                <w:sz w:val="24"/>
                <w:szCs w:val="24"/>
              </w:rPr>
            </w:pPr>
            <w:r w:rsidRPr="00B55BB2">
              <w:rPr>
                <w:rFonts w:ascii="Arial Narrow" w:hAnsi="Arial Narrow" w:cs="Arial"/>
                <w:color w:val="000000" w:themeColor="text1"/>
                <w:sz w:val="24"/>
                <w:szCs w:val="24"/>
                <w:u w:val="single"/>
              </w:rPr>
              <w:t>The rule applicable and discussion</w:t>
            </w:r>
            <w:r w:rsidRPr="00B55BB2">
              <w:rPr>
                <w:rFonts w:ascii="Arial Narrow" w:hAnsi="Arial Narrow" w:cs="Arial"/>
                <w:color w:val="000000" w:themeColor="text1"/>
                <w:sz w:val="24"/>
                <w:szCs w:val="24"/>
              </w:rPr>
              <w:t>:</w:t>
            </w:r>
          </w:p>
          <w:p w:rsidR="00B44CA5" w:rsidRPr="00B55BB2" w:rsidRDefault="00B44CA5" w:rsidP="00B44CA5">
            <w:pPr>
              <w:jc w:val="both"/>
              <w:rPr>
                <w:rFonts w:ascii="Arial Narrow" w:hAnsi="Arial Narrow"/>
                <w:color w:val="000000" w:themeColor="text1"/>
                <w:sz w:val="24"/>
                <w:szCs w:val="24"/>
              </w:rPr>
            </w:pPr>
          </w:p>
          <w:p w:rsidR="00B44CA5" w:rsidRPr="00B55BB2" w:rsidRDefault="00B44CA5" w:rsidP="006A34BF">
            <w:pPr>
              <w:spacing w:line="360" w:lineRule="auto"/>
              <w:jc w:val="both"/>
              <w:rPr>
                <w:rFonts w:ascii="Arial Narrow" w:hAnsi="Arial Narrow" w:cs="Arial"/>
                <w:color w:val="000000" w:themeColor="text1"/>
                <w:sz w:val="24"/>
                <w:szCs w:val="24"/>
              </w:rPr>
            </w:pPr>
            <w:r w:rsidRPr="00B55BB2">
              <w:rPr>
                <w:rFonts w:ascii="Arial Narrow" w:hAnsi="Arial Narrow" w:cs="Arial"/>
                <w:color w:val="000000" w:themeColor="text1"/>
                <w:sz w:val="24"/>
                <w:szCs w:val="24"/>
              </w:rPr>
              <w:t xml:space="preserve">[18]       </w:t>
            </w:r>
            <w:r w:rsidRPr="00B55BB2">
              <w:rPr>
                <w:rFonts w:ascii="Arial Narrow" w:hAnsi="Arial Narrow" w:cs="Arial"/>
                <w:color w:val="000000" w:themeColor="text1"/>
                <w:sz w:val="24"/>
                <w:szCs w:val="24"/>
                <w:lang w:val="en-US"/>
              </w:rPr>
              <w:t>The primary objection of allowing amendments is to facilitate ‘a proper ventilation of disputes between parties, to determine the real issues between them, so that justice may be done’.</w:t>
            </w:r>
            <w:r w:rsidRPr="00B55BB2">
              <w:rPr>
                <w:rStyle w:val="FootnoteReference"/>
                <w:rFonts w:ascii="Arial Narrow" w:hAnsi="Arial Narrow" w:cs="Arial"/>
                <w:color w:val="000000" w:themeColor="text1"/>
                <w:sz w:val="24"/>
                <w:szCs w:val="24"/>
                <w:lang w:val="en-US"/>
              </w:rPr>
              <w:footnoteReference w:id="4"/>
            </w:r>
            <w:r w:rsidRPr="00B55BB2">
              <w:rPr>
                <w:rFonts w:ascii="Arial Narrow" w:hAnsi="Arial Narrow" w:cs="Arial"/>
                <w:color w:val="000000" w:themeColor="text1"/>
                <w:sz w:val="24"/>
                <w:szCs w:val="24"/>
                <w:lang w:val="en-US"/>
              </w:rPr>
              <w:t xml:space="preserve"> The court would normally disallow a proposed amendment if same is not made in good faith or would prejudice the opposing party or would be excipiable.</w:t>
            </w:r>
            <w:r w:rsidRPr="00B55BB2">
              <w:rPr>
                <w:rStyle w:val="FootnoteReference"/>
                <w:rFonts w:ascii="Arial Narrow" w:hAnsi="Arial Narrow" w:cs="Arial"/>
                <w:color w:val="000000" w:themeColor="text1"/>
                <w:sz w:val="24"/>
                <w:szCs w:val="24"/>
                <w:lang w:val="en-US"/>
              </w:rPr>
              <w:footnoteReference w:id="5"/>
            </w:r>
          </w:p>
          <w:p w:rsidR="00B44CA5" w:rsidRPr="00B55BB2" w:rsidRDefault="00B44CA5" w:rsidP="00B44CA5">
            <w:pPr>
              <w:jc w:val="both"/>
              <w:rPr>
                <w:rFonts w:ascii="Arial Narrow" w:hAnsi="Arial Narrow" w:cs="Arial"/>
                <w:color w:val="000000" w:themeColor="text1"/>
                <w:sz w:val="24"/>
                <w:szCs w:val="24"/>
              </w:rPr>
            </w:pPr>
          </w:p>
          <w:p w:rsidR="00B44CA5" w:rsidRPr="00B55BB2" w:rsidRDefault="00B44CA5" w:rsidP="006A34BF">
            <w:pPr>
              <w:spacing w:line="360" w:lineRule="auto"/>
              <w:jc w:val="both"/>
              <w:rPr>
                <w:rFonts w:ascii="Arial Narrow" w:hAnsi="Arial Narrow" w:cs="Arial"/>
                <w:color w:val="000000" w:themeColor="text1"/>
                <w:sz w:val="24"/>
                <w:szCs w:val="24"/>
                <w:lang w:val="en-US"/>
              </w:rPr>
            </w:pPr>
            <w:r w:rsidRPr="00B55BB2">
              <w:rPr>
                <w:rFonts w:ascii="Arial Narrow" w:hAnsi="Arial Narrow" w:cs="Arial"/>
                <w:color w:val="000000" w:themeColor="text1"/>
                <w:sz w:val="24"/>
                <w:szCs w:val="24"/>
              </w:rPr>
              <w:t xml:space="preserve">[19]         </w:t>
            </w:r>
            <w:r w:rsidRPr="00B55BB2">
              <w:rPr>
                <w:rFonts w:ascii="Arial Narrow" w:hAnsi="Arial Narrow" w:cs="Arial"/>
                <w:color w:val="000000" w:themeColor="text1"/>
                <w:sz w:val="24"/>
                <w:szCs w:val="24"/>
                <w:lang w:val="en-US"/>
              </w:rPr>
              <w:t>In order to persuade the court to exercise its discretion in its favour, an applicant for leave to amend must show that the proposed amendment is worthy of consideration and introduces a triable issue. The court shall then weigh the reasons and explanation given by the applicant for the amendment, against the objections raised by the opponent. Where the proposed amendment will prejudice the opponent or would be excipiable, the amendment should be refused.</w:t>
            </w:r>
            <w:r w:rsidRPr="00B55BB2">
              <w:rPr>
                <w:rStyle w:val="FootnoteReference"/>
                <w:rFonts w:ascii="Arial Narrow" w:hAnsi="Arial Narrow" w:cs="Arial"/>
                <w:color w:val="000000" w:themeColor="text1"/>
                <w:sz w:val="24"/>
                <w:szCs w:val="24"/>
                <w:lang w:val="en-US"/>
              </w:rPr>
              <w:footnoteReference w:id="6"/>
            </w:r>
          </w:p>
          <w:p w:rsidR="00B44CA5" w:rsidRPr="00B55BB2" w:rsidRDefault="00B44CA5" w:rsidP="00B44CA5">
            <w:pPr>
              <w:jc w:val="both"/>
              <w:rPr>
                <w:rFonts w:ascii="Arial Narrow" w:hAnsi="Arial Narrow" w:cs="Arial"/>
                <w:color w:val="000000" w:themeColor="text1"/>
                <w:sz w:val="24"/>
                <w:szCs w:val="24"/>
              </w:rPr>
            </w:pPr>
          </w:p>
          <w:p w:rsidR="00B44CA5" w:rsidRPr="00B55BB2" w:rsidRDefault="00B44CA5" w:rsidP="00B44CA5">
            <w:pPr>
              <w:spacing w:line="360" w:lineRule="auto"/>
              <w:jc w:val="both"/>
              <w:rPr>
                <w:rFonts w:ascii="Arial Narrow" w:hAnsi="Arial Narrow" w:cs="Arial"/>
                <w:color w:val="000000" w:themeColor="text1"/>
                <w:sz w:val="24"/>
                <w:szCs w:val="24"/>
                <w:lang w:val="en-US"/>
              </w:rPr>
            </w:pPr>
            <w:r w:rsidRPr="00B55BB2">
              <w:rPr>
                <w:rFonts w:ascii="Arial Narrow" w:hAnsi="Arial Narrow" w:cs="Arial"/>
                <w:color w:val="000000" w:themeColor="text1"/>
                <w:sz w:val="24"/>
                <w:szCs w:val="24"/>
              </w:rPr>
              <w:t xml:space="preserve">[20]       </w:t>
            </w:r>
            <w:r w:rsidRPr="00B55BB2">
              <w:rPr>
                <w:rFonts w:ascii="Arial Narrow" w:hAnsi="Arial Narrow"/>
                <w:color w:val="000000" w:themeColor="text1"/>
              </w:rPr>
              <w:t xml:space="preserve"> </w:t>
            </w:r>
            <w:r w:rsidRPr="00B55BB2">
              <w:rPr>
                <w:rFonts w:ascii="Arial Narrow" w:hAnsi="Arial Narrow" w:cs="Arial"/>
                <w:color w:val="000000" w:themeColor="text1"/>
                <w:sz w:val="24"/>
                <w:szCs w:val="24"/>
                <w:lang w:val="en-US"/>
              </w:rPr>
              <w:t>It is the defendant’s case that that the proposed amendments would render the particulars of claim excipiable.</w:t>
            </w:r>
          </w:p>
          <w:p w:rsidR="00B44CA5" w:rsidRPr="00B55BB2" w:rsidRDefault="00B44CA5" w:rsidP="00B44CA5">
            <w:pPr>
              <w:jc w:val="both"/>
              <w:rPr>
                <w:rFonts w:ascii="Arial Narrow" w:hAnsi="Arial Narrow" w:cs="Arial"/>
                <w:color w:val="000000" w:themeColor="text1"/>
                <w:sz w:val="24"/>
                <w:szCs w:val="24"/>
              </w:rPr>
            </w:pPr>
          </w:p>
          <w:p w:rsidR="00B44CA5" w:rsidRPr="00B55BB2" w:rsidRDefault="00B44CA5" w:rsidP="00B44CA5">
            <w:pPr>
              <w:spacing w:line="360" w:lineRule="auto"/>
              <w:jc w:val="both"/>
              <w:rPr>
                <w:rFonts w:ascii="Arial Narrow" w:hAnsi="Arial Narrow" w:cs="Arial"/>
                <w:color w:val="000000" w:themeColor="text1"/>
                <w:sz w:val="24"/>
                <w:szCs w:val="24"/>
                <w:lang w:val="en-US"/>
              </w:rPr>
            </w:pPr>
            <w:r w:rsidRPr="00B55BB2">
              <w:rPr>
                <w:rFonts w:ascii="Arial Narrow" w:hAnsi="Arial Narrow" w:cs="Arial"/>
                <w:color w:val="000000" w:themeColor="text1"/>
                <w:sz w:val="24"/>
                <w:szCs w:val="24"/>
              </w:rPr>
              <w:t>[21]</w:t>
            </w:r>
            <w:r w:rsidRPr="00B55BB2">
              <w:rPr>
                <w:rFonts w:ascii="Arial Narrow" w:hAnsi="Arial Narrow"/>
                <w:color w:val="000000" w:themeColor="text1"/>
                <w:sz w:val="24"/>
                <w:szCs w:val="24"/>
              </w:rPr>
              <w:t xml:space="preserve">        </w:t>
            </w:r>
            <w:r w:rsidRPr="00B55BB2">
              <w:rPr>
                <w:rFonts w:ascii="Arial Narrow" w:hAnsi="Arial Narrow" w:cs="Arial"/>
                <w:color w:val="000000" w:themeColor="text1"/>
                <w:sz w:val="24"/>
                <w:szCs w:val="24"/>
                <w:lang w:val="en-US"/>
              </w:rPr>
              <w:t>The counsel for the plaintiff conceded that the alternative claim for enrichment in the context of the contractual and delictual claim is bad in law and quite correctly abandoned the alternative claim.</w:t>
            </w:r>
          </w:p>
          <w:p w:rsidR="00B44CA5" w:rsidRPr="00B55BB2" w:rsidRDefault="00B44CA5" w:rsidP="00B44CA5">
            <w:pPr>
              <w:jc w:val="both"/>
              <w:rPr>
                <w:rFonts w:ascii="Arial Narrow" w:hAnsi="Arial Narrow" w:cs="Arial"/>
                <w:color w:val="000000" w:themeColor="text1"/>
                <w:sz w:val="24"/>
                <w:szCs w:val="24"/>
                <w:lang w:val="en-US"/>
              </w:rPr>
            </w:pPr>
          </w:p>
          <w:p w:rsidR="00B44CA5" w:rsidRPr="00B55BB2" w:rsidRDefault="00B44CA5" w:rsidP="00B44CA5">
            <w:pPr>
              <w:spacing w:line="360" w:lineRule="auto"/>
              <w:jc w:val="both"/>
              <w:rPr>
                <w:rFonts w:ascii="Arial Narrow" w:hAnsi="Arial Narrow"/>
                <w:color w:val="000000" w:themeColor="text1"/>
              </w:rPr>
            </w:pPr>
            <w:r w:rsidRPr="00B55BB2">
              <w:rPr>
                <w:rFonts w:ascii="Arial Narrow" w:hAnsi="Arial Narrow" w:cs="Arial"/>
                <w:color w:val="000000" w:themeColor="text1"/>
                <w:sz w:val="24"/>
                <w:szCs w:val="24"/>
                <w:lang w:val="en-US"/>
              </w:rPr>
              <w:t>[22]</w:t>
            </w:r>
            <w:r w:rsidRPr="00B55BB2">
              <w:rPr>
                <w:rFonts w:ascii="Arial Narrow" w:hAnsi="Arial Narrow"/>
                <w:color w:val="000000" w:themeColor="text1"/>
              </w:rPr>
              <w:t xml:space="preserve">          </w:t>
            </w:r>
            <w:r w:rsidR="00A4236D" w:rsidRPr="00B55BB2">
              <w:rPr>
                <w:rFonts w:ascii="Arial Narrow" w:hAnsi="Arial Narrow"/>
                <w:color w:val="000000" w:themeColor="text1"/>
              </w:rPr>
              <w:t>Counsel for the defendant argued that abandoning the alternative claim of enrichment does</w:t>
            </w:r>
            <w:r w:rsidRPr="00B55BB2">
              <w:rPr>
                <w:rFonts w:ascii="Arial Narrow" w:hAnsi="Arial Narrow"/>
                <w:color w:val="000000" w:themeColor="text1"/>
              </w:rPr>
              <w:t xml:space="preserve"> not </w:t>
            </w:r>
            <w:r w:rsidR="00A4236D" w:rsidRPr="00B55BB2">
              <w:rPr>
                <w:rFonts w:ascii="Arial Narrow" w:hAnsi="Arial Narrow"/>
                <w:color w:val="000000" w:themeColor="text1"/>
              </w:rPr>
              <w:t xml:space="preserve">mean </w:t>
            </w:r>
            <w:r w:rsidRPr="00B55BB2">
              <w:rPr>
                <w:rFonts w:ascii="Arial Narrow" w:hAnsi="Arial Narrow"/>
                <w:color w:val="000000" w:themeColor="text1"/>
              </w:rPr>
              <w:t xml:space="preserve">the end of the difficulties of the plaintiff in respect of the proposed amendments. </w:t>
            </w:r>
          </w:p>
          <w:p w:rsidR="00B44CA5" w:rsidRPr="00B55BB2" w:rsidRDefault="00B44CA5" w:rsidP="00B44CA5">
            <w:pPr>
              <w:spacing w:line="360" w:lineRule="auto"/>
              <w:jc w:val="both"/>
              <w:rPr>
                <w:rFonts w:ascii="Arial Narrow" w:hAnsi="Arial Narrow"/>
                <w:color w:val="000000" w:themeColor="text1"/>
              </w:rPr>
            </w:pPr>
          </w:p>
          <w:p w:rsidR="00B44CA5" w:rsidRPr="00B55BB2" w:rsidRDefault="00B44CA5" w:rsidP="00B44CA5">
            <w:pPr>
              <w:spacing w:line="360" w:lineRule="auto"/>
              <w:jc w:val="both"/>
              <w:rPr>
                <w:rFonts w:ascii="Arial Narrow" w:hAnsi="Arial Narrow"/>
                <w:color w:val="000000" w:themeColor="text1"/>
              </w:rPr>
            </w:pPr>
            <w:r w:rsidRPr="00B55BB2">
              <w:rPr>
                <w:rFonts w:ascii="Arial Narrow" w:hAnsi="Arial Narrow" w:cs="Arial"/>
                <w:color w:val="000000" w:themeColor="text1"/>
                <w:sz w:val="24"/>
                <w:szCs w:val="24"/>
                <w:lang w:val="en-US"/>
              </w:rPr>
              <w:lastRenderedPageBreak/>
              <w:t>[23]</w:t>
            </w:r>
            <w:r w:rsidRPr="00B55BB2">
              <w:rPr>
                <w:rFonts w:ascii="Arial Narrow" w:hAnsi="Arial Narrow"/>
                <w:color w:val="000000" w:themeColor="text1"/>
              </w:rPr>
              <w:t xml:space="preserve">      </w:t>
            </w:r>
            <w:r w:rsidRPr="00B55BB2">
              <w:rPr>
                <w:rFonts w:ascii="Arial Narrow" w:hAnsi="Arial Narrow"/>
                <w:color w:val="000000" w:themeColor="text1"/>
                <w:sz w:val="24"/>
                <w:szCs w:val="24"/>
              </w:rPr>
              <w:t xml:space="preserve">    The next issue is the plaintiff’s reliance on vicarious liability between </w:t>
            </w:r>
            <w:r w:rsidRPr="00B55BB2">
              <w:rPr>
                <w:rFonts w:ascii="Arial Narrow" w:hAnsi="Arial Narrow"/>
                <w:color w:val="000000" w:themeColor="text1"/>
                <w:sz w:val="24"/>
                <w:szCs w:val="24"/>
                <w:u w:val="single"/>
              </w:rPr>
              <w:t>an unknown employee</w:t>
            </w:r>
            <w:r w:rsidRPr="00B55BB2">
              <w:rPr>
                <w:rFonts w:ascii="Arial Narrow" w:hAnsi="Arial Narrow"/>
                <w:color w:val="000000" w:themeColor="text1"/>
                <w:sz w:val="24"/>
                <w:szCs w:val="24"/>
              </w:rPr>
              <w:t xml:space="preserve"> and the defendant and if the acts performed by the employee was indeed authorize</w:t>
            </w:r>
            <w:r w:rsidR="001A68D4" w:rsidRPr="00B55BB2">
              <w:rPr>
                <w:rFonts w:ascii="Arial Narrow" w:hAnsi="Arial Narrow"/>
                <w:color w:val="000000" w:themeColor="text1"/>
                <w:sz w:val="24"/>
                <w:szCs w:val="24"/>
              </w:rPr>
              <w:t>d</w:t>
            </w:r>
            <w:r w:rsidRPr="00B55BB2">
              <w:rPr>
                <w:rFonts w:ascii="Arial Narrow" w:hAnsi="Arial Narrow"/>
                <w:color w:val="000000" w:themeColor="text1"/>
              </w:rPr>
              <w:t>.</w:t>
            </w:r>
          </w:p>
          <w:p w:rsidR="001A68D4" w:rsidRPr="00B55BB2" w:rsidRDefault="001A68D4" w:rsidP="00B44CA5">
            <w:pPr>
              <w:spacing w:line="360" w:lineRule="auto"/>
              <w:jc w:val="both"/>
              <w:rPr>
                <w:rFonts w:ascii="Arial Narrow" w:hAnsi="Arial Narrow"/>
                <w:color w:val="000000" w:themeColor="text1"/>
              </w:rPr>
            </w:pPr>
          </w:p>
          <w:p w:rsidR="00B44CA5" w:rsidRPr="00B55BB2" w:rsidRDefault="00B44CA5" w:rsidP="00B44CA5">
            <w:pPr>
              <w:spacing w:line="360" w:lineRule="auto"/>
              <w:jc w:val="both"/>
              <w:rPr>
                <w:rFonts w:ascii="Arial Narrow" w:hAnsi="Arial Narrow" w:cs="Arial"/>
                <w:color w:val="000000" w:themeColor="text1"/>
                <w:sz w:val="24"/>
                <w:szCs w:val="24"/>
                <w:lang w:val="en-US"/>
              </w:rPr>
            </w:pPr>
            <w:r w:rsidRPr="00B55BB2">
              <w:rPr>
                <w:rFonts w:ascii="Arial Narrow" w:hAnsi="Arial Narrow" w:cs="Arial"/>
                <w:color w:val="000000" w:themeColor="text1"/>
                <w:sz w:val="24"/>
                <w:szCs w:val="24"/>
                <w:lang w:val="en-US"/>
              </w:rPr>
              <w:t xml:space="preserve">[24]       </w:t>
            </w:r>
            <w:r w:rsidR="00A4236D" w:rsidRPr="00B55BB2">
              <w:rPr>
                <w:rFonts w:ascii="Arial Narrow" w:hAnsi="Arial Narrow" w:cs="Arial"/>
                <w:color w:val="000000" w:themeColor="text1"/>
                <w:sz w:val="24"/>
                <w:szCs w:val="24"/>
                <w:lang w:val="en-US"/>
              </w:rPr>
              <w:t>However, t</w:t>
            </w:r>
            <w:r w:rsidRPr="00B55BB2">
              <w:rPr>
                <w:rFonts w:ascii="Arial Narrow" w:hAnsi="Arial Narrow" w:cs="Arial"/>
                <w:color w:val="000000" w:themeColor="text1"/>
                <w:sz w:val="24"/>
                <w:szCs w:val="24"/>
                <w:lang w:val="en-US"/>
              </w:rPr>
              <w:t xml:space="preserve">he fact that the identity of the employee is not known does not render the proposed particulars of claim excipiable. </w:t>
            </w:r>
          </w:p>
          <w:p w:rsidR="00B44CA5" w:rsidRPr="00B55BB2" w:rsidRDefault="00B44CA5" w:rsidP="00B44CA5">
            <w:pPr>
              <w:jc w:val="both"/>
              <w:rPr>
                <w:rFonts w:ascii="Arial Narrow" w:hAnsi="Arial Narrow" w:cs="Arial"/>
                <w:color w:val="000000" w:themeColor="text1"/>
                <w:sz w:val="24"/>
                <w:szCs w:val="24"/>
                <w:lang w:val="en-US"/>
              </w:rPr>
            </w:pPr>
          </w:p>
          <w:p w:rsidR="00A8226C" w:rsidRPr="00B55BB2" w:rsidRDefault="00B44CA5" w:rsidP="00A8226C">
            <w:pPr>
              <w:spacing w:line="360" w:lineRule="auto"/>
              <w:jc w:val="both"/>
              <w:rPr>
                <w:rFonts w:ascii="Arial Narrow" w:hAnsi="Arial Narrow" w:cs="Arial"/>
                <w:color w:val="000000" w:themeColor="text1"/>
                <w:sz w:val="24"/>
                <w:szCs w:val="24"/>
              </w:rPr>
            </w:pPr>
            <w:r w:rsidRPr="00B55BB2">
              <w:rPr>
                <w:rFonts w:ascii="Arial Narrow" w:hAnsi="Arial Narrow" w:cs="Arial"/>
                <w:color w:val="000000" w:themeColor="text1"/>
                <w:sz w:val="24"/>
                <w:szCs w:val="24"/>
                <w:lang w:val="en-US"/>
              </w:rPr>
              <w:t xml:space="preserve">[25]       </w:t>
            </w:r>
            <w:r w:rsidR="00A8226C" w:rsidRPr="00B55BB2">
              <w:rPr>
                <w:rFonts w:ascii="Arial Narrow" w:hAnsi="Arial Narrow" w:cs="Arial"/>
                <w:color w:val="000000" w:themeColor="text1"/>
                <w:sz w:val="24"/>
                <w:szCs w:val="24"/>
                <w:lang w:val="en-US"/>
              </w:rPr>
              <w:t xml:space="preserve">In </w:t>
            </w:r>
            <w:r w:rsidR="00A8226C" w:rsidRPr="00B55BB2">
              <w:rPr>
                <w:rFonts w:ascii="Arial Narrow" w:hAnsi="Arial Narrow" w:cs="Arial"/>
                <w:i/>
                <w:color w:val="000000" w:themeColor="text1"/>
                <w:sz w:val="24"/>
                <w:szCs w:val="24"/>
              </w:rPr>
              <w:t>Kambuze v Shilimela Advanced Security Services CC</w:t>
            </w:r>
            <w:r w:rsidR="00A8226C" w:rsidRPr="00B55BB2">
              <w:rPr>
                <w:rStyle w:val="FootnoteReference"/>
                <w:rFonts w:ascii="Arial Narrow" w:hAnsi="Arial Narrow" w:cs="Arial"/>
                <w:i/>
                <w:color w:val="000000" w:themeColor="text1"/>
                <w:sz w:val="24"/>
                <w:szCs w:val="24"/>
              </w:rPr>
              <w:footnoteReference w:id="7"/>
            </w:r>
            <w:r w:rsidR="00A8226C" w:rsidRPr="00B55BB2">
              <w:rPr>
                <w:rFonts w:ascii="Arial Narrow" w:hAnsi="Arial Narrow" w:cs="Arial"/>
                <w:i/>
                <w:color w:val="000000" w:themeColor="text1"/>
                <w:sz w:val="24"/>
                <w:szCs w:val="24"/>
              </w:rPr>
              <w:t xml:space="preserve"> </w:t>
            </w:r>
            <w:r w:rsidR="00A8226C" w:rsidRPr="00B55BB2">
              <w:rPr>
                <w:rFonts w:ascii="Arial Narrow" w:hAnsi="Arial Narrow" w:cs="Arial"/>
                <w:color w:val="000000" w:themeColor="text1"/>
                <w:sz w:val="24"/>
                <w:szCs w:val="24"/>
              </w:rPr>
              <w:t>Sibeya J held as follows:</w:t>
            </w:r>
          </w:p>
          <w:p w:rsidR="00B44CA5" w:rsidRPr="00B55BB2" w:rsidRDefault="00A8226C" w:rsidP="00B44CA5">
            <w:pPr>
              <w:spacing w:line="360" w:lineRule="auto"/>
              <w:jc w:val="both"/>
              <w:rPr>
                <w:rFonts w:ascii="Arial Narrow" w:hAnsi="Arial Narrow"/>
                <w:color w:val="000000" w:themeColor="text1"/>
                <w:lang w:val="en-US"/>
              </w:rPr>
            </w:pPr>
            <w:r w:rsidRPr="00B55BB2">
              <w:rPr>
                <w:rFonts w:ascii="Arial Narrow" w:hAnsi="Arial Narrow" w:cs="Arial"/>
                <w:color w:val="000000" w:themeColor="text1"/>
                <w:sz w:val="24"/>
                <w:szCs w:val="24"/>
              </w:rPr>
              <w:tab/>
            </w:r>
            <w:r w:rsidRPr="00B55BB2">
              <w:rPr>
                <w:rFonts w:ascii="Arial Narrow" w:hAnsi="Arial Narrow" w:cs="Arial"/>
                <w:color w:val="000000" w:themeColor="text1"/>
              </w:rPr>
              <w:t>‘[</w:t>
            </w:r>
            <w:r w:rsidRPr="00B55BB2">
              <w:rPr>
                <w:rFonts w:ascii="Arial Narrow" w:hAnsi="Arial Narrow"/>
                <w:color w:val="000000" w:themeColor="text1"/>
              </w:rPr>
              <w:t>36]</w:t>
            </w:r>
            <w:r w:rsidRPr="00B55BB2">
              <w:rPr>
                <w:rFonts w:ascii="Arial Narrow" w:hAnsi="Arial Narrow"/>
                <w:color w:val="000000" w:themeColor="text1"/>
              </w:rPr>
              <w:tab/>
              <w:t>I hold without fear of contradiction that failure to name the employee does not render the particulars of claim expiable. I am further of the respective view that the attempt by Mr. Brendell to limit the non</w:t>
            </w:r>
            <w:r w:rsidR="00A4236D" w:rsidRPr="00B55BB2">
              <w:rPr>
                <w:rFonts w:ascii="Arial Narrow" w:hAnsi="Arial Narrow"/>
                <w:color w:val="000000" w:themeColor="text1"/>
              </w:rPr>
              <w:t>-</w:t>
            </w:r>
            <w:r w:rsidRPr="00B55BB2">
              <w:rPr>
                <w:rFonts w:ascii="Arial Narrow" w:hAnsi="Arial Narrow"/>
                <w:color w:val="000000" w:themeColor="text1"/>
              </w:rPr>
              <w:t xml:space="preserve">requirement to name the employee to public institutions only lacks reason, logic and is ultimately misplaced. I find that parties may institute claims against the employers based on vicarious liability without necessarily stating the names of the employees, provided that it is apparent from the pleadings that such persons are not employees of the defendants. Instances may occur where the name of the employee is unknown to the claimant but where the identity of the employer is clear as noon and day. It will defeat the ancient established principle of vicarious liability if employers are allowed to escape liability just because the names of a particular employee are not stated and will in my view amount to a travesty of justice.   </w:t>
            </w:r>
          </w:p>
          <w:p w:rsidR="00A8226C" w:rsidRPr="00B55BB2" w:rsidRDefault="001A68D4" w:rsidP="001A68D4">
            <w:pPr>
              <w:pStyle w:val="Default"/>
              <w:spacing w:line="360" w:lineRule="auto"/>
              <w:ind w:left="601" w:hanging="142"/>
              <w:jc w:val="both"/>
              <w:rPr>
                <w:rFonts w:ascii="Arial Narrow" w:hAnsi="Arial Narrow"/>
                <w:color w:val="000000" w:themeColor="text1"/>
              </w:rPr>
            </w:pPr>
            <w:r w:rsidRPr="00B55BB2">
              <w:rPr>
                <w:rFonts w:ascii="Arial Narrow" w:hAnsi="Arial Narrow"/>
                <w:color w:val="000000" w:themeColor="text1"/>
              </w:rPr>
              <w:t xml:space="preserve">    </w:t>
            </w:r>
            <w:r w:rsidR="00A8226C" w:rsidRPr="00B55BB2">
              <w:rPr>
                <w:rFonts w:ascii="Arial Narrow" w:hAnsi="Arial Narrow"/>
                <w:color w:val="000000" w:themeColor="text1"/>
              </w:rPr>
              <w:t>[37]</w:t>
            </w:r>
            <w:r w:rsidR="00A8226C" w:rsidRPr="00B55BB2">
              <w:rPr>
                <w:rFonts w:ascii="Arial Narrow" w:hAnsi="Arial Narrow"/>
                <w:color w:val="000000" w:themeColor="text1"/>
              </w:rPr>
              <w:tab/>
              <w:t xml:space="preserve">I am not satisfied upon a closer scrutiny that on every interpretation of the particulars of claim, no cause of action can </w:t>
            </w:r>
            <w:r w:rsidRPr="00B55BB2">
              <w:rPr>
                <w:rFonts w:ascii="Arial Narrow" w:hAnsi="Arial Narrow"/>
                <w:color w:val="000000" w:themeColor="text1"/>
              </w:rPr>
              <w:t xml:space="preserve">           </w:t>
            </w:r>
            <w:r w:rsidR="00A8226C" w:rsidRPr="00B55BB2">
              <w:rPr>
                <w:rFonts w:ascii="Arial Narrow" w:hAnsi="Arial Narrow"/>
                <w:color w:val="000000" w:themeColor="text1"/>
              </w:rPr>
              <w:t>be sustained. The failure to mention the names of the security guards in the employ of the defendant does not render the particulars of claim excipiable. This ground of exception on which an attack to the particulars of claim is premised falls to be dismissed.’</w:t>
            </w:r>
          </w:p>
          <w:p w:rsidR="00A8226C" w:rsidRPr="00B55BB2" w:rsidRDefault="00A8226C" w:rsidP="00B44CA5">
            <w:pPr>
              <w:spacing w:line="360" w:lineRule="auto"/>
              <w:jc w:val="both"/>
              <w:rPr>
                <w:rFonts w:ascii="Arial Narrow" w:hAnsi="Arial Narrow" w:cs="Arial"/>
                <w:color w:val="000000" w:themeColor="text1"/>
                <w:sz w:val="24"/>
                <w:szCs w:val="24"/>
                <w:lang w:val="en-US"/>
              </w:rPr>
            </w:pPr>
          </w:p>
          <w:p w:rsidR="00A8226C" w:rsidRPr="00B55BB2" w:rsidRDefault="00B44CA5" w:rsidP="00901788">
            <w:pPr>
              <w:pStyle w:val="Default"/>
              <w:spacing w:line="360" w:lineRule="auto"/>
              <w:jc w:val="both"/>
              <w:rPr>
                <w:rFonts w:ascii="Arial Narrow" w:hAnsi="Arial Narrow"/>
                <w:color w:val="000000" w:themeColor="text1"/>
                <w:sz w:val="24"/>
                <w:szCs w:val="24"/>
              </w:rPr>
            </w:pPr>
            <w:r w:rsidRPr="00B55BB2">
              <w:rPr>
                <w:rFonts w:ascii="Arial Narrow" w:hAnsi="Arial Narrow" w:cs="Arial"/>
                <w:color w:val="000000" w:themeColor="text1"/>
                <w:sz w:val="24"/>
                <w:szCs w:val="24"/>
                <w:lang w:val="en-US"/>
              </w:rPr>
              <w:t>[26</w:t>
            </w:r>
            <w:r w:rsidR="00A8226C" w:rsidRPr="00B55BB2">
              <w:rPr>
                <w:rFonts w:ascii="Arial Narrow" w:hAnsi="Arial Narrow" w:cs="Arial"/>
                <w:color w:val="000000" w:themeColor="text1"/>
                <w:sz w:val="24"/>
                <w:szCs w:val="24"/>
                <w:lang w:val="en-US"/>
              </w:rPr>
              <w:t xml:space="preserve">]      </w:t>
            </w:r>
            <w:r w:rsidR="00A8226C" w:rsidRPr="00B55BB2">
              <w:rPr>
                <w:rFonts w:ascii="Arial Narrow" w:hAnsi="Arial Narrow"/>
                <w:color w:val="000000" w:themeColor="text1"/>
                <w:sz w:val="24"/>
                <w:szCs w:val="24"/>
              </w:rPr>
              <w:t xml:space="preserve">The issue of the unknown employee thus falls away. The issue regarding the issue of authority of the said employee however raises an issue. The question is: were the acts in the case under consideration in fact authorized; were they in fact performed in the course and scope of the </w:t>
            </w:r>
            <w:r w:rsidR="00BD6321" w:rsidRPr="00B55BB2">
              <w:rPr>
                <w:rFonts w:ascii="Arial Narrow" w:hAnsi="Arial Narrow"/>
                <w:color w:val="000000" w:themeColor="text1"/>
                <w:sz w:val="24"/>
                <w:szCs w:val="24"/>
              </w:rPr>
              <w:t>employee’s</w:t>
            </w:r>
            <w:r w:rsidR="00A8226C" w:rsidRPr="00B55BB2">
              <w:rPr>
                <w:rFonts w:ascii="Arial Narrow" w:hAnsi="Arial Narrow"/>
                <w:color w:val="000000" w:themeColor="text1"/>
                <w:sz w:val="24"/>
                <w:szCs w:val="24"/>
              </w:rPr>
              <w:t xml:space="preserve"> employment?</w:t>
            </w:r>
            <w:r w:rsidR="00A8226C" w:rsidRPr="00B55BB2">
              <w:rPr>
                <w:rFonts w:ascii="Arial Narrow" w:hAnsi="Arial Narrow"/>
                <w:b/>
                <w:color w:val="000000" w:themeColor="text1"/>
                <w:sz w:val="24"/>
                <w:szCs w:val="24"/>
              </w:rPr>
              <w:t xml:space="preserve"> </w:t>
            </w:r>
            <w:r w:rsidR="00A8226C" w:rsidRPr="00B55BB2">
              <w:rPr>
                <w:rFonts w:ascii="Arial Narrow" w:hAnsi="Arial Narrow"/>
                <w:color w:val="000000" w:themeColor="text1"/>
                <w:sz w:val="24"/>
                <w:szCs w:val="24"/>
              </w:rPr>
              <w:t xml:space="preserve">This was the question asked in </w:t>
            </w:r>
            <w:r w:rsidR="00A8226C" w:rsidRPr="00B55BB2">
              <w:rPr>
                <w:rFonts w:ascii="Arial Narrow" w:hAnsi="Arial Narrow"/>
                <w:i/>
                <w:color w:val="000000" w:themeColor="text1"/>
                <w:sz w:val="24"/>
                <w:szCs w:val="24"/>
              </w:rPr>
              <w:t>Ess Kay Electronics Pte Ltd and Another v First National Bank of Southern Africa Ltd</w:t>
            </w:r>
            <w:r w:rsidR="00A8226C" w:rsidRPr="00B55BB2">
              <w:rPr>
                <w:rStyle w:val="FootnoteReference"/>
                <w:rFonts w:ascii="Arial Narrow" w:hAnsi="Arial Narrow"/>
                <w:color w:val="000000" w:themeColor="text1"/>
                <w:sz w:val="24"/>
                <w:szCs w:val="24"/>
              </w:rPr>
              <w:footnoteReference w:id="8"/>
            </w:r>
            <w:r w:rsidR="00A8226C" w:rsidRPr="00B55BB2">
              <w:rPr>
                <w:rFonts w:ascii="Arial Narrow" w:hAnsi="Arial Narrow"/>
                <w:color w:val="000000" w:themeColor="text1"/>
                <w:sz w:val="24"/>
                <w:szCs w:val="24"/>
              </w:rPr>
              <w:t xml:space="preserve"> when the court considered the liability of the defendant in respect of an employee’s actions. </w:t>
            </w:r>
            <w:r w:rsidR="00901788" w:rsidRPr="00B55BB2">
              <w:rPr>
                <w:rFonts w:ascii="Arial Narrow" w:hAnsi="Arial Narrow"/>
                <w:color w:val="000000" w:themeColor="text1"/>
                <w:sz w:val="24"/>
                <w:szCs w:val="24"/>
              </w:rPr>
              <w:t>The defendant’s counsel pertinent</w:t>
            </w:r>
            <w:r w:rsidR="007F45F6" w:rsidRPr="00B55BB2">
              <w:rPr>
                <w:rFonts w:ascii="Arial Narrow" w:hAnsi="Arial Narrow"/>
                <w:color w:val="000000" w:themeColor="text1"/>
                <w:sz w:val="24"/>
                <w:szCs w:val="24"/>
              </w:rPr>
              <w:t>ly</w:t>
            </w:r>
            <w:r w:rsidR="00901788" w:rsidRPr="00B55BB2">
              <w:rPr>
                <w:rFonts w:ascii="Arial Narrow" w:hAnsi="Arial Narrow"/>
                <w:color w:val="000000" w:themeColor="text1"/>
                <w:sz w:val="24"/>
                <w:szCs w:val="24"/>
              </w:rPr>
              <w:t xml:space="preserve"> drew my attention to this question raised by the court and it was argued that the plaintiff did not plead that the defendant’s employee had authority. I however do not understand the court to say that it is a necessity that the plaintiff had to plead authority in addition to pleading that the employee acted within course and scope of his or her duties. </w:t>
            </w:r>
          </w:p>
          <w:p w:rsidR="007B3F64" w:rsidRPr="00B55BB2" w:rsidRDefault="007B3F64" w:rsidP="00901788">
            <w:pPr>
              <w:pStyle w:val="Default"/>
              <w:spacing w:line="360" w:lineRule="auto"/>
              <w:jc w:val="both"/>
              <w:rPr>
                <w:rFonts w:ascii="Arial Narrow" w:hAnsi="Arial Narrow"/>
                <w:color w:val="000000" w:themeColor="text1"/>
                <w:shd w:val="clear" w:color="auto" w:fill="FFFFFF"/>
                <w:lang w:val="en-US"/>
              </w:rPr>
            </w:pPr>
          </w:p>
          <w:p w:rsidR="00F610E3" w:rsidRPr="00B55BB2" w:rsidRDefault="00B44CA5" w:rsidP="00F610E3">
            <w:pPr>
              <w:autoSpaceDE w:val="0"/>
              <w:autoSpaceDN w:val="0"/>
              <w:adjustRightInd w:val="0"/>
              <w:rPr>
                <w:rFonts w:ascii="Arial Narrow" w:hAnsi="Arial Narrow" w:cs="Arial"/>
                <w:color w:val="000000" w:themeColor="text1"/>
                <w:sz w:val="24"/>
                <w:szCs w:val="24"/>
                <w:lang w:val="en-US"/>
              </w:rPr>
            </w:pPr>
            <w:r w:rsidRPr="00B55BB2">
              <w:rPr>
                <w:rFonts w:ascii="Arial Narrow" w:hAnsi="Arial Narrow" w:cs="Arial"/>
                <w:color w:val="000000" w:themeColor="text1"/>
                <w:sz w:val="24"/>
                <w:szCs w:val="24"/>
                <w:lang w:val="en-US"/>
              </w:rPr>
              <w:t>[27]</w:t>
            </w:r>
            <w:r w:rsidR="00A8226C" w:rsidRPr="00B55BB2">
              <w:rPr>
                <w:rFonts w:ascii="Arial Narrow" w:hAnsi="Arial Narrow" w:cs="Arial"/>
                <w:color w:val="000000" w:themeColor="text1"/>
                <w:sz w:val="24"/>
                <w:szCs w:val="24"/>
                <w:lang w:val="en-US"/>
              </w:rPr>
              <w:t xml:space="preserve">         </w:t>
            </w:r>
            <w:r w:rsidR="00F610E3" w:rsidRPr="00B55BB2">
              <w:rPr>
                <w:rFonts w:ascii="Arial Narrow" w:hAnsi="Arial Narrow" w:cs="Arial"/>
                <w:color w:val="000000" w:themeColor="text1"/>
                <w:sz w:val="24"/>
                <w:szCs w:val="24"/>
                <w:lang w:val="en-US"/>
              </w:rPr>
              <w:t xml:space="preserve">In </w:t>
            </w:r>
            <w:r w:rsidR="00F610E3" w:rsidRPr="00B55BB2">
              <w:rPr>
                <w:rFonts w:ascii="Arial Narrow" w:hAnsi="Arial Narrow" w:cs="Arial"/>
                <w:i/>
                <w:color w:val="000000" w:themeColor="text1"/>
                <w:sz w:val="24"/>
                <w:szCs w:val="24"/>
                <w:lang w:val="en-US"/>
              </w:rPr>
              <w:t>Ambler</w:t>
            </w:r>
            <w:r w:rsidR="00A4236D" w:rsidRPr="00B55BB2">
              <w:rPr>
                <w:rFonts w:ascii="Arial Narrow" w:hAnsi="Arial Narrow" w:cs="Arial"/>
                <w:i/>
                <w:color w:val="000000" w:themeColor="text1"/>
                <w:sz w:val="24"/>
                <w:szCs w:val="24"/>
                <w:lang w:val="en-US"/>
              </w:rPr>
              <w:t>’</w:t>
            </w:r>
            <w:r w:rsidR="00F610E3" w:rsidRPr="00B55BB2">
              <w:rPr>
                <w:rFonts w:ascii="Arial Narrow" w:hAnsi="Arial Narrow" w:cs="Arial"/>
                <w:i/>
                <w:color w:val="000000" w:themeColor="text1"/>
                <w:sz w:val="24"/>
                <w:szCs w:val="24"/>
                <w:lang w:val="en-US"/>
              </w:rPr>
              <w:t>s Precedent of P</w:t>
            </w:r>
            <w:r w:rsidR="00A4236D" w:rsidRPr="00B55BB2">
              <w:rPr>
                <w:rFonts w:ascii="Arial Narrow" w:hAnsi="Arial Narrow" w:cs="Arial"/>
                <w:i/>
                <w:color w:val="000000" w:themeColor="text1"/>
                <w:sz w:val="24"/>
                <w:szCs w:val="24"/>
                <w:lang w:val="en-US"/>
              </w:rPr>
              <w:t>l</w:t>
            </w:r>
            <w:r w:rsidR="00F610E3" w:rsidRPr="00B55BB2">
              <w:rPr>
                <w:rFonts w:ascii="Arial Narrow" w:hAnsi="Arial Narrow" w:cs="Arial"/>
                <w:i/>
                <w:color w:val="000000" w:themeColor="text1"/>
                <w:sz w:val="24"/>
                <w:szCs w:val="24"/>
                <w:lang w:val="en-US"/>
              </w:rPr>
              <w:t>eadings</w:t>
            </w:r>
            <w:r w:rsidR="00F610E3" w:rsidRPr="00B55BB2">
              <w:rPr>
                <w:rStyle w:val="FootnoteReference"/>
                <w:rFonts w:ascii="Arial Narrow" w:hAnsi="Arial Narrow" w:cs="Arial"/>
                <w:color w:val="000000" w:themeColor="text1"/>
                <w:sz w:val="24"/>
                <w:szCs w:val="24"/>
                <w:lang w:val="en-US"/>
              </w:rPr>
              <w:footnoteReference w:id="9"/>
            </w:r>
            <w:r w:rsidR="00F610E3" w:rsidRPr="00B55BB2">
              <w:rPr>
                <w:rFonts w:ascii="Arial Narrow" w:hAnsi="Arial Narrow" w:cs="Arial"/>
                <w:color w:val="000000" w:themeColor="text1"/>
                <w:sz w:val="24"/>
                <w:szCs w:val="24"/>
                <w:lang w:val="en-US"/>
              </w:rPr>
              <w:t xml:space="preserve"> the learned author stated in the context of State liability that:</w:t>
            </w:r>
          </w:p>
          <w:p w:rsidR="00F610E3" w:rsidRPr="00B55BB2" w:rsidRDefault="00F610E3" w:rsidP="00F610E3">
            <w:pPr>
              <w:autoSpaceDE w:val="0"/>
              <w:autoSpaceDN w:val="0"/>
              <w:adjustRightInd w:val="0"/>
              <w:rPr>
                <w:rFonts w:ascii="Arial Narrow" w:hAnsi="Arial Narrow" w:cs="Arial"/>
                <w:color w:val="000000" w:themeColor="text1"/>
                <w:sz w:val="24"/>
                <w:szCs w:val="24"/>
                <w:lang w:val="en-US"/>
              </w:rPr>
            </w:pPr>
          </w:p>
          <w:p w:rsidR="00F610E3" w:rsidRPr="00B55BB2" w:rsidRDefault="00F610E3" w:rsidP="00560D75">
            <w:pPr>
              <w:autoSpaceDE w:val="0"/>
              <w:autoSpaceDN w:val="0"/>
              <w:adjustRightInd w:val="0"/>
              <w:spacing w:line="360" w:lineRule="auto"/>
              <w:ind w:left="720"/>
              <w:jc w:val="both"/>
              <w:rPr>
                <w:rFonts w:ascii="Arial Narrow" w:hAnsi="Arial Narrow" w:cs="Verdana"/>
                <w:color w:val="000000" w:themeColor="text1"/>
              </w:rPr>
            </w:pPr>
            <w:r w:rsidRPr="00B55BB2">
              <w:rPr>
                <w:rFonts w:ascii="Arial Narrow" w:hAnsi="Arial Narrow" w:cs="Arial"/>
                <w:color w:val="000000" w:themeColor="text1"/>
                <w:lang w:val="en-US"/>
              </w:rPr>
              <w:lastRenderedPageBreak/>
              <w:t xml:space="preserve"> ‘</w:t>
            </w:r>
            <w:r w:rsidRPr="00B55BB2">
              <w:rPr>
                <w:rFonts w:ascii="Arial Narrow" w:hAnsi="Arial Narrow" w:cs="Verdana"/>
                <w:color w:val="000000" w:themeColor="text1"/>
              </w:rPr>
              <w:t>Although there is a distinction between a servant acting within the scope of her or his authority and a servant acting</w:t>
            </w:r>
          </w:p>
          <w:p w:rsidR="00A8226C" w:rsidRPr="00B55BB2" w:rsidRDefault="00F610E3" w:rsidP="00560D75">
            <w:pPr>
              <w:autoSpaceDE w:val="0"/>
              <w:autoSpaceDN w:val="0"/>
              <w:adjustRightInd w:val="0"/>
              <w:spacing w:line="360" w:lineRule="auto"/>
              <w:jc w:val="both"/>
              <w:rPr>
                <w:rFonts w:ascii="Arial Narrow" w:hAnsi="Arial Narrow" w:cs="Verdana"/>
                <w:color w:val="000000" w:themeColor="text1"/>
              </w:rPr>
            </w:pPr>
            <w:r w:rsidRPr="00B55BB2">
              <w:rPr>
                <w:rFonts w:ascii="Arial Narrow" w:hAnsi="Arial Narrow" w:cs="Verdana"/>
                <w:color w:val="000000" w:themeColor="text1"/>
              </w:rPr>
              <w:t xml:space="preserve">within the scope of her or his employment, </w:t>
            </w:r>
            <w:r w:rsidRPr="00B55BB2">
              <w:rPr>
                <w:rFonts w:ascii="Arial Narrow" w:hAnsi="Arial Narrow" w:cs="Verdana"/>
                <w:color w:val="000000" w:themeColor="text1"/>
                <w:u w:val="single"/>
              </w:rPr>
              <w:t xml:space="preserve">both phrases have come to be treated as being synonymous for the purposes of </w:t>
            </w:r>
            <w:r w:rsidR="00D87F61" w:rsidRPr="00B55BB2">
              <w:rPr>
                <w:rFonts w:ascii="Arial Narrow" w:hAnsi="Arial Narrow" w:cs="Verdana"/>
                <w:color w:val="000000" w:themeColor="text1"/>
                <w:u w:val="single"/>
              </w:rPr>
              <w:t>determining</w:t>
            </w:r>
            <w:r w:rsidRPr="00B55BB2">
              <w:rPr>
                <w:rFonts w:ascii="Arial Narrow" w:hAnsi="Arial Narrow" w:cs="Verdana"/>
                <w:color w:val="000000" w:themeColor="text1"/>
                <w:u w:val="single"/>
              </w:rPr>
              <w:t xml:space="preserve"> the liability</w:t>
            </w:r>
            <w:r w:rsidRPr="00B55BB2">
              <w:rPr>
                <w:rFonts w:ascii="Arial Narrow" w:hAnsi="Arial Narrow" w:cs="Verdana"/>
                <w:color w:val="000000" w:themeColor="text1"/>
              </w:rPr>
              <w:t xml:space="preserve"> of the State. (my underlining)</w:t>
            </w:r>
          </w:p>
          <w:p w:rsidR="00F610E3" w:rsidRPr="00B55BB2" w:rsidRDefault="00F610E3" w:rsidP="00F610E3">
            <w:pPr>
              <w:autoSpaceDE w:val="0"/>
              <w:autoSpaceDN w:val="0"/>
              <w:adjustRightInd w:val="0"/>
              <w:spacing w:line="360" w:lineRule="auto"/>
              <w:rPr>
                <w:rFonts w:ascii="Arial Narrow" w:hAnsi="Arial Narrow" w:cs="Verdana"/>
                <w:color w:val="000000" w:themeColor="text1"/>
              </w:rPr>
            </w:pPr>
          </w:p>
          <w:p w:rsidR="00F610E3" w:rsidRPr="00B55BB2" w:rsidRDefault="00F610E3" w:rsidP="00F610E3">
            <w:pPr>
              <w:autoSpaceDE w:val="0"/>
              <w:autoSpaceDN w:val="0"/>
              <w:adjustRightInd w:val="0"/>
              <w:spacing w:line="360" w:lineRule="auto"/>
              <w:rPr>
                <w:rFonts w:ascii="Arial Narrow" w:hAnsi="Arial Narrow" w:cs="Verdana"/>
                <w:color w:val="000000" w:themeColor="text1"/>
              </w:rPr>
            </w:pPr>
            <w:r w:rsidRPr="00B55BB2">
              <w:rPr>
                <w:rFonts w:ascii="Arial Narrow" w:hAnsi="Arial Narrow" w:cs="Verdana"/>
                <w:color w:val="000000" w:themeColor="text1"/>
              </w:rPr>
              <w:t xml:space="preserve">[28]         I cannot see how the proposition in Amblers that acting within scope of an employee’s authority and within course and scope of his or her duty would not apply to the defendant’s employee as well. </w:t>
            </w:r>
          </w:p>
          <w:p w:rsidR="00F610E3" w:rsidRPr="00B55BB2" w:rsidRDefault="00F610E3" w:rsidP="00F610E3">
            <w:pPr>
              <w:autoSpaceDE w:val="0"/>
              <w:autoSpaceDN w:val="0"/>
              <w:adjustRightInd w:val="0"/>
              <w:spacing w:line="360" w:lineRule="auto"/>
              <w:rPr>
                <w:rFonts w:ascii="Arial Narrow" w:hAnsi="Arial Narrow" w:cs="Verdana"/>
                <w:color w:val="000000" w:themeColor="text1"/>
              </w:rPr>
            </w:pPr>
          </w:p>
          <w:p w:rsidR="00F610E3" w:rsidRPr="00B55BB2" w:rsidRDefault="00F610E3" w:rsidP="00560D75">
            <w:pPr>
              <w:autoSpaceDE w:val="0"/>
              <w:autoSpaceDN w:val="0"/>
              <w:adjustRightInd w:val="0"/>
              <w:spacing w:line="360" w:lineRule="auto"/>
              <w:jc w:val="both"/>
              <w:rPr>
                <w:rFonts w:ascii="Arial Narrow" w:hAnsi="Arial Narrow" w:cs="Arial"/>
                <w:color w:val="000000" w:themeColor="text1"/>
                <w:sz w:val="24"/>
                <w:szCs w:val="24"/>
              </w:rPr>
            </w:pPr>
            <w:r w:rsidRPr="00B55BB2">
              <w:rPr>
                <w:rFonts w:ascii="Arial Narrow" w:hAnsi="Arial Narrow" w:cs="Verdana"/>
                <w:color w:val="000000" w:themeColor="text1"/>
              </w:rPr>
              <w:t>[29]         Having carefully considered the opposition to the proposed amendments</w:t>
            </w:r>
            <w:r w:rsidR="004900BD" w:rsidRPr="00B55BB2">
              <w:rPr>
                <w:rFonts w:ascii="Arial Narrow" w:hAnsi="Arial Narrow" w:cs="Verdana"/>
                <w:color w:val="000000" w:themeColor="text1"/>
              </w:rPr>
              <w:t xml:space="preserve"> and in light of the concession made by the plaintiff’s legal practitioner in respect of the enrichment claim, </w:t>
            </w:r>
            <w:r w:rsidRPr="00B55BB2">
              <w:rPr>
                <w:rFonts w:ascii="Arial Narrow" w:hAnsi="Arial Narrow" w:cs="Verdana"/>
                <w:color w:val="000000" w:themeColor="text1"/>
              </w:rPr>
              <w:t xml:space="preserve">I am not convinced that the proposed amendments would render the particulars of claim excipiable and as a </w:t>
            </w:r>
            <w:r w:rsidRPr="00B55BB2">
              <w:rPr>
                <w:rFonts w:ascii="Arial Narrow" w:hAnsi="Arial Narrow" w:cs="Verdana"/>
                <w:color w:val="000000" w:themeColor="text1"/>
                <w:sz w:val="24"/>
                <w:szCs w:val="24"/>
              </w:rPr>
              <w:t xml:space="preserve">result </w:t>
            </w:r>
            <w:r w:rsidR="00D87F61" w:rsidRPr="00B55BB2">
              <w:rPr>
                <w:rFonts w:ascii="Arial Narrow" w:hAnsi="Arial Narrow" w:cs="Arial"/>
                <w:color w:val="000000" w:themeColor="text1"/>
                <w:sz w:val="24"/>
                <w:szCs w:val="24"/>
              </w:rPr>
              <w:t xml:space="preserve">I am of the view that the proposed amendment raises a triable issue and the amendment should be granted. </w:t>
            </w:r>
          </w:p>
          <w:p w:rsidR="00D87F61" w:rsidRPr="00B55BB2" w:rsidRDefault="00D87F61" w:rsidP="00F610E3">
            <w:pPr>
              <w:autoSpaceDE w:val="0"/>
              <w:autoSpaceDN w:val="0"/>
              <w:adjustRightInd w:val="0"/>
              <w:spacing w:line="360" w:lineRule="auto"/>
              <w:rPr>
                <w:rFonts w:ascii="Arial Narrow" w:hAnsi="Arial Narrow"/>
                <w:color w:val="000000" w:themeColor="text1"/>
                <w:sz w:val="24"/>
                <w:szCs w:val="24"/>
                <w:u w:val="single"/>
              </w:rPr>
            </w:pPr>
          </w:p>
          <w:p w:rsidR="00A8226C" w:rsidRPr="00B55BB2" w:rsidRDefault="00A8226C" w:rsidP="00A8226C">
            <w:pPr>
              <w:spacing w:line="360" w:lineRule="auto"/>
              <w:rPr>
                <w:rFonts w:ascii="Arial Narrow" w:hAnsi="Arial Narrow" w:cs="Arial"/>
                <w:color w:val="000000" w:themeColor="text1"/>
                <w:sz w:val="24"/>
                <w:szCs w:val="24"/>
                <w:u w:val="single"/>
              </w:rPr>
            </w:pPr>
            <w:r w:rsidRPr="00B55BB2">
              <w:rPr>
                <w:rFonts w:ascii="Arial Narrow" w:hAnsi="Arial Narrow" w:cs="Arial"/>
                <w:color w:val="000000" w:themeColor="text1"/>
                <w:sz w:val="24"/>
                <w:szCs w:val="24"/>
                <w:u w:val="single"/>
              </w:rPr>
              <w:t>Cost</w:t>
            </w:r>
          </w:p>
          <w:p w:rsidR="00B44CA5" w:rsidRPr="00B55BB2" w:rsidRDefault="00B44CA5" w:rsidP="00B44CA5">
            <w:pPr>
              <w:spacing w:line="360" w:lineRule="auto"/>
              <w:jc w:val="both"/>
              <w:rPr>
                <w:rFonts w:ascii="Arial Narrow" w:hAnsi="Arial Narrow" w:cs="Arial"/>
                <w:color w:val="000000" w:themeColor="text1"/>
                <w:sz w:val="24"/>
                <w:szCs w:val="24"/>
                <w:lang w:val="en-US"/>
              </w:rPr>
            </w:pPr>
          </w:p>
          <w:p w:rsidR="008E76BC" w:rsidRPr="00B55BB2" w:rsidRDefault="00B44CA5" w:rsidP="00B44CA5">
            <w:pPr>
              <w:spacing w:line="360" w:lineRule="auto"/>
              <w:jc w:val="both"/>
              <w:rPr>
                <w:rFonts w:ascii="Arial Narrow" w:hAnsi="Arial Narrow" w:cs="Arial"/>
                <w:color w:val="000000" w:themeColor="text1"/>
                <w:sz w:val="24"/>
                <w:szCs w:val="24"/>
              </w:rPr>
            </w:pPr>
            <w:r w:rsidRPr="00B55BB2">
              <w:rPr>
                <w:rFonts w:ascii="Arial Narrow" w:hAnsi="Arial Narrow" w:cs="Arial"/>
                <w:color w:val="000000" w:themeColor="text1"/>
                <w:sz w:val="24"/>
                <w:szCs w:val="24"/>
                <w:lang w:val="en-US"/>
              </w:rPr>
              <w:t>[</w:t>
            </w:r>
            <w:r w:rsidR="00D87F61" w:rsidRPr="00B55BB2">
              <w:rPr>
                <w:rFonts w:ascii="Arial Narrow" w:hAnsi="Arial Narrow" w:cs="Arial"/>
                <w:color w:val="000000" w:themeColor="text1"/>
                <w:sz w:val="24"/>
                <w:szCs w:val="24"/>
                <w:lang w:val="en-US"/>
              </w:rPr>
              <w:t>30</w:t>
            </w:r>
            <w:r w:rsidRPr="00B55BB2">
              <w:rPr>
                <w:rFonts w:ascii="Arial Narrow" w:hAnsi="Arial Narrow" w:cs="Arial"/>
                <w:color w:val="000000" w:themeColor="text1"/>
                <w:sz w:val="24"/>
                <w:szCs w:val="24"/>
                <w:lang w:val="en-US"/>
              </w:rPr>
              <w:t>]</w:t>
            </w:r>
            <w:r w:rsidR="00A8226C" w:rsidRPr="00B55BB2">
              <w:rPr>
                <w:rFonts w:ascii="Arial Narrow" w:hAnsi="Arial Narrow" w:cs="Arial"/>
                <w:color w:val="000000" w:themeColor="text1"/>
                <w:sz w:val="24"/>
                <w:szCs w:val="24"/>
                <w:lang w:val="en-US"/>
              </w:rPr>
              <w:t xml:space="preserve">           </w:t>
            </w:r>
            <w:r w:rsidR="00D87F61" w:rsidRPr="00B55BB2">
              <w:rPr>
                <w:rFonts w:ascii="Arial Narrow" w:hAnsi="Arial Narrow" w:cs="Arial"/>
                <w:color w:val="000000" w:themeColor="text1"/>
                <w:sz w:val="24"/>
                <w:szCs w:val="24"/>
              </w:rPr>
              <w:t>The plaintiff is an elderly person and is represented on the instructions of the Directorate of Legal Aid. Counsel for the defendant strongly argue</w:t>
            </w:r>
            <w:r w:rsidR="00373AFE" w:rsidRPr="00B55BB2">
              <w:rPr>
                <w:rFonts w:ascii="Arial Narrow" w:hAnsi="Arial Narrow" w:cs="Arial"/>
                <w:color w:val="000000" w:themeColor="text1"/>
                <w:sz w:val="24"/>
                <w:szCs w:val="24"/>
              </w:rPr>
              <w:t>d</w:t>
            </w:r>
            <w:r w:rsidR="00D87F61" w:rsidRPr="00B55BB2">
              <w:rPr>
                <w:rFonts w:ascii="Arial Narrow" w:hAnsi="Arial Narrow" w:cs="Arial"/>
                <w:color w:val="000000" w:themeColor="text1"/>
                <w:sz w:val="24"/>
                <w:szCs w:val="24"/>
              </w:rPr>
              <w:t xml:space="preserve"> for a cost order as a result of the plaintiff’s continuous</w:t>
            </w:r>
            <w:r w:rsidR="00A8226C" w:rsidRPr="00B55BB2">
              <w:rPr>
                <w:rFonts w:ascii="Arial Narrow" w:hAnsi="Arial Narrow" w:cs="Arial"/>
                <w:color w:val="000000" w:themeColor="text1"/>
                <w:sz w:val="24"/>
                <w:szCs w:val="24"/>
              </w:rPr>
              <w:t xml:space="preserve"> </w:t>
            </w:r>
            <w:r w:rsidR="00D87F61" w:rsidRPr="00B55BB2">
              <w:rPr>
                <w:rFonts w:ascii="Arial Narrow" w:hAnsi="Arial Narrow" w:cs="Arial"/>
                <w:color w:val="000000" w:themeColor="text1"/>
                <w:sz w:val="24"/>
                <w:szCs w:val="24"/>
              </w:rPr>
              <w:t xml:space="preserve">attempt to </w:t>
            </w:r>
            <w:r w:rsidR="004900BD" w:rsidRPr="00B55BB2">
              <w:rPr>
                <w:rFonts w:ascii="Arial Narrow" w:hAnsi="Arial Narrow" w:cs="Arial"/>
                <w:color w:val="000000" w:themeColor="text1"/>
                <w:sz w:val="24"/>
                <w:szCs w:val="24"/>
              </w:rPr>
              <w:t xml:space="preserve">amend her particulars of claim and disregarding the advice of competent and </w:t>
            </w:r>
            <w:r w:rsidR="00F206A3" w:rsidRPr="00B55BB2">
              <w:rPr>
                <w:rFonts w:ascii="Arial Narrow" w:hAnsi="Arial Narrow" w:cs="Arial"/>
                <w:color w:val="000000" w:themeColor="text1"/>
                <w:sz w:val="24"/>
                <w:szCs w:val="24"/>
              </w:rPr>
              <w:t xml:space="preserve">experiences legal practitioners. </w:t>
            </w:r>
            <w:r w:rsidR="00102C88" w:rsidRPr="00B55BB2">
              <w:rPr>
                <w:rFonts w:ascii="Arial Narrow" w:hAnsi="Arial Narrow" w:cs="Arial"/>
                <w:color w:val="000000" w:themeColor="text1"/>
                <w:sz w:val="24"/>
                <w:szCs w:val="24"/>
              </w:rPr>
              <w:t>T</w:t>
            </w:r>
            <w:r w:rsidR="00F206A3" w:rsidRPr="00B55BB2">
              <w:rPr>
                <w:rFonts w:ascii="Arial Narrow" w:hAnsi="Arial Narrow" w:cs="Arial"/>
                <w:color w:val="000000" w:themeColor="text1"/>
                <w:sz w:val="24"/>
                <w:szCs w:val="24"/>
              </w:rPr>
              <w:t xml:space="preserve">he plaintiff provided the court with a comprehensive explanation for the delay, </w:t>
            </w:r>
            <w:r w:rsidR="008E76BC" w:rsidRPr="00B55BB2">
              <w:rPr>
                <w:rFonts w:ascii="Arial Narrow" w:hAnsi="Arial Narrow" w:cs="Arial"/>
                <w:color w:val="000000" w:themeColor="text1"/>
                <w:sz w:val="24"/>
                <w:szCs w:val="24"/>
              </w:rPr>
              <w:t>and I am of the view that the plaintiff’s explanation is satisfactory under the circumstances.</w:t>
            </w:r>
            <w:r w:rsidR="00A4236D" w:rsidRPr="00B55BB2">
              <w:rPr>
                <w:rFonts w:ascii="Arial Narrow" w:hAnsi="Arial Narrow" w:cs="Arial"/>
                <w:color w:val="000000" w:themeColor="text1"/>
                <w:sz w:val="24"/>
                <w:szCs w:val="24"/>
              </w:rPr>
              <w:t xml:space="preserve"> What I shoul</w:t>
            </w:r>
            <w:r w:rsidR="00373AFE" w:rsidRPr="00B55BB2">
              <w:rPr>
                <w:rFonts w:ascii="Arial Narrow" w:hAnsi="Arial Narrow" w:cs="Arial"/>
                <w:color w:val="000000" w:themeColor="text1"/>
                <w:sz w:val="24"/>
                <w:szCs w:val="24"/>
              </w:rPr>
              <w:t>d add though is that if one has</w:t>
            </w:r>
            <w:r w:rsidR="00A4236D" w:rsidRPr="00B55BB2">
              <w:rPr>
                <w:rFonts w:ascii="Arial Narrow" w:hAnsi="Arial Narrow" w:cs="Arial"/>
                <w:color w:val="000000" w:themeColor="text1"/>
                <w:sz w:val="24"/>
                <w:szCs w:val="24"/>
              </w:rPr>
              <w:t xml:space="preserve"> regard to the chronology of this matter the delays on the part of the plaintiff borders on an abuse of</w:t>
            </w:r>
            <w:r w:rsidR="00373AFE" w:rsidRPr="00B55BB2">
              <w:rPr>
                <w:rFonts w:ascii="Arial Narrow" w:hAnsi="Arial Narrow" w:cs="Arial"/>
                <w:color w:val="000000" w:themeColor="text1"/>
                <w:sz w:val="24"/>
                <w:szCs w:val="24"/>
              </w:rPr>
              <w:t xml:space="preserve"> the</w:t>
            </w:r>
            <w:r w:rsidR="00A4236D" w:rsidRPr="00B55BB2">
              <w:rPr>
                <w:rFonts w:ascii="Arial Narrow" w:hAnsi="Arial Narrow" w:cs="Arial"/>
                <w:color w:val="000000" w:themeColor="text1"/>
                <w:sz w:val="24"/>
                <w:szCs w:val="24"/>
              </w:rPr>
              <w:t xml:space="preserve"> court process.</w:t>
            </w:r>
          </w:p>
          <w:p w:rsidR="008E76BC" w:rsidRPr="00B55BB2" w:rsidRDefault="008E76BC" w:rsidP="00B44CA5">
            <w:pPr>
              <w:spacing w:line="360" w:lineRule="auto"/>
              <w:jc w:val="both"/>
              <w:rPr>
                <w:rFonts w:ascii="Arial Narrow" w:hAnsi="Arial Narrow" w:cs="Arial"/>
                <w:color w:val="000000" w:themeColor="text1"/>
                <w:sz w:val="24"/>
                <w:szCs w:val="24"/>
              </w:rPr>
            </w:pPr>
          </w:p>
          <w:p w:rsidR="00B44CA5" w:rsidRPr="00B55BB2" w:rsidRDefault="008E76BC" w:rsidP="00B44CA5">
            <w:pPr>
              <w:spacing w:line="360" w:lineRule="auto"/>
              <w:jc w:val="both"/>
              <w:rPr>
                <w:rFonts w:ascii="Arial Narrow" w:hAnsi="Arial Narrow" w:cs="Arial"/>
                <w:color w:val="000000" w:themeColor="text1"/>
                <w:sz w:val="24"/>
                <w:szCs w:val="24"/>
              </w:rPr>
            </w:pPr>
            <w:r w:rsidRPr="00B55BB2">
              <w:rPr>
                <w:rFonts w:ascii="Arial Narrow" w:hAnsi="Arial Narrow" w:cs="Arial"/>
                <w:color w:val="000000" w:themeColor="text1"/>
                <w:sz w:val="24"/>
                <w:szCs w:val="24"/>
              </w:rPr>
              <w:t>[31]             W</w:t>
            </w:r>
            <w:r w:rsidR="00F206A3" w:rsidRPr="00B55BB2">
              <w:rPr>
                <w:rFonts w:ascii="Arial Narrow" w:hAnsi="Arial Narrow" w:cs="Arial"/>
                <w:color w:val="000000" w:themeColor="text1"/>
                <w:sz w:val="24"/>
                <w:szCs w:val="24"/>
              </w:rPr>
              <w:t xml:space="preserve">hat should be understood is any further attempts to amend her particulars of claim will become more and more difficult and her attention is pertinently drawn to the discussion of the court in </w:t>
            </w:r>
            <w:r w:rsidR="00F206A3" w:rsidRPr="00B55BB2">
              <w:rPr>
                <w:rFonts w:ascii="Arial Narrow" w:hAnsi="Arial Narrow" w:cs="Arial"/>
                <w:i/>
                <w:color w:val="000000" w:themeColor="text1"/>
                <w:sz w:val="24"/>
                <w:szCs w:val="24"/>
              </w:rPr>
              <w:t>Windhoek Municipal Council v Pioneerspark Dam Investment CC</w:t>
            </w:r>
            <w:r w:rsidR="00F206A3" w:rsidRPr="00B55BB2">
              <w:rPr>
                <w:rStyle w:val="FootnoteReference"/>
                <w:rFonts w:ascii="Arial Narrow" w:hAnsi="Arial Narrow" w:cs="Arial"/>
                <w:color w:val="000000" w:themeColor="text1"/>
                <w:sz w:val="24"/>
                <w:szCs w:val="24"/>
              </w:rPr>
              <w:footnoteReference w:id="10"/>
            </w:r>
            <w:r w:rsidR="00F206A3" w:rsidRPr="00B55BB2">
              <w:rPr>
                <w:rFonts w:ascii="Arial Narrow" w:hAnsi="Arial Narrow" w:cs="Arial"/>
                <w:color w:val="000000" w:themeColor="text1"/>
                <w:sz w:val="24"/>
                <w:szCs w:val="24"/>
              </w:rPr>
              <w:t xml:space="preserve"> </w:t>
            </w:r>
            <w:r w:rsidR="00102C88" w:rsidRPr="00B55BB2">
              <w:rPr>
                <w:rFonts w:ascii="Arial Narrow" w:hAnsi="Arial Narrow" w:cs="Arial"/>
                <w:color w:val="000000" w:themeColor="text1"/>
                <w:sz w:val="24"/>
                <w:szCs w:val="24"/>
              </w:rPr>
              <w:t xml:space="preserve">wherein the court held the view that in addition to the guiding principles enumerated by the court in </w:t>
            </w:r>
            <w:r w:rsidR="00102C88" w:rsidRPr="00B55BB2">
              <w:rPr>
                <w:rFonts w:ascii="Arial Narrow" w:hAnsi="Arial Narrow" w:cs="Arial"/>
                <w:i/>
                <w:color w:val="000000" w:themeColor="text1"/>
                <w:sz w:val="24"/>
                <w:szCs w:val="24"/>
              </w:rPr>
              <w:t>IA Bell</w:t>
            </w:r>
            <w:r w:rsidR="00102C88" w:rsidRPr="00B55BB2">
              <w:rPr>
                <w:rStyle w:val="FootnoteReference"/>
                <w:rFonts w:ascii="Arial Narrow" w:hAnsi="Arial Narrow" w:cs="Arial"/>
                <w:color w:val="000000" w:themeColor="text1"/>
                <w:sz w:val="24"/>
                <w:szCs w:val="24"/>
              </w:rPr>
              <w:footnoteReference w:id="11"/>
            </w:r>
            <w:r w:rsidR="00102C88" w:rsidRPr="00B55BB2">
              <w:rPr>
                <w:rFonts w:ascii="Arial Narrow" w:hAnsi="Arial Narrow" w:cs="Arial"/>
                <w:color w:val="000000" w:themeColor="text1"/>
                <w:sz w:val="24"/>
                <w:szCs w:val="24"/>
              </w:rPr>
              <w:t xml:space="preserve"> the applicant in an amendment application </w:t>
            </w:r>
            <w:r w:rsidR="00102C88" w:rsidRPr="00B55BB2">
              <w:rPr>
                <w:rFonts w:ascii="Arial Narrow" w:hAnsi="Arial Narrow" w:cs="Arial"/>
                <w:color w:val="000000" w:themeColor="text1"/>
                <w:sz w:val="24"/>
                <w:szCs w:val="24"/>
                <w:u w:val="single"/>
              </w:rPr>
              <w:t xml:space="preserve">must establish that it did </w:t>
            </w:r>
            <w:r w:rsidR="00560D75" w:rsidRPr="00B55BB2">
              <w:rPr>
                <w:rFonts w:ascii="Arial Narrow" w:hAnsi="Arial Narrow" w:cs="Arial"/>
                <w:color w:val="000000" w:themeColor="text1"/>
                <w:sz w:val="24"/>
                <w:szCs w:val="24"/>
                <w:u w:val="single"/>
              </w:rPr>
              <w:t>n</w:t>
            </w:r>
            <w:r w:rsidR="00102C88" w:rsidRPr="00B55BB2">
              <w:rPr>
                <w:rFonts w:ascii="Arial Narrow" w:hAnsi="Arial Narrow" w:cs="Arial"/>
                <w:color w:val="000000" w:themeColor="text1"/>
                <w:sz w:val="24"/>
                <w:szCs w:val="24"/>
                <w:u w:val="single"/>
              </w:rPr>
              <w:t>ot unduly</w:t>
            </w:r>
            <w:r w:rsidR="00373AFE" w:rsidRPr="00B55BB2">
              <w:rPr>
                <w:rFonts w:ascii="Arial Narrow" w:hAnsi="Arial Narrow" w:cs="Arial"/>
                <w:color w:val="000000" w:themeColor="text1"/>
                <w:sz w:val="24"/>
                <w:szCs w:val="24"/>
                <w:u w:val="single"/>
              </w:rPr>
              <w:t xml:space="preserve"> file</w:t>
            </w:r>
            <w:r w:rsidR="00102C88" w:rsidRPr="00B55BB2">
              <w:rPr>
                <w:rFonts w:ascii="Arial Narrow" w:hAnsi="Arial Narrow" w:cs="Arial"/>
                <w:color w:val="000000" w:themeColor="text1"/>
                <w:sz w:val="24"/>
                <w:szCs w:val="24"/>
                <w:u w:val="single"/>
              </w:rPr>
              <w:t xml:space="preserve"> its notice to amend</w:t>
            </w:r>
            <w:r w:rsidR="00102C88" w:rsidRPr="00B55BB2">
              <w:rPr>
                <w:rFonts w:ascii="Arial Narrow" w:hAnsi="Arial Narrow" w:cs="Arial"/>
                <w:color w:val="000000" w:themeColor="text1"/>
                <w:sz w:val="24"/>
                <w:szCs w:val="24"/>
              </w:rPr>
              <w:t>.</w:t>
            </w:r>
          </w:p>
          <w:p w:rsidR="00102C88" w:rsidRPr="00B55BB2" w:rsidRDefault="00102C88" w:rsidP="00B44CA5">
            <w:pPr>
              <w:spacing w:line="360" w:lineRule="auto"/>
              <w:jc w:val="both"/>
              <w:rPr>
                <w:rFonts w:ascii="Arial Narrow" w:hAnsi="Arial Narrow" w:cs="Arial"/>
                <w:color w:val="000000" w:themeColor="text1"/>
                <w:sz w:val="24"/>
                <w:szCs w:val="24"/>
              </w:rPr>
            </w:pPr>
          </w:p>
          <w:p w:rsidR="00102C88" w:rsidRPr="00B55BB2" w:rsidRDefault="00102C88" w:rsidP="00B44CA5">
            <w:pPr>
              <w:spacing w:line="360" w:lineRule="auto"/>
              <w:jc w:val="both"/>
              <w:rPr>
                <w:rFonts w:ascii="Arial Narrow" w:hAnsi="Arial Narrow" w:cs="Arial"/>
                <w:color w:val="000000" w:themeColor="text1"/>
                <w:sz w:val="24"/>
                <w:szCs w:val="24"/>
                <w:lang w:val="en-US"/>
              </w:rPr>
            </w:pPr>
            <w:r w:rsidRPr="00B55BB2">
              <w:rPr>
                <w:rFonts w:ascii="Arial Narrow" w:hAnsi="Arial Narrow" w:cs="Arial"/>
                <w:color w:val="000000" w:themeColor="text1"/>
                <w:sz w:val="24"/>
                <w:szCs w:val="24"/>
              </w:rPr>
              <w:t>[3</w:t>
            </w:r>
            <w:r w:rsidR="008E76BC" w:rsidRPr="00B55BB2">
              <w:rPr>
                <w:rFonts w:ascii="Arial Narrow" w:hAnsi="Arial Narrow" w:cs="Arial"/>
                <w:color w:val="000000" w:themeColor="text1"/>
                <w:sz w:val="24"/>
                <w:szCs w:val="24"/>
              </w:rPr>
              <w:t>2</w:t>
            </w:r>
            <w:r w:rsidRPr="00B55BB2">
              <w:rPr>
                <w:rFonts w:ascii="Arial Narrow" w:hAnsi="Arial Narrow" w:cs="Arial"/>
                <w:color w:val="000000" w:themeColor="text1"/>
                <w:sz w:val="24"/>
                <w:szCs w:val="24"/>
              </w:rPr>
              <w:t xml:space="preserve">]           </w:t>
            </w:r>
            <w:r w:rsidR="008E76BC" w:rsidRPr="00B55BB2">
              <w:rPr>
                <w:rFonts w:ascii="Arial Narrow" w:hAnsi="Arial Narrow" w:cs="Arial"/>
                <w:color w:val="000000" w:themeColor="text1"/>
                <w:sz w:val="24"/>
                <w:szCs w:val="24"/>
              </w:rPr>
              <w:t xml:space="preserve">Given the fact that the </w:t>
            </w:r>
            <w:r w:rsidRPr="00B55BB2">
              <w:rPr>
                <w:rFonts w:ascii="Arial Narrow" w:hAnsi="Arial Narrow" w:cs="Arial"/>
                <w:color w:val="000000" w:themeColor="text1"/>
                <w:sz w:val="24"/>
                <w:szCs w:val="24"/>
              </w:rPr>
              <w:t xml:space="preserve">plaintiff is represented on the </w:t>
            </w:r>
            <w:r w:rsidR="008E76BC" w:rsidRPr="00B55BB2">
              <w:rPr>
                <w:rFonts w:ascii="Arial Narrow" w:hAnsi="Arial Narrow" w:cs="Arial"/>
                <w:color w:val="000000" w:themeColor="text1"/>
                <w:sz w:val="24"/>
                <w:szCs w:val="24"/>
              </w:rPr>
              <w:t xml:space="preserve">instructions of the </w:t>
            </w:r>
            <w:r w:rsidRPr="00B55BB2">
              <w:rPr>
                <w:rFonts w:ascii="Arial Narrow" w:hAnsi="Arial Narrow" w:cs="Arial"/>
                <w:color w:val="000000" w:themeColor="text1"/>
                <w:sz w:val="24"/>
                <w:szCs w:val="24"/>
              </w:rPr>
              <w:t>Director</w:t>
            </w:r>
            <w:r w:rsidR="008E76BC" w:rsidRPr="00B55BB2">
              <w:rPr>
                <w:rFonts w:ascii="Arial Narrow" w:hAnsi="Arial Narrow" w:cs="Arial"/>
                <w:color w:val="000000" w:themeColor="text1"/>
                <w:sz w:val="24"/>
                <w:szCs w:val="24"/>
              </w:rPr>
              <w:t xml:space="preserve"> of Legal Aid I will not make a cost order against the plaintiff.</w:t>
            </w:r>
          </w:p>
          <w:p w:rsidR="00A8226C" w:rsidRPr="00B55BB2" w:rsidRDefault="00A8226C" w:rsidP="00A8226C">
            <w:pPr>
              <w:jc w:val="both"/>
              <w:rPr>
                <w:rFonts w:ascii="Arial Narrow" w:hAnsi="Arial Narrow" w:cs="Arial"/>
                <w:color w:val="000000" w:themeColor="text1"/>
                <w:sz w:val="24"/>
                <w:szCs w:val="24"/>
                <w:lang w:val="en-US"/>
              </w:rPr>
            </w:pPr>
          </w:p>
          <w:p w:rsidR="00A8226C" w:rsidRPr="00B55BB2" w:rsidRDefault="00102C88" w:rsidP="00A8226C">
            <w:pPr>
              <w:spacing w:line="360" w:lineRule="auto"/>
              <w:rPr>
                <w:rFonts w:ascii="Arial Narrow" w:hAnsi="Arial Narrow" w:cs="Arial"/>
                <w:color w:val="000000" w:themeColor="text1"/>
                <w:sz w:val="24"/>
                <w:szCs w:val="24"/>
              </w:rPr>
            </w:pPr>
            <w:r w:rsidRPr="00B55BB2">
              <w:rPr>
                <w:rFonts w:ascii="Arial Narrow" w:hAnsi="Arial Narrow" w:cs="Arial"/>
                <w:color w:val="000000" w:themeColor="text1"/>
                <w:sz w:val="24"/>
                <w:szCs w:val="24"/>
              </w:rPr>
              <w:t xml:space="preserve"> </w:t>
            </w:r>
            <w:r w:rsidR="00A8226C" w:rsidRPr="00B55BB2">
              <w:rPr>
                <w:rFonts w:ascii="Arial Narrow" w:hAnsi="Arial Narrow" w:cs="Arial"/>
                <w:color w:val="000000" w:themeColor="text1"/>
                <w:sz w:val="24"/>
                <w:szCs w:val="24"/>
              </w:rPr>
              <w:t>[3</w:t>
            </w:r>
            <w:r w:rsidR="008E76BC" w:rsidRPr="00B55BB2">
              <w:rPr>
                <w:rFonts w:ascii="Arial Narrow" w:hAnsi="Arial Narrow" w:cs="Arial"/>
                <w:color w:val="000000" w:themeColor="text1"/>
                <w:sz w:val="24"/>
                <w:szCs w:val="24"/>
              </w:rPr>
              <w:t>3</w:t>
            </w:r>
            <w:r w:rsidR="00A8226C" w:rsidRPr="00B55BB2">
              <w:rPr>
                <w:rFonts w:ascii="Arial Narrow" w:hAnsi="Arial Narrow" w:cs="Arial"/>
                <w:color w:val="000000" w:themeColor="text1"/>
                <w:sz w:val="24"/>
                <w:szCs w:val="24"/>
              </w:rPr>
              <w:t xml:space="preserve">]       </w:t>
            </w:r>
            <w:r w:rsidR="000962A5" w:rsidRPr="00B55BB2">
              <w:rPr>
                <w:rFonts w:ascii="Arial Narrow" w:hAnsi="Arial Narrow" w:cs="Arial"/>
                <w:color w:val="000000" w:themeColor="text1"/>
                <w:sz w:val="24"/>
                <w:szCs w:val="24"/>
              </w:rPr>
              <w:t xml:space="preserve">My order is as set out above.                 </w:t>
            </w:r>
          </w:p>
          <w:p w:rsidR="00B44CA5" w:rsidRPr="00B55BB2" w:rsidRDefault="00B44CA5" w:rsidP="00B44CA5">
            <w:pPr>
              <w:spacing w:line="360" w:lineRule="auto"/>
              <w:jc w:val="both"/>
              <w:rPr>
                <w:rFonts w:ascii="Arial Narrow" w:hAnsi="Arial Narrow" w:cs="Arial"/>
                <w:color w:val="000000" w:themeColor="text1"/>
                <w:sz w:val="24"/>
                <w:szCs w:val="24"/>
                <w:lang w:val="en-US"/>
              </w:rPr>
            </w:pPr>
          </w:p>
          <w:p w:rsidR="00B44CA5" w:rsidRPr="00B55BB2" w:rsidRDefault="00B44CA5" w:rsidP="00B44CA5">
            <w:pPr>
              <w:spacing w:line="360" w:lineRule="auto"/>
              <w:jc w:val="both"/>
              <w:rPr>
                <w:rFonts w:ascii="Arial Narrow" w:hAnsi="Arial Narrow" w:cs="Arial"/>
                <w:color w:val="000000" w:themeColor="text1"/>
                <w:sz w:val="24"/>
                <w:szCs w:val="24"/>
                <w:lang w:val="en-US"/>
              </w:rPr>
            </w:pPr>
          </w:p>
          <w:p w:rsidR="00552602" w:rsidRPr="00B55BB2" w:rsidRDefault="00552602" w:rsidP="006A34BF">
            <w:pPr>
              <w:spacing w:line="360" w:lineRule="auto"/>
              <w:jc w:val="both"/>
              <w:rPr>
                <w:rFonts w:ascii="Arial Narrow" w:hAnsi="Arial Narrow" w:cs="Arial"/>
                <w:color w:val="000000" w:themeColor="text1"/>
                <w:sz w:val="24"/>
                <w:szCs w:val="24"/>
              </w:rPr>
            </w:pPr>
          </w:p>
        </w:tc>
      </w:tr>
      <w:tr w:rsidR="00B55BB2" w:rsidRPr="00B55BB2" w:rsidTr="00A527A8">
        <w:tc>
          <w:tcPr>
            <w:tcW w:w="5029" w:type="dxa"/>
          </w:tcPr>
          <w:p w:rsidR="00552602" w:rsidRPr="00B55BB2" w:rsidRDefault="00102C88" w:rsidP="001334B7">
            <w:pPr>
              <w:spacing w:line="360" w:lineRule="auto"/>
              <w:jc w:val="center"/>
              <w:rPr>
                <w:rFonts w:ascii="Arial Narrow" w:hAnsi="Arial Narrow" w:cs="Arial"/>
                <w:b/>
                <w:color w:val="000000" w:themeColor="text1"/>
                <w:sz w:val="24"/>
                <w:szCs w:val="24"/>
              </w:rPr>
            </w:pPr>
            <w:r w:rsidRPr="00B55BB2">
              <w:rPr>
                <w:rFonts w:ascii="Arial Narrow" w:hAnsi="Arial Narrow" w:cs="Arial"/>
                <w:b/>
                <w:color w:val="000000" w:themeColor="text1"/>
                <w:sz w:val="24"/>
                <w:szCs w:val="24"/>
              </w:rPr>
              <w:lastRenderedPageBreak/>
              <w:t>Judge’s signature</w:t>
            </w:r>
          </w:p>
        </w:tc>
        <w:tc>
          <w:tcPr>
            <w:tcW w:w="5886" w:type="dxa"/>
            <w:gridSpan w:val="2"/>
          </w:tcPr>
          <w:p w:rsidR="00552602" w:rsidRPr="00B55BB2" w:rsidRDefault="00552602" w:rsidP="001334B7">
            <w:pPr>
              <w:spacing w:line="360" w:lineRule="auto"/>
              <w:jc w:val="center"/>
              <w:rPr>
                <w:rFonts w:ascii="Arial Narrow" w:hAnsi="Arial Narrow" w:cs="Arial"/>
                <w:b/>
                <w:color w:val="000000" w:themeColor="text1"/>
                <w:sz w:val="24"/>
                <w:szCs w:val="24"/>
              </w:rPr>
            </w:pPr>
            <w:r w:rsidRPr="00B55BB2">
              <w:rPr>
                <w:rFonts w:ascii="Arial Narrow" w:hAnsi="Arial Narrow" w:cs="Arial"/>
                <w:b/>
                <w:color w:val="000000" w:themeColor="text1"/>
                <w:sz w:val="24"/>
                <w:szCs w:val="24"/>
              </w:rPr>
              <w:t>Note to the parties:</w:t>
            </w:r>
          </w:p>
        </w:tc>
      </w:tr>
      <w:tr w:rsidR="00B55BB2" w:rsidRPr="00B55BB2" w:rsidTr="00A527A8">
        <w:trPr>
          <w:trHeight w:val="1114"/>
        </w:trPr>
        <w:tc>
          <w:tcPr>
            <w:tcW w:w="5029" w:type="dxa"/>
          </w:tcPr>
          <w:p w:rsidR="00552602" w:rsidRPr="00B55BB2" w:rsidRDefault="00552602" w:rsidP="001334B7">
            <w:pPr>
              <w:spacing w:line="360" w:lineRule="auto"/>
              <w:jc w:val="both"/>
              <w:rPr>
                <w:rFonts w:ascii="Arial Narrow" w:hAnsi="Arial Narrow" w:cs="Arial"/>
                <w:color w:val="000000" w:themeColor="text1"/>
                <w:sz w:val="24"/>
                <w:szCs w:val="24"/>
              </w:rPr>
            </w:pPr>
          </w:p>
          <w:p w:rsidR="00552602" w:rsidRPr="00B55BB2" w:rsidRDefault="00552602" w:rsidP="001334B7">
            <w:pPr>
              <w:spacing w:line="360" w:lineRule="auto"/>
              <w:jc w:val="both"/>
              <w:rPr>
                <w:rFonts w:ascii="Arial Narrow" w:hAnsi="Arial Narrow" w:cs="Arial"/>
                <w:color w:val="000000" w:themeColor="text1"/>
                <w:sz w:val="24"/>
                <w:szCs w:val="24"/>
              </w:rPr>
            </w:pPr>
          </w:p>
          <w:p w:rsidR="0033779C" w:rsidRPr="00B55BB2" w:rsidRDefault="0033779C" w:rsidP="001334B7">
            <w:pPr>
              <w:spacing w:line="360" w:lineRule="auto"/>
              <w:jc w:val="both"/>
              <w:rPr>
                <w:rFonts w:ascii="Arial Narrow" w:hAnsi="Arial Narrow" w:cs="Arial"/>
                <w:color w:val="000000" w:themeColor="text1"/>
                <w:sz w:val="24"/>
                <w:szCs w:val="24"/>
              </w:rPr>
            </w:pPr>
          </w:p>
          <w:p w:rsidR="00552602" w:rsidRPr="00B55BB2" w:rsidRDefault="00552602" w:rsidP="001334B7">
            <w:pPr>
              <w:spacing w:line="360" w:lineRule="auto"/>
              <w:jc w:val="both"/>
              <w:rPr>
                <w:rFonts w:ascii="Arial Narrow" w:hAnsi="Arial Narrow" w:cs="Arial"/>
                <w:color w:val="000000" w:themeColor="text1"/>
                <w:sz w:val="24"/>
                <w:szCs w:val="24"/>
              </w:rPr>
            </w:pPr>
          </w:p>
        </w:tc>
        <w:tc>
          <w:tcPr>
            <w:tcW w:w="5886" w:type="dxa"/>
            <w:gridSpan w:val="2"/>
          </w:tcPr>
          <w:p w:rsidR="00552602" w:rsidRPr="00B55BB2" w:rsidRDefault="00552602" w:rsidP="001334B7">
            <w:pPr>
              <w:spacing w:line="360" w:lineRule="auto"/>
              <w:jc w:val="both"/>
              <w:rPr>
                <w:rFonts w:ascii="Arial Narrow" w:hAnsi="Arial Narrow" w:cs="Arial"/>
                <w:color w:val="000000" w:themeColor="text1"/>
                <w:sz w:val="24"/>
                <w:szCs w:val="24"/>
              </w:rPr>
            </w:pPr>
            <w:r w:rsidRPr="00B55BB2">
              <w:rPr>
                <w:rFonts w:ascii="Arial Narrow" w:hAnsi="Arial Narrow" w:cs="Arial"/>
                <w:color w:val="000000" w:themeColor="text1"/>
                <w:sz w:val="24"/>
                <w:szCs w:val="24"/>
              </w:rPr>
              <w:t>Not applicable.</w:t>
            </w:r>
          </w:p>
        </w:tc>
      </w:tr>
      <w:tr w:rsidR="00B55BB2" w:rsidRPr="00B55BB2" w:rsidTr="00681336">
        <w:tc>
          <w:tcPr>
            <w:tcW w:w="10915" w:type="dxa"/>
            <w:gridSpan w:val="3"/>
          </w:tcPr>
          <w:p w:rsidR="00552602" w:rsidRPr="00B55BB2" w:rsidRDefault="00A527A8" w:rsidP="00A527A8">
            <w:pPr>
              <w:spacing w:line="360" w:lineRule="auto"/>
              <w:rPr>
                <w:rFonts w:ascii="Arial Narrow" w:hAnsi="Arial Narrow" w:cs="Arial"/>
                <w:b/>
                <w:color w:val="000000" w:themeColor="text1"/>
                <w:sz w:val="24"/>
                <w:szCs w:val="24"/>
              </w:rPr>
            </w:pPr>
            <w:r w:rsidRPr="00B55BB2">
              <w:rPr>
                <w:rFonts w:ascii="Arial Narrow" w:hAnsi="Arial Narrow" w:cs="Arial"/>
                <w:b/>
                <w:color w:val="000000" w:themeColor="text1"/>
                <w:sz w:val="24"/>
                <w:szCs w:val="24"/>
              </w:rPr>
              <w:t xml:space="preserve">                                                                           </w:t>
            </w:r>
            <w:r w:rsidR="00552602" w:rsidRPr="00B55BB2">
              <w:rPr>
                <w:rFonts w:ascii="Arial Narrow" w:hAnsi="Arial Narrow" w:cs="Arial"/>
                <w:b/>
                <w:color w:val="000000" w:themeColor="text1"/>
                <w:sz w:val="24"/>
                <w:szCs w:val="24"/>
              </w:rPr>
              <w:t>Counsel:</w:t>
            </w:r>
          </w:p>
        </w:tc>
      </w:tr>
      <w:tr w:rsidR="00B55BB2" w:rsidRPr="00B55BB2" w:rsidTr="00A527A8">
        <w:tc>
          <w:tcPr>
            <w:tcW w:w="5029" w:type="dxa"/>
          </w:tcPr>
          <w:p w:rsidR="00552602" w:rsidRPr="00B55BB2" w:rsidRDefault="00891D87" w:rsidP="001334B7">
            <w:pPr>
              <w:spacing w:line="360" w:lineRule="auto"/>
              <w:jc w:val="center"/>
              <w:rPr>
                <w:rFonts w:ascii="Arial Narrow" w:hAnsi="Arial Narrow" w:cs="Arial"/>
                <w:b/>
                <w:color w:val="000000" w:themeColor="text1"/>
                <w:sz w:val="24"/>
                <w:szCs w:val="24"/>
              </w:rPr>
            </w:pPr>
            <w:r w:rsidRPr="00B55BB2">
              <w:rPr>
                <w:rFonts w:ascii="Arial Narrow" w:hAnsi="Arial Narrow" w:cs="Arial"/>
                <w:b/>
                <w:color w:val="000000" w:themeColor="text1"/>
                <w:sz w:val="24"/>
                <w:szCs w:val="24"/>
              </w:rPr>
              <w:t>Plaintiffs</w:t>
            </w:r>
          </w:p>
        </w:tc>
        <w:tc>
          <w:tcPr>
            <w:tcW w:w="5886" w:type="dxa"/>
            <w:gridSpan w:val="2"/>
          </w:tcPr>
          <w:p w:rsidR="00552602" w:rsidRPr="00B55BB2" w:rsidRDefault="000015F4" w:rsidP="001334B7">
            <w:pPr>
              <w:spacing w:line="360" w:lineRule="auto"/>
              <w:jc w:val="center"/>
              <w:rPr>
                <w:rFonts w:ascii="Arial Narrow" w:hAnsi="Arial Narrow" w:cs="Arial"/>
                <w:b/>
                <w:color w:val="000000" w:themeColor="text1"/>
                <w:sz w:val="24"/>
                <w:szCs w:val="24"/>
              </w:rPr>
            </w:pPr>
            <w:r w:rsidRPr="00B55BB2">
              <w:rPr>
                <w:rFonts w:ascii="Arial Narrow" w:hAnsi="Arial Narrow" w:cs="Arial"/>
                <w:b/>
                <w:color w:val="000000" w:themeColor="text1"/>
                <w:sz w:val="24"/>
                <w:szCs w:val="24"/>
              </w:rPr>
              <w:t xml:space="preserve"> Defendants</w:t>
            </w:r>
          </w:p>
        </w:tc>
      </w:tr>
      <w:tr w:rsidR="00B55BB2" w:rsidRPr="00B55BB2" w:rsidTr="00A527A8">
        <w:tc>
          <w:tcPr>
            <w:tcW w:w="5029" w:type="dxa"/>
          </w:tcPr>
          <w:p w:rsidR="000962A5" w:rsidRPr="00B55BB2" w:rsidRDefault="000962A5" w:rsidP="00F64B20">
            <w:pPr>
              <w:spacing w:line="360" w:lineRule="auto"/>
              <w:jc w:val="center"/>
              <w:rPr>
                <w:rFonts w:ascii="Arial Narrow" w:hAnsi="Arial Narrow" w:cs="Arial"/>
                <w:color w:val="000000" w:themeColor="text1"/>
                <w:sz w:val="24"/>
                <w:szCs w:val="24"/>
                <w:lang w:val="en-US"/>
              </w:rPr>
            </w:pPr>
            <w:r w:rsidRPr="00B55BB2">
              <w:rPr>
                <w:rFonts w:ascii="Arial Narrow" w:hAnsi="Arial Narrow" w:cs="Arial"/>
                <w:color w:val="000000" w:themeColor="text1"/>
                <w:sz w:val="24"/>
                <w:szCs w:val="24"/>
                <w:lang w:val="en-US"/>
              </w:rPr>
              <w:t xml:space="preserve">V Hifindaka </w:t>
            </w:r>
          </w:p>
          <w:p w:rsidR="001568BC" w:rsidRPr="00B55BB2" w:rsidRDefault="000962A5" w:rsidP="00F64B20">
            <w:pPr>
              <w:spacing w:line="360" w:lineRule="auto"/>
              <w:jc w:val="center"/>
              <w:rPr>
                <w:rFonts w:ascii="Arial Narrow" w:hAnsi="Arial Narrow" w:cs="Arial"/>
                <w:color w:val="000000" w:themeColor="text1"/>
                <w:sz w:val="24"/>
                <w:szCs w:val="24"/>
              </w:rPr>
            </w:pPr>
            <w:r w:rsidRPr="00B55BB2">
              <w:rPr>
                <w:rFonts w:ascii="Arial Narrow" w:hAnsi="Arial Narrow" w:cs="Arial"/>
                <w:color w:val="000000" w:themeColor="text1"/>
                <w:sz w:val="24"/>
                <w:szCs w:val="24"/>
              </w:rPr>
              <w:t>Of</w:t>
            </w:r>
          </w:p>
          <w:p w:rsidR="000962A5" w:rsidRPr="00B55BB2" w:rsidRDefault="000962A5" w:rsidP="00F64B20">
            <w:pPr>
              <w:spacing w:line="360" w:lineRule="auto"/>
              <w:jc w:val="center"/>
              <w:rPr>
                <w:rFonts w:ascii="Arial Narrow" w:hAnsi="Arial Narrow" w:cs="Arial"/>
                <w:color w:val="000000" w:themeColor="text1"/>
                <w:sz w:val="24"/>
                <w:szCs w:val="24"/>
              </w:rPr>
            </w:pPr>
            <w:r w:rsidRPr="00B55BB2">
              <w:rPr>
                <w:rFonts w:ascii="Arial Narrow" w:hAnsi="Arial Narrow" w:cs="Arial"/>
                <w:color w:val="000000" w:themeColor="text1"/>
                <w:sz w:val="24"/>
                <w:szCs w:val="24"/>
              </w:rPr>
              <w:t>Henry Shimutukweni Inc.</w:t>
            </w:r>
          </w:p>
          <w:p w:rsidR="00552602" w:rsidRPr="00B55BB2" w:rsidRDefault="00552602" w:rsidP="001568BC">
            <w:pPr>
              <w:spacing w:line="360" w:lineRule="auto"/>
              <w:jc w:val="center"/>
              <w:rPr>
                <w:rFonts w:ascii="Arial Narrow" w:hAnsi="Arial Narrow" w:cs="Arial"/>
                <w:color w:val="000000" w:themeColor="text1"/>
                <w:sz w:val="24"/>
                <w:szCs w:val="24"/>
              </w:rPr>
            </w:pPr>
          </w:p>
        </w:tc>
        <w:tc>
          <w:tcPr>
            <w:tcW w:w="5886" w:type="dxa"/>
            <w:gridSpan w:val="2"/>
          </w:tcPr>
          <w:p w:rsidR="00552602" w:rsidRPr="00B55BB2" w:rsidRDefault="000962A5" w:rsidP="000015F4">
            <w:pPr>
              <w:spacing w:line="360" w:lineRule="auto"/>
              <w:jc w:val="center"/>
              <w:rPr>
                <w:rFonts w:ascii="Arial Narrow" w:hAnsi="Arial Narrow" w:cs="Arial"/>
                <w:color w:val="000000" w:themeColor="text1"/>
                <w:sz w:val="24"/>
                <w:szCs w:val="24"/>
                <w:lang w:val="en-US"/>
              </w:rPr>
            </w:pPr>
            <w:r w:rsidRPr="00B55BB2">
              <w:rPr>
                <w:rFonts w:ascii="Arial Narrow" w:hAnsi="Arial Narrow" w:cs="Arial"/>
                <w:color w:val="000000" w:themeColor="text1"/>
                <w:sz w:val="24"/>
                <w:szCs w:val="24"/>
                <w:lang w:val="en-US"/>
              </w:rPr>
              <w:t>JP Jones</w:t>
            </w:r>
          </w:p>
          <w:p w:rsidR="001568BC" w:rsidRPr="00B55BB2" w:rsidRDefault="00B04AE9" w:rsidP="003D2F1F">
            <w:pPr>
              <w:spacing w:line="360" w:lineRule="auto"/>
              <w:jc w:val="center"/>
              <w:rPr>
                <w:rFonts w:ascii="Arial Narrow" w:hAnsi="Arial Narrow" w:cs="Arial"/>
                <w:color w:val="000000" w:themeColor="text1"/>
                <w:sz w:val="24"/>
                <w:szCs w:val="24"/>
                <w:lang w:val="en-US"/>
              </w:rPr>
            </w:pPr>
            <w:r w:rsidRPr="00B55BB2">
              <w:rPr>
                <w:rFonts w:ascii="Arial Narrow" w:hAnsi="Arial Narrow" w:cs="Arial"/>
                <w:color w:val="000000" w:themeColor="text1"/>
                <w:sz w:val="24"/>
                <w:szCs w:val="24"/>
                <w:lang w:val="en-US"/>
              </w:rPr>
              <w:t>Instructed by</w:t>
            </w:r>
          </w:p>
          <w:p w:rsidR="003D2F1F" w:rsidRPr="00B55BB2" w:rsidRDefault="000962A5" w:rsidP="003D2F1F">
            <w:pPr>
              <w:spacing w:line="360" w:lineRule="auto"/>
              <w:jc w:val="center"/>
              <w:rPr>
                <w:rFonts w:ascii="Arial Narrow" w:hAnsi="Arial Narrow" w:cs="Arial"/>
                <w:color w:val="000000" w:themeColor="text1"/>
                <w:sz w:val="24"/>
                <w:szCs w:val="24"/>
                <w:lang w:val="en-US"/>
              </w:rPr>
            </w:pPr>
            <w:r w:rsidRPr="00B55BB2">
              <w:rPr>
                <w:rFonts w:ascii="Arial Narrow" w:hAnsi="Arial Narrow" w:cs="Arial"/>
                <w:color w:val="000000" w:themeColor="text1"/>
                <w:sz w:val="24"/>
                <w:szCs w:val="24"/>
                <w:lang w:val="en-US"/>
              </w:rPr>
              <w:t>Ellis Shilungudwa Inc.</w:t>
            </w:r>
          </w:p>
        </w:tc>
      </w:tr>
    </w:tbl>
    <w:p w:rsidR="00552602" w:rsidRPr="00B55BB2" w:rsidRDefault="00552602" w:rsidP="001334B7">
      <w:pPr>
        <w:spacing w:after="0" w:line="360" w:lineRule="auto"/>
        <w:jc w:val="both"/>
        <w:rPr>
          <w:rFonts w:ascii="Arial Narrow" w:hAnsi="Arial Narrow"/>
          <w:color w:val="000000" w:themeColor="text1"/>
        </w:rPr>
      </w:pPr>
    </w:p>
    <w:p w:rsidR="00552602" w:rsidRPr="00B55BB2" w:rsidRDefault="00552602" w:rsidP="001334B7">
      <w:pPr>
        <w:spacing w:after="0" w:line="360" w:lineRule="auto"/>
        <w:rPr>
          <w:rFonts w:ascii="Arial Narrow" w:hAnsi="Arial Narrow"/>
          <w:color w:val="000000" w:themeColor="text1"/>
        </w:rPr>
      </w:pPr>
    </w:p>
    <w:p w:rsidR="00552602" w:rsidRPr="00B55BB2" w:rsidRDefault="00552602" w:rsidP="001334B7">
      <w:pPr>
        <w:spacing w:after="0" w:line="360" w:lineRule="auto"/>
        <w:rPr>
          <w:rFonts w:ascii="Arial Narrow" w:hAnsi="Arial Narrow"/>
          <w:color w:val="000000" w:themeColor="text1"/>
        </w:rPr>
      </w:pPr>
    </w:p>
    <w:p w:rsidR="000B2DC6" w:rsidRPr="00B55BB2" w:rsidRDefault="00FB527B" w:rsidP="001334B7">
      <w:pPr>
        <w:spacing w:after="0" w:line="360" w:lineRule="auto"/>
        <w:jc w:val="both"/>
        <w:rPr>
          <w:rFonts w:ascii="Arial Narrow" w:hAnsi="Arial Narrow"/>
          <w:color w:val="000000" w:themeColor="text1"/>
          <w:lang w:val="af-ZA"/>
        </w:rPr>
      </w:pPr>
      <w:r w:rsidRPr="00B55BB2">
        <w:rPr>
          <w:rFonts w:ascii="Arial Narrow" w:hAnsi="Arial Narrow"/>
          <w:color w:val="000000" w:themeColor="text1"/>
          <w:lang w:val="af-ZA"/>
        </w:rPr>
        <w:t xml:space="preserve"> </w:t>
      </w:r>
    </w:p>
    <w:sectPr w:rsidR="000B2DC6" w:rsidRPr="00B55BB2" w:rsidSect="00213E94">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C7A" w:rsidRDefault="00CF5C7A" w:rsidP="00516674">
      <w:pPr>
        <w:spacing w:after="0" w:line="240" w:lineRule="auto"/>
      </w:pPr>
      <w:r>
        <w:separator/>
      </w:r>
    </w:p>
  </w:endnote>
  <w:endnote w:type="continuationSeparator" w:id="0">
    <w:p w:rsidR="00CF5C7A" w:rsidRDefault="00CF5C7A" w:rsidP="0051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Open Sans">
    <w:altName w:val="Tahoma"/>
    <w:charset w:val="00"/>
    <w:family w:val="swiss"/>
    <w:pitch w:val="variable"/>
    <w:sig w:usb0="00000001"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C7A" w:rsidRDefault="00CF5C7A" w:rsidP="00516674">
      <w:pPr>
        <w:spacing w:after="0" w:line="240" w:lineRule="auto"/>
      </w:pPr>
      <w:r>
        <w:separator/>
      </w:r>
    </w:p>
  </w:footnote>
  <w:footnote w:type="continuationSeparator" w:id="0">
    <w:p w:rsidR="00CF5C7A" w:rsidRDefault="00CF5C7A" w:rsidP="00516674">
      <w:pPr>
        <w:spacing w:after="0" w:line="240" w:lineRule="auto"/>
      </w:pPr>
      <w:r>
        <w:continuationSeparator/>
      </w:r>
    </w:p>
  </w:footnote>
  <w:footnote w:id="1">
    <w:p w:rsidR="0085685E" w:rsidRPr="0048394E" w:rsidRDefault="0085685E" w:rsidP="0085685E">
      <w:pPr>
        <w:pStyle w:val="FootnoteText"/>
        <w:rPr>
          <w:lang w:val="en-US"/>
        </w:rPr>
      </w:pPr>
      <w:r>
        <w:rPr>
          <w:rStyle w:val="FootnoteReference"/>
        </w:rPr>
        <w:footnoteRef/>
      </w:r>
      <w:r>
        <w:t xml:space="preserve"> Founding affidavit para 7.</w:t>
      </w:r>
    </w:p>
  </w:footnote>
  <w:footnote w:id="2">
    <w:p w:rsidR="0085685E" w:rsidRPr="0048394E" w:rsidRDefault="0085685E" w:rsidP="0085685E">
      <w:pPr>
        <w:pStyle w:val="FootnoteText"/>
        <w:rPr>
          <w:lang w:val="en-US"/>
        </w:rPr>
      </w:pPr>
      <w:r>
        <w:rPr>
          <w:rStyle w:val="FootnoteReference"/>
        </w:rPr>
        <w:footnoteRef/>
      </w:r>
      <w:r>
        <w:t xml:space="preserve"> Founding affidavit para 8.</w:t>
      </w:r>
    </w:p>
  </w:footnote>
  <w:footnote w:id="3">
    <w:p w:rsidR="0085685E" w:rsidRPr="0048394E" w:rsidRDefault="0085685E" w:rsidP="0085685E">
      <w:pPr>
        <w:pStyle w:val="FootnoteText"/>
        <w:rPr>
          <w:lang w:val="en-US"/>
        </w:rPr>
      </w:pPr>
      <w:r>
        <w:rPr>
          <w:rStyle w:val="FootnoteReference"/>
        </w:rPr>
        <w:footnoteRef/>
      </w:r>
      <w:r>
        <w:t xml:space="preserve"> Founding affidavit para 9.</w:t>
      </w:r>
    </w:p>
  </w:footnote>
  <w:footnote w:id="4">
    <w:p w:rsidR="00B44CA5" w:rsidRPr="00A4236D" w:rsidRDefault="00B44CA5" w:rsidP="0051423C">
      <w:pPr>
        <w:pStyle w:val="FootnoteText"/>
        <w:jc w:val="both"/>
        <w:rPr>
          <w:rFonts w:ascii="Arial Narrow" w:hAnsi="Arial Narrow" w:cstheme="minorHAnsi"/>
          <w:i/>
        </w:rPr>
      </w:pPr>
      <w:r w:rsidRPr="00A4236D">
        <w:rPr>
          <w:rStyle w:val="FootnoteReference"/>
          <w:rFonts w:ascii="Arial Narrow" w:hAnsi="Arial Narrow" w:cstheme="minorHAnsi"/>
        </w:rPr>
        <w:footnoteRef/>
      </w:r>
      <w:r w:rsidRPr="00A4236D">
        <w:rPr>
          <w:rFonts w:ascii="Arial Narrow" w:hAnsi="Arial Narrow" w:cstheme="minorHAnsi"/>
        </w:rPr>
        <w:t xml:space="preserve"> </w:t>
      </w:r>
      <w:r w:rsidRPr="00A4236D">
        <w:rPr>
          <w:rFonts w:ascii="Arial Narrow" w:hAnsi="Arial Narrow" w:cstheme="minorHAnsi"/>
          <w:i/>
        </w:rPr>
        <w:t xml:space="preserve">Cross v Ferreira </w:t>
      </w:r>
      <w:r w:rsidRPr="00A4236D">
        <w:rPr>
          <w:rFonts w:ascii="Arial Narrow" w:hAnsi="Arial Narrow" w:cstheme="minorHAnsi"/>
        </w:rPr>
        <w:t>1950 (3) SA 443 at 447.</w:t>
      </w:r>
    </w:p>
  </w:footnote>
  <w:footnote w:id="5">
    <w:p w:rsidR="00B44CA5" w:rsidRPr="00A4236D" w:rsidRDefault="00B44CA5" w:rsidP="0051423C">
      <w:pPr>
        <w:pStyle w:val="FootnoteText"/>
        <w:jc w:val="both"/>
        <w:rPr>
          <w:rFonts w:ascii="Arial Narrow" w:hAnsi="Arial Narrow" w:cstheme="minorHAnsi"/>
          <w:i/>
        </w:rPr>
      </w:pPr>
      <w:r w:rsidRPr="00A4236D">
        <w:rPr>
          <w:rStyle w:val="FootnoteReference"/>
          <w:rFonts w:ascii="Arial Narrow" w:hAnsi="Arial Narrow" w:cstheme="minorHAnsi"/>
          <w:i/>
        </w:rPr>
        <w:footnoteRef/>
      </w:r>
      <w:r w:rsidRPr="00A4236D">
        <w:rPr>
          <w:rFonts w:ascii="Arial Narrow" w:hAnsi="Arial Narrow" w:cstheme="minorHAnsi"/>
          <w:i/>
        </w:rPr>
        <w:t xml:space="preserve"> Trans-Drankensberg Bank Ltd v Combined Engineering </w:t>
      </w:r>
      <w:r w:rsidRPr="00A4236D">
        <w:rPr>
          <w:rFonts w:ascii="Arial Narrow" w:hAnsi="Arial Narrow" w:cstheme="minorHAnsi"/>
        </w:rPr>
        <w:t>1967 (3) SA 632 at 641.</w:t>
      </w:r>
    </w:p>
  </w:footnote>
  <w:footnote w:id="6">
    <w:p w:rsidR="00B44CA5" w:rsidRPr="00B44CA5" w:rsidRDefault="00B44CA5" w:rsidP="0051423C">
      <w:pPr>
        <w:pStyle w:val="FootnoteText"/>
        <w:jc w:val="both"/>
        <w:rPr>
          <w:rFonts w:cstheme="minorHAnsi"/>
        </w:rPr>
      </w:pPr>
      <w:r w:rsidRPr="00A4236D">
        <w:rPr>
          <w:rStyle w:val="FootnoteReference"/>
          <w:rFonts w:ascii="Arial Narrow" w:hAnsi="Arial Narrow" w:cstheme="minorHAnsi"/>
        </w:rPr>
        <w:footnoteRef/>
      </w:r>
      <w:r w:rsidRPr="00A4236D">
        <w:rPr>
          <w:rFonts w:ascii="Arial Narrow" w:hAnsi="Arial Narrow" w:cstheme="minorHAnsi"/>
        </w:rPr>
        <w:t xml:space="preserve"> </w:t>
      </w:r>
      <w:r w:rsidRPr="00A4236D">
        <w:rPr>
          <w:rFonts w:ascii="Arial Narrow" w:hAnsi="Arial Narrow" w:cstheme="minorHAnsi"/>
          <w:i/>
        </w:rPr>
        <w:t xml:space="preserve">Trans-Drankensberg Bank Ltd v Combined Engineering </w:t>
      </w:r>
      <w:r w:rsidRPr="00A4236D">
        <w:rPr>
          <w:rFonts w:ascii="Arial Narrow" w:hAnsi="Arial Narrow" w:cstheme="minorHAnsi"/>
        </w:rPr>
        <w:t>1967 (3) SA 632 at 641.</w:t>
      </w:r>
    </w:p>
  </w:footnote>
  <w:footnote w:id="7">
    <w:p w:rsidR="00A8226C" w:rsidRPr="009D3722" w:rsidRDefault="00A8226C" w:rsidP="0051423C">
      <w:pPr>
        <w:pStyle w:val="FootnoteText"/>
        <w:jc w:val="both"/>
        <w:rPr>
          <w:lang w:val="en-US"/>
        </w:rPr>
      </w:pPr>
      <w:r>
        <w:rPr>
          <w:rStyle w:val="FootnoteReference"/>
        </w:rPr>
        <w:footnoteRef/>
      </w:r>
      <w:r>
        <w:t xml:space="preserve"> </w:t>
      </w:r>
      <w:r w:rsidRPr="009D3722">
        <w:rPr>
          <w:rFonts w:ascii="Arial Narrow" w:hAnsi="Arial Narrow" w:cs="Arial"/>
        </w:rPr>
        <w:t>(HC-MD-CIV-ACT-DEL-2020/03938) [2021] NAHCMD 90 (02 March 2021)</w:t>
      </w:r>
      <w:r w:rsidR="0051423C">
        <w:rPr>
          <w:rFonts w:ascii="Arial Narrow" w:hAnsi="Arial Narrow" w:cs="Arial"/>
        </w:rPr>
        <w:t>.</w:t>
      </w:r>
    </w:p>
  </w:footnote>
  <w:footnote w:id="8">
    <w:p w:rsidR="00A8226C" w:rsidRPr="0051423C" w:rsidRDefault="00A8226C" w:rsidP="00A8226C">
      <w:pPr>
        <w:pStyle w:val="FootnoteText"/>
        <w:rPr>
          <w:lang w:val="en-US"/>
        </w:rPr>
      </w:pPr>
      <w:r w:rsidRPr="0051423C">
        <w:rPr>
          <w:rStyle w:val="FootnoteReference"/>
        </w:rPr>
        <w:footnoteRef/>
      </w:r>
      <w:r w:rsidRPr="0051423C">
        <w:t xml:space="preserve"> </w:t>
      </w:r>
      <w:r w:rsidRPr="0051423C">
        <w:rPr>
          <w:rFonts w:ascii="Arial Narrow" w:hAnsi="Arial Narrow" w:cs="Arial"/>
        </w:rPr>
        <w:t>(581/98) [2000] ZASCA 67; 2001 (1) SA 1214 (SCA</w:t>
      </w:r>
      <w:r w:rsidR="00BD6321" w:rsidRPr="0051423C">
        <w:rPr>
          <w:rFonts w:ascii="Arial Narrow" w:hAnsi="Arial Narrow" w:cs="Arial"/>
        </w:rPr>
        <w:t>);</w:t>
      </w:r>
      <w:r w:rsidRPr="0051423C">
        <w:rPr>
          <w:rFonts w:ascii="Arial Narrow" w:hAnsi="Arial Narrow" w:cs="Arial"/>
        </w:rPr>
        <w:t xml:space="preserve"> [2001] 1 All SA 315 (A) (28 November 2000)</w:t>
      </w:r>
      <w:r w:rsidR="0051423C">
        <w:rPr>
          <w:rFonts w:ascii="Arial Narrow" w:hAnsi="Arial Narrow" w:cs="Arial"/>
        </w:rPr>
        <w:t>.</w:t>
      </w:r>
    </w:p>
  </w:footnote>
  <w:footnote w:id="9">
    <w:p w:rsidR="00F610E3" w:rsidRPr="00D87F61" w:rsidRDefault="00F610E3">
      <w:pPr>
        <w:pStyle w:val="FootnoteText"/>
        <w:rPr>
          <w:rFonts w:ascii="Arial Narrow" w:hAnsi="Arial Narrow"/>
          <w:lang w:val="en-US"/>
        </w:rPr>
      </w:pPr>
      <w:r w:rsidRPr="00D87F61">
        <w:rPr>
          <w:rStyle w:val="FootnoteReference"/>
          <w:rFonts w:ascii="Arial Narrow" w:hAnsi="Arial Narrow"/>
        </w:rPr>
        <w:footnoteRef/>
      </w:r>
      <w:r w:rsidRPr="00D87F61">
        <w:rPr>
          <w:rFonts w:ascii="Arial Narrow" w:hAnsi="Arial Narrow"/>
        </w:rPr>
        <w:t xml:space="preserve"> </w:t>
      </w:r>
      <w:r w:rsidR="00A4236D">
        <w:rPr>
          <w:rFonts w:ascii="Arial Narrow" w:hAnsi="Arial Narrow"/>
          <w:lang w:val="en-US"/>
        </w:rPr>
        <w:t>7</w:t>
      </w:r>
      <w:r w:rsidRPr="00D87F61">
        <w:rPr>
          <w:rFonts w:ascii="Arial Narrow" w:hAnsi="Arial Narrow"/>
          <w:vertAlign w:val="superscript"/>
          <w:lang w:val="en-US"/>
        </w:rPr>
        <w:t>rd</w:t>
      </w:r>
      <w:r w:rsidRPr="00D87F61">
        <w:rPr>
          <w:rFonts w:ascii="Arial Narrow" w:hAnsi="Arial Narrow"/>
          <w:lang w:val="en-US"/>
        </w:rPr>
        <w:t xml:space="preserve"> Ed at </w:t>
      </w:r>
      <w:r w:rsidR="00A4236D">
        <w:rPr>
          <w:rFonts w:ascii="Arial Narrow" w:hAnsi="Arial Narrow"/>
          <w:lang w:val="en-US"/>
        </w:rPr>
        <w:t>359</w:t>
      </w:r>
      <w:r w:rsidRPr="00D87F61">
        <w:rPr>
          <w:rFonts w:ascii="Arial Narrow" w:hAnsi="Arial Narrow"/>
          <w:lang w:val="en-US"/>
        </w:rPr>
        <w:t xml:space="preserve">. </w:t>
      </w:r>
    </w:p>
  </w:footnote>
  <w:footnote w:id="10">
    <w:p w:rsidR="00F206A3" w:rsidRPr="00102C88" w:rsidRDefault="00F206A3">
      <w:pPr>
        <w:pStyle w:val="FootnoteText"/>
        <w:rPr>
          <w:rFonts w:ascii="Arial Narrow" w:hAnsi="Arial Narrow"/>
          <w:lang w:val="en-US"/>
        </w:rPr>
      </w:pPr>
      <w:r w:rsidRPr="00102C88">
        <w:rPr>
          <w:rStyle w:val="FootnoteReference"/>
          <w:rFonts w:ascii="Arial Narrow" w:hAnsi="Arial Narrow"/>
        </w:rPr>
        <w:footnoteRef/>
      </w:r>
      <w:r w:rsidRPr="00102C88">
        <w:rPr>
          <w:rFonts w:ascii="Arial Narrow" w:hAnsi="Arial Narrow"/>
        </w:rPr>
        <w:t xml:space="preserve"> </w:t>
      </w:r>
      <w:r w:rsidR="00102C88" w:rsidRPr="00102C88">
        <w:rPr>
          <w:rFonts w:ascii="Arial Narrow" w:hAnsi="Arial Narrow" w:cs="Arial"/>
          <w:lang w:val="en-US"/>
        </w:rPr>
        <w:t>(SA 70-2019) [2021] NASC (23 June 2021) at para 40.</w:t>
      </w:r>
    </w:p>
  </w:footnote>
  <w:footnote w:id="11">
    <w:p w:rsidR="00102C88" w:rsidRPr="00102C88" w:rsidRDefault="00102C88">
      <w:pPr>
        <w:pStyle w:val="FootnoteText"/>
        <w:rPr>
          <w:lang w:val="en-US"/>
        </w:rPr>
      </w:pPr>
      <w:r w:rsidRPr="00102C88">
        <w:rPr>
          <w:rStyle w:val="FootnoteReference"/>
          <w:rFonts w:ascii="Arial Narrow" w:hAnsi="Arial Narrow"/>
        </w:rPr>
        <w:footnoteRef/>
      </w:r>
      <w:r w:rsidRPr="00102C88">
        <w:rPr>
          <w:rFonts w:ascii="Arial Narrow" w:hAnsi="Arial Narrow"/>
        </w:rPr>
        <w:t xml:space="preserve"> </w:t>
      </w:r>
      <w:r w:rsidRPr="00102C88">
        <w:rPr>
          <w:rFonts w:ascii="Arial Narrow" w:hAnsi="Arial Narrow" w:cs="Arial"/>
          <w:i/>
        </w:rPr>
        <w:t xml:space="preserve">IA Bell Equipment Company (Namibia) (Pty) Ltd v Roadstone Quarries CC </w:t>
      </w:r>
      <w:r w:rsidRPr="00102C88">
        <w:rPr>
          <w:rFonts w:ascii="Arial Narrow" w:hAnsi="Arial Narrow" w:cs="Arial"/>
        </w:rPr>
        <w:t>I 601-2013 &amp; I 4084-2010) [2014] NAHCMD 306 (17 October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443122"/>
      <w:docPartObj>
        <w:docPartGallery w:val="Page Numbers (Top of Page)"/>
        <w:docPartUnique/>
      </w:docPartObj>
    </w:sdtPr>
    <w:sdtEndPr>
      <w:rPr>
        <w:rFonts w:ascii="Arial Narrow" w:hAnsi="Arial Narrow"/>
        <w:noProof/>
      </w:rPr>
    </w:sdtEndPr>
    <w:sdtContent>
      <w:p w:rsidR="00737554" w:rsidRPr="0033779C" w:rsidRDefault="00737554">
        <w:pPr>
          <w:pStyle w:val="Header"/>
          <w:jc w:val="right"/>
          <w:rPr>
            <w:rFonts w:ascii="Arial Narrow" w:hAnsi="Arial Narrow"/>
          </w:rPr>
        </w:pPr>
        <w:r w:rsidRPr="0033779C">
          <w:rPr>
            <w:rFonts w:ascii="Arial Narrow" w:hAnsi="Arial Narrow"/>
          </w:rPr>
          <w:fldChar w:fldCharType="begin"/>
        </w:r>
        <w:r w:rsidRPr="0033779C">
          <w:rPr>
            <w:rFonts w:ascii="Arial Narrow" w:hAnsi="Arial Narrow"/>
          </w:rPr>
          <w:instrText xml:space="preserve"> PAGE   \* MERGEFORMAT </w:instrText>
        </w:r>
        <w:r w:rsidRPr="0033779C">
          <w:rPr>
            <w:rFonts w:ascii="Arial Narrow" w:hAnsi="Arial Narrow"/>
          </w:rPr>
          <w:fldChar w:fldCharType="separate"/>
        </w:r>
        <w:r w:rsidR="006040D0">
          <w:rPr>
            <w:rFonts w:ascii="Arial Narrow" w:hAnsi="Arial Narrow"/>
            <w:noProof/>
          </w:rPr>
          <w:t>2</w:t>
        </w:r>
        <w:r w:rsidRPr="0033779C">
          <w:rPr>
            <w:rFonts w:ascii="Arial Narrow" w:hAnsi="Arial Narrow"/>
            <w:noProof/>
          </w:rPr>
          <w:fldChar w:fldCharType="end"/>
        </w:r>
      </w:p>
    </w:sdtContent>
  </w:sdt>
  <w:p w:rsidR="00737554" w:rsidRDefault="00737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7424C"/>
    <w:multiLevelType w:val="hybridMultilevel"/>
    <w:tmpl w:val="7AEE9BCA"/>
    <w:lvl w:ilvl="0" w:tplc="400EC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54BFD"/>
    <w:multiLevelType w:val="hybridMultilevel"/>
    <w:tmpl w:val="323EECC6"/>
    <w:lvl w:ilvl="0" w:tplc="FB26A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C54419"/>
    <w:multiLevelType w:val="hybridMultilevel"/>
    <w:tmpl w:val="FC9E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57E07"/>
    <w:multiLevelType w:val="hybridMultilevel"/>
    <w:tmpl w:val="701C67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A4036"/>
    <w:multiLevelType w:val="hybridMultilevel"/>
    <w:tmpl w:val="4E2C810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8525253"/>
    <w:multiLevelType w:val="hybridMultilevel"/>
    <w:tmpl w:val="1BD4DDE4"/>
    <w:lvl w:ilvl="0" w:tplc="A9CEAF78">
      <w:start w:val="1"/>
      <w:numFmt w:val="lowerLetter"/>
      <w:lvlText w:val="%1)"/>
      <w:lvlJc w:val="left"/>
      <w:pPr>
        <w:ind w:left="1080" w:hanging="360"/>
      </w:pPr>
      <w:rPr>
        <w:rFonts w:cstheme="minorBidi"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8D46360"/>
    <w:multiLevelType w:val="hybridMultilevel"/>
    <w:tmpl w:val="6EC28C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F2395"/>
    <w:multiLevelType w:val="hybridMultilevel"/>
    <w:tmpl w:val="5916173A"/>
    <w:lvl w:ilvl="0" w:tplc="3D0A09D4">
      <w:start w:val="1"/>
      <w:numFmt w:val="upperLetter"/>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0003A"/>
    <w:multiLevelType w:val="hybridMultilevel"/>
    <w:tmpl w:val="BD8E9B9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57F509B6"/>
    <w:multiLevelType w:val="hybridMultilevel"/>
    <w:tmpl w:val="1D7C9748"/>
    <w:lvl w:ilvl="0" w:tplc="DBACEA8E">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02630A"/>
    <w:multiLevelType w:val="hybridMultilevel"/>
    <w:tmpl w:val="0F382758"/>
    <w:lvl w:ilvl="0" w:tplc="52805C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DDA2B8A"/>
    <w:multiLevelType w:val="hybridMultilevel"/>
    <w:tmpl w:val="74185B90"/>
    <w:lvl w:ilvl="0" w:tplc="DEE21F92">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BB09D9"/>
    <w:multiLevelType w:val="hybridMultilevel"/>
    <w:tmpl w:val="6352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A475E"/>
    <w:multiLevelType w:val="hybridMultilevel"/>
    <w:tmpl w:val="68D64F68"/>
    <w:lvl w:ilvl="0" w:tplc="219002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972016C"/>
    <w:multiLevelType w:val="hybridMultilevel"/>
    <w:tmpl w:val="6FDE0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1"/>
  </w:num>
  <w:num w:numId="5">
    <w:abstractNumId w:val="4"/>
  </w:num>
  <w:num w:numId="6">
    <w:abstractNumId w:val="3"/>
  </w:num>
  <w:num w:numId="7">
    <w:abstractNumId w:val="10"/>
  </w:num>
  <w:num w:numId="8">
    <w:abstractNumId w:val="12"/>
  </w:num>
  <w:num w:numId="9">
    <w:abstractNumId w:val="7"/>
  </w:num>
  <w:num w:numId="10">
    <w:abstractNumId w:val="6"/>
  </w:num>
  <w:num w:numId="11">
    <w:abstractNumId w:val="2"/>
  </w:num>
  <w:num w:numId="12">
    <w:abstractNumId w:val="17"/>
  </w:num>
  <w:num w:numId="13">
    <w:abstractNumId w:val="15"/>
  </w:num>
  <w:num w:numId="14">
    <w:abstractNumId w:val="5"/>
  </w:num>
  <w:num w:numId="15">
    <w:abstractNumId w:val="9"/>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SwsDA1MzQyMjExNjFX0lEKTi0uzszPAykwqgUANf8QkywAAAA="/>
  </w:docVars>
  <w:rsids>
    <w:rsidRoot w:val="005C1AFE"/>
    <w:rsid w:val="000015F4"/>
    <w:rsid w:val="00006E42"/>
    <w:rsid w:val="000070F8"/>
    <w:rsid w:val="00012A99"/>
    <w:rsid w:val="0002091A"/>
    <w:rsid w:val="000462F8"/>
    <w:rsid w:val="000639A4"/>
    <w:rsid w:val="00074F01"/>
    <w:rsid w:val="000802A4"/>
    <w:rsid w:val="000962A5"/>
    <w:rsid w:val="00096643"/>
    <w:rsid w:val="000A7390"/>
    <w:rsid w:val="000B269E"/>
    <w:rsid w:val="000B2DC6"/>
    <w:rsid w:val="000B2E4A"/>
    <w:rsid w:val="000D58FC"/>
    <w:rsid w:val="000E0FDF"/>
    <w:rsid w:val="00102C88"/>
    <w:rsid w:val="00110586"/>
    <w:rsid w:val="00112381"/>
    <w:rsid w:val="001334B7"/>
    <w:rsid w:val="0014645A"/>
    <w:rsid w:val="001568BC"/>
    <w:rsid w:val="00162B85"/>
    <w:rsid w:val="001919E7"/>
    <w:rsid w:val="001A68D4"/>
    <w:rsid w:val="001D42FA"/>
    <w:rsid w:val="001E0067"/>
    <w:rsid w:val="001E1EFB"/>
    <w:rsid w:val="001F23B7"/>
    <w:rsid w:val="001F31FC"/>
    <w:rsid w:val="001F453A"/>
    <w:rsid w:val="001F6D3D"/>
    <w:rsid w:val="00213E94"/>
    <w:rsid w:val="00227106"/>
    <w:rsid w:val="0024324E"/>
    <w:rsid w:val="002709A0"/>
    <w:rsid w:val="002976B5"/>
    <w:rsid w:val="002A05D6"/>
    <w:rsid w:val="002A4C6E"/>
    <w:rsid w:val="002B4F1F"/>
    <w:rsid w:val="002B6FF0"/>
    <w:rsid w:val="002C6201"/>
    <w:rsid w:val="002D1711"/>
    <w:rsid w:val="002E2D59"/>
    <w:rsid w:val="002E343A"/>
    <w:rsid w:val="003027A8"/>
    <w:rsid w:val="003060D5"/>
    <w:rsid w:val="0033255F"/>
    <w:rsid w:val="0033779C"/>
    <w:rsid w:val="00344AE0"/>
    <w:rsid w:val="00373AFE"/>
    <w:rsid w:val="00375560"/>
    <w:rsid w:val="003D1C27"/>
    <w:rsid w:val="003D2F1F"/>
    <w:rsid w:val="003D7B6A"/>
    <w:rsid w:val="004011E1"/>
    <w:rsid w:val="00417EA7"/>
    <w:rsid w:val="0042424A"/>
    <w:rsid w:val="0044682C"/>
    <w:rsid w:val="00474E38"/>
    <w:rsid w:val="004900BD"/>
    <w:rsid w:val="004B7EBB"/>
    <w:rsid w:val="004C6483"/>
    <w:rsid w:val="004F6465"/>
    <w:rsid w:val="00502885"/>
    <w:rsid w:val="0051423C"/>
    <w:rsid w:val="00516674"/>
    <w:rsid w:val="00543D99"/>
    <w:rsid w:val="00552602"/>
    <w:rsid w:val="00553C23"/>
    <w:rsid w:val="005606FA"/>
    <w:rsid w:val="00560D75"/>
    <w:rsid w:val="005923B6"/>
    <w:rsid w:val="005926AE"/>
    <w:rsid w:val="005A05E7"/>
    <w:rsid w:val="005C1AFE"/>
    <w:rsid w:val="005D529B"/>
    <w:rsid w:val="006040D0"/>
    <w:rsid w:val="00611F2F"/>
    <w:rsid w:val="00615FB5"/>
    <w:rsid w:val="00627FBF"/>
    <w:rsid w:val="00650042"/>
    <w:rsid w:val="0065433D"/>
    <w:rsid w:val="00660896"/>
    <w:rsid w:val="0067340F"/>
    <w:rsid w:val="00674ACF"/>
    <w:rsid w:val="00681336"/>
    <w:rsid w:val="00681ADB"/>
    <w:rsid w:val="00692548"/>
    <w:rsid w:val="006A34BF"/>
    <w:rsid w:val="006B1412"/>
    <w:rsid w:val="00705F2C"/>
    <w:rsid w:val="00725DDB"/>
    <w:rsid w:val="00734560"/>
    <w:rsid w:val="00737412"/>
    <w:rsid w:val="00737554"/>
    <w:rsid w:val="00755BD6"/>
    <w:rsid w:val="00765C37"/>
    <w:rsid w:val="007769C4"/>
    <w:rsid w:val="007B3F64"/>
    <w:rsid w:val="007E6727"/>
    <w:rsid w:val="007F45F6"/>
    <w:rsid w:val="007F4827"/>
    <w:rsid w:val="0080372F"/>
    <w:rsid w:val="0083094F"/>
    <w:rsid w:val="0085685E"/>
    <w:rsid w:val="00866328"/>
    <w:rsid w:val="00874D25"/>
    <w:rsid w:val="00891D87"/>
    <w:rsid w:val="0089499D"/>
    <w:rsid w:val="008B74D6"/>
    <w:rsid w:val="008E76BC"/>
    <w:rsid w:val="008F5832"/>
    <w:rsid w:val="00901788"/>
    <w:rsid w:val="009114F9"/>
    <w:rsid w:val="00925C70"/>
    <w:rsid w:val="00965EA7"/>
    <w:rsid w:val="00983DF8"/>
    <w:rsid w:val="009B44F7"/>
    <w:rsid w:val="009E4888"/>
    <w:rsid w:val="009F0F06"/>
    <w:rsid w:val="00A01CDC"/>
    <w:rsid w:val="00A030F6"/>
    <w:rsid w:val="00A0455A"/>
    <w:rsid w:val="00A050E8"/>
    <w:rsid w:val="00A260E6"/>
    <w:rsid w:val="00A4236D"/>
    <w:rsid w:val="00A527A8"/>
    <w:rsid w:val="00A623BA"/>
    <w:rsid w:val="00A7364F"/>
    <w:rsid w:val="00A8226C"/>
    <w:rsid w:val="00A86321"/>
    <w:rsid w:val="00AB2EF9"/>
    <w:rsid w:val="00AD5A88"/>
    <w:rsid w:val="00AD6011"/>
    <w:rsid w:val="00AE5DBC"/>
    <w:rsid w:val="00B04AE9"/>
    <w:rsid w:val="00B34C49"/>
    <w:rsid w:val="00B44CA5"/>
    <w:rsid w:val="00B540FF"/>
    <w:rsid w:val="00B55BB2"/>
    <w:rsid w:val="00B60490"/>
    <w:rsid w:val="00B67186"/>
    <w:rsid w:val="00B721D1"/>
    <w:rsid w:val="00B86B84"/>
    <w:rsid w:val="00BA2FB6"/>
    <w:rsid w:val="00BA7D9A"/>
    <w:rsid w:val="00BD6321"/>
    <w:rsid w:val="00BE283D"/>
    <w:rsid w:val="00BE6002"/>
    <w:rsid w:val="00C15884"/>
    <w:rsid w:val="00C22492"/>
    <w:rsid w:val="00C237AD"/>
    <w:rsid w:val="00C24443"/>
    <w:rsid w:val="00C30823"/>
    <w:rsid w:val="00C37AD5"/>
    <w:rsid w:val="00C57A7C"/>
    <w:rsid w:val="00C7616B"/>
    <w:rsid w:val="00CA7442"/>
    <w:rsid w:val="00CB55D8"/>
    <w:rsid w:val="00CD4288"/>
    <w:rsid w:val="00CE35A1"/>
    <w:rsid w:val="00CE580D"/>
    <w:rsid w:val="00CF3B28"/>
    <w:rsid w:val="00CF3F64"/>
    <w:rsid w:val="00CF5C7A"/>
    <w:rsid w:val="00D165E8"/>
    <w:rsid w:val="00D22A07"/>
    <w:rsid w:val="00D2433A"/>
    <w:rsid w:val="00D4130B"/>
    <w:rsid w:val="00D516F7"/>
    <w:rsid w:val="00D57342"/>
    <w:rsid w:val="00D70A7F"/>
    <w:rsid w:val="00D87F61"/>
    <w:rsid w:val="00D97350"/>
    <w:rsid w:val="00DB1BAD"/>
    <w:rsid w:val="00DC7EBA"/>
    <w:rsid w:val="00DE0B5A"/>
    <w:rsid w:val="00DF7800"/>
    <w:rsid w:val="00E04BC5"/>
    <w:rsid w:val="00E10FF8"/>
    <w:rsid w:val="00E419BE"/>
    <w:rsid w:val="00E44913"/>
    <w:rsid w:val="00EA3BF1"/>
    <w:rsid w:val="00ED2F98"/>
    <w:rsid w:val="00EF356D"/>
    <w:rsid w:val="00EF706E"/>
    <w:rsid w:val="00F00EAC"/>
    <w:rsid w:val="00F056DE"/>
    <w:rsid w:val="00F06A18"/>
    <w:rsid w:val="00F206A3"/>
    <w:rsid w:val="00F24D34"/>
    <w:rsid w:val="00F35C44"/>
    <w:rsid w:val="00F610E3"/>
    <w:rsid w:val="00F64B20"/>
    <w:rsid w:val="00F77A34"/>
    <w:rsid w:val="00FA0DC8"/>
    <w:rsid w:val="00FB527B"/>
    <w:rsid w:val="00FB7589"/>
    <w:rsid w:val="00FC17F0"/>
    <w:rsid w:val="00FD29E2"/>
    <w:rsid w:val="00FF14E0"/>
    <w:rsid w:val="00FF3249"/>
    <w:rsid w:val="00FF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D9D4C-7488-4D6E-9C43-1DD87FE4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AFE"/>
    <w:pPr>
      <w:ind w:left="720"/>
      <w:contextualSpacing/>
    </w:pPr>
  </w:style>
  <w:style w:type="paragraph" w:styleId="FootnoteText">
    <w:name w:val="footnote text"/>
    <w:basedOn w:val="Normal"/>
    <w:link w:val="FootnoteTextChar"/>
    <w:uiPriority w:val="99"/>
    <w:unhideWhenUsed/>
    <w:rsid w:val="00516674"/>
    <w:pPr>
      <w:spacing w:after="0" w:line="240" w:lineRule="auto"/>
    </w:pPr>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516674"/>
    <w:rPr>
      <w:rFonts w:asciiTheme="minorHAnsi" w:hAnsiTheme="minorHAnsi" w:cstheme="minorBidi"/>
      <w:sz w:val="20"/>
      <w:szCs w:val="20"/>
      <w:lang w:val="en-GB"/>
    </w:rPr>
  </w:style>
  <w:style w:type="character" w:styleId="FootnoteReference">
    <w:name w:val="footnote reference"/>
    <w:basedOn w:val="DefaultParagraphFont"/>
    <w:uiPriority w:val="99"/>
    <w:unhideWhenUsed/>
    <w:rsid w:val="00516674"/>
    <w:rPr>
      <w:vertAlign w:val="superscript"/>
    </w:rPr>
  </w:style>
  <w:style w:type="table" w:styleId="TableGrid">
    <w:name w:val="Table Grid"/>
    <w:basedOn w:val="TableNormal"/>
    <w:uiPriority w:val="39"/>
    <w:rsid w:val="00552602"/>
    <w:pPr>
      <w:spacing w:after="0" w:line="240" w:lineRule="auto"/>
    </w:pPr>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552602"/>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552602"/>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552602"/>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552602"/>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FC1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7F0"/>
    <w:rPr>
      <w:rFonts w:ascii="Segoe UI" w:hAnsi="Segoe UI" w:cs="Segoe UI"/>
      <w:sz w:val="18"/>
      <w:szCs w:val="18"/>
    </w:rPr>
  </w:style>
  <w:style w:type="paragraph" w:styleId="Header">
    <w:name w:val="header"/>
    <w:basedOn w:val="Normal"/>
    <w:link w:val="HeaderChar"/>
    <w:uiPriority w:val="99"/>
    <w:unhideWhenUsed/>
    <w:rsid w:val="00337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9C"/>
  </w:style>
  <w:style w:type="paragraph" w:styleId="Footer">
    <w:name w:val="footer"/>
    <w:basedOn w:val="Normal"/>
    <w:link w:val="FooterChar"/>
    <w:uiPriority w:val="99"/>
    <w:unhideWhenUsed/>
    <w:rsid w:val="00337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9C"/>
  </w:style>
  <w:style w:type="character" w:styleId="Hyperlink">
    <w:name w:val="Hyperlink"/>
    <w:basedOn w:val="DefaultParagraphFont"/>
    <w:uiPriority w:val="99"/>
    <w:unhideWhenUsed/>
    <w:rsid w:val="00012A99"/>
    <w:rPr>
      <w:color w:val="0000FF"/>
      <w:u w:val="single"/>
    </w:rPr>
  </w:style>
  <w:style w:type="paragraph" w:styleId="PlainText">
    <w:name w:val="Plain Text"/>
    <w:basedOn w:val="Normal"/>
    <w:link w:val="PlainTextChar"/>
    <w:uiPriority w:val="99"/>
    <w:semiHidden/>
    <w:unhideWhenUsed/>
    <w:rsid w:val="00BE283D"/>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BE283D"/>
    <w:rPr>
      <w:rFonts w:ascii="Calibri" w:eastAsia="MS Mincho" w:hAnsi="Calibri" w:cs="Times New Roman"/>
      <w:sz w:val="22"/>
      <w:szCs w:val="21"/>
    </w:rPr>
  </w:style>
  <w:style w:type="paragraph" w:customStyle="1" w:styleId="Default">
    <w:name w:val="Default"/>
    <w:rsid w:val="00A8226C"/>
    <w:pPr>
      <w:autoSpaceDE w:val="0"/>
      <w:autoSpaceDN w:val="0"/>
      <w:adjustRightInd w:val="0"/>
      <w:spacing w:after="0" w:line="240" w:lineRule="auto"/>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0839">
      <w:bodyDiv w:val="1"/>
      <w:marLeft w:val="0"/>
      <w:marRight w:val="0"/>
      <w:marTop w:val="0"/>
      <w:marBottom w:val="0"/>
      <w:divBdr>
        <w:top w:val="none" w:sz="0" w:space="0" w:color="auto"/>
        <w:left w:val="none" w:sz="0" w:space="0" w:color="auto"/>
        <w:bottom w:val="none" w:sz="0" w:space="0" w:color="auto"/>
        <w:right w:val="none" w:sz="0" w:space="0" w:color="auto"/>
      </w:divBdr>
    </w:div>
    <w:div w:id="4480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2021-12-07T18:30:00+00:00</Judgment_x0020_Date>
    <Year xmlns="c1afb1bd-f2fb-40fd-9abb-aea55b4d7662">2021</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F6E0C-C8C1-4E45-9A7A-E3D2196BE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AF18F-124D-441D-A7DD-B4C0CBD76D0E}">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363EDDE7-5CDF-499C-A28E-942CD9A7BA56}">
  <ds:schemaRefs>
    <ds:schemaRef ds:uri="http://schemas.microsoft.com/sharepoint/v3/contenttype/forms"/>
  </ds:schemaRefs>
</ds:datastoreItem>
</file>

<file path=customXml/itemProps4.xml><?xml version="1.0" encoding="utf-8"?>
<ds:datastoreItem xmlns:ds="http://schemas.openxmlformats.org/officeDocument/2006/customXml" ds:itemID="{8177D6BF-0D0B-4F4F-A347-DEF5F73A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Kahatjipara v First National Bank of Namibia (HC-MD-CIV-ACT-CON-2019-05422) [2021] NAHCMD 578 (08 December 2021)</vt:lpstr>
    </vt:vector>
  </TitlesOfParts>
  <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Kahatjipara v First National Bank of Namibia (HC-MD-CIV-ACT-CON-2019-05422) [2021] NAHCMD 578 (08 December 2021)</dc:title>
  <dc:subject/>
  <dc:creator>Prinsloo Hannelie</dc:creator>
  <cp:keywords/>
  <dc:description/>
  <cp:lastModifiedBy>HOME</cp:lastModifiedBy>
  <cp:revision>2</cp:revision>
  <cp:lastPrinted>2021-12-08T06:51:00Z</cp:lastPrinted>
  <dcterms:created xsi:type="dcterms:W3CDTF">2021-12-19T09:24:00Z</dcterms:created>
  <dcterms:modified xsi:type="dcterms:W3CDTF">2021-12-19T09:24:00Z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