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5C33D" w14:textId="77777777" w:rsidR="00D26CB5" w:rsidRPr="00A261AA" w:rsidRDefault="00D26CB5" w:rsidP="00A701C4">
      <w:pPr>
        <w:spacing w:after="0" w:line="360" w:lineRule="auto"/>
        <w:jc w:val="center"/>
        <w:rPr>
          <w:rFonts w:ascii="Arial Narrow" w:hAnsi="Arial Narrow"/>
          <w:sz w:val="24"/>
          <w:szCs w:val="24"/>
        </w:rPr>
      </w:pPr>
      <w:bookmarkStart w:id="0" w:name="_GoBack"/>
      <w:bookmarkEnd w:id="0"/>
      <w:r w:rsidRPr="00A261AA">
        <w:rPr>
          <w:rFonts w:ascii="Arial Narrow" w:hAnsi="Arial Narrow"/>
          <w:sz w:val="24"/>
          <w:szCs w:val="24"/>
        </w:rPr>
        <w:t>“ANNEXURE 11”</w:t>
      </w:r>
    </w:p>
    <w:p w14:paraId="6B6FDD8A" w14:textId="77777777" w:rsidR="00D26CB5" w:rsidRPr="00A261AA" w:rsidRDefault="00D26CB5" w:rsidP="00A701C4">
      <w:pPr>
        <w:spacing w:after="0" w:line="360" w:lineRule="auto"/>
        <w:jc w:val="center"/>
        <w:rPr>
          <w:rFonts w:ascii="Arial Narrow" w:hAnsi="Arial Narrow"/>
          <w:sz w:val="24"/>
          <w:szCs w:val="24"/>
        </w:rPr>
      </w:pPr>
      <w:r w:rsidRPr="00A261AA">
        <w:rPr>
          <w:rFonts w:ascii="Arial Narrow" w:hAnsi="Arial Narrow"/>
          <w:sz w:val="24"/>
          <w:szCs w:val="24"/>
        </w:rPr>
        <w:t>Practice Directive 61</w:t>
      </w:r>
    </w:p>
    <w:p w14:paraId="3D92E401" w14:textId="77777777" w:rsidR="00D26CB5" w:rsidRPr="00A261AA" w:rsidRDefault="00D26CB5" w:rsidP="00A701C4">
      <w:pPr>
        <w:spacing w:after="0" w:line="360" w:lineRule="auto"/>
        <w:jc w:val="both"/>
        <w:rPr>
          <w:rFonts w:ascii="Arial Narrow" w:hAnsi="Arial Narrow"/>
          <w:sz w:val="24"/>
          <w:szCs w:val="24"/>
        </w:rPr>
      </w:pPr>
    </w:p>
    <w:p w14:paraId="4741D15B" w14:textId="77777777" w:rsidR="00D26CB5" w:rsidRPr="00A261AA" w:rsidRDefault="00D26CB5" w:rsidP="00A701C4">
      <w:pPr>
        <w:spacing w:after="0" w:line="360" w:lineRule="auto"/>
        <w:jc w:val="center"/>
        <w:rPr>
          <w:rFonts w:ascii="Arial Narrow" w:hAnsi="Arial Narrow"/>
          <w:b/>
          <w:sz w:val="24"/>
          <w:szCs w:val="24"/>
        </w:rPr>
      </w:pPr>
      <w:r w:rsidRPr="00A261AA">
        <w:rPr>
          <w:rFonts w:ascii="Arial Narrow" w:hAnsi="Arial Narrow"/>
          <w:b/>
          <w:sz w:val="24"/>
          <w:szCs w:val="24"/>
        </w:rPr>
        <w:t>IN THE HIGH COURT OF NAMIBIA</w:t>
      </w:r>
    </w:p>
    <w:p w14:paraId="4309657A" w14:textId="77777777" w:rsidR="00D26CB5" w:rsidRPr="00A261AA" w:rsidRDefault="00D26CB5" w:rsidP="00A701C4">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D26CB5" w:rsidRPr="00A261AA" w14:paraId="079A9276" w14:textId="77777777" w:rsidTr="0092129C">
        <w:trPr>
          <w:trHeight w:val="744"/>
        </w:trPr>
        <w:tc>
          <w:tcPr>
            <w:tcW w:w="5397" w:type="dxa"/>
            <w:gridSpan w:val="2"/>
            <w:vMerge w:val="restart"/>
          </w:tcPr>
          <w:p w14:paraId="5A86D5DB" w14:textId="77777777" w:rsidR="00D26CB5" w:rsidRPr="00A261AA" w:rsidRDefault="00D26CB5" w:rsidP="00A701C4">
            <w:pPr>
              <w:spacing w:line="360" w:lineRule="auto"/>
              <w:jc w:val="both"/>
              <w:rPr>
                <w:rFonts w:ascii="Arial Narrow" w:hAnsi="Arial Narrow" w:cs="Arial"/>
                <w:sz w:val="24"/>
                <w:szCs w:val="24"/>
              </w:rPr>
            </w:pPr>
            <w:r w:rsidRPr="00A261AA">
              <w:rPr>
                <w:rFonts w:ascii="Arial Narrow" w:hAnsi="Arial Narrow" w:cs="Arial"/>
                <w:b/>
                <w:sz w:val="24"/>
                <w:szCs w:val="24"/>
              </w:rPr>
              <w:t>Case Title:</w:t>
            </w:r>
          </w:p>
          <w:p w14:paraId="01C718EA" w14:textId="77777777" w:rsidR="00D26CB5" w:rsidRPr="00A261AA" w:rsidRDefault="00203DAB" w:rsidP="00A701C4">
            <w:pPr>
              <w:spacing w:line="360" w:lineRule="auto"/>
              <w:jc w:val="both"/>
              <w:rPr>
                <w:rFonts w:ascii="Arial Narrow" w:hAnsi="Arial Narrow" w:cs="Arial"/>
                <w:sz w:val="24"/>
                <w:szCs w:val="24"/>
              </w:rPr>
            </w:pPr>
            <w:r w:rsidRPr="00A261AA">
              <w:rPr>
                <w:rFonts w:ascii="Arial Narrow" w:hAnsi="Arial Narrow" w:cs="Arial"/>
                <w:sz w:val="24"/>
                <w:szCs w:val="24"/>
              </w:rPr>
              <w:t>FREEDOM SQUARE (PTY) LTD v THE SOCIAL SECURITY COMMISSION</w:t>
            </w:r>
          </w:p>
        </w:tc>
        <w:tc>
          <w:tcPr>
            <w:tcW w:w="4323" w:type="dxa"/>
          </w:tcPr>
          <w:p w14:paraId="4E138121" w14:textId="77777777" w:rsidR="00D26CB5" w:rsidRPr="00A261AA" w:rsidRDefault="00D26CB5" w:rsidP="00A701C4">
            <w:pPr>
              <w:spacing w:line="360" w:lineRule="auto"/>
              <w:jc w:val="both"/>
              <w:rPr>
                <w:rFonts w:ascii="Arial Narrow" w:hAnsi="Arial Narrow" w:cs="Arial"/>
                <w:sz w:val="24"/>
                <w:szCs w:val="24"/>
              </w:rPr>
            </w:pPr>
            <w:r w:rsidRPr="00A261AA">
              <w:rPr>
                <w:rFonts w:ascii="Arial Narrow" w:hAnsi="Arial Narrow" w:cs="Arial"/>
                <w:b/>
                <w:sz w:val="24"/>
                <w:szCs w:val="24"/>
              </w:rPr>
              <w:t>Case No:</w:t>
            </w:r>
          </w:p>
          <w:p w14:paraId="5D4DAAB4" w14:textId="77777777" w:rsidR="00D26CB5" w:rsidRPr="00A261AA" w:rsidRDefault="00BB4ACA" w:rsidP="00A701C4">
            <w:pPr>
              <w:spacing w:line="360" w:lineRule="auto"/>
              <w:jc w:val="both"/>
              <w:rPr>
                <w:rFonts w:ascii="Arial Narrow" w:hAnsi="Arial Narrow" w:cs="Arial"/>
                <w:b/>
                <w:sz w:val="24"/>
                <w:szCs w:val="24"/>
              </w:rPr>
            </w:pPr>
            <w:r w:rsidRPr="00A261AA">
              <w:rPr>
                <w:rFonts w:ascii="Arial Narrow" w:hAnsi="Arial Narrow" w:cs="Arial"/>
                <w:sz w:val="24"/>
                <w:szCs w:val="24"/>
              </w:rPr>
              <w:t>HC-MD-CIV-ACT-</w:t>
            </w:r>
            <w:r w:rsidR="00C5049E" w:rsidRPr="00A261AA">
              <w:rPr>
                <w:rFonts w:ascii="Arial Narrow" w:hAnsi="Arial Narrow" w:cs="Arial"/>
                <w:sz w:val="24"/>
                <w:szCs w:val="24"/>
              </w:rPr>
              <w:t>CON-201</w:t>
            </w:r>
            <w:r w:rsidR="00203DAB" w:rsidRPr="00A261AA">
              <w:rPr>
                <w:rFonts w:ascii="Arial Narrow" w:hAnsi="Arial Narrow" w:cs="Arial"/>
                <w:sz w:val="24"/>
                <w:szCs w:val="24"/>
              </w:rPr>
              <w:t>7</w:t>
            </w:r>
            <w:r w:rsidR="00C5049E" w:rsidRPr="00A261AA">
              <w:rPr>
                <w:rFonts w:ascii="Arial Narrow" w:hAnsi="Arial Narrow" w:cs="Arial"/>
                <w:sz w:val="24"/>
                <w:szCs w:val="24"/>
              </w:rPr>
              <w:t>/04</w:t>
            </w:r>
            <w:r w:rsidR="00203DAB" w:rsidRPr="00A261AA">
              <w:rPr>
                <w:rFonts w:ascii="Arial Narrow" w:hAnsi="Arial Narrow" w:cs="Arial"/>
                <w:sz w:val="24"/>
                <w:szCs w:val="24"/>
              </w:rPr>
              <w:t>390</w:t>
            </w:r>
          </w:p>
        </w:tc>
      </w:tr>
      <w:tr w:rsidR="00D26CB5" w:rsidRPr="00A261AA" w14:paraId="5F33C049" w14:textId="77777777" w:rsidTr="0092129C">
        <w:trPr>
          <w:trHeight w:val="844"/>
        </w:trPr>
        <w:tc>
          <w:tcPr>
            <w:tcW w:w="5397" w:type="dxa"/>
            <w:gridSpan w:val="2"/>
            <w:vMerge/>
          </w:tcPr>
          <w:p w14:paraId="4FF16EE4" w14:textId="77777777" w:rsidR="00D26CB5" w:rsidRPr="00A261AA" w:rsidRDefault="00D26CB5" w:rsidP="00A701C4">
            <w:pPr>
              <w:spacing w:line="360" w:lineRule="auto"/>
              <w:jc w:val="both"/>
              <w:rPr>
                <w:rFonts w:ascii="Arial Narrow" w:hAnsi="Arial Narrow" w:cs="Arial"/>
                <w:sz w:val="24"/>
                <w:szCs w:val="24"/>
              </w:rPr>
            </w:pPr>
          </w:p>
        </w:tc>
        <w:tc>
          <w:tcPr>
            <w:tcW w:w="4323" w:type="dxa"/>
          </w:tcPr>
          <w:p w14:paraId="7C37F93D" w14:textId="77777777" w:rsidR="00D26CB5" w:rsidRPr="00A261AA" w:rsidRDefault="00D26CB5" w:rsidP="00A701C4">
            <w:pPr>
              <w:spacing w:before="240" w:line="360" w:lineRule="auto"/>
              <w:jc w:val="both"/>
              <w:rPr>
                <w:rFonts w:ascii="Arial Narrow" w:hAnsi="Arial Narrow" w:cs="Arial"/>
                <w:sz w:val="24"/>
                <w:szCs w:val="24"/>
              </w:rPr>
            </w:pPr>
            <w:r w:rsidRPr="00A261AA">
              <w:rPr>
                <w:rFonts w:ascii="Arial Narrow" w:hAnsi="Arial Narrow" w:cs="Arial"/>
                <w:b/>
                <w:sz w:val="24"/>
                <w:szCs w:val="24"/>
              </w:rPr>
              <w:t>Division of Court:</w:t>
            </w:r>
          </w:p>
          <w:p w14:paraId="0A61A641" w14:textId="77777777" w:rsidR="00D26CB5" w:rsidRPr="00A261AA" w:rsidRDefault="00D67EBE" w:rsidP="00A701C4">
            <w:pPr>
              <w:spacing w:line="360" w:lineRule="auto"/>
              <w:jc w:val="both"/>
              <w:rPr>
                <w:rFonts w:ascii="Arial Narrow" w:hAnsi="Arial Narrow" w:cs="Arial"/>
                <w:sz w:val="24"/>
                <w:szCs w:val="24"/>
              </w:rPr>
            </w:pPr>
            <w:r w:rsidRPr="00A261AA">
              <w:rPr>
                <w:rFonts w:ascii="Arial Narrow" w:hAnsi="Arial Narrow" w:cs="Arial"/>
                <w:sz w:val="24"/>
                <w:szCs w:val="24"/>
              </w:rPr>
              <w:t>MAIN DIVISION</w:t>
            </w:r>
          </w:p>
        </w:tc>
      </w:tr>
      <w:tr w:rsidR="00D26CB5" w:rsidRPr="00A261AA" w14:paraId="3F9EEFCD" w14:textId="77777777" w:rsidTr="0092129C">
        <w:trPr>
          <w:trHeight w:val="645"/>
        </w:trPr>
        <w:tc>
          <w:tcPr>
            <w:tcW w:w="5397" w:type="dxa"/>
            <w:gridSpan w:val="2"/>
            <w:vMerge w:val="restart"/>
          </w:tcPr>
          <w:p w14:paraId="5F64A4F5" w14:textId="77777777" w:rsidR="00D26CB5" w:rsidRPr="00A261AA" w:rsidRDefault="00371056" w:rsidP="00A701C4">
            <w:pPr>
              <w:spacing w:line="360" w:lineRule="auto"/>
              <w:jc w:val="both"/>
              <w:rPr>
                <w:rFonts w:ascii="Arial Narrow" w:hAnsi="Arial Narrow" w:cs="Arial"/>
                <w:b/>
                <w:sz w:val="24"/>
                <w:szCs w:val="24"/>
              </w:rPr>
            </w:pPr>
            <w:r w:rsidRPr="00A261AA">
              <w:rPr>
                <w:rFonts w:ascii="Arial Narrow" w:hAnsi="Arial Narrow" w:cs="Arial"/>
                <w:b/>
                <w:sz w:val="24"/>
                <w:szCs w:val="24"/>
              </w:rPr>
              <w:t>Heard before</w:t>
            </w:r>
          </w:p>
          <w:p w14:paraId="33192F2F" w14:textId="77777777" w:rsidR="00371056" w:rsidRPr="00A261AA" w:rsidRDefault="00CE700B" w:rsidP="00A701C4">
            <w:pPr>
              <w:spacing w:line="360" w:lineRule="auto"/>
              <w:jc w:val="both"/>
              <w:rPr>
                <w:rFonts w:ascii="Arial Narrow" w:hAnsi="Arial Narrow" w:cs="Arial"/>
                <w:sz w:val="24"/>
                <w:szCs w:val="24"/>
              </w:rPr>
            </w:pPr>
            <w:r w:rsidRPr="00A261AA">
              <w:rPr>
                <w:rFonts w:ascii="Arial Narrow" w:hAnsi="Arial Narrow" w:cs="Arial"/>
                <w:sz w:val="24"/>
                <w:szCs w:val="24"/>
              </w:rPr>
              <w:t>HONOURABLE LADY JUSTICE PRINSLOO, JUDGE</w:t>
            </w:r>
          </w:p>
        </w:tc>
        <w:tc>
          <w:tcPr>
            <w:tcW w:w="4323" w:type="dxa"/>
          </w:tcPr>
          <w:p w14:paraId="6833F24B" w14:textId="77777777" w:rsidR="00D26CB5" w:rsidRPr="00A261AA" w:rsidRDefault="00D26CB5" w:rsidP="00A701C4">
            <w:pPr>
              <w:spacing w:before="240" w:line="360" w:lineRule="auto"/>
              <w:jc w:val="both"/>
              <w:rPr>
                <w:rFonts w:ascii="Arial Narrow" w:hAnsi="Arial Narrow" w:cs="Arial"/>
                <w:b/>
                <w:sz w:val="24"/>
                <w:szCs w:val="24"/>
              </w:rPr>
            </w:pPr>
            <w:r w:rsidRPr="00A261AA">
              <w:rPr>
                <w:rFonts w:ascii="Arial Narrow" w:hAnsi="Arial Narrow" w:cs="Arial"/>
                <w:b/>
                <w:sz w:val="24"/>
                <w:szCs w:val="24"/>
              </w:rPr>
              <w:t>Date of hearing:</w:t>
            </w:r>
          </w:p>
          <w:p w14:paraId="2BE30761" w14:textId="77777777" w:rsidR="00D26CB5" w:rsidRPr="00A261AA" w:rsidRDefault="00592749" w:rsidP="00A701C4">
            <w:pPr>
              <w:spacing w:line="360" w:lineRule="auto"/>
              <w:rPr>
                <w:rFonts w:ascii="Arial Narrow" w:hAnsi="Arial Narrow" w:cs="Arial"/>
                <w:sz w:val="24"/>
                <w:szCs w:val="24"/>
              </w:rPr>
            </w:pPr>
            <w:r>
              <w:rPr>
                <w:rFonts w:ascii="Arial Narrow" w:hAnsi="Arial Narrow" w:cs="Arial"/>
                <w:sz w:val="24"/>
                <w:szCs w:val="24"/>
              </w:rPr>
              <w:t>1 February 2021</w:t>
            </w:r>
          </w:p>
        </w:tc>
      </w:tr>
      <w:tr w:rsidR="00D26CB5" w:rsidRPr="00A261AA" w14:paraId="47D21283" w14:textId="77777777" w:rsidTr="0026232F">
        <w:trPr>
          <w:trHeight w:val="818"/>
        </w:trPr>
        <w:tc>
          <w:tcPr>
            <w:tcW w:w="5397" w:type="dxa"/>
            <w:gridSpan w:val="2"/>
            <w:vMerge/>
          </w:tcPr>
          <w:p w14:paraId="4F6263F6" w14:textId="77777777" w:rsidR="00D26CB5" w:rsidRPr="00A261AA" w:rsidRDefault="00D26CB5" w:rsidP="00A701C4">
            <w:pPr>
              <w:spacing w:line="360" w:lineRule="auto"/>
              <w:jc w:val="both"/>
              <w:rPr>
                <w:rFonts w:ascii="Arial Narrow" w:hAnsi="Arial Narrow" w:cs="Arial"/>
                <w:b/>
                <w:sz w:val="24"/>
                <w:szCs w:val="24"/>
              </w:rPr>
            </w:pPr>
          </w:p>
        </w:tc>
        <w:tc>
          <w:tcPr>
            <w:tcW w:w="4323" w:type="dxa"/>
          </w:tcPr>
          <w:p w14:paraId="0CA1C211" w14:textId="77777777" w:rsidR="00D26CB5" w:rsidRPr="00A261AA" w:rsidRDefault="00701DE4" w:rsidP="00A701C4">
            <w:pPr>
              <w:spacing w:before="240" w:line="360" w:lineRule="auto"/>
              <w:jc w:val="both"/>
              <w:rPr>
                <w:rFonts w:ascii="Arial Narrow" w:hAnsi="Arial Narrow" w:cs="Arial"/>
                <w:b/>
                <w:sz w:val="24"/>
                <w:szCs w:val="24"/>
              </w:rPr>
            </w:pPr>
            <w:r w:rsidRPr="00A261AA">
              <w:rPr>
                <w:rFonts w:ascii="Arial Narrow" w:hAnsi="Arial Narrow" w:cs="Arial"/>
                <w:b/>
                <w:sz w:val="24"/>
                <w:szCs w:val="24"/>
              </w:rPr>
              <w:t>Delivered</w:t>
            </w:r>
            <w:r w:rsidR="00D26CB5" w:rsidRPr="00A261AA">
              <w:rPr>
                <w:rFonts w:ascii="Arial Narrow" w:hAnsi="Arial Narrow" w:cs="Arial"/>
                <w:b/>
                <w:sz w:val="24"/>
                <w:szCs w:val="24"/>
              </w:rPr>
              <w:t>:</w:t>
            </w:r>
          </w:p>
          <w:p w14:paraId="349EB6A8" w14:textId="77777777" w:rsidR="005B5CFB" w:rsidRPr="00A261AA" w:rsidRDefault="00AD5169" w:rsidP="00A701C4">
            <w:pPr>
              <w:spacing w:line="360" w:lineRule="auto"/>
              <w:jc w:val="both"/>
              <w:rPr>
                <w:rFonts w:ascii="Arial Narrow" w:hAnsi="Arial Narrow" w:cs="Arial"/>
                <w:sz w:val="24"/>
                <w:szCs w:val="24"/>
              </w:rPr>
            </w:pPr>
            <w:r>
              <w:rPr>
                <w:rFonts w:ascii="Arial Narrow" w:hAnsi="Arial Narrow" w:cs="Arial"/>
                <w:sz w:val="24"/>
                <w:szCs w:val="24"/>
              </w:rPr>
              <w:t>18 February 2021</w:t>
            </w:r>
          </w:p>
        </w:tc>
      </w:tr>
      <w:tr w:rsidR="00D26CB5" w:rsidRPr="00A261AA" w14:paraId="3309CBC1" w14:textId="77777777" w:rsidTr="0092129C">
        <w:tc>
          <w:tcPr>
            <w:tcW w:w="9720" w:type="dxa"/>
            <w:gridSpan w:val="3"/>
          </w:tcPr>
          <w:p w14:paraId="611D105E" w14:textId="53060756" w:rsidR="00D67EBE" w:rsidRPr="00A261AA" w:rsidRDefault="0093109A" w:rsidP="00A701C4">
            <w:pPr>
              <w:pStyle w:val="form-control-static"/>
              <w:shd w:val="clear" w:color="auto" w:fill="FFFFFF"/>
              <w:spacing w:before="240" w:beforeAutospacing="0" w:after="0" w:afterAutospacing="0" w:line="360" w:lineRule="auto"/>
              <w:rPr>
                <w:rFonts w:ascii="Arial Narrow" w:hAnsi="Arial Narrow" w:cs="Arial"/>
                <w:color w:val="333333"/>
              </w:rPr>
            </w:pPr>
            <w:r w:rsidRPr="00A261AA">
              <w:rPr>
                <w:rFonts w:ascii="Arial Narrow" w:hAnsi="Arial Narrow" w:cs="Arial"/>
                <w:b/>
              </w:rPr>
              <w:t xml:space="preserve">Neutral citation: </w:t>
            </w:r>
            <w:r w:rsidR="00203DAB" w:rsidRPr="00A261AA">
              <w:rPr>
                <w:rFonts w:ascii="Arial Narrow" w:hAnsi="Arial Narrow" w:cs="Arial"/>
                <w:i/>
              </w:rPr>
              <w:t xml:space="preserve">Freedom Square (Pty) Ltd v The Social Security Commission </w:t>
            </w:r>
            <w:r w:rsidR="00203DAB" w:rsidRPr="00A261AA">
              <w:rPr>
                <w:rFonts w:ascii="Arial Narrow" w:hAnsi="Arial Narrow" w:cs="Arial"/>
              </w:rPr>
              <w:t>(HC-MD-CIV-ACT-CON-2017/04390) [202</w:t>
            </w:r>
            <w:r w:rsidR="00B551AE">
              <w:rPr>
                <w:rFonts w:ascii="Arial Narrow" w:hAnsi="Arial Narrow" w:cs="Arial"/>
              </w:rPr>
              <w:t>1</w:t>
            </w:r>
            <w:r w:rsidR="00203DAB" w:rsidRPr="00A261AA">
              <w:rPr>
                <w:rFonts w:ascii="Arial Narrow" w:hAnsi="Arial Narrow" w:cs="Arial"/>
              </w:rPr>
              <w:t xml:space="preserve">] NAHCMD </w:t>
            </w:r>
            <w:r w:rsidR="00DB08F1">
              <w:rPr>
                <w:rFonts w:ascii="Arial Narrow" w:hAnsi="Arial Narrow" w:cs="Arial"/>
              </w:rPr>
              <w:t xml:space="preserve">58 </w:t>
            </w:r>
            <w:r w:rsidR="00203DAB" w:rsidRPr="00A261AA">
              <w:rPr>
                <w:rFonts w:ascii="Arial Narrow" w:hAnsi="Arial Narrow" w:cs="Arial"/>
              </w:rPr>
              <w:t>(</w:t>
            </w:r>
            <w:r w:rsidR="008C7F29">
              <w:rPr>
                <w:rFonts w:ascii="Arial Narrow" w:hAnsi="Arial Narrow" w:cs="Arial"/>
              </w:rPr>
              <w:t>18 February 2021</w:t>
            </w:r>
            <w:r w:rsidR="00203DAB" w:rsidRPr="00A261AA">
              <w:rPr>
                <w:rFonts w:ascii="Arial Narrow" w:hAnsi="Arial Narrow" w:cs="Arial"/>
              </w:rPr>
              <w:t>)</w:t>
            </w:r>
          </w:p>
        </w:tc>
      </w:tr>
      <w:tr w:rsidR="00D26CB5" w:rsidRPr="00A261AA" w14:paraId="12AFD361" w14:textId="77777777" w:rsidTr="00B75AA2">
        <w:trPr>
          <w:trHeight w:val="773"/>
        </w:trPr>
        <w:tc>
          <w:tcPr>
            <w:tcW w:w="9720" w:type="dxa"/>
            <w:gridSpan w:val="3"/>
            <w:tcBorders>
              <w:bottom w:val="single" w:sz="4" w:space="0" w:color="auto"/>
            </w:tcBorders>
          </w:tcPr>
          <w:p w14:paraId="5DBE76E5" w14:textId="77777777" w:rsidR="00703992" w:rsidRDefault="00703992" w:rsidP="006A47BB">
            <w:pPr>
              <w:spacing w:before="240" w:line="360" w:lineRule="auto"/>
              <w:jc w:val="both"/>
              <w:rPr>
                <w:rFonts w:ascii="Arial Narrow" w:eastAsia="Times New Roman" w:hAnsi="Arial Narrow" w:cs="Times New Roman"/>
                <w:color w:val="000000"/>
                <w:sz w:val="24"/>
                <w:szCs w:val="24"/>
                <w:lang w:eastAsia="en-ZA"/>
              </w:rPr>
            </w:pPr>
            <w:r w:rsidRPr="00703992">
              <w:rPr>
                <w:rFonts w:ascii="Arial Narrow" w:eastAsia="Times New Roman" w:hAnsi="Arial Narrow" w:cs="Times New Roman"/>
                <w:color w:val="000000"/>
                <w:sz w:val="24"/>
                <w:szCs w:val="24"/>
                <w:lang w:eastAsia="en-ZA"/>
              </w:rPr>
              <w:t>Having heard </w:t>
            </w:r>
            <w:r w:rsidRPr="00703992">
              <w:rPr>
                <w:rFonts w:ascii="Arial Narrow" w:eastAsia="Times New Roman" w:hAnsi="Arial Narrow" w:cs="Times New Roman"/>
                <w:b/>
                <w:bCs/>
                <w:color w:val="000000"/>
                <w:sz w:val="24"/>
                <w:szCs w:val="24"/>
                <w:lang w:eastAsia="en-ZA"/>
              </w:rPr>
              <w:t>SHUMIRAI NYASHANU, </w:t>
            </w:r>
            <w:r w:rsidRPr="00703992">
              <w:rPr>
                <w:rFonts w:ascii="Arial Narrow" w:eastAsia="Times New Roman" w:hAnsi="Arial Narrow" w:cs="Times New Roman"/>
                <w:color w:val="000000"/>
                <w:sz w:val="24"/>
                <w:szCs w:val="24"/>
                <w:lang w:eastAsia="en-ZA"/>
              </w:rPr>
              <w:t>on behalf of the Plaintiff(s) and</w:t>
            </w:r>
            <w:r w:rsidRPr="00703992">
              <w:rPr>
                <w:rFonts w:ascii="Arial Narrow" w:eastAsia="Times New Roman" w:hAnsi="Arial Narrow" w:cs="Times New Roman"/>
                <w:b/>
                <w:bCs/>
                <w:color w:val="000000"/>
                <w:sz w:val="24"/>
                <w:szCs w:val="24"/>
                <w:lang w:eastAsia="en-ZA"/>
              </w:rPr>
              <w:t> CHRISSY TURCK, </w:t>
            </w:r>
            <w:r w:rsidRPr="00703992">
              <w:rPr>
                <w:rFonts w:ascii="Arial Narrow" w:eastAsia="Times New Roman" w:hAnsi="Arial Narrow" w:cs="Times New Roman"/>
                <w:color w:val="000000"/>
                <w:sz w:val="24"/>
                <w:szCs w:val="24"/>
                <w:lang w:eastAsia="en-ZA"/>
              </w:rPr>
              <w:t>on behalf of the Defendant(s) and having read the pleading for </w:t>
            </w:r>
            <w:r w:rsidRPr="00703992">
              <w:rPr>
                <w:rFonts w:ascii="Arial Narrow" w:eastAsia="Times New Roman" w:hAnsi="Arial Narrow" w:cs="Times New Roman"/>
                <w:b/>
                <w:bCs/>
                <w:color w:val="000000"/>
                <w:sz w:val="24"/>
                <w:szCs w:val="24"/>
                <w:lang w:eastAsia="en-ZA"/>
              </w:rPr>
              <w:t>HC-MD-CIV-ACT-CON-2017/04390</w:t>
            </w:r>
            <w:r w:rsidRPr="00703992">
              <w:rPr>
                <w:rFonts w:ascii="Arial Narrow" w:eastAsia="Times New Roman" w:hAnsi="Arial Narrow" w:cs="Times New Roman"/>
                <w:color w:val="000000"/>
                <w:sz w:val="24"/>
                <w:szCs w:val="24"/>
                <w:lang w:eastAsia="en-ZA"/>
              </w:rPr>
              <w:t> and other documents filed of record:</w:t>
            </w:r>
          </w:p>
          <w:p w14:paraId="013B7945" w14:textId="77777777" w:rsidR="006A47BB" w:rsidRPr="00703992" w:rsidRDefault="006A47BB" w:rsidP="006A47BB">
            <w:pPr>
              <w:spacing w:line="360" w:lineRule="auto"/>
              <w:jc w:val="both"/>
              <w:rPr>
                <w:rFonts w:ascii="Arial Narrow" w:eastAsia="Times New Roman" w:hAnsi="Arial Narrow" w:cs="Times New Roman"/>
                <w:color w:val="000000"/>
                <w:sz w:val="24"/>
                <w:szCs w:val="24"/>
                <w:lang w:eastAsia="en-ZA"/>
              </w:rPr>
            </w:pPr>
          </w:p>
          <w:p w14:paraId="6EE424C0" w14:textId="77777777" w:rsidR="00703992" w:rsidRDefault="00703992" w:rsidP="00A701C4">
            <w:pPr>
              <w:spacing w:line="360" w:lineRule="auto"/>
              <w:rPr>
                <w:rFonts w:ascii="Arial Narrow" w:eastAsia="Times New Roman" w:hAnsi="Arial Narrow" w:cs="Times New Roman"/>
                <w:b/>
                <w:bCs/>
                <w:color w:val="000000"/>
                <w:sz w:val="24"/>
                <w:szCs w:val="24"/>
                <w:lang w:eastAsia="en-ZA"/>
              </w:rPr>
            </w:pPr>
            <w:r w:rsidRPr="00703992">
              <w:rPr>
                <w:rFonts w:ascii="Arial Narrow" w:eastAsia="Times New Roman" w:hAnsi="Arial Narrow" w:cs="Times New Roman"/>
                <w:b/>
                <w:bCs/>
                <w:color w:val="000000"/>
                <w:sz w:val="24"/>
                <w:szCs w:val="24"/>
                <w:lang w:eastAsia="en-ZA"/>
              </w:rPr>
              <w:t>IT IS HEREBY ORDERED THAT:</w:t>
            </w:r>
          </w:p>
          <w:p w14:paraId="37C3FC38" w14:textId="77777777" w:rsidR="006A47BB" w:rsidRPr="00703992" w:rsidRDefault="006A47BB" w:rsidP="00A701C4">
            <w:pPr>
              <w:spacing w:line="360" w:lineRule="auto"/>
              <w:rPr>
                <w:rFonts w:ascii="Arial Narrow" w:eastAsia="Times New Roman" w:hAnsi="Arial Narrow" w:cs="Times New Roman"/>
                <w:b/>
                <w:bCs/>
                <w:color w:val="000000"/>
                <w:sz w:val="24"/>
                <w:szCs w:val="24"/>
                <w:lang w:eastAsia="en-ZA"/>
              </w:rPr>
            </w:pPr>
          </w:p>
          <w:p w14:paraId="4162D9BA" w14:textId="77777777" w:rsidR="00703992" w:rsidRDefault="00703992" w:rsidP="00A701C4">
            <w:pPr>
              <w:spacing w:line="360" w:lineRule="auto"/>
              <w:jc w:val="both"/>
              <w:rPr>
                <w:rFonts w:ascii="Arial Narrow" w:eastAsia="Times New Roman" w:hAnsi="Arial Narrow" w:cs="Times New Roman"/>
                <w:b/>
                <w:bCs/>
                <w:color w:val="000000"/>
                <w:sz w:val="24"/>
                <w:szCs w:val="24"/>
                <w:u w:val="single"/>
                <w:lang w:eastAsia="en-ZA"/>
              </w:rPr>
            </w:pPr>
            <w:r w:rsidRPr="00703992">
              <w:rPr>
                <w:rFonts w:ascii="Arial Narrow" w:eastAsia="Times New Roman" w:hAnsi="Arial Narrow" w:cs="Times New Roman"/>
                <w:b/>
                <w:bCs/>
                <w:color w:val="000000"/>
                <w:sz w:val="24"/>
                <w:szCs w:val="24"/>
                <w:u w:val="single"/>
                <w:lang w:eastAsia="en-ZA"/>
              </w:rPr>
              <w:t>Ruling</w:t>
            </w:r>
          </w:p>
          <w:p w14:paraId="62B752B1" w14:textId="77777777" w:rsidR="006A47BB" w:rsidRPr="00703992" w:rsidRDefault="006A47BB" w:rsidP="00A701C4">
            <w:pPr>
              <w:spacing w:line="360" w:lineRule="auto"/>
              <w:jc w:val="both"/>
              <w:rPr>
                <w:rFonts w:ascii="Arial Narrow" w:eastAsia="Times New Roman" w:hAnsi="Arial Narrow" w:cs="Times New Roman"/>
                <w:color w:val="000000"/>
                <w:sz w:val="24"/>
                <w:szCs w:val="24"/>
                <w:lang w:eastAsia="en-ZA"/>
              </w:rPr>
            </w:pPr>
          </w:p>
          <w:p w14:paraId="084797B4" w14:textId="77777777" w:rsidR="00703992" w:rsidRPr="00703992" w:rsidRDefault="00703992" w:rsidP="00A701C4">
            <w:pPr>
              <w:spacing w:line="360" w:lineRule="auto"/>
              <w:jc w:val="both"/>
              <w:rPr>
                <w:rFonts w:ascii="Arial Narrow" w:eastAsia="Times New Roman" w:hAnsi="Arial Narrow" w:cs="Times New Roman"/>
                <w:color w:val="000000"/>
                <w:sz w:val="24"/>
                <w:szCs w:val="24"/>
                <w:lang w:eastAsia="en-ZA"/>
              </w:rPr>
            </w:pPr>
            <w:r w:rsidRPr="00703992">
              <w:rPr>
                <w:rFonts w:ascii="Arial Narrow" w:eastAsia="Times New Roman" w:hAnsi="Arial Narrow" w:cs="Times New Roman"/>
                <w:color w:val="000000"/>
                <w:sz w:val="24"/>
                <w:szCs w:val="24"/>
                <w:lang w:eastAsia="en-ZA"/>
              </w:rPr>
              <w:t>1. The application for condonation is granted.</w:t>
            </w:r>
          </w:p>
          <w:p w14:paraId="3D9393C8" w14:textId="77777777" w:rsidR="00703992" w:rsidRPr="00703992" w:rsidRDefault="00703992" w:rsidP="00A701C4">
            <w:pPr>
              <w:spacing w:line="360" w:lineRule="auto"/>
              <w:jc w:val="both"/>
              <w:rPr>
                <w:rFonts w:ascii="Arial Narrow" w:eastAsia="Times New Roman" w:hAnsi="Arial Narrow" w:cs="Times New Roman"/>
                <w:color w:val="000000"/>
                <w:sz w:val="24"/>
                <w:szCs w:val="24"/>
                <w:lang w:eastAsia="en-ZA"/>
              </w:rPr>
            </w:pPr>
            <w:r w:rsidRPr="00703992">
              <w:rPr>
                <w:rFonts w:ascii="Arial Narrow" w:eastAsia="Times New Roman" w:hAnsi="Arial Narrow" w:cs="Times New Roman"/>
                <w:color w:val="000000"/>
                <w:sz w:val="24"/>
                <w:szCs w:val="24"/>
                <w:lang w:eastAsia="en-ZA"/>
              </w:rPr>
              <w:t>2. The automatic bar for non-compliance with the court orders dated the 3 August 2020 and 29 October 2020 are uplifted.</w:t>
            </w:r>
          </w:p>
          <w:p w14:paraId="61992CC1" w14:textId="77777777" w:rsidR="00703992" w:rsidRPr="00703992" w:rsidRDefault="00703992" w:rsidP="00A701C4">
            <w:pPr>
              <w:spacing w:line="360" w:lineRule="auto"/>
              <w:jc w:val="both"/>
              <w:rPr>
                <w:rFonts w:ascii="Arial Narrow" w:eastAsia="Times New Roman" w:hAnsi="Arial Narrow" w:cs="Times New Roman"/>
                <w:color w:val="000000"/>
                <w:sz w:val="24"/>
                <w:szCs w:val="24"/>
                <w:lang w:eastAsia="en-ZA"/>
              </w:rPr>
            </w:pPr>
            <w:r w:rsidRPr="00703992">
              <w:rPr>
                <w:rFonts w:ascii="Arial Narrow" w:eastAsia="Times New Roman" w:hAnsi="Arial Narrow" w:cs="Times New Roman"/>
                <w:color w:val="000000"/>
                <w:sz w:val="24"/>
                <w:szCs w:val="24"/>
                <w:lang w:eastAsia="en-ZA"/>
              </w:rPr>
              <w:t>3. The applicant’s witness statement of Mr David Keendjele is accepted as filed.</w:t>
            </w:r>
          </w:p>
          <w:p w14:paraId="4C56E4CB" w14:textId="0A14D697" w:rsidR="00703992" w:rsidRDefault="00703992" w:rsidP="00A701C4">
            <w:pPr>
              <w:spacing w:line="360" w:lineRule="auto"/>
              <w:jc w:val="both"/>
              <w:rPr>
                <w:rFonts w:ascii="Arial Narrow" w:eastAsia="Times New Roman" w:hAnsi="Arial Narrow" w:cs="Times New Roman"/>
                <w:color w:val="000000"/>
                <w:sz w:val="24"/>
                <w:szCs w:val="24"/>
                <w:lang w:eastAsia="en-ZA"/>
              </w:rPr>
            </w:pPr>
            <w:r w:rsidRPr="00703992">
              <w:rPr>
                <w:rFonts w:ascii="Arial Narrow" w:eastAsia="Times New Roman" w:hAnsi="Arial Narrow" w:cs="Times New Roman"/>
                <w:color w:val="000000"/>
                <w:sz w:val="24"/>
                <w:szCs w:val="24"/>
                <w:lang w:eastAsia="en-ZA"/>
              </w:rPr>
              <w:t xml:space="preserve">4. </w:t>
            </w:r>
            <w:r w:rsidR="001C5932">
              <w:rPr>
                <w:rFonts w:ascii="Arial Narrow" w:eastAsia="Times New Roman" w:hAnsi="Arial Narrow" w:cs="Times New Roman"/>
                <w:color w:val="000000"/>
                <w:sz w:val="24"/>
                <w:szCs w:val="24"/>
                <w:lang w:eastAsia="en-ZA"/>
              </w:rPr>
              <w:t>The a</w:t>
            </w:r>
            <w:r w:rsidRPr="00703992">
              <w:rPr>
                <w:rFonts w:ascii="Arial Narrow" w:eastAsia="Times New Roman" w:hAnsi="Arial Narrow" w:cs="Times New Roman"/>
                <w:color w:val="000000"/>
                <w:sz w:val="24"/>
                <w:szCs w:val="24"/>
                <w:lang w:eastAsia="en-ZA"/>
              </w:rPr>
              <w:t>pplicant to pay the cost of the application, which include the costs of one instructing and one instructed counsel. Such costs to be limited to rule 32(11).</w:t>
            </w:r>
          </w:p>
          <w:p w14:paraId="2DEC3442" w14:textId="77777777" w:rsidR="006A47BB" w:rsidRPr="00703992" w:rsidRDefault="006A47BB" w:rsidP="00A701C4">
            <w:pPr>
              <w:spacing w:line="360" w:lineRule="auto"/>
              <w:jc w:val="both"/>
              <w:rPr>
                <w:rFonts w:ascii="Arial Narrow" w:eastAsia="Times New Roman" w:hAnsi="Arial Narrow" w:cs="Times New Roman"/>
                <w:color w:val="000000"/>
                <w:sz w:val="24"/>
                <w:szCs w:val="24"/>
                <w:lang w:eastAsia="en-ZA"/>
              </w:rPr>
            </w:pPr>
          </w:p>
          <w:p w14:paraId="3C94232D" w14:textId="77777777" w:rsidR="00703992" w:rsidRDefault="00703992" w:rsidP="00A701C4">
            <w:pPr>
              <w:spacing w:line="360" w:lineRule="auto"/>
              <w:rPr>
                <w:rFonts w:ascii="Arial Narrow" w:eastAsia="Times New Roman" w:hAnsi="Arial Narrow" w:cs="Times New Roman"/>
                <w:b/>
                <w:bCs/>
                <w:color w:val="000000"/>
                <w:sz w:val="24"/>
                <w:szCs w:val="24"/>
                <w:u w:val="single"/>
                <w:lang w:eastAsia="en-ZA"/>
              </w:rPr>
            </w:pPr>
            <w:r w:rsidRPr="00703992">
              <w:rPr>
                <w:rFonts w:ascii="Arial Narrow" w:eastAsia="Times New Roman" w:hAnsi="Arial Narrow" w:cs="Times New Roman"/>
                <w:b/>
                <w:bCs/>
                <w:color w:val="000000"/>
                <w:sz w:val="24"/>
                <w:szCs w:val="24"/>
                <w:u w:val="single"/>
                <w:lang w:eastAsia="en-ZA"/>
              </w:rPr>
              <w:t>Further conduct of the matter</w:t>
            </w:r>
          </w:p>
          <w:p w14:paraId="599D874A" w14:textId="77777777" w:rsidR="006A47BB" w:rsidRPr="00703992" w:rsidRDefault="006A47BB" w:rsidP="00A701C4">
            <w:pPr>
              <w:spacing w:line="360" w:lineRule="auto"/>
              <w:rPr>
                <w:rFonts w:ascii="Arial Narrow" w:eastAsia="Times New Roman" w:hAnsi="Arial Narrow" w:cs="Times New Roman"/>
                <w:color w:val="000000"/>
                <w:sz w:val="24"/>
                <w:szCs w:val="24"/>
                <w:lang w:eastAsia="en-ZA"/>
              </w:rPr>
            </w:pPr>
          </w:p>
          <w:p w14:paraId="1A16509D" w14:textId="77777777" w:rsidR="00703992" w:rsidRPr="00703992" w:rsidRDefault="00703992" w:rsidP="00A701C4">
            <w:pPr>
              <w:spacing w:line="360" w:lineRule="auto"/>
              <w:jc w:val="both"/>
              <w:rPr>
                <w:rFonts w:ascii="Arial Narrow" w:eastAsia="Times New Roman" w:hAnsi="Arial Narrow" w:cs="Times New Roman"/>
                <w:color w:val="000000"/>
                <w:sz w:val="24"/>
                <w:szCs w:val="24"/>
                <w:lang w:eastAsia="en-ZA"/>
              </w:rPr>
            </w:pPr>
            <w:r w:rsidRPr="00703992">
              <w:rPr>
                <w:rFonts w:ascii="Arial Narrow" w:eastAsia="Times New Roman" w:hAnsi="Arial Narrow" w:cs="Times New Roman"/>
                <w:color w:val="000000"/>
                <w:sz w:val="24"/>
                <w:szCs w:val="24"/>
                <w:lang w:eastAsia="en-ZA"/>
              </w:rPr>
              <w:t>5. The case is postponed to </w:t>
            </w:r>
            <w:r w:rsidRPr="00703992">
              <w:rPr>
                <w:rFonts w:ascii="Arial Narrow" w:eastAsia="Times New Roman" w:hAnsi="Arial Narrow" w:cs="Times New Roman"/>
                <w:b/>
                <w:bCs/>
                <w:color w:val="000000"/>
                <w:sz w:val="24"/>
                <w:szCs w:val="24"/>
                <w:lang w:eastAsia="en-ZA"/>
              </w:rPr>
              <w:t>13/04/2021</w:t>
            </w:r>
            <w:r w:rsidRPr="00703992">
              <w:rPr>
                <w:rFonts w:ascii="Arial Narrow" w:eastAsia="Times New Roman" w:hAnsi="Arial Narrow" w:cs="Times New Roman"/>
                <w:color w:val="000000"/>
                <w:sz w:val="24"/>
                <w:szCs w:val="24"/>
                <w:lang w:eastAsia="en-ZA"/>
              </w:rPr>
              <w:t> at </w:t>
            </w:r>
            <w:r w:rsidRPr="00703992">
              <w:rPr>
                <w:rFonts w:ascii="Arial Narrow" w:eastAsia="Times New Roman" w:hAnsi="Arial Narrow" w:cs="Times New Roman"/>
                <w:b/>
                <w:bCs/>
                <w:color w:val="000000"/>
                <w:sz w:val="24"/>
                <w:szCs w:val="24"/>
                <w:lang w:eastAsia="en-ZA"/>
              </w:rPr>
              <w:t>08:30</w:t>
            </w:r>
            <w:r w:rsidRPr="00703992">
              <w:rPr>
                <w:rFonts w:ascii="Arial Narrow" w:eastAsia="Times New Roman" w:hAnsi="Arial Narrow" w:cs="Times New Roman"/>
                <w:color w:val="000000"/>
                <w:sz w:val="24"/>
                <w:szCs w:val="24"/>
                <w:lang w:eastAsia="en-ZA"/>
              </w:rPr>
              <w:t> for Pre Trial Conference hearing (Reason: Parties to file joint pre-trial conference report).</w:t>
            </w:r>
          </w:p>
          <w:p w14:paraId="651F53A6" w14:textId="77777777" w:rsidR="00703992" w:rsidRDefault="00703992" w:rsidP="00A701C4">
            <w:pPr>
              <w:spacing w:line="360" w:lineRule="auto"/>
              <w:jc w:val="both"/>
              <w:rPr>
                <w:rFonts w:ascii="Arial Narrow" w:eastAsia="Times New Roman" w:hAnsi="Arial Narrow" w:cs="Times New Roman"/>
                <w:color w:val="000000"/>
                <w:sz w:val="24"/>
                <w:szCs w:val="24"/>
                <w:lang w:eastAsia="en-ZA"/>
              </w:rPr>
            </w:pPr>
            <w:r w:rsidRPr="00703992">
              <w:rPr>
                <w:rFonts w:ascii="Arial Narrow" w:eastAsia="Times New Roman" w:hAnsi="Arial Narrow" w:cs="Times New Roman"/>
                <w:color w:val="000000"/>
                <w:sz w:val="24"/>
                <w:szCs w:val="24"/>
                <w:lang w:eastAsia="en-ZA"/>
              </w:rPr>
              <w:lastRenderedPageBreak/>
              <w:t>6. The counsel who will be conducting the trial must be personally present during the pre-trial meeting between the parties and must be actively involved in the drafting of the proposed pre-trial order.</w:t>
            </w:r>
          </w:p>
          <w:p w14:paraId="0B5C0E62" w14:textId="77777777" w:rsidR="006A47BB" w:rsidRPr="00703992" w:rsidRDefault="006A47BB" w:rsidP="00A701C4">
            <w:pPr>
              <w:spacing w:line="360" w:lineRule="auto"/>
              <w:jc w:val="both"/>
              <w:rPr>
                <w:rFonts w:ascii="Arial Narrow" w:eastAsia="Times New Roman" w:hAnsi="Arial Narrow" w:cs="Times New Roman"/>
                <w:color w:val="000000"/>
                <w:sz w:val="24"/>
                <w:szCs w:val="24"/>
                <w:lang w:eastAsia="en-ZA"/>
              </w:rPr>
            </w:pPr>
          </w:p>
          <w:p w14:paraId="65A079AD" w14:textId="77777777" w:rsidR="00134B88" w:rsidRDefault="00703992" w:rsidP="00A701C4">
            <w:pPr>
              <w:spacing w:line="360" w:lineRule="auto"/>
              <w:jc w:val="both"/>
              <w:rPr>
                <w:rFonts w:ascii="Arial Narrow" w:eastAsia="Times New Roman" w:hAnsi="Arial Narrow" w:cs="Times New Roman"/>
                <w:color w:val="000000"/>
                <w:sz w:val="24"/>
                <w:szCs w:val="24"/>
                <w:lang w:eastAsia="en-ZA"/>
              </w:rPr>
            </w:pPr>
            <w:r w:rsidRPr="00703992">
              <w:rPr>
                <w:rFonts w:ascii="Arial Narrow" w:eastAsia="Times New Roman" w:hAnsi="Arial Narrow" w:cs="Times New Roman"/>
                <w:color w:val="000000"/>
                <w:sz w:val="24"/>
                <w:szCs w:val="24"/>
                <w:lang w:eastAsia="en-ZA"/>
              </w:rPr>
              <w:t>7. Pursuant to the pre-trial meeting the parties must file a joint proposed pre-trial order on or before </w:t>
            </w:r>
            <w:r w:rsidRPr="00703992">
              <w:rPr>
                <w:rFonts w:ascii="Arial Narrow" w:eastAsia="Times New Roman" w:hAnsi="Arial Narrow" w:cs="Times New Roman"/>
                <w:color w:val="000000"/>
                <w:sz w:val="24"/>
                <w:szCs w:val="24"/>
                <w:u w:val="single"/>
                <w:lang w:eastAsia="en-ZA"/>
              </w:rPr>
              <w:t>7 April 2021</w:t>
            </w:r>
            <w:r w:rsidRPr="00703992">
              <w:rPr>
                <w:rFonts w:ascii="Arial Narrow" w:eastAsia="Times New Roman" w:hAnsi="Arial Narrow" w:cs="Times New Roman"/>
                <w:color w:val="000000"/>
                <w:sz w:val="24"/>
                <w:szCs w:val="24"/>
                <w:lang w:eastAsia="en-ZA"/>
              </w:rPr>
              <w:t>.</w:t>
            </w:r>
          </w:p>
          <w:p w14:paraId="6B2C045A" w14:textId="42B443AD" w:rsidR="006A47BB" w:rsidRPr="00134B88" w:rsidRDefault="006A47BB" w:rsidP="00A701C4">
            <w:pPr>
              <w:spacing w:line="360" w:lineRule="auto"/>
              <w:jc w:val="both"/>
              <w:rPr>
                <w:rFonts w:ascii="Arial Narrow" w:eastAsia="Times New Roman" w:hAnsi="Arial Narrow" w:cs="Times New Roman"/>
                <w:color w:val="000000"/>
                <w:sz w:val="24"/>
                <w:szCs w:val="24"/>
                <w:lang w:eastAsia="en-ZA"/>
              </w:rPr>
            </w:pPr>
          </w:p>
        </w:tc>
      </w:tr>
      <w:tr w:rsidR="00D26CB5" w:rsidRPr="00A261AA" w14:paraId="68106668" w14:textId="77777777" w:rsidTr="00B551AE">
        <w:tc>
          <w:tcPr>
            <w:tcW w:w="9720" w:type="dxa"/>
            <w:gridSpan w:val="3"/>
            <w:tcBorders>
              <w:bottom w:val="single" w:sz="4" w:space="0" w:color="auto"/>
            </w:tcBorders>
          </w:tcPr>
          <w:p w14:paraId="7E4CEC41" w14:textId="4656B0B4" w:rsidR="006A47BB" w:rsidRPr="00A261AA" w:rsidRDefault="00D26CB5" w:rsidP="006A47BB">
            <w:pPr>
              <w:spacing w:before="240" w:line="360" w:lineRule="auto"/>
              <w:jc w:val="both"/>
              <w:rPr>
                <w:rFonts w:ascii="Arial Narrow" w:hAnsi="Arial Narrow" w:cs="Arial"/>
                <w:b/>
                <w:sz w:val="24"/>
                <w:szCs w:val="24"/>
              </w:rPr>
            </w:pPr>
            <w:r w:rsidRPr="00A261AA">
              <w:rPr>
                <w:rFonts w:ascii="Arial Narrow" w:hAnsi="Arial Narrow" w:cs="Arial"/>
                <w:b/>
                <w:sz w:val="24"/>
                <w:szCs w:val="24"/>
              </w:rPr>
              <w:lastRenderedPageBreak/>
              <w:t>Reasons for orders:</w:t>
            </w:r>
          </w:p>
        </w:tc>
      </w:tr>
      <w:tr w:rsidR="00D26CB5" w:rsidRPr="00A261AA" w14:paraId="098C0E47" w14:textId="77777777" w:rsidTr="00B551AE">
        <w:tc>
          <w:tcPr>
            <w:tcW w:w="9720" w:type="dxa"/>
            <w:gridSpan w:val="3"/>
            <w:tcBorders>
              <w:top w:val="single" w:sz="4" w:space="0" w:color="auto"/>
              <w:bottom w:val="single" w:sz="4" w:space="0" w:color="auto"/>
            </w:tcBorders>
          </w:tcPr>
          <w:p w14:paraId="04FDD842" w14:textId="77777777" w:rsidR="006A47BB" w:rsidRDefault="006A47BB" w:rsidP="00A701C4">
            <w:pPr>
              <w:spacing w:line="360" w:lineRule="auto"/>
              <w:jc w:val="both"/>
              <w:rPr>
                <w:rFonts w:ascii="Arial Narrow" w:hAnsi="Arial Narrow" w:cs="Arial"/>
                <w:sz w:val="24"/>
                <w:szCs w:val="24"/>
                <w:lang w:val="en-US"/>
              </w:rPr>
            </w:pPr>
          </w:p>
          <w:p w14:paraId="58359A18" w14:textId="4BF4AF81" w:rsidR="00AD5169" w:rsidRPr="001070C5" w:rsidRDefault="00AD5169" w:rsidP="00A701C4">
            <w:pPr>
              <w:spacing w:line="360" w:lineRule="auto"/>
              <w:jc w:val="both"/>
              <w:rPr>
                <w:rFonts w:ascii="Arial Narrow" w:hAnsi="Arial Narrow" w:cs="Arial"/>
                <w:sz w:val="24"/>
                <w:szCs w:val="24"/>
                <w:u w:val="single"/>
                <w:lang w:val="en-US"/>
              </w:rPr>
            </w:pPr>
            <w:r w:rsidRPr="001070C5">
              <w:rPr>
                <w:rFonts w:ascii="Arial Narrow" w:hAnsi="Arial Narrow" w:cs="Arial"/>
                <w:sz w:val="24"/>
                <w:szCs w:val="24"/>
                <w:u w:val="single"/>
                <w:lang w:val="en-US"/>
              </w:rPr>
              <w:t>Introduction and brief background</w:t>
            </w:r>
          </w:p>
          <w:p w14:paraId="1B655D4B" w14:textId="77777777" w:rsidR="00AD5169" w:rsidRPr="001070C5" w:rsidRDefault="00AD5169" w:rsidP="00A701C4">
            <w:pPr>
              <w:spacing w:line="360" w:lineRule="auto"/>
              <w:jc w:val="both"/>
              <w:rPr>
                <w:rFonts w:ascii="Arial Narrow" w:hAnsi="Arial Narrow" w:cs="Arial"/>
                <w:sz w:val="24"/>
                <w:szCs w:val="24"/>
                <w:lang w:val="en-US"/>
              </w:rPr>
            </w:pPr>
          </w:p>
          <w:p w14:paraId="1AB8C02B" w14:textId="77777777" w:rsidR="00AD5169" w:rsidRPr="001070C5" w:rsidRDefault="008C7F29" w:rsidP="00A701C4">
            <w:pPr>
              <w:pStyle w:val="ListParagraph"/>
              <w:numPr>
                <w:ilvl w:val="0"/>
                <w:numId w:val="19"/>
              </w:numPr>
              <w:spacing w:line="360" w:lineRule="auto"/>
              <w:ind w:left="0" w:firstLine="23"/>
              <w:jc w:val="both"/>
              <w:rPr>
                <w:rFonts w:ascii="Arial Narrow" w:hAnsi="Arial Narrow" w:cs="Arial"/>
                <w:sz w:val="24"/>
                <w:szCs w:val="24"/>
                <w:lang w:val="en-US"/>
              </w:rPr>
            </w:pPr>
            <w:r w:rsidRPr="001070C5">
              <w:rPr>
                <w:rFonts w:ascii="Arial Narrow" w:hAnsi="Arial Narrow" w:cs="Arial"/>
                <w:sz w:val="24"/>
                <w:szCs w:val="24"/>
                <w:lang w:val="en-US"/>
              </w:rPr>
              <w:t xml:space="preserve">The matter before me is an application for condonation by the first defendant for failing to file its further factual witness statements by the date directed by </w:t>
            </w:r>
            <w:r w:rsidR="00F10C6E" w:rsidRPr="001070C5">
              <w:rPr>
                <w:rFonts w:ascii="Arial Narrow" w:hAnsi="Arial Narrow" w:cs="Arial"/>
                <w:sz w:val="24"/>
                <w:szCs w:val="24"/>
                <w:lang w:val="en-US"/>
              </w:rPr>
              <w:t xml:space="preserve">this </w:t>
            </w:r>
            <w:r w:rsidRPr="001070C5">
              <w:rPr>
                <w:rFonts w:ascii="Arial Narrow" w:hAnsi="Arial Narrow" w:cs="Arial"/>
                <w:sz w:val="24"/>
                <w:szCs w:val="24"/>
                <w:lang w:val="en-US"/>
              </w:rPr>
              <w:t>court.</w:t>
            </w:r>
          </w:p>
          <w:p w14:paraId="3CB0F4C2" w14:textId="77777777" w:rsidR="008C7F29" w:rsidRPr="001070C5" w:rsidRDefault="008C7F29" w:rsidP="00A701C4">
            <w:pPr>
              <w:pStyle w:val="ListParagraph"/>
              <w:spacing w:line="360" w:lineRule="auto"/>
              <w:ind w:left="23"/>
              <w:jc w:val="both"/>
              <w:rPr>
                <w:rFonts w:ascii="Arial Narrow" w:hAnsi="Arial Narrow" w:cs="Arial"/>
                <w:sz w:val="24"/>
                <w:szCs w:val="24"/>
                <w:lang w:val="en-US"/>
              </w:rPr>
            </w:pPr>
          </w:p>
          <w:p w14:paraId="07FF55A8" w14:textId="453B11CD" w:rsidR="008C7F29" w:rsidRPr="00DB08F1" w:rsidRDefault="00687031" w:rsidP="00A701C4">
            <w:pPr>
              <w:pStyle w:val="ListParagraph"/>
              <w:numPr>
                <w:ilvl w:val="0"/>
                <w:numId w:val="19"/>
              </w:numPr>
              <w:spacing w:line="360" w:lineRule="auto"/>
              <w:ind w:left="0" w:firstLine="23"/>
              <w:jc w:val="both"/>
              <w:rPr>
                <w:rFonts w:ascii="Arial Narrow" w:hAnsi="Arial Narrow" w:cs="Arial"/>
                <w:sz w:val="24"/>
                <w:szCs w:val="24"/>
                <w:lang w:val="en-US"/>
              </w:rPr>
            </w:pPr>
            <w:r w:rsidRPr="00DB08F1">
              <w:rPr>
                <w:rFonts w:ascii="Arial Narrow" w:hAnsi="Arial Narrow" w:cs="Arial"/>
                <w:sz w:val="24"/>
                <w:szCs w:val="24"/>
                <w:lang w:val="en-US"/>
              </w:rPr>
              <w:t xml:space="preserve">The applicant and the respondent are the first defendant and the plaintiff respectively in the main action and for the sake of convenience I will refer to the parties </w:t>
            </w:r>
            <w:r w:rsidR="00DB08F1" w:rsidRPr="00DB08F1">
              <w:rPr>
                <w:rFonts w:ascii="Arial Narrow" w:hAnsi="Arial Narrow" w:cs="Arial"/>
                <w:sz w:val="24"/>
                <w:szCs w:val="24"/>
                <w:lang w:val="en-US"/>
              </w:rPr>
              <w:t xml:space="preserve">as </w:t>
            </w:r>
            <w:r w:rsidRPr="00DB08F1">
              <w:rPr>
                <w:rFonts w:ascii="Arial Narrow" w:hAnsi="Arial Narrow" w:cs="Arial"/>
                <w:sz w:val="24"/>
                <w:szCs w:val="24"/>
                <w:lang w:val="en-US"/>
              </w:rPr>
              <w:t xml:space="preserve">they are in the main action. </w:t>
            </w:r>
            <w:r w:rsidR="008C7F29" w:rsidRPr="00DB08F1">
              <w:rPr>
                <w:rFonts w:ascii="Arial Narrow" w:hAnsi="Arial Narrow"/>
                <w:sz w:val="24"/>
                <w:szCs w:val="24"/>
              </w:rPr>
              <w:t>Only the first defendant is relevant for purposes of these proceedings</w:t>
            </w:r>
            <w:r w:rsidR="00DB08F1">
              <w:rPr>
                <w:rFonts w:ascii="Arial Narrow" w:hAnsi="Arial Narrow"/>
                <w:sz w:val="24"/>
                <w:szCs w:val="24"/>
              </w:rPr>
              <w:t>.</w:t>
            </w:r>
          </w:p>
          <w:p w14:paraId="0626C084" w14:textId="77777777" w:rsidR="00DB08F1" w:rsidRPr="00DB08F1" w:rsidRDefault="00DB08F1" w:rsidP="00A701C4">
            <w:pPr>
              <w:spacing w:line="360" w:lineRule="auto"/>
              <w:jc w:val="both"/>
              <w:rPr>
                <w:rFonts w:ascii="Arial Narrow" w:hAnsi="Arial Narrow" w:cs="Arial"/>
                <w:sz w:val="24"/>
                <w:szCs w:val="24"/>
                <w:lang w:val="en-US"/>
              </w:rPr>
            </w:pPr>
          </w:p>
          <w:p w14:paraId="6985B79D" w14:textId="35910EA8" w:rsidR="008C7F29" w:rsidRPr="001070C5" w:rsidRDefault="007223EC" w:rsidP="00A701C4">
            <w:pPr>
              <w:pStyle w:val="ListParagraph"/>
              <w:numPr>
                <w:ilvl w:val="0"/>
                <w:numId w:val="19"/>
              </w:numPr>
              <w:spacing w:line="360" w:lineRule="auto"/>
              <w:ind w:left="0" w:firstLine="23"/>
              <w:jc w:val="both"/>
              <w:rPr>
                <w:rFonts w:ascii="Arial Narrow" w:hAnsi="Arial Narrow" w:cs="Arial"/>
                <w:sz w:val="24"/>
                <w:szCs w:val="24"/>
                <w:lang w:val="en-US"/>
              </w:rPr>
            </w:pPr>
            <w:r w:rsidRPr="001070C5">
              <w:rPr>
                <w:rFonts w:ascii="Arial Narrow" w:hAnsi="Arial Narrow" w:cs="Arial"/>
                <w:sz w:val="24"/>
                <w:szCs w:val="24"/>
                <w:lang w:val="en-US"/>
              </w:rPr>
              <w:t xml:space="preserve">On </w:t>
            </w:r>
            <w:r w:rsidR="00905449">
              <w:rPr>
                <w:rFonts w:ascii="Arial Narrow" w:hAnsi="Arial Narrow" w:cs="Arial"/>
                <w:sz w:val="24"/>
                <w:szCs w:val="24"/>
                <w:lang w:val="en-US"/>
              </w:rPr>
              <w:t>3 August 2020</w:t>
            </w:r>
            <w:r w:rsidR="00F10C6E" w:rsidRPr="001070C5">
              <w:rPr>
                <w:rFonts w:ascii="Arial Narrow" w:hAnsi="Arial Narrow" w:cs="Arial"/>
                <w:sz w:val="24"/>
                <w:szCs w:val="24"/>
                <w:lang w:val="en-US"/>
              </w:rPr>
              <w:t xml:space="preserve"> </w:t>
            </w:r>
            <w:r w:rsidR="00687031">
              <w:rPr>
                <w:rFonts w:ascii="Arial Narrow" w:hAnsi="Arial Narrow" w:cs="Arial"/>
                <w:sz w:val="24"/>
                <w:szCs w:val="24"/>
                <w:lang w:val="en-US"/>
              </w:rPr>
              <w:t xml:space="preserve">this </w:t>
            </w:r>
            <w:r w:rsidR="00F10C6E" w:rsidRPr="001070C5">
              <w:rPr>
                <w:rFonts w:ascii="Arial Narrow" w:hAnsi="Arial Narrow" w:cs="Arial"/>
                <w:sz w:val="24"/>
                <w:szCs w:val="24"/>
                <w:lang w:val="en-US"/>
              </w:rPr>
              <w:t>court made</w:t>
            </w:r>
            <w:r w:rsidR="00E67C81" w:rsidRPr="001070C5">
              <w:rPr>
                <w:rFonts w:ascii="Arial Narrow" w:hAnsi="Arial Narrow" w:cs="Arial"/>
                <w:sz w:val="24"/>
                <w:szCs w:val="24"/>
                <w:lang w:val="en-US"/>
              </w:rPr>
              <w:t xml:space="preserve"> an</w:t>
            </w:r>
            <w:r w:rsidR="00F10C6E" w:rsidRPr="001070C5">
              <w:rPr>
                <w:rFonts w:ascii="Arial Narrow" w:hAnsi="Arial Narrow" w:cs="Arial"/>
                <w:sz w:val="24"/>
                <w:szCs w:val="24"/>
                <w:lang w:val="en-US"/>
              </w:rPr>
              <w:t xml:space="preserve"> order</w:t>
            </w:r>
            <w:r w:rsidR="00E67C81" w:rsidRPr="001070C5">
              <w:rPr>
                <w:rFonts w:ascii="Arial Narrow" w:hAnsi="Arial Narrow" w:cs="Arial"/>
                <w:sz w:val="24"/>
                <w:szCs w:val="24"/>
                <w:lang w:val="en-US"/>
              </w:rPr>
              <w:t xml:space="preserve"> (“the first order”)</w:t>
            </w:r>
            <w:r w:rsidR="00F10C6E" w:rsidRPr="001070C5">
              <w:rPr>
                <w:rFonts w:ascii="Arial Narrow" w:hAnsi="Arial Narrow" w:cs="Arial"/>
                <w:sz w:val="24"/>
                <w:szCs w:val="24"/>
                <w:lang w:val="en-US"/>
              </w:rPr>
              <w:t xml:space="preserve">, </w:t>
            </w:r>
            <w:r w:rsidR="00F10C6E" w:rsidRPr="001070C5">
              <w:rPr>
                <w:rFonts w:ascii="Arial Narrow" w:hAnsi="Arial Narrow" w:cs="Arial"/>
                <w:i/>
                <w:sz w:val="24"/>
                <w:szCs w:val="24"/>
                <w:lang w:val="en-US"/>
              </w:rPr>
              <w:t>inter alia</w:t>
            </w:r>
            <w:r w:rsidR="00F10C6E" w:rsidRPr="001070C5">
              <w:rPr>
                <w:rFonts w:ascii="Arial Narrow" w:hAnsi="Arial Narrow" w:cs="Arial"/>
                <w:sz w:val="24"/>
                <w:szCs w:val="24"/>
                <w:lang w:val="en-US"/>
              </w:rPr>
              <w:t xml:space="preserve">, directing the first defendant to file its factual witness statements on or before 9 October 2020. </w:t>
            </w:r>
            <w:r w:rsidR="001C5932">
              <w:rPr>
                <w:rFonts w:ascii="Arial Narrow" w:hAnsi="Arial Narrow" w:cs="Arial"/>
                <w:sz w:val="24"/>
                <w:szCs w:val="24"/>
                <w:lang w:val="en-US"/>
              </w:rPr>
              <w:t>The</w:t>
            </w:r>
            <w:r w:rsidR="00DB08F1">
              <w:rPr>
                <w:rFonts w:ascii="Arial Narrow" w:hAnsi="Arial Narrow" w:cs="Arial"/>
                <w:sz w:val="24"/>
                <w:szCs w:val="24"/>
                <w:lang w:val="en-US"/>
              </w:rPr>
              <w:t xml:space="preserve"> first</w:t>
            </w:r>
            <w:r w:rsidR="00F10C6E" w:rsidRPr="001070C5">
              <w:rPr>
                <w:rFonts w:ascii="Arial Narrow" w:hAnsi="Arial Narrow" w:cs="Arial"/>
                <w:sz w:val="24"/>
                <w:szCs w:val="24"/>
                <w:lang w:val="en-US"/>
              </w:rPr>
              <w:t xml:space="preserve"> defendant failed t</w:t>
            </w:r>
            <w:r w:rsidR="00E67C81" w:rsidRPr="001070C5">
              <w:rPr>
                <w:rFonts w:ascii="Arial Narrow" w:hAnsi="Arial Narrow" w:cs="Arial"/>
                <w:sz w:val="24"/>
                <w:szCs w:val="24"/>
                <w:lang w:val="en-US"/>
              </w:rPr>
              <w:t>o meet the deadline set</w:t>
            </w:r>
            <w:r w:rsidR="00F10C6E" w:rsidRPr="001070C5">
              <w:rPr>
                <w:rFonts w:ascii="Arial Narrow" w:hAnsi="Arial Narrow" w:cs="Arial"/>
                <w:sz w:val="24"/>
                <w:szCs w:val="24"/>
                <w:lang w:val="en-US"/>
              </w:rPr>
              <w:t xml:space="preserve"> by the court, prompting it to firstly engage the plaintiff in terms of rule 32(9) and thereafter</w:t>
            </w:r>
            <w:r w:rsidR="00E67C81" w:rsidRPr="001070C5">
              <w:rPr>
                <w:rFonts w:ascii="Arial Narrow" w:hAnsi="Arial Narrow" w:cs="Arial"/>
                <w:sz w:val="24"/>
                <w:szCs w:val="24"/>
                <w:lang w:val="en-US"/>
              </w:rPr>
              <w:t xml:space="preserve"> seek</w:t>
            </w:r>
            <w:r w:rsidR="00F10C6E" w:rsidRPr="001070C5">
              <w:rPr>
                <w:rFonts w:ascii="Arial Narrow" w:hAnsi="Arial Narrow" w:cs="Arial"/>
                <w:sz w:val="24"/>
                <w:szCs w:val="24"/>
                <w:lang w:val="en-US"/>
              </w:rPr>
              <w:t xml:space="preserve"> the court’s condonation for its non-compliance with the aforementioned </w:t>
            </w:r>
            <w:r w:rsidR="00B02BCA" w:rsidRPr="001070C5">
              <w:rPr>
                <w:rFonts w:ascii="Arial Narrow" w:hAnsi="Arial Narrow" w:cs="Arial"/>
                <w:sz w:val="24"/>
                <w:szCs w:val="24"/>
                <w:lang w:val="en-US"/>
              </w:rPr>
              <w:t>order.</w:t>
            </w:r>
          </w:p>
          <w:p w14:paraId="49E1FAF8" w14:textId="77777777" w:rsidR="00B02BCA" w:rsidRPr="001070C5" w:rsidRDefault="00B02BCA" w:rsidP="00A701C4">
            <w:pPr>
              <w:pStyle w:val="ListParagraph"/>
              <w:spacing w:line="360" w:lineRule="auto"/>
              <w:rPr>
                <w:rFonts w:ascii="Arial Narrow" w:hAnsi="Arial Narrow" w:cs="Arial"/>
                <w:sz w:val="24"/>
                <w:szCs w:val="24"/>
                <w:lang w:val="en-US"/>
              </w:rPr>
            </w:pPr>
          </w:p>
          <w:p w14:paraId="7D65DC60" w14:textId="3570BF12" w:rsidR="00B02BCA" w:rsidRPr="001070C5" w:rsidRDefault="00B02BCA" w:rsidP="00A701C4">
            <w:pPr>
              <w:pStyle w:val="ListParagraph"/>
              <w:numPr>
                <w:ilvl w:val="0"/>
                <w:numId w:val="19"/>
              </w:numPr>
              <w:spacing w:line="360" w:lineRule="auto"/>
              <w:ind w:left="0" w:firstLine="23"/>
              <w:jc w:val="both"/>
              <w:rPr>
                <w:rFonts w:ascii="Arial Narrow" w:hAnsi="Arial Narrow" w:cs="Arial"/>
                <w:sz w:val="24"/>
                <w:szCs w:val="24"/>
                <w:lang w:val="en-US"/>
              </w:rPr>
            </w:pPr>
            <w:r w:rsidRPr="001070C5">
              <w:rPr>
                <w:rFonts w:ascii="Arial Narrow" w:hAnsi="Arial Narrow" w:cs="Arial"/>
                <w:sz w:val="24"/>
                <w:szCs w:val="24"/>
                <w:lang w:val="en-US"/>
              </w:rPr>
              <w:t>In a subsequent court order dated 29 October 2020</w:t>
            </w:r>
            <w:r w:rsidR="00E67C81" w:rsidRPr="001070C5">
              <w:rPr>
                <w:rFonts w:ascii="Arial Narrow" w:hAnsi="Arial Narrow" w:cs="Arial"/>
                <w:sz w:val="24"/>
                <w:szCs w:val="24"/>
                <w:lang w:val="en-US"/>
              </w:rPr>
              <w:t xml:space="preserve"> (“the second order”)</w:t>
            </w:r>
            <w:r w:rsidRPr="001070C5">
              <w:rPr>
                <w:rFonts w:ascii="Arial Narrow" w:hAnsi="Arial Narrow" w:cs="Arial"/>
                <w:sz w:val="24"/>
                <w:szCs w:val="24"/>
                <w:lang w:val="en-US"/>
              </w:rPr>
              <w:t xml:space="preserve">, first defendant was directed to file its condonation application on or before 6 November 2020. </w:t>
            </w:r>
            <w:r w:rsidR="00DB08F1">
              <w:rPr>
                <w:rFonts w:ascii="Arial Narrow" w:hAnsi="Arial Narrow" w:cs="Arial"/>
                <w:sz w:val="24"/>
                <w:szCs w:val="24"/>
                <w:lang w:val="en-US"/>
              </w:rPr>
              <w:t>The fi</w:t>
            </w:r>
            <w:r w:rsidRPr="001070C5">
              <w:rPr>
                <w:rFonts w:ascii="Arial Narrow" w:hAnsi="Arial Narrow" w:cs="Arial"/>
                <w:sz w:val="24"/>
                <w:szCs w:val="24"/>
                <w:lang w:val="en-US"/>
              </w:rPr>
              <w:t xml:space="preserve">rst defendant persisted in its non-compliance with this court’s directions by failing to </w:t>
            </w:r>
            <w:r w:rsidR="004954B2" w:rsidRPr="001070C5">
              <w:rPr>
                <w:rFonts w:ascii="Arial Narrow" w:hAnsi="Arial Narrow" w:cs="Arial"/>
                <w:sz w:val="24"/>
                <w:szCs w:val="24"/>
                <w:lang w:val="en-US"/>
              </w:rPr>
              <w:t>file its condonation</w:t>
            </w:r>
            <w:r w:rsidR="00D10EC1" w:rsidRPr="001070C5">
              <w:rPr>
                <w:rFonts w:ascii="Arial Narrow" w:hAnsi="Arial Narrow" w:cs="Arial"/>
                <w:sz w:val="24"/>
                <w:szCs w:val="24"/>
                <w:lang w:val="en-US"/>
              </w:rPr>
              <w:t xml:space="preserve"> papers</w:t>
            </w:r>
            <w:r w:rsidR="004954B2" w:rsidRPr="001070C5">
              <w:rPr>
                <w:rFonts w:ascii="Arial Narrow" w:hAnsi="Arial Narrow" w:cs="Arial"/>
                <w:sz w:val="24"/>
                <w:szCs w:val="24"/>
                <w:lang w:val="en-US"/>
              </w:rPr>
              <w:t xml:space="preserve"> by 6 November 2020, only doing so on 10 November 2020.</w:t>
            </w:r>
          </w:p>
          <w:p w14:paraId="47C43860" w14:textId="77777777" w:rsidR="00D10EC1" w:rsidRPr="001070C5" w:rsidRDefault="00D10EC1" w:rsidP="00A701C4">
            <w:pPr>
              <w:pStyle w:val="ListParagraph"/>
              <w:spacing w:line="360" w:lineRule="auto"/>
              <w:rPr>
                <w:rFonts w:ascii="Arial Narrow" w:hAnsi="Arial Narrow" w:cs="Arial"/>
                <w:sz w:val="24"/>
                <w:szCs w:val="24"/>
                <w:lang w:val="en-US"/>
              </w:rPr>
            </w:pPr>
          </w:p>
          <w:p w14:paraId="4DB38B1F" w14:textId="415EF2C0" w:rsidR="00D10EC1" w:rsidRPr="001070C5" w:rsidRDefault="001C5932" w:rsidP="00A701C4">
            <w:pPr>
              <w:pStyle w:val="ListParagraph"/>
              <w:numPr>
                <w:ilvl w:val="0"/>
                <w:numId w:val="19"/>
              </w:numPr>
              <w:spacing w:line="360" w:lineRule="auto"/>
              <w:ind w:left="0" w:firstLine="23"/>
              <w:jc w:val="both"/>
              <w:rPr>
                <w:rFonts w:ascii="Arial Narrow" w:hAnsi="Arial Narrow" w:cs="Arial"/>
                <w:sz w:val="24"/>
                <w:szCs w:val="24"/>
                <w:lang w:val="en-US"/>
              </w:rPr>
            </w:pPr>
            <w:r>
              <w:rPr>
                <w:rFonts w:ascii="Arial Narrow" w:hAnsi="Arial Narrow" w:cs="Arial"/>
                <w:sz w:val="24"/>
                <w:szCs w:val="24"/>
                <w:lang w:val="en-US"/>
              </w:rPr>
              <w:t>The p</w:t>
            </w:r>
            <w:r w:rsidR="00D10EC1" w:rsidRPr="001070C5">
              <w:rPr>
                <w:rFonts w:ascii="Arial Narrow" w:hAnsi="Arial Narrow" w:cs="Arial"/>
                <w:sz w:val="24"/>
                <w:szCs w:val="24"/>
                <w:lang w:val="en-US"/>
              </w:rPr>
              <w:t>laintiff noted its opposition</w:t>
            </w:r>
            <w:r w:rsidR="00E67C81" w:rsidRPr="001070C5">
              <w:rPr>
                <w:rFonts w:ascii="Arial Narrow" w:hAnsi="Arial Narrow" w:cs="Arial"/>
                <w:sz w:val="24"/>
                <w:szCs w:val="24"/>
                <w:lang w:val="en-US"/>
              </w:rPr>
              <w:t xml:space="preserve"> to</w:t>
            </w:r>
            <w:r w:rsidR="00D10EC1" w:rsidRPr="001070C5">
              <w:rPr>
                <w:rFonts w:ascii="Arial Narrow" w:hAnsi="Arial Narrow" w:cs="Arial"/>
                <w:sz w:val="24"/>
                <w:szCs w:val="24"/>
                <w:lang w:val="en-US"/>
              </w:rPr>
              <w:t xml:space="preserve"> first defendant’s application</w:t>
            </w:r>
            <w:r w:rsidR="00E67C81" w:rsidRPr="001070C5">
              <w:rPr>
                <w:rFonts w:ascii="Arial Narrow" w:hAnsi="Arial Narrow" w:cs="Arial"/>
                <w:sz w:val="24"/>
                <w:szCs w:val="24"/>
                <w:lang w:val="en-US"/>
              </w:rPr>
              <w:t>, filing a notice</w:t>
            </w:r>
            <w:r w:rsidR="00D10EC1" w:rsidRPr="001070C5">
              <w:rPr>
                <w:rFonts w:ascii="Arial Narrow" w:hAnsi="Arial Narrow" w:cs="Arial"/>
                <w:sz w:val="24"/>
                <w:szCs w:val="24"/>
                <w:lang w:val="en-US"/>
              </w:rPr>
              <w:t xml:space="preserve"> in terms of rule 66(1)(c)</w:t>
            </w:r>
            <w:r w:rsidR="00E67C81" w:rsidRPr="001070C5">
              <w:rPr>
                <w:rFonts w:ascii="Arial Narrow" w:hAnsi="Arial Narrow" w:cs="Arial"/>
                <w:sz w:val="24"/>
                <w:szCs w:val="24"/>
                <w:lang w:val="en-US"/>
              </w:rPr>
              <w:t xml:space="preserve"> wherein it raised </w:t>
            </w:r>
            <w:r w:rsidR="00D10EC1" w:rsidRPr="001070C5">
              <w:rPr>
                <w:rFonts w:ascii="Arial Narrow" w:hAnsi="Arial Narrow" w:cs="Arial"/>
                <w:sz w:val="24"/>
                <w:szCs w:val="24"/>
                <w:lang w:val="en-US"/>
              </w:rPr>
              <w:t>two points of law</w:t>
            </w:r>
            <w:r w:rsidR="00E67C81" w:rsidRPr="001070C5">
              <w:rPr>
                <w:rFonts w:ascii="Arial Narrow" w:hAnsi="Arial Narrow" w:cs="Arial"/>
                <w:sz w:val="24"/>
                <w:szCs w:val="24"/>
                <w:lang w:val="en-US"/>
              </w:rPr>
              <w:t>,</w:t>
            </w:r>
            <w:r w:rsidR="00D10EC1" w:rsidRPr="001070C5">
              <w:rPr>
                <w:rFonts w:ascii="Arial Narrow" w:hAnsi="Arial Narrow" w:cs="Arial"/>
                <w:sz w:val="24"/>
                <w:szCs w:val="24"/>
                <w:lang w:val="en-US"/>
              </w:rPr>
              <w:t xml:space="preserve"> </w:t>
            </w:r>
            <w:r w:rsidR="001070C5" w:rsidRPr="001070C5">
              <w:rPr>
                <w:rFonts w:ascii="Arial Narrow" w:hAnsi="Arial Narrow" w:cs="Arial"/>
                <w:sz w:val="24"/>
                <w:szCs w:val="24"/>
                <w:lang w:val="en-US"/>
              </w:rPr>
              <w:t>namely whether the condonation application was lodged without delay, and whether the applicant has sufficiently demonstrated good cause for the grant of the condonation.</w:t>
            </w:r>
          </w:p>
          <w:p w14:paraId="7BED12B4" w14:textId="77777777" w:rsidR="00D10EC1" w:rsidRPr="001070C5" w:rsidRDefault="00D10EC1" w:rsidP="00A701C4">
            <w:pPr>
              <w:pStyle w:val="ListParagraph"/>
              <w:spacing w:line="360" w:lineRule="auto"/>
              <w:rPr>
                <w:rFonts w:ascii="Arial Narrow" w:hAnsi="Arial Narrow" w:cs="Arial"/>
                <w:sz w:val="24"/>
                <w:szCs w:val="24"/>
                <w:lang w:val="en-US"/>
              </w:rPr>
            </w:pPr>
          </w:p>
          <w:p w14:paraId="326693A4" w14:textId="72E72CF4" w:rsidR="001C5932" w:rsidRPr="00DB08F1" w:rsidRDefault="00D10EC1" w:rsidP="00A701C4">
            <w:pPr>
              <w:pStyle w:val="ListParagraph"/>
              <w:numPr>
                <w:ilvl w:val="0"/>
                <w:numId w:val="19"/>
              </w:numPr>
              <w:spacing w:line="360" w:lineRule="auto"/>
              <w:ind w:left="0" w:firstLine="23"/>
              <w:jc w:val="both"/>
              <w:rPr>
                <w:rFonts w:ascii="Arial Narrow" w:hAnsi="Arial Narrow" w:cs="Arial"/>
                <w:sz w:val="24"/>
                <w:szCs w:val="24"/>
                <w:lang w:val="en-US"/>
              </w:rPr>
            </w:pPr>
            <w:r w:rsidRPr="00DB08F1">
              <w:rPr>
                <w:rFonts w:ascii="Arial Narrow" w:hAnsi="Arial Narrow" w:cs="Arial"/>
                <w:sz w:val="24"/>
                <w:szCs w:val="24"/>
                <w:lang w:val="en-US"/>
              </w:rPr>
              <w:t>Both parties provided this court with writt</w:t>
            </w:r>
            <w:r w:rsidR="00B80054" w:rsidRPr="00DB08F1">
              <w:rPr>
                <w:rFonts w:ascii="Arial Narrow" w:hAnsi="Arial Narrow" w:cs="Arial"/>
                <w:sz w:val="24"/>
                <w:szCs w:val="24"/>
                <w:lang w:val="en-US"/>
              </w:rPr>
              <w:t>en heads in support of their respective arguments herein.</w:t>
            </w:r>
            <w:r w:rsidR="00DB08F1" w:rsidRPr="00DB08F1">
              <w:rPr>
                <w:rFonts w:ascii="Arial Narrow" w:hAnsi="Arial Narrow" w:cs="Arial"/>
                <w:sz w:val="24"/>
                <w:szCs w:val="24"/>
                <w:lang w:val="en-US"/>
              </w:rPr>
              <w:t xml:space="preserve">           </w:t>
            </w:r>
            <w:r w:rsidR="001C5932" w:rsidRPr="00DB08F1">
              <w:rPr>
                <w:rFonts w:ascii="Arial Narrow" w:hAnsi="Arial Narrow" w:cs="Arial"/>
                <w:sz w:val="24"/>
                <w:szCs w:val="24"/>
              </w:rPr>
              <w:t xml:space="preserve">I will not attempt to replicate them. Instead, I will attempt to lift out the major points made by the respective counsel in support of their arguments. </w:t>
            </w:r>
          </w:p>
          <w:p w14:paraId="278B014C" w14:textId="77777777" w:rsidR="007F25A9" w:rsidRPr="001070C5" w:rsidRDefault="007F25A9" w:rsidP="00A701C4">
            <w:pPr>
              <w:pStyle w:val="ListParagraph"/>
              <w:spacing w:line="360" w:lineRule="auto"/>
              <w:rPr>
                <w:rFonts w:ascii="Arial Narrow" w:hAnsi="Arial Narrow" w:cs="Arial"/>
                <w:sz w:val="24"/>
                <w:szCs w:val="24"/>
                <w:lang w:val="en-US"/>
              </w:rPr>
            </w:pPr>
          </w:p>
          <w:p w14:paraId="1ABD89BE" w14:textId="4579B46B" w:rsidR="004C5C91" w:rsidRPr="001070C5" w:rsidRDefault="007F25A9" w:rsidP="00A701C4">
            <w:pPr>
              <w:pStyle w:val="ListParagraph"/>
              <w:numPr>
                <w:ilvl w:val="0"/>
                <w:numId w:val="19"/>
              </w:numPr>
              <w:spacing w:line="360" w:lineRule="auto"/>
              <w:ind w:left="0" w:firstLine="23"/>
              <w:jc w:val="both"/>
              <w:rPr>
                <w:rFonts w:ascii="Arial Narrow" w:hAnsi="Arial Narrow" w:cs="Arial"/>
                <w:sz w:val="24"/>
                <w:szCs w:val="24"/>
                <w:lang w:val="en-US"/>
              </w:rPr>
            </w:pPr>
            <w:r w:rsidRPr="001070C5">
              <w:rPr>
                <w:rFonts w:ascii="Arial Narrow" w:hAnsi="Arial Narrow" w:cs="Arial"/>
                <w:sz w:val="24"/>
                <w:szCs w:val="24"/>
                <w:lang w:val="en-US"/>
              </w:rPr>
              <w:t>It bears noting from the onset that</w:t>
            </w:r>
            <w:r w:rsidR="00884C83" w:rsidRPr="001070C5">
              <w:rPr>
                <w:rFonts w:ascii="Arial Narrow" w:hAnsi="Arial Narrow" w:cs="Arial"/>
                <w:sz w:val="24"/>
                <w:szCs w:val="24"/>
                <w:lang w:val="en-US"/>
              </w:rPr>
              <w:t xml:space="preserve"> there was </w:t>
            </w:r>
            <w:r w:rsidRPr="001070C5">
              <w:rPr>
                <w:rFonts w:ascii="Arial Narrow" w:hAnsi="Arial Narrow" w:cs="Arial"/>
                <w:sz w:val="24"/>
                <w:szCs w:val="24"/>
                <w:lang w:val="en-US"/>
              </w:rPr>
              <w:t>uncertainty as to the relief sought by the first defendant. In its notice of motion the first defendant prayed for an order ‘condoning the applicant’s non-compliance with the court order issued 29</w:t>
            </w:r>
            <w:r w:rsidRPr="001070C5">
              <w:rPr>
                <w:rFonts w:ascii="Arial Narrow" w:hAnsi="Arial Narrow" w:cs="Arial"/>
                <w:sz w:val="24"/>
                <w:szCs w:val="24"/>
                <w:vertAlign w:val="superscript"/>
                <w:lang w:val="en-US"/>
              </w:rPr>
              <w:t>th</w:t>
            </w:r>
            <w:r w:rsidRPr="001070C5">
              <w:rPr>
                <w:rFonts w:ascii="Arial Narrow" w:hAnsi="Arial Narrow" w:cs="Arial"/>
                <w:sz w:val="24"/>
                <w:szCs w:val="24"/>
                <w:lang w:val="en-US"/>
              </w:rPr>
              <w:t xml:space="preserve"> October 2020.</w:t>
            </w:r>
            <w:r w:rsidR="00384D11" w:rsidRPr="001070C5">
              <w:rPr>
                <w:rFonts w:ascii="Arial Narrow" w:hAnsi="Arial Narrow" w:cs="Arial"/>
                <w:sz w:val="24"/>
                <w:szCs w:val="24"/>
                <w:lang w:val="en-US"/>
              </w:rPr>
              <w:t>’</w:t>
            </w:r>
            <w:r w:rsidRPr="001070C5">
              <w:rPr>
                <w:rFonts w:ascii="Arial Narrow" w:hAnsi="Arial Narrow" w:cs="Arial"/>
                <w:sz w:val="24"/>
                <w:szCs w:val="24"/>
                <w:lang w:val="en-US"/>
              </w:rPr>
              <w:t xml:space="preserve"> However</w:t>
            </w:r>
            <w:r w:rsidR="00884C83" w:rsidRPr="001070C5">
              <w:rPr>
                <w:rFonts w:ascii="Arial Narrow" w:hAnsi="Arial Narrow" w:cs="Arial"/>
                <w:sz w:val="24"/>
                <w:szCs w:val="24"/>
                <w:lang w:val="en-US"/>
              </w:rPr>
              <w:t>,</w:t>
            </w:r>
            <w:r w:rsidRPr="001070C5">
              <w:rPr>
                <w:rFonts w:ascii="Arial Narrow" w:hAnsi="Arial Narrow" w:cs="Arial"/>
                <w:sz w:val="24"/>
                <w:szCs w:val="24"/>
                <w:lang w:val="en-US"/>
              </w:rPr>
              <w:t xml:space="preserve"> in its heads of argument first </w:t>
            </w:r>
            <w:r w:rsidR="0086197B" w:rsidRPr="001070C5">
              <w:rPr>
                <w:rFonts w:ascii="Arial Narrow" w:hAnsi="Arial Narrow" w:cs="Arial"/>
                <w:sz w:val="24"/>
                <w:szCs w:val="24"/>
                <w:lang w:val="en-US"/>
              </w:rPr>
              <w:t>defendant</w:t>
            </w:r>
            <w:r w:rsidRPr="001070C5">
              <w:rPr>
                <w:rFonts w:ascii="Arial Narrow" w:hAnsi="Arial Narrow" w:cs="Arial"/>
                <w:sz w:val="24"/>
                <w:szCs w:val="24"/>
                <w:lang w:val="en-US"/>
              </w:rPr>
              <w:t xml:space="preserve"> states that the application is brought due to its failure to comply with the court order of 3 August 2020</w:t>
            </w:r>
            <w:r w:rsidR="00884C83" w:rsidRPr="001070C5">
              <w:rPr>
                <w:rFonts w:ascii="Arial Narrow" w:hAnsi="Arial Narrow" w:cs="Arial"/>
                <w:sz w:val="24"/>
                <w:szCs w:val="24"/>
                <w:lang w:val="en-US"/>
              </w:rPr>
              <w:t>,</w:t>
            </w:r>
            <w:r w:rsidR="00384D11" w:rsidRPr="001070C5">
              <w:rPr>
                <w:rFonts w:ascii="Arial Narrow" w:hAnsi="Arial Narrow" w:cs="Arial"/>
                <w:sz w:val="24"/>
                <w:szCs w:val="24"/>
                <w:lang w:val="en-US"/>
              </w:rPr>
              <w:t xml:space="preserve"> in that it failed to file the witness statement of one Mr Keendjele</w:t>
            </w:r>
            <w:r w:rsidRPr="001070C5">
              <w:rPr>
                <w:rFonts w:ascii="Arial Narrow" w:hAnsi="Arial Narrow" w:cs="Arial"/>
                <w:sz w:val="24"/>
                <w:szCs w:val="24"/>
                <w:lang w:val="en-US"/>
              </w:rPr>
              <w:t>. This was reiterated by counsel for the first defendant in the opening lines of his oral argument</w:t>
            </w:r>
            <w:r w:rsidR="00884C83" w:rsidRPr="001070C5">
              <w:rPr>
                <w:rFonts w:ascii="Arial Narrow" w:hAnsi="Arial Narrow" w:cs="Arial"/>
                <w:sz w:val="24"/>
                <w:szCs w:val="24"/>
                <w:lang w:val="en-US"/>
              </w:rPr>
              <w:t>. The</w:t>
            </w:r>
            <w:r w:rsidRPr="001070C5">
              <w:rPr>
                <w:rFonts w:ascii="Arial Narrow" w:hAnsi="Arial Narrow" w:cs="Arial"/>
                <w:sz w:val="24"/>
                <w:szCs w:val="24"/>
                <w:lang w:val="en-US"/>
              </w:rPr>
              <w:t xml:space="preserve"> inconsistency in the relief sought was pointed out by counsel for the plaintiff, but </w:t>
            </w:r>
            <w:r w:rsidR="00884C83" w:rsidRPr="001070C5">
              <w:rPr>
                <w:rFonts w:ascii="Arial Narrow" w:hAnsi="Arial Narrow" w:cs="Arial"/>
                <w:sz w:val="24"/>
                <w:szCs w:val="24"/>
                <w:lang w:val="en-US"/>
              </w:rPr>
              <w:t xml:space="preserve">he </w:t>
            </w:r>
            <w:r w:rsidRPr="001070C5">
              <w:rPr>
                <w:rFonts w:ascii="Arial Narrow" w:hAnsi="Arial Narrow" w:cs="Arial"/>
                <w:sz w:val="24"/>
                <w:szCs w:val="24"/>
                <w:lang w:val="en-US"/>
              </w:rPr>
              <w:t xml:space="preserve">submitted that plaintiff did not take issue with it. In any event, the court notes </w:t>
            </w:r>
            <w:r w:rsidR="00DB08F1">
              <w:rPr>
                <w:rFonts w:ascii="Arial Narrow" w:hAnsi="Arial Narrow" w:cs="Arial"/>
                <w:sz w:val="24"/>
                <w:szCs w:val="24"/>
                <w:lang w:val="en-US"/>
              </w:rPr>
              <w:t xml:space="preserve">the </w:t>
            </w:r>
            <w:r w:rsidRPr="001070C5">
              <w:rPr>
                <w:rFonts w:ascii="Arial Narrow" w:hAnsi="Arial Narrow" w:cs="Arial"/>
                <w:sz w:val="24"/>
                <w:szCs w:val="24"/>
                <w:lang w:val="en-US"/>
              </w:rPr>
              <w:t xml:space="preserve">that first defendant dealt with the reasons for its non-compliance in respect of both orders in its founding affidavit, </w:t>
            </w:r>
            <w:r w:rsidRPr="00DB08F1">
              <w:rPr>
                <w:rFonts w:ascii="Arial Narrow" w:hAnsi="Arial Narrow" w:cs="Arial"/>
                <w:sz w:val="24"/>
                <w:szCs w:val="24"/>
                <w:lang w:val="en-US"/>
              </w:rPr>
              <w:t>heads</w:t>
            </w:r>
            <w:r w:rsidR="00786A4C" w:rsidRPr="00DB08F1">
              <w:rPr>
                <w:rFonts w:ascii="Arial Narrow" w:hAnsi="Arial Narrow" w:cs="Arial"/>
                <w:sz w:val="24"/>
                <w:szCs w:val="24"/>
                <w:lang w:val="en-US"/>
              </w:rPr>
              <w:t xml:space="preserve"> of argument</w:t>
            </w:r>
            <w:r w:rsidRPr="00DB08F1">
              <w:rPr>
                <w:rFonts w:ascii="Arial Narrow" w:hAnsi="Arial Narrow" w:cs="Arial"/>
                <w:sz w:val="24"/>
                <w:szCs w:val="24"/>
                <w:lang w:val="en-US"/>
              </w:rPr>
              <w:t xml:space="preserve"> and oral argument, a</w:t>
            </w:r>
            <w:r w:rsidRPr="001070C5">
              <w:rPr>
                <w:rFonts w:ascii="Arial Narrow" w:hAnsi="Arial Narrow" w:cs="Arial"/>
                <w:sz w:val="24"/>
                <w:szCs w:val="24"/>
                <w:lang w:val="en-US"/>
              </w:rPr>
              <w:t>nd</w:t>
            </w:r>
            <w:r w:rsidRPr="00DB08F1">
              <w:rPr>
                <w:rFonts w:ascii="Arial Narrow" w:hAnsi="Arial Narrow" w:cs="Arial"/>
                <w:sz w:val="24"/>
                <w:szCs w:val="24"/>
                <w:lang w:val="en-US"/>
              </w:rPr>
              <w:t xml:space="preserve"> </w:t>
            </w:r>
            <w:r w:rsidR="00786A4C" w:rsidRPr="00DB08F1">
              <w:rPr>
                <w:rFonts w:ascii="Arial Narrow" w:hAnsi="Arial Narrow" w:cs="Arial"/>
                <w:sz w:val="24"/>
                <w:szCs w:val="24"/>
                <w:lang w:val="en-US"/>
              </w:rPr>
              <w:t xml:space="preserve">I </w:t>
            </w:r>
            <w:r w:rsidR="00DB08F1">
              <w:rPr>
                <w:rFonts w:ascii="Arial Narrow" w:hAnsi="Arial Narrow" w:cs="Arial"/>
                <w:sz w:val="24"/>
                <w:szCs w:val="24"/>
                <w:lang w:val="en-US"/>
              </w:rPr>
              <w:t>accept</w:t>
            </w:r>
            <w:r w:rsidRPr="001070C5">
              <w:rPr>
                <w:rFonts w:ascii="Arial Narrow" w:hAnsi="Arial Narrow" w:cs="Arial"/>
                <w:sz w:val="24"/>
                <w:szCs w:val="24"/>
                <w:lang w:val="en-US"/>
              </w:rPr>
              <w:t xml:space="preserve"> that plaintiff’s failure to explicitly request relief in respect of both orders is a mere </w:t>
            </w:r>
            <w:r w:rsidRPr="00DB08F1">
              <w:rPr>
                <w:rFonts w:ascii="Arial Narrow" w:hAnsi="Arial Narrow" w:cs="Arial"/>
                <w:sz w:val="24"/>
                <w:szCs w:val="24"/>
                <w:lang w:val="en-US"/>
              </w:rPr>
              <w:t xml:space="preserve">oversight on </w:t>
            </w:r>
            <w:r w:rsidR="00786A4C" w:rsidRPr="00DB08F1">
              <w:rPr>
                <w:rFonts w:ascii="Arial Narrow" w:hAnsi="Arial Narrow" w:cs="Arial"/>
                <w:sz w:val="24"/>
                <w:szCs w:val="24"/>
                <w:lang w:val="en-US"/>
              </w:rPr>
              <w:t xml:space="preserve">its </w:t>
            </w:r>
            <w:r w:rsidRPr="00DB08F1">
              <w:rPr>
                <w:rFonts w:ascii="Arial Narrow" w:hAnsi="Arial Narrow" w:cs="Arial"/>
                <w:sz w:val="24"/>
                <w:szCs w:val="24"/>
                <w:lang w:val="en-US"/>
              </w:rPr>
              <w:t>part</w:t>
            </w:r>
            <w:r w:rsidRPr="001070C5">
              <w:rPr>
                <w:rFonts w:ascii="Arial Narrow" w:hAnsi="Arial Narrow" w:cs="Arial"/>
                <w:sz w:val="24"/>
                <w:szCs w:val="24"/>
                <w:lang w:val="en-US"/>
              </w:rPr>
              <w:t xml:space="preserve">. </w:t>
            </w:r>
          </w:p>
          <w:p w14:paraId="7459FC49" w14:textId="77777777" w:rsidR="004C5C91" w:rsidRPr="001070C5" w:rsidRDefault="004C5C91" w:rsidP="00A701C4">
            <w:pPr>
              <w:pStyle w:val="ListParagraph"/>
              <w:spacing w:line="360" w:lineRule="auto"/>
              <w:ind w:left="23"/>
              <w:jc w:val="both"/>
              <w:rPr>
                <w:rFonts w:ascii="Arial Narrow" w:hAnsi="Arial Narrow" w:cs="Arial"/>
                <w:sz w:val="24"/>
                <w:szCs w:val="24"/>
                <w:lang w:val="en-US"/>
              </w:rPr>
            </w:pPr>
          </w:p>
          <w:p w14:paraId="3B307A8D" w14:textId="77777777" w:rsidR="004C5C91" w:rsidRPr="001070C5" w:rsidRDefault="004C5C91" w:rsidP="00A701C4">
            <w:pPr>
              <w:pStyle w:val="ListParagraph"/>
              <w:spacing w:line="360" w:lineRule="auto"/>
              <w:ind w:left="23"/>
              <w:jc w:val="both"/>
              <w:rPr>
                <w:rFonts w:ascii="Arial Narrow" w:hAnsi="Arial Narrow" w:cs="Arial"/>
                <w:sz w:val="24"/>
                <w:szCs w:val="24"/>
                <w:u w:val="single"/>
                <w:lang w:val="en-US"/>
              </w:rPr>
            </w:pPr>
            <w:r w:rsidRPr="001070C5">
              <w:rPr>
                <w:rFonts w:ascii="Arial Narrow" w:hAnsi="Arial Narrow" w:cs="Arial"/>
                <w:sz w:val="24"/>
                <w:szCs w:val="24"/>
                <w:u w:val="single"/>
                <w:lang w:val="en-US"/>
              </w:rPr>
              <w:t>First defendant’s founding affidavit</w:t>
            </w:r>
          </w:p>
          <w:p w14:paraId="4DDA3AC7" w14:textId="77777777" w:rsidR="004C5C91" w:rsidRPr="001070C5" w:rsidRDefault="004C5C91" w:rsidP="00A701C4">
            <w:pPr>
              <w:pStyle w:val="ListParagraph"/>
              <w:spacing w:line="360" w:lineRule="auto"/>
              <w:rPr>
                <w:rFonts w:ascii="Arial Narrow" w:hAnsi="Arial Narrow" w:cs="Arial"/>
                <w:sz w:val="24"/>
                <w:szCs w:val="24"/>
                <w:lang w:val="en-US"/>
              </w:rPr>
            </w:pPr>
          </w:p>
          <w:p w14:paraId="480DD00A" w14:textId="77777777" w:rsidR="004C5C91" w:rsidRPr="001070C5" w:rsidRDefault="007F25A9" w:rsidP="00A701C4">
            <w:pPr>
              <w:pStyle w:val="ListParagraph"/>
              <w:numPr>
                <w:ilvl w:val="0"/>
                <w:numId w:val="19"/>
              </w:numPr>
              <w:spacing w:line="360" w:lineRule="auto"/>
              <w:ind w:left="0" w:firstLine="23"/>
              <w:jc w:val="both"/>
              <w:rPr>
                <w:rFonts w:ascii="Arial Narrow" w:hAnsi="Arial Narrow" w:cs="Arial"/>
                <w:sz w:val="24"/>
                <w:szCs w:val="24"/>
                <w:lang w:val="en-US"/>
              </w:rPr>
            </w:pPr>
            <w:r w:rsidRPr="001070C5">
              <w:rPr>
                <w:rFonts w:ascii="Arial Narrow" w:hAnsi="Arial Narrow" w:cs="Arial"/>
                <w:sz w:val="24"/>
                <w:szCs w:val="24"/>
                <w:lang w:val="en-US"/>
              </w:rPr>
              <w:t>The first defendant’s chief executive officer, Ms Milka Mungunda deposed to the affidavit in support of first defendant’s application.</w:t>
            </w:r>
          </w:p>
          <w:p w14:paraId="54F2F11D" w14:textId="77777777" w:rsidR="007F25A9" w:rsidRPr="001070C5" w:rsidRDefault="007F25A9" w:rsidP="00A701C4">
            <w:pPr>
              <w:pStyle w:val="ListParagraph"/>
              <w:spacing w:line="360" w:lineRule="auto"/>
              <w:ind w:left="23"/>
              <w:jc w:val="both"/>
              <w:rPr>
                <w:rFonts w:ascii="Arial Narrow" w:hAnsi="Arial Narrow" w:cs="Arial"/>
                <w:sz w:val="24"/>
                <w:szCs w:val="24"/>
                <w:lang w:val="en-US"/>
              </w:rPr>
            </w:pPr>
          </w:p>
          <w:p w14:paraId="0718CB71" w14:textId="690B5398" w:rsidR="009D0AE1" w:rsidRPr="001070C5" w:rsidRDefault="00E65E87" w:rsidP="00A701C4">
            <w:pPr>
              <w:pStyle w:val="ListParagraph"/>
              <w:numPr>
                <w:ilvl w:val="0"/>
                <w:numId w:val="19"/>
              </w:numPr>
              <w:spacing w:line="360" w:lineRule="auto"/>
              <w:ind w:left="0" w:firstLine="23"/>
              <w:jc w:val="both"/>
              <w:rPr>
                <w:rFonts w:ascii="Arial Narrow" w:hAnsi="Arial Narrow" w:cs="Arial"/>
                <w:sz w:val="24"/>
                <w:szCs w:val="24"/>
                <w:lang w:val="en-US"/>
              </w:rPr>
            </w:pPr>
            <w:r w:rsidRPr="001070C5">
              <w:rPr>
                <w:rFonts w:ascii="Arial Narrow" w:hAnsi="Arial Narrow" w:cs="Arial"/>
                <w:sz w:val="24"/>
                <w:szCs w:val="24"/>
                <w:lang w:val="en-US"/>
              </w:rPr>
              <w:t>Briefly, she records the reasons for the first defendant’</w:t>
            </w:r>
            <w:r w:rsidR="00372AB4" w:rsidRPr="001070C5">
              <w:rPr>
                <w:rFonts w:ascii="Arial Narrow" w:hAnsi="Arial Narrow" w:cs="Arial"/>
                <w:sz w:val="24"/>
                <w:szCs w:val="24"/>
                <w:lang w:val="en-US"/>
              </w:rPr>
              <w:t xml:space="preserve">s non-compliance as follows:  </w:t>
            </w:r>
            <w:r w:rsidR="009D0AE1" w:rsidRPr="001070C5">
              <w:rPr>
                <w:rFonts w:ascii="Arial Narrow" w:hAnsi="Arial Narrow" w:cs="Arial"/>
                <w:sz w:val="24"/>
                <w:szCs w:val="24"/>
                <w:lang w:val="en-US"/>
              </w:rPr>
              <w:t xml:space="preserve">Following the </w:t>
            </w:r>
            <w:r w:rsidR="00372AB4" w:rsidRPr="001070C5">
              <w:rPr>
                <w:rFonts w:ascii="Arial Narrow" w:hAnsi="Arial Narrow" w:cs="Arial"/>
                <w:sz w:val="24"/>
                <w:szCs w:val="24"/>
                <w:lang w:val="en-US"/>
              </w:rPr>
              <w:t>court order</w:t>
            </w:r>
            <w:r w:rsidR="009D0AE1" w:rsidRPr="001070C5">
              <w:rPr>
                <w:rFonts w:ascii="Arial Narrow" w:hAnsi="Arial Narrow" w:cs="Arial"/>
                <w:sz w:val="24"/>
                <w:szCs w:val="24"/>
                <w:lang w:val="en-US"/>
              </w:rPr>
              <w:t xml:space="preserve"> of 3 August 2020</w:t>
            </w:r>
            <w:r w:rsidR="0086197B" w:rsidRPr="001070C5">
              <w:rPr>
                <w:rFonts w:ascii="Arial Narrow" w:hAnsi="Arial Narrow" w:cs="Arial"/>
                <w:sz w:val="24"/>
                <w:szCs w:val="24"/>
                <w:lang w:val="en-US"/>
              </w:rPr>
              <w:t xml:space="preserve"> directing the first defendant</w:t>
            </w:r>
            <w:r w:rsidR="00372AB4" w:rsidRPr="001070C5">
              <w:rPr>
                <w:rFonts w:ascii="Arial Narrow" w:hAnsi="Arial Narrow" w:cs="Arial"/>
                <w:sz w:val="24"/>
                <w:szCs w:val="24"/>
                <w:lang w:val="en-US"/>
              </w:rPr>
              <w:t xml:space="preserve"> to file its further factual witness statements on or before 9 October 2020, first defendant’s </w:t>
            </w:r>
            <w:r w:rsidR="009D0AE1" w:rsidRPr="001070C5">
              <w:rPr>
                <w:rFonts w:ascii="Arial Narrow" w:hAnsi="Arial Narrow" w:cs="Arial"/>
                <w:sz w:val="24"/>
                <w:szCs w:val="24"/>
                <w:lang w:val="en-US"/>
              </w:rPr>
              <w:t xml:space="preserve">legal practitioner of record, Mr Kauta, contacted its South African </w:t>
            </w:r>
            <w:r w:rsidR="009D0AE1" w:rsidRPr="008D5C30">
              <w:rPr>
                <w:rFonts w:ascii="Arial Narrow" w:hAnsi="Arial Narrow" w:cs="Arial"/>
                <w:sz w:val="24"/>
                <w:szCs w:val="24"/>
                <w:lang w:val="en-US"/>
              </w:rPr>
              <w:t xml:space="preserve">counsel to advise on the necessity of filing further factual witness statements. This was done on </w:t>
            </w:r>
            <w:r w:rsidR="00884C83" w:rsidRPr="008D5C30">
              <w:rPr>
                <w:rFonts w:ascii="Arial Narrow" w:hAnsi="Arial Narrow" w:cs="Arial"/>
                <w:sz w:val="24"/>
                <w:szCs w:val="24"/>
                <w:lang w:val="en-US"/>
              </w:rPr>
              <w:t xml:space="preserve">                                       </w:t>
            </w:r>
            <w:r w:rsidR="009D0AE1" w:rsidRPr="008D5C30">
              <w:rPr>
                <w:rFonts w:ascii="Arial Narrow" w:hAnsi="Arial Narrow" w:cs="Arial"/>
                <w:sz w:val="24"/>
                <w:szCs w:val="24"/>
                <w:lang w:val="en-US"/>
              </w:rPr>
              <w:t xml:space="preserve">2 September 2020. On 15 September 2020 </w:t>
            </w:r>
            <w:r w:rsidR="00786A4C" w:rsidRPr="00DB08F1">
              <w:rPr>
                <w:rFonts w:ascii="Arial Narrow" w:hAnsi="Arial Narrow" w:cs="Arial"/>
                <w:sz w:val="24"/>
                <w:szCs w:val="24"/>
                <w:lang w:val="en-US"/>
              </w:rPr>
              <w:t>c</w:t>
            </w:r>
            <w:r w:rsidR="009D0AE1" w:rsidRPr="008D5C30">
              <w:rPr>
                <w:rFonts w:ascii="Arial Narrow" w:hAnsi="Arial Narrow" w:cs="Arial"/>
                <w:sz w:val="24"/>
                <w:szCs w:val="24"/>
                <w:lang w:val="en-US"/>
              </w:rPr>
              <w:t xml:space="preserve">ounsel advised that </w:t>
            </w:r>
            <w:r w:rsidR="00163E89" w:rsidRPr="008D5C30">
              <w:rPr>
                <w:rFonts w:ascii="Arial Narrow" w:hAnsi="Arial Narrow" w:cs="Arial"/>
                <w:sz w:val="24"/>
                <w:szCs w:val="24"/>
                <w:lang w:val="en-US"/>
              </w:rPr>
              <w:t>the necessity to file further witness statements would be determined by</w:t>
            </w:r>
            <w:r w:rsidR="009D0AE1" w:rsidRPr="008D5C30">
              <w:rPr>
                <w:rFonts w:ascii="Arial Narrow" w:hAnsi="Arial Narrow" w:cs="Arial"/>
                <w:sz w:val="24"/>
                <w:szCs w:val="24"/>
                <w:lang w:val="en-US"/>
              </w:rPr>
              <w:t xml:space="preserve"> do</w:t>
            </w:r>
            <w:r w:rsidR="0086197B" w:rsidRPr="008D5C30">
              <w:rPr>
                <w:rFonts w:ascii="Arial Narrow" w:hAnsi="Arial Narrow" w:cs="Arial"/>
                <w:sz w:val="24"/>
                <w:szCs w:val="24"/>
                <w:lang w:val="en-US"/>
              </w:rPr>
              <w:t xml:space="preserve">cumentation </w:t>
            </w:r>
            <w:r w:rsidR="00163E89" w:rsidRPr="008D5C30">
              <w:rPr>
                <w:rFonts w:ascii="Arial Narrow" w:hAnsi="Arial Narrow" w:cs="Arial"/>
                <w:sz w:val="24"/>
                <w:szCs w:val="24"/>
                <w:lang w:val="en-US"/>
              </w:rPr>
              <w:t>to be provided by the</w:t>
            </w:r>
            <w:r w:rsidR="0086197B" w:rsidRPr="008D5C30">
              <w:rPr>
                <w:rFonts w:ascii="Arial Narrow" w:hAnsi="Arial Narrow" w:cs="Arial"/>
                <w:sz w:val="24"/>
                <w:szCs w:val="24"/>
                <w:lang w:val="en-US"/>
              </w:rPr>
              <w:t xml:space="preserve"> third defendant</w:t>
            </w:r>
            <w:r w:rsidR="009D0AE1" w:rsidRPr="008D5C30">
              <w:rPr>
                <w:rFonts w:ascii="Arial Narrow" w:hAnsi="Arial Narrow" w:cs="Arial"/>
                <w:sz w:val="24"/>
                <w:szCs w:val="24"/>
                <w:lang w:val="en-US"/>
              </w:rPr>
              <w:t xml:space="preserve"> (The Municipal Council of Windhoek).</w:t>
            </w:r>
          </w:p>
          <w:p w14:paraId="5D4162B9" w14:textId="77777777" w:rsidR="00372AB4" w:rsidRPr="001070C5" w:rsidRDefault="00372AB4" w:rsidP="00A701C4">
            <w:pPr>
              <w:pStyle w:val="ListParagraph"/>
              <w:spacing w:line="360" w:lineRule="auto"/>
              <w:rPr>
                <w:rFonts w:ascii="Arial Narrow" w:hAnsi="Arial Narrow" w:cs="Arial"/>
                <w:sz w:val="24"/>
                <w:szCs w:val="24"/>
                <w:lang w:val="en-US"/>
              </w:rPr>
            </w:pPr>
          </w:p>
          <w:p w14:paraId="307547A6" w14:textId="77777777" w:rsidR="00372AB4" w:rsidRPr="001070C5" w:rsidRDefault="009D0AE1" w:rsidP="00A701C4">
            <w:pPr>
              <w:pStyle w:val="ListParagraph"/>
              <w:numPr>
                <w:ilvl w:val="0"/>
                <w:numId w:val="19"/>
              </w:numPr>
              <w:spacing w:line="360" w:lineRule="auto"/>
              <w:ind w:left="0" w:firstLine="23"/>
              <w:jc w:val="both"/>
              <w:rPr>
                <w:rFonts w:ascii="Arial Narrow" w:hAnsi="Arial Narrow" w:cs="Arial"/>
                <w:sz w:val="24"/>
                <w:szCs w:val="24"/>
                <w:lang w:val="en-US"/>
              </w:rPr>
            </w:pPr>
            <w:r w:rsidRPr="001070C5">
              <w:rPr>
                <w:rFonts w:ascii="Arial Narrow" w:hAnsi="Arial Narrow" w:cs="Arial"/>
                <w:sz w:val="24"/>
                <w:szCs w:val="24"/>
                <w:lang w:val="en-US"/>
              </w:rPr>
              <w:t xml:space="preserve">After what appears to have been </w:t>
            </w:r>
            <w:r w:rsidR="0043048D" w:rsidRPr="001070C5">
              <w:rPr>
                <w:rFonts w:ascii="Arial Narrow" w:hAnsi="Arial Narrow" w:cs="Arial"/>
                <w:sz w:val="24"/>
                <w:szCs w:val="24"/>
                <w:lang w:val="en-US"/>
              </w:rPr>
              <w:t xml:space="preserve">much hassle, first defendant received a file of the requested documentation </w:t>
            </w:r>
            <w:r w:rsidR="00384D11" w:rsidRPr="001070C5">
              <w:rPr>
                <w:rFonts w:ascii="Arial Narrow" w:hAnsi="Arial Narrow" w:cs="Arial"/>
                <w:sz w:val="24"/>
                <w:szCs w:val="24"/>
                <w:lang w:val="en-US"/>
              </w:rPr>
              <w:t>from the third defendant</w:t>
            </w:r>
            <w:r w:rsidR="0043048D" w:rsidRPr="001070C5">
              <w:rPr>
                <w:rFonts w:ascii="Arial Narrow" w:hAnsi="Arial Narrow" w:cs="Arial"/>
                <w:sz w:val="24"/>
                <w:szCs w:val="24"/>
                <w:lang w:val="en-US"/>
              </w:rPr>
              <w:t xml:space="preserve"> on 1 October 2020. It however became apparent to Mr Kauta that there was a second file which had not been</w:t>
            </w:r>
            <w:r w:rsidR="00384D11" w:rsidRPr="001070C5">
              <w:rPr>
                <w:rFonts w:ascii="Arial Narrow" w:hAnsi="Arial Narrow" w:cs="Arial"/>
                <w:sz w:val="24"/>
                <w:szCs w:val="24"/>
                <w:lang w:val="en-US"/>
              </w:rPr>
              <w:t xml:space="preserve"> availed by the third defendant</w:t>
            </w:r>
            <w:r w:rsidR="0043048D" w:rsidRPr="001070C5">
              <w:rPr>
                <w:rFonts w:ascii="Arial Narrow" w:hAnsi="Arial Narrow" w:cs="Arial"/>
                <w:sz w:val="24"/>
                <w:szCs w:val="24"/>
                <w:lang w:val="en-US"/>
              </w:rPr>
              <w:t>, which he then requested.</w:t>
            </w:r>
          </w:p>
          <w:p w14:paraId="1E4A691F" w14:textId="77777777" w:rsidR="0043048D" w:rsidRPr="001070C5" w:rsidRDefault="0043048D" w:rsidP="00A701C4">
            <w:pPr>
              <w:pStyle w:val="ListParagraph"/>
              <w:spacing w:line="360" w:lineRule="auto"/>
              <w:rPr>
                <w:rFonts w:ascii="Arial Narrow" w:hAnsi="Arial Narrow" w:cs="Arial"/>
                <w:sz w:val="24"/>
                <w:szCs w:val="24"/>
                <w:lang w:val="en-US"/>
              </w:rPr>
            </w:pPr>
          </w:p>
          <w:p w14:paraId="27AF9E7C" w14:textId="24044C32" w:rsidR="0043048D" w:rsidRPr="001070C5" w:rsidRDefault="0043048D" w:rsidP="00A701C4">
            <w:pPr>
              <w:pStyle w:val="ListParagraph"/>
              <w:numPr>
                <w:ilvl w:val="0"/>
                <w:numId w:val="19"/>
              </w:numPr>
              <w:spacing w:line="360" w:lineRule="auto"/>
              <w:ind w:left="0" w:firstLine="23"/>
              <w:jc w:val="both"/>
              <w:rPr>
                <w:rFonts w:ascii="Arial Narrow" w:hAnsi="Arial Narrow" w:cs="Arial"/>
                <w:sz w:val="24"/>
                <w:szCs w:val="24"/>
                <w:lang w:val="en-US"/>
              </w:rPr>
            </w:pPr>
            <w:r w:rsidRPr="001070C5">
              <w:rPr>
                <w:rFonts w:ascii="Arial Narrow" w:hAnsi="Arial Narrow" w:cs="Arial"/>
                <w:sz w:val="24"/>
                <w:szCs w:val="24"/>
                <w:lang w:val="en-US"/>
              </w:rPr>
              <w:t xml:space="preserve">Upon studying the file, Mr Kauta identified three further witnesses necessary to introduce the documentation provided by the third </w:t>
            </w:r>
            <w:r w:rsidR="00384D11" w:rsidRPr="001070C5">
              <w:rPr>
                <w:rFonts w:ascii="Arial Narrow" w:hAnsi="Arial Narrow" w:cs="Arial"/>
                <w:sz w:val="24"/>
                <w:szCs w:val="24"/>
                <w:lang w:val="en-US"/>
              </w:rPr>
              <w:t xml:space="preserve">defendant. These witnesses were Mr Kahimise, Mr Shipiki and the maker of the witness statement in </w:t>
            </w:r>
            <w:r w:rsidR="00163E89">
              <w:rPr>
                <w:rFonts w:ascii="Arial Narrow" w:hAnsi="Arial Narrow" w:cs="Arial"/>
                <w:sz w:val="24"/>
                <w:szCs w:val="24"/>
                <w:lang w:val="en-US"/>
              </w:rPr>
              <w:t>contention</w:t>
            </w:r>
            <w:r w:rsidR="00384D11" w:rsidRPr="001070C5">
              <w:rPr>
                <w:rFonts w:ascii="Arial Narrow" w:hAnsi="Arial Narrow" w:cs="Arial"/>
                <w:sz w:val="24"/>
                <w:szCs w:val="24"/>
                <w:lang w:val="en-US"/>
              </w:rPr>
              <w:t>, Mr Keendjele.</w:t>
            </w:r>
          </w:p>
          <w:p w14:paraId="175FB4D2" w14:textId="77777777" w:rsidR="00384D11" w:rsidRPr="001070C5" w:rsidRDefault="00384D11" w:rsidP="00A701C4">
            <w:pPr>
              <w:pStyle w:val="ListParagraph"/>
              <w:spacing w:line="360" w:lineRule="auto"/>
              <w:rPr>
                <w:rFonts w:ascii="Arial Narrow" w:hAnsi="Arial Narrow" w:cs="Arial"/>
                <w:sz w:val="24"/>
                <w:szCs w:val="24"/>
                <w:lang w:val="en-US"/>
              </w:rPr>
            </w:pPr>
          </w:p>
          <w:p w14:paraId="4DA8917D" w14:textId="77777777" w:rsidR="00384D11" w:rsidRPr="001070C5" w:rsidRDefault="00774032" w:rsidP="00A701C4">
            <w:pPr>
              <w:pStyle w:val="ListParagraph"/>
              <w:numPr>
                <w:ilvl w:val="0"/>
                <w:numId w:val="19"/>
              </w:numPr>
              <w:spacing w:line="360" w:lineRule="auto"/>
              <w:ind w:left="0" w:firstLine="23"/>
              <w:jc w:val="both"/>
              <w:rPr>
                <w:rFonts w:ascii="Arial Narrow" w:hAnsi="Arial Narrow" w:cs="Arial"/>
                <w:sz w:val="24"/>
                <w:szCs w:val="24"/>
                <w:lang w:val="en-US"/>
              </w:rPr>
            </w:pPr>
            <w:r w:rsidRPr="001070C5">
              <w:rPr>
                <w:rFonts w:ascii="Arial Narrow" w:hAnsi="Arial Narrow" w:cs="Arial"/>
                <w:sz w:val="24"/>
                <w:szCs w:val="24"/>
                <w:lang w:val="en-US"/>
              </w:rPr>
              <w:lastRenderedPageBreak/>
              <w:t xml:space="preserve">On 5 October 2020 it became clear to Mr Kauta that the first defendant would </w:t>
            </w:r>
            <w:r w:rsidR="00783145" w:rsidRPr="001070C5">
              <w:rPr>
                <w:rFonts w:ascii="Arial Narrow" w:hAnsi="Arial Narrow" w:cs="Arial"/>
                <w:sz w:val="24"/>
                <w:szCs w:val="24"/>
                <w:lang w:val="en-US"/>
              </w:rPr>
              <w:t>be unable to file its factual witness statements by the deadline set by the court. He attempted to contact plaintiff’s practitioner of record telephonically on the same date but was unable to reach him.</w:t>
            </w:r>
          </w:p>
          <w:p w14:paraId="56E240E6" w14:textId="77777777" w:rsidR="00783145" w:rsidRPr="001070C5" w:rsidRDefault="00783145" w:rsidP="00A701C4">
            <w:pPr>
              <w:pStyle w:val="ListParagraph"/>
              <w:spacing w:line="360" w:lineRule="auto"/>
              <w:rPr>
                <w:rFonts w:ascii="Arial Narrow" w:hAnsi="Arial Narrow" w:cs="Arial"/>
                <w:sz w:val="24"/>
                <w:szCs w:val="24"/>
                <w:lang w:val="en-US"/>
              </w:rPr>
            </w:pPr>
          </w:p>
          <w:p w14:paraId="40E0A540" w14:textId="66130895" w:rsidR="00783145" w:rsidRPr="001070C5" w:rsidRDefault="00783145" w:rsidP="00A701C4">
            <w:pPr>
              <w:pStyle w:val="ListParagraph"/>
              <w:numPr>
                <w:ilvl w:val="0"/>
                <w:numId w:val="19"/>
              </w:numPr>
              <w:spacing w:line="360" w:lineRule="auto"/>
              <w:ind w:left="0" w:firstLine="23"/>
              <w:jc w:val="both"/>
              <w:rPr>
                <w:rFonts w:ascii="Arial Narrow" w:hAnsi="Arial Narrow" w:cs="Arial"/>
                <w:sz w:val="24"/>
                <w:szCs w:val="24"/>
                <w:lang w:val="en-US"/>
              </w:rPr>
            </w:pPr>
            <w:r w:rsidRPr="001070C5">
              <w:rPr>
                <w:rFonts w:ascii="Arial Narrow" w:hAnsi="Arial Narrow" w:cs="Arial"/>
                <w:sz w:val="24"/>
                <w:szCs w:val="24"/>
                <w:lang w:val="en-US"/>
              </w:rPr>
              <w:t>Three days later</w:t>
            </w:r>
            <w:r w:rsidR="00D67EB9">
              <w:rPr>
                <w:rFonts w:ascii="Arial Narrow" w:hAnsi="Arial Narrow" w:cs="Arial"/>
                <w:sz w:val="24"/>
                <w:szCs w:val="24"/>
                <w:lang w:val="en-US"/>
              </w:rPr>
              <w:t>,</w:t>
            </w:r>
            <w:r w:rsidRPr="001070C5">
              <w:rPr>
                <w:rFonts w:ascii="Arial Narrow" w:hAnsi="Arial Narrow" w:cs="Arial"/>
                <w:sz w:val="24"/>
                <w:szCs w:val="24"/>
                <w:lang w:val="en-US"/>
              </w:rPr>
              <w:t xml:space="preserve"> on 8 October 2020, Mr Kauta addressed</w:t>
            </w:r>
            <w:r w:rsidR="00884C83" w:rsidRPr="001070C5">
              <w:rPr>
                <w:rFonts w:ascii="Arial Narrow" w:hAnsi="Arial Narrow" w:cs="Arial"/>
                <w:sz w:val="24"/>
                <w:szCs w:val="24"/>
                <w:lang w:val="en-US"/>
              </w:rPr>
              <w:t xml:space="preserve"> a</w:t>
            </w:r>
            <w:r w:rsidRPr="001070C5">
              <w:rPr>
                <w:rFonts w:ascii="Arial Narrow" w:hAnsi="Arial Narrow" w:cs="Arial"/>
                <w:sz w:val="24"/>
                <w:szCs w:val="24"/>
                <w:lang w:val="en-US"/>
              </w:rPr>
              <w:t xml:space="preserve"> letter to Mr Shikongo pursuant to rule 32(9). The essence of the letter was that in light of the first </w:t>
            </w:r>
            <w:r w:rsidR="006A3FF9" w:rsidRPr="001070C5">
              <w:rPr>
                <w:rFonts w:ascii="Arial Narrow" w:hAnsi="Arial Narrow" w:cs="Arial"/>
                <w:sz w:val="24"/>
                <w:szCs w:val="24"/>
                <w:lang w:val="en-US"/>
              </w:rPr>
              <w:t>defendant</w:t>
            </w:r>
            <w:r w:rsidRPr="001070C5">
              <w:rPr>
                <w:rFonts w:ascii="Arial Narrow" w:hAnsi="Arial Narrow" w:cs="Arial"/>
                <w:sz w:val="24"/>
                <w:szCs w:val="24"/>
                <w:lang w:val="en-US"/>
              </w:rPr>
              <w:t>’</w:t>
            </w:r>
            <w:r w:rsidR="00884C83" w:rsidRPr="001070C5">
              <w:rPr>
                <w:rFonts w:ascii="Arial Narrow" w:hAnsi="Arial Narrow" w:cs="Arial"/>
                <w:sz w:val="24"/>
                <w:szCs w:val="24"/>
                <w:lang w:val="en-US"/>
              </w:rPr>
              <w:t>s inability to file its further factual witness statements by 9 October 2020,</w:t>
            </w:r>
            <w:r w:rsidRPr="001070C5">
              <w:rPr>
                <w:rFonts w:ascii="Arial Narrow" w:hAnsi="Arial Narrow" w:cs="Arial"/>
                <w:sz w:val="24"/>
                <w:szCs w:val="24"/>
                <w:lang w:val="en-US"/>
              </w:rPr>
              <w:t xml:space="preserve"> it proposed filing </w:t>
            </w:r>
            <w:r w:rsidR="00884C83" w:rsidRPr="001070C5">
              <w:rPr>
                <w:rFonts w:ascii="Arial Narrow" w:hAnsi="Arial Narrow" w:cs="Arial"/>
                <w:sz w:val="24"/>
                <w:szCs w:val="24"/>
                <w:lang w:val="en-US"/>
              </w:rPr>
              <w:t xml:space="preserve">its </w:t>
            </w:r>
            <w:r w:rsidRPr="001070C5">
              <w:rPr>
                <w:rFonts w:ascii="Arial Narrow" w:hAnsi="Arial Narrow" w:cs="Arial"/>
                <w:sz w:val="24"/>
                <w:szCs w:val="24"/>
                <w:lang w:val="en-US"/>
              </w:rPr>
              <w:t xml:space="preserve">witness statements and a condonation application on or before 6 November 2020, and sought </w:t>
            </w:r>
            <w:r w:rsidR="0086197B" w:rsidRPr="001070C5">
              <w:rPr>
                <w:rFonts w:ascii="Arial Narrow" w:hAnsi="Arial Narrow" w:cs="Arial"/>
                <w:sz w:val="24"/>
                <w:szCs w:val="24"/>
                <w:lang w:val="en-US"/>
              </w:rPr>
              <w:t>the plaintiff’s agreement and indulgence in this regard.</w:t>
            </w:r>
          </w:p>
          <w:p w14:paraId="05305F19" w14:textId="77777777" w:rsidR="0086197B" w:rsidRPr="001070C5" w:rsidRDefault="0086197B" w:rsidP="00A701C4">
            <w:pPr>
              <w:pStyle w:val="ListParagraph"/>
              <w:spacing w:line="360" w:lineRule="auto"/>
              <w:rPr>
                <w:rFonts w:ascii="Arial Narrow" w:hAnsi="Arial Narrow" w:cs="Arial"/>
                <w:sz w:val="24"/>
                <w:szCs w:val="24"/>
                <w:lang w:val="en-US"/>
              </w:rPr>
            </w:pPr>
          </w:p>
          <w:p w14:paraId="2BBCE334" w14:textId="794E67B1" w:rsidR="0086197B" w:rsidRPr="001070C5" w:rsidRDefault="0086197B" w:rsidP="00A701C4">
            <w:pPr>
              <w:pStyle w:val="ListParagraph"/>
              <w:numPr>
                <w:ilvl w:val="0"/>
                <w:numId w:val="19"/>
              </w:numPr>
              <w:spacing w:line="360" w:lineRule="auto"/>
              <w:ind w:left="0" w:firstLine="23"/>
              <w:jc w:val="both"/>
              <w:rPr>
                <w:rFonts w:ascii="Arial Narrow" w:hAnsi="Arial Narrow" w:cs="Arial"/>
                <w:sz w:val="24"/>
                <w:szCs w:val="24"/>
                <w:lang w:val="en-US"/>
              </w:rPr>
            </w:pPr>
            <w:r w:rsidRPr="001070C5">
              <w:rPr>
                <w:rFonts w:ascii="Arial Narrow" w:hAnsi="Arial Narrow" w:cs="Arial"/>
                <w:sz w:val="24"/>
                <w:szCs w:val="24"/>
                <w:lang w:val="en-US"/>
              </w:rPr>
              <w:t xml:space="preserve">In explaining first defendant’s non-compliance with the second </w:t>
            </w:r>
            <w:r w:rsidR="008F1370" w:rsidRPr="001070C5">
              <w:rPr>
                <w:rFonts w:ascii="Arial Narrow" w:hAnsi="Arial Narrow" w:cs="Arial"/>
                <w:sz w:val="24"/>
                <w:szCs w:val="24"/>
                <w:lang w:val="en-US"/>
              </w:rPr>
              <w:t>court order of 29 October 2020,                   Ms Mungunda states that in preparing and filing Mr Keendjele’s witness statement, a discovery affidavit and further request in terms of rule 28 on 6 November 2020,</w:t>
            </w:r>
            <w:r w:rsidR="008F1370" w:rsidRPr="00897A6F">
              <w:rPr>
                <w:rFonts w:ascii="Arial Narrow" w:hAnsi="Arial Narrow" w:cs="Arial"/>
                <w:sz w:val="24"/>
                <w:szCs w:val="24"/>
                <w:lang w:val="en-US"/>
              </w:rPr>
              <w:t xml:space="preserve"> </w:t>
            </w:r>
            <w:r w:rsidR="00B551AE">
              <w:rPr>
                <w:rFonts w:ascii="Arial Narrow" w:hAnsi="Arial Narrow" w:cs="Arial"/>
                <w:sz w:val="24"/>
                <w:szCs w:val="24"/>
                <w:lang w:val="en-US"/>
              </w:rPr>
              <w:t>the applicant’s legal practitioner</w:t>
            </w:r>
            <w:r w:rsidR="00D67EB9" w:rsidRPr="00897A6F">
              <w:rPr>
                <w:rFonts w:ascii="Arial Narrow" w:hAnsi="Arial Narrow" w:cs="Arial"/>
                <w:sz w:val="24"/>
                <w:szCs w:val="24"/>
                <w:lang w:val="en-US"/>
              </w:rPr>
              <w:t xml:space="preserve"> </w:t>
            </w:r>
            <w:r w:rsidR="008F1370" w:rsidRPr="001070C5">
              <w:rPr>
                <w:rFonts w:ascii="Arial Narrow" w:hAnsi="Arial Narrow" w:cs="Arial"/>
                <w:sz w:val="24"/>
                <w:szCs w:val="24"/>
                <w:lang w:val="en-US"/>
              </w:rPr>
              <w:t xml:space="preserve">became sidetracked </w:t>
            </w:r>
            <w:r w:rsidR="006A3FF9" w:rsidRPr="001070C5">
              <w:rPr>
                <w:rFonts w:ascii="Arial Narrow" w:hAnsi="Arial Narrow" w:cs="Arial"/>
                <w:sz w:val="24"/>
                <w:szCs w:val="24"/>
                <w:lang w:val="en-US"/>
              </w:rPr>
              <w:t xml:space="preserve">and did not </w:t>
            </w:r>
            <w:r w:rsidR="002A7705" w:rsidRPr="001070C5">
              <w:rPr>
                <w:rFonts w:ascii="Arial Narrow" w:hAnsi="Arial Narrow" w:cs="Arial"/>
                <w:sz w:val="24"/>
                <w:szCs w:val="24"/>
                <w:lang w:val="en-US"/>
              </w:rPr>
              <w:t>realize</w:t>
            </w:r>
            <w:r w:rsidR="006A3FF9" w:rsidRPr="001070C5">
              <w:rPr>
                <w:rFonts w:ascii="Arial Narrow" w:hAnsi="Arial Narrow" w:cs="Arial"/>
                <w:sz w:val="24"/>
                <w:szCs w:val="24"/>
                <w:lang w:val="en-US"/>
              </w:rPr>
              <w:t xml:space="preserve"> until the following court day of 9 November 2020 that the condonation application had not been drafted and filed. </w:t>
            </w:r>
          </w:p>
          <w:p w14:paraId="0865004F" w14:textId="77777777" w:rsidR="00B80054" w:rsidRPr="001070C5" w:rsidRDefault="00B80054" w:rsidP="00A701C4">
            <w:pPr>
              <w:pStyle w:val="ListParagraph"/>
              <w:spacing w:line="360" w:lineRule="auto"/>
              <w:rPr>
                <w:rFonts w:ascii="Arial Narrow" w:hAnsi="Arial Narrow" w:cs="Arial"/>
                <w:sz w:val="24"/>
                <w:szCs w:val="24"/>
                <w:lang w:val="en-US"/>
              </w:rPr>
            </w:pPr>
          </w:p>
          <w:p w14:paraId="4189FDB7" w14:textId="77777777" w:rsidR="00F10C6E" w:rsidRPr="001070C5" w:rsidRDefault="00F1129C" w:rsidP="00A701C4">
            <w:pPr>
              <w:pStyle w:val="ListParagraph"/>
              <w:spacing w:line="360" w:lineRule="auto"/>
              <w:ind w:left="23"/>
              <w:jc w:val="both"/>
              <w:rPr>
                <w:rFonts w:ascii="Arial Narrow" w:hAnsi="Arial Narrow" w:cs="Arial"/>
                <w:sz w:val="24"/>
                <w:szCs w:val="24"/>
                <w:u w:val="single"/>
                <w:lang w:val="en-US"/>
              </w:rPr>
            </w:pPr>
            <w:r w:rsidRPr="001070C5">
              <w:rPr>
                <w:rFonts w:ascii="Arial Narrow" w:hAnsi="Arial Narrow" w:cs="Arial"/>
                <w:sz w:val="24"/>
                <w:szCs w:val="24"/>
                <w:u w:val="single"/>
                <w:lang w:val="en-US"/>
              </w:rPr>
              <w:t>Arguments on behalf of the first defendant</w:t>
            </w:r>
          </w:p>
          <w:p w14:paraId="65D7340A" w14:textId="77777777" w:rsidR="00F10C6E" w:rsidRPr="001070C5" w:rsidRDefault="00F10C6E" w:rsidP="00A701C4">
            <w:pPr>
              <w:pStyle w:val="ListParagraph"/>
              <w:spacing w:line="360" w:lineRule="auto"/>
              <w:rPr>
                <w:rFonts w:ascii="Arial Narrow" w:hAnsi="Arial Narrow" w:cs="Arial"/>
                <w:sz w:val="24"/>
                <w:szCs w:val="24"/>
                <w:lang w:val="en-US"/>
              </w:rPr>
            </w:pPr>
          </w:p>
          <w:p w14:paraId="0BF44651" w14:textId="28773580" w:rsidR="002B2AA0" w:rsidRPr="001070C5" w:rsidRDefault="00F1129C" w:rsidP="00A701C4">
            <w:pPr>
              <w:pStyle w:val="ListParagraph"/>
              <w:numPr>
                <w:ilvl w:val="0"/>
                <w:numId w:val="19"/>
              </w:numPr>
              <w:spacing w:line="360" w:lineRule="auto"/>
              <w:ind w:left="0" w:firstLine="23"/>
              <w:jc w:val="both"/>
              <w:rPr>
                <w:rFonts w:ascii="Arial Narrow" w:hAnsi="Arial Narrow" w:cs="Arial"/>
                <w:sz w:val="24"/>
                <w:szCs w:val="24"/>
                <w:lang w:val="en-US"/>
              </w:rPr>
            </w:pPr>
            <w:r w:rsidRPr="001070C5">
              <w:rPr>
                <w:rFonts w:ascii="Arial Narrow" w:hAnsi="Arial Narrow" w:cs="Arial"/>
                <w:sz w:val="24"/>
                <w:szCs w:val="24"/>
                <w:lang w:val="en-US"/>
              </w:rPr>
              <w:t xml:space="preserve">In its heads of argument the first defendant </w:t>
            </w:r>
            <w:r w:rsidR="002A7705">
              <w:rPr>
                <w:rFonts w:ascii="Arial Narrow" w:hAnsi="Arial Narrow" w:cs="Arial"/>
                <w:sz w:val="24"/>
                <w:szCs w:val="24"/>
                <w:lang w:val="en-US"/>
              </w:rPr>
              <w:t>notes</w:t>
            </w:r>
            <w:r w:rsidRPr="001070C5">
              <w:rPr>
                <w:rFonts w:ascii="Arial Narrow" w:hAnsi="Arial Narrow" w:cs="Arial"/>
                <w:i/>
                <w:sz w:val="24"/>
                <w:szCs w:val="24"/>
                <w:lang w:val="en-US"/>
              </w:rPr>
              <w:t xml:space="preserve"> </w:t>
            </w:r>
            <w:r w:rsidRPr="001070C5">
              <w:rPr>
                <w:rFonts w:ascii="Arial Narrow" w:hAnsi="Arial Narrow" w:cs="Arial"/>
                <w:sz w:val="24"/>
                <w:szCs w:val="24"/>
                <w:lang w:val="en-US"/>
              </w:rPr>
              <w:t>that in order for an application for condonation to be successful the applicati</w:t>
            </w:r>
            <w:r w:rsidR="002A7705">
              <w:rPr>
                <w:rFonts w:ascii="Arial Narrow" w:hAnsi="Arial Narrow" w:cs="Arial"/>
                <w:sz w:val="24"/>
                <w:szCs w:val="24"/>
                <w:lang w:val="en-US"/>
              </w:rPr>
              <w:t xml:space="preserve">on must meet two requisites – firstly it must </w:t>
            </w:r>
            <w:r w:rsidRPr="001070C5">
              <w:rPr>
                <w:rFonts w:ascii="Arial Narrow" w:hAnsi="Arial Narrow" w:cs="Arial"/>
                <w:sz w:val="24"/>
                <w:szCs w:val="24"/>
                <w:lang w:val="en-US"/>
              </w:rPr>
              <w:t xml:space="preserve">establish a reasonable and acceptable explanation for the delay and secondly satisfy the court that there are reasonable prospects of success on appeal. </w:t>
            </w:r>
            <w:r w:rsidR="00D67EB9">
              <w:rPr>
                <w:rFonts w:ascii="Arial Narrow" w:hAnsi="Arial Narrow" w:cs="Arial"/>
                <w:sz w:val="24"/>
                <w:szCs w:val="24"/>
                <w:lang w:val="en-US"/>
              </w:rPr>
              <w:t xml:space="preserve">The </w:t>
            </w:r>
            <w:r w:rsidR="00D67EB9" w:rsidRPr="00897A6F">
              <w:rPr>
                <w:rFonts w:ascii="Arial Narrow" w:hAnsi="Arial Narrow" w:cs="Arial"/>
                <w:sz w:val="24"/>
                <w:szCs w:val="24"/>
                <w:lang w:val="en-US"/>
              </w:rPr>
              <w:t>f</w:t>
            </w:r>
            <w:r w:rsidRPr="00897A6F">
              <w:rPr>
                <w:rFonts w:ascii="Arial Narrow" w:hAnsi="Arial Narrow" w:cs="Arial"/>
                <w:sz w:val="24"/>
                <w:szCs w:val="24"/>
                <w:lang w:val="en-US"/>
              </w:rPr>
              <w:t>i</w:t>
            </w:r>
            <w:r w:rsidRPr="001070C5">
              <w:rPr>
                <w:rFonts w:ascii="Arial Narrow" w:hAnsi="Arial Narrow" w:cs="Arial"/>
                <w:sz w:val="24"/>
                <w:szCs w:val="24"/>
                <w:lang w:val="en-US"/>
              </w:rPr>
              <w:t xml:space="preserve">rst defendant submits that it has met both these requirements in that it provided a detailed, sufficient, reasonable and acceptable explanation for </w:t>
            </w:r>
            <w:r w:rsidR="002B2AA0" w:rsidRPr="001070C5">
              <w:rPr>
                <w:rFonts w:ascii="Arial Narrow" w:hAnsi="Arial Narrow" w:cs="Arial"/>
                <w:sz w:val="24"/>
                <w:szCs w:val="24"/>
                <w:lang w:val="en-US"/>
              </w:rPr>
              <w:t>its delay in filing its further factual witness statements and that should the court accept the evidence contained in Mr Keendjele’s witness statement, the first respondent enjoys favourable prospects of success in the main action.</w:t>
            </w:r>
          </w:p>
          <w:p w14:paraId="353A4D5F" w14:textId="77777777" w:rsidR="00EE087B" w:rsidRPr="001070C5" w:rsidRDefault="00C303B8" w:rsidP="00A701C4">
            <w:pPr>
              <w:pStyle w:val="ListParagraph"/>
              <w:spacing w:line="360" w:lineRule="auto"/>
              <w:ind w:left="23"/>
              <w:jc w:val="both"/>
              <w:rPr>
                <w:rFonts w:ascii="Arial Narrow" w:hAnsi="Arial Narrow" w:cs="Arial"/>
                <w:sz w:val="24"/>
                <w:szCs w:val="24"/>
                <w:lang w:val="en-US"/>
              </w:rPr>
            </w:pPr>
            <w:r w:rsidRPr="001070C5">
              <w:rPr>
                <w:rFonts w:ascii="Arial Narrow" w:hAnsi="Arial Narrow" w:cs="Arial"/>
                <w:sz w:val="24"/>
                <w:szCs w:val="24"/>
                <w:lang w:val="en-US"/>
              </w:rPr>
              <w:t xml:space="preserve"> </w:t>
            </w:r>
          </w:p>
          <w:p w14:paraId="18B6F4FB" w14:textId="04CFC549" w:rsidR="00F10C6E" w:rsidRPr="001070C5" w:rsidRDefault="002A7705" w:rsidP="00A701C4">
            <w:pPr>
              <w:pStyle w:val="ListParagraph"/>
              <w:numPr>
                <w:ilvl w:val="0"/>
                <w:numId w:val="19"/>
              </w:numPr>
              <w:spacing w:line="360" w:lineRule="auto"/>
              <w:ind w:left="0" w:firstLine="23"/>
              <w:jc w:val="both"/>
              <w:rPr>
                <w:rFonts w:ascii="Arial Narrow" w:hAnsi="Arial Narrow" w:cs="Arial"/>
                <w:sz w:val="24"/>
                <w:szCs w:val="24"/>
                <w:lang w:val="en-US"/>
              </w:rPr>
            </w:pPr>
            <w:r>
              <w:rPr>
                <w:rFonts w:ascii="Arial Narrow" w:hAnsi="Arial Narrow" w:cs="Arial"/>
                <w:sz w:val="24"/>
                <w:szCs w:val="24"/>
                <w:lang w:val="en-US"/>
              </w:rPr>
              <w:t>During oral arguments</w:t>
            </w:r>
            <w:r w:rsidR="002B2AA0" w:rsidRPr="001070C5">
              <w:rPr>
                <w:rFonts w:ascii="Arial Narrow" w:hAnsi="Arial Narrow" w:cs="Arial"/>
                <w:sz w:val="24"/>
                <w:szCs w:val="24"/>
                <w:lang w:val="en-US"/>
              </w:rPr>
              <w:t xml:space="preserve"> </w:t>
            </w:r>
            <w:r w:rsidR="00EE087B" w:rsidRPr="001070C5">
              <w:rPr>
                <w:rFonts w:ascii="Arial Narrow" w:hAnsi="Arial Narrow" w:cs="Arial"/>
                <w:sz w:val="24"/>
                <w:szCs w:val="24"/>
                <w:lang w:val="en-US"/>
              </w:rPr>
              <w:t xml:space="preserve">counsel for </w:t>
            </w:r>
            <w:r w:rsidR="007808D8" w:rsidRPr="001070C5">
              <w:rPr>
                <w:rFonts w:ascii="Arial Narrow" w:hAnsi="Arial Narrow" w:cs="Arial"/>
                <w:sz w:val="24"/>
                <w:szCs w:val="24"/>
                <w:lang w:val="en-US"/>
              </w:rPr>
              <w:t xml:space="preserve">the first defendant, </w:t>
            </w:r>
            <w:r w:rsidRPr="001070C5">
              <w:rPr>
                <w:rFonts w:ascii="Arial Narrow" w:hAnsi="Arial Narrow" w:cs="Arial"/>
                <w:sz w:val="24"/>
                <w:szCs w:val="24"/>
                <w:lang w:val="en-US"/>
              </w:rPr>
              <w:t xml:space="preserve">Mr Kauta, </w:t>
            </w:r>
            <w:r w:rsidR="007808D8" w:rsidRPr="001070C5">
              <w:rPr>
                <w:rFonts w:ascii="Arial Narrow" w:hAnsi="Arial Narrow" w:cs="Arial"/>
                <w:sz w:val="24"/>
                <w:szCs w:val="24"/>
                <w:lang w:val="en-US"/>
              </w:rPr>
              <w:t>impressed the importance of understanding the distinction between points of fact and points of law. He explained the difference to be the following: a</w:t>
            </w:r>
            <w:r w:rsidR="00A305CA" w:rsidRPr="001070C5">
              <w:rPr>
                <w:rFonts w:ascii="Arial Narrow" w:hAnsi="Arial Narrow" w:cs="Arial"/>
                <w:sz w:val="24"/>
                <w:szCs w:val="24"/>
                <w:lang w:val="en-US"/>
              </w:rPr>
              <w:t xml:space="preserve"> point of fact is answered by reference to the facts and evidence, and inferences arising from those facts. A point of law is answered by applying the relevant legal principles to the issue.</w:t>
            </w:r>
          </w:p>
          <w:p w14:paraId="3DE0EEE4" w14:textId="77777777" w:rsidR="007223EC" w:rsidRPr="001070C5" w:rsidRDefault="007223EC" w:rsidP="00A701C4">
            <w:pPr>
              <w:pStyle w:val="ListParagraph"/>
              <w:spacing w:line="360" w:lineRule="auto"/>
              <w:rPr>
                <w:rFonts w:ascii="Arial Narrow" w:hAnsi="Arial Narrow" w:cs="Arial"/>
                <w:sz w:val="24"/>
                <w:szCs w:val="24"/>
                <w:lang w:val="en-US"/>
              </w:rPr>
            </w:pPr>
          </w:p>
          <w:p w14:paraId="79397305" w14:textId="77777777" w:rsidR="007223EC" w:rsidRPr="001070C5" w:rsidRDefault="00A305CA" w:rsidP="00A701C4">
            <w:pPr>
              <w:pStyle w:val="ListParagraph"/>
              <w:numPr>
                <w:ilvl w:val="0"/>
                <w:numId w:val="19"/>
              </w:numPr>
              <w:spacing w:line="360" w:lineRule="auto"/>
              <w:ind w:left="0" w:firstLine="23"/>
              <w:jc w:val="both"/>
              <w:rPr>
                <w:rFonts w:ascii="Arial Narrow" w:hAnsi="Arial Narrow" w:cs="Arial"/>
                <w:sz w:val="24"/>
                <w:szCs w:val="24"/>
                <w:lang w:val="en-US"/>
              </w:rPr>
            </w:pPr>
            <w:r w:rsidRPr="001070C5">
              <w:rPr>
                <w:rFonts w:ascii="Arial Narrow" w:hAnsi="Arial Narrow" w:cs="Arial"/>
                <w:sz w:val="24"/>
                <w:szCs w:val="24"/>
                <w:lang w:val="en-US"/>
              </w:rPr>
              <w:t>Mr Kauta argued that although the plaintiff had opposed the first defendant’s condonation on two points of law, it had made factual averments in its heads of argument and relies on inferences which should have been properly raised in an answering affidavit.</w:t>
            </w:r>
            <w:r w:rsidR="00A92A4C" w:rsidRPr="001070C5">
              <w:rPr>
                <w:rFonts w:ascii="Arial Narrow" w:hAnsi="Arial Narrow" w:cs="Arial"/>
                <w:sz w:val="24"/>
                <w:szCs w:val="24"/>
                <w:lang w:val="en-US"/>
              </w:rPr>
              <w:t xml:space="preserve"> In addition thereto, the inferences made by the plaintiff were all false.</w:t>
            </w:r>
          </w:p>
          <w:p w14:paraId="2BFE90FC" w14:textId="77777777" w:rsidR="00A92A4C" w:rsidRPr="001070C5" w:rsidRDefault="00A92A4C" w:rsidP="00A701C4">
            <w:pPr>
              <w:pStyle w:val="ListParagraph"/>
              <w:spacing w:line="360" w:lineRule="auto"/>
              <w:rPr>
                <w:rFonts w:ascii="Arial Narrow" w:hAnsi="Arial Narrow" w:cs="Arial"/>
                <w:sz w:val="24"/>
                <w:szCs w:val="24"/>
                <w:lang w:val="en-US"/>
              </w:rPr>
            </w:pPr>
          </w:p>
          <w:p w14:paraId="600CEB49" w14:textId="77777777" w:rsidR="00A92A4C" w:rsidRPr="001070C5" w:rsidRDefault="00A92A4C" w:rsidP="00A701C4">
            <w:pPr>
              <w:pStyle w:val="ListParagraph"/>
              <w:numPr>
                <w:ilvl w:val="0"/>
                <w:numId w:val="19"/>
              </w:numPr>
              <w:spacing w:line="360" w:lineRule="auto"/>
              <w:ind w:left="0" w:firstLine="23"/>
              <w:jc w:val="both"/>
              <w:rPr>
                <w:rFonts w:ascii="Arial Narrow" w:hAnsi="Arial Narrow" w:cs="Arial"/>
                <w:sz w:val="24"/>
                <w:szCs w:val="24"/>
                <w:lang w:val="en-US"/>
              </w:rPr>
            </w:pPr>
            <w:r w:rsidRPr="001070C5">
              <w:rPr>
                <w:rFonts w:ascii="Arial Narrow" w:hAnsi="Arial Narrow" w:cs="Arial"/>
                <w:sz w:val="24"/>
                <w:szCs w:val="24"/>
                <w:lang w:val="en-US"/>
              </w:rPr>
              <w:lastRenderedPageBreak/>
              <w:t>In response to the plaintiff’s argument that upon becoming aware on 5 October 2020 that it would not be able to comply with the first court order the first defendant should have applied for an extension in terms of rule 55, Mr Kauta argued that taking that course of action would have rendered rule 32(9) nugatory.</w:t>
            </w:r>
            <w:r w:rsidR="00D23F2C" w:rsidRPr="001070C5">
              <w:rPr>
                <w:rFonts w:ascii="Arial Narrow" w:hAnsi="Arial Narrow" w:cs="Arial"/>
                <w:sz w:val="24"/>
                <w:szCs w:val="24"/>
                <w:lang w:val="en-US"/>
              </w:rPr>
              <w:t xml:space="preserve"> The rule 32(9) approach advances the case where the parties agree to filing ‘everything together’ (ie the condonation application and the belated witness statements).</w:t>
            </w:r>
          </w:p>
          <w:p w14:paraId="6AAB4441" w14:textId="77777777" w:rsidR="007223EC" w:rsidRPr="001070C5" w:rsidRDefault="007223EC" w:rsidP="00A701C4">
            <w:pPr>
              <w:pStyle w:val="ListParagraph"/>
              <w:spacing w:line="360" w:lineRule="auto"/>
              <w:rPr>
                <w:rFonts w:ascii="Arial Narrow" w:hAnsi="Arial Narrow" w:cs="Arial"/>
                <w:sz w:val="24"/>
                <w:szCs w:val="24"/>
                <w:lang w:val="en-US"/>
              </w:rPr>
            </w:pPr>
          </w:p>
          <w:p w14:paraId="476671AA" w14:textId="77777777" w:rsidR="007223EC" w:rsidRPr="001070C5" w:rsidRDefault="0006068D" w:rsidP="00A701C4">
            <w:pPr>
              <w:pStyle w:val="ListParagraph"/>
              <w:numPr>
                <w:ilvl w:val="0"/>
                <w:numId w:val="19"/>
              </w:numPr>
              <w:spacing w:line="360" w:lineRule="auto"/>
              <w:ind w:left="0" w:firstLine="23"/>
              <w:jc w:val="both"/>
              <w:rPr>
                <w:rFonts w:ascii="Arial Narrow" w:hAnsi="Arial Narrow" w:cs="Arial"/>
                <w:sz w:val="24"/>
                <w:szCs w:val="24"/>
                <w:lang w:val="en-US"/>
              </w:rPr>
            </w:pPr>
            <w:r w:rsidRPr="001070C5">
              <w:rPr>
                <w:rFonts w:ascii="Arial Narrow" w:hAnsi="Arial Narrow" w:cs="Arial"/>
                <w:sz w:val="24"/>
                <w:szCs w:val="24"/>
                <w:lang w:val="en-US"/>
              </w:rPr>
              <w:t xml:space="preserve">Insofar as the plaintiff regarded the first defendant’s filing of Mr Keendjele’ witness statement as irregular, Mr Kauta argued that </w:t>
            </w:r>
            <w:r w:rsidR="00D23F2C" w:rsidRPr="001070C5">
              <w:rPr>
                <w:rFonts w:ascii="Arial Narrow" w:hAnsi="Arial Narrow" w:cs="Arial"/>
                <w:sz w:val="24"/>
                <w:szCs w:val="24"/>
                <w:lang w:val="en-US"/>
              </w:rPr>
              <w:t>the plaintiff should have used rule 61 to raise this issue as opposed to rule 66.</w:t>
            </w:r>
          </w:p>
          <w:p w14:paraId="402370DB" w14:textId="77777777" w:rsidR="00B75AA2" w:rsidRPr="001070C5" w:rsidRDefault="00B75AA2" w:rsidP="00A701C4">
            <w:pPr>
              <w:pStyle w:val="ListParagraph"/>
              <w:spacing w:line="360" w:lineRule="auto"/>
              <w:rPr>
                <w:rFonts w:ascii="Arial Narrow" w:hAnsi="Arial Narrow" w:cs="Arial"/>
                <w:sz w:val="24"/>
                <w:szCs w:val="24"/>
                <w:lang w:val="en-US"/>
              </w:rPr>
            </w:pPr>
          </w:p>
          <w:p w14:paraId="2AAD6331" w14:textId="77777777" w:rsidR="00B75AA2" w:rsidRPr="001070C5" w:rsidRDefault="00B75AA2" w:rsidP="00A701C4">
            <w:pPr>
              <w:pStyle w:val="ListParagraph"/>
              <w:numPr>
                <w:ilvl w:val="0"/>
                <w:numId w:val="19"/>
              </w:numPr>
              <w:spacing w:line="360" w:lineRule="auto"/>
              <w:ind w:left="0" w:firstLine="23"/>
              <w:jc w:val="both"/>
              <w:rPr>
                <w:rFonts w:ascii="Arial Narrow" w:hAnsi="Arial Narrow" w:cs="Arial"/>
                <w:sz w:val="24"/>
                <w:szCs w:val="24"/>
                <w:lang w:val="en-US"/>
              </w:rPr>
            </w:pPr>
            <w:r w:rsidRPr="001070C5">
              <w:rPr>
                <w:rFonts w:ascii="Arial Narrow" w:hAnsi="Arial Narrow" w:cs="Arial"/>
                <w:sz w:val="24"/>
                <w:szCs w:val="24"/>
                <w:lang w:val="en-US"/>
              </w:rPr>
              <w:t>Mr Kauta submitted that he would not deal with the issue of prejudice at all as same had not been raised as an issue in plaintiff’s notice of opposition.</w:t>
            </w:r>
          </w:p>
          <w:p w14:paraId="58C31C47" w14:textId="77777777" w:rsidR="00773245" w:rsidRPr="001070C5" w:rsidRDefault="00773245" w:rsidP="00A701C4">
            <w:pPr>
              <w:pStyle w:val="ListParagraph"/>
              <w:spacing w:line="360" w:lineRule="auto"/>
              <w:rPr>
                <w:rFonts w:ascii="Arial Narrow" w:hAnsi="Arial Narrow" w:cs="Arial"/>
                <w:sz w:val="24"/>
                <w:szCs w:val="24"/>
                <w:lang w:val="en-US"/>
              </w:rPr>
            </w:pPr>
          </w:p>
          <w:p w14:paraId="5020A297" w14:textId="1BAB952F" w:rsidR="00773245" w:rsidRPr="001070C5" w:rsidRDefault="00773245" w:rsidP="00A701C4">
            <w:pPr>
              <w:pStyle w:val="ListParagraph"/>
              <w:numPr>
                <w:ilvl w:val="0"/>
                <w:numId w:val="19"/>
              </w:numPr>
              <w:spacing w:line="360" w:lineRule="auto"/>
              <w:ind w:left="0" w:firstLine="23"/>
              <w:jc w:val="both"/>
              <w:rPr>
                <w:rFonts w:ascii="Arial Narrow" w:hAnsi="Arial Narrow" w:cs="Arial"/>
                <w:sz w:val="24"/>
                <w:szCs w:val="24"/>
                <w:lang w:val="en-US"/>
              </w:rPr>
            </w:pPr>
            <w:r w:rsidRPr="001070C5">
              <w:rPr>
                <w:rFonts w:ascii="Arial Narrow" w:hAnsi="Arial Narrow" w:cs="Arial"/>
                <w:sz w:val="24"/>
                <w:szCs w:val="24"/>
                <w:lang w:val="en-US"/>
              </w:rPr>
              <w:t>With respect to costs, Mr Kauta submitted that the first defendant tenders the wasted co</w:t>
            </w:r>
            <w:r w:rsidR="00163E89">
              <w:rPr>
                <w:rFonts w:ascii="Arial Narrow" w:hAnsi="Arial Narrow" w:cs="Arial"/>
                <w:sz w:val="24"/>
                <w:szCs w:val="24"/>
                <w:lang w:val="en-US"/>
              </w:rPr>
              <w:t>s</w:t>
            </w:r>
            <w:r w:rsidRPr="001070C5">
              <w:rPr>
                <w:rFonts w:ascii="Arial Narrow" w:hAnsi="Arial Narrow" w:cs="Arial"/>
                <w:sz w:val="24"/>
                <w:szCs w:val="24"/>
                <w:lang w:val="en-US"/>
              </w:rPr>
              <w:t xml:space="preserve">ts for the plaintiff’s appearance on 29 October 2020 as the first defendant was at remiss in that instance. He however </w:t>
            </w:r>
            <w:r w:rsidR="002A7705" w:rsidRPr="001070C5">
              <w:rPr>
                <w:rFonts w:ascii="Arial Narrow" w:hAnsi="Arial Narrow" w:cs="Arial"/>
                <w:sz w:val="24"/>
                <w:szCs w:val="24"/>
                <w:lang w:val="en-US"/>
              </w:rPr>
              <w:t>requested</w:t>
            </w:r>
            <w:r w:rsidRPr="001070C5">
              <w:rPr>
                <w:rFonts w:ascii="Arial Narrow" w:hAnsi="Arial Narrow" w:cs="Arial"/>
                <w:sz w:val="24"/>
                <w:szCs w:val="24"/>
                <w:lang w:val="en-US"/>
              </w:rPr>
              <w:t xml:space="preserve"> that the costs of </w:t>
            </w:r>
            <w:r w:rsidR="002A7705">
              <w:rPr>
                <w:rFonts w:ascii="Arial Narrow" w:hAnsi="Arial Narrow" w:cs="Arial"/>
                <w:sz w:val="24"/>
                <w:szCs w:val="24"/>
                <w:lang w:val="en-US"/>
              </w:rPr>
              <w:t xml:space="preserve">the plaintiff’s </w:t>
            </w:r>
            <w:r w:rsidRPr="001070C5">
              <w:rPr>
                <w:rFonts w:ascii="Arial Narrow" w:hAnsi="Arial Narrow" w:cs="Arial"/>
                <w:sz w:val="24"/>
                <w:szCs w:val="24"/>
                <w:lang w:val="en-US"/>
              </w:rPr>
              <w:t>appearance</w:t>
            </w:r>
            <w:r w:rsidR="002A7705">
              <w:rPr>
                <w:rFonts w:ascii="Arial Narrow" w:hAnsi="Arial Narrow" w:cs="Arial"/>
                <w:sz w:val="24"/>
                <w:szCs w:val="24"/>
                <w:lang w:val="en-US"/>
              </w:rPr>
              <w:t xml:space="preserve"> in arguing the current matter (ie 1 February 2021)</w:t>
            </w:r>
            <w:r w:rsidRPr="001070C5">
              <w:rPr>
                <w:rFonts w:ascii="Arial Narrow" w:hAnsi="Arial Narrow" w:cs="Arial"/>
                <w:sz w:val="24"/>
                <w:szCs w:val="24"/>
                <w:lang w:val="en-US"/>
              </w:rPr>
              <w:t xml:space="preserve"> should be covered by the plaintiff, as its opposition was academic, frivolous, unnecessary and simply delayed the matter. Furthermore, the opposition offered no defence but merely requested the court to determine questions of law. Such determination was usually reserved for appeals and not </w:t>
            </w:r>
            <w:r w:rsidR="00DD749C" w:rsidRPr="001070C5">
              <w:rPr>
                <w:rFonts w:ascii="Arial Narrow" w:hAnsi="Arial Narrow" w:cs="Arial"/>
                <w:sz w:val="24"/>
                <w:szCs w:val="24"/>
                <w:lang w:val="en-US"/>
              </w:rPr>
              <w:t xml:space="preserve">in cases where the court has a discretion in condonation applications. </w:t>
            </w:r>
            <w:r w:rsidR="00DE5FEC">
              <w:rPr>
                <w:rFonts w:ascii="Arial Narrow" w:hAnsi="Arial Narrow" w:cs="Arial"/>
                <w:sz w:val="24"/>
                <w:szCs w:val="24"/>
                <w:lang w:val="en-US"/>
              </w:rPr>
              <w:t xml:space="preserve">In conclusion Mr Kauta submitted </w:t>
            </w:r>
            <w:r w:rsidR="002A7705">
              <w:rPr>
                <w:rFonts w:ascii="Arial Narrow" w:hAnsi="Arial Narrow" w:cs="Arial"/>
                <w:sz w:val="24"/>
                <w:szCs w:val="24"/>
                <w:lang w:val="en-US"/>
              </w:rPr>
              <w:t xml:space="preserve">that </w:t>
            </w:r>
            <w:r w:rsidR="00DE5FEC">
              <w:rPr>
                <w:rFonts w:ascii="Arial Narrow" w:hAnsi="Arial Narrow" w:cs="Arial"/>
                <w:sz w:val="24"/>
                <w:szCs w:val="24"/>
                <w:lang w:val="en-US"/>
              </w:rPr>
              <w:t xml:space="preserve">the </w:t>
            </w:r>
            <w:r w:rsidR="002A7705">
              <w:rPr>
                <w:rFonts w:ascii="Arial Narrow" w:hAnsi="Arial Narrow" w:cs="Arial"/>
                <w:sz w:val="24"/>
                <w:szCs w:val="24"/>
                <w:lang w:val="en-US"/>
              </w:rPr>
              <w:t xml:space="preserve">costs should </w:t>
            </w:r>
            <w:r w:rsidR="005C712E">
              <w:rPr>
                <w:rFonts w:ascii="Arial Narrow" w:hAnsi="Arial Narrow" w:cs="Arial"/>
                <w:sz w:val="24"/>
                <w:szCs w:val="24"/>
                <w:lang w:val="en-US"/>
              </w:rPr>
              <w:t xml:space="preserve">be </w:t>
            </w:r>
            <w:r w:rsidR="002A7705">
              <w:rPr>
                <w:rFonts w:ascii="Arial Narrow" w:hAnsi="Arial Narrow" w:cs="Arial"/>
                <w:sz w:val="24"/>
                <w:szCs w:val="24"/>
                <w:lang w:val="en-US"/>
              </w:rPr>
              <w:t>capped in terms of rule</w:t>
            </w:r>
            <w:r w:rsidR="00DD749C" w:rsidRPr="001070C5">
              <w:rPr>
                <w:rFonts w:ascii="Arial Narrow" w:hAnsi="Arial Narrow" w:cs="Arial"/>
                <w:sz w:val="24"/>
                <w:szCs w:val="24"/>
                <w:lang w:val="en-US"/>
              </w:rPr>
              <w:t xml:space="preserve"> 32(11).</w:t>
            </w:r>
          </w:p>
          <w:p w14:paraId="0F0A49AF" w14:textId="77777777" w:rsidR="00D23F2C" w:rsidRPr="001070C5" w:rsidRDefault="00D23F2C" w:rsidP="00A701C4">
            <w:pPr>
              <w:pStyle w:val="ListParagraph"/>
              <w:spacing w:line="360" w:lineRule="auto"/>
              <w:rPr>
                <w:rFonts w:ascii="Arial Narrow" w:hAnsi="Arial Narrow" w:cs="Arial"/>
                <w:sz w:val="24"/>
                <w:szCs w:val="24"/>
                <w:lang w:val="en-US"/>
              </w:rPr>
            </w:pPr>
          </w:p>
          <w:p w14:paraId="18B97559" w14:textId="77777777" w:rsidR="00D23F2C" w:rsidRPr="001070C5" w:rsidRDefault="00D23F2C" w:rsidP="00A701C4">
            <w:pPr>
              <w:pStyle w:val="ListParagraph"/>
              <w:spacing w:line="360" w:lineRule="auto"/>
              <w:ind w:left="23"/>
              <w:jc w:val="both"/>
              <w:rPr>
                <w:rFonts w:ascii="Arial Narrow" w:hAnsi="Arial Narrow" w:cs="Arial"/>
                <w:sz w:val="24"/>
                <w:szCs w:val="24"/>
                <w:u w:val="single"/>
                <w:lang w:val="en-US"/>
              </w:rPr>
            </w:pPr>
            <w:r w:rsidRPr="001070C5">
              <w:rPr>
                <w:rFonts w:ascii="Arial Narrow" w:hAnsi="Arial Narrow" w:cs="Arial"/>
                <w:sz w:val="24"/>
                <w:szCs w:val="24"/>
                <w:u w:val="single"/>
                <w:lang w:val="en-US"/>
              </w:rPr>
              <w:t>Arguments on behalf of the plaintiff</w:t>
            </w:r>
          </w:p>
          <w:p w14:paraId="1DD7A8B5" w14:textId="77777777" w:rsidR="00D23F2C" w:rsidRPr="001070C5" w:rsidRDefault="00D23F2C" w:rsidP="00A701C4">
            <w:pPr>
              <w:pStyle w:val="ListParagraph"/>
              <w:spacing w:line="360" w:lineRule="auto"/>
              <w:rPr>
                <w:rFonts w:ascii="Arial Narrow" w:hAnsi="Arial Narrow" w:cs="Arial"/>
                <w:sz w:val="24"/>
                <w:szCs w:val="24"/>
                <w:lang w:val="en-US"/>
              </w:rPr>
            </w:pPr>
          </w:p>
          <w:p w14:paraId="756FE544" w14:textId="77777777" w:rsidR="00D23F2C" w:rsidRPr="001070C5" w:rsidRDefault="00B75AA2" w:rsidP="00A701C4">
            <w:pPr>
              <w:pStyle w:val="ListParagraph"/>
              <w:numPr>
                <w:ilvl w:val="0"/>
                <w:numId w:val="19"/>
              </w:numPr>
              <w:spacing w:line="360" w:lineRule="auto"/>
              <w:ind w:left="0" w:firstLine="23"/>
              <w:jc w:val="both"/>
              <w:rPr>
                <w:rFonts w:ascii="Arial Narrow" w:hAnsi="Arial Narrow" w:cs="Arial"/>
                <w:sz w:val="24"/>
                <w:szCs w:val="24"/>
                <w:lang w:val="en-US"/>
              </w:rPr>
            </w:pPr>
            <w:r w:rsidRPr="001070C5">
              <w:rPr>
                <w:rFonts w:ascii="Arial Narrow" w:hAnsi="Arial Narrow" w:cs="Arial"/>
                <w:sz w:val="24"/>
                <w:szCs w:val="24"/>
                <w:lang w:val="en-US"/>
              </w:rPr>
              <w:t>Counsel for the plaintiff, Mr Diedericks, reiterated plaintiff’s position as stated in its heads of argument, namely that the plaintiff does not dispute any of the factual averments made by the first defendant. The plaintiff was not in a position to challenge the facts averred by the first defendant as such facts fell within the peculiar knowledge of the first defendant.</w:t>
            </w:r>
            <w:r w:rsidR="008D0529" w:rsidRPr="001070C5">
              <w:rPr>
                <w:rFonts w:ascii="Arial Narrow" w:hAnsi="Arial Narrow" w:cs="Arial"/>
                <w:sz w:val="24"/>
                <w:szCs w:val="24"/>
                <w:lang w:val="en-US"/>
              </w:rPr>
              <w:t xml:space="preserve"> </w:t>
            </w:r>
          </w:p>
          <w:p w14:paraId="60BB66C6" w14:textId="77777777" w:rsidR="00B75AA2" w:rsidRPr="001070C5" w:rsidRDefault="00B75AA2" w:rsidP="00A701C4">
            <w:pPr>
              <w:pStyle w:val="ListParagraph"/>
              <w:spacing w:line="360" w:lineRule="auto"/>
              <w:ind w:left="23"/>
              <w:jc w:val="both"/>
              <w:rPr>
                <w:rFonts w:ascii="Arial Narrow" w:hAnsi="Arial Narrow" w:cs="Arial"/>
                <w:sz w:val="24"/>
                <w:szCs w:val="24"/>
                <w:lang w:val="en-US"/>
              </w:rPr>
            </w:pPr>
          </w:p>
          <w:p w14:paraId="1062AA8D" w14:textId="77777777" w:rsidR="00B75AA2" w:rsidRPr="001070C5" w:rsidRDefault="00B75AA2" w:rsidP="00A701C4">
            <w:pPr>
              <w:pStyle w:val="ListParagraph"/>
              <w:numPr>
                <w:ilvl w:val="0"/>
                <w:numId w:val="19"/>
              </w:numPr>
              <w:spacing w:line="360" w:lineRule="auto"/>
              <w:ind w:left="0" w:firstLine="23"/>
              <w:jc w:val="both"/>
              <w:rPr>
                <w:rFonts w:ascii="Arial Narrow" w:hAnsi="Arial Narrow" w:cs="Arial"/>
                <w:sz w:val="24"/>
                <w:szCs w:val="24"/>
                <w:lang w:val="en-US"/>
              </w:rPr>
            </w:pPr>
            <w:r w:rsidRPr="001070C5">
              <w:rPr>
                <w:rFonts w:ascii="Arial Narrow" w:hAnsi="Arial Narrow" w:cs="Arial"/>
                <w:sz w:val="24"/>
                <w:szCs w:val="24"/>
                <w:lang w:val="en-US"/>
              </w:rPr>
              <w:t>Mr Diedericks submitted that the plaintiff agrees with the</w:t>
            </w:r>
            <w:r w:rsidR="00C341FF" w:rsidRPr="001070C5">
              <w:rPr>
                <w:rFonts w:ascii="Arial Narrow" w:hAnsi="Arial Narrow" w:cs="Arial"/>
                <w:sz w:val="24"/>
                <w:szCs w:val="24"/>
                <w:lang w:val="en-US"/>
              </w:rPr>
              <w:t xml:space="preserve"> law and</w:t>
            </w:r>
            <w:r w:rsidRPr="001070C5">
              <w:rPr>
                <w:rFonts w:ascii="Arial Narrow" w:hAnsi="Arial Narrow" w:cs="Arial"/>
                <w:sz w:val="24"/>
                <w:szCs w:val="24"/>
                <w:lang w:val="en-US"/>
              </w:rPr>
              <w:t xml:space="preserve"> authorities </w:t>
            </w:r>
            <w:r w:rsidR="00C341FF" w:rsidRPr="001070C5">
              <w:rPr>
                <w:rFonts w:ascii="Arial Narrow" w:hAnsi="Arial Narrow" w:cs="Arial"/>
                <w:sz w:val="24"/>
                <w:szCs w:val="24"/>
                <w:lang w:val="en-US"/>
              </w:rPr>
              <w:t>set out</w:t>
            </w:r>
            <w:r w:rsidRPr="001070C5">
              <w:rPr>
                <w:rFonts w:ascii="Arial Narrow" w:hAnsi="Arial Narrow" w:cs="Arial"/>
                <w:sz w:val="24"/>
                <w:szCs w:val="24"/>
                <w:lang w:val="en-US"/>
              </w:rPr>
              <w:t xml:space="preserve"> by the first defendant </w:t>
            </w:r>
            <w:r w:rsidR="00C341FF" w:rsidRPr="001070C5">
              <w:rPr>
                <w:rFonts w:ascii="Arial Narrow" w:hAnsi="Arial Narrow" w:cs="Arial"/>
                <w:sz w:val="24"/>
                <w:szCs w:val="24"/>
                <w:lang w:val="en-US"/>
              </w:rPr>
              <w:t xml:space="preserve">in its heads of argument, with specific reference to </w:t>
            </w:r>
            <w:r w:rsidR="00C341FF" w:rsidRPr="001070C5">
              <w:rPr>
                <w:rFonts w:ascii="Arial Narrow" w:hAnsi="Arial Narrow" w:cs="Arial"/>
                <w:i/>
                <w:sz w:val="24"/>
                <w:szCs w:val="24"/>
                <w:lang w:val="en-US"/>
              </w:rPr>
              <w:t>Arangies t/a Auto Tech v Quick Build</w:t>
            </w:r>
            <w:r w:rsidR="00C341FF" w:rsidRPr="001070C5">
              <w:rPr>
                <w:rStyle w:val="FootnoteReference"/>
                <w:rFonts w:ascii="Arial Narrow" w:hAnsi="Arial Narrow" w:cs="Arial"/>
                <w:sz w:val="24"/>
                <w:szCs w:val="24"/>
                <w:lang w:val="en-US"/>
              </w:rPr>
              <w:footnoteReference w:id="1"/>
            </w:r>
            <w:r w:rsidR="00C341FF" w:rsidRPr="001070C5">
              <w:rPr>
                <w:rFonts w:ascii="Arial Narrow" w:hAnsi="Arial Narrow" w:cs="Arial"/>
                <w:sz w:val="24"/>
                <w:szCs w:val="24"/>
                <w:lang w:val="en-US"/>
              </w:rPr>
              <w:t xml:space="preserve"> and </w:t>
            </w:r>
            <w:r w:rsidR="00C341FF" w:rsidRPr="001070C5">
              <w:rPr>
                <w:rFonts w:ascii="Arial Narrow" w:hAnsi="Arial Narrow" w:cs="Arial"/>
                <w:i/>
                <w:sz w:val="24"/>
                <w:szCs w:val="24"/>
                <w:lang w:val="en-US"/>
              </w:rPr>
              <w:t>Stipp and Another v Shade Centre and Another</w:t>
            </w:r>
            <w:r w:rsidR="00C341FF" w:rsidRPr="001070C5">
              <w:rPr>
                <w:rStyle w:val="FootnoteReference"/>
                <w:rFonts w:ascii="Arial Narrow" w:hAnsi="Arial Narrow" w:cs="Arial"/>
                <w:i/>
                <w:sz w:val="24"/>
                <w:szCs w:val="24"/>
                <w:lang w:val="en-US"/>
              </w:rPr>
              <w:footnoteReference w:id="2"/>
            </w:r>
            <w:r w:rsidR="00C341FF" w:rsidRPr="001070C5">
              <w:rPr>
                <w:rFonts w:ascii="Arial Narrow" w:hAnsi="Arial Narrow" w:cs="Arial"/>
                <w:sz w:val="24"/>
                <w:szCs w:val="24"/>
                <w:lang w:val="en-US"/>
              </w:rPr>
              <w:t>. It was the plaintiff’s contention that in applying the law to the facts averred by the first defendant the first defendant has not complied with what is required by the law.</w:t>
            </w:r>
          </w:p>
          <w:p w14:paraId="343596ED" w14:textId="77777777" w:rsidR="00C341FF" w:rsidRPr="001070C5" w:rsidRDefault="00C341FF" w:rsidP="00A701C4">
            <w:pPr>
              <w:pStyle w:val="ListParagraph"/>
              <w:spacing w:line="360" w:lineRule="auto"/>
              <w:rPr>
                <w:rFonts w:ascii="Arial Narrow" w:hAnsi="Arial Narrow" w:cs="Arial"/>
                <w:sz w:val="24"/>
                <w:szCs w:val="24"/>
                <w:lang w:val="en-US"/>
              </w:rPr>
            </w:pPr>
          </w:p>
          <w:p w14:paraId="06EBC251" w14:textId="2086E2C6" w:rsidR="00C341FF" w:rsidRPr="001070C5" w:rsidRDefault="00C341FF" w:rsidP="00A701C4">
            <w:pPr>
              <w:pStyle w:val="ListParagraph"/>
              <w:numPr>
                <w:ilvl w:val="0"/>
                <w:numId w:val="19"/>
              </w:numPr>
              <w:spacing w:line="360" w:lineRule="auto"/>
              <w:ind w:left="0" w:firstLine="23"/>
              <w:jc w:val="both"/>
              <w:rPr>
                <w:rFonts w:ascii="Arial Narrow" w:hAnsi="Arial Narrow" w:cs="Arial"/>
                <w:sz w:val="24"/>
                <w:szCs w:val="24"/>
                <w:lang w:val="en-US"/>
              </w:rPr>
            </w:pPr>
            <w:r w:rsidRPr="001070C5">
              <w:rPr>
                <w:rFonts w:ascii="Arial Narrow" w:hAnsi="Arial Narrow" w:cs="Arial"/>
                <w:sz w:val="24"/>
                <w:szCs w:val="24"/>
                <w:lang w:val="en-US"/>
              </w:rPr>
              <w:lastRenderedPageBreak/>
              <w:t xml:space="preserve">Mr Diedericks further submitted </w:t>
            </w:r>
            <w:r w:rsidR="008D0529" w:rsidRPr="001070C5">
              <w:rPr>
                <w:rFonts w:ascii="Arial Narrow" w:hAnsi="Arial Narrow" w:cs="Arial"/>
                <w:sz w:val="24"/>
                <w:szCs w:val="24"/>
                <w:lang w:val="en-US"/>
              </w:rPr>
              <w:t>that is was unnecessary for the plaintiff to formally raise the issue of prejudice in opposition to the application, as prejudice is a consideration which arises when the court is called upon to consider a condonation application.</w:t>
            </w:r>
            <w:r w:rsidR="008D0529" w:rsidRPr="001070C5">
              <w:rPr>
                <w:rStyle w:val="FootnoteReference"/>
                <w:rFonts w:ascii="Arial Narrow" w:hAnsi="Arial Narrow" w:cs="Arial"/>
                <w:sz w:val="24"/>
                <w:szCs w:val="24"/>
                <w:lang w:val="en-US"/>
              </w:rPr>
              <w:footnoteReference w:id="3"/>
            </w:r>
            <w:r w:rsidR="008D0529" w:rsidRPr="001070C5">
              <w:rPr>
                <w:rFonts w:ascii="Arial Narrow" w:hAnsi="Arial Narrow" w:cs="Arial"/>
                <w:sz w:val="24"/>
                <w:szCs w:val="24"/>
                <w:lang w:val="en-US"/>
              </w:rPr>
              <w:t xml:space="preserve"> If the plaintiff had raised prejudice as a factual issue under rule 66</w:t>
            </w:r>
            <w:r w:rsidR="00442E91" w:rsidRPr="001070C5">
              <w:rPr>
                <w:rFonts w:ascii="Arial Narrow" w:hAnsi="Arial Narrow" w:cs="Arial"/>
                <w:sz w:val="24"/>
                <w:szCs w:val="24"/>
                <w:lang w:val="en-US"/>
              </w:rPr>
              <w:t xml:space="preserve"> the plaintiff would have had to provide an affidavit to demonstrate such prejudice. </w:t>
            </w:r>
          </w:p>
          <w:p w14:paraId="1D8A4417" w14:textId="77777777" w:rsidR="00442E91" w:rsidRPr="001070C5" w:rsidRDefault="00442E91" w:rsidP="00A701C4">
            <w:pPr>
              <w:pStyle w:val="ListParagraph"/>
              <w:spacing w:line="360" w:lineRule="auto"/>
              <w:rPr>
                <w:rFonts w:ascii="Arial Narrow" w:hAnsi="Arial Narrow" w:cs="Arial"/>
                <w:sz w:val="24"/>
                <w:szCs w:val="24"/>
                <w:lang w:val="en-US"/>
              </w:rPr>
            </w:pPr>
          </w:p>
          <w:p w14:paraId="5C62F5B4" w14:textId="71B69055" w:rsidR="007C152E" w:rsidRPr="001070C5" w:rsidRDefault="00442E91" w:rsidP="00A701C4">
            <w:pPr>
              <w:pStyle w:val="ListParagraph"/>
              <w:numPr>
                <w:ilvl w:val="0"/>
                <w:numId w:val="19"/>
              </w:numPr>
              <w:spacing w:line="360" w:lineRule="auto"/>
              <w:ind w:left="0" w:firstLine="23"/>
              <w:jc w:val="both"/>
              <w:rPr>
                <w:rFonts w:ascii="Arial Narrow" w:hAnsi="Arial Narrow" w:cs="Arial"/>
                <w:sz w:val="24"/>
                <w:szCs w:val="24"/>
                <w:lang w:val="en-US"/>
              </w:rPr>
            </w:pPr>
            <w:r w:rsidRPr="001070C5">
              <w:rPr>
                <w:rFonts w:ascii="Arial Narrow" w:hAnsi="Arial Narrow" w:cs="Arial"/>
                <w:sz w:val="24"/>
                <w:szCs w:val="24"/>
                <w:lang w:val="en-US"/>
              </w:rPr>
              <w:t xml:space="preserve">Mr Diedericks appeared </w:t>
            </w:r>
            <w:r w:rsidR="00DE5FEC" w:rsidRPr="00897A6F">
              <w:rPr>
                <w:rFonts w:ascii="Arial Narrow" w:hAnsi="Arial Narrow" w:cs="Arial"/>
                <w:sz w:val="24"/>
                <w:szCs w:val="24"/>
                <w:lang w:val="en-US"/>
              </w:rPr>
              <w:t>perplexed</w:t>
            </w:r>
            <w:r w:rsidRPr="00DE5FEC">
              <w:rPr>
                <w:rFonts w:ascii="Arial Narrow" w:hAnsi="Arial Narrow" w:cs="Arial"/>
                <w:color w:val="00B0F0"/>
                <w:sz w:val="24"/>
                <w:szCs w:val="24"/>
                <w:lang w:val="en-US"/>
              </w:rPr>
              <w:t xml:space="preserve"> </w:t>
            </w:r>
            <w:r w:rsidRPr="001070C5">
              <w:rPr>
                <w:rFonts w:ascii="Arial Narrow" w:hAnsi="Arial Narrow" w:cs="Arial"/>
                <w:sz w:val="24"/>
                <w:szCs w:val="24"/>
                <w:lang w:val="en-US"/>
              </w:rPr>
              <w:t xml:space="preserve">by Mr Kauta’s argument </w:t>
            </w:r>
            <w:r w:rsidR="002A7705">
              <w:rPr>
                <w:rFonts w:ascii="Arial Narrow" w:hAnsi="Arial Narrow" w:cs="Arial"/>
                <w:sz w:val="24"/>
                <w:szCs w:val="24"/>
                <w:lang w:val="en-US"/>
              </w:rPr>
              <w:t>regarding the parties’ engagement in terms of rule 32(9).</w:t>
            </w:r>
            <w:r w:rsidRPr="001070C5">
              <w:rPr>
                <w:rFonts w:ascii="Arial Narrow" w:hAnsi="Arial Narrow" w:cs="Arial"/>
                <w:sz w:val="24"/>
                <w:szCs w:val="24"/>
                <w:lang w:val="en-US"/>
              </w:rPr>
              <w:t xml:space="preserve"> He submitted that rule 54</w:t>
            </w:r>
            <w:r w:rsidRPr="001070C5">
              <w:rPr>
                <w:rStyle w:val="FootnoteReference"/>
                <w:rFonts w:ascii="Arial Narrow" w:hAnsi="Arial Narrow" w:cs="Arial"/>
                <w:sz w:val="24"/>
                <w:szCs w:val="24"/>
                <w:lang w:val="en-US"/>
              </w:rPr>
              <w:footnoteReference w:id="4"/>
            </w:r>
            <w:r w:rsidRPr="001070C5">
              <w:rPr>
                <w:rFonts w:ascii="Arial Narrow" w:hAnsi="Arial Narrow" w:cs="Arial"/>
                <w:sz w:val="24"/>
                <w:szCs w:val="24"/>
                <w:lang w:val="en-US"/>
              </w:rPr>
              <w:t xml:space="preserve"> expressly prevents parties from agreeing to an extension. </w:t>
            </w:r>
            <w:r w:rsidR="007C152E" w:rsidRPr="001070C5">
              <w:rPr>
                <w:rFonts w:ascii="Arial Narrow" w:hAnsi="Arial Narrow" w:cs="Arial"/>
                <w:sz w:val="24"/>
                <w:szCs w:val="24"/>
                <w:lang w:val="en-US"/>
              </w:rPr>
              <w:t>In addition</w:t>
            </w:r>
            <w:r w:rsidR="00DE5FEC">
              <w:rPr>
                <w:rFonts w:ascii="Arial Narrow" w:hAnsi="Arial Narrow" w:cs="Arial"/>
                <w:sz w:val="24"/>
                <w:szCs w:val="24"/>
                <w:lang w:val="en-US"/>
              </w:rPr>
              <w:t xml:space="preserve"> </w:t>
            </w:r>
            <w:r w:rsidR="00DE5FEC" w:rsidRPr="00897A6F">
              <w:rPr>
                <w:rFonts w:ascii="Arial Narrow" w:hAnsi="Arial Narrow" w:cs="Arial"/>
                <w:sz w:val="24"/>
                <w:szCs w:val="24"/>
                <w:lang w:val="en-US"/>
              </w:rPr>
              <w:t>thereto</w:t>
            </w:r>
            <w:r w:rsidR="007C152E" w:rsidRPr="00897A6F">
              <w:rPr>
                <w:rFonts w:ascii="Arial Narrow" w:hAnsi="Arial Narrow" w:cs="Arial"/>
                <w:sz w:val="24"/>
                <w:szCs w:val="24"/>
                <w:lang w:val="en-US"/>
              </w:rPr>
              <w:t xml:space="preserve">, </w:t>
            </w:r>
            <w:r w:rsidR="007C152E" w:rsidRPr="001070C5">
              <w:rPr>
                <w:rFonts w:ascii="Arial Narrow" w:hAnsi="Arial Narrow" w:cs="Arial"/>
                <w:sz w:val="24"/>
                <w:szCs w:val="24"/>
                <w:lang w:val="en-US"/>
              </w:rPr>
              <w:t xml:space="preserve">the law </w:t>
            </w:r>
            <w:r w:rsidR="007C152E" w:rsidRPr="00897A6F">
              <w:rPr>
                <w:rFonts w:ascii="Arial Narrow" w:hAnsi="Arial Narrow" w:cs="Arial"/>
                <w:sz w:val="24"/>
                <w:szCs w:val="24"/>
                <w:lang w:val="en-US"/>
              </w:rPr>
              <w:t xml:space="preserve">requires that a party should bring an appropriate application as soon as it realizes that </w:t>
            </w:r>
            <w:r w:rsidR="002A7705" w:rsidRPr="00897A6F">
              <w:rPr>
                <w:rFonts w:ascii="Arial Narrow" w:hAnsi="Arial Narrow" w:cs="Arial"/>
                <w:sz w:val="24"/>
                <w:szCs w:val="24"/>
                <w:lang w:val="en-US"/>
              </w:rPr>
              <w:t>it will not be able to comply</w:t>
            </w:r>
            <w:r w:rsidR="00DE5FEC" w:rsidRPr="00897A6F">
              <w:rPr>
                <w:rFonts w:ascii="Arial Narrow" w:hAnsi="Arial Narrow" w:cs="Arial"/>
                <w:sz w:val="24"/>
                <w:szCs w:val="24"/>
                <w:lang w:val="en-US"/>
              </w:rPr>
              <w:t xml:space="preserve"> with an order of court</w:t>
            </w:r>
            <w:r w:rsidR="007C152E" w:rsidRPr="00897A6F">
              <w:rPr>
                <w:rFonts w:ascii="Arial Narrow" w:hAnsi="Arial Narrow" w:cs="Arial"/>
                <w:sz w:val="24"/>
                <w:szCs w:val="24"/>
                <w:lang w:val="en-US"/>
              </w:rPr>
              <w:t>.</w:t>
            </w:r>
          </w:p>
          <w:p w14:paraId="5B78E1F1" w14:textId="77777777" w:rsidR="007C152E" w:rsidRPr="001070C5" w:rsidRDefault="007C152E" w:rsidP="00A701C4">
            <w:pPr>
              <w:pStyle w:val="ListParagraph"/>
              <w:spacing w:line="360" w:lineRule="auto"/>
              <w:rPr>
                <w:rFonts w:ascii="Arial Narrow" w:hAnsi="Arial Narrow" w:cs="Arial"/>
                <w:sz w:val="24"/>
                <w:szCs w:val="24"/>
                <w:lang w:val="en-US"/>
              </w:rPr>
            </w:pPr>
          </w:p>
          <w:p w14:paraId="4780B570" w14:textId="503DFDE5" w:rsidR="007C152E" w:rsidRPr="004F3039" w:rsidRDefault="002A7705" w:rsidP="00A701C4">
            <w:pPr>
              <w:pStyle w:val="ListParagraph"/>
              <w:numPr>
                <w:ilvl w:val="0"/>
                <w:numId w:val="19"/>
              </w:numPr>
              <w:spacing w:line="360" w:lineRule="auto"/>
              <w:ind w:left="0" w:firstLine="23"/>
              <w:jc w:val="both"/>
              <w:rPr>
                <w:rFonts w:ascii="Arial Narrow" w:hAnsi="Arial Narrow" w:cs="Arial"/>
                <w:sz w:val="24"/>
                <w:szCs w:val="24"/>
                <w:lang w:val="en-US"/>
              </w:rPr>
            </w:pPr>
            <w:r w:rsidRPr="004F3039">
              <w:rPr>
                <w:rFonts w:ascii="Arial Narrow" w:hAnsi="Arial Narrow" w:cs="Arial"/>
                <w:sz w:val="24"/>
                <w:szCs w:val="24"/>
                <w:lang w:val="en-US"/>
              </w:rPr>
              <w:t>He further submitted that the plaintiff had</w:t>
            </w:r>
            <w:r w:rsidR="007C152E" w:rsidRPr="004F3039">
              <w:rPr>
                <w:rFonts w:ascii="Arial Narrow" w:hAnsi="Arial Narrow" w:cs="Arial"/>
                <w:sz w:val="24"/>
                <w:szCs w:val="24"/>
                <w:lang w:val="en-US"/>
              </w:rPr>
              <w:t xml:space="preserve"> not raise</w:t>
            </w:r>
            <w:r w:rsidRPr="004F3039">
              <w:rPr>
                <w:rFonts w:ascii="Arial Narrow" w:hAnsi="Arial Narrow" w:cs="Arial"/>
                <w:sz w:val="24"/>
                <w:szCs w:val="24"/>
                <w:lang w:val="en-US"/>
              </w:rPr>
              <w:t>d</w:t>
            </w:r>
            <w:r w:rsidR="007C152E" w:rsidRPr="004F3039">
              <w:rPr>
                <w:rFonts w:ascii="Arial Narrow" w:hAnsi="Arial Narrow" w:cs="Arial"/>
                <w:sz w:val="24"/>
                <w:szCs w:val="24"/>
                <w:lang w:val="en-US"/>
              </w:rPr>
              <w:t xml:space="preserve"> the</w:t>
            </w:r>
            <w:r w:rsidRPr="004F3039">
              <w:rPr>
                <w:rFonts w:ascii="Arial Narrow" w:hAnsi="Arial Narrow" w:cs="Arial"/>
                <w:sz w:val="24"/>
                <w:szCs w:val="24"/>
                <w:lang w:val="en-US"/>
              </w:rPr>
              <w:t xml:space="preserve"> issue of irregularity </w:t>
            </w:r>
            <w:r w:rsidR="00163E89" w:rsidRPr="004F3039">
              <w:rPr>
                <w:rFonts w:ascii="Arial Narrow" w:hAnsi="Arial Narrow" w:cs="Arial"/>
                <w:sz w:val="24"/>
                <w:szCs w:val="24"/>
                <w:lang w:val="en-US"/>
              </w:rPr>
              <w:t>of</w:t>
            </w:r>
            <w:r w:rsidRPr="004F3039">
              <w:rPr>
                <w:rFonts w:ascii="Arial Narrow" w:hAnsi="Arial Narrow" w:cs="Arial"/>
                <w:sz w:val="24"/>
                <w:szCs w:val="24"/>
                <w:lang w:val="en-US"/>
              </w:rPr>
              <w:t xml:space="preserve"> the first defendant</w:t>
            </w:r>
            <w:r w:rsidR="007C152E" w:rsidRPr="004F3039">
              <w:rPr>
                <w:rFonts w:ascii="Arial Narrow" w:hAnsi="Arial Narrow" w:cs="Arial"/>
                <w:sz w:val="24"/>
                <w:szCs w:val="24"/>
                <w:lang w:val="en-US"/>
              </w:rPr>
              <w:t xml:space="preserve"> filing its witness statement</w:t>
            </w:r>
            <w:r w:rsidR="00163E89" w:rsidRPr="004F3039">
              <w:rPr>
                <w:rFonts w:ascii="Arial Narrow" w:hAnsi="Arial Narrow" w:cs="Arial"/>
                <w:sz w:val="24"/>
                <w:szCs w:val="24"/>
                <w:lang w:val="en-US"/>
              </w:rPr>
              <w:t xml:space="preserve"> out of time,</w:t>
            </w:r>
            <w:r w:rsidR="007C152E" w:rsidRPr="004F3039">
              <w:rPr>
                <w:rFonts w:ascii="Arial Narrow" w:hAnsi="Arial Narrow" w:cs="Arial"/>
                <w:sz w:val="24"/>
                <w:szCs w:val="24"/>
                <w:lang w:val="en-US"/>
              </w:rPr>
              <w:t xml:space="preserve"> but</w:t>
            </w:r>
            <w:r w:rsidRPr="004F3039">
              <w:rPr>
                <w:rFonts w:ascii="Arial Narrow" w:hAnsi="Arial Narrow" w:cs="Arial"/>
                <w:sz w:val="24"/>
                <w:szCs w:val="24"/>
                <w:lang w:val="en-US"/>
              </w:rPr>
              <w:t xml:space="preserve"> had</w:t>
            </w:r>
            <w:r w:rsidR="007C152E" w:rsidRPr="004F3039">
              <w:rPr>
                <w:rFonts w:ascii="Arial Narrow" w:hAnsi="Arial Narrow" w:cs="Arial"/>
                <w:sz w:val="24"/>
                <w:szCs w:val="24"/>
                <w:lang w:val="en-US"/>
              </w:rPr>
              <w:t xml:space="preserve"> merely made </w:t>
            </w:r>
            <w:r w:rsidR="00163E89" w:rsidRPr="004F3039">
              <w:rPr>
                <w:rFonts w:ascii="Arial Narrow" w:hAnsi="Arial Narrow" w:cs="Arial"/>
                <w:sz w:val="24"/>
                <w:szCs w:val="24"/>
                <w:lang w:val="en-US"/>
              </w:rPr>
              <w:t>this</w:t>
            </w:r>
            <w:r w:rsidR="007C152E" w:rsidRPr="004F3039">
              <w:rPr>
                <w:rFonts w:ascii="Arial Narrow" w:hAnsi="Arial Narrow" w:cs="Arial"/>
                <w:sz w:val="24"/>
                <w:szCs w:val="24"/>
                <w:lang w:val="en-US"/>
              </w:rPr>
              <w:t xml:space="preserve"> </w:t>
            </w:r>
            <w:r w:rsidR="00163E89" w:rsidRPr="004F3039">
              <w:rPr>
                <w:rFonts w:ascii="Arial Narrow" w:hAnsi="Arial Narrow" w:cs="Arial"/>
                <w:sz w:val="24"/>
                <w:szCs w:val="24"/>
                <w:lang w:val="en-US"/>
              </w:rPr>
              <w:t>observation in its heads of argument.</w:t>
            </w:r>
          </w:p>
          <w:p w14:paraId="2FBD7031" w14:textId="77777777" w:rsidR="007C152E" w:rsidRPr="001070C5" w:rsidRDefault="007C152E" w:rsidP="00A701C4">
            <w:pPr>
              <w:pStyle w:val="ListParagraph"/>
              <w:spacing w:line="360" w:lineRule="auto"/>
              <w:rPr>
                <w:rFonts w:ascii="Arial Narrow" w:hAnsi="Arial Narrow" w:cs="Arial"/>
                <w:sz w:val="24"/>
                <w:szCs w:val="24"/>
                <w:lang w:val="en-US"/>
              </w:rPr>
            </w:pPr>
          </w:p>
          <w:p w14:paraId="1185CDDD" w14:textId="5FF8D95D" w:rsidR="007C152E" w:rsidRPr="00DE5FEC" w:rsidRDefault="007C152E" w:rsidP="00A701C4">
            <w:pPr>
              <w:pStyle w:val="ListParagraph"/>
              <w:numPr>
                <w:ilvl w:val="0"/>
                <w:numId w:val="19"/>
              </w:numPr>
              <w:spacing w:line="360" w:lineRule="auto"/>
              <w:ind w:left="23" w:firstLine="23"/>
              <w:jc w:val="both"/>
              <w:rPr>
                <w:rFonts w:ascii="Arial Narrow" w:hAnsi="Arial Narrow" w:cs="Arial"/>
                <w:sz w:val="24"/>
                <w:szCs w:val="24"/>
                <w:lang w:val="en-US"/>
              </w:rPr>
            </w:pPr>
            <w:r w:rsidRPr="00DE5FEC">
              <w:rPr>
                <w:rFonts w:ascii="Arial Narrow" w:hAnsi="Arial Narrow" w:cs="Arial"/>
                <w:sz w:val="24"/>
                <w:szCs w:val="24"/>
                <w:lang w:val="en-US"/>
              </w:rPr>
              <w:t>With regards to costs, Mr Diedericks</w:t>
            </w:r>
            <w:r w:rsidR="00773245" w:rsidRPr="00DE5FEC">
              <w:rPr>
                <w:rFonts w:ascii="Arial Narrow" w:hAnsi="Arial Narrow" w:cs="Arial"/>
                <w:sz w:val="24"/>
                <w:szCs w:val="24"/>
                <w:lang w:val="en-US"/>
              </w:rPr>
              <w:t xml:space="preserve"> countered Mr Kauta’s argument that the plaintiff was vexatious in it opposition, submitting that the first defendant was in fact responsible in its opposition, and confined to issues of law on the basis of the applicant’s facts.  </w:t>
            </w:r>
          </w:p>
          <w:p w14:paraId="73E687C1" w14:textId="77777777" w:rsidR="0077340F" w:rsidRPr="001070C5" w:rsidRDefault="0077340F" w:rsidP="00A701C4">
            <w:pPr>
              <w:pStyle w:val="ListParagraph"/>
              <w:spacing w:line="360" w:lineRule="auto"/>
              <w:rPr>
                <w:rFonts w:ascii="Arial Narrow" w:hAnsi="Arial Narrow" w:cs="Arial"/>
                <w:sz w:val="24"/>
                <w:szCs w:val="24"/>
                <w:lang w:val="en-US"/>
              </w:rPr>
            </w:pPr>
          </w:p>
          <w:p w14:paraId="4369A096" w14:textId="77777777" w:rsidR="0077340F" w:rsidRPr="001070C5" w:rsidRDefault="0077340F" w:rsidP="00A701C4">
            <w:pPr>
              <w:spacing w:line="360" w:lineRule="auto"/>
              <w:jc w:val="both"/>
              <w:rPr>
                <w:rFonts w:ascii="Arial Narrow" w:hAnsi="Arial Narrow" w:cs="Arial"/>
                <w:sz w:val="24"/>
                <w:szCs w:val="24"/>
                <w:u w:val="single"/>
                <w:lang w:val="en-US"/>
              </w:rPr>
            </w:pPr>
            <w:r w:rsidRPr="001070C5">
              <w:rPr>
                <w:rFonts w:ascii="Arial Narrow" w:hAnsi="Arial Narrow" w:cs="Arial"/>
                <w:sz w:val="24"/>
                <w:szCs w:val="24"/>
                <w:u w:val="single"/>
                <w:lang w:val="en-US"/>
              </w:rPr>
              <w:t>Legal principles and application of the law to the facts</w:t>
            </w:r>
          </w:p>
          <w:p w14:paraId="0AF9293F" w14:textId="77777777" w:rsidR="00D17164" w:rsidRPr="001070C5" w:rsidRDefault="00D17164" w:rsidP="00A701C4">
            <w:pPr>
              <w:spacing w:line="360" w:lineRule="auto"/>
              <w:rPr>
                <w:rFonts w:ascii="Arial Narrow" w:hAnsi="Arial Narrow" w:cs="Arial"/>
                <w:i/>
                <w:sz w:val="24"/>
                <w:szCs w:val="24"/>
                <w:lang w:val="en-US"/>
              </w:rPr>
            </w:pPr>
          </w:p>
          <w:p w14:paraId="1A8A7F6B" w14:textId="6B252494" w:rsidR="00D17164" w:rsidRPr="001070C5" w:rsidRDefault="00D17164" w:rsidP="00A701C4">
            <w:pPr>
              <w:spacing w:line="360" w:lineRule="auto"/>
              <w:rPr>
                <w:rFonts w:ascii="Arial Narrow" w:hAnsi="Arial Narrow" w:cs="Arial"/>
                <w:i/>
                <w:sz w:val="24"/>
                <w:szCs w:val="24"/>
                <w:lang w:val="en-US"/>
              </w:rPr>
            </w:pPr>
            <w:r w:rsidRPr="001070C5">
              <w:rPr>
                <w:rFonts w:ascii="Arial Narrow" w:hAnsi="Arial Narrow" w:cs="Arial"/>
                <w:i/>
                <w:sz w:val="24"/>
                <w:szCs w:val="24"/>
                <w:lang w:val="en-US"/>
              </w:rPr>
              <w:t>Plaintiff’s opposition: Points of law vs points of fact</w:t>
            </w:r>
          </w:p>
          <w:p w14:paraId="4E46DCB9" w14:textId="77777777" w:rsidR="00D17164" w:rsidRPr="001070C5" w:rsidRDefault="00D17164" w:rsidP="00A701C4">
            <w:pPr>
              <w:spacing w:line="360" w:lineRule="auto"/>
              <w:rPr>
                <w:rFonts w:ascii="Arial Narrow" w:hAnsi="Arial Narrow" w:cs="Arial"/>
                <w:i/>
                <w:sz w:val="24"/>
                <w:szCs w:val="24"/>
                <w:lang w:val="en-US"/>
              </w:rPr>
            </w:pPr>
          </w:p>
          <w:p w14:paraId="305F0B7F" w14:textId="03CBF4E2" w:rsidR="002B6122" w:rsidRPr="002B6122" w:rsidRDefault="00D17164" w:rsidP="00A701C4">
            <w:pPr>
              <w:pStyle w:val="ListParagraph"/>
              <w:numPr>
                <w:ilvl w:val="0"/>
                <w:numId w:val="23"/>
              </w:numPr>
              <w:spacing w:line="360" w:lineRule="auto"/>
              <w:ind w:left="0" w:firstLine="0"/>
              <w:jc w:val="both"/>
              <w:rPr>
                <w:rFonts w:ascii="Arial Narrow" w:hAnsi="Arial Narrow" w:cs="Arial"/>
                <w:sz w:val="24"/>
                <w:szCs w:val="24"/>
                <w:lang w:val="en-US"/>
              </w:rPr>
            </w:pPr>
            <w:r w:rsidRPr="001070C5">
              <w:rPr>
                <w:rFonts w:ascii="Arial Narrow" w:hAnsi="Arial Narrow" w:cs="Arial"/>
                <w:sz w:val="24"/>
                <w:szCs w:val="24"/>
                <w:lang w:val="en-US"/>
              </w:rPr>
              <w:t xml:space="preserve">A perusal of the plaintiff’s heads of argument supports its contention that it firstly, does not dispute the factual averments made by </w:t>
            </w:r>
            <w:r w:rsidR="00DE5FEC" w:rsidRPr="00897A6F">
              <w:rPr>
                <w:rFonts w:ascii="Arial Narrow" w:hAnsi="Arial Narrow" w:cs="Arial"/>
                <w:sz w:val="24"/>
                <w:szCs w:val="24"/>
                <w:lang w:val="en-US"/>
              </w:rPr>
              <w:t>first defendant</w:t>
            </w:r>
            <w:r w:rsidRPr="00897A6F">
              <w:rPr>
                <w:rFonts w:ascii="Arial Narrow" w:hAnsi="Arial Narrow" w:cs="Arial"/>
                <w:sz w:val="24"/>
                <w:szCs w:val="24"/>
                <w:lang w:val="en-US"/>
              </w:rPr>
              <w:t xml:space="preserve">, </w:t>
            </w:r>
            <w:r w:rsidRPr="001070C5">
              <w:rPr>
                <w:rFonts w:ascii="Arial Narrow" w:hAnsi="Arial Narrow" w:cs="Arial"/>
                <w:sz w:val="24"/>
                <w:szCs w:val="24"/>
                <w:lang w:val="en-US"/>
              </w:rPr>
              <w:t>and secondly, that it has not raised any new factual averments, but has merely applied the law to the facts set out by the defendant.</w:t>
            </w:r>
          </w:p>
          <w:p w14:paraId="46427861" w14:textId="77777777" w:rsidR="0077340F" w:rsidRPr="001070C5" w:rsidRDefault="0077340F" w:rsidP="00A701C4">
            <w:pPr>
              <w:spacing w:line="360" w:lineRule="auto"/>
              <w:jc w:val="both"/>
              <w:rPr>
                <w:rFonts w:ascii="Arial Narrow" w:hAnsi="Arial Narrow" w:cs="Arial"/>
                <w:sz w:val="24"/>
                <w:szCs w:val="24"/>
                <w:u w:val="single"/>
                <w:lang w:val="en-US"/>
              </w:rPr>
            </w:pPr>
          </w:p>
          <w:p w14:paraId="13CE7EE3" w14:textId="7A53C03F" w:rsidR="0077340F" w:rsidRPr="001070C5" w:rsidRDefault="0077340F" w:rsidP="00A701C4">
            <w:pPr>
              <w:spacing w:line="360" w:lineRule="auto"/>
              <w:jc w:val="both"/>
              <w:rPr>
                <w:rFonts w:ascii="Arial Narrow" w:hAnsi="Arial Narrow" w:cs="Arial"/>
                <w:i/>
                <w:sz w:val="24"/>
                <w:szCs w:val="24"/>
                <w:lang w:val="en-US"/>
              </w:rPr>
            </w:pPr>
            <w:r w:rsidRPr="001070C5">
              <w:rPr>
                <w:rFonts w:ascii="Arial Narrow" w:hAnsi="Arial Narrow" w:cs="Arial"/>
                <w:i/>
                <w:sz w:val="24"/>
                <w:szCs w:val="24"/>
                <w:lang w:val="en-US"/>
              </w:rPr>
              <w:t>Condonation</w:t>
            </w:r>
          </w:p>
          <w:p w14:paraId="05EB072D" w14:textId="77777777" w:rsidR="0077340F" w:rsidRPr="001070C5" w:rsidRDefault="0077340F" w:rsidP="00A701C4">
            <w:pPr>
              <w:pStyle w:val="ListParagraph"/>
              <w:spacing w:line="360" w:lineRule="auto"/>
              <w:rPr>
                <w:rFonts w:ascii="Arial Narrow" w:hAnsi="Arial Narrow" w:cs="Arial"/>
                <w:sz w:val="24"/>
                <w:szCs w:val="24"/>
                <w:lang w:val="en-US"/>
              </w:rPr>
            </w:pPr>
          </w:p>
          <w:p w14:paraId="10EE9A8A" w14:textId="77777777" w:rsidR="0077340F" w:rsidRPr="001070C5" w:rsidRDefault="0077340F" w:rsidP="00A701C4">
            <w:pPr>
              <w:pStyle w:val="ListParagraph"/>
              <w:numPr>
                <w:ilvl w:val="0"/>
                <w:numId w:val="23"/>
              </w:numPr>
              <w:tabs>
                <w:tab w:val="left" w:pos="726"/>
              </w:tabs>
              <w:spacing w:line="360" w:lineRule="auto"/>
              <w:ind w:left="0" w:firstLine="0"/>
              <w:jc w:val="both"/>
              <w:rPr>
                <w:rFonts w:ascii="Arial Narrow" w:hAnsi="Arial Narrow" w:cs="Arial"/>
                <w:sz w:val="24"/>
                <w:szCs w:val="24"/>
                <w:lang w:val="en-US"/>
              </w:rPr>
            </w:pPr>
            <w:r w:rsidRPr="001070C5">
              <w:rPr>
                <w:rFonts w:ascii="Arial Narrow" w:hAnsi="Arial Narrow" w:cs="Arial"/>
                <w:sz w:val="24"/>
                <w:szCs w:val="24"/>
                <w:lang w:val="en-US"/>
              </w:rPr>
              <w:t>The legal principles regarding applications for condonation are trite and bear no repeating, save to state that an applicant for condonation is required to:</w:t>
            </w:r>
          </w:p>
          <w:p w14:paraId="2CAB4D17" w14:textId="77777777" w:rsidR="0077340F" w:rsidRPr="001070C5" w:rsidRDefault="0077340F" w:rsidP="00A701C4">
            <w:pPr>
              <w:tabs>
                <w:tab w:val="left" w:pos="726"/>
              </w:tabs>
              <w:spacing w:line="360" w:lineRule="auto"/>
              <w:jc w:val="both"/>
              <w:rPr>
                <w:rFonts w:ascii="Arial Narrow" w:hAnsi="Arial Narrow" w:cs="Arial"/>
                <w:sz w:val="24"/>
                <w:szCs w:val="24"/>
                <w:lang w:val="en-US"/>
              </w:rPr>
            </w:pPr>
            <w:r w:rsidRPr="001070C5">
              <w:rPr>
                <w:rFonts w:ascii="Arial Narrow" w:hAnsi="Arial Narrow" w:cs="Arial"/>
                <w:sz w:val="24"/>
                <w:szCs w:val="24"/>
                <w:lang w:val="en-US"/>
              </w:rPr>
              <w:tab/>
              <w:t>(a)  satisfy the court that he or she has reasonable explanation for his/her default, and</w:t>
            </w:r>
          </w:p>
          <w:p w14:paraId="50BDAD71" w14:textId="4AA2D493" w:rsidR="0077340F" w:rsidRPr="001070C5" w:rsidRDefault="0077340F" w:rsidP="00A701C4">
            <w:pPr>
              <w:tabs>
                <w:tab w:val="left" w:pos="726"/>
              </w:tabs>
              <w:spacing w:line="360" w:lineRule="auto"/>
              <w:jc w:val="both"/>
              <w:rPr>
                <w:rFonts w:ascii="Arial Narrow" w:hAnsi="Arial Narrow" w:cs="Arial"/>
                <w:sz w:val="24"/>
                <w:szCs w:val="24"/>
                <w:lang w:val="en-US"/>
              </w:rPr>
            </w:pPr>
            <w:r w:rsidRPr="001070C5">
              <w:rPr>
                <w:rFonts w:ascii="Arial Narrow" w:hAnsi="Arial Narrow" w:cs="Arial"/>
                <w:sz w:val="24"/>
                <w:szCs w:val="24"/>
                <w:lang w:val="en-US"/>
              </w:rPr>
              <w:lastRenderedPageBreak/>
              <w:tab/>
              <w:t xml:space="preserve">(b) </w:t>
            </w:r>
            <w:r w:rsidR="00716B1B" w:rsidRPr="001070C5">
              <w:rPr>
                <w:rFonts w:ascii="Arial Narrow" w:hAnsi="Arial Narrow" w:cs="Arial"/>
                <w:sz w:val="24"/>
                <w:szCs w:val="24"/>
                <w:lang w:val="en-US"/>
              </w:rPr>
              <w:t xml:space="preserve"> </w:t>
            </w:r>
            <w:r w:rsidRPr="001070C5">
              <w:rPr>
                <w:rFonts w:ascii="Arial Narrow" w:hAnsi="Arial Narrow" w:cs="Arial"/>
                <w:sz w:val="24"/>
                <w:szCs w:val="24"/>
                <w:lang w:val="en-US"/>
              </w:rPr>
              <w:t>show the court that he/she has reasonable prospects of success on the merits of the case.</w:t>
            </w:r>
          </w:p>
          <w:p w14:paraId="461F9595" w14:textId="77777777" w:rsidR="0077340F" w:rsidRPr="001070C5" w:rsidRDefault="0077340F" w:rsidP="00A701C4">
            <w:pPr>
              <w:tabs>
                <w:tab w:val="left" w:pos="927"/>
              </w:tabs>
              <w:spacing w:line="360" w:lineRule="auto"/>
              <w:jc w:val="both"/>
              <w:rPr>
                <w:rFonts w:ascii="Arial Narrow" w:hAnsi="Arial Narrow" w:cs="Arial"/>
                <w:sz w:val="24"/>
                <w:szCs w:val="24"/>
                <w:lang w:val="en-US"/>
              </w:rPr>
            </w:pPr>
          </w:p>
          <w:p w14:paraId="60595AEA" w14:textId="1117B410" w:rsidR="002A3884" w:rsidRPr="002A3884" w:rsidRDefault="0077340F" w:rsidP="00A701C4">
            <w:pPr>
              <w:pStyle w:val="ListParagraph"/>
              <w:numPr>
                <w:ilvl w:val="0"/>
                <w:numId w:val="23"/>
              </w:numPr>
              <w:spacing w:line="360" w:lineRule="auto"/>
              <w:ind w:left="0" w:firstLine="0"/>
              <w:jc w:val="both"/>
              <w:rPr>
                <w:rFonts w:ascii="Arial Narrow" w:hAnsi="Arial Narrow" w:cs="Arial"/>
                <w:sz w:val="24"/>
                <w:szCs w:val="24"/>
                <w:lang w:val="en-US"/>
              </w:rPr>
            </w:pPr>
            <w:r w:rsidRPr="001070C5">
              <w:rPr>
                <w:rFonts w:ascii="Arial Narrow" w:hAnsi="Arial Narrow" w:cs="Arial"/>
                <w:sz w:val="24"/>
                <w:szCs w:val="24"/>
                <w:lang w:val="en-US"/>
              </w:rPr>
              <w:t xml:space="preserve">The court accepts the first defendant’s explanation for the delay in filing its further factual witness statements. It is however unclear as to why </w:t>
            </w:r>
            <w:r w:rsidR="00C34D29" w:rsidRPr="001070C5">
              <w:rPr>
                <w:rFonts w:ascii="Arial Narrow" w:hAnsi="Arial Narrow" w:cs="Arial"/>
                <w:sz w:val="24"/>
                <w:szCs w:val="24"/>
                <w:lang w:val="en-US"/>
              </w:rPr>
              <w:t xml:space="preserve">when </w:t>
            </w:r>
            <w:r w:rsidRPr="001070C5">
              <w:rPr>
                <w:rFonts w:ascii="Arial Narrow" w:hAnsi="Arial Narrow" w:cs="Arial"/>
                <w:sz w:val="24"/>
                <w:szCs w:val="24"/>
                <w:lang w:val="en-US"/>
              </w:rPr>
              <w:t>the first defendant</w:t>
            </w:r>
            <w:r w:rsidR="00C34D29" w:rsidRPr="001070C5">
              <w:rPr>
                <w:rFonts w:ascii="Arial Narrow" w:hAnsi="Arial Narrow" w:cs="Arial"/>
                <w:sz w:val="24"/>
                <w:szCs w:val="24"/>
                <w:lang w:val="en-US"/>
              </w:rPr>
              <w:t xml:space="preserve"> became aware that it would not meet the court’s deadline, it</w:t>
            </w:r>
            <w:r w:rsidRPr="001070C5">
              <w:rPr>
                <w:rFonts w:ascii="Arial Narrow" w:hAnsi="Arial Narrow" w:cs="Arial"/>
                <w:sz w:val="24"/>
                <w:szCs w:val="24"/>
                <w:lang w:val="en-US"/>
              </w:rPr>
              <w:t xml:space="preserve"> did not </w:t>
            </w:r>
            <w:r w:rsidR="00C34D29" w:rsidRPr="001070C5">
              <w:rPr>
                <w:rFonts w:ascii="Arial Narrow" w:hAnsi="Arial Narrow" w:cs="Arial"/>
                <w:sz w:val="24"/>
                <w:szCs w:val="24"/>
                <w:lang w:val="en-US"/>
              </w:rPr>
              <w:t>immediately take steps to obtain an extension for the filing of its witness statements, or at the very least hasten to bring a condonation application. An application under these circumstances must be made as soon as the non-compliance has come to the fore.</w:t>
            </w:r>
            <w:r w:rsidR="00C34D29" w:rsidRPr="001070C5">
              <w:rPr>
                <w:rStyle w:val="FootnoteReference"/>
                <w:rFonts w:ascii="Arial Narrow" w:hAnsi="Arial Narrow" w:cs="Arial"/>
                <w:sz w:val="24"/>
                <w:szCs w:val="24"/>
                <w:lang w:val="en-US"/>
              </w:rPr>
              <w:footnoteReference w:id="5"/>
            </w:r>
            <w:r w:rsidR="00C34D29" w:rsidRPr="001070C5">
              <w:rPr>
                <w:rFonts w:ascii="Arial Narrow" w:hAnsi="Arial Narrow" w:cs="Arial"/>
                <w:sz w:val="24"/>
                <w:szCs w:val="24"/>
                <w:lang w:val="en-US"/>
              </w:rPr>
              <w:t xml:space="preserve"> An application for condonation must be made without delay. </w:t>
            </w:r>
          </w:p>
          <w:p w14:paraId="774C5172" w14:textId="77777777" w:rsidR="00C34D29" w:rsidRPr="001070C5" w:rsidRDefault="00C34D29" w:rsidP="00A701C4">
            <w:pPr>
              <w:pStyle w:val="ListParagraph"/>
              <w:spacing w:line="360" w:lineRule="auto"/>
              <w:ind w:left="0"/>
              <w:jc w:val="both"/>
              <w:rPr>
                <w:rFonts w:ascii="Arial Narrow" w:hAnsi="Arial Narrow" w:cs="Arial"/>
                <w:sz w:val="24"/>
                <w:szCs w:val="24"/>
                <w:lang w:val="en-US"/>
              </w:rPr>
            </w:pPr>
          </w:p>
          <w:p w14:paraId="6F16A52D" w14:textId="0F7566D8" w:rsidR="00C34D29" w:rsidRPr="001070C5" w:rsidRDefault="00C34D29" w:rsidP="00A701C4">
            <w:pPr>
              <w:pStyle w:val="ListParagraph"/>
              <w:numPr>
                <w:ilvl w:val="0"/>
                <w:numId w:val="23"/>
              </w:numPr>
              <w:spacing w:line="360" w:lineRule="auto"/>
              <w:ind w:left="0" w:firstLine="0"/>
              <w:jc w:val="both"/>
              <w:rPr>
                <w:rFonts w:ascii="Arial Narrow" w:hAnsi="Arial Narrow" w:cs="Arial"/>
                <w:sz w:val="24"/>
                <w:szCs w:val="24"/>
                <w:lang w:val="en-US"/>
              </w:rPr>
            </w:pPr>
            <w:r w:rsidRPr="001070C5">
              <w:rPr>
                <w:rFonts w:ascii="Arial Narrow" w:hAnsi="Arial Narrow" w:cs="Arial"/>
                <w:sz w:val="24"/>
                <w:szCs w:val="24"/>
                <w:lang w:val="en-US"/>
              </w:rPr>
              <w:t>In considering the explanation proffered by the first defendant to explain its non-compliance with the second order, the court is once again at a loss to understand why the first defendant busied itself with drafting and filing other pleadings and a witness statement which it was in any event barred from filing</w:t>
            </w:r>
            <w:r w:rsidR="00D17164" w:rsidRPr="001070C5">
              <w:rPr>
                <w:rFonts w:ascii="Arial Narrow" w:hAnsi="Arial Narrow" w:cs="Arial"/>
                <w:sz w:val="24"/>
                <w:szCs w:val="24"/>
                <w:lang w:val="en-US"/>
              </w:rPr>
              <w:t>,</w:t>
            </w:r>
            <w:r w:rsidRPr="001070C5">
              <w:rPr>
                <w:rFonts w:ascii="Arial Narrow" w:hAnsi="Arial Narrow" w:cs="Arial"/>
                <w:sz w:val="24"/>
                <w:szCs w:val="24"/>
                <w:lang w:val="en-US"/>
              </w:rPr>
              <w:t xml:space="preserve"> instead of ensuring its compliance with the court order.</w:t>
            </w:r>
            <w:r w:rsidR="00D17164" w:rsidRPr="001070C5">
              <w:rPr>
                <w:rFonts w:ascii="Arial Narrow" w:hAnsi="Arial Narrow" w:cs="Arial"/>
                <w:sz w:val="24"/>
                <w:szCs w:val="24"/>
                <w:lang w:val="en-US"/>
              </w:rPr>
              <w:t xml:space="preserve"> In fact first defendant in its founding affidavit appear to suggest that it the condonation application had not even been drafted</w:t>
            </w:r>
            <w:r w:rsidR="00D17164" w:rsidRPr="001070C5">
              <w:rPr>
                <w:rStyle w:val="FootnoteReference"/>
                <w:rFonts w:ascii="Arial Narrow" w:hAnsi="Arial Narrow" w:cs="Arial"/>
                <w:sz w:val="24"/>
                <w:szCs w:val="24"/>
                <w:lang w:val="en-US"/>
              </w:rPr>
              <w:footnoteReference w:id="6"/>
            </w:r>
            <w:r w:rsidR="00D17164" w:rsidRPr="001070C5">
              <w:rPr>
                <w:rFonts w:ascii="Arial Narrow" w:hAnsi="Arial Narrow" w:cs="Arial"/>
                <w:sz w:val="24"/>
                <w:szCs w:val="24"/>
                <w:lang w:val="en-US"/>
              </w:rPr>
              <w:t xml:space="preserve"> by the date that it was meant to be filed, namely 6 November 2020.</w:t>
            </w:r>
          </w:p>
          <w:p w14:paraId="7B1CE571" w14:textId="77777777" w:rsidR="00C34D29" w:rsidRPr="001070C5" w:rsidRDefault="00C34D29" w:rsidP="00A701C4">
            <w:pPr>
              <w:pStyle w:val="ListParagraph"/>
              <w:spacing w:line="360" w:lineRule="auto"/>
              <w:rPr>
                <w:rFonts w:ascii="Arial Narrow" w:hAnsi="Arial Narrow" w:cs="Arial"/>
                <w:sz w:val="24"/>
                <w:szCs w:val="24"/>
                <w:lang w:val="en-US"/>
              </w:rPr>
            </w:pPr>
          </w:p>
          <w:p w14:paraId="7CE1BD02" w14:textId="0D9B5F4D" w:rsidR="00C34D29" w:rsidRDefault="00716B1B" w:rsidP="00A701C4">
            <w:pPr>
              <w:pStyle w:val="ListParagraph"/>
              <w:numPr>
                <w:ilvl w:val="0"/>
                <w:numId w:val="23"/>
              </w:numPr>
              <w:spacing w:line="360" w:lineRule="auto"/>
              <w:ind w:left="0" w:firstLine="0"/>
              <w:jc w:val="both"/>
              <w:rPr>
                <w:rFonts w:ascii="Arial Narrow" w:hAnsi="Arial Narrow" w:cs="Arial"/>
                <w:sz w:val="24"/>
                <w:szCs w:val="24"/>
                <w:lang w:val="en-US"/>
              </w:rPr>
            </w:pPr>
            <w:r w:rsidRPr="001070C5">
              <w:rPr>
                <w:rFonts w:ascii="Arial Narrow" w:hAnsi="Arial Narrow" w:cs="Arial"/>
                <w:sz w:val="24"/>
                <w:szCs w:val="24"/>
                <w:lang w:val="en-US"/>
              </w:rPr>
              <w:t>The first respondent submits that if Mr Keendjele’s evidence is accepted by the court it will enjoy favourable prospects of success in this matter</w:t>
            </w:r>
            <w:r w:rsidR="002A3884">
              <w:rPr>
                <w:rFonts w:ascii="Arial Narrow" w:hAnsi="Arial Narrow" w:cs="Arial"/>
                <w:sz w:val="24"/>
                <w:szCs w:val="24"/>
                <w:lang w:val="en-US"/>
              </w:rPr>
              <w:t xml:space="preserve"> as</w:t>
            </w:r>
            <w:r w:rsidRPr="001070C5">
              <w:rPr>
                <w:rFonts w:ascii="Arial Narrow" w:hAnsi="Arial Narrow" w:cs="Arial"/>
                <w:sz w:val="24"/>
                <w:szCs w:val="24"/>
                <w:lang w:val="en-US"/>
              </w:rPr>
              <w:t xml:space="preserve"> Mr Keendjele’s witness statement facilitates the resolution of the real issues in dispute</w:t>
            </w:r>
            <w:r w:rsidR="00DF5C31">
              <w:rPr>
                <w:rFonts w:ascii="Arial Narrow" w:hAnsi="Arial Narrow" w:cs="Arial"/>
                <w:sz w:val="24"/>
                <w:szCs w:val="24"/>
                <w:lang w:val="en-US"/>
              </w:rPr>
              <w:t xml:space="preserve"> by addressing the issue of liability raised in the first defendant’s plea</w:t>
            </w:r>
            <w:r w:rsidRPr="001070C5">
              <w:rPr>
                <w:rFonts w:ascii="Arial Narrow" w:hAnsi="Arial Narrow" w:cs="Arial"/>
                <w:sz w:val="24"/>
                <w:szCs w:val="24"/>
                <w:lang w:val="en-US"/>
              </w:rPr>
              <w:t xml:space="preserve">. </w:t>
            </w:r>
          </w:p>
          <w:p w14:paraId="5CDF2482" w14:textId="77777777" w:rsidR="002A3884" w:rsidRPr="002A3884" w:rsidRDefault="002A3884" w:rsidP="00A701C4">
            <w:pPr>
              <w:pStyle w:val="ListParagraph"/>
              <w:spacing w:line="360" w:lineRule="auto"/>
              <w:rPr>
                <w:rFonts w:ascii="Arial Narrow" w:hAnsi="Arial Narrow" w:cs="Arial"/>
                <w:sz w:val="24"/>
                <w:szCs w:val="24"/>
                <w:lang w:val="en-US"/>
              </w:rPr>
            </w:pPr>
          </w:p>
          <w:p w14:paraId="13DB3DD1" w14:textId="11BB8065" w:rsidR="002A3884" w:rsidRPr="001070C5" w:rsidRDefault="002A3884" w:rsidP="00A701C4">
            <w:pPr>
              <w:pStyle w:val="ListParagraph"/>
              <w:numPr>
                <w:ilvl w:val="0"/>
                <w:numId w:val="23"/>
              </w:numPr>
              <w:spacing w:line="360" w:lineRule="auto"/>
              <w:ind w:left="0" w:firstLine="0"/>
              <w:jc w:val="both"/>
              <w:rPr>
                <w:rFonts w:ascii="Arial Narrow" w:hAnsi="Arial Narrow" w:cs="Arial"/>
                <w:sz w:val="24"/>
                <w:szCs w:val="24"/>
                <w:lang w:val="en-US"/>
              </w:rPr>
            </w:pPr>
            <w:r>
              <w:rPr>
                <w:rFonts w:ascii="Arial Narrow" w:hAnsi="Arial Narrow" w:cs="Arial"/>
                <w:sz w:val="24"/>
                <w:szCs w:val="24"/>
                <w:lang w:val="en-US"/>
              </w:rPr>
              <w:t>With regards to the issue of prejudice, the court order of 3 August 2020 had made provision for a pre-trial conference on 29 October 2020. As submitted by the plaintiff in its heads of argument, had the first defendant complied with the order the pre-trial conference would have taken place and trial dates would have been allocated. It is therefore clear the case would have been closer to reaching its finalization if not for the first defendant’s non-compliance.</w:t>
            </w:r>
          </w:p>
          <w:p w14:paraId="1139EB8E" w14:textId="77777777" w:rsidR="00D17164" w:rsidRPr="001070C5" w:rsidRDefault="00D17164" w:rsidP="00A701C4">
            <w:pPr>
              <w:pStyle w:val="ListParagraph"/>
              <w:spacing w:line="360" w:lineRule="auto"/>
              <w:rPr>
                <w:rFonts w:ascii="Arial Narrow" w:hAnsi="Arial Narrow" w:cs="Arial"/>
                <w:sz w:val="24"/>
                <w:szCs w:val="24"/>
                <w:lang w:val="en-US"/>
              </w:rPr>
            </w:pPr>
          </w:p>
          <w:p w14:paraId="7CEFCA6B" w14:textId="36363E3A" w:rsidR="00D17164" w:rsidRDefault="00D17164" w:rsidP="00A701C4">
            <w:pPr>
              <w:pStyle w:val="ListParagraph"/>
              <w:numPr>
                <w:ilvl w:val="0"/>
                <w:numId w:val="23"/>
              </w:numPr>
              <w:spacing w:line="360" w:lineRule="auto"/>
              <w:ind w:left="0" w:firstLine="0"/>
              <w:jc w:val="both"/>
              <w:rPr>
                <w:rFonts w:ascii="Arial Narrow" w:hAnsi="Arial Narrow" w:cs="Arial"/>
                <w:sz w:val="24"/>
                <w:szCs w:val="24"/>
                <w:lang w:val="en-US"/>
              </w:rPr>
            </w:pPr>
            <w:r w:rsidRPr="00F572DE">
              <w:rPr>
                <w:rFonts w:ascii="Arial Narrow" w:hAnsi="Arial Narrow" w:cs="Arial"/>
                <w:sz w:val="24"/>
                <w:szCs w:val="24"/>
                <w:lang w:val="en-US"/>
              </w:rPr>
              <w:t xml:space="preserve">Taking into consideration the explanations submitted by the first defendant and taking into account the necessity to bring this matter to finalization (it having been instituted in 2017), </w:t>
            </w:r>
            <w:r w:rsidR="001070C5" w:rsidRPr="00F572DE">
              <w:rPr>
                <w:rFonts w:ascii="Arial Narrow" w:hAnsi="Arial Narrow" w:cs="Arial"/>
                <w:sz w:val="24"/>
                <w:szCs w:val="24"/>
                <w:lang w:val="en-US"/>
              </w:rPr>
              <w:t>the court grants the first defendant’s application for condonation.</w:t>
            </w:r>
            <w:r w:rsidR="00DF5C31" w:rsidRPr="00F572DE">
              <w:rPr>
                <w:rFonts w:ascii="Arial Narrow" w:hAnsi="Arial Narrow" w:cs="Arial"/>
                <w:sz w:val="24"/>
                <w:szCs w:val="24"/>
                <w:lang w:val="en-US"/>
              </w:rPr>
              <w:t xml:space="preserve"> </w:t>
            </w:r>
          </w:p>
          <w:p w14:paraId="59FE09B7" w14:textId="77777777" w:rsidR="00F572DE" w:rsidRPr="00F572DE" w:rsidRDefault="00F572DE" w:rsidP="00A701C4">
            <w:pPr>
              <w:pStyle w:val="ListParagraph"/>
              <w:spacing w:line="360" w:lineRule="auto"/>
              <w:ind w:left="0"/>
              <w:jc w:val="both"/>
              <w:rPr>
                <w:rFonts w:ascii="Arial Narrow" w:hAnsi="Arial Narrow" w:cs="Arial"/>
                <w:sz w:val="24"/>
                <w:szCs w:val="24"/>
                <w:lang w:val="en-US"/>
              </w:rPr>
            </w:pPr>
          </w:p>
          <w:p w14:paraId="5AA025BE" w14:textId="4CD4D70B" w:rsidR="00DF5C31" w:rsidRDefault="00D17164" w:rsidP="00A701C4">
            <w:pPr>
              <w:pStyle w:val="ListParagraph"/>
              <w:spacing w:line="360" w:lineRule="auto"/>
              <w:ind w:left="0"/>
              <w:jc w:val="both"/>
              <w:rPr>
                <w:rFonts w:ascii="Arial Narrow" w:hAnsi="Arial Narrow" w:cs="Arial"/>
                <w:sz w:val="24"/>
                <w:szCs w:val="24"/>
                <w:u w:val="single"/>
                <w:lang w:val="en-US"/>
              </w:rPr>
            </w:pPr>
            <w:r w:rsidRPr="00DF5C31">
              <w:rPr>
                <w:rFonts w:ascii="Arial Narrow" w:hAnsi="Arial Narrow" w:cs="Arial"/>
                <w:sz w:val="24"/>
                <w:szCs w:val="24"/>
                <w:u w:val="single"/>
                <w:lang w:val="en-US"/>
              </w:rPr>
              <w:t>Costs</w:t>
            </w:r>
          </w:p>
          <w:p w14:paraId="401AC6F9" w14:textId="28FB322B" w:rsidR="00DF5C31" w:rsidRPr="00897A6F" w:rsidRDefault="00DF5C31" w:rsidP="00A701C4">
            <w:pPr>
              <w:pStyle w:val="ListParagraph"/>
              <w:numPr>
                <w:ilvl w:val="0"/>
                <w:numId w:val="23"/>
              </w:numPr>
              <w:spacing w:line="360" w:lineRule="auto"/>
              <w:ind w:left="0" w:firstLine="0"/>
              <w:jc w:val="both"/>
              <w:rPr>
                <w:rFonts w:ascii="Arial Narrow" w:hAnsi="Arial Narrow" w:cs="Arial"/>
                <w:sz w:val="24"/>
                <w:szCs w:val="24"/>
                <w:lang w:val="en-US"/>
              </w:rPr>
            </w:pPr>
            <w:r w:rsidRPr="00A91635">
              <w:rPr>
                <w:rFonts w:ascii="Arial Narrow" w:hAnsi="Arial Narrow" w:cs="Arial"/>
                <w:sz w:val="24"/>
                <w:szCs w:val="24"/>
                <w:lang w:val="en-US"/>
              </w:rPr>
              <w:t xml:space="preserve">With regards to </w:t>
            </w:r>
            <w:r w:rsidRPr="00897A6F">
              <w:rPr>
                <w:rFonts w:ascii="Arial Narrow" w:hAnsi="Arial Narrow" w:cs="Arial"/>
                <w:sz w:val="24"/>
                <w:szCs w:val="24"/>
                <w:lang w:val="en-US"/>
              </w:rPr>
              <w:t>costs, the court also considered that despite the prejudice suffered by the plaintiff due to the delay caused, such prejudice can be cured by an appropriate cost order.</w:t>
            </w:r>
            <w:r w:rsidR="00EC0A6C" w:rsidRPr="00897A6F">
              <w:rPr>
                <w:rFonts w:ascii="Arial Narrow" w:hAnsi="Arial Narrow" w:cs="Arial"/>
                <w:sz w:val="24"/>
                <w:szCs w:val="24"/>
                <w:lang w:val="en-US"/>
              </w:rPr>
              <w:t xml:space="preserve"> The first defendant </w:t>
            </w:r>
            <w:r w:rsidR="00464ED7" w:rsidRPr="00897A6F">
              <w:rPr>
                <w:rFonts w:ascii="Arial Narrow" w:hAnsi="Arial Narrow" w:cs="Arial"/>
                <w:sz w:val="24"/>
                <w:szCs w:val="24"/>
                <w:shd w:val="clear" w:color="auto" w:fill="FFFFFF"/>
              </w:rPr>
              <w:t xml:space="preserve">t was </w:t>
            </w:r>
            <w:r w:rsidR="00464ED7" w:rsidRPr="00897A6F">
              <w:rPr>
                <w:rFonts w:ascii="Arial Narrow" w:hAnsi="Arial Narrow" w:cs="Arial"/>
                <w:sz w:val="24"/>
                <w:szCs w:val="24"/>
                <w:shd w:val="clear" w:color="auto" w:fill="FFFFFF"/>
              </w:rPr>
              <w:lastRenderedPageBreak/>
              <w:t xml:space="preserve">obliged to bring the application for condonation and that the </w:t>
            </w:r>
            <w:r w:rsidR="00A91635" w:rsidRPr="00897A6F">
              <w:rPr>
                <w:rFonts w:ascii="Arial Narrow" w:hAnsi="Arial Narrow" w:cs="Arial"/>
                <w:sz w:val="24"/>
                <w:szCs w:val="24"/>
                <w:shd w:val="clear" w:color="auto" w:fill="FFFFFF"/>
              </w:rPr>
              <w:t>plaintiff</w:t>
            </w:r>
            <w:r w:rsidR="00464ED7" w:rsidRPr="00897A6F">
              <w:rPr>
                <w:rFonts w:ascii="Arial Narrow" w:hAnsi="Arial Narrow" w:cs="Arial"/>
                <w:sz w:val="24"/>
                <w:szCs w:val="24"/>
                <w:shd w:val="clear" w:color="auto" w:fill="FFFFFF"/>
              </w:rPr>
              <w:t xml:space="preserve"> was entitled to oppose it</w:t>
            </w:r>
            <w:r w:rsidR="00A91635" w:rsidRPr="00897A6F">
              <w:rPr>
                <w:rFonts w:ascii="Arial Narrow" w:hAnsi="Arial Narrow" w:cs="Arial"/>
                <w:sz w:val="24"/>
                <w:szCs w:val="24"/>
                <w:shd w:val="clear" w:color="auto" w:fill="FFFFFF"/>
              </w:rPr>
              <w:t>. The first defendant sought an indulgence</w:t>
            </w:r>
            <w:r w:rsidR="00464ED7" w:rsidRPr="00897A6F">
              <w:rPr>
                <w:rFonts w:ascii="Arial Narrow" w:hAnsi="Arial Narrow" w:cs="Arial"/>
                <w:sz w:val="24"/>
                <w:szCs w:val="24"/>
                <w:shd w:val="clear" w:color="auto" w:fill="FFFFFF"/>
              </w:rPr>
              <w:t xml:space="preserve"> and should pay the costs of the application. In </w:t>
            </w:r>
            <w:r w:rsidR="00464ED7" w:rsidRPr="00897A6F">
              <w:rPr>
                <w:rFonts w:ascii="Arial Narrow" w:hAnsi="Arial Narrow" w:cs="Arial"/>
                <w:bCs/>
                <w:i/>
                <w:sz w:val="24"/>
                <w:szCs w:val="24"/>
                <w:shd w:val="clear" w:color="auto" w:fill="FFFFFF"/>
              </w:rPr>
              <w:t>Meyers v Abrahamson</w:t>
            </w:r>
            <w:r w:rsidR="00A91635" w:rsidRPr="00897A6F">
              <w:rPr>
                <w:rStyle w:val="FootnoteReference"/>
                <w:rFonts w:ascii="Arial Narrow" w:hAnsi="Arial Narrow" w:cs="Arial"/>
                <w:b/>
                <w:bCs/>
                <w:sz w:val="24"/>
                <w:szCs w:val="24"/>
                <w:shd w:val="clear" w:color="auto" w:fill="FFFFFF"/>
              </w:rPr>
              <w:footnoteReference w:id="7"/>
            </w:r>
            <w:r w:rsidR="00464ED7" w:rsidRPr="00897A6F">
              <w:rPr>
                <w:rFonts w:ascii="Arial Narrow" w:hAnsi="Arial Narrow" w:cs="Arial"/>
                <w:sz w:val="24"/>
                <w:szCs w:val="24"/>
                <w:shd w:val="clear" w:color="auto" w:fill="FFFFFF"/>
              </w:rPr>
              <w:t xml:space="preserve"> the court stated that it is neither reasonable nor fair for the opponent in an application for an indulgence to be put in a position that he opposes the granting of such indulgence at his peril as the </w:t>
            </w:r>
            <w:r w:rsidR="00A91635" w:rsidRPr="00897A6F">
              <w:rPr>
                <w:rFonts w:ascii="Arial Narrow" w:hAnsi="Arial Narrow" w:cs="Arial"/>
                <w:sz w:val="24"/>
                <w:szCs w:val="24"/>
                <w:shd w:val="clear" w:color="auto" w:fill="FFFFFF"/>
              </w:rPr>
              <w:t>a</w:t>
            </w:r>
            <w:r w:rsidR="00464ED7" w:rsidRPr="00897A6F">
              <w:rPr>
                <w:rFonts w:ascii="Arial Narrow" w:hAnsi="Arial Narrow" w:cs="Arial"/>
                <w:sz w:val="24"/>
                <w:szCs w:val="24"/>
                <w:shd w:val="clear" w:color="auto" w:fill="FFFFFF"/>
              </w:rPr>
              <w:t xml:space="preserve">pplicant in this application attempted to do by requesting a costs order against the </w:t>
            </w:r>
            <w:r w:rsidR="00A91635" w:rsidRPr="00897A6F">
              <w:rPr>
                <w:rFonts w:ascii="Arial Narrow" w:hAnsi="Arial Narrow" w:cs="Arial"/>
                <w:sz w:val="24"/>
                <w:szCs w:val="24"/>
                <w:shd w:val="clear" w:color="auto" w:fill="FFFFFF"/>
              </w:rPr>
              <w:t>r</w:t>
            </w:r>
            <w:r w:rsidR="00464ED7" w:rsidRPr="00897A6F">
              <w:rPr>
                <w:rFonts w:ascii="Arial Narrow" w:hAnsi="Arial Narrow" w:cs="Arial"/>
                <w:sz w:val="24"/>
                <w:szCs w:val="24"/>
                <w:shd w:val="clear" w:color="auto" w:fill="FFFFFF"/>
              </w:rPr>
              <w:t>espondent only if it opposed the application. </w:t>
            </w:r>
            <w:r w:rsidR="00EC0A6C" w:rsidRPr="00897A6F">
              <w:rPr>
                <w:rFonts w:ascii="Arial Narrow" w:hAnsi="Arial Narrow" w:cs="Arial"/>
                <w:sz w:val="24"/>
                <w:szCs w:val="24"/>
                <w:lang w:val="en-US"/>
              </w:rPr>
              <w:t xml:space="preserve"> </w:t>
            </w:r>
          </w:p>
          <w:p w14:paraId="33025DDA" w14:textId="02CB574D" w:rsidR="00DF5C31" w:rsidRPr="00897A6F" w:rsidRDefault="00DF5C31" w:rsidP="00A701C4">
            <w:pPr>
              <w:pStyle w:val="ListParagraph"/>
              <w:spacing w:line="360" w:lineRule="auto"/>
              <w:ind w:left="0"/>
              <w:jc w:val="both"/>
              <w:rPr>
                <w:rFonts w:ascii="Arial Narrow" w:hAnsi="Arial Narrow" w:cs="Arial"/>
                <w:sz w:val="24"/>
                <w:szCs w:val="24"/>
                <w:lang w:val="en-US"/>
              </w:rPr>
            </w:pPr>
          </w:p>
          <w:p w14:paraId="6B346F5B" w14:textId="642A37AD" w:rsidR="00833E34" w:rsidRPr="00897A6F" w:rsidRDefault="00A91635" w:rsidP="00A701C4">
            <w:pPr>
              <w:pStyle w:val="ListParagraph"/>
              <w:spacing w:line="360" w:lineRule="auto"/>
              <w:ind w:left="0"/>
              <w:jc w:val="both"/>
              <w:rPr>
                <w:rFonts w:ascii="Arial Narrow" w:hAnsi="Arial Narrow" w:cs="Arial"/>
                <w:sz w:val="24"/>
                <w:szCs w:val="24"/>
              </w:rPr>
            </w:pPr>
            <w:r w:rsidRPr="00897A6F">
              <w:rPr>
                <w:rFonts w:ascii="Arial Narrow" w:hAnsi="Arial Narrow" w:cs="Arial"/>
                <w:sz w:val="24"/>
                <w:szCs w:val="24"/>
                <w:lang w:val="en-US"/>
              </w:rPr>
              <w:t xml:space="preserve">[36]       </w:t>
            </w:r>
            <w:r w:rsidRPr="00897A6F">
              <w:rPr>
                <w:rFonts w:ascii="Arial Narrow" w:hAnsi="Arial Narrow" w:cs="Arial"/>
                <w:sz w:val="24"/>
                <w:szCs w:val="24"/>
              </w:rPr>
              <w:t>The court in </w:t>
            </w:r>
            <w:r w:rsidR="00897A6F">
              <w:rPr>
                <w:rFonts w:ascii="Arial Narrow" w:hAnsi="Arial Narrow" w:cs="Arial"/>
                <w:bCs/>
                <w:i/>
                <w:sz w:val="24"/>
                <w:szCs w:val="24"/>
              </w:rPr>
              <w:t>M</w:t>
            </w:r>
            <w:r w:rsidRPr="00897A6F">
              <w:rPr>
                <w:rFonts w:ascii="Arial Narrow" w:hAnsi="Arial Narrow" w:cs="Arial"/>
                <w:bCs/>
                <w:i/>
                <w:sz w:val="24"/>
                <w:szCs w:val="24"/>
              </w:rPr>
              <w:t>yers</w:t>
            </w:r>
            <w:r w:rsidRPr="00897A6F">
              <w:rPr>
                <w:rFonts w:ascii="Arial Narrow" w:hAnsi="Arial Narrow" w:cs="Arial"/>
                <w:b/>
                <w:bCs/>
                <w:sz w:val="24"/>
                <w:szCs w:val="24"/>
              </w:rPr>
              <w:t> </w:t>
            </w:r>
            <w:r w:rsidRPr="00897A6F">
              <w:rPr>
                <w:rFonts w:ascii="Arial Narrow" w:hAnsi="Arial Narrow" w:cs="Arial"/>
                <w:sz w:val="24"/>
                <w:szCs w:val="24"/>
              </w:rPr>
              <w:t>then added that:</w:t>
            </w:r>
          </w:p>
          <w:p w14:paraId="0EB97AA4" w14:textId="058CC9D3" w:rsidR="00A91635" w:rsidRPr="00897A6F" w:rsidRDefault="00897A6F" w:rsidP="00A701C4">
            <w:pPr>
              <w:pStyle w:val="ListParagraph"/>
              <w:spacing w:line="360" w:lineRule="auto"/>
              <w:ind w:left="0"/>
              <w:jc w:val="both"/>
              <w:rPr>
                <w:rFonts w:ascii="Arial Narrow" w:hAnsi="Arial Narrow"/>
                <w:sz w:val="27"/>
                <w:szCs w:val="27"/>
              </w:rPr>
            </w:pPr>
            <w:r>
              <w:rPr>
                <w:rFonts w:ascii="Arial Narrow" w:hAnsi="Arial Narrow" w:cs="Arial"/>
              </w:rPr>
              <w:tab/>
              <w:t>‘</w:t>
            </w:r>
            <w:r w:rsidR="00A91635" w:rsidRPr="00897A6F">
              <w:rPr>
                <w:rFonts w:ascii="Arial Narrow" w:hAnsi="Arial Narrow" w:cs="Arial"/>
              </w:rPr>
              <w:t xml:space="preserve">It seems to me that the applicant for the indulgence should pay all such costs as can reasonably be said to be wasted because of the application; these costs to include the costs of such opposition as is in the circumstances reasonable, </w:t>
            </w:r>
            <w:r>
              <w:rPr>
                <w:rFonts w:ascii="Arial Narrow" w:hAnsi="Arial Narrow" w:cs="Arial"/>
              </w:rPr>
              <w:t>and not vexatious or frivolous.’</w:t>
            </w:r>
          </w:p>
          <w:p w14:paraId="7CA28B6A" w14:textId="6DDA7D9F" w:rsidR="00A91635" w:rsidRPr="00897A6F" w:rsidRDefault="00A91635" w:rsidP="00A701C4">
            <w:pPr>
              <w:pStyle w:val="NormalWeb"/>
              <w:shd w:val="clear" w:color="auto" w:fill="FFFFFF"/>
              <w:spacing w:before="0" w:beforeAutospacing="0" w:after="0" w:afterAutospacing="0" w:line="360" w:lineRule="auto"/>
              <w:jc w:val="both"/>
              <w:rPr>
                <w:rFonts w:ascii="Arial Narrow" w:hAnsi="Arial Narrow"/>
                <w:sz w:val="27"/>
                <w:szCs w:val="27"/>
              </w:rPr>
            </w:pPr>
            <w:r w:rsidRPr="00897A6F">
              <w:rPr>
                <w:rFonts w:ascii="Arial Narrow" w:hAnsi="Arial Narrow" w:cs="Arial"/>
              </w:rPr>
              <w:t>[37]     The opposition of the application was neither frivolous nor vexatious.  I therefore find no reason to deviate from the general practice regarding costs.  </w:t>
            </w:r>
          </w:p>
          <w:p w14:paraId="44479781" w14:textId="32AE9016" w:rsidR="00331420" w:rsidRPr="00A91635" w:rsidRDefault="00A91635" w:rsidP="00A701C4">
            <w:p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[38]        </w:t>
            </w:r>
            <w:r w:rsidR="00DF5C31" w:rsidRPr="00A91635">
              <w:rPr>
                <w:rFonts w:ascii="Arial Narrow" w:hAnsi="Arial Narrow" w:cs="Arial"/>
                <w:sz w:val="24"/>
                <w:szCs w:val="24"/>
                <w:lang w:val="en-US"/>
              </w:rPr>
              <w:t>My order is therefor as set out above.</w:t>
            </w:r>
          </w:p>
        </w:tc>
      </w:tr>
      <w:tr w:rsidR="00D26CB5" w:rsidRPr="00A261AA" w14:paraId="2609287D" w14:textId="77777777" w:rsidTr="00B551AE">
        <w:tc>
          <w:tcPr>
            <w:tcW w:w="4770" w:type="dxa"/>
            <w:tcBorders>
              <w:top w:val="single" w:sz="4" w:space="0" w:color="auto"/>
            </w:tcBorders>
          </w:tcPr>
          <w:p w14:paraId="5D0C682C" w14:textId="77777777" w:rsidR="00D26CB5" w:rsidRPr="00A261AA" w:rsidRDefault="003875C3" w:rsidP="00A701C4">
            <w:pPr>
              <w:spacing w:line="360" w:lineRule="auto"/>
              <w:jc w:val="center"/>
              <w:rPr>
                <w:rFonts w:ascii="Arial Narrow" w:hAnsi="Arial Narrow" w:cs="Arial"/>
                <w:b/>
                <w:sz w:val="24"/>
                <w:szCs w:val="24"/>
              </w:rPr>
            </w:pPr>
            <w:r w:rsidRPr="00A261AA">
              <w:rPr>
                <w:rFonts w:ascii="Arial Narrow" w:hAnsi="Arial Narrow" w:cs="Arial"/>
                <w:b/>
                <w:sz w:val="24"/>
                <w:szCs w:val="24"/>
              </w:rPr>
              <w:lastRenderedPageBreak/>
              <w:t>Judge’s signature:</w:t>
            </w:r>
          </w:p>
        </w:tc>
        <w:tc>
          <w:tcPr>
            <w:tcW w:w="4950" w:type="dxa"/>
            <w:gridSpan w:val="2"/>
            <w:tcBorders>
              <w:top w:val="single" w:sz="4" w:space="0" w:color="auto"/>
            </w:tcBorders>
          </w:tcPr>
          <w:p w14:paraId="40054A88" w14:textId="77777777" w:rsidR="00D26CB5" w:rsidRPr="00A261AA" w:rsidRDefault="00D26CB5" w:rsidP="00A701C4">
            <w:pPr>
              <w:spacing w:line="360" w:lineRule="auto"/>
              <w:jc w:val="center"/>
              <w:rPr>
                <w:rFonts w:ascii="Arial Narrow" w:hAnsi="Arial Narrow" w:cs="Arial"/>
                <w:b/>
                <w:sz w:val="24"/>
                <w:szCs w:val="24"/>
              </w:rPr>
            </w:pPr>
            <w:r w:rsidRPr="00A261AA">
              <w:rPr>
                <w:rFonts w:ascii="Arial Narrow" w:hAnsi="Arial Narrow" w:cs="Arial"/>
                <w:b/>
                <w:sz w:val="24"/>
                <w:szCs w:val="24"/>
              </w:rPr>
              <w:t>Note to the parties:</w:t>
            </w:r>
          </w:p>
        </w:tc>
      </w:tr>
      <w:tr w:rsidR="00D26CB5" w:rsidRPr="00A261AA" w14:paraId="4E5DAA91" w14:textId="77777777" w:rsidTr="0092129C">
        <w:trPr>
          <w:trHeight w:val="1114"/>
        </w:trPr>
        <w:tc>
          <w:tcPr>
            <w:tcW w:w="4770" w:type="dxa"/>
          </w:tcPr>
          <w:p w14:paraId="6A27B97A" w14:textId="37FCEF70" w:rsidR="00D26CB5" w:rsidRPr="00A261AA" w:rsidRDefault="00D26CB5" w:rsidP="006A47BB">
            <w:pPr>
              <w:spacing w:line="360" w:lineRule="auto"/>
              <w:rPr>
                <w:rFonts w:ascii="Arial Narrow" w:hAnsi="Arial Narrow" w:cs="Arial"/>
                <w:sz w:val="24"/>
                <w:szCs w:val="24"/>
              </w:rPr>
            </w:pPr>
          </w:p>
        </w:tc>
        <w:tc>
          <w:tcPr>
            <w:tcW w:w="4950" w:type="dxa"/>
            <w:gridSpan w:val="2"/>
          </w:tcPr>
          <w:p w14:paraId="1103804C" w14:textId="77777777" w:rsidR="00D26CB5" w:rsidRPr="00A261AA" w:rsidRDefault="00D26CB5" w:rsidP="006A47BB">
            <w:pPr>
              <w:spacing w:before="240" w:line="360" w:lineRule="auto"/>
              <w:jc w:val="center"/>
              <w:rPr>
                <w:rFonts w:ascii="Arial Narrow" w:hAnsi="Arial Narrow" w:cs="Arial"/>
                <w:sz w:val="24"/>
                <w:szCs w:val="24"/>
              </w:rPr>
            </w:pPr>
            <w:r w:rsidRPr="00A261AA">
              <w:rPr>
                <w:rFonts w:ascii="Arial Narrow" w:hAnsi="Arial Narrow" w:cs="Arial"/>
                <w:sz w:val="24"/>
                <w:szCs w:val="24"/>
              </w:rPr>
              <w:t>Not applicable.</w:t>
            </w:r>
          </w:p>
        </w:tc>
      </w:tr>
      <w:tr w:rsidR="00D26CB5" w:rsidRPr="00A261AA" w14:paraId="1CC8F6B9" w14:textId="77777777" w:rsidTr="0092129C">
        <w:tc>
          <w:tcPr>
            <w:tcW w:w="9720" w:type="dxa"/>
            <w:gridSpan w:val="3"/>
          </w:tcPr>
          <w:p w14:paraId="7A655709" w14:textId="77777777" w:rsidR="00D26CB5" w:rsidRPr="00A261AA" w:rsidRDefault="00D26CB5" w:rsidP="006A47BB">
            <w:pPr>
              <w:spacing w:before="240" w:line="360" w:lineRule="auto"/>
              <w:jc w:val="center"/>
              <w:rPr>
                <w:rFonts w:ascii="Arial Narrow" w:hAnsi="Arial Narrow" w:cs="Arial"/>
                <w:b/>
                <w:sz w:val="24"/>
                <w:szCs w:val="24"/>
              </w:rPr>
            </w:pPr>
            <w:r w:rsidRPr="00A261AA">
              <w:rPr>
                <w:rFonts w:ascii="Arial Narrow" w:hAnsi="Arial Narrow" w:cs="Arial"/>
                <w:b/>
                <w:sz w:val="24"/>
                <w:szCs w:val="24"/>
              </w:rPr>
              <w:t>Counsel:</w:t>
            </w:r>
          </w:p>
        </w:tc>
      </w:tr>
      <w:tr w:rsidR="00D26CB5" w:rsidRPr="00A261AA" w14:paraId="620B59EF" w14:textId="77777777" w:rsidTr="0092129C">
        <w:tc>
          <w:tcPr>
            <w:tcW w:w="4770" w:type="dxa"/>
          </w:tcPr>
          <w:p w14:paraId="64ADD3D2" w14:textId="77777777" w:rsidR="00D26CB5" w:rsidRPr="00A261AA" w:rsidRDefault="009F3726" w:rsidP="00A701C4">
            <w:pPr>
              <w:spacing w:line="360" w:lineRule="auto"/>
              <w:jc w:val="center"/>
              <w:rPr>
                <w:rFonts w:ascii="Arial Narrow" w:hAnsi="Arial Narrow" w:cs="Arial"/>
                <w:b/>
                <w:sz w:val="24"/>
                <w:szCs w:val="24"/>
              </w:rPr>
            </w:pPr>
            <w:r w:rsidRPr="00A261AA">
              <w:rPr>
                <w:rFonts w:ascii="Arial Narrow" w:hAnsi="Arial Narrow" w:cs="Arial"/>
                <w:b/>
                <w:sz w:val="24"/>
                <w:szCs w:val="24"/>
              </w:rPr>
              <w:t>Plaintiff</w:t>
            </w:r>
          </w:p>
        </w:tc>
        <w:tc>
          <w:tcPr>
            <w:tcW w:w="4950" w:type="dxa"/>
            <w:gridSpan w:val="2"/>
          </w:tcPr>
          <w:p w14:paraId="7BA41D77" w14:textId="77777777" w:rsidR="00D26CB5" w:rsidRPr="00A261AA" w:rsidRDefault="00D26CB5" w:rsidP="00A701C4">
            <w:pPr>
              <w:spacing w:line="360" w:lineRule="auto"/>
              <w:jc w:val="center"/>
              <w:rPr>
                <w:rFonts w:ascii="Arial Narrow" w:hAnsi="Arial Narrow" w:cs="Arial"/>
                <w:b/>
                <w:sz w:val="24"/>
                <w:szCs w:val="24"/>
              </w:rPr>
            </w:pPr>
            <w:r w:rsidRPr="00A261AA">
              <w:rPr>
                <w:rFonts w:ascii="Arial Narrow" w:hAnsi="Arial Narrow" w:cs="Arial"/>
                <w:b/>
                <w:sz w:val="24"/>
                <w:szCs w:val="24"/>
              </w:rPr>
              <w:t xml:space="preserve"> </w:t>
            </w:r>
            <w:r w:rsidR="009F3726" w:rsidRPr="00A261AA">
              <w:rPr>
                <w:rFonts w:ascii="Arial Narrow" w:hAnsi="Arial Narrow" w:cs="Arial"/>
                <w:b/>
                <w:sz w:val="24"/>
                <w:szCs w:val="24"/>
              </w:rPr>
              <w:t>Defendant</w:t>
            </w:r>
          </w:p>
        </w:tc>
      </w:tr>
      <w:tr w:rsidR="00D26CB5" w:rsidRPr="00A261AA" w14:paraId="6001950E" w14:textId="77777777" w:rsidTr="0092129C">
        <w:tc>
          <w:tcPr>
            <w:tcW w:w="4770" w:type="dxa"/>
          </w:tcPr>
          <w:p w14:paraId="688621D4" w14:textId="77777777" w:rsidR="006003C6" w:rsidRDefault="00AD5169" w:rsidP="00A701C4">
            <w:pPr>
              <w:spacing w:line="360" w:lineRule="auto"/>
              <w:jc w:val="center"/>
              <w:rPr>
                <w:rFonts w:ascii="Arial Narrow" w:hAnsi="Arial Narrow" w:cs="Arial"/>
                <w:sz w:val="24"/>
                <w:szCs w:val="24"/>
              </w:rPr>
            </w:pPr>
            <w:r>
              <w:rPr>
                <w:rFonts w:ascii="Arial Narrow" w:hAnsi="Arial Narrow" w:cs="Arial"/>
                <w:sz w:val="24"/>
                <w:szCs w:val="24"/>
              </w:rPr>
              <w:t xml:space="preserve">Adv Diedericks </w:t>
            </w:r>
          </w:p>
          <w:p w14:paraId="7CCCB374" w14:textId="77777777" w:rsidR="00AD5169" w:rsidRDefault="00AD5169" w:rsidP="00A701C4">
            <w:pPr>
              <w:spacing w:line="360" w:lineRule="auto"/>
              <w:jc w:val="center"/>
              <w:rPr>
                <w:rFonts w:ascii="Arial Narrow" w:hAnsi="Arial Narrow" w:cs="Arial"/>
                <w:sz w:val="24"/>
                <w:szCs w:val="24"/>
              </w:rPr>
            </w:pPr>
            <w:r>
              <w:rPr>
                <w:rFonts w:ascii="Arial Narrow" w:hAnsi="Arial Narrow" w:cs="Arial"/>
                <w:sz w:val="24"/>
                <w:szCs w:val="24"/>
              </w:rPr>
              <w:t>on instruction of</w:t>
            </w:r>
          </w:p>
          <w:p w14:paraId="540D697E" w14:textId="77777777" w:rsidR="00AD5169" w:rsidRDefault="00AD5169" w:rsidP="00A701C4">
            <w:pPr>
              <w:spacing w:line="360" w:lineRule="auto"/>
              <w:jc w:val="center"/>
              <w:rPr>
                <w:rFonts w:ascii="Arial Narrow" w:hAnsi="Arial Narrow" w:cs="Arial"/>
                <w:sz w:val="24"/>
                <w:szCs w:val="24"/>
              </w:rPr>
            </w:pPr>
            <w:r>
              <w:rPr>
                <w:rFonts w:ascii="Arial Narrow" w:hAnsi="Arial Narrow" w:cs="Arial"/>
                <w:sz w:val="24"/>
                <w:szCs w:val="24"/>
              </w:rPr>
              <w:t>Shikongo Law Chambers</w:t>
            </w:r>
          </w:p>
          <w:p w14:paraId="2194E676" w14:textId="77777777" w:rsidR="00AD5169" w:rsidRPr="00A261AA" w:rsidRDefault="00AD5169" w:rsidP="00A701C4">
            <w:pPr>
              <w:spacing w:line="360" w:lineRule="auto"/>
              <w:jc w:val="center"/>
              <w:rPr>
                <w:rFonts w:ascii="Arial Narrow" w:hAnsi="Arial Narrow" w:cs="Arial"/>
                <w:sz w:val="24"/>
                <w:szCs w:val="24"/>
              </w:rPr>
            </w:pPr>
            <w:r>
              <w:rPr>
                <w:rFonts w:ascii="Arial Narrow" w:hAnsi="Arial Narrow" w:cs="Arial"/>
                <w:sz w:val="24"/>
                <w:szCs w:val="24"/>
              </w:rPr>
              <w:t>Windhoek</w:t>
            </w:r>
          </w:p>
        </w:tc>
        <w:tc>
          <w:tcPr>
            <w:tcW w:w="4950" w:type="dxa"/>
            <w:gridSpan w:val="2"/>
          </w:tcPr>
          <w:p w14:paraId="6859EE9E" w14:textId="77777777" w:rsidR="00D26CB5" w:rsidRPr="00A261AA" w:rsidRDefault="00D405B1" w:rsidP="00A701C4">
            <w:pPr>
              <w:spacing w:line="360" w:lineRule="auto"/>
              <w:jc w:val="center"/>
              <w:rPr>
                <w:rFonts w:ascii="Arial Narrow" w:hAnsi="Arial Narrow" w:cs="Arial"/>
                <w:sz w:val="24"/>
                <w:szCs w:val="24"/>
              </w:rPr>
            </w:pPr>
            <w:r w:rsidRPr="00A261AA">
              <w:rPr>
                <w:rFonts w:ascii="Arial Narrow" w:hAnsi="Arial Narrow" w:cs="Arial"/>
                <w:sz w:val="24"/>
                <w:szCs w:val="24"/>
              </w:rPr>
              <w:t>Mr Kauta</w:t>
            </w:r>
          </w:p>
          <w:p w14:paraId="5D24149D" w14:textId="77777777" w:rsidR="00EA5E0C" w:rsidRPr="00A261AA" w:rsidRDefault="00EA5E0C" w:rsidP="00A701C4">
            <w:pPr>
              <w:spacing w:line="360" w:lineRule="auto"/>
              <w:jc w:val="center"/>
              <w:rPr>
                <w:rFonts w:ascii="Arial Narrow" w:hAnsi="Arial Narrow" w:cs="Arial"/>
                <w:sz w:val="24"/>
                <w:szCs w:val="24"/>
              </w:rPr>
            </w:pPr>
            <w:r w:rsidRPr="00A261AA">
              <w:rPr>
                <w:rFonts w:ascii="Arial Narrow" w:hAnsi="Arial Narrow" w:cs="Arial"/>
                <w:sz w:val="24"/>
                <w:szCs w:val="24"/>
              </w:rPr>
              <w:t>from</w:t>
            </w:r>
          </w:p>
          <w:p w14:paraId="4C37B67B" w14:textId="77777777" w:rsidR="00D67EBE" w:rsidRPr="00A261AA" w:rsidRDefault="00D405B1" w:rsidP="00A701C4">
            <w:pPr>
              <w:spacing w:line="360" w:lineRule="auto"/>
              <w:jc w:val="center"/>
              <w:rPr>
                <w:rFonts w:ascii="Arial Narrow" w:hAnsi="Arial Narrow" w:cs="Arial"/>
                <w:sz w:val="24"/>
                <w:szCs w:val="24"/>
              </w:rPr>
            </w:pPr>
            <w:r w:rsidRPr="00A261AA">
              <w:rPr>
                <w:rFonts w:ascii="Arial Narrow" w:hAnsi="Arial Narrow" w:cs="Arial"/>
                <w:sz w:val="24"/>
                <w:szCs w:val="24"/>
              </w:rPr>
              <w:t>Dr Weder Kauta and Hoveka</w:t>
            </w:r>
          </w:p>
          <w:p w14:paraId="106078A9" w14:textId="77777777" w:rsidR="00EA5E0C" w:rsidRPr="00A261AA" w:rsidRDefault="00EA5E0C" w:rsidP="00A701C4">
            <w:pPr>
              <w:spacing w:line="360" w:lineRule="auto"/>
              <w:jc w:val="center"/>
              <w:rPr>
                <w:rFonts w:ascii="Arial Narrow" w:hAnsi="Arial Narrow" w:cs="Arial"/>
                <w:sz w:val="24"/>
                <w:szCs w:val="24"/>
              </w:rPr>
            </w:pPr>
            <w:r w:rsidRPr="00A261AA">
              <w:rPr>
                <w:rFonts w:ascii="Arial Narrow" w:hAnsi="Arial Narrow" w:cs="Arial"/>
                <w:sz w:val="24"/>
                <w:szCs w:val="24"/>
              </w:rPr>
              <w:t>Windhoek</w:t>
            </w:r>
          </w:p>
        </w:tc>
      </w:tr>
    </w:tbl>
    <w:p w14:paraId="37C013A0" w14:textId="77777777" w:rsidR="00012995" w:rsidRPr="00A261AA" w:rsidRDefault="00012995" w:rsidP="006A47BB">
      <w:pPr>
        <w:spacing w:after="0" w:line="360" w:lineRule="auto"/>
        <w:rPr>
          <w:rFonts w:ascii="Arial Narrow" w:hAnsi="Arial Narrow"/>
          <w:sz w:val="24"/>
          <w:szCs w:val="24"/>
        </w:rPr>
      </w:pPr>
    </w:p>
    <w:sectPr w:rsidR="00012995" w:rsidRPr="00A261AA" w:rsidSect="006A47BB">
      <w:headerReference w:type="default" r:id="rId11"/>
      <w:footerReference w:type="default" r:id="rId12"/>
      <w:pgSz w:w="11906" w:h="16838"/>
      <w:pgMar w:top="851" w:right="1440" w:bottom="567" w:left="1440" w:header="708" w:footer="42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A98BB" w14:textId="77777777" w:rsidR="00AA0FAA" w:rsidRDefault="00AA0FAA" w:rsidP="00D01890">
      <w:pPr>
        <w:spacing w:after="0" w:line="240" w:lineRule="auto"/>
      </w:pPr>
      <w:r>
        <w:separator/>
      </w:r>
    </w:p>
  </w:endnote>
  <w:endnote w:type="continuationSeparator" w:id="0">
    <w:p w14:paraId="54B84DBD" w14:textId="77777777" w:rsidR="00AA0FAA" w:rsidRDefault="00AA0FAA"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E99BB" w14:textId="77777777" w:rsidR="00352B3F" w:rsidRDefault="00352B3F">
    <w:pPr>
      <w:pStyle w:val="Footer"/>
      <w:jc w:val="right"/>
    </w:pPr>
  </w:p>
  <w:p w14:paraId="490C8867" w14:textId="77777777" w:rsidR="00352B3F" w:rsidRDefault="00352B3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07008" w14:textId="77777777" w:rsidR="00AA0FAA" w:rsidRDefault="00AA0FAA" w:rsidP="00D01890">
      <w:pPr>
        <w:spacing w:after="0" w:line="240" w:lineRule="auto"/>
      </w:pPr>
      <w:r>
        <w:separator/>
      </w:r>
    </w:p>
  </w:footnote>
  <w:footnote w:type="continuationSeparator" w:id="0">
    <w:p w14:paraId="6165026F" w14:textId="77777777" w:rsidR="00AA0FAA" w:rsidRDefault="00AA0FAA" w:rsidP="00D01890">
      <w:pPr>
        <w:spacing w:after="0" w:line="240" w:lineRule="auto"/>
      </w:pPr>
      <w:r>
        <w:continuationSeparator/>
      </w:r>
    </w:p>
  </w:footnote>
  <w:footnote w:id="1">
    <w:p w14:paraId="65F24897" w14:textId="1A845599" w:rsidR="00C341FF" w:rsidRPr="006A47BB" w:rsidRDefault="00C341FF" w:rsidP="00A05E84">
      <w:pPr>
        <w:pStyle w:val="FootnoteText"/>
        <w:spacing w:line="360" w:lineRule="auto"/>
        <w:rPr>
          <w:rFonts w:ascii="Arial Narrow" w:hAnsi="Arial Narrow"/>
          <w:lang w:val="en-US"/>
        </w:rPr>
      </w:pPr>
      <w:r w:rsidRPr="006A47BB">
        <w:rPr>
          <w:rStyle w:val="FootnoteReference"/>
          <w:rFonts w:ascii="Arial Narrow" w:hAnsi="Arial Narrow"/>
        </w:rPr>
        <w:footnoteRef/>
      </w:r>
      <w:r w:rsidRPr="006A47BB">
        <w:rPr>
          <w:rFonts w:ascii="Arial Narrow" w:hAnsi="Arial Narrow"/>
        </w:rPr>
        <w:t xml:space="preserve"> </w:t>
      </w:r>
      <w:r w:rsidRPr="006A47BB">
        <w:rPr>
          <w:rFonts w:ascii="Arial Narrow" w:hAnsi="Arial Narrow"/>
          <w:i/>
          <w:lang w:val="en-US"/>
        </w:rPr>
        <w:t>Arangies t/a Auto Tech</w:t>
      </w:r>
      <w:r w:rsidR="006A47BB" w:rsidRPr="006A47BB">
        <w:rPr>
          <w:rFonts w:ascii="Arial Narrow" w:hAnsi="Arial Narrow"/>
          <w:i/>
          <w:lang w:val="en-US"/>
        </w:rPr>
        <w:t xml:space="preserve"> </w:t>
      </w:r>
      <w:r w:rsidRPr="006A47BB">
        <w:rPr>
          <w:rFonts w:ascii="Arial Narrow" w:hAnsi="Arial Narrow"/>
          <w:i/>
          <w:lang w:val="en-US"/>
        </w:rPr>
        <w:t xml:space="preserve">v Quick Build </w:t>
      </w:r>
      <w:r w:rsidRPr="006A47BB">
        <w:rPr>
          <w:rFonts w:ascii="Arial Narrow" w:hAnsi="Arial Narrow"/>
          <w:lang w:val="en-US"/>
        </w:rPr>
        <w:t>2014 (1) NR 187 (SC).</w:t>
      </w:r>
    </w:p>
  </w:footnote>
  <w:footnote w:id="2">
    <w:p w14:paraId="1AD7C47D" w14:textId="77777777" w:rsidR="00C341FF" w:rsidRPr="006A47BB" w:rsidRDefault="00C341FF" w:rsidP="00A05E84">
      <w:pPr>
        <w:pStyle w:val="FootnoteText"/>
        <w:spacing w:line="360" w:lineRule="auto"/>
        <w:rPr>
          <w:rFonts w:ascii="Arial Narrow" w:hAnsi="Arial Narrow"/>
          <w:lang w:val="en-US"/>
        </w:rPr>
      </w:pPr>
      <w:r w:rsidRPr="006A47BB">
        <w:rPr>
          <w:rStyle w:val="FootnoteReference"/>
          <w:rFonts w:ascii="Arial Narrow" w:hAnsi="Arial Narrow"/>
        </w:rPr>
        <w:footnoteRef/>
      </w:r>
      <w:r w:rsidRPr="006A47BB">
        <w:rPr>
          <w:rFonts w:ascii="Arial Narrow" w:hAnsi="Arial Narrow"/>
        </w:rPr>
        <w:t xml:space="preserve"> </w:t>
      </w:r>
      <w:r w:rsidRPr="006A47BB">
        <w:rPr>
          <w:rFonts w:ascii="Arial Narrow" w:hAnsi="Arial Narrow"/>
          <w:i/>
          <w:lang w:val="en-US"/>
        </w:rPr>
        <w:t xml:space="preserve">Stipp and Another v Shade Centre and Another </w:t>
      </w:r>
      <w:r w:rsidRPr="006A47BB">
        <w:rPr>
          <w:rFonts w:ascii="Arial Narrow" w:hAnsi="Arial Narrow"/>
          <w:lang w:val="en-US"/>
        </w:rPr>
        <w:t>2007 (2) NR 627 (SC).</w:t>
      </w:r>
    </w:p>
  </w:footnote>
  <w:footnote w:id="3">
    <w:p w14:paraId="6299BE02" w14:textId="77777777" w:rsidR="008D0529" w:rsidRPr="006A47BB" w:rsidRDefault="008D0529" w:rsidP="00A05E84">
      <w:pPr>
        <w:pStyle w:val="FootnoteText"/>
        <w:spacing w:line="360" w:lineRule="auto"/>
        <w:rPr>
          <w:rFonts w:ascii="Arial Narrow" w:hAnsi="Arial Narrow"/>
          <w:lang w:val="en-US"/>
        </w:rPr>
      </w:pPr>
      <w:r w:rsidRPr="006A47BB">
        <w:rPr>
          <w:rStyle w:val="FootnoteReference"/>
          <w:rFonts w:ascii="Arial Narrow" w:hAnsi="Arial Narrow"/>
        </w:rPr>
        <w:footnoteRef/>
      </w:r>
      <w:r w:rsidRPr="006A47BB">
        <w:rPr>
          <w:rFonts w:ascii="Arial Narrow" w:hAnsi="Arial Narrow"/>
        </w:rPr>
        <w:t xml:space="preserve"> </w:t>
      </w:r>
      <w:r w:rsidRPr="006A47BB">
        <w:rPr>
          <w:rFonts w:ascii="Arial Narrow" w:hAnsi="Arial Narrow"/>
          <w:lang w:val="en-US"/>
        </w:rPr>
        <w:t>Rule 56 (1)(g) – (h).</w:t>
      </w:r>
    </w:p>
  </w:footnote>
  <w:footnote w:id="4">
    <w:p w14:paraId="3F1B4152" w14:textId="77777777" w:rsidR="00442E91" w:rsidRPr="006A47BB" w:rsidRDefault="00442E91" w:rsidP="00A05E84">
      <w:pPr>
        <w:autoSpaceDE w:val="0"/>
        <w:autoSpaceDN w:val="0"/>
        <w:adjustRightInd w:val="0"/>
        <w:spacing w:after="0" w:line="360" w:lineRule="auto"/>
        <w:jc w:val="both"/>
        <w:rPr>
          <w:rFonts w:ascii="Arial Narrow" w:hAnsi="Arial Narrow" w:cs="Times-Roman"/>
          <w:sz w:val="20"/>
          <w:szCs w:val="20"/>
          <w:lang w:val="en-US"/>
        </w:rPr>
      </w:pPr>
      <w:r w:rsidRPr="006A47BB">
        <w:rPr>
          <w:rStyle w:val="FootnoteReference"/>
          <w:rFonts w:ascii="Arial Narrow" w:hAnsi="Arial Narrow"/>
          <w:sz w:val="20"/>
          <w:szCs w:val="20"/>
        </w:rPr>
        <w:footnoteRef/>
      </w:r>
      <w:r w:rsidRPr="006A47BB">
        <w:rPr>
          <w:rFonts w:ascii="Arial Narrow" w:hAnsi="Arial Narrow"/>
          <w:sz w:val="20"/>
          <w:szCs w:val="20"/>
        </w:rPr>
        <w:t xml:space="preserve"> </w:t>
      </w:r>
      <w:r w:rsidRPr="006A47BB">
        <w:rPr>
          <w:rFonts w:ascii="Arial Narrow" w:hAnsi="Arial Narrow"/>
          <w:sz w:val="20"/>
          <w:szCs w:val="20"/>
          <w:lang w:val="en-US"/>
        </w:rPr>
        <w:t>Rule 54</w:t>
      </w:r>
      <w:r w:rsidRPr="006A47BB">
        <w:rPr>
          <w:rFonts w:ascii="Arial Narrow" w:hAnsi="Arial Narrow" w:cs="Times-Roman"/>
          <w:sz w:val="20"/>
          <w:szCs w:val="20"/>
          <w:lang w:val="en-US"/>
        </w:rPr>
        <w:t xml:space="preserve"> (2) Where a rule, practice direction or court order -</w:t>
      </w:r>
    </w:p>
    <w:p w14:paraId="13A5C487" w14:textId="77777777" w:rsidR="00442E91" w:rsidRPr="006A47BB" w:rsidRDefault="00442E91" w:rsidP="00A05E84">
      <w:pPr>
        <w:autoSpaceDE w:val="0"/>
        <w:autoSpaceDN w:val="0"/>
        <w:adjustRightInd w:val="0"/>
        <w:spacing w:after="0" w:line="360" w:lineRule="auto"/>
        <w:jc w:val="both"/>
        <w:rPr>
          <w:rFonts w:ascii="Arial Narrow" w:hAnsi="Arial Narrow" w:cs="Times-Roman"/>
          <w:sz w:val="20"/>
          <w:szCs w:val="20"/>
          <w:lang w:val="en-US"/>
        </w:rPr>
      </w:pPr>
      <w:r w:rsidRPr="006A47BB">
        <w:rPr>
          <w:rFonts w:ascii="Arial Narrow" w:hAnsi="Arial Narrow" w:cs="Times-Roman"/>
          <w:sz w:val="20"/>
          <w:szCs w:val="20"/>
          <w:lang w:val="en-US"/>
        </w:rPr>
        <w:t>(a) requires a party to do something within a specified time; or</w:t>
      </w:r>
    </w:p>
    <w:p w14:paraId="59712B6F" w14:textId="77777777" w:rsidR="00442E91" w:rsidRPr="006A47BB" w:rsidRDefault="00442E91" w:rsidP="00A05E84">
      <w:pPr>
        <w:autoSpaceDE w:val="0"/>
        <w:autoSpaceDN w:val="0"/>
        <w:adjustRightInd w:val="0"/>
        <w:spacing w:after="0" w:line="360" w:lineRule="auto"/>
        <w:jc w:val="both"/>
        <w:rPr>
          <w:rFonts w:ascii="Arial Narrow" w:hAnsi="Arial Narrow" w:cs="Times-Roman"/>
          <w:sz w:val="20"/>
          <w:szCs w:val="20"/>
          <w:lang w:val="en-US"/>
        </w:rPr>
      </w:pPr>
      <w:r w:rsidRPr="006A47BB">
        <w:rPr>
          <w:rFonts w:ascii="Arial Narrow" w:hAnsi="Arial Narrow" w:cs="Times-Roman"/>
          <w:sz w:val="20"/>
          <w:szCs w:val="20"/>
          <w:lang w:val="en-US"/>
        </w:rPr>
        <w:t>(b) specifies the consequences of a failure to comply,</w:t>
      </w:r>
    </w:p>
    <w:p w14:paraId="659C2A99" w14:textId="77777777" w:rsidR="00442E91" w:rsidRPr="006A47BB" w:rsidRDefault="00442E91" w:rsidP="00A05E84">
      <w:pPr>
        <w:pStyle w:val="FootnoteText"/>
        <w:spacing w:line="360" w:lineRule="auto"/>
        <w:jc w:val="both"/>
        <w:rPr>
          <w:rFonts w:ascii="Arial Narrow" w:hAnsi="Arial Narrow"/>
          <w:lang w:val="en-US"/>
        </w:rPr>
      </w:pPr>
      <w:r w:rsidRPr="006A47BB">
        <w:rPr>
          <w:rFonts w:ascii="Arial Narrow" w:hAnsi="Arial Narrow" w:cs="Times-Roman"/>
          <w:lang w:val="en-US"/>
        </w:rPr>
        <w:t>the time for doing the act in question may not be extended by agreement between the parties.</w:t>
      </w:r>
    </w:p>
  </w:footnote>
  <w:footnote w:id="5">
    <w:p w14:paraId="4F14915D" w14:textId="70CAC571" w:rsidR="00C34D29" w:rsidRPr="006A47BB" w:rsidRDefault="00C34D29" w:rsidP="00A05E84">
      <w:pPr>
        <w:pStyle w:val="FootnoteText"/>
        <w:spacing w:line="360" w:lineRule="auto"/>
        <w:rPr>
          <w:rFonts w:ascii="Arial Narrow" w:hAnsi="Arial Narrow"/>
          <w:lang w:val="en-US"/>
        </w:rPr>
      </w:pPr>
      <w:r w:rsidRPr="006A47BB">
        <w:rPr>
          <w:rStyle w:val="FootnoteReference"/>
          <w:rFonts w:ascii="Arial Narrow" w:hAnsi="Arial Narrow"/>
        </w:rPr>
        <w:footnoteRef/>
      </w:r>
      <w:r w:rsidRPr="006A47BB">
        <w:rPr>
          <w:rFonts w:ascii="Arial Narrow" w:hAnsi="Arial Narrow"/>
        </w:rPr>
        <w:t xml:space="preserve"> </w:t>
      </w:r>
      <w:r w:rsidRPr="006A47BB">
        <w:rPr>
          <w:rFonts w:ascii="Arial Narrow" w:hAnsi="Arial Narrow"/>
          <w:lang w:val="en-US"/>
        </w:rPr>
        <w:t>Damaseb</w:t>
      </w:r>
      <w:r w:rsidR="00DF5C31" w:rsidRPr="006A47BB">
        <w:rPr>
          <w:rFonts w:ascii="Arial Narrow" w:hAnsi="Arial Narrow"/>
          <w:lang w:val="en-US"/>
        </w:rPr>
        <w:t xml:space="preserve"> P</w:t>
      </w:r>
      <w:r w:rsidRPr="006A47BB">
        <w:rPr>
          <w:rFonts w:ascii="Arial Narrow" w:hAnsi="Arial Narrow"/>
          <w:lang w:val="en-US"/>
        </w:rPr>
        <w:t xml:space="preserve"> </w:t>
      </w:r>
      <w:r w:rsidR="008D5C30" w:rsidRPr="006A47BB">
        <w:rPr>
          <w:rFonts w:ascii="Arial Narrow" w:hAnsi="Arial Narrow"/>
          <w:i/>
          <w:lang w:val="en-US"/>
        </w:rPr>
        <w:t xml:space="preserve">Court-managed civil procedure of the High Court of Namibia </w:t>
      </w:r>
      <w:r w:rsidR="008D5C30" w:rsidRPr="006A47BB">
        <w:rPr>
          <w:rFonts w:ascii="Arial Narrow" w:hAnsi="Arial Narrow"/>
          <w:lang w:val="en-US"/>
        </w:rPr>
        <w:t>(2020) at</w:t>
      </w:r>
      <w:r w:rsidRPr="006A47BB">
        <w:rPr>
          <w:rFonts w:ascii="Arial Narrow" w:hAnsi="Arial Narrow"/>
          <w:lang w:val="en-US"/>
        </w:rPr>
        <w:t xml:space="preserve"> 118</w:t>
      </w:r>
      <w:r w:rsidR="008D5C30" w:rsidRPr="006A47BB">
        <w:rPr>
          <w:rFonts w:ascii="Arial Narrow" w:hAnsi="Arial Narrow"/>
          <w:lang w:val="en-US"/>
        </w:rPr>
        <w:t>.</w:t>
      </w:r>
    </w:p>
  </w:footnote>
  <w:footnote w:id="6">
    <w:p w14:paraId="25F71575" w14:textId="1EECE130" w:rsidR="00D17164" w:rsidRPr="006A47BB" w:rsidRDefault="00D17164" w:rsidP="00A05E84">
      <w:pPr>
        <w:pStyle w:val="FootnoteText"/>
        <w:spacing w:line="360" w:lineRule="auto"/>
        <w:rPr>
          <w:rFonts w:ascii="Arial Narrow" w:hAnsi="Arial Narrow"/>
          <w:lang w:val="en-US"/>
        </w:rPr>
      </w:pPr>
      <w:r w:rsidRPr="006A47BB">
        <w:rPr>
          <w:rStyle w:val="FootnoteReference"/>
          <w:rFonts w:ascii="Arial Narrow" w:hAnsi="Arial Narrow"/>
        </w:rPr>
        <w:footnoteRef/>
      </w:r>
      <w:r w:rsidRPr="006A47BB">
        <w:rPr>
          <w:rFonts w:ascii="Arial Narrow" w:hAnsi="Arial Narrow"/>
        </w:rPr>
        <w:t xml:space="preserve"> </w:t>
      </w:r>
      <w:r w:rsidRPr="006A47BB">
        <w:rPr>
          <w:rFonts w:ascii="Arial Narrow" w:hAnsi="Arial Narrow"/>
          <w:lang w:val="en-US"/>
        </w:rPr>
        <w:t>Applicant’s founding affidavit at para 21.</w:t>
      </w:r>
    </w:p>
  </w:footnote>
  <w:footnote w:id="7">
    <w:p w14:paraId="00DB94B1" w14:textId="22FBE601" w:rsidR="00A91635" w:rsidRPr="006A47BB" w:rsidRDefault="00A91635" w:rsidP="00A05E84">
      <w:pPr>
        <w:pStyle w:val="FootnoteText"/>
        <w:spacing w:line="360" w:lineRule="auto"/>
        <w:rPr>
          <w:rFonts w:ascii="Arial Narrow" w:hAnsi="Arial Narrow"/>
        </w:rPr>
      </w:pPr>
      <w:r w:rsidRPr="006A47BB">
        <w:rPr>
          <w:rStyle w:val="FootnoteReference"/>
          <w:rFonts w:ascii="Arial Narrow" w:hAnsi="Arial Narrow"/>
        </w:rPr>
        <w:footnoteRef/>
      </w:r>
      <w:r w:rsidRPr="006A47BB">
        <w:rPr>
          <w:rFonts w:ascii="Arial Narrow" w:hAnsi="Arial Narrow"/>
        </w:rPr>
        <w:t xml:space="preserve"> </w:t>
      </w:r>
      <w:r w:rsidR="00897A6F" w:rsidRPr="006A47BB">
        <w:rPr>
          <w:rFonts w:ascii="Arial Narrow" w:hAnsi="Arial Narrow" w:cs="Arial"/>
          <w:bCs/>
          <w:i/>
          <w:shd w:val="clear" w:color="auto" w:fill="FFFFFF"/>
        </w:rPr>
        <w:t>Myers v Abramson</w:t>
      </w:r>
      <w:r w:rsidR="00897A6F" w:rsidRPr="006A47BB">
        <w:rPr>
          <w:rStyle w:val="Hyperlink"/>
          <w:rFonts w:ascii="Arial Narrow" w:hAnsi="Arial Narrow" w:cs="Arial"/>
          <w:bCs/>
          <w:color w:val="auto"/>
          <w:u w:val="none"/>
          <w:shd w:val="clear" w:color="auto" w:fill="FFFFFF"/>
        </w:rPr>
        <w:t xml:space="preserve"> </w:t>
      </w:r>
      <w:hyperlink r:id="rId1" w:tooltip="View LawCiteRecord" w:history="1">
        <w:r w:rsidRPr="006A47BB">
          <w:rPr>
            <w:rStyle w:val="Hyperlink"/>
            <w:rFonts w:ascii="Arial Narrow" w:hAnsi="Arial Narrow" w:cs="Arial"/>
            <w:bCs/>
            <w:color w:val="auto"/>
            <w:u w:val="none"/>
            <w:shd w:val="clear" w:color="auto" w:fill="FFFFFF"/>
          </w:rPr>
          <w:t>1951 (3) SA 438</w:t>
        </w:r>
      </w:hyperlink>
      <w:r w:rsidRPr="006A47BB">
        <w:rPr>
          <w:rFonts w:ascii="Arial Narrow" w:hAnsi="Arial Narrow" w:cs="Arial"/>
          <w:shd w:val="clear" w:color="auto" w:fill="FFFFFF"/>
        </w:rPr>
        <w:t> (CPD) at 455 F – 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979064"/>
      <w:docPartObj>
        <w:docPartGallery w:val="Page Numbers (Top of Page)"/>
        <w:docPartUnique/>
      </w:docPartObj>
    </w:sdtPr>
    <w:sdtEndPr>
      <w:rPr>
        <w:noProof/>
      </w:rPr>
    </w:sdtEndPr>
    <w:sdtContent>
      <w:p w14:paraId="212007DF" w14:textId="355F9E2B" w:rsidR="008D5C30" w:rsidRDefault="008D5C30">
        <w:pPr>
          <w:pStyle w:val="Header"/>
          <w:jc w:val="right"/>
        </w:pPr>
        <w:r>
          <w:fldChar w:fldCharType="begin"/>
        </w:r>
        <w:r>
          <w:instrText xml:space="preserve"> PAGE   \* MERGEFORMAT </w:instrText>
        </w:r>
        <w:r>
          <w:fldChar w:fldCharType="separate"/>
        </w:r>
        <w:r w:rsidR="00743AA0">
          <w:rPr>
            <w:noProof/>
          </w:rPr>
          <w:t>8</w:t>
        </w:r>
        <w:r>
          <w:rPr>
            <w:noProof/>
          </w:rPr>
          <w:fldChar w:fldCharType="end"/>
        </w:r>
      </w:p>
    </w:sdtContent>
  </w:sdt>
  <w:p w14:paraId="0B11651C" w14:textId="77777777" w:rsidR="00352B3F" w:rsidRDefault="00352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A9C7390"/>
    <w:lvl w:ilvl="0">
      <w:start w:val="1"/>
      <w:numFmt w:val="decimal"/>
      <w:pStyle w:val="Heading1"/>
      <w:lvlText w:val="[%1]"/>
      <w:lvlJc w:val="left"/>
      <w:pPr>
        <w:tabs>
          <w:tab w:val="num" w:pos="737"/>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1" w15:restartNumberingAfterBreak="0">
    <w:nsid w:val="06006342"/>
    <w:multiLevelType w:val="hybridMultilevel"/>
    <w:tmpl w:val="A30CB038"/>
    <w:lvl w:ilvl="0" w:tplc="E500B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86318"/>
    <w:multiLevelType w:val="hybridMultilevel"/>
    <w:tmpl w:val="DE341386"/>
    <w:lvl w:ilvl="0" w:tplc="2F3A3B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A6568D4"/>
    <w:multiLevelType w:val="hybridMultilevel"/>
    <w:tmpl w:val="9C20F09C"/>
    <w:lvl w:ilvl="0" w:tplc="C0AABE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F4AAF"/>
    <w:multiLevelType w:val="hybridMultilevel"/>
    <w:tmpl w:val="045470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6A438C1"/>
    <w:multiLevelType w:val="hybridMultilevel"/>
    <w:tmpl w:val="678E254C"/>
    <w:lvl w:ilvl="0" w:tplc="D3285CA2">
      <w:start w:val="2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95823"/>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AA6758"/>
    <w:multiLevelType w:val="hybridMultilevel"/>
    <w:tmpl w:val="B4723164"/>
    <w:lvl w:ilvl="0" w:tplc="C9B49AFC">
      <w:start w:val="2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0574A"/>
    <w:multiLevelType w:val="multilevel"/>
    <w:tmpl w:val="FA3C8866"/>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2BF762AF"/>
    <w:multiLevelType w:val="hybridMultilevel"/>
    <w:tmpl w:val="199A99D2"/>
    <w:lvl w:ilvl="0" w:tplc="E012D4C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E7C001C"/>
    <w:multiLevelType w:val="hybridMultilevel"/>
    <w:tmpl w:val="CB203B58"/>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53A4036"/>
    <w:multiLevelType w:val="hybridMultilevel"/>
    <w:tmpl w:val="4E2C810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DE77549"/>
    <w:multiLevelType w:val="multilevel"/>
    <w:tmpl w:val="9EEE97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2724D56"/>
    <w:multiLevelType w:val="hybridMultilevel"/>
    <w:tmpl w:val="A9827166"/>
    <w:lvl w:ilvl="0" w:tplc="C0AABE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07125"/>
    <w:multiLevelType w:val="multilevel"/>
    <w:tmpl w:val="EEA48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DE75459"/>
    <w:multiLevelType w:val="hybridMultilevel"/>
    <w:tmpl w:val="0FAEE4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329C6"/>
    <w:multiLevelType w:val="hybridMultilevel"/>
    <w:tmpl w:val="B082E3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8793190"/>
    <w:multiLevelType w:val="hybridMultilevel"/>
    <w:tmpl w:val="DDF46EC6"/>
    <w:lvl w:ilvl="0" w:tplc="BE9C167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6FC6CEE"/>
    <w:multiLevelType w:val="multilevel"/>
    <w:tmpl w:val="61042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0E1BCC"/>
    <w:multiLevelType w:val="multilevel"/>
    <w:tmpl w:val="442CB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19"/>
  </w:num>
  <w:num w:numId="4">
    <w:abstractNumId w:val="15"/>
  </w:num>
  <w:num w:numId="5">
    <w:abstractNumId w:val="6"/>
  </w:num>
  <w:num w:numId="6">
    <w:abstractNumId w:val="16"/>
  </w:num>
  <w:num w:numId="7">
    <w:abstractNumId w:val="14"/>
  </w:num>
  <w:num w:numId="8">
    <w:abstractNumId w:val="17"/>
  </w:num>
  <w:num w:numId="9">
    <w:abstractNumId w:val="10"/>
  </w:num>
  <w:num w:numId="10">
    <w:abstractNumId w:val="11"/>
  </w:num>
  <w:num w:numId="11">
    <w:abstractNumId w:val="8"/>
  </w:num>
  <w:num w:numId="12">
    <w:abstractNumId w:val="12"/>
  </w:num>
  <w:num w:numId="13">
    <w:abstractNumId w:val="2"/>
  </w:num>
  <w:num w:numId="14">
    <w:abstractNumId w:val="9"/>
  </w:num>
  <w:num w:numId="15">
    <w:abstractNumId w:val="18"/>
  </w:num>
  <w:num w:numId="16">
    <w:abstractNumId w:val="0"/>
  </w:num>
  <w:num w:numId="17">
    <w:abstractNumId w:val="22"/>
  </w:num>
  <w:num w:numId="18">
    <w:abstractNumId w:val="21"/>
  </w:num>
  <w:num w:numId="19">
    <w:abstractNumId w:val="1"/>
  </w:num>
  <w:num w:numId="20">
    <w:abstractNumId w:val="13"/>
  </w:num>
  <w:num w:numId="21">
    <w:abstractNumId w:val="7"/>
  </w:num>
  <w:num w:numId="22">
    <w:abstractNumId w:val="3"/>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10FE7"/>
    <w:rsid w:val="00012995"/>
    <w:rsid w:val="00013EC0"/>
    <w:rsid w:val="000155A5"/>
    <w:rsid w:val="0002555E"/>
    <w:rsid w:val="000309E0"/>
    <w:rsid w:val="00055FA9"/>
    <w:rsid w:val="00057DE9"/>
    <w:rsid w:val="0006068D"/>
    <w:rsid w:val="00070929"/>
    <w:rsid w:val="00084E58"/>
    <w:rsid w:val="000A29F1"/>
    <w:rsid w:val="000A684E"/>
    <w:rsid w:val="000A6CDD"/>
    <w:rsid w:val="000B31F0"/>
    <w:rsid w:val="000D2DE9"/>
    <w:rsid w:val="000D3044"/>
    <w:rsid w:val="000D70A9"/>
    <w:rsid w:val="000D7380"/>
    <w:rsid w:val="000E043D"/>
    <w:rsid w:val="000E6395"/>
    <w:rsid w:val="000F3A0D"/>
    <w:rsid w:val="001007FF"/>
    <w:rsid w:val="001068B9"/>
    <w:rsid w:val="001070C5"/>
    <w:rsid w:val="001108CF"/>
    <w:rsid w:val="00122773"/>
    <w:rsid w:val="00134B88"/>
    <w:rsid w:val="00142231"/>
    <w:rsid w:val="00142BD3"/>
    <w:rsid w:val="00145ADA"/>
    <w:rsid w:val="0015601D"/>
    <w:rsid w:val="00163E89"/>
    <w:rsid w:val="00165A20"/>
    <w:rsid w:val="0017517E"/>
    <w:rsid w:val="001773C4"/>
    <w:rsid w:val="00195244"/>
    <w:rsid w:val="001965DB"/>
    <w:rsid w:val="001B15C5"/>
    <w:rsid w:val="001B19AC"/>
    <w:rsid w:val="001B6433"/>
    <w:rsid w:val="001B7111"/>
    <w:rsid w:val="001C5932"/>
    <w:rsid w:val="001E4FF0"/>
    <w:rsid w:val="00203DAB"/>
    <w:rsid w:val="002044D7"/>
    <w:rsid w:val="00214E94"/>
    <w:rsid w:val="00215D03"/>
    <w:rsid w:val="00226AF8"/>
    <w:rsid w:val="00232723"/>
    <w:rsid w:val="00233466"/>
    <w:rsid w:val="00240526"/>
    <w:rsid w:val="002510D0"/>
    <w:rsid w:val="002557A7"/>
    <w:rsid w:val="0026232F"/>
    <w:rsid w:val="00267D07"/>
    <w:rsid w:val="0027100A"/>
    <w:rsid w:val="00273C50"/>
    <w:rsid w:val="002779F2"/>
    <w:rsid w:val="00277FD7"/>
    <w:rsid w:val="00280ADC"/>
    <w:rsid w:val="00285E54"/>
    <w:rsid w:val="00294FF2"/>
    <w:rsid w:val="002A3123"/>
    <w:rsid w:val="002A3884"/>
    <w:rsid w:val="002A7705"/>
    <w:rsid w:val="002B2AA0"/>
    <w:rsid w:val="002B3223"/>
    <w:rsid w:val="002B6122"/>
    <w:rsid w:val="002B7A85"/>
    <w:rsid w:val="002C06EC"/>
    <w:rsid w:val="002C3B08"/>
    <w:rsid w:val="002C4E37"/>
    <w:rsid w:val="002D78B1"/>
    <w:rsid w:val="0030085B"/>
    <w:rsid w:val="00304CD2"/>
    <w:rsid w:val="00311F65"/>
    <w:rsid w:val="00312048"/>
    <w:rsid w:val="00313CD0"/>
    <w:rsid w:val="00321AA9"/>
    <w:rsid w:val="00331420"/>
    <w:rsid w:val="00344481"/>
    <w:rsid w:val="00347D01"/>
    <w:rsid w:val="00352B3F"/>
    <w:rsid w:val="00371056"/>
    <w:rsid w:val="003713A7"/>
    <w:rsid w:val="00372AB4"/>
    <w:rsid w:val="00384D11"/>
    <w:rsid w:val="003875C3"/>
    <w:rsid w:val="00390E41"/>
    <w:rsid w:val="003A5397"/>
    <w:rsid w:val="003C2051"/>
    <w:rsid w:val="003E0400"/>
    <w:rsid w:val="003E1468"/>
    <w:rsid w:val="003E5C60"/>
    <w:rsid w:val="003E72CC"/>
    <w:rsid w:val="003F40BD"/>
    <w:rsid w:val="003F526F"/>
    <w:rsid w:val="0040115B"/>
    <w:rsid w:val="00404EDF"/>
    <w:rsid w:val="0041481F"/>
    <w:rsid w:val="0041627F"/>
    <w:rsid w:val="00421EFE"/>
    <w:rsid w:val="00422236"/>
    <w:rsid w:val="004262E2"/>
    <w:rsid w:val="00427466"/>
    <w:rsid w:val="0043000E"/>
    <w:rsid w:val="0043048D"/>
    <w:rsid w:val="00442E91"/>
    <w:rsid w:val="00443598"/>
    <w:rsid w:val="00447408"/>
    <w:rsid w:val="004502D1"/>
    <w:rsid w:val="00457763"/>
    <w:rsid w:val="00463102"/>
    <w:rsid w:val="00463C21"/>
    <w:rsid w:val="00464ED7"/>
    <w:rsid w:val="00471607"/>
    <w:rsid w:val="0047342A"/>
    <w:rsid w:val="0047532C"/>
    <w:rsid w:val="00481A5C"/>
    <w:rsid w:val="004879DF"/>
    <w:rsid w:val="0049404B"/>
    <w:rsid w:val="004954B2"/>
    <w:rsid w:val="00497789"/>
    <w:rsid w:val="004A5058"/>
    <w:rsid w:val="004C0404"/>
    <w:rsid w:val="004C5C91"/>
    <w:rsid w:val="004D7E1C"/>
    <w:rsid w:val="004E0E30"/>
    <w:rsid w:val="004E3863"/>
    <w:rsid w:val="004E4256"/>
    <w:rsid w:val="004E7F24"/>
    <w:rsid w:val="004F2D2F"/>
    <w:rsid w:val="004F3039"/>
    <w:rsid w:val="004F5004"/>
    <w:rsid w:val="004F6C49"/>
    <w:rsid w:val="00543F56"/>
    <w:rsid w:val="0055737E"/>
    <w:rsid w:val="0056075D"/>
    <w:rsid w:val="00566A0E"/>
    <w:rsid w:val="005732F3"/>
    <w:rsid w:val="0057434D"/>
    <w:rsid w:val="0057469F"/>
    <w:rsid w:val="00576699"/>
    <w:rsid w:val="0057707B"/>
    <w:rsid w:val="00590022"/>
    <w:rsid w:val="00590640"/>
    <w:rsid w:val="00592749"/>
    <w:rsid w:val="005932AF"/>
    <w:rsid w:val="005946B3"/>
    <w:rsid w:val="005A25A5"/>
    <w:rsid w:val="005A653D"/>
    <w:rsid w:val="005B5CFB"/>
    <w:rsid w:val="005B6454"/>
    <w:rsid w:val="005C712E"/>
    <w:rsid w:val="005D1985"/>
    <w:rsid w:val="005D6F2A"/>
    <w:rsid w:val="005D7122"/>
    <w:rsid w:val="005E5886"/>
    <w:rsid w:val="005F365C"/>
    <w:rsid w:val="00600394"/>
    <w:rsid w:val="006003C6"/>
    <w:rsid w:val="00606780"/>
    <w:rsid w:val="006202C8"/>
    <w:rsid w:val="00622096"/>
    <w:rsid w:val="00641114"/>
    <w:rsid w:val="006449FD"/>
    <w:rsid w:val="0064775D"/>
    <w:rsid w:val="006508F8"/>
    <w:rsid w:val="00651FBF"/>
    <w:rsid w:val="00687031"/>
    <w:rsid w:val="00691B65"/>
    <w:rsid w:val="006A3FF9"/>
    <w:rsid w:val="006A47BB"/>
    <w:rsid w:val="006A4EF2"/>
    <w:rsid w:val="006A782A"/>
    <w:rsid w:val="006C05AC"/>
    <w:rsid w:val="006C16F7"/>
    <w:rsid w:val="006C2F1D"/>
    <w:rsid w:val="006C6427"/>
    <w:rsid w:val="006D0903"/>
    <w:rsid w:val="006D0EF4"/>
    <w:rsid w:val="006D5B5A"/>
    <w:rsid w:val="006F1344"/>
    <w:rsid w:val="006F3863"/>
    <w:rsid w:val="00701DE4"/>
    <w:rsid w:val="00703992"/>
    <w:rsid w:val="00706660"/>
    <w:rsid w:val="00706721"/>
    <w:rsid w:val="007145A5"/>
    <w:rsid w:val="00716B1B"/>
    <w:rsid w:val="007223EC"/>
    <w:rsid w:val="00735383"/>
    <w:rsid w:val="00743AA0"/>
    <w:rsid w:val="007521D1"/>
    <w:rsid w:val="00752ACC"/>
    <w:rsid w:val="007647D1"/>
    <w:rsid w:val="00773245"/>
    <w:rsid w:val="0077340F"/>
    <w:rsid w:val="00774032"/>
    <w:rsid w:val="00775A21"/>
    <w:rsid w:val="007777C3"/>
    <w:rsid w:val="007808D8"/>
    <w:rsid w:val="00783145"/>
    <w:rsid w:val="00786A4C"/>
    <w:rsid w:val="00790373"/>
    <w:rsid w:val="007A663A"/>
    <w:rsid w:val="007A6F9E"/>
    <w:rsid w:val="007A7C33"/>
    <w:rsid w:val="007B551C"/>
    <w:rsid w:val="007C152E"/>
    <w:rsid w:val="007C5F79"/>
    <w:rsid w:val="007C6151"/>
    <w:rsid w:val="007D2B14"/>
    <w:rsid w:val="007D58A0"/>
    <w:rsid w:val="007F25A9"/>
    <w:rsid w:val="007F3CEF"/>
    <w:rsid w:val="0081198A"/>
    <w:rsid w:val="0082601E"/>
    <w:rsid w:val="008278F9"/>
    <w:rsid w:val="00831960"/>
    <w:rsid w:val="00833E34"/>
    <w:rsid w:val="00834111"/>
    <w:rsid w:val="008414A6"/>
    <w:rsid w:val="00845141"/>
    <w:rsid w:val="00845463"/>
    <w:rsid w:val="0086197B"/>
    <w:rsid w:val="0086662D"/>
    <w:rsid w:val="008669A1"/>
    <w:rsid w:val="008714DD"/>
    <w:rsid w:val="00871FE0"/>
    <w:rsid w:val="00883A84"/>
    <w:rsid w:val="00884C83"/>
    <w:rsid w:val="00886E3C"/>
    <w:rsid w:val="0089129E"/>
    <w:rsid w:val="0089511B"/>
    <w:rsid w:val="00897A6F"/>
    <w:rsid w:val="008A417A"/>
    <w:rsid w:val="008A4A52"/>
    <w:rsid w:val="008B478D"/>
    <w:rsid w:val="008C7F29"/>
    <w:rsid w:val="008D0529"/>
    <w:rsid w:val="008D0F38"/>
    <w:rsid w:val="008D563B"/>
    <w:rsid w:val="008D5C30"/>
    <w:rsid w:val="008E1E24"/>
    <w:rsid w:val="008F012E"/>
    <w:rsid w:val="008F1370"/>
    <w:rsid w:val="008F2B2F"/>
    <w:rsid w:val="008F2B9B"/>
    <w:rsid w:val="00905449"/>
    <w:rsid w:val="00906DE9"/>
    <w:rsid w:val="00910923"/>
    <w:rsid w:val="009114FF"/>
    <w:rsid w:val="00911F3C"/>
    <w:rsid w:val="00913A93"/>
    <w:rsid w:val="00917569"/>
    <w:rsid w:val="00920853"/>
    <w:rsid w:val="0092129C"/>
    <w:rsid w:val="00924891"/>
    <w:rsid w:val="009253D3"/>
    <w:rsid w:val="00927EFA"/>
    <w:rsid w:val="0093109A"/>
    <w:rsid w:val="0093691F"/>
    <w:rsid w:val="00944A7A"/>
    <w:rsid w:val="00944D2F"/>
    <w:rsid w:val="009615E3"/>
    <w:rsid w:val="00964066"/>
    <w:rsid w:val="00966FC8"/>
    <w:rsid w:val="009709AB"/>
    <w:rsid w:val="009710DB"/>
    <w:rsid w:val="009718AC"/>
    <w:rsid w:val="0098303D"/>
    <w:rsid w:val="00985685"/>
    <w:rsid w:val="00992E76"/>
    <w:rsid w:val="009B10A0"/>
    <w:rsid w:val="009B1ADC"/>
    <w:rsid w:val="009B657F"/>
    <w:rsid w:val="009C3892"/>
    <w:rsid w:val="009C7405"/>
    <w:rsid w:val="009D0AE1"/>
    <w:rsid w:val="009D34D8"/>
    <w:rsid w:val="009D499A"/>
    <w:rsid w:val="009E1C5A"/>
    <w:rsid w:val="009E4890"/>
    <w:rsid w:val="009F353A"/>
    <w:rsid w:val="009F3726"/>
    <w:rsid w:val="009F78A6"/>
    <w:rsid w:val="00A00DF2"/>
    <w:rsid w:val="00A04E29"/>
    <w:rsid w:val="00A05E84"/>
    <w:rsid w:val="00A10933"/>
    <w:rsid w:val="00A11382"/>
    <w:rsid w:val="00A13765"/>
    <w:rsid w:val="00A22F11"/>
    <w:rsid w:val="00A261AA"/>
    <w:rsid w:val="00A305CA"/>
    <w:rsid w:val="00A30F67"/>
    <w:rsid w:val="00A32333"/>
    <w:rsid w:val="00A41D49"/>
    <w:rsid w:val="00A5051A"/>
    <w:rsid w:val="00A555FC"/>
    <w:rsid w:val="00A63B44"/>
    <w:rsid w:val="00A64DBC"/>
    <w:rsid w:val="00A66A9D"/>
    <w:rsid w:val="00A701C4"/>
    <w:rsid w:val="00A70BA9"/>
    <w:rsid w:val="00A71F7B"/>
    <w:rsid w:val="00A873AE"/>
    <w:rsid w:val="00A87A20"/>
    <w:rsid w:val="00A91635"/>
    <w:rsid w:val="00A92A4C"/>
    <w:rsid w:val="00A9701C"/>
    <w:rsid w:val="00AA0FAA"/>
    <w:rsid w:val="00AB2C0C"/>
    <w:rsid w:val="00AC3CFB"/>
    <w:rsid w:val="00AD33D9"/>
    <w:rsid w:val="00AD5169"/>
    <w:rsid w:val="00AD6118"/>
    <w:rsid w:val="00AE5621"/>
    <w:rsid w:val="00B00103"/>
    <w:rsid w:val="00B02BCA"/>
    <w:rsid w:val="00B04C63"/>
    <w:rsid w:val="00B122D7"/>
    <w:rsid w:val="00B362E7"/>
    <w:rsid w:val="00B50265"/>
    <w:rsid w:val="00B52D39"/>
    <w:rsid w:val="00B551AE"/>
    <w:rsid w:val="00B64B67"/>
    <w:rsid w:val="00B7506D"/>
    <w:rsid w:val="00B75AA2"/>
    <w:rsid w:val="00B76EB9"/>
    <w:rsid w:val="00B80054"/>
    <w:rsid w:val="00B836AE"/>
    <w:rsid w:val="00B94B61"/>
    <w:rsid w:val="00BA32A0"/>
    <w:rsid w:val="00BA33A1"/>
    <w:rsid w:val="00BA401F"/>
    <w:rsid w:val="00BA57B1"/>
    <w:rsid w:val="00BB19DE"/>
    <w:rsid w:val="00BB206A"/>
    <w:rsid w:val="00BB4ACA"/>
    <w:rsid w:val="00BB7147"/>
    <w:rsid w:val="00BC2915"/>
    <w:rsid w:val="00BD0401"/>
    <w:rsid w:val="00BD236B"/>
    <w:rsid w:val="00BD4A1A"/>
    <w:rsid w:val="00BE23FC"/>
    <w:rsid w:val="00BF3A70"/>
    <w:rsid w:val="00BF5422"/>
    <w:rsid w:val="00C0102F"/>
    <w:rsid w:val="00C0170E"/>
    <w:rsid w:val="00C03A12"/>
    <w:rsid w:val="00C14459"/>
    <w:rsid w:val="00C17CA0"/>
    <w:rsid w:val="00C23DA7"/>
    <w:rsid w:val="00C303B8"/>
    <w:rsid w:val="00C341FF"/>
    <w:rsid w:val="00C346DC"/>
    <w:rsid w:val="00C34D29"/>
    <w:rsid w:val="00C5049E"/>
    <w:rsid w:val="00C527DB"/>
    <w:rsid w:val="00C627E6"/>
    <w:rsid w:val="00C63A2E"/>
    <w:rsid w:val="00C675C2"/>
    <w:rsid w:val="00C95A42"/>
    <w:rsid w:val="00CA2EEA"/>
    <w:rsid w:val="00CB1E13"/>
    <w:rsid w:val="00CB3F10"/>
    <w:rsid w:val="00CD4A93"/>
    <w:rsid w:val="00CD56F8"/>
    <w:rsid w:val="00CE1797"/>
    <w:rsid w:val="00CE30E4"/>
    <w:rsid w:val="00CE48FA"/>
    <w:rsid w:val="00CE700B"/>
    <w:rsid w:val="00CE7788"/>
    <w:rsid w:val="00CF4819"/>
    <w:rsid w:val="00CF6596"/>
    <w:rsid w:val="00D010A9"/>
    <w:rsid w:val="00D01890"/>
    <w:rsid w:val="00D044EC"/>
    <w:rsid w:val="00D10EC1"/>
    <w:rsid w:val="00D17164"/>
    <w:rsid w:val="00D23F2C"/>
    <w:rsid w:val="00D251A0"/>
    <w:rsid w:val="00D25575"/>
    <w:rsid w:val="00D26CB5"/>
    <w:rsid w:val="00D317C1"/>
    <w:rsid w:val="00D33AAF"/>
    <w:rsid w:val="00D405B1"/>
    <w:rsid w:val="00D506E0"/>
    <w:rsid w:val="00D50C5D"/>
    <w:rsid w:val="00D61E20"/>
    <w:rsid w:val="00D67EB9"/>
    <w:rsid w:val="00D67EBE"/>
    <w:rsid w:val="00D83684"/>
    <w:rsid w:val="00D90016"/>
    <w:rsid w:val="00DA58A6"/>
    <w:rsid w:val="00DB08D7"/>
    <w:rsid w:val="00DB08F1"/>
    <w:rsid w:val="00DB2D4F"/>
    <w:rsid w:val="00DC03E6"/>
    <w:rsid w:val="00DC4FB4"/>
    <w:rsid w:val="00DD05DC"/>
    <w:rsid w:val="00DD749C"/>
    <w:rsid w:val="00DE5FEC"/>
    <w:rsid w:val="00DF5C31"/>
    <w:rsid w:val="00DF5E1C"/>
    <w:rsid w:val="00DF5FD0"/>
    <w:rsid w:val="00E0138B"/>
    <w:rsid w:val="00E052E4"/>
    <w:rsid w:val="00E05FFE"/>
    <w:rsid w:val="00E17265"/>
    <w:rsid w:val="00E22D96"/>
    <w:rsid w:val="00E30CB9"/>
    <w:rsid w:val="00E469C9"/>
    <w:rsid w:val="00E51B4A"/>
    <w:rsid w:val="00E60457"/>
    <w:rsid w:val="00E611DA"/>
    <w:rsid w:val="00E65E87"/>
    <w:rsid w:val="00E67C81"/>
    <w:rsid w:val="00E73734"/>
    <w:rsid w:val="00E7485A"/>
    <w:rsid w:val="00E757E9"/>
    <w:rsid w:val="00E763C1"/>
    <w:rsid w:val="00E80D91"/>
    <w:rsid w:val="00E85252"/>
    <w:rsid w:val="00E85763"/>
    <w:rsid w:val="00E87AB8"/>
    <w:rsid w:val="00E933BA"/>
    <w:rsid w:val="00EA35A4"/>
    <w:rsid w:val="00EA5E0C"/>
    <w:rsid w:val="00EB45C7"/>
    <w:rsid w:val="00EB5767"/>
    <w:rsid w:val="00EC065F"/>
    <w:rsid w:val="00EC0A6C"/>
    <w:rsid w:val="00EE087B"/>
    <w:rsid w:val="00EE498C"/>
    <w:rsid w:val="00EE5019"/>
    <w:rsid w:val="00EF50AC"/>
    <w:rsid w:val="00F10C6E"/>
    <w:rsid w:val="00F1129C"/>
    <w:rsid w:val="00F11D94"/>
    <w:rsid w:val="00F2059A"/>
    <w:rsid w:val="00F43D08"/>
    <w:rsid w:val="00F44023"/>
    <w:rsid w:val="00F46595"/>
    <w:rsid w:val="00F4669E"/>
    <w:rsid w:val="00F4753D"/>
    <w:rsid w:val="00F51FE0"/>
    <w:rsid w:val="00F520A5"/>
    <w:rsid w:val="00F55380"/>
    <w:rsid w:val="00F56E9F"/>
    <w:rsid w:val="00F572DE"/>
    <w:rsid w:val="00F647F4"/>
    <w:rsid w:val="00F77E7C"/>
    <w:rsid w:val="00F82BD6"/>
    <w:rsid w:val="00F93D7A"/>
    <w:rsid w:val="00F95F03"/>
    <w:rsid w:val="00FA7352"/>
    <w:rsid w:val="00FB18CC"/>
    <w:rsid w:val="00FB26AF"/>
    <w:rsid w:val="00FC49E4"/>
    <w:rsid w:val="00FD29D0"/>
    <w:rsid w:val="00FD2B6D"/>
    <w:rsid w:val="00FD4687"/>
    <w:rsid w:val="00FD78FF"/>
    <w:rsid w:val="00FE1D6F"/>
    <w:rsid w:val="00FE67C8"/>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A8CC9"/>
  <w15:docId w15:val="{8880007F-EF15-4F47-9DF4-E4688728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5"/>
    <w:rPr>
      <w:lang w:val="en-ZA"/>
    </w:rPr>
  </w:style>
  <w:style w:type="paragraph" w:styleId="Heading1">
    <w:name w:val="heading 1"/>
    <w:basedOn w:val="Normal"/>
    <w:next w:val="Normal"/>
    <w:link w:val="Heading1Char"/>
    <w:qFormat/>
    <w:rsid w:val="008669A1"/>
    <w:pPr>
      <w:widowControl w:val="0"/>
      <w:numPr>
        <w:numId w:val="16"/>
      </w:numPr>
      <w:spacing w:after="0" w:line="360" w:lineRule="auto"/>
      <w:jc w:val="both"/>
      <w:outlineLvl w:val="0"/>
    </w:pPr>
    <w:rPr>
      <w:rFonts w:ascii="Arial" w:eastAsia="Times New Roman" w:hAnsi="Arial" w:cs="Arial"/>
      <w:spacing w:val="-3"/>
      <w:sz w:val="24"/>
      <w:szCs w:val="24"/>
      <w:lang w:val="en-GB"/>
    </w:rPr>
  </w:style>
  <w:style w:type="paragraph" w:styleId="Heading3">
    <w:name w:val="heading 3"/>
    <w:basedOn w:val="Normal"/>
    <w:next w:val="Normal"/>
    <w:link w:val="Heading3Char"/>
    <w:qFormat/>
    <w:rsid w:val="008669A1"/>
    <w:pPr>
      <w:widowControl w:val="0"/>
      <w:numPr>
        <w:ilvl w:val="2"/>
        <w:numId w:val="16"/>
      </w:numPr>
      <w:tabs>
        <w:tab w:val="left" w:pos="2552"/>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8669A1"/>
    <w:pPr>
      <w:widowControl w:val="0"/>
      <w:numPr>
        <w:ilvl w:val="3"/>
        <w:numId w:val="16"/>
      </w:numPr>
      <w:tabs>
        <w:tab w:val="left" w:pos="3686"/>
      </w:tabs>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8669A1"/>
    <w:pPr>
      <w:widowControl w:val="0"/>
      <w:numPr>
        <w:ilvl w:val="4"/>
        <w:numId w:val="16"/>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8669A1"/>
    <w:pPr>
      <w:widowControl w:val="0"/>
      <w:numPr>
        <w:ilvl w:val="5"/>
        <w:numId w:val="16"/>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8669A1"/>
    <w:pPr>
      <w:widowControl w:val="0"/>
      <w:numPr>
        <w:ilvl w:val="6"/>
        <w:numId w:val="16"/>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8669A1"/>
    <w:pPr>
      <w:widowControl w:val="0"/>
      <w:numPr>
        <w:ilvl w:val="7"/>
        <w:numId w:val="16"/>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8669A1"/>
    <w:pPr>
      <w:widowControl w:val="0"/>
      <w:numPr>
        <w:ilvl w:val="8"/>
        <w:numId w:val="16"/>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basedOn w:val="Normal"/>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basedOn w:val="Normal"/>
    <w:link w:val="FootnoteTextChar"/>
    <w:unhideWhenUsed/>
    <w:rsid w:val="00D01890"/>
    <w:pPr>
      <w:spacing w:after="0" w:line="240" w:lineRule="auto"/>
    </w:pPr>
    <w:rPr>
      <w:sz w:val="20"/>
      <w:szCs w:val="20"/>
    </w:rPr>
  </w:style>
  <w:style w:type="character" w:customStyle="1" w:styleId="FootnoteTextChar">
    <w:name w:val="Footnote Text Char"/>
    <w:basedOn w:val="DefaultParagraphFont"/>
    <w:link w:val="FootnoteText"/>
    <w:rsid w:val="00D01890"/>
    <w:rPr>
      <w:sz w:val="20"/>
      <w:szCs w:val="20"/>
      <w:lang w:val="en-ZA"/>
    </w:rPr>
  </w:style>
  <w:style w:type="character" w:styleId="FootnoteReference">
    <w:name w:val="footnote reference"/>
    <w:basedOn w:val="DefaultParagraphFont"/>
    <w:unhideWhenUsed/>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 w:type="paragraph" w:styleId="BodyText">
    <w:name w:val="Body Text"/>
    <w:basedOn w:val="Normal"/>
    <w:link w:val="BodyTextChar"/>
    <w:uiPriority w:val="99"/>
    <w:unhideWhenUsed/>
    <w:rsid w:val="00BB4ACA"/>
    <w:pPr>
      <w:spacing w:after="120"/>
    </w:pPr>
  </w:style>
  <w:style w:type="character" w:customStyle="1" w:styleId="BodyTextChar">
    <w:name w:val="Body Text Char"/>
    <w:basedOn w:val="DefaultParagraphFont"/>
    <w:link w:val="BodyText"/>
    <w:uiPriority w:val="99"/>
    <w:rsid w:val="00BB4ACA"/>
    <w:rPr>
      <w:lang w:val="en-ZA"/>
    </w:rPr>
  </w:style>
  <w:style w:type="character" w:customStyle="1" w:styleId="Heading1Char">
    <w:name w:val="Heading 1 Char"/>
    <w:basedOn w:val="DefaultParagraphFont"/>
    <w:link w:val="Heading1"/>
    <w:rsid w:val="008669A1"/>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8669A1"/>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8669A1"/>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8669A1"/>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8669A1"/>
    <w:rPr>
      <w:rFonts w:ascii="Arial" w:eastAsia="Times New Roman" w:hAnsi="Arial" w:cs="Arial"/>
      <w:i/>
      <w:spacing w:val="-3"/>
      <w:szCs w:val="24"/>
      <w:lang w:val="en-GB"/>
    </w:rPr>
  </w:style>
  <w:style w:type="character" w:customStyle="1" w:styleId="Heading7Char">
    <w:name w:val="Heading 7 Char"/>
    <w:basedOn w:val="DefaultParagraphFont"/>
    <w:link w:val="Heading7"/>
    <w:rsid w:val="008669A1"/>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8669A1"/>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8669A1"/>
    <w:rPr>
      <w:rFonts w:ascii="Arial" w:eastAsia="Times New Roman" w:hAnsi="Arial" w:cs="Arial"/>
      <w:i/>
      <w:spacing w:val="-3"/>
      <w:sz w:val="18"/>
      <w:szCs w:val="24"/>
      <w:lang w:val="en-GB"/>
    </w:rPr>
  </w:style>
  <w:style w:type="paragraph" w:styleId="NormalWeb">
    <w:name w:val="Normal (Web)"/>
    <w:basedOn w:val="Normal"/>
    <w:uiPriority w:val="99"/>
    <w:semiHidden/>
    <w:unhideWhenUsed/>
    <w:rsid w:val="008669A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ld">
    <w:name w:val="bold"/>
    <w:basedOn w:val="Normal"/>
    <w:rsid w:val="00D317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845141"/>
    <w:pPr>
      <w:spacing w:line="240" w:lineRule="auto"/>
    </w:pPr>
    <w:rPr>
      <w:sz w:val="20"/>
      <w:szCs w:val="20"/>
    </w:rPr>
  </w:style>
  <w:style w:type="character" w:customStyle="1" w:styleId="CommentTextChar">
    <w:name w:val="Comment Text Char"/>
    <w:basedOn w:val="DefaultParagraphFont"/>
    <w:link w:val="CommentText"/>
    <w:uiPriority w:val="99"/>
    <w:semiHidden/>
    <w:rsid w:val="00845141"/>
    <w:rPr>
      <w:sz w:val="20"/>
      <w:szCs w:val="20"/>
      <w:lang w:val="en-ZA"/>
    </w:rPr>
  </w:style>
  <w:style w:type="character" w:styleId="CommentReference">
    <w:name w:val="annotation reference"/>
    <w:basedOn w:val="DefaultParagraphFont"/>
    <w:uiPriority w:val="99"/>
    <w:semiHidden/>
    <w:unhideWhenUsed/>
    <w:rsid w:val="006A3FF9"/>
    <w:rPr>
      <w:sz w:val="16"/>
      <w:szCs w:val="16"/>
    </w:rPr>
  </w:style>
  <w:style w:type="paragraph" w:styleId="CommentSubject">
    <w:name w:val="annotation subject"/>
    <w:basedOn w:val="CommentText"/>
    <w:next w:val="CommentText"/>
    <w:link w:val="CommentSubjectChar"/>
    <w:uiPriority w:val="99"/>
    <w:semiHidden/>
    <w:unhideWhenUsed/>
    <w:rsid w:val="006A3FF9"/>
    <w:rPr>
      <w:b/>
      <w:bCs/>
    </w:rPr>
  </w:style>
  <w:style w:type="character" w:customStyle="1" w:styleId="CommentSubjectChar">
    <w:name w:val="Comment Subject Char"/>
    <w:basedOn w:val="CommentTextChar"/>
    <w:link w:val="CommentSubject"/>
    <w:uiPriority w:val="99"/>
    <w:semiHidden/>
    <w:rsid w:val="006A3FF9"/>
    <w:rPr>
      <w:b/>
      <w:bCs/>
      <w:sz w:val="20"/>
      <w:szCs w:val="20"/>
      <w:lang w:val="en-ZA"/>
    </w:rPr>
  </w:style>
  <w:style w:type="character" w:styleId="Strong">
    <w:name w:val="Strong"/>
    <w:basedOn w:val="DefaultParagraphFont"/>
    <w:uiPriority w:val="22"/>
    <w:qFormat/>
    <w:rsid w:val="00703992"/>
    <w:rPr>
      <w:b/>
      <w:bCs/>
    </w:rPr>
  </w:style>
  <w:style w:type="paragraph" w:customStyle="1" w:styleId="western">
    <w:name w:val="western"/>
    <w:basedOn w:val="Normal"/>
    <w:rsid w:val="001C593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464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8322">
      <w:bodyDiv w:val="1"/>
      <w:marLeft w:val="0"/>
      <w:marRight w:val="0"/>
      <w:marTop w:val="0"/>
      <w:marBottom w:val="0"/>
      <w:divBdr>
        <w:top w:val="none" w:sz="0" w:space="0" w:color="auto"/>
        <w:left w:val="none" w:sz="0" w:space="0" w:color="auto"/>
        <w:bottom w:val="none" w:sz="0" w:space="0" w:color="auto"/>
        <w:right w:val="none" w:sz="0" w:space="0" w:color="auto"/>
      </w:divBdr>
    </w:div>
    <w:div w:id="418602497">
      <w:bodyDiv w:val="1"/>
      <w:marLeft w:val="0"/>
      <w:marRight w:val="0"/>
      <w:marTop w:val="0"/>
      <w:marBottom w:val="0"/>
      <w:divBdr>
        <w:top w:val="none" w:sz="0" w:space="0" w:color="auto"/>
        <w:left w:val="none" w:sz="0" w:space="0" w:color="auto"/>
        <w:bottom w:val="none" w:sz="0" w:space="0" w:color="auto"/>
        <w:right w:val="none" w:sz="0" w:space="0" w:color="auto"/>
      </w:divBdr>
    </w:div>
    <w:div w:id="463622648">
      <w:bodyDiv w:val="1"/>
      <w:marLeft w:val="0"/>
      <w:marRight w:val="0"/>
      <w:marTop w:val="0"/>
      <w:marBottom w:val="0"/>
      <w:divBdr>
        <w:top w:val="none" w:sz="0" w:space="0" w:color="auto"/>
        <w:left w:val="none" w:sz="0" w:space="0" w:color="auto"/>
        <w:bottom w:val="none" w:sz="0" w:space="0" w:color="auto"/>
        <w:right w:val="none" w:sz="0" w:space="0" w:color="auto"/>
      </w:divBdr>
    </w:div>
    <w:div w:id="642122044">
      <w:bodyDiv w:val="1"/>
      <w:marLeft w:val="0"/>
      <w:marRight w:val="0"/>
      <w:marTop w:val="0"/>
      <w:marBottom w:val="0"/>
      <w:divBdr>
        <w:top w:val="none" w:sz="0" w:space="0" w:color="auto"/>
        <w:left w:val="none" w:sz="0" w:space="0" w:color="auto"/>
        <w:bottom w:val="none" w:sz="0" w:space="0" w:color="auto"/>
        <w:right w:val="none" w:sz="0" w:space="0" w:color="auto"/>
      </w:divBdr>
    </w:div>
    <w:div w:id="10647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51%20%283%29%20SA%20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2021-02-17T18:30:00+00:00</Judgment_x0020_Date>
    <Year xmlns="c1afb1bd-f2fb-40fd-9abb-aea55b4d7662">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638C5-2495-4302-A192-104163B31BA1}">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E9278232-25E0-4940-93AD-16C210353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B0A7A-86CE-4BD1-BD5A-3D2A7670531F}">
  <ds:schemaRefs>
    <ds:schemaRef ds:uri="http://schemas.microsoft.com/sharepoint/v3/contenttype/forms"/>
  </ds:schemaRefs>
</ds:datastoreItem>
</file>

<file path=customXml/itemProps4.xml><?xml version="1.0" encoding="utf-8"?>
<ds:datastoreItem xmlns:ds="http://schemas.openxmlformats.org/officeDocument/2006/customXml" ds:itemID="{00C838AA-23CF-42C9-981A-353F239B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Freedom Square (Pty) Ltd v The Social Security Commission (HC-MD-CIV-ACT-CON-2017-04390) [2021] NAHCMD 58 (18 February 2021)</vt:lpstr>
    </vt:vector>
  </TitlesOfParts>
  <Company/>
  <LinksUpToDate>false</LinksUpToDate>
  <CharactersWithSpaces>16737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Square (Pty) Ltd v The Social Security Commission (HC-MD-CIV-ACT-CON-2017-04390) [2021] NAHCMD 58 (18 February 2021)</dc:title>
  <dc:creator>Mbeurora Karamata</dc:creator>
  <cp:lastModifiedBy>HOME</cp:lastModifiedBy>
  <cp:revision>2</cp:revision>
  <cp:lastPrinted>2021-02-19T11:59:00Z</cp:lastPrinted>
  <dcterms:created xsi:type="dcterms:W3CDTF">2021-07-10T08:56:00Z</dcterms:created>
  <dcterms:modified xsi:type="dcterms:W3CDTF">2021-07-10T08:56:00Z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