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23" w:rsidRPr="00474823" w:rsidRDefault="00474823" w:rsidP="00474823">
      <w:pPr>
        <w:spacing w:after="0" w:line="360" w:lineRule="auto"/>
        <w:jc w:val="center"/>
        <w:rPr>
          <w:rFonts w:ascii="Arial" w:eastAsia="Calibri" w:hAnsi="Arial" w:cs="Arial"/>
          <w:b/>
          <w:sz w:val="24"/>
          <w:szCs w:val="24"/>
          <w:lang w:val="en-GB"/>
        </w:rPr>
      </w:pPr>
      <w:bookmarkStart w:id="0" w:name="_GoBack"/>
      <w:bookmarkEnd w:id="0"/>
      <w:r w:rsidRPr="00474823">
        <w:rPr>
          <w:rFonts w:ascii="Arial" w:eastAsia="Calibri" w:hAnsi="Arial" w:cs="Arial"/>
          <w:b/>
          <w:sz w:val="24"/>
          <w:szCs w:val="24"/>
          <w:lang w:val="en-GB"/>
        </w:rPr>
        <w:t>REPUBLIC OF NAMIBIA</w:t>
      </w:r>
    </w:p>
    <w:p w:rsidR="00474823" w:rsidRPr="00474823" w:rsidRDefault="00474823" w:rsidP="00474823">
      <w:pPr>
        <w:spacing w:after="0" w:line="360" w:lineRule="auto"/>
        <w:jc w:val="center"/>
        <w:rPr>
          <w:rFonts w:ascii="Arial" w:eastAsia="Calibri" w:hAnsi="Arial" w:cs="Arial"/>
          <w:b/>
          <w:sz w:val="24"/>
          <w:szCs w:val="24"/>
          <w:lang w:val="en-GB"/>
        </w:rPr>
      </w:pPr>
      <w:r w:rsidRPr="00474823">
        <w:rPr>
          <w:rFonts w:ascii="Arial" w:eastAsia="Calibri" w:hAnsi="Arial" w:cs="Arial"/>
          <w:b/>
          <w:noProof/>
          <w:sz w:val="24"/>
          <w:szCs w:val="24"/>
          <w:lang w:eastAsia="en-ZA"/>
        </w:rPr>
        <w:drawing>
          <wp:inline distT="0" distB="0" distL="0" distR="0" wp14:anchorId="4527202D" wp14:editId="090A319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74823" w:rsidRPr="00474823" w:rsidRDefault="00474823" w:rsidP="00474823">
      <w:pPr>
        <w:spacing w:after="0" w:line="360" w:lineRule="auto"/>
        <w:jc w:val="center"/>
        <w:rPr>
          <w:rFonts w:ascii="Arial" w:eastAsia="Calibri" w:hAnsi="Arial" w:cs="Arial"/>
          <w:bCs/>
          <w:sz w:val="24"/>
          <w:szCs w:val="24"/>
          <w:lang w:val="en-GB"/>
        </w:rPr>
      </w:pPr>
      <w:r w:rsidRPr="00474823">
        <w:rPr>
          <w:rFonts w:ascii="Arial" w:eastAsia="Calibri" w:hAnsi="Arial" w:cs="Arial"/>
          <w:b/>
          <w:sz w:val="24"/>
          <w:szCs w:val="24"/>
          <w:lang w:val="en-GB"/>
        </w:rPr>
        <w:t>HIGH COURT OF NAMIBIA MAIN DIVISION, WINDHOEK</w:t>
      </w:r>
    </w:p>
    <w:p w:rsidR="00474823" w:rsidRPr="00474823" w:rsidRDefault="00474823" w:rsidP="00474823">
      <w:pPr>
        <w:spacing w:after="0" w:line="360" w:lineRule="auto"/>
        <w:jc w:val="center"/>
        <w:rPr>
          <w:rFonts w:ascii="Arial" w:eastAsia="Calibri" w:hAnsi="Arial" w:cs="Arial"/>
          <w:b/>
          <w:sz w:val="24"/>
          <w:szCs w:val="24"/>
          <w:lang w:val="en-GB"/>
        </w:rPr>
      </w:pPr>
      <w:r w:rsidRPr="00474823">
        <w:rPr>
          <w:rFonts w:ascii="Arial" w:eastAsia="Calibri" w:hAnsi="Arial" w:cs="Arial"/>
          <w:b/>
          <w:sz w:val="24"/>
          <w:szCs w:val="24"/>
          <w:lang w:val="en-GB"/>
        </w:rPr>
        <w:t>RULING</w:t>
      </w:r>
    </w:p>
    <w:p w:rsidR="00950676" w:rsidRPr="00AD0332" w:rsidRDefault="00950676" w:rsidP="00950676">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C642F" w:rsidTr="004667E3">
        <w:trPr>
          <w:trHeight w:val="744"/>
        </w:trPr>
        <w:tc>
          <w:tcPr>
            <w:tcW w:w="5397" w:type="dxa"/>
            <w:gridSpan w:val="2"/>
            <w:vMerge w:val="restart"/>
          </w:tcPr>
          <w:p w:rsidR="00950676" w:rsidRPr="00AD0332" w:rsidRDefault="009816F7" w:rsidP="004667E3">
            <w:pPr>
              <w:spacing w:line="360" w:lineRule="auto"/>
              <w:jc w:val="both"/>
              <w:rPr>
                <w:rFonts w:ascii="Arial" w:hAnsi="Arial" w:cs="Arial"/>
                <w:sz w:val="24"/>
                <w:szCs w:val="24"/>
              </w:rPr>
            </w:pPr>
            <w:r w:rsidRPr="00AD0332">
              <w:rPr>
                <w:rFonts w:ascii="Arial" w:hAnsi="Arial" w:cs="Arial"/>
                <w:b/>
                <w:sz w:val="24"/>
                <w:szCs w:val="24"/>
              </w:rPr>
              <w:t>Case Title:</w:t>
            </w:r>
          </w:p>
          <w:p w:rsidR="00950676" w:rsidRPr="00AD0332" w:rsidRDefault="00EC5CB7" w:rsidP="004667E3">
            <w:pPr>
              <w:tabs>
                <w:tab w:val="left" w:pos="6750"/>
              </w:tabs>
              <w:spacing w:line="360" w:lineRule="auto"/>
              <w:jc w:val="both"/>
              <w:rPr>
                <w:rFonts w:ascii="Arial" w:eastAsia="Times New Roman" w:hAnsi="Arial" w:cs="Arial"/>
                <w:sz w:val="24"/>
                <w:szCs w:val="24"/>
              </w:rPr>
            </w:pPr>
            <w:r w:rsidRPr="00AD0332">
              <w:rPr>
                <w:rFonts w:ascii="Arial" w:eastAsia="Times New Roman" w:hAnsi="Arial" w:cs="Arial"/>
                <w:sz w:val="24"/>
                <w:szCs w:val="24"/>
              </w:rPr>
              <w:t>Magano Margeret Opperman         1</w:t>
            </w:r>
            <w:r w:rsidRPr="00AD0332">
              <w:rPr>
                <w:rFonts w:ascii="Arial" w:eastAsia="Times New Roman" w:hAnsi="Arial" w:cs="Arial"/>
                <w:sz w:val="24"/>
                <w:szCs w:val="24"/>
                <w:vertAlign w:val="superscript"/>
              </w:rPr>
              <w:t>st</w:t>
            </w:r>
            <w:r w:rsidRPr="00AD0332">
              <w:rPr>
                <w:rFonts w:ascii="Arial" w:eastAsia="Times New Roman" w:hAnsi="Arial" w:cs="Arial"/>
                <w:sz w:val="24"/>
                <w:szCs w:val="24"/>
              </w:rPr>
              <w:t xml:space="preserve"> Applicant</w:t>
            </w:r>
          </w:p>
          <w:p w:rsidR="00CE26AF" w:rsidRPr="00AD0332" w:rsidRDefault="00EC5CB7" w:rsidP="004667E3">
            <w:pPr>
              <w:tabs>
                <w:tab w:val="left" w:pos="6750"/>
              </w:tabs>
              <w:spacing w:line="360" w:lineRule="auto"/>
              <w:jc w:val="both"/>
              <w:rPr>
                <w:rFonts w:ascii="Arial" w:eastAsia="Times New Roman" w:hAnsi="Arial" w:cs="Arial"/>
                <w:sz w:val="24"/>
                <w:szCs w:val="24"/>
              </w:rPr>
            </w:pPr>
            <w:r w:rsidRPr="00AD0332">
              <w:rPr>
                <w:rFonts w:ascii="Arial" w:eastAsia="Times New Roman" w:hAnsi="Arial" w:cs="Arial"/>
                <w:sz w:val="24"/>
                <w:szCs w:val="24"/>
              </w:rPr>
              <w:t>Shalongo Elizabeth Sheehama      2</w:t>
            </w:r>
            <w:r w:rsidRPr="00AD0332">
              <w:rPr>
                <w:rFonts w:ascii="Arial" w:eastAsia="Times New Roman" w:hAnsi="Arial" w:cs="Arial"/>
                <w:sz w:val="24"/>
                <w:szCs w:val="24"/>
                <w:vertAlign w:val="superscript"/>
              </w:rPr>
              <w:t>nd</w:t>
            </w:r>
            <w:r w:rsidRPr="00AD0332">
              <w:rPr>
                <w:rFonts w:ascii="Arial" w:eastAsia="Times New Roman" w:hAnsi="Arial" w:cs="Arial"/>
                <w:sz w:val="24"/>
                <w:szCs w:val="24"/>
              </w:rPr>
              <w:t xml:space="preserve"> Applicant</w:t>
            </w:r>
          </w:p>
          <w:p w:rsidR="00CE26AF" w:rsidRPr="00AD0332" w:rsidRDefault="00EC5CB7" w:rsidP="004667E3">
            <w:pPr>
              <w:tabs>
                <w:tab w:val="left" w:pos="6750"/>
              </w:tabs>
              <w:spacing w:line="360" w:lineRule="auto"/>
              <w:jc w:val="both"/>
              <w:rPr>
                <w:rFonts w:ascii="Arial" w:eastAsia="Times New Roman" w:hAnsi="Arial" w:cs="Arial"/>
                <w:sz w:val="24"/>
                <w:szCs w:val="24"/>
              </w:rPr>
            </w:pPr>
            <w:r>
              <w:rPr>
                <w:rFonts w:ascii="Arial" w:eastAsia="Times New Roman" w:hAnsi="Arial" w:cs="Arial"/>
                <w:sz w:val="24"/>
                <w:szCs w:val="24"/>
              </w:rPr>
              <w:t>v</w:t>
            </w:r>
          </w:p>
          <w:p w:rsidR="00CE26AF" w:rsidRPr="00AD0332" w:rsidRDefault="00EC5CB7" w:rsidP="004667E3">
            <w:pPr>
              <w:tabs>
                <w:tab w:val="left" w:pos="6750"/>
              </w:tabs>
              <w:spacing w:line="360" w:lineRule="auto"/>
              <w:jc w:val="both"/>
              <w:rPr>
                <w:rFonts w:ascii="Arial" w:hAnsi="Arial" w:cs="Arial"/>
                <w:sz w:val="24"/>
                <w:szCs w:val="24"/>
              </w:rPr>
            </w:pPr>
            <w:r w:rsidRPr="00AD0332">
              <w:rPr>
                <w:rFonts w:ascii="Arial" w:eastAsia="Times New Roman" w:hAnsi="Arial" w:cs="Arial"/>
                <w:sz w:val="24"/>
                <w:szCs w:val="24"/>
              </w:rPr>
              <w:t>Franklin Mathias</w:t>
            </w:r>
            <w:r w:rsidR="008907BD">
              <w:rPr>
                <w:rFonts w:ascii="Arial" w:eastAsia="Times New Roman" w:hAnsi="Arial" w:cs="Arial"/>
                <w:sz w:val="24"/>
                <w:szCs w:val="24"/>
              </w:rPr>
              <w:t xml:space="preserve">                             Respondent</w:t>
            </w:r>
          </w:p>
        </w:tc>
        <w:tc>
          <w:tcPr>
            <w:tcW w:w="4323" w:type="dxa"/>
          </w:tcPr>
          <w:p w:rsidR="00950676" w:rsidRPr="00AD0332" w:rsidRDefault="009816F7" w:rsidP="004667E3">
            <w:pPr>
              <w:spacing w:line="360" w:lineRule="auto"/>
              <w:jc w:val="both"/>
              <w:rPr>
                <w:rFonts w:ascii="Arial" w:hAnsi="Arial" w:cs="Arial"/>
                <w:sz w:val="24"/>
                <w:szCs w:val="24"/>
              </w:rPr>
            </w:pPr>
            <w:r w:rsidRPr="00AD0332">
              <w:rPr>
                <w:rFonts w:ascii="Arial" w:hAnsi="Arial" w:cs="Arial"/>
                <w:b/>
                <w:sz w:val="24"/>
                <w:szCs w:val="24"/>
              </w:rPr>
              <w:t>Case No:</w:t>
            </w:r>
          </w:p>
          <w:p w:rsidR="00950676" w:rsidRPr="00AD0332" w:rsidRDefault="009816F7" w:rsidP="004667E3">
            <w:pPr>
              <w:spacing w:line="360" w:lineRule="auto"/>
              <w:rPr>
                <w:rFonts w:ascii="Arial" w:hAnsi="Arial" w:cs="Arial"/>
                <w:b/>
                <w:sz w:val="24"/>
                <w:szCs w:val="24"/>
              </w:rPr>
            </w:pPr>
            <w:r w:rsidRPr="00AD0332">
              <w:rPr>
                <w:rFonts w:ascii="Arial" w:hAnsi="Arial" w:cs="Arial"/>
                <w:sz w:val="24"/>
                <w:szCs w:val="24"/>
              </w:rPr>
              <w:t>HC-MD-CIV-ACT-DEL-2020/02873</w:t>
            </w:r>
          </w:p>
        </w:tc>
      </w:tr>
      <w:tr w:rsidR="008C642F" w:rsidTr="004667E3">
        <w:trPr>
          <w:trHeight w:val="844"/>
        </w:trPr>
        <w:tc>
          <w:tcPr>
            <w:tcW w:w="5397" w:type="dxa"/>
            <w:gridSpan w:val="2"/>
            <w:vMerge/>
          </w:tcPr>
          <w:p w:rsidR="00950676" w:rsidRPr="00AD0332" w:rsidRDefault="00950676" w:rsidP="004667E3">
            <w:pPr>
              <w:spacing w:line="360" w:lineRule="auto"/>
              <w:jc w:val="both"/>
              <w:rPr>
                <w:rFonts w:ascii="Arial" w:hAnsi="Arial" w:cs="Arial"/>
                <w:sz w:val="24"/>
                <w:szCs w:val="24"/>
              </w:rPr>
            </w:pPr>
          </w:p>
        </w:tc>
        <w:tc>
          <w:tcPr>
            <w:tcW w:w="4323" w:type="dxa"/>
          </w:tcPr>
          <w:p w:rsidR="00950676" w:rsidRPr="00AD0332" w:rsidRDefault="009816F7" w:rsidP="004667E3">
            <w:pPr>
              <w:spacing w:line="360" w:lineRule="auto"/>
              <w:jc w:val="both"/>
              <w:rPr>
                <w:rFonts w:ascii="Arial" w:hAnsi="Arial" w:cs="Arial"/>
                <w:sz w:val="24"/>
                <w:szCs w:val="24"/>
              </w:rPr>
            </w:pPr>
            <w:r w:rsidRPr="00AD0332">
              <w:rPr>
                <w:rFonts w:ascii="Arial" w:hAnsi="Arial" w:cs="Arial"/>
                <w:b/>
                <w:sz w:val="24"/>
                <w:szCs w:val="24"/>
              </w:rPr>
              <w:t>Division of Court:</w:t>
            </w:r>
          </w:p>
          <w:p w:rsidR="00EC5CB7" w:rsidRDefault="00EC5CB7" w:rsidP="00EC5CB7">
            <w:pPr>
              <w:spacing w:after="0" w:line="360" w:lineRule="auto"/>
              <w:jc w:val="both"/>
              <w:rPr>
                <w:rFonts w:ascii="Arial" w:hAnsi="Arial" w:cs="Arial"/>
                <w:sz w:val="24"/>
                <w:szCs w:val="24"/>
              </w:rPr>
            </w:pPr>
            <w:r w:rsidRPr="00AD0332">
              <w:rPr>
                <w:rFonts w:ascii="Arial" w:hAnsi="Arial" w:cs="Arial"/>
                <w:sz w:val="24"/>
                <w:szCs w:val="24"/>
              </w:rPr>
              <w:t xml:space="preserve">High Court </w:t>
            </w:r>
          </w:p>
          <w:p w:rsidR="00950676" w:rsidRPr="00AD0332" w:rsidRDefault="00EC5CB7" w:rsidP="00EC5CB7">
            <w:pPr>
              <w:spacing w:after="0" w:line="360" w:lineRule="auto"/>
              <w:jc w:val="both"/>
              <w:rPr>
                <w:rFonts w:ascii="Arial" w:hAnsi="Arial" w:cs="Arial"/>
                <w:sz w:val="24"/>
                <w:szCs w:val="24"/>
              </w:rPr>
            </w:pPr>
            <w:r w:rsidRPr="00AD0332">
              <w:rPr>
                <w:rFonts w:ascii="Arial" w:hAnsi="Arial" w:cs="Arial"/>
                <w:sz w:val="24"/>
                <w:szCs w:val="24"/>
              </w:rPr>
              <w:t>(Main Division)</w:t>
            </w:r>
          </w:p>
        </w:tc>
      </w:tr>
      <w:tr w:rsidR="008C642F" w:rsidTr="004667E3">
        <w:trPr>
          <w:trHeight w:val="645"/>
        </w:trPr>
        <w:tc>
          <w:tcPr>
            <w:tcW w:w="5397" w:type="dxa"/>
            <w:gridSpan w:val="2"/>
            <w:vMerge w:val="restart"/>
          </w:tcPr>
          <w:p w:rsidR="00950676" w:rsidRPr="00AD0332" w:rsidRDefault="009816F7" w:rsidP="004667E3">
            <w:pPr>
              <w:spacing w:line="360" w:lineRule="auto"/>
              <w:jc w:val="both"/>
              <w:rPr>
                <w:rFonts w:ascii="Arial" w:hAnsi="Arial" w:cs="Arial"/>
                <w:b/>
                <w:sz w:val="24"/>
                <w:szCs w:val="24"/>
              </w:rPr>
            </w:pPr>
            <w:r w:rsidRPr="00AD0332">
              <w:rPr>
                <w:rFonts w:ascii="Arial" w:hAnsi="Arial" w:cs="Arial"/>
                <w:b/>
                <w:sz w:val="24"/>
                <w:szCs w:val="24"/>
              </w:rPr>
              <w:t>Heard before:</w:t>
            </w:r>
          </w:p>
          <w:p w:rsidR="00950676" w:rsidRPr="00AD0332" w:rsidRDefault="00EC5CB7" w:rsidP="004667E3">
            <w:pPr>
              <w:spacing w:line="360" w:lineRule="auto"/>
              <w:jc w:val="both"/>
              <w:rPr>
                <w:rFonts w:ascii="Arial" w:hAnsi="Arial" w:cs="Arial"/>
                <w:sz w:val="24"/>
                <w:szCs w:val="24"/>
              </w:rPr>
            </w:pPr>
            <w:r>
              <w:rPr>
                <w:rFonts w:ascii="Arial" w:hAnsi="Arial" w:cs="Arial"/>
                <w:sz w:val="24"/>
                <w:szCs w:val="24"/>
              </w:rPr>
              <w:t>Honourable Lady</w:t>
            </w:r>
            <w:r w:rsidR="009816F7" w:rsidRPr="00AD0332">
              <w:rPr>
                <w:rFonts w:ascii="Arial" w:hAnsi="Arial" w:cs="Arial"/>
                <w:sz w:val="24"/>
                <w:szCs w:val="24"/>
              </w:rPr>
              <w:t xml:space="preserve"> Justice Rakow</w:t>
            </w:r>
            <w:r w:rsidR="00AC1983" w:rsidRPr="00AD0332">
              <w:rPr>
                <w:rFonts w:ascii="Arial" w:hAnsi="Arial" w:cs="Arial"/>
                <w:sz w:val="24"/>
                <w:szCs w:val="24"/>
              </w:rPr>
              <w:t xml:space="preserve">, </w:t>
            </w:r>
            <w:r w:rsidR="007B0F64" w:rsidRPr="00AD0332">
              <w:rPr>
                <w:rFonts w:ascii="Arial" w:hAnsi="Arial" w:cs="Arial"/>
                <w:sz w:val="24"/>
                <w:szCs w:val="24"/>
              </w:rPr>
              <w:t>J</w:t>
            </w:r>
          </w:p>
        </w:tc>
        <w:tc>
          <w:tcPr>
            <w:tcW w:w="4323" w:type="dxa"/>
          </w:tcPr>
          <w:p w:rsidR="00950676" w:rsidRPr="00AD0332" w:rsidRDefault="009816F7" w:rsidP="004667E3">
            <w:pPr>
              <w:spacing w:line="360" w:lineRule="auto"/>
              <w:jc w:val="both"/>
              <w:rPr>
                <w:rFonts w:ascii="Arial" w:hAnsi="Arial" w:cs="Arial"/>
                <w:b/>
                <w:sz w:val="24"/>
                <w:szCs w:val="24"/>
              </w:rPr>
            </w:pPr>
            <w:r w:rsidRPr="00AD0332">
              <w:rPr>
                <w:rFonts w:ascii="Arial" w:hAnsi="Arial" w:cs="Arial"/>
                <w:b/>
                <w:sz w:val="24"/>
                <w:szCs w:val="24"/>
              </w:rPr>
              <w:t>Date of hearing:</w:t>
            </w:r>
          </w:p>
          <w:p w:rsidR="00950676" w:rsidRPr="00AD0332" w:rsidRDefault="009816F7" w:rsidP="004667E3">
            <w:pPr>
              <w:spacing w:line="360" w:lineRule="auto"/>
              <w:rPr>
                <w:rFonts w:ascii="Arial" w:hAnsi="Arial" w:cs="Arial"/>
                <w:sz w:val="24"/>
                <w:szCs w:val="24"/>
              </w:rPr>
            </w:pPr>
            <w:r>
              <w:rPr>
                <w:rFonts w:ascii="Arial" w:hAnsi="Arial" w:cs="Arial"/>
                <w:sz w:val="24"/>
                <w:szCs w:val="24"/>
              </w:rPr>
              <w:t>2 December 2021</w:t>
            </w:r>
          </w:p>
        </w:tc>
      </w:tr>
      <w:tr w:rsidR="008C642F" w:rsidTr="004667E3">
        <w:trPr>
          <w:trHeight w:val="588"/>
        </w:trPr>
        <w:tc>
          <w:tcPr>
            <w:tcW w:w="5397" w:type="dxa"/>
            <w:gridSpan w:val="2"/>
            <w:vMerge/>
          </w:tcPr>
          <w:p w:rsidR="00950676" w:rsidRPr="00AD0332" w:rsidRDefault="00950676" w:rsidP="004667E3">
            <w:pPr>
              <w:spacing w:line="360" w:lineRule="auto"/>
              <w:jc w:val="both"/>
              <w:rPr>
                <w:rFonts w:ascii="Arial" w:hAnsi="Arial" w:cs="Arial"/>
                <w:b/>
                <w:sz w:val="24"/>
                <w:szCs w:val="24"/>
              </w:rPr>
            </w:pPr>
          </w:p>
        </w:tc>
        <w:tc>
          <w:tcPr>
            <w:tcW w:w="4323" w:type="dxa"/>
          </w:tcPr>
          <w:p w:rsidR="00950676" w:rsidRPr="00AD0332" w:rsidRDefault="009816F7" w:rsidP="004667E3">
            <w:pPr>
              <w:spacing w:line="360" w:lineRule="auto"/>
              <w:jc w:val="both"/>
              <w:rPr>
                <w:rFonts w:ascii="Arial" w:hAnsi="Arial" w:cs="Arial"/>
                <w:b/>
                <w:sz w:val="24"/>
                <w:szCs w:val="24"/>
              </w:rPr>
            </w:pPr>
            <w:r w:rsidRPr="00AD0332">
              <w:rPr>
                <w:rFonts w:ascii="Arial" w:hAnsi="Arial" w:cs="Arial"/>
                <w:b/>
                <w:sz w:val="24"/>
                <w:szCs w:val="24"/>
              </w:rPr>
              <w:t>Date of order:</w:t>
            </w:r>
          </w:p>
          <w:p w:rsidR="00950676" w:rsidRPr="00AD0332" w:rsidRDefault="009816F7" w:rsidP="004667E3">
            <w:pPr>
              <w:spacing w:line="360" w:lineRule="auto"/>
              <w:jc w:val="both"/>
              <w:rPr>
                <w:rFonts w:ascii="Arial" w:hAnsi="Arial" w:cs="Arial"/>
                <w:sz w:val="24"/>
                <w:szCs w:val="24"/>
              </w:rPr>
            </w:pPr>
            <w:r w:rsidRPr="00AD0332">
              <w:rPr>
                <w:rFonts w:ascii="Arial" w:hAnsi="Arial" w:cs="Arial"/>
                <w:sz w:val="24"/>
                <w:szCs w:val="24"/>
              </w:rPr>
              <w:t>8 December 2021</w:t>
            </w:r>
          </w:p>
        </w:tc>
      </w:tr>
      <w:tr w:rsidR="008C642F" w:rsidTr="004667E3">
        <w:tc>
          <w:tcPr>
            <w:tcW w:w="9720" w:type="dxa"/>
            <w:gridSpan w:val="3"/>
          </w:tcPr>
          <w:p w:rsidR="00950676" w:rsidRDefault="009816F7" w:rsidP="00CE5D7A">
            <w:pPr>
              <w:pStyle w:val="form-control-static"/>
              <w:shd w:val="clear" w:color="auto" w:fill="FFFFFF"/>
              <w:spacing w:before="0" w:beforeAutospacing="0" w:after="0" w:afterAutospacing="0"/>
              <w:rPr>
                <w:rFonts w:ascii="Arial" w:hAnsi="Arial" w:cs="Arial"/>
              </w:rPr>
            </w:pPr>
            <w:r w:rsidRPr="00AD0332">
              <w:rPr>
                <w:rFonts w:ascii="Arial" w:hAnsi="Arial" w:cs="Arial"/>
                <w:b/>
              </w:rPr>
              <w:t xml:space="preserve">Neutral citation: </w:t>
            </w:r>
            <w:r w:rsidR="00EC5CB7">
              <w:rPr>
                <w:rFonts w:ascii="Arial" w:hAnsi="Arial" w:cs="Arial"/>
                <w:i/>
                <w:lang w:val="en-ZA"/>
              </w:rPr>
              <w:t xml:space="preserve">Opperman </w:t>
            </w:r>
            <w:r w:rsidRPr="00AD0332">
              <w:rPr>
                <w:rFonts w:ascii="Arial" w:hAnsi="Arial" w:cs="Arial"/>
                <w:i/>
                <w:lang w:val="en-ZA"/>
              </w:rPr>
              <w:t xml:space="preserve"> v Mathias </w:t>
            </w:r>
            <w:r w:rsidRPr="00AD0332">
              <w:rPr>
                <w:rFonts w:ascii="Arial" w:hAnsi="Arial" w:cs="Arial"/>
              </w:rPr>
              <w:t>(</w:t>
            </w:r>
            <w:r w:rsidRPr="00AD0332">
              <w:rPr>
                <w:rFonts w:ascii="Arial" w:hAnsi="Arial" w:cs="Arial"/>
                <w:lang w:val="en-ZA"/>
              </w:rPr>
              <w:t>HC-MD-CIV-ACT-DEL-2020/02873</w:t>
            </w:r>
            <w:r w:rsidR="00476CDE">
              <w:rPr>
                <w:rFonts w:ascii="Arial" w:hAnsi="Arial" w:cs="Arial"/>
              </w:rPr>
              <w:t>) [2021</w:t>
            </w:r>
            <w:r w:rsidRPr="00AD0332">
              <w:rPr>
                <w:rFonts w:ascii="Arial" w:hAnsi="Arial" w:cs="Arial"/>
              </w:rPr>
              <w:t>] NAHC</w:t>
            </w:r>
            <w:r w:rsidR="00AC1983" w:rsidRPr="00AD0332">
              <w:rPr>
                <w:rFonts w:ascii="Arial" w:hAnsi="Arial" w:cs="Arial"/>
              </w:rPr>
              <w:t xml:space="preserve">MD </w:t>
            </w:r>
            <w:r w:rsidR="00D835B6">
              <w:rPr>
                <w:rFonts w:ascii="Arial" w:hAnsi="Arial" w:cs="Arial"/>
              </w:rPr>
              <w:t>581</w:t>
            </w:r>
            <w:r w:rsidR="007B0F64" w:rsidRPr="00AD0332">
              <w:rPr>
                <w:rFonts w:ascii="Arial" w:hAnsi="Arial" w:cs="Arial"/>
              </w:rPr>
              <w:t xml:space="preserve"> </w:t>
            </w:r>
            <w:r w:rsidRPr="00AD0332">
              <w:rPr>
                <w:rFonts w:ascii="Arial" w:hAnsi="Arial" w:cs="Arial"/>
              </w:rPr>
              <w:t xml:space="preserve">(8 December </w:t>
            </w:r>
            <w:r w:rsidR="00AC1983" w:rsidRPr="00AD0332">
              <w:rPr>
                <w:rFonts w:ascii="Arial" w:hAnsi="Arial" w:cs="Arial"/>
              </w:rPr>
              <w:t>2021</w:t>
            </w:r>
            <w:r w:rsidRPr="00AD0332">
              <w:rPr>
                <w:rFonts w:ascii="Arial" w:hAnsi="Arial" w:cs="Arial"/>
              </w:rPr>
              <w:t>)</w:t>
            </w:r>
          </w:p>
          <w:p w:rsidR="00E72FB5" w:rsidRPr="00AD0332" w:rsidRDefault="00E72FB5" w:rsidP="00AC1983">
            <w:pPr>
              <w:pStyle w:val="form-control-static"/>
              <w:shd w:val="clear" w:color="auto" w:fill="FFFFFF"/>
              <w:spacing w:after="0"/>
              <w:jc w:val="both"/>
              <w:rPr>
                <w:rFonts w:ascii="Arial" w:hAnsi="Arial" w:cs="Arial"/>
                <w:i/>
                <w:lang w:val="en-GB"/>
              </w:rPr>
            </w:pPr>
          </w:p>
        </w:tc>
      </w:tr>
      <w:tr w:rsidR="008C642F" w:rsidTr="004667E3">
        <w:tc>
          <w:tcPr>
            <w:tcW w:w="9720" w:type="dxa"/>
            <w:gridSpan w:val="3"/>
          </w:tcPr>
          <w:p w:rsidR="00950676" w:rsidRPr="00AD0332" w:rsidRDefault="009816F7" w:rsidP="004667E3">
            <w:pPr>
              <w:spacing w:line="360" w:lineRule="auto"/>
              <w:jc w:val="both"/>
              <w:rPr>
                <w:rFonts w:ascii="Arial" w:hAnsi="Arial" w:cs="Arial"/>
                <w:b/>
                <w:sz w:val="24"/>
                <w:szCs w:val="24"/>
              </w:rPr>
            </w:pPr>
            <w:r w:rsidRPr="00AD0332">
              <w:rPr>
                <w:rFonts w:ascii="Arial" w:hAnsi="Arial" w:cs="Arial"/>
                <w:b/>
                <w:sz w:val="24"/>
                <w:szCs w:val="24"/>
              </w:rPr>
              <w:t>IT IS HEREBY ORDERED THAT:</w:t>
            </w:r>
          </w:p>
          <w:p w:rsidR="00EC5CB7" w:rsidRPr="00EC5CB7" w:rsidRDefault="00EC5CB7" w:rsidP="00EC5CB7">
            <w:pPr>
              <w:pStyle w:val="ListParagraph"/>
              <w:numPr>
                <w:ilvl w:val="0"/>
                <w:numId w:val="4"/>
              </w:numPr>
              <w:spacing w:after="0" w:line="360" w:lineRule="auto"/>
              <w:jc w:val="both"/>
              <w:rPr>
                <w:rFonts w:ascii="Arial" w:hAnsi="Arial" w:cs="Arial"/>
                <w:sz w:val="24"/>
                <w:szCs w:val="24"/>
                <w:lang w:val="af-ZA"/>
              </w:rPr>
            </w:pPr>
            <w:r w:rsidRPr="00EC5CB7">
              <w:rPr>
                <w:rFonts w:ascii="Arial" w:hAnsi="Arial" w:cs="Arial"/>
                <w:sz w:val="24"/>
                <w:szCs w:val="24"/>
                <w:lang w:val="af-ZA"/>
              </w:rPr>
              <w:t>The late filing of the heads of argument is hereby condoned</w:t>
            </w:r>
            <w:r>
              <w:rPr>
                <w:rFonts w:ascii="Arial" w:hAnsi="Arial" w:cs="Arial"/>
                <w:sz w:val="24"/>
                <w:szCs w:val="24"/>
                <w:lang w:val="af-ZA"/>
              </w:rPr>
              <w:t>.</w:t>
            </w:r>
          </w:p>
          <w:p w:rsidR="00EC5CB7" w:rsidRPr="00EC5CB7" w:rsidRDefault="00EC5CB7" w:rsidP="00EC5CB7">
            <w:pPr>
              <w:pStyle w:val="ListParagraph"/>
              <w:numPr>
                <w:ilvl w:val="0"/>
                <w:numId w:val="4"/>
              </w:numPr>
              <w:spacing w:after="0" w:line="360" w:lineRule="auto"/>
              <w:jc w:val="both"/>
              <w:rPr>
                <w:rFonts w:ascii="Arial" w:hAnsi="Arial" w:cs="Arial"/>
                <w:sz w:val="24"/>
                <w:szCs w:val="24"/>
                <w:lang w:val="af-ZA"/>
              </w:rPr>
            </w:pPr>
            <w:r w:rsidRPr="00EC5CB7">
              <w:rPr>
                <w:rFonts w:ascii="Arial" w:hAnsi="Arial" w:cs="Arial"/>
                <w:sz w:val="24"/>
                <w:szCs w:val="24"/>
                <w:lang w:val="af-ZA"/>
              </w:rPr>
              <w:t>The judgement granted on 29 September 2020 and the subsequent Writ of Execution issued by this court, is set aside and leave is granted to the applicants to defend the matter.</w:t>
            </w:r>
          </w:p>
          <w:p w:rsidR="00EC5CB7" w:rsidRPr="00EC5CB7" w:rsidRDefault="00EC5CB7" w:rsidP="00EC5CB7">
            <w:pPr>
              <w:pStyle w:val="ListParagraph"/>
              <w:numPr>
                <w:ilvl w:val="0"/>
                <w:numId w:val="4"/>
              </w:numPr>
              <w:spacing w:after="0" w:line="360" w:lineRule="auto"/>
              <w:jc w:val="both"/>
              <w:rPr>
                <w:rFonts w:ascii="Arial" w:hAnsi="Arial" w:cs="Arial"/>
                <w:sz w:val="24"/>
                <w:szCs w:val="24"/>
                <w:lang w:val="af-ZA"/>
              </w:rPr>
            </w:pPr>
            <w:r w:rsidRPr="00EC5CB7">
              <w:rPr>
                <w:rFonts w:ascii="Arial" w:hAnsi="Arial" w:cs="Arial"/>
                <w:sz w:val="24"/>
                <w:szCs w:val="24"/>
                <w:lang w:val="af-ZA"/>
              </w:rPr>
              <w:t xml:space="preserve">Matter is postponed for a </w:t>
            </w:r>
            <w:r>
              <w:rPr>
                <w:rFonts w:ascii="Arial" w:hAnsi="Arial" w:cs="Arial"/>
                <w:sz w:val="24"/>
                <w:szCs w:val="24"/>
                <w:lang w:val="af-ZA"/>
              </w:rPr>
              <w:t xml:space="preserve">case planning conference to 1 February </w:t>
            </w:r>
            <w:r w:rsidRPr="00EC5CB7">
              <w:rPr>
                <w:rFonts w:ascii="Arial" w:hAnsi="Arial" w:cs="Arial"/>
                <w:sz w:val="24"/>
                <w:szCs w:val="24"/>
                <w:lang w:val="af-ZA"/>
              </w:rPr>
              <w:t>2022 at 15h30.</w:t>
            </w:r>
          </w:p>
          <w:p w:rsidR="00EC5CB7" w:rsidRPr="00EC5CB7" w:rsidRDefault="00EC5CB7" w:rsidP="00EC5CB7">
            <w:pPr>
              <w:pStyle w:val="ListParagraph"/>
              <w:numPr>
                <w:ilvl w:val="0"/>
                <w:numId w:val="4"/>
              </w:numPr>
              <w:spacing w:after="0" w:line="360" w:lineRule="auto"/>
              <w:jc w:val="both"/>
              <w:rPr>
                <w:rFonts w:ascii="Arial" w:hAnsi="Arial" w:cs="Arial"/>
                <w:sz w:val="24"/>
                <w:szCs w:val="24"/>
                <w:lang w:val="af-ZA"/>
              </w:rPr>
            </w:pPr>
            <w:r w:rsidRPr="00EC5CB7">
              <w:rPr>
                <w:rFonts w:ascii="Arial" w:hAnsi="Arial" w:cs="Arial"/>
                <w:sz w:val="24"/>
                <w:szCs w:val="24"/>
                <w:lang w:val="af-ZA"/>
              </w:rPr>
              <w:t>The parties to fil</w:t>
            </w:r>
            <w:r>
              <w:rPr>
                <w:rFonts w:ascii="Arial" w:hAnsi="Arial" w:cs="Arial"/>
                <w:sz w:val="24"/>
                <w:szCs w:val="24"/>
                <w:lang w:val="af-ZA"/>
              </w:rPr>
              <w:t xml:space="preserve">e a case plan on or before 27 January </w:t>
            </w:r>
            <w:r w:rsidRPr="00EC5CB7">
              <w:rPr>
                <w:rFonts w:ascii="Arial" w:hAnsi="Arial" w:cs="Arial"/>
                <w:sz w:val="24"/>
                <w:szCs w:val="24"/>
                <w:lang w:val="af-ZA"/>
              </w:rPr>
              <w:t>2022.</w:t>
            </w:r>
          </w:p>
          <w:p w:rsidR="00123FD1" w:rsidRPr="00AD0332" w:rsidRDefault="00123FD1" w:rsidP="00EC5CB7">
            <w:pPr>
              <w:pStyle w:val="NoSpacing"/>
              <w:spacing w:line="360" w:lineRule="auto"/>
              <w:jc w:val="both"/>
              <w:rPr>
                <w:rFonts w:ascii="Arial" w:hAnsi="Arial" w:cs="Arial"/>
                <w:sz w:val="24"/>
                <w:szCs w:val="24"/>
              </w:rPr>
            </w:pPr>
          </w:p>
        </w:tc>
      </w:tr>
      <w:tr w:rsidR="008C642F" w:rsidTr="004667E3">
        <w:tc>
          <w:tcPr>
            <w:tcW w:w="9720" w:type="dxa"/>
            <w:gridSpan w:val="3"/>
          </w:tcPr>
          <w:p w:rsidR="00950676" w:rsidRPr="00AD0332" w:rsidRDefault="009816F7" w:rsidP="004667E3">
            <w:pPr>
              <w:spacing w:line="360" w:lineRule="auto"/>
              <w:jc w:val="both"/>
              <w:rPr>
                <w:rFonts w:ascii="Arial" w:hAnsi="Arial" w:cs="Arial"/>
                <w:b/>
                <w:sz w:val="24"/>
                <w:szCs w:val="24"/>
              </w:rPr>
            </w:pPr>
            <w:r w:rsidRPr="00AD0332">
              <w:rPr>
                <w:rFonts w:ascii="Arial" w:hAnsi="Arial" w:cs="Arial"/>
                <w:b/>
                <w:sz w:val="24"/>
                <w:szCs w:val="24"/>
              </w:rPr>
              <w:t>Reasons for orders:</w:t>
            </w:r>
          </w:p>
        </w:tc>
      </w:tr>
      <w:tr w:rsidR="008C642F" w:rsidTr="004667E3">
        <w:tc>
          <w:tcPr>
            <w:tcW w:w="9720" w:type="dxa"/>
            <w:gridSpan w:val="3"/>
          </w:tcPr>
          <w:p w:rsidR="001A4E7D" w:rsidRDefault="001A4E7D" w:rsidP="00CE26AF">
            <w:pPr>
              <w:spacing w:after="0" w:line="360" w:lineRule="auto"/>
              <w:jc w:val="both"/>
              <w:rPr>
                <w:rFonts w:ascii="Arial" w:hAnsi="Arial" w:cs="Arial"/>
                <w:sz w:val="24"/>
                <w:szCs w:val="24"/>
                <w:lang w:val="af-ZA"/>
              </w:rPr>
            </w:pPr>
            <w:r>
              <w:rPr>
                <w:rFonts w:ascii="Arial" w:hAnsi="Arial" w:cs="Arial"/>
                <w:sz w:val="24"/>
                <w:szCs w:val="24"/>
                <w:lang w:val="af-ZA"/>
              </w:rPr>
              <w:lastRenderedPageBreak/>
              <w:t>Rakow J,</w:t>
            </w:r>
          </w:p>
          <w:p w:rsidR="001A4E7D" w:rsidRDefault="001A4E7D" w:rsidP="00CE26AF">
            <w:pPr>
              <w:spacing w:after="0" w:line="360" w:lineRule="auto"/>
              <w:jc w:val="both"/>
              <w:rPr>
                <w:rFonts w:ascii="Arial" w:hAnsi="Arial" w:cs="Arial"/>
                <w:sz w:val="24"/>
                <w:szCs w:val="24"/>
                <w:lang w:val="af-ZA"/>
              </w:rPr>
            </w:pPr>
          </w:p>
          <w:p w:rsidR="008A7EF2"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 xml:space="preserve">[1]       </w:t>
            </w:r>
            <w:r w:rsidR="00AD0332" w:rsidRPr="00AD0332">
              <w:rPr>
                <w:rFonts w:ascii="Arial" w:hAnsi="Arial" w:cs="Arial"/>
                <w:sz w:val="24"/>
                <w:szCs w:val="24"/>
                <w:lang w:val="af-ZA"/>
              </w:rPr>
              <w:t xml:space="preserve">This </w:t>
            </w:r>
            <w:r w:rsidR="0091026B">
              <w:rPr>
                <w:rFonts w:ascii="Arial" w:hAnsi="Arial" w:cs="Arial"/>
                <w:sz w:val="24"/>
                <w:szCs w:val="24"/>
                <w:lang w:val="af-ZA"/>
              </w:rPr>
              <w:t>matter came before court as an application to set aside the writ of Execution granted by this Court against the first and second applicant and rescinding or setting aside</w:t>
            </w:r>
            <w:r w:rsidR="00865FAA">
              <w:rPr>
                <w:rFonts w:ascii="Arial" w:hAnsi="Arial" w:cs="Arial"/>
                <w:sz w:val="24"/>
                <w:szCs w:val="24"/>
                <w:lang w:val="af-ZA"/>
              </w:rPr>
              <w:t>,</w:t>
            </w:r>
            <w:r w:rsidR="0091026B">
              <w:rPr>
                <w:rFonts w:ascii="Arial" w:hAnsi="Arial" w:cs="Arial"/>
                <w:sz w:val="24"/>
                <w:szCs w:val="24"/>
                <w:lang w:val="af-ZA"/>
              </w:rPr>
              <w:t xml:space="preserve"> in terms of rule 16</w:t>
            </w:r>
            <w:r w:rsidR="00865FAA">
              <w:rPr>
                <w:rFonts w:ascii="Arial" w:hAnsi="Arial" w:cs="Arial"/>
                <w:sz w:val="24"/>
                <w:szCs w:val="24"/>
                <w:lang w:val="af-ZA"/>
              </w:rPr>
              <w:t>,</w:t>
            </w:r>
            <w:r w:rsidR="0091026B">
              <w:rPr>
                <w:rFonts w:ascii="Arial" w:hAnsi="Arial" w:cs="Arial"/>
                <w:sz w:val="24"/>
                <w:szCs w:val="24"/>
                <w:lang w:val="af-ZA"/>
              </w:rPr>
              <w:t xml:space="preserve"> the default judgement granted in this matter against the applicants on 29 September 2020. The applicants further seek leave to defend the matter brought against them under this case number.</w:t>
            </w:r>
          </w:p>
          <w:p w:rsidR="0091026B" w:rsidRDefault="0091026B" w:rsidP="00CE26AF">
            <w:pPr>
              <w:spacing w:after="0" w:line="360" w:lineRule="auto"/>
              <w:jc w:val="both"/>
              <w:rPr>
                <w:rFonts w:ascii="Arial" w:hAnsi="Arial" w:cs="Arial"/>
                <w:sz w:val="24"/>
                <w:szCs w:val="24"/>
                <w:lang w:val="af-ZA"/>
              </w:rPr>
            </w:pPr>
          </w:p>
          <w:p w:rsidR="0091026B"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[2]</w:t>
            </w:r>
            <w:r w:rsidR="00E72FB5">
              <w:rPr>
                <w:rFonts w:ascii="Arial" w:hAnsi="Arial" w:cs="Arial"/>
                <w:sz w:val="24"/>
                <w:szCs w:val="24"/>
                <w:lang w:val="af-ZA"/>
              </w:rPr>
              <w:t xml:space="preserve">      </w:t>
            </w:r>
            <w:r>
              <w:rPr>
                <w:rFonts w:ascii="Arial" w:hAnsi="Arial" w:cs="Arial"/>
                <w:sz w:val="24"/>
                <w:szCs w:val="24"/>
                <w:lang w:val="af-ZA"/>
              </w:rPr>
              <w:t>The ju</w:t>
            </w:r>
            <w:r w:rsidR="00865FAA">
              <w:rPr>
                <w:rFonts w:ascii="Arial" w:hAnsi="Arial" w:cs="Arial"/>
                <w:sz w:val="24"/>
                <w:szCs w:val="24"/>
                <w:lang w:val="af-ZA"/>
              </w:rPr>
              <w:t>dgement of 29 September 2020 in the amount of</w:t>
            </w:r>
            <w:r>
              <w:rPr>
                <w:rFonts w:ascii="Arial" w:hAnsi="Arial" w:cs="Arial"/>
                <w:sz w:val="24"/>
                <w:szCs w:val="24"/>
                <w:lang w:val="af-ZA"/>
              </w:rPr>
              <w:t xml:space="preserve"> N$25 000 </w:t>
            </w:r>
            <w:r w:rsidR="00865FAA">
              <w:rPr>
                <w:rFonts w:ascii="Arial" w:hAnsi="Arial" w:cs="Arial"/>
                <w:sz w:val="24"/>
                <w:szCs w:val="24"/>
                <w:lang w:val="af-ZA"/>
              </w:rPr>
              <w:t xml:space="preserve">was </w:t>
            </w:r>
            <w:r>
              <w:rPr>
                <w:rFonts w:ascii="Arial" w:hAnsi="Arial" w:cs="Arial"/>
                <w:sz w:val="24"/>
                <w:szCs w:val="24"/>
                <w:lang w:val="af-ZA"/>
              </w:rPr>
              <w:t xml:space="preserve">granted against the defendants jointly and severely. The claim had its origin in defamatory statemetns which </w:t>
            </w:r>
            <w:r w:rsidR="00865FAA">
              <w:rPr>
                <w:rFonts w:ascii="Arial" w:hAnsi="Arial" w:cs="Arial"/>
                <w:sz w:val="24"/>
                <w:szCs w:val="24"/>
                <w:lang w:val="af-ZA"/>
              </w:rPr>
              <w:t>were</w:t>
            </w:r>
            <w:r>
              <w:rPr>
                <w:rFonts w:ascii="Arial" w:hAnsi="Arial" w:cs="Arial"/>
                <w:sz w:val="24"/>
                <w:szCs w:val="24"/>
                <w:lang w:val="af-ZA"/>
              </w:rPr>
              <w:t xml:space="preserve"> made against the respondent on or about 6 June 2020 in the pres</w:t>
            </w:r>
            <w:r w:rsidR="001A4E7D">
              <w:rPr>
                <w:rFonts w:ascii="Arial" w:hAnsi="Arial" w:cs="Arial"/>
                <w:sz w:val="24"/>
                <w:szCs w:val="24"/>
                <w:lang w:val="af-ZA"/>
              </w:rPr>
              <w:t xml:space="preserve">ence of about 7 other persons. </w:t>
            </w:r>
            <w:r>
              <w:rPr>
                <w:rFonts w:ascii="Arial" w:hAnsi="Arial" w:cs="Arial"/>
                <w:sz w:val="24"/>
                <w:szCs w:val="24"/>
                <w:lang w:val="af-ZA"/>
              </w:rPr>
              <w:t>The allegation is that the first defendant uttered words to the effect that the respondent touched the ass of the second defendant to which words the second defendant ag</w:t>
            </w:r>
            <w:r w:rsidR="00E30DBA">
              <w:rPr>
                <w:rFonts w:ascii="Arial" w:hAnsi="Arial" w:cs="Arial"/>
                <w:sz w:val="24"/>
                <w:szCs w:val="24"/>
                <w:lang w:val="af-ZA"/>
              </w:rPr>
              <w:t xml:space="preserve">reed by saying </w:t>
            </w:r>
            <w:r w:rsidR="00865FAA">
              <w:rPr>
                <w:rFonts w:ascii="Arial" w:hAnsi="Arial" w:cs="Arial"/>
                <w:sz w:val="24"/>
                <w:szCs w:val="24"/>
                <w:lang w:val="af-ZA"/>
              </w:rPr>
              <w:t>‘</w:t>
            </w:r>
            <w:r w:rsidR="00E30DBA">
              <w:rPr>
                <w:rFonts w:ascii="Arial" w:hAnsi="Arial" w:cs="Arial"/>
                <w:sz w:val="24"/>
                <w:szCs w:val="24"/>
                <w:lang w:val="af-ZA"/>
              </w:rPr>
              <w:t>yes yes you did</w:t>
            </w:r>
            <w:r w:rsidR="00865FAA">
              <w:rPr>
                <w:rFonts w:ascii="Arial" w:hAnsi="Arial" w:cs="Arial"/>
                <w:sz w:val="24"/>
                <w:szCs w:val="24"/>
                <w:lang w:val="af-ZA"/>
              </w:rPr>
              <w:t>’</w:t>
            </w:r>
            <w:r w:rsidR="00E30DBA">
              <w:rPr>
                <w:rFonts w:ascii="Arial" w:hAnsi="Arial" w:cs="Arial"/>
                <w:sz w:val="24"/>
                <w:szCs w:val="24"/>
                <w:lang w:val="af-ZA"/>
              </w:rPr>
              <w:t>.</w:t>
            </w:r>
          </w:p>
          <w:p w:rsidR="00E30DBA" w:rsidRDefault="00E30DBA" w:rsidP="00CE26AF">
            <w:pPr>
              <w:spacing w:after="0" w:line="360" w:lineRule="auto"/>
              <w:jc w:val="both"/>
              <w:rPr>
                <w:rFonts w:ascii="Arial" w:hAnsi="Arial" w:cs="Arial"/>
                <w:sz w:val="24"/>
                <w:szCs w:val="24"/>
                <w:lang w:val="af-ZA"/>
              </w:rPr>
            </w:pPr>
          </w:p>
          <w:p w:rsidR="00E30DBA" w:rsidRDefault="009816F7" w:rsidP="00CE26AF">
            <w:pPr>
              <w:spacing w:after="0" w:line="360" w:lineRule="auto"/>
              <w:jc w:val="both"/>
              <w:rPr>
                <w:rFonts w:ascii="Arial" w:hAnsi="Arial" w:cs="Arial"/>
                <w:sz w:val="24"/>
                <w:szCs w:val="24"/>
                <w:u w:val="single"/>
                <w:lang w:val="af-ZA"/>
              </w:rPr>
            </w:pPr>
            <w:r w:rsidRPr="00E30DBA">
              <w:rPr>
                <w:rFonts w:ascii="Arial" w:hAnsi="Arial" w:cs="Arial"/>
                <w:sz w:val="24"/>
                <w:szCs w:val="24"/>
                <w:u w:val="single"/>
                <w:lang w:val="af-ZA"/>
              </w:rPr>
              <w:t>Point in limine</w:t>
            </w:r>
          </w:p>
          <w:p w:rsidR="00EC5CB7" w:rsidRPr="00E30DBA" w:rsidRDefault="00EC5CB7" w:rsidP="00CE26AF">
            <w:pPr>
              <w:spacing w:after="0" w:line="360" w:lineRule="auto"/>
              <w:jc w:val="both"/>
              <w:rPr>
                <w:rFonts w:ascii="Arial" w:hAnsi="Arial" w:cs="Arial"/>
                <w:sz w:val="24"/>
                <w:szCs w:val="24"/>
                <w:u w:val="single"/>
                <w:lang w:val="af-ZA"/>
              </w:rPr>
            </w:pPr>
          </w:p>
          <w:p w:rsidR="00E30DBA"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[3]      The respondents raised the issue in limine that the applicants failed to furnish the required amount of N$5000 as security and for such a reason they failed to meet the requirements of rule 16 and the matter should ther</w:t>
            </w:r>
            <w:r w:rsidR="001A4E7D">
              <w:rPr>
                <w:rFonts w:ascii="Arial" w:hAnsi="Arial" w:cs="Arial"/>
                <w:sz w:val="24"/>
                <w:szCs w:val="24"/>
                <w:lang w:val="af-ZA"/>
              </w:rPr>
              <w:t xml:space="preserve">efore be struck from the roll. </w:t>
            </w:r>
            <w:r w:rsidR="00865FAA">
              <w:rPr>
                <w:rFonts w:ascii="Arial" w:hAnsi="Arial" w:cs="Arial"/>
                <w:sz w:val="24"/>
                <w:szCs w:val="24"/>
                <w:lang w:val="af-ZA"/>
              </w:rPr>
              <w:t>This complaint was sebsequently</w:t>
            </w:r>
            <w:r>
              <w:rPr>
                <w:rFonts w:ascii="Arial" w:hAnsi="Arial" w:cs="Arial"/>
                <w:sz w:val="24"/>
                <w:szCs w:val="24"/>
                <w:lang w:val="af-ZA"/>
              </w:rPr>
              <w:t xml:space="preserve"> remedied</w:t>
            </w:r>
            <w:r w:rsidR="00865FAA">
              <w:rPr>
                <w:rFonts w:ascii="Arial" w:hAnsi="Arial" w:cs="Arial"/>
                <w:sz w:val="24"/>
                <w:szCs w:val="24"/>
                <w:lang w:val="af-ZA"/>
              </w:rPr>
              <w:t>,</w:t>
            </w:r>
            <w:r>
              <w:rPr>
                <w:rFonts w:ascii="Arial" w:hAnsi="Arial" w:cs="Arial"/>
                <w:sz w:val="24"/>
                <w:szCs w:val="24"/>
                <w:lang w:val="af-ZA"/>
              </w:rPr>
              <w:t xml:space="preserve"> as the applicants indeed furnished the court with the required security before the matter was heard.</w:t>
            </w:r>
          </w:p>
          <w:p w:rsidR="00E30DBA" w:rsidRDefault="00E30DBA" w:rsidP="00CE26AF">
            <w:pPr>
              <w:spacing w:after="0" w:line="360" w:lineRule="auto"/>
              <w:jc w:val="both"/>
              <w:rPr>
                <w:rFonts w:ascii="Arial" w:hAnsi="Arial" w:cs="Arial"/>
                <w:sz w:val="24"/>
                <w:szCs w:val="24"/>
                <w:u w:val="single"/>
                <w:lang w:val="af-ZA"/>
              </w:rPr>
            </w:pPr>
          </w:p>
          <w:p w:rsidR="0091026B" w:rsidRDefault="009816F7" w:rsidP="00CE26AF">
            <w:pPr>
              <w:spacing w:after="0" w:line="360" w:lineRule="auto"/>
              <w:jc w:val="both"/>
              <w:rPr>
                <w:rFonts w:ascii="Arial" w:hAnsi="Arial" w:cs="Arial"/>
                <w:sz w:val="24"/>
                <w:szCs w:val="24"/>
                <w:u w:val="single"/>
                <w:lang w:val="af-ZA"/>
              </w:rPr>
            </w:pPr>
            <w:r w:rsidRPr="0091026B">
              <w:rPr>
                <w:rFonts w:ascii="Arial" w:hAnsi="Arial" w:cs="Arial"/>
                <w:sz w:val="24"/>
                <w:szCs w:val="24"/>
                <w:u w:val="single"/>
                <w:lang w:val="af-ZA"/>
              </w:rPr>
              <w:t>The application</w:t>
            </w:r>
          </w:p>
          <w:p w:rsidR="00EC5CB7" w:rsidRPr="0091026B" w:rsidRDefault="00EC5CB7" w:rsidP="00CE26AF">
            <w:pPr>
              <w:spacing w:after="0" w:line="360" w:lineRule="auto"/>
              <w:jc w:val="both"/>
              <w:rPr>
                <w:rFonts w:ascii="Arial" w:hAnsi="Arial" w:cs="Arial"/>
                <w:sz w:val="24"/>
                <w:szCs w:val="24"/>
                <w:u w:val="single"/>
                <w:lang w:val="af-ZA"/>
              </w:rPr>
            </w:pPr>
          </w:p>
          <w:p w:rsidR="0091026B"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[4]       The applicants filed affidavits together with confirmatory affidavits explaining the reasons for the delay in defending the main action as well as their bona fide defences against this claim.  The first applicant explained that upon receipt of a letter from the legal practitioners of the respondent on 24 June 2020, she approached her legal insurers regarding the claim that was going to be instituted against her and was informed that her insurance does not cover m</w:t>
            </w:r>
            <w:r w:rsidR="001A4E7D">
              <w:rPr>
                <w:rFonts w:ascii="Arial" w:hAnsi="Arial" w:cs="Arial"/>
                <w:sz w:val="24"/>
                <w:szCs w:val="24"/>
                <w:lang w:val="af-ZA"/>
              </w:rPr>
              <w:t xml:space="preserve">atters relating to defamation. </w:t>
            </w:r>
            <w:r>
              <w:rPr>
                <w:rFonts w:ascii="Arial" w:hAnsi="Arial" w:cs="Arial"/>
                <w:sz w:val="24"/>
                <w:szCs w:val="24"/>
                <w:lang w:val="af-ZA"/>
              </w:rPr>
              <w:t>She and the second applicant decided to share the costs between them and appointed Kadhila Amoomo legal practitioners to respon</w:t>
            </w:r>
            <w:r w:rsidR="001A4E7D">
              <w:rPr>
                <w:rFonts w:ascii="Arial" w:hAnsi="Arial" w:cs="Arial"/>
                <w:sz w:val="24"/>
                <w:szCs w:val="24"/>
                <w:lang w:val="af-ZA"/>
              </w:rPr>
              <w:t xml:space="preserve">d to the letter they received. </w:t>
            </w:r>
            <w:r>
              <w:rPr>
                <w:rFonts w:ascii="Arial" w:hAnsi="Arial" w:cs="Arial"/>
                <w:sz w:val="24"/>
                <w:szCs w:val="24"/>
                <w:lang w:val="af-ZA"/>
              </w:rPr>
              <w:t>No response was forthcoming from the legal practitioners of the respondent.</w:t>
            </w:r>
          </w:p>
          <w:p w:rsidR="00E30DBA" w:rsidRDefault="00E30DBA" w:rsidP="00CE26AF">
            <w:pPr>
              <w:spacing w:after="0" w:line="360" w:lineRule="auto"/>
              <w:jc w:val="both"/>
              <w:rPr>
                <w:rFonts w:ascii="Arial" w:hAnsi="Arial" w:cs="Arial"/>
                <w:sz w:val="24"/>
                <w:szCs w:val="24"/>
                <w:lang w:val="af-ZA"/>
              </w:rPr>
            </w:pPr>
          </w:p>
          <w:p w:rsidR="00E30DBA"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[5]      The second applicant proceeded and opened a criminal case with CR 227/0</w:t>
            </w:r>
            <w:r w:rsidR="001A4E7D">
              <w:rPr>
                <w:rFonts w:ascii="Arial" w:hAnsi="Arial" w:cs="Arial"/>
                <w:sz w:val="24"/>
                <w:szCs w:val="24"/>
                <w:lang w:val="af-ZA"/>
              </w:rPr>
              <w:t xml:space="preserve">6/2020 against the respondent. </w:t>
            </w:r>
            <w:r>
              <w:rPr>
                <w:rFonts w:ascii="Arial" w:hAnsi="Arial" w:cs="Arial"/>
                <w:sz w:val="24"/>
                <w:szCs w:val="24"/>
                <w:lang w:val="af-ZA"/>
              </w:rPr>
              <w:t xml:space="preserve">On 3 August 2020, a summons was served on the husband of the first applicant.  At that stage, she was unable to put her legal practitioners in funds and did not defend the matter.  She was further of the mistaken opinion that the criminal matter opened by the second applicant would stay the civil matter.  On 8 December 2020, she became aware that a default judgement was granted against her when the deputy sheriff approached her with a writ of execution of property.  </w:t>
            </w:r>
            <w:r w:rsidR="00EF49DE">
              <w:rPr>
                <w:rFonts w:ascii="Arial" w:hAnsi="Arial" w:cs="Arial"/>
                <w:sz w:val="24"/>
                <w:szCs w:val="24"/>
                <w:lang w:val="af-ZA"/>
              </w:rPr>
              <w:t>She again approach her legal insurer and was adviced that she qualify for assistance on 9 December 2020.  On 14 December 2020, she consulted with her legal practitioners and they received the instructions from her insurer on 19 January 2021 to proceed and defend the matter.  She was further informed that the court went into recess from 15 December 2020 to 16 January 2021 and for that reason, the application could not be filed.  She further dealt extensively with the prospects of success and set out the history of the issues between the second applicant and the respondent, showing that the behavior complained about has been coming for some time.  She indicates that her statement was simply a question regarding events of the day and based on facts.</w:t>
            </w:r>
          </w:p>
          <w:p w:rsidR="00EF49DE" w:rsidRDefault="00EF49DE" w:rsidP="00CE26AF">
            <w:pPr>
              <w:spacing w:after="0" w:line="360" w:lineRule="auto"/>
              <w:jc w:val="both"/>
              <w:rPr>
                <w:rFonts w:ascii="Arial" w:hAnsi="Arial" w:cs="Arial"/>
                <w:sz w:val="24"/>
                <w:szCs w:val="24"/>
                <w:lang w:val="af-ZA"/>
              </w:rPr>
            </w:pPr>
          </w:p>
          <w:p w:rsidR="00EF49DE"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[6]        The second applicant stated under oath that she opened a case of indecent assault against the respondent in June 2020 whereafter she received a letter of demand from the legal practitioners for the respondent.  She instructed, together with the first applicant the firm of Kadhila Amoomo legal practitioners to respond to the said letter, which they did.  The combined summons was served on her on 3 August 2020.</w:t>
            </w:r>
            <w:r w:rsidR="00403896">
              <w:rPr>
                <w:rFonts w:ascii="Arial" w:hAnsi="Arial" w:cs="Arial"/>
                <w:sz w:val="24"/>
                <w:szCs w:val="24"/>
                <w:lang w:val="af-ZA"/>
              </w:rPr>
              <w:t xml:space="preserve">  On 8 December 2020 the first applicant was served with a writ of execution and she became aware of the judgement agains</w:t>
            </w:r>
            <w:r w:rsidR="001A4E7D">
              <w:rPr>
                <w:rFonts w:ascii="Arial" w:hAnsi="Arial" w:cs="Arial"/>
                <w:sz w:val="24"/>
                <w:szCs w:val="24"/>
                <w:lang w:val="af-ZA"/>
              </w:rPr>
              <w:t xml:space="preserve">t her and the first applicant. </w:t>
            </w:r>
            <w:r w:rsidR="00403896">
              <w:rPr>
                <w:rFonts w:ascii="Arial" w:hAnsi="Arial" w:cs="Arial"/>
                <w:sz w:val="24"/>
                <w:szCs w:val="24"/>
                <w:lang w:val="af-ZA"/>
              </w:rPr>
              <w:t>She explained that she had the genuine belief that the criminal proceedings will first have to be concluded before the c</w:t>
            </w:r>
            <w:r w:rsidR="001A4E7D">
              <w:rPr>
                <w:rFonts w:ascii="Arial" w:hAnsi="Arial" w:cs="Arial"/>
                <w:sz w:val="24"/>
                <w:szCs w:val="24"/>
                <w:lang w:val="af-ZA"/>
              </w:rPr>
              <w:t xml:space="preserve">ivil proceedings will proceed. </w:t>
            </w:r>
            <w:r w:rsidR="00403896">
              <w:rPr>
                <w:rFonts w:ascii="Arial" w:hAnsi="Arial" w:cs="Arial"/>
                <w:sz w:val="24"/>
                <w:szCs w:val="24"/>
                <w:lang w:val="af-ZA"/>
              </w:rPr>
              <w:t>She was further not in a financial position</w:t>
            </w:r>
            <w:r w:rsidR="00123FD1">
              <w:rPr>
                <w:rFonts w:ascii="Arial" w:hAnsi="Arial" w:cs="Arial"/>
                <w:sz w:val="24"/>
                <w:szCs w:val="24"/>
                <w:lang w:val="af-ZA"/>
              </w:rPr>
              <w:t xml:space="preserve"> at the time that she received the summons to provide financial instructions to her legal representative as she was paying for the divorce proceedings of her mother.  </w:t>
            </w:r>
          </w:p>
          <w:p w:rsidR="00123FD1" w:rsidRDefault="00123FD1" w:rsidP="00CE26AF">
            <w:pPr>
              <w:spacing w:after="0" w:line="360" w:lineRule="auto"/>
              <w:jc w:val="both"/>
              <w:rPr>
                <w:rFonts w:ascii="Arial" w:hAnsi="Arial" w:cs="Arial"/>
                <w:sz w:val="24"/>
                <w:szCs w:val="24"/>
                <w:lang w:val="af-ZA"/>
              </w:rPr>
            </w:pPr>
          </w:p>
          <w:p w:rsidR="00123FD1" w:rsidRPr="00AD0332"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[7[        She further stated that there are reasonable prospects of success because the matter arose after several instances of the resp</w:t>
            </w:r>
            <w:r w:rsidR="001A4E7D">
              <w:rPr>
                <w:rFonts w:ascii="Arial" w:hAnsi="Arial" w:cs="Arial"/>
                <w:sz w:val="24"/>
                <w:szCs w:val="24"/>
                <w:lang w:val="af-ZA"/>
              </w:rPr>
              <w:t xml:space="preserve">ondent sexually harassing her. </w:t>
            </w:r>
            <w:r>
              <w:rPr>
                <w:rFonts w:ascii="Arial" w:hAnsi="Arial" w:cs="Arial"/>
                <w:sz w:val="24"/>
                <w:szCs w:val="24"/>
                <w:lang w:val="af-ZA"/>
              </w:rPr>
              <w:t xml:space="preserve">The first applicant was also a witness to some of these incidents and the second respondent confided in her about her discomfort regarding the conduct of the respondent.  The words </w:t>
            </w:r>
            <w:r>
              <w:rPr>
                <w:rFonts w:ascii="Arial" w:hAnsi="Arial" w:cs="Arial"/>
                <w:sz w:val="24"/>
                <w:szCs w:val="24"/>
                <w:lang w:val="af-ZA"/>
              </w:rPr>
              <w:lastRenderedPageBreak/>
              <w:t>that were uttered by the first applicant were uttered after they and the respondent were at the same gathering and she wanted to leave because he made her feel uncomfortable.  She explained to the first applicant her reasons for leaving after which the first applic</w:t>
            </w:r>
            <w:r w:rsidR="001A4E7D">
              <w:rPr>
                <w:rFonts w:ascii="Arial" w:hAnsi="Arial" w:cs="Arial"/>
                <w:sz w:val="24"/>
                <w:szCs w:val="24"/>
                <w:lang w:val="af-ZA"/>
              </w:rPr>
              <w:t xml:space="preserve">ant confronted the respondent. </w:t>
            </w:r>
            <w:r>
              <w:rPr>
                <w:rFonts w:ascii="Arial" w:hAnsi="Arial" w:cs="Arial"/>
                <w:sz w:val="24"/>
                <w:szCs w:val="24"/>
                <w:lang w:val="af-ZA"/>
              </w:rPr>
              <w:t xml:space="preserve">She herself never published any defamatory statement and only took the first applicant in her confidence.  She further indicated that in the alternative, what was said was </w:t>
            </w:r>
            <w:r w:rsidR="00F44B2D">
              <w:rPr>
                <w:rFonts w:ascii="Arial" w:hAnsi="Arial" w:cs="Arial"/>
                <w:sz w:val="24"/>
                <w:szCs w:val="24"/>
                <w:lang w:val="af-ZA"/>
              </w:rPr>
              <w:t>the truth.</w:t>
            </w:r>
          </w:p>
          <w:p w:rsidR="00AD0332" w:rsidRPr="00AD0332" w:rsidRDefault="00AD0332" w:rsidP="00CE26AF">
            <w:pPr>
              <w:spacing w:after="0" w:line="360" w:lineRule="auto"/>
              <w:jc w:val="both"/>
              <w:rPr>
                <w:rFonts w:ascii="Arial" w:hAnsi="Arial" w:cs="Arial"/>
                <w:sz w:val="24"/>
                <w:szCs w:val="24"/>
                <w:lang w:val="af-ZA"/>
              </w:rPr>
            </w:pPr>
          </w:p>
          <w:p w:rsidR="00AD0332" w:rsidRDefault="009816F7" w:rsidP="00CE26AF">
            <w:pPr>
              <w:spacing w:after="0" w:line="360" w:lineRule="auto"/>
              <w:jc w:val="both"/>
              <w:rPr>
                <w:rFonts w:ascii="Arial" w:hAnsi="Arial" w:cs="Arial"/>
                <w:sz w:val="24"/>
                <w:szCs w:val="24"/>
                <w:u w:val="single"/>
                <w:lang w:val="af-ZA"/>
              </w:rPr>
            </w:pPr>
            <w:r w:rsidRPr="00F44B2D">
              <w:rPr>
                <w:rFonts w:ascii="Arial" w:hAnsi="Arial" w:cs="Arial"/>
                <w:sz w:val="24"/>
                <w:szCs w:val="24"/>
                <w:u w:val="single"/>
                <w:lang w:val="af-ZA"/>
              </w:rPr>
              <w:t>Legal considerations</w:t>
            </w:r>
          </w:p>
          <w:p w:rsidR="001A4E7D" w:rsidRPr="00F44B2D" w:rsidRDefault="001A4E7D" w:rsidP="00CE26AF">
            <w:pPr>
              <w:spacing w:after="0" w:line="360" w:lineRule="auto"/>
              <w:jc w:val="both"/>
              <w:rPr>
                <w:rFonts w:ascii="Arial" w:hAnsi="Arial" w:cs="Arial"/>
                <w:sz w:val="24"/>
                <w:szCs w:val="24"/>
                <w:u w:val="single"/>
                <w:lang w:val="af-ZA"/>
              </w:rPr>
            </w:pPr>
          </w:p>
          <w:p w:rsidR="00AD0332"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t xml:space="preserve">[8]       </w:t>
            </w:r>
            <w:r w:rsidR="00F44B2D">
              <w:rPr>
                <w:rFonts w:ascii="Arial" w:hAnsi="Arial" w:cs="Arial"/>
                <w:sz w:val="24"/>
                <w:szCs w:val="24"/>
                <w:lang w:val="af-ZA"/>
              </w:rPr>
              <w:t>Rule 16 of the High Court rules reads as follows:</w:t>
            </w:r>
          </w:p>
          <w:p w:rsidR="001A4E7D" w:rsidRDefault="001A4E7D" w:rsidP="00CE26AF">
            <w:pPr>
              <w:spacing w:after="0" w:line="360" w:lineRule="auto"/>
              <w:jc w:val="both"/>
              <w:rPr>
                <w:rFonts w:ascii="Arial" w:hAnsi="Arial" w:cs="Arial"/>
                <w:sz w:val="24"/>
                <w:szCs w:val="24"/>
                <w:lang w:val="af-ZA"/>
              </w:rPr>
            </w:pPr>
          </w:p>
          <w:p w:rsidR="00F44B2D" w:rsidRPr="001A4E7D" w:rsidRDefault="001A4E7D" w:rsidP="00F44B2D">
            <w:pPr>
              <w:spacing w:after="0" w:line="360" w:lineRule="auto"/>
              <w:jc w:val="both"/>
              <w:rPr>
                <w:rFonts w:ascii="Arial" w:hAnsi="Arial" w:cs="Arial"/>
                <w:lang w:val="af-ZA"/>
              </w:rPr>
            </w:pPr>
            <w:r>
              <w:rPr>
                <w:rFonts w:ascii="Arial" w:hAnsi="Arial" w:cs="Arial"/>
                <w:sz w:val="24"/>
                <w:szCs w:val="24"/>
                <w:lang w:val="af-ZA"/>
              </w:rPr>
              <w:tab/>
            </w:r>
            <w:r w:rsidRPr="001A4E7D">
              <w:rPr>
                <w:rFonts w:ascii="Arial" w:hAnsi="Arial" w:cs="Arial"/>
                <w:lang w:val="af-ZA"/>
              </w:rPr>
              <w:t>‘</w:t>
            </w:r>
            <w:r w:rsidR="009816F7" w:rsidRPr="001A4E7D">
              <w:rPr>
                <w:rFonts w:ascii="Arial" w:hAnsi="Arial" w:cs="Arial"/>
                <w:lang w:val="af-ZA"/>
              </w:rPr>
              <w:t>(1)</w:t>
            </w:r>
            <w:r w:rsidR="009816F7" w:rsidRPr="001A4E7D">
              <w:rPr>
                <w:rFonts w:ascii="Arial" w:hAnsi="Arial" w:cs="Arial"/>
                <w:lang w:val="af-ZA"/>
              </w:rPr>
              <w:tab/>
              <w:t xml:space="preserve"> A defendant may, within 20 days after he or she has knowledge of the judgment</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referred to in rule 15(3) and on notice to the plaintiff, apply to the court to set aside that judgment.</w:t>
            </w:r>
          </w:p>
          <w:p w:rsidR="00D2279E" w:rsidRPr="001A4E7D" w:rsidRDefault="00D2279E" w:rsidP="00F44B2D">
            <w:pPr>
              <w:spacing w:after="0" w:line="360" w:lineRule="auto"/>
              <w:jc w:val="both"/>
              <w:rPr>
                <w:rFonts w:ascii="Arial" w:hAnsi="Arial" w:cs="Arial"/>
                <w:lang w:val="af-ZA"/>
              </w:rPr>
            </w:pP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(2)</w:t>
            </w:r>
            <w:r w:rsidRPr="001A4E7D">
              <w:rPr>
                <w:rFonts w:ascii="Arial" w:hAnsi="Arial" w:cs="Arial"/>
                <w:lang w:val="af-ZA"/>
              </w:rPr>
              <w:tab/>
              <w:t>The court may, on good cause shown and on the defendant furnishing to the plaintiff</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security for the payment of the costs of the default judgment and of t</w:t>
            </w:r>
            <w:r w:rsidR="00D2279E" w:rsidRPr="001A4E7D">
              <w:rPr>
                <w:rFonts w:ascii="Arial" w:hAnsi="Arial" w:cs="Arial"/>
                <w:lang w:val="af-ZA"/>
              </w:rPr>
              <w:t xml:space="preserve">he application in the amount of </w:t>
            </w:r>
            <w:r w:rsidRPr="001A4E7D">
              <w:rPr>
                <w:rFonts w:ascii="Arial" w:hAnsi="Arial" w:cs="Arial"/>
                <w:lang w:val="af-ZA"/>
              </w:rPr>
              <w:t>N$5 000, set aside the default judgment on such terms as to it seems reasonable and fair, except that -</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(a)</w:t>
            </w:r>
            <w:r w:rsidRPr="001A4E7D">
              <w:rPr>
                <w:rFonts w:ascii="Arial" w:hAnsi="Arial" w:cs="Arial"/>
                <w:lang w:val="af-ZA"/>
              </w:rPr>
              <w:tab/>
              <w:t xml:space="preserve"> the party in whose favour default judgment has been granted may, by consent in writing lodged with the registrar, waive compliance with the requirement for security; or</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(b)</w:t>
            </w:r>
            <w:r w:rsidRPr="001A4E7D">
              <w:rPr>
                <w:rFonts w:ascii="Arial" w:hAnsi="Arial" w:cs="Arial"/>
                <w:lang w:val="af-ZA"/>
              </w:rPr>
              <w:tab/>
              <w:t xml:space="preserve"> in the absence of the written consent referred to in paragraph (a), the court may on good cause shown dispense with the requirement for security.</w:t>
            </w:r>
          </w:p>
          <w:p w:rsidR="00D2279E" w:rsidRPr="001A4E7D" w:rsidRDefault="00D2279E" w:rsidP="00F44B2D">
            <w:pPr>
              <w:spacing w:after="0" w:line="360" w:lineRule="auto"/>
              <w:jc w:val="both"/>
              <w:rPr>
                <w:rFonts w:ascii="Arial" w:hAnsi="Arial" w:cs="Arial"/>
                <w:lang w:val="af-ZA"/>
              </w:rPr>
            </w:pP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(3)</w:t>
            </w:r>
            <w:r w:rsidRPr="001A4E7D">
              <w:rPr>
                <w:rFonts w:ascii="Arial" w:hAnsi="Arial" w:cs="Arial"/>
                <w:lang w:val="af-ZA"/>
              </w:rPr>
              <w:tab/>
              <w:t xml:space="preserve"> A person who applies for rescission of a default judgment as contemplated in subrule</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(1) must -</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(a)</w:t>
            </w:r>
            <w:r w:rsidRPr="001A4E7D">
              <w:rPr>
                <w:rFonts w:ascii="Arial" w:hAnsi="Arial" w:cs="Arial"/>
                <w:lang w:val="af-ZA"/>
              </w:rPr>
              <w:tab/>
              <w:t xml:space="preserve"> make application for such rescission by notice of motion, supported by affidavit as to the facts on which the applicant relies for relief, including the grounds, if any, for dispensing with the requirement for security;</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(b)</w:t>
            </w:r>
            <w:r w:rsidRPr="001A4E7D">
              <w:rPr>
                <w:rFonts w:ascii="Arial" w:hAnsi="Arial" w:cs="Arial"/>
                <w:lang w:val="af-ZA"/>
              </w:rPr>
              <w:tab/>
              <w:t xml:space="preserve"> give notice to all parties whose interests may be affected by the rescission sought;</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and</w:t>
            </w: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       (c)</w:t>
            </w:r>
            <w:r w:rsidRPr="001A4E7D">
              <w:rPr>
                <w:rFonts w:ascii="Arial" w:hAnsi="Arial" w:cs="Arial"/>
                <w:lang w:val="af-ZA"/>
              </w:rPr>
              <w:tab/>
              <w:t xml:space="preserve"> make the application within 20 days after becoming aware of the default judgment.</w:t>
            </w:r>
          </w:p>
          <w:p w:rsidR="00D2279E" w:rsidRPr="001A4E7D" w:rsidRDefault="00D2279E" w:rsidP="00F44B2D">
            <w:pPr>
              <w:spacing w:after="0" w:line="360" w:lineRule="auto"/>
              <w:jc w:val="both"/>
              <w:rPr>
                <w:rFonts w:ascii="Arial" w:hAnsi="Arial" w:cs="Arial"/>
                <w:lang w:val="af-ZA"/>
              </w:rPr>
            </w:pPr>
          </w:p>
          <w:p w:rsidR="00F44B2D" w:rsidRPr="001A4E7D" w:rsidRDefault="009816F7" w:rsidP="00F44B2D">
            <w:pPr>
              <w:spacing w:after="0" w:line="360" w:lineRule="auto"/>
              <w:jc w:val="both"/>
              <w:rPr>
                <w:rFonts w:ascii="Arial" w:hAnsi="Arial" w:cs="Arial"/>
                <w:lang w:val="af-ZA"/>
              </w:rPr>
            </w:pPr>
            <w:r w:rsidRPr="001A4E7D">
              <w:rPr>
                <w:rFonts w:ascii="Arial" w:hAnsi="Arial" w:cs="Arial"/>
                <w:lang w:val="af-ZA"/>
              </w:rPr>
              <w:t xml:space="preserve">(4)      </w:t>
            </w:r>
            <w:r w:rsidR="00E72FB5" w:rsidRPr="001A4E7D">
              <w:rPr>
                <w:rFonts w:ascii="Arial" w:hAnsi="Arial" w:cs="Arial"/>
                <w:lang w:val="af-ZA"/>
              </w:rPr>
              <w:t xml:space="preserve"> </w:t>
            </w:r>
            <w:r w:rsidRPr="001A4E7D">
              <w:rPr>
                <w:rFonts w:ascii="Arial" w:hAnsi="Arial" w:cs="Arial"/>
                <w:lang w:val="af-ZA"/>
              </w:rPr>
              <w:t>Rule 65 applies with necessary modification required by the context to an application brought under this rule.’</w:t>
            </w:r>
          </w:p>
          <w:p w:rsidR="00AD0332" w:rsidRDefault="00AD0332" w:rsidP="00CE26AF">
            <w:pPr>
              <w:spacing w:after="0" w:line="360" w:lineRule="auto"/>
              <w:jc w:val="both"/>
              <w:rPr>
                <w:rFonts w:ascii="Arial" w:hAnsi="Arial" w:cs="Arial"/>
                <w:lang w:val="af-ZA"/>
              </w:rPr>
            </w:pPr>
          </w:p>
          <w:p w:rsidR="00D2279E" w:rsidRDefault="009816F7" w:rsidP="00CE26AF">
            <w:pPr>
              <w:spacing w:after="0" w:line="360" w:lineRule="auto"/>
              <w:jc w:val="both"/>
              <w:rPr>
                <w:rFonts w:ascii="Arial" w:hAnsi="Arial" w:cs="Arial"/>
                <w:sz w:val="24"/>
                <w:szCs w:val="24"/>
                <w:lang w:val="af-ZA"/>
              </w:rPr>
            </w:pPr>
            <w:r>
              <w:rPr>
                <w:rFonts w:ascii="Arial" w:hAnsi="Arial" w:cs="Arial"/>
                <w:sz w:val="24"/>
                <w:szCs w:val="24"/>
                <w:lang w:val="af-ZA"/>
              </w:rPr>
              <w:lastRenderedPageBreak/>
              <w:t xml:space="preserve">[9]    In the matter of </w:t>
            </w:r>
            <w:r w:rsidRPr="00ED54F4">
              <w:rPr>
                <w:rFonts w:ascii="Arial" w:hAnsi="Arial" w:cs="Arial"/>
                <w:i/>
                <w:sz w:val="24"/>
                <w:szCs w:val="24"/>
                <w:lang w:val="af-ZA"/>
              </w:rPr>
              <w:t>Krauer and Another v Metzger</w:t>
            </w:r>
            <w:r>
              <w:rPr>
                <w:rStyle w:val="FootnoteReference"/>
                <w:rFonts w:ascii="Arial" w:hAnsi="Arial" w:cs="Arial"/>
                <w:i/>
                <w:sz w:val="24"/>
                <w:szCs w:val="24"/>
                <w:lang w:val="af-ZA"/>
              </w:rPr>
              <w:footnoteReference w:id="1"/>
            </w:r>
            <w:r>
              <w:rPr>
                <w:rFonts w:ascii="Arial" w:hAnsi="Arial" w:cs="Arial"/>
                <w:sz w:val="24"/>
                <w:szCs w:val="24"/>
                <w:lang w:val="af-ZA"/>
              </w:rPr>
              <w:t>, Strydom AJA sets out the requirements that need to be met as follows:</w:t>
            </w:r>
          </w:p>
          <w:p w:rsidR="001A4E7D" w:rsidRDefault="001A4E7D" w:rsidP="00CE26AF">
            <w:pPr>
              <w:spacing w:after="0" w:line="360" w:lineRule="auto"/>
              <w:jc w:val="both"/>
              <w:rPr>
                <w:rFonts w:ascii="Arial" w:hAnsi="Arial" w:cs="Arial"/>
                <w:sz w:val="24"/>
                <w:szCs w:val="24"/>
                <w:lang w:val="af-ZA"/>
              </w:rPr>
            </w:pPr>
          </w:p>
          <w:p w:rsidR="00D2279E" w:rsidRPr="001A4E7D" w:rsidRDefault="001A4E7D" w:rsidP="00D2279E">
            <w:pPr>
              <w:spacing w:after="0" w:line="360" w:lineRule="auto"/>
              <w:jc w:val="both"/>
              <w:rPr>
                <w:rFonts w:ascii="Arial" w:hAnsi="Arial" w:cs="Arial"/>
                <w:lang w:val="af-ZA"/>
              </w:rPr>
            </w:pPr>
            <w:r>
              <w:rPr>
                <w:rFonts w:ascii="Arial" w:hAnsi="Arial" w:cs="Arial"/>
                <w:sz w:val="24"/>
                <w:szCs w:val="24"/>
                <w:lang w:val="af-ZA"/>
              </w:rPr>
              <w:tab/>
            </w:r>
            <w:r w:rsidRPr="001A4E7D">
              <w:rPr>
                <w:rFonts w:ascii="Arial" w:hAnsi="Arial" w:cs="Arial"/>
                <w:lang w:val="af-ZA"/>
              </w:rPr>
              <w:t>‘</w:t>
            </w:r>
            <w:r w:rsidR="009816F7" w:rsidRPr="001A4E7D">
              <w:rPr>
                <w:rFonts w:ascii="Arial" w:hAnsi="Arial" w:cs="Arial"/>
                <w:lang w:val="af-ZA"/>
              </w:rPr>
              <w:t>In an application for rescission of a default judgment an applicant must comply with the following requirements to meet with success, namely:</w:t>
            </w:r>
          </w:p>
          <w:p w:rsidR="00D2279E" w:rsidRPr="001A4E7D" w:rsidRDefault="00D2279E" w:rsidP="00D2279E">
            <w:pPr>
              <w:spacing w:after="0" w:line="360" w:lineRule="auto"/>
              <w:jc w:val="both"/>
              <w:rPr>
                <w:rFonts w:ascii="Arial" w:hAnsi="Arial" w:cs="Arial"/>
                <w:lang w:val="af-ZA"/>
              </w:rPr>
            </w:pPr>
          </w:p>
          <w:p w:rsidR="00D2279E" w:rsidRPr="001A4E7D" w:rsidRDefault="009816F7" w:rsidP="00D2279E">
            <w:pPr>
              <w:spacing w:after="0" w:line="360" w:lineRule="auto"/>
              <w:jc w:val="both"/>
              <w:rPr>
                <w:rFonts w:ascii="Arial" w:hAnsi="Arial" w:cs="Arial"/>
                <w:lang w:val="af-ZA"/>
              </w:rPr>
            </w:pPr>
            <w:r w:rsidRPr="001A4E7D">
              <w:rPr>
                <w:rFonts w:ascii="Arial" w:hAnsi="Arial" w:cs="Arial"/>
                <w:lang w:val="af-ZA"/>
              </w:rPr>
              <w:t>'(a)   He must give a reasonable explanation of his default. If it appears that his default was wilful or that it was due to gross negligence the Court should not come to his assistance.</w:t>
            </w:r>
          </w:p>
          <w:p w:rsidR="00D2279E" w:rsidRPr="001A4E7D" w:rsidRDefault="00D2279E" w:rsidP="00D2279E">
            <w:pPr>
              <w:spacing w:after="0" w:line="360" w:lineRule="auto"/>
              <w:jc w:val="both"/>
              <w:rPr>
                <w:rFonts w:ascii="Arial" w:hAnsi="Arial" w:cs="Arial"/>
                <w:lang w:val="af-ZA"/>
              </w:rPr>
            </w:pPr>
          </w:p>
          <w:p w:rsidR="00D2279E" w:rsidRPr="001A4E7D" w:rsidRDefault="009816F7" w:rsidP="00D2279E">
            <w:pPr>
              <w:spacing w:after="0" w:line="360" w:lineRule="auto"/>
              <w:jc w:val="both"/>
              <w:rPr>
                <w:rFonts w:ascii="Arial" w:hAnsi="Arial" w:cs="Arial"/>
                <w:lang w:val="af-ZA"/>
              </w:rPr>
            </w:pPr>
            <w:r w:rsidRPr="001A4E7D">
              <w:rPr>
                <w:rFonts w:ascii="Arial" w:hAnsi="Arial" w:cs="Arial"/>
                <w:lang w:val="af-ZA"/>
              </w:rPr>
              <w:t>(b)</w:t>
            </w:r>
            <w:r w:rsidR="00ED54F4" w:rsidRPr="001A4E7D">
              <w:rPr>
                <w:rFonts w:ascii="Arial" w:hAnsi="Arial" w:cs="Arial"/>
                <w:lang w:val="af-ZA"/>
              </w:rPr>
              <w:t xml:space="preserve">   </w:t>
            </w:r>
            <w:r w:rsidRPr="001A4E7D">
              <w:rPr>
                <w:rFonts w:ascii="Arial" w:hAnsi="Arial" w:cs="Arial"/>
                <w:lang w:val="af-ZA"/>
              </w:rPr>
              <w:t>His application must be bona fide and not made with the intention of merely</w:t>
            </w:r>
            <w:r w:rsidR="00476CDE" w:rsidRPr="001A4E7D">
              <w:rPr>
                <w:rFonts w:ascii="Arial" w:hAnsi="Arial" w:cs="Arial"/>
                <w:lang w:val="af-ZA"/>
              </w:rPr>
              <w:t xml:space="preserve"> delaying plaintiff's claim.  </w:t>
            </w:r>
          </w:p>
          <w:p w:rsidR="00D2279E" w:rsidRPr="001A4E7D" w:rsidRDefault="00D2279E" w:rsidP="00D2279E">
            <w:pPr>
              <w:spacing w:after="0" w:line="360" w:lineRule="auto"/>
              <w:jc w:val="both"/>
              <w:rPr>
                <w:rFonts w:ascii="Arial" w:hAnsi="Arial" w:cs="Arial"/>
                <w:lang w:val="af-ZA"/>
              </w:rPr>
            </w:pPr>
          </w:p>
          <w:p w:rsidR="00D2279E" w:rsidRPr="001A4E7D" w:rsidRDefault="009816F7" w:rsidP="00D2279E">
            <w:pPr>
              <w:spacing w:after="0" w:line="360" w:lineRule="auto"/>
              <w:jc w:val="both"/>
              <w:rPr>
                <w:rFonts w:ascii="Arial" w:hAnsi="Arial" w:cs="Arial"/>
                <w:lang w:val="af-ZA"/>
              </w:rPr>
            </w:pPr>
            <w:r w:rsidRPr="001A4E7D">
              <w:rPr>
                <w:rFonts w:ascii="Arial" w:hAnsi="Arial" w:cs="Arial"/>
                <w:lang w:val="af-ZA"/>
              </w:rPr>
              <w:t>(c)    He must show that he has a bona fide defence to plaintiff's claim. It is sufficient if he makes out a prima facie defence in the sense of setting out averments which, if established at the trial, would entitle him to the relief asked for. He need not deal with the merits of the case and produce evidence that the probabilities are actually in his favour.’</w:t>
            </w:r>
          </w:p>
          <w:p w:rsidR="00ED54F4" w:rsidRDefault="00ED54F4" w:rsidP="00D2279E">
            <w:pPr>
              <w:spacing w:after="0" w:line="360" w:lineRule="auto"/>
              <w:jc w:val="both"/>
              <w:rPr>
                <w:rFonts w:ascii="Arial" w:hAnsi="Arial" w:cs="Arial"/>
                <w:lang w:val="af-ZA"/>
              </w:rPr>
            </w:pPr>
          </w:p>
          <w:p w:rsidR="00ED54F4" w:rsidRDefault="009816F7" w:rsidP="00D2279E">
            <w:pPr>
              <w:spacing w:after="0" w:line="360" w:lineRule="auto"/>
              <w:jc w:val="both"/>
              <w:rPr>
                <w:rFonts w:ascii="Arial" w:hAnsi="Arial" w:cs="Arial"/>
                <w:sz w:val="24"/>
                <w:szCs w:val="24"/>
                <w:lang w:val="af-ZA"/>
              </w:rPr>
            </w:pPr>
            <w:r>
              <w:rPr>
                <w:rFonts w:ascii="Arial" w:hAnsi="Arial" w:cs="Arial"/>
                <w:sz w:val="24"/>
                <w:szCs w:val="24"/>
                <w:lang w:val="af-ZA"/>
              </w:rPr>
              <w:t xml:space="preserve">[10]    </w:t>
            </w:r>
            <w:r w:rsidR="00E72FB5">
              <w:rPr>
                <w:rFonts w:ascii="Arial" w:hAnsi="Arial" w:cs="Arial"/>
                <w:sz w:val="24"/>
                <w:szCs w:val="24"/>
                <w:lang w:val="af-ZA"/>
              </w:rPr>
              <w:t xml:space="preserve"> </w:t>
            </w:r>
            <w:r>
              <w:rPr>
                <w:rFonts w:ascii="Arial" w:hAnsi="Arial" w:cs="Arial"/>
                <w:sz w:val="24"/>
                <w:szCs w:val="24"/>
                <w:lang w:val="af-ZA"/>
              </w:rPr>
              <w:t xml:space="preserve">On these requirements, Smuts J explained as follows in </w:t>
            </w:r>
            <w:r w:rsidRPr="00ED54F4">
              <w:rPr>
                <w:rFonts w:ascii="Arial" w:hAnsi="Arial" w:cs="Arial"/>
                <w:i/>
                <w:sz w:val="24"/>
                <w:szCs w:val="24"/>
                <w:lang w:val="af-ZA"/>
              </w:rPr>
              <w:t>Katzao v Trustco Group International (Pty) Ltd and Another</w:t>
            </w:r>
            <w:r>
              <w:rPr>
                <w:rStyle w:val="FootnoteReference"/>
                <w:rFonts w:ascii="Arial" w:hAnsi="Arial" w:cs="Arial"/>
                <w:sz w:val="24"/>
                <w:szCs w:val="24"/>
                <w:lang w:val="af-ZA"/>
              </w:rPr>
              <w:footnoteReference w:id="2"/>
            </w:r>
            <w:r w:rsidR="00476CDE">
              <w:rPr>
                <w:rFonts w:ascii="Arial" w:hAnsi="Arial" w:cs="Arial"/>
                <w:sz w:val="24"/>
                <w:szCs w:val="24"/>
                <w:lang w:val="af-ZA"/>
              </w:rPr>
              <w:t>:</w:t>
            </w:r>
          </w:p>
          <w:p w:rsidR="001A4E7D" w:rsidRDefault="001A4E7D" w:rsidP="00D2279E">
            <w:pPr>
              <w:spacing w:after="0" w:line="360" w:lineRule="auto"/>
              <w:jc w:val="both"/>
              <w:rPr>
                <w:rFonts w:ascii="Arial" w:hAnsi="Arial" w:cs="Arial"/>
                <w:sz w:val="24"/>
                <w:szCs w:val="24"/>
                <w:lang w:val="af-ZA"/>
              </w:rPr>
            </w:pPr>
          </w:p>
          <w:p w:rsidR="00476CDE" w:rsidRPr="001A4E7D" w:rsidRDefault="001A4E7D" w:rsidP="00476CDE">
            <w:pPr>
              <w:spacing w:after="0" w:line="360" w:lineRule="auto"/>
              <w:jc w:val="both"/>
              <w:rPr>
                <w:rFonts w:ascii="Arial" w:hAnsi="Arial" w:cs="Arial"/>
                <w:lang w:val="af-ZA"/>
              </w:rPr>
            </w:pPr>
            <w:r>
              <w:rPr>
                <w:rFonts w:ascii="Arial" w:hAnsi="Arial" w:cs="Arial"/>
                <w:sz w:val="24"/>
                <w:szCs w:val="24"/>
                <w:lang w:val="af-ZA"/>
              </w:rPr>
              <w:tab/>
            </w:r>
            <w:r w:rsidRPr="001A4E7D">
              <w:rPr>
                <w:rFonts w:ascii="Arial" w:hAnsi="Arial" w:cs="Arial"/>
                <w:lang w:val="af-ZA"/>
              </w:rPr>
              <w:t>‘</w:t>
            </w:r>
            <w:r w:rsidR="009816F7" w:rsidRPr="001A4E7D">
              <w:rPr>
                <w:rFonts w:ascii="Arial" w:hAnsi="Arial" w:cs="Arial"/>
                <w:lang w:val="af-ZA"/>
              </w:rPr>
              <w:t>The requirement of good cause in rule 56(3) itself entails two requisites. Firstly, the applicant must provide a reasonable explanation for his default which would exclude a court from coming to his assistance  I  where his default was either wilful or due to gross negligence. Secondly, the applicant must establish a bona fide defence to the first respondent's</w:t>
            </w:r>
          </w:p>
          <w:p w:rsidR="00476CDE" w:rsidRPr="001A4E7D" w:rsidRDefault="00476CDE" w:rsidP="00476CDE">
            <w:pPr>
              <w:spacing w:after="0" w:line="360" w:lineRule="auto"/>
              <w:jc w:val="both"/>
              <w:rPr>
                <w:rFonts w:ascii="Arial" w:hAnsi="Arial" w:cs="Arial"/>
                <w:lang w:val="af-ZA"/>
              </w:rPr>
            </w:pPr>
          </w:p>
          <w:p w:rsidR="00476CDE" w:rsidRPr="001A4E7D" w:rsidRDefault="009816F7" w:rsidP="00476CDE">
            <w:pPr>
              <w:spacing w:after="0" w:line="360" w:lineRule="auto"/>
              <w:jc w:val="both"/>
              <w:rPr>
                <w:rFonts w:ascii="Arial" w:hAnsi="Arial" w:cs="Arial"/>
                <w:lang w:val="af-ZA"/>
              </w:rPr>
            </w:pPr>
            <w:r w:rsidRPr="001A4E7D">
              <w:rPr>
                <w:rFonts w:ascii="Arial" w:hAnsi="Arial" w:cs="Arial"/>
                <w:lang w:val="af-ZA"/>
              </w:rPr>
              <w:t xml:space="preserve"> A  claim which is to be established on a prima facie basis in the sense of setting out averments which, if established at the trial, would entitle him to the relief sought. </w:t>
            </w:r>
          </w:p>
          <w:p w:rsidR="00476CDE" w:rsidRPr="001A4E7D" w:rsidRDefault="00476CDE" w:rsidP="00476CDE">
            <w:pPr>
              <w:spacing w:after="0" w:line="360" w:lineRule="auto"/>
              <w:jc w:val="both"/>
              <w:rPr>
                <w:rFonts w:ascii="Arial" w:hAnsi="Arial" w:cs="Arial"/>
                <w:lang w:val="af-ZA"/>
              </w:rPr>
            </w:pPr>
          </w:p>
          <w:p w:rsidR="00476CDE" w:rsidRPr="001A4E7D" w:rsidRDefault="009816F7" w:rsidP="00476CDE">
            <w:pPr>
              <w:spacing w:after="0" w:line="360" w:lineRule="auto"/>
              <w:jc w:val="both"/>
              <w:rPr>
                <w:rFonts w:ascii="Arial" w:hAnsi="Arial" w:cs="Arial"/>
                <w:lang w:val="af-ZA"/>
              </w:rPr>
            </w:pPr>
            <w:r w:rsidRPr="001A4E7D">
              <w:rPr>
                <w:rFonts w:ascii="Arial" w:hAnsi="Arial" w:cs="Arial"/>
                <w:lang w:val="af-ZA"/>
              </w:rPr>
              <w:t xml:space="preserve">[39] In examining an applicant's explanation for his default, it has been held that it is clearly incumbent upon an applicant to disclose with a degree of particularity what it was that prevented him from attending court or being represented in court. </w:t>
            </w:r>
          </w:p>
          <w:p w:rsidR="00476CDE" w:rsidRPr="001A4E7D" w:rsidRDefault="00476CDE" w:rsidP="00476CDE">
            <w:pPr>
              <w:spacing w:after="0" w:line="360" w:lineRule="auto"/>
              <w:jc w:val="both"/>
              <w:rPr>
                <w:rFonts w:ascii="Arial" w:hAnsi="Arial" w:cs="Arial"/>
                <w:lang w:val="af-ZA"/>
              </w:rPr>
            </w:pPr>
          </w:p>
          <w:p w:rsidR="00476CDE" w:rsidRPr="001A4E7D" w:rsidRDefault="009816F7" w:rsidP="00476CDE">
            <w:pPr>
              <w:spacing w:after="0" w:line="360" w:lineRule="auto"/>
              <w:jc w:val="both"/>
              <w:rPr>
                <w:rFonts w:ascii="Arial" w:hAnsi="Arial" w:cs="Arial"/>
                <w:lang w:val="af-ZA"/>
              </w:rPr>
            </w:pPr>
            <w:r w:rsidRPr="001A4E7D">
              <w:rPr>
                <w:rFonts w:ascii="Arial" w:hAnsi="Arial" w:cs="Arial"/>
                <w:lang w:val="af-ZA"/>
              </w:rPr>
              <w:t>[40] It is also well established that a party must meet both requisites, thus establishing a reasonable and adequate explanation for his default as well as reasonable prospects of success on the merits.</w:t>
            </w:r>
          </w:p>
          <w:p w:rsidR="00476CDE" w:rsidRPr="001A4E7D" w:rsidRDefault="00476CDE" w:rsidP="00476CDE">
            <w:pPr>
              <w:spacing w:after="0" w:line="360" w:lineRule="auto"/>
              <w:jc w:val="both"/>
              <w:rPr>
                <w:rFonts w:ascii="Arial" w:hAnsi="Arial" w:cs="Arial"/>
                <w:lang w:val="af-ZA"/>
              </w:rPr>
            </w:pPr>
          </w:p>
          <w:p w:rsidR="00476CDE" w:rsidRPr="001A4E7D" w:rsidRDefault="009816F7" w:rsidP="00476CDE">
            <w:pPr>
              <w:spacing w:after="0" w:line="360" w:lineRule="auto"/>
              <w:jc w:val="both"/>
              <w:rPr>
                <w:rFonts w:ascii="Arial" w:hAnsi="Arial" w:cs="Arial"/>
                <w:lang w:val="af-ZA"/>
              </w:rPr>
            </w:pPr>
            <w:r w:rsidRPr="001A4E7D">
              <w:rPr>
                <w:rFonts w:ascii="Arial" w:hAnsi="Arial" w:cs="Arial"/>
                <w:lang w:val="af-ZA"/>
              </w:rPr>
              <w:lastRenderedPageBreak/>
              <w:t xml:space="preserve"> [41] In determining this application, this court is enjoined by rule 56(1) to have regard to all the circumstances including those set out in rule 56(1)(a) – (h).’</w:t>
            </w:r>
          </w:p>
          <w:p w:rsidR="00476CDE" w:rsidRDefault="00476CDE" w:rsidP="00476CDE">
            <w:pPr>
              <w:spacing w:after="0" w:line="360" w:lineRule="auto"/>
              <w:jc w:val="both"/>
              <w:rPr>
                <w:rFonts w:ascii="Arial" w:hAnsi="Arial" w:cs="Arial"/>
                <w:lang w:val="af-ZA"/>
              </w:rPr>
            </w:pPr>
          </w:p>
          <w:p w:rsidR="001A4E7D" w:rsidRDefault="001A4E7D" w:rsidP="00476CDE">
            <w:pPr>
              <w:spacing w:after="0" w:line="360" w:lineRule="auto"/>
              <w:jc w:val="both"/>
              <w:rPr>
                <w:rFonts w:ascii="Arial" w:hAnsi="Arial" w:cs="Arial"/>
                <w:sz w:val="24"/>
                <w:szCs w:val="24"/>
                <w:u w:val="single"/>
                <w:lang w:val="af-ZA"/>
              </w:rPr>
            </w:pPr>
          </w:p>
          <w:p w:rsidR="00476CDE" w:rsidRDefault="009816F7" w:rsidP="00476CDE">
            <w:pPr>
              <w:spacing w:after="0" w:line="360" w:lineRule="auto"/>
              <w:jc w:val="both"/>
              <w:rPr>
                <w:rFonts w:ascii="Arial" w:hAnsi="Arial" w:cs="Arial"/>
                <w:sz w:val="24"/>
                <w:szCs w:val="24"/>
                <w:u w:val="single"/>
                <w:lang w:val="af-ZA"/>
              </w:rPr>
            </w:pPr>
            <w:r w:rsidRPr="00476CDE">
              <w:rPr>
                <w:rFonts w:ascii="Arial" w:hAnsi="Arial" w:cs="Arial"/>
                <w:sz w:val="24"/>
                <w:szCs w:val="24"/>
                <w:u w:val="single"/>
                <w:lang w:val="af-ZA"/>
              </w:rPr>
              <w:t>Conclusion</w:t>
            </w:r>
          </w:p>
          <w:p w:rsidR="00EC5CB7" w:rsidRPr="00476CDE" w:rsidRDefault="00EC5CB7" w:rsidP="00476CDE">
            <w:pPr>
              <w:spacing w:after="0" w:line="360" w:lineRule="auto"/>
              <w:jc w:val="both"/>
              <w:rPr>
                <w:rFonts w:ascii="Arial" w:hAnsi="Arial" w:cs="Arial"/>
                <w:sz w:val="24"/>
                <w:szCs w:val="24"/>
                <w:u w:val="single"/>
                <w:lang w:val="af-ZA"/>
              </w:rPr>
            </w:pPr>
          </w:p>
          <w:p w:rsidR="00476CDE" w:rsidRDefault="009816F7" w:rsidP="00476CDE">
            <w:pPr>
              <w:spacing w:after="0" w:line="360" w:lineRule="auto"/>
              <w:jc w:val="both"/>
              <w:rPr>
                <w:rFonts w:ascii="Arial" w:hAnsi="Arial" w:cs="Arial"/>
                <w:sz w:val="24"/>
                <w:szCs w:val="24"/>
                <w:lang w:val="af-ZA"/>
              </w:rPr>
            </w:pPr>
            <w:r>
              <w:rPr>
                <w:rFonts w:ascii="Arial" w:hAnsi="Arial" w:cs="Arial"/>
                <w:sz w:val="24"/>
                <w:szCs w:val="24"/>
                <w:lang w:val="af-ZA"/>
              </w:rPr>
              <w:t>[11]   Taken that the court has wide discretion in these applications, I find that I am satisfied that the applicants indeed put forward a reasonable explanation for their default.  I further find that on the papers they had at least made out a bona fide defence.</w:t>
            </w:r>
          </w:p>
          <w:p w:rsidR="00476CDE" w:rsidRDefault="00476CDE" w:rsidP="00476CDE">
            <w:pPr>
              <w:spacing w:after="0" w:line="360" w:lineRule="auto"/>
              <w:jc w:val="both"/>
              <w:rPr>
                <w:rFonts w:ascii="Arial" w:hAnsi="Arial" w:cs="Arial"/>
                <w:sz w:val="24"/>
                <w:szCs w:val="24"/>
                <w:lang w:val="af-ZA"/>
              </w:rPr>
            </w:pPr>
          </w:p>
          <w:p w:rsidR="00476CDE" w:rsidRDefault="009816F7" w:rsidP="00476CDE">
            <w:pPr>
              <w:spacing w:after="0" w:line="360" w:lineRule="auto"/>
              <w:jc w:val="both"/>
              <w:rPr>
                <w:rFonts w:ascii="Arial" w:hAnsi="Arial" w:cs="Arial"/>
                <w:sz w:val="24"/>
                <w:szCs w:val="24"/>
                <w:lang w:val="af-ZA"/>
              </w:rPr>
            </w:pPr>
            <w:r>
              <w:rPr>
                <w:rFonts w:ascii="Arial" w:hAnsi="Arial" w:cs="Arial"/>
                <w:sz w:val="24"/>
                <w:szCs w:val="24"/>
                <w:lang w:val="af-ZA"/>
              </w:rPr>
              <w:t>[12]     For that reason I make the following orders:</w:t>
            </w:r>
          </w:p>
          <w:p w:rsidR="001A4E7D" w:rsidRDefault="001A4E7D" w:rsidP="00476CDE">
            <w:pPr>
              <w:spacing w:after="0" w:line="360" w:lineRule="auto"/>
              <w:jc w:val="both"/>
              <w:rPr>
                <w:rFonts w:ascii="Arial" w:hAnsi="Arial" w:cs="Arial"/>
                <w:sz w:val="24"/>
                <w:szCs w:val="24"/>
                <w:lang w:val="af-ZA"/>
              </w:rPr>
            </w:pPr>
          </w:p>
          <w:p w:rsidR="00476CDE" w:rsidRPr="00EC5CB7" w:rsidRDefault="009816F7" w:rsidP="001A4E7D">
            <w:pPr>
              <w:pStyle w:val="ListParagraph"/>
              <w:numPr>
                <w:ilvl w:val="0"/>
                <w:numId w:val="5"/>
              </w:numPr>
              <w:spacing w:after="0" w:line="360" w:lineRule="auto"/>
              <w:jc w:val="both"/>
              <w:rPr>
                <w:rFonts w:ascii="Arial" w:hAnsi="Arial" w:cs="Arial"/>
                <w:sz w:val="24"/>
                <w:szCs w:val="24"/>
                <w:lang w:val="af-ZA"/>
              </w:rPr>
            </w:pPr>
            <w:r w:rsidRPr="00EC5CB7">
              <w:rPr>
                <w:rFonts w:ascii="Arial" w:hAnsi="Arial" w:cs="Arial"/>
                <w:sz w:val="24"/>
                <w:szCs w:val="24"/>
                <w:lang w:val="af-ZA"/>
              </w:rPr>
              <w:t>The late filing of the heads of argument is hereby condoned</w:t>
            </w:r>
          </w:p>
          <w:p w:rsidR="00476CDE" w:rsidRPr="00EC5CB7" w:rsidRDefault="009816F7" w:rsidP="001A4E7D">
            <w:pPr>
              <w:pStyle w:val="ListParagraph"/>
              <w:numPr>
                <w:ilvl w:val="0"/>
                <w:numId w:val="5"/>
              </w:numPr>
              <w:spacing w:after="0" w:line="360" w:lineRule="auto"/>
              <w:jc w:val="both"/>
              <w:rPr>
                <w:rFonts w:ascii="Arial" w:hAnsi="Arial" w:cs="Arial"/>
                <w:sz w:val="24"/>
                <w:szCs w:val="24"/>
                <w:lang w:val="af-ZA"/>
              </w:rPr>
            </w:pPr>
            <w:r w:rsidRPr="00EC5CB7">
              <w:rPr>
                <w:rFonts w:ascii="Arial" w:hAnsi="Arial" w:cs="Arial"/>
                <w:sz w:val="24"/>
                <w:szCs w:val="24"/>
                <w:lang w:val="af-ZA"/>
              </w:rPr>
              <w:t>The judgement granted on 29 September 2020 and the subsequent Writ of Execution issued by this court, is set aside and leave is granted to the applicants to defend the matter.</w:t>
            </w:r>
          </w:p>
          <w:p w:rsidR="00476CDE" w:rsidRPr="00EC5CB7" w:rsidRDefault="009816F7" w:rsidP="001A4E7D">
            <w:pPr>
              <w:pStyle w:val="ListParagraph"/>
              <w:numPr>
                <w:ilvl w:val="0"/>
                <w:numId w:val="5"/>
              </w:numPr>
              <w:spacing w:after="0" w:line="360" w:lineRule="auto"/>
              <w:jc w:val="both"/>
              <w:rPr>
                <w:rFonts w:ascii="Arial" w:hAnsi="Arial" w:cs="Arial"/>
                <w:sz w:val="24"/>
                <w:szCs w:val="24"/>
                <w:lang w:val="af-ZA"/>
              </w:rPr>
            </w:pPr>
            <w:r w:rsidRPr="00EC5CB7">
              <w:rPr>
                <w:rFonts w:ascii="Arial" w:hAnsi="Arial" w:cs="Arial"/>
                <w:sz w:val="24"/>
                <w:szCs w:val="24"/>
                <w:lang w:val="af-ZA"/>
              </w:rPr>
              <w:t xml:space="preserve">Matter is postponed for a </w:t>
            </w:r>
            <w:r w:rsidR="00EC5CB7">
              <w:rPr>
                <w:rFonts w:ascii="Arial" w:hAnsi="Arial" w:cs="Arial"/>
                <w:sz w:val="24"/>
                <w:szCs w:val="24"/>
                <w:lang w:val="af-ZA"/>
              </w:rPr>
              <w:t xml:space="preserve">case planning conference to 1 February </w:t>
            </w:r>
            <w:r w:rsidRPr="00EC5CB7">
              <w:rPr>
                <w:rFonts w:ascii="Arial" w:hAnsi="Arial" w:cs="Arial"/>
                <w:sz w:val="24"/>
                <w:szCs w:val="24"/>
                <w:lang w:val="af-ZA"/>
              </w:rPr>
              <w:t>2022 at 15h30.</w:t>
            </w:r>
          </w:p>
          <w:p w:rsidR="00950676" w:rsidRPr="00EC5CB7" w:rsidRDefault="009816F7" w:rsidP="001A4E7D">
            <w:pPr>
              <w:pStyle w:val="ListParagraph"/>
              <w:numPr>
                <w:ilvl w:val="0"/>
                <w:numId w:val="5"/>
              </w:numPr>
              <w:spacing w:after="0" w:line="360" w:lineRule="auto"/>
              <w:jc w:val="both"/>
              <w:rPr>
                <w:rFonts w:ascii="Arial" w:hAnsi="Arial" w:cs="Arial"/>
                <w:sz w:val="24"/>
                <w:szCs w:val="24"/>
                <w:lang w:val="af-ZA"/>
              </w:rPr>
            </w:pPr>
            <w:r w:rsidRPr="00EC5CB7">
              <w:rPr>
                <w:rFonts w:ascii="Arial" w:hAnsi="Arial" w:cs="Arial"/>
                <w:sz w:val="24"/>
                <w:szCs w:val="24"/>
                <w:lang w:val="af-ZA"/>
              </w:rPr>
              <w:t>The parties to fil</w:t>
            </w:r>
            <w:r w:rsidR="00EC5CB7">
              <w:rPr>
                <w:rFonts w:ascii="Arial" w:hAnsi="Arial" w:cs="Arial"/>
                <w:sz w:val="24"/>
                <w:szCs w:val="24"/>
                <w:lang w:val="af-ZA"/>
              </w:rPr>
              <w:t xml:space="preserve">e a case plan on or before 27 January </w:t>
            </w:r>
            <w:r w:rsidRPr="00EC5CB7">
              <w:rPr>
                <w:rFonts w:ascii="Arial" w:hAnsi="Arial" w:cs="Arial"/>
                <w:sz w:val="24"/>
                <w:szCs w:val="24"/>
                <w:lang w:val="af-ZA"/>
              </w:rPr>
              <w:t>2022.</w:t>
            </w:r>
          </w:p>
          <w:p w:rsidR="00950676" w:rsidRPr="00AD0332" w:rsidRDefault="00950676" w:rsidP="004667E3">
            <w:pPr>
              <w:spacing w:line="360" w:lineRule="auto"/>
              <w:jc w:val="both"/>
              <w:rPr>
                <w:rFonts w:ascii="Arial" w:hAnsi="Arial" w:cs="Arial"/>
                <w:color w:val="242121"/>
                <w:sz w:val="24"/>
                <w:szCs w:val="24"/>
                <w:shd w:val="clear" w:color="auto" w:fill="FFFFFF"/>
              </w:rPr>
            </w:pPr>
          </w:p>
        </w:tc>
      </w:tr>
      <w:tr w:rsidR="008C642F" w:rsidTr="004667E3">
        <w:tc>
          <w:tcPr>
            <w:tcW w:w="4770" w:type="dxa"/>
          </w:tcPr>
          <w:p w:rsidR="00950676" w:rsidRPr="00AD0332" w:rsidRDefault="009816F7" w:rsidP="004667E3">
            <w:pPr>
              <w:spacing w:line="360" w:lineRule="auto"/>
              <w:jc w:val="center"/>
              <w:rPr>
                <w:rFonts w:ascii="Arial" w:hAnsi="Arial" w:cs="Arial"/>
                <w:b/>
                <w:sz w:val="24"/>
                <w:szCs w:val="24"/>
              </w:rPr>
            </w:pPr>
            <w:r w:rsidRPr="00AD0332">
              <w:rPr>
                <w:rFonts w:ascii="Arial" w:hAnsi="Arial" w:cs="Arial"/>
                <w:b/>
                <w:sz w:val="24"/>
                <w:szCs w:val="24"/>
              </w:rPr>
              <w:lastRenderedPageBreak/>
              <w:t>Judge’s signature</w:t>
            </w:r>
          </w:p>
        </w:tc>
        <w:tc>
          <w:tcPr>
            <w:tcW w:w="4950" w:type="dxa"/>
            <w:gridSpan w:val="2"/>
          </w:tcPr>
          <w:p w:rsidR="00950676" w:rsidRPr="00AD0332" w:rsidRDefault="009816F7" w:rsidP="004667E3">
            <w:pPr>
              <w:spacing w:line="360" w:lineRule="auto"/>
              <w:jc w:val="center"/>
              <w:rPr>
                <w:rFonts w:ascii="Arial" w:hAnsi="Arial" w:cs="Arial"/>
                <w:b/>
                <w:sz w:val="24"/>
                <w:szCs w:val="24"/>
              </w:rPr>
            </w:pPr>
            <w:r w:rsidRPr="00AD0332">
              <w:rPr>
                <w:rFonts w:ascii="Arial" w:hAnsi="Arial" w:cs="Arial"/>
                <w:b/>
                <w:sz w:val="24"/>
                <w:szCs w:val="24"/>
              </w:rPr>
              <w:t>Note to the parties:</w:t>
            </w:r>
          </w:p>
        </w:tc>
      </w:tr>
      <w:tr w:rsidR="008C642F" w:rsidTr="004667E3">
        <w:trPr>
          <w:trHeight w:val="1114"/>
        </w:trPr>
        <w:tc>
          <w:tcPr>
            <w:tcW w:w="4770" w:type="dxa"/>
          </w:tcPr>
          <w:p w:rsidR="00950676" w:rsidRPr="00AD0332" w:rsidRDefault="00950676" w:rsidP="004667E3">
            <w:pPr>
              <w:spacing w:line="360" w:lineRule="auto"/>
              <w:jc w:val="both"/>
              <w:rPr>
                <w:rFonts w:ascii="Arial" w:hAnsi="Arial" w:cs="Arial"/>
                <w:sz w:val="24"/>
                <w:szCs w:val="24"/>
              </w:rPr>
            </w:pPr>
          </w:p>
        </w:tc>
        <w:tc>
          <w:tcPr>
            <w:tcW w:w="4950" w:type="dxa"/>
            <w:gridSpan w:val="2"/>
          </w:tcPr>
          <w:p w:rsidR="00950676" w:rsidRPr="00AD0332" w:rsidRDefault="009816F7" w:rsidP="004667E3">
            <w:pPr>
              <w:spacing w:line="360" w:lineRule="auto"/>
              <w:jc w:val="both"/>
              <w:rPr>
                <w:rFonts w:ascii="Arial" w:hAnsi="Arial" w:cs="Arial"/>
                <w:sz w:val="24"/>
                <w:szCs w:val="24"/>
              </w:rPr>
            </w:pPr>
            <w:r w:rsidRPr="00AD0332">
              <w:rPr>
                <w:rFonts w:ascii="Arial" w:hAnsi="Arial" w:cs="Arial"/>
                <w:sz w:val="24"/>
                <w:szCs w:val="24"/>
              </w:rPr>
              <w:t>Not applicable.</w:t>
            </w:r>
          </w:p>
        </w:tc>
      </w:tr>
      <w:tr w:rsidR="008C642F" w:rsidTr="004667E3">
        <w:tc>
          <w:tcPr>
            <w:tcW w:w="9720" w:type="dxa"/>
            <w:gridSpan w:val="3"/>
          </w:tcPr>
          <w:p w:rsidR="00950676" w:rsidRPr="00AD0332" w:rsidRDefault="009816F7" w:rsidP="004667E3">
            <w:pPr>
              <w:spacing w:line="360" w:lineRule="auto"/>
              <w:jc w:val="center"/>
              <w:rPr>
                <w:rFonts w:ascii="Arial" w:hAnsi="Arial" w:cs="Arial"/>
                <w:b/>
                <w:sz w:val="24"/>
                <w:szCs w:val="24"/>
              </w:rPr>
            </w:pPr>
            <w:r w:rsidRPr="00AD0332">
              <w:rPr>
                <w:rFonts w:ascii="Arial" w:hAnsi="Arial" w:cs="Arial"/>
                <w:b/>
                <w:sz w:val="24"/>
                <w:szCs w:val="24"/>
              </w:rPr>
              <w:t>Counsel:</w:t>
            </w:r>
          </w:p>
        </w:tc>
      </w:tr>
      <w:tr w:rsidR="008C642F" w:rsidTr="004667E3">
        <w:tc>
          <w:tcPr>
            <w:tcW w:w="4770" w:type="dxa"/>
          </w:tcPr>
          <w:p w:rsidR="00950676" w:rsidRPr="00AD0332" w:rsidRDefault="009816F7" w:rsidP="004667E3">
            <w:pPr>
              <w:spacing w:line="360" w:lineRule="auto"/>
              <w:jc w:val="center"/>
              <w:rPr>
                <w:rFonts w:ascii="Arial" w:hAnsi="Arial" w:cs="Arial"/>
                <w:b/>
                <w:sz w:val="24"/>
                <w:szCs w:val="24"/>
              </w:rPr>
            </w:pPr>
            <w:r w:rsidRPr="00AD0332">
              <w:rPr>
                <w:rFonts w:ascii="Arial" w:hAnsi="Arial" w:cs="Arial"/>
                <w:b/>
                <w:sz w:val="24"/>
                <w:szCs w:val="24"/>
              </w:rPr>
              <w:t>Applicant</w:t>
            </w:r>
            <w:r w:rsidR="00190BB3" w:rsidRPr="00AD0332">
              <w:rPr>
                <w:rFonts w:ascii="Arial" w:hAnsi="Arial" w:cs="Arial"/>
                <w:b/>
                <w:sz w:val="24"/>
                <w:szCs w:val="24"/>
              </w:rPr>
              <w:t>s</w:t>
            </w:r>
          </w:p>
        </w:tc>
        <w:tc>
          <w:tcPr>
            <w:tcW w:w="4950" w:type="dxa"/>
            <w:gridSpan w:val="2"/>
          </w:tcPr>
          <w:p w:rsidR="00950676" w:rsidRPr="00AD0332" w:rsidRDefault="009816F7" w:rsidP="004667E3">
            <w:pPr>
              <w:spacing w:line="360" w:lineRule="auto"/>
              <w:jc w:val="center"/>
              <w:rPr>
                <w:rFonts w:ascii="Arial" w:hAnsi="Arial" w:cs="Arial"/>
                <w:b/>
                <w:sz w:val="24"/>
                <w:szCs w:val="24"/>
              </w:rPr>
            </w:pPr>
            <w:r w:rsidRPr="00AD0332">
              <w:rPr>
                <w:rFonts w:ascii="Arial" w:hAnsi="Arial" w:cs="Arial"/>
                <w:b/>
                <w:sz w:val="24"/>
                <w:szCs w:val="24"/>
              </w:rPr>
              <w:t xml:space="preserve"> Respondent</w:t>
            </w:r>
          </w:p>
        </w:tc>
      </w:tr>
      <w:tr w:rsidR="008C642F" w:rsidTr="004667E3">
        <w:tc>
          <w:tcPr>
            <w:tcW w:w="4770" w:type="dxa"/>
          </w:tcPr>
          <w:p w:rsidR="00476CDE" w:rsidRDefault="00EC5CB7" w:rsidP="004667E3">
            <w:pPr>
              <w:spacing w:line="360" w:lineRule="auto"/>
              <w:jc w:val="center"/>
              <w:rPr>
                <w:rFonts w:ascii="Arial" w:hAnsi="Arial" w:cs="Arial"/>
                <w:sz w:val="24"/>
                <w:szCs w:val="24"/>
              </w:rPr>
            </w:pPr>
            <w:r>
              <w:rPr>
                <w:rFonts w:ascii="Arial" w:hAnsi="Arial" w:cs="Arial"/>
                <w:sz w:val="24"/>
                <w:szCs w:val="24"/>
              </w:rPr>
              <w:t>W</w:t>
            </w:r>
            <w:r w:rsidR="009816F7" w:rsidRPr="00476CDE">
              <w:rPr>
                <w:rFonts w:ascii="Arial" w:hAnsi="Arial" w:cs="Arial"/>
                <w:sz w:val="24"/>
                <w:szCs w:val="24"/>
              </w:rPr>
              <w:t xml:space="preserve"> Chinsembu</w:t>
            </w:r>
          </w:p>
          <w:p w:rsidR="00EC5CB7" w:rsidRDefault="00EC5CB7" w:rsidP="004667E3">
            <w:pPr>
              <w:spacing w:line="360" w:lineRule="auto"/>
              <w:jc w:val="center"/>
              <w:rPr>
                <w:rFonts w:ascii="Arial" w:hAnsi="Arial" w:cs="Arial"/>
                <w:sz w:val="24"/>
                <w:szCs w:val="24"/>
              </w:rPr>
            </w:pPr>
            <w:r>
              <w:rPr>
                <w:rFonts w:ascii="Arial" w:hAnsi="Arial" w:cs="Arial"/>
                <w:sz w:val="24"/>
                <w:szCs w:val="24"/>
              </w:rPr>
              <w:t xml:space="preserve">of </w:t>
            </w:r>
          </w:p>
          <w:p w:rsidR="00476CDE" w:rsidRPr="00AD0332" w:rsidRDefault="009816F7" w:rsidP="004667E3">
            <w:pPr>
              <w:spacing w:line="360" w:lineRule="auto"/>
              <w:jc w:val="center"/>
              <w:rPr>
                <w:rFonts w:ascii="Arial" w:hAnsi="Arial" w:cs="Arial"/>
                <w:sz w:val="24"/>
                <w:szCs w:val="24"/>
              </w:rPr>
            </w:pPr>
            <w:r w:rsidRPr="00476CDE">
              <w:rPr>
                <w:rFonts w:ascii="Arial" w:hAnsi="Arial" w:cs="Arial"/>
                <w:sz w:val="24"/>
                <w:szCs w:val="24"/>
              </w:rPr>
              <w:t>Henry Shimutwikeni &amp; Co Inc</w:t>
            </w:r>
          </w:p>
        </w:tc>
        <w:tc>
          <w:tcPr>
            <w:tcW w:w="4950" w:type="dxa"/>
            <w:gridSpan w:val="2"/>
          </w:tcPr>
          <w:p w:rsidR="00950676" w:rsidRDefault="00EC5CB7" w:rsidP="004667E3">
            <w:pPr>
              <w:spacing w:line="360" w:lineRule="auto"/>
              <w:jc w:val="center"/>
              <w:rPr>
                <w:rFonts w:ascii="Arial" w:hAnsi="Arial" w:cs="Arial"/>
                <w:sz w:val="24"/>
                <w:szCs w:val="24"/>
              </w:rPr>
            </w:pPr>
            <w:r>
              <w:rPr>
                <w:rFonts w:ascii="Arial" w:hAnsi="Arial" w:cs="Arial"/>
                <w:sz w:val="24"/>
                <w:szCs w:val="24"/>
              </w:rPr>
              <w:t>T</w:t>
            </w:r>
            <w:r w:rsidR="009816F7" w:rsidRPr="00476CDE">
              <w:rPr>
                <w:rFonts w:ascii="Arial" w:hAnsi="Arial" w:cs="Arial"/>
                <w:sz w:val="24"/>
                <w:szCs w:val="24"/>
              </w:rPr>
              <w:t xml:space="preserve"> Luvindao</w:t>
            </w:r>
          </w:p>
          <w:p w:rsidR="00EC5CB7" w:rsidRDefault="00EC5CB7" w:rsidP="004667E3">
            <w:pPr>
              <w:spacing w:line="360" w:lineRule="auto"/>
              <w:jc w:val="center"/>
              <w:rPr>
                <w:rFonts w:ascii="Arial" w:hAnsi="Arial" w:cs="Arial"/>
                <w:sz w:val="24"/>
                <w:szCs w:val="24"/>
              </w:rPr>
            </w:pPr>
            <w:r>
              <w:rPr>
                <w:rFonts w:ascii="Arial" w:hAnsi="Arial" w:cs="Arial"/>
                <w:sz w:val="24"/>
                <w:szCs w:val="24"/>
              </w:rPr>
              <w:t xml:space="preserve">of </w:t>
            </w:r>
          </w:p>
          <w:p w:rsidR="00476CDE" w:rsidRPr="00476CDE" w:rsidRDefault="009816F7" w:rsidP="004667E3">
            <w:pPr>
              <w:spacing w:line="360" w:lineRule="auto"/>
              <w:jc w:val="center"/>
              <w:rPr>
                <w:rFonts w:ascii="Arial" w:hAnsi="Arial" w:cs="Arial"/>
                <w:sz w:val="24"/>
                <w:szCs w:val="24"/>
              </w:rPr>
            </w:pPr>
            <w:r>
              <w:rPr>
                <w:rFonts w:ascii="Arial" w:hAnsi="Arial" w:cs="Arial"/>
                <w:sz w:val="24"/>
                <w:szCs w:val="24"/>
              </w:rPr>
              <w:t>Weder, Kauta and Hoveka</w:t>
            </w:r>
          </w:p>
        </w:tc>
      </w:tr>
    </w:tbl>
    <w:p w:rsidR="00627FDD" w:rsidRPr="00AD0332" w:rsidRDefault="00627FDD">
      <w:pPr>
        <w:rPr>
          <w:rFonts w:ascii="Arial" w:hAnsi="Arial" w:cs="Arial"/>
        </w:rPr>
      </w:pPr>
    </w:p>
    <w:sectPr w:rsidR="00627FDD" w:rsidRPr="00AD0332" w:rsidSect="003D0BA1">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17" w:rsidRDefault="002C5E17">
      <w:pPr>
        <w:spacing w:after="0" w:line="240" w:lineRule="auto"/>
      </w:pPr>
      <w:r>
        <w:separator/>
      </w:r>
    </w:p>
  </w:endnote>
  <w:endnote w:type="continuationSeparator" w:id="0">
    <w:p w:rsidR="002C5E17" w:rsidRDefault="002C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36B8D">
    <w:pPr>
      <w:pStyle w:val="Footer"/>
      <w:jc w:val="right"/>
    </w:pPr>
  </w:p>
  <w:p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17" w:rsidRDefault="002C5E17">
      <w:pPr>
        <w:spacing w:after="0" w:line="240" w:lineRule="auto"/>
      </w:pPr>
      <w:r>
        <w:separator/>
      </w:r>
    </w:p>
  </w:footnote>
  <w:footnote w:type="continuationSeparator" w:id="0">
    <w:p w:rsidR="002C5E17" w:rsidRDefault="002C5E17">
      <w:pPr>
        <w:spacing w:after="0" w:line="240" w:lineRule="auto"/>
      </w:pPr>
      <w:r>
        <w:continuationSeparator/>
      </w:r>
    </w:p>
  </w:footnote>
  <w:footnote w:id="1">
    <w:p w:rsidR="00ED54F4" w:rsidRPr="001A4E7D" w:rsidRDefault="009816F7">
      <w:pPr>
        <w:pStyle w:val="FootnoteText"/>
        <w:rPr>
          <w:rFonts w:ascii="Arial" w:hAnsi="Arial" w:cs="Arial"/>
          <w:lang w:val="en-US"/>
        </w:rPr>
      </w:pPr>
      <w:r w:rsidRPr="001A4E7D">
        <w:rPr>
          <w:rStyle w:val="FootnoteReference"/>
          <w:rFonts w:ascii="Arial" w:hAnsi="Arial" w:cs="Arial"/>
        </w:rPr>
        <w:footnoteRef/>
      </w:r>
      <w:r w:rsidRPr="001A4E7D">
        <w:rPr>
          <w:rFonts w:ascii="Arial" w:hAnsi="Arial" w:cs="Arial"/>
        </w:rPr>
        <w:t xml:space="preserve"> </w:t>
      </w:r>
      <w:r w:rsidRPr="001A4E7D">
        <w:rPr>
          <w:rFonts w:ascii="Arial" w:hAnsi="Arial" w:cs="Arial"/>
          <w:i/>
        </w:rPr>
        <w:t>Krauer and Another v Metzger</w:t>
      </w:r>
      <w:r w:rsidRPr="001A4E7D">
        <w:rPr>
          <w:rFonts w:ascii="Arial" w:hAnsi="Arial" w:cs="Arial"/>
        </w:rPr>
        <w:t xml:space="preserve"> (2) - 1990 NR 135 (HC)</w:t>
      </w:r>
      <w:r w:rsidR="001A4E7D" w:rsidRPr="001A4E7D">
        <w:rPr>
          <w:rFonts w:ascii="Arial" w:hAnsi="Arial" w:cs="Arial"/>
        </w:rPr>
        <w:t>.</w:t>
      </w:r>
    </w:p>
  </w:footnote>
  <w:footnote w:id="2">
    <w:p w:rsidR="00ED54F4" w:rsidRPr="00EC5CB7" w:rsidRDefault="009816F7">
      <w:pPr>
        <w:pStyle w:val="FootnoteText"/>
        <w:rPr>
          <w:rFonts w:ascii="Arial" w:hAnsi="Arial" w:cs="Arial"/>
          <w:lang w:val="en-US"/>
        </w:rPr>
      </w:pPr>
      <w:r w:rsidRPr="00EC5CB7">
        <w:rPr>
          <w:rStyle w:val="FootnoteReference"/>
          <w:rFonts w:ascii="Arial" w:hAnsi="Arial" w:cs="Arial"/>
        </w:rPr>
        <w:footnoteRef/>
      </w:r>
      <w:r w:rsidR="00EC5CB7" w:rsidRPr="00EC5CB7">
        <w:rPr>
          <w:rFonts w:ascii="Arial" w:hAnsi="Arial" w:cs="Arial"/>
          <w:i/>
          <w:lang w:val="af-ZA"/>
        </w:rPr>
        <w:t xml:space="preserve"> Katzao v Trustco Group International (Pty) Ltd and Another</w:t>
      </w:r>
      <w:r w:rsidRPr="00EC5CB7">
        <w:rPr>
          <w:rFonts w:ascii="Arial" w:hAnsi="Arial" w:cs="Arial"/>
        </w:rPr>
        <w:t xml:space="preserve"> </w:t>
      </w:r>
      <w:r w:rsidR="00EC5CB7" w:rsidRPr="00EC5CB7">
        <w:rPr>
          <w:rFonts w:ascii="Arial" w:hAnsi="Arial" w:cs="Arial"/>
        </w:rPr>
        <w:t>[2011] NAHC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9816F7">
        <w:pPr>
          <w:pStyle w:val="Header"/>
          <w:jc w:val="right"/>
        </w:pPr>
        <w:r>
          <w:fldChar w:fldCharType="begin"/>
        </w:r>
        <w:r>
          <w:instrText xml:space="preserve"> PAGE   \* MERGEFORMAT </w:instrText>
        </w:r>
        <w:r>
          <w:fldChar w:fldCharType="separate"/>
        </w:r>
        <w:r w:rsidR="001C47E1">
          <w:rPr>
            <w:noProof/>
          </w:rPr>
          <w:t>6</w:t>
        </w:r>
        <w:r>
          <w:rPr>
            <w:noProof/>
          </w:rPr>
          <w:fldChar w:fldCharType="end"/>
        </w:r>
      </w:p>
    </w:sdtContent>
  </w:sdt>
  <w:p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5204"/>
    <w:multiLevelType w:val="hybridMultilevel"/>
    <w:tmpl w:val="9FB42B30"/>
    <w:lvl w:ilvl="0" w:tplc="BA32B2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76DC1"/>
    <w:multiLevelType w:val="hybridMultilevel"/>
    <w:tmpl w:val="856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40FC3"/>
    <w:multiLevelType w:val="hybridMultilevel"/>
    <w:tmpl w:val="BD249314"/>
    <w:lvl w:ilvl="0" w:tplc="A2DEC94E">
      <w:start w:val="1"/>
      <w:numFmt w:val="lowerLetter"/>
      <w:lvlText w:val="%1)"/>
      <w:lvlJc w:val="left"/>
      <w:pPr>
        <w:ind w:left="720" w:hanging="360"/>
      </w:pPr>
      <w:rPr>
        <w:rFonts w:hint="default"/>
      </w:rPr>
    </w:lvl>
    <w:lvl w:ilvl="1" w:tplc="3028B36C" w:tentative="1">
      <w:start w:val="1"/>
      <w:numFmt w:val="lowerLetter"/>
      <w:lvlText w:val="%2."/>
      <w:lvlJc w:val="left"/>
      <w:pPr>
        <w:ind w:left="1440" w:hanging="360"/>
      </w:pPr>
    </w:lvl>
    <w:lvl w:ilvl="2" w:tplc="D0166364" w:tentative="1">
      <w:start w:val="1"/>
      <w:numFmt w:val="lowerRoman"/>
      <w:lvlText w:val="%3."/>
      <w:lvlJc w:val="right"/>
      <w:pPr>
        <w:ind w:left="2160" w:hanging="180"/>
      </w:pPr>
    </w:lvl>
    <w:lvl w:ilvl="3" w:tplc="6E88E1F8" w:tentative="1">
      <w:start w:val="1"/>
      <w:numFmt w:val="decimal"/>
      <w:lvlText w:val="%4."/>
      <w:lvlJc w:val="left"/>
      <w:pPr>
        <w:ind w:left="2880" w:hanging="360"/>
      </w:pPr>
    </w:lvl>
    <w:lvl w:ilvl="4" w:tplc="9C7A9E94" w:tentative="1">
      <w:start w:val="1"/>
      <w:numFmt w:val="lowerLetter"/>
      <w:lvlText w:val="%5."/>
      <w:lvlJc w:val="left"/>
      <w:pPr>
        <w:ind w:left="3600" w:hanging="360"/>
      </w:pPr>
    </w:lvl>
    <w:lvl w:ilvl="5" w:tplc="26ACEB52" w:tentative="1">
      <w:start w:val="1"/>
      <w:numFmt w:val="lowerRoman"/>
      <w:lvlText w:val="%6."/>
      <w:lvlJc w:val="right"/>
      <w:pPr>
        <w:ind w:left="4320" w:hanging="180"/>
      </w:pPr>
    </w:lvl>
    <w:lvl w:ilvl="6" w:tplc="4A867B1E" w:tentative="1">
      <w:start w:val="1"/>
      <w:numFmt w:val="decimal"/>
      <w:lvlText w:val="%7."/>
      <w:lvlJc w:val="left"/>
      <w:pPr>
        <w:ind w:left="5040" w:hanging="360"/>
      </w:pPr>
    </w:lvl>
    <w:lvl w:ilvl="7" w:tplc="BF2471D4" w:tentative="1">
      <w:start w:val="1"/>
      <w:numFmt w:val="lowerLetter"/>
      <w:lvlText w:val="%8."/>
      <w:lvlJc w:val="left"/>
      <w:pPr>
        <w:ind w:left="5760" w:hanging="360"/>
      </w:pPr>
    </w:lvl>
    <w:lvl w:ilvl="8" w:tplc="3BE40C7E" w:tentative="1">
      <w:start w:val="1"/>
      <w:numFmt w:val="lowerRoman"/>
      <w:lvlText w:val="%9."/>
      <w:lvlJc w:val="right"/>
      <w:pPr>
        <w:ind w:left="6480" w:hanging="180"/>
      </w:pPr>
    </w:lvl>
  </w:abstractNum>
  <w:abstractNum w:abstractNumId="3" w15:restartNumberingAfterBreak="0">
    <w:nsid w:val="39844065"/>
    <w:multiLevelType w:val="hybridMultilevel"/>
    <w:tmpl w:val="5BEE4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94F64"/>
    <w:multiLevelType w:val="hybridMultilevel"/>
    <w:tmpl w:val="5BEE4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5FB5"/>
    <w:rsid w:val="000D4AF7"/>
    <w:rsid w:val="00123FD1"/>
    <w:rsid w:val="0013534D"/>
    <w:rsid w:val="00145F7E"/>
    <w:rsid w:val="00164F37"/>
    <w:rsid w:val="00182236"/>
    <w:rsid w:val="00190BB3"/>
    <w:rsid w:val="00195714"/>
    <w:rsid w:val="001A4E7D"/>
    <w:rsid w:val="001C47E1"/>
    <w:rsid w:val="001E7265"/>
    <w:rsid w:val="00240D15"/>
    <w:rsid w:val="00294086"/>
    <w:rsid w:val="002C32C0"/>
    <w:rsid w:val="002C5E17"/>
    <w:rsid w:val="002E76C8"/>
    <w:rsid w:val="00354864"/>
    <w:rsid w:val="00354BD2"/>
    <w:rsid w:val="003B481B"/>
    <w:rsid w:val="003D0BA1"/>
    <w:rsid w:val="00403896"/>
    <w:rsid w:val="004667E3"/>
    <w:rsid w:val="00474823"/>
    <w:rsid w:val="00476C95"/>
    <w:rsid w:val="00476CDE"/>
    <w:rsid w:val="00491DDE"/>
    <w:rsid w:val="004B35D6"/>
    <w:rsid w:val="004D04EA"/>
    <w:rsid w:val="005330BF"/>
    <w:rsid w:val="00536B8D"/>
    <w:rsid w:val="0054152C"/>
    <w:rsid w:val="005B5600"/>
    <w:rsid w:val="00627FDD"/>
    <w:rsid w:val="006B7A53"/>
    <w:rsid w:val="006F4541"/>
    <w:rsid w:val="007108A7"/>
    <w:rsid w:val="007B0F64"/>
    <w:rsid w:val="007B135F"/>
    <w:rsid w:val="007D14A2"/>
    <w:rsid w:val="007E39A5"/>
    <w:rsid w:val="0084585F"/>
    <w:rsid w:val="00865FAA"/>
    <w:rsid w:val="008834B5"/>
    <w:rsid w:val="008907BD"/>
    <w:rsid w:val="008A7EF2"/>
    <w:rsid w:val="008B0F26"/>
    <w:rsid w:val="008B3556"/>
    <w:rsid w:val="008C642F"/>
    <w:rsid w:val="0091026B"/>
    <w:rsid w:val="00911788"/>
    <w:rsid w:val="00950676"/>
    <w:rsid w:val="00950A33"/>
    <w:rsid w:val="009816F7"/>
    <w:rsid w:val="009974FC"/>
    <w:rsid w:val="009F3BC1"/>
    <w:rsid w:val="00A41781"/>
    <w:rsid w:val="00AA11C6"/>
    <w:rsid w:val="00AB6794"/>
    <w:rsid w:val="00AC1983"/>
    <w:rsid w:val="00AD0332"/>
    <w:rsid w:val="00AE69ED"/>
    <w:rsid w:val="00AE79A4"/>
    <w:rsid w:val="00B21E34"/>
    <w:rsid w:val="00B707AE"/>
    <w:rsid w:val="00BF569E"/>
    <w:rsid w:val="00CA074C"/>
    <w:rsid w:val="00CC59C6"/>
    <w:rsid w:val="00CE26AF"/>
    <w:rsid w:val="00CE5D7A"/>
    <w:rsid w:val="00D2279E"/>
    <w:rsid w:val="00D6574C"/>
    <w:rsid w:val="00D835B6"/>
    <w:rsid w:val="00D92FF3"/>
    <w:rsid w:val="00DC0ED4"/>
    <w:rsid w:val="00DC6EEA"/>
    <w:rsid w:val="00DD7326"/>
    <w:rsid w:val="00E00AB4"/>
    <w:rsid w:val="00E01384"/>
    <w:rsid w:val="00E17A14"/>
    <w:rsid w:val="00E30DBA"/>
    <w:rsid w:val="00E72FB5"/>
    <w:rsid w:val="00E93A13"/>
    <w:rsid w:val="00EC5CB7"/>
    <w:rsid w:val="00ED1F32"/>
    <w:rsid w:val="00ED54F4"/>
    <w:rsid w:val="00ED6675"/>
    <w:rsid w:val="00EF3C44"/>
    <w:rsid w:val="00EF49DE"/>
    <w:rsid w:val="00F44B2D"/>
    <w:rsid w:val="00FB09C0"/>
    <w:rsid w:val="00FB1202"/>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2E34A-93A7-47FD-A6D6-A3C4DA3D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FootnoteText">
    <w:name w:val="footnote text"/>
    <w:basedOn w:val="Normal"/>
    <w:link w:val="FootnoteTextChar"/>
    <w:uiPriority w:val="99"/>
    <w:semiHidden/>
    <w:unhideWhenUsed/>
    <w:rsid w:val="00ED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4F4"/>
    <w:rPr>
      <w:sz w:val="20"/>
      <w:szCs w:val="20"/>
      <w:lang w:val="en-ZA"/>
    </w:rPr>
  </w:style>
  <w:style w:type="character" w:styleId="FootnoteReference">
    <w:name w:val="footnote reference"/>
    <w:basedOn w:val="DefaultParagraphFont"/>
    <w:uiPriority w:val="99"/>
    <w:semiHidden/>
    <w:unhideWhenUsed/>
    <w:rsid w:val="00ED54F4"/>
    <w:rPr>
      <w:vertAlign w:val="superscript"/>
    </w:rPr>
  </w:style>
  <w:style w:type="paragraph" w:styleId="ListParagraph">
    <w:name w:val="List Paragraph"/>
    <w:basedOn w:val="Normal"/>
    <w:uiPriority w:val="34"/>
    <w:qFormat/>
    <w:rsid w:val="00EC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2021-12-07T18:30:00+00:00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C3F3-50FE-425A-8ABA-4D2FB7A7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0687-E22D-4A10-A273-40DDC9616F2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E6DC4C45-E2FE-4E90-B83D-8C32FD0AFD35}">
  <ds:schemaRefs>
    <ds:schemaRef ds:uri="http://schemas.microsoft.com/sharepoint/v3/contenttype/forms"/>
  </ds:schemaRefs>
</ds:datastoreItem>
</file>

<file path=customXml/itemProps4.xml><?xml version="1.0" encoding="utf-8"?>
<ds:datastoreItem xmlns:ds="http://schemas.openxmlformats.org/officeDocument/2006/customXml" ds:itemID="{B5F8BA57-7CF4-4758-A2B9-99BE5FFB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Opperman v Mathias (HC-MD-CIV-ACT-DEL-2020-02873) [2021] NAHCMD 581 (8 December 2021)</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Opperman v Mathias (HC-MD-CIV-ACT-DEL-2020-02873) [2021] NAHCMD 581 (8 December 2021)</dc:title>
  <dc:creator>Priscilla Nande</dc:creator>
  <cp:lastModifiedBy>HOME</cp:lastModifiedBy>
  <cp:revision>2</cp:revision>
  <cp:lastPrinted>2021-12-08T06:55:00Z</cp:lastPrinted>
  <dcterms:created xsi:type="dcterms:W3CDTF">2021-12-19T09:33:00Z</dcterms:created>
  <dcterms:modified xsi:type="dcterms:W3CDTF">2021-12-19T09:33:00Z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