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5F" w:rsidRPr="00060624" w:rsidRDefault="00B8145F" w:rsidP="00B8145F">
      <w:pPr>
        <w:spacing w:after="0" w:line="360" w:lineRule="auto"/>
        <w:jc w:val="center"/>
        <w:rPr>
          <w:rFonts w:ascii="Arial" w:hAnsi="Arial" w:cs="Arial"/>
          <w:sz w:val="24"/>
          <w:szCs w:val="24"/>
        </w:rPr>
      </w:pPr>
      <w:bookmarkStart w:id="0" w:name="_GoBack"/>
      <w:bookmarkEnd w:id="0"/>
      <w:r w:rsidRPr="00060624">
        <w:rPr>
          <w:rFonts w:ascii="Arial" w:hAnsi="Arial" w:cs="Arial"/>
          <w:sz w:val="24"/>
          <w:szCs w:val="24"/>
        </w:rPr>
        <w:t>Practice Directive 61</w:t>
      </w:r>
    </w:p>
    <w:p w:rsidR="00B8145F" w:rsidRPr="00060624" w:rsidRDefault="00B8145F" w:rsidP="00B8145F">
      <w:pPr>
        <w:spacing w:after="0" w:line="360" w:lineRule="auto"/>
        <w:jc w:val="both"/>
        <w:rPr>
          <w:rFonts w:ascii="Arial" w:hAnsi="Arial" w:cs="Arial"/>
          <w:sz w:val="24"/>
          <w:szCs w:val="24"/>
        </w:rPr>
      </w:pPr>
    </w:p>
    <w:p w:rsidR="00B8145F" w:rsidRPr="00852765" w:rsidRDefault="00B8145F" w:rsidP="00B8145F">
      <w:pPr>
        <w:spacing w:after="0" w:line="360" w:lineRule="auto"/>
        <w:jc w:val="center"/>
        <w:rPr>
          <w:rFonts w:ascii="Arial" w:hAnsi="Arial" w:cs="Arial"/>
          <w:b/>
          <w:sz w:val="24"/>
          <w:szCs w:val="24"/>
          <w:lang w:val="en-GB"/>
        </w:rPr>
      </w:pPr>
      <w:r w:rsidRPr="00852765">
        <w:rPr>
          <w:rFonts w:ascii="Arial" w:hAnsi="Arial" w:cs="Arial"/>
          <w:b/>
          <w:sz w:val="24"/>
          <w:szCs w:val="24"/>
          <w:lang w:val="en-GB"/>
        </w:rPr>
        <w:t>REPUBLIC OF NAMIBIA</w:t>
      </w:r>
    </w:p>
    <w:p w:rsidR="00B8145F" w:rsidRPr="00852765" w:rsidRDefault="00B8145F" w:rsidP="00B8145F">
      <w:pPr>
        <w:spacing w:after="0" w:line="360" w:lineRule="auto"/>
        <w:jc w:val="center"/>
        <w:rPr>
          <w:rFonts w:ascii="Arial" w:hAnsi="Arial" w:cs="Arial"/>
          <w:b/>
          <w:sz w:val="24"/>
          <w:szCs w:val="24"/>
          <w:lang w:val="en-GB"/>
        </w:rPr>
      </w:pPr>
      <w:r w:rsidRPr="00852765">
        <w:rPr>
          <w:rFonts w:ascii="Arial" w:hAnsi="Arial" w:cs="Arial"/>
          <w:b/>
          <w:noProof/>
          <w:sz w:val="24"/>
          <w:szCs w:val="24"/>
          <w:lang w:eastAsia="en-ZA"/>
        </w:rPr>
        <w:drawing>
          <wp:inline distT="0" distB="0" distL="0" distR="0" wp14:anchorId="23074242" wp14:editId="688599FE">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0" cstate="print"/>
                    <a:stretch>
                      <a:fillRect/>
                    </a:stretch>
                  </pic:blipFill>
                  <pic:spPr>
                    <a:xfrm>
                      <a:off x="0" y="0"/>
                      <a:ext cx="1276350" cy="1329024"/>
                    </a:xfrm>
                    <a:prstGeom prst="rect">
                      <a:avLst/>
                    </a:prstGeom>
                  </pic:spPr>
                </pic:pic>
              </a:graphicData>
            </a:graphic>
          </wp:inline>
        </w:drawing>
      </w:r>
    </w:p>
    <w:p w:rsidR="00B8145F" w:rsidRPr="00852765" w:rsidRDefault="00B8145F" w:rsidP="00B8145F">
      <w:pPr>
        <w:spacing w:after="0" w:line="360" w:lineRule="auto"/>
        <w:jc w:val="center"/>
        <w:rPr>
          <w:rFonts w:ascii="Arial" w:hAnsi="Arial" w:cs="Arial"/>
          <w:b/>
          <w:bCs/>
          <w:sz w:val="24"/>
          <w:szCs w:val="24"/>
          <w:lang w:val="en-GB"/>
        </w:rPr>
      </w:pPr>
      <w:r w:rsidRPr="00852765">
        <w:rPr>
          <w:rFonts w:ascii="Arial" w:hAnsi="Arial" w:cs="Arial"/>
          <w:b/>
          <w:sz w:val="24"/>
          <w:szCs w:val="24"/>
          <w:lang w:val="en-GB"/>
        </w:rPr>
        <w:t>HIGH COURT OF NAMIBIA MAIN DIVISION, WINDHOEK</w:t>
      </w:r>
    </w:p>
    <w:p w:rsidR="00B8145F" w:rsidRPr="00852765" w:rsidRDefault="00B8145F" w:rsidP="00B8145F">
      <w:pPr>
        <w:tabs>
          <w:tab w:val="center" w:pos="4513"/>
          <w:tab w:val="left" w:pos="7920"/>
        </w:tabs>
        <w:spacing w:after="0" w:line="360" w:lineRule="auto"/>
        <w:rPr>
          <w:rFonts w:ascii="Arial" w:hAnsi="Arial" w:cs="Arial"/>
          <w:b/>
          <w:sz w:val="24"/>
          <w:szCs w:val="24"/>
          <w:lang w:val="en-GB"/>
        </w:rPr>
      </w:pPr>
      <w:r>
        <w:rPr>
          <w:rFonts w:ascii="Arial" w:hAnsi="Arial" w:cs="Arial"/>
          <w:b/>
          <w:sz w:val="24"/>
          <w:szCs w:val="24"/>
          <w:lang w:val="en-GB"/>
        </w:rPr>
        <w:tab/>
      </w:r>
      <w:r w:rsidRPr="00852765">
        <w:rPr>
          <w:rFonts w:ascii="Arial" w:hAnsi="Arial" w:cs="Arial"/>
          <w:b/>
          <w:sz w:val="24"/>
          <w:szCs w:val="24"/>
          <w:lang w:val="en-GB"/>
        </w:rPr>
        <w:t>RULING</w:t>
      </w:r>
      <w:r>
        <w:rPr>
          <w:rFonts w:ascii="Arial" w:hAnsi="Arial" w:cs="Arial"/>
          <w:b/>
          <w:sz w:val="24"/>
          <w:szCs w:val="24"/>
          <w:lang w:val="en-GB"/>
        </w:rPr>
        <w:tab/>
      </w:r>
    </w:p>
    <w:p w:rsidR="00B8145F" w:rsidRPr="00060624" w:rsidRDefault="00B8145F" w:rsidP="00B8145F">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B8145F" w:rsidTr="00167FA0">
        <w:trPr>
          <w:trHeight w:val="744"/>
        </w:trPr>
        <w:tc>
          <w:tcPr>
            <w:tcW w:w="5397" w:type="dxa"/>
            <w:gridSpan w:val="2"/>
            <w:vMerge w:val="restart"/>
          </w:tcPr>
          <w:p w:rsidR="00B8145F" w:rsidRPr="00060624" w:rsidRDefault="00B8145F" w:rsidP="00167FA0">
            <w:pPr>
              <w:spacing w:line="360" w:lineRule="auto"/>
              <w:jc w:val="both"/>
              <w:rPr>
                <w:rFonts w:ascii="Arial" w:hAnsi="Arial" w:cs="Arial"/>
                <w:sz w:val="24"/>
                <w:szCs w:val="24"/>
              </w:rPr>
            </w:pPr>
            <w:r w:rsidRPr="00060624">
              <w:rPr>
                <w:rFonts w:ascii="Arial" w:hAnsi="Arial" w:cs="Arial"/>
                <w:b/>
                <w:sz w:val="24"/>
                <w:szCs w:val="24"/>
              </w:rPr>
              <w:t>Case Title:</w:t>
            </w:r>
          </w:p>
          <w:p w:rsidR="00B8145F" w:rsidRDefault="00B8145F" w:rsidP="00167FA0">
            <w:pPr>
              <w:spacing w:line="360" w:lineRule="auto"/>
              <w:rPr>
                <w:rFonts w:ascii="Arial" w:eastAsia="Times New Roman" w:hAnsi="Arial" w:cs="Arial"/>
                <w:sz w:val="24"/>
                <w:szCs w:val="24"/>
              </w:rPr>
            </w:pPr>
            <w:r>
              <w:rPr>
                <w:rFonts w:ascii="Arial" w:eastAsia="Times New Roman" w:hAnsi="Arial" w:cs="Arial"/>
                <w:sz w:val="24"/>
                <w:szCs w:val="24"/>
              </w:rPr>
              <w:t>University o</w:t>
            </w:r>
            <w:r w:rsidRPr="006578AC">
              <w:rPr>
                <w:rFonts w:ascii="Arial" w:eastAsia="Times New Roman" w:hAnsi="Arial" w:cs="Arial"/>
                <w:sz w:val="24"/>
                <w:szCs w:val="24"/>
              </w:rPr>
              <w:t xml:space="preserve">f Namibia </w:t>
            </w:r>
          </w:p>
          <w:p w:rsidR="00B8145F" w:rsidRDefault="00B8145F" w:rsidP="00167FA0">
            <w:pPr>
              <w:spacing w:line="360" w:lineRule="auto"/>
              <w:rPr>
                <w:rFonts w:ascii="Arial" w:eastAsia="Times New Roman" w:hAnsi="Arial" w:cs="Arial"/>
                <w:sz w:val="24"/>
                <w:szCs w:val="24"/>
              </w:rPr>
            </w:pPr>
            <w:r>
              <w:rPr>
                <w:rFonts w:ascii="Arial" w:eastAsia="Times New Roman" w:hAnsi="Arial" w:cs="Arial"/>
                <w:sz w:val="24"/>
                <w:szCs w:val="24"/>
              </w:rPr>
              <w:t xml:space="preserve"> v</w:t>
            </w:r>
            <w:r w:rsidRPr="00060624">
              <w:rPr>
                <w:rFonts w:ascii="Arial" w:eastAsia="Times New Roman" w:hAnsi="Arial" w:cs="Arial"/>
                <w:sz w:val="24"/>
                <w:szCs w:val="24"/>
              </w:rPr>
              <w:t xml:space="preserve"> </w:t>
            </w:r>
          </w:p>
          <w:p w:rsidR="00B8145F" w:rsidRPr="00060624" w:rsidRDefault="00B8145F" w:rsidP="00167FA0">
            <w:pPr>
              <w:tabs>
                <w:tab w:val="left" w:pos="6750"/>
              </w:tabs>
              <w:spacing w:line="360" w:lineRule="auto"/>
              <w:jc w:val="both"/>
              <w:rPr>
                <w:rFonts w:ascii="Arial" w:hAnsi="Arial" w:cs="Arial"/>
                <w:sz w:val="24"/>
                <w:szCs w:val="24"/>
              </w:rPr>
            </w:pPr>
            <w:r w:rsidRPr="006578AC">
              <w:rPr>
                <w:rFonts w:ascii="Arial" w:eastAsia="Times New Roman" w:hAnsi="Arial" w:cs="Arial"/>
                <w:sz w:val="24"/>
                <w:szCs w:val="24"/>
              </w:rPr>
              <w:t>Leatitia Fransman</w:t>
            </w:r>
          </w:p>
        </w:tc>
        <w:tc>
          <w:tcPr>
            <w:tcW w:w="4323" w:type="dxa"/>
          </w:tcPr>
          <w:p w:rsidR="00B8145F" w:rsidRPr="00060624" w:rsidRDefault="00B8145F" w:rsidP="00167FA0">
            <w:pPr>
              <w:spacing w:line="360" w:lineRule="auto"/>
              <w:jc w:val="both"/>
              <w:rPr>
                <w:rFonts w:ascii="Arial" w:hAnsi="Arial" w:cs="Arial"/>
                <w:sz w:val="24"/>
                <w:szCs w:val="24"/>
              </w:rPr>
            </w:pPr>
            <w:r w:rsidRPr="00060624">
              <w:rPr>
                <w:rFonts w:ascii="Arial" w:hAnsi="Arial" w:cs="Arial"/>
                <w:b/>
                <w:sz w:val="24"/>
                <w:szCs w:val="24"/>
              </w:rPr>
              <w:t>Case No:</w:t>
            </w:r>
          </w:p>
          <w:p w:rsidR="00B8145F" w:rsidRPr="00060624" w:rsidRDefault="00B8145F" w:rsidP="00167FA0">
            <w:pPr>
              <w:spacing w:line="360" w:lineRule="auto"/>
              <w:rPr>
                <w:rFonts w:ascii="Arial" w:hAnsi="Arial" w:cs="Arial"/>
                <w:b/>
                <w:sz w:val="24"/>
                <w:szCs w:val="24"/>
              </w:rPr>
            </w:pPr>
            <w:r w:rsidRPr="006578AC">
              <w:rPr>
                <w:rFonts w:ascii="Arial" w:hAnsi="Arial" w:cs="Arial"/>
                <w:sz w:val="24"/>
                <w:szCs w:val="24"/>
              </w:rPr>
              <w:t>HC-MD-CIV-ACT-CON-2019/00374</w:t>
            </w:r>
          </w:p>
        </w:tc>
      </w:tr>
      <w:tr w:rsidR="00B8145F" w:rsidTr="00167FA0">
        <w:trPr>
          <w:trHeight w:val="844"/>
        </w:trPr>
        <w:tc>
          <w:tcPr>
            <w:tcW w:w="5397" w:type="dxa"/>
            <w:gridSpan w:val="2"/>
            <w:vMerge/>
          </w:tcPr>
          <w:p w:rsidR="00B8145F" w:rsidRPr="00060624" w:rsidRDefault="00B8145F" w:rsidP="00167FA0">
            <w:pPr>
              <w:spacing w:line="360" w:lineRule="auto"/>
              <w:jc w:val="both"/>
              <w:rPr>
                <w:rFonts w:ascii="Arial" w:hAnsi="Arial" w:cs="Arial"/>
                <w:sz w:val="24"/>
                <w:szCs w:val="24"/>
              </w:rPr>
            </w:pPr>
          </w:p>
        </w:tc>
        <w:tc>
          <w:tcPr>
            <w:tcW w:w="4323" w:type="dxa"/>
          </w:tcPr>
          <w:p w:rsidR="00B8145F" w:rsidRPr="00060624" w:rsidRDefault="00B8145F" w:rsidP="00167FA0">
            <w:pPr>
              <w:spacing w:line="360" w:lineRule="auto"/>
              <w:jc w:val="both"/>
              <w:rPr>
                <w:rFonts w:ascii="Arial" w:hAnsi="Arial" w:cs="Arial"/>
                <w:sz w:val="24"/>
                <w:szCs w:val="24"/>
              </w:rPr>
            </w:pPr>
            <w:r w:rsidRPr="00060624">
              <w:rPr>
                <w:rFonts w:ascii="Arial" w:hAnsi="Arial" w:cs="Arial"/>
                <w:b/>
                <w:sz w:val="24"/>
                <w:szCs w:val="24"/>
              </w:rPr>
              <w:t>Division of Court:</w:t>
            </w:r>
          </w:p>
          <w:p w:rsidR="00B8145F" w:rsidRDefault="00B8145F" w:rsidP="00167FA0">
            <w:pPr>
              <w:spacing w:line="360" w:lineRule="auto"/>
              <w:jc w:val="both"/>
              <w:rPr>
                <w:rFonts w:ascii="Arial" w:hAnsi="Arial" w:cs="Arial"/>
                <w:sz w:val="24"/>
                <w:szCs w:val="24"/>
              </w:rPr>
            </w:pPr>
            <w:r w:rsidRPr="00060624">
              <w:rPr>
                <w:rFonts w:ascii="Arial" w:hAnsi="Arial" w:cs="Arial"/>
                <w:sz w:val="24"/>
                <w:szCs w:val="24"/>
              </w:rPr>
              <w:t xml:space="preserve">High Court </w:t>
            </w:r>
          </w:p>
          <w:p w:rsidR="00B8145F" w:rsidRPr="00060624" w:rsidRDefault="00B8145F" w:rsidP="00167FA0">
            <w:pPr>
              <w:spacing w:line="360" w:lineRule="auto"/>
              <w:jc w:val="both"/>
              <w:rPr>
                <w:rFonts w:ascii="Arial" w:hAnsi="Arial" w:cs="Arial"/>
                <w:sz w:val="24"/>
                <w:szCs w:val="24"/>
              </w:rPr>
            </w:pPr>
            <w:r>
              <w:rPr>
                <w:rFonts w:ascii="Arial" w:hAnsi="Arial" w:cs="Arial"/>
                <w:sz w:val="24"/>
                <w:szCs w:val="24"/>
              </w:rPr>
              <w:t>Main Division</w:t>
            </w:r>
          </w:p>
        </w:tc>
      </w:tr>
      <w:tr w:rsidR="00B8145F" w:rsidTr="00167FA0">
        <w:trPr>
          <w:trHeight w:val="645"/>
        </w:trPr>
        <w:tc>
          <w:tcPr>
            <w:tcW w:w="5397" w:type="dxa"/>
            <w:gridSpan w:val="2"/>
            <w:vMerge w:val="restart"/>
          </w:tcPr>
          <w:p w:rsidR="00B8145F" w:rsidRPr="00060624" w:rsidRDefault="00B8145F" w:rsidP="00167FA0">
            <w:pPr>
              <w:spacing w:line="360" w:lineRule="auto"/>
              <w:jc w:val="both"/>
              <w:rPr>
                <w:rFonts w:ascii="Arial" w:hAnsi="Arial" w:cs="Arial"/>
                <w:b/>
                <w:sz w:val="24"/>
                <w:szCs w:val="24"/>
              </w:rPr>
            </w:pPr>
            <w:r w:rsidRPr="00060624">
              <w:rPr>
                <w:rFonts w:ascii="Arial" w:hAnsi="Arial" w:cs="Arial"/>
                <w:b/>
                <w:sz w:val="24"/>
                <w:szCs w:val="24"/>
              </w:rPr>
              <w:t>Heard before:</w:t>
            </w:r>
          </w:p>
          <w:p w:rsidR="00B8145F" w:rsidRPr="00060624" w:rsidRDefault="00B8145F" w:rsidP="00167FA0">
            <w:pPr>
              <w:spacing w:line="360" w:lineRule="auto"/>
              <w:jc w:val="both"/>
              <w:rPr>
                <w:rFonts w:ascii="Arial" w:hAnsi="Arial" w:cs="Arial"/>
                <w:sz w:val="24"/>
                <w:szCs w:val="24"/>
              </w:rPr>
            </w:pPr>
            <w:r>
              <w:rPr>
                <w:rFonts w:ascii="Arial" w:hAnsi="Arial" w:cs="Arial"/>
                <w:sz w:val="24"/>
                <w:szCs w:val="24"/>
              </w:rPr>
              <w:t>Honourable Lady</w:t>
            </w:r>
            <w:r w:rsidRPr="00060624">
              <w:rPr>
                <w:rFonts w:ascii="Arial" w:hAnsi="Arial" w:cs="Arial"/>
                <w:sz w:val="24"/>
                <w:szCs w:val="24"/>
              </w:rPr>
              <w:t xml:space="preserve"> Justice Rakow</w:t>
            </w:r>
            <w:r>
              <w:rPr>
                <w:rFonts w:ascii="Arial" w:hAnsi="Arial" w:cs="Arial"/>
                <w:sz w:val="24"/>
                <w:szCs w:val="24"/>
              </w:rPr>
              <w:t xml:space="preserve">, </w:t>
            </w:r>
            <w:r w:rsidRPr="00060624">
              <w:rPr>
                <w:rFonts w:ascii="Arial" w:hAnsi="Arial" w:cs="Arial"/>
                <w:sz w:val="24"/>
                <w:szCs w:val="24"/>
              </w:rPr>
              <w:t>J</w:t>
            </w:r>
          </w:p>
        </w:tc>
        <w:tc>
          <w:tcPr>
            <w:tcW w:w="4323" w:type="dxa"/>
          </w:tcPr>
          <w:p w:rsidR="00B8145F" w:rsidRPr="00060624" w:rsidRDefault="00B8145F" w:rsidP="00167FA0">
            <w:pPr>
              <w:spacing w:line="360" w:lineRule="auto"/>
              <w:jc w:val="both"/>
              <w:rPr>
                <w:rFonts w:ascii="Arial" w:hAnsi="Arial" w:cs="Arial"/>
                <w:b/>
                <w:sz w:val="24"/>
                <w:szCs w:val="24"/>
              </w:rPr>
            </w:pPr>
            <w:r w:rsidRPr="00060624">
              <w:rPr>
                <w:rFonts w:ascii="Arial" w:hAnsi="Arial" w:cs="Arial"/>
                <w:b/>
                <w:sz w:val="24"/>
                <w:szCs w:val="24"/>
              </w:rPr>
              <w:t>Date of hearing:</w:t>
            </w:r>
          </w:p>
          <w:p w:rsidR="00B8145F" w:rsidRPr="00060624" w:rsidRDefault="00B8145F" w:rsidP="00167FA0">
            <w:pPr>
              <w:spacing w:line="360" w:lineRule="auto"/>
              <w:jc w:val="both"/>
              <w:rPr>
                <w:rFonts w:ascii="Arial" w:hAnsi="Arial" w:cs="Arial"/>
                <w:sz w:val="24"/>
                <w:szCs w:val="24"/>
              </w:rPr>
            </w:pPr>
            <w:r>
              <w:rPr>
                <w:rFonts w:ascii="Arial" w:hAnsi="Arial" w:cs="Arial"/>
                <w:sz w:val="24"/>
                <w:szCs w:val="24"/>
              </w:rPr>
              <w:t>4 November 2021</w:t>
            </w:r>
          </w:p>
        </w:tc>
      </w:tr>
      <w:tr w:rsidR="00B8145F" w:rsidTr="00167FA0">
        <w:trPr>
          <w:trHeight w:val="588"/>
        </w:trPr>
        <w:tc>
          <w:tcPr>
            <w:tcW w:w="5397" w:type="dxa"/>
            <w:gridSpan w:val="2"/>
            <w:vMerge/>
          </w:tcPr>
          <w:p w:rsidR="00B8145F" w:rsidRPr="00060624" w:rsidRDefault="00B8145F" w:rsidP="00167FA0">
            <w:pPr>
              <w:spacing w:line="360" w:lineRule="auto"/>
              <w:jc w:val="both"/>
              <w:rPr>
                <w:rFonts w:ascii="Arial" w:hAnsi="Arial" w:cs="Arial"/>
                <w:b/>
                <w:sz w:val="24"/>
                <w:szCs w:val="24"/>
              </w:rPr>
            </w:pPr>
          </w:p>
        </w:tc>
        <w:tc>
          <w:tcPr>
            <w:tcW w:w="4323" w:type="dxa"/>
          </w:tcPr>
          <w:p w:rsidR="00B8145F" w:rsidRDefault="00B8145F" w:rsidP="00167FA0">
            <w:pPr>
              <w:spacing w:line="360" w:lineRule="auto"/>
              <w:jc w:val="both"/>
              <w:rPr>
                <w:rFonts w:ascii="Arial" w:hAnsi="Arial" w:cs="Arial"/>
                <w:b/>
                <w:sz w:val="24"/>
                <w:szCs w:val="24"/>
              </w:rPr>
            </w:pPr>
            <w:r w:rsidRPr="00060624">
              <w:rPr>
                <w:rFonts w:ascii="Arial" w:hAnsi="Arial" w:cs="Arial"/>
                <w:b/>
                <w:sz w:val="24"/>
                <w:szCs w:val="24"/>
              </w:rPr>
              <w:t>Date of order:</w:t>
            </w:r>
          </w:p>
          <w:p w:rsidR="00B8145F" w:rsidRPr="00B75F41" w:rsidRDefault="00B8145F" w:rsidP="00167FA0">
            <w:pPr>
              <w:spacing w:line="360" w:lineRule="auto"/>
              <w:jc w:val="both"/>
              <w:rPr>
                <w:rFonts w:ascii="Arial" w:hAnsi="Arial" w:cs="Arial"/>
                <w:sz w:val="24"/>
                <w:szCs w:val="24"/>
              </w:rPr>
            </w:pPr>
            <w:r w:rsidRPr="00B75F41">
              <w:rPr>
                <w:rFonts w:ascii="Arial" w:hAnsi="Arial" w:cs="Arial"/>
                <w:sz w:val="24"/>
                <w:szCs w:val="24"/>
              </w:rPr>
              <w:t>24 November 2021</w:t>
            </w:r>
          </w:p>
          <w:p w:rsidR="00B8145F" w:rsidRDefault="00B8145F" w:rsidP="00167FA0">
            <w:pPr>
              <w:spacing w:line="360" w:lineRule="auto"/>
              <w:jc w:val="both"/>
              <w:rPr>
                <w:rFonts w:ascii="Arial" w:hAnsi="Arial" w:cs="Arial"/>
                <w:b/>
                <w:sz w:val="24"/>
                <w:szCs w:val="24"/>
              </w:rPr>
            </w:pPr>
            <w:r>
              <w:rPr>
                <w:rFonts w:ascii="Arial" w:hAnsi="Arial" w:cs="Arial"/>
                <w:b/>
                <w:sz w:val="24"/>
                <w:szCs w:val="24"/>
              </w:rPr>
              <w:t xml:space="preserve">Reasons: </w:t>
            </w:r>
          </w:p>
          <w:p w:rsidR="00B8145F" w:rsidRPr="00B75F41" w:rsidRDefault="00B8145F" w:rsidP="00167FA0">
            <w:pPr>
              <w:spacing w:line="360" w:lineRule="auto"/>
              <w:jc w:val="both"/>
              <w:rPr>
                <w:rFonts w:ascii="Arial" w:hAnsi="Arial" w:cs="Arial"/>
                <w:sz w:val="24"/>
                <w:szCs w:val="24"/>
              </w:rPr>
            </w:pPr>
            <w:r>
              <w:rPr>
                <w:rFonts w:ascii="Arial" w:hAnsi="Arial" w:cs="Arial"/>
                <w:sz w:val="24"/>
                <w:szCs w:val="24"/>
              </w:rPr>
              <w:t>9</w:t>
            </w:r>
            <w:r w:rsidRPr="00B75F41">
              <w:rPr>
                <w:rFonts w:ascii="Arial" w:hAnsi="Arial" w:cs="Arial"/>
                <w:sz w:val="24"/>
                <w:szCs w:val="24"/>
              </w:rPr>
              <w:t xml:space="preserve"> December 2021</w:t>
            </w:r>
          </w:p>
        </w:tc>
      </w:tr>
      <w:tr w:rsidR="00B8145F" w:rsidTr="00167FA0">
        <w:tc>
          <w:tcPr>
            <w:tcW w:w="9720" w:type="dxa"/>
            <w:gridSpan w:val="3"/>
          </w:tcPr>
          <w:p w:rsidR="00B8145F" w:rsidRPr="0008036D" w:rsidRDefault="00B8145F" w:rsidP="00167FA0">
            <w:pPr>
              <w:pStyle w:val="form-control-static"/>
              <w:shd w:val="clear" w:color="auto" w:fill="FFFFFF"/>
              <w:spacing w:before="0" w:beforeAutospacing="0" w:after="0" w:afterAutospacing="0" w:line="360" w:lineRule="auto"/>
              <w:jc w:val="both"/>
              <w:rPr>
                <w:rFonts w:ascii="Arial" w:hAnsi="Arial" w:cs="Arial"/>
              </w:rPr>
            </w:pPr>
            <w:r w:rsidRPr="00060624">
              <w:rPr>
                <w:rFonts w:ascii="Arial" w:hAnsi="Arial" w:cs="Arial"/>
                <w:b/>
              </w:rPr>
              <w:t xml:space="preserve">Neutral citation: </w:t>
            </w:r>
            <w:r w:rsidRPr="00977AE6">
              <w:rPr>
                <w:rFonts w:ascii="Arial" w:hAnsi="Arial" w:cs="Arial"/>
                <w:i/>
                <w:lang w:val="en-ZA"/>
              </w:rPr>
              <w:t xml:space="preserve">University of Namibia v Fransman </w:t>
            </w:r>
            <w:r w:rsidRPr="00977AE6">
              <w:rPr>
                <w:rFonts w:ascii="Arial" w:hAnsi="Arial" w:cs="Arial"/>
              </w:rPr>
              <w:t>(</w:t>
            </w:r>
            <w:r w:rsidRPr="00977AE6">
              <w:rPr>
                <w:rFonts w:ascii="Arial" w:hAnsi="Arial" w:cs="Arial"/>
                <w:lang w:val="en-ZA"/>
              </w:rPr>
              <w:t>HC-MD-CIV-ACT-CON-2019/00374</w:t>
            </w:r>
            <w:r w:rsidRPr="00977AE6">
              <w:rPr>
                <w:rFonts w:ascii="Arial" w:hAnsi="Arial" w:cs="Arial"/>
              </w:rPr>
              <w:t>) [2021]</w:t>
            </w:r>
            <w:r w:rsidRPr="00977AE6">
              <w:rPr>
                <w:rFonts w:ascii="Arial" w:eastAsiaTheme="minorHAnsi" w:hAnsi="Arial" w:cs="Arial"/>
                <w:lang w:val="en-ZA"/>
              </w:rPr>
              <w:t xml:space="preserve"> </w:t>
            </w:r>
            <w:r>
              <w:rPr>
                <w:rFonts w:ascii="Arial" w:hAnsi="Arial" w:cs="Arial"/>
                <w:lang w:val="en-ZA"/>
              </w:rPr>
              <w:t>NAHCMD 583</w:t>
            </w:r>
            <w:r w:rsidRPr="00977AE6">
              <w:rPr>
                <w:rFonts w:ascii="Arial" w:hAnsi="Arial" w:cs="Arial"/>
                <w:lang w:val="en-ZA"/>
              </w:rPr>
              <w:t xml:space="preserve"> </w:t>
            </w:r>
            <w:r w:rsidRPr="00977AE6">
              <w:rPr>
                <w:rFonts w:ascii="Arial" w:hAnsi="Arial" w:cs="Arial"/>
              </w:rPr>
              <w:t>(24 November 2021)</w:t>
            </w:r>
          </w:p>
        </w:tc>
      </w:tr>
      <w:tr w:rsidR="00B8145F" w:rsidTr="00167FA0">
        <w:tc>
          <w:tcPr>
            <w:tcW w:w="9720" w:type="dxa"/>
            <w:gridSpan w:val="3"/>
          </w:tcPr>
          <w:p w:rsidR="00B8145F" w:rsidRPr="0008036D" w:rsidRDefault="00B8145F" w:rsidP="00167FA0">
            <w:pPr>
              <w:spacing w:line="360" w:lineRule="auto"/>
              <w:jc w:val="both"/>
              <w:rPr>
                <w:rFonts w:ascii="Arial" w:hAnsi="Arial" w:cs="Arial"/>
                <w:b/>
                <w:sz w:val="24"/>
                <w:szCs w:val="24"/>
              </w:rPr>
            </w:pPr>
            <w:r w:rsidRPr="00060624">
              <w:rPr>
                <w:rFonts w:ascii="Arial" w:hAnsi="Arial" w:cs="Arial"/>
                <w:b/>
                <w:sz w:val="24"/>
                <w:szCs w:val="24"/>
              </w:rPr>
              <w:t>IT IS HEREBY ORDERED THAT:</w:t>
            </w:r>
          </w:p>
          <w:p w:rsidR="00B8145F" w:rsidRPr="005602AE" w:rsidRDefault="00B8145F" w:rsidP="00B8145F">
            <w:pPr>
              <w:pStyle w:val="NoSpacing"/>
              <w:numPr>
                <w:ilvl w:val="0"/>
                <w:numId w:val="1"/>
              </w:numPr>
              <w:spacing w:line="360" w:lineRule="auto"/>
              <w:jc w:val="both"/>
              <w:rPr>
                <w:rFonts w:ascii="Arial" w:hAnsi="Arial" w:cs="Arial"/>
                <w:sz w:val="24"/>
                <w:szCs w:val="24"/>
                <w:lang w:val="af-ZA"/>
              </w:rPr>
            </w:pPr>
            <w:r w:rsidRPr="005602AE">
              <w:rPr>
                <w:rFonts w:ascii="Arial" w:hAnsi="Arial" w:cs="Arial"/>
                <w:sz w:val="24"/>
                <w:szCs w:val="24"/>
                <w:lang w:val="af-ZA"/>
              </w:rPr>
              <w:t xml:space="preserve">Condonation is granted for the late filing of the heads of the plaintiff. </w:t>
            </w:r>
          </w:p>
          <w:p w:rsidR="00B8145F" w:rsidRDefault="00B8145F" w:rsidP="00B8145F">
            <w:pPr>
              <w:pStyle w:val="NoSpacing"/>
              <w:numPr>
                <w:ilvl w:val="0"/>
                <w:numId w:val="1"/>
              </w:numPr>
              <w:spacing w:line="360" w:lineRule="auto"/>
              <w:jc w:val="both"/>
              <w:rPr>
                <w:rFonts w:ascii="Arial" w:hAnsi="Arial" w:cs="Arial"/>
                <w:sz w:val="24"/>
                <w:szCs w:val="24"/>
                <w:lang w:val="af-ZA"/>
              </w:rPr>
            </w:pPr>
            <w:r w:rsidRPr="005602AE">
              <w:rPr>
                <w:rFonts w:ascii="Arial" w:hAnsi="Arial" w:cs="Arial"/>
                <w:sz w:val="24"/>
                <w:szCs w:val="24"/>
                <w:lang w:val="af-ZA"/>
              </w:rPr>
              <w:t xml:space="preserve">The application for absolution from the instance is not granted.  </w:t>
            </w:r>
          </w:p>
          <w:p w:rsidR="00B8145F" w:rsidRPr="005602AE" w:rsidRDefault="00B8145F" w:rsidP="00B8145F">
            <w:pPr>
              <w:pStyle w:val="NoSpacing"/>
              <w:numPr>
                <w:ilvl w:val="0"/>
                <w:numId w:val="1"/>
              </w:numPr>
              <w:spacing w:line="360" w:lineRule="auto"/>
              <w:jc w:val="both"/>
              <w:rPr>
                <w:rFonts w:ascii="Arial" w:hAnsi="Arial" w:cs="Arial"/>
                <w:sz w:val="24"/>
                <w:szCs w:val="24"/>
                <w:lang w:val="af-ZA"/>
              </w:rPr>
            </w:pPr>
            <w:r>
              <w:rPr>
                <w:rFonts w:ascii="Arial" w:hAnsi="Arial" w:cs="Arial"/>
                <w:sz w:val="24"/>
                <w:szCs w:val="24"/>
                <w:lang w:val="af-ZA"/>
              </w:rPr>
              <w:t>Cost of the application awarded to the plaintiff.</w:t>
            </w:r>
          </w:p>
          <w:p w:rsidR="00B8145F" w:rsidRPr="00060624" w:rsidRDefault="00B8145F" w:rsidP="00B8145F">
            <w:pPr>
              <w:pStyle w:val="NoSpacing"/>
              <w:numPr>
                <w:ilvl w:val="0"/>
                <w:numId w:val="1"/>
              </w:numPr>
              <w:spacing w:line="360" w:lineRule="auto"/>
              <w:jc w:val="both"/>
              <w:rPr>
                <w:rFonts w:ascii="Arial" w:hAnsi="Arial" w:cs="Arial"/>
                <w:sz w:val="24"/>
                <w:szCs w:val="24"/>
                <w:lang w:val="af-ZA"/>
              </w:rPr>
            </w:pPr>
            <w:r w:rsidRPr="0008036D">
              <w:rPr>
                <w:rFonts w:ascii="Arial" w:hAnsi="Arial" w:cs="Arial"/>
                <w:sz w:val="24"/>
                <w:szCs w:val="24"/>
              </w:rPr>
              <w:t xml:space="preserve">The case is postponed to </w:t>
            </w:r>
            <w:r w:rsidRPr="0008036D">
              <w:rPr>
                <w:rFonts w:ascii="Arial" w:hAnsi="Arial" w:cs="Arial"/>
                <w:b/>
                <w:sz w:val="24"/>
                <w:szCs w:val="24"/>
              </w:rPr>
              <w:t>24 January 2022 at 10h00</w:t>
            </w:r>
            <w:r w:rsidRPr="0008036D">
              <w:rPr>
                <w:rFonts w:ascii="Arial" w:hAnsi="Arial" w:cs="Arial"/>
                <w:sz w:val="24"/>
                <w:szCs w:val="24"/>
              </w:rPr>
              <w:t xml:space="preserve"> for the continuation of the trial</w:t>
            </w:r>
            <w:r>
              <w:rPr>
                <w:rFonts w:ascii="Arial" w:hAnsi="Arial" w:cs="Arial"/>
                <w:sz w:val="24"/>
                <w:szCs w:val="24"/>
              </w:rPr>
              <w:t>.</w:t>
            </w:r>
          </w:p>
        </w:tc>
      </w:tr>
      <w:tr w:rsidR="00B8145F" w:rsidTr="00167FA0">
        <w:tc>
          <w:tcPr>
            <w:tcW w:w="9720" w:type="dxa"/>
            <w:gridSpan w:val="3"/>
          </w:tcPr>
          <w:p w:rsidR="00B8145F" w:rsidRPr="00060624" w:rsidRDefault="00B8145F" w:rsidP="00167FA0">
            <w:pPr>
              <w:spacing w:line="360" w:lineRule="auto"/>
              <w:jc w:val="both"/>
              <w:rPr>
                <w:rFonts w:ascii="Arial" w:hAnsi="Arial" w:cs="Arial"/>
                <w:b/>
                <w:sz w:val="24"/>
                <w:szCs w:val="24"/>
              </w:rPr>
            </w:pPr>
            <w:r w:rsidRPr="00060624">
              <w:rPr>
                <w:rFonts w:ascii="Arial" w:hAnsi="Arial" w:cs="Arial"/>
                <w:b/>
                <w:sz w:val="24"/>
                <w:szCs w:val="24"/>
              </w:rPr>
              <w:t>Reasons for orders:</w:t>
            </w:r>
          </w:p>
        </w:tc>
      </w:tr>
      <w:tr w:rsidR="00B8145F" w:rsidTr="00167FA0">
        <w:tc>
          <w:tcPr>
            <w:tcW w:w="9720" w:type="dxa"/>
            <w:gridSpan w:val="3"/>
          </w:tcPr>
          <w:p w:rsidR="00B8145F" w:rsidRDefault="00B8145F" w:rsidP="00167FA0">
            <w:pPr>
              <w:spacing w:line="360" w:lineRule="auto"/>
              <w:jc w:val="both"/>
              <w:rPr>
                <w:rFonts w:ascii="Arial" w:hAnsi="Arial" w:cs="Arial"/>
                <w:sz w:val="24"/>
                <w:szCs w:val="24"/>
                <w:u w:val="single"/>
                <w:lang w:val="af-ZA"/>
              </w:rPr>
            </w:pPr>
          </w:p>
          <w:p w:rsidR="00B8145F" w:rsidRPr="00060624" w:rsidRDefault="00B8145F" w:rsidP="00167FA0">
            <w:pPr>
              <w:spacing w:line="360" w:lineRule="auto"/>
              <w:jc w:val="both"/>
              <w:rPr>
                <w:rFonts w:ascii="Arial" w:hAnsi="Arial" w:cs="Arial"/>
                <w:sz w:val="24"/>
                <w:szCs w:val="24"/>
                <w:u w:val="single"/>
                <w:lang w:val="af-ZA"/>
              </w:rPr>
            </w:pPr>
            <w:r w:rsidRPr="00060624">
              <w:rPr>
                <w:rFonts w:ascii="Arial" w:hAnsi="Arial" w:cs="Arial"/>
                <w:sz w:val="24"/>
                <w:szCs w:val="24"/>
                <w:u w:val="single"/>
                <w:lang w:val="af-ZA"/>
              </w:rPr>
              <w:t>Background</w:t>
            </w:r>
          </w:p>
          <w:p w:rsidR="00B8145F" w:rsidRPr="00060624" w:rsidRDefault="00B8145F" w:rsidP="00167FA0">
            <w:pPr>
              <w:spacing w:line="360" w:lineRule="auto"/>
              <w:jc w:val="both"/>
              <w:rPr>
                <w:rFonts w:ascii="Arial" w:hAnsi="Arial" w:cs="Arial"/>
                <w:sz w:val="24"/>
                <w:szCs w:val="24"/>
                <w:u w:val="single"/>
                <w:lang w:val="af-ZA"/>
              </w:rPr>
            </w:pPr>
          </w:p>
          <w:p w:rsidR="00B8145F" w:rsidRPr="006578AC" w:rsidRDefault="00B8145F" w:rsidP="00167FA0">
            <w:pPr>
              <w:tabs>
                <w:tab w:val="left" w:pos="842"/>
              </w:tabs>
              <w:spacing w:line="360" w:lineRule="auto"/>
              <w:jc w:val="both"/>
              <w:rPr>
                <w:rFonts w:ascii="Arial" w:hAnsi="Arial" w:cs="Arial"/>
                <w:sz w:val="24"/>
                <w:szCs w:val="24"/>
                <w:lang w:val="af-ZA"/>
              </w:rPr>
            </w:pPr>
            <w:r w:rsidRPr="00060624">
              <w:rPr>
                <w:rFonts w:ascii="Arial" w:hAnsi="Arial" w:cs="Arial"/>
                <w:sz w:val="24"/>
                <w:szCs w:val="24"/>
                <w:lang w:val="af-ZA"/>
              </w:rPr>
              <w:lastRenderedPageBreak/>
              <w:t>[1]</w:t>
            </w:r>
            <w:r>
              <w:rPr>
                <w:rFonts w:ascii="Arial" w:hAnsi="Arial" w:cs="Arial"/>
                <w:sz w:val="24"/>
                <w:szCs w:val="24"/>
                <w:lang w:val="af-ZA"/>
              </w:rPr>
              <w:tab/>
            </w:r>
            <w:r w:rsidRPr="006578AC">
              <w:rPr>
                <w:rFonts w:ascii="Arial" w:hAnsi="Arial" w:cs="Arial"/>
                <w:sz w:val="24"/>
                <w:szCs w:val="24"/>
                <w:lang w:val="af-ZA"/>
              </w:rPr>
              <w:t>The plaintiffs</w:t>
            </w:r>
            <w:r>
              <w:rPr>
                <w:rFonts w:ascii="Arial" w:hAnsi="Arial" w:cs="Arial"/>
                <w:sz w:val="24"/>
                <w:szCs w:val="24"/>
                <w:lang w:val="af-ZA"/>
              </w:rPr>
              <w:t xml:space="preserve"> </w:t>
            </w:r>
            <w:r w:rsidRPr="006578AC">
              <w:rPr>
                <w:rFonts w:ascii="Arial" w:hAnsi="Arial" w:cs="Arial"/>
                <w:sz w:val="24"/>
                <w:szCs w:val="24"/>
                <w:lang w:val="af-ZA"/>
              </w:rPr>
              <w:t>instituted a claim of Six Hundred and Twenty-Four</w:t>
            </w:r>
            <w:r>
              <w:rPr>
                <w:rFonts w:ascii="Arial" w:hAnsi="Arial" w:cs="Arial"/>
                <w:sz w:val="24"/>
                <w:szCs w:val="24"/>
                <w:lang w:val="af-ZA"/>
              </w:rPr>
              <w:t xml:space="preserve"> Thousand</w:t>
            </w:r>
            <w:r w:rsidRPr="006578AC">
              <w:rPr>
                <w:rFonts w:ascii="Arial" w:hAnsi="Arial" w:cs="Arial"/>
                <w:sz w:val="24"/>
                <w:szCs w:val="24"/>
                <w:lang w:val="af-ZA"/>
              </w:rPr>
              <w:t xml:space="preserve"> Thirty-Five Namibian dollars and</w:t>
            </w:r>
            <w:r>
              <w:rPr>
                <w:rFonts w:ascii="Arial" w:hAnsi="Arial" w:cs="Arial"/>
                <w:sz w:val="24"/>
                <w:szCs w:val="24"/>
                <w:lang w:val="af-ZA"/>
              </w:rPr>
              <w:t xml:space="preserve"> Five Cents (N$ 624 035.05) for </w:t>
            </w:r>
            <w:r w:rsidRPr="006578AC">
              <w:rPr>
                <w:rFonts w:ascii="Arial" w:hAnsi="Arial" w:cs="Arial"/>
                <w:sz w:val="24"/>
                <w:szCs w:val="24"/>
                <w:lang w:val="af-ZA"/>
              </w:rPr>
              <w:t>damages suffered as a result of the</w:t>
            </w:r>
            <w:r>
              <w:rPr>
                <w:rFonts w:ascii="Arial" w:hAnsi="Arial" w:cs="Arial"/>
                <w:sz w:val="24"/>
                <w:szCs w:val="24"/>
                <w:lang w:val="af-ZA"/>
              </w:rPr>
              <w:t xml:space="preserve"> defendant’s breach of contract.  </w:t>
            </w:r>
            <w:r w:rsidRPr="006578AC">
              <w:rPr>
                <w:rFonts w:ascii="Arial" w:hAnsi="Arial" w:cs="Arial"/>
                <w:sz w:val="24"/>
                <w:szCs w:val="24"/>
                <w:lang w:val="af-ZA"/>
              </w:rPr>
              <w:t>The clai</w:t>
            </w:r>
            <w:r>
              <w:rPr>
                <w:rFonts w:ascii="Arial" w:hAnsi="Arial" w:cs="Arial"/>
                <w:sz w:val="24"/>
                <w:szCs w:val="24"/>
                <w:lang w:val="af-ZA"/>
              </w:rPr>
              <w:t xml:space="preserve">m is on the basis that on the 8 </w:t>
            </w:r>
            <w:r w:rsidRPr="006578AC">
              <w:rPr>
                <w:rFonts w:ascii="Arial" w:hAnsi="Arial" w:cs="Arial"/>
                <w:sz w:val="24"/>
                <w:szCs w:val="24"/>
                <w:lang w:val="af-ZA"/>
              </w:rPr>
              <w:t>th of April 20</w:t>
            </w:r>
            <w:r>
              <w:rPr>
                <w:rFonts w:ascii="Arial" w:hAnsi="Arial" w:cs="Arial"/>
                <w:sz w:val="24"/>
                <w:szCs w:val="24"/>
                <w:lang w:val="af-ZA"/>
              </w:rPr>
              <w:t xml:space="preserve">14, the parties entered into an </w:t>
            </w:r>
            <w:r w:rsidRPr="006578AC">
              <w:rPr>
                <w:rFonts w:ascii="Arial" w:hAnsi="Arial" w:cs="Arial"/>
                <w:sz w:val="24"/>
                <w:szCs w:val="24"/>
                <w:lang w:val="af-ZA"/>
              </w:rPr>
              <w:t>agreement in</w:t>
            </w:r>
            <w:r>
              <w:rPr>
                <w:rFonts w:ascii="Arial" w:hAnsi="Arial" w:cs="Arial"/>
                <w:sz w:val="24"/>
                <w:szCs w:val="24"/>
                <w:lang w:val="af-ZA"/>
              </w:rPr>
              <w:t xml:space="preserve"> terms of which the defendant would</w:t>
            </w:r>
            <w:r w:rsidRPr="006578AC">
              <w:rPr>
                <w:rFonts w:ascii="Arial" w:hAnsi="Arial" w:cs="Arial"/>
                <w:sz w:val="24"/>
                <w:szCs w:val="24"/>
                <w:lang w:val="af-ZA"/>
              </w:rPr>
              <w:t xml:space="preserve"> pur</w:t>
            </w:r>
            <w:r>
              <w:rPr>
                <w:rFonts w:ascii="Arial" w:hAnsi="Arial" w:cs="Arial"/>
                <w:sz w:val="24"/>
                <w:szCs w:val="24"/>
                <w:lang w:val="af-ZA"/>
              </w:rPr>
              <w:t xml:space="preserve">sue further studies to obtain a </w:t>
            </w:r>
            <w:r w:rsidRPr="006578AC">
              <w:rPr>
                <w:rFonts w:ascii="Arial" w:hAnsi="Arial" w:cs="Arial"/>
                <w:sz w:val="24"/>
                <w:szCs w:val="24"/>
                <w:lang w:val="af-ZA"/>
              </w:rPr>
              <w:t xml:space="preserve">qualification of PhD </w:t>
            </w:r>
            <w:r>
              <w:rPr>
                <w:rFonts w:ascii="Arial" w:hAnsi="Arial" w:cs="Arial"/>
                <w:sz w:val="24"/>
                <w:szCs w:val="24"/>
                <w:lang w:val="af-ZA"/>
              </w:rPr>
              <w:t xml:space="preserve">level </w:t>
            </w:r>
            <w:r w:rsidRPr="006578AC">
              <w:rPr>
                <w:rFonts w:ascii="Arial" w:hAnsi="Arial" w:cs="Arial"/>
                <w:sz w:val="24"/>
                <w:szCs w:val="24"/>
                <w:lang w:val="af-ZA"/>
              </w:rPr>
              <w:t>for 1 year as from</w:t>
            </w:r>
            <w:r>
              <w:rPr>
                <w:rFonts w:ascii="Arial" w:hAnsi="Arial" w:cs="Arial"/>
                <w:sz w:val="24"/>
                <w:szCs w:val="24"/>
                <w:lang w:val="af-ZA"/>
              </w:rPr>
              <w:t xml:space="preserve"> 01 January 2014 to 31 December </w:t>
            </w:r>
            <w:r w:rsidRPr="006578AC">
              <w:rPr>
                <w:rFonts w:ascii="Arial" w:hAnsi="Arial" w:cs="Arial"/>
                <w:sz w:val="24"/>
                <w:szCs w:val="24"/>
                <w:lang w:val="af-ZA"/>
              </w:rPr>
              <w:t>2014.</w:t>
            </w:r>
            <w:r>
              <w:rPr>
                <w:rFonts w:ascii="Arial" w:hAnsi="Arial" w:cs="Arial"/>
                <w:sz w:val="24"/>
                <w:szCs w:val="24"/>
                <w:lang w:val="af-ZA"/>
              </w:rPr>
              <w:t xml:space="preserve"> It is alleged that the breach occurred when the plaintiff left the employ of the University of Namibia (UNAM) on or about the end of December 2016 without working back her bonding period of one year after she obtained her Phd qualification.  She thereafter failed or neglected to repay the salary and financial assistance which she received when she was relieved from her duties to study full time during 2014.</w:t>
            </w:r>
          </w:p>
          <w:p w:rsidR="00B8145F" w:rsidRDefault="00B8145F" w:rsidP="00167FA0">
            <w:pPr>
              <w:tabs>
                <w:tab w:val="left" w:pos="842"/>
              </w:tabs>
              <w:spacing w:line="360" w:lineRule="auto"/>
              <w:jc w:val="both"/>
              <w:rPr>
                <w:rFonts w:ascii="Arial" w:hAnsi="Arial" w:cs="Arial"/>
                <w:sz w:val="24"/>
                <w:szCs w:val="24"/>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[2]       The plaintiff further filed a condonation application for the late filing of its heads of argument.  The respondent took no issue with the late filing and the court grants the application and condones the late filing of the heads of argument.</w:t>
            </w:r>
          </w:p>
          <w:p w:rsidR="00B8145F" w:rsidRDefault="00B8145F" w:rsidP="00167FA0">
            <w:pPr>
              <w:tabs>
                <w:tab w:val="left" w:pos="842"/>
              </w:tabs>
              <w:spacing w:line="360" w:lineRule="auto"/>
              <w:jc w:val="both"/>
              <w:rPr>
                <w:rFonts w:ascii="Arial" w:hAnsi="Arial" w:cs="Arial"/>
                <w:sz w:val="24"/>
                <w:szCs w:val="24"/>
                <w:lang w:val="af-ZA"/>
              </w:rPr>
            </w:pPr>
          </w:p>
          <w:p w:rsidR="00B8145F" w:rsidRDefault="00B8145F" w:rsidP="00167FA0">
            <w:pPr>
              <w:tabs>
                <w:tab w:val="left" w:pos="842"/>
              </w:tabs>
              <w:spacing w:line="360" w:lineRule="auto"/>
              <w:jc w:val="both"/>
              <w:rPr>
                <w:rFonts w:ascii="Arial" w:hAnsi="Arial" w:cs="Arial"/>
                <w:sz w:val="24"/>
                <w:szCs w:val="24"/>
                <w:u w:val="single"/>
                <w:lang w:val="af-ZA"/>
              </w:rPr>
            </w:pPr>
            <w:r w:rsidRPr="00D62410">
              <w:rPr>
                <w:rFonts w:ascii="Arial" w:hAnsi="Arial" w:cs="Arial"/>
                <w:sz w:val="24"/>
                <w:szCs w:val="24"/>
                <w:u w:val="single"/>
                <w:lang w:val="af-ZA"/>
              </w:rPr>
              <w:t>The pre-trial order</w:t>
            </w:r>
          </w:p>
          <w:p w:rsidR="00B8145F" w:rsidRPr="00D62410" w:rsidRDefault="00B8145F" w:rsidP="00167FA0">
            <w:pPr>
              <w:tabs>
                <w:tab w:val="left" w:pos="842"/>
              </w:tabs>
              <w:spacing w:line="360" w:lineRule="auto"/>
              <w:jc w:val="both"/>
              <w:rPr>
                <w:rFonts w:ascii="Arial" w:hAnsi="Arial" w:cs="Arial"/>
                <w:sz w:val="24"/>
                <w:szCs w:val="24"/>
                <w:u w:val="single"/>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 xml:space="preserve">[3]        </w:t>
            </w:r>
            <w:r w:rsidRPr="006E69E4">
              <w:rPr>
                <w:rFonts w:ascii="Arial" w:hAnsi="Arial" w:cs="Arial"/>
                <w:sz w:val="24"/>
                <w:szCs w:val="24"/>
                <w:lang w:val="af-ZA"/>
              </w:rPr>
              <w:t>As part of the agreed facts, in the Pre- trial report d</w:t>
            </w:r>
            <w:r>
              <w:rPr>
                <w:rFonts w:ascii="Arial" w:hAnsi="Arial" w:cs="Arial"/>
                <w:sz w:val="24"/>
                <w:szCs w:val="24"/>
                <w:lang w:val="af-ZA"/>
              </w:rPr>
              <w:t xml:space="preserve">ated 22 April 2021, the parties </w:t>
            </w:r>
            <w:r w:rsidRPr="006E69E4">
              <w:rPr>
                <w:rFonts w:ascii="Arial" w:hAnsi="Arial" w:cs="Arial"/>
                <w:sz w:val="24"/>
                <w:szCs w:val="24"/>
                <w:lang w:val="af-ZA"/>
              </w:rPr>
              <w:t>agreed that the parties entered into a contract as annexed</w:t>
            </w:r>
            <w:r>
              <w:rPr>
                <w:rFonts w:ascii="Arial" w:hAnsi="Arial" w:cs="Arial"/>
                <w:sz w:val="24"/>
                <w:szCs w:val="24"/>
                <w:lang w:val="af-ZA"/>
              </w:rPr>
              <w:t xml:space="preserve"> to the plaintiff’s particulars </w:t>
            </w:r>
            <w:r w:rsidRPr="006E69E4">
              <w:rPr>
                <w:rFonts w:ascii="Arial" w:hAnsi="Arial" w:cs="Arial"/>
                <w:sz w:val="24"/>
                <w:szCs w:val="24"/>
                <w:lang w:val="af-ZA"/>
              </w:rPr>
              <w:t xml:space="preserve">of claim. That the plaintiff advanced funds towards </w:t>
            </w:r>
            <w:r>
              <w:rPr>
                <w:rFonts w:ascii="Arial" w:hAnsi="Arial" w:cs="Arial"/>
                <w:sz w:val="24"/>
                <w:szCs w:val="24"/>
                <w:lang w:val="af-ZA"/>
              </w:rPr>
              <w:t>the defendant’s studies for her PhD qualification</w:t>
            </w:r>
            <w:r w:rsidRPr="006E69E4">
              <w:rPr>
                <w:rFonts w:ascii="Arial" w:hAnsi="Arial" w:cs="Arial"/>
                <w:sz w:val="24"/>
                <w:szCs w:val="24"/>
                <w:lang w:val="af-ZA"/>
              </w:rPr>
              <w:t xml:space="preserve"> based on the parties’ agreement </w:t>
            </w:r>
            <w:r>
              <w:rPr>
                <w:rFonts w:ascii="Arial" w:hAnsi="Arial" w:cs="Arial"/>
                <w:sz w:val="24"/>
                <w:szCs w:val="24"/>
                <w:lang w:val="af-ZA"/>
              </w:rPr>
              <w:t xml:space="preserve">for staff development. And further, that the </w:t>
            </w:r>
            <w:r w:rsidRPr="006E69E4">
              <w:rPr>
                <w:rFonts w:ascii="Arial" w:hAnsi="Arial" w:cs="Arial"/>
                <w:sz w:val="24"/>
                <w:szCs w:val="24"/>
                <w:lang w:val="af-ZA"/>
              </w:rPr>
              <w:t>plaintiff resigned in December 2016 (as correct</w:t>
            </w:r>
            <w:r>
              <w:rPr>
                <w:rFonts w:ascii="Arial" w:hAnsi="Arial" w:cs="Arial"/>
                <w:sz w:val="24"/>
                <w:szCs w:val="24"/>
                <w:lang w:val="af-ZA"/>
              </w:rPr>
              <w:t xml:space="preserve">ed at the trial) from full-time </w:t>
            </w:r>
            <w:r w:rsidRPr="006E69E4">
              <w:rPr>
                <w:rFonts w:ascii="Arial" w:hAnsi="Arial" w:cs="Arial"/>
                <w:sz w:val="24"/>
                <w:szCs w:val="24"/>
                <w:lang w:val="af-ZA"/>
              </w:rPr>
              <w:t>employment with</w:t>
            </w:r>
            <w:r>
              <w:rPr>
                <w:rFonts w:ascii="Arial" w:hAnsi="Arial" w:cs="Arial"/>
                <w:sz w:val="24"/>
                <w:szCs w:val="24"/>
                <w:lang w:val="af-ZA"/>
              </w:rPr>
              <w:t xml:space="preserve"> the</w:t>
            </w:r>
            <w:r w:rsidRPr="006E69E4">
              <w:rPr>
                <w:rFonts w:ascii="Arial" w:hAnsi="Arial" w:cs="Arial"/>
                <w:sz w:val="24"/>
                <w:szCs w:val="24"/>
                <w:lang w:val="af-ZA"/>
              </w:rPr>
              <w:t xml:space="preserve"> plaintiff</w:t>
            </w:r>
            <w:r>
              <w:rPr>
                <w:rFonts w:ascii="Arial" w:hAnsi="Arial" w:cs="Arial"/>
                <w:sz w:val="24"/>
                <w:szCs w:val="24"/>
                <w:lang w:val="af-ZA"/>
              </w:rPr>
              <w:t>,</w:t>
            </w:r>
            <w:r w:rsidRPr="006E69E4">
              <w:rPr>
                <w:rFonts w:ascii="Arial" w:hAnsi="Arial" w:cs="Arial"/>
                <w:sz w:val="24"/>
                <w:szCs w:val="24"/>
                <w:lang w:val="af-ZA"/>
              </w:rPr>
              <w:t xml:space="preserve"> without having</w:t>
            </w:r>
            <w:r>
              <w:rPr>
                <w:rFonts w:ascii="Arial" w:hAnsi="Arial" w:cs="Arial"/>
                <w:sz w:val="24"/>
                <w:szCs w:val="24"/>
                <w:lang w:val="af-ZA"/>
              </w:rPr>
              <w:t xml:space="preserve"> completed her PhD </w:t>
            </w:r>
            <w:r w:rsidRPr="006E69E4">
              <w:rPr>
                <w:rFonts w:ascii="Arial" w:hAnsi="Arial" w:cs="Arial"/>
                <w:sz w:val="24"/>
                <w:szCs w:val="24"/>
                <w:lang w:val="af-ZA"/>
              </w:rPr>
              <w:t>qualification.</w:t>
            </w:r>
          </w:p>
          <w:p w:rsidR="00B8145F" w:rsidRPr="006E69E4" w:rsidRDefault="00B8145F" w:rsidP="00167FA0">
            <w:pPr>
              <w:tabs>
                <w:tab w:val="left" w:pos="842"/>
              </w:tabs>
              <w:spacing w:line="360" w:lineRule="auto"/>
              <w:jc w:val="both"/>
              <w:rPr>
                <w:rFonts w:ascii="Arial" w:hAnsi="Arial" w:cs="Arial"/>
                <w:sz w:val="24"/>
                <w:szCs w:val="24"/>
                <w:lang w:val="af-ZA"/>
              </w:rPr>
            </w:pPr>
          </w:p>
          <w:p w:rsidR="00B8145F" w:rsidRPr="006E69E4"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 xml:space="preserve">[4]       </w:t>
            </w:r>
            <w:r w:rsidRPr="006E69E4">
              <w:rPr>
                <w:rFonts w:ascii="Arial" w:hAnsi="Arial" w:cs="Arial"/>
                <w:sz w:val="24"/>
                <w:szCs w:val="24"/>
                <w:lang w:val="af-ZA"/>
              </w:rPr>
              <w:t xml:space="preserve"> In terms of the pre-trial order dated 22nd April 2021, the court is to determine the</w:t>
            </w:r>
          </w:p>
          <w:p w:rsidR="00B8145F" w:rsidRDefault="00B8145F" w:rsidP="00167FA0">
            <w:pPr>
              <w:tabs>
                <w:tab w:val="left" w:pos="842"/>
              </w:tabs>
              <w:spacing w:line="360" w:lineRule="auto"/>
              <w:jc w:val="both"/>
              <w:rPr>
                <w:rFonts w:ascii="Arial" w:hAnsi="Arial" w:cs="Arial"/>
                <w:sz w:val="24"/>
                <w:szCs w:val="24"/>
                <w:lang w:val="af-ZA"/>
              </w:rPr>
            </w:pPr>
            <w:r w:rsidRPr="006E69E4">
              <w:rPr>
                <w:rFonts w:ascii="Arial" w:hAnsi="Arial" w:cs="Arial"/>
                <w:sz w:val="24"/>
                <w:szCs w:val="24"/>
                <w:lang w:val="af-ZA"/>
              </w:rPr>
              <w:t>following factual issues:</w:t>
            </w:r>
          </w:p>
          <w:p w:rsidR="00B8145F" w:rsidRPr="006E69E4" w:rsidRDefault="00B8145F" w:rsidP="00167FA0">
            <w:pPr>
              <w:tabs>
                <w:tab w:val="left" w:pos="842"/>
              </w:tabs>
              <w:spacing w:line="360" w:lineRule="auto"/>
              <w:jc w:val="both"/>
              <w:rPr>
                <w:rFonts w:ascii="Arial" w:hAnsi="Arial" w:cs="Arial"/>
                <w:sz w:val="24"/>
                <w:szCs w:val="24"/>
                <w:lang w:val="af-ZA"/>
              </w:rPr>
            </w:pPr>
          </w:p>
          <w:p w:rsidR="00B8145F" w:rsidRPr="00D62410" w:rsidRDefault="00B8145F" w:rsidP="00B8145F">
            <w:pPr>
              <w:pStyle w:val="ListParagraph"/>
              <w:numPr>
                <w:ilvl w:val="0"/>
                <w:numId w:val="2"/>
              </w:numPr>
              <w:tabs>
                <w:tab w:val="left" w:pos="842"/>
              </w:tabs>
              <w:spacing w:line="360" w:lineRule="auto"/>
              <w:jc w:val="both"/>
              <w:rPr>
                <w:rFonts w:ascii="Arial" w:hAnsi="Arial" w:cs="Arial"/>
                <w:lang w:val="af-ZA"/>
              </w:rPr>
            </w:pPr>
            <w:r w:rsidRPr="00D62410">
              <w:rPr>
                <w:rFonts w:ascii="Arial" w:hAnsi="Arial" w:cs="Arial"/>
                <w:lang w:val="af-ZA"/>
              </w:rPr>
              <w:t>‘Whether the defendant repudiated the agreement between the parties</w:t>
            </w:r>
          </w:p>
          <w:p w:rsidR="00B8145F" w:rsidRPr="00D62410" w:rsidRDefault="00B8145F" w:rsidP="00B8145F">
            <w:pPr>
              <w:pStyle w:val="ListParagraph"/>
              <w:numPr>
                <w:ilvl w:val="0"/>
                <w:numId w:val="2"/>
              </w:numPr>
              <w:tabs>
                <w:tab w:val="left" w:pos="842"/>
              </w:tabs>
              <w:spacing w:line="360" w:lineRule="auto"/>
              <w:jc w:val="both"/>
              <w:rPr>
                <w:rFonts w:ascii="Arial" w:hAnsi="Arial" w:cs="Arial"/>
                <w:lang w:val="af-ZA"/>
              </w:rPr>
            </w:pPr>
            <w:r w:rsidRPr="00D62410">
              <w:rPr>
                <w:rFonts w:ascii="Arial" w:hAnsi="Arial" w:cs="Arial"/>
                <w:lang w:val="af-ZA"/>
              </w:rPr>
              <w:t>Whether the defendant worked her bonding period</w:t>
            </w:r>
          </w:p>
          <w:p w:rsidR="00B8145F" w:rsidRPr="00D62410" w:rsidRDefault="00B8145F" w:rsidP="00B8145F">
            <w:pPr>
              <w:pStyle w:val="ListParagraph"/>
              <w:numPr>
                <w:ilvl w:val="0"/>
                <w:numId w:val="2"/>
              </w:numPr>
              <w:tabs>
                <w:tab w:val="left" w:pos="842"/>
              </w:tabs>
              <w:spacing w:line="360" w:lineRule="auto"/>
              <w:jc w:val="both"/>
              <w:rPr>
                <w:rFonts w:ascii="Arial" w:hAnsi="Arial" w:cs="Arial"/>
                <w:lang w:val="af-ZA"/>
              </w:rPr>
            </w:pPr>
            <w:r w:rsidRPr="00D62410">
              <w:rPr>
                <w:rFonts w:ascii="Arial" w:hAnsi="Arial" w:cs="Arial"/>
                <w:lang w:val="af-ZA"/>
              </w:rPr>
              <w:t>Whether the defendant is liable to the plaintiff in the amount of N$ 624 032.05 for the financial assistance provided to her during the period of studies at the University of Pretoria</w:t>
            </w:r>
          </w:p>
          <w:p w:rsidR="00B8145F" w:rsidRPr="00D62410" w:rsidRDefault="00B8145F" w:rsidP="00B8145F">
            <w:pPr>
              <w:pStyle w:val="ListParagraph"/>
              <w:numPr>
                <w:ilvl w:val="0"/>
                <w:numId w:val="2"/>
              </w:numPr>
              <w:tabs>
                <w:tab w:val="left" w:pos="842"/>
              </w:tabs>
              <w:spacing w:line="360" w:lineRule="auto"/>
              <w:jc w:val="both"/>
              <w:rPr>
                <w:rFonts w:ascii="Arial" w:hAnsi="Arial" w:cs="Arial"/>
                <w:lang w:val="af-ZA"/>
              </w:rPr>
            </w:pPr>
            <w:r w:rsidRPr="00D62410">
              <w:rPr>
                <w:rFonts w:ascii="Arial" w:hAnsi="Arial" w:cs="Arial"/>
                <w:lang w:val="af-ZA"/>
              </w:rPr>
              <w:t>Whether the Defendant completed her PHD qualification before resignation from employment with the plaintiff (although it seems that this point was admitted)</w:t>
            </w:r>
          </w:p>
          <w:p w:rsidR="00B8145F" w:rsidRPr="00D62410" w:rsidRDefault="00B8145F" w:rsidP="00B8145F">
            <w:pPr>
              <w:pStyle w:val="ListParagraph"/>
              <w:numPr>
                <w:ilvl w:val="0"/>
                <w:numId w:val="2"/>
              </w:numPr>
              <w:tabs>
                <w:tab w:val="left" w:pos="842"/>
              </w:tabs>
              <w:spacing w:line="360" w:lineRule="auto"/>
              <w:jc w:val="both"/>
              <w:rPr>
                <w:rFonts w:ascii="Arial" w:hAnsi="Arial" w:cs="Arial"/>
                <w:lang w:val="af-ZA"/>
              </w:rPr>
            </w:pPr>
            <w:r w:rsidRPr="00D62410">
              <w:rPr>
                <w:rFonts w:ascii="Arial" w:hAnsi="Arial" w:cs="Arial"/>
                <w:lang w:val="af-ZA"/>
              </w:rPr>
              <w:t>Whether the bonding period can be extended to the period after defendant's resignation from full-time employment with plaintiff.’</w:t>
            </w:r>
          </w:p>
          <w:p w:rsidR="00B8145F" w:rsidRDefault="00B8145F" w:rsidP="00167FA0">
            <w:pPr>
              <w:tabs>
                <w:tab w:val="left" w:pos="842"/>
              </w:tabs>
              <w:spacing w:line="360" w:lineRule="auto"/>
              <w:jc w:val="both"/>
              <w:rPr>
                <w:rFonts w:ascii="Arial" w:hAnsi="Arial" w:cs="Arial"/>
                <w:sz w:val="24"/>
                <w:szCs w:val="24"/>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 xml:space="preserve">[5]    </w:t>
            </w:r>
            <w:r w:rsidRPr="006E69E4">
              <w:rPr>
                <w:rFonts w:ascii="Arial" w:hAnsi="Arial" w:cs="Arial"/>
                <w:sz w:val="24"/>
                <w:szCs w:val="24"/>
                <w:lang w:val="af-ZA"/>
              </w:rPr>
              <w:t xml:space="preserve">Two legal issues </w:t>
            </w:r>
            <w:r>
              <w:rPr>
                <w:rFonts w:ascii="Arial" w:hAnsi="Arial" w:cs="Arial"/>
                <w:sz w:val="24"/>
                <w:szCs w:val="24"/>
                <w:lang w:val="af-ZA"/>
              </w:rPr>
              <w:t>were identified for determination:</w:t>
            </w:r>
          </w:p>
          <w:p w:rsidR="00B8145F" w:rsidRDefault="00B8145F" w:rsidP="00167FA0">
            <w:pPr>
              <w:tabs>
                <w:tab w:val="left" w:pos="842"/>
              </w:tabs>
              <w:spacing w:line="360" w:lineRule="auto"/>
              <w:jc w:val="both"/>
              <w:rPr>
                <w:rFonts w:ascii="Arial" w:hAnsi="Arial" w:cs="Arial"/>
                <w:sz w:val="24"/>
                <w:szCs w:val="24"/>
                <w:lang w:val="af-ZA"/>
              </w:rPr>
            </w:pPr>
          </w:p>
          <w:p w:rsidR="00B8145F" w:rsidRPr="00D62410" w:rsidRDefault="00B8145F" w:rsidP="00167FA0">
            <w:pPr>
              <w:tabs>
                <w:tab w:val="left" w:pos="842"/>
              </w:tabs>
              <w:spacing w:line="360" w:lineRule="auto"/>
              <w:jc w:val="both"/>
              <w:rPr>
                <w:rFonts w:ascii="Arial" w:hAnsi="Arial" w:cs="Arial"/>
                <w:lang w:val="af-ZA"/>
              </w:rPr>
            </w:pPr>
            <w:r>
              <w:rPr>
                <w:rFonts w:ascii="Arial" w:hAnsi="Arial" w:cs="Arial"/>
                <w:sz w:val="24"/>
                <w:szCs w:val="24"/>
                <w:lang w:val="af-ZA"/>
              </w:rPr>
              <w:t xml:space="preserve">     -    </w:t>
            </w:r>
            <w:r w:rsidRPr="00D62410">
              <w:rPr>
                <w:rFonts w:ascii="Arial" w:hAnsi="Arial" w:cs="Arial"/>
                <w:lang w:val="af-ZA"/>
              </w:rPr>
              <w:t>‘Whether there was a breach of contract by the defendant</w:t>
            </w:r>
          </w:p>
          <w:p w:rsidR="00B8145F" w:rsidRPr="00D62410" w:rsidRDefault="00B8145F" w:rsidP="00167FA0">
            <w:pPr>
              <w:tabs>
                <w:tab w:val="left" w:pos="842"/>
              </w:tabs>
              <w:spacing w:line="360" w:lineRule="auto"/>
              <w:jc w:val="both"/>
              <w:rPr>
                <w:rFonts w:ascii="Arial" w:hAnsi="Arial" w:cs="Arial"/>
                <w:lang w:val="af-ZA"/>
              </w:rPr>
            </w:pPr>
            <w:r w:rsidRPr="00D62410">
              <w:rPr>
                <w:rFonts w:ascii="Arial" w:hAnsi="Arial" w:cs="Arial"/>
                <w:lang w:val="af-ZA"/>
              </w:rPr>
              <w:t xml:space="preserve">     -    Whether the bonding period applies before successful completion of studies of the Staff Development Status Holder.’</w:t>
            </w:r>
          </w:p>
          <w:p w:rsidR="00B8145F" w:rsidRDefault="00B8145F" w:rsidP="00167FA0">
            <w:pPr>
              <w:tabs>
                <w:tab w:val="left" w:pos="842"/>
              </w:tabs>
              <w:spacing w:line="360" w:lineRule="auto"/>
              <w:jc w:val="both"/>
              <w:rPr>
                <w:rFonts w:ascii="Arial" w:hAnsi="Arial" w:cs="Arial"/>
                <w:sz w:val="24"/>
                <w:szCs w:val="24"/>
                <w:u w:val="single"/>
                <w:lang w:val="af-ZA"/>
              </w:rPr>
            </w:pPr>
          </w:p>
          <w:p w:rsidR="00B8145F" w:rsidRDefault="00B8145F" w:rsidP="00167FA0">
            <w:pPr>
              <w:tabs>
                <w:tab w:val="left" w:pos="842"/>
              </w:tabs>
              <w:spacing w:line="360" w:lineRule="auto"/>
              <w:jc w:val="both"/>
              <w:rPr>
                <w:rFonts w:ascii="Arial" w:hAnsi="Arial" w:cs="Arial"/>
                <w:sz w:val="24"/>
                <w:szCs w:val="24"/>
                <w:u w:val="single"/>
                <w:lang w:val="af-ZA"/>
              </w:rPr>
            </w:pPr>
            <w:r w:rsidRPr="00511D1D">
              <w:rPr>
                <w:rFonts w:ascii="Arial" w:hAnsi="Arial" w:cs="Arial"/>
                <w:sz w:val="24"/>
                <w:szCs w:val="24"/>
                <w:u w:val="single"/>
                <w:lang w:val="af-ZA"/>
              </w:rPr>
              <w:t>The evidence presented by the plaintiff.</w:t>
            </w:r>
          </w:p>
          <w:p w:rsidR="00B8145F" w:rsidRPr="00511D1D" w:rsidRDefault="00B8145F" w:rsidP="00167FA0">
            <w:pPr>
              <w:tabs>
                <w:tab w:val="left" w:pos="842"/>
              </w:tabs>
              <w:spacing w:line="360" w:lineRule="auto"/>
              <w:jc w:val="both"/>
              <w:rPr>
                <w:rFonts w:ascii="Arial" w:hAnsi="Arial" w:cs="Arial"/>
                <w:sz w:val="24"/>
                <w:szCs w:val="24"/>
                <w:u w:val="single"/>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[6]</w:t>
            </w:r>
            <w:r>
              <w:rPr>
                <w:rFonts w:ascii="Arial" w:hAnsi="Arial" w:cs="Arial"/>
                <w:sz w:val="24"/>
                <w:szCs w:val="24"/>
                <w:lang w:val="af-ZA"/>
              </w:rPr>
              <w:tab/>
              <w:t xml:space="preserve">The plaintiff called two witnesses, </w:t>
            </w:r>
            <w:r w:rsidRPr="00DB2DCA">
              <w:rPr>
                <w:rFonts w:ascii="Arial" w:hAnsi="Arial" w:cs="Arial"/>
                <w:sz w:val="24"/>
                <w:szCs w:val="24"/>
                <w:lang w:val="af-ZA"/>
              </w:rPr>
              <w:t>Ms. Seibes</w:t>
            </w:r>
            <w:r>
              <w:rPr>
                <w:rFonts w:ascii="Arial" w:hAnsi="Arial" w:cs="Arial"/>
                <w:sz w:val="24"/>
                <w:szCs w:val="24"/>
                <w:lang w:val="af-ZA"/>
              </w:rPr>
              <w:t xml:space="preserve"> who testified that she spoke to the defendant after an inquiry into the amount that the defendant still owed the plaintiff and forwarded certain correspondence via email to the defendant and a certain Ms. </w:t>
            </w:r>
            <w:r w:rsidRPr="00DB2DCA">
              <w:rPr>
                <w:rFonts w:ascii="Arial" w:hAnsi="Arial" w:cs="Arial"/>
                <w:sz w:val="24"/>
                <w:szCs w:val="24"/>
                <w:lang w:val="af-ZA"/>
              </w:rPr>
              <w:t>Katuuo</w:t>
            </w:r>
            <w:r>
              <w:rPr>
                <w:rFonts w:ascii="Arial" w:hAnsi="Arial" w:cs="Arial"/>
                <w:sz w:val="24"/>
                <w:szCs w:val="24"/>
                <w:lang w:val="af-ZA"/>
              </w:rPr>
              <w:t xml:space="preserve"> who is in charge of the staff development section and has been working with this program for several years. </w:t>
            </w:r>
            <w:r w:rsidRPr="006E69E4">
              <w:rPr>
                <w:rFonts w:ascii="Arial" w:hAnsi="Arial" w:cs="Arial"/>
                <w:sz w:val="24"/>
                <w:szCs w:val="24"/>
                <w:lang w:val="af-ZA"/>
              </w:rPr>
              <w:t>The plaintiff</w:t>
            </w:r>
            <w:r>
              <w:rPr>
                <w:rFonts w:ascii="Arial" w:hAnsi="Arial" w:cs="Arial"/>
                <w:sz w:val="24"/>
                <w:szCs w:val="24"/>
                <w:lang w:val="af-ZA"/>
              </w:rPr>
              <w:t>’s witnesses testified</w:t>
            </w:r>
            <w:r w:rsidRPr="006E69E4">
              <w:rPr>
                <w:rFonts w:ascii="Arial" w:hAnsi="Arial" w:cs="Arial"/>
                <w:sz w:val="24"/>
                <w:szCs w:val="24"/>
                <w:lang w:val="af-ZA"/>
              </w:rPr>
              <w:t xml:space="preserve"> that the defendant viol</w:t>
            </w:r>
            <w:r>
              <w:rPr>
                <w:rFonts w:ascii="Arial" w:hAnsi="Arial" w:cs="Arial"/>
                <w:sz w:val="24"/>
                <w:szCs w:val="24"/>
                <w:lang w:val="af-ZA"/>
              </w:rPr>
              <w:t xml:space="preserve">ated the terms of the agreement and they </w:t>
            </w:r>
            <w:r w:rsidRPr="006E69E4">
              <w:rPr>
                <w:rFonts w:ascii="Arial" w:hAnsi="Arial" w:cs="Arial"/>
                <w:sz w:val="24"/>
                <w:szCs w:val="24"/>
                <w:lang w:val="af-ZA"/>
              </w:rPr>
              <w:t>indicated that the def</w:t>
            </w:r>
            <w:r>
              <w:rPr>
                <w:rFonts w:ascii="Arial" w:hAnsi="Arial" w:cs="Arial"/>
                <w:sz w:val="24"/>
                <w:szCs w:val="24"/>
                <w:lang w:val="af-ZA"/>
              </w:rPr>
              <w:t xml:space="preserve">endant did not work her bonding </w:t>
            </w:r>
            <w:r w:rsidRPr="006E69E4">
              <w:rPr>
                <w:rFonts w:ascii="Arial" w:hAnsi="Arial" w:cs="Arial"/>
                <w:sz w:val="24"/>
                <w:szCs w:val="24"/>
                <w:lang w:val="af-ZA"/>
              </w:rPr>
              <w:t xml:space="preserve">period as the bonding period kicks in only upon successful completion of studies, </w:t>
            </w:r>
            <w:r>
              <w:rPr>
                <w:rFonts w:ascii="Arial" w:hAnsi="Arial" w:cs="Arial"/>
                <w:sz w:val="24"/>
                <w:szCs w:val="24"/>
                <w:lang w:val="af-ZA"/>
              </w:rPr>
              <w:t xml:space="preserve">which defendant resigned before </w:t>
            </w:r>
            <w:r w:rsidRPr="006E69E4">
              <w:rPr>
                <w:rFonts w:ascii="Arial" w:hAnsi="Arial" w:cs="Arial"/>
                <w:sz w:val="24"/>
                <w:szCs w:val="24"/>
                <w:lang w:val="af-ZA"/>
              </w:rPr>
              <w:t>she could do</w:t>
            </w:r>
            <w:r>
              <w:rPr>
                <w:rFonts w:ascii="Arial" w:hAnsi="Arial" w:cs="Arial"/>
                <w:sz w:val="24"/>
                <w:szCs w:val="24"/>
                <w:lang w:val="af-ZA"/>
              </w:rPr>
              <w:t xml:space="preserve"> so</w:t>
            </w:r>
            <w:r w:rsidRPr="006E69E4">
              <w:rPr>
                <w:rFonts w:ascii="Arial" w:hAnsi="Arial" w:cs="Arial"/>
                <w:sz w:val="24"/>
                <w:szCs w:val="24"/>
                <w:lang w:val="af-ZA"/>
              </w:rPr>
              <w:t>.</w:t>
            </w:r>
          </w:p>
          <w:p w:rsidR="00B8145F" w:rsidRPr="006E69E4" w:rsidRDefault="00B8145F" w:rsidP="00167FA0">
            <w:pPr>
              <w:tabs>
                <w:tab w:val="left" w:pos="842"/>
              </w:tabs>
              <w:spacing w:line="360" w:lineRule="auto"/>
              <w:jc w:val="both"/>
              <w:rPr>
                <w:rFonts w:ascii="Arial" w:hAnsi="Arial" w:cs="Arial"/>
                <w:sz w:val="24"/>
                <w:szCs w:val="24"/>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 xml:space="preserve">[7]          The </w:t>
            </w:r>
            <w:r w:rsidRPr="006E69E4">
              <w:rPr>
                <w:rFonts w:ascii="Arial" w:hAnsi="Arial" w:cs="Arial"/>
                <w:sz w:val="24"/>
                <w:szCs w:val="24"/>
                <w:lang w:val="af-ZA"/>
              </w:rPr>
              <w:t xml:space="preserve">witnesses </w:t>
            </w:r>
            <w:r>
              <w:rPr>
                <w:rFonts w:ascii="Arial" w:hAnsi="Arial" w:cs="Arial"/>
                <w:sz w:val="24"/>
                <w:szCs w:val="24"/>
                <w:lang w:val="af-ZA"/>
              </w:rPr>
              <w:t xml:space="preserve">further </w:t>
            </w:r>
            <w:r w:rsidRPr="006E69E4">
              <w:rPr>
                <w:rFonts w:ascii="Arial" w:hAnsi="Arial" w:cs="Arial"/>
                <w:sz w:val="24"/>
                <w:szCs w:val="24"/>
                <w:lang w:val="af-ZA"/>
              </w:rPr>
              <w:t xml:space="preserve">indicated that the defendant should pay the amount paid to her </w:t>
            </w:r>
            <w:r>
              <w:rPr>
                <w:rFonts w:ascii="Arial" w:hAnsi="Arial" w:cs="Arial"/>
                <w:sz w:val="24"/>
                <w:szCs w:val="24"/>
                <w:lang w:val="af-ZA"/>
              </w:rPr>
              <w:t xml:space="preserve">because the plaintiff spent the </w:t>
            </w:r>
            <w:r w:rsidRPr="006E69E4">
              <w:rPr>
                <w:rFonts w:ascii="Arial" w:hAnsi="Arial" w:cs="Arial"/>
                <w:sz w:val="24"/>
                <w:szCs w:val="24"/>
                <w:lang w:val="af-ZA"/>
              </w:rPr>
              <w:t xml:space="preserve">money on her while she was not working and was </w:t>
            </w:r>
            <w:r>
              <w:rPr>
                <w:rFonts w:ascii="Arial" w:hAnsi="Arial" w:cs="Arial"/>
                <w:sz w:val="24"/>
                <w:szCs w:val="24"/>
                <w:lang w:val="af-ZA"/>
              </w:rPr>
              <w:t xml:space="preserve">on leave away from duty station during the period of full-time study in 2014. The plaintiff covered certain expenses for substitute </w:t>
            </w:r>
            <w:r w:rsidRPr="00E96C57">
              <w:rPr>
                <w:rFonts w:ascii="Arial" w:hAnsi="Arial" w:cs="Arial"/>
                <w:sz w:val="24"/>
                <w:szCs w:val="24"/>
                <w:lang w:val="af-ZA"/>
              </w:rPr>
              <w:t>lecturers</w:t>
            </w:r>
            <w:r>
              <w:rPr>
                <w:rFonts w:ascii="Arial" w:hAnsi="Arial" w:cs="Arial"/>
                <w:sz w:val="24"/>
                <w:szCs w:val="24"/>
                <w:lang w:val="af-ZA"/>
              </w:rPr>
              <w:t xml:space="preserve"> and other workers to perform the functions of the defendant during the time that she was on full-time study. It was further testified that the plaintiff covered some additional costs in relation to the studies of the defendant, for example, the traveling costs to South Africa when she had to attend Pretoria University.</w:t>
            </w:r>
          </w:p>
          <w:p w:rsidR="00B8145F" w:rsidRPr="006E69E4" w:rsidRDefault="00B8145F" w:rsidP="00167FA0">
            <w:pPr>
              <w:tabs>
                <w:tab w:val="left" w:pos="842"/>
              </w:tabs>
              <w:spacing w:line="360" w:lineRule="auto"/>
              <w:jc w:val="both"/>
              <w:rPr>
                <w:rFonts w:ascii="Arial" w:hAnsi="Arial" w:cs="Arial"/>
                <w:sz w:val="24"/>
                <w:szCs w:val="24"/>
                <w:lang w:val="af-ZA"/>
              </w:rPr>
            </w:pPr>
          </w:p>
          <w:p w:rsidR="00B8145F" w:rsidRDefault="00B8145F" w:rsidP="00167FA0">
            <w:pPr>
              <w:tabs>
                <w:tab w:val="left" w:pos="842"/>
              </w:tabs>
              <w:spacing w:line="360" w:lineRule="auto"/>
              <w:jc w:val="both"/>
              <w:rPr>
                <w:rFonts w:ascii="Arial" w:hAnsi="Arial" w:cs="Arial"/>
                <w:sz w:val="24"/>
                <w:szCs w:val="24"/>
                <w:lang w:val="af-ZA"/>
              </w:rPr>
            </w:pPr>
            <w:r>
              <w:rPr>
                <w:rFonts w:ascii="Arial" w:hAnsi="Arial" w:cs="Arial"/>
                <w:sz w:val="24"/>
                <w:szCs w:val="24"/>
                <w:lang w:val="af-ZA"/>
              </w:rPr>
              <w:t xml:space="preserve">[8]      </w:t>
            </w:r>
            <w:r w:rsidRPr="006E69E4">
              <w:rPr>
                <w:rFonts w:ascii="Arial" w:hAnsi="Arial" w:cs="Arial"/>
                <w:sz w:val="24"/>
                <w:szCs w:val="24"/>
                <w:lang w:val="af-ZA"/>
              </w:rPr>
              <w:t>Both witnesses testified that the bonding period coul</w:t>
            </w:r>
            <w:r>
              <w:rPr>
                <w:rFonts w:ascii="Arial" w:hAnsi="Arial" w:cs="Arial"/>
                <w:sz w:val="24"/>
                <w:szCs w:val="24"/>
                <w:lang w:val="af-ZA"/>
              </w:rPr>
              <w:t xml:space="preserve">d not extend to a period of further employment of the defendant by the plaintiff because she already resigned and left the employ and specific position that she held with the plaintiff and the breach of the agreement, therefore, happened at the resignation from the post that she was in when she entered into the contract. </w:t>
            </w:r>
          </w:p>
          <w:p w:rsidR="00B8145F" w:rsidRDefault="00B8145F" w:rsidP="00167FA0">
            <w:pPr>
              <w:spacing w:line="360" w:lineRule="auto"/>
              <w:jc w:val="both"/>
              <w:rPr>
                <w:rFonts w:ascii="Arial" w:hAnsi="Arial" w:cs="Arial"/>
                <w:sz w:val="24"/>
                <w:szCs w:val="24"/>
                <w:lang w:val="en-US"/>
              </w:rPr>
            </w:pPr>
          </w:p>
          <w:p w:rsidR="00B8145F" w:rsidRPr="00060624" w:rsidRDefault="00B8145F" w:rsidP="00167FA0">
            <w:pPr>
              <w:spacing w:line="360" w:lineRule="auto"/>
              <w:jc w:val="both"/>
              <w:rPr>
                <w:rFonts w:ascii="Arial" w:hAnsi="Arial" w:cs="Arial"/>
                <w:sz w:val="24"/>
                <w:szCs w:val="24"/>
                <w:u w:val="single"/>
                <w:lang w:val="en-US"/>
              </w:rPr>
            </w:pPr>
            <w:r w:rsidRPr="00060624">
              <w:rPr>
                <w:rFonts w:ascii="Arial" w:hAnsi="Arial" w:cs="Arial"/>
                <w:sz w:val="24"/>
                <w:szCs w:val="24"/>
                <w:u w:val="single"/>
                <w:lang w:val="en-US"/>
              </w:rPr>
              <w:t>The basis for absolution from the instance</w:t>
            </w:r>
          </w:p>
          <w:p w:rsidR="00B8145F" w:rsidRPr="00060624" w:rsidRDefault="00B8145F" w:rsidP="00167FA0">
            <w:pPr>
              <w:spacing w:line="360" w:lineRule="auto"/>
              <w:jc w:val="both"/>
              <w:rPr>
                <w:rFonts w:ascii="Arial" w:hAnsi="Arial" w:cs="Arial"/>
                <w:sz w:val="24"/>
                <w:szCs w:val="24"/>
                <w:u w:val="single"/>
                <w:lang w:val="en-US"/>
              </w:rPr>
            </w:pPr>
          </w:p>
          <w:p w:rsidR="00B8145F" w:rsidRPr="00060624" w:rsidRDefault="00B8145F" w:rsidP="00167FA0">
            <w:pPr>
              <w:spacing w:line="360" w:lineRule="auto"/>
              <w:jc w:val="both"/>
              <w:rPr>
                <w:rFonts w:ascii="Arial" w:hAnsi="Arial" w:cs="Arial"/>
                <w:sz w:val="24"/>
                <w:szCs w:val="24"/>
                <w:lang w:val="en-US"/>
              </w:rPr>
            </w:pPr>
            <w:r w:rsidRPr="00060624">
              <w:rPr>
                <w:rFonts w:ascii="Arial" w:hAnsi="Arial" w:cs="Arial"/>
                <w:sz w:val="24"/>
                <w:szCs w:val="24"/>
                <w:lang w:val="en-US"/>
              </w:rPr>
              <w:t>[</w:t>
            </w:r>
            <w:r>
              <w:rPr>
                <w:rFonts w:ascii="Arial" w:hAnsi="Arial" w:cs="Arial"/>
                <w:sz w:val="24"/>
                <w:szCs w:val="24"/>
                <w:lang w:val="en-US"/>
              </w:rPr>
              <w:t>9]</w:t>
            </w:r>
            <w:r>
              <w:rPr>
                <w:rFonts w:ascii="Arial" w:hAnsi="Arial" w:cs="Arial"/>
                <w:sz w:val="24"/>
                <w:szCs w:val="24"/>
                <w:lang w:val="en-US"/>
              </w:rPr>
              <w:tab/>
              <w:t>T</w:t>
            </w:r>
            <w:r w:rsidRPr="00060624">
              <w:rPr>
                <w:rFonts w:ascii="Arial" w:hAnsi="Arial" w:cs="Arial"/>
                <w:sz w:val="24"/>
                <w:szCs w:val="24"/>
                <w:lang w:val="en-US"/>
              </w:rPr>
              <w:t>he process for the application for absolution from the instance is set out in rule</w:t>
            </w:r>
            <w:r>
              <w:rPr>
                <w:rFonts w:ascii="Arial" w:hAnsi="Arial" w:cs="Arial"/>
                <w:sz w:val="24"/>
                <w:szCs w:val="24"/>
                <w:lang w:val="en-US"/>
              </w:rPr>
              <w:t xml:space="preserve"> 100 of the High Court rules,</w:t>
            </w:r>
            <w:r w:rsidRPr="00060624">
              <w:rPr>
                <w:rFonts w:ascii="Arial" w:hAnsi="Arial" w:cs="Arial"/>
                <w:sz w:val="24"/>
                <w:szCs w:val="24"/>
                <w:lang w:val="en-US"/>
              </w:rPr>
              <w:t xml:space="preserve"> it however does not set ou</w:t>
            </w:r>
            <w:r>
              <w:rPr>
                <w:rFonts w:ascii="Arial" w:hAnsi="Arial" w:cs="Arial"/>
                <w:sz w:val="24"/>
                <w:szCs w:val="24"/>
                <w:lang w:val="en-US"/>
              </w:rPr>
              <w:t xml:space="preserve">t what needs to be considered. </w:t>
            </w:r>
            <w:r w:rsidRPr="00060624">
              <w:rPr>
                <w:rFonts w:ascii="Arial" w:hAnsi="Arial" w:cs="Arial"/>
                <w:sz w:val="24"/>
                <w:szCs w:val="24"/>
                <w:lang w:val="en-US"/>
              </w:rPr>
              <w:t xml:space="preserve">The test for granting absolution from the instance at the end of a plaintiff's case is set out in </w:t>
            </w:r>
            <w:r w:rsidRPr="00060624">
              <w:rPr>
                <w:rFonts w:ascii="Arial" w:hAnsi="Arial" w:cs="Arial"/>
                <w:i/>
                <w:sz w:val="24"/>
                <w:szCs w:val="24"/>
                <w:lang w:val="en-US"/>
              </w:rPr>
              <w:t>Claude Neon Lights (SA) Ltd v Daniel</w:t>
            </w:r>
            <w:r>
              <w:rPr>
                <w:rStyle w:val="FootnoteReference"/>
                <w:rFonts w:ascii="Arial" w:hAnsi="Arial" w:cs="Arial"/>
                <w:sz w:val="24"/>
                <w:szCs w:val="24"/>
                <w:lang w:val="en-US"/>
              </w:rPr>
              <w:footnoteReference w:id="1"/>
            </w:r>
            <w:r w:rsidRPr="00060624">
              <w:rPr>
                <w:rFonts w:ascii="Arial" w:hAnsi="Arial" w:cs="Arial"/>
                <w:sz w:val="24"/>
                <w:szCs w:val="24"/>
                <w:lang w:val="en-US"/>
              </w:rPr>
              <w:t xml:space="preserve"> where Miller AJA said:</w:t>
            </w:r>
          </w:p>
          <w:p w:rsidR="00B8145F" w:rsidRPr="00060624" w:rsidRDefault="00B8145F" w:rsidP="00167FA0">
            <w:pPr>
              <w:spacing w:line="360" w:lineRule="auto"/>
              <w:jc w:val="both"/>
              <w:rPr>
                <w:rFonts w:ascii="Arial" w:hAnsi="Arial" w:cs="Arial"/>
                <w:sz w:val="24"/>
                <w:szCs w:val="24"/>
                <w:lang w:val="en-US"/>
              </w:rPr>
            </w:pPr>
          </w:p>
          <w:p w:rsidR="00B8145F" w:rsidRPr="00B14E1D" w:rsidRDefault="00B8145F" w:rsidP="00167FA0">
            <w:pPr>
              <w:spacing w:line="360" w:lineRule="auto"/>
              <w:jc w:val="both"/>
              <w:rPr>
                <w:rFonts w:ascii="Arial" w:hAnsi="Arial" w:cs="Arial"/>
                <w:lang w:val="en-US"/>
              </w:rPr>
            </w:pPr>
            <w:r w:rsidRPr="00060624">
              <w:rPr>
                <w:rFonts w:ascii="Arial" w:hAnsi="Arial" w:cs="Arial"/>
                <w:sz w:val="24"/>
                <w:szCs w:val="24"/>
                <w:lang w:val="en-US"/>
              </w:rPr>
              <w:tab/>
            </w:r>
            <w:r w:rsidRPr="00B14E1D">
              <w:rPr>
                <w:rFonts w:ascii="Arial" w:hAnsi="Arial" w:cs="Arial"/>
                <w:lang w:val="en-US"/>
              </w:rPr>
              <w:t>'(W)hen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w:t>
            </w:r>
          </w:p>
          <w:p w:rsidR="00B8145F" w:rsidRPr="00060624" w:rsidRDefault="00B8145F" w:rsidP="00167FA0">
            <w:pPr>
              <w:spacing w:line="360" w:lineRule="auto"/>
              <w:jc w:val="both"/>
              <w:rPr>
                <w:rFonts w:ascii="Arial" w:hAnsi="Arial" w:cs="Arial"/>
                <w:sz w:val="24"/>
                <w:szCs w:val="24"/>
                <w:lang w:val="en-US"/>
              </w:rPr>
            </w:pPr>
          </w:p>
          <w:p w:rsidR="00B8145F" w:rsidRPr="00060624" w:rsidRDefault="00B8145F" w:rsidP="00167FA0">
            <w:pPr>
              <w:spacing w:line="360" w:lineRule="auto"/>
              <w:jc w:val="both"/>
              <w:rPr>
                <w:rFonts w:ascii="Arial" w:hAnsi="Arial" w:cs="Arial"/>
                <w:sz w:val="24"/>
                <w:szCs w:val="24"/>
                <w:lang w:val="en-US"/>
              </w:rPr>
            </w:pPr>
            <w:r w:rsidRPr="00060624">
              <w:rPr>
                <w:rFonts w:ascii="Arial" w:hAnsi="Arial" w:cs="Arial"/>
                <w:sz w:val="24"/>
                <w:szCs w:val="24"/>
                <w:lang w:val="en-US"/>
              </w:rPr>
              <w:t>[1</w:t>
            </w:r>
            <w:r>
              <w:rPr>
                <w:rFonts w:ascii="Arial" w:hAnsi="Arial" w:cs="Arial"/>
                <w:sz w:val="24"/>
                <w:szCs w:val="24"/>
                <w:lang w:val="en-US"/>
              </w:rPr>
              <w:t>0]</w:t>
            </w:r>
            <w:r>
              <w:rPr>
                <w:rFonts w:ascii="Arial" w:hAnsi="Arial" w:cs="Arial"/>
                <w:sz w:val="24"/>
                <w:szCs w:val="24"/>
                <w:lang w:val="en-US"/>
              </w:rPr>
              <w:tab/>
            </w:r>
            <w:r w:rsidRPr="00060624">
              <w:rPr>
                <w:rFonts w:ascii="Arial" w:hAnsi="Arial" w:cs="Arial"/>
                <w:sz w:val="24"/>
                <w:szCs w:val="24"/>
                <w:lang w:val="en-US"/>
              </w:rPr>
              <w:t xml:space="preserve">In </w:t>
            </w:r>
            <w:r w:rsidRPr="00060624">
              <w:rPr>
                <w:rFonts w:ascii="Arial" w:hAnsi="Arial" w:cs="Arial"/>
                <w:i/>
                <w:sz w:val="24"/>
                <w:szCs w:val="24"/>
                <w:lang w:val="en-US"/>
              </w:rPr>
              <w:t>Ramirez v Frans and Others,</w:t>
            </w:r>
            <w:r>
              <w:rPr>
                <w:rStyle w:val="FootnoteReference"/>
                <w:rFonts w:ascii="Arial" w:hAnsi="Arial" w:cs="Arial"/>
                <w:i/>
                <w:sz w:val="24"/>
                <w:szCs w:val="24"/>
                <w:lang w:val="en-US"/>
              </w:rPr>
              <w:footnoteReference w:id="2"/>
            </w:r>
            <w:r w:rsidRPr="00060624">
              <w:rPr>
                <w:rFonts w:ascii="Arial" w:hAnsi="Arial" w:cs="Arial"/>
                <w:sz w:val="24"/>
                <w:szCs w:val="24"/>
                <w:lang w:val="en-US"/>
              </w:rPr>
              <w:t xml:space="preserve">  this court dealt with the application and the principles applicable. Concerning case law, the following principles were extracted:  </w:t>
            </w:r>
          </w:p>
          <w:p w:rsidR="00B8145F" w:rsidRPr="00060624" w:rsidRDefault="00B8145F" w:rsidP="00167FA0">
            <w:pPr>
              <w:spacing w:line="360" w:lineRule="auto"/>
              <w:jc w:val="both"/>
              <w:rPr>
                <w:rFonts w:ascii="Arial" w:hAnsi="Arial" w:cs="Arial"/>
                <w:sz w:val="24"/>
                <w:szCs w:val="24"/>
                <w:lang w:val="en-US"/>
              </w:rPr>
            </w:pPr>
          </w:p>
          <w:p w:rsidR="00B8145F" w:rsidRPr="00B14E1D" w:rsidRDefault="00B8145F" w:rsidP="00167FA0">
            <w:pPr>
              <w:spacing w:line="360" w:lineRule="auto"/>
              <w:jc w:val="both"/>
              <w:rPr>
                <w:rFonts w:ascii="Arial" w:hAnsi="Arial" w:cs="Arial"/>
                <w:lang w:val="en-US"/>
              </w:rPr>
            </w:pPr>
            <w:r>
              <w:rPr>
                <w:rFonts w:ascii="Arial" w:hAnsi="Arial" w:cs="Arial"/>
                <w:sz w:val="24"/>
                <w:szCs w:val="24"/>
                <w:lang w:val="en-US"/>
              </w:rPr>
              <w:tab/>
            </w:r>
            <w:r>
              <w:rPr>
                <w:rFonts w:ascii="Arial" w:hAnsi="Arial" w:cs="Arial"/>
                <w:lang w:val="en-US"/>
              </w:rPr>
              <w:t>‘</w:t>
            </w:r>
            <w:r w:rsidRPr="00B14E1D">
              <w:rPr>
                <w:rFonts w:ascii="Arial" w:hAnsi="Arial" w:cs="Arial"/>
                <w:lang w:val="en-US"/>
              </w:rPr>
              <w:t xml:space="preserve">(a)   (T)his application is akin to an application for a discharge at the end of the case for the prosecution in criminal trials ie in terms of s 174 of the Criminal Procedure Act — </w:t>
            </w:r>
            <w:r w:rsidRPr="00B14E1D">
              <w:rPr>
                <w:rFonts w:ascii="Arial" w:hAnsi="Arial" w:cs="Arial"/>
                <w:i/>
                <w:lang w:val="en-US"/>
              </w:rPr>
              <w:t>General Francois Olenga v Spranger</w:t>
            </w:r>
            <w:r>
              <w:rPr>
                <w:rStyle w:val="FootnoteReference"/>
                <w:rFonts w:ascii="Arial" w:hAnsi="Arial" w:cs="Arial"/>
                <w:lang w:val="en-US"/>
              </w:rPr>
              <w:footnoteReference w:id="3"/>
            </w:r>
            <w:r w:rsidRPr="00B14E1D">
              <w:rPr>
                <w:rFonts w:ascii="Arial" w:hAnsi="Arial" w:cs="Arial"/>
                <w:lang w:val="en-US"/>
              </w:rPr>
              <w:t>;</w:t>
            </w:r>
          </w:p>
          <w:p w:rsidR="00B8145F" w:rsidRPr="00B14E1D" w:rsidRDefault="00B8145F" w:rsidP="00167FA0">
            <w:pPr>
              <w:spacing w:line="360" w:lineRule="auto"/>
              <w:jc w:val="both"/>
              <w:rPr>
                <w:rFonts w:ascii="Arial" w:hAnsi="Arial" w:cs="Arial"/>
                <w:lang w:val="en-US"/>
              </w:rPr>
            </w:pPr>
            <w:r w:rsidRPr="00B14E1D">
              <w:rPr>
                <w:rFonts w:ascii="Arial" w:hAnsi="Arial" w:cs="Arial"/>
                <w:lang w:val="en-US"/>
              </w:rPr>
              <w:t>(b)</w:t>
            </w:r>
            <w:r w:rsidRPr="00B14E1D">
              <w:rPr>
                <w:rFonts w:ascii="Arial" w:hAnsi="Arial" w:cs="Arial"/>
                <w:lang w:val="en-US"/>
              </w:rPr>
              <w:tab/>
              <w:t xml:space="preserve">the standard to be applied is whether the plaintiff, in the mind of the court, has tendered evidence upon which a court, properly directed and applying its mind reasonably to such evidence, could or might, not should, find for the plaintiff — </w:t>
            </w:r>
            <w:r w:rsidRPr="00B14E1D">
              <w:rPr>
                <w:rFonts w:ascii="Arial" w:hAnsi="Arial" w:cs="Arial"/>
                <w:i/>
                <w:lang w:val="en-US"/>
              </w:rPr>
              <w:t>Stier and Another v Henke</w:t>
            </w:r>
            <w:r>
              <w:rPr>
                <w:rStyle w:val="FootnoteReference"/>
                <w:rFonts w:ascii="Arial" w:hAnsi="Arial" w:cs="Arial"/>
                <w:lang w:val="en-US"/>
              </w:rPr>
              <w:footnoteReference w:id="4"/>
            </w:r>
            <w:r w:rsidRPr="00B14E1D">
              <w:rPr>
                <w:rFonts w:ascii="Arial" w:hAnsi="Arial" w:cs="Arial"/>
                <w:lang w:val="en-US"/>
              </w:rPr>
              <w:t xml:space="preserve"> “</w:t>
            </w:r>
          </w:p>
          <w:p w:rsidR="00B8145F" w:rsidRPr="00B14E1D" w:rsidRDefault="00B8145F" w:rsidP="00167FA0">
            <w:pPr>
              <w:spacing w:line="360" w:lineRule="auto"/>
              <w:jc w:val="both"/>
              <w:rPr>
                <w:rFonts w:ascii="Arial" w:hAnsi="Arial" w:cs="Arial"/>
                <w:lang w:val="en-US"/>
              </w:rPr>
            </w:pPr>
            <w:r w:rsidRPr="00B14E1D">
              <w:rPr>
                <w:rFonts w:ascii="Arial" w:hAnsi="Arial" w:cs="Arial"/>
                <w:lang w:val="en-US"/>
              </w:rPr>
              <w:t>(c)</w:t>
            </w:r>
            <w:r w:rsidRPr="00B14E1D">
              <w:rPr>
                <w:rFonts w:ascii="Arial" w:hAnsi="Arial" w:cs="Arial"/>
                <w:lang w:val="en-US"/>
              </w:rPr>
              <w:tab/>
              <w:t xml:space="preserve">the evidence adduced by the plaintiff should relate to all the elements of the claim because in the absence of such evidence, no court could find for the plaintiff — </w:t>
            </w:r>
            <w:r w:rsidRPr="00B14E1D">
              <w:rPr>
                <w:rFonts w:ascii="Arial" w:hAnsi="Arial" w:cs="Arial"/>
                <w:i/>
                <w:lang w:val="en-US"/>
              </w:rPr>
              <w:t>Factcrown Limited v Namibian  Broadcasting Corporation</w:t>
            </w:r>
            <w:r w:rsidRPr="00B14E1D">
              <w:rPr>
                <w:rFonts w:ascii="Arial" w:hAnsi="Arial" w:cs="Arial"/>
                <w:lang w:val="en-US"/>
              </w:rPr>
              <w:t>;</w:t>
            </w:r>
            <w:r>
              <w:rPr>
                <w:rStyle w:val="FootnoteReference"/>
                <w:rFonts w:ascii="Arial" w:hAnsi="Arial" w:cs="Arial"/>
                <w:lang w:val="en-US"/>
              </w:rPr>
              <w:footnoteReference w:id="5"/>
            </w:r>
            <w:r w:rsidRPr="00B14E1D">
              <w:rPr>
                <w:rFonts w:ascii="Arial" w:hAnsi="Arial" w:cs="Arial"/>
                <w:lang w:val="en-US"/>
              </w:rPr>
              <w:t>.</w:t>
            </w:r>
          </w:p>
          <w:p w:rsidR="00B8145F" w:rsidRPr="00B14E1D" w:rsidRDefault="00B8145F" w:rsidP="00167FA0">
            <w:pPr>
              <w:spacing w:line="360" w:lineRule="auto"/>
              <w:jc w:val="both"/>
              <w:rPr>
                <w:rFonts w:ascii="Arial" w:hAnsi="Arial" w:cs="Arial"/>
                <w:i/>
                <w:lang w:val="en-US"/>
              </w:rPr>
            </w:pPr>
            <w:r w:rsidRPr="00B14E1D">
              <w:rPr>
                <w:rFonts w:ascii="Arial" w:hAnsi="Arial" w:cs="Arial"/>
                <w:lang w:val="en-US"/>
              </w:rPr>
              <w:t>(d)</w:t>
            </w:r>
            <w:r w:rsidRPr="00B14E1D">
              <w:rPr>
                <w:rFonts w:ascii="Arial" w:hAnsi="Arial" w:cs="Arial"/>
                <w:lang w:val="en-US"/>
              </w:rPr>
              <w:tab/>
              <w:t xml:space="preserve">in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by the plaintiff is, however,   hopelessly poor, vacillating or of so romancing a character, the court may, in those circumstances, grant the application — </w:t>
            </w:r>
            <w:r w:rsidRPr="00B14E1D">
              <w:rPr>
                <w:rFonts w:ascii="Arial" w:hAnsi="Arial" w:cs="Arial"/>
                <w:i/>
                <w:lang w:val="en-US"/>
              </w:rPr>
              <w:t>General Francois Olenga v Erwin Spranger;</w:t>
            </w:r>
            <w:r>
              <w:rPr>
                <w:rStyle w:val="FootnoteReference"/>
                <w:rFonts w:ascii="Arial" w:hAnsi="Arial" w:cs="Arial"/>
                <w:lang w:val="en-US"/>
              </w:rPr>
              <w:footnoteReference w:id="6"/>
            </w:r>
          </w:p>
          <w:p w:rsidR="00B8145F" w:rsidRDefault="00B8145F" w:rsidP="00167FA0">
            <w:pPr>
              <w:spacing w:line="360" w:lineRule="auto"/>
              <w:jc w:val="both"/>
              <w:rPr>
                <w:rFonts w:ascii="Arial" w:hAnsi="Arial" w:cs="Arial"/>
                <w:i/>
                <w:lang w:val="en-US"/>
              </w:rPr>
            </w:pPr>
            <w:r>
              <w:rPr>
                <w:rFonts w:ascii="Arial" w:hAnsi="Arial" w:cs="Arial"/>
                <w:lang w:val="en-US"/>
              </w:rPr>
              <w:lastRenderedPageBreak/>
              <w:t>(</w:t>
            </w:r>
            <w:r w:rsidRPr="00B14E1D">
              <w:rPr>
                <w:rFonts w:ascii="Arial" w:hAnsi="Arial" w:cs="Arial"/>
                <w:lang w:val="en-US"/>
              </w:rPr>
              <w:t>e)</w:t>
            </w:r>
            <w:r w:rsidRPr="00B14E1D">
              <w:rPr>
                <w:rFonts w:ascii="Arial" w:hAnsi="Arial" w:cs="Arial"/>
                <w:lang w:val="en-US"/>
              </w:rPr>
              <w:tab/>
              <w:t xml:space="preserve">the application for absolution from the instance should be granted sparingly. The court must generally speaking, be shy, frigid, or cautious in granting this application. But when the proper occasion arises, and in the interests of justice, the court should not hesitate to grant this application — </w:t>
            </w:r>
            <w:r w:rsidRPr="00B14E1D">
              <w:rPr>
                <w:rFonts w:ascii="Arial" w:hAnsi="Arial" w:cs="Arial"/>
                <w:i/>
                <w:lang w:val="en-US"/>
              </w:rPr>
              <w:t>Stier and General Francois Olenga v Spranger (supra).</w:t>
            </w:r>
            <w:r>
              <w:rPr>
                <w:rFonts w:ascii="Arial" w:hAnsi="Arial" w:cs="Arial"/>
                <w:i/>
                <w:lang w:val="en-US"/>
              </w:rPr>
              <w:t>’</w:t>
            </w:r>
          </w:p>
          <w:p w:rsidR="00B8145F" w:rsidRDefault="00B8145F" w:rsidP="00167FA0">
            <w:pPr>
              <w:spacing w:line="360" w:lineRule="auto"/>
              <w:jc w:val="both"/>
              <w:rPr>
                <w:rFonts w:ascii="Arial" w:hAnsi="Arial" w:cs="Arial"/>
                <w:i/>
                <w:lang w:val="en-US"/>
              </w:rPr>
            </w:pPr>
          </w:p>
          <w:p w:rsidR="00B8145F" w:rsidRDefault="00B8145F" w:rsidP="00167FA0">
            <w:pPr>
              <w:spacing w:line="360" w:lineRule="auto"/>
              <w:jc w:val="both"/>
              <w:rPr>
                <w:rFonts w:ascii="Arial" w:hAnsi="Arial" w:cs="Arial"/>
                <w:sz w:val="24"/>
                <w:szCs w:val="24"/>
                <w:lang w:val="en-US"/>
              </w:rPr>
            </w:pPr>
            <w:r>
              <w:rPr>
                <w:rFonts w:ascii="Arial" w:hAnsi="Arial" w:cs="Arial"/>
                <w:lang w:val="en-US"/>
              </w:rPr>
              <w:t xml:space="preserve">[11]      </w:t>
            </w:r>
            <w:r w:rsidRPr="0008482A">
              <w:rPr>
                <w:rFonts w:ascii="Arial" w:hAnsi="Arial" w:cs="Arial"/>
                <w:sz w:val="24"/>
                <w:szCs w:val="24"/>
                <w:lang w:val="en-US"/>
              </w:rPr>
              <w:t xml:space="preserve"> In the case of </w:t>
            </w:r>
            <w:r w:rsidRPr="0008482A">
              <w:rPr>
                <w:rFonts w:ascii="Arial" w:hAnsi="Arial" w:cs="Arial"/>
                <w:i/>
                <w:sz w:val="24"/>
                <w:szCs w:val="24"/>
                <w:lang w:val="en-US"/>
              </w:rPr>
              <w:t>H</w:t>
            </w:r>
            <w:r>
              <w:rPr>
                <w:rFonts w:ascii="Arial" w:hAnsi="Arial" w:cs="Arial"/>
                <w:i/>
                <w:sz w:val="24"/>
                <w:szCs w:val="24"/>
                <w:lang w:val="en-US"/>
              </w:rPr>
              <w:t>ur</w:t>
            </w:r>
            <w:r w:rsidRPr="0008482A">
              <w:rPr>
                <w:rFonts w:ascii="Arial" w:hAnsi="Arial" w:cs="Arial"/>
                <w:i/>
                <w:sz w:val="24"/>
                <w:szCs w:val="24"/>
                <w:lang w:val="en-US"/>
              </w:rPr>
              <w:t>witz vs Neofytou</w:t>
            </w:r>
            <w:r w:rsidRPr="0008482A">
              <w:rPr>
                <w:rFonts w:ascii="Arial" w:hAnsi="Arial" w:cs="Arial"/>
                <w:sz w:val="24"/>
                <w:szCs w:val="24"/>
                <w:lang w:val="en-US"/>
              </w:rPr>
              <w:t xml:space="preserve"> </w:t>
            </w:r>
            <w:r>
              <w:rPr>
                <w:rStyle w:val="FootnoteReference"/>
                <w:rFonts w:ascii="Arial" w:hAnsi="Arial" w:cs="Arial"/>
                <w:sz w:val="24"/>
                <w:szCs w:val="24"/>
                <w:lang w:val="en-US"/>
              </w:rPr>
              <w:footnoteReference w:id="7"/>
            </w:r>
            <w:r>
              <w:rPr>
                <w:rFonts w:ascii="Arial" w:hAnsi="Arial" w:cs="Arial"/>
                <w:sz w:val="24"/>
                <w:szCs w:val="24"/>
                <w:lang w:val="en-US"/>
              </w:rPr>
              <w:t xml:space="preserve"> </w:t>
            </w:r>
            <w:r w:rsidRPr="0008482A">
              <w:rPr>
                <w:rFonts w:ascii="Arial" w:hAnsi="Arial" w:cs="Arial"/>
                <w:sz w:val="24"/>
                <w:szCs w:val="24"/>
                <w:lang w:val="en-US"/>
              </w:rPr>
              <w:t>the principles were explained as follows</w:t>
            </w:r>
            <w:r>
              <w:rPr>
                <w:rFonts w:ascii="Arial" w:hAnsi="Arial" w:cs="Arial"/>
                <w:sz w:val="24"/>
                <w:szCs w:val="24"/>
                <w:lang w:val="en-US"/>
              </w:rPr>
              <w:t>:</w:t>
            </w:r>
          </w:p>
          <w:p w:rsidR="00B8145F" w:rsidRDefault="00B8145F" w:rsidP="00167FA0">
            <w:pPr>
              <w:spacing w:line="360" w:lineRule="auto"/>
              <w:jc w:val="both"/>
              <w:rPr>
                <w:rFonts w:ascii="Arial" w:hAnsi="Arial" w:cs="Arial"/>
                <w:sz w:val="24"/>
                <w:szCs w:val="24"/>
                <w:lang w:val="en-US"/>
              </w:rPr>
            </w:pPr>
          </w:p>
          <w:p w:rsidR="00B8145F" w:rsidRDefault="00B8145F" w:rsidP="00167FA0">
            <w:pPr>
              <w:spacing w:line="360" w:lineRule="auto"/>
              <w:jc w:val="both"/>
              <w:rPr>
                <w:rFonts w:ascii="Arial" w:hAnsi="Arial" w:cs="Arial"/>
                <w:lang w:val="en-US"/>
              </w:rPr>
            </w:pPr>
            <w:r>
              <w:rPr>
                <w:rFonts w:ascii="Arial" w:hAnsi="Arial" w:cs="Arial"/>
                <w:sz w:val="24"/>
                <w:szCs w:val="24"/>
                <w:lang w:val="en-US"/>
              </w:rPr>
              <w:tab/>
              <w:t>‘</w:t>
            </w:r>
            <w:r w:rsidRPr="0008482A">
              <w:rPr>
                <w:rFonts w:ascii="Arial" w:hAnsi="Arial" w:cs="Arial"/>
                <w:lang w:val="en-US"/>
              </w:rPr>
              <w:t>This implies that a plaintiff has to make out a prima facie case - in the sense that there is evidence relating to all the elements of the claim - to survive absolution because without such evidence no court could find for the plaintiff (Marine &amp; Trade Insurance Co Ltd v Van der Schyff 1972 (1) SA 26 (A) 37G-38A; Schmidt Bewysreg 4th ed 91-92). As far as inferences from the evidence are concerned, the inference relied upon by the plaintiff must be a reasonable one, not the only reasonable one (Schmidt 93). The test has from time to time been formulated in different terms, especially it has been said that the court must consider whether there is "evidence upon which a reasonable man might find for the plaintiff" (Gascoyne loc cit) - a test which had its origin in jury trials when the "reasonable man" was a reasonable member of the jury (Ruto Flour Mills).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interests of justice."</w:t>
            </w:r>
          </w:p>
          <w:p w:rsidR="00B8145F" w:rsidRPr="0008482A" w:rsidRDefault="00B8145F" w:rsidP="00167FA0">
            <w:pPr>
              <w:spacing w:line="360" w:lineRule="auto"/>
              <w:jc w:val="both"/>
              <w:rPr>
                <w:rFonts w:ascii="Arial" w:hAnsi="Arial" w:cs="Arial"/>
                <w:lang w:val="en-US"/>
              </w:rPr>
            </w:pPr>
          </w:p>
          <w:p w:rsidR="00B8145F" w:rsidRPr="00CB313D" w:rsidRDefault="00B8145F" w:rsidP="00167FA0">
            <w:pPr>
              <w:spacing w:line="360" w:lineRule="auto"/>
              <w:jc w:val="both"/>
              <w:rPr>
                <w:rFonts w:ascii="Arial" w:hAnsi="Arial" w:cs="Arial"/>
                <w:sz w:val="24"/>
                <w:szCs w:val="24"/>
                <w:u w:val="single"/>
                <w:lang w:val="en-US"/>
              </w:rPr>
            </w:pPr>
            <w:r w:rsidRPr="00CB313D">
              <w:rPr>
                <w:rFonts w:ascii="Arial" w:hAnsi="Arial" w:cs="Arial"/>
                <w:sz w:val="24"/>
                <w:szCs w:val="24"/>
                <w:u w:val="single"/>
                <w:lang w:val="en-US"/>
              </w:rPr>
              <w:t>Discussion</w:t>
            </w:r>
          </w:p>
          <w:p w:rsidR="00B8145F" w:rsidRPr="00060624" w:rsidRDefault="00B8145F" w:rsidP="00167FA0">
            <w:pPr>
              <w:spacing w:line="360" w:lineRule="auto"/>
              <w:jc w:val="both"/>
              <w:rPr>
                <w:rFonts w:ascii="Arial" w:hAnsi="Arial" w:cs="Arial"/>
                <w:sz w:val="24"/>
                <w:szCs w:val="24"/>
                <w:lang w:val="en-US"/>
              </w:rPr>
            </w:pPr>
          </w:p>
          <w:p w:rsidR="00B8145F" w:rsidRDefault="00B8145F" w:rsidP="00167FA0">
            <w:pPr>
              <w:spacing w:line="360" w:lineRule="auto"/>
              <w:jc w:val="both"/>
              <w:rPr>
                <w:rFonts w:ascii="Arial" w:hAnsi="Arial" w:cs="Arial"/>
                <w:sz w:val="24"/>
                <w:szCs w:val="24"/>
                <w:lang w:val="en-US"/>
              </w:rPr>
            </w:pPr>
            <w:r w:rsidRPr="00060624">
              <w:rPr>
                <w:rFonts w:ascii="Arial" w:hAnsi="Arial" w:cs="Arial"/>
                <w:sz w:val="24"/>
                <w:szCs w:val="24"/>
                <w:lang w:val="en-US"/>
              </w:rPr>
              <w:t>[1</w:t>
            </w:r>
            <w:r>
              <w:rPr>
                <w:rFonts w:ascii="Arial" w:hAnsi="Arial" w:cs="Arial"/>
                <w:sz w:val="24"/>
                <w:szCs w:val="24"/>
                <w:lang w:val="en-US"/>
              </w:rPr>
              <w:t>2]</w:t>
            </w:r>
            <w:r>
              <w:rPr>
                <w:rFonts w:ascii="Arial" w:hAnsi="Arial" w:cs="Arial"/>
                <w:sz w:val="24"/>
                <w:szCs w:val="24"/>
                <w:lang w:val="en-US"/>
              </w:rPr>
              <w:tab/>
              <w:t xml:space="preserve"> The plaintiff instituted a claim for general damages resulting from a breach of contract.  The terms of the contract were adequately testified to by the witnesses as well as the contract was produced for perusal.  In the interpretation of the contract, each word must be given its ordinary meaning.  This court has previously indicated that the context provided by the contract as a whole and the circumstances wherein it came into existence is also of importance.</w:t>
            </w:r>
            <w:r>
              <w:rPr>
                <w:rStyle w:val="FootnoteReference"/>
                <w:rFonts w:ascii="Arial" w:hAnsi="Arial" w:cs="Arial"/>
                <w:sz w:val="24"/>
                <w:szCs w:val="24"/>
                <w:lang w:val="en-US"/>
              </w:rPr>
              <w:footnoteReference w:id="8"/>
            </w:r>
          </w:p>
          <w:p w:rsidR="00B8145F" w:rsidRDefault="00B8145F" w:rsidP="00167FA0">
            <w:pPr>
              <w:spacing w:line="360" w:lineRule="auto"/>
              <w:jc w:val="both"/>
              <w:rPr>
                <w:rFonts w:ascii="Arial" w:hAnsi="Arial" w:cs="Arial"/>
                <w:sz w:val="24"/>
                <w:szCs w:val="24"/>
                <w:lang w:val="en-US"/>
              </w:rPr>
            </w:pPr>
          </w:p>
          <w:p w:rsidR="00B8145F" w:rsidRDefault="00B8145F" w:rsidP="00167FA0">
            <w:pPr>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 xml:space="preserve">The plaintiff’s case is that the plaintiff and the defendant entered into an agreement in April 2014, the agreement was for the period of 1 year to allow the defendant to obtain </w:t>
            </w:r>
            <w:r>
              <w:rPr>
                <w:rFonts w:ascii="Arial" w:hAnsi="Arial" w:cs="Arial"/>
                <w:sz w:val="24"/>
                <w:szCs w:val="24"/>
                <w:lang w:val="en-US"/>
              </w:rPr>
              <w:lastRenderedPageBreak/>
              <w:t>her PhD degree from the University of Pretoria.  It is an explicit term of the agreement that the defendant, upon completion of her studies, would work for the plaintiff for a period equivalent to the duration of the study leave granted.  A further term of the agreement is that in case of failure to return and or work for the defendant after successful completion of the fellowship, the defendant shall be liable to repay all financial support provided to her during the fellowship. The evidence is that the defendant was granted study leave for one year, where she received her salary and benefits and she then resigned before completion of her PhD degree.</w:t>
            </w:r>
          </w:p>
          <w:p w:rsidR="00B8145F" w:rsidRDefault="00B8145F" w:rsidP="00167FA0">
            <w:pPr>
              <w:spacing w:line="360" w:lineRule="auto"/>
              <w:jc w:val="both"/>
              <w:rPr>
                <w:rFonts w:ascii="Arial" w:hAnsi="Arial" w:cs="Arial"/>
                <w:sz w:val="24"/>
                <w:szCs w:val="24"/>
                <w:lang w:val="en-US"/>
              </w:rPr>
            </w:pPr>
          </w:p>
          <w:p w:rsidR="00B8145F" w:rsidRPr="00060624" w:rsidRDefault="00B8145F" w:rsidP="00167FA0">
            <w:pPr>
              <w:spacing w:line="360" w:lineRule="auto"/>
              <w:jc w:val="both"/>
              <w:rPr>
                <w:rFonts w:ascii="Arial" w:hAnsi="Arial" w:cs="Arial"/>
                <w:sz w:val="24"/>
                <w:szCs w:val="24"/>
                <w:lang w:val="en-US"/>
              </w:rPr>
            </w:pPr>
            <w:r>
              <w:rPr>
                <w:rFonts w:ascii="Arial" w:hAnsi="Arial" w:cs="Arial"/>
                <w:sz w:val="24"/>
                <w:szCs w:val="24"/>
                <w:lang w:val="en-US"/>
              </w:rPr>
              <w:t xml:space="preserve">[14]       From the evidence provided by the plaintiff, it is clear that the plaintiff adduced evidence upon which a court acting reasonably could find for the plaintiff.  </w:t>
            </w:r>
          </w:p>
          <w:p w:rsidR="00B8145F" w:rsidRPr="00060624" w:rsidRDefault="00B8145F" w:rsidP="00167FA0">
            <w:pPr>
              <w:tabs>
                <w:tab w:val="left" w:pos="701"/>
                <w:tab w:val="left" w:pos="1126"/>
              </w:tabs>
              <w:spacing w:line="360" w:lineRule="auto"/>
              <w:jc w:val="both"/>
              <w:rPr>
                <w:rFonts w:ascii="Arial" w:hAnsi="Arial" w:cs="Arial"/>
                <w:sz w:val="24"/>
                <w:szCs w:val="24"/>
                <w:lang w:val="en-US"/>
              </w:rPr>
            </w:pPr>
          </w:p>
          <w:p w:rsidR="00B8145F" w:rsidRPr="00060624" w:rsidRDefault="00B8145F" w:rsidP="00167FA0">
            <w:pPr>
              <w:tabs>
                <w:tab w:val="left" w:pos="701"/>
                <w:tab w:val="left" w:pos="1126"/>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Pr="00060624">
              <w:rPr>
                <w:rFonts w:ascii="Arial" w:hAnsi="Arial" w:cs="Arial"/>
                <w:sz w:val="24"/>
                <w:szCs w:val="24"/>
                <w:lang w:val="en-US"/>
              </w:rPr>
              <w:t>As a result, I make the following order:</w:t>
            </w:r>
          </w:p>
          <w:p w:rsidR="00B8145F" w:rsidRPr="00060624" w:rsidRDefault="00B8145F" w:rsidP="00167FA0">
            <w:pPr>
              <w:pStyle w:val="NoSpacing"/>
              <w:spacing w:line="360" w:lineRule="auto"/>
              <w:jc w:val="both"/>
              <w:rPr>
                <w:rFonts w:ascii="Arial" w:hAnsi="Arial" w:cs="Arial"/>
                <w:sz w:val="24"/>
                <w:szCs w:val="24"/>
                <w:lang w:val="af-ZA"/>
              </w:rPr>
            </w:pPr>
          </w:p>
          <w:p w:rsidR="00B8145F" w:rsidRPr="005602AE" w:rsidRDefault="00B8145F" w:rsidP="00B8145F">
            <w:pPr>
              <w:pStyle w:val="NoSpacing"/>
              <w:numPr>
                <w:ilvl w:val="0"/>
                <w:numId w:val="3"/>
              </w:numPr>
              <w:spacing w:line="360" w:lineRule="auto"/>
              <w:jc w:val="both"/>
              <w:rPr>
                <w:rFonts w:ascii="Arial" w:hAnsi="Arial" w:cs="Arial"/>
                <w:sz w:val="24"/>
                <w:szCs w:val="24"/>
                <w:lang w:val="af-ZA"/>
              </w:rPr>
            </w:pPr>
            <w:r w:rsidRPr="005602AE">
              <w:rPr>
                <w:rFonts w:ascii="Arial" w:hAnsi="Arial" w:cs="Arial"/>
                <w:sz w:val="24"/>
                <w:szCs w:val="24"/>
                <w:lang w:val="af-ZA"/>
              </w:rPr>
              <w:t xml:space="preserve">Condonation is granted for the late filing of the heads of the plaintiff. </w:t>
            </w:r>
          </w:p>
          <w:p w:rsidR="00B8145F" w:rsidRDefault="00B8145F" w:rsidP="00B8145F">
            <w:pPr>
              <w:pStyle w:val="NoSpacing"/>
              <w:numPr>
                <w:ilvl w:val="0"/>
                <w:numId w:val="3"/>
              </w:numPr>
              <w:spacing w:line="360" w:lineRule="auto"/>
              <w:jc w:val="both"/>
              <w:rPr>
                <w:rFonts w:ascii="Arial" w:hAnsi="Arial" w:cs="Arial"/>
                <w:sz w:val="24"/>
                <w:szCs w:val="24"/>
                <w:lang w:val="af-ZA"/>
              </w:rPr>
            </w:pPr>
            <w:r w:rsidRPr="005602AE">
              <w:rPr>
                <w:rFonts w:ascii="Arial" w:hAnsi="Arial" w:cs="Arial"/>
                <w:sz w:val="24"/>
                <w:szCs w:val="24"/>
                <w:lang w:val="af-ZA"/>
              </w:rPr>
              <w:t xml:space="preserve">The application for absolution from the instance is not granted.  </w:t>
            </w:r>
          </w:p>
          <w:p w:rsidR="00B8145F" w:rsidRDefault="00B8145F" w:rsidP="00B8145F">
            <w:pPr>
              <w:pStyle w:val="NoSpacing"/>
              <w:numPr>
                <w:ilvl w:val="0"/>
                <w:numId w:val="3"/>
              </w:numPr>
              <w:spacing w:line="360" w:lineRule="auto"/>
              <w:jc w:val="both"/>
              <w:rPr>
                <w:rFonts w:ascii="Arial" w:hAnsi="Arial" w:cs="Arial"/>
                <w:sz w:val="24"/>
                <w:szCs w:val="24"/>
                <w:lang w:val="af-ZA"/>
              </w:rPr>
            </w:pPr>
            <w:r>
              <w:rPr>
                <w:rFonts w:ascii="Arial" w:hAnsi="Arial" w:cs="Arial"/>
                <w:sz w:val="24"/>
                <w:szCs w:val="24"/>
                <w:lang w:val="af-ZA"/>
              </w:rPr>
              <w:t>Cost of the application awarded to the plaintiff.</w:t>
            </w:r>
          </w:p>
          <w:p w:rsidR="00B8145F" w:rsidRPr="00DF300A" w:rsidRDefault="00B8145F" w:rsidP="00B8145F">
            <w:pPr>
              <w:pStyle w:val="NoSpacing"/>
              <w:numPr>
                <w:ilvl w:val="0"/>
                <w:numId w:val="3"/>
              </w:numPr>
              <w:spacing w:line="360" w:lineRule="auto"/>
              <w:jc w:val="both"/>
              <w:rPr>
                <w:rFonts w:ascii="Arial" w:hAnsi="Arial" w:cs="Arial"/>
                <w:sz w:val="24"/>
                <w:szCs w:val="24"/>
                <w:lang w:val="af-ZA"/>
              </w:rPr>
            </w:pPr>
            <w:r w:rsidRPr="00DF300A">
              <w:rPr>
                <w:rFonts w:ascii="Arial" w:hAnsi="Arial" w:cs="Arial"/>
                <w:sz w:val="24"/>
                <w:szCs w:val="24"/>
              </w:rPr>
              <w:t xml:space="preserve">The case is postponed to </w:t>
            </w:r>
            <w:r w:rsidRPr="00DF300A">
              <w:rPr>
                <w:rFonts w:ascii="Arial" w:hAnsi="Arial" w:cs="Arial"/>
                <w:b/>
                <w:sz w:val="24"/>
                <w:szCs w:val="24"/>
              </w:rPr>
              <w:t>24 January 2022 at 10h00</w:t>
            </w:r>
            <w:r w:rsidRPr="00DF300A">
              <w:rPr>
                <w:rFonts w:ascii="Arial" w:hAnsi="Arial" w:cs="Arial"/>
                <w:sz w:val="24"/>
                <w:szCs w:val="24"/>
              </w:rPr>
              <w:t xml:space="preserve"> for the continuation of the trial.</w:t>
            </w:r>
          </w:p>
        </w:tc>
      </w:tr>
      <w:tr w:rsidR="00B8145F" w:rsidTr="00167FA0">
        <w:tc>
          <w:tcPr>
            <w:tcW w:w="4770" w:type="dxa"/>
          </w:tcPr>
          <w:p w:rsidR="00B8145F" w:rsidRPr="00060624" w:rsidRDefault="00B8145F" w:rsidP="00167FA0">
            <w:pPr>
              <w:spacing w:line="360" w:lineRule="auto"/>
              <w:jc w:val="center"/>
              <w:rPr>
                <w:rFonts w:ascii="Arial" w:hAnsi="Arial" w:cs="Arial"/>
                <w:b/>
                <w:sz w:val="24"/>
                <w:szCs w:val="24"/>
              </w:rPr>
            </w:pPr>
            <w:r w:rsidRPr="00060624">
              <w:rPr>
                <w:rFonts w:ascii="Arial" w:hAnsi="Arial" w:cs="Arial"/>
                <w:b/>
                <w:sz w:val="24"/>
                <w:szCs w:val="24"/>
              </w:rPr>
              <w:lastRenderedPageBreak/>
              <w:t>Judge’s signature</w:t>
            </w:r>
          </w:p>
        </w:tc>
        <w:tc>
          <w:tcPr>
            <w:tcW w:w="4950" w:type="dxa"/>
            <w:gridSpan w:val="2"/>
          </w:tcPr>
          <w:p w:rsidR="00B8145F" w:rsidRPr="00060624" w:rsidRDefault="00B8145F" w:rsidP="00167FA0">
            <w:pPr>
              <w:spacing w:line="360" w:lineRule="auto"/>
              <w:jc w:val="center"/>
              <w:rPr>
                <w:rFonts w:ascii="Arial" w:hAnsi="Arial" w:cs="Arial"/>
                <w:b/>
                <w:sz w:val="24"/>
                <w:szCs w:val="24"/>
              </w:rPr>
            </w:pPr>
            <w:r w:rsidRPr="00060624">
              <w:rPr>
                <w:rFonts w:ascii="Arial" w:hAnsi="Arial" w:cs="Arial"/>
                <w:b/>
                <w:sz w:val="24"/>
                <w:szCs w:val="24"/>
              </w:rPr>
              <w:t>Note to the parties:</w:t>
            </w:r>
          </w:p>
        </w:tc>
      </w:tr>
      <w:tr w:rsidR="00B8145F" w:rsidTr="00167FA0">
        <w:trPr>
          <w:trHeight w:val="1114"/>
        </w:trPr>
        <w:tc>
          <w:tcPr>
            <w:tcW w:w="4770" w:type="dxa"/>
          </w:tcPr>
          <w:p w:rsidR="00B8145F" w:rsidRPr="00060624" w:rsidRDefault="00B8145F" w:rsidP="00167FA0">
            <w:pPr>
              <w:spacing w:line="360" w:lineRule="auto"/>
              <w:jc w:val="center"/>
              <w:rPr>
                <w:rFonts w:ascii="Arial" w:hAnsi="Arial" w:cs="Arial"/>
                <w:sz w:val="24"/>
                <w:szCs w:val="24"/>
              </w:rPr>
            </w:pPr>
          </w:p>
        </w:tc>
        <w:tc>
          <w:tcPr>
            <w:tcW w:w="4950" w:type="dxa"/>
            <w:gridSpan w:val="2"/>
          </w:tcPr>
          <w:p w:rsidR="00B8145F" w:rsidRPr="00060624" w:rsidRDefault="00B8145F" w:rsidP="00167FA0">
            <w:pPr>
              <w:spacing w:line="360" w:lineRule="auto"/>
              <w:jc w:val="both"/>
              <w:rPr>
                <w:rFonts w:ascii="Arial" w:hAnsi="Arial" w:cs="Arial"/>
                <w:sz w:val="24"/>
                <w:szCs w:val="24"/>
              </w:rPr>
            </w:pPr>
            <w:r w:rsidRPr="00060624">
              <w:rPr>
                <w:rFonts w:ascii="Arial" w:hAnsi="Arial" w:cs="Arial"/>
                <w:sz w:val="24"/>
                <w:szCs w:val="24"/>
              </w:rPr>
              <w:t>Not applicable.</w:t>
            </w:r>
          </w:p>
        </w:tc>
      </w:tr>
      <w:tr w:rsidR="00B8145F" w:rsidTr="00167FA0">
        <w:tc>
          <w:tcPr>
            <w:tcW w:w="9720" w:type="dxa"/>
            <w:gridSpan w:val="3"/>
          </w:tcPr>
          <w:p w:rsidR="00B8145F" w:rsidRPr="00060624" w:rsidRDefault="00B8145F" w:rsidP="00167FA0">
            <w:pPr>
              <w:spacing w:line="360" w:lineRule="auto"/>
              <w:jc w:val="center"/>
              <w:rPr>
                <w:rFonts w:ascii="Arial" w:hAnsi="Arial" w:cs="Arial"/>
                <w:b/>
                <w:sz w:val="24"/>
                <w:szCs w:val="24"/>
              </w:rPr>
            </w:pPr>
            <w:r w:rsidRPr="00060624">
              <w:rPr>
                <w:rFonts w:ascii="Arial" w:hAnsi="Arial" w:cs="Arial"/>
                <w:b/>
                <w:sz w:val="24"/>
                <w:szCs w:val="24"/>
              </w:rPr>
              <w:t>Counsel:</w:t>
            </w:r>
          </w:p>
        </w:tc>
      </w:tr>
      <w:tr w:rsidR="00B8145F" w:rsidTr="00167FA0">
        <w:tc>
          <w:tcPr>
            <w:tcW w:w="4770" w:type="dxa"/>
          </w:tcPr>
          <w:p w:rsidR="00B8145F" w:rsidRPr="00060624" w:rsidRDefault="00B8145F" w:rsidP="00167FA0">
            <w:pPr>
              <w:spacing w:line="360" w:lineRule="auto"/>
              <w:jc w:val="center"/>
              <w:rPr>
                <w:rFonts w:ascii="Arial" w:hAnsi="Arial" w:cs="Arial"/>
                <w:b/>
                <w:sz w:val="24"/>
                <w:szCs w:val="24"/>
              </w:rPr>
            </w:pPr>
            <w:r w:rsidRPr="00060624">
              <w:rPr>
                <w:rFonts w:ascii="Arial" w:hAnsi="Arial" w:cs="Arial"/>
                <w:b/>
                <w:sz w:val="24"/>
                <w:szCs w:val="24"/>
              </w:rPr>
              <w:t>Applicants</w:t>
            </w:r>
          </w:p>
          <w:p w:rsidR="00B8145F" w:rsidRDefault="00B8145F" w:rsidP="00167FA0">
            <w:pPr>
              <w:spacing w:line="360" w:lineRule="auto"/>
              <w:jc w:val="center"/>
              <w:rPr>
                <w:rFonts w:ascii="Arial" w:hAnsi="Arial" w:cs="Arial"/>
                <w:sz w:val="24"/>
                <w:szCs w:val="24"/>
                <w:lang w:val="en-US"/>
              </w:rPr>
            </w:pPr>
            <w:r>
              <w:rPr>
                <w:rFonts w:ascii="Arial" w:hAnsi="Arial" w:cs="Arial"/>
                <w:sz w:val="24"/>
                <w:szCs w:val="24"/>
                <w:lang w:val="en-US"/>
              </w:rPr>
              <w:t>E Shikongo</w:t>
            </w:r>
          </w:p>
          <w:p w:rsidR="00B8145F" w:rsidRPr="003820AC" w:rsidRDefault="00B8145F" w:rsidP="00167FA0">
            <w:pPr>
              <w:spacing w:line="360" w:lineRule="auto"/>
              <w:jc w:val="center"/>
              <w:rPr>
                <w:rFonts w:ascii="Arial" w:hAnsi="Arial" w:cs="Arial"/>
                <w:sz w:val="24"/>
                <w:szCs w:val="24"/>
                <w:lang w:val="en-US"/>
              </w:rPr>
            </w:pPr>
            <w:r>
              <w:rPr>
                <w:rFonts w:ascii="Arial" w:hAnsi="Arial" w:cs="Arial"/>
                <w:sz w:val="24"/>
                <w:szCs w:val="24"/>
                <w:lang w:val="en-US"/>
              </w:rPr>
              <w:t>of</w:t>
            </w:r>
          </w:p>
          <w:p w:rsidR="00B8145F" w:rsidRDefault="00B8145F" w:rsidP="00167FA0">
            <w:pPr>
              <w:spacing w:line="360" w:lineRule="auto"/>
              <w:jc w:val="center"/>
              <w:rPr>
                <w:rFonts w:ascii="Arial" w:hAnsi="Arial" w:cs="Arial"/>
                <w:sz w:val="24"/>
                <w:szCs w:val="24"/>
              </w:rPr>
            </w:pPr>
            <w:r w:rsidRPr="003820AC">
              <w:rPr>
                <w:rFonts w:ascii="Arial" w:hAnsi="Arial" w:cs="Arial"/>
                <w:sz w:val="24"/>
                <w:szCs w:val="24"/>
              </w:rPr>
              <w:t xml:space="preserve">Shikongo Law Chambers </w:t>
            </w:r>
          </w:p>
          <w:p w:rsidR="00B8145F" w:rsidRPr="003820AC" w:rsidRDefault="00B8145F" w:rsidP="00167FA0">
            <w:pPr>
              <w:spacing w:line="360" w:lineRule="auto"/>
              <w:jc w:val="center"/>
              <w:rPr>
                <w:rFonts w:ascii="Arial" w:hAnsi="Arial" w:cs="Arial"/>
                <w:sz w:val="24"/>
                <w:szCs w:val="24"/>
                <w:lang w:val="en-US"/>
              </w:rPr>
            </w:pPr>
            <w:r w:rsidRPr="003820AC">
              <w:rPr>
                <w:rFonts w:ascii="Arial" w:hAnsi="Arial" w:cs="Arial"/>
                <w:sz w:val="24"/>
                <w:szCs w:val="24"/>
                <w:lang w:val="en-GB"/>
              </w:rPr>
              <w:t>Windhoek</w:t>
            </w:r>
          </w:p>
          <w:p w:rsidR="00B8145F" w:rsidRPr="00060624" w:rsidRDefault="00B8145F" w:rsidP="00167FA0">
            <w:pPr>
              <w:spacing w:line="360" w:lineRule="auto"/>
              <w:jc w:val="center"/>
              <w:rPr>
                <w:rFonts w:ascii="Arial" w:hAnsi="Arial" w:cs="Arial"/>
                <w:sz w:val="24"/>
                <w:szCs w:val="24"/>
              </w:rPr>
            </w:pPr>
          </w:p>
        </w:tc>
        <w:tc>
          <w:tcPr>
            <w:tcW w:w="4950" w:type="dxa"/>
            <w:gridSpan w:val="2"/>
          </w:tcPr>
          <w:p w:rsidR="00B8145F" w:rsidRPr="00060624" w:rsidRDefault="00B8145F" w:rsidP="00167FA0">
            <w:pPr>
              <w:spacing w:line="360" w:lineRule="auto"/>
              <w:jc w:val="center"/>
              <w:rPr>
                <w:rFonts w:ascii="Arial" w:hAnsi="Arial" w:cs="Arial"/>
                <w:b/>
                <w:sz w:val="24"/>
                <w:szCs w:val="24"/>
              </w:rPr>
            </w:pPr>
            <w:r w:rsidRPr="00060624">
              <w:rPr>
                <w:rFonts w:ascii="Arial" w:hAnsi="Arial" w:cs="Arial"/>
                <w:b/>
                <w:sz w:val="24"/>
                <w:szCs w:val="24"/>
              </w:rPr>
              <w:t xml:space="preserve"> Respondent</w:t>
            </w:r>
          </w:p>
          <w:p w:rsidR="00B8145F" w:rsidRDefault="00B8145F" w:rsidP="00167FA0">
            <w:pPr>
              <w:spacing w:line="360" w:lineRule="auto"/>
              <w:jc w:val="center"/>
              <w:rPr>
                <w:rFonts w:ascii="Arial" w:hAnsi="Arial" w:cs="Arial"/>
                <w:sz w:val="24"/>
                <w:szCs w:val="24"/>
              </w:rPr>
            </w:pPr>
            <w:r>
              <w:rPr>
                <w:rFonts w:ascii="Arial" w:hAnsi="Arial" w:cs="Arial"/>
                <w:sz w:val="24"/>
                <w:szCs w:val="24"/>
              </w:rPr>
              <w:t>N</w:t>
            </w:r>
            <w:r w:rsidRPr="003820AC">
              <w:rPr>
                <w:rFonts w:ascii="Arial" w:hAnsi="Arial" w:cs="Arial"/>
                <w:sz w:val="24"/>
                <w:szCs w:val="24"/>
              </w:rPr>
              <w:t xml:space="preserve"> Enkali</w:t>
            </w:r>
          </w:p>
          <w:p w:rsidR="00B8145F" w:rsidRDefault="00B8145F" w:rsidP="00167FA0">
            <w:pPr>
              <w:spacing w:line="360" w:lineRule="auto"/>
              <w:jc w:val="center"/>
              <w:rPr>
                <w:rFonts w:ascii="Arial" w:hAnsi="Arial" w:cs="Arial"/>
                <w:sz w:val="24"/>
                <w:szCs w:val="24"/>
              </w:rPr>
            </w:pPr>
            <w:r>
              <w:rPr>
                <w:rFonts w:ascii="Arial" w:hAnsi="Arial" w:cs="Arial"/>
                <w:sz w:val="24"/>
                <w:szCs w:val="24"/>
              </w:rPr>
              <w:t>of</w:t>
            </w:r>
          </w:p>
          <w:p w:rsidR="00B8145F" w:rsidRDefault="00B8145F" w:rsidP="00167FA0">
            <w:pPr>
              <w:spacing w:line="360" w:lineRule="auto"/>
              <w:jc w:val="center"/>
              <w:rPr>
                <w:rFonts w:ascii="Arial" w:hAnsi="Arial" w:cs="Arial"/>
                <w:sz w:val="24"/>
                <w:szCs w:val="24"/>
              </w:rPr>
            </w:pPr>
            <w:r w:rsidRPr="003820AC">
              <w:rPr>
                <w:rFonts w:ascii="Arial" w:hAnsi="Arial" w:cs="Arial"/>
                <w:sz w:val="24"/>
                <w:szCs w:val="24"/>
              </w:rPr>
              <w:t>Kadhila Amoomo Legal Practitioners</w:t>
            </w:r>
          </w:p>
          <w:p w:rsidR="00B8145F" w:rsidRPr="003820AC" w:rsidRDefault="00B8145F" w:rsidP="00167FA0">
            <w:pPr>
              <w:spacing w:line="360" w:lineRule="auto"/>
              <w:jc w:val="center"/>
              <w:rPr>
                <w:rFonts w:ascii="Arial" w:hAnsi="Arial" w:cs="Arial"/>
                <w:sz w:val="24"/>
                <w:szCs w:val="24"/>
                <w:lang w:val="en-US"/>
              </w:rPr>
            </w:pPr>
            <w:r w:rsidRPr="003820AC">
              <w:rPr>
                <w:rFonts w:ascii="Arial" w:hAnsi="Arial" w:cs="Arial"/>
                <w:sz w:val="24"/>
                <w:szCs w:val="24"/>
                <w:lang w:val="en-GB"/>
              </w:rPr>
              <w:t>Windhoek</w:t>
            </w:r>
          </w:p>
          <w:p w:rsidR="00B8145F" w:rsidRPr="00060624" w:rsidRDefault="00B8145F" w:rsidP="00167FA0">
            <w:pPr>
              <w:spacing w:line="360" w:lineRule="auto"/>
              <w:jc w:val="center"/>
              <w:rPr>
                <w:rFonts w:ascii="Arial" w:hAnsi="Arial" w:cs="Arial"/>
                <w:sz w:val="24"/>
                <w:szCs w:val="24"/>
              </w:rPr>
            </w:pPr>
          </w:p>
        </w:tc>
      </w:tr>
    </w:tbl>
    <w:p w:rsidR="00B8145F" w:rsidRPr="00060624" w:rsidRDefault="00B8145F" w:rsidP="00B8145F">
      <w:pPr>
        <w:spacing w:after="0" w:line="360" w:lineRule="auto"/>
        <w:rPr>
          <w:rFonts w:ascii="Arial" w:hAnsi="Arial" w:cs="Arial"/>
          <w:sz w:val="24"/>
          <w:szCs w:val="24"/>
        </w:rPr>
      </w:pPr>
    </w:p>
    <w:p w:rsidR="00856FBA" w:rsidRDefault="00703369"/>
    <w:sectPr w:rsidR="00856FBA" w:rsidSect="003D0BA1">
      <w:headerReference w:type="default" r:id="rId11"/>
      <w:footerReference w:type="default" r:id="rId12"/>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69" w:rsidRDefault="00703369" w:rsidP="00B8145F">
      <w:pPr>
        <w:spacing w:after="0" w:line="240" w:lineRule="auto"/>
      </w:pPr>
      <w:r>
        <w:separator/>
      </w:r>
    </w:p>
  </w:endnote>
  <w:endnote w:type="continuationSeparator" w:id="0">
    <w:p w:rsidR="00703369" w:rsidRDefault="00703369" w:rsidP="00B8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703369">
    <w:pPr>
      <w:pStyle w:val="Footer"/>
      <w:jc w:val="right"/>
    </w:pPr>
  </w:p>
  <w:p w:rsidR="00536B8D" w:rsidRDefault="007033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69" w:rsidRDefault="00703369" w:rsidP="00B8145F">
      <w:pPr>
        <w:spacing w:after="0" w:line="240" w:lineRule="auto"/>
      </w:pPr>
      <w:r>
        <w:separator/>
      </w:r>
    </w:p>
  </w:footnote>
  <w:footnote w:type="continuationSeparator" w:id="0">
    <w:p w:rsidR="00703369" w:rsidRDefault="00703369" w:rsidP="00B8145F">
      <w:pPr>
        <w:spacing w:after="0" w:line="240" w:lineRule="auto"/>
      </w:pPr>
      <w:r>
        <w:continuationSeparator/>
      </w:r>
    </w:p>
  </w:footnote>
  <w:footnote w:id="1">
    <w:p w:rsidR="00B8145F" w:rsidRPr="0096757F"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lang w:val="en-US"/>
        </w:rPr>
        <w:t>Claude Neon Lights (SA) Ltd v Daniel</w:t>
      </w:r>
      <w:r w:rsidRPr="0096757F">
        <w:rPr>
          <w:rFonts w:ascii="Arial" w:hAnsi="Arial" w:cs="Arial"/>
        </w:rPr>
        <w:t xml:space="preserve"> 1976 (4) SA 403 (A) at 409G – H</w:t>
      </w:r>
    </w:p>
  </w:footnote>
  <w:footnote w:id="2">
    <w:p w:rsidR="00B8145F" w:rsidRPr="0096757F"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lang w:val="en-US"/>
        </w:rPr>
        <w:t>Ramirez v Frans and Others</w:t>
      </w:r>
      <w:r w:rsidRPr="0096757F">
        <w:rPr>
          <w:rFonts w:ascii="Arial" w:hAnsi="Arial" w:cs="Arial"/>
        </w:rPr>
        <w:t xml:space="preserve"> [2016] NAHCMD 376 (I 933/2013; 25 November 2016) para 28. See also </w:t>
      </w:r>
      <w:r w:rsidRPr="0096757F">
        <w:rPr>
          <w:rFonts w:ascii="Arial" w:hAnsi="Arial" w:cs="Arial"/>
          <w:i/>
        </w:rPr>
        <w:t>Uvanga v Steenkamp and Others</w:t>
      </w:r>
      <w:r w:rsidRPr="0096757F">
        <w:rPr>
          <w:rFonts w:ascii="Arial" w:hAnsi="Arial" w:cs="Arial"/>
        </w:rPr>
        <w:t xml:space="preserve"> [2017] NAHCMD 341 (I 1968/2014; 29 November 2017) para 41.</w:t>
      </w:r>
    </w:p>
  </w:footnote>
  <w:footnote w:id="3">
    <w:p w:rsidR="00B8145F" w:rsidRPr="0096757F"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lang w:val="en-US"/>
        </w:rPr>
        <w:t>General Francois Olenga v Spranger</w:t>
      </w:r>
      <w:r w:rsidRPr="0096757F">
        <w:rPr>
          <w:rFonts w:ascii="Arial" w:hAnsi="Arial" w:cs="Arial"/>
        </w:rPr>
        <w:t xml:space="preserve"> (I 3826/2011) [2019] NAHCMD 192 (17 June 2019), infra at 13 para 35.</w:t>
      </w:r>
    </w:p>
  </w:footnote>
  <w:footnote w:id="4">
    <w:p w:rsidR="00B8145F" w:rsidRPr="0096757F"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lang w:val="en-US"/>
        </w:rPr>
        <w:t>Stier and Another v Henke</w:t>
      </w:r>
      <w:r w:rsidRPr="0096757F">
        <w:rPr>
          <w:rFonts w:ascii="Arial" w:hAnsi="Arial" w:cs="Arial"/>
        </w:rPr>
        <w:t xml:space="preserve"> 2012 (1) NR 370 (SC) at 373.</w:t>
      </w:r>
    </w:p>
  </w:footnote>
  <w:footnote w:id="5">
    <w:p w:rsidR="00B8145F" w:rsidRPr="0096757F"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Pr>
          <w:rFonts w:ascii="Arial" w:hAnsi="Arial" w:cs="Arial"/>
          <w:i/>
          <w:lang w:val="en-US"/>
        </w:rPr>
        <w:t>Factcrown Limited v Namibian</w:t>
      </w:r>
      <w:r w:rsidRPr="0096757F">
        <w:rPr>
          <w:rFonts w:ascii="Arial" w:hAnsi="Arial" w:cs="Arial"/>
          <w:i/>
          <w:lang w:val="en-US"/>
        </w:rPr>
        <w:t xml:space="preserve"> Broadcasting Corporation</w:t>
      </w:r>
      <w:r w:rsidRPr="0096757F">
        <w:rPr>
          <w:rFonts w:ascii="Arial" w:hAnsi="Arial" w:cs="Arial"/>
        </w:rPr>
        <w:t xml:space="preserve"> 2014 (2) NR 447 (SC).</w:t>
      </w:r>
    </w:p>
  </w:footnote>
  <w:footnote w:id="6">
    <w:p w:rsidR="00B8145F" w:rsidRPr="00547BB0" w:rsidRDefault="00B8145F" w:rsidP="00B8145F">
      <w:pPr>
        <w:pStyle w:val="FootnoteText"/>
        <w:rPr>
          <w:rFonts w:ascii="Arial" w:hAnsi="Arial" w:cs="Arial"/>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lang w:val="en-US"/>
        </w:rPr>
        <w:t>General Francois Olenga v Erwin Spranger</w:t>
      </w:r>
      <w:r w:rsidRPr="0096757F">
        <w:rPr>
          <w:rFonts w:ascii="Arial" w:hAnsi="Arial" w:cs="Arial"/>
        </w:rPr>
        <w:t xml:space="preserve"> (I 3826/2011) [2019] NAHCMD 192 (17 June 2019) and the authorities cited therein;</w:t>
      </w:r>
    </w:p>
  </w:footnote>
  <w:footnote w:id="7">
    <w:p w:rsidR="00B8145F" w:rsidRPr="0096757F" w:rsidRDefault="00B8145F" w:rsidP="00B8145F">
      <w:pPr>
        <w:pStyle w:val="FootnoteText"/>
        <w:rPr>
          <w:rFonts w:ascii="Arial" w:hAnsi="Arial" w:cs="Arial"/>
          <w:lang w:val="en-US"/>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i/>
        </w:rPr>
        <w:t>Hurtwitz vs Neofytou</w:t>
      </w:r>
      <w:r w:rsidRPr="0096757F">
        <w:rPr>
          <w:rFonts w:ascii="Arial" w:hAnsi="Arial" w:cs="Arial"/>
        </w:rPr>
        <w:t xml:space="preserve"> Unreported judgement of the South Gauteng High Court case no. 23542/2015 delivered on 2 June 2017.</w:t>
      </w:r>
    </w:p>
  </w:footnote>
  <w:footnote w:id="8">
    <w:p w:rsidR="00B8145F" w:rsidRPr="00361BD1" w:rsidRDefault="00B8145F" w:rsidP="00B8145F">
      <w:pPr>
        <w:pStyle w:val="FootnoteText"/>
        <w:rPr>
          <w:rFonts w:ascii="Arial" w:hAnsi="Arial" w:cs="Arial"/>
          <w:lang w:val="en-US"/>
        </w:rPr>
      </w:pPr>
      <w:r w:rsidRPr="0096757F">
        <w:rPr>
          <w:rStyle w:val="FootnoteReference"/>
          <w:rFonts w:ascii="Arial" w:hAnsi="Arial" w:cs="Arial"/>
        </w:rPr>
        <w:footnoteRef/>
      </w:r>
      <w:r w:rsidRPr="0096757F">
        <w:rPr>
          <w:rFonts w:ascii="Arial" w:hAnsi="Arial" w:cs="Arial"/>
        </w:rPr>
        <w:t xml:space="preserve"> </w:t>
      </w:r>
      <w:r w:rsidRPr="0096757F">
        <w:rPr>
          <w:rFonts w:ascii="Arial" w:hAnsi="Arial" w:cs="Arial"/>
          <w:lang w:val="en-US"/>
        </w:rPr>
        <w:t xml:space="preserve">See </w:t>
      </w:r>
      <w:r w:rsidRPr="0096757F">
        <w:rPr>
          <w:rFonts w:ascii="Arial" w:hAnsi="Arial" w:cs="Arial"/>
          <w:i/>
          <w:lang w:val="en-US"/>
        </w:rPr>
        <w:t>Total Namibia (Pty) Ltd v OBM Engineering and Petroleum Distributors CC</w:t>
      </w:r>
      <w:r w:rsidRPr="0096757F">
        <w:rPr>
          <w:rFonts w:ascii="Arial" w:hAnsi="Arial" w:cs="Arial"/>
          <w:lang w:val="en-US"/>
        </w:rPr>
        <w:t xml:space="preserve"> 2015 (3) NR 733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172786">
        <w:pPr>
          <w:pStyle w:val="Header"/>
          <w:jc w:val="right"/>
        </w:pPr>
        <w:r>
          <w:fldChar w:fldCharType="begin"/>
        </w:r>
        <w:r>
          <w:instrText xml:space="preserve"> PAGE   \* MERGEFORMAT </w:instrText>
        </w:r>
        <w:r>
          <w:fldChar w:fldCharType="separate"/>
        </w:r>
        <w:r w:rsidR="00EF6075">
          <w:rPr>
            <w:noProof/>
          </w:rPr>
          <w:t>6</w:t>
        </w:r>
        <w:r>
          <w:rPr>
            <w:noProof/>
          </w:rPr>
          <w:fldChar w:fldCharType="end"/>
        </w:r>
      </w:p>
    </w:sdtContent>
  </w:sdt>
  <w:p w:rsidR="00536B8D" w:rsidRDefault="00703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C6F"/>
    <w:multiLevelType w:val="hybridMultilevel"/>
    <w:tmpl w:val="4F722646"/>
    <w:lvl w:ilvl="0" w:tplc="63066AD0">
      <w:start w:val="1"/>
      <w:numFmt w:val="decimal"/>
      <w:lvlText w:val="%1."/>
      <w:lvlJc w:val="left"/>
      <w:pPr>
        <w:ind w:left="945" w:hanging="585"/>
      </w:pPr>
      <w:rPr>
        <w:rFonts w:hint="default"/>
      </w:rPr>
    </w:lvl>
    <w:lvl w:ilvl="1" w:tplc="40521E04" w:tentative="1">
      <w:start w:val="1"/>
      <w:numFmt w:val="lowerLetter"/>
      <w:lvlText w:val="%2."/>
      <w:lvlJc w:val="left"/>
      <w:pPr>
        <w:ind w:left="1440" w:hanging="360"/>
      </w:pPr>
    </w:lvl>
    <w:lvl w:ilvl="2" w:tplc="E0F82758" w:tentative="1">
      <w:start w:val="1"/>
      <w:numFmt w:val="lowerRoman"/>
      <w:lvlText w:val="%3."/>
      <w:lvlJc w:val="right"/>
      <w:pPr>
        <w:ind w:left="2160" w:hanging="180"/>
      </w:pPr>
    </w:lvl>
    <w:lvl w:ilvl="3" w:tplc="E27EB576" w:tentative="1">
      <w:start w:val="1"/>
      <w:numFmt w:val="decimal"/>
      <w:lvlText w:val="%4."/>
      <w:lvlJc w:val="left"/>
      <w:pPr>
        <w:ind w:left="2880" w:hanging="360"/>
      </w:pPr>
    </w:lvl>
    <w:lvl w:ilvl="4" w:tplc="F8C8A1B8" w:tentative="1">
      <w:start w:val="1"/>
      <w:numFmt w:val="lowerLetter"/>
      <w:lvlText w:val="%5."/>
      <w:lvlJc w:val="left"/>
      <w:pPr>
        <w:ind w:left="3600" w:hanging="360"/>
      </w:pPr>
    </w:lvl>
    <w:lvl w:ilvl="5" w:tplc="BA42144A" w:tentative="1">
      <w:start w:val="1"/>
      <w:numFmt w:val="lowerRoman"/>
      <w:lvlText w:val="%6."/>
      <w:lvlJc w:val="right"/>
      <w:pPr>
        <w:ind w:left="4320" w:hanging="180"/>
      </w:pPr>
    </w:lvl>
    <w:lvl w:ilvl="6" w:tplc="C2DE4662" w:tentative="1">
      <w:start w:val="1"/>
      <w:numFmt w:val="decimal"/>
      <w:lvlText w:val="%7."/>
      <w:lvlJc w:val="left"/>
      <w:pPr>
        <w:ind w:left="5040" w:hanging="360"/>
      </w:pPr>
    </w:lvl>
    <w:lvl w:ilvl="7" w:tplc="A3F8F7A2" w:tentative="1">
      <w:start w:val="1"/>
      <w:numFmt w:val="lowerLetter"/>
      <w:lvlText w:val="%8."/>
      <w:lvlJc w:val="left"/>
      <w:pPr>
        <w:ind w:left="5760" w:hanging="360"/>
      </w:pPr>
    </w:lvl>
    <w:lvl w:ilvl="8" w:tplc="89D8B65A" w:tentative="1">
      <w:start w:val="1"/>
      <w:numFmt w:val="lowerRoman"/>
      <w:lvlText w:val="%9."/>
      <w:lvlJc w:val="right"/>
      <w:pPr>
        <w:ind w:left="6480" w:hanging="180"/>
      </w:pPr>
    </w:lvl>
  </w:abstractNum>
  <w:abstractNum w:abstractNumId="1" w15:restartNumberingAfterBreak="0">
    <w:nsid w:val="33191201"/>
    <w:multiLevelType w:val="hybridMultilevel"/>
    <w:tmpl w:val="4F722646"/>
    <w:lvl w:ilvl="0" w:tplc="63066AD0">
      <w:start w:val="1"/>
      <w:numFmt w:val="decimal"/>
      <w:lvlText w:val="%1."/>
      <w:lvlJc w:val="left"/>
      <w:pPr>
        <w:ind w:left="945" w:hanging="585"/>
      </w:pPr>
      <w:rPr>
        <w:rFonts w:hint="default"/>
      </w:rPr>
    </w:lvl>
    <w:lvl w:ilvl="1" w:tplc="40521E04" w:tentative="1">
      <w:start w:val="1"/>
      <w:numFmt w:val="lowerLetter"/>
      <w:lvlText w:val="%2."/>
      <w:lvlJc w:val="left"/>
      <w:pPr>
        <w:ind w:left="1440" w:hanging="360"/>
      </w:pPr>
    </w:lvl>
    <w:lvl w:ilvl="2" w:tplc="E0F82758" w:tentative="1">
      <w:start w:val="1"/>
      <w:numFmt w:val="lowerRoman"/>
      <w:lvlText w:val="%3."/>
      <w:lvlJc w:val="right"/>
      <w:pPr>
        <w:ind w:left="2160" w:hanging="180"/>
      </w:pPr>
    </w:lvl>
    <w:lvl w:ilvl="3" w:tplc="E27EB576" w:tentative="1">
      <w:start w:val="1"/>
      <w:numFmt w:val="decimal"/>
      <w:lvlText w:val="%4."/>
      <w:lvlJc w:val="left"/>
      <w:pPr>
        <w:ind w:left="2880" w:hanging="360"/>
      </w:pPr>
    </w:lvl>
    <w:lvl w:ilvl="4" w:tplc="F8C8A1B8" w:tentative="1">
      <w:start w:val="1"/>
      <w:numFmt w:val="lowerLetter"/>
      <w:lvlText w:val="%5."/>
      <w:lvlJc w:val="left"/>
      <w:pPr>
        <w:ind w:left="3600" w:hanging="360"/>
      </w:pPr>
    </w:lvl>
    <w:lvl w:ilvl="5" w:tplc="BA42144A" w:tentative="1">
      <w:start w:val="1"/>
      <w:numFmt w:val="lowerRoman"/>
      <w:lvlText w:val="%6."/>
      <w:lvlJc w:val="right"/>
      <w:pPr>
        <w:ind w:left="4320" w:hanging="180"/>
      </w:pPr>
    </w:lvl>
    <w:lvl w:ilvl="6" w:tplc="C2DE4662" w:tentative="1">
      <w:start w:val="1"/>
      <w:numFmt w:val="decimal"/>
      <w:lvlText w:val="%7."/>
      <w:lvlJc w:val="left"/>
      <w:pPr>
        <w:ind w:left="5040" w:hanging="360"/>
      </w:pPr>
    </w:lvl>
    <w:lvl w:ilvl="7" w:tplc="A3F8F7A2" w:tentative="1">
      <w:start w:val="1"/>
      <w:numFmt w:val="lowerLetter"/>
      <w:lvlText w:val="%8."/>
      <w:lvlJc w:val="left"/>
      <w:pPr>
        <w:ind w:left="5760" w:hanging="360"/>
      </w:pPr>
    </w:lvl>
    <w:lvl w:ilvl="8" w:tplc="89D8B65A" w:tentative="1">
      <w:start w:val="1"/>
      <w:numFmt w:val="lowerRoman"/>
      <w:lvlText w:val="%9."/>
      <w:lvlJc w:val="right"/>
      <w:pPr>
        <w:ind w:left="6480" w:hanging="180"/>
      </w:pPr>
    </w:lvl>
  </w:abstractNum>
  <w:abstractNum w:abstractNumId="2" w15:restartNumberingAfterBreak="0">
    <w:nsid w:val="7F1063FD"/>
    <w:multiLevelType w:val="hybridMultilevel"/>
    <w:tmpl w:val="B54A81E0"/>
    <w:lvl w:ilvl="0" w:tplc="D8748F2C">
      <w:start w:val="1"/>
      <w:numFmt w:val="bullet"/>
      <w:lvlText w:val="-"/>
      <w:lvlJc w:val="left"/>
      <w:pPr>
        <w:ind w:left="720" w:hanging="360"/>
      </w:pPr>
      <w:rPr>
        <w:rFonts w:ascii="Arial" w:eastAsiaTheme="minorHAnsi" w:hAnsi="Arial" w:cs="Arial" w:hint="default"/>
      </w:rPr>
    </w:lvl>
    <w:lvl w:ilvl="1" w:tplc="016ABC30" w:tentative="1">
      <w:start w:val="1"/>
      <w:numFmt w:val="bullet"/>
      <w:lvlText w:val="o"/>
      <w:lvlJc w:val="left"/>
      <w:pPr>
        <w:ind w:left="1440" w:hanging="360"/>
      </w:pPr>
      <w:rPr>
        <w:rFonts w:ascii="Courier New" w:hAnsi="Courier New" w:cs="Courier New" w:hint="default"/>
      </w:rPr>
    </w:lvl>
    <w:lvl w:ilvl="2" w:tplc="3464724C" w:tentative="1">
      <w:start w:val="1"/>
      <w:numFmt w:val="bullet"/>
      <w:lvlText w:val=""/>
      <w:lvlJc w:val="left"/>
      <w:pPr>
        <w:ind w:left="2160" w:hanging="360"/>
      </w:pPr>
      <w:rPr>
        <w:rFonts w:ascii="Wingdings" w:hAnsi="Wingdings" w:hint="default"/>
      </w:rPr>
    </w:lvl>
    <w:lvl w:ilvl="3" w:tplc="50728DF8" w:tentative="1">
      <w:start w:val="1"/>
      <w:numFmt w:val="bullet"/>
      <w:lvlText w:val=""/>
      <w:lvlJc w:val="left"/>
      <w:pPr>
        <w:ind w:left="2880" w:hanging="360"/>
      </w:pPr>
      <w:rPr>
        <w:rFonts w:ascii="Symbol" w:hAnsi="Symbol" w:hint="default"/>
      </w:rPr>
    </w:lvl>
    <w:lvl w:ilvl="4" w:tplc="EFA2D1A4" w:tentative="1">
      <w:start w:val="1"/>
      <w:numFmt w:val="bullet"/>
      <w:lvlText w:val="o"/>
      <w:lvlJc w:val="left"/>
      <w:pPr>
        <w:ind w:left="3600" w:hanging="360"/>
      </w:pPr>
      <w:rPr>
        <w:rFonts w:ascii="Courier New" w:hAnsi="Courier New" w:cs="Courier New" w:hint="default"/>
      </w:rPr>
    </w:lvl>
    <w:lvl w:ilvl="5" w:tplc="22B61C14" w:tentative="1">
      <w:start w:val="1"/>
      <w:numFmt w:val="bullet"/>
      <w:lvlText w:val=""/>
      <w:lvlJc w:val="left"/>
      <w:pPr>
        <w:ind w:left="4320" w:hanging="360"/>
      </w:pPr>
      <w:rPr>
        <w:rFonts w:ascii="Wingdings" w:hAnsi="Wingdings" w:hint="default"/>
      </w:rPr>
    </w:lvl>
    <w:lvl w:ilvl="6" w:tplc="9938730E" w:tentative="1">
      <w:start w:val="1"/>
      <w:numFmt w:val="bullet"/>
      <w:lvlText w:val=""/>
      <w:lvlJc w:val="left"/>
      <w:pPr>
        <w:ind w:left="5040" w:hanging="360"/>
      </w:pPr>
      <w:rPr>
        <w:rFonts w:ascii="Symbol" w:hAnsi="Symbol" w:hint="default"/>
      </w:rPr>
    </w:lvl>
    <w:lvl w:ilvl="7" w:tplc="38D01560" w:tentative="1">
      <w:start w:val="1"/>
      <w:numFmt w:val="bullet"/>
      <w:lvlText w:val="o"/>
      <w:lvlJc w:val="left"/>
      <w:pPr>
        <w:ind w:left="5760" w:hanging="360"/>
      </w:pPr>
      <w:rPr>
        <w:rFonts w:ascii="Courier New" w:hAnsi="Courier New" w:cs="Courier New" w:hint="default"/>
      </w:rPr>
    </w:lvl>
    <w:lvl w:ilvl="8" w:tplc="48705CC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5F"/>
    <w:rsid w:val="00172786"/>
    <w:rsid w:val="00625E84"/>
    <w:rsid w:val="00703369"/>
    <w:rsid w:val="00794ED8"/>
    <w:rsid w:val="00835D34"/>
    <w:rsid w:val="008E1A6C"/>
    <w:rsid w:val="00B42C41"/>
    <w:rsid w:val="00B8145F"/>
    <w:rsid w:val="00E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177B5-403E-48A7-B0DE-F1771347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5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45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5F"/>
    <w:rPr>
      <w:lang w:val="en-ZA"/>
    </w:rPr>
  </w:style>
  <w:style w:type="paragraph" w:customStyle="1" w:styleId="form-control-static">
    <w:name w:val="form-control-static"/>
    <w:basedOn w:val="Normal"/>
    <w:rsid w:val="00B814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8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5F"/>
    <w:rPr>
      <w:lang w:val="en-ZA"/>
    </w:rPr>
  </w:style>
  <w:style w:type="paragraph" w:styleId="NoSpacing">
    <w:name w:val="No Spacing"/>
    <w:uiPriority w:val="1"/>
    <w:qFormat/>
    <w:rsid w:val="00B8145F"/>
    <w:pPr>
      <w:spacing w:after="0" w:line="240" w:lineRule="auto"/>
    </w:pPr>
    <w:rPr>
      <w:rFonts w:ascii="Calibri" w:eastAsia="Calibri" w:hAnsi="Calibri" w:cs="Calibri"/>
      <w:color w:val="000000"/>
      <w:lang w:val="en-ZA" w:eastAsia="en-ZA"/>
    </w:rPr>
  </w:style>
  <w:style w:type="paragraph" w:styleId="FootnoteText">
    <w:name w:val="footnote text"/>
    <w:basedOn w:val="Normal"/>
    <w:link w:val="FootnoteTextChar"/>
    <w:uiPriority w:val="99"/>
    <w:semiHidden/>
    <w:unhideWhenUsed/>
    <w:rsid w:val="00B81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45F"/>
    <w:rPr>
      <w:sz w:val="20"/>
      <w:szCs w:val="20"/>
      <w:lang w:val="en-ZA"/>
    </w:rPr>
  </w:style>
  <w:style w:type="character" w:styleId="FootnoteReference">
    <w:name w:val="footnote reference"/>
    <w:basedOn w:val="DefaultParagraphFont"/>
    <w:uiPriority w:val="99"/>
    <w:semiHidden/>
    <w:unhideWhenUsed/>
    <w:rsid w:val="00B8145F"/>
    <w:rPr>
      <w:vertAlign w:val="superscript"/>
    </w:rPr>
  </w:style>
  <w:style w:type="paragraph" w:styleId="ListParagraph">
    <w:name w:val="List Paragraph"/>
    <w:basedOn w:val="Normal"/>
    <w:uiPriority w:val="34"/>
    <w:qFormat/>
    <w:rsid w:val="00B81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2021-11-23T18:30:00+00:00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20431-1EF3-4A04-BB62-802753BA901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9D582D62-7BDB-447A-A75B-B7F95C9E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D8E7D-D1F1-4F27-A0CF-4C79EF5BD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Namibia v Fransman (HC-MD-CIV-ACT-CON-2019-00374) [2021] NAHCMD 583 (24 November 2021)</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Namibia v Fransman (HC-MD-CIV-ACT-CON-2019-00374) [2021] NAHCMD 583 (24 November 2021)</dc:title>
  <dc:subject/>
  <dc:creator>Mbeurora Karamata</dc:creator>
  <cp:keywords/>
  <dc:description/>
  <cp:lastModifiedBy>HOME</cp:lastModifiedBy>
  <cp:revision>2</cp:revision>
  <dcterms:created xsi:type="dcterms:W3CDTF">2022-01-26T16:22:00Z</dcterms:created>
  <dcterms:modified xsi:type="dcterms:W3CDTF">2022-01-26T16:22:00Z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