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7B" w:rsidRPr="00545B44" w:rsidRDefault="00103A7B" w:rsidP="006143CB">
      <w:pPr>
        <w:spacing w:after="0" w:line="360" w:lineRule="auto"/>
        <w:ind w:right="288"/>
        <w:jc w:val="center"/>
        <w:rPr>
          <w:rFonts w:ascii="Arial Narrow" w:eastAsia="Times New Roman" w:hAnsi="Arial Narrow" w:cs="Leelawadee"/>
          <w:color w:val="262626" w:themeColor="text1" w:themeTint="D9"/>
          <w:sz w:val="24"/>
          <w:szCs w:val="24"/>
          <w:lang w:val="en-GB"/>
        </w:rPr>
      </w:pPr>
      <w:bookmarkStart w:id="0" w:name="_GoBack"/>
      <w:bookmarkEnd w:id="0"/>
    </w:p>
    <w:p w:rsidR="00103A7B" w:rsidRPr="00545B44" w:rsidRDefault="00103A7B" w:rsidP="006143CB">
      <w:pPr>
        <w:spacing w:after="0" w:line="360" w:lineRule="auto"/>
        <w:ind w:right="288"/>
        <w:jc w:val="center"/>
        <w:rPr>
          <w:rFonts w:ascii="Arial Narrow" w:eastAsia="Times New Roman" w:hAnsi="Arial Narrow" w:cs="Arial"/>
          <w:b/>
          <w:color w:val="262626" w:themeColor="text1" w:themeTint="D9"/>
          <w:sz w:val="24"/>
          <w:szCs w:val="24"/>
          <w:lang w:val="en-GB"/>
        </w:rPr>
      </w:pPr>
      <w:r w:rsidRPr="00545B44">
        <w:rPr>
          <w:rFonts w:ascii="Arial Narrow" w:eastAsia="Times New Roman" w:hAnsi="Arial Narrow" w:cs="Arial"/>
          <w:b/>
          <w:color w:val="262626" w:themeColor="text1" w:themeTint="D9"/>
          <w:sz w:val="24"/>
          <w:szCs w:val="24"/>
          <w:lang w:val="en-GB"/>
        </w:rPr>
        <w:t>REPUBLIC OF NAMIBIA</w:t>
      </w:r>
    </w:p>
    <w:p w:rsidR="00103A7B" w:rsidRPr="00545B44" w:rsidRDefault="00103A7B" w:rsidP="006143CB">
      <w:pPr>
        <w:spacing w:after="0" w:line="360" w:lineRule="auto"/>
        <w:ind w:right="288"/>
        <w:jc w:val="center"/>
        <w:rPr>
          <w:rFonts w:ascii="Arial Narrow" w:eastAsia="Times New Roman" w:hAnsi="Arial Narrow" w:cs="Arial"/>
          <w:b/>
          <w:color w:val="262626" w:themeColor="text1" w:themeTint="D9"/>
          <w:sz w:val="24"/>
          <w:szCs w:val="24"/>
          <w:lang w:val="en-GB"/>
        </w:rPr>
      </w:pPr>
    </w:p>
    <w:p w:rsidR="00103A7B" w:rsidRPr="00545B44" w:rsidRDefault="00103A7B" w:rsidP="006143CB">
      <w:pPr>
        <w:spacing w:after="0" w:line="360" w:lineRule="auto"/>
        <w:ind w:right="288"/>
        <w:jc w:val="center"/>
        <w:rPr>
          <w:rFonts w:ascii="Arial Narrow" w:eastAsia="Times New Roman" w:hAnsi="Arial Narrow" w:cs="Arial"/>
          <w:color w:val="262626" w:themeColor="text1" w:themeTint="D9"/>
          <w:sz w:val="24"/>
          <w:szCs w:val="24"/>
          <w:lang w:val="en-GB"/>
        </w:rPr>
      </w:pPr>
      <w:r w:rsidRPr="00545B44">
        <w:rPr>
          <w:rFonts w:ascii="Arial Narrow" w:eastAsia="Times New Roman" w:hAnsi="Arial Narrow" w:cs="Arial"/>
          <w:noProof/>
          <w:color w:val="262626" w:themeColor="text1" w:themeTint="D9"/>
          <w:sz w:val="24"/>
          <w:szCs w:val="24"/>
          <w:lang w:val="en-ZA" w:eastAsia="en-ZA"/>
        </w:rPr>
        <w:drawing>
          <wp:inline distT="0" distB="0" distL="0" distR="0" wp14:anchorId="28CEAA04" wp14:editId="1B5D12FA">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103A7B" w:rsidRPr="00545B44" w:rsidRDefault="00103A7B" w:rsidP="006143CB">
      <w:pPr>
        <w:spacing w:after="0" w:line="360" w:lineRule="auto"/>
        <w:ind w:right="288"/>
        <w:jc w:val="center"/>
        <w:rPr>
          <w:rFonts w:ascii="Arial Narrow" w:eastAsia="Times New Roman" w:hAnsi="Arial Narrow" w:cs="Arial"/>
          <w:color w:val="262626" w:themeColor="text1" w:themeTint="D9"/>
          <w:sz w:val="24"/>
          <w:szCs w:val="24"/>
          <w:lang w:val="en-GB"/>
        </w:rPr>
      </w:pPr>
    </w:p>
    <w:p w:rsidR="00103A7B" w:rsidRPr="00545B44" w:rsidRDefault="00103A7B" w:rsidP="006143CB">
      <w:pPr>
        <w:spacing w:after="0" w:line="360" w:lineRule="auto"/>
        <w:ind w:right="288"/>
        <w:jc w:val="center"/>
        <w:rPr>
          <w:rFonts w:ascii="Arial Narrow" w:eastAsia="Times New Roman" w:hAnsi="Arial Narrow" w:cs="Arial"/>
          <w:b/>
          <w:color w:val="262626" w:themeColor="text1" w:themeTint="D9"/>
          <w:sz w:val="24"/>
          <w:szCs w:val="24"/>
          <w:lang w:val="en-GB"/>
        </w:rPr>
      </w:pPr>
      <w:r w:rsidRPr="00545B44">
        <w:rPr>
          <w:rFonts w:ascii="Arial Narrow" w:eastAsia="Times New Roman" w:hAnsi="Arial Narrow" w:cs="Arial"/>
          <w:b/>
          <w:color w:val="262626" w:themeColor="text1" w:themeTint="D9"/>
          <w:sz w:val="24"/>
          <w:szCs w:val="24"/>
          <w:lang w:val="en-GB"/>
        </w:rPr>
        <w:t>IN THE HIGH COURT OF NAMIBIA, MAIN DIVISION, WINDHOEK</w:t>
      </w:r>
    </w:p>
    <w:p w:rsidR="00103A7B" w:rsidRPr="00545B44" w:rsidRDefault="00103A7B" w:rsidP="006143CB">
      <w:pPr>
        <w:spacing w:after="0" w:line="360" w:lineRule="auto"/>
        <w:ind w:right="288"/>
        <w:jc w:val="center"/>
        <w:rPr>
          <w:rFonts w:ascii="Arial Narrow" w:eastAsia="Times New Roman" w:hAnsi="Arial Narrow" w:cs="Arial"/>
          <w:b/>
          <w:color w:val="262626" w:themeColor="text1" w:themeTint="D9"/>
          <w:sz w:val="24"/>
          <w:szCs w:val="24"/>
          <w:lang w:val="en-GB"/>
        </w:rPr>
      </w:pPr>
    </w:p>
    <w:p w:rsidR="00103A7B" w:rsidRPr="00545B44" w:rsidRDefault="00103A7B" w:rsidP="006143CB">
      <w:pPr>
        <w:spacing w:after="0" w:line="360" w:lineRule="auto"/>
        <w:ind w:right="288"/>
        <w:jc w:val="center"/>
        <w:rPr>
          <w:rFonts w:ascii="Arial Narrow" w:eastAsia="Times New Roman" w:hAnsi="Arial Narrow" w:cs="Arial"/>
          <w:b/>
          <w:color w:val="262626" w:themeColor="text1" w:themeTint="D9"/>
          <w:sz w:val="24"/>
          <w:szCs w:val="24"/>
          <w:lang w:val="en-GB"/>
        </w:rPr>
      </w:pPr>
      <w:r w:rsidRPr="00545B44">
        <w:rPr>
          <w:rFonts w:ascii="Arial Narrow" w:eastAsia="Times New Roman" w:hAnsi="Arial Narrow" w:cs="Arial"/>
          <w:b/>
          <w:color w:val="262626" w:themeColor="text1" w:themeTint="D9"/>
          <w:sz w:val="24"/>
          <w:szCs w:val="24"/>
          <w:lang w:val="en-GB"/>
        </w:rPr>
        <w:t>REVIEW JUDGMENT</w:t>
      </w:r>
    </w:p>
    <w:p w:rsidR="00103A7B" w:rsidRPr="00545B44" w:rsidRDefault="00103A7B" w:rsidP="006143CB">
      <w:pPr>
        <w:spacing w:after="0" w:line="360" w:lineRule="auto"/>
        <w:ind w:right="288"/>
        <w:jc w:val="both"/>
        <w:rPr>
          <w:rFonts w:ascii="Arial Narrow" w:hAnsi="Arial Narrow" w:cs="Arial"/>
          <w:color w:val="262626" w:themeColor="text1" w:themeTint="D9"/>
          <w:sz w:val="24"/>
          <w:szCs w:val="24"/>
        </w:rPr>
      </w:pPr>
    </w:p>
    <w:tbl>
      <w:tblPr>
        <w:tblStyle w:val="TableGrid"/>
        <w:tblW w:w="9720" w:type="dxa"/>
        <w:tblInd w:w="-275" w:type="dxa"/>
        <w:tblLook w:val="04A0" w:firstRow="1" w:lastRow="0" w:firstColumn="1" w:lastColumn="0" w:noHBand="0" w:noVBand="1"/>
      </w:tblPr>
      <w:tblGrid>
        <w:gridCol w:w="5397"/>
        <w:gridCol w:w="4323"/>
      </w:tblGrid>
      <w:tr w:rsidR="00103A7B" w:rsidRPr="00545B44" w:rsidTr="003A0B23">
        <w:trPr>
          <w:trHeight w:val="744"/>
        </w:trPr>
        <w:tc>
          <w:tcPr>
            <w:tcW w:w="5397" w:type="dxa"/>
          </w:tcPr>
          <w:p w:rsidR="00103A7B" w:rsidRPr="00545B44" w:rsidRDefault="00103A7B" w:rsidP="006143CB">
            <w:pPr>
              <w:spacing w:line="360" w:lineRule="auto"/>
              <w:ind w:right="288"/>
              <w:jc w:val="both"/>
              <w:rPr>
                <w:rFonts w:ascii="Arial Narrow" w:hAnsi="Arial Narrow" w:cs="Arial"/>
                <w:b/>
                <w:color w:val="262626" w:themeColor="text1" w:themeTint="D9"/>
                <w:sz w:val="24"/>
                <w:szCs w:val="24"/>
                <w:lang w:val="en-GB"/>
              </w:rPr>
            </w:pPr>
            <w:r w:rsidRPr="00545B44">
              <w:rPr>
                <w:rFonts w:ascii="Arial Narrow" w:hAnsi="Arial Narrow" w:cs="Arial"/>
                <w:b/>
                <w:color w:val="262626" w:themeColor="text1" w:themeTint="D9"/>
                <w:sz w:val="24"/>
                <w:szCs w:val="24"/>
                <w:lang w:val="en-GB"/>
              </w:rPr>
              <w:t>Case Title:</w:t>
            </w:r>
          </w:p>
          <w:p w:rsidR="00103A7B" w:rsidRPr="00545B44" w:rsidRDefault="00103A7B" w:rsidP="006143CB">
            <w:pPr>
              <w:spacing w:line="360" w:lineRule="auto"/>
              <w:ind w:right="288"/>
              <w:jc w:val="both"/>
              <w:rPr>
                <w:rFonts w:ascii="Arial Narrow" w:hAnsi="Arial Narrow" w:cs="Arial"/>
                <w:i/>
                <w:color w:val="262626" w:themeColor="text1" w:themeTint="D9"/>
                <w:sz w:val="24"/>
                <w:szCs w:val="24"/>
              </w:rPr>
            </w:pPr>
            <w:r w:rsidRPr="00545B44">
              <w:rPr>
                <w:rFonts w:ascii="Arial Narrow" w:hAnsi="Arial Narrow" w:cs="Arial"/>
                <w:i/>
                <w:color w:val="262626" w:themeColor="text1" w:themeTint="D9"/>
                <w:sz w:val="24"/>
                <w:szCs w:val="24"/>
              </w:rPr>
              <w:t xml:space="preserve">The State v </w:t>
            </w:r>
            <w:r w:rsidR="00246ADC">
              <w:rPr>
                <w:rFonts w:ascii="Arial Narrow" w:hAnsi="Arial Narrow" w:cs="Arial"/>
                <w:i/>
                <w:color w:val="262626" w:themeColor="text1" w:themeTint="D9"/>
                <w:sz w:val="24"/>
                <w:szCs w:val="24"/>
              </w:rPr>
              <w:t>George Malyu</w:t>
            </w:r>
          </w:p>
          <w:p w:rsidR="00103A7B" w:rsidRPr="00545B44" w:rsidRDefault="00103A7B" w:rsidP="006143CB">
            <w:pPr>
              <w:spacing w:line="360" w:lineRule="auto"/>
              <w:ind w:right="288"/>
              <w:jc w:val="both"/>
              <w:rPr>
                <w:rFonts w:ascii="Arial Narrow" w:hAnsi="Arial Narrow" w:cs="Arial"/>
                <w:i/>
                <w:color w:val="262626" w:themeColor="text1" w:themeTint="D9"/>
                <w:sz w:val="24"/>
                <w:szCs w:val="24"/>
              </w:rPr>
            </w:pPr>
          </w:p>
        </w:tc>
        <w:tc>
          <w:tcPr>
            <w:tcW w:w="4323" w:type="dxa"/>
          </w:tcPr>
          <w:p w:rsidR="00103A7B" w:rsidRPr="00545B44" w:rsidRDefault="00103A7B" w:rsidP="006143CB">
            <w:pPr>
              <w:spacing w:line="360" w:lineRule="auto"/>
              <w:ind w:right="288"/>
              <w:jc w:val="both"/>
              <w:rPr>
                <w:rFonts w:ascii="Arial Narrow" w:hAnsi="Arial Narrow" w:cs="Arial"/>
                <w:b/>
                <w:color w:val="262626" w:themeColor="text1" w:themeTint="D9"/>
                <w:sz w:val="24"/>
                <w:szCs w:val="24"/>
                <w:lang w:val="en-GB"/>
              </w:rPr>
            </w:pPr>
            <w:r w:rsidRPr="00545B44">
              <w:rPr>
                <w:rFonts w:ascii="Arial Narrow" w:hAnsi="Arial Narrow" w:cs="Arial"/>
                <w:b/>
                <w:color w:val="262626" w:themeColor="text1" w:themeTint="D9"/>
                <w:sz w:val="24"/>
                <w:szCs w:val="24"/>
                <w:lang w:val="en-GB"/>
              </w:rPr>
              <w:t>Case No:</w:t>
            </w:r>
          </w:p>
          <w:p w:rsidR="00103A7B" w:rsidRPr="00545B44" w:rsidRDefault="00103A7B" w:rsidP="006143CB">
            <w:pPr>
              <w:spacing w:line="360" w:lineRule="auto"/>
              <w:ind w:right="288"/>
              <w:jc w:val="both"/>
              <w:rPr>
                <w:rFonts w:ascii="Arial Narrow" w:hAnsi="Arial Narrow" w:cs="Arial"/>
                <w:color w:val="262626" w:themeColor="text1" w:themeTint="D9"/>
                <w:sz w:val="24"/>
                <w:szCs w:val="24"/>
              </w:rPr>
            </w:pPr>
            <w:r w:rsidRPr="001716A2">
              <w:rPr>
                <w:rFonts w:ascii="Arial Narrow" w:hAnsi="Arial Narrow" w:cs="Arial"/>
                <w:color w:val="262626" w:themeColor="text1" w:themeTint="D9"/>
                <w:sz w:val="24"/>
                <w:szCs w:val="24"/>
              </w:rPr>
              <w:t>CR</w:t>
            </w:r>
            <w:r w:rsidR="00246ADC">
              <w:rPr>
                <w:rFonts w:ascii="Arial Narrow" w:hAnsi="Arial Narrow" w:cs="Arial"/>
                <w:color w:val="262626" w:themeColor="text1" w:themeTint="D9"/>
                <w:sz w:val="24"/>
                <w:szCs w:val="24"/>
              </w:rPr>
              <w:t xml:space="preserve"> </w:t>
            </w:r>
            <w:r w:rsidR="007A30AF">
              <w:rPr>
                <w:rFonts w:ascii="Arial Narrow" w:hAnsi="Arial Narrow" w:cs="Arial"/>
                <w:color w:val="262626" w:themeColor="text1" w:themeTint="D9"/>
                <w:sz w:val="24"/>
                <w:szCs w:val="24"/>
              </w:rPr>
              <w:t>10/2021</w:t>
            </w:r>
          </w:p>
        </w:tc>
      </w:tr>
      <w:tr w:rsidR="00103A7B" w:rsidRPr="00545B44" w:rsidTr="003A0B23">
        <w:trPr>
          <w:trHeight w:val="1068"/>
        </w:trPr>
        <w:tc>
          <w:tcPr>
            <w:tcW w:w="5397" w:type="dxa"/>
          </w:tcPr>
          <w:p w:rsidR="00103A7B" w:rsidRPr="00545B44" w:rsidRDefault="00103A7B" w:rsidP="006143CB">
            <w:pPr>
              <w:spacing w:line="360" w:lineRule="auto"/>
              <w:ind w:right="288"/>
              <w:jc w:val="both"/>
              <w:rPr>
                <w:rFonts w:ascii="Arial Narrow" w:hAnsi="Arial Narrow" w:cs="Arial"/>
                <w:b/>
                <w:color w:val="262626" w:themeColor="text1" w:themeTint="D9"/>
                <w:sz w:val="24"/>
                <w:szCs w:val="24"/>
                <w:lang w:val="en-GB"/>
              </w:rPr>
            </w:pPr>
            <w:r w:rsidRPr="00545B44">
              <w:rPr>
                <w:rFonts w:ascii="Arial Narrow" w:hAnsi="Arial Narrow" w:cs="Arial"/>
                <w:b/>
                <w:color w:val="262626" w:themeColor="text1" w:themeTint="D9"/>
                <w:sz w:val="24"/>
                <w:szCs w:val="24"/>
                <w:lang w:val="en-GB"/>
              </w:rPr>
              <w:t>High Court MD Review No:</w:t>
            </w:r>
          </w:p>
          <w:p w:rsidR="00103A7B" w:rsidRPr="00545B44" w:rsidRDefault="00103A7B" w:rsidP="006143CB">
            <w:pPr>
              <w:spacing w:line="360" w:lineRule="auto"/>
              <w:ind w:right="288"/>
              <w:jc w:val="both"/>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14</w:t>
            </w:r>
            <w:r w:rsidR="00246ADC">
              <w:rPr>
                <w:rFonts w:ascii="Arial Narrow" w:hAnsi="Arial Narrow" w:cs="Arial"/>
                <w:color w:val="262626" w:themeColor="text1" w:themeTint="D9"/>
                <w:sz w:val="24"/>
                <w:szCs w:val="24"/>
              </w:rPr>
              <w:t>08</w:t>
            </w:r>
            <w:r>
              <w:rPr>
                <w:rFonts w:ascii="Arial Narrow" w:hAnsi="Arial Narrow" w:cs="Arial"/>
                <w:color w:val="262626" w:themeColor="text1" w:themeTint="D9"/>
                <w:sz w:val="24"/>
                <w:szCs w:val="24"/>
              </w:rPr>
              <w:t>/2020</w:t>
            </w:r>
          </w:p>
        </w:tc>
        <w:tc>
          <w:tcPr>
            <w:tcW w:w="4323" w:type="dxa"/>
          </w:tcPr>
          <w:p w:rsidR="00103A7B" w:rsidRPr="00545B44" w:rsidRDefault="00103A7B" w:rsidP="006143CB">
            <w:pPr>
              <w:spacing w:line="360" w:lineRule="auto"/>
              <w:ind w:right="288"/>
              <w:jc w:val="both"/>
              <w:rPr>
                <w:rFonts w:ascii="Arial Narrow" w:hAnsi="Arial Narrow" w:cs="Arial"/>
                <w:b/>
                <w:color w:val="262626" w:themeColor="text1" w:themeTint="D9"/>
                <w:sz w:val="24"/>
                <w:szCs w:val="24"/>
                <w:lang w:val="en-GB"/>
              </w:rPr>
            </w:pPr>
            <w:r w:rsidRPr="00545B44">
              <w:rPr>
                <w:rFonts w:ascii="Arial Narrow" w:hAnsi="Arial Narrow" w:cs="Arial"/>
                <w:b/>
                <w:color w:val="262626" w:themeColor="text1" w:themeTint="D9"/>
                <w:sz w:val="24"/>
                <w:szCs w:val="24"/>
                <w:lang w:val="en-GB"/>
              </w:rPr>
              <w:t>Division of Court:</w:t>
            </w:r>
          </w:p>
          <w:p w:rsidR="00103A7B" w:rsidRPr="00545B44" w:rsidRDefault="00103A7B" w:rsidP="006143CB">
            <w:pPr>
              <w:spacing w:line="360" w:lineRule="auto"/>
              <w:ind w:right="288"/>
              <w:jc w:val="both"/>
              <w:rPr>
                <w:rFonts w:ascii="Arial Narrow" w:hAnsi="Arial Narrow" w:cs="Arial"/>
                <w:color w:val="262626" w:themeColor="text1" w:themeTint="D9"/>
                <w:sz w:val="24"/>
                <w:szCs w:val="24"/>
              </w:rPr>
            </w:pPr>
            <w:r w:rsidRPr="00545B44">
              <w:rPr>
                <w:rFonts w:ascii="Arial Narrow" w:hAnsi="Arial Narrow" w:cs="Arial"/>
                <w:color w:val="262626" w:themeColor="text1" w:themeTint="D9"/>
                <w:sz w:val="24"/>
                <w:szCs w:val="24"/>
              </w:rPr>
              <w:t>Main Division</w:t>
            </w:r>
          </w:p>
        </w:tc>
      </w:tr>
      <w:tr w:rsidR="00103A7B" w:rsidRPr="00545B44" w:rsidTr="003A0B23">
        <w:trPr>
          <w:trHeight w:val="825"/>
        </w:trPr>
        <w:tc>
          <w:tcPr>
            <w:tcW w:w="5397" w:type="dxa"/>
          </w:tcPr>
          <w:p w:rsidR="00103A7B" w:rsidRPr="00545B44" w:rsidRDefault="00103A7B" w:rsidP="006143CB">
            <w:pPr>
              <w:spacing w:line="360" w:lineRule="auto"/>
              <w:ind w:right="288"/>
              <w:jc w:val="both"/>
              <w:rPr>
                <w:rFonts w:ascii="Arial Narrow" w:hAnsi="Arial Narrow" w:cs="Arial"/>
                <w:b/>
                <w:color w:val="262626" w:themeColor="text1" w:themeTint="D9"/>
                <w:sz w:val="24"/>
                <w:szCs w:val="24"/>
                <w:lang w:val="en-GB"/>
              </w:rPr>
            </w:pPr>
            <w:r w:rsidRPr="00545B44">
              <w:rPr>
                <w:rFonts w:ascii="Arial Narrow" w:hAnsi="Arial Narrow" w:cs="Arial"/>
                <w:b/>
                <w:color w:val="262626" w:themeColor="text1" w:themeTint="D9"/>
                <w:sz w:val="24"/>
                <w:szCs w:val="24"/>
                <w:lang w:val="en-GB"/>
              </w:rPr>
              <w:t>Heard before:</w:t>
            </w:r>
          </w:p>
          <w:p w:rsidR="00103A7B" w:rsidRPr="00545B44" w:rsidRDefault="00103A7B" w:rsidP="006143CB">
            <w:pPr>
              <w:spacing w:line="360" w:lineRule="auto"/>
              <w:ind w:right="288"/>
              <w:jc w:val="both"/>
              <w:rPr>
                <w:rFonts w:ascii="Arial Narrow" w:hAnsi="Arial Narrow" w:cs="Arial"/>
                <w:color w:val="262626" w:themeColor="text1" w:themeTint="D9"/>
                <w:sz w:val="24"/>
                <w:szCs w:val="24"/>
              </w:rPr>
            </w:pPr>
            <w:r w:rsidRPr="00545B44">
              <w:rPr>
                <w:rFonts w:ascii="Arial Narrow" w:hAnsi="Arial Narrow" w:cs="Arial"/>
                <w:color w:val="262626" w:themeColor="text1" w:themeTint="D9"/>
                <w:sz w:val="24"/>
                <w:szCs w:val="24"/>
              </w:rPr>
              <w:t xml:space="preserve">Judge Claasen </w:t>
            </w:r>
            <w:r w:rsidRPr="008123D7">
              <w:rPr>
                <w:rFonts w:ascii="Arial Narrow" w:hAnsi="Arial Narrow" w:cs="Arial"/>
                <w:color w:val="262626" w:themeColor="text1" w:themeTint="D9"/>
                <w:sz w:val="24"/>
                <w:szCs w:val="24"/>
              </w:rPr>
              <w:t>et Judge</w:t>
            </w:r>
            <w:r w:rsidRPr="0043198A">
              <w:rPr>
                <w:rFonts w:ascii="Arial Narrow" w:hAnsi="Arial Narrow" w:cs="Arial"/>
                <w:color w:val="262626" w:themeColor="text1" w:themeTint="D9"/>
                <w:sz w:val="24"/>
                <w:szCs w:val="24"/>
              </w:rPr>
              <w:t xml:space="preserve"> </w:t>
            </w:r>
            <w:r w:rsidR="0043198A" w:rsidRPr="0043198A">
              <w:rPr>
                <w:rFonts w:ascii="Arial Narrow" w:hAnsi="Arial Narrow" w:cs="Arial"/>
                <w:color w:val="262626" w:themeColor="text1" w:themeTint="D9"/>
                <w:sz w:val="24"/>
                <w:szCs w:val="24"/>
              </w:rPr>
              <w:t>Usiku</w:t>
            </w:r>
          </w:p>
        </w:tc>
        <w:tc>
          <w:tcPr>
            <w:tcW w:w="4323" w:type="dxa"/>
          </w:tcPr>
          <w:p w:rsidR="00103A7B" w:rsidRPr="00545B44" w:rsidRDefault="00103A7B" w:rsidP="006143CB">
            <w:pPr>
              <w:spacing w:line="360" w:lineRule="auto"/>
              <w:ind w:right="288"/>
              <w:jc w:val="both"/>
              <w:rPr>
                <w:rFonts w:ascii="Arial Narrow" w:hAnsi="Arial Narrow" w:cs="Arial"/>
                <w:b/>
                <w:color w:val="262626" w:themeColor="text1" w:themeTint="D9"/>
                <w:sz w:val="24"/>
                <w:szCs w:val="24"/>
                <w:lang w:val="en-GB"/>
              </w:rPr>
            </w:pPr>
            <w:r w:rsidRPr="00545B44">
              <w:rPr>
                <w:rFonts w:ascii="Arial Narrow" w:hAnsi="Arial Narrow" w:cs="Arial"/>
                <w:b/>
                <w:color w:val="262626" w:themeColor="text1" w:themeTint="D9"/>
                <w:sz w:val="24"/>
                <w:szCs w:val="24"/>
                <w:lang w:val="en-GB"/>
              </w:rPr>
              <w:t>Delivered on:</w:t>
            </w:r>
          </w:p>
          <w:p w:rsidR="00103A7B" w:rsidRPr="00545B44" w:rsidRDefault="007A30AF" w:rsidP="006143CB">
            <w:pPr>
              <w:spacing w:line="360" w:lineRule="auto"/>
              <w:ind w:right="288"/>
              <w:jc w:val="both"/>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t xml:space="preserve">23 </w:t>
            </w:r>
            <w:r w:rsidR="00246ADC">
              <w:rPr>
                <w:rFonts w:ascii="Arial Narrow" w:hAnsi="Arial Narrow" w:cs="Arial"/>
                <w:color w:val="262626" w:themeColor="text1" w:themeTint="D9"/>
                <w:sz w:val="24"/>
                <w:szCs w:val="24"/>
              </w:rPr>
              <w:t>February 2021</w:t>
            </w:r>
          </w:p>
        </w:tc>
      </w:tr>
      <w:tr w:rsidR="00103A7B" w:rsidRPr="00545B44" w:rsidTr="003A0B23">
        <w:tc>
          <w:tcPr>
            <w:tcW w:w="9720" w:type="dxa"/>
            <w:gridSpan w:val="2"/>
          </w:tcPr>
          <w:p w:rsidR="00103A7B" w:rsidRPr="00545B44" w:rsidRDefault="00103A7B" w:rsidP="006143CB">
            <w:pPr>
              <w:spacing w:line="360" w:lineRule="auto"/>
              <w:ind w:right="288"/>
              <w:jc w:val="both"/>
              <w:rPr>
                <w:rFonts w:ascii="Arial Narrow" w:hAnsi="Arial Narrow" w:cs="Arial"/>
                <w:b/>
                <w:color w:val="262626" w:themeColor="text1" w:themeTint="D9"/>
                <w:sz w:val="24"/>
                <w:szCs w:val="24"/>
                <w:lang w:val="en-GB"/>
              </w:rPr>
            </w:pPr>
          </w:p>
          <w:p w:rsidR="00103A7B" w:rsidRPr="00545B44" w:rsidRDefault="00103A7B" w:rsidP="006143CB">
            <w:pPr>
              <w:spacing w:line="360" w:lineRule="auto"/>
              <w:ind w:right="288"/>
              <w:jc w:val="both"/>
              <w:rPr>
                <w:rFonts w:ascii="Arial Narrow" w:hAnsi="Arial Narrow" w:cs="Arial"/>
                <w:color w:val="262626" w:themeColor="text1" w:themeTint="D9"/>
                <w:sz w:val="24"/>
                <w:szCs w:val="24"/>
                <w:lang w:val="en-GB"/>
              </w:rPr>
            </w:pPr>
            <w:r w:rsidRPr="00545B44">
              <w:rPr>
                <w:rFonts w:ascii="Arial Narrow" w:hAnsi="Arial Narrow" w:cs="Arial"/>
                <w:b/>
                <w:color w:val="262626" w:themeColor="text1" w:themeTint="D9"/>
                <w:sz w:val="24"/>
                <w:szCs w:val="24"/>
                <w:lang w:val="en-GB"/>
              </w:rPr>
              <w:t>Neutral citation:</w:t>
            </w:r>
            <w:r w:rsidRPr="00545B44">
              <w:rPr>
                <w:rFonts w:ascii="Arial Narrow" w:hAnsi="Arial Narrow" w:cs="Arial"/>
                <w:color w:val="262626" w:themeColor="text1" w:themeTint="D9"/>
                <w:sz w:val="24"/>
                <w:szCs w:val="24"/>
                <w:lang w:val="en-GB"/>
              </w:rPr>
              <w:t xml:space="preserve"> </w:t>
            </w:r>
            <w:r w:rsidR="00873F28">
              <w:rPr>
                <w:rFonts w:ascii="Arial Narrow" w:hAnsi="Arial Narrow" w:cs="Arial"/>
                <w:color w:val="262626" w:themeColor="text1" w:themeTint="D9"/>
                <w:sz w:val="24"/>
                <w:szCs w:val="24"/>
                <w:lang w:val="en-GB"/>
              </w:rPr>
              <w:t xml:space="preserve"> </w:t>
            </w:r>
            <w:r w:rsidRPr="00545B44">
              <w:rPr>
                <w:rFonts w:ascii="Arial Narrow" w:hAnsi="Arial Narrow" w:cs="Arial"/>
                <w:i/>
                <w:color w:val="262626" w:themeColor="text1" w:themeTint="D9"/>
                <w:sz w:val="24"/>
                <w:szCs w:val="24"/>
                <w:lang w:val="en-GB"/>
              </w:rPr>
              <w:t>S</w:t>
            </w:r>
            <w:r w:rsidR="00EC4A70">
              <w:rPr>
                <w:rFonts w:ascii="Arial Narrow" w:hAnsi="Arial Narrow" w:cs="Arial"/>
                <w:i/>
                <w:color w:val="262626" w:themeColor="text1" w:themeTint="D9"/>
                <w:sz w:val="24"/>
                <w:szCs w:val="24"/>
                <w:lang w:val="en-GB"/>
              </w:rPr>
              <w:t>tate</w:t>
            </w:r>
            <w:r w:rsidRPr="00545B44">
              <w:rPr>
                <w:rFonts w:ascii="Arial Narrow" w:hAnsi="Arial Narrow" w:cs="Arial"/>
                <w:i/>
                <w:color w:val="262626" w:themeColor="text1" w:themeTint="D9"/>
                <w:sz w:val="24"/>
                <w:szCs w:val="24"/>
                <w:lang w:val="en-GB"/>
              </w:rPr>
              <w:t xml:space="preserve"> </w:t>
            </w:r>
            <w:r w:rsidR="00873F28">
              <w:rPr>
                <w:rFonts w:ascii="Arial Narrow" w:hAnsi="Arial Narrow" w:cs="Arial"/>
                <w:i/>
                <w:color w:val="262626" w:themeColor="text1" w:themeTint="D9"/>
                <w:sz w:val="24"/>
                <w:szCs w:val="24"/>
                <w:lang w:val="en-GB"/>
              </w:rPr>
              <w:t xml:space="preserve"> </w:t>
            </w:r>
            <w:r w:rsidRPr="00545B44">
              <w:rPr>
                <w:rFonts w:ascii="Arial Narrow" w:hAnsi="Arial Narrow" w:cs="Arial"/>
                <w:i/>
                <w:color w:val="262626" w:themeColor="text1" w:themeTint="D9"/>
                <w:sz w:val="24"/>
                <w:szCs w:val="24"/>
                <w:lang w:val="en-GB"/>
              </w:rPr>
              <w:t>v</w:t>
            </w:r>
            <w:r w:rsidR="00246ADC">
              <w:rPr>
                <w:rFonts w:ascii="Arial Narrow" w:hAnsi="Arial Narrow" w:cs="Arial"/>
                <w:i/>
                <w:color w:val="262626" w:themeColor="text1" w:themeTint="D9"/>
                <w:sz w:val="24"/>
                <w:szCs w:val="24"/>
                <w:lang w:val="en-GB"/>
              </w:rPr>
              <w:t xml:space="preserve"> Malyu </w:t>
            </w:r>
            <w:r w:rsidRPr="00545B44">
              <w:rPr>
                <w:rFonts w:ascii="Arial Narrow" w:hAnsi="Arial Narrow" w:cs="Arial"/>
                <w:color w:val="262626" w:themeColor="text1" w:themeTint="D9"/>
                <w:sz w:val="24"/>
                <w:szCs w:val="24"/>
                <w:lang w:val="en-GB"/>
              </w:rPr>
              <w:t xml:space="preserve"> (</w:t>
            </w:r>
            <w:r w:rsidRPr="001716A2">
              <w:rPr>
                <w:rFonts w:ascii="Arial Narrow" w:hAnsi="Arial Narrow" w:cs="Arial"/>
                <w:color w:val="262626" w:themeColor="text1" w:themeTint="D9"/>
                <w:sz w:val="24"/>
                <w:szCs w:val="24"/>
                <w:lang w:val="en-GB"/>
              </w:rPr>
              <w:t>CR</w:t>
            </w:r>
            <w:r w:rsidR="00EC4A70">
              <w:rPr>
                <w:rFonts w:ascii="Arial Narrow" w:hAnsi="Arial Narrow" w:cs="Arial"/>
                <w:color w:val="262626" w:themeColor="text1" w:themeTint="D9"/>
                <w:sz w:val="24"/>
                <w:szCs w:val="24"/>
                <w:lang w:val="en-GB"/>
              </w:rPr>
              <w:t xml:space="preserve"> </w:t>
            </w:r>
            <w:r w:rsidR="007A30AF">
              <w:rPr>
                <w:rFonts w:ascii="Arial Narrow" w:hAnsi="Arial Narrow" w:cs="Arial"/>
                <w:color w:val="262626" w:themeColor="text1" w:themeTint="D9"/>
                <w:sz w:val="24"/>
                <w:szCs w:val="24"/>
                <w:lang w:val="en-GB"/>
              </w:rPr>
              <w:t xml:space="preserve">10/2021) </w:t>
            </w:r>
            <w:r w:rsidR="0043198A">
              <w:rPr>
                <w:rFonts w:ascii="Arial Narrow" w:hAnsi="Arial Narrow" w:cs="Arial"/>
                <w:color w:val="262626" w:themeColor="text1" w:themeTint="D9"/>
                <w:sz w:val="24"/>
                <w:szCs w:val="24"/>
                <w:lang w:val="en-GB"/>
              </w:rPr>
              <w:t xml:space="preserve"> </w:t>
            </w:r>
            <w:r w:rsidRPr="00545B44">
              <w:rPr>
                <w:rFonts w:ascii="Arial Narrow" w:hAnsi="Arial Narrow" w:cs="Arial"/>
                <w:color w:val="262626" w:themeColor="text1" w:themeTint="D9"/>
                <w:sz w:val="24"/>
                <w:szCs w:val="24"/>
                <w:lang w:val="en-GB"/>
              </w:rPr>
              <w:t>[202</w:t>
            </w:r>
            <w:r w:rsidR="0043198A">
              <w:rPr>
                <w:rFonts w:ascii="Arial Narrow" w:hAnsi="Arial Narrow" w:cs="Arial"/>
                <w:color w:val="262626" w:themeColor="text1" w:themeTint="D9"/>
                <w:sz w:val="24"/>
                <w:szCs w:val="24"/>
                <w:lang w:val="en-GB"/>
              </w:rPr>
              <w:t>1</w:t>
            </w:r>
            <w:r w:rsidRPr="00545B44">
              <w:rPr>
                <w:rFonts w:ascii="Arial Narrow" w:hAnsi="Arial Narrow" w:cs="Arial"/>
                <w:color w:val="262626" w:themeColor="text1" w:themeTint="D9"/>
                <w:sz w:val="24"/>
                <w:szCs w:val="24"/>
                <w:lang w:val="en-GB"/>
              </w:rPr>
              <w:t>] NAHC</w:t>
            </w:r>
            <w:r w:rsidRPr="00757FC0">
              <w:rPr>
                <w:rFonts w:ascii="Arial Narrow" w:hAnsi="Arial Narrow" w:cs="Arial"/>
                <w:color w:val="262626" w:themeColor="text1" w:themeTint="D9"/>
                <w:sz w:val="24"/>
                <w:szCs w:val="24"/>
                <w:lang w:val="en-GB"/>
              </w:rPr>
              <w:t>MD</w:t>
            </w:r>
            <w:r>
              <w:rPr>
                <w:rFonts w:ascii="Arial Narrow" w:hAnsi="Arial Narrow" w:cs="Arial"/>
                <w:color w:val="262626" w:themeColor="text1" w:themeTint="D9"/>
                <w:sz w:val="24"/>
                <w:szCs w:val="24"/>
                <w:lang w:val="en-GB"/>
              </w:rPr>
              <w:t xml:space="preserve"> </w:t>
            </w:r>
            <w:r w:rsidR="007A30AF">
              <w:rPr>
                <w:rFonts w:ascii="Arial Narrow" w:hAnsi="Arial Narrow" w:cs="Arial"/>
                <w:color w:val="262626" w:themeColor="text1" w:themeTint="D9"/>
                <w:sz w:val="24"/>
                <w:szCs w:val="24"/>
                <w:lang w:val="en-GB"/>
              </w:rPr>
              <w:t xml:space="preserve"> 63  (23</w:t>
            </w:r>
            <w:r w:rsidR="00A76799">
              <w:rPr>
                <w:rFonts w:ascii="Arial Narrow" w:hAnsi="Arial Narrow" w:cs="Arial"/>
                <w:color w:val="262626" w:themeColor="text1" w:themeTint="D9"/>
                <w:sz w:val="24"/>
                <w:szCs w:val="24"/>
                <w:lang w:val="en-GB"/>
              </w:rPr>
              <w:t xml:space="preserve"> </w:t>
            </w:r>
            <w:r w:rsidR="00246ADC">
              <w:rPr>
                <w:rFonts w:ascii="Arial Narrow" w:hAnsi="Arial Narrow" w:cs="Arial"/>
                <w:color w:val="262626" w:themeColor="text1" w:themeTint="D9"/>
                <w:sz w:val="24"/>
                <w:szCs w:val="24"/>
                <w:lang w:val="en-GB"/>
              </w:rPr>
              <w:t xml:space="preserve">February </w:t>
            </w:r>
            <w:r w:rsidR="00A76799">
              <w:rPr>
                <w:rFonts w:ascii="Arial Narrow" w:hAnsi="Arial Narrow" w:cs="Arial"/>
                <w:color w:val="262626" w:themeColor="text1" w:themeTint="D9"/>
                <w:sz w:val="24"/>
                <w:szCs w:val="24"/>
                <w:lang w:val="en-GB"/>
              </w:rPr>
              <w:t>2021)</w:t>
            </w:r>
          </w:p>
          <w:p w:rsidR="00103A7B" w:rsidRPr="00545B44" w:rsidRDefault="00103A7B" w:rsidP="006143CB">
            <w:pPr>
              <w:spacing w:line="360" w:lineRule="auto"/>
              <w:ind w:right="288"/>
              <w:jc w:val="both"/>
              <w:rPr>
                <w:rFonts w:ascii="Arial Narrow" w:hAnsi="Arial Narrow" w:cs="Arial"/>
                <w:b/>
                <w:color w:val="262626" w:themeColor="text1" w:themeTint="D9"/>
                <w:sz w:val="24"/>
                <w:szCs w:val="24"/>
              </w:rPr>
            </w:pPr>
          </w:p>
        </w:tc>
      </w:tr>
      <w:tr w:rsidR="00103A7B" w:rsidRPr="00545B44" w:rsidTr="003A0B23">
        <w:tc>
          <w:tcPr>
            <w:tcW w:w="9720" w:type="dxa"/>
            <w:gridSpan w:val="2"/>
          </w:tcPr>
          <w:p w:rsidR="00103A7B" w:rsidRPr="00545B44" w:rsidRDefault="00103A7B" w:rsidP="006143CB">
            <w:pPr>
              <w:spacing w:line="360" w:lineRule="auto"/>
              <w:ind w:right="288"/>
              <w:jc w:val="both"/>
              <w:rPr>
                <w:rFonts w:ascii="Arial Narrow" w:hAnsi="Arial Narrow" w:cs="Arial"/>
                <w:b/>
                <w:color w:val="262626" w:themeColor="text1" w:themeTint="D9"/>
                <w:sz w:val="24"/>
                <w:szCs w:val="24"/>
                <w:lang w:val="en-GB"/>
              </w:rPr>
            </w:pPr>
            <w:r w:rsidRPr="00545B44">
              <w:rPr>
                <w:rFonts w:ascii="Arial Narrow" w:hAnsi="Arial Narrow" w:cs="Arial"/>
                <w:b/>
                <w:color w:val="262626" w:themeColor="text1" w:themeTint="D9"/>
                <w:sz w:val="24"/>
                <w:szCs w:val="24"/>
                <w:lang w:val="en-GB"/>
              </w:rPr>
              <w:t>The order:</w:t>
            </w:r>
          </w:p>
          <w:p w:rsidR="00103A7B" w:rsidRPr="00545B44" w:rsidRDefault="00103A7B" w:rsidP="006143CB">
            <w:pPr>
              <w:spacing w:line="360" w:lineRule="auto"/>
              <w:ind w:right="288"/>
              <w:jc w:val="both"/>
              <w:rPr>
                <w:rFonts w:ascii="Arial Narrow" w:hAnsi="Arial Narrow" w:cs="Arial"/>
                <w:b/>
                <w:color w:val="262626" w:themeColor="text1" w:themeTint="D9"/>
                <w:sz w:val="24"/>
                <w:szCs w:val="24"/>
                <w:lang w:val="en-GB"/>
              </w:rPr>
            </w:pPr>
          </w:p>
          <w:p w:rsidR="00103A7B" w:rsidRDefault="00103A7B" w:rsidP="006143CB">
            <w:pPr>
              <w:pStyle w:val="ListParagraph"/>
              <w:spacing w:line="360" w:lineRule="auto"/>
              <w:ind w:right="288"/>
              <w:jc w:val="both"/>
              <w:rPr>
                <w:rFonts w:ascii="Arial Narrow" w:hAnsi="Arial Narrow" w:cs="Arial"/>
                <w:color w:val="262626" w:themeColor="text1" w:themeTint="D9"/>
                <w:sz w:val="24"/>
                <w:szCs w:val="24"/>
                <w:lang w:val="en-GB"/>
              </w:rPr>
            </w:pPr>
            <w:r>
              <w:rPr>
                <w:rFonts w:ascii="Arial Narrow" w:hAnsi="Arial Narrow" w:cs="Arial"/>
                <w:color w:val="262626" w:themeColor="text1" w:themeTint="D9"/>
                <w:sz w:val="24"/>
                <w:szCs w:val="24"/>
                <w:lang w:val="en-GB"/>
              </w:rPr>
              <w:t>The conviction and sentence are</w:t>
            </w:r>
            <w:r w:rsidRPr="00545B44">
              <w:rPr>
                <w:rFonts w:ascii="Arial Narrow" w:hAnsi="Arial Narrow" w:cs="Arial"/>
                <w:color w:val="262626" w:themeColor="text1" w:themeTint="D9"/>
                <w:sz w:val="24"/>
                <w:szCs w:val="24"/>
                <w:lang w:val="en-GB"/>
              </w:rPr>
              <w:t xml:space="preserve"> set aside.</w:t>
            </w:r>
          </w:p>
          <w:p w:rsidR="00246ADC" w:rsidRDefault="00246ADC" w:rsidP="006143CB">
            <w:pPr>
              <w:pStyle w:val="ListParagraph"/>
              <w:spacing w:line="360" w:lineRule="auto"/>
              <w:ind w:right="288"/>
              <w:jc w:val="both"/>
              <w:rPr>
                <w:rFonts w:ascii="Arial Narrow" w:hAnsi="Arial Narrow" w:cs="Arial"/>
                <w:color w:val="262626" w:themeColor="text1" w:themeTint="D9"/>
                <w:sz w:val="24"/>
                <w:szCs w:val="24"/>
                <w:lang w:val="en-GB"/>
              </w:rPr>
            </w:pPr>
          </w:p>
          <w:p w:rsidR="00103A7B" w:rsidRPr="00103A7B" w:rsidRDefault="00103A7B" w:rsidP="006143CB">
            <w:pPr>
              <w:pStyle w:val="ListParagraph"/>
              <w:spacing w:line="360" w:lineRule="auto"/>
              <w:ind w:right="288"/>
              <w:jc w:val="both"/>
              <w:rPr>
                <w:rFonts w:ascii="Arial Narrow" w:hAnsi="Arial Narrow" w:cs="Arial"/>
                <w:color w:val="262626" w:themeColor="text1" w:themeTint="D9"/>
                <w:sz w:val="24"/>
                <w:szCs w:val="24"/>
                <w:lang w:val="en-GB"/>
              </w:rPr>
            </w:pPr>
          </w:p>
        </w:tc>
      </w:tr>
      <w:tr w:rsidR="00103A7B" w:rsidRPr="00545B44" w:rsidTr="003A0B23">
        <w:tc>
          <w:tcPr>
            <w:tcW w:w="9720" w:type="dxa"/>
            <w:gridSpan w:val="2"/>
          </w:tcPr>
          <w:p w:rsidR="00103A7B" w:rsidRPr="00545B44" w:rsidRDefault="006143CB" w:rsidP="006143CB">
            <w:pPr>
              <w:spacing w:line="360" w:lineRule="auto"/>
              <w:ind w:right="288"/>
              <w:jc w:val="both"/>
              <w:rPr>
                <w:rFonts w:ascii="Arial Narrow" w:hAnsi="Arial Narrow" w:cs="Arial"/>
                <w:b/>
                <w:color w:val="262626" w:themeColor="text1" w:themeTint="D9"/>
                <w:sz w:val="24"/>
                <w:szCs w:val="24"/>
                <w:lang w:val="en-GB"/>
              </w:rPr>
            </w:pPr>
            <w:r>
              <w:rPr>
                <w:rFonts w:ascii="Arial Narrow" w:hAnsi="Arial Narrow" w:cs="Arial"/>
                <w:b/>
                <w:color w:val="262626" w:themeColor="text1" w:themeTint="D9"/>
                <w:sz w:val="24"/>
                <w:szCs w:val="24"/>
                <w:lang w:val="en-GB"/>
              </w:rPr>
              <w:t>Reasons</w:t>
            </w:r>
            <w:r w:rsidR="00103A7B" w:rsidRPr="00545B44">
              <w:rPr>
                <w:rFonts w:ascii="Arial Narrow" w:hAnsi="Arial Narrow" w:cs="Arial"/>
                <w:b/>
                <w:color w:val="262626" w:themeColor="text1" w:themeTint="D9"/>
                <w:sz w:val="24"/>
                <w:szCs w:val="24"/>
                <w:lang w:val="en-GB"/>
              </w:rPr>
              <w:t xml:space="preserve"> for order:</w:t>
            </w:r>
          </w:p>
          <w:p w:rsidR="00103A7B" w:rsidRPr="00545B44" w:rsidRDefault="00103A7B" w:rsidP="006143CB">
            <w:pPr>
              <w:spacing w:line="360" w:lineRule="auto"/>
              <w:ind w:right="288"/>
              <w:jc w:val="both"/>
              <w:rPr>
                <w:rFonts w:ascii="Arial Narrow" w:hAnsi="Arial Narrow" w:cs="Arial"/>
                <w:b/>
                <w:color w:val="262626" w:themeColor="text1" w:themeTint="D9"/>
                <w:sz w:val="24"/>
                <w:szCs w:val="24"/>
              </w:rPr>
            </w:pPr>
          </w:p>
        </w:tc>
      </w:tr>
    </w:tbl>
    <w:p w:rsidR="00103A7B" w:rsidRDefault="00103A7B" w:rsidP="006143CB">
      <w:pPr>
        <w:spacing w:after="0" w:line="360" w:lineRule="auto"/>
        <w:ind w:right="288"/>
      </w:pPr>
      <w:r>
        <w:br w:type="page"/>
      </w:r>
    </w:p>
    <w:tbl>
      <w:tblPr>
        <w:tblStyle w:val="TableGrid"/>
        <w:tblW w:w="10335" w:type="dxa"/>
        <w:tblInd w:w="-275" w:type="dxa"/>
        <w:tblLook w:val="04A0" w:firstRow="1" w:lastRow="0" w:firstColumn="1" w:lastColumn="0" w:noHBand="0" w:noVBand="1"/>
      </w:tblPr>
      <w:tblGrid>
        <w:gridCol w:w="4770"/>
        <w:gridCol w:w="5565"/>
      </w:tblGrid>
      <w:tr w:rsidR="00103A7B" w:rsidRPr="00545B44" w:rsidTr="006143CB">
        <w:tc>
          <w:tcPr>
            <w:tcW w:w="10335" w:type="dxa"/>
            <w:gridSpan w:val="2"/>
          </w:tcPr>
          <w:p w:rsidR="0043198A" w:rsidRDefault="00103A7B" w:rsidP="006143CB">
            <w:pPr>
              <w:spacing w:line="360" w:lineRule="auto"/>
              <w:ind w:right="288"/>
              <w:contextualSpacing/>
              <w:jc w:val="both"/>
              <w:rPr>
                <w:rFonts w:ascii="Arial Narrow" w:hAnsi="Arial Narrow" w:cs="Arial"/>
                <w:color w:val="262626" w:themeColor="text1" w:themeTint="D9"/>
                <w:sz w:val="24"/>
                <w:szCs w:val="24"/>
                <w:lang w:val="en-GB"/>
              </w:rPr>
            </w:pPr>
            <w:r w:rsidRPr="00545B44">
              <w:rPr>
                <w:rFonts w:ascii="Arial Narrow" w:hAnsi="Arial Narrow" w:cs="Arial"/>
                <w:color w:val="262626" w:themeColor="text1" w:themeTint="D9"/>
                <w:sz w:val="24"/>
                <w:szCs w:val="24"/>
                <w:lang w:val="en-GB"/>
              </w:rPr>
              <w:lastRenderedPageBreak/>
              <w:t xml:space="preserve">     </w:t>
            </w:r>
          </w:p>
          <w:p w:rsidR="00103A7B" w:rsidRDefault="0043198A" w:rsidP="006143CB">
            <w:pPr>
              <w:spacing w:line="360" w:lineRule="auto"/>
              <w:ind w:right="288"/>
              <w:contextualSpacing/>
              <w:jc w:val="both"/>
              <w:rPr>
                <w:rFonts w:ascii="Arial Narrow" w:hAnsi="Arial Narrow" w:cs="Arial"/>
                <w:color w:val="262626" w:themeColor="text1" w:themeTint="D9"/>
                <w:sz w:val="24"/>
                <w:szCs w:val="24"/>
                <w:lang w:val="en-GB"/>
              </w:rPr>
            </w:pPr>
            <w:r>
              <w:rPr>
                <w:rFonts w:ascii="Arial Narrow" w:hAnsi="Arial Narrow" w:cs="Arial"/>
                <w:color w:val="262626" w:themeColor="text1" w:themeTint="D9"/>
                <w:sz w:val="24"/>
                <w:szCs w:val="24"/>
                <w:lang w:val="en-GB"/>
              </w:rPr>
              <w:t xml:space="preserve">       </w:t>
            </w:r>
            <w:r w:rsidR="00103A7B" w:rsidRPr="002A1CE0">
              <w:rPr>
                <w:rFonts w:ascii="Arial Narrow" w:hAnsi="Arial Narrow" w:cs="Arial"/>
                <w:color w:val="262626" w:themeColor="text1" w:themeTint="D9"/>
                <w:sz w:val="24"/>
                <w:szCs w:val="24"/>
                <w:lang w:val="en-GB"/>
              </w:rPr>
              <w:t>Claasen J (concurring Usiku J)</w:t>
            </w:r>
          </w:p>
          <w:p w:rsidR="006143CB" w:rsidRDefault="006143CB" w:rsidP="006143CB">
            <w:pPr>
              <w:spacing w:line="360" w:lineRule="auto"/>
              <w:ind w:right="288"/>
              <w:contextualSpacing/>
              <w:jc w:val="both"/>
              <w:rPr>
                <w:rFonts w:ascii="Arial Narrow" w:hAnsi="Arial Narrow" w:cs="Arial"/>
                <w:color w:val="262626" w:themeColor="text1" w:themeTint="D9"/>
                <w:sz w:val="24"/>
                <w:szCs w:val="24"/>
                <w:lang w:val="en-GB"/>
              </w:rPr>
            </w:pPr>
          </w:p>
          <w:p w:rsidR="006E4A58" w:rsidRDefault="005A035F" w:rsidP="006143CB">
            <w:pPr>
              <w:pStyle w:val="ListParagraph"/>
              <w:numPr>
                <w:ilvl w:val="0"/>
                <w:numId w:val="3"/>
              </w:numPr>
              <w:spacing w:line="360" w:lineRule="auto"/>
              <w:ind w:right="288"/>
              <w:jc w:val="both"/>
              <w:rPr>
                <w:rFonts w:ascii="Arial Narrow" w:hAnsi="Arial Narrow" w:cs="Arial"/>
                <w:color w:val="262626" w:themeColor="text1" w:themeTint="D9"/>
                <w:sz w:val="24"/>
                <w:szCs w:val="24"/>
                <w:lang w:val="en-ZA"/>
              </w:rPr>
            </w:pPr>
            <w:r>
              <w:rPr>
                <w:rFonts w:ascii="Arial Narrow" w:hAnsi="Arial Narrow" w:cs="Arial"/>
                <w:color w:val="262626" w:themeColor="text1" w:themeTint="D9"/>
                <w:sz w:val="24"/>
                <w:szCs w:val="24"/>
                <w:lang w:val="en-ZA"/>
              </w:rPr>
              <w:t>In this matter the</w:t>
            </w:r>
            <w:r w:rsidR="00246ADC">
              <w:rPr>
                <w:rFonts w:ascii="Arial Narrow" w:hAnsi="Arial Narrow" w:cs="Arial"/>
                <w:color w:val="262626" w:themeColor="text1" w:themeTint="D9"/>
                <w:sz w:val="24"/>
                <w:szCs w:val="24"/>
                <w:lang w:val="en-ZA"/>
              </w:rPr>
              <w:t xml:space="preserve"> </w:t>
            </w:r>
            <w:r>
              <w:rPr>
                <w:rFonts w:ascii="Arial Narrow" w:hAnsi="Arial Narrow" w:cs="Arial"/>
                <w:color w:val="262626" w:themeColor="text1" w:themeTint="D9"/>
                <w:sz w:val="24"/>
                <w:szCs w:val="24"/>
                <w:lang w:val="en-ZA"/>
              </w:rPr>
              <w:t>accused</w:t>
            </w:r>
            <w:r w:rsidR="00CE05EF">
              <w:rPr>
                <w:rFonts w:ascii="Arial Narrow" w:hAnsi="Arial Narrow" w:cs="Arial"/>
                <w:color w:val="262626" w:themeColor="text1" w:themeTint="D9"/>
                <w:sz w:val="24"/>
                <w:szCs w:val="24"/>
                <w:lang w:val="en-ZA"/>
              </w:rPr>
              <w:t>, an Angolan national,</w:t>
            </w:r>
            <w:r>
              <w:rPr>
                <w:rFonts w:ascii="Arial Narrow" w:hAnsi="Arial Narrow" w:cs="Arial"/>
                <w:color w:val="262626" w:themeColor="text1" w:themeTint="D9"/>
                <w:sz w:val="24"/>
                <w:szCs w:val="24"/>
                <w:lang w:val="en-ZA"/>
              </w:rPr>
              <w:t xml:space="preserve"> was charged and convicted of a</w:t>
            </w:r>
            <w:r w:rsidR="006E4A58">
              <w:rPr>
                <w:rFonts w:ascii="Arial Narrow" w:hAnsi="Arial Narrow" w:cs="Arial"/>
                <w:color w:val="262626" w:themeColor="text1" w:themeTint="D9"/>
                <w:sz w:val="24"/>
                <w:szCs w:val="24"/>
                <w:lang w:val="en-ZA"/>
              </w:rPr>
              <w:t xml:space="preserve"> co</w:t>
            </w:r>
            <w:r w:rsidR="00AA3467">
              <w:rPr>
                <w:rFonts w:ascii="Arial Narrow" w:hAnsi="Arial Narrow" w:cs="Arial"/>
                <w:color w:val="262626" w:themeColor="text1" w:themeTint="D9"/>
                <w:sz w:val="24"/>
                <w:szCs w:val="24"/>
                <w:lang w:val="en-ZA"/>
              </w:rPr>
              <w:t>ntraven</w:t>
            </w:r>
            <w:r w:rsidR="006E4A58">
              <w:rPr>
                <w:rFonts w:ascii="Arial Narrow" w:hAnsi="Arial Narrow" w:cs="Arial"/>
                <w:color w:val="262626" w:themeColor="text1" w:themeTint="D9"/>
                <w:sz w:val="24"/>
                <w:szCs w:val="24"/>
                <w:lang w:val="en-ZA"/>
              </w:rPr>
              <w:t xml:space="preserve">tion of </w:t>
            </w:r>
            <w:r w:rsidR="00AA3467">
              <w:rPr>
                <w:rFonts w:ascii="Arial Narrow" w:hAnsi="Arial Narrow" w:cs="Arial"/>
                <w:color w:val="262626" w:themeColor="text1" w:themeTint="D9"/>
                <w:sz w:val="24"/>
                <w:szCs w:val="24"/>
                <w:lang w:val="en-ZA"/>
              </w:rPr>
              <w:t>s</w:t>
            </w:r>
            <w:r w:rsidR="00AA3467" w:rsidRPr="00704656">
              <w:rPr>
                <w:rFonts w:ascii="Arial Narrow" w:hAnsi="Arial Narrow" w:cs="Arial"/>
                <w:color w:val="262626" w:themeColor="text1" w:themeTint="D9"/>
                <w:sz w:val="24"/>
                <w:szCs w:val="24"/>
                <w:lang w:val="en-ZA"/>
              </w:rPr>
              <w:t xml:space="preserve"> 10(3) read with s 1, </w:t>
            </w:r>
            <w:r w:rsidR="00BA5582">
              <w:rPr>
                <w:rFonts w:ascii="Arial Narrow" w:hAnsi="Arial Narrow" w:cs="Arial"/>
                <w:color w:val="262626" w:themeColor="text1" w:themeTint="D9"/>
                <w:sz w:val="24"/>
                <w:szCs w:val="24"/>
                <w:lang w:val="en-ZA"/>
              </w:rPr>
              <w:t xml:space="preserve">and </w:t>
            </w:r>
            <w:r w:rsidR="00AA3467" w:rsidRPr="00704656">
              <w:rPr>
                <w:rFonts w:ascii="Arial Narrow" w:hAnsi="Arial Narrow" w:cs="Arial"/>
                <w:color w:val="262626" w:themeColor="text1" w:themeTint="D9"/>
                <w:sz w:val="24"/>
                <w:szCs w:val="24"/>
                <w:lang w:val="en-ZA"/>
              </w:rPr>
              <w:t>7 of</w:t>
            </w:r>
            <w:r w:rsidR="00CE05EF">
              <w:rPr>
                <w:rFonts w:ascii="Arial Narrow" w:hAnsi="Arial Narrow" w:cs="Arial"/>
                <w:color w:val="262626" w:themeColor="text1" w:themeTint="D9"/>
                <w:sz w:val="24"/>
                <w:szCs w:val="24"/>
                <w:lang w:val="en-ZA"/>
              </w:rPr>
              <w:t xml:space="preserve"> the</w:t>
            </w:r>
            <w:r w:rsidR="00AA3467" w:rsidRPr="00704656">
              <w:rPr>
                <w:rFonts w:ascii="Arial Narrow" w:hAnsi="Arial Narrow" w:cs="Arial"/>
                <w:color w:val="262626" w:themeColor="text1" w:themeTint="D9"/>
                <w:sz w:val="24"/>
                <w:szCs w:val="24"/>
                <w:lang w:val="en-ZA"/>
              </w:rPr>
              <w:t xml:space="preserve"> Immigration Control Act 7 of 1993, (the </w:t>
            </w:r>
            <w:r w:rsidR="00AA3467">
              <w:rPr>
                <w:rFonts w:ascii="Arial Narrow" w:hAnsi="Arial Narrow" w:cs="Arial"/>
                <w:color w:val="262626" w:themeColor="text1" w:themeTint="D9"/>
                <w:sz w:val="24"/>
                <w:szCs w:val="24"/>
                <w:lang w:val="en-ZA"/>
              </w:rPr>
              <w:t xml:space="preserve">Act) for having been wrongfully and unlawfully found at </w:t>
            </w:r>
            <w:r w:rsidR="00246ADC">
              <w:rPr>
                <w:rFonts w:ascii="Arial Narrow" w:hAnsi="Arial Narrow" w:cs="Arial"/>
                <w:color w:val="262626" w:themeColor="text1" w:themeTint="D9"/>
                <w:sz w:val="24"/>
                <w:szCs w:val="24"/>
                <w:lang w:val="en-ZA"/>
              </w:rPr>
              <w:t>Kaisosi location, whilst</w:t>
            </w:r>
            <w:r w:rsidR="006E4A58">
              <w:rPr>
                <w:rFonts w:ascii="Arial Narrow" w:hAnsi="Arial Narrow" w:cs="Arial"/>
                <w:color w:val="262626" w:themeColor="text1" w:themeTint="D9"/>
                <w:sz w:val="24"/>
                <w:szCs w:val="24"/>
                <w:lang w:val="en-ZA"/>
              </w:rPr>
              <w:t xml:space="preserve"> he was not in possession of a valid passport or </w:t>
            </w:r>
            <w:r w:rsidR="00246ADC">
              <w:rPr>
                <w:rFonts w:ascii="Arial Narrow" w:hAnsi="Arial Narrow" w:cs="Arial"/>
                <w:color w:val="262626" w:themeColor="text1" w:themeTint="D9"/>
                <w:sz w:val="24"/>
                <w:szCs w:val="24"/>
                <w:lang w:val="en-ZA"/>
              </w:rPr>
              <w:t>any document issued to him.</w:t>
            </w:r>
          </w:p>
          <w:p w:rsidR="006E4A58" w:rsidRDefault="00246ADC" w:rsidP="006143CB">
            <w:pPr>
              <w:pStyle w:val="ListParagraph"/>
              <w:numPr>
                <w:ilvl w:val="0"/>
                <w:numId w:val="3"/>
              </w:numPr>
              <w:spacing w:line="360" w:lineRule="auto"/>
              <w:ind w:right="288"/>
              <w:contextualSpacing w:val="0"/>
              <w:jc w:val="both"/>
              <w:rPr>
                <w:rFonts w:ascii="Arial Narrow" w:hAnsi="Arial Narrow" w:cs="Arial"/>
                <w:color w:val="262626" w:themeColor="text1" w:themeTint="D9"/>
                <w:sz w:val="24"/>
                <w:szCs w:val="24"/>
                <w:lang w:val="en-ZA"/>
              </w:rPr>
            </w:pPr>
            <w:r>
              <w:rPr>
                <w:rFonts w:ascii="Arial Narrow" w:hAnsi="Arial Narrow" w:cs="Arial"/>
                <w:color w:val="262626" w:themeColor="text1" w:themeTint="D9"/>
                <w:sz w:val="24"/>
                <w:szCs w:val="24"/>
                <w:lang w:val="en-ZA"/>
              </w:rPr>
              <w:t>After being questioned in terms of s</w:t>
            </w:r>
            <w:r w:rsidR="006E4A58" w:rsidRPr="00704656">
              <w:rPr>
                <w:rFonts w:ascii="Arial Narrow" w:hAnsi="Arial Narrow" w:cs="Arial"/>
                <w:color w:val="262626" w:themeColor="text1" w:themeTint="D9"/>
                <w:sz w:val="24"/>
                <w:szCs w:val="24"/>
                <w:lang w:val="en-ZA"/>
              </w:rPr>
              <w:t xml:space="preserve"> 112(1)(b) of the C</w:t>
            </w:r>
            <w:r w:rsidR="00B80F7D">
              <w:rPr>
                <w:rFonts w:ascii="Arial Narrow" w:hAnsi="Arial Narrow" w:cs="Arial"/>
                <w:color w:val="262626" w:themeColor="text1" w:themeTint="D9"/>
                <w:sz w:val="24"/>
                <w:szCs w:val="24"/>
                <w:lang w:val="en-ZA"/>
              </w:rPr>
              <w:t>riminal Procedure Act as amended, (the CPA)</w:t>
            </w:r>
            <w:r>
              <w:rPr>
                <w:rFonts w:ascii="Arial Narrow" w:hAnsi="Arial Narrow" w:cs="Arial"/>
                <w:color w:val="262626" w:themeColor="text1" w:themeTint="D9"/>
                <w:sz w:val="24"/>
                <w:szCs w:val="24"/>
                <w:lang w:val="en-ZA"/>
              </w:rPr>
              <w:t xml:space="preserve"> the court convicted him and imposed a fine of </w:t>
            </w:r>
            <w:r w:rsidR="006E4A58" w:rsidRPr="00704656">
              <w:rPr>
                <w:rFonts w:ascii="Arial Narrow" w:hAnsi="Arial Narrow" w:cs="Arial"/>
                <w:color w:val="262626" w:themeColor="text1" w:themeTint="D9"/>
                <w:sz w:val="24"/>
                <w:szCs w:val="24"/>
                <w:lang w:val="en-ZA"/>
              </w:rPr>
              <w:t xml:space="preserve">N$ </w:t>
            </w:r>
            <w:r>
              <w:rPr>
                <w:rFonts w:ascii="Arial Narrow" w:hAnsi="Arial Narrow" w:cs="Arial"/>
                <w:color w:val="262626" w:themeColor="text1" w:themeTint="D9"/>
                <w:sz w:val="24"/>
                <w:szCs w:val="24"/>
                <w:lang w:val="en-ZA"/>
              </w:rPr>
              <w:t>20 000</w:t>
            </w:r>
            <w:r w:rsidR="008804A8">
              <w:rPr>
                <w:rFonts w:ascii="Arial Narrow" w:hAnsi="Arial Narrow" w:cs="Arial"/>
                <w:color w:val="262626" w:themeColor="text1" w:themeTint="D9"/>
                <w:sz w:val="24"/>
                <w:szCs w:val="24"/>
                <w:lang w:val="en-ZA"/>
              </w:rPr>
              <w:t>.</w:t>
            </w:r>
            <w:r>
              <w:rPr>
                <w:rFonts w:ascii="Arial Narrow" w:hAnsi="Arial Narrow" w:cs="Arial"/>
                <w:color w:val="262626" w:themeColor="text1" w:themeTint="D9"/>
                <w:sz w:val="24"/>
                <w:szCs w:val="24"/>
                <w:lang w:val="en-ZA"/>
              </w:rPr>
              <w:t xml:space="preserve"> or 5</w:t>
            </w:r>
            <w:r w:rsidR="006E4A58" w:rsidRPr="00704656">
              <w:rPr>
                <w:rFonts w:ascii="Arial Narrow" w:hAnsi="Arial Narrow" w:cs="Arial"/>
                <w:color w:val="262626" w:themeColor="text1" w:themeTint="D9"/>
                <w:sz w:val="24"/>
                <w:szCs w:val="24"/>
                <w:lang w:val="en-ZA"/>
              </w:rPr>
              <w:t xml:space="preserve"> </w:t>
            </w:r>
            <w:r w:rsidR="008804A8">
              <w:rPr>
                <w:rFonts w:ascii="Arial Narrow" w:hAnsi="Arial Narrow" w:cs="Arial"/>
                <w:color w:val="262626" w:themeColor="text1" w:themeTint="D9"/>
                <w:sz w:val="24"/>
                <w:szCs w:val="24"/>
                <w:lang w:val="en-ZA"/>
              </w:rPr>
              <w:t>years’</w:t>
            </w:r>
            <w:r w:rsidR="006E4A58" w:rsidRPr="00704656">
              <w:rPr>
                <w:rFonts w:ascii="Arial Narrow" w:hAnsi="Arial Narrow" w:cs="Arial"/>
                <w:color w:val="262626" w:themeColor="text1" w:themeTint="D9"/>
                <w:sz w:val="24"/>
                <w:szCs w:val="24"/>
                <w:lang w:val="en-ZA"/>
              </w:rPr>
              <w:t xml:space="preserve"> imprisonment. The </w:t>
            </w:r>
            <w:r>
              <w:rPr>
                <w:rFonts w:ascii="Arial Narrow" w:hAnsi="Arial Narrow" w:cs="Arial"/>
                <w:color w:val="262626" w:themeColor="text1" w:themeTint="D9"/>
                <w:sz w:val="24"/>
                <w:szCs w:val="24"/>
                <w:lang w:val="en-ZA"/>
              </w:rPr>
              <w:t xml:space="preserve">review </w:t>
            </w:r>
            <w:r w:rsidR="006E4A58" w:rsidRPr="00704656">
              <w:rPr>
                <w:rFonts w:ascii="Arial Narrow" w:hAnsi="Arial Narrow" w:cs="Arial"/>
                <w:color w:val="262626" w:themeColor="text1" w:themeTint="D9"/>
                <w:sz w:val="24"/>
                <w:szCs w:val="24"/>
                <w:lang w:val="en-ZA"/>
              </w:rPr>
              <w:t>cover sheet indicates that the fine was not paid.</w:t>
            </w:r>
          </w:p>
          <w:p w:rsidR="006E4A58" w:rsidRDefault="006E4A58" w:rsidP="006143CB">
            <w:pPr>
              <w:pStyle w:val="ListParagraph"/>
              <w:spacing w:line="360" w:lineRule="auto"/>
              <w:ind w:right="288"/>
              <w:jc w:val="both"/>
              <w:rPr>
                <w:rFonts w:ascii="Arial Narrow" w:hAnsi="Arial Narrow" w:cs="Arial"/>
                <w:color w:val="262626" w:themeColor="text1" w:themeTint="D9"/>
                <w:sz w:val="24"/>
                <w:szCs w:val="24"/>
                <w:lang w:val="en-ZA"/>
              </w:rPr>
            </w:pPr>
          </w:p>
          <w:p w:rsidR="002D7DE4" w:rsidRDefault="00246ADC" w:rsidP="006143CB">
            <w:pPr>
              <w:pStyle w:val="ListParagraph"/>
              <w:numPr>
                <w:ilvl w:val="0"/>
                <w:numId w:val="3"/>
              </w:numPr>
              <w:spacing w:line="360" w:lineRule="auto"/>
              <w:ind w:right="288"/>
              <w:jc w:val="both"/>
              <w:rPr>
                <w:rFonts w:ascii="Arial Narrow" w:hAnsi="Arial Narrow" w:cs="Arial"/>
                <w:color w:val="262626" w:themeColor="text1" w:themeTint="D9"/>
                <w:sz w:val="24"/>
                <w:szCs w:val="24"/>
                <w:lang w:val="en-ZA"/>
              </w:rPr>
            </w:pPr>
            <w:r>
              <w:rPr>
                <w:rFonts w:ascii="Arial Narrow" w:hAnsi="Arial Narrow" w:cs="Arial"/>
                <w:color w:val="262626" w:themeColor="text1" w:themeTint="D9"/>
                <w:sz w:val="24"/>
                <w:szCs w:val="24"/>
                <w:lang w:val="en-ZA"/>
              </w:rPr>
              <w:t xml:space="preserve"> </w:t>
            </w:r>
            <w:r w:rsidR="00C2316B">
              <w:rPr>
                <w:rFonts w:ascii="Arial Narrow" w:hAnsi="Arial Narrow" w:cs="Arial"/>
                <w:color w:val="262626" w:themeColor="text1" w:themeTint="D9"/>
                <w:sz w:val="24"/>
                <w:szCs w:val="24"/>
                <w:lang w:val="en-ZA"/>
              </w:rPr>
              <w:t xml:space="preserve">When the matter came before me on review, I addressed a query that comprised of 3 aspects. The first and second issue is related and it pertains to whether the accused was properly charged and whether the conviction of the accused ‘as charged’ was in order. An additional question was raised as to whether </w:t>
            </w:r>
            <w:r>
              <w:rPr>
                <w:rFonts w:ascii="Arial Narrow" w:hAnsi="Arial Narrow" w:cs="Arial"/>
                <w:color w:val="262626" w:themeColor="text1" w:themeTint="D9"/>
                <w:sz w:val="24"/>
                <w:szCs w:val="24"/>
                <w:lang w:val="en-ZA"/>
              </w:rPr>
              <w:t xml:space="preserve">leading questions </w:t>
            </w:r>
            <w:r w:rsidR="003C1C5A">
              <w:rPr>
                <w:rFonts w:ascii="Arial Narrow" w:hAnsi="Arial Narrow" w:cs="Arial"/>
                <w:color w:val="262626" w:themeColor="text1" w:themeTint="D9"/>
                <w:sz w:val="24"/>
                <w:szCs w:val="24"/>
                <w:lang w:val="en-ZA"/>
              </w:rPr>
              <w:t>in the e</w:t>
            </w:r>
            <w:r>
              <w:rPr>
                <w:rFonts w:ascii="Arial Narrow" w:hAnsi="Arial Narrow" w:cs="Arial"/>
                <w:color w:val="262626" w:themeColor="text1" w:themeTint="D9"/>
                <w:sz w:val="24"/>
                <w:szCs w:val="24"/>
                <w:lang w:val="en-ZA"/>
              </w:rPr>
              <w:t xml:space="preserve">xamination in </w:t>
            </w:r>
            <w:r w:rsidR="00C2316B">
              <w:rPr>
                <w:rFonts w:ascii="Arial Narrow" w:hAnsi="Arial Narrow" w:cs="Arial"/>
                <w:color w:val="262626" w:themeColor="text1" w:themeTint="D9"/>
                <w:sz w:val="24"/>
                <w:szCs w:val="24"/>
                <w:lang w:val="en-ZA"/>
              </w:rPr>
              <w:t>terms of s 112(1)(b) of the CPA are permissible.</w:t>
            </w:r>
            <w:r w:rsidR="002D7DE4">
              <w:rPr>
                <w:rFonts w:ascii="Arial Narrow" w:hAnsi="Arial Narrow" w:cs="Arial"/>
                <w:color w:val="262626" w:themeColor="text1" w:themeTint="D9"/>
                <w:sz w:val="24"/>
                <w:szCs w:val="24"/>
                <w:lang w:val="en-ZA"/>
              </w:rPr>
              <w:t xml:space="preserve"> </w:t>
            </w:r>
          </w:p>
          <w:p w:rsidR="00D33AA5" w:rsidRPr="00D33AA5" w:rsidRDefault="00D33AA5" w:rsidP="006143CB">
            <w:pPr>
              <w:pStyle w:val="ListParagraph"/>
              <w:spacing w:line="360" w:lineRule="auto"/>
              <w:ind w:right="288"/>
              <w:rPr>
                <w:rFonts w:ascii="Arial Narrow" w:hAnsi="Arial Narrow" w:cs="Arial"/>
                <w:color w:val="262626" w:themeColor="text1" w:themeTint="D9"/>
                <w:sz w:val="24"/>
                <w:szCs w:val="24"/>
                <w:lang w:val="en-ZA"/>
              </w:rPr>
            </w:pPr>
          </w:p>
          <w:p w:rsidR="00AE63C9" w:rsidRPr="0013542C" w:rsidRDefault="00BA5582" w:rsidP="006143CB">
            <w:pPr>
              <w:pStyle w:val="ListParagraph"/>
              <w:numPr>
                <w:ilvl w:val="0"/>
                <w:numId w:val="3"/>
              </w:numPr>
              <w:spacing w:line="360" w:lineRule="auto"/>
              <w:ind w:right="288"/>
              <w:jc w:val="both"/>
              <w:rPr>
                <w:rFonts w:ascii="Arial Narrow" w:hAnsi="Arial Narrow" w:cs="Arial"/>
                <w:color w:val="262626" w:themeColor="text1" w:themeTint="D9"/>
                <w:sz w:val="24"/>
                <w:szCs w:val="24"/>
                <w:lang w:val="en-ZA"/>
              </w:rPr>
            </w:pPr>
            <w:r>
              <w:rPr>
                <w:rFonts w:ascii="Arial Narrow" w:hAnsi="Arial Narrow" w:cs="Arial"/>
                <w:color w:val="262626" w:themeColor="text1" w:themeTint="D9"/>
                <w:sz w:val="24"/>
                <w:szCs w:val="24"/>
                <w:lang w:val="en-ZA"/>
              </w:rPr>
              <w:t>The matter of</w:t>
            </w:r>
            <w:r w:rsidR="00AE63C9">
              <w:rPr>
                <w:rFonts w:ascii="Arial Narrow" w:hAnsi="Arial Narrow" w:cs="Arial"/>
                <w:color w:val="262626" w:themeColor="text1" w:themeTint="D9"/>
                <w:sz w:val="24"/>
                <w:szCs w:val="24"/>
                <w:lang w:val="en-ZA"/>
              </w:rPr>
              <w:t xml:space="preserve"> </w:t>
            </w:r>
            <w:r w:rsidR="00AE63C9" w:rsidRPr="0013542C">
              <w:rPr>
                <w:rFonts w:ascii="Arial Narrow" w:hAnsi="Arial Narrow" w:cs="Arial"/>
                <w:i/>
                <w:color w:val="262626" w:themeColor="text1" w:themeTint="D9"/>
                <w:sz w:val="24"/>
                <w:szCs w:val="24"/>
                <w:lang w:val="en-ZA"/>
              </w:rPr>
              <w:t>S v Alberto</w:t>
            </w:r>
            <w:r w:rsidR="00AE63C9" w:rsidRPr="00103A7B">
              <w:rPr>
                <w:vertAlign w:val="superscript"/>
                <w:lang w:val="en-ZA"/>
              </w:rPr>
              <w:footnoteReference w:id="1"/>
            </w:r>
            <w:r w:rsidR="00AE63C9" w:rsidRPr="0013542C">
              <w:rPr>
                <w:rFonts w:ascii="Arial Narrow" w:hAnsi="Arial Narrow" w:cs="Arial"/>
                <w:i/>
                <w:color w:val="262626" w:themeColor="text1" w:themeTint="D9"/>
                <w:sz w:val="24"/>
                <w:szCs w:val="24"/>
                <w:lang w:val="en-ZA"/>
              </w:rPr>
              <w:t xml:space="preserve"> </w:t>
            </w:r>
            <w:r w:rsidR="00AE63C9">
              <w:rPr>
                <w:rFonts w:ascii="Arial Narrow" w:hAnsi="Arial Narrow" w:cs="Arial"/>
                <w:color w:val="262626" w:themeColor="text1" w:themeTint="D9"/>
                <w:sz w:val="24"/>
                <w:szCs w:val="24"/>
                <w:lang w:val="en-ZA"/>
              </w:rPr>
              <w:t xml:space="preserve"> is instructive to the matter at hand </w:t>
            </w:r>
            <w:r w:rsidR="00943B8F">
              <w:rPr>
                <w:rFonts w:ascii="Arial Narrow" w:hAnsi="Arial Narrow" w:cs="Arial"/>
                <w:color w:val="262626" w:themeColor="text1" w:themeTint="D9"/>
                <w:sz w:val="24"/>
                <w:szCs w:val="24"/>
                <w:lang w:val="en-ZA"/>
              </w:rPr>
              <w:t xml:space="preserve">and provides a </w:t>
            </w:r>
            <w:r w:rsidR="00AE63C9">
              <w:rPr>
                <w:rFonts w:ascii="Arial Narrow" w:hAnsi="Arial Narrow" w:cs="Arial"/>
                <w:color w:val="262626" w:themeColor="text1" w:themeTint="D9"/>
                <w:sz w:val="24"/>
                <w:szCs w:val="24"/>
                <w:lang w:val="en-ZA"/>
              </w:rPr>
              <w:t xml:space="preserve">synopsis </w:t>
            </w:r>
            <w:r w:rsidR="008804A8">
              <w:rPr>
                <w:rFonts w:ascii="Arial Narrow" w:hAnsi="Arial Narrow" w:cs="Arial"/>
                <w:color w:val="262626" w:themeColor="text1" w:themeTint="D9"/>
                <w:sz w:val="24"/>
                <w:szCs w:val="24"/>
                <w:lang w:val="en-ZA"/>
              </w:rPr>
              <w:t xml:space="preserve">of </w:t>
            </w:r>
            <w:r w:rsidR="00943B8F">
              <w:rPr>
                <w:rFonts w:ascii="Arial Narrow" w:hAnsi="Arial Narrow" w:cs="Arial"/>
                <w:color w:val="262626" w:themeColor="text1" w:themeTint="D9"/>
                <w:sz w:val="24"/>
                <w:szCs w:val="24"/>
                <w:lang w:val="en-ZA"/>
              </w:rPr>
              <w:t xml:space="preserve">the relevant section as follows: </w:t>
            </w:r>
          </w:p>
          <w:p w:rsidR="00AE63C9" w:rsidRPr="006143CB" w:rsidRDefault="00AE63C9" w:rsidP="006143CB">
            <w:pPr>
              <w:spacing w:line="360" w:lineRule="auto"/>
              <w:ind w:left="729" w:right="288" w:firstLine="567"/>
              <w:jc w:val="both"/>
              <w:rPr>
                <w:rFonts w:ascii="Arial Narrow" w:hAnsi="Arial Narrow" w:cs="Arial"/>
                <w:color w:val="262626" w:themeColor="text1" w:themeTint="D9"/>
                <w:lang w:val="en-ZA"/>
              </w:rPr>
            </w:pPr>
            <w:r w:rsidRPr="006143CB">
              <w:rPr>
                <w:rFonts w:ascii="Arial Narrow" w:hAnsi="Arial Narrow" w:cs="Arial"/>
                <w:color w:val="262626" w:themeColor="text1" w:themeTint="D9"/>
                <w:lang w:val="en-ZA"/>
              </w:rPr>
              <w:t xml:space="preserve">‘ It is therefore apparent that an offence under section 10(3) of the Act can only come into existence, where such contravention was brought about by a person entering Namibia in contravention of the offences provided for in sections 6, 7 or 8 of the Immigration Control Act </w:t>
            </w:r>
            <w:r w:rsidRPr="006143CB">
              <w:rPr>
                <w:rFonts w:ascii="Arial Narrow" w:hAnsi="Arial Narrow" w:cs="Arial"/>
                <w:color w:val="262626" w:themeColor="text1" w:themeTint="D9"/>
                <w:u w:val="single"/>
                <w:lang w:val="en-ZA"/>
              </w:rPr>
              <w:t xml:space="preserve">or, even after compliance with sections 6, 7 or 8 of the Act and such person failed to satisfy the immigration officer that he or she is  not a prohibited immigrant, and the immigration officer refused such person entry into Namibia in terms of section 10(1).’ </w:t>
            </w:r>
            <w:r w:rsidRPr="006143CB">
              <w:rPr>
                <w:rFonts w:ascii="Arial Narrow" w:hAnsi="Arial Narrow" w:cs="Arial"/>
                <w:color w:val="262626" w:themeColor="text1" w:themeTint="D9"/>
                <w:lang w:val="en-ZA"/>
              </w:rPr>
              <w:t xml:space="preserve"> My emphasis.</w:t>
            </w:r>
          </w:p>
          <w:p w:rsidR="00BE4A68" w:rsidRDefault="00BE4A68" w:rsidP="006143CB">
            <w:pPr>
              <w:pStyle w:val="ListParagraph"/>
              <w:spacing w:line="360" w:lineRule="auto"/>
              <w:ind w:left="1440" w:right="288"/>
              <w:contextualSpacing w:val="0"/>
              <w:jc w:val="both"/>
              <w:rPr>
                <w:rFonts w:ascii="Arial Narrow" w:hAnsi="Arial Narrow" w:cs="Arial"/>
                <w:color w:val="262626" w:themeColor="text1" w:themeTint="D9"/>
                <w:lang w:val="en-ZA"/>
              </w:rPr>
            </w:pPr>
          </w:p>
          <w:p w:rsidR="004B2401" w:rsidRDefault="00943B8F" w:rsidP="006143CB">
            <w:pPr>
              <w:pStyle w:val="ListParagraph"/>
              <w:numPr>
                <w:ilvl w:val="0"/>
                <w:numId w:val="3"/>
              </w:numPr>
              <w:spacing w:line="360" w:lineRule="auto"/>
              <w:ind w:right="288"/>
              <w:jc w:val="both"/>
              <w:rPr>
                <w:rFonts w:ascii="Arial Narrow" w:hAnsi="Arial Narrow" w:cs="Arial"/>
                <w:color w:val="262626" w:themeColor="text1" w:themeTint="D9"/>
                <w:sz w:val="24"/>
                <w:szCs w:val="24"/>
                <w:lang w:val="en-ZA"/>
              </w:rPr>
            </w:pPr>
            <w:r w:rsidRPr="00D53E7B">
              <w:rPr>
                <w:rFonts w:ascii="Arial Narrow" w:hAnsi="Arial Narrow" w:cs="Arial"/>
                <w:color w:val="262626" w:themeColor="text1" w:themeTint="D9"/>
                <w:sz w:val="24"/>
                <w:szCs w:val="24"/>
                <w:lang w:val="en-ZA"/>
              </w:rPr>
              <w:t xml:space="preserve">In considering the answers given by the accused when questioned, he informed the court that when he entered </w:t>
            </w:r>
            <w:r w:rsidR="00C50493" w:rsidRPr="00D53E7B">
              <w:rPr>
                <w:rFonts w:ascii="Arial Narrow" w:hAnsi="Arial Narrow" w:cs="Arial"/>
                <w:color w:val="262626" w:themeColor="text1" w:themeTint="D9"/>
                <w:sz w:val="24"/>
                <w:szCs w:val="24"/>
                <w:lang w:val="en-ZA"/>
              </w:rPr>
              <w:t>t</w:t>
            </w:r>
            <w:r w:rsidRPr="00D53E7B">
              <w:rPr>
                <w:rFonts w:ascii="Arial Narrow" w:hAnsi="Arial Narrow" w:cs="Arial"/>
                <w:color w:val="262626" w:themeColor="text1" w:themeTint="D9"/>
                <w:sz w:val="24"/>
                <w:szCs w:val="24"/>
                <w:lang w:val="en-ZA"/>
              </w:rPr>
              <w:t xml:space="preserve">he </w:t>
            </w:r>
            <w:r w:rsidR="00C50493" w:rsidRPr="00D53E7B">
              <w:rPr>
                <w:rFonts w:ascii="Arial Narrow" w:hAnsi="Arial Narrow" w:cs="Arial"/>
                <w:color w:val="262626" w:themeColor="text1" w:themeTint="D9"/>
                <w:sz w:val="24"/>
                <w:szCs w:val="24"/>
                <w:lang w:val="en-ZA"/>
              </w:rPr>
              <w:t xml:space="preserve">country he </w:t>
            </w:r>
            <w:r w:rsidRPr="00D53E7B">
              <w:rPr>
                <w:rFonts w:ascii="Arial Narrow" w:hAnsi="Arial Narrow" w:cs="Arial"/>
                <w:color w:val="262626" w:themeColor="text1" w:themeTint="D9"/>
                <w:sz w:val="24"/>
                <w:szCs w:val="24"/>
                <w:lang w:val="en-ZA"/>
              </w:rPr>
              <w:t>‘</w:t>
            </w:r>
            <w:r w:rsidRPr="00BA5582">
              <w:rPr>
                <w:rFonts w:ascii="Arial Narrow" w:hAnsi="Arial Narrow" w:cs="Arial"/>
                <w:color w:val="262626" w:themeColor="text1" w:themeTint="D9"/>
                <w:lang w:val="en-ZA"/>
              </w:rPr>
              <w:t>came with a permit from the consulate</w:t>
            </w:r>
            <w:r w:rsidR="00604403" w:rsidRPr="00BA5582">
              <w:rPr>
                <w:rFonts w:ascii="Arial Narrow" w:hAnsi="Arial Narrow" w:cs="Arial"/>
                <w:color w:val="262626" w:themeColor="text1" w:themeTint="D9"/>
                <w:lang w:val="en-ZA"/>
              </w:rPr>
              <w:t>.</w:t>
            </w:r>
            <w:r w:rsidRPr="00BA5582">
              <w:rPr>
                <w:rFonts w:ascii="Arial Narrow" w:hAnsi="Arial Narrow" w:cs="Arial"/>
                <w:color w:val="262626" w:themeColor="text1" w:themeTint="D9"/>
                <w:lang w:val="en-ZA"/>
              </w:rPr>
              <w:t>’</w:t>
            </w:r>
            <w:r w:rsidRPr="00D53E7B">
              <w:rPr>
                <w:rFonts w:ascii="Arial Narrow" w:hAnsi="Arial Narrow" w:cs="Arial"/>
                <w:color w:val="262626" w:themeColor="text1" w:themeTint="D9"/>
                <w:sz w:val="24"/>
                <w:szCs w:val="24"/>
                <w:lang w:val="en-ZA"/>
              </w:rPr>
              <w:t xml:space="preserve"> </w:t>
            </w:r>
            <w:r w:rsidR="00604403" w:rsidRPr="00D53E7B">
              <w:rPr>
                <w:rFonts w:ascii="Arial Narrow" w:hAnsi="Arial Narrow" w:cs="Arial"/>
                <w:color w:val="262626" w:themeColor="text1" w:themeTint="D9"/>
                <w:sz w:val="24"/>
                <w:szCs w:val="24"/>
                <w:lang w:val="en-ZA"/>
              </w:rPr>
              <w:t>It was not clarified what type of permit the accused had</w:t>
            </w:r>
            <w:r w:rsidR="00D53E7B">
              <w:rPr>
                <w:rFonts w:ascii="Arial Narrow" w:hAnsi="Arial Narrow" w:cs="Arial"/>
                <w:color w:val="262626" w:themeColor="text1" w:themeTint="D9"/>
                <w:sz w:val="24"/>
                <w:szCs w:val="24"/>
                <w:lang w:val="en-ZA"/>
              </w:rPr>
              <w:t xml:space="preserve"> at the time of entry into the country. There is also</w:t>
            </w:r>
            <w:r w:rsidR="00C2316B" w:rsidRPr="00D53E7B">
              <w:rPr>
                <w:rFonts w:ascii="Arial Narrow" w:hAnsi="Arial Narrow" w:cs="Arial"/>
                <w:color w:val="262626" w:themeColor="text1" w:themeTint="D9"/>
                <w:sz w:val="24"/>
                <w:szCs w:val="24"/>
                <w:lang w:val="en-ZA"/>
              </w:rPr>
              <w:t xml:space="preserve"> nothing </w:t>
            </w:r>
            <w:r w:rsidR="00B058FE">
              <w:rPr>
                <w:rFonts w:ascii="Arial Narrow" w:hAnsi="Arial Narrow" w:cs="Arial"/>
                <w:color w:val="262626" w:themeColor="text1" w:themeTint="D9"/>
                <w:sz w:val="24"/>
                <w:szCs w:val="24"/>
                <w:lang w:val="en-ZA"/>
              </w:rPr>
              <w:t>in his answers to</w:t>
            </w:r>
            <w:r w:rsidR="00C2316B" w:rsidRPr="00D53E7B">
              <w:rPr>
                <w:rFonts w:ascii="Arial Narrow" w:hAnsi="Arial Narrow" w:cs="Arial"/>
                <w:color w:val="262626" w:themeColor="text1" w:themeTint="D9"/>
                <w:sz w:val="24"/>
                <w:szCs w:val="24"/>
                <w:lang w:val="en-ZA"/>
              </w:rPr>
              <w:t xml:space="preserve"> suggest that </w:t>
            </w:r>
            <w:r w:rsidR="00873F28">
              <w:rPr>
                <w:rFonts w:ascii="Arial Narrow" w:hAnsi="Arial Narrow" w:cs="Arial"/>
                <w:color w:val="262626" w:themeColor="text1" w:themeTint="D9"/>
                <w:sz w:val="24"/>
                <w:szCs w:val="24"/>
                <w:lang w:val="en-ZA"/>
              </w:rPr>
              <w:t xml:space="preserve">he </w:t>
            </w:r>
            <w:r w:rsidR="00C2316B" w:rsidRPr="00D53E7B">
              <w:rPr>
                <w:rFonts w:ascii="Arial Narrow" w:hAnsi="Arial Narrow" w:cs="Arial"/>
                <w:color w:val="262626" w:themeColor="text1" w:themeTint="D9"/>
                <w:sz w:val="24"/>
                <w:szCs w:val="24"/>
                <w:lang w:val="en-ZA"/>
              </w:rPr>
              <w:t xml:space="preserve">did not enter at a port of entry or did not present himself to </w:t>
            </w:r>
            <w:r w:rsidR="001F11CC">
              <w:rPr>
                <w:rFonts w:ascii="Arial Narrow" w:hAnsi="Arial Narrow" w:cs="Arial"/>
                <w:color w:val="262626" w:themeColor="text1" w:themeTint="D9"/>
                <w:sz w:val="24"/>
                <w:szCs w:val="24"/>
                <w:lang w:val="en-ZA"/>
              </w:rPr>
              <w:t>an</w:t>
            </w:r>
            <w:r w:rsidR="00CE05EF">
              <w:rPr>
                <w:rFonts w:ascii="Arial Narrow" w:hAnsi="Arial Narrow" w:cs="Arial"/>
                <w:color w:val="262626" w:themeColor="text1" w:themeTint="D9"/>
                <w:sz w:val="24"/>
                <w:szCs w:val="24"/>
                <w:lang w:val="en-ZA"/>
              </w:rPr>
              <w:t xml:space="preserve"> immigration officer </w:t>
            </w:r>
            <w:r w:rsidR="00C2316B" w:rsidRPr="00D53E7B">
              <w:rPr>
                <w:rFonts w:ascii="Arial Narrow" w:hAnsi="Arial Narrow" w:cs="Arial"/>
                <w:color w:val="262626" w:themeColor="text1" w:themeTint="D9"/>
                <w:sz w:val="24"/>
                <w:szCs w:val="24"/>
                <w:lang w:val="en-ZA"/>
              </w:rPr>
              <w:t>at the time of entry.  More imp</w:t>
            </w:r>
            <w:r w:rsidR="00D33AA5" w:rsidRPr="00D53E7B">
              <w:rPr>
                <w:rFonts w:ascii="Arial Narrow" w:hAnsi="Arial Narrow" w:cs="Arial"/>
                <w:color w:val="262626" w:themeColor="text1" w:themeTint="D9"/>
                <w:sz w:val="24"/>
                <w:szCs w:val="24"/>
                <w:lang w:val="en-ZA"/>
              </w:rPr>
              <w:t xml:space="preserve">ortantly, </w:t>
            </w:r>
            <w:r w:rsidR="00C50493" w:rsidRPr="00D53E7B">
              <w:rPr>
                <w:rFonts w:ascii="Arial Narrow" w:hAnsi="Arial Narrow" w:cs="Arial"/>
                <w:color w:val="262626" w:themeColor="text1" w:themeTint="D9"/>
                <w:sz w:val="24"/>
                <w:szCs w:val="24"/>
                <w:lang w:val="en-ZA"/>
              </w:rPr>
              <w:t>the accused’s responses did not suggest that</w:t>
            </w:r>
            <w:r w:rsidR="00D53E7B" w:rsidRPr="00D53E7B">
              <w:rPr>
                <w:rFonts w:ascii="Arial Narrow" w:hAnsi="Arial Narrow" w:cs="Arial"/>
                <w:color w:val="262626" w:themeColor="text1" w:themeTint="D9"/>
                <w:sz w:val="24"/>
                <w:szCs w:val="24"/>
                <w:lang w:val="en-ZA"/>
              </w:rPr>
              <w:t xml:space="preserve"> after he complied with s 6, 7 or 8 of the Act that he nevertheless failed to satisfy the immigration officer that he is not a prohibited immigrant </w:t>
            </w:r>
            <w:r w:rsidR="00D53E7B" w:rsidRPr="004B2401">
              <w:rPr>
                <w:rFonts w:ascii="Arial Narrow" w:hAnsi="Arial Narrow" w:cs="Arial"/>
                <w:color w:val="262626" w:themeColor="text1" w:themeTint="D9"/>
                <w:sz w:val="24"/>
                <w:szCs w:val="24"/>
                <w:lang w:val="en-ZA"/>
              </w:rPr>
              <w:t xml:space="preserve">and was refused entry into Namibia by an immigration officer.  </w:t>
            </w:r>
          </w:p>
          <w:p w:rsidR="004B2401" w:rsidRDefault="004B2401" w:rsidP="006143CB">
            <w:pPr>
              <w:pStyle w:val="ListParagraph"/>
              <w:spacing w:line="360" w:lineRule="auto"/>
              <w:ind w:right="288"/>
              <w:jc w:val="both"/>
              <w:rPr>
                <w:rFonts w:ascii="Arial Narrow" w:hAnsi="Arial Narrow" w:cs="Arial"/>
                <w:color w:val="262626" w:themeColor="text1" w:themeTint="D9"/>
                <w:sz w:val="24"/>
                <w:szCs w:val="24"/>
                <w:lang w:val="en-ZA"/>
              </w:rPr>
            </w:pPr>
          </w:p>
          <w:p w:rsidR="006143CB" w:rsidRDefault="006143CB" w:rsidP="006143CB">
            <w:pPr>
              <w:pStyle w:val="ListParagraph"/>
              <w:spacing w:line="360" w:lineRule="auto"/>
              <w:ind w:right="288"/>
              <w:jc w:val="both"/>
              <w:rPr>
                <w:rFonts w:ascii="Arial Narrow" w:hAnsi="Arial Narrow" w:cs="Arial"/>
                <w:color w:val="262626" w:themeColor="text1" w:themeTint="D9"/>
                <w:sz w:val="24"/>
                <w:szCs w:val="24"/>
                <w:lang w:val="en-ZA"/>
              </w:rPr>
            </w:pPr>
          </w:p>
          <w:p w:rsidR="00506101" w:rsidRPr="004B2401" w:rsidRDefault="00D53E7B" w:rsidP="006143CB">
            <w:pPr>
              <w:pStyle w:val="ListParagraph"/>
              <w:spacing w:line="360" w:lineRule="auto"/>
              <w:ind w:right="288"/>
              <w:jc w:val="both"/>
              <w:rPr>
                <w:rFonts w:ascii="Arial Narrow" w:hAnsi="Arial Narrow" w:cs="Arial"/>
                <w:color w:val="262626" w:themeColor="text1" w:themeTint="D9"/>
                <w:sz w:val="24"/>
                <w:szCs w:val="24"/>
                <w:lang w:val="en-ZA"/>
              </w:rPr>
            </w:pPr>
            <w:r w:rsidRPr="004B2401">
              <w:rPr>
                <w:rFonts w:ascii="Arial Narrow" w:hAnsi="Arial Narrow" w:cs="Arial"/>
                <w:color w:val="262626" w:themeColor="text1" w:themeTint="D9"/>
                <w:sz w:val="24"/>
                <w:szCs w:val="24"/>
                <w:lang w:val="en-ZA"/>
              </w:rPr>
              <w:t>In fact</w:t>
            </w:r>
            <w:r w:rsidR="00BA5582" w:rsidRPr="004B2401">
              <w:rPr>
                <w:rFonts w:ascii="Arial Narrow" w:hAnsi="Arial Narrow" w:cs="Arial"/>
                <w:color w:val="262626" w:themeColor="text1" w:themeTint="D9"/>
                <w:sz w:val="24"/>
                <w:szCs w:val="24"/>
                <w:lang w:val="en-ZA"/>
              </w:rPr>
              <w:t>,</w:t>
            </w:r>
            <w:r w:rsidRPr="004B2401">
              <w:rPr>
                <w:rFonts w:ascii="Arial Narrow" w:hAnsi="Arial Narrow" w:cs="Arial"/>
                <w:color w:val="262626" w:themeColor="text1" w:themeTint="D9"/>
                <w:sz w:val="24"/>
                <w:szCs w:val="24"/>
                <w:lang w:val="en-ZA"/>
              </w:rPr>
              <w:t xml:space="preserve"> the accused was pertinently</w:t>
            </w:r>
            <w:r w:rsidR="00BA5582" w:rsidRPr="004B2401">
              <w:rPr>
                <w:rFonts w:ascii="Arial Narrow" w:hAnsi="Arial Narrow" w:cs="Arial"/>
                <w:color w:val="262626" w:themeColor="text1" w:themeTint="D9"/>
                <w:sz w:val="24"/>
                <w:szCs w:val="24"/>
                <w:lang w:val="en-ZA"/>
              </w:rPr>
              <w:t xml:space="preserve"> asked and his answer unequivocally showed the opposite.</w:t>
            </w:r>
          </w:p>
          <w:p w:rsidR="006C182E" w:rsidRDefault="006C182E" w:rsidP="006143CB">
            <w:pPr>
              <w:pStyle w:val="ListParagraph"/>
              <w:spacing w:line="360" w:lineRule="auto"/>
              <w:ind w:right="288"/>
              <w:jc w:val="both"/>
              <w:rPr>
                <w:rFonts w:ascii="Arial Narrow" w:hAnsi="Arial Narrow" w:cs="Arial"/>
                <w:color w:val="262626" w:themeColor="text1" w:themeTint="D9"/>
                <w:sz w:val="24"/>
                <w:szCs w:val="24"/>
                <w:lang w:val="en-ZA"/>
              </w:rPr>
            </w:pPr>
          </w:p>
          <w:p w:rsidR="00D53E7B" w:rsidRPr="00BA5582" w:rsidRDefault="00D53E7B" w:rsidP="006143CB">
            <w:pPr>
              <w:pStyle w:val="ListParagraph"/>
              <w:spacing w:line="360" w:lineRule="auto"/>
              <w:ind w:right="288"/>
              <w:jc w:val="both"/>
              <w:rPr>
                <w:rFonts w:ascii="Arial Narrow" w:hAnsi="Arial Narrow" w:cs="Arial"/>
                <w:color w:val="262626" w:themeColor="text1" w:themeTint="D9"/>
                <w:lang w:val="en-ZA"/>
              </w:rPr>
            </w:pPr>
            <w:r w:rsidRPr="00BA5582">
              <w:rPr>
                <w:rFonts w:ascii="Arial Narrow" w:hAnsi="Arial Narrow" w:cs="Arial"/>
                <w:color w:val="262626" w:themeColor="text1" w:themeTint="D9"/>
                <w:lang w:val="en-ZA"/>
              </w:rPr>
              <w:t>‘ Q: Have you ever been refused entry into Namibia?</w:t>
            </w:r>
          </w:p>
          <w:p w:rsidR="00D53E7B" w:rsidRPr="00BA5582" w:rsidRDefault="00D53E7B" w:rsidP="006143CB">
            <w:pPr>
              <w:pStyle w:val="ListParagraph"/>
              <w:spacing w:line="360" w:lineRule="auto"/>
              <w:ind w:right="288"/>
              <w:jc w:val="both"/>
              <w:rPr>
                <w:rFonts w:ascii="Arial Narrow" w:hAnsi="Arial Narrow" w:cs="Arial"/>
                <w:color w:val="262626" w:themeColor="text1" w:themeTint="D9"/>
                <w:lang w:val="en-ZA"/>
              </w:rPr>
            </w:pPr>
            <w:r w:rsidRPr="00BA5582">
              <w:rPr>
                <w:rFonts w:ascii="Arial Narrow" w:hAnsi="Arial Narrow" w:cs="Arial"/>
                <w:color w:val="262626" w:themeColor="text1" w:themeTint="D9"/>
                <w:lang w:val="en-ZA"/>
              </w:rPr>
              <w:t xml:space="preserve">  A: No.’</w:t>
            </w:r>
          </w:p>
          <w:p w:rsidR="00D53E7B" w:rsidRDefault="00D53E7B" w:rsidP="006143CB">
            <w:pPr>
              <w:pStyle w:val="ListParagraph"/>
              <w:spacing w:line="360" w:lineRule="auto"/>
              <w:ind w:right="288"/>
              <w:jc w:val="both"/>
              <w:rPr>
                <w:rFonts w:ascii="Arial Narrow" w:hAnsi="Arial Narrow" w:cs="Arial"/>
                <w:color w:val="262626" w:themeColor="text1" w:themeTint="D9"/>
                <w:sz w:val="24"/>
                <w:szCs w:val="24"/>
                <w:lang w:val="en-ZA"/>
              </w:rPr>
            </w:pPr>
          </w:p>
          <w:p w:rsidR="00BE4A68" w:rsidRDefault="00D53E7B" w:rsidP="006143CB">
            <w:pPr>
              <w:pStyle w:val="ListParagraph"/>
              <w:numPr>
                <w:ilvl w:val="0"/>
                <w:numId w:val="3"/>
              </w:numPr>
              <w:spacing w:line="360" w:lineRule="auto"/>
              <w:ind w:right="288"/>
              <w:jc w:val="both"/>
              <w:rPr>
                <w:rFonts w:ascii="Arial Narrow" w:hAnsi="Arial Narrow" w:cs="Arial"/>
                <w:color w:val="262626" w:themeColor="text1" w:themeTint="D9"/>
                <w:sz w:val="24"/>
                <w:szCs w:val="24"/>
                <w:lang w:val="en-ZA"/>
              </w:rPr>
            </w:pPr>
            <w:r w:rsidRPr="00D53E7B">
              <w:rPr>
                <w:rFonts w:ascii="Arial Narrow" w:hAnsi="Arial Narrow" w:cs="Arial"/>
                <w:color w:val="262626" w:themeColor="text1" w:themeTint="D9"/>
                <w:sz w:val="24"/>
                <w:szCs w:val="24"/>
                <w:lang w:val="en-ZA"/>
              </w:rPr>
              <w:t xml:space="preserve">Moreover, the </w:t>
            </w:r>
            <w:r w:rsidR="006C182E">
              <w:rPr>
                <w:rFonts w:ascii="Arial Narrow" w:hAnsi="Arial Narrow" w:cs="Arial"/>
                <w:color w:val="262626" w:themeColor="text1" w:themeTint="D9"/>
                <w:sz w:val="24"/>
                <w:szCs w:val="24"/>
                <w:lang w:val="en-ZA"/>
              </w:rPr>
              <w:t>charge particulars were not</w:t>
            </w:r>
            <w:r w:rsidRPr="00D53E7B">
              <w:rPr>
                <w:rFonts w:ascii="Arial Narrow" w:hAnsi="Arial Narrow" w:cs="Arial"/>
                <w:color w:val="262626" w:themeColor="text1" w:themeTint="D9"/>
                <w:sz w:val="24"/>
                <w:szCs w:val="24"/>
                <w:lang w:val="en-ZA"/>
              </w:rPr>
              <w:t xml:space="preserve"> phrased along the lines as stipulated in s 10(3) of the Act. In view of the </w:t>
            </w:r>
            <w:r w:rsidR="00BE4A68" w:rsidRPr="00D53E7B">
              <w:rPr>
                <w:rFonts w:ascii="Arial Narrow" w:hAnsi="Arial Narrow" w:cs="Arial"/>
                <w:color w:val="262626" w:themeColor="text1" w:themeTint="D9"/>
                <w:sz w:val="24"/>
                <w:szCs w:val="24"/>
                <w:lang w:val="en-ZA"/>
              </w:rPr>
              <w:t xml:space="preserve">defective </w:t>
            </w:r>
            <w:r w:rsidR="00F90D6E" w:rsidRPr="00D53E7B">
              <w:rPr>
                <w:rFonts w:ascii="Arial Narrow" w:hAnsi="Arial Narrow" w:cs="Arial"/>
                <w:color w:val="262626" w:themeColor="text1" w:themeTint="D9"/>
                <w:sz w:val="24"/>
                <w:szCs w:val="24"/>
                <w:lang w:val="en-ZA"/>
              </w:rPr>
              <w:t xml:space="preserve">charge, the magistrate was led astray. </w:t>
            </w:r>
            <w:r>
              <w:rPr>
                <w:rFonts w:ascii="Arial Narrow" w:hAnsi="Arial Narrow" w:cs="Arial"/>
                <w:color w:val="262626" w:themeColor="text1" w:themeTint="D9"/>
                <w:sz w:val="24"/>
                <w:szCs w:val="24"/>
                <w:lang w:val="en-ZA"/>
              </w:rPr>
              <w:t>U</w:t>
            </w:r>
            <w:r w:rsidR="00FF65AC">
              <w:rPr>
                <w:rFonts w:ascii="Arial Narrow" w:hAnsi="Arial Narrow" w:cs="Arial"/>
                <w:color w:val="262626" w:themeColor="text1" w:themeTint="D9"/>
                <w:sz w:val="24"/>
                <w:szCs w:val="24"/>
                <w:lang w:val="en-ZA"/>
              </w:rPr>
              <w:t>ltimately, in the circumstances</w:t>
            </w:r>
            <w:r w:rsidR="00F90D6E" w:rsidRPr="00D53E7B">
              <w:rPr>
                <w:rFonts w:ascii="Arial Narrow" w:hAnsi="Arial Narrow" w:cs="Arial"/>
                <w:color w:val="262626" w:themeColor="text1" w:themeTint="D9"/>
                <w:sz w:val="24"/>
                <w:szCs w:val="24"/>
                <w:lang w:val="en-ZA"/>
              </w:rPr>
              <w:t xml:space="preserve"> </w:t>
            </w:r>
            <w:r>
              <w:rPr>
                <w:rFonts w:ascii="Arial Narrow" w:hAnsi="Arial Narrow" w:cs="Arial"/>
                <w:color w:val="262626" w:themeColor="text1" w:themeTint="D9"/>
                <w:sz w:val="24"/>
                <w:szCs w:val="24"/>
                <w:lang w:val="en-ZA"/>
              </w:rPr>
              <w:t xml:space="preserve">the </w:t>
            </w:r>
            <w:r w:rsidR="00F90D6E" w:rsidRPr="006C182E">
              <w:rPr>
                <w:rFonts w:ascii="Arial Narrow" w:hAnsi="Arial Narrow" w:cs="Arial"/>
                <w:i/>
                <w:color w:val="262626" w:themeColor="text1" w:themeTint="D9"/>
                <w:sz w:val="24"/>
                <w:szCs w:val="24"/>
                <w:lang w:val="en-ZA"/>
              </w:rPr>
              <w:t>court a quo</w:t>
            </w:r>
            <w:r w:rsidR="00F90D6E" w:rsidRPr="00D53E7B">
              <w:rPr>
                <w:rFonts w:ascii="Arial Narrow" w:hAnsi="Arial Narrow" w:cs="Arial"/>
                <w:color w:val="262626" w:themeColor="text1" w:themeTint="D9"/>
                <w:sz w:val="24"/>
                <w:szCs w:val="24"/>
                <w:lang w:val="en-ZA"/>
              </w:rPr>
              <w:t xml:space="preserve"> could not have been </w:t>
            </w:r>
            <w:r w:rsidR="00BE4A68" w:rsidRPr="00D53E7B">
              <w:rPr>
                <w:rFonts w:ascii="Arial Narrow" w:hAnsi="Arial Narrow" w:cs="Arial"/>
                <w:color w:val="262626" w:themeColor="text1" w:themeTint="D9"/>
                <w:sz w:val="24"/>
                <w:szCs w:val="24"/>
                <w:lang w:val="en-ZA"/>
              </w:rPr>
              <w:t>satisfied that the accused admitted all the elements of s 10(3) of the Act and should not have convicted the accused ‘as charged’</w:t>
            </w:r>
            <w:r w:rsidR="00F90D6E" w:rsidRPr="00D53E7B">
              <w:rPr>
                <w:rFonts w:ascii="Arial Narrow" w:hAnsi="Arial Narrow" w:cs="Arial"/>
                <w:color w:val="262626" w:themeColor="text1" w:themeTint="D9"/>
                <w:sz w:val="24"/>
                <w:szCs w:val="24"/>
                <w:lang w:val="en-ZA"/>
              </w:rPr>
              <w:t xml:space="preserve">. </w:t>
            </w:r>
            <w:r>
              <w:rPr>
                <w:rFonts w:ascii="Arial Narrow" w:hAnsi="Arial Narrow" w:cs="Arial"/>
                <w:color w:val="262626" w:themeColor="text1" w:themeTint="D9"/>
                <w:sz w:val="24"/>
                <w:szCs w:val="24"/>
                <w:lang w:val="en-ZA"/>
              </w:rPr>
              <w:t xml:space="preserve"> The court a quo conceded</w:t>
            </w:r>
            <w:r w:rsidR="00873F28">
              <w:rPr>
                <w:rFonts w:ascii="Arial Narrow" w:hAnsi="Arial Narrow" w:cs="Arial"/>
                <w:color w:val="262626" w:themeColor="text1" w:themeTint="D9"/>
                <w:sz w:val="24"/>
                <w:szCs w:val="24"/>
                <w:lang w:val="en-ZA"/>
              </w:rPr>
              <w:t xml:space="preserve"> to</w:t>
            </w:r>
            <w:r>
              <w:rPr>
                <w:rFonts w:ascii="Arial Narrow" w:hAnsi="Arial Narrow" w:cs="Arial"/>
                <w:color w:val="262626" w:themeColor="text1" w:themeTint="D9"/>
                <w:sz w:val="24"/>
                <w:szCs w:val="24"/>
                <w:lang w:val="en-ZA"/>
              </w:rPr>
              <w:t xml:space="preserve"> that and asked that the conviction and sentence </w:t>
            </w:r>
            <w:r w:rsidR="00873F28">
              <w:rPr>
                <w:rFonts w:ascii="Arial Narrow" w:hAnsi="Arial Narrow" w:cs="Arial"/>
                <w:color w:val="262626" w:themeColor="text1" w:themeTint="D9"/>
                <w:sz w:val="24"/>
                <w:szCs w:val="24"/>
                <w:lang w:val="en-ZA"/>
              </w:rPr>
              <w:t xml:space="preserve">to </w:t>
            </w:r>
            <w:r>
              <w:rPr>
                <w:rFonts w:ascii="Arial Narrow" w:hAnsi="Arial Narrow" w:cs="Arial"/>
                <w:color w:val="262626" w:themeColor="text1" w:themeTint="D9"/>
                <w:sz w:val="24"/>
                <w:szCs w:val="24"/>
                <w:lang w:val="en-ZA"/>
              </w:rPr>
              <w:t xml:space="preserve">be squashed. </w:t>
            </w:r>
            <w:r w:rsidR="00F90D6E" w:rsidRPr="00D53E7B">
              <w:rPr>
                <w:rFonts w:ascii="Arial Narrow" w:hAnsi="Arial Narrow" w:cs="Arial"/>
                <w:color w:val="262626" w:themeColor="text1" w:themeTint="D9"/>
                <w:sz w:val="24"/>
                <w:szCs w:val="24"/>
                <w:lang w:val="en-ZA"/>
              </w:rPr>
              <w:t xml:space="preserve">  </w:t>
            </w:r>
          </w:p>
          <w:p w:rsidR="006C182E" w:rsidRDefault="006C182E" w:rsidP="006143CB">
            <w:pPr>
              <w:pStyle w:val="ListParagraph"/>
              <w:spacing w:line="360" w:lineRule="auto"/>
              <w:ind w:right="288"/>
              <w:jc w:val="both"/>
              <w:rPr>
                <w:rFonts w:ascii="Arial Narrow" w:hAnsi="Arial Narrow" w:cs="Arial"/>
                <w:color w:val="262626" w:themeColor="text1" w:themeTint="D9"/>
                <w:sz w:val="24"/>
                <w:szCs w:val="24"/>
                <w:lang w:val="en-ZA"/>
              </w:rPr>
            </w:pPr>
          </w:p>
          <w:p w:rsidR="006C182E" w:rsidRDefault="00D53E7B" w:rsidP="006143CB">
            <w:pPr>
              <w:pStyle w:val="ListParagraph"/>
              <w:numPr>
                <w:ilvl w:val="0"/>
                <w:numId w:val="3"/>
              </w:numPr>
              <w:spacing w:line="360" w:lineRule="auto"/>
              <w:ind w:right="288"/>
              <w:contextualSpacing w:val="0"/>
              <w:jc w:val="both"/>
              <w:rPr>
                <w:rFonts w:ascii="Arial Narrow" w:hAnsi="Arial Narrow" w:cs="Arial"/>
                <w:color w:val="262626" w:themeColor="text1" w:themeTint="D9"/>
                <w:sz w:val="24"/>
                <w:szCs w:val="24"/>
                <w:lang w:val="en-ZA"/>
              </w:rPr>
            </w:pPr>
            <w:r>
              <w:rPr>
                <w:rFonts w:ascii="Arial Narrow" w:hAnsi="Arial Narrow" w:cs="Arial"/>
                <w:color w:val="262626" w:themeColor="text1" w:themeTint="D9"/>
                <w:sz w:val="24"/>
                <w:szCs w:val="24"/>
                <w:lang w:val="en-ZA"/>
              </w:rPr>
              <w:t xml:space="preserve">In respect of the leading </w:t>
            </w:r>
            <w:r w:rsidR="00664B1F">
              <w:rPr>
                <w:rFonts w:ascii="Arial Narrow" w:hAnsi="Arial Narrow" w:cs="Arial"/>
                <w:color w:val="262626" w:themeColor="text1" w:themeTint="D9"/>
                <w:sz w:val="24"/>
                <w:szCs w:val="24"/>
                <w:lang w:val="en-ZA"/>
              </w:rPr>
              <w:t xml:space="preserve">questions, the court </w:t>
            </w:r>
            <w:r w:rsidR="00BA5582">
              <w:rPr>
                <w:rFonts w:ascii="Arial Narrow" w:hAnsi="Arial Narrow" w:cs="Arial"/>
                <w:color w:val="262626" w:themeColor="text1" w:themeTint="D9"/>
                <w:sz w:val="24"/>
                <w:szCs w:val="24"/>
                <w:lang w:val="en-ZA"/>
              </w:rPr>
              <w:t xml:space="preserve">in her reply alluded that </w:t>
            </w:r>
            <w:r w:rsidR="007C4DBE">
              <w:rPr>
                <w:rFonts w:ascii="Arial Narrow" w:hAnsi="Arial Narrow" w:cs="Arial"/>
                <w:color w:val="262626" w:themeColor="text1" w:themeTint="D9"/>
                <w:sz w:val="24"/>
                <w:szCs w:val="24"/>
                <w:lang w:val="en-ZA"/>
              </w:rPr>
              <w:t>it</w:t>
            </w:r>
            <w:r w:rsidR="00BA5582">
              <w:rPr>
                <w:rFonts w:ascii="Arial Narrow" w:hAnsi="Arial Narrow" w:cs="Arial"/>
                <w:color w:val="262626" w:themeColor="text1" w:themeTint="D9"/>
                <w:sz w:val="24"/>
                <w:szCs w:val="24"/>
                <w:lang w:val="en-ZA"/>
              </w:rPr>
              <w:t xml:space="preserve"> i</w:t>
            </w:r>
            <w:r w:rsidR="007C4DBE">
              <w:rPr>
                <w:rFonts w:ascii="Arial Narrow" w:hAnsi="Arial Narrow" w:cs="Arial"/>
                <w:color w:val="262626" w:themeColor="text1" w:themeTint="D9"/>
                <w:sz w:val="24"/>
                <w:szCs w:val="24"/>
                <w:lang w:val="en-ZA"/>
              </w:rPr>
              <w:t xml:space="preserve">s appropriate in order to introduce the accused to the charge at hand. However, this is not what transpired in the case at hand. At the outset </w:t>
            </w:r>
            <w:r w:rsidR="00BA5582">
              <w:rPr>
                <w:rFonts w:ascii="Arial Narrow" w:hAnsi="Arial Narrow" w:cs="Arial"/>
                <w:color w:val="262626" w:themeColor="text1" w:themeTint="D9"/>
                <w:sz w:val="24"/>
                <w:szCs w:val="24"/>
                <w:lang w:val="en-ZA"/>
              </w:rPr>
              <w:t xml:space="preserve">a general question was </w:t>
            </w:r>
            <w:r w:rsidR="006C182E">
              <w:rPr>
                <w:rFonts w:ascii="Arial Narrow" w:hAnsi="Arial Narrow" w:cs="Arial"/>
                <w:color w:val="262626" w:themeColor="text1" w:themeTint="D9"/>
                <w:sz w:val="24"/>
                <w:szCs w:val="24"/>
                <w:lang w:val="en-ZA"/>
              </w:rPr>
              <w:t>p</w:t>
            </w:r>
            <w:r w:rsidR="00BA5582">
              <w:rPr>
                <w:rFonts w:ascii="Arial Narrow" w:hAnsi="Arial Narrow" w:cs="Arial"/>
                <w:color w:val="262626" w:themeColor="text1" w:themeTint="D9"/>
                <w:sz w:val="24"/>
                <w:szCs w:val="24"/>
                <w:lang w:val="en-ZA"/>
              </w:rPr>
              <w:t xml:space="preserve">ut to the accused as to </w:t>
            </w:r>
            <w:r w:rsidR="00DA0BE2">
              <w:rPr>
                <w:rFonts w:ascii="Arial Narrow" w:hAnsi="Arial Narrow" w:cs="Arial"/>
                <w:color w:val="262626" w:themeColor="text1" w:themeTint="D9"/>
                <w:sz w:val="24"/>
                <w:szCs w:val="24"/>
                <w:lang w:val="en-ZA"/>
              </w:rPr>
              <w:t xml:space="preserve">what led to his arrest. </w:t>
            </w:r>
            <w:r w:rsidR="007C4DBE">
              <w:rPr>
                <w:rFonts w:ascii="Arial Narrow" w:hAnsi="Arial Narrow" w:cs="Arial"/>
                <w:color w:val="262626" w:themeColor="text1" w:themeTint="D9"/>
                <w:sz w:val="24"/>
                <w:szCs w:val="24"/>
                <w:lang w:val="en-ZA"/>
              </w:rPr>
              <w:t xml:space="preserve"> He answered</w:t>
            </w:r>
            <w:r w:rsidR="00DA0BE2">
              <w:rPr>
                <w:rFonts w:ascii="Arial Narrow" w:hAnsi="Arial Narrow" w:cs="Arial"/>
                <w:color w:val="262626" w:themeColor="text1" w:themeTint="D9"/>
                <w:sz w:val="24"/>
                <w:szCs w:val="24"/>
                <w:lang w:val="en-ZA"/>
              </w:rPr>
              <w:t xml:space="preserve"> that it was because he </w:t>
            </w:r>
            <w:r w:rsidR="007C4DBE">
              <w:rPr>
                <w:rFonts w:ascii="Arial Narrow" w:hAnsi="Arial Narrow" w:cs="Arial"/>
                <w:color w:val="262626" w:themeColor="text1" w:themeTint="D9"/>
                <w:sz w:val="24"/>
                <w:szCs w:val="24"/>
                <w:lang w:val="en-ZA"/>
              </w:rPr>
              <w:t>was found at Kaisosi with a bag of vegetables. Thus</w:t>
            </w:r>
            <w:r w:rsidR="00DA0BE2">
              <w:rPr>
                <w:rFonts w:ascii="Arial Narrow" w:hAnsi="Arial Narrow" w:cs="Arial"/>
                <w:color w:val="262626" w:themeColor="text1" w:themeTint="D9"/>
                <w:sz w:val="24"/>
                <w:szCs w:val="24"/>
                <w:lang w:val="en-ZA"/>
              </w:rPr>
              <w:t>,</w:t>
            </w:r>
            <w:r w:rsidR="007C4DBE">
              <w:rPr>
                <w:rFonts w:ascii="Arial Narrow" w:hAnsi="Arial Narrow" w:cs="Arial"/>
                <w:color w:val="262626" w:themeColor="text1" w:themeTint="D9"/>
                <w:sz w:val="24"/>
                <w:szCs w:val="24"/>
                <w:lang w:val="en-ZA"/>
              </w:rPr>
              <w:t xml:space="preserve"> the introduction was done and his answer show</w:t>
            </w:r>
            <w:r w:rsidR="00BA5582">
              <w:rPr>
                <w:rFonts w:ascii="Arial Narrow" w:hAnsi="Arial Narrow" w:cs="Arial"/>
                <w:color w:val="262626" w:themeColor="text1" w:themeTint="D9"/>
                <w:sz w:val="24"/>
                <w:szCs w:val="24"/>
                <w:lang w:val="en-ZA"/>
              </w:rPr>
              <w:t>s</w:t>
            </w:r>
            <w:r w:rsidR="007C4DBE">
              <w:rPr>
                <w:rFonts w:ascii="Arial Narrow" w:hAnsi="Arial Narrow" w:cs="Arial"/>
                <w:color w:val="262626" w:themeColor="text1" w:themeTint="D9"/>
                <w:sz w:val="24"/>
                <w:szCs w:val="24"/>
                <w:lang w:val="en-ZA"/>
              </w:rPr>
              <w:t xml:space="preserve"> his understanding of the reason for his arrest. </w:t>
            </w:r>
          </w:p>
          <w:p w:rsidR="006C182E" w:rsidRPr="006C182E" w:rsidRDefault="006C182E" w:rsidP="006143CB">
            <w:pPr>
              <w:pStyle w:val="ListParagraph"/>
              <w:spacing w:line="360" w:lineRule="auto"/>
              <w:ind w:right="288"/>
              <w:rPr>
                <w:rFonts w:ascii="Arial Narrow" w:hAnsi="Arial Narrow" w:cs="Arial"/>
                <w:color w:val="262626" w:themeColor="text1" w:themeTint="D9"/>
                <w:sz w:val="24"/>
                <w:szCs w:val="24"/>
                <w:lang w:val="en-ZA"/>
              </w:rPr>
            </w:pPr>
          </w:p>
          <w:p w:rsidR="0022142F" w:rsidRDefault="00DA0BE2" w:rsidP="006143CB">
            <w:pPr>
              <w:pStyle w:val="ListParagraph"/>
              <w:numPr>
                <w:ilvl w:val="0"/>
                <w:numId w:val="3"/>
              </w:numPr>
              <w:spacing w:line="360" w:lineRule="auto"/>
              <w:ind w:right="288"/>
              <w:contextualSpacing w:val="0"/>
              <w:jc w:val="both"/>
              <w:rPr>
                <w:rFonts w:ascii="Arial Narrow" w:hAnsi="Arial Narrow" w:cs="Arial"/>
                <w:color w:val="262626" w:themeColor="text1" w:themeTint="D9"/>
                <w:sz w:val="24"/>
                <w:szCs w:val="24"/>
                <w:lang w:val="en-ZA"/>
              </w:rPr>
            </w:pPr>
            <w:r>
              <w:rPr>
                <w:rFonts w:ascii="Arial Narrow" w:hAnsi="Arial Narrow" w:cs="Arial"/>
                <w:color w:val="262626" w:themeColor="text1" w:themeTint="D9"/>
                <w:sz w:val="24"/>
                <w:szCs w:val="24"/>
                <w:lang w:val="en-ZA"/>
              </w:rPr>
              <w:t>Further down the line, the court informed him that the Stat</w:t>
            </w:r>
            <w:r w:rsidR="00FF65AC">
              <w:rPr>
                <w:rFonts w:ascii="Arial Narrow" w:hAnsi="Arial Narrow" w:cs="Arial"/>
                <w:color w:val="262626" w:themeColor="text1" w:themeTint="D9"/>
                <w:sz w:val="24"/>
                <w:szCs w:val="24"/>
                <w:lang w:val="en-ZA"/>
              </w:rPr>
              <w:t>e is alleging that he was found</w:t>
            </w:r>
            <w:r>
              <w:rPr>
                <w:rFonts w:ascii="Arial Narrow" w:hAnsi="Arial Narrow" w:cs="Arial"/>
                <w:color w:val="262626" w:themeColor="text1" w:themeTint="D9"/>
                <w:sz w:val="24"/>
                <w:szCs w:val="24"/>
                <w:lang w:val="en-ZA"/>
              </w:rPr>
              <w:t xml:space="preserve"> in Namibia particularly Kaisosi</w:t>
            </w:r>
            <w:r w:rsidR="00BA5582">
              <w:rPr>
                <w:rFonts w:ascii="Arial Narrow" w:hAnsi="Arial Narrow" w:cs="Arial"/>
                <w:color w:val="262626" w:themeColor="text1" w:themeTint="D9"/>
                <w:sz w:val="24"/>
                <w:szCs w:val="24"/>
                <w:lang w:val="en-ZA"/>
              </w:rPr>
              <w:t xml:space="preserve"> here in Rundu in the district o</w:t>
            </w:r>
            <w:r>
              <w:rPr>
                <w:rFonts w:ascii="Arial Narrow" w:hAnsi="Arial Narrow" w:cs="Arial"/>
                <w:color w:val="262626" w:themeColor="text1" w:themeTint="D9"/>
                <w:sz w:val="24"/>
                <w:szCs w:val="24"/>
                <w:lang w:val="en-ZA"/>
              </w:rPr>
              <w:t xml:space="preserve">f Rundu on the 12/4/2020 without any valid document which permit </w:t>
            </w:r>
            <w:r w:rsidR="004A0EDE">
              <w:rPr>
                <w:rFonts w:ascii="Arial Narrow" w:hAnsi="Arial Narrow" w:cs="Arial"/>
                <w:color w:val="262626" w:themeColor="text1" w:themeTint="D9"/>
                <w:sz w:val="24"/>
                <w:szCs w:val="24"/>
                <w:lang w:val="en-ZA"/>
              </w:rPr>
              <w:t>him</w:t>
            </w:r>
            <w:r>
              <w:rPr>
                <w:rFonts w:ascii="Arial Narrow" w:hAnsi="Arial Narrow" w:cs="Arial"/>
                <w:color w:val="262626" w:themeColor="text1" w:themeTint="D9"/>
                <w:sz w:val="24"/>
                <w:szCs w:val="24"/>
                <w:lang w:val="en-ZA"/>
              </w:rPr>
              <w:t xml:space="preserve"> to</w:t>
            </w:r>
            <w:r w:rsidR="004A0EDE">
              <w:rPr>
                <w:rFonts w:ascii="Arial Narrow" w:hAnsi="Arial Narrow" w:cs="Arial"/>
                <w:color w:val="262626" w:themeColor="text1" w:themeTint="D9"/>
                <w:sz w:val="24"/>
                <w:szCs w:val="24"/>
                <w:lang w:val="en-ZA"/>
              </w:rPr>
              <w:t xml:space="preserve"> be in Namibia. </w:t>
            </w:r>
            <w:r>
              <w:rPr>
                <w:rFonts w:ascii="Arial Narrow" w:hAnsi="Arial Narrow" w:cs="Arial"/>
                <w:color w:val="262626" w:themeColor="text1" w:themeTint="D9"/>
                <w:sz w:val="24"/>
                <w:szCs w:val="24"/>
                <w:lang w:val="en-ZA"/>
              </w:rPr>
              <w:t xml:space="preserve"> </w:t>
            </w:r>
            <w:r w:rsidR="004A0EDE">
              <w:rPr>
                <w:rFonts w:ascii="Arial Narrow" w:hAnsi="Arial Narrow" w:cs="Arial"/>
                <w:color w:val="262626" w:themeColor="text1" w:themeTint="D9"/>
                <w:sz w:val="24"/>
                <w:szCs w:val="24"/>
                <w:lang w:val="en-ZA"/>
              </w:rPr>
              <w:t xml:space="preserve">It brought to </w:t>
            </w:r>
            <w:r w:rsidR="00BA5582">
              <w:rPr>
                <w:rFonts w:ascii="Arial Narrow" w:hAnsi="Arial Narrow" w:cs="Arial"/>
                <w:color w:val="262626" w:themeColor="text1" w:themeTint="D9"/>
                <w:sz w:val="24"/>
                <w:szCs w:val="24"/>
                <w:lang w:val="en-ZA"/>
              </w:rPr>
              <w:t xml:space="preserve">the mind of </w:t>
            </w:r>
            <w:r w:rsidR="004A0EDE">
              <w:rPr>
                <w:rFonts w:ascii="Arial Narrow" w:hAnsi="Arial Narrow" w:cs="Arial"/>
                <w:color w:val="262626" w:themeColor="text1" w:themeTint="D9"/>
                <w:sz w:val="24"/>
                <w:szCs w:val="24"/>
                <w:lang w:val="en-ZA"/>
              </w:rPr>
              <w:t>the accused the crux of the charge</w:t>
            </w:r>
            <w:r w:rsidR="009872D4">
              <w:rPr>
                <w:rFonts w:ascii="Arial Narrow" w:hAnsi="Arial Narrow" w:cs="Arial"/>
                <w:color w:val="262626" w:themeColor="text1" w:themeTint="D9"/>
                <w:sz w:val="24"/>
                <w:szCs w:val="24"/>
                <w:lang w:val="en-ZA"/>
              </w:rPr>
              <w:t xml:space="preserve"> as formulated by the prosecutor</w:t>
            </w:r>
            <w:r w:rsidR="004A0EDE">
              <w:rPr>
                <w:rFonts w:ascii="Arial Narrow" w:hAnsi="Arial Narrow" w:cs="Arial"/>
                <w:color w:val="262626" w:themeColor="text1" w:themeTint="D9"/>
                <w:sz w:val="24"/>
                <w:szCs w:val="24"/>
                <w:lang w:val="en-ZA"/>
              </w:rPr>
              <w:t xml:space="preserve">, namely that he was in Namibia without being in possession of a valid document. </w:t>
            </w:r>
            <w:r w:rsidR="00BA5582">
              <w:rPr>
                <w:rFonts w:ascii="Arial Narrow" w:hAnsi="Arial Narrow" w:cs="Arial"/>
                <w:color w:val="262626" w:themeColor="text1" w:themeTint="D9"/>
                <w:sz w:val="24"/>
                <w:szCs w:val="24"/>
                <w:lang w:val="en-ZA"/>
              </w:rPr>
              <w:t>In looking at the charge sheet, this question irrevocably constitutes a restatement of the material averments of the charge particulars, which is not appropriate.</w:t>
            </w:r>
            <w:r w:rsidR="00BA5582">
              <w:rPr>
                <w:rStyle w:val="FootnoteReference"/>
                <w:rFonts w:ascii="Arial Narrow" w:hAnsi="Arial Narrow" w:cs="Arial"/>
                <w:color w:val="262626" w:themeColor="text1" w:themeTint="D9"/>
                <w:lang w:val="en-ZA"/>
              </w:rPr>
              <w:footnoteReference w:id="2"/>
            </w:r>
            <w:r w:rsidR="00BA5582">
              <w:rPr>
                <w:rFonts w:ascii="Arial Narrow" w:hAnsi="Arial Narrow" w:cs="Arial"/>
                <w:color w:val="262626" w:themeColor="text1" w:themeTint="D9"/>
                <w:sz w:val="24"/>
                <w:szCs w:val="24"/>
                <w:lang w:val="en-ZA"/>
              </w:rPr>
              <w:t xml:space="preserve">  </w:t>
            </w:r>
          </w:p>
          <w:p w:rsidR="006143CB" w:rsidRPr="006143CB" w:rsidRDefault="006143CB" w:rsidP="006143CB">
            <w:pPr>
              <w:spacing w:line="360" w:lineRule="auto"/>
              <w:ind w:right="288"/>
              <w:jc w:val="both"/>
              <w:rPr>
                <w:rFonts w:ascii="Arial Narrow" w:hAnsi="Arial Narrow" w:cs="Arial"/>
                <w:color w:val="262626" w:themeColor="text1" w:themeTint="D9"/>
                <w:sz w:val="24"/>
                <w:szCs w:val="24"/>
                <w:lang w:val="en-ZA"/>
              </w:rPr>
            </w:pPr>
          </w:p>
          <w:p w:rsidR="00103A7B" w:rsidRPr="0022142F" w:rsidRDefault="004A0EDE" w:rsidP="006143CB">
            <w:pPr>
              <w:pStyle w:val="ListParagraph"/>
              <w:numPr>
                <w:ilvl w:val="0"/>
                <w:numId w:val="3"/>
              </w:numPr>
              <w:spacing w:line="360" w:lineRule="auto"/>
              <w:ind w:right="288"/>
              <w:contextualSpacing w:val="0"/>
              <w:jc w:val="both"/>
              <w:rPr>
                <w:rFonts w:ascii="Arial Narrow" w:hAnsi="Arial Narrow" w:cs="Arial"/>
                <w:color w:val="262626" w:themeColor="text1" w:themeTint="D9"/>
                <w:sz w:val="24"/>
                <w:szCs w:val="24"/>
                <w:lang w:val="en-GB"/>
              </w:rPr>
            </w:pPr>
            <w:r>
              <w:rPr>
                <w:rFonts w:ascii="Arial Narrow" w:hAnsi="Arial Narrow" w:cs="Arial"/>
                <w:color w:val="262626" w:themeColor="text1" w:themeTint="D9"/>
                <w:sz w:val="24"/>
                <w:szCs w:val="24"/>
                <w:lang w:val="en-ZA"/>
              </w:rPr>
              <w:t>For these reasons, the following order is made:</w:t>
            </w:r>
          </w:p>
          <w:p w:rsidR="0013724C" w:rsidRPr="0013724C" w:rsidRDefault="0013724C" w:rsidP="006143CB">
            <w:pPr>
              <w:pStyle w:val="ListParagraph"/>
              <w:spacing w:line="360" w:lineRule="auto"/>
              <w:ind w:right="288"/>
              <w:rPr>
                <w:rFonts w:ascii="Arial Narrow" w:hAnsi="Arial Narrow" w:cs="Arial"/>
                <w:color w:val="262626" w:themeColor="text1" w:themeTint="D9"/>
                <w:sz w:val="24"/>
                <w:szCs w:val="24"/>
                <w:lang w:val="en-GB"/>
              </w:rPr>
            </w:pPr>
          </w:p>
          <w:p w:rsidR="00103A7B" w:rsidRPr="00E14DC4" w:rsidRDefault="0013724C" w:rsidP="006143CB">
            <w:pPr>
              <w:spacing w:line="360" w:lineRule="auto"/>
              <w:ind w:right="288"/>
              <w:jc w:val="both"/>
              <w:rPr>
                <w:rFonts w:ascii="Arial Narrow" w:hAnsi="Arial Narrow" w:cs="Arial"/>
                <w:color w:val="262626" w:themeColor="text1" w:themeTint="D9"/>
                <w:sz w:val="24"/>
                <w:szCs w:val="24"/>
                <w:lang w:val="en-GB"/>
              </w:rPr>
            </w:pPr>
            <w:r>
              <w:rPr>
                <w:rFonts w:ascii="Arial Narrow" w:hAnsi="Arial Narrow" w:cs="Arial"/>
                <w:color w:val="262626" w:themeColor="text1" w:themeTint="D9"/>
                <w:sz w:val="24"/>
                <w:szCs w:val="24"/>
                <w:lang w:val="en-GB"/>
              </w:rPr>
              <w:t xml:space="preserve">             </w:t>
            </w:r>
            <w:r w:rsidR="00103A7B" w:rsidRPr="00E14DC4">
              <w:rPr>
                <w:rFonts w:ascii="Arial Narrow" w:hAnsi="Arial Narrow" w:cs="Arial"/>
                <w:color w:val="262626" w:themeColor="text1" w:themeTint="D9"/>
                <w:sz w:val="24"/>
                <w:szCs w:val="24"/>
                <w:lang w:val="en-GB"/>
              </w:rPr>
              <w:t>The conviction and sentence are set aside.</w:t>
            </w:r>
          </w:p>
          <w:p w:rsidR="00103A7B" w:rsidRPr="006F752F" w:rsidRDefault="00103A7B" w:rsidP="006143CB">
            <w:pPr>
              <w:spacing w:line="360" w:lineRule="auto"/>
              <w:ind w:left="720" w:right="288"/>
              <w:jc w:val="both"/>
              <w:rPr>
                <w:rFonts w:ascii="Arial Narrow" w:hAnsi="Arial Narrow" w:cs="Arial"/>
                <w:color w:val="262626" w:themeColor="text1" w:themeTint="D9"/>
                <w:sz w:val="24"/>
                <w:szCs w:val="24"/>
              </w:rPr>
            </w:pPr>
          </w:p>
        </w:tc>
      </w:tr>
      <w:tr w:rsidR="00103A7B" w:rsidRPr="00545B44" w:rsidTr="006143CB">
        <w:tc>
          <w:tcPr>
            <w:tcW w:w="4770" w:type="dxa"/>
          </w:tcPr>
          <w:p w:rsidR="0009136A" w:rsidRPr="00545B44" w:rsidRDefault="0009136A" w:rsidP="006143CB">
            <w:pPr>
              <w:tabs>
                <w:tab w:val="left" w:pos="552"/>
              </w:tabs>
              <w:spacing w:line="360" w:lineRule="auto"/>
              <w:ind w:right="288" w:firstLine="882"/>
              <w:jc w:val="both"/>
              <w:rPr>
                <w:rFonts w:ascii="Arial Narrow" w:hAnsi="Arial Narrow" w:cs="Arial"/>
                <w:color w:val="262626" w:themeColor="text1" w:themeTint="D9"/>
                <w:sz w:val="24"/>
                <w:szCs w:val="24"/>
              </w:rPr>
            </w:pPr>
          </w:p>
        </w:tc>
        <w:tc>
          <w:tcPr>
            <w:tcW w:w="5565" w:type="dxa"/>
          </w:tcPr>
          <w:p w:rsidR="00103A7B" w:rsidRPr="00545B44" w:rsidRDefault="00103A7B" w:rsidP="006143CB">
            <w:pPr>
              <w:spacing w:line="360" w:lineRule="auto"/>
              <w:ind w:right="288"/>
              <w:jc w:val="both"/>
              <w:rPr>
                <w:rFonts w:ascii="Arial Narrow" w:hAnsi="Arial Narrow" w:cs="Arial"/>
                <w:color w:val="262626" w:themeColor="text1" w:themeTint="D9"/>
                <w:sz w:val="24"/>
                <w:szCs w:val="24"/>
              </w:rPr>
            </w:pPr>
          </w:p>
          <w:p w:rsidR="00103A7B" w:rsidRPr="00545B44" w:rsidRDefault="00103A7B" w:rsidP="006143CB">
            <w:pPr>
              <w:spacing w:line="360" w:lineRule="auto"/>
              <w:ind w:right="288"/>
              <w:jc w:val="both"/>
              <w:rPr>
                <w:rFonts w:ascii="Arial Narrow" w:hAnsi="Arial Narrow" w:cs="Arial"/>
                <w:color w:val="262626" w:themeColor="text1" w:themeTint="D9"/>
                <w:sz w:val="24"/>
                <w:szCs w:val="24"/>
              </w:rPr>
            </w:pPr>
          </w:p>
        </w:tc>
      </w:tr>
      <w:tr w:rsidR="00103A7B" w:rsidRPr="00545B44" w:rsidTr="006143CB">
        <w:trPr>
          <w:trHeight w:val="827"/>
        </w:trPr>
        <w:tc>
          <w:tcPr>
            <w:tcW w:w="4770" w:type="dxa"/>
          </w:tcPr>
          <w:p w:rsidR="00103A7B" w:rsidRPr="00545B44" w:rsidRDefault="00103A7B" w:rsidP="006143CB">
            <w:pPr>
              <w:spacing w:line="360" w:lineRule="auto"/>
              <w:ind w:right="288"/>
              <w:jc w:val="center"/>
              <w:rPr>
                <w:rFonts w:ascii="Arial Narrow" w:hAnsi="Arial Narrow" w:cs="Arial"/>
                <w:b/>
                <w:color w:val="262626" w:themeColor="text1" w:themeTint="D9"/>
                <w:sz w:val="24"/>
                <w:szCs w:val="24"/>
              </w:rPr>
            </w:pPr>
            <w:r w:rsidRPr="00545B44">
              <w:rPr>
                <w:rFonts w:ascii="Arial Narrow" w:hAnsi="Arial Narrow" w:cs="Arial"/>
                <w:b/>
                <w:color w:val="262626" w:themeColor="text1" w:themeTint="D9"/>
                <w:sz w:val="24"/>
                <w:szCs w:val="24"/>
              </w:rPr>
              <w:t>C M CLAASEN</w:t>
            </w:r>
          </w:p>
          <w:p w:rsidR="00103A7B" w:rsidRPr="00545B44" w:rsidRDefault="00103A7B" w:rsidP="006143CB">
            <w:pPr>
              <w:spacing w:line="360" w:lineRule="auto"/>
              <w:ind w:right="288"/>
              <w:jc w:val="center"/>
              <w:rPr>
                <w:rFonts w:ascii="Arial Narrow" w:hAnsi="Arial Narrow" w:cs="Arial"/>
                <w:b/>
                <w:color w:val="262626" w:themeColor="text1" w:themeTint="D9"/>
                <w:sz w:val="24"/>
                <w:szCs w:val="24"/>
              </w:rPr>
            </w:pPr>
            <w:r w:rsidRPr="00545B44">
              <w:rPr>
                <w:rFonts w:ascii="Arial Narrow" w:hAnsi="Arial Narrow" w:cs="Arial"/>
                <w:b/>
                <w:color w:val="262626" w:themeColor="text1" w:themeTint="D9"/>
                <w:sz w:val="24"/>
                <w:szCs w:val="24"/>
              </w:rPr>
              <w:t>JUDGE</w:t>
            </w:r>
          </w:p>
        </w:tc>
        <w:tc>
          <w:tcPr>
            <w:tcW w:w="5565" w:type="dxa"/>
          </w:tcPr>
          <w:p w:rsidR="00103A7B" w:rsidRPr="00545B44" w:rsidRDefault="00E14DC4" w:rsidP="006143CB">
            <w:pPr>
              <w:spacing w:line="360" w:lineRule="auto"/>
              <w:ind w:right="288"/>
              <w:rPr>
                <w:rFonts w:ascii="Arial Narrow" w:hAnsi="Arial Narrow" w:cs="Arial"/>
                <w:b/>
                <w:color w:val="262626" w:themeColor="text1" w:themeTint="D9"/>
                <w:sz w:val="24"/>
                <w:szCs w:val="24"/>
              </w:rPr>
            </w:pPr>
            <w:r>
              <w:rPr>
                <w:rFonts w:ascii="Arial Narrow" w:hAnsi="Arial Narrow" w:cs="Arial"/>
                <w:b/>
                <w:color w:val="262626" w:themeColor="text1" w:themeTint="D9"/>
                <w:sz w:val="24"/>
                <w:szCs w:val="24"/>
              </w:rPr>
              <w:t xml:space="preserve">                                      D N USIKU </w:t>
            </w:r>
          </w:p>
          <w:p w:rsidR="00103A7B" w:rsidRPr="00545B44" w:rsidRDefault="00103A7B" w:rsidP="006143CB">
            <w:pPr>
              <w:spacing w:line="360" w:lineRule="auto"/>
              <w:ind w:right="288"/>
              <w:jc w:val="center"/>
              <w:rPr>
                <w:rFonts w:ascii="Arial Narrow" w:hAnsi="Arial Narrow" w:cs="Arial"/>
                <w:b/>
                <w:color w:val="262626" w:themeColor="text1" w:themeTint="D9"/>
                <w:sz w:val="24"/>
                <w:szCs w:val="24"/>
              </w:rPr>
            </w:pPr>
            <w:r w:rsidRPr="00545B44">
              <w:rPr>
                <w:rFonts w:ascii="Arial Narrow" w:hAnsi="Arial Narrow" w:cs="Arial"/>
                <w:b/>
                <w:color w:val="262626" w:themeColor="text1" w:themeTint="D9"/>
                <w:sz w:val="24"/>
                <w:szCs w:val="24"/>
              </w:rPr>
              <w:t>JUDGE</w:t>
            </w:r>
          </w:p>
        </w:tc>
      </w:tr>
    </w:tbl>
    <w:p w:rsidR="00103A7B" w:rsidRPr="00545B44" w:rsidRDefault="00103A7B" w:rsidP="006143CB">
      <w:pPr>
        <w:spacing w:after="0" w:line="360" w:lineRule="auto"/>
        <w:ind w:right="288"/>
        <w:jc w:val="both"/>
        <w:rPr>
          <w:rFonts w:ascii="Arial Narrow" w:hAnsi="Arial Narrow" w:cs="Arial"/>
          <w:color w:val="262626" w:themeColor="text1" w:themeTint="D9"/>
          <w:sz w:val="24"/>
          <w:szCs w:val="24"/>
        </w:rPr>
      </w:pPr>
    </w:p>
    <w:p w:rsidR="000F73A6" w:rsidRDefault="000F73A6" w:rsidP="006143CB">
      <w:pPr>
        <w:spacing w:after="0" w:line="360" w:lineRule="auto"/>
        <w:ind w:right="288"/>
      </w:pPr>
    </w:p>
    <w:sectPr w:rsidR="000F73A6" w:rsidSect="00AF326E">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43A" w:rsidRDefault="00B9443A" w:rsidP="00103A7B">
      <w:pPr>
        <w:spacing w:after="0" w:line="240" w:lineRule="auto"/>
      </w:pPr>
      <w:r>
        <w:separator/>
      </w:r>
    </w:p>
  </w:endnote>
  <w:endnote w:type="continuationSeparator" w:id="0">
    <w:p w:rsidR="00B9443A" w:rsidRDefault="00B9443A" w:rsidP="0010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43A" w:rsidRDefault="00B9443A" w:rsidP="00103A7B">
      <w:pPr>
        <w:spacing w:after="0" w:line="240" w:lineRule="auto"/>
      </w:pPr>
      <w:r>
        <w:separator/>
      </w:r>
    </w:p>
  </w:footnote>
  <w:footnote w:type="continuationSeparator" w:id="0">
    <w:p w:rsidR="00B9443A" w:rsidRDefault="00B9443A" w:rsidP="00103A7B">
      <w:pPr>
        <w:spacing w:after="0" w:line="240" w:lineRule="auto"/>
      </w:pPr>
      <w:r>
        <w:continuationSeparator/>
      </w:r>
    </w:p>
  </w:footnote>
  <w:footnote w:id="1">
    <w:p w:rsidR="00AE63C9" w:rsidRDefault="00AE63C9" w:rsidP="00AE63C9">
      <w:pPr>
        <w:pStyle w:val="FootnoteText"/>
      </w:pPr>
      <w:r>
        <w:rPr>
          <w:rStyle w:val="FootnoteReference"/>
        </w:rPr>
        <w:footnoteRef/>
      </w:r>
      <w:r>
        <w:t xml:space="preserve"> </w:t>
      </w:r>
      <w:r w:rsidRPr="00300D84">
        <w:rPr>
          <w:i/>
        </w:rPr>
        <w:t>S v Alberto</w:t>
      </w:r>
      <w:r>
        <w:t xml:space="preserve"> (CR 57/2019) [2019] NAHCMD 309 (29 August 2019)</w:t>
      </w:r>
    </w:p>
  </w:footnote>
  <w:footnote w:id="2">
    <w:p w:rsidR="00BA5582" w:rsidRDefault="00BA5582" w:rsidP="00BA5582">
      <w:pPr>
        <w:pStyle w:val="FootnoteText"/>
      </w:pPr>
      <w:r>
        <w:rPr>
          <w:rStyle w:val="FootnoteReference"/>
        </w:rPr>
        <w:footnoteRef/>
      </w:r>
      <w:r>
        <w:t xml:space="preserve"> </w:t>
      </w:r>
      <w:r w:rsidRPr="00300D84">
        <w:rPr>
          <w:i/>
        </w:rPr>
        <w:t>S v Awa-Eiseb</w:t>
      </w:r>
      <w:r>
        <w:t xml:space="preserve"> (CR 03/2015)[ 2015] NAHCMD 12 (30 January 2015), </w:t>
      </w:r>
      <w:r w:rsidRPr="009872D4">
        <w:rPr>
          <w:i/>
        </w:rPr>
        <w:t>S v Pieters</w:t>
      </w:r>
      <w:r>
        <w:t xml:space="preserve"> (CR  58/2013) [2013] NAHCMD 272 (04 October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0E3"/>
    <w:multiLevelType w:val="hybridMultilevel"/>
    <w:tmpl w:val="94A8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4462B"/>
    <w:multiLevelType w:val="hybridMultilevel"/>
    <w:tmpl w:val="696EFA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25AB5"/>
    <w:multiLevelType w:val="hybridMultilevel"/>
    <w:tmpl w:val="D54450D2"/>
    <w:lvl w:ilvl="0" w:tplc="17E4E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E10EDF"/>
    <w:multiLevelType w:val="hybridMultilevel"/>
    <w:tmpl w:val="E8326B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D074E2"/>
    <w:multiLevelType w:val="hybridMultilevel"/>
    <w:tmpl w:val="DDF0E7A4"/>
    <w:lvl w:ilvl="0" w:tplc="04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7B"/>
    <w:rsid w:val="000379A0"/>
    <w:rsid w:val="00080327"/>
    <w:rsid w:val="00086087"/>
    <w:rsid w:val="000861D0"/>
    <w:rsid w:val="00090456"/>
    <w:rsid w:val="000907D4"/>
    <w:rsid w:val="0009136A"/>
    <w:rsid w:val="000B2E9D"/>
    <w:rsid w:val="000E2BD8"/>
    <w:rsid w:val="000F35E0"/>
    <w:rsid w:val="000F73A6"/>
    <w:rsid w:val="00103A7B"/>
    <w:rsid w:val="0011159F"/>
    <w:rsid w:val="0013542C"/>
    <w:rsid w:val="0013724C"/>
    <w:rsid w:val="00192D60"/>
    <w:rsid w:val="001B10ED"/>
    <w:rsid w:val="001B6B93"/>
    <w:rsid w:val="001C1FCD"/>
    <w:rsid w:val="001E7F6C"/>
    <w:rsid w:val="001F11CC"/>
    <w:rsid w:val="001F3DEF"/>
    <w:rsid w:val="00205962"/>
    <w:rsid w:val="00210297"/>
    <w:rsid w:val="0022142F"/>
    <w:rsid w:val="002266E8"/>
    <w:rsid w:val="00240995"/>
    <w:rsid w:val="00246ADC"/>
    <w:rsid w:val="00255C00"/>
    <w:rsid w:val="002A727E"/>
    <w:rsid w:val="002D6640"/>
    <w:rsid w:val="002D7DE4"/>
    <w:rsid w:val="002E2EBF"/>
    <w:rsid w:val="002E6C53"/>
    <w:rsid w:val="002F675A"/>
    <w:rsid w:val="00300D84"/>
    <w:rsid w:val="0030646C"/>
    <w:rsid w:val="00324E63"/>
    <w:rsid w:val="00326B95"/>
    <w:rsid w:val="00335CEE"/>
    <w:rsid w:val="003C0982"/>
    <w:rsid w:val="003C1C5A"/>
    <w:rsid w:val="003E33C2"/>
    <w:rsid w:val="003F4B33"/>
    <w:rsid w:val="0043198A"/>
    <w:rsid w:val="00443764"/>
    <w:rsid w:val="00453A52"/>
    <w:rsid w:val="004A0EDE"/>
    <w:rsid w:val="004A713B"/>
    <w:rsid w:val="004B2401"/>
    <w:rsid w:val="00506101"/>
    <w:rsid w:val="00514783"/>
    <w:rsid w:val="00516FD7"/>
    <w:rsid w:val="00526A2E"/>
    <w:rsid w:val="00531D26"/>
    <w:rsid w:val="00535353"/>
    <w:rsid w:val="00561ACF"/>
    <w:rsid w:val="00567998"/>
    <w:rsid w:val="00591CC1"/>
    <w:rsid w:val="005A035F"/>
    <w:rsid w:val="005B4E54"/>
    <w:rsid w:val="005C646D"/>
    <w:rsid w:val="005E38A2"/>
    <w:rsid w:val="005F2841"/>
    <w:rsid w:val="00604403"/>
    <w:rsid w:val="006143CB"/>
    <w:rsid w:val="00623552"/>
    <w:rsid w:val="00626FEA"/>
    <w:rsid w:val="006279F7"/>
    <w:rsid w:val="00634336"/>
    <w:rsid w:val="00641085"/>
    <w:rsid w:val="00642D28"/>
    <w:rsid w:val="00664B1F"/>
    <w:rsid w:val="006803AC"/>
    <w:rsid w:val="0068708C"/>
    <w:rsid w:val="006A6A25"/>
    <w:rsid w:val="006C182E"/>
    <w:rsid w:val="006E144E"/>
    <w:rsid w:val="006E4A58"/>
    <w:rsid w:val="006F752F"/>
    <w:rsid w:val="00704656"/>
    <w:rsid w:val="0070602D"/>
    <w:rsid w:val="007213DD"/>
    <w:rsid w:val="00754E77"/>
    <w:rsid w:val="007622A8"/>
    <w:rsid w:val="007648CB"/>
    <w:rsid w:val="007649C7"/>
    <w:rsid w:val="00787B63"/>
    <w:rsid w:val="007A30AF"/>
    <w:rsid w:val="007B1F0B"/>
    <w:rsid w:val="007C4DBE"/>
    <w:rsid w:val="0082241D"/>
    <w:rsid w:val="008600B9"/>
    <w:rsid w:val="00867276"/>
    <w:rsid w:val="00873F28"/>
    <w:rsid w:val="00876968"/>
    <w:rsid w:val="008804A8"/>
    <w:rsid w:val="008A1FA0"/>
    <w:rsid w:val="008A6A4D"/>
    <w:rsid w:val="008D43B5"/>
    <w:rsid w:val="00913E2D"/>
    <w:rsid w:val="00920E2C"/>
    <w:rsid w:val="00943B8F"/>
    <w:rsid w:val="009445F0"/>
    <w:rsid w:val="00945231"/>
    <w:rsid w:val="00945DFD"/>
    <w:rsid w:val="009872D4"/>
    <w:rsid w:val="00991E54"/>
    <w:rsid w:val="00A018BC"/>
    <w:rsid w:val="00A0676C"/>
    <w:rsid w:val="00A42C26"/>
    <w:rsid w:val="00A5152F"/>
    <w:rsid w:val="00A76799"/>
    <w:rsid w:val="00AA3467"/>
    <w:rsid w:val="00AC76ED"/>
    <w:rsid w:val="00AD11E1"/>
    <w:rsid w:val="00AE4AB4"/>
    <w:rsid w:val="00AE63C9"/>
    <w:rsid w:val="00AF15B3"/>
    <w:rsid w:val="00B058FE"/>
    <w:rsid w:val="00B41944"/>
    <w:rsid w:val="00B470DD"/>
    <w:rsid w:val="00B54A7B"/>
    <w:rsid w:val="00B80F7D"/>
    <w:rsid w:val="00B90B74"/>
    <w:rsid w:val="00B9443A"/>
    <w:rsid w:val="00BA2CD5"/>
    <w:rsid w:val="00BA5582"/>
    <w:rsid w:val="00BA5730"/>
    <w:rsid w:val="00BB61AC"/>
    <w:rsid w:val="00BB7C29"/>
    <w:rsid w:val="00BC49AF"/>
    <w:rsid w:val="00BD6E86"/>
    <w:rsid w:val="00BE4A68"/>
    <w:rsid w:val="00C05C4C"/>
    <w:rsid w:val="00C2316B"/>
    <w:rsid w:val="00C25421"/>
    <w:rsid w:val="00C313C4"/>
    <w:rsid w:val="00C426C3"/>
    <w:rsid w:val="00C50493"/>
    <w:rsid w:val="00C53C89"/>
    <w:rsid w:val="00C97EF3"/>
    <w:rsid w:val="00CB6479"/>
    <w:rsid w:val="00CC4F1D"/>
    <w:rsid w:val="00CE05EF"/>
    <w:rsid w:val="00D33AA5"/>
    <w:rsid w:val="00D53E7B"/>
    <w:rsid w:val="00D60E64"/>
    <w:rsid w:val="00D82861"/>
    <w:rsid w:val="00D97B84"/>
    <w:rsid w:val="00DA0BE2"/>
    <w:rsid w:val="00DA1A24"/>
    <w:rsid w:val="00DD7230"/>
    <w:rsid w:val="00E140A7"/>
    <w:rsid w:val="00E14DC4"/>
    <w:rsid w:val="00E3605E"/>
    <w:rsid w:val="00E44BBC"/>
    <w:rsid w:val="00E44F19"/>
    <w:rsid w:val="00E4691E"/>
    <w:rsid w:val="00E545E0"/>
    <w:rsid w:val="00E7021A"/>
    <w:rsid w:val="00EC4A70"/>
    <w:rsid w:val="00EC4E10"/>
    <w:rsid w:val="00ED4797"/>
    <w:rsid w:val="00F018D5"/>
    <w:rsid w:val="00F26F2F"/>
    <w:rsid w:val="00F37912"/>
    <w:rsid w:val="00F51A34"/>
    <w:rsid w:val="00F90D6E"/>
    <w:rsid w:val="00FC4C5F"/>
    <w:rsid w:val="00FF019E"/>
    <w:rsid w:val="00FF65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55041-2F24-4D67-B250-B13E4FE9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A7B"/>
    <w:pPr>
      <w:ind w:left="720"/>
      <w:contextualSpacing/>
    </w:pPr>
  </w:style>
  <w:style w:type="paragraph" w:styleId="FootnoteText">
    <w:name w:val="footnote text"/>
    <w:basedOn w:val="Normal"/>
    <w:link w:val="FootnoteTextChar"/>
    <w:uiPriority w:val="99"/>
    <w:semiHidden/>
    <w:unhideWhenUsed/>
    <w:rsid w:val="00103A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A7B"/>
    <w:rPr>
      <w:sz w:val="20"/>
      <w:szCs w:val="20"/>
      <w:lang w:val="en-US"/>
    </w:rPr>
  </w:style>
  <w:style w:type="character" w:styleId="FootnoteReference">
    <w:name w:val="footnote reference"/>
    <w:basedOn w:val="DefaultParagraphFont"/>
    <w:uiPriority w:val="99"/>
    <w:semiHidden/>
    <w:unhideWhenUsed/>
    <w:rsid w:val="00103A7B"/>
    <w:rPr>
      <w:vertAlign w:val="superscript"/>
    </w:rPr>
  </w:style>
  <w:style w:type="paragraph" w:styleId="BodyText">
    <w:name w:val="Body Text"/>
    <w:basedOn w:val="Normal"/>
    <w:link w:val="BodyTextChar"/>
    <w:uiPriority w:val="99"/>
    <w:unhideWhenUsed/>
    <w:rsid w:val="00103A7B"/>
    <w:pPr>
      <w:spacing w:after="120"/>
    </w:pPr>
  </w:style>
  <w:style w:type="character" w:customStyle="1" w:styleId="BodyTextChar">
    <w:name w:val="Body Text Char"/>
    <w:basedOn w:val="DefaultParagraphFont"/>
    <w:link w:val="BodyText"/>
    <w:uiPriority w:val="99"/>
    <w:rsid w:val="00103A7B"/>
    <w:rPr>
      <w:lang w:val="en-US"/>
    </w:rPr>
  </w:style>
  <w:style w:type="paragraph" w:styleId="BalloonText">
    <w:name w:val="Balloon Text"/>
    <w:basedOn w:val="Normal"/>
    <w:link w:val="BalloonTextChar"/>
    <w:uiPriority w:val="99"/>
    <w:semiHidden/>
    <w:unhideWhenUsed/>
    <w:rsid w:val="00BA2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2021-02-22T18:30:00+00:00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EB88-72DB-41E6-9598-932A9554C982}">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DECDCB96-B401-49D8-9704-73D753D9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3B7EF-E07F-4A7D-8FC5-BA6C705CD660}">
  <ds:schemaRefs>
    <ds:schemaRef ds:uri="http://schemas.microsoft.com/sharepoint/v3/contenttype/forms"/>
  </ds:schemaRefs>
</ds:datastoreItem>
</file>

<file path=customXml/itemProps4.xml><?xml version="1.0" encoding="utf-8"?>
<ds:datastoreItem xmlns:ds="http://schemas.openxmlformats.org/officeDocument/2006/customXml" ds:itemID="{9D7139AA-3ABE-4D8E-9203-08FD075D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Ernestine N. Jansen</dc:creator>
  <cp:keywords/>
  <dc:description/>
  <cp:lastModifiedBy>HOME</cp:lastModifiedBy>
  <cp:revision>2</cp:revision>
  <cp:lastPrinted>2021-02-23T07:15:00Z</cp:lastPrinted>
  <dcterms:created xsi:type="dcterms:W3CDTF">2021-07-14T12:26:00Z</dcterms:created>
  <dcterms:modified xsi:type="dcterms:W3CDTF">2021-07-14T12:26:00Z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